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1A5B50" w14:textId="77777777" w:rsidR="0075791A" w:rsidRDefault="0075791A">
      <w:pPr>
        <w:pStyle w:val="a5"/>
        <w:rPr>
          <w:rFonts w:ascii="Times New Roman" w:hAnsi="Times New Roman"/>
          <w:color w:val="auto"/>
          <w:sz w:val="20"/>
        </w:rPr>
      </w:pPr>
    </w:p>
    <w:p w14:paraId="7A2DF8B5" w14:textId="77777777" w:rsidR="0075791A" w:rsidRDefault="0075791A">
      <w:pPr>
        <w:pStyle w:val="a5"/>
        <w:rPr>
          <w:rFonts w:ascii="Times New Roman" w:hAnsi="Times New Roman"/>
          <w:color w:val="auto"/>
          <w:sz w:val="20"/>
        </w:rPr>
      </w:pPr>
    </w:p>
    <w:p w14:paraId="50AB2021" w14:textId="77777777" w:rsidR="0075791A" w:rsidRDefault="0075791A">
      <w:pPr>
        <w:pStyle w:val="a5"/>
        <w:rPr>
          <w:rFonts w:ascii="Times New Roman" w:hAnsi="Times New Roman"/>
          <w:color w:val="auto"/>
          <w:sz w:val="20"/>
        </w:rPr>
      </w:pPr>
    </w:p>
    <w:p w14:paraId="4FFC6CE0" w14:textId="77777777" w:rsidR="0075791A" w:rsidRDefault="0075791A">
      <w:pPr>
        <w:pStyle w:val="a5"/>
        <w:rPr>
          <w:rFonts w:ascii="Times New Roman" w:hAnsi="Times New Roman"/>
          <w:color w:val="auto"/>
          <w:sz w:val="20"/>
        </w:rPr>
      </w:pPr>
    </w:p>
    <w:p w14:paraId="21E9B3E1" w14:textId="77777777" w:rsidR="0075791A" w:rsidRDefault="0075791A">
      <w:pPr>
        <w:pStyle w:val="a5"/>
        <w:rPr>
          <w:rFonts w:ascii="Times New Roman" w:hAnsi="Times New Roman"/>
          <w:color w:val="auto"/>
          <w:sz w:val="20"/>
        </w:rPr>
      </w:pPr>
    </w:p>
    <w:p w14:paraId="1DA684CC" w14:textId="77777777" w:rsidR="0075791A" w:rsidRDefault="0075791A">
      <w:pPr>
        <w:pStyle w:val="a5"/>
        <w:spacing w:before="8"/>
        <w:rPr>
          <w:rFonts w:ascii="Times New Roman" w:hAnsi="Times New Roman"/>
          <w:color w:val="auto"/>
          <w:sz w:val="29"/>
        </w:rPr>
      </w:pPr>
    </w:p>
    <w:p w14:paraId="18415995" w14:textId="77777777" w:rsidR="0075791A" w:rsidRDefault="00FB2864">
      <w:pPr>
        <w:spacing w:before="140" w:line="219" w:lineRule="auto"/>
        <w:jc w:val="center"/>
        <w:outlineLvl w:val="0"/>
        <w:rPr>
          <w:rFonts w:ascii="Times New Roman" w:eastAsia="楷体" w:hAnsi="Times New Roman" w:cs="楷体"/>
          <w:color w:val="auto"/>
          <w:sz w:val="36"/>
          <w:szCs w:val="36"/>
          <w:lang w:eastAsia="zh-CN"/>
        </w:rPr>
      </w:pPr>
      <w:bookmarkStart w:id="0" w:name="_Toc24157"/>
      <w:bookmarkStart w:id="1" w:name="_Toc23100"/>
      <w:bookmarkStart w:id="2" w:name="_Toc14177"/>
      <w:bookmarkStart w:id="3" w:name="_Toc29331"/>
      <w:bookmarkStart w:id="4" w:name="_Toc15740"/>
      <w:bookmarkStart w:id="5" w:name="_Toc8279"/>
      <w:bookmarkStart w:id="6" w:name="_Toc10776"/>
      <w:bookmarkStart w:id="7" w:name="_Toc27995"/>
      <w:bookmarkStart w:id="8" w:name="_Toc12375"/>
      <w:r>
        <w:rPr>
          <w:rFonts w:ascii="Times New Roman" w:eastAsia="楷体" w:hAnsi="Times New Roman" w:cs="楷体" w:hint="eastAsia"/>
          <w:b/>
          <w:bCs/>
          <w:color w:val="auto"/>
          <w:spacing w:val="-33"/>
          <w:sz w:val="36"/>
          <w:szCs w:val="36"/>
          <w:lang w:eastAsia="zh-CN"/>
        </w:rPr>
        <w:t>三亚铁炉港红树林湿地保护</w:t>
      </w:r>
      <w:r>
        <w:rPr>
          <w:rFonts w:ascii="Times New Roman" w:eastAsia="楷体" w:hAnsi="Times New Roman" w:cs="楷体"/>
          <w:b/>
          <w:bCs/>
          <w:color w:val="auto"/>
          <w:spacing w:val="-33"/>
          <w:sz w:val="36"/>
          <w:szCs w:val="36"/>
          <w:lang w:eastAsia="zh-CN"/>
        </w:rPr>
        <w:t>修复项目</w:t>
      </w:r>
      <w:bookmarkEnd w:id="0"/>
      <w:r>
        <w:rPr>
          <w:rFonts w:ascii="Times New Roman" w:eastAsia="楷体" w:hAnsi="Times New Roman" w:cs="楷体" w:hint="eastAsia"/>
          <w:b/>
          <w:bCs/>
          <w:color w:val="auto"/>
          <w:spacing w:val="-33"/>
          <w:sz w:val="36"/>
          <w:szCs w:val="36"/>
          <w:lang w:eastAsia="zh-CN"/>
        </w:rPr>
        <w:t>（</w:t>
      </w:r>
      <w:bookmarkEnd w:id="1"/>
      <w:r>
        <w:rPr>
          <w:rFonts w:ascii="Times New Roman" w:eastAsia="楷体" w:hAnsi="Times New Roman" w:cs="楷体" w:hint="eastAsia"/>
          <w:b/>
          <w:bCs/>
          <w:color w:val="auto"/>
          <w:spacing w:val="-33"/>
          <w:sz w:val="36"/>
          <w:szCs w:val="36"/>
          <w:lang w:eastAsia="zh-CN"/>
        </w:rPr>
        <w:t>二期）</w:t>
      </w:r>
      <w:bookmarkEnd w:id="2"/>
      <w:bookmarkEnd w:id="3"/>
      <w:bookmarkEnd w:id="4"/>
      <w:bookmarkEnd w:id="5"/>
      <w:bookmarkEnd w:id="6"/>
      <w:bookmarkEnd w:id="7"/>
      <w:r>
        <w:rPr>
          <w:rFonts w:ascii="Times New Roman" w:eastAsia="楷体" w:hAnsi="Times New Roman" w:cs="楷体" w:hint="eastAsia"/>
          <w:b/>
          <w:bCs/>
          <w:color w:val="auto"/>
          <w:spacing w:val="-33"/>
          <w:sz w:val="36"/>
          <w:szCs w:val="36"/>
          <w:lang w:eastAsia="zh-CN"/>
        </w:rPr>
        <w:t>疏浚活动</w:t>
      </w:r>
      <w:bookmarkEnd w:id="8"/>
    </w:p>
    <w:p w14:paraId="1E1669F2" w14:textId="77777777" w:rsidR="0075791A" w:rsidRDefault="00FB2864">
      <w:pPr>
        <w:spacing w:before="199" w:line="185" w:lineRule="auto"/>
        <w:jc w:val="center"/>
        <w:outlineLvl w:val="0"/>
        <w:rPr>
          <w:rFonts w:ascii="Times New Roman" w:eastAsia="微软雅黑" w:hAnsi="Times New Roman" w:cs="微软雅黑"/>
          <w:color w:val="auto"/>
          <w:sz w:val="48"/>
          <w:szCs w:val="48"/>
          <w:lang w:eastAsia="zh-CN"/>
        </w:rPr>
      </w:pPr>
      <w:bookmarkStart w:id="9" w:name="_Toc11230"/>
      <w:bookmarkStart w:id="10" w:name="_Toc5116"/>
      <w:bookmarkStart w:id="11" w:name="_Toc32074"/>
      <w:bookmarkStart w:id="12" w:name="_Toc10852"/>
      <w:bookmarkStart w:id="13" w:name="_Toc2718"/>
      <w:bookmarkStart w:id="14" w:name="_Toc30634"/>
      <w:bookmarkStart w:id="15" w:name="_Toc26298"/>
      <w:bookmarkStart w:id="16" w:name="_Toc6101"/>
      <w:bookmarkStart w:id="17" w:name="_Toc19627"/>
      <w:r>
        <w:rPr>
          <w:rFonts w:ascii="Times New Roman" w:eastAsia="微软雅黑" w:hAnsi="Times New Roman" w:cs="微软雅黑"/>
          <w:b/>
          <w:bCs/>
          <w:color w:val="auto"/>
          <w:spacing w:val="1"/>
          <w:sz w:val="48"/>
          <w:szCs w:val="48"/>
          <w:lang w:eastAsia="zh-CN"/>
        </w:rPr>
        <w:t>海域使用论证报告</w:t>
      </w:r>
      <w:bookmarkEnd w:id="9"/>
      <w:bookmarkEnd w:id="10"/>
      <w:bookmarkEnd w:id="11"/>
      <w:bookmarkEnd w:id="12"/>
      <w:bookmarkEnd w:id="13"/>
      <w:bookmarkEnd w:id="14"/>
      <w:bookmarkEnd w:id="15"/>
      <w:bookmarkEnd w:id="16"/>
      <w:r>
        <w:rPr>
          <w:rFonts w:ascii="Times New Roman" w:eastAsia="微软雅黑" w:hAnsi="Times New Roman" w:cs="微软雅黑" w:hint="eastAsia"/>
          <w:b/>
          <w:bCs/>
          <w:color w:val="auto"/>
          <w:spacing w:val="1"/>
          <w:sz w:val="48"/>
          <w:szCs w:val="48"/>
          <w:lang w:eastAsia="zh-CN"/>
        </w:rPr>
        <w:t>书</w:t>
      </w:r>
      <w:bookmarkEnd w:id="17"/>
    </w:p>
    <w:p w14:paraId="5CEB20F6" w14:textId="77777777" w:rsidR="0075791A" w:rsidRDefault="00FB2864">
      <w:pPr>
        <w:spacing w:before="226" w:line="228" w:lineRule="auto"/>
        <w:jc w:val="center"/>
        <w:rPr>
          <w:rFonts w:ascii="宋体" w:eastAsia="宋体" w:hAnsi="宋体" w:cs="宋体"/>
          <w:b/>
          <w:bCs/>
          <w:color w:val="auto"/>
          <w:sz w:val="36"/>
          <w:szCs w:val="36"/>
          <w:lang w:eastAsia="zh-CN"/>
        </w:rPr>
      </w:pPr>
      <w:r>
        <w:rPr>
          <w:rFonts w:ascii="宋体" w:eastAsia="宋体" w:hAnsi="宋体" w:cs="宋体" w:hint="eastAsia"/>
          <w:b/>
          <w:bCs/>
          <w:color w:val="auto"/>
          <w:sz w:val="36"/>
          <w:szCs w:val="36"/>
          <w:lang w:eastAsia="zh-CN"/>
        </w:rPr>
        <w:t>（</w:t>
      </w:r>
      <w:r>
        <w:rPr>
          <w:rFonts w:ascii="宋体" w:eastAsia="宋体" w:hAnsi="宋体" w:cs="宋体" w:hint="eastAsia"/>
          <w:b/>
          <w:bCs/>
          <w:color w:val="auto"/>
          <w:sz w:val="36"/>
          <w:szCs w:val="36"/>
          <w:lang w:eastAsia="zh-CN"/>
        </w:rPr>
        <w:t>公示</w:t>
      </w:r>
      <w:r>
        <w:rPr>
          <w:rFonts w:ascii="宋体" w:eastAsia="宋体" w:hAnsi="宋体" w:cs="宋体" w:hint="eastAsia"/>
          <w:b/>
          <w:bCs/>
          <w:color w:val="auto"/>
          <w:sz w:val="36"/>
          <w:szCs w:val="36"/>
          <w:lang w:eastAsia="zh-CN"/>
        </w:rPr>
        <w:t>稿）</w:t>
      </w:r>
    </w:p>
    <w:p w14:paraId="435C521C" w14:textId="77777777" w:rsidR="0075791A" w:rsidRDefault="0075791A">
      <w:pPr>
        <w:pStyle w:val="a5"/>
        <w:rPr>
          <w:rFonts w:ascii="Times New Roman" w:hAnsi="Times New Roman"/>
          <w:b/>
          <w:color w:val="auto"/>
          <w:sz w:val="44"/>
          <w:lang w:eastAsia="zh-CN"/>
        </w:rPr>
      </w:pPr>
    </w:p>
    <w:p w14:paraId="47C6E6B8" w14:textId="77777777" w:rsidR="0075791A" w:rsidRDefault="0075791A">
      <w:pPr>
        <w:pStyle w:val="a5"/>
        <w:rPr>
          <w:rFonts w:ascii="Times New Roman" w:hAnsi="Times New Roman"/>
          <w:b/>
          <w:color w:val="auto"/>
          <w:sz w:val="44"/>
          <w:lang w:eastAsia="zh-CN"/>
        </w:rPr>
      </w:pPr>
    </w:p>
    <w:p w14:paraId="348E05EC" w14:textId="77777777" w:rsidR="0075791A" w:rsidRDefault="0075791A">
      <w:pPr>
        <w:pStyle w:val="a5"/>
        <w:rPr>
          <w:rFonts w:ascii="Times New Roman" w:hAnsi="Times New Roman"/>
          <w:b/>
          <w:color w:val="auto"/>
          <w:sz w:val="44"/>
          <w:lang w:eastAsia="zh-CN"/>
        </w:rPr>
      </w:pPr>
    </w:p>
    <w:p w14:paraId="478609D9" w14:textId="77777777" w:rsidR="0075791A" w:rsidRDefault="0075791A">
      <w:pPr>
        <w:pStyle w:val="a5"/>
        <w:rPr>
          <w:rFonts w:ascii="Times New Roman" w:hAnsi="Times New Roman"/>
          <w:b/>
          <w:color w:val="auto"/>
          <w:sz w:val="44"/>
          <w:lang w:eastAsia="zh-CN"/>
        </w:rPr>
      </w:pPr>
    </w:p>
    <w:p w14:paraId="7C349EDF" w14:textId="77777777" w:rsidR="0075791A" w:rsidRDefault="0075791A">
      <w:pPr>
        <w:pStyle w:val="a5"/>
        <w:rPr>
          <w:rFonts w:ascii="Times New Roman" w:hAnsi="Times New Roman"/>
          <w:b/>
          <w:color w:val="auto"/>
          <w:sz w:val="44"/>
          <w:lang w:eastAsia="zh-CN"/>
        </w:rPr>
      </w:pPr>
    </w:p>
    <w:p w14:paraId="09BFD770" w14:textId="77777777" w:rsidR="0075791A" w:rsidRDefault="0075791A">
      <w:pPr>
        <w:pStyle w:val="a5"/>
        <w:rPr>
          <w:rFonts w:ascii="Times New Roman" w:hAnsi="Times New Roman"/>
          <w:b/>
          <w:color w:val="auto"/>
          <w:sz w:val="44"/>
          <w:lang w:eastAsia="zh-CN"/>
        </w:rPr>
      </w:pPr>
    </w:p>
    <w:p w14:paraId="1FB89212" w14:textId="77777777" w:rsidR="0075791A" w:rsidRDefault="0075791A">
      <w:pPr>
        <w:pStyle w:val="a5"/>
        <w:rPr>
          <w:rFonts w:ascii="Times New Roman" w:hAnsi="Times New Roman"/>
          <w:b/>
          <w:color w:val="auto"/>
          <w:sz w:val="44"/>
          <w:lang w:eastAsia="zh-CN"/>
        </w:rPr>
      </w:pPr>
    </w:p>
    <w:p w14:paraId="06C880BA" w14:textId="77777777" w:rsidR="0075791A" w:rsidRDefault="0075791A">
      <w:pPr>
        <w:pStyle w:val="a5"/>
        <w:rPr>
          <w:rFonts w:ascii="Times New Roman" w:hAnsi="Times New Roman"/>
          <w:b/>
          <w:color w:val="auto"/>
          <w:sz w:val="44"/>
          <w:lang w:eastAsia="zh-CN"/>
        </w:rPr>
      </w:pPr>
    </w:p>
    <w:p w14:paraId="54FF1E49" w14:textId="77777777" w:rsidR="0075791A" w:rsidRDefault="0075791A">
      <w:pPr>
        <w:pStyle w:val="a5"/>
        <w:rPr>
          <w:rFonts w:ascii="Times New Roman" w:hAnsi="Times New Roman"/>
          <w:b/>
          <w:color w:val="auto"/>
          <w:sz w:val="44"/>
          <w:lang w:eastAsia="zh-CN"/>
        </w:rPr>
      </w:pPr>
    </w:p>
    <w:p w14:paraId="5A39B1A2" w14:textId="77777777" w:rsidR="0075791A" w:rsidRDefault="0075791A">
      <w:pPr>
        <w:pStyle w:val="a0"/>
        <w:ind w:firstLineChars="0" w:firstLine="0"/>
        <w:rPr>
          <w:rFonts w:ascii="Times New Roman" w:hAnsi="Times New Roman"/>
          <w:b/>
          <w:color w:val="auto"/>
          <w:sz w:val="44"/>
          <w:lang w:eastAsia="zh-CN"/>
        </w:rPr>
      </w:pPr>
    </w:p>
    <w:p w14:paraId="726068E4" w14:textId="77777777" w:rsidR="0075791A" w:rsidRDefault="0075791A">
      <w:pPr>
        <w:rPr>
          <w:rFonts w:ascii="Times New Roman" w:hAnsi="Times New Roman"/>
          <w:b/>
          <w:color w:val="auto"/>
          <w:sz w:val="44"/>
          <w:lang w:eastAsia="zh-CN"/>
        </w:rPr>
      </w:pPr>
    </w:p>
    <w:p w14:paraId="77A4F93F" w14:textId="77777777" w:rsidR="0075791A" w:rsidRDefault="0075791A">
      <w:pPr>
        <w:rPr>
          <w:rFonts w:ascii="Times New Roman" w:hAnsi="Times New Roman"/>
          <w:b/>
          <w:color w:val="auto"/>
          <w:sz w:val="44"/>
          <w:lang w:eastAsia="zh-CN"/>
        </w:rPr>
      </w:pPr>
    </w:p>
    <w:p w14:paraId="0EFAE0FF" w14:textId="77777777" w:rsidR="0075791A" w:rsidRDefault="0075791A">
      <w:pPr>
        <w:rPr>
          <w:rFonts w:ascii="Times New Roman" w:hAnsi="Times New Roman"/>
          <w:b/>
          <w:color w:val="auto"/>
          <w:sz w:val="44"/>
          <w:lang w:eastAsia="zh-CN"/>
        </w:rPr>
      </w:pPr>
    </w:p>
    <w:p w14:paraId="49965AE5" w14:textId="77777777" w:rsidR="0075791A" w:rsidRDefault="0075791A">
      <w:pPr>
        <w:pStyle w:val="a5"/>
        <w:rPr>
          <w:rFonts w:ascii="Times New Roman" w:hAnsi="Times New Roman"/>
          <w:b/>
          <w:color w:val="auto"/>
          <w:sz w:val="44"/>
          <w:lang w:eastAsia="zh-CN"/>
        </w:rPr>
      </w:pPr>
    </w:p>
    <w:p w14:paraId="2829EF3D" w14:textId="77777777" w:rsidR="0075791A" w:rsidRDefault="00FB2864">
      <w:pPr>
        <w:widowControl w:val="0"/>
        <w:kinsoku/>
        <w:adjustRightInd/>
        <w:snapToGrid/>
        <w:spacing w:line="360" w:lineRule="auto"/>
        <w:jc w:val="center"/>
        <w:textAlignment w:val="auto"/>
        <w:rPr>
          <w:rFonts w:ascii="Times New Roman" w:eastAsia="楷体" w:hAnsi="Times New Roman"/>
          <w:b/>
          <w:color w:val="auto"/>
          <w:sz w:val="36"/>
          <w:szCs w:val="36"/>
          <w:lang w:eastAsia="zh-CN"/>
        </w:rPr>
      </w:pPr>
      <w:bookmarkStart w:id="18" w:name="_Toc4325"/>
      <w:r>
        <w:rPr>
          <w:rFonts w:ascii="Times New Roman" w:eastAsia="楷体" w:hAnsi="Times New Roman" w:hint="eastAsia"/>
          <w:b/>
          <w:color w:val="auto"/>
          <w:sz w:val="36"/>
          <w:szCs w:val="36"/>
          <w:lang w:eastAsia="zh-CN"/>
        </w:rPr>
        <w:t>自然资源部海口海洋中心</w:t>
      </w:r>
      <w:bookmarkEnd w:id="18"/>
    </w:p>
    <w:p w14:paraId="6BCBCE26" w14:textId="77777777" w:rsidR="0075791A" w:rsidRDefault="00FB2864">
      <w:pPr>
        <w:widowControl w:val="0"/>
        <w:kinsoku/>
        <w:adjustRightInd/>
        <w:snapToGrid/>
        <w:spacing w:line="360" w:lineRule="auto"/>
        <w:jc w:val="center"/>
        <w:textAlignment w:val="auto"/>
        <w:rPr>
          <w:rFonts w:ascii="Times New Roman" w:eastAsia="Times New Roman" w:hAnsi="Times New Roman"/>
          <w:b/>
          <w:color w:val="auto"/>
          <w:sz w:val="36"/>
          <w:szCs w:val="36"/>
          <w:lang w:eastAsia="zh-CN"/>
        </w:rPr>
      </w:pPr>
      <w:r>
        <w:rPr>
          <w:rFonts w:ascii="Times New Roman" w:eastAsia="楷体" w:hAnsi="Times New Roman" w:hint="eastAsia"/>
          <w:b/>
          <w:color w:val="auto"/>
          <w:w w:val="95"/>
          <w:sz w:val="36"/>
          <w:szCs w:val="36"/>
          <w:lang w:eastAsia="zh-CN"/>
        </w:rPr>
        <w:t>统一社会信用代码</w:t>
      </w:r>
      <w:r>
        <w:rPr>
          <w:rFonts w:ascii="Times New Roman" w:eastAsia="楷体" w:hAnsi="Times New Roman" w:hint="eastAsia"/>
          <w:b/>
          <w:color w:val="auto"/>
          <w:w w:val="95"/>
          <w:sz w:val="36"/>
          <w:szCs w:val="36"/>
          <w:lang w:eastAsia="zh-CN"/>
        </w:rPr>
        <w:t>：</w:t>
      </w:r>
      <w:r>
        <w:rPr>
          <w:rFonts w:ascii="Times New Roman" w:eastAsia="Times New Roman" w:hAnsi="Times New Roman" w:hint="eastAsia"/>
          <w:b/>
          <w:color w:val="auto"/>
          <w:w w:val="95"/>
          <w:sz w:val="36"/>
          <w:szCs w:val="36"/>
          <w:lang w:eastAsia="zh-CN"/>
        </w:rPr>
        <w:t>12100000428203079G</w:t>
      </w:r>
    </w:p>
    <w:p w14:paraId="04B08397" w14:textId="77777777" w:rsidR="0075791A" w:rsidRDefault="00FB2864">
      <w:pPr>
        <w:spacing w:before="262" w:line="219" w:lineRule="auto"/>
        <w:jc w:val="center"/>
        <w:rPr>
          <w:rFonts w:ascii="Times New Roman" w:eastAsia="楷体" w:hAnsi="Times New Roman" w:cs="楷体"/>
          <w:color w:val="auto"/>
          <w:sz w:val="30"/>
          <w:szCs w:val="30"/>
          <w:lang w:eastAsia="zh-CN"/>
        </w:rPr>
      </w:pPr>
      <w:r>
        <w:rPr>
          <w:rFonts w:ascii="Times New Roman" w:eastAsia="Times New Roman" w:hAnsi="Times New Roman"/>
          <w:b/>
          <w:color w:val="auto"/>
          <w:sz w:val="36"/>
          <w:szCs w:val="36"/>
          <w:lang w:eastAsia="zh-CN"/>
        </w:rPr>
        <w:t>202</w:t>
      </w:r>
      <w:r>
        <w:rPr>
          <w:rFonts w:ascii="Times New Roman" w:eastAsia="宋体" w:hAnsi="Times New Roman" w:hint="eastAsia"/>
          <w:b/>
          <w:color w:val="auto"/>
          <w:sz w:val="36"/>
          <w:szCs w:val="36"/>
          <w:lang w:eastAsia="zh-CN"/>
        </w:rPr>
        <w:t>6</w:t>
      </w:r>
      <w:r>
        <w:rPr>
          <w:rFonts w:ascii="Times New Roman" w:eastAsia="楷体" w:hAnsi="Times New Roman" w:hint="eastAsia"/>
          <w:b/>
          <w:color w:val="auto"/>
          <w:sz w:val="36"/>
          <w:szCs w:val="36"/>
          <w:lang w:eastAsia="zh-CN"/>
        </w:rPr>
        <w:t>年</w:t>
      </w:r>
      <w:r>
        <w:rPr>
          <w:rFonts w:ascii="Times New Roman" w:eastAsia="楷体" w:hAnsi="Times New Roman" w:cs="Times New Roman" w:hint="eastAsia"/>
          <w:b/>
          <w:color w:val="auto"/>
          <w:sz w:val="36"/>
          <w:szCs w:val="36"/>
          <w:lang w:eastAsia="zh-CN"/>
        </w:rPr>
        <w:t>4</w:t>
      </w:r>
      <w:r>
        <w:rPr>
          <w:rFonts w:ascii="Times New Roman" w:eastAsia="楷体" w:hAnsi="Times New Roman" w:hint="eastAsia"/>
          <w:b/>
          <w:color w:val="auto"/>
          <w:sz w:val="36"/>
          <w:szCs w:val="36"/>
          <w:lang w:eastAsia="zh-CN"/>
        </w:rPr>
        <w:t>月</w:t>
      </w:r>
    </w:p>
    <w:p w14:paraId="02B4EE08" w14:textId="77777777" w:rsidR="0075791A" w:rsidRDefault="0075791A">
      <w:pPr>
        <w:pStyle w:val="21"/>
        <w:ind w:firstLine="400"/>
        <w:rPr>
          <w:rFonts w:ascii="Times New Roman" w:hAnsi="Times New Roman"/>
          <w:color w:val="auto"/>
          <w:lang w:eastAsia="zh-CN"/>
        </w:rPr>
        <w:sectPr w:rsidR="0075791A">
          <w:footerReference w:type="default" r:id="rId8"/>
          <w:pgSz w:w="11906" w:h="16839"/>
          <w:pgMar w:top="1440" w:right="1803" w:bottom="1440" w:left="1803" w:header="0" w:footer="1003" w:gutter="0"/>
          <w:cols w:space="720"/>
        </w:sectPr>
      </w:pPr>
    </w:p>
    <w:p w14:paraId="721C68E4" w14:textId="77777777" w:rsidR="0075791A" w:rsidRDefault="00FB2864">
      <w:pPr>
        <w:spacing w:beforeLines="50" w:before="120"/>
        <w:jc w:val="center"/>
        <w:rPr>
          <w:rFonts w:ascii="Times New Roman" w:eastAsia="宋体" w:hAnsi="Times New Roman" w:cs="宋体"/>
          <w:b/>
          <w:bCs/>
          <w:color w:val="auto"/>
          <w:spacing w:val="4"/>
          <w:sz w:val="35"/>
          <w:szCs w:val="35"/>
        </w:rPr>
      </w:pPr>
      <w:r>
        <w:rPr>
          <w:rFonts w:ascii="Times New Roman" w:eastAsia="宋体" w:hAnsi="Times New Roman" w:cs="宋体"/>
          <w:b/>
          <w:bCs/>
          <w:color w:val="auto"/>
          <w:spacing w:val="4"/>
          <w:sz w:val="35"/>
          <w:szCs w:val="35"/>
        </w:rPr>
        <w:lastRenderedPageBreak/>
        <w:t>项目基本情况表</w:t>
      </w:r>
    </w:p>
    <w:tbl>
      <w:tblPr>
        <w:tblStyle w:val="ad"/>
        <w:tblpPr w:leftFromText="180" w:rightFromText="180" w:vertAnchor="text" w:horzAnchor="page" w:tblpX="1808" w:tblpY="38"/>
        <w:tblOverlap w:val="never"/>
        <w:tblW w:w="0" w:type="auto"/>
        <w:tblLook w:val="04A0" w:firstRow="1" w:lastRow="0" w:firstColumn="1" w:lastColumn="0" w:noHBand="0" w:noVBand="1"/>
      </w:tblPr>
      <w:tblGrid>
        <w:gridCol w:w="1410"/>
        <w:gridCol w:w="1409"/>
        <w:gridCol w:w="1409"/>
        <w:gridCol w:w="1416"/>
        <w:gridCol w:w="1410"/>
        <w:gridCol w:w="1411"/>
      </w:tblGrid>
      <w:tr w:rsidR="0075791A" w14:paraId="3144A3C3" w14:textId="77777777">
        <w:trPr>
          <w:trHeight w:val="567"/>
        </w:trPr>
        <w:tc>
          <w:tcPr>
            <w:tcW w:w="1410" w:type="dxa"/>
            <w:vAlign w:val="center"/>
          </w:tcPr>
          <w:p w14:paraId="46F0F7AE"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申请人</w:t>
            </w:r>
          </w:p>
        </w:tc>
        <w:tc>
          <w:tcPr>
            <w:tcW w:w="1409" w:type="dxa"/>
            <w:tcMar>
              <w:top w:w="0" w:type="dxa"/>
              <w:left w:w="57" w:type="dxa"/>
              <w:bottom w:w="0" w:type="dxa"/>
              <w:right w:w="57" w:type="dxa"/>
            </w:tcMar>
            <w:vAlign w:val="center"/>
          </w:tcPr>
          <w:p w14:paraId="255A9A91"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单位名称</w:t>
            </w:r>
          </w:p>
        </w:tc>
        <w:tc>
          <w:tcPr>
            <w:tcW w:w="5646" w:type="dxa"/>
            <w:gridSpan w:val="4"/>
            <w:tcMar>
              <w:top w:w="0" w:type="dxa"/>
              <w:left w:w="57" w:type="dxa"/>
              <w:bottom w:w="0" w:type="dxa"/>
              <w:right w:w="57" w:type="dxa"/>
            </w:tcMar>
            <w:vAlign w:val="center"/>
          </w:tcPr>
          <w:p w14:paraId="1FE863AD"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三亚市林业局</w:t>
            </w:r>
          </w:p>
        </w:tc>
      </w:tr>
      <w:tr w:rsidR="0075791A" w14:paraId="1A61E5B7" w14:textId="77777777">
        <w:trPr>
          <w:trHeight w:val="567"/>
        </w:trPr>
        <w:tc>
          <w:tcPr>
            <w:tcW w:w="1410" w:type="dxa"/>
            <w:vMerge w:val="restart"/>
            <w:vAlign w:val="center"/>
          </w:tcPr>
          <w:p w14:paraId="314B475B"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项目用海基本情况</w:t>
            </w:r>
          </w:p>
        </w:tc>
        <w:tc>
          <w:tcPr>
            <w:tcW w:w="1409" w:type="dxa"/>
            <w:tcMar>
              <w:top w:w="0" w:type="dxa"/>
              <w:left w:w="57" w:type="dxa"/>
              <w:bottom w:w="0" w:type="dxa"/>
              <w:right w:w="57" w:type="dxa"/>
            </w:tcMar>
            <w:vAlign w:val="center"/>
          </w:tcPr>
          <w:p w14:paraId="2FFD4DE5"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项目名称</w:t>
            </w:r>
          </w:p>
        </w:tc>
        <w:tc>
          <w:tcPr>
            <w:tcW w:w="5646" w:type="dxa"/>
            <w:gridSpan w:val="4"/>
            <w:tcMar>
              <w:top w:w="0" w:type="dxa"/>
              <w:left w:w="57" w:type="dxa"/>
              <w:bottom w:w="0" w:type="dxa"/>
              <w:right w:w="57" w:type="dxa"/>
            </w:tcMar>
            <w:vAlign w:val="center"/>
          </w:tcPr>
          <w:p w14:paraId="23A209E2"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三亚铁炉港红树林湿地保护</w:t>
            </w:r>
            <w:r>
              <w:rPr>
                <w:rFonts w:ascii="Times New Roman" w:eastAsia="宋体" w:hAnsi="Times New Roman"/>
                <w:color w:val="auto"/>
                <w:sz w:val="24"/>
                <w:lang w:eastAsia="zh-CN"/>
              </w:rPr>
              <w:t>修复项目</w:t>
            </w:r>
            <w:r>
              <w:rPr>
                <w:rFonts w:ascii="Times New Roman" w:eastAsia="宋体" w:hAnsi="Times New Roman" w:hint="eastAsia"/>
                <w:color w:val="auto"/>
                <w:sz w:val="24"/>
                <w:lang w:eastAsia="zh-CN"/>
              </w:rPr>
              <w:t>（二期）疏浚活动</w:t>
            </w:r>
          </w:p>
        </w:tc>
      </w:tr>
      <w:tr w:rsidR="0075791A" w14:paraId="3EF3FA10" w14:textId="77777777">
        <w:trPr>
          <w:trHeight w:val="567"/>
        </w:trPr>
        <w:tc>
          <w:tcPr>
            <w:tcW w:w="1410" w:type="dxa"/>
            <w:vMerge/>
            <w:vAlign w:val="center"/>
          </w:tcPr>
          <w:p w14:paraId="38B66350" w14:textId="77777777" w:rsidR="0075791A" w:rsidRDefault="0075791A">
            <w:pPr>
              <w:jc w:val="center"/>
              <w:rPr>
                <w:rFonts w:ascii="Times New Roman" w:eastAsia="宋体" w:hAnsi="Times New Roman"/>
                <w:color w:val="auto"/>
                <w:sz w:val="24"/>
                <w:lang w:eastAsia="zh-CN"/>
              </w:rPr>
            </w:pPr>
          </w:p>
        </w:tc>
        <w:tc>
          <w:tcPr>
            <w:tcW w:w="1409" w:type="dxa"/>
            <w:tcMar>
              <w:top w:w="0" w:type="dxa"/>
              <w:left w:w="57" w:type="dxa"/>
              <w:bottom w:w="0" w:type="dxa"/>
              <w:right w:w="57" w:type="dxa"/>
            </w:tcMar>
            <w:vAlign w:val="center"/>
          </w:tcPr>
          <w:p w14:paraId="480CD8FE"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项目地址</w:t>
            </w:r>
          </w:p>
        </w:tc>
        <w:tc>
          <w:tcPr>
            <w:tcW w:w="5646" w:type="dxa"/>
            <w:gridSpan w:val="4"/>
            <w:tcMar>
              <w:top w:w="0" w:type="dxa"/>
              <w:left w:w="57" w:type="dxa"/>
              <w:bottom w:w="0" w:type="dxa"/>
              <w:right w:w="57" w:type="dxa"/>
            </w:tcMar>
            <w:vAlign w:val="center"/>
          </w:tcPr>
          <w:p w14:paraId="2FED5573"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三亚市铁炉港海中海高尔夫球场北部</w:t>
            </w:r>
          </w:p>
        </w:tc>
      </w:tr>
      <w:tr w:rsidR="0075791A" w14:paraId="0E17530D" w14:textId="77777777">
        <w:trPr>
          <w:trHeight w:val="567"/>
        </w:trPr>
        <w:tc>
          <w:tcPr>
            <w:tcW w:w="1410" w:type="dxa"/>
            <w:vMerge/>
            <w:vAlign w:val="center"/>
          </w:tcPr>
          <w:p w14:paraId="30CD171F" w14:textId="77777777" w:rsidR="0075791A" w:rsidRDefault="0075791A">
            <w:pPr>
              <w:jc w:val="center"/>
              <w:rPr>
                <w:rFonts w:ascii="Times New Roman" w:eastAsia="宋体" w:hAnsi="Times New Roman"/>
                <w:color w:val="auto"/>
                <w:sz w:val="24"/>
                <w:lang w:eastAsia="zh-CN"/>
              </w:rPr>
            </w:pPr>
          </w:p>
        </w:tc>
        <w:tc>
          <w:tcPr>
            <w:tcW w:w="1409" w:type="dxa"/>
            <w:tcMar>
              <w:top w:w="0" w:type="dxa"/>
              <w:left w:w="57" w:type="dxa"/>
              <w:bottom w:w="0" w:type="dxa"/>
              <w:right w:w="57" w:type="dxa"/>
            </w:tcMar>
            <w:vAlign w:val="center"/>
          </w:tcPr>
          <w:p w14:paraId="46FCDBE6"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项目性质</w:t>
            </w:r>
          </w:p>
        </w:tc>
        <w:tc>
          <w:tcPr>
            <w:tcW w:w="2825" w:type="dxa"/>
            <w:gridSpan w:val="2"/>
            <w:tcMar>
              <w:top w:w="0" w:type="dxa"/>
              <w:left w:w="57" w:type="dxa"/>
              <w:bottom w:w="0" w:type="dxa"/>
              <w:right w:w="57" w:type="dxa"/>
            </w:tcMar>
            <w:vAlign w:val="center"/>
          </w:tcPr>
          <w:p w14:paraId="6D8CE603"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公益性（</w:t>
            </w:r>
            <w:r>
              <w:rPr>
                <w:rFonts w:ascii="Times New Roman" w:eastAsia="宋体" w:hAnsi="Times New Roman"/>
                <w:color w:val="auto"/>
                <w:sz w:val="24"/>
                <w:lang w:eastAsia="zh-CN"/>
              </w:rPr>
              <w:t>√</w:t>
            </w:r>
            <w:r>
              <w:rPr>
                <w:rFonts w:ascii="Times New Roman" w:eastAsia="宋体" w:hAnsi="Times New Roman" w:hint="eastAsia"/>
                <w:color w:val="auto"/>
                <w:sz w:val="24"/>
                <w:lang w:eastAsia="zh-CN"/>
              </w:rPr>
              <w:t>）</w:t>
            </w:r>
          </w:p>
        </w:tc>
        <w:tc>
          <w:tcPr>
            <w:tcW w:w="2821" w:type="dxa"/>
            <w:gridSpan w:val="2"/>
            <w:tcMar>
              <w:top w:w="0" w:type="dxa"/>
              <w:left w:w="57" w:type="dxa"/>
              <w:bottom w:w="0" w:type="dxa"/>
              <w:right w:w="57" w:type="dxa"/>
            </w:tcMar>
            <w:vAlign w:val="center"/>
          </w:tcPr>
          <w:p w14:paraId="5160EAAA"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经营性（）</w:t>
            </w:r>
          </w:p>
        </w:tc>
      </w:tr>
      <w:tr w:rsidR="0075791A" w14:paraId="0D622EF0" w14:textId="77777777">
        <w:trPr>
          <w:trHeight w:val="567"/>
        </w:trPr>
        <w:tc>
          <w:tcPr>
            <w:tcW w:w="1410" w:type="dxa"/>
            <w:vMerge/>
            <w:vAlign w:val="center"/>
          </w:tcPr>
          <w:p w14:paraId="2FD9E4A7" w14:textId="77777777" w:rsidR="0075791A" w:rsidRDefault="0075791A">
            <w:pPr>
              <w:jc w:val="center"/>
              <w:rPr>
                <w:rFonts w:ascii="Times New Roman" w:eastAsia="宋体" w:hAnsi="Times New Roman"/>
                <w:color w:val="auto"/>
                <w:sz w:val="24"/>
                <w:lang w:eastAsia="zh-CN"/>
              </w:rPr>
            </w:pPr>
          </w:p>
        </w:tc>
        <w:tc>
          <w:tcPr>
            <w:tcW w:w="1409" w:type="dxa"/>
            <w:tcMar>
              <w:top w:w="0" w:type="dxa"/>
              <w:left w:w="57" w:type="dxa"/>
              <w:bottom w:w="0" w:type="dxa"/>
              <w:right w:w="57" w:type="dxa"/>
            </w:tcMar>
            <w:vAlign w:val="center"/>
          </w:tcPr>
          <w:p w14:paraId="5525A6B8"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用海面积</w:t>
            </w:r>
          </w:p>
        </w:tc>
        <w:tc>
          <w:tcPr>
            <w:tcW w:w="2825" w:type="dxa"/>
            <w:gridSpan w:val="2"/>
            <w:tcMar>
              <w:top w:w="0" w:type="dxa"/>
              <w:left w:w="57" w:type="dxa"/>
              <w:bottom w:w="0" w:type="dxa"/>
              <w:right w:w="57" w:type="dxa"/>
            </w:tcMar>
            <w:vAlign w:val="center"/>
          </w:tcPr>
          <w:p w14:paraId="2079C8B2"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15.2465ha</w:t>
            </w:r>
            <w:r>
              <w:rPr>
                <w:rFonts w:ascii="Times New Roman" w:eastAsia="宋体" w:hAnsi="Times New Roman" w:hint="eastAsia"/>
                <w:color w:val="auto"/>
                <w:sz w:val="24"/>
                <w:lang w:eastAsia="zh-CN"/>
              </w:rPr>
              <w:t>，其中构筑物</w:t>
            </w:r>
            <w:r>
              <w:rPr>
                <w:rFonts w:ascii="Times New Roman" w:eastAsia="宋体" w:hAnsi="Times New Roman" w:hint="eastAsia"/>
                <w:color w:val="auto"/>
                <w:sz w:val="24"/>
                <w:lang w:eastAsia="zh-CN"/>
              </w:rPr>
              <w:t>0.3793ha</w:t>
            </w:r>
            <w:r>
              <w:rPr>
                <w:rFonts w:ascii="Times New Roman" w:eastAsia="宋体" w:hAnsi="Times New Roman" w:hint="eastAsia"/>
                <w:color w:val="auto"/>
                <w:sz w:val="24"/>
                <w:lang w:eastAsia="zh-CN"/>
              </w:rPr>
              <w:t>，清淤</w:t>
            </w:r>
            <w:r>
              <w:rPr>
                <w:rFonts w:ascii="Times New Roman" w:eastAsia="宋体" w:hAnsi="Times New Roman" w:hint="eastAsia"/>
                <w:color w:val="auto"/>
                <w:sz w:val="24"/>
                <w:lang w:eastAsia="zh-CN"/>
              </w:rPr>
              <w:t>14.8672ha</w:t>
            </w:r>
          </w:p>
        </w:tc>
        <w:tc>
          <w:tcPr>
            <w:tcW w:w="1410" w:type="dxa"/>
            <w:tcMar>
              <w:top w:w="0" w:type="dxa"/>
              <w:left w:w="57" w:type="dxa"/>
              <w:bottom w:w="0" w:type="dxa"/>
              <w:right w:w="57" w:type="dxa"/>
            </w:tcMar>
            <w:vAlign w:val="center"/>
          </w:tcPr>
          <w:p w14:paraId="7B15250F"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投资金额</w:t>
            </w:r>
          </w:p>
        </w:tc>
        <w:tc>
          <w:tcPr>
            <w:tcW w:w="1411" w:type="dxa"/>
            <w:tcMar>
              <w:top w:w="0" w:type="dxa"/>
              <w:left w:w="57" w:type="dxa"/>
              <w:bottom w:w="0" w:type="dxa"/>
              <w:right w:w="57" w:type="dxa"/>
            </w:tcMar>
            <w:vAlign w:val="center"/>
          </w:tcPr>
          <w:p w14:paraId="753BACD4"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319.79</w:t>
            </w:r>
            <w:r>
              <w:rPr>
                <w:rFonts w:ascii="Times New Roman" w:eastAsia="宋体" w:hAnsi="Times New Roman" w:hint="eastAsia"/>
                <w:color w:val="auto"/>
                <w:sz w:val="24"/>
                <w:lang w:eastAsia="zh-CN"/>
              </w:rPr>
              <w:t>万元</w:t>
            </w:r>
          </w:p>
        </w:tc>
      </w:tr>
      <w:tr w:rsidR="0075791A" w14:paraId="4A2003EF" w14:textId="77777777">
        <w:trPr>
          <w:trHeight w:val="567"/>
        </w:trPr>
        <w:tc>
          <w:tcPr>
            <w:tcW w:w="1410" w:type="dxa"/>
            <w:vMerge/>
            <w:vAlign w:val="center"/>
          </w:tcPr>
          <w:p w14:paraId="0AAF72A6" w14:textId="77777777" w:rsidR="0075791A" w:rsidRDefault="0075791A">
            <w:pPr>
              <w:jc w:val="center"/>
              <w:rPr>
                <w:rFonts w:ascii="Times New Roman" w:eastAsia="宋体" w:hAnsi="Times New Roman"/>
                <w:color w:val="auto"/>
                <w:sz w:val="24"/>
                <w:lang w:eastAsia="zh-CN"/>
              </w:rPr>
            </w:pPr>
          </w:p>
        </w:tc>
        <w:tc>
          <w:tcPr>
            <w:tcW w:w="1409" w:type="dxa"/>
            <w:tcMar>
              <w:top w:w="0" w:type="dxa"/>
              <w:left w:w="57" w:type="dxa"/>
              <w:bottom w:w="0" w:type="dxa"/>
              <w:right w:w="57" w:type="dxa"/>
            </w:tcMar>
            <w:vAlign w:val="center"/>
          </w:tcPr>
          <w:p w14:paraId="07CE0C65"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用海期限</w:t>
            </w:r>
          </w:p>
        </w:tc>
        <w:tc>
          <w:tcPr>
            <w:tcW w:w="2825" w:type="dxa"/>
            <w:gridSpan w:val="2"/>
            <w:tcMar>
              <w:top w:w="0" w:type="dxa"/>
              <w:left w:w="57" w:type="dxa"/>
              <w:bottom w:w="0" w:type="dxa"/>
              <w:right w:w="57" w:type="dxa"/>
            </w:tcMar>
            <w:vAlign w:val="center"/>
          </w:tcPr>
          <w:p w14:paraId="06BE3A1D"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透水构筑物</w:t>
            </w:r>
            <w:r>
              <w:rPr>
                <w:rFonts w:ascii="Times New Roman" w:eastAsia="宋体" w:hAnsi="Times New Roman" w:hint="eastAsia"/>
                <w:color w:val="auto"/>
                <w:sz w:val="24"/>
                <w:lang w:eastAsia="zh-CN"/>
              </w:rPr>
              <w:t>40</w:t>
            </w:r>
            <w:r>
              <w:rPr>
                <w:rFonts w:ascii="Times New Roman" w:eastAsia="宋体" w:hAnsi="Times New Roman" w:hint="eastAsia"/>
                <w:color w:val="auto"/>
                <w:sz w:val="24"/>
                <w:lang w:eastAsia="zh-CN"/>
              </w:rPr>
              <w:t>年，清淤区用海</w:t>
            </w:r>
            <w:r>
              <w:rPr>
                <w:rFonts w:ascii="Times New Roman" w:eastAsia="宋体" w:hAnsi="Times New Roman" w:hint="eastAsia"/>
                <w:color w:val="auto"/>
                <w:sz w:val="24"/>
                <w:lang w:eastAsia="zh-CN"/>
              </w:rPr>
              <w:t>6</w:t>
            </w:r>
            <w:r>
              <w:rPr>
                <w:rFonts w:ascii="Times New Roman" w:eastAsia="宋体" w:hAnsi="Times New Roman" w:hint="eastAsia"/>
                <w:color w:val="auto"/>
                <w:sz w:val="24"/>
                <w:lang w:eastAsia="zh-CN"/>
              </w:rPr>
              <w:t>个月</w:t>
            </w:r>
          </w:p>
        </w:tc>
        <w:tc>
          <w:tcPr>
            <w:tcW w:w="1410" w:type="dxa"/>
            <w:tcMar>
              <w:top w:w="0" w:type="dxa"/>
              <w:left w:w="57" w:type="dxa"/>
              <w:bottom w:w="0" w:type="dxa"/>
              <w:right w:w="57" w:type="dxa"/>
            </w:tcMar>
            <w:vAlign w:val="center"/>
          </w:tcPr>
          <w:p w14:paraId="4AC81F96"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预计就业人数</w:t>
            </w:r>
          </w:p>
        </w:tc>
        <w:tc>
          <w:tcPr>
            <w:tcW w:w="1411" w:type="dxa"/>
            <w:tcMar>
              <w:top w:w="0" w:type="dxa"/>
              <w:left w:w="57" w:type="dxa"/>
              <w:bottom w:w="0" w:type="dxa"/>
              <w:right w:w="57" w:type="dxa"/>
            </w:tcMar>
            <w:vAlign w:val="center"/>
          </w:tcPr>
          <w:p w14:paraId="7A70880B"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 xml:space="preserve">/ </w:t>
            </w:r>
            <w:r>
              <w:rPr>
                <w:rFonts w:ascii="Times New Roman" w:eastAsia="宋体" w:hAnsi="Times New Roman" w:hint="eastAsia"/>
                <w:color w:val="auto"/>
                <w:sz w:val="24"/>
                <w:lang w:eastAsia="zh-CN"/>
              </w:rPr>
              <w:t>人</w:t>
            </w:r>
          </w:p>
        </w:tc>
      </w:tr>
      <w:tr w:rsidR="0075791A" w14:paraId="62390A95" w14:textId="77777777">
        <w:trPr>
          <w:trHeight w:val="567"/>
        </w:trPr>
        <w:tc>
          <w:tcPr>
            <w:tcW w:w="1410" w:type="dxa"/>
            <w:vMerge/>
            <w:vAlign w:val="center"/>
          </w:tcPr>
          <w:p w14:paraId="4943BE11" w14:textId="77777777" w:rsidR="0075791A" w:rsidRDefault="0075791A">
            <w:pPr>
              <w:jc w:val="center"/>
              <w:rPr>
                <w:rFonts w:ascii="Times New Roman" w:eastAsia="宋体" w:hAnsi="Times New Roman"/>
                <w:color w:val="auto"/>
                <w:sz w:val="24"/>
                <w:lang w:eastAsia="zh-CN"/>
              </w:rPr>
            </w:pPr>
          </w:p>
        </w:tc>
        <w:tc>
          <w:tcPr>
            <w:tcW w:w="1409" w:type="dxa"/>
            <w:vMerge w:val="restart"/>
            <w:tcMar>
              <w:top w:w="0" w:type="dxa"/>
              <w:left w:w="57" w:type="dxa"/>
              <w:bottom w:w="0" w:type="dxa"/>
              <w:right w:w="57" w:type="dxa"/>
            </w:tcMar>
            <w:vAlign w:val="center"/>
          </w:tcPr>
          <w:p w14:paraId="46DF6EA3"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占用岸线</w:t>
            </w:r>
          </w:p>
        </w:tc>
        <w:tc>
          <w:tcPr>
            <w:tcW w:w="1409" w:type="dxa"/>
            <w:tcMar>
              <w:top w:w="0" w:type="dxa"/>
              <w:left w:w="57" w:type="dxa"/>
              <w:bottom w:w="0" w:type="dxa"/>
              <w:right w:w="57" w:type="dxa"/>
            </w:tcMar>
            <w:vAlign w:val="center"/>
          </w:tcPr>
          <w:p w14:paraId="04A4429A"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总长度</w:t>
            </w:r>
          </w:p>
        </w:tc>
        <w:tc>
          <w:tcPr>
            <w:tcW w:w="1416" w:type="dxa"/>
            <w:tcMar>
              <w:top w:w="0" w:type="dxa"/>
              <w:left w:w="57" w:type="dxa"/>
              <w:bottom w:w="0" w:type="dxa"/>
              <w:right w:w="57" w:type="dxa"/>
            </w:tcMar>
            <w:vAlign w:val="center"/>
          </w:tcPr>
          <w:p w14:paraId="2C9BCA30"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0m</w:t>
            </w:r>
          </w:p>
        </w:tc>
        <w:tc>
          <w:tcPr>
            <w:tcW w:w="1410" w:type="dxa"/>
            <w:tcMar>
              <w:top w:w="0" w:type="dxa"/>
              <w:left w:w="57" w:type="dxa"/>
              <w:bottom w:w="0" w:type="dxa"/>
              <w:right w:w="57" w:type="dxa"/>
            </w:tcMar>
            <w:vAlign w:val="center"/>
          </w:tcPr>
          <w:p w14:paraId="6FA86EC6"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预计拉动区域经济产值</w:t>
            </w:r>
          </w:p>
        </w:tc>
        <w:tc>
          <w:tcPr>
            <w:tcW w:w="1411" w:type="dxa"/>
            <w:tcMar>
              <w:top w:w="0" w:type="dxa"/>
              <w:left w:w="57" w:type="dxa"/>
              <w:bottom w:w="0" w:type="dxa"/>
              <w:right w:w="57" w:type="dxa"/>
            </w:tcMar>
            <w:vAlign w:val="center"/>
          </w:tcPr>
          <w:p w14:paraId="2BAE8BE1"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w:t>
            </w:r>
            <w:r>
              <w:rPr>
                <w:rFonts w:ascii="Times New Roman" w:eastAsia="宋体" w:hAnsi="Times New Roman" w:hint="eastAsia"/>
                <w:color w:val="auto"/>
                <w:sz w:val="24"/>
                <w:lang w:eastAsia="zh-CN"/>
              </w:rPr>
              <w:t>万元</w:t>
            </w:r>
          </w:p>
        </w:tc>
      </w:tr>
      <w:tr w:rsidR="0075791A" w14:paraId="0DDBEB85" w14:textId="77777777">
        <w:trPr>
          <w:trHeight w:val="567"/>
        </w:trPr>
        <w:tc>
          <w:tcPr>
            <w:tcW w:w="1410" w:type="dxa"/>
            <w:vMerge/>
            <w:vAlign w:val="center"/>
          </w:tcPr>
          <w:p w14:paraId="4157D9C9" w14:textId="77777777" w:rsidR="0075791A" w:rsidRDefault="0075791A">
            <w:pPr>
              <w:jc w:val="center"/>
              <w:rPr>
                <w:rFonts w:ascii="Times New Roman" w:eastAsia="宋体" w:hAnsi="Times New Roman"/>
                <w:color w:val="auto"/>
                <w:sz w:val="24"/>
                <w:lang w:eastAsia="zh-CN"/>
              </w:rPr>
            </w:pPr>
          </w:p>
        </w:tc>
        <w:tc>
          <w:tcPr>
            <w:tcW w:w="1409" w:type="dxa"/>
            <w:vMerge/>
            <w:tcMar>
              <w:top w:w="0" w:type="dxa"/>
              <w:left w:w="57" w:type="dxa"/>
              <w:bottom w:w="0" w:type="dxa"/>
              <w:right w:w="57" w:type="dxa"/>
            </w:tcMar>
            <w:vAlign w:val="center"/>
          </w:tcPr>
          <w:p w14:paraId="624ABDD2" w14:textId="77777777" w:rsidR="0075791A" w:rsidRDefault="0075791A">
            <w:pPr>
              <w:jc w:val="center"/>
              <w:rPr>
                <w:rFonts w:ascii="Times New Roman" w:eastAsia="宋体" w:hAnsi="Times New Roman"/>
                <w:color w:val="auto"/>
                <w:sz w:val="24"/>
                <w:lang w:eastAsia="zh-CN"/>
              </w:rPr>
            </w:pPr>
          </w:p>
        </w:tc>
        <w:tc>
          <w:tcPr>
            <w:tcW w:w="1409" w:type="dxa"/>
            <w:tcMar>
              <w:top w:w="0" w:type="dxa"/>
              <w:left w:w="57" w:type="dxa"/>
              <w:bottom w:w="0" w:type="dxa"/>
              <w:right w:w="57" w:type="dxa"/>
            </w:tcMar>
            <w:vAlign w:val="center"/>
          </w:tcPr>
          <w:p w14:paraId="68611E44"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自然岸线</w:t>
            </w:r>
          </w:p>
        </w:tc>
        <w:tc>
          <w:tcPr>
            <w:tcW w:w="1416" w:type="dxa"/>
            <w:tcMar>
              <w:top w:w="0" w:type="dxa"/>
              <w:left w:w="57" w:type="dxa"/>
              <w:bottom w:w="0" w:type="dxa"/>
              <w:right w:w="57" w:type="dxa"/>
            </w:tcMar>
            <w:vAlign w:val="center"/>
          </w:tcPr>
          <w:p w14:paraId="70D31601"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0 m</w:t>
            </w:r>
          </w:p>
        </w:tc>
        <w:tc>
          <w:tcPr>
            <w:tcW w:w="1410" w:type="dxa"/>
            <w:tcMar>
              <w:top w:w="0" w:type="dxa"/>
              <w:left w:w="57" w:type="dxa"/>
              <w:bottom w:w="0" w:type="dxa"/>
              <w:right w:w="57" w:type="dxa"/>
            </w:tcMar>
            <w:vAlign w:val="center"/>
          </w:tcPr>
          <w:p w14:paraId="6D001581" w14:textId="77777777" w:rsidR="0075791A" w:rsidRDefault="0075791A">
            <w:pPr>
              <w:jc w:val="center"/>
              <w:rPr>
                <w:rFonts w:ascii="Times New Roman" w:eastAsia="宋体" w:hAnsi="Times New Roman"/>
                <w:color w:val="auto"/>
                <w:sz w:val="24"/>
                <w:lang w:eastAsia="zh-CN"/>
              </w:rPr>
            </w:pPr>
          </w:p>
        </w:tc>
        <w:tc>
          <w:tcPr>
            <w:tcW w:w="1411" w:type="dxa"/>
            <w:tcMar>
              <w:top w:w="0" w:type="dxa"/>
              <w:left w:w="57" w:type="dxa"/>
              <w:bottom w:w="0" w:type="dxa"/>
              <w:right w:w="57" w:type="dxa"/>
            </w:tcMar>
            <w:vAlign w:val="center"/>
          </w:tcPr>
          <w:p w14:paraId="3745DA7E" w14:textId="77777777" w:rsidR="0075791A" w:rsidRDefault="0075791A">
            <w:pPr>
              <w:jc w:val="center"/>
              <w:rPr>
                <w:rFonts w:ascii="Times New Roman" w:eastAsia="宋体" w:hAnsi="Times New Roman"/>
                <w:color w:val="auto"/>
                <w:sz w:val="24"/>
                <w:lang w:eastAsia="zh-CN"/>
              </w:rPr>
            </w:pPr>
          </w:p>
        </w:tc>
      </w:tr>
      <w:tr w:rsidR="0075791A" w14:paraId="191CF42F" w14:textId="77777777">
        <w:trPr>
          <w:trHeight w:val="567"/>
        </w:trPr>
        <w:tc>
          <w:tcPr>
            <w:tcW w:w="1410" w:type="dxa"/>
            <w:vMerge/>
            <w:vAlign w:val="center"/>
          </w:tcPr>
          <w:p w14:paraId="48E6F554" w14:textId="77777777" w:rsidR="0075791A" w:rsidRDefault="0075791A">
            <w:pPr>
              <w:jc w:val="center"/>
              <w:rPr>
                <w:rFonts w:ascii="Times New Roman" w:eastAsia="宋体" w:hAnsi="Times New Roman"/>
                <w:color w:val="auto"/>
                <w:sz w:val="24"/>
                <w:lang w:eastAsia="zh-CN"/>
              </w:rPr>
            </w:pPr>
          </w:p>
        </w:tc>
        <w:tc>
          <w:tcPr>
            <w:tcW w:w="1409" w:type="dxa"/>
            <w:vMerge/>
            <w:tcMar>
              <w:top w:w="0" w:type="dxa"/>
              <w:left w:w="57" w:type="dxa"/>
              <w:bottom w:w="0" w:type="dxa"/>
              <w:right w:w="57" w:type="dxa"/>
            </w:tcMar>
            <w:vAlign w:val="center"/>
          </w:tcPr>
          <w:p w14:paraId="5F5E7134" w14:textId="77777777" w:rsidR="0075791A" w:rsidRDefault="0075791A">
            <w:pPr>
              <w:jc w:val="center"/>
              <w:rPr>
                <w:rFonts w:ascii="Times New Roman" w:eastAsia="宋体" w:hAnsi="Times New Roman"/>
                <w:color w:val="auto"/>
                <w:sz w:val="24"/>
                <w:lang w:eastAsia="zh-CN"/>
              </w:rPr>
            </w:pPr>
          </w:p>
        </w:tc>
        <w:tc>
          <w:tcPr>
            <w:tcW w:w="1409" w:type="dxa"/>
            <w:tcMar>
              <w:top w:w="0" w:type="dxa"/>
              <w:left w:w="57" w:type="dxa"/>
              <w:bottom w:w="0" w:type="dxa"/>
              <w:right w:w="57" w:type="dxa"/>
            </w:tcMar>
            <w:vAlign w:val="center"/>
          </w:tcPr>
          <w:p w14:paraId="4529C1FD"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人工岸线</w:t>
            </w:r>
          </w:p>
        </w:tc>
        <w:tc>
          <w:tcPr>
            <w:tcW w:w="1416" w:type="dxa"/>
            <w:tcMar>
              <w:top w:w="0" w:type="dxa"/>
              <w:left w:w="57" w:type="dxa"/>
              <w:bottom w:w="0" w:type="dxa"/>
              <w:right w:w="57" w:type="dxa"/>
            </w:tcMar>
            <w:vAlign w:val="center"/>
          </w:tcPr>
          <w:p w14:paraId="6E03E88A"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0m</w:t>
            </w:r>
          </w:p>
        </w:tc>
        <w:tc>
          <w:tcPr>
            <w:tcW w:w="1410" w:type="dxa"/>
            <w:tcMar>
              <w:top w:w="0" w:type="dxa"/>
              <w:left w:w="57" w:type="dxa"/>
              <w:bottom w:w="0" w:type="dxa"/>
              <w:right w:w="57" w:type="dxa"/>
            </w:tcMar>
            <w:vAlign w:val="center"/>
          </w:tcPr>
          <w:p w14:paraId="26FCE9F9" w14:textId="77777777" w:rsidR="0075791A" w:rsidRDefault="0075791A">
            <w:pPr>
              <w:jc w:val="center"/>
              <w:rPr>
                <w:rFonts w:ascii="Times New Roman" w:eastAsia="宋体" w:hAnsi="Times New Roman"/>
                <w:color w:val="auto"/>
                <w:sz w:val="24"/>
                <w:lang w:eastAsia="zh-CN"/>
              </w:rPr>
            </w:pPr>
          </w:p>
        </w:tc>
        <w:tc>
          <w:tcPr>
            <w:tcW w:w="1411" w:type="dxa"/>
            <w:tcMar>
              <w:top w:w="0" w:type="dxa"/>
              <w:left w:w="57" w:type="dxa"/>
              <w:bottom w:w="0" w:type="dxa"/>
              <w:right w:w="57" w:type="dxa"/>
            </w:tcMar>
            <w:vAlign w:val="center"/>
          </w:tcPr>
          <w:p w14:paraId="4FA8C867" w14:textId="77777777" w:rsidR="0075791A" w:rsidRDefault="0075791A">
            <w:pPr>
              <w:jc w:val="center"/>
              <w:rPr>
                <w:rFonts w:ascii="Times New Roman" w:eastAsia="宋体" w:hAnsi="Times New Roman"/>
                <w:color w:val="auto"/>
                <w:sz w:val="24"/>
                <w:lang w:eastAsia="zh-CN"/>
              </w:rPr>
            </w:pPr>
          </w:p>
        </w:tc>
      </w:tr>
      <w:tr w:rsidR="0075791A" w14:paraId="3897AA41" w14:textId="77777777">
        <w:trPr>
          <w:trHeight w:val="567"/>
        </w:trPr>
        <w:tc>
          <w:tcPr>
            <w:tcW w:w="1410" w:type="dxa"/>
            <w:vMerge/>
            <w:vAlign w:val="center"/>
          </w:tcPr>
          <w:p w14:paraId="06D05D9C" w14:textId="77777777" w:rsidR="0075791A" w:rsidRDefault="0075791A">
            <w:pPr>
              <w:jc w:val="center"/>
              <w:rPr>
                <w:rFonts w:ascii="Times New Roman" w:eastAsia="宋体" w:hAnsi="Times New Roman"/>
                <w:color w:val="auto"/>
                <w:sz w:val="24"/>
                <w:lang w:eastAsia="zh-CN"/>
              </w:rPr>
            </w:pPr>
          </w:p>
        </w:tc>
        <w:tc>
          <w:tcPr>
            <w:tcW w:w="1409" w:type="dxa"/>
            <w:vMerge/>
            <w:tcMar>
              <w:top w:w="0" w:type="dxa"/>
              <w:left w:w="57" w:type="dxa"/>
              <w:bottom w:w="0" w:type="dxa"/>
              <w:right w:w="57" w:type="dxa"/>
            </w:tcMar>
            <w:vAlign w:val="center"/>
          </w:tcPr>
          <w:p w14:paraId="02A3D56F" w14:textId="77777777" w:rsidR="0075791A" w:rsidRDefault="0075791A">
            <w:pPr>
              <w:jc w:val="center"/>
              <w:rPr>
                <w:rFonts w:ascii="Times New Roman" w:eastAsia="宋体" w:hAnsi="Times New Roman"/>
                <w:color w:val="auto"/>
                <w:sz w:val="24"/>
                <w:lang w:eastAsia="zh-CN"/>
              </w:rPr>
            </w:pPr>
          </w:p>
        </w:tc>
        <w:tc>
          <w:tcPr>
            <w:tcW w:w="1409" w:type="dxa"/>
            <w:tcMar>
              <w:top w:w="0" w:type="dxa"/>
              <w:left w:w="57" w:type="dxa"/>
              <w:bottom w:w="0" w:type="dxa"/>
              <w:right w:w="57" w:type="dxa"/>
            </w:tcMar>
            <w:vAlign w:val="center"/>
          </w:tcPr>
          <w:p w14:paraId="623FB9CC"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其他岸线</w:t>
            </w:r>
          </w:p>
        </w:tc>
        <w:tc>
          <w:tcPr>
            <w:tcW w:w="1416" w:type="dxa"/>
            <w:tcMar>
              <w:top w:w="0" w:type="dxa"/>
              <w:left w:w="57" w:type="dxa"/>
              <w:bottom w:w="0" w:type="dxa"/>
              <w:right w:w="57" w:type="dxa"/>
            </w:tcMar>
            <w:vAlign w:val="center"/>
          </w:tcPr>
          <w:p w14:paraId="41C7A2F9"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0 m</w:t>
            </w:r>
          </w:p>
        </w:tc>
        <w:tc>
          <w:tcPr>
            <w:tcW w:w="1410" w:type="dxa"/>
            <w:tcMar>
              <w:top w:w="0" w:type="dxa"/>
              <w:left w:w="57" w:type="dxa"/>
              <w:bottom w:w="0" w:type="dxa"/>
              <w:right w:w="57" w:type="dxa"/>
            </w:tcMar>
            <w:vAlign w:val="center"/>
          </w:tcPr>
          <w:p w14:paraId="22C40F76" w14:textId="77777777" w:rsidR="0075791A" w:rsidRDefault="0075791A">
            <w:pPr>
              <w:jc w:val="center"/>
              <w:rPr>
                <w:rFonts w:ascii="Times New Roman" w:eastAsia="宋体" w:hAnsi="Times New Roman"/>
                <w:color w:val="auto"/>
                <w:sz w:val="24"/>
                <w:lang w:eastAsia="zh-CN"/>
              </w:rPr>
            </w:pPr>
          </w:p>
        </w:tc>
        <w:tc>
          <w:tcPr>
            <w:tcW w:w="1411" w:type="dxa"/>
            <w:tcMar>
              <w:top w:w="0" w:type="dxa"/>
              <w:left w:w="57" w:type="dxa"/>
              <w:bottom w:w="0" w:type="dxa"/>
              <w:right w:w="57" w:type="dxa"/>
            </w:tcMar>
            <w:vAlign w:val="center"/>
          </w:tcPr>
          <w:p w14:paraId="5691F603" w14:textId="77777777" w:rsidR="0075791A" w:rsidRDefault="0075791A">
            <w:pPr>
              <w:jc w:val="center"/>
              <w:rPr>
                <w:rFonts w:ascii="Times New Roman" w:eastAsia="宋体" w:hAnsi="Times New Roman"/>
                <w:color w:val="auto"/>
                <w:sz w:val="24"/>
                <w:lang w:eastAsia="zh-CN"/>
              </w:rPr>
            </w:pPr>
          </w:p>
        </w:tc>
      </w:tr>
      <w:tr w:rsidR="0075791A" w14:paraId="0F6F581A" w14:textId="77777777">
        <w:trPr>
          <w:trHeight w:val="567"/>
        </w:trPr>
        <w:tc>
          <w:tcPr>
            <w:tcW w:w="1410" w:type="dxa"/>
            <w:vMerge/>
            <w:vAlign w:val="center"/>
          </w:tcPr>
          <w:p w14:paraId="2D6B5F4C" w14:textId="77777777" w:rsidR="0075791A" w:rsidRDefault="0075791A">
            <w:pPr>
              <w:jc w:val="center"/>
              <w:rPr>
                <w:rFonts w:ascii="Times New Roman" w:eastAsia="宋体" w:hAnsi="Times New Roman"/>
                <w:color w:val="auto"/>
                <w:sz w:val="24"/>
                <w:lang w:eastAsia="zh-CN"/>
              </w:rPr>
            </w:pPr>
          </w:p>
        </w:tc>
        <w:tc>
          <w:tcPr>
            <w:tcW w:w="1409" w:type="dxa"/>
            <w:tcMar>
              <w:top w:w="0" w:type="dxa"/>
              <w:left w:w="57" w:type="dxa"/>
              <w:bottom w:w="0" w:type="dxa"/>
              <w:right w:w="57" w:type="dxa"/>
            </w:tcMar>
            <w:vAlign w:val="center"/>
          </w:tcPr>
          <w:p w14:paraId="0B33BEBB"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海域使用类型</w:t>
            </w:r>
          </w:p>
        </w:tc>
        <w:tc>
          <w:tcPr>
            <w:tcW w:w="2825" w:type="dxa"/>
            <w:gridSpan w:val="2"/>
            <w:tcMar>
              <w:top w:w="0" w:type="dxa"/>
              <w:left w:w="57" w:type="dxa"/>
              <w:bottom w:w="0" w:type="dxa"/>
              <w:right w:w="57" w:type="dxa"/>
            </w:tcMar>
            <w:vAlign w:val="center"/>
          </w:tcPr>
          <w:p w14:paraId="5B28B06C"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《国土空间调查、规划、用途管制用地用海分类指南》为特殊用海中的海洋保护修复及海岸防护工程用海。</w:t>
            </w:r>
          </w:p>
        </w:tc>
        <w:tc>
          <w:tcPr>
            <w:tcW w:w="1410" w:type="dxa"/>
            <w:tcMar>
              <w:top w:w="0" w:type="dxa"/>
              <w:left w:w="57" w:type="dxa"/>
              <w:bottom w:w="0" w:type="dxa"/>
              <w:right w:w="57" w:type="dxa"/>
            </w:tcMar>
            <w:vAlign w:val="center"/>
          </w:tcPr>
          <w:p w14:paraId="43050AAF"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新增岸线</w:t>
            </w:r>
          </w:p>
        </w:tc>
        <w:tc>
          <w:tcPr>
            <w:tcW w:w="1411" w:type="dxa"/>
            <w:tcMar>
              <w:top w:w="0" w:type="dxa"/>
              <w:left w:w="57" w:type="dxa"/>
              <w:bottom w:w="0" w:type="dxa"/>
              <w:right w:w="57" w:type="dxa"/>
            </w:tcMar>
            <w:vAlign w:val="center"/>
          </w:tcPr>
          <w:p w14:paraId="3377A12F"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0 m</w:t>
            </w:r>
          </w:p>
        </w:tc>
      </w:tr>
      <w:tr w:rsidR="0075791A" w14:paraId="5E1935E4" w14:textId="77777777">
        <w:trPr>
          <w:trHeight w:val="567"/>
        </w:trPr>
        <w:tc>
          <w:tcPr>
            <w:tcW w:w="1410" w:type="dxa"/>
            <w:vMerge/>
            <w:vAlign w:val="center"/>
          </w:tcPr>
          <w:p w14:paraId="3D93909F" w14:textId="77777777" w:rsidR="0075791A" w:rsidRDefault="0075791A">
            <w:pPr>
              <w:rPr>
                <w:rFonts w:ascii="Times New Roman" w:eastAsia="宋体" w:hAnsi="Times New Roman"/>
                <w:color w:val="auto"/>
                <w:sz w:val="24"/>
              </w:rPr>
            </w:pPr>
          </w:p>
        </w:tc>
        <w:tc>
          <w:tcPr>
            <w:tcW w:w="2818" w:type="dxa"/>
            <w:gridSpan w:val="2"/>
            <w:tcMar>
              <w:top w:w="0" w:type="dxa"/>
              <w:left w:w="57" w:type="dxa"/>
              <w:bottom w:w="0" w:type="dxa"/>
              <w:right w:w="57" w:type="dxa"/>
            </w:tcMar>
            <w:vAlign w:val="center"/>
          </w:tcPr>
          <w:p w14:paraId="611FFFEC"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用海方式</w:t>
            </w:r>
          </w:p>
        </w:tc>
        <w:tc>
          <w:tcPr>
            <w:tcW w:w="1416" w:type="dxa"/>
            <w:tcMar>
              <w:top w:w="0" w:type="dxa"/>
              <w:left w:w="57" w:type="dxa"/>
              <w:bottom w:w="0" w:type="dxa"/>
              <w:right w:w="57" w:type="dxa"/>
            </w:tcMar>
            <w:vAlign w:val="center"/>
          </w:tcPr>
          <w:p w14:paraId="23A9EA9C"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面积</w:t>
            </w:r>
          </w:p>
        </w:tc>
        <w:tc>
          <w:tcPr>
            <w:tcW w:w="2821" w:type="dxa"/>
            <w:gridSpan w:val="2"/>
            <w:tcMar>
              <w:top w:w="0" w:type="dxa"/>
              <w:left w:w="57" w:type="dxa"/>
              <w:bottom w:w="0" w:type="dxa"/>
              <w:right w:w="57" w:type="dxa"/>
            </w:tcMar>
            <w:vAlign w:val="center"/>
          </w:tcPr>
          <w:p w14:paraId="489A2F66"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具体用途</w:t>
            </w:r>
          </w:p>
        </w:tc>
      </w:tr>
      <w:tr w:rsidR="0075791A" w14:paraId="44ED1D01" w14:textId="77777777">
        <w:trPr>
          <w:trHeight w:val="454"/>
        </w:trPr>
        <w:tc>
          <w:tcPr>
            <w:tcW w:w="1410" w:type="dxa"/>
            <w:vMerge/>
            <w:vAlign w:val="center"/>
          </w:tcPr>
          <w:p w14:paraId="083563DE" w14:textId="77777777" w:rsidR="0075791A" w:rsidRDefault="0075791A">
            <w:pPr>
              <w:rPr>
                <w:rFonts w:ascii="Times New Roman" w:eastAsia="宋体" w:hAnsi="Times New Roman"/>
                <w:color w:val="auto"/>
                <w:sz w:val="24"/>
              </w:rPr>
            </w:pPr>
          </w:p>
        </w:tc>
        <w:tc>
          <w:tcPr>
            <w:tcW w:w="2818" w:type="dxa"/>
            <w:gridSpan w:val="2"/>
            <w:tcMar>
              <w:top w:w="0" w:type="dxa"/>
              <w:left w:w="57" w:type="dxa"/>
              <w:bottom w:w="0" w:type="dxa"/>
              <w:right w:w="57" w:type="dxa"/>
            </w:tcMar>
            <w:vAlign w:val="center"/>
          </w:tcPr>
          <w:p w14:paraId="0344EEAE"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透水构筑物</w:t>
            </w:r>
          </w:p>
        </w:tc>
        <w:tc>
          <w:tcPr>
            <w:tcW w:w="1416" w:type="dxa"/>
            <w:tcMar>
              <w:top w:w="0" w:type="dxa"/>
              <w:left w:w="57" w:type="dxa"/>
              <w:bottom w:w="0" w:type="dxa"/>
              <w:right w:w="57" w:type="dxa"/>
            </w:tcMar>
            <w:vAlign w:val="center"/>
          </w:tcPr>
          <w:p w14:paraId="06853114"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0.1407ha</w:t>
            </w:r>
          </w:p>
        </w:tc>
        <w:tc>
          <w:tcPr>
            <w:tcW w:w="2821" w:type="dxa"/>
            <w:gridSpan w:val="2"/>
            <w:tcMar>
              <w:top w:w="0" w:type="dxa"/>
              <w:left w:w="57" w:type="dxa"/>
              <w:bottom w:w="0" w:type="dxa"/>
              <w:right w:w="57" w:type="dxa"/>
            </w:tcMar>
            <w:vAlign w:val="center"/>
          </w:tcPr>
          <w:p w14:paraId="3EB871A8"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巡护栈道新增</w:t>
            </w:r>
          </w:p>
        </w:tc>
      </w:tr>
      <w:tr w:rsidR="0075791A" w14:paraId="1D33E7EA" w14:textId="77777777">
        <w:trPr>
          <w:trHeight w:val="454"/>
        </w:trPr>
        <w:tc>
          <w:tcPr>
            <w:tcW w:w="1410" w:type="dxa"/>
            <w:vMerge/>
            <w:vAlign w:val="center"/>
          </w:tcPr>
          <w:p w14:paraId="577E77E5" w14:textId="77777777" w:rsidR="0075791A" w:rsidRDefault="0075791A">
            <w:pPr>
              <w:rPr>
                <w:rFonts w:ascii="Times New Roman" w:eastAsia="宋体" w:hAnsi="Times New Roman"/>
                <w:color w:val="auto"/>
                <w:sz w:val="24"/>
              </w:rPr>
            </w:pPr>
          </w:p>
        </w:tc>
        <w:tc>
          <w:tcPr>
            <w:tcW w:w="2818" w:type="dxa"/>
            <w:gridSpan w:val="2"/>
            <w:tcMar>
              <w:top w:w="0" w:type="dxa"/>
              <w:left w:w="57" w:type="dxa"/>
              <w:bottom w:w="0" w:type="dxa"/>
              <w:right w:w="57" w:type="dxa"/>
            </w:tcMar>
            <w:vAlign w:val="center"/>
          </w:tcPr>
          <w:p w14:paraId="29CA5F70"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透水构筑物</w:t>
            </w:r>
          </w:p>
        </w:tc>
        <w:tc>
          <w:tcPr>
            <w:tcW w:w="1416" w:type="dxa"/>
            <w:tcMar>
              <w:top w:w="0" w:type="dxa"/>
              <w:left w:w="57" w:type="dxa"/>
              <w:bottom w:w="0" w:type="dxa"/>
              <w:right w:w="57" w:type="dxa"/>
            </w:tcMar>
            <w:vAlign w:val="center"/>
          </w:tcPr>
          <w:p w14:paraId="53BC1DF5"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0.1631ha</w:t>
            </w:r>
          </w:p>
        </w:tc>
        <w:tc>
          <w:tcPr>
            <w:tcW w:w="2821" w:type="dxa"/>
            <w:gridSpan w:val="2"/>
            <w:tcMar>
              <w:top w:w="0" w:type="dxa"/>
              <w:left w:w="57" w:type="dxa"/>
              <w:bottom w:w="0" w:type="dxa"/>
              <w:right w:w="57" w:type="dxa"/>
            </w:tcMar>
            <w:vAlign w:val="center"/>
          </w:tcPr>
          <w:p w14:paraId="72D62AC6"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巡护便道新增</w:t>
            </w:r>
          </w:p>
        </w:tc>
      </w:tr>
      <w:tr w:rsidR="0075791A" w14:paraId="69D18507" w14:textId="77777777">
        <w:trPr>
          <w:trHeight w:val="454"/>
        </w:trPr>
        <w:tc>
          <w:tcPr>
            <w:tcW w:w="1410" w:type="dxa"/>
            <w:vMerge/>
            <w:vAlign w:val="center"/>
          </w:tcPr>
          <w:p w14:paraId="6B54CAC1" w14:textId="77777777" w:rsidR="0075791A" w:rsidRDefault="0075791A">
            <w:pPr>
              <w:rPr>
                <w:rFonts w:ascii="Times New Roman" w:eastAsia="宋体" w:hAnsi="Times New Roman"/>
                <w:color w:val="auto"/>
                <w:sz w:val="24"/>
              </w:rPr>
            </w:pPr>
          </w:p>
        </w:tc>
        <w:tc>
          <w:tcPr>
            <w:tcW w:w="2818" w:type="dxa"/>
            <w:gridSpan w:val="2"/>
            <w:tcMar>
              <w:top w:w="0" w:type="dxa"/>
              <w:left w:w="57" w:type="dxa"/>
              <w:bottom w:w="0" w:type="dxa"/>
              <w:right w:w="57" w:type="dxa"/>
            </w:tcMar>
            <w:vAlign w:val="center"/>
          </w:tcPr>
          <w:p w14:paraId="2EF34AA5"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透水构筑物</w:t>
            </w:r>
          </w:p>
        </w:tc>
        <w:tc>
          <w:tcPr>
            <w:tcW w:w="1416" w:type="dxa"/>
            <w:tcMar>
              <w:top w:w="0" w:type="dxa"/>
              <w:left w:w="57" w:type="dxa"/>
              <w:bottom w:w="0" w:type="dxa"/>
              <w:right w:w="57" w:type="dxa"/>
            </w:tcMar>
            <w:vAlign w:val="center"/>
          </w:tcPr>
          <w:p w14:paraId="46837196"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0.0457ha</w:t>
            </w:r>
          </w:p>
        </w:tc>
        <w:tc>
          <w:tcPr>
            <w:tcW w:w="2821" w:type="dxa"/>
            <w:gridSpan w:val="2"/>
            <w:tcMar>
              <w:top w:w="0" w:type="dxa"/>
              <w:left w:w="57" w:type="dxa"/>
              <w:bottom w:w="0" w:type="dxa"/>
              <w:right w:w="57" w:type="dxa"/>
            </w:tcMar>
            <w:vAlign w:val="center"/>
          </w:tcPr>
          <w:p w14:paraId="3BA95292"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巡护码头新增</w:t>
            </w:r>
          </w:p>
        </w:tc>
      </w:tr>
      <w:tr w:rsidR="0075791A" w14:paraId="34A97ADC" w14:textId="77777777">
        <w:trPr>
          <w:trHeight w:val="454"/>
        </w:trPr>
        <w:tc>
          <w:tcPr>
            <w:tcW w:w="1410" w:type="dxa"/>
            <w:vMerge/>
            <w:vAlign w:val="center"/>
          </w:tcPr>
          <w:p w14:paraId="25E93D27" w14:textId="77777777" w:rsidR="0075791A" w:rsidRDefault="0075791A">
            <w:pPr>
              <w:rPr>
                <w:rFonts w:ascii="Times New Roman" w:eastAsia="宋体" w:hAnsi="Times New Roman"/>
                <w:color w:val="auto"/>
                <w:sz w:val="24"/>
              </w:rPr>
            </w:pPr>
          </w:p>
        </w:tc>
        <w:tc>
          <w:tcPr>
            <w:tcW w:w="2818" w:type="dxa"/>
            <w:gridSpan w:val="2"/>
            <w:tcMar>
              <w:top w:w="0" w:type="dxa"/>
              <w:left w:w="57" w:type="dxa"/>
              <w:bottom w:w="0" w:type="dxa"/>
              <w:right w:w="57" w:type="dxa"/>
            </w:tcMar>
            <w:vAlign w:val="center"/>
          </w:tcPr>
          <w:p w14:paraId="7FDBD250"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透水构筑物</w:t>
            </w:r>
          </w:p>
        </w:tc>
        <w:tc>
          <w:tcPr>
            <w:tcW w:w="1416" w:type="dxa"/>
            <w:tcMar>
              <w:top w:w="0" w:type="dxa"/>
              <w:left w:w="57" w:type="dxa"/>
              <w:bottom w:w="0" w:type="dxa"/>
              <w:right w:w="57" w:type="dxa"/>
            </w:tcMar>
            <w:vAlign w:val="center"/>
          </w:tcPr>
          <w:p w14:paraId="2F203C67"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0.0176ha</w:t>
            </w:r>
          </w:p>
        </w:tc>
        <w:tc>
          <w:tcPr>
            <w:tcW w:w="2821" w:type="dxa"/>
            <w:gridSpan w:val="2"/>
            <w:tcMar>
              <w:top w:w="0" w:type="dxa"/>
              <w:left w:w="57" w:type="dxa"/>
              <w:bottom w:w="0" w:type="dxa"/>
              <w:right w:w="57" w:type="dxa"/>
            </w:tcMar>
            <w:vAlign w:val="center"/>
          </w:tcPr>
          <w:p w14:paraId="02BA0048"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保护管理站新增</w:t>
            </w:r>
          </w:p>
        </w:tc>
      </w:tr>
      <w:tr w:rsidR="0075791A" w14:paraId="1A60BEC5" w14:textId="77777777">
        <w:trPr>
          <w:trHeight w:val="454"/>
        </w:trPr>
        <w:tc>
          <w:tcPr>
            <w:tcW w:w="1410" w:type="dxa"/>
            <w:vMerge/>
            <w:vAlign w:val="center"/>
          </w:tcPr>
          <w:p w14:paraId="64DB264F" w14:textId="77777777" w:rsidR="0075791A" w:rsidRDefault="0075791A">
            <w:pPr>
              <w:rPr>
                <w:rFonts w:ascii="Times New Roman" w:eastAsia="宋体" w:hAnsi="Times New Roman"/>
                <w:color w:val="auto"/>
                <w:sz w:val="24"/>
              </w:rPr>
            </w:pPr>
          </w:p>
        </w:tc>
        <w:tc>
          <w:tcPr>
            <w:tcW w:w="2818" w:type="dxa"/>
            <w:gridSpan w:val="2"/>
            <w:tcMar>
              <w:top w:w="0" w:type="dxa"/>
              <w:left w:w="57" w:type="dxa"/>
              <w:bottom w:w="0" w:type="dxa"/>
              <w:right w:w="57" w:type="dxa"/>
            </w:tcMar>
            <w:vAlign w:val="center"/>
          </w:tcPr>
          <w:p w14:paraId="4659941E"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透水构筑物</w:t>
            </w:r>
          </w:p>
        </w:tc>
        <w:tc>
          <w:tcPr>
            <w:tcW w:w="1416" w:type="dxa"/>
            <w:tcMar>
              <w:top w:w="0" w:type="dxa"/>
              <w:left w:w="57" w:type="dxa"/>
              <w:bottom w:w="0" w:type="dxa"/>
              <w:right w:w="57" w:type="dxa"/>
            </w:tcMar>
            <w:vAlign w:val="center"/>
          </w:tcPr>
          <w:p w14:paraId="7594208E"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0.0069ha</w:t>
            </w:r>
          </w:p>
        </w:tc>
        <w:tc>
          <w:tcPr>
            <w:tcW w:w="2821" w:type="dxa"/>
            <w:gridSpan w:val="2"/>
            <w:tcMar>
              <w:top w:w="0" w:type="dxa"/>
              <w:left w:w="57" w:type="dxa"/>
              <w:bottom w:w="0" w:type="dxa"/>
              <w:right w:w="57" w:type="dxa"/>
            </w:tcMar>
            <w:vAlign w:val="center"/>
          </w:tcPr>
          <w:p w14:paraId="4EB1E9BC"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保护管理点新增</w:t>
            </w:r>
          </w:p>
        </w:tc>
      </w:tr>
      <w:tr w:rsidR="0075791A" w14:paraId="13FA91F9" w14:textId="77777777">
        <w:trPr>
          <w:trHeight w:val="454"/>
        </w:trPr>
        <w:tc>
          <w:tcPr>
            <w:tcW w:w="1410" w:type="dxa"/>
            <w:vMerge/>
            <w:vAlign w:val="center"/>
          </w:tcPr>
          <w:p w14:paraId="0C834D82" w14:textId="77777777" w:rsidR="0075791A" w:rsidRDefault="0075791A">
            <w:pPr>
              <w:rPr>
                <w:rFonts w:ascii="Times New Roman" w:eastAsia="宋体" w:hAnsi="Times New Roman"/>
                <w:color w:val="auto"/>
                <w:sz w:val="24"/>
              </w:rPr>
            </w:pPr>
          </w:p>
        </w:tc>
        <w:tc>
          <w:tcPr>
            <w:tcW w:w="2818" w:type="dxa"/>
            <w:gridSpan w:val="2"/>
            <w:tcMar>
              <w:top w:w="0" w:type="dxa"/>
              <w:left w:w="57" w:type="dxa"/>
              <w:bottom w:w="0" w:type="dxa"/>
              <w:right w:w="57" w:type="dxa"/>
            </w:tcMar>
            <w:vAlign w:val="center"/>
          </w:tcPr>
          <w:p w14:paraId="244121B6"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透水构筑物</w:t>
            </w:r>
          </w:p>
        </w:tc>
        <w:tc>
          <w:tcPr>
            <w:tcW w:w="1416" w:type="dxa"/>
            <w:tcMar>
              <w:top w:w="0" w:type="dxa"/>
              <w:left w:w="57" w:type="dxa"/>
              <w:bottom w:w="0" w:type="dxa"/>
              <w:right w:w="57" w:type="dxa"/>
            </w:tcMar>
            <w:vAlign w:val="center"/>
          </w:tcPr>
          <w:p w14:paraId="71B70068"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0.0053ha</w:t>
            </w:r>
          </w:p>
        </w:tc>
        <w:tc>
          <w:tcPr>
            <w:tcW w:w="2821" w:type="dxa"/>
            <w:gridSpan w:val="2"/>
            <w:tcMar>
              <w:top w:w="0" w:type="dxa"/>
              <w:left w:w="57" w:type="dxa"/>
              <w:bottom w:w="0" w:type="dxa"/>
              <w:right w:w="57" w:type="dxa"/>
            </w:tcMar>
            <w:vAlign w:val="center"/>
          </w:tcPr>
          <w:p w14:paraId="149785F4"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消防平台新增</w:t>
            </w:r>
          </w:p>
        </w:tc>
      </w:tr>
      <w:tr w:rsidR="0075791A" w14:paraId="79770FB4" w14:textId="77777777">
        <w:trPr>
          <w:trHeight w:val="454"/>
        </w:trPr>
        <w:tc>
          <w:tcPr>
            <w:tcW w:w="1410" w:type="dxa"/>
            <w:vMerge/>
            <w:vAlign w:val="center"/>
          </w:tcPr>
          <w:p w14:paraId="0EBEB701" w14:textId="77777777" w:rsidR="0075791A" w:rsidRDefault="0075791A">
            <w:pPr>
              <w:rPr>
                <w:rFonts w:ascii="Times New Roman" w:eastAsia="宋体" w:hAnsi="Times New Roman"/>
                <w:color w:val="auto"/>
                <w:sz w:val="24"/>
              </w:rPr>
            </w:pPr>
          </w:p>
        </w:tc>
        <w:tc>
          <w:tcPr>
            <w:tcW w:w="2818" w:type="dxa"/>
            <w:gridSpan w:val="2"/>
            <w:tcMar>
              <w:top w:w="0" w:type="dxa"/>
              <w:left w:w="57" w:type="dxa"/>
              <w:bottom w:w="0" w:type="dxa"/>
              <w:right w:w="57" w:type="dxa"/>
            </w:tcMar>
            <w:vAlign w:val="center"/>
          </w:tcPr>
          <w:p w14:paraId="457F6805"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专用航道、锚地及其他开放式</w:t>
            </w:r>
          </w:p>
        </w:tc>
        <w:tc>
          <w:tcPr>
            <w:tcW w:w="1416" w:type="dxa"/>
            <w:tcMar>
              <w:top w:w="0" w:type="dxa"/>
              <w:left w:w="57" w:type="dxa"/>
              <w:bottom w:w="0" w:type="dxa"/>
              <w:right w:w="57" w:type="dxa"/>
            </w:tcMar>
            <w:vAlign w:val="center"/>
          </w:tcPr>
          <w:p w14:paraId="43C66CAC"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14.8672ha</w:t>
            </w:r>
          </w:p>
        </w:tc>
        <w:tc>
          <w:tcPr>
            <w:tcW w:w="2821" w:type="dxa"/>
            <w:gridSpan w:val="2"/>
            <w:tcMar>
              <w:top w:w="0" w:type="dxa"/>
              <w:left w:w="57" w:type="dxa"/>
              <w:bottom w:w="0" w:type="dxa"/>
              <w:right w:w="57" w:type="dxa"/>
            </w:tcMar>
            <w:vAlign w:val="center"/>
          </w:tcPr>
          <w:p w14:paraId="2E43C8B2" w14:textId="77777777" w:rsidR="0075791A" w:rsidRDefault="00FB2864">
            <w:pPr>
              <w:jc w:val="center"/>
              <w:rPr>
                <w:rFonts w:ascii="Times New Roman" w:eastAsia="宋体" w:hAnsi="Times New Roman"/>
                <w:color w:val="auto"/>
                <w:sz w:val="24"/>
                <w:lang w:eastAsia="zh-CN"/>
              </w:rPr>
            </w:pPr>
            <w:r>
              <w:rPr>
                <w:rFonts w:ascii="Times New Roman" w:eastAsia="宋体" w:hAnsi="Times New Roman" w:hint="eastAsia"/>
                <w:color w:val="auto"/>
                <w:sz w:val="24"/>
                <w:lang w:eastAsia="zh-CN"/>
              </w:rPr>
              <w:t>清淤疏浚</w:t>
            </w:r>
          </w:p>
        </w:tc>
      </w:tr>
    </w:tbl>
    <w:p w14:paraId="67A271B0" w14:textId="77777777" w:rsidR="0075791A" w:rsidRDefault="0075791A">
      <w:pPr>
        <w:spacing w:beforeLines="50" w:before="120"/>
        <w:jc w:val="both"/>
        <w:rPr>
          <w:rFonts w:ascii="Times New Roman" w:eastAsia="宋体" w:hAnsi="Times New Roman" w:cs="Calibri"/>
          <w:b/>
          <w:bCs/>
          <w:color w:val="auto"/>
          <w:sz w:val="36"/>
          <w:szCs w:val="36"/>
          <w:lang w:eastAsia="zh-CN"/>
        </w:rPr>
        <w:sectPr w:rsidR="0075791A">
          <w:headerReference w:type="default" r:id="rId9"/>
          <w:footerReference w:type="default" r:id="rId10"/>
          <w:pgSz w:w="11906" w:h="16839"/>
          <w:pgMar w:top="1440" w:right="1803" w:bottom="1440" w:left="1803" w:header="746" w:footer="972" w:gutter="0"/>
          <w:pgNumType w:start="1"/>
          <w:cols w:space="720"/>
        </w:sectPr>
      </w:pPr>
    </w:p>
    <w:p w14:paraId="5DF04C2B" w14:textId="77777777" w:rsidR="0075791A" w:rsidRDefault="00FB2864">
      <w:pPr>
        <w:spacing w:beforeLines="50" w:before="120" w:line="360" w:lineRule="auto"/>
        <w:jc w:val="center"/>
        <w:rPr>
          <w:rFonts w:ascii="Times New Roman" w:eastAsia="宋体" w:hAnsi="Times New Roman" w:cs="Calibri"/>
          <w:b/>
          <w:bCs/>
          <w:color w:val="auto"/>
          <w:sz w:val="36"/>
          <w:szCs w:val="36"/>
          <w:lang w:eastAsia="zh-CN"/>
        </w:rPr>
      </w:pPr>
      <w:r>
        <w:rPr>
          <w:rFonts w:ascii="Times New Roman" w:eastAsia="宋体" w:hAnsi="Times New Roman" w:cs="Calibri" w:hint="eastAsia"/>
          <w:b/>
          <w:bCs/>
          <w:color w:val="auto"/>
          <w:sz w:val="36"/>
          <w:szCs w:val="36"/>
          <w:lang w:eastAsia="zh-CN"/>
        </w:rPr>
        <w:lastRenderedPageBreak/>
        <w:t>目录</w:t>
      </w:r>
    </w:p>
    <w:p w14:paraId="66A708A7" w14:textId="77777777" w:rsidR="0075791A" w:rsidRDefault="00FB2864">
      <w:pPr>
        <w:pStyle w:val="TOC1"/>
        <w:tabs>
          <w:tab w:val="right" w:leader="dot" w:pos="8300"/>
        </w:tabs>
        <w:rPr>
          <w:color w:val="auto"/>
        </w:rPr>
      </w:pPr>
      <w:r>
        <w:rPr>
          <w:rFonts w:ascii="Times New Roman" w:eastAsia="Calibri" w:hAnsi="Times New Roman" w:cs="Calibri"/>
          <w:color w:val="auto"/>
        </w:rPr>
        <w:fldChar w:fldCharType="begin"/>
      </w:r>
      <w:r>
        <w:rPr>
          <w:rFonts w:ascii="Times New Roman" w:eastAsia="Calibri" w:hAnsi="Times New Roman" w:cs="Calibri"/>
          <w:color w:val="auto"/>
        </w:rPr>
        <w:instrText xml:space="preserve">TOC \o "1-2" \h \u </w:instrText>
      </w:r>
      <w:r>
        <w:rPr>
          <w:rFonts w:ascii="Times New Roman" w:eastAsia="Calibri" w:hAnsi="Times New Roman" w:cs="Calibri"/>
          <w:color w:val="auto"/>
        </w:rPr>
        <w:fldChar w:fldCharType="separate"/>
      </w:r>
    </w:p>
    <w:p w14:paraId="3103D240" w14:textId="77777777" w:rsidR="0075791A" w:rsidRDefault="00FB2864">
      <w:pPr>
        <w:pStyle w:val="TOC1"/>
        <w:tabs>
          <w:tab w:val="right" w:leader="dot" w:pos="8300"/>
        </w:tabs>
        <w:spacing w:line="300" w:lineRule="auto"/>
        <w:rPr>
          <w:b/>
          <w:bCs/>
          <w:color w:val="auto"/>
        </w:rPr>
      </w:pPr>
      <w:hyperlink w:anchor="_Toc29828" w:history="1">
        <w:r>
          <w:rPr>
            <w:rFonts w:ascii="Times New Roman" w:eastAsia="宋体" w:hAnsi="Times New Roman" w:cs="Times New Roman" w:hint="eastAsia"/>
            <w:b/>
            <w:bCs/>
            <w:color w:val="auto"/>
            <w:spacing w:val="-5"/>
            <w:szCs w:val="32"/>
            <w:lang w:eastAsia="zh-CN"/>
          </w:rPr>
          <w:t>摘要</w:t>
        </w:r>
        <w:r>
          <w:rPr>
            <w:b/>
            <w:bCs/>
            <w:color w:val="auto"/>
          </w:rPr>
          <w:tab/>
        </w:r>
        <w:r>
          <w:rPr>
            <w:b/>
            <w:bCs/>
            <w:color w:val="auto"/>
          </w:rPr>
          <w:fldChar w:fldCharType="begin"/>
        </w:r>
        <w:r>
          <w:rPr>
            <w:b/>
            <w:bCs/>
            <w:color w:val="auto"/>
          </w:rPr>
          <w:instrText xml:space="preserve"> PAGEREF _Toc29828 \h </w:instrText>
        </w:r>
        <w:r>
          <w:rPr>
            <w:b/>
            <w:bCs/>
            <w:color w:val="auto"/>
          </w:rPr>
        </w:r>
        <w:r>
          <w:rPr>
            <w:b/>
            <w:bCs/>
            <w:color w:val="auto"/>
          </w:rPr>
          <w:fldChar w:fldCharType="separate"/>
        </w:r>
        <w:r>
          <w:rPr>
            <w:b/>
            <w:bCs/>
            <w:color w:val="auto"/>
          </w:rPr>
          <w:t>4</w:t>
        </w:r>
        <w:r>
          <w:rPr>
            <w:b/>
            <w:bCs/>
            <w:color w:val="auto"/>
          </w:rPr>
          <w:fldChar w:fldCharType="end"/>
        </w:r>
      </w:hyperlink>
    </w:p>
    <w:p w14:paraId="7AA5A415" w14:textId="77777777" w:rsidR="0075791A" w:rsidRDefault="00FB2864">
      <w:pPr>
        <w:pStyle w:val="TOC1"/>
        <w:tabs>
          <w:tab w:val="right" w:leader="dot" w:pos="8300"/>
        </w:tabs>
        <w:spacing w:line="300" w:lineRule="auto"/>
        <w:rPr>
          <w:b/>
          <w:bCs/>
          <w:color w:val="auto"/>
        </w:rPr>
      </w:pPr>
      <w:hyperlink w:anchor="_Toc24171" w:history="1">
        <w:r>
          <w:rPr>
            <w:rFonts w:ascii="Times New Roman" w:eastAsia="宋体" w:hAnsi="Times New Roman" w:cs="Times New Roman" w:hint="eastAsia"/>
            <w:b/>
            <w:bCs/>
            <w:color w:val="auto"/>
            <w:spacing w:val="-5"/>
            <w:szCs w:val="32"/>
            <w:lang w:eastAsia="zh-CN"/>
          </w:rPr>
          <w:t>1</w:t>
        </w:r>
        <w:r>
          <w:rPr>
            <w:rFonts w:ascii="Times New Roman" w:eastAsia="宋体" w:hAnsi="Times New Roman" w:cs="Times New Roman" w:hint="eastAsia"/>
            <w:b/>
            <w:bCs/>
            <w:color w:val="auto"/>
            <w:spacing w:val="-5"/>
            <w:szCs w:val="32"/>
            <w:lang w:eastAsia="zh-CN"/>
          </w:rPr>
          <w:t>概述</w:t>
        </w:r>
        <w:r>
          <w:rPr>
            <w:b/>
            <w:bCs/>
            <w:color w:val="auto"/>
          </w:rPr>
          <w:tab/>
        </w:r>
        <w:r>
          <w:rPr>
            <w:b/>
            <w:bCs/>
            <w:color w:val="auto"/>
          </w:rPr>
          <w:fldChar w:fldCharType="begin"/>
        </w:r>
        <w:r>
          <w:rPr>
            <w:b/>
            <w:bCs/>
            <w:color w:val="auto"/>
          </w:rPr>
          <w:instrText xml:space="preserve"> PAGEREF _Toc24171 \h </w:instrText>
        </w:r>
        <w:r>
          <w:rPr>
            <w:b/>
            <w:bCs/>
            <w:color w:val="auto"/>
          </w:rPr>
        </w:r>
        <w:r>
          <w:rPr>
            <w:b/>
            <w:bCs/>
            <w:color w:val="auto"/>
          </w:rPr>
          <w:fldChar w:fldCharType="separate"/>
        </w:r>
        <w:r>
          <w:rPr>
            <w:b/>
            <w:bCs/>
            <w:color w:val="auto"/>
          </w:rPr>
          <w:t>10</w:t>
        </w:r>
        <w:r>
          <w:rPr>
            <w:b/>
            <w:bCs/>
            <w:color w:val="auto"/>
          </w:rPr>
          <w:fldChar w:fldCharType="end"/>
        </w:r>
      </w:hyperlink>
    </w:p>
    <w:p w14:paraId="3F94BABB" w14:textId="77777777" w:rsidR="0075791A" w:rsidRDefault="00FB2864">
      <w:pPr>
        <w:pStyle w:val="TOC2"/>
        <w:tabs>
          <w:tab w:val="right" w:leader="dot" w:pos="8300"/>
        </w:tabs>
        <w:spacing w:line="300" w:lineRule="auto"/>
        <w:rPr>
          <w:color w:val="auto"/>
        </w:rPr>
      </w:pPr>
      <w:hyperlink w:anchor="_Toc13459" w:history="1">
        <w:r>
          <w:rPr>
            <w:rFonts w:ascii="Times New Roman" w:eastAsia="Times New Roman" w:hAnsi="Times New Roman" w:cs="Times New Roman"/>
            <w:bCs/>
            <w:color w:val="auto"/>
            <w:spacing w:val="-6"/>
            <w:szCs w:val="30"/>
          </w:rPr>
          <w:t>1.1</w:t>
        </w:r>
        <w:r>
          <w:rPr>
            <w:rFonts w:ascii="Times New Roman" w:eastAsia="宋体" w:hAnsi="Times New Roman" w:cs="宋体"/>
            <w:bCs/>
            <w:color w:val="auto"/>
            <w:spacing w:val="-6"/>
            <w:szCs w:val="30"/>
          </w:rPr>
          <w:t>论证工作来由</w:t>
        </w:r>
        <w:r>
          <w:rPr>
            <w:color w:val="auto"/>
          </w:rPr>
          <w:tab/>
        </w:r>
        <w:r>
          <w:rPr>
            <w:color w:val="auto"/>
          </w:rPr>
          <w:fldChar w:fldCharType="begin"/>
        </w:r>
        <w:r>
          <w:rPr>
            <w:color w:val="auto"/>
          </w:rPr>
          <w:instrText xml:space="preserve"> PAGEREF _Toc13459 \h </w:instrText>
        </w:r>
        <w:r>
          <w:rPr>
            <w:color w:val="auto"/>
          </w:rPr>
        </w:r>
        <w:r>
          <w:rPr>
            <w:color w:val="auto"/>
          </w:rPr>
          <w:fldChar w:fldCharType="separate"/>
        </w:r>
        <w:r>
          <w:rPr>
            <w:color w:val="auto"/>
          </w:rPr>
          <w:t>10</w:t>
        </w:r>
        <w:r>
          <w:rPr>
            <w:color w:val="auto"/>
          </w:rPr>
          <w:fldChar w:fldCharType="end"/>
        </w:r>
      </w:hyperlink>
    </w:p>
    <w:p w14:paraId="47CC7093" w14:textId="77777777" w:rsidR="0075791A" w:rsidRDefault="00FB2864">
      <w:pPr>
        <w:pStyle w:val="TOC2"/>
        <w:tabs>
          <w:tab w:val="right" w:leader="dot" w:pos="8300"/>
        </w:tabs>
        <w:spacing w:line="300" w:lineRule="auto"/>
        <w:rPr>
          <w:color w:val="auto"/>
        </w:rPr>
      </w:pPr>
      <w:hyperlink w:anchor="_Toc3567" w:history="1">
        <w:r>
          <w:rPr>
            <w:rFonts w:ascii="Times New Roman" w:eastAsia="Times New Roman" w:hAnsi="Times New Roman" w:cs="Times New Roman"/>
            <w:bCs/>
            <w:color w:val="auto"/>
            <w:spacing w:val="-6"/>
            <w:szCs w:val="30"/>
          </w:rPr>
          <w:t>1.2论证依据</w:t>
        </w:r>
        <w:r>
          <w:rPr>
            <w:color w:val="auto"/>
          </w:rPr>
          <w:tab/>
        </w:r>
        <w:r>
          <w:rPr>
            <w:color w:val="auto"/>
          </w:rPr>
          <w:fldChar w:fldCharType="begin"/>
        </w:r>
        <w:r>
          <w:rPr>
            <w:color w:val="auto"/>
          </w:rPr>
          <w:instrText xml:space="preserve"> PAGEREF _Toc3567 \h </w:instrText>
        </w:r>
        <w:r>
          <w:rPr>
            <w:color w:val="auto"/>
          </w:rPr>
        </w:r>
        <w:r>
          <w:rPr>
            <w:color w:val="auto"/>
          </w:rPr>
          <w:fldChar w:fldCharType="separate"/>
        </w:r>
        <w:r>
          <w:rPr>
            <w:color w:val="auto"/>
          </w:rPr>
          <w:t>15</w:t>
        </w:r>
        <w:r>
          <w:rPr>
            <w:color w:val="auto"/>
          </w:rPr>
          <w:fldChar w:fldCharType="end"/>
        </w:r>
      </w:hyperlink>
    </w:p>
    <w:p w14:paraId="09078CAD" w14:textId="77777777" w:rsidR="0075791A" w:rsidRDefault="00FB2864">
      <w:pPr>
        <w:pStyle w:val="TOC2"/>
        <w:tabs>
          <w:tab w:val="right" w:leader="dot" w:pos="8300"/>
        </w:tabs>
        <w:spacing w:line="300" w:lineRule="auto"/>
        <w:rPr>
          <w:color w:val="auto"/>
        </w:rPr>
      </w:pPr>
      <w:hyperlink w:anchor="_Toc26643" w:history="1">
        <w:r>
          <w:rPr>
            <w:rFonts w:ascii="Times New Roman" w:eastAsia="Times New Roman" w:hAnsi="Times New Roman" w:cs="Times New Roman"/>
            <w:bCs/>
            <w:color w:val="auto"/>
            <w:spacing w:val="-6"/>
            <w:szCs w:val="30"/>
          </w:rPr>
          <w:t>1.3论证等级和范围</w:t>
        </w:r>
        <w:r>
          <w:rPr>
            <w:color w:val="auto"/>
          </w:rPr>
          <w:tab/>
        </w:r>
        <w:r>
          <w:rPr>
            <w:color w:val="auto"/>
          </w:rPr>
          <w:fldChar w:fldCharType="begin"/>
        </w:r>
        <w:r>
          <w:rPr>
            <w:color w:val="auto"/>
          </w:rPr>
          <w:instrText xml:space="preserve"> PAGEREF</w:instrText>
        </w:r>
        <w:r>
          <w:rPr>
            <w:color w:val="auto"/>
          </w:rPr>
          <w:instrText xml:space="preserve"> _Toc26643 \h </w:instrText>
        </w:r>
        <w:r>
          <w:rPr>
            <w:color w:val="auto"/>
          </w:rPr>
        </w:r>
        <w:r>
          <w:rPr>
            <w:color w:val="auto"/>
          </w:rPr>
          <w:fldChar w:fldCharType="separate"/>
        </w:r>
        <w:r>
          <w:rPr>
            <w:color w:val="auto"/>
          </w:rPr>
          <w:t>22</w:t>
        </w:r>
        <w:r>
          <w:rPr>
            <w:color w:val="auto"/>
          </w:rPr>
          <w:fldChar w:fldCharType="end"/>
        </w:r>
      </w:hyperlink>
    </w:p>
    <w:p w14:paraId="01AC7117" w14:textId="77777777" w:rsidR="0075791A" w:rsidRDefault="00FB2864">
      <w:pPr>
        <w:pStyle w:val="TOC2"/>
        <w:tabs>
          <w:tab w:val="right" w:leader="dot" w:pos="8300"/>
        </w:tabs>
        <w:spacing w:line="300" w:lineRule="auto"/>
        <w:rPr>
          <w:color w:val="auto"/>
        </w:rPr>
      </w:pPr>
      <w:hyperlink w:anchor="_Toc31214" w:history="1">
        <w:r>
          <w:rPr>
            <w:rFonts w:ascii="Times New Roman" w:eastAsia="宋体" w:hAnsi="Times New Roman" w:cs="Times New Roman" w:hint="eastAsia"/>
            <w:bCs/>
            <w:color w:val="auto"/>
            <w:spacing w:val="-6"/>
            <w:szCs w:val="30"/>
            <w:lang w:eastAsia="zh-CN"/>
          </w:rPr>
          <w:t>1.4</w:t>
        </w:r>
        <w:r>
          <w:rPr>
            <w:rFonts w:ascii="Times New Roman" w:eastAsia="宋体" w:hAnsi="Times New Roman" w:cs="Times New Roman" w:hint="eastAsia"/>
            <w:bCs/>
            <w:color w:val="auto"/>
            <w:spacing w:val="-6"/>
            <w:szCs w:val="30"/>
            <w:lang w:eastAsia="zh-CN"/>
          </w:rPr>
          <w:t>论证重点</w:t>
        </w:r>
        <w:r>
          <w:rPr>
            <w:color w:val="auto"/>
          </w:rPr>
          <w:tab/>
        </w:r>
        <w:r>
          <w:rPr>
            <w:color w:val="auto"/>
          </w:rPr>
          <w:fldChar w:fldCharType="begin"/>
        </w:r>
        <w:r>
          <w:rPr>
            <w:color w:val="auto"/>
          </w:rPr>
          <w:instrText xml:space="preserve"> PAGEREF _Toc31214 \h </w:instrText>
        </w:r>
        <w:r>
          <w:rPr>
            <w:color w:val="auto"/>
          </w:rPr>
        </w:r>
        <w:r>
          <w:rPr>
            <w:color w:val="auto"/>
          </w:rPr>
          <w:fldChar w:fldCharType="separate"/>
        </w:r>
        <w:r>
          <w:rPr>
            <w:color w:val="auto"/>
          </w:rPr>
          <w:t>23</w:t>
        </w:r>
        <w:r>
          <w:rPr>
            <w:color w:val="auto"/>
          </w:rPr>
          <w:fldChar w:fldCharType="end"/>
        </w:r>
      </w:hyperlink>
    </w:p>
    <w:p w14:paraId="4F7B2139" w14:textId="77777777" w:rsidR="0075791A" w:rsidRDefault="00FB2864">
      <w:pPr>
        <w:pStyle w:val="TOC1"/>
        <w:tabs>
          <w:tab w:val="right" w:leader="dot" w:pos="8300"/>
        </w:tabs>
        <w:spacing w:line="300" w:lineRule="auto"/>
        <w:rPr>
          <w:rFonts w:ascii="Times New Roman" w:eastAsia="Calibri" w:hAnsi="Times New Roman" w:cs="Calibri"/>
          <w:b/>
          <w:bCs/>
          <w:color w:val="auto"/>
        </w:rPr>
      </w:pPr>
      <w:hyperlink w:anchor="_Toc10934" w:history="1">
        <w:r>
          <w:rPr>
            <w:rFonts w:ascii="Times New Roman" w:eastAsia="Calibri" w:hAnsi="Times New Roman" w:cs="Calibri" w:hint="eastAsia"/>
            <w:b/>
            <w:bCs/>
            <w:color w:val="auto"/>
            <w:lang w:eastAsia="zh-CN"/>
          </w:rPr>
          <w:t>2</w:t>
        </w:r>
        <w:r>
          <w:rPr>
            <w:rFonts w:ascii="Times New Roman" w:eastAsia="Calibri" w:hAnsi="Times New Roman" w:cs="Calibri" w:hint="eastAsia"/>
            <w:b/>
            <w:bCs/>
            <w:color w:val="auto"/>
            <w:lang w:eastAsia="zh-CN"/>
          </w:rPr>
          <w:t>项目用海基本情况</w:t>
        </w:r>
        <w:r>
          <w:rPr>
            <w:rFonts w:ascii="Times New Roman" w:eastAsia="Calibri" w:hAnsi="Times New Roman" w:cs="Calibri"/>
            <w:b/>
            <w:bCs/>
            <w:color w:val="auto"/>
          </w:rPr>
          <w:tab/>
        </w:r>
        <w:r>
          <w:rPr>
            <w:rFonts w:ascii="Times New Roman" w:eastAsia="Calibri" w:hAnsi="Times New Roman" w:cs="Calibri"/>
            <w:b/>
            <w:bCs/>
            <w:color w:val="auto"/>
          </w:rPr>
          <w:fldChar w:fldCharType="begin"/>
        </w:r>
        <w:r>
          <w:rPr>
            <w:rFonts w:ascii="Times New Roman" w:eastAsia="Calibri" w:hAnsi="Times New Roman" w:cs="Calibri"/>
            <w:b/>
            <w:bCs/>
            <w:color w:val="auto"/>
          </w:rPr>
          <w:instrText xml:space="preserve"> PAGEREF _Toc10934 \h </w:instrText>
        </w:r>
        <w:r>
          <w:rPr>
            <w:rFonts w:ascii="Times New Roman" w:eastAsia="Calibri" w:hAnsi="Times New Roman" w:cs="Calibri"/>
            <w:b/>
            <w:bCs/>
            <w:color w:val="auto"/>
          </w:rPr>
        </w:r>
        <w:r>
          <w:rPr>
            <w:rFonts w:ascii="Times New Roman" w:eastAsia="Calibri" w:hAnsi="Times New Roman" w:cs="Calibri"/>
            <w:b/>
            <w:bCs/>
            <w:color w:val="auto"/>
          </w:rPr>
          <w:fldChar w:fldCharType="separate"/>
        </w:r>
        <w:r>
          <w:rPr>
            <w:rFonts w:ascii="Times New Roman" w:eastAsia="Calibri" w:hAnsi="Times New Roman" w:cs="Calibri"/>
            <w:b/>
            <w:bCs/>
            <w:color w:val="auto"/>
          </w:rPr>
          <w:t>25</w:t>
        </w:r>
        <w:r>
          <w:rPr>
            <w:rFonts w:ascii="Times New Roman" w:eastAsia="Calibri" w:hAnsi="Times New Roman" w:cs="Calibri"/>
            <w:b/>
            <w:bCs/>
            <w:color w:val="auto"/>
          </w:rPr>
          <w:fldChar w:fldCharType="end"/>
        </w:r>
      </w:hyperlink>
    </w:p>
    <w:p w14:paraId="41B66572" w14:textId="77777777" w:rsidR="0075791A" w:rsidRDefault="00FB2864">
      <w:pPr>
        <w:pStyle w:val="TOC2"/>
        <w:tabs>
          <w:tab w:val="right" w:leader="dot" w:pos="8300"/>
        </w:tabs>
        <w:spacing w:line="300" w:lineRule="auto"/>
        <w:rPr>
          <w:color w:val="auto"/>
        </w:rPr>
      </w:pPr>
      <w:hyperlink w:anchor="_Toc20422" w:history="1">
        <w:r>
          <w:rPr>
            <w:rFonts w:ascii="Times New Roman" w:eastAsia="宋体" w:hAnsi="Times New Roman" w:cs="Times New Roman" w:hint="eastAsia"/>
            <w:bCs/>
            <w:color w:val="auto"/>
            <w:spacing w:val="-6"/>
            <w:szCs w:val="30"/>
            <w:lang w:eastAsia="zh-CN"/>
          </w:rPr>
          <w:t>2.1</w:t>
        </w:r>
        <w:r>
          <w:rPr>
            <w:rFonts w:ascii="Times New Roman" w:eastAsia="宋体" w:hAnsi="Times New Roman" w:cs="Times New Roman" w:hint="eastAsia"/>
            <w:bCs/>
            <w:color w:val="auto"/>
            <w:spacing w:val="-6"/>
            <w:szCs w:val="30"/>
            <w:lang w:eastAsia="zh-CN"/>
          </w:rPr>
          <w:t>项目用海建设内容</w:t>
        </w:r>
        <w:r>
          <w:rPr>
            <w:color w:val="auto"/>
          </w:rPr>
          <w:tab/>
        </w:r>
        <w:r>
          <w:rPr>
            <w:color w:val="auto"/>
          </w:rPr>
          <w:fldChar w:fldCharType="begin"/>
        </w:r>
        <w:r>
          <w:rPr>
            <w:color w:val="auto"/>
          </w:rPr>
          <w:instrText xml:space="preserve"> PAGEREF _Toc20422 \h </w:instrText>
        </w:r>
        <w:r>
          <w:rPr>
            <w:color w:val="auto"/>
          </w:rPr>
        </w:r>
        <w:r>
          <w:rPr>
            <w:color w:val="auto"/>
          </w:rPr>
          <w:fldChar w:fldCharType="separate"/>
        </w:r>
        <w:r>
          <w:rPr>
            <w:color w:val="auto"/>
          </w:rPr>
          <w:t>25</w:t>
        </w:r>
        <w:r>
          <w:rPr>
            <w:color w:val="auto"/>
          </w:rPr>
          <w:fldChar w:fldCharType="end"/>
        </w:r>
      </w:hyperlink>
    </w:p>
    <w:p w14:paraId="0D5E99D0" w14:textId="77777777" w:rsidR="0075791A" w:rsidRDefault="00FB2864">
      <w:pPr>
        <w:pStyle w:val="TOC2"/>
        <w:tabs>
          <w:tab w:val="right" w:leader="dot" w:pos="8300"/>
        </w:tabs>
        <w:spacing w:line="300" w:lineRule="auto"/>
        <w:rPr>
          <w:color w:val="auto"/>
        </w:rPr>
      </w:pPr>
      <w:hyperlink w:anchor="_Toc15116" w:history="1">
        <w:r>
          <w:rPr>
            <w:rFonts w:ascii="Times New Roman" w:eastAsia="宋体" w:hAnsi="Times New Roman" w:cs="Times New Roman" w:hint="eastAsia"/>
            <w:bCs/>
            <w:color w:val="auto"/>
            <w:spacing w:val="-6"/>
            <w:szCs w:val="30"/>
            <w:lang w:eastAsia="zh-CN"/>
          </w:rPr>
          <w:t>2.2</w:t>
        </w:r>
        <w:r>
          <w:rPr>
            <w:rFonts w:ascii="Times New Roman" w:eastAsia="Times New Roman" w:hAnsi="Times New Roman" w:cs="Times New Roman"/>
            <w:bCs/>
            <w:color w:val="auto"/>
            <w:spacing w:val="-6"/>
            <w:szCs w:val="30"/>
          </w:rPr>
          <w:t>平面布置和主要结构、尺度</w:t>
        </w:r>
        <w:r>
          <w:rPr>
            <w:color w:val="auto"/>
          </w:rPr>
          <w:tab/>
        </w:r>
        <w:r>
          <w:rPr>
            <w:color w:val="auto"/>
          </w:rPr>
          <w:fldChar w:fldCharType="begin"/>
        </w:r>
        <w:r>
          <w:rPr>
            <w:color w:val="auto"/>
          </w:rPr>
          <w:instrText xml:space="preserve"> PAGEREF _Toc15116 \h </w:instrText>
        </w:r>
        <w:r>
          <w:rPr>
            <w:color w:val="auto"/>
          </w:rPr>
        </w:r>
        <w:r>
          <w:rPr>
            <w:color w:val="auto"/>
          </w:rPr>
          <w:fldChar w:fldCharType="separate"/>
        </w:r>
        <w:r>
          <w:rPr>
            <w:color w:val="auto"/>
          </w:rPr>
          <w:t>26</w:t>
        </w:r>
        <w:r>
          <w:rPr>
            <w:color w:val="auto"/>
          </w:rPr>
          <w:fldChar w:fldCharType="end"/>
        </w:r>
      </w:hyperlink>
    </w:p>
    <w:p w14:paraId="013F7A69" w14:textId="77777777" w:rsidR="0075791A" w:rsidRDefault="00FB2864">
      <w:pPr>
        <w:pStyle w:val="TOC2"/>
        <w:tabs>
          <w:tab w:val="right" w:leader="dot" w:pos="8300"/>
        </w:tabs>
        <w:spacing w:line="300" w:lineRule="auto"/>
        <w:rPr>
          <w:color w:val="auto"/>
        </w:rPr>
      </w:pPr>
      <w:hyperlink w:anchor="_Toc10183" w:history="1">
        <w:r>
          <w:rPr>
            <w:rFonts w:ascii="Times New Roman" w:eastAsia="宋体" w:hAnsi="Times New Roman" w:cs="Times New Roman" w:hint="eastAsia"/>
            <w:bCs/>
            <w:color w:val="auto"/>
            <w:spacing w:val="-6"/>
            <w:szCs w:val="30"/>
            <w:lang w:eastAsia="zh-CN"/>
          </w:rPr>
          <w:t>2.3</w:t>
        </w:r>
        <w:r>
          <w:rPr>
            <w:rFonts w:ascii="Times New Roman" w:eastAsia="Times New Roman" w:hAnsi="Times New Roman" w:cs="Times New Roman"/>
            <w:bCs/>
            <w:color w:val="auto"/>
            <w:spacing w:val="-6"/>
            <w:szCs w:val="30"/>
          </w:rPr>
          <w:t>项目主要施工工艺和方法</w:t>
        </w:r>
        <w:r>
          <w:rPr>
            <w:color w:val="auto"/>
          </w:rPr>
          <w:tab/>
        </w:r>
        <w:r>
          <w:rPr>
            <w:color w:val="auto"/>
          </w:rPr>
          <w:fldChar w:fldCharType="begin"/>
        </w:r>
        <w:r>
          <w:rPr>
            <w:color w:val="auto"/>
          </w:rPr>
          <w:instrText xml:space="preserve"> PAGEREF _Toc10183 \h </w:instrText>
        </w:r>
        <w:r>
          <w:rPr>
            <w:color w:val="auto"/>
          </w:rPr>
        </w:r>
        <w:r>
          <w:rPr>
            <w:color w:val="auto"/>
          </w:rPr>
          <w:fldChar w:fldCharType="separate"/>
        </w:r>
        <w:r>
          <w:rPr>
            <w:color w:val="auto"/>
          </w:rPr>
          <w:t>31</w:t>
        </w:r>
        <w:r>
          <w:rPr>
            <w:color w:val="auto"/>
          </w:rPr>
          <w:fldChar w:fldCharType="end"/>
        </w:r>
      </w:hyperlink>
    </w:p>
    <w:p w14:paraId="7B47CA4F" w14:textId="77777777" w:rsidR="0075791A" w:rsidRDefault="00FB2864">
      <w:pPr>
        <w:pStyle w:val="TOC2"/>
        <w:tabs>
          <w:tab w:val="right" w:leader="dot" w:pos="8300"/>
        </w:tabs>
        <w:spacing w:line="300" w:lineRule="auto"/>
        <w:rPr>
          <w:color w:val="auto"/>
        </w:rPr>
      </w:pPr>
      <w:hyperlink w:anchor="_Toc23587" w:history="1">
        <w:r>
          <w:rPr>
            <w:rFonts w:ascii="Times New Roman" w:eastAsia="宋体" w:hAnsi="Times New Roman" w:cs="Times New Roman" w:hint="eastAsia"/>
            <w:bCs/>
            <w:color w:val="auto"/>
            <w:spacing w:val="-6"/>
            <w:szCs w:val="30"/>
            <w:lang w:eastAsia="zh-CN"/>
          </w:rPr>
          <w:t>2.4</w:t>
        </w:r>
        <w:r>
          <w:rPr>
            <w:rFonts w:ascii="Times New Roman" w:eastAsia="Times New Roman" w:hAnsi="Times New Roman" w:cs="Times New Roman"/>
            <w:bCs/>
            <w:color w:val="auto"/>
            <w:spacing w:val="-6"/>
            <w:szCs w:val="30"/>
          </w:rPr>
          <w:t>项目用海需求</w:t>
        </w:r>
        <w:r>
          <w:rPr>
            <w:color w:val="auto"/>
          </w:rPr>
          <w:tab/>
        </w:r>
        <w:r>
          <w:rPr>
            <w:color w:val="auto"/>
          </w:rPr>
          <w:fldChar w:fldCharType="begin"/>
        </w:r>
        <w:r>
          <w:rPr>
            <w:color w:val="auto"/>
          </w:rPr>
          <w:instrText xml:space="preserve"> PAGEREF _Toc23587 \h </w:instrText>
        </w:r>
        <w:r>
          <w:rPr>
            <w:color w:val="auto"/>
          </w:rPr>
        </w:r>
        <w:r>
          <w:rPr>
            <w:color w:val="auto"/>
          </w:rPr>
          <w:fldChar w:fldCharType="separate"/>
        </w:r>
        <w:r>
          <w:rPr>
            <w:color w:val="auto"/>
          </w:rPr>
          <w:t>38</w:t>
        </w:r>
        <w:r>
          <w:rPr>
            <w:color w:val="auto"/>
          </w:rPr>
          <w:fldChar w:fldCharType="end"/>
        </w:r>
      </w:hyperlink>
    </w:p>
    <w:p w14:paraId="0C293370" w14:textId="77777777" w:rsidR="0075791A" w:rsidRDefault="00FB2864">
      <w:pPr>
        <w:pStyle w:val="TOC2"/>
        <w:tabs>
          <w:tab w:val="right" w:leader="dot" w:pos="8300"/>
        </w:tabs>
        <w:spacing w:line="300" w:lineRule="auto"/>
        <w:rPr>
          <w:color w:val="auto"/>
        </w:rPr>
      </w:pPr>
      <w:hyperlink w:anchor="_Toc31959" w:history="1">
        <w:r>
          <w:rPr>
            <w:rFonts w:ascii="Times New Roman" w:eastAsia="宋体" w:hAnsi="Times New Roman" w:cs="Times New Roman" w:hint="eastAsia"/>
            <w:bCs/>
            <w:color w:val="auto"/>
            <w:spacing w:val="-6"/>
            <w:szCs w:val="30"/>
            <w:lang w:eastAsia="zh-CN"/>
          </w:rPr>
          <w:t>2.5</w:t>
        </w:r>
        <w:r>
          <w:rPr>
            <w:rFonts w:ascii="Times New Roman" w:eastAsia="Times New Roman" w:hAnsi="Times New Roman" w:cs="Times New Roman"/>
            <w:bCs/>
            <w:color w:val="auto"/>
            <w:spacing w:val="-6"/>
            <w:szCs w:val="30"/>
          </w:rPr>
          <w:t>项目用海必要性</w:t>
        </w:r>
        <w:r>
          <w:rPr>
            <w:color w:val="auto"/>
          </w:rPr>
          <w:tab/>
        </w:r>
        <w:r>
          <w:rPr>
            <w:color w:val="auto"/>
          </w:rPr>
          <w:fldChar w:fldCharType="begin"/>
        </w:r>
        <w:r>
          <w:rPr>
            <w:color w:val="auto"/>
          </w:rPr>
          <w:instrText xml:space="preserve"> PAGEREF _Toc31959 \h </w:instrText>
        </w:r>
        <w:r>
          <w:rPr>
            <w:color w:val="auto"/>
          </w:rPr>
        </w:r>
        <w:r>
          <w:rPr>
            <w:color w:val="auto"/>
          </w:rPr>
          <w:fldChar w:fldCharType="separate"/>
        </w:r>
        <w:r>
          <w:rPr>
            <w:color w:val="auto"/>
          </w:rPr>
          <w:t>39</w:t>
        </w:r>
        <w:r>
          <w:rPr>
            <w:color w:val="auto"/>
          </w:rPr>
          <w:fldChar w:fldCharType="end"/>
        </w:r>
      </w:hyperlink>
    </w:p>
    <w:p w14:paraId="23A6FC92" w14:textId="77777777" w:rsidR="0075791A" w:rsidRDefault="00FB2864">
      <w:pPr>
        <w:pStyle w:val="TOC1"/>
        <w:tabs>
          <w:tab w:val="right" w:leader="dot" w:pos="8300"/>
        </w:tabs>
        <w:spacing w:line="300" w:lineRule="auto"/>
        <w:rPr>
          <w:rFonts w:ascii="Times New Roman" w:eastAsia="Calibri" w:hAnsi="Times New Roman" w:cs="Calibri"/>
          <w:b/>
          <w:bCs/>
          <w:color w:val="auto"/>
        </w:rPr>
      </w:pPr>
      <w:hyperlink w:anchor="_Toc6413" w:history="1">
        <w:r>
          <w:rPr>
            <w:rFonts w:ascii="Times New Roman" w:eastAsia="Calibri" w:hAnsi="Times New Roman" w:cs="Calibri" w:hint="eastAsia"/>
            <w:b/>
            <w:bCs/>
            <w:color w:val="auto"/>
            <w:lang w:eastAsia="zh-CN"/>
          </w:rPr>
          <w:t>3</w:t>
        </w:r>
        <w:r>
          <w:rPr>
            <w:rFonts w:ascii="Times New Roman" w:eastAsia="Calibri" w:hAnsi="Times New Roman" w:cs="Calibri" w:hint="eastAsia"/>
            <w:b/>
            <w:bCs/>
            <w:color w:val="auto"/>
            <w:lang w:eastAsia="zh-CN"/>
          </w:rPr>
          <w:t>项目所在海域概况</w:t>
        </w:r>
        <w:r>
          <w:rPr>
            <w:rFonts w:ascii="Times New Roman" w:eastAsia="Calibri" w:hAnsi="Times New Roman" w:cs="Calibri"/>
            <w:b/>
            <w:bCs/>
            <w:color w:val="auto"/>
          </w:rPr>
          <w:tab/>
        </w:r>
        <w:r>
          <w:rPr>
            <w:rFonts w:ascii="Times New Roman" w:eastAsia="Calibri" w:hAnsi="Times New Roman" w:cs="Calibri"/>
            <w:b/>
            <w:bCs/>
            <w:color w:val="auto"/>
          </w:rPr>
          <w:fldChar w:fldCharType="begin"/>
        </w:r>
        <w:r>
          <w:rPr>
            <w:rFonts w:ascii="Times New Roman" w:eastAsia="Calibri" w:hAnsi="Times New Roman" w:cs="Calibri"/>
            <w:b/>
            <w:bCs/>
            <w:color w:val="auto"/>
          </w:rPr>
          <w:instrText xml:space="preserve"> PAGEREF _Toc6413 \h </w:instrText>
        </w:r>
        <w:r>
          <w:rPr>
            <w:rFonts w:ascii="Times New Roman" w:eastAsia="Calibri" w:hAnsi="Times New Roman" w:cs="Calibri"/>
            <w:b/>
            <w:bCs/>
            <w:color w:val="auto"/>
          </w:rPr>
        </w:r>
        <w:r>
          <w:rPr>
            <w:rFonts w:ascii="Times New Roman" w:eastAsia="Calibri" w:hAnsi="Times New Roman" w:cs="Calibri"/>
            <w:b/>
            <w:bCs/>
            <w:color w:val="auto"/>
          </w:rPr>
          <w:fldChar w:fldCharType="separate"/>
        </w:r>
        <w:r>
          <w:rPr>
            <w:rFonts w:ascii="Times New Roman" w:eastAsia="Calibri" w:hAnsi="Times New Roman" w:cs="Calibri"/>
            <w:b/>
            <w:bCs/>
            <w:color w:val="auto"/>
          </w:rPr>
          <w:t>44</w:t>
        </w:r>
        <w:r>
          <w:rPr>
            <w:rFonts w:ascii="Times New Roman" w:eastAsia="Calibri" w:hAnsi="Times New Roman" w:cs="Calibri"/>
            <w:b/>
            <w:bCs/>
            <w:color w:val="auto"/>
          </w:rPr>
          <w:fldChar w:fldCharType="end"/>
        </w:r>
      </w:hyperlink>
    </w:p>
    <w:p w14:paraId="58343F4F" w14:textId="77777777" w:rsidR="0075791A" w:rsidRDefault="00FB2864">
      <w:pPr>
        <w:pStyle w:val="TOC2"/>
        <w:tabs>
          <w:tab w:val="right" w:leader="dot" w:pos="8300"/>
        </w:tabs>
        <w:spacing w:line="300" w:lineRule="auto"/>
        <w:rPr>
          <w:color w:val="auto"/>
        </w:rPr>
      </w:pPr>
      <w:hyperlink w:anchor="_Toc25192" w:history="1">
        <w:r>
          <w:rPr>
            <w:rFonts w:ascii="Times New Roman" w:eastAsia="宋体" w:hAnsi="Times New Roman" w:cs="Times New Roman" w:hint="eastAsia"/>
            <w:bCs/>
            <w:color w:val="auto"/>
            <w:spacing w:val="-6"/>
            <w:szCs w:val="30"/>
            <w:lang w:eastAsia="zh-CN"/>
          </w:rPr>
          <w:t>3</w:t>
        </w:r>
        <w:r>
          <w:rPr>
            <w:rFonts w:ascii="Times New Roman" w:eastAsia="Times New Roman" w:hAnsi="Times New Roman" w:cs="Times New Roman"/>
            <w:bCs/>
            <w:color w:val="auto"/>
            <w:spacing w:val="-6"/>
            <w:szCs w:val="30"/>
          </w:rPr>
          <w:t>.1海洋资源概况</w:t>
        </w:r>
        <w:r>
          <w:rPr>
            <w:color w:val="auto"/>
          </w:rPr>
          <w:tab/>
        </w:r>
        <w:r>
          <w:rPr>
            <w:color w:val="auto"/>
          </w:rPr>
          <w:fldChar w:fldCharType="begin"/>
        </w:r>
        <w:r>
          <w:rPr>
            <w:color w:val="auto"/>
          </w:rPr>
          <w:instrText xml:space="preserve"> PAGEREF _Toc25192 \h </w:instrText>
        </w:r>
        <w:r>
          <w:rPr>
            <w:color w:val="auto"/>
          </w:rPr>
        </w:r>
        <w:r>
          <w:rPr>
            <w:color w:val="auto"/>
          </w:rPr>
          <w:fldChar w:fldCharType="separate"/>
        </w:r>
        <w:r>
          <w:rPr>
            <w:color w:val="auto"/>
          </w:rPr>
          <w:t>44</w:t>
        </w:r>
        <w:r>
          <w:rPr>
            <w:color w:val="auto"/>
          </w:rPr>
          <w:fldChar w:fldCharType="end"/>
        </w:r>
      </w:hyperlink>
    </w:p>
    <w:p w14:paraId="676DA478" w14:textId="77777777" w:rsidR="0075791A" w:rsidRDefault="00FB2864">
      <w:pPr>
        <w:pStyle w:val="TOC2"/>
        <w:tabs>
          <w:tab w:val="right" w:leader="dot" w:pos="8300"/>
        </w:tabs>
        <w:spacing w:line="300" w:lineRule="auto"/>
        <w:rPr>
          <w:color w:val="auto"/>
        </w:rPr>
      </w:pPr>
      <w:hyperlink w:anchor="_Toc8595" w:history="1">
        <w:r>
          <w:rPr>
            <w:rFonts w:ascii="Times New Roman" w:eastAsia="宋体" w:hAnsi="Times New Roman" w:cs="Times New Roman" w:hint="eastAsia"/>
            <w:bCs/>
            <w:color w:val="auto"/>
            <w:spacing w:val="-6"/>
            <w:szCs w:val="30"/>
            <w:lang w:eastAsia="zh-CN"/>
          </w:rPr>
          <w:t>3.</w:t>
        </w:r>
        <w:r>
          <w:rPr>
            <w:rFonts w:ascii="Times New Roman" w:eastAsia="Times New Roman" w:hAnsi="Times New Roman" w:cs="Times New Roman"/>
            <w:bCs/>
            <w:color w:val="auto"/>
            <w:spacing w:val="-6"/>
            <w:szCs w:val="30"/>
          </w:rPr>
          <w:t>2海洋生态概况</w:t>
        </w:r>
        <w:r>
          <w:rPr>
            <w:color w:val="auto"/>
          </w:rPr>
          <w:tab/>
        </w:r>
        <w:r>
          <w:rPr>
            <w:color w:val="auto"/>
          </w:rPr>
          <w:fldChar w:fldCharType="begin"/>
        </w:r>
        <w:r>
          <w:rPr>
            <w:color w:val="auto"/>
          </w:rPr>
          <w:instrText xml:space="preserve"> PAGEREF _Toc8595 \h </w:instrText>
        </w:r>
        <w:r>
          <w:rPr>
            <w:color w:val="auto"/>
          </w:rPr>
        </w:r>
        <w:r>
          <w:rPr>
            <w:color w:val="auto"/>
          </w:rPr>
          <w:fldChar w:fldCharType="separate"/>
        </w:r>
        <w:r>
          <w:rPr>
            <w:color w:val="auto"/>
          </w:rPr>
          <w:t>53</w:t>
        </w:r>
        <w:r>
          <w:rPr>
            <w:color w:val="auto"/>
          </w:rPr>
          <w:fldChar w:fldCharType="end"/>
        </w:r>
      </w:hyperlink>
    </w:p>
    <w:p w14:paraId="744B8993" w14:textId="77777777" w:rsidR="0075791A" w:rsidRDefault="00FB2864">
      <w:pPr>
        <w:pStyle w:val="TOC1"/>
        <w:tabs>
          <w:tab w:val="right" w:leader="dot" w:pos="8300"/>
        </w:tabs>
        <w:spacing w:line="300" w:lineRule="auto"/>
        <w:rPr>
          <w:rFonts w:ascii="Times New Roman" w:eastAsia="Calibri" w:hAnsi="Times New Roman" w:cs="Calibri"/>
          <w:b/>
          <w:bCs/>
          <w:color w:val="auto"/>
        </w:rPr>
      </w:pPr>
      <w:hyperlink w:anchor="_Toc29387" w:history="1">
        <w:r>
          <w:rPr>
            <w:rFonts w:ascii="Times New Roman" w:eastAsia="Calibri" w:hAnsi="Times New Roman" w:cs="Calibri" w:hint="eastAsia"/>
            <w:b/>
            <w:bCs/>
            <w:color w:val="auto"/>
            <w:lang w:eastAsia="zh-CN"/>
          </w:rPr>
          <w:t>4</w:t>
        </w:r>
        <w:r>
          <w:rPr>
            <w:rFonts w:ascii="Times New Roman" w:eastAsia="Calibri" w:hAnsi="Times New Roman" w:cs="Calibri" w:hint="eastAsia"/>
            <w:b/>
            <w:bCs/>
            <w:color w:val="auto"/>
            <w:lang w:eastAsia="zh-CN"/>
          </w:rPr>
          <w:t>资源生态影响分析</w:t>
        </w:r>
        <w:r>
          <w:rPr>
            <w:rFonts w:ascii="Times New Roman" w:eastAsia="Calibri" w:hAnsi="Times New Roman" w:cs="Calibri"/>
            <w:b/>
            <w:bCs/>
            <w:color w:val="auto"/>
          </w:rPr>
          <w:tab/>
        </w:r>
        <w:r>
          <w:rPr>
            <w:rFonts w:ascii="Times New Roman" w:eastAsia="Calibri" w:hAnsi="Times New Roman" w:cs="Calibri"/>
            <w:b/>
            <w:bCs/>
            <w:color w:val="auto"/>
          </w:rPr>
          <w:fldChar w:fldCharType="begin"/>
        </w:r>
        <w:r>
          <w:rPr>
            <w:rFonts w:ascii="Times New Roman" w:eastAsia="Calibri" w:hAnsi="Times New Roman" w:cs="Calibri"/>
            <w:b/>
            <w:bCs/>
            <w:color w:val="auto"/>
          </w:rPr>
          <w:instrText xml:space="preserve"> PAGEREF _Toc29387 \h </w:instrText>
        </w:r>
        <w:r>
          <w:rPr>
            <w:rFonts w:ascii="Times New Roman" w:eastAsia="Calibri" w:hAnsi="Times New Roman" w:cs="Calibri"/>
            <w:b/>
            <w:bCs/>
            <w:color w:val="auto"/>
          </w:rPr>
        </w:r>
        <w:r>
          <w:rPr>
            <w:rFonts w:ascii="Times New Roman" w:eastAsia="Calibri" w:hAnsi="Times New Roman" w:cs="Calibri"/>
            <w:b/>
            <w:bCs/>
            <w:color w:val="auto"/>
          </w:rPr>
          <w:fldChar w:fldCharType="separate"/>
        </w:r>
        <w:r>
          <w:rPr>
            <w:rFonts w:ascii="Times New Roman" w:eastAsia="Calibri" w:hAnsi="Times New Roman" w:cs="Calibri"/>
            <w:b/>
            <w:bCs/>
            <w:color w:val="auto"/>
          </w:rPr>
          <w:t>1</w:t>
        </w:r>
        <w:r>
          <w:rPr>
            <w:rFonts w:ascii="Times New Roman" w:eastAsia="Calibri" w:hAnsi="Times New Roman" w:cs="Calibri"/>
            <w:b/>
            <w:bCs/>
            <w:color w:val="auto"/>
          </w:rPr>
          <w:fldChar w:fldCharType="end"/>
        </w:r>
      </w:hyperlink>
    </w:p>
    <w:p w14:paraId="10E9C185" w14:textId="77777777" w:rsidR="0075791A" w:rsidRDefault="00FB2864">
      <w:pPr>
        <w:pStyle w:val="TOC2"/>
        <w:tabs>
          <w:tab w:val="right" w:leader="dot" w:pos="8300"/>
        </w:tabs>
        <w:spacing w:line="300" w:lineRule="auto"/>
        <w:rPr>
          <w:color w:val="auto"/>
        </w:rPr>
      </w:pPr>
      <w:hyperlink w:anchor="_Toc29099" w:history="1">
        <w:r>
          <w:rPr>
            <w:rFonts w:ascii="Times New Roman" w:eastAsia="宋体" w:hAnsi="Times New Roman" w:cs="Times New Roman" w:hint="eastAsia"/>
            <w:bCs/>
            <w:color w:val="auto"/>
            <w:spacing w:val="-6"/>
            <w:szCs w:val="30"/>
            <w:lang w:eastAsia="zh-CN"/>
          </w:rPr>
          <w:t>4</w:t>
        </w:r>
        <w:r>
          <w:rPr>
            <w:rFonts w:ascii="Times New Roman" w:eastAsia="Times New Roman" w:hAnsi="Times New Roman" w:cs="Times New Roman"/>
            <w:bCs/>
            <w:color w:val="auto"/>
            <w:spacing w:val="-6"/>
            <w:szCs w:val="30"/>
          </w:rPr>
          <w:t>.1</w:t>
        </w:r>
        <w:r>
          <w:rPr>
            <w:rFonts w:ascii="Times New Roman" w:eastAsia="宋体" w:hAnsi="Times New Roman" w:cs="Times New Roman" w:hint="eastAsia"/>
            <w:bCs/>
            <w:color w:val="auto"/>
            <w:spacing w:val="-6"/>
            <w:szCs w:val="30"/>
            <w:lang w:eastAsia="zh-CN"/>
          </w:rPr>
          <w:t>资源生态影响</w:t>
        </w:r>
        <w:r>
          <w:rPr>
            <w:rFonts w:ascii="Times New Roman" w:eastAsia="Times New Roman" w:hAnsi="Times New Roman" w:cs="Times New Roman" w:hint="eastAsia"/>
            <w:bCs/>
            <w:color w:val="auto"/>
            <w:spacing w:val="-3"/>
            <w:szCs w:val="28"/>
            <w:lang w:eastAsia="zh-CN"/>
          </w:rPr>
          <w:t>预测分析</w:t>
        </w:r>
        <w:r>
          <w:rPr>
            <w:color w:val="auto"/>
          </w:rPr>
          <w:tab/>
        </w:r>
        <w:r>
          <w:rPr>
            <w:color w:val="auto"/>
          </w:rPr>
          <w:fldChar w:fldCharType="begin"/>
        </w:r>
        <w:r>
          <w:rPr>
            <w:color w:val="auto"/>
          </w:rPr>
          <w:instrText xml:space="preserve"> PAGEREF _Toc29099 \h </w:instrText>
        </w:r>
        <w:r>
          <w:rPr>
            <w:color w:val="auto"/>
          </w:rPr>
        </w:r>
        <w:r>
          <w:rPr>
            <w:color w:val="auto"/>
          </w:rPr>
          <w:fldChar w:fldCharType="separate"/>
        </w:r>
        <w:r>
          <w:rPr>
            <w:color w:val="auto"/>
          </w:rPr>
          <w:t>1</w:t>
        </w:r>
        <w:r>
          <w:rPr>
            <w:color w:val="auto"/>
          </w:rPr>
          <w:fldChar w:fldCharType="end"/>
        </w:r>
      </w:hyperlink>
    </w:p>
    <w:p w14:paraId="72B1BB31" w14:textId="77777777" w:rsidR="0075791A" w:rsidRDefault="00FB2864">
      <w:pPr>
        <w:pStyle w:val="TOC2"/>
        <w:tabs>
          <w:tab w:val="right" w:leader="dot" w:pos="8300"/>
        </w:tabs>
        <w:spacing w:line="300" w:lineRule="auto"/>
        <w:rPr>
          <w:color w:val="auto"/>
        </w:rPr>
      </w:pPr>
      <w:hyperlink w:anchor="_Toc355" w:history="1">
        <w:r>
          <w:rPr>
            <w:rFonts w:ascii="Times New Roman" w:eastAsia="宋体" w:hAnsi="Times New Roman" w:cs="Times New Roman" w:hint="eastAsia"/>
            <w:bCs/>
            <w:color w:val="auto"/>
            <w:spacing w:val="-6"/>
            <w:szCs w:val="24"/>
            <w:lang w:eastAsia="zh-CN"/>
          </w:rPr>
          <w:t>4</w:t>
        </w:r>
        <w:r>
          <w:rPr>
            <w:rFonts w:ascii="Times New Roman" w:eastAsia="宋体" w:hAnsi="Times New Roman" w:cs="Times New Roman"/>
            <w:bCs/>
            <w:color w:val="auto"/>
            <w:spacing w:val="-6"/>
            <w:szCs w:val="24"/>
          </w:rPr>
          <w:t>.2</w:t>
        </w:r>
        <w:r>
          <w:rPr>
            <w:rFonts w:ascii="Times New Roman" w:eastAsia="宋体" w:hAnsi="Times New Roman" w:cs="Times New Roman"/>
            <w:bCs/>
            <w:color w:val="auto"/>
            <w:spacing w:val="-6"/>
            <w:szCs w:val="24"/>
          </w:rPr>
          <w:t>资源影响分析</w:t>
        </w:r>
        <w:r>
          <w:rPr>
            <w:color w:val="auto"/>
          </w:rPr>
          <w:tab/>
        </w:r>
        <w:r>
          <w:rPr>
            <w:color w:val="auto"/>
          </w:rPr>
          <w:fldChar w:fldCharType="begin"/>
        </w:r>
        <w:r>
          <w:rPr>
            <w:color w:val="auto"/>
          </w:rPr>
          <w:instrText xml:space="preserve"> PAGEREF _Toc355 \h </w:instrText>
        </w:r>
        <w:r>
          <w:rPr>
            <w:color w:val="auto"/>
          </w:rPr>
        </w:r>
        <w:r>
          <w:rPr>
            <w:color w:val="auto"/>
          </w:rPr>
          <w:fldChar w:fldCharType="separate"/>
        </w:r>
        <w:r>
          <w:rPr>
            <w:color w:val="auto"/>
          </w:rPr>
          <w:t>40</w:t>
        </w:r>
        <w:r>
          <w:rPr>
            <w:color w:val="auto"/>
          </w:rPr>
          <w:fldChar w:fldCharType="end"/>
        </w:r>
      </w:hyperlink>
    </w:p>
    <w:p w14:paraId="276749A1" w14:textId="77777777" w:rsidR="0075791A" w:rsidRDefault="00FB2864">
      <w:pPr>
        <w:pStyle w:val="TOC2"/>
        <w:tabs>
          <w:tab w:val="right" w:leader="dot" w:pos="8300"/>
        </w:tabs>
        <w:spacing w:line="300" w:lineRule="auto"/>
        <w:rPr>
          <w:color w:val="auto"/>
        </w:rPr>
      </w:pPr>
      <w:hyperlink w:anchor="_Toc16741" w:history="1">
        <w:r>
          <w:rPr>
            <w:rFonts w:ascii="Times New Roman" w:eastAsia="宋体" w:hAnsi="Times New Roman" w:cs="Times New Roman" w:hint="eastAsia"/>
            <w:bCs/>
            <w:color w:val="auto"/>
            <w:spacing w:val="-6"/>
            <w:szCs w:val="30"/>
            <w:lang w:eastAsia="zh-CN"/>
          </w:rPr>
          <w:t>4</w:t>
        </w:r>
        <w:r>
          <w:rPr>
            <w:rFonts w:ascii="Times New Roman" w:eastAsia="Times New Roman" w:hAnsi="Times New Roman" w:cs="Times New Roman"/>
            <w:bCs/>
            <w:color w:val="auto"/>
            <w:spacing w:val="-6"/>
            <w:szCs w:val="30"/>
          </w:rPr>
          <w:t>.3生态影响分析</w:t>
        </w:r>
        <w:r>
          <w:rPr>
            <w:color w:val="auto"/>
          </w:rPr>
          <w:tab/>
        </w:r>
        <w:r>
          <w:rPr>
            <w:color w:val="auto"/>
          </w:rPr>
          <w:fldChar w:fldCharType="begin"/>
        </w:r>
        <w:r>
          <w:rPr>
            <w:color w:val="auto"/>
          </w:rPr>
          <w:instrText xml:space="preserve"> PAGEREF _Toc16741 \h </w:instrText>
        </w:r>
        <w:r>
          <w:rPr>
            <w:color w:val="auto"/>
          </w:rPr>
        </w:r>
        <w:r>
          <w:rPr>
            <w:color w:val="auto"/>
          </w:rPr>
          <w:fldChar w:fldCharType="separate"/>
        </w:r>
        <w:r>
          <w:rPr>
            <w:color w:val="auto"/>
          </w:rPr>
          <w:t>42</w:t>
        </w:r>
        <w:r>
          <w:rPr>
            <w:color w:val="auto"/>
          </w:rPr>
          <w:fldChar w:fldCharType="end"/>
        </w:r>
      </w:hyperlink>
    </w:p>
    <w:p w14:paraId="40805EA9" w14:textId="77777777" w:rsidR="0075791A" w:rsidRDefault="00FB2864">
      <w:pPr>
        <w:pStyle w:val="TOC2"/>
        <w:tabs>
          <w:tab w:val="right" w:leader="dot" w:pos="8300"/>
        </w:tabs>
        <w:spacing w:line="300" w:lineRule="auto"/>
        <w:rPr>
          <w:color w:val="auto"/>
        </w:rPr>
      </w:pPr>
      <w:hyperlink w:anchor="_Toc14161" w:history="1">
        <w:r>
          <w:rPr>
            <w:rFonts w:ascii="Times New Roman" w:eastAsia="Times New Roman" w:hAnsi="Times New Roman" w:cs="Times New Roman" w:hint="eastAsia"/>
            <w:bCs/>
            <w:color w:val="auto"/>
            <w:spacing w:val="-6"/>
            <w:szCs w:val="30"/>
            <w:lang w:eastAsia="zh-CN"/>
          </w:rPr>
          <w:t>4.4项目建设正向效果</w:t>
        </w:r>
        <w:r>
          <w:rPr>
            <w:color w:val="auto"/>
          </w:rPr>
          <w:tab/>
        </w:r>
        <w:r>
          <w:rPr>
            <w:color w:val="auto"/>
          </w:rPr>
          <w:fldChar w:fldCharType="begin"/>
        </w:r>
        <w:r>
          <w:rPr>
            <w:color w:val="auto"/>
          </w:rPr>
          <w:instrText xml:space="preserve"> PAGEREF _Toc14161 \h </w:instrText>
        </w:r>
        <w:r>
          <w:rPr>
            <w:color w:val="auto"/>
          </w:rPr>
        </w:r>
        <w:r>
          <w:rPr>
            <w:color w:val="auto"/>
          </w:rPr>
          <w:fldChar w:fldCharType="separate"/>
        </w:r>
        <w:r>
          <w:rPr>
            <w:color w:val="auto"/>
          </w:rPr>
          <w:t>47</w:t>
        </w:r>
        <w:r>
          <w:rPr>
            <w:color w:val="auto"/>
          </w:rPr>
          <w:fldChar w:fldCharType="end"/>
        </w:r>
      </w:hyperlink>
    </w:p>
    <w:p w14:paraId="17BC4394" w14:textId="77777777" w:rsidR="0075791A" w:rsidRDefault="00FB2864">
      <w:pPr>
        <w:pStyle w:val="TOC1"/>
        <w:tabs>
          <w:tab w:val="right" w:leader="dot" w:pos="8300"/>
        </w:tabs>
        <w:spacing w:line="300" w:lineRule="auto"/>
        <w:rPr>
          <w:rFonts w:ascii="Times New Roman" w:eastAsia="Calibri" w:hAnsi="Times New Roman" w:cs="Calibri"/>
          <w:b/>
          <w:bCs/>
          <w:color w:val="auto"/>
        </w:rPr>
      </w:pPr>
      <w:hyperlink w:anchor="_Toc26982" w:history="1">
        <w:r>
          <w:rPr>
            <w:rFonts w:ascii="Times New Roman" w:eastAsia="Calibri" w:hAnsi="Times New Roman" w:cs="Calibri" w:hint="eastAsia"/>
            <w:b/>
            <w:bCs/>
            <w:color w:val="auto"/>
            <w:lang w:eastAsia="zh-CN"/>
          </w:rPr>
          <w:t>5</w:t>
        </w:r>
        <w:r>
          <w:rPr>
            <w:rFonts w:ascii="Times New Roman" w:eastAsia="Calibri" w:hAnsi="Times New Roman" w:cs="Calibri" w:hint="eastAsia"/>
            <w:b/>
            <w:bCs/>
            <w:color w:val="auto"/>
            <w:lang w:eastAsia="zh-CN"/>
          </w:rPr>
          <w:t>海域开发利用协调分析</w:t>
        </w:r>
        <w:r>
          <w:rPr>
            <w:rFonts w:ascii="Times New Roman" w:eastAsia="Calibri" w:hAnsi="Times New Roman" w:cs="Calibri"/>
            <w:b/>
            <w:bCs/>
            <w:color w:val="auto"/>
          </w:rPr>
          <w:tab/>
        </w:r>
        <w:r>
          <w:rPr>
            <w:rFonts w:ascii="Times New Roman" w:eastAsia="Calibri" w:hAnsi="Times New Roman" w:cs="Calibri"/>
            <w:b/>
            <w:bCs/>
            <w:color w:val="auto"/>
          </w:rPr>
          <w:fldChar w:fldCharType="begin"/>
        </w:r>
        <w:r>
          <w:rPr>
            <w:rFonts w:ascii="Times New Roman" w:eastAsia="Calibri" w:hAnsi="Times New Roman" w:cs="Calibri"/>
            <w:b/>
            <w:bCs/>
            <w:color w:val="auto"/>
          </w:rPr>
          <w:instrText xml:space="preserve"> PAGEREF _Toc26982 \h </w:instrText>
        </w:r>
        <w:r>
          <w:rPr>
            <w:rFonts w:ascii="Times New Roman" w:eastAsia="Calibri" w:hAnsi="Times New Roman" w:cs="Calibri"/>
            <w:b/>
            <w:bCs/>
            <w:color w:val="auto"/>
          </w:rPr>
        </w:r>
        <w:r>
          <w:rPr>
            <w:rFonts w:ascii="Times New Roman" w:eastAsia="Calibri" w:hAnsi="Times New Roman" w:cs="Calibri"/>
            <w:b/>
            <w:bCs/>
            <w:color w:val="auto"/>
          </w:rPr>
          <w:fldChar w:fldCharType="separate"/>
        </w:r>
        <w:r>
          <w:rPr>
            <w:rFonts w:ascii="Times New Roman" w:eastAsia="Calibri" w:hAnsi="Times New Roman" w:cs="Calibri"/>
            <w:b/>
            <w:bCs/>
            <w:color w:val="auto"/>
          </w:rPr>
          <w:t>53</w:t>
        </w:r>
        <w:r>
          <w:rPr>
            <w:rFonts w:ascii="Times New Roman" w:eastAsia="Calibri" w:hAnsi="Times New Roman" w:cs="Calibri"/>
            <w:b/>
            <w:bCs/>
            <w:color w:val="auto"/>
          </w:rPr>
          <w:fldChar w:fldCharType="end"/>
        </w:r>
      </w:hyperlink>
    </w:p>
    <w:p w14:paraId="2C793180" w14:textId="77777777" w:rsidR="0075791A" w:rsidRDefault="00FB2864">
      <w:pPr>
        <w:pStyle w:val="TOC2"/>
        <w:tabs>
          <w:tab w:val="right" w:leader="dot" w:pos="8300"/>
        </w:tabs>
        <w:spacing w:line="300" w:lineRule="auto"/>
        <w:rPr>
          <w:color w:val="auto"/>
        </w:rPr>
      </w:pPr>
      <w:hyperlink w:anchor="_Toc13960" w:history="1">
        <w:r>
          <w:rPr>
            <w:rFonts w:ascii="Times New Roman" w:eastAsia="宋体" w:hAnsi="Times New Roman" w:cs="Times New Roman" w:hint="eastAsia"/>
            <w:bCs/>
            <w:color w:val="auto"/>
            <w:spacing w:val="-6"/>
            <w:szCs w:val="30"/>
            <w:lang w:eastAsia="zh-CN"/>
          </w:rPr>
          <w:t>5</w:t>
        </w:r>
        <w:r>
          <w:rPr>
            <w:rFonts w:ascii="Times New Roman" w:eastAsia="Times New Roman" w:hAnsi="Times New Roman" w:cs="Times New Roman"/>
            <w:bCs/>
            <w:color w:val="auto"/>
            <w:spacing w:val="-6"/>
            <w:szCs w:val="30"/>
          </w:rPr>
          <w:t>.1海域开发利用现状</w:t>
        </w:r>
        <w:r>
          <w:rPr>
            <w:color w:val="auto"/>
          </w:rPr>
          <w:tab/>
        </w:r>
        <w:r>
          <w:rPr>
            <w:color w:val="auto"/>
          </w:rPr>
          <w:fldChar w:fldCharType="begin"/>
        </w:r>
        <w:r>
          <w:rPr>
            <w:color w:val="auto"/>
          </w:rPr>
          <w:instrText xml:space="preserve"> PAGEREF _Toc13960 \h </w:instrText>
        </w:r>
        <w:r>
          <w:rPr>
            <w:color w:val="auto"/>
          </w:rPr>
        </w:r>
        <w:r>
          <w:rPr>
            <w:color w:val="auto"/>
          </w:rPr>
          <w:fldChar w:fldCharType="separate"/>
        </w:r>
        <w:r>
          <w:rPr>
            <w:color w:val="auto"/>
          </w:rPr>
          <w:t>53</w:t>
        </w:r>
        <w:r>
          <w:rPr>
            <w:color w:val="auto"/>
          </w:rPr>
          <w:fldChar w:fldCharType="end"/>
        </w:r>
      </w:hyperlink>
    </w:p>
    <w:p w14:paraId="406CBFD6" w14:textId="77777777" w:rsidR="0075791A" w:rsidRDefault="00FB2864">
      <w:pPr>
        <w:pStyle w:val="TOC2"/>
        <w:tabs>
          <w:tab w:val="right" w:leader="dot" w:pos="8300"/>
        </w:tabs>
        <w:spacing w:line="300" w:lineRule="auto"/>
        <w:rPr>
          <w:color w:val="auto"/>
        </w:rPr>
      </w:pPr>
      <w:hyperlink w:anchor="_Toc2101" w:history="1">
        <w:r>
          <w:rPr>
            <w:rFonts w:ascii="Times New Roman" w:eastAsia="宋体" w:hAnsi="Times New Roman" w:cs="Times New Roman" w:hint="eastAsia"/>
            <w:bCs/>
            <w:color w:val="auto"/>
            <w:spacing w:val="-6"/>
            <w:szCs w:val="30"/>
            <w:lang w:eastAsia="zh-CN"/>
          </w:rPr>
          <w:t>5</w:t>
        </w:r>
        <w:r>
          <w:rPr>
            <w:rFonts w:ascii="Times New Roman" w:eastAsia="Times New Roman" w:hAnsi="Times New Roman" w:cs="Times New Roman"/>
            <w:bCs/>
            <w:color w:val="auto"/>
            <w:spacing w:val="-6"/>
            <w:szCs w:val="30"/>
          </w:rPr>
          <w:t>.2项目用海对海域开发活动的影响</w:t>
        </w:r>
        <w:r>
          <w:rPr>
            <w:color w:val="auto"/>
          </w:rPr>
          <w:tab/>
        </w:r>
        <w:r>
          <w:rPr>
            <w:color w:val="auto"/>
          </w:rPr>
          <w:fldChar w:fldCharType="begin"/>
        </w:r>
        <w:r>
          <w:rPr>
            <w:color w:val="auto"/>
          </w:rPr>
          <w:instrText xml:space="preserve"> PAGEREF _Toc2101 \h </w:instrText>
        </w:r>
        <w:r>
          <w:rPr>
            <w:color w:val="auto"/>
          </w:rPr>
        </w:r>
        <w:r>
          <w:rPr>
            <w:color w:val="auto"/>
          </w:rPr>
          <w:fldChar w:fldCharType="separate"/>
        </w:r>
        <w:r>
          <w:rPr>
            <w:color w:val="auto"/>
          </w:rPr>
          <w:t>62</w:t>
        </w:r>
        <w:r>
          <w:rPr>
            <w:color w:val="auto"/>
          </w:rPr>
          <w:fldChar w:fldCharType="end"/>
        </w:r>
      </w:hyperlink>
    </w:p>
    <w:p w14:paraId="27084165" w14:textId="77777777" w:rsidR="0075791A" w:rsidRDefault="00FB2864">
      <w:pPr>
        <w:pStyle w:val="TOC2"/>
        <w:tabs>
          <w:tab w:val="right" w:leader="dot" w:pos="8300"/>
        </w:tabs>
        <w:spacing w:line="300" w:lineRule="auto"/>
        <w:rPr>
          <w:color w:val="auto"/>
        </w:rPr>
      </w:pPr>
      <w:hyperlink w:anchor="_Toc32358" w:history="1">
        <w:r>
          <w:rPr>
            <w:rFonts w:ascii="Times New Roman" w:eastAsia="宋体" w:hAnsi="Times New Roman" w:cs="Times New Roman" w:hint="eastAsia"/>
            <w:bCs/>
            <w:color w:val="auto"/>
            <w:spacing w:val="-6"/>
            <w:szCs w:val="30"/>
            <w:lang w:eastAsia="zh-CN"/>
          </w:rPr>
          <w:t>5</w:t>
        </w:r>
        <w:r>
          <w:rPr>
            <w:rFonts w:ascii="Times New Roman" w:eastAsia="Times New Roman" w:hAnsi="Times New Roman" w:cs="Times New Roman"/>
            <w:bCs/>
            <w:color w:val="auto"/>
            <w:spacing w:val="-6"/>
            <w:szCs w:val="30"/>
          </w:rPr>
          <w:t>.3利益相关者界定</w:t>
        </w:r>
        <w:r>
          <w:rPr>
            <w:color w:val="auto"/>
          </w:rPr>
          <w:tab/>
        </w:r>
        <w:r>
          <w:rPr>
            <w:color w:val="auto"/>
          </w:rPr>
          <w:fldChar w:fldCharType="begin"/>
        </w:r>
        <w:r>
          <w:rPr>
            <w:color w:val="auto"/>
          </w:rPr>
          <w:instrText xml:space="preserve"> PAGEREF _Toc32358 \h </w:instrText>
        </w:r>
        <w:r>
          <w:rPr>
            <w:color w:val="auto"/>
          </w:rPr>
        </w:r>
        <w:r>
          <w:rPr>
            <w:color w:val="auto"/>
          </w:rPr>
          <w:fldChar w:fldCharType="separate"/>
        </w:r>
        <w:r>
          <w:rPr>
            <w:color w:val="auto"/>
          </w:rPr>
          <w:t>66</w:t>
        </w:r>
        <w:r>
          <w:rPr>
            <w:color w:val="auto"/>
          </w:rPr>
          <w:fldChar w:fldCharType="end"/>
        </w:r>
      </w:hyperlink>
    </w:p>
    <w:p w14:paraId="02C19291" w14:textId="77777777" w:rsidR="0075791A" w:rsidRDefault="00FB2864">
      <w:pPr>
        <w:pStyle w:val="TOC2"/>
        <w:tabs>
          <w:tab w:val="right" w:leader="dot" w:pos="8300"/>
        </w:tabs>
        <w:spacing w:line="300" w:lineRule="auto"/>
        <w:rPr>
          <w:color w:val="auto"/>
        </w:rPr>
      </w:pPr>
      <w:hyperlink w:anchor="_Toc22235" w:history="1">
        <w:r>
          <w:rPr>
            <w:rFonts w:ascii="Times New Roman" w:eastAsia="宋体" w:hAnsi="Times New Roman" w:cs="Times New Roman" w:hint="eastAsia"/>
            <w:bCs/>
            <w:color w:val="auto"/>
            <w:spacing w:val="-6"/>
            <w:szCs w:val="30"/>
            <w:lang w:eastAsia="zh-CN"/>
          </w:rPr>
          <w:t>5</w:t>
        </w:r>
        <w:r>
          <w:rPr>
            <w:rFonts w:ascii="Times New Roman" w:eastAsia="Times New Roman" w:hAnsi="Times New Roman" w:cs="Times New Roman"/>
            <w:bCs/>
            <w:color w:val="auto"/>
            <w:spacing w:val="-6"/>
            <w:szCs w:val="30"/>
          </w:rPr>
          <w:t>.4相关利益协调分析</w:t>
        </w:r>
        <w:r>
          <w:rPr>
            <w:color w:val="auto"/>
          </w:rPr>
          <w:tab/>
        </w:r>
        <w:r>
          <w:rPr>
            <w:color w:val="auto"/>
          </w:rPr>
          <w:fldChar w:fldCharType="begin"/>
        </w:r>
        <w:r>
          <w:rPr>
            <w:color w:val="auto"/>
          </w:rPr>
          <w:instrText xml:space="preserve"> PAG</w:instrText>
        </w:r>
        <w:r>
          <w:rPr>
            <w:color w:val="auto"/>
          </w:rPr>
          <w:instrText xml:space="preserve">EREF _Toc22235 \h </w:instrText>
        </w:r>
        <w:r>
          <w:rPr>
            <w:color w:val="auto"/>
          </w:rPr>
        </w:r>
        <w:r>
          <w:rPr>
            <w:color w:val="auto"/>
          </w:rPr>
          <w:fldChar w:fldCharType="separate"/>
        </w:r>
        <w:r>
          <w:rPr>
            <w:color w:val="auto"/>
          </w:rPr>
          <w:t>66</w:t>
        </w:r>
        <w:r>
          <w:rPr>
            <w:color w:val="auto"/>
          </w:rPr>
          <w:fldChar w:fldCharType="end"/>
        </w:r>
      </w:hyperlink>
    </w:p>
    <w:p w14:paraId="5720741B" w14:textId="77777777" w:rsidR="0075791A" w:rsidRDefault="00FB2864">
      <w:pPr>
        <w:pStyle w:val="TOC2"/>
        <w:tabs>
          <w:tab w:val="right" w:leader="dot" w:pos="8300"/>
        </w:tabs>
        <w:spacing w:line="300" w:lineRule="auto"/>
        <w:rPr>
          <w:color w:val="auto"/>
        </w:rPr>
      </w:pPr>
      <w:hyperlink w:anchor="_Toc26189" w:history="1">
        <w:r>
          <w:rPr>
            <w:rFonts w:ascii="Times New Roman" w:eastAsia="宋体" w:hAnsi="Times New Roman" w:cs="Times New Roman" w:hint="eastAsia"/>
            <w:bCs/>
            <w:color w:val="auto"/>
            <w:spacing w:val="-6"/>
            <w:szCs w:val="30"/>
            <w:lang w:eastAsia="zh-CN"/>
          </w:rPr>
          <w:t>5</w:t>
        </w:r>
        <w:r>
          <w:rPr>
            <w:rFonts w:ascii="Times New Roman" w:eastAsia="Times New Roman" w:hAnsi="Times New Roman" w:cs="Times New Roman"/>
            <w:bCs/>
            <w:color w:val="auto"/>
            <w:spacing w:val="-6"/>
            <w:szCs w:val="30"/>
          </w:rPr>
          <w:t>.5项目用海与国防安全和国家海洋权益的协调性分析</w:t>
        </w:r>
        <w:r>
          <w:rPr>
            <w:color w:val="auto"/>
          </w:rPr>
          <w:tab/>
        </w:r>
        <w:r>
          <w:rPr>
            <w:color w:val="auto"/>
          </w:rPr>
          <w:fldChar w:fldCharType="begin"/>
        </w:r>
        <w:r>
          <w:rPr>
            <w:color w:val="auto"/>
          </w:rPr>
          <w:instrText xml:space="preserve"> PAGEREF _Toc26189 \h </w:instrText>
        </w:r>
        <w:r>
          <w:rPr>
            <w:color w:val="auto"/>
          </w:rPr>
        </w:r>
        <w:r>
          <w:rPr>
            <w:color w:val="auto"/>
          </w:rPr>
          <w:fldChar w:fldCharType="separate"/>
        </w:r>
        <w:r>
          <w:rPr>
            <w:color w:val="auto"/>
          </w:rPr>
          <w:t>68</w:t>
        </w:r>
        <w:r>
          <w:rPr>
            <w:color w:val="auto"/>
          </w:rPr>
          <w:fldChar w:fldCharType="end"/>
        </w:r>
      </w:hyperlink>
    </w:p>
    <w:p w14:paraId="131308D4" w14:textId="77777777" w:rsidR="0075791A" w:rsidRDefault="00FB2864">
      <w:pPr>
        <w:pStyle w:val="TOC1"/>
        <w:tabs>
          <w:tab w:val="right" w:leader="dot" w:pos="8300"/>
        </w:tabs>
        <w:spacing w:line="300" w:lineRule="auto"/>
        <w:rPr>
          <w:rFonts w:ascii="Times New Roman" w:eastAsia="Calibri" w:hAnsi="Times New Roman" w:cs="Calibri"/>
          <w:b/>
          <w:bCs/>
          <w:color w:val="auto"/>
        </w:rPr>
      </w:pPr>
      <w:hyperlink w:anchor="_Toc20399" w:history="1">
        <w:r>
          <w:rPr>
            <w:rFonts w:ascii="Times New Roman" w:eastAsia="Calibri" w:hAnsi="Times New Roman" w:cs="Calibri" w:hint="eastAsia"/>
            <w:b/>
            <w:bCs/>
            <w:color w:val="auto"/>
            <w:lang w:eastAsia="zh-CN"/>
          </w:rPr>
          <w:t>6</w:t>
        </w:r>
        <w:r>
          <w:rPr>
            <w:rFonts w:ascii="Times New Roman" w:eastAsia="Calibri" w:hAnsi="Times New Roman" w:cs="Calibri" w:hint="eastAsia"/>
            <w:b/>
            <w:bCs/>
            <w:color w:val="auto"/>
            <w:lang w:eastAsia="zh-CN"/>
          </w:rPr>
          <w:t>国土空间规划符合性分析</w:t>
        </w:r>
        <w:r>
          <w:rPr>
            <w:rFonts w:ascii="Times New Roman" w:eastAsia="Calibri" w:hAnsi="Times New Roman" w:cs="Calibri"/>
            <w:b/>
            <w:bCs/>
            <w:color w:val="auto"/>
          </w:rPr>
          <w:tab/>
        </w:r>
        <w:r>
          <w:rPr>
            <w:rFonts w:ascii="Times New Roman" w:eastAsia="Calibri" w:hAnsi="Times New Roman" w:cs="Calibri"/>
            <w:b/>
            <w:bCs/>
            <w:color w:val="auto"/>
          </w:rPr>
          <w:fldChar w:fldCharType="begin"/>
        </w:r>
        <w:r>
          <w:rPr>
            <w:rFonts w:ascii="Times New Roman" w:eastAsia="Calibri" w:hAnsi="Times New Roman" w:cs="Calibri"/>
            <w:b/>
            <w:bCs/>
            <w:color w:val="auto"/>
          </w:rPr>
          <w:instrText xml:space="preserve"> PAGEREF _Toc20399 \h </w:instrText>
        </w:r>
        <w:r>
          <w:rPr>
            <w:rFonts w:ascii="Times New Roman" w:eastAsia="Calibri" w:hAnsi="Times New Roman" w:cs="Calibri"/>
            <w:b/>
            <w:bCs/>
            <w:color w:val="auto"/>
          </w:rPr>
        </w:r>
        <w:r>
          <w:rPr>
            <w:rFonts w:ascii="Times New Roman" w:eastAsia="Calibri" w:hAnsi="Times New Roman" w:cs="Calibri"/>
            <w:b/>
            <w:bCs/>
            <w:color w:val="auto"/>
          </w:rPr>
          <w:fldChar w:fldCharType="separate"/>
        </w:r>
        <w:r>
          <w:rPr>
            <w:rFonts w:ascii="Times New Roman" w:eastAsia="Calibri" w:hAnsi="Times New Roman" w:cs="Calibri"/>
            <w:b/>
            <w:bCs/>
            <w:color w:val="auto"/>
          </w:rPr>
          <w:t>69</w:t>
        </w:r>
        <w:r>
          <w:rPr>
            <w:rFonts w:ascii="Times New Roman" w:eastAsia="Calibri" w:hAnsi="Times New Roman" w:cs="Calibri"/>
            <w:b/>
            <w:bCs/>
            <w:color w:val="auto"/>
          </w:rPr>
          <w:fldChar w:fldCharType="end"/>
        </w:r>
      </w:hyperlink>
    </w:p>
    <w:p w14:paraId="5C466F67" w14:textId="77777777" w:rsidR="0075791A" w:rsidRDefault="00FB2864">
      <w:pPr>
        <w:pStyle w:val="TOC2"/>
        <w:tabs>
          <w:tab w:val="right" w:leader="dot" w:pos="8300"/>
        </w:tabs>
        <w:spacing w:line="300" w:lineRule="auto"/>
        <w:rPr>
          <w:color w:val="auto"/>
        </w:rPr>
      </w:pPr>
      <w:hyperlink w:anchor="_Toc26067" w:history="1">
        <w:r>
          <w:rPr>
            <w:rFonts w:ascii="Times New Roman" w:eastAsia="宋体" w:hAnsi="Times New Roman" w:cs="Times New Roman" w:hint="eastAsia"/>
            <w:bCs/>
            <w:color w:val="auto"/>
            <w:spacing w:val="-6"/>
            <w:szCs w:val="30"/>
            <w:lang w:eastAsia="zh-CN"/>
          </w:rPr>
          <w:t>6</w:t>
        </w:r>
        <w:r>
          <w:rPr>
            <w:rFonts w:ascii="Times New Roman" w:eastAsia="Times New Roman" w:hAnsi="Times New Roman" w:cs="Times New Roman"/>
            <w:bCs/>
            <w:color w:val="auto"/>
            <w:spacing w:val="-6"/>
            <w:szCs w:val="30"/>
          </w:rPr>
          <w:t>.1所在海域国土空间规划分区基本情况</w:t>
        </w:r>
        <w:r>
          <w:rPr>
            <w:color w:val="auto"/>
          </w:rPr>
          <w:tab/>
        </w:r>
        <w:r>
          <w:rPr>
            <w:color w:val="auto"/>
          </w:rPr>
          <w:fldChar w:fldCharType="begin"/>
        </w:r>
        <w:r>
          <w:rPr>
            <w:color w:val="auto"/>
          </w:rPr>
          <w:instrText xml:space="preserve"> PAGEREF _Toc26067 \h </w:instrText>
        </w:r>
        <w:r>
          <w:rPr>
            <w:color w:val="auto"/>
          </w:rPr>
        </w:r>
        <w:r>
          <w:rPr>
            <w:color w:val="auto"/>
          </w:rPr>
          <w:fldChar w:fldCharType="separate"/>
        </w:r>
        <w:r>
          <w:rPr>
            <w:color w:val="auto"/>
          </w:rPr>
          <w:t>69</w:t>
        </w:r>
        <w:r>
          <w:rPr>
            <w:color w:val="auto"/>
          </w:rPr>
          <w:fldChar w:fldCharType="end"/>
        </w:r>
      </w:hyperlink>
    </w:p>
    <w:p w14:paraId="152C99B6" w14:textId="77777777" w:rsidR="0075791A" w:rsidRDefault="00FB2864">
      <w:pPr>
        <w:pStyle w:val="TOC2"/>
        <w:tabs>
          <w:tab w:val="right" w:leader="dot" w:pos="8300"/>
        </w:tabs>
        <w:spacing w:line="300" w:lineRule="auto"/>
        <w:rPr>
          <w:color w:val="auto"/>
        </w:rPr>
      </w:pPr>
      <w:hyperlink w:anchor="_Toc8252" w:history="1">
        <w:r>
          <w:rPr>
            <w:rFonts w:ascii="Times New Roman" w:eastAsia="宋体" w:hAnsi="Times New Roman" w:cs="Times New Roman" w:hint="eastAsia"/>
            <w:bCs/>
            <w:color w:val="auto"/>
            <w:spacing w:val="-3"/>
            <w:szCs w:val="30"/>
            <w:lang w:eastAsia="zh-CN"/>
          </w:rPr>
          <w:t>6</w:t>
        </w:r>
        <w:r>
          <w:rPr>
            <w:rFonts w:ascii="Times New Roman" w:eastAsia="Times New Roman" w:hAnsi="Times New Roman" w:cs="Times New Roman"/>
            <w:bCs/>
            <w:color w:val="auto"/>
            <w:spacing w:val="-3"/>
            <w:szCs w:val="30"/>
          </w:rPr>
          <w:t>.2</w:t>
        </w:r>
        <w:r>
          <w:rPr>
            <w:rFonts w:ascii="Times New Roman" w:eastAsia="宋体" w:hAnsi="Times New Roman" w:cs="宋体"/>
            <w:bCs/>
            <w:color w:val="auto"/>
            <w:spacing w:val="-3"/>
            <w:szCs w:val="30"/>
          </w:rPr>
          <w:t>对周边海域国土空间规划分区的影响分析</w:t>
        </w:r>
        <w:r>
          <w:rPr>
            <w:color w:val="auto"/>
          </w:rPr>
          <w:tab/>
        </w:r>
        <w:r>
          <w:rPr>
            <w:color w:val="auto"/>
          </w:rPr>
          <w:fldChar w:fldCharType="begin"/>
        </w:r>
        <w:r>
          <w:rPr>
            <w:color w:val="auto"/>
          </w:rPr>
          <w:instrText xml:space="preserve"> PAGEREF _Toc8252 \h </w:instrText>
        </w:r>
        <w:r>
          <w:rPr>
            <w:color w:val="auto"/>
          </w:rPr>
        </w:r>
        <w:r>
          <w:rPr>
            <w:color w:val="auto"/>
          </w:rPr>
          <w:fldChar w:fldCharType="separate"/>
        </w:r>
        <w:r>
          <w:rPr>
            <w:color w:val="auto"/>
          </w:rPr>
          <w:t>80</w:t>
        </w:r>
        <w:r>
          <w:rPr>
            <w:color w:val="auto"/>
          </w:rPr>
          <w:fldChar w:fldCharType="end"/>
        </w:r>
      </w:hyperlink>
    </w:p>
    <w:p w14:paraId="6B11A60B" w14:textId="77777777" w:rsidR="0075791A" w:rsidRDefault="00FB2864">
      <w:pPr>
        <w:pStyle w:val="TOC2"/>
        <w:tabs>
          <w:tab w:val="right" w:leader="dot" w:pos="8300"/>
        </w:tabs>
        <w:spacing w:line="300" w:lineRule="auto"/>
        <w:rPr>
          <w:color w:val="auto"/>
        </w:rPr>
      </w:pPr>
      <w:hyperlink w:anchor="_Toc24436" w:history="1">
        <w:r>
          <w:rPr>
            <w:rFonts w:ascii="Times New Roman" w:eastAsia="宋体" w:hAnsi="Times New Roman" w:cs="Times New Roman" w:hint="eastAsia"/>
            <w:bCs/>
            <w:color w:val="auto"/>
            <w:spacing w:val="-3"/>
            <w:szCs w:val="30"/>
            <w:lang w:eastAsia="zh-CN"/>
          </w:rPr>
          <w:t>6</w:t>
        </w:r>
        <w:r>
          <w:rPr>
            <w:rFonts w:ascii="Times New Roman" w:eastAsia="Times New Roman" w:hAnsi="Times New Roman" w:cs="Times New Roman"/>
            <w:bCs/>
            <w:color w:val="auto"/>
            <w:spacing w:val="-3"/>
            <w:szCs w:val="30"/>
          </w:rPr>
          <w:t>.3项目用海与国土空间规划的符合性分析</w:t>
        </w:r>
        <w:r>
          <w:rPr>
            <w:color w:val="auto"/>
          </w:rPr>
          <w:tab/>
        </w:r>
        <w:r>
          <w:rPr>
            <w:color w:val="auto"/>
          </w:rPr>
          <w:fldChar w:fldCharType="begin"/>
        </w:r>
        <w:r>
          <w:rPr>
            <w:color w:val="auto"/>
          </w:rPr>
          <w:instrText xml:space="preserve"> PAGEREF _Toc24436 \h </w:instrText>
        </w:r>
        <w:r>
          <w:rPr>
            <w:color w:val="auto"/>
          </w:rPr>
        </w:r>
        <w:r>
          <w:rPr>
            <w:color w:val="auto"/>
          </w:rPr>
          <w:fldChar w:fldCharType="separate"/>
        </w:r>
        <w:r>
          <w:rPr>
            <w:color w:val="auto"/>
          </w:rPr>
          <w:t>85</w:t>
        </w:r>
        <w:r>
          <w:rPr>
            <w:color w:val="auto"/>
          </w:rPr>
          <w:fldChar w:fldCharType="end"/>
        </w:r>
      </w:hyperlink>
    </w:p>
    <w:p w14:paraId="1F1BE66A" w14:textId="77777777" w:rsidR="0075791A" w:rsidRDefault="00FB2864">
      <w:pPr>
        <w:pStyle w:val="TOC1"/>
        <w:tabs>
          <w:tab w:val="right" w:leader="dot" w:pos="8300"/>
        </w:tabs>
        <w:spacing w:line="300" w:lineRule="auto"/>
        <w:rPr>
          <w:rFonts w:ascii="Times New Roman" w:eastAsia="Calibri" w:hAnsi="Times New Roman" w:cs="Calibri"/>
          <w:b/>
          <w:bCs/>
          <w:color w:val="auto"/>
        </w:rPr>
      </w:pPr>
      <w:hyperlink w:anchor="_Toc26533" w:history="1">
        <w:r>
          <w:rPr>
            <w:rFonts w:ascii="Times New Roman" w:eastAsia="Calibri" w:hAnsi="Times New Roman" w:cs="Calibri" w:hint="eastAsia"/>
            <w:b/>
            <w:bCs/>
            <w:color w:val="auto"/>
            <w:lang w:eastAsia="zh-CN"/>
          </w:rPr>
          <w:t>7</w:t>
        </w:r>
        <w:r>
          <w:rPr>
            <w:rFonts w:ascii="Times New Roman" w:eastAsia="Calibri" w:hAnsi="Times New Roman" w:cs="Calibri" w:hint="eastAsia"/>
            <w:b/>
            <w:bCs/>
            <w:color w:val="auto"/>
            <w:lang w:eastAsia="zh-CN"/>
          </w:rPr>
          <w:t>项目用海合理性分析</w:t>
        </w:r>
        <w:r>
          <w:rPr>
            <w:rFonts w:ascii="Times New Roman" w:eastAsia="Calibri" w:hAnsi="Times New Roman" w:cs="Calibri"/>
            <w:b/>
            <w:bCs/>
            <w:color w:val="auto"/>
          </w:rPr>
          <w:tab/>
        </w:r>
        <w:r>
          <w:rPr>
            <w:rFonts w:ascii="Times New Roman" w:eastAsia="Calibri" w:hAnsi="Times New Roman" w:cs="Calibri"/>
            <w:b/>
            <w:bCs/>
            <w:color w:val="auto"/>
          </w:rPr>
          <w:fldChar w:fldCharType="begin"/>
        </w:r>
        <w:r>
          <w:rPr>
            <w:rFonts w:ascii="Times New Roman" w:eastAsia="Calibri" w:hAnsi="Times New Roman" w:cs="Calibri"/>
            <w:b/>
            <w:bCs/>
            <w:color w:val="auto"/>
          </w:rPr>
          <w:instrText xml:space="preserve"> PAGEREF _Toc26533 \h </w:instrText>
        </w:r>
        <w:r>
          <w:rPr>
            <w:rFonts w:ascii="Times New Roman" w:eastAsia="Calibri" w:hAnsi="Times New Roman" w:cs="Calibri"/>
            <w:b/>
            <w:bCs/>
            <w:color w:val="auto"/>
          </w:rPr>
        </w:r>
        <w:r>
          <w:rPr>
            <w:rFonts w:ascii="Times New Roman" w:eastAsia="Calibri" w:hAnsi="Times New Roman" w:cs="Calibri"/>
            <w:b/>
            <w:bCs/>
            <w:color w:val="auto"/>
          </w:rPr>
          <w:fldChar w:fldCharType="separate"/>
        </w:r>
        <w:r>
          <w:rPr>
            <w:rFonts w:ascii="Times New Roman" w:eastAsia="Calibri" w:hAnsi="Times New Roman" w:cs="Calibri"/>
            <w:b/>
            <w:bCs/>
            <w:color w:val="auto"/>
          </w:rPr>
          <w:t>104</w:t>
        </w:r>
        <w:r>
          <w:rPr>
            <w:rFonts w:ascii="Times New Roman" w:eastAsia="Calibri" w:hAnsi="Times New Roman" w:cs="Calibri"/>
            <w:b/>
            <w:bCs/>
            <w:color w:val="auto"/>
          </w:rPr>
          <w:fldChar w:fldCharType="end"/>
        </w:r>
      </w:hyperlink>
    </w:p>
    <w:p w14:paraId="0C633213" w14:textId="77777777" w:rsidR="0075791A" w:rsidRDefault="00FB2864">
      <w:pPr>
        <w:pStyle w:val="TOC2"/>
        <w:tabs>
          <w:tab w:val="right" w:leader="dot" w:pos="8300"/>
        </w:tabs>
        <w:spacing w:line="300" w:lineRule="auto"/>
        <w:rPr>
          <w:color w:val="auto"/>
        </w:rPr>
      </w:pPr>
      <w:hyperlink w:anchor="_Toc2551" w:history="1">
        <w:r>
          <w:rPr>
            <w:rFonts w:ascii="Times New Roman" w:eastAsia="宋体" w:hAnsi="Times New Roman" w:cs="Times New Roman" w:hint="eastAsia"/>
            <w:bCs/>
            <w:color w:val="auto"/>
            <w:spacing w:val="-6"/>
            <w:szCs w:val="30"/>
            <w:lang w:eastAsia="zh-CN"/>
          </w:rPr>
          <w:t>7</w:t>
        </w:r>
        <w:r>
          <w:rPr>
            <w:rFonts w:ascii="Times New Roman" w:eastAsia="Times New Roman" w:hAnsi="Times New Roman" w:cs="Times New Roman"/>
            <w:bCs/>
            <w:color w:val="auto"/>
            <w:spacing w:val="-6"/>
            <w:szCs w:val="30"/>
          </w:rPr>
          <w:t>.1用海选址合理性分析</w:t>
        </w:r>
        <w:r>
          <w:rPr>
            <w:color w:val="auto"/>
          </w:rPr>
          <w:tab/>
        </w:r>
        <w:r>
          <w:rPr>
            <w:color w:val="auto"/>
          </w:rPr>
          <w:fldChar w:fldCharType="begin"/>
        </w:r>
        <w:r>
          <w:rPr>
            <w:color w:val="auto"/>
          </w:rPr>
          <w:instrText xml:space="preserve"> PAGEREF _Toc2551 \h </w:instrText>
        </w:r>
        <w:r>
          <w:rPr>
            <w:color w:val="auto"/>
          </w:rPr>
        </w:r>
        <w:r>
          <w:rPr>
            <w:color w:val="auto"/>
          </w:rPr>
          <w:fldChar w:fldCharType="separate"/>
        </w:r>
        <w:r>
          <w:rPr>
            <w:color w:val="auto"/>
          </w:rPr>
          <w:t>104</w:t>
        </w:r>
        <w:r>
          <w:rPr>
            <w:color w:val="auto"/>
          </w:rPr>
          <w:fldChar w:fldCharType="end"/>
        </w:r>
      </w:hyperlink>
    </w:p>
    <w:p w14:paraId="5484B3E8" w14:textId="77777777" w:rsidR="0075791A" w:rsidRDefault="00FB2864">
      <w:pPr>
        <w:pStyle w:val="TOC2"/>
        <w:tabs>
          <w:tab w:val="right" w:leader="dot" w:pos="8300"/>
        </w:tabs>
        <w:spacing w:line="300" w:lineRule="auto"/>
        <w:rPr>
          <w:color w:val="auto"/>
        </w:rPr>
      </w:pPr>
      <w:hyperlink w:anchor="_Toc3326" w:history="1">
        <w:r>
          <w:rPr>
            <w:rFonts w:ascii="Times New Roman" w:eastAsia="宋体" w:hAnsi="Times New Roman" w:cs="Times New Roman" w:hint="eastAsia"/>
            <w:bCs/>
            <w:color w:val="auto"/>
            <w:spacing w:val="-6"/>
            <w:szCs w:val="30"/>
            <w:lang w:eastAsia="zh-CN"/>
          </w:rPr>
          <w:t>7</w:t>
        </w:r>
        <w:r>
          <w:rPr>
            <w:rFonts w:ascii="Times New Roman" w:eastAsia="Times New Roman" w:hAnsi="Times New Roman" w:cs="Times New Roman"/>
            <w:bCs/>
            <w:color w:val="auto"/>
            <w:spacing w:val="-6"/>
            <w:szCs w:val="30"/>
          </w:rPr>
          <w:t>.2用海平面布置合理性分析</w:t>
        </w:r>
        <w:r>
          <w:rPr>
            <w:color w:val="auto"/>
          </w:rPr>
          <w:tab/>
        </w:r>
        <w:r>
          <w:rPr>
            <w:color w:val="auto"/>
          </w:rPr>
          <w:fldChar w:fldCharType="begin"/>
        </w:r>
        <w:r>
          <w:rPr>
            <w:color w:val="auto"/>
          </w:rPr>
          <w:instrText xml:space="preserve"> PAGEREF _Toc3326 \h </w:instrText>
        </w:r>
        <w:r>
          <w:rPr>
            <w:color w:val="auto"/>
          </w:rPr>
        </w:r>
        <w:r>
          <w:rPr>
            <w:color w:val="auto"/>
          </w:rPr>
          <w:fldChar w:fldCharType="separate"/>
        </w:r>
        <w:r>
          <w:rPr>
            <w:color w:val="auto"/>
          </w:rPr>
          <w:t>107</w:t>
        </w:r>
        <w:r>
          <w:rPr>
            <w:color w:val="auto"/>
          </w:rPr>
          <w:fldChar w:fldCharType="end"/>
        </w:r>
      </w:hyperlink>
    </w:p>
    <w:p w14:paraId="01F69D2F" w14:textId="77777777" w:rsidR="0075791A" w:rsidRDefault="00FB2864">
      <w:pPr>
        <w:pStyle w:val="TOC2"/>
        <w:tabs>
          <w:tab w:val="right" w:leader="dot" w:pos="8300"/>
        </w:tabs>
        <w:spacing w:line="300" w:lineRule="auto"/>
        <w:rPr>
          <w:color w:val="auto"/>
        </w:rPr>
      </w:pPr>
      <w:hyperlink w:anchor="_Toc13799" w:history="1">
        <w:r>
          <w:rPr>
            <w:rFonts w:ascii="Times New Roman" w:eastAsia="宋体" w:hAnsi="Times New Roman" w:cs="Times New Roman" w:hint="eastAsia"/>
            <w:bCs/>
            <w:color w:val="auto"/>
            <w:spacing w:val="-6"/>
            <w:szCs w:val="30"/>
            <w:lang w:eastAsia="zh-CN"/>
          </w:rPr>
          <w:t>7</w:t>
        </w:r>
        <w:r>
          <w:rPr>
            <w:rFonts w:ascii="Times New Roman" w:eastAsia="Times New Roman" w:hAnsi="Times New Roman" w:cs="Times New Roman"/>
            <w:bCs/>
            <w:color w:val="auto"/>
            <w:spacing w:val="-6"/>
            <w:szCs w:val="30"/>
          </w:rPr>
          <w:t>.3用海方式合理性分析</w:t>
        </w:r>
        <w:r>
          <w:rPr>
            <w:color w:val="auto"/>
          </w:rPr>
          <w:tab/>
        </w:r>
        <w:r>
          <w:rPr>
            <w:color w:val="auto"/>
          </w:rPr>
          <w:fldChar w:fldCharType="begin"/>
        </w:r>
        <w:r>
          <w:rPr>
            <w:color w:val="auto"/>
          </w:rPr>
          <w:instrText xml:space="preserve"> PAGEREF _Toc13799 \h </w:instrText>
        </w:r>
        <w:r>
          <w:rPr>
            <w:color w:val="auto"/>
          </w:rPr>
        </w:r>
        <w:r>
          <w:rPr>
            <w:color w:val="auto"/>
          </w:rPr>
          <w:fldChar w:fldCharType="separate"/>
        </w:r>
        <w:r>
          <w:rPr>
            <w:color w:val="auto"/>
          </w:rPr>
          <w:t>111</w:t>
        </w:r>
        <w:r>
          <w:rPr>
            <w:color w:val="auto"/>
          </w:rPr>
          <w:fldChar w:fldCharType="end"/>
        </w:r>
      </w:hyperlink>
    </w:p>
    <w:p w14:paraId="6CF8B5A4" w14:textId="77777777" w:rsidR="0075791A" w:rsidRDefault="00FB2864">
      <w:pPr>
        <w:pStyle w:val="TOC2"/>
        <w:tabs>
          <w:tab w:val="right" w:leader="dot" w:pos="8300"/>
        </w:tabs>
        <w:spacing w:line="300" w:lineRule="auto"/>
        <w:rPr>
          <w:color w:val="auto"/>
        </w:rPr>
      </w:pPr>
      <w:hyperlink w:anchor="_Toc5472" w:history="1">
        <w:r>
          <w:rPr>
            <w:rFonts w:ascii="Times New Roman" w:eastAsia="宋体" w:hAnsi="Times New Roman" w:cs="Times New Roman" w:hint="eastAsia"/>
            <w:bCs/>
            <w:color w:val="auto"/>
            <w:spacing w:val="-6"/>
            <w:szCs w:val="30"/>
            <w:lang w:eastAsia="zh-CN"/>
          </w:rPr>
          <w:t>7</w:t>
        </w:r>
        <w:r>
          <w:rPr>
            <w:rFonts w:ascii="Times New Roman" w:eastAsia="Times New Roman" w:hAnsi="Times New Roman" w:cs="Times New Roman"/>
            <w:bCs/>
            <w:color w:val="auto"/>
            <w:spacing w:val="-6"/>
            <w:szCs w:val="30"/>
          </w:rPr>
          <w:t>.4占用岸线合理性分析</w:t>
        </w:r>
        <w:r>
          <w:rPr>
            <w:color w:val="auto"/>
          </w:rPr>
          <w:tab/>
        </w:r>
        <w:r>
          <w:rPr>
            <w:color w:val="auto"/>
          </w:rPr>
          <w:fldChar w:fldCharType="begin"/>
        </w:r>
        <w:r>
          <w:rPr>
            <w:color w:val="auto"/>
          </w:rPr>
          <w:instrText xml:space="preserve"> PAGEREF _Toc5472 \h </w:instrText>
        </w:r>
        <w:r>
          <w:rPr>
            <w:color w:val="auto"/>
          </w:rPr>
        </w:r>
        <w:r>
          <w:rPr>
            <w:color w:val="auto"/>
          </w:rPr>
          <w:fldChar w:fldCharType="separate"/>
        </w:r>
        <w:r>
          <w:rPr>
            <w:color w:val="auto"/>
          </w:rPr>
          <w:t>111</w:t>
        </w:r>
        <w:r>
          <w:rPr>
            <w:color w:val="auto"/>
          </w:rPr>
          <w:fldChar w:fldCharType="end"/>
        </w:r>
      </w:hyperlink>
    </w:p>
    <w:p w14:paraId="1C5D3CCF" w14:textId="77777777" w:rsidR="0075791A" w:rsidRDefault="00FB2864">
      <w:pPr>
        <w:pStyle w:val="TOC2"/>
        <w:tabs>
          <w:tab w:val="right" w:leader="dot" w:pos="8300"/>
        </w:tabs>
        <w:spacing w:line="300" w:lineRule="auto"/>
        <w:rPr>
          <w:color w:val="auto"/>
        </w:rPr>
      </w:pPr>
      <w:hyperlink w:anchor="_Toc22470" w:history="1">
        <w:r>
          <w:rPr>
            <w:rFonts w:ascii="Times New Roman" w:eastAsia="宋体" w:hAnsi="Times New Roman" w:cs="Times New Roman" w:hint="eastAsia"/>
            <w:bCs/>
            <w:color w:val="auto"/>
            <w:spacing w:val="-6"/>
            <w:szCs w:val="30"/>
            <w:lang w:eastAsia="zh-CN"/>
          </w:rPr>
          <w:t>7</w:t>
        </w:r>
        <w:r>
          <w:rPr>
            <w:rFonts w:ascii="Times New Roman" w:eastAsia="Times New Roman" w:hAnsi="Times New Roman" w:cs="Times New Roman"/>
            <w:bCs/>
            <w:color w:val="auto"/>
            <w:spacing w:val="-6"/>
            <w:szCs w:val="30"/>
          </w:rPr>
          <w:t>.5用海面积合理性分析</w:t>
        </w:r>
        <w:r>
          <w:rPr>
            <w:color w:val="auto"/>
          </w:rPr>
          <w:tab/>
        </w:r>
        <w:r>
          <w:rPr>
            <w:color w:val="auto"/>
          </w:rPr>
          <w:fldChar w:fldCharType="begin"/>
        </w:r>
        <w:r>
          <w:rPr>
            <w:color w:val="auto"/>
          </w:rPr>
          <w:instrText xml:space="preserve"> PAGEREF _Toc22470 \h </w:instrText>
        </w:r>
        <w:r>
          <w:rPr>
            <w:color w:val="auto"/>
          </w:rPr>
        </w:r>
        <w:r>
          <w:rPr>
            <w:color w:val="auto"/>
          </w:rPr>
          <w:fldChar w:fldCharType="separate"/>
        </w:r>
        <w:r>
          <w:rPr>
            <w:color w:val="auto"/>
          </w:rPr>
          <w:t>112</w:t>
        </w:r>
        <w:r>
          <w:rPr>
            <w:color w:val="auto"/>
          </w:rPr>
          <w:fldChar w:fldCharType="end"/>
        </w:r>
      </w:hyperlink>
    </w:p>
    <w:p w14:paraId="3FF28EB7" w14:textId="77777777" w:rsidR="0075791A" w:rsidRDefault="00FB2864">
      <w:pPr>
        <w:pStyle w:val="TOC2"/>
        <w:tabs>
          <w:tab w:val="right" w:leader="dot" w:pos="8300"/>
        </w:tabs>
        <w:spacing w:line="300" w:lineRule="auto"/>
        <w:rPr>
          <w:color w:val="auto"/>
        </w:rPr>
      </w:pPr>
      <w:hyperlink w:anchor="_Toc24529" w:history="1">
        <w:r>
          <w:rPr>
            <w:rFonts w:ascii="Times New Roman" w:eastAsia="宋体" w:hAnsi="Times New Roman" w:cs="Times New Roman" w:hint="eastAsia"/>
            <w:bCs/>
            <w:color w:val="auto"/>
            <w:spacing w:val="-6"/>
            <w:szCs w:val="30"/>
            <w:lang w:eastAsia="zh-CN"/>
          </w:rPr>
          <w:t>7</w:t>
        </w:r>
        <w:r>
          <w:rPr>
            <w:rFonts w:ascii="Times New Roman" w:eastAsia="Times New Roman" w:hAnsi="Times New Roman" w:cs="Times New Roman"/>
            <w:bCs/>
            <w:color w:val="auto"/>
            <w:spacing w:val="-6"/>
            <w:szCs w:val="30"/>
          </w:rPr>
          <w:t>.6用海期限合理性分析</w:t>
        </w:r>
        <w:r>
          <w:rPr>
            <w:color w:val="auto"/>
          </w:rPr>
          <w:tab/>
        </w:r>
        <w:r>
          <w:rPr>
            <w:color w:val="auto"/>
          </w:rPr>
          <w:fldChar w:fldCharType="begin"/>
        </w:r>
        <w:r>
          <w:rPr>
            <w:color w:val="auto"/>
          </w:rPr>
          <w:instrText xml:space="preserve"> PAGEREF _Toc24529 \h </w:instrText>
        </w:r>
        <w:r>
          <w:rPr>
            <w:color w:val="auto"/>
          </w:rPr>
        </w:r>
        <w:r>
          <w:rPr>
            <w:color w:val="auto"/>
          </w:rPr>
          <w:fldChar w:fldCharType="separate"/>
        </w:r>
        <w:r>
          <w:rPr>
            <w:color w:val="auto"/>
          </w:rPr>
          <w:t>125</w:t>
        </w:r>
        <w:r>
          <w:rPr>
            <w:color w:val="auto"/>
          </w:rPr>
          <w:fldChar w:fldCharType="end"/>
        </w:r>
      </w:hyperlink>
    </w:p>
    <w:p w14:paraId="5759E130" w14:textId="77777777" w:rsidR="0075791A" w:rsidRDefault="00FB2864">
      <w:pPr>
        <w:pStyle w:val="TOC1"/>
        <w:tabs>
          <w:tab w:val="right" w:leader="dot" w:pos="8300"/>
        </w:tabs>
        <w:spacing w:line="300" w:lineRule="auto"/>
        <w:rPr>
          <w:rFonts w:ascii="Times New Roman" w:eastAsia="Calibri" w:hAnsi="Times New Roman" w:cs="Calibri"/>
          <w:b/>
          <w:bCs/>
          <w:color w:val="auto"/>
        </w:rPr>
      </w:pPr>
      <w:hyperlink w:anchor="_Toc17639" w:history="1">
        <w:r>
          <w:rPr>
            <w:rFonts w:ascii="Times New Roman" w:eastAsia="Calibri" w:hAnsi="Times New Roman" w:cs="Calibri" w:hint="eastAsia"/>
            <w:b/>
            <w:bCs/>
            <w:color w:val="auto"/>
            <w:lang w:eastAsia="zh-CN"/>
          </w:rPr>
          <w:t>8</w:t>
        </w:r>
        <w:r>
          <w:rPr>
            <w:rFonts w:ascii="Times New Roman" w:eastAsia="Calibri" w:hAnsi="Times New Roman" w:cs="Calibri" w:hint="eastAsia"/>
            <w:b/>
            <w:bCs/>
            <w:color w:val="auto"/>
            <w:lang w:eastAsia="zh-CN"/>
          </w:rPr>
          <w:t>生态用海对策措施</w:t>
        </w:r>
        <w:r>
          <w:rPr>
            <w:rFonts w:ascii="Times New Roman" w:eastAsia="Calibri" w:hAnsi="Times New Roman" w:cs="Calibri"/>
            <w:b/>
            <w:bCs/>
            <w:color w:val="auto"/>
          </w:rPr>
          <w:tab/>
        </w:r>
        <w:r>
          <w:rPr>
            <w:rFonts w:ascii="Times New Roman" w:eastAsia="Calibri" w:hAnsi="Times New Roman" w:cs="Calibri"/>
            <w:b/>
            <w:bCs/>
            <w:color w:val="auto"/>
          </w:rPr>
          <w:fldChar w:fldCharType="begin"/>
        </w:r>
        <w:r>
          <w:rPr>
            <w:rFonts w:ascii="Times New Roman" w:eastAsia="Calibri" w:hAnsi="Times New Roman" w:cs="Calibri"/>
            <w:b/>
            <w:bCs/>
            <w:color w:val="auto"/>
          </w:rPr>
          <w:instrText xml:space="preserve"> PAGEREF _Toc17639 \h </w:instrText>
        </w:r>
        <w:r>
          <w:rPr>
            <w:rFonts w:ascii="Times New Roman" w:eastAsia="Calibri" w:hAnsi="Times New Roman" w:cs="Calibri"/>
            <w:b/>
            <w:bCs/>
            <w:color w:val="auto"/>
          </w:rPr>
        </w:r>
        <w:r>
          <w:rPr>
            <w:rFonts w:ascii="Times New Roman" w:eastAsia="Calibri" w:hAnsi="Times New Roman" w:cs="Calibri"/>
            <w:b/>
            <w:bCs/>
            <w:color w:val="auto"/>
          </w:rPr>
          <w:fldChar w:fldCharType="separate"/>
        </w:r>
        <w:r>
          <w:rPr>
            <w:rFonts w:ascii="Times New Roman" w:eastAsia="Calibri" w:hAnsi="Times New Roman" w:cs="Calibri"/>
            <w:b/>
            <w:bCs/>
            <w:color w:val="auto"/>
          </w:rPr>
          <w:t>126</w:t>
        </w:r>
        <w:r>
          <w:rPr>
            <w:rFonts w:ascii="Times New Roman" w:eastAsia="Calibri" w:hAnsi="Times New Roman" w:cs="Calibri"/>
            <w:b/>
            <w:bCs/>
            <w:color w:val="auto"/>
          </w:rPr>
          <w:fldChar w:fldCharType="end"/>
        </w:r>
      </w:hyperlink>
    </w:p>
    <w:p w14:paraId="2E20DF0E" w14:textId="77777777" w:rsidR="0075791A" w:rsidRDefault="00FB2864">
      <w:pPr>
        <w:pStyle w:val="TOC2"/>
        <w:tabs>
          <w:tab w:val="right" w:leader="dot" w:pos="8300"/>
        </w:tabs>
        <w:spacing w:line="300" w:lineRule="auto"/>
        <w:rPr>
          <w:color w:val="auto"/>
        </w:rPr>
      </w:pPr>
      <w:hyperlink w:anchor="_Toc7476" w:history="1">
        <w:r>
          <w:rPr>
            <w:rFonts w:ascii="Times New Roman" w:eastAsia="宋体" w:hAnsi="Times New Roman" w:cs="Times New Roman" w:hint="eastAsia"/>
            <w:bCs/>
            <w:color w:val="auto"/>
            <w:spacing w:val="-6"/>
            <w:szCs w:val="30"/>
            <w:lang w:eastAsia="zh-CN"/>
          </w:rPr>
          <w:t>8.1</w:t>
        </w:r>
        <w:r>
          <w:rPr>
            <w:rFonts w:ascii="Times New Roman" w:eastAsia="宋体" w:hAnsi="Times New Roman" w:cs="Times New Roman" w:hint="eastAsia"/>
            <w:bCs/>
            <w:color w:val="auto"/>
            <w:spacing w:val="-6"/>
            <w:szCs w:val="30"/>
            <w:lang w:eastAsia="zh-CN"/>
          </w:rPr>
          <w:t>项目用海主要生态问题</w:t>
        </w:r>
        <w:r>
          <w:rPr>
            <w:color w:val="auto"/>
          </w:rPr>
          <w:tab/>
        </w:r>
        <w:r>
          <w:rPr>
            <w:color w:val="auto"/>
          </w:rPr>
          <w:fldChar w:fldCharType="begin"/>
        </w:r>
        <w:r>
          <w:rPr>
            <w:color w:val="auto"/>
          </w:rPr>
          <w:instrText xml:space="preserve"> PAGEREF _Toc7476 \h </w:instrText>
        </w:r>
        <w:r>
          <w:rPr>
            <w:color w:val="auto"/>
          </w:rPr>
        </w:r>
        <w:r>
          <w:rPr>
            <w:color w:val="auto"/>
          </w:rPr>
          <w:fldChar w:fldCharType="separate"/>
        </w:r>
        <w:r>
          <w:rPr>
            <w:color w:val="auto"/>
          </w:rPr>
          <w:t>126</w:t>
        </w:r>
        <w:r>
          <w:rPr>
            <w:color w:val="auto"/>
          </w:rPr>
          <w:fldChar w:fldCharType="end"/>
        </w:r>
      </w:hyperlink>
    </w:p>
    <w:p w14:paraId="3E19F626" w14:textId="77777777" w:rsidR="0075791A" w:rsidRDefault="00FB2864">
      <w:pPr>
        <w:pStyle w:val="TOC2"/>
        <w:tabs>
          <w:tab w:val="right" w:leader="dot" w:pos="8300"/>
        </w:tabs>
        <w:spacing w:line="300" w:lineRule="auto"/>
        <w:rPr>
          <w:color w:val="auto"/>
        </w:rPr>
      </w:pPr>
      <w:hyperlink w:anchor="_Toc16402" w:history="1">
        <w:r>
          <w:rPr>
            <w:rFonts w:ascii="Times New Roman" w:eastAsia="宋体" w:hAnsi="Times New Roman" w:cs="Times New Roman" w:hint="eastAsia"/>
            <w:bCs/>
            <w:color w:val="auto"/>
            <w:spacing w:val="-6"/>
            <w:szCs w:val="30"/>
            <w:lang w:eastAsia="zh-CN"/>
          </w:rPr>
          <w:t>8</w:t>
        </w:r>
        <w:r>
          <w:rPr>
            <w:rFonts w:ascii="Times New Roman" w:eastAsia="Times New Roman" w:hAnsi="Times New Roman" w:cs="Times New Roman"/>
            <w:bCs/>
            <w:color w:val="auto"/>
            <w:spacing w:val="-6"/>
            <w:szCs w:val="30"/>
          </w:rPr>
          <w:t>.</w:t>
        </w:r>
        <w:r>
          <w:rPr>
            <w:rFonts w:ascii="Times New Roman" w:eastAsia="宋体" w:hAnsi="Times New Roman" w:cs="Times New Roman" w:hint="eastAsia"/>
            <w:bCs/>
            <w:color w:val="auto"/>
            <w:spacing w:val="-6"/>
            <w:szCs w:val="30"/>
            <w:lang w:eastAsia="zh-CN"/>
          </w:rPr>
          <w:t>2</w:t>
        </w:r>
        <w:r>
          <w:rPr>
            <w:rFonts w:ascii="Times New Roman" w:eastAsia="Times New Roman" w:hAnsi="Times New Roman" w:cs="Times New Roman"/>
            <w:bCs/>
            <w:color w:val="auto"/>
            <w:spacing w:val="-6"/>
            <w:szCs w:val="30"/>
          </w:rPr>
          <w:t>生态用海对策</w:t>
        </w:r>
        <w:r>
          <w:rPr>
            <w:color w:val="auto"/>
          </w:rPr>
          <w:tab/>
        </w:r>
        <w:r>
          <w:rPr>
            <w:color w:val="auto"/>
          </w:rPr>
          <w:fldChar w:fldCharType="begin"/>
        </w:r>
        <w:r>
          <w:rPr>
            <w:color w:val="auto"/>
          </w:rPr>
          <w:instrText xml:space="preserve"> PAGEREF _Toc16402 \h </w:instrText>
        </w:r>
        <w:r>
          <w:rPr>
            <w:color w:val="auto"/>
          </w:rPr>
        </w:r>
        <w:r>
          <w:rPr>
            <w:color w:val="auto"/>
          </w:rPr>
          <w:fldChar w:fldCharType="separate"/>
        </w:r>
        <w:r>
          <w:rPr>
            <w:color w:val="auto"/>
          </w:rPr>
          <w:t>128</w:t>
        </w:r>
        <w:r>
          <w:rPr>
            <w:color w:val="auto"/>
          </w:rPr>
          <w:fldChar w:fldCharType="end"/>
        </w:r>
      </w:hyperlink>
    </w:p>
    <w:p w14:paraId="0504F663" w14:textId="77777777" w:rsidR="0075791A" w:rsidRDefault="00FB2864">
      <w:pPr>
        <w:pStyle w:val="TOC2"/>
        <w:tabs>
          <w:tab w:val="right" w:leader="dot" w:pos="8300"/>
        </w:tabs>
        <w:spacing w:line="300" w:lineRule="auto"/>
        <w:rPr>
          <w:color w:val="auto"/>
        </w:rPr>
      </w:pPr>
      <w:hyperlink w:anchor="_Toc19669" w:history="1">
        <w:r>
          <w:rPr>
            <w:rFonts w:ascii="Times New Roman" w:eastAsia="宋体" w:hAnsi="Times New Roman" w:cs="Times New Roman" w:hint="eastAsia"/>
            <w:bCs/>
            <w:color w:val="auto"/>
            <w:spacing w:val="-6"/>
            <w:szCs w:val="30"/>
            <w:lang w:eastAsia="zh-CN"/>
          </w:rPr>
          <w:t>8</w:t>
        </w:r>
        <w:r>
          <w:rPr>
            <w:rFonts w:ascii="Times New Roman" w:eastAsia="Times New Roman" w:hAnsi="Times New Roman" w:cs="Times New Roman"/>
            <w:bCs/>
            <w:color w:val="auto"/>
            <w:spacing w:val="-6"/>
            <w:szCs w:val="30"/>
          </w:rPr>
          <w:t>.</w:t>
        </w:r>
        <w:r>
          <w:rPr>
            <w:rFonts w:ascii="Times New Roman" w:eastAsia="宋体" w:hAnsi="Times New Roman" w:cs="Times New Roman" w:hint="eastAsia"/>
            <w:bCs/>
            <w:color w:val="auto"/>
            <w:spacing w:val="-6"/>
            <w:szCs w:val="30"/>
            <w:lang w:eastAsia="zh-CN"/>
          </w:rPr>
          <w:t>3</w:t>
        </w:r>
        <w:r>
          <w:rPr>
            <w:rFonts w:ascii="Times New Roman" w:eastAsia="Times New Roman" w:hAnsi="Times New Roman" w:cs="Times New Roman"/>
            <w:bCs/>
            <w:color w:val="auto"/>
            <w:spacing w:val="-6"/>
            <w:szCs w:val="30"/>
          </w:rPr>
          <w:t>生态保护修复措施</w:t>
        </w:r>
        <w:r>
          <w:rPr>
            <w:color w:val="auto"/>
          </w:rPr>
          <w:tab/>
        </w:r>
        <w:r>
          <w:rPr>
            <w:color w:val="auto"/>
          </w:rPr>
          <w:fldChar w:fldCharType="begin"/>
        </w:r>
        <w:r>
          <w:rPr>
            <w:color w:val="auto"/>
          </w:rPr>
          <w:instrText xml:space="preserve"> PAGEREF _Toc19669 \h </w:instrText>
        </w:r>
        <w:r>
          <w:rPr>
            <w:color w:val="auto"/>
          </w:rPr>
        </w:r>
        <w:r>
          <w:rPr>
            <w:color w:val="auto"/>
          </w:rPr>
          <w:fldChar w:fldCharType="separate"/>
        </w:r>
        <w:r>
          <w:rPr>
            <w:color w:val="auto"/>
          </w:rPr>
          <w:t>142</w:t>
        </w:r>
        <w:r>
          <w:rPr>
            <w:color w:val="auto"/>
          </w:rPr>
          <w:fldChar w:fldCharType="end"/>
        </w:r>
      </w:hyperlink>
    </w:p>
    <w:p w14:paraId="2A6CDAA1" w14:textId="77777777" w:rsidR="0075791A" w:rsidRDefault="00FB2864">
      <w:pPr>
        <w:pStyle w:val="TOC1"/>
        <w:tabs>
          <w:tab w:val="right" w:leader="dot" w:pos="8300"/>
        </w:tabs>
        <w:spacing w:line="300" w:lineRule="auto"/>
        <w:rPr>
          <w:rFonts w:ascii="Times New Roman" w:eastAsia="Calibri" w:hAnsi="Times New Roman" w:cs="Calibri"/>
          <w:b/>
          <w:bCs/>
          <w:color w:val="auto"/>
        </w:rPr>
      </w:pPr>
      <w:hyperlink w:anchor="_Toc7269" w:history="1">
        <w:r>
          <w:rPr>
            <w:rFonts w:ascii="Times New Roman" w:eastAsia="Calibri" w:hAnsi="Times New Roman" w:cs="Calibri" w:hint="eastAsia"/>
            <w:b/>
            <w:bCs/>
            <w:color w:val="auto"/>
            <w:lang w:eastAsia="zh-CN"/>
          </w:rPr>
          <w:t>9</w:t>
        </w:r>
        <w:r>
          <w:rPr>
            <w:rFonts w:ascii="Times New Roman" w:eastAsia="Calibri" w:hAnsi="Times New Roman" w:cs="Calibri" w:hint="eastAsia"/>
            <w:b/>
            <w:bCs/>
            <w:color w:val="auto"/>
            <w:lang w:eastAsia="zh-CN"/>
          </w:rPr>
          <w:t>结论</w:t>
        </w:r>
        <w:r>
          <w:rPr>
            <w:rFonts w:ascii="Times New Roman" w:eastAsia="Calibri" w:hAnsi="Times New Roman" w:cs="Calibri"/>
            <w:b/>
            <w:bCs/>
            <w:color w:val="auto"/>
          </w:rPr>
          <w:tab/>
        </w:r>
        <w:r>
          <w:rPr>
            <w:rFonts w:ascii="Times New Roman" w:eastAsia="Calibri" w:hAnsi="Times New Roman" w:cs="Calibri"/>
            <w:b/>
            <w:bCs/>
            <w:color w:val="auto"/>
          </w:rPr>
          <w:fldChar w:fldCharType="begin"/>
        </w:r>
        <w:r>
          <w:rPr>
            <w:rFonts w:ascii="Times New Roman" w:eastAsia="Calibri" w:hAnsi="Times New Roman" w:cs="Calibri"/>
            <w:b/>
            <w:bCs/>
            <w:color w:val="auto"/>
          </w:rPr>
          <w:instrText xml:space="preserve"> </w:instrText>
        </w:r>
        <w:r>
          <w:rPr>
            <w:rFonts w:ascii="Times New Roman" w:eastAsia="Calibri" w:hAnsi="Times New Roman" w:cs="Calibri"/>
            <w:b/>
            <w:bCs/>
            <w:color w:val="auto"/>
          </w:rPr>
          <w:instrText xml:space="preserve">PAGEREF _Toc7269 \h </w:instrText>
        </w:r>
        <w:r>
          <w:rPr>
            <w:rFonts w:ascii="Times New Roman" w:eastAsia="Calibri" w:hAnsi="Times New Roman" w:cs="Calibri"/>
            <w:b/>
            <w:bCs/>
            <w:color w:val="auto"/>
          </w:rPr>
        </w:r>
        <w:r>
          <w:rPr>
            <w:rFonts w:ascii="Times New Roman" w:eastAsia="Calibri" w:hAnsi="Times New Roman" w:cs="Calibri"/>
            <w:b/>
            <w:bCs/>
            <w:color w:val="auto"/>
          </w:rPr>
          <w:fldChar w:fldCharType="separate"/>
        </w:r>
        <w:r>
          <w:rPr>
            <w:rFonts w:ascii="Times New Roman" w:eastAsia="Calibri" w:hAnsi="Times New Roman" w:cs="Calibri"/>
            <w:b/>
            <w:bCs/>
            <w:color w:val="auto"/>
          </w:rPr>
          <w:t>143</w:t>
        </w:r>
        <w:r>
          <w:rPr>
            <w:rFonts w:ascii="Times New Roman" w:eastAsia="Calibri" w:hAnsi="Times New Roman" w:cs="Calibri"/>
            <w:b/>
            <w:bCs/>
            <w:color w:val="auto"/>
          </w:rPr>
          <w:fldChar w:fldCharType="end"/>
        </w:r>
      </w:hyperlink>
    </w:p>
    <w:p w14:paraId="2D0C21D7" w14:textId="77777777" w:rsidR="0075791A" w:rsidRDefault="00FB2864">
      <w:pPr>
        <w:pStyle w:val="TOC2"/>
        <w:tabs>
          <w:tab w:val="right" w:leader="dot" w:pos="8300"/>
        </w:tabs>
        <w:spacing w:line="300" w:lineRule="auto"/>
        <w:rPr>
          <w:color w:val="auto"/>
        </w:rPr>
      </w:pPr>
      <w:hyperlink w:anchor="_Toc2647" w:history="1">
        <w:r>
          <w:rPr>
            <w:rFonts w:ascii="Times New Roman" w:eastAsia="宋体" w:hAnsi="Times New Roman" w:cs="Times New Roman" w:hint="eastAsia"/>
            <w:bCs/>
            <w:color w:val="auto"/>
            <w:spacing w:val="-6"/>
            <w:szCs w:val="30"/>
            <w:lang w:eastAsia="zh-CN"/>
          </w:rPr>
          <w:t>9</w:t>
        </w:r>
        <w:r>
          <w:rPr>
            <w:rFonts w:ascii="Times New Roman" w:eastAsia="Times New Roman" w:hAnsi="Times New Roman" w:cs="Times New Roman"/>
            <w:bCs/>
            <w:color w:val="auto"/>
            <w:spacing w:val="-6"/>
            <w:szCs w:val="30"/>
          </w:rPr>
          <w:t>.1项目用海基本情况</w:t>
        </w:r>
        <w:r>
          <w:rPr>
            <w:color w:val="auto"/>
          </w:rPr>
          <w:tab/>
        </w:r>
        <w:r>
          <w:rPr>
            <w:color w:val="auto"/>
          </w:rPr>
          <w:fldChar w:fldCharType="begin"/>
        </w:r>
        <w:r>
          <w:rPr>
            <w:color w:val="auto"/>
          </w:rPr>
          <w:instrText xml:space="preserve"> PAGEREF _Toc2647 \h </w:instrText>
        </w:r>
        <w:r>
          <w:rPr>
            <w:color w:val="auto"/>
          </w:rPr>
        </w:r>
        <w:r>
          <w:rPr>
            <w:color w:val="auto"/>
          </w:rPr>
          <w:fldChar w:fldCharType="separate"/>
        </w:r>
        <w:r>
          <w:rPr>
            <w:color w:val="auto"/>
          </w:rPr>
          <w:t>143</w:t>
        </w:r>
        <w:r>
          <w:rPr>
            <w:color w:val="auto"/>
          </w:rPr>
          <w:fldChar w:fldCharType="end"/>
        </w:r>
      </w:hyperlink>
    </w:p>
    <w:p w14:paraId="457AF64B" w14:textId="77777777" w:rsidR="0075791A" w:rsidRDefault="00FB2864">
      <w:pPr>
        <w:pStyle w:val="TOC2"/>
        <w:tabs>
          <w:tab w:val="right" w:leader="dot" w:pos="8300"/>
        </w:tabs>
        <w:spacing w:line="300" w:lineRule="auto"/>
        <w:rPr>
          <w:color w:val="auto"/>
        </w:rPr>
      </w:pPr>
      <w:hyperlink w:anchor="_Toc12298" w:history="1">
        <w:r>
          <w:rPr>
            <w:rFonts w:ascii="Times New Roman" w:eastAsia="宋体" w:hAnsi="Times New Roman" w:cs="Times New Roman" w:hint="eastAsia"/>
            <w:bCs/>
            <w:color w:val="auto"/>
            <w:spacing w:val="-5"/>
            <w:szCs w:val="30"/>
            <w:lang w:eastAsia="zh-CN"/>
          </w:rPr>
          <w:t>9</w:t>
        </w:r>
        <w:r>
          <w:rPr>
            <w:rFonts w:ascii="Times New Roman" w:eastAsia="Times New Roman" w:hAnsi="Times New Roman" w:cs="Times New Roman"/>
            <w:bCs/>
            <w:color w:val="auto"/>
            <w:spacing w:val="-5"/>
            <w:szCs w:val="30"/>
          </w:rPr>
          <w:t>.2项目用海的必要性结论</w:t>
        </w:r>
        <w:r>
          <w:rPr>
            <w:color w:val="auto"/>
          </w:rPr>
          <w:tab/>
        </w:r>
        <w:r>
          <w:rPr>
            <w:color w:val="auto"/>
          </w:rPr>
          <w:fldChar w:fldCharType="begin"/>
        </w:r>
        <w:r>
          <w:rPr>
            <w:color w:val="auto"/>
          </w:rPr>
          <w:instrText xml:space="preserve"> PAGEREF _Toc12298 \h </w:instrText>
        </w:r>
        <w:r>
          <w:rPr>
            <w:color w:val="auto"/>
          </w:rPr>
        </w:r>
        <w:r>
          <w:rPr>
            <w:color w:val="auto"/>
          </w:rPr>
          <w:fldChar w:fldCharType="separate"/>
        </w:r>
        <w:r>
          <w:rPr>
            <w:color w:val="auto"/>
          </w:rPr>
          <w:t>143</w:t>
        </w:r>
        <w:r>
          <w:rPr>
            <w:color w:val="auto"/>
          </w:rPr>
          <w:fldChar w:fldCharType="end"/>
        </w:r>
      </w:hyperlink>
    </w:p>
    <w:p w14:paraId="19477623" w14:textId="77777777" w:rsidR="0075791A" w:rsidRDefault="00FB2864">
      <w:pPr>
        <w:pStyle w:val="TOC2"/>
        <w:tabs>
          <w:tab w:val="right" w:leader="dot" w:pos="8300"/>
        </w:tabs>
        <w:spacing w:line="300" w:lineRule="auto"/>
        <w:rPr>
          <w:color w:val="auto"/>
        </w:rPr>
      </w:pPr>
      <w:hyperlink w:anchor="_Toc8203" w:history="1">
        <w:r>
          <w:rPr>
            <w:rFonts w:ascii="Times New Roman" w:eastAsia="宋体" w:hAnsi="Times New Roman" w:cs="Times New Roman" w:hint="eastAsia"/>
            <w:bCs/>
            <w:color w:val="auto"/>
            <w:spacing w:val="-5"/>
            <w:szCs w:val="30"/>
            <w:lang w:eastAsia="zh-CN"/>
          </w:rPr>
          <w:t>9</w:t>
        </w:r>
        <w:r>
          <w:rPr>
            <w:rFonts w:ascii="Times New Roman" w:eastAsia="Times New Roman" w:hAnsi="Times New Roman" w:cs="Times New Roman"/>
            <w:bCs/>
            <w:color w:val="auto"/>
            <w:spacing w:val="-5"/>
            <w:szCs w:val="30"/>
          </w:rPr>
          <w:t>.3项目用海资源环境影响分析结论</w:t>
        </w:r>
        <w:r>
          <w:rPr>
            <w:color w:val="auto"/>
          </w:rPr>
          <w:tab/>
        </w:r>
        <w:r>
          <w:rPr>
            <w:color w:val="auto"/>
          </w:rPr>
          <w:fldChar w:fldCharType="begin"/>
        </w:r>
        <w:r>
          <w:rPr>
            <w:color w:val="auto"/>
          </w:rPr>
          <w:instrText xml:space="preserve"> PAGEREF _Toc8203 \h </w:instrText>
        </w:r>
        <w:r>
          <w:rPr>
            <w:color w:val="auto"/>
          </w:rPr>
        </w:r>
        <w:r>
          <w:rPr>
            <w:color w:val="auto"/>
          </w:rPr>
          <w:fldChar w:fldCharType="separate"/>
        </w:r>
        <w:r>
          <w:rPr>
            <w:color w:val="auto"/>
          </w:rPr>
          <w:t>143</w:t>
        </w:r>
        <w:r>
          <w:rPr>
            <w:color w:val="auto"/>
          </w:rPr>
          <w:fldChar w:fldCharType="end"/>
        </w:r>
      </w:hyperlink>
    </w:p>
    <w:p w14:paraId="658BDCDA" w14:textId="77777777" w:rsidR="0075791A" w:rsidRDefault="00FB2864">
      <w:pPr>
        <w:pStyle w:val="TOC2"/>
        <w:tabs>
          <w:tab w:val="right" w:leader="dot" w:pos="8300"/>
        </w:tabs>
        <w:spacing w:line="300" w:lineRule="auto"/>
        <w:rPr>
          <w:color w:val="auto"/>
        </w:rPr>
      </w:pPr>
      <w:hyperlink w:anchor="_Toc23984" w:history="1">
        <w:r>
          <w:rPr>
            <w:rFonts w:ascii="Times New Roman" w:eastAsia="宋体" w:hAnsi="Times New Roman" w:cs="Times New Roman" w:hint="eastAsia"/>
            <w:bCs/>
            <w:color w:val="auto"/>
            <w:spacing w:val="-5"/>
            <w:szCs w:val="30"/>
            <w:lang w:eastAsia="zh-CN"/>
          </w:rPr>
          <w:t>9</w:t>
        </w:r>
        <w:r>
          <w:rPr>
            <w:rFonts w:ascii="Times New Roman" w:eastAsia="Times New Roman" w:hAnsi="Times New Roman" w:cs="Times New Roman"/>
            <w:bCs/>
            <w:color w:val="auto"/>
            <w:spacing w:val="-5"/>
            <w:szCs w:val="30"/>
          </w:rPr>
          <w:t>.4海域开发利用协调分析结论</w:t>
        </w:r>
        <w:r>
          <w:rPr>
            <w:color w:val="auto"/>
          </w:rPr>
          <w:tab/>
        </w:r>
        <w:r>
          <w:rPr>
            <w:color w:val="auto"/>
          </w:rPr>
          <w:fldChar w:fldCharType="begin"/>
        </w:r>
        <w:r>
          <w:rPr>
            <w:color w:val="auto"/>
          </w:rPr>
          <w:instrText xml:space="preserve"> PAGEREF _Toc23984 \h </w:instrText>
        </w:r>
        <w:r>
          <w:rPr>
            <w:color w:val="auto"/>
          </w:rPr>
        </w:r>
        <w:r>
          <w:rPr>
            <w:color w:val="auto"/>
          </w:rPr>
          <w:fldChar w:fldCharType="separate"/>
        </w:r>
        <w:r>
          <w:rPr>
            <w:color w:val="auto"/>
          </w:rPr>
          <w:t>144</w:t>
        </w:r>
        <w:r>
          <w:rPr>
            <w:color w:val="auto"/>
          </w:rPr>
          <w:fldChar w:fldCharType="end"/>
        </w:r>
      </w:hyperlink>
    </w:p>
    <w:p w14:paraId="41A4839E" w14:textId="77777777" w:rsidR="0075791A" w:rsidRDefault="00FB2864">
      <w:pPr>
        <w:pStyle w:val="TOC2"/>
        <w:tabs>
          <w:tab w:val="right" w:leader="dot" w:pos="8300"/>
        </w:tabs>
        <w:spacing w:line="300" w:lineRule="auto"/>
        <w:rPr>
          <w:color w:val="auto"/>
        </w:rPr>
      </w:pPr>
      <w:hyperlink w:anchor="_Toc10484" w:history="1">
        <w:r>
          <w:rPr>
            <w:rFonts w:ascii="Times New Roman" w:eastAsia="宋体" w:hAnsi="Times New Roman" w:cs="Times New Roman" w:hint="eastAsia"/>
            <w:bCs/>
            <w:color w:val="auto"/>
            <w:spacing w:val="-5"/>
            <w:szCs w:val="30"/>
            <w:lang w:eastAsia="zh-CN"/>
          </w:rPr>
          <w:t>9</w:t>
        </w:r>
        <w:r>
          <w:rPr>
            <w:rFonts w:ascii="Times New Roman" w:eastAsia="Times New Roman" w:hAnsi="Times New Roman" w:cs="Times New Roman"/>
            <w:bCs/>
            <w:color w:val="auto"/>
            <w:spacing w:val="-5"/>
            <w:szCs w:val="30"/>
          </w:rPr>
          <w:t>.5项目用海与国土空间规划的符合性结论</w:t>
        </w:r>
        <w:r>
          <w:rPr>
            <w:color w:val="auto"/>
          </w:rPr>
          <w:tab/>
        </w:r>
        <w:r>
          <w:rPr>
            <w:color w:val="auto"/>
          </w:rPr>
          <w:fldChar w:fldCharType="begin"/>
        </w:r>
        <w:r>
          <w:rPr>
            <w:color w:val="auto"/>
          </w:rPr>
          <w:instrText xml:space="preserve"> PAGEREF _Toc10</w:instrText>
        </w:r>
        <w:r>
          <w:rPr>
            <w:color w:val="auto"/>
          </w:rPr>
          <w:instrText xml:space="preserve">484 \h </w:instrText>
        </w:r>
        <w:r>
          <w:rPr>
            <w:color w:val="auto"/>
          </w:rPr>
        </w:r>
        <w:r>
          <w:rPr>
            <w:color w:val="auto"/>
          </w:rPr>
          <w:fldChar w:fldCharType="separate"/>
        </w:r>
        <w:r>
          <w:rPr>
            <w:color w:val="auto"/>
          </w:rPr>
          <w:t>144</w:t>
        </w:r>
        <w:r>
          <w:rPr>
            <w:color w:val="auto"/>
          </w:rPr>
          <w:fldChar w:fldCharType="end"/>
        </w:r>
      </w:hyperlink>
    </w:p>
    <w:p w14:paraId="5F5A17DE" w14:textId="77777777" w:rsidR="0075791A" w:rsidRDefault="00FB2864">
      <w:pPr>
        <w:pStyle w:val="TOC2"/>
        <w:tabs>
          <w:tab w:val="right" w:leader="dot" w:pos="8300"/>
        </w:tabs>
        <w:spacing w:line="300" w:lineRule="auto"/>
        <w:rPr>
          <w:color w:val="auto"/>
        </w:rPr>
      </w:pPr>
      <w:hyperlink w:anchor="_Toc29440" w:history="1">
        <w:r>
          <w:rPr>
            <w:rFonts w:ascii="Times New Roman" w:eastAsia="宋体" w:hAnsi="Times New Roman" w:cs="Times New Roman" w:hint="eastAsia"/>
            <w:bCs/>
            <w:color w:val="auto"/>
            <w:spacing w:val="-5"/>
            <w:szCs w:val="30"/>
            <w:lang w:eastAsia="zh-CN"/>
          </w:rPr>
          <w:t>9</w:t>
        </w:r>
        <w:r>
          <w:rPr>
            <w:rFonts w:ascii="Times New Roman" w:eastAsia="Times New Roman" w:hAnsi="Times New Roman" w:cs="Times New Roman"/>
            <w:bCs/>
            <w:color w:val="auto"/>
            <w:spacing w:val="-5"/>
            <w:szCs w:val="30"/>
          </w:rPr>
          <w:t>.6项目用海的合理性结论</w:t>
        </w:r>
        <w:r>
          <w:rPr>
            <w:color w:val="auto"/>
          </w:rPr>
          <w:tab/>
        </w:r>
        <w:r>
          <w:rPr>
            <w:color w:val="auto"/>
          </w:rPr>
          <w:fldChar w:fldCharType="begin"/>
        </w:r>
        <w:r>
          <w:rPr>
            <w:color w:val="auto"/>
          </w:rPr>
          <w:instrText xml:space="preserve"> PAGEREF _Toc29440 \h </w:instrText>
        </w:r>
        <w:r>
          <w:rPr>
            <w:color w:val="auto"/>
          </w:rPr>
        </w:r>
        <w:r>
          <w:rPr>
            <w:color w:val="auto"/>
          </w:rPr>
          <w:fldChar w:fldCharType="separate"/>
        </w:r>
        <w:r>
          <w:rPr>
            <w:color w:val="auto"/>
          </w:rPr>
          <w:t>146</w:t>
        </w:r>
        <w:r>
          <w:rPr>
            <w:color w:val="auto"/>
          </w:rPr>
          <w:fldChar w:fldCharType="end"/>
        </w:r>
      </w:hyperlink>
    </w:p>
    <w:p w14:paraId="1E5286D4" w14:textId="77777777" w:rsidR="0075791A" w:rsidRDefault="00FB2864">
      <w:pPr>
        <w:pStyle w:val="TOC2"/>
        <w:tabs>
          <w:tab w:val="right" w:leader="dot" w:pos="8300"/>
        </w:tabs>
        <w:spacing w:line="300" w:lineRule="auto"/>
        <w:rPr>
          <w:color w:val="auto"/>
        </w:rPr>
      </w:pPr>
      <w:hyperlink w:anchor="_Toc10250" w:history="1">
        <w:r>
          <w:rPr>
            <w:rFonts w:ascii="Times New Roman" w:eastAsia="宋体" w:hAnsi="Times New Roman" w:cs="Times New Roman" w:hint="eastAsia"/>
            <w:bCs/>
            <w:color w:val="auto"/>
            <w:spacing w:val="-6"/>
            <w:szCs w:val="30"/>
            <w:lang w:eastAsia="zh-CN"/>
          </w:rPr>
          <w:t>9</w:t>
        </w:r>
        <w:r>
          <w:rPr>
            <w:rFonts w:ascii="Times New Roman" w:eastAsia="Times New Roman" w:hAnsi="Times New Roman" w:cs="Times New Roman"/>
            <w:bCs/>
            <w:color w:val="auto"/>
            <w:spacing w:val="-6"/>
            <w:szCs w:val="30"/>
          </w:rPr>
          <w:t>.7项目用海可行性结论</w:t>
        </w:r>
        <w:r>
          <w:rPr>
            <w:color w:val="auto"/>
          </w:rPr>
          <w:tab/>
        </w:r>
        <w:r>
          <w:rPr>
            <w:color w:val="auto"/>
          </w:rPr>
          <w:fldChar w:fldCharType="begin"/>
        </w:r>
        <w:r>
          <w:rPr>
            <w:color w:val="auto"/>
          </w:rPr>
          <w:instrText xml:space="preserve"> PAGEREF _Toc10250 \h </w:instrText>
        </w:r>
        <w:r>
          <w:rPr>
            <w:color w:val="auto"/>
          </w:rPr>
        </w:r>
        <w:r>
          <w:rPr>
            <w:color w:val="auto"/>
          </w:rPr>
          <w:fldChar w:fldCharType="separate"/>
        </w:r>
        <w:r>
          <w:rPr>
            <w:color w:val="auto"/>
          </w:rPr>
          <w:t>147</w:t>
        </w:r>
        <w:r>
          <w:rPr>
            <w:color w:val="auto"/>
          </w:rPr>
          <w:fldChar w:fldCharType="end"/>
        </w:r>
      </w:hyperlink>
    </w:p>
    <w:p w14:paraId="5F0B2B0F" w14:textId="77777777" w:rsidR="0075791A" w:rsidRDefault="00FB2864">
      <w:pPr>
        <w:spacing w:line="43" w:lineRule="exact"/>
        <w:rPr>
          <w:rFonts w:ascii="Times New Roman" w:hAnsi="Times New Roman"/>
          <w:color w:val="auto"/>
        </w:rPr>
      </w:pPr>
      <w:r>
        <w:rPr>
          <w:rFonts w:ascii="Times New Roman" w:eastAsia="Calibri" w:hAnsi="Times New Roman" w:cs="Calibri"/>
          <w:color w:val="auto"/>
        </w:rPr>
        <w:fldChar w:fldCharType="end"/>
      </w:r>
    </w:p>
    <w:p w14:paraId="4A7FD98E" w14:textId="77777777" w:rsidR="0075791A" w:rsidRDefault="0075791A">
      <w:pPr>
        <w:rPr>
          <w:b/>
          <w:bCs/>
          <w:color w:val="auto"/>
          <w:sz w:val="28"/>
          <w:szCs w:val="28"/>
          <w:lang w:eastAsia="zh-CN"/>
        </w:rPr>
      </w:pPr>
      <w:bookmarkStart w:id="19" w:name="bookmark4"/>
      <w:bookmarkStart w:id="20" w:name="bookmark1"/>
      <w:bookmarkStart w:id="21" w:name="bookmark2"/>
      <w:bookmarkEnd w:id="19"/>
      <w:bookmarkEnd w:id="20"/>
      <w:bookmarkEnd w:id="21"/>
    </w:p>
    <w:p w14:paraId="25CA0723" w14:textId="77777777" w:rsidR="0075791A" w:rsidRDefault="0075791A">
      <w:pPr>
        <w:rPr>
          <w:b/>
          <w:bCs/>
          <w:color w:val="auto"/>
          <w:sz w:val="28"/>
          <w:szCs w:val="28"/>
          <w:lang w:eastAsia="zh-CN"/>
        </w:rPr>
      </w:pPr>
    </w:p>
    <w:p w14:paraId="5280886E" w14:textId="77777777" w:rsidR="0075791A" w:rsidRDefault="0075791A">
      <w:pPr>
        <w:rPr>
          <w:b/>
          <w:bCs/>
          <w:color w:val="auto"/>
          <w:sz w:val="28"/>
          <w:szCs w:val="28"/>
          <w:lang w:eastAsia="zh-CN"/>
        </w:rPr>
      </w:pPr>
    </w:p>
    <w:p w14:paraId="27FEBF13" w14:textId="77777777" w:rsidR="0075791A" w:rsidRDefault="0075791A">
      <w:pPr>
        <w:rPr>
          <w:b/>
          <w:bCs/>
          <w:color w:val="auto"/>
          <w:sz w:val="28"/>
          <w:szCs w:val="28"/>
          <w:lang w:eastAsia="zh-CN"/>
        </w:rPr>
        <w:sectPr w:rsidR="0075791A">
          <w:pgSz w:w="11906" w:h="16839"/>
          <w:pgMar w:top="1440" w:right="1803" w:bottom="1440" w:left="1803" w:header="746" w:footer="972" w:gutter="0"/>
          <w:pgNumType w:start="1"/>
          <w:cols w:space="720"/>
        </w:sectPr>
      </w:pPr>
    </w:p>
    <w:p w14:paraId="72F510F1" w14:textId="77777777" w:rsidR="0075791A" w:rsidRDefault="00FB2864">
      <w:pPr>
        <w:spacing w:line="360" w:lineRule="auto"/>
        <w:jc w:val="center"/>
        <w:outlineLvl w:val="0"/>
        <w:rPr>
          <w:rFonts w:ascii="Times New Roman" w:eastAsia="宋体" w:hAnsi="Times New Roman" w:cs="Times New Roman"/>
          <w:b/>
          <w:bCs/>
          <w:color w:val="auto"/>
          <w:spacing w:val="-5"/>
          <w:sz w:val="32"/>
          <w:szCs w:val="32"/>
          <w:lang w:eastAsia="zh-CN"/>
        </w:rPr>
      </w:pPr>
      <w:bookmarkStart w:id="22" w:name="_Toc29828"/>
      <w:bookmarkStart w:id="23" w:name="_Toc14127"/>
      <w:bookmarkStart w:id="24" w:name="_Toc26943"/>
      <w:r>
        <w:rPr>
          <w:rFonts w:ascii="Times New Roman" w:eastAsia="宋体" w:hAnsi="Times New Roman" w:cs="Times New Roman" w:hint="eastAsia"/>
          <w:b/>
          <w:bCs/>
          <w:color w:val="auto"/>
          <w:spacing w:val="-5"/>
          <w:sz w:val="32"/>
          <w:szCs w:val="32"/>
          <w:lang w:eastAsia="zh-CN"/>
        </w:rPr>
        <w:lastRenderedPageBreak/>
        <w:t>摘要</w:t>
      </w:r>
      <w:bookmarkEnd w:id="22"/>
    </w:p>
    <w:p w14:paraId="3E97F3F9" w14:textId="77777777" w:rsidR="0075791A" w:rsidRDefault="00FB2864">
      <w:pPr>
        <w:spacing w:line="360" w:lineRule="auto"/>
        <w:rPr>
          <w:rFonts w:ascii="Times New Roman" w:eastAsia="宋体" w:hAnsi="Times New Roman"/>
          <w:b/>
          <w:bCs/>
          <w:color w:val="auto"/>
          <w:sz w:val="30"/>
          <w:szCs w:val="30"/>
          <w:lang w:eastAsia="zh-CN"/>
        </w:rPr>
      </w:pPr>
      <w:r>
        <w:rPr>
          <w:rFonts w:ascii="Times New Roman" w:eastAsia="宋体" w:hAnsi="Times New Roman" w:hint="eastAsia"/>
          <w:b/>
          <w:bCs/>
          <w:color w:val="auto"/>
          <w:sz w:val="30"/>
          <w:szCs w:val="30"/>
          <w:lang w:eastAsia="zh-CN"/>
        </w:rPr>
        <w:t>一、项目用海基本情况</w:t>
      </w:r>
    </w:p>
    <w:p w14:paraId="66776C33" w14:textId="77777777" w:rsidR="0075791A" w:rsidRDefault="00FB2864">
      <w:pPr>
        <w:spacing w:line="360" w:lineRule="auto"/>
        <w:ind w:firstLineChars="200" w:firstLine="476"/>
        <w:jc w:val="both"/>
        <w:rPr>
          <w:rFonts w:ascii="Times New Roman" w:eastAsia="宋体" w:hAnsi="Times New Roman" w:cs="宋体"/>
          <w:color w:val="auto"/>
          <w:sz w:val="24"/>
          <w:szCs w:val="24"/>
          <w:lang w:eastAsia="zh-CN"/>
        </w:rPr>
      </w:pPr>
      <w:r>
        <w:rPr>
          <w:rFonts w:ascii="Times New Roman" w:eastAsia="宋体" w:hAnsi="Times New Roman" w:cs="宋体"/>
          <w:color w:val="auto"/>
          <w:spacing w:val="-2"/>
          <w:sz w:val="24"/>
          <w:szCs w:val="24"/>
          <w:lang w:eastAsia="zh-CN"/>
        </w:rPr>
        <w:t>铁炉港红树林湿地保护修复项目是海南南部典型热带区域山水林田湖草沙一体化保护和修复工程之三十二子项目</w:t>
      </w:r>
      <w:r>
        <w:rPr>
          <w:rFonts w:ascii="Times New Roman" w:eastAsia="宋体" w:hAnsi="Times New Roman" w:cs="宋体" w:hint="eastAsia"/>
          <w:color w:val="auto"/>
          <w:spacing w:val="-2"/>
          <w:sz w:val="24"/>
          <w:szCs w:val="24"/>
          <w:lang w:eastAsia="zh-CN"/>
        </w:rPr>
        <w:t>，项目建设范围总面积约</w:t>
      </w:r>
      <w:r>
        <w:rPr>
          <w:rFonts w:ascii="Times New Roman" w:eastAsia="宋体" w:hAnsi="Times New Roman" w:cs="宋体" w:hint="eastAsia"/>
          <w:color w:val="auto"/>
          <w:spacing w:val="-2"/>
          <w:sz w:val="24"/>
          <w:szCs w:val="24"/>
          <w:lang w:eastAsia="zh-CN"/>
        </w:rPr>
        <w:t>403.66</w:t>
      </w:r>
      <w:r>
        <w:rPr>
          <w:rFonts w:ascii="Times New Roman" w:eastAsia="宋体" w:hAnsi="Times New Roman" w:cs="宋体" w:hint="eastAsia"/>
          <w:color w:val="auto"/>
          <w:spacing w:val="-2"/>
          <w:sz w:val="24"/>
          <w:szCs w:val="24"/>
          <w:lang w:eastAsia="zh-CN"/>
        </w:rPr>
        <w:t>公顷，包括生态安全屏障构建工程、红树林资源保护与蓝碳增汇工程、滨海生物多样性提升工程、智慧监测与生态评估工程四大体系。</w:t>
      </w:r>
      <w:r>
        <w:rPr>
          <w:rFonts w:ascii="Times New Roman" w:eastAsia="宋体" w:hAnsi="Times New Roman" w:cs="宋体" w:hint="eastAsia"/>
          <w:color w:val="auto"/>
          <w:sz w:val="24"/>
          <w:szCs w:val="24"/>
          <w:lang w:eastAsia="zh-CN"/>
        </w:rPr>
        <w:t>本项目申请用海建设内容为清淤疏浚</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处，此外</w:t>
      </w:r>
      <w:r>
        <w:rPr>
          <w:rFonts w:ascii="Times New Roman" w:eastAsia="宋体" w:hAnsi="Times New Roman" w:cs="宋体" w:hint="eastAsia"/>
          <w:color w:val="auto"/>
          <w:spacing w:val="-2"/>
          <w:sz w:val="24"/>
          <w:szCs w:val="24"/>
          <w:lang w:eastAsia="zh-CN"/>
        </w:rPr>
        <w:t>一、二期巡护设施、保护管理设施在用海批复后因防洪、施工等需要对原设计进行优化调整，需新增透水构筑物</w:t>
      </w:r>
      <w:r>
        <w:rPr>
          <w:rFonts w:ascii="Times New Roman" w:eastAsia="宋体" w:hAnsi="Times New Roman" w:cs="宋体" w:hint="eastAsia"/>
          <w:color w:val="auto"/>
          <w:sz w:val="24"/>
          <w:szCs w:val="24"/>
          <w:lang w:eastAsia="zh-CN"/>
        </w:rPr>
        <w:t>共</w:t>
      </w:r>
      <w:r>
        <w:rPr>
          <w:rFonts w:ascii="Times New Roman" w:eastAsia="宋体" w:hAnsi="Times New Roman" w:cs="Times New Roman" w:hint="eastAsia"/>
          <w:color w:val="auto"/>
          <w:spacing w:val="-6"/>
          <w:sz w:val="24"/>
          <w:szCs w:val="24"/>
          <w:lang w:eastAsia="zh-CN"/>
        </w:rPr>
        <w:t>26</w:t>
      </w:r>
      <w:r>
        <w:rPr>
          <w:rFonts w:ascii="Times New Roman" w:eastAsia="宋体" w:hAnsi="Times New Roman" w:cs="Times New Roman" w:hint="eastAsia"/>
          <w:color w:val="auto"/>
          <w:spacing w:val="-6"/>
          <w:sz w:val="24"/>
          <w:szCs w:val="24"/>
          <w:lang w:eastAsia="zh-CN"/>
        </w:rPr>
        <w:t>处</w:t>
      </w:r>
      <w:r>
        <w:rPr>
          <w:rFonts w:ascii="Times New Roman" w:eastAsia="宋体" w:hAnsi="Times New Roman" w:cs="宋体" w:hint="eastAsia"/>
          <w:color w:val="auto"/>
          <w:sz w:val="24"/>
          <w:szCs w:val="24"/>
          <w:lang w:eastAsia="zh-CN"/>
        </w:rPr>
        <w:t>，需申请用海</w:t>
      </w:r>
      <w:r>
        <w:rPr>
          <w:rFonts w:ascii="Times New Roman" w:eastAsia="宋体" w:hAnsi="Times New Roman" w:cs="Times New Roman" w:hint="eastAsia"/>
          <w:color w:val="auto"/>
          <w:spacing w:val="-6"/>
          <w:sz w:val="24"/>
          <w:szCs w:val="24"/>
          <w:lang w:eastAsia="zh-CN"/>
        </w:rPr>
        <w:t>。</w:t>
      </w:r>
    </w:p>
    <w:p w14:paraId="0E7ECB1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根据《国土空间调查、规划、用途管制用地用海分类指南》，本项目用海类型为用海类型为“特殊用海”（一级类）中的“</w:t>
      </w:r>
      <w:r>
        <w:rPr>
          <w:rFonts w:ascii="宋体" w:eastAsia="宋体" w:hAnsi="宋体" w:cs="宋体"/>
          <w:color w:val="auto"/>
          <w:sz w:val="24"/>
          <w:szCs w:val="24"/>
          <w:lang w:eastAsia="zh-CN"/>
        </w:rPr>
        <w:t>海洋保护修复及海岸防护工程用海</w:t>
      </w:r>
      <w:r>
        <w:rPr>
          <w:rFonts w:ascii="Times New Roman" w:eastAsia="宋体" w:hAnsi="Times New Roman" w:cs="宋体" w:hint="eastAsia"/>
          <w:color w:val="auto"/>
          <w:sz w:val="24"/>
          <w:szCs w:val="24"/>
          <w:lang w:eastAsia="zh-CN"/>
        </w:rPr>
        <w:t>”（二级类）。根据《海域使用分类》（</w:t>
      </w:r>
      <w:r>
        <w:rPr>
          <w:rFonts w:ascii="Times New Roman" w:eastAsia="宋体" w:hAnsi="Times New Roman" w:cs="宋体" w:hint="eastAsia"/>
          <w:color w:val="auto"/>
          <w:sz w:val="24"/>
          <w:szCs w:val="24"/>
          <w:lang w:eastAsia="zh-CN"/>
        </w:rPr>
        <w:t>HY/T123-2009</w:t>
      </w:r>
      <w:r>
        <w:rPr>
          <w:rFonts w:ascii="Times New Roman" w:eastAsia="宋体" w:hAnsi="Times New Roman" w:cs="宋体" w:hint="eastAsia"/>
          <w:color w:val="auto"/>
          <w:sz w:val="24"/>
          <w:szCs w:val="24"/>
          <w:lang w:eastAsia="zh-CN"/>
        </w:rPr>
        <w:t>），疏浚用海方式为“开放式”中的专用航道、锚地及其它开放式；构筑物用海方式为“构筑物”中的“透水构筑物”。</w:t>
      </w:r>
    </w:p>
    <w:p w14:paraId="31417CF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项目用海申请单位为三亚市林业局，项目性质为公益性用海。本项目申请用海总面积</w:t>
      </w:r>
      <w:r>
        <w:rPr>
          <w:rFonts w:ascii="Times New Roman" w:eastAsia="宋体" w:hAnsi="Times New Roman" w:cs="宋体" w:hint="eastAsia"/>
          <w:color w:val="auto"/>
          <w:spacing w:val="-4"/>
          <w:sz w:val="24"/>
          <w:szCs w:val="24"/>
          <w:lang w:eastAsia="zh-CN"/>
        </w:rPr>
        <w:t>15.2465</w:t>
      </w:r>
      <w:r>
        <w:rPr>
          <w:rFonts w:ascii="Times New Roman" w:eastAsia="宋体" w:hAnsi="Times New Roman" w:cs="宋体" w:hint="eastAsia"/>
          <w:color w:val="auto"/>
          <w:sz w:val="24"/>
          <w:szCs w:val="24"/>
          <w:lang w:eastAsia="zh-CN"/>
        </w:rPr>
        <w:t>公顷</w:t>
      </w:r>
      <w:r>
        <w:rPr>
          <w:rFonts w:ascii="Times New Roman" w:eastAsia="宋体" w:hAnsi="Times New Roman" w:cs="Times New Roman" w:hint="eastAsia"/>
          <w:color w:val="auto"/>
          <w:spacing w:val="-6"/>
          <w:sz w:val="24"/>
          <w:szCs w:val="24"/>
          <w:lang w:eastAsia="zh-CN"/>
        </w:rPr>
        <w:t>，其中构筑物用海</w:t>
      </w:r>
      <w:r>
        <w:rPr>
          <w:rFonts w:ascii="Times New Roman" w:eastAsia="宋体" w:hAnsi="Times New Roman" w:cs="宋体" w:hint="eastAsia"/>
          <w:color w:val="auto"/>
          <w:sz w:val="24"/>
          <w:szCs w:val="24"/>
          <w:lang w:eastAsia="zh-CN"/>
        </w:rPr>
        <w:t>0.3793</w:t>
      </w:r>
      <w:r>
        <w:rPr>
          <w:rFonts w:ascii="Times New Roman" w:eastAsia="宋体" w:hAnsi="Times New Roman" w:cs="宋体" w:hint="eastAsia"/>
          <w:color w:val="auto"/>
          <w:sz w:val="24"/>
          <w:szCs w:val="24"/>
          <w:lang w:eastAsia="zh-CN"/>
        </w:rPr>
        <w:t>公顷，申请用海期限</w:t>
      </w:r>
      <w:r>
        <w:rPr>
          <w:rFonts w:ascii="Times New Roman" w:eastAsia="宋体" w:hAnsi="Times New Roman" w:cs="宋体" w:hint="eastAsia"/>
          <w:color w:val="auto"/>
          <w:sz w:val="24"/>
          <w:szCs w:val="24"/>
          <w:lang w:eastAsia="zh-CN"/>
        </w:rPr>
        <w:t>40</w:t>
      </w:r>
      <w:r>
        <w:rPr>
          <w:rFonts w:ascii="Times New Roman" w:eastAsia="宋体" w:hAnsi="Times New Roman" w:cs="宋体" w:hint="eastAsia"/>
          <w:color w:val="auto"/>
          <w:sz w:val="24"/>
          <w:szCs w:val="24"/>
          <w:lang w:eastAsia="zh-CN"/>
        </w:rPr>
        <w:t>年；清淤区用海</w:t>
      </w:r>
      <w:r>
        <w:rPr>
          <w:rFonts w:ascii="Times New Roman" w:eastAsia="宋体" w:hAnsi="Times New Roman" w:cs="宋体" w:hint="eastAsia"/>
          <w:color w:val="auto"/>
          <w:spacing w:val="-4"/>
          <w:sz w:val="24"/>
          <w:szCs w:val="24"/>
          <w:lang w:eastAsia="zh-CN"/>
        </w:rPr>
        <w:t>14.8672</w:t>
      </w:r>
      <w:r>
        <w:rPr>
          <w:rFonts w:ascii="Times New Roman" w:eastAsia="宋体" w:hAnsi="Times New Roman" w:cs="宋体" w:hint="eastAsia"/>
          <w:color w:val="auto"/>
          <w:sz w:val="24"/>
          <w:szCs w:val="24"/>
          <w:lang w:eastAsia="zh-CN"/>
        </w:rPr>
        <w:t>公顷，申请用海期限</w:t>
      </w: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个月。</w:t>
      </w:r>
    </w:p>
    <w:p w14:paraId="3864844C" w14:textId="77777777" w:rsidR="0075791A" w:rsidRDefault="00FB2864">
      <w:pPr>
        <w:spacing w:line="360" w:lineRule="auto"/>
        <w:rPr>
          <w:rFonts w:ascii="Times New Roman" w:eastAsia="宋体" w:hAnsi="Times New Roman"/>
          <w:b/>
          <w:bCs/>
          <w:color w:val="auto"/>
          <w:sz w:val="30"/>
          <w:szCs w:val="30"/>
          <w:lang w:eastAsia="zh-CN"/>
        </w:rPr>
      </w:pPr>
      <w:r>
        <w:rPr>
          <w:rFonts w:ascii="Times New Roman" w:eastAsia="宋体" w:hAnsi="Times New Roman" w:hint="eastAsia"/>
          <w:b/>
          <w:bCs/>
          <w:color w:val="auto"/>
          <w:sz w:val="30"/>
          <w:szCs w:val="30"/>
          <w:lang w:eastAsia="zh-CN"/>
        </w:rPr>
        <w:t>二、项目立项情况</w:t>
      </w:r>
    </w:p>
    <w:p w14:paraId="03342CA8"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2023</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16</w:t>
      </w:r>
      <w:r>
        <w:rPr>
          <w:rFonts w:ascii="Times New Roman" w:eastAsia="宋体" w:hAnsi="Times New Roman" w:cs="宋体" w:hint="eastAsia"/>
          <w:color w:val="auto"/>
          <w:sz w:val="24"/>
          <w:szCs w:val="24"/>
          <w:lang w:eastAsia="zh-CN"/>
        </w:rPr>
        <w:t>日，</w:t>
      </w:r>
      <w:r>
        <w:rPr>
          <w:rFonts w:ascii="Times New Roman" w:eastAsia="宋体" w:hAnsi="Times New Roman" w:cs="宋体"/>
          <w:color w:val="auto"/>
          <w:sz w:val="24"/>
          <w:szCs w:val="24"/>
          <w:lang w:eastAsia="zh-CN"/>
        </w:rPr>
        <w:t>三亚市现代服务业产业园管理委员会</w:t>
      </w:r>
      <w:r>
        <w:rPr>
          <w:rFonts w:ascii="Times New Roman" w:eastAsia="宋体" w:hAnsi="Times New Roman" w:cs="宋体" w:hint="eastAsia"/>
          <w:color w:val="auto"/>
          <w:sz w:val="24"/>
          <w:szCs w:val="24"/>
          <w:lang w:eastAsia="zh-CN"/>
        </w:rPr>
        <w:t>批复同意建设</w:t>
      </w:r>
      <w:r>
        <w:rPr>
          <w:rFonts w:ascii="Times New Roman" w:eastAsia="宋体" w:hAnsi="Times New Roman" w:cs="宋体"/>
          <w:color w:val="auto"/>
          <w:sz w:val="24"/>
          <w:szCs w:val="24"/>
          <w:lang w:eastAsia="zh-CN"/>
        </w:rPr>
        <w:t>铁炉港红树林湿地保护修复项目</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三服园管委</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202</w:t>
      </w:r>
      <w:r>
        <w:rPr>
          <w:rFonts w:ascii="Times New Roman" w:eastAsia="宋体" w:hAnsi="Times New Roman" w:cs="宋体" w:hint="eastAsia"/>
          <w:color w:val="auto"/>
          <w:sz w:val="24"/>
          <w:szCs w:val="24"/>
          <w:lang w:eastAsia="zh-CN"/>
        </w:rPr>
        <w:t>3</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50</w:t>
      </w:r>
      <w:r>
        <w:rPr>
          <w:rFonts w:ascii="Times New Roman" w:eastAsia="宋体" w:hAnsi="Times New Roman" w:cs="宋体"/>
          <w:color w:val="auto"/>
          <w:sz w:val="24"/>
          <w:szCs w:val="24"/>
          <w:lang w:eastAsia="zh-CN"/>
        </w:rPr>
        <w:t>号</w:t>
      </w:r>
      <w:r>
        <w:rPr>
          <w:rFonts w:ascii="Times New Roman" w:eastAsia="宋体" w:hAnsi="Times New Roman" w:cs="宋体" w:hint="eastAsia"/>
          <w:color w:val="auto"/>
          <w:sz w:val="24"/>
          <w:szCs w:val="24"/>
          <w:lang w:eastAsia="zh-CN"/>
        </w:rPr>
        <w:t>），见附件</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w:t>
      </w:r>
    </w:p>
    <w:p w14:paraId="03A1E2BB" w14:textId="77777777" w:rsidR="0075791A" w:rsidRDefault="00FB2864">
      <w:pPr>
        <w:spacing w:line="360" w:lineRule="auto"/>
        <w:rPr>
          <w:rFonts w:ascii="Times New Roman" w:eastAsia="宋体" w:hAnsi="Times New Roman"/>
          <w:b/>
          <w:bCs/>
          <w:color w:val="auto"/>
          <w:sz w:val="30"/>
          <w:szCs w:val="30"/>
          <w:lang w:eastAsia="zh-CN"/>
        </w:rPr>
      </w:pPr>
      <w:r>
        <w:rPr>
          <w:rFonts w:ascii="Times New Roman" w:eastAsia="宋体" w:hAnsi="Times New Roman" w:hint="eastAsia"/>
          <w:b/>
          <w:bCs/>
          <w:color w:val="auto"/>
          <w:sz w:val="30"/>
          <w:szCs w:val="30"/>
          <w:lang w:eastAsia="zh-CN"/>
        </w:rPr>
        <w:t>三、项目用海必要性</w:t>
      </w:r>
    </w:p>
    <w:p w14:paraId="7483CE2A"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本项目的建设是落实《红树林保护修复专项行动计划(2020-2025年)》、《海南省红树林保护修复专项行动计划实施方案》的需要，</w:t>
      </w:r>
      <w:r>
        <w:rPr>
          <w:rFonts w:ascii="Times New Roman" w:eastAsia="宋体" w:hAnsi="Times New Roman" w:cs="宋体" w:hint="eastAsia"/>
          <w:color w:val="auto"/>
          <w:sz w:val="24"/>
          <w:szCs w:val="24"/>
          <w:lang w:eastAsia="zh-CN"/>
        </w:rPr>
        <w:t>是海南南部典型热带区域山水林田湖草沙一体化保护和修复工程的重要组成部分，</w:t>
      </w:r>
      <w:r>
        <w:rPr>
          <w:rFonts w:ascii="Times New Roman" w:eastAsia="Times New Roman" w:hAnsi="Times New Roman" w:cs="Times New Roman" w:hint="eastAsia"/>
          <w:color w:val="auto"/>
          <w:spacing w:val="-4"/>
          <w:sz w:val="24"/>
          <w:szCs w:val="24"/>
          <w:lang w:eastAsia="zh-CN"/>
        </w:rPr>
        <w:t>本项目建设是保护红树林资源，维护区域生物多样性的需要，是优化生态环境、提升防灾减灾功能的需求，项目建设是提高海洋及海岸带蓝碳碳汇能力的需要。</w:t>
      </w:r>
    </w:p>
    <w:p w14:paraId="7F8914DC"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保护区虽然依靠三亚市野生动植物保护中心管理，但没有建立专门的管理局、管理基础设施薄弱，且保护区范围大，内部巡护设施缺乏，无法满足巡查、养护、监测等工作需求，需要建设保护管理设施、巡护道路等，上述构筑物需使用海域；铁炉港潟湖内水动力不足，淤积严重，降低了水体交换能力，影响红树林</w:t>
      </w:r>
      <w:r>
        <w:rPr>
          <w:rFonts w:ascii="Times New Roman" w:eastAsia="Times New Roman" w:hAnsi="Times New Roman" w:cs="Times New Roman" w:hint="eastAsia"/>
          <w:color w:val="auto"/>
          <w:spacing w:val="-4"/>
          <w:sz w:val="24"/>
          <w:szCs w:val="24"/>
          <w:lang w:eastAsia="zh-CN"/>
        </w:rPr>
        <w:lastRenderedPageBreak/>
        <w:t>的生长环境，因此需要对淤积区进行清淤，清淤需排他性用海2个月，需申请用海。因此，本项目用海是非常必要的。</w:t>
      </w:r>
    </w:p>
    <w:p w14:paraId="48F23754" w14:textId="77777777" w:rsidR="0075791A" w:rsidRDefault="00FB2864">
      <w:pPr>
        <w:spacing w:line="360" w:lineRule="auto"/>
        <w:rPr>
          <w:rFonts w:ascii="Times New Roman" w:eastAsia="宋体" w:hAnsi="Times New Roman"/>
          <w:b/>
          <w:bCs/>
          <w:color w:val="auto"/>
          <w:sz w:val="30"/>
          <w:szCs w:val="30"/>
          <w:lang w:eastAsia="zh-CN"/>
        </w:rPr>
      </w:pPr>
      <w:r>
        <w:rPr>
          <w:rFonts w:ascii="Times New Roman" w:eastAsia="宋体" w:hAnsi="Times New Roman" w:hint="eastAsia"/>
          <w:b/>
          <w:bCs/>
          <w:color w:val="auto"/>
          <w:sz w:val="30"/>
          <w:szCs w:val="30"/>
          <w:lang w:eastAsia="zh-CN"/>
        </w:rPr>
        <w:t>四、规划符合性</w:t>
      </w:r>
    </w:p>
    <w:p w14:paraId="0F4171A7"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根据《海南省国土空间规划（2021-2035年）》，本项目利用国土空间功能分区为海洋生态保护红线；根据</w:t>
      </w:r>
      <w:r>
        <w:rPr>
          <w:rFonts w:ascii="宋体" w:eastAsia="宋体" w:hAnsi="宋体" w:cs="宋体" w:hint="eastAsia"/>
          <w:color w:val="auto"/>
          <w:sz w:val="24"/>
          <w:szCs w:val="24"/>
          <w:lang w:eastAsia="zh-CN"/>
        </w:rPr>
        <w:t>《海南省海岸</w:t>
      </w:r>
      <w:r>
        <w:rPr>
          <w:rFonts w:ascii="宋体" w:eastAsia="宋体" w:hAnsi="宋体" w:cs="宋体" w:hint="eastAsia"/>
          <w:color w:val="auto"/>
          <w:sz w:val="24"/>
          <w:szCs w:val="24"/>
          <w:lang w:eastAsia="zh-CN"/>
        </w:rPr>
        <w:t>带及海洋空间规划（</w:t>
      </w:r>
      <w:r>
        <w:rPr>
          <w:rFonts w:ascii="宋体" w:eastAsia="宋体" w:hAnsi="宋体" w:cs="宋体" w:hint="eastAsia"/>
          <w:color w:val="auto"/>
          <w:sz w:val="24"/>
          <w:szCs w:val="24"/>
          <w:lang w:eastAsia="zh-CN"/>
        </w:rPr>
        <w:t>2021-2035</w:t>
      </w:r>
      <w:r>
        <w:rPr>
          <w:rFonts w:ascii="宋体" w:eastAsia="宋体" w:hAnsi="宋体" w:cs="宋体" w:hint="eastAsia"/>
          <w:color w:val="auto"/>
          <w:sz w:val="24"/>
          <w:szCs w:val="24"/>
          <w:lang w:eastAsia="zh-CN"/>
        </w:rPr>
        <w:t>年）》</w:t>
      </w:r>
      <w:r>
        <w:rPr>
          <w:rFonts w:ascii="Times New Roman" w:eastAsia="Times New Roman" w:hAnsi="Times New Roman" w:cs="Times New Roman" w:hint="eastAsia"/>
          <w:color w:val="auto"/>
          <w:spacing w:val="-4"/>
          <w:sz w:val="24"/>
          <w:szCs w:val="24"/>
          <w:lang w:eastAsia="zh-CN"/>
        </w:rPr>
        <w:t>《三亚市国土空间总体规划（2021-2035年）》和《三亚市海域使用详细规划》，本项目用海位于生态保护区内，项目建设对周边海洋功能区基本没有影响；项目符合《海南省国土空间生态修复规划（2021-2035年）》、《三亚市国土空间生态修复规划（2021－2035年）》。</w:t>
      </w:r>
    </w:p>
    <w:p w14:paraId="5CB1C8DE"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本项目用海14.8579公顷位于海南三亚</w:t>
      </w:r>
      <w:r>
        <w:rPr>
          <w:rFonts w:ascii="Times New Roman" w:eastAsia="Times New Roman" w:hAnsi="Times New Roman" w:cs="Times New Roman"/>
          <w:color w:val="auto"/>
          <w:spacing w:val="-4"/>
          <w:sz w:val="24"/>
          <w:szCs w:val="24"/>
          <w:lang w:eastAsia="zh-CN"/>
        </w:rPr>
        <w:t>红树林</w:t>
      </w:r>
      <w:r>
        <w:rPr>
          <w:rFonts w:ascii="Times New Roman" w:eastAsia="Times New Roman" w:hAnsi="Times New Roman" w:cs="Times New Roman" w:hint="eastAsia"/>
          <w:color w:val="auto"/>
          <w:spacing w:val="-4"/>
          <w:sz w:val="24"/>
          <w:szCs w:val="24"/>
          <w:lang w:eastAsia="zh-CN"/>
        </w:rPr>
        <w:t>省级自然保护区的</w:t>
      </w:r>
      <w:r>
        <w:rPr>
          <w:rFonts w:ascii="Times New Roman" w:eastAsia="Times New Roman" w:hAnsi="Times New Roman" w:cs="Times New Roman"/>
          <w:color w:val="auto"/>
          <w:spacing w:val="-4"/>
          <w:sz w:val="24"/>
          <w:szCs w:val="24"/>
          <w:lang w:eastAsia="zh-CN"/>
        </w:rPr>
        <w:t>自然</w:t>
      </w:r>
      <w:r>
        <w:rPr>
          <w:rFonts w:ascii="Times New Roman" w:eastAsia="Times New Roman" w:hAnsi="Times New Roman" w:cs="Times New Roman" w:hint="eastAsia"/>
          <w:color w:val="auto"/>
          <w:spacing w:val="-4"/>
          <w:sz w:val="24"/>
          <w:szCs w:val="24"/>
          <w:lang w:eastAsia="zh-CN"/>
        </w:rPr>
        <w:t>保护地核心保护区的生态红线内、0.3515公顷海南三亚</w:t>
      </w:r>
      <w:r>
        <w:rPr>
          <w:rFonts w:ascii="Times New Roman" w:eastAsia="Times New Roman" w:hAnsi="Times New Roman" w:cs="Times New Roman"/>
          <w:color w:val="auto"/>
          <w:spacing w:val="-4"/>
          <w:sz w:val="24"/>
          <w:szCs w:val="24"/>
          <w:lang w:eastAsia="zh-CN"/>
        </w:rPr>
        <w:t>红树林</w:t>
      </w:r>
      <w:r>
        <w:rPr>
          <w:rFonts w:ascii="Times New Roman" w:eastAsia="Times New Roman" w:hAnsi="Times New Roman" w:cs="Times New Roman" w:hint="eastAsia"/>
          <w:color w:val="auto"/>
          <w:spacing w:val="-4"/>
          <w:sz w:val="24"/>
          <w:szCs w:val="24"/>
          <w:lang w:eastAsia="zh-CN"/>
        </w:rPr>
        <w:t>省级自然保护区的</w:t>
      </w:r>
      <w:r>
        <w:rPr>
          <w:rFonts w:ascii="Times New Roman" w:eastAsia="Times New Roman" w:hAnsi="Times New Roman" w:cs="Times New Roman"/>
          <w:color w:val="auto"/>
          <w:spacing w:val="-4"/>
          <w:sz w:val="24"/>
          <w:szCs w:val="24"/>
          <w:lang w:eastAsia="zh-CN"/>
        </w:rPr>
        <w:t>自然</w:t>
      </w:r>
      <w:r>
        <w:rPr>
          <w:rFonts w:ascii="Times New Roman" w:eastAsia="Times New Roman" w:hAnsi="Times New Roman" w:cs="Times New Roman" w:hint="eastAsia"/>
          <w:color w:val="auto"/>
          <w:spacing w:val="-4"/>
          <w:sz w:val="24"/>
          <w:szCs w:val="24"/>
          <w:lang w:eastAsia="zh-CN"/>
        </w:rPr>
        <w:t>保护地一般控制区的生态保护红线内、0.0371公顷位于自然保护地以外区域的生态红线区。根据《海南省生态保护红线管理规定》《海南省人民政府办公厅关于印发海南省生态保护红线准入管理目录(修订)的通知》(琼府办(2023)4号)，本项目作为生态修复项目，位于自然保护地核心保护区工程需经依法批准方可进入开展，三亚市林业局已出具《三亚市林业局 关于铁炉港红树林湿地保护修复项目（二期） 疏浚活动在三亚市铁炉港红树林 自然保护区实施的意见》；位于自然保护地以外区域的生态红线区的工程符合《海南省生态保护红线管理规定》《海南</w:t>
      </w:r>
      <w:r>
        <w:rPr>
          <w:rFonts w:ascii="Times New Roman" w:eastAsia="Times New Roman" w:hAnsi="Times New Roman" w:cs="Times New Roman" w:hint="eastAsia"/>
          <w:color w:val="auto"/>
          <w:spacing w:val="-4"/>
          <w:sz w:val="24"/>
          <w:szCs w:val="24"/>
          <w:lang w:eastAsia="zh-CN"/>
        </w:rPr>
        <w:t>省人民政府办公厅关于印发海南省生态保护红线准入管理目录(修订)的通知》。</w:t>
      </w:r>
    </w:p>
    <w:p w14:paraId="2B73C524" w14:textId="77777777" w:rsidR="0075791A" w:rsidRDefault="00FB2864">
      <w:pPr>
        <w:spacing w:line="360" w:lineRule="auto"/>
        <w:rPr>
          <w:rFonts w:ascii="Times New Roman" w:eastAsia="宋体" w:hAnsi="Times New Roman"/>
          <w:b/>
          <w:bCs/>
          <w:color w:val="auto"/>
          <w:sz w:val="30"/>
          <w:szCs w:val="30"/>
          <w:lang w:eastAsia="zh-CN"/>
        </w:rPr>
      </w:pPr>
      <w:r>
        <w:rPr>
          <w:rFonts w:ascii="Times New Roman" w:eastAsia="宋体" w:hAnsi="Times New Roman" w:hint="eastAsia"/>
          <w:b/>
          <w:bCs/>
          <w:color w:val="auto"/>
          <w:sz w:val="30"/>
          <w:szCs w:val="30"/>
          <w:lang w:eastAsia="zh-CN"/>
        </w:rPr>
        <w:t>五、占用岸线情况</w:t>
      </w:r>
    </w:p>
    <w:p w14:paraId="135EBD6A"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本项目构筑物结构为桩基结构，均为透水性构筑物，均位于海域，不占用或跨越海岸线，仍保留自然岸线自然形态和生态功能。</w:t>
      </w:r>
    </w:p>
    <w:p w14:paraId="34953BFD" w14:textId="77777777" w:rsidR="0075791A" w:rsidRDefault="00FB2864">
      <w:pPr>
        <w:spacing w:line="360" w:lineRule="auto"/>
        <w:rPr>
          <w:rFonts w:ascii="Times New Roman" w:eastAsia="宋体" w:hAnsi="Times New Roman"/>
          <w:b/>
          <w:bCs/>
          <w:color w:val="auto"/>
          <w:sz w:val="30"/>
          <w:szCs w:val="30"/>
          <w:lang w:eastAsia="zh-CN"/>
        </w:rPr>
      </w:pPr>
      <w:r>
        <w:rPr>
          <w:rFonts w:ascii="Times New Roman" w:eastAsia="宋体" w:hAnsi="Times New Roman" w:hint="eastAsia"/>
          <w:b/>
          <w:bCs/>
          <w:color w:val="auto"/>
          <w:sz w:val="30"/>
          <w:szCs w:val="30"/>
          <w:lang w:eastAsia="zh-CN"/>
        </w:rPr>
        <w:t>六、利益相关者协调情况</w:t>
      </w:r>
    </w:p>
    <w:p w14:paraId="5C2B2064" w14:textId="77777777" w:rsidR="0075791A" w:rsidRDefault="00FB2864">
      <w:pPr>
        <w:spacing w:line="360" w:lineRule="auto"/>
        <w:ind w:firstLineChars="200" w:firstLine="470"/>
        <w:jc w:val="both"/>
        <w:rPr>
          <w:rFonts w:ascii="Times New Roman" w:eastAsia="宋体" w:hAnsi="Times New Roman" w:cs="宋体"/>
          <w:color w:val="auto"/>
          <w:spacing w:val="-5"/>
          <w:sz w:val="24"/>
          <w:szCs w:val="24"/>
          <w:lang w:eastAsia="zh-CN"/>
        </w:rPr>
      </w:pPr>
      <w:r>
        <w:rPr>
          <w:rFonts w:ascii="Times New Roman" w:eastAsia="宋体" w:hAnsi="Times New Roman" w:cs="宋体"/>
          <w:color w:val="auto"/>
          <w:spacing w:val="-5"/>
          <w:sz w:val="24"/>
          <w:szCs w:val="24"/>
          <w:lang w:eastAsia="zh-CN"/>
        </w:rPr>
        <w:t>根据项目用海对海域开发活动的影响分析结果，论证范围内海域开发利用活动主要包括</w:t>
      </w:r>
      <w:r>
        <w:rPr>
          <w:rFonts w:ascii="Times New Roman" w:eastAsia="宋体" w:hAnsi="Times New Roman" w:cs="宋体"/>
          <w:color w:val="auto"/>
          <w:spacing w:val="-5"/>
          <w:sz w:val="24"/>
          <w:szCs w:val="24"/>
          <w:lang w:eastAsia="zh-CN"/>
        </w:rPr>
        <w:t>渔业用海、</w:t>
      </w:r>
      <w:r>
        <w:rPr>
          <w:rFonts w:ascii="Times New Roman" w:eastAsia="宋体" w:hAnsi="Times New Roman" w:cs="宋体" w:hint="eastAsia"/>
          <w:color w:val="auto"/>
          <w:spacing w:val="-5"/>
          <w:sz w:val="24"/>
          <w:szCs w:val="24"/>
          <w:lang w:eastAsia="zh-CN"/>
        </w:rPr>
        <w:t>游憩</w:t>
      </w:r>
      <w:r>
        <w:rPr>
          <w:rFonts w:ascii="Times New Roman" w:eastAsia="宋体" w:hAnsi="Times New Roman" w:cs="宋体"/>
          <w:color w:val="auto"/>
          <w:spacing w:val="-5"/>
          <w:sz w:val="24"/>
          <w:szCs w:val="24"/>
          <w:lang w:eastAsia="zh-CN"/>
        </w:rPr>
        <w:t>用海、</w:t>
      </w:r>
      <w:r>
        <w:rPr>
          <w:rFonts w:ascii="Times New Roman" w:eastAsia="宋体" w:hAnsi="Times New Roman" w:cs="宋体" w:hint="eastAsia"/>
          <w:color w:val="auto"/>
          <w:spacing w:val="-5"/>
          <w:sz w:val="24"/>
          <w:szCs w:val="24"/>
          <w:lang w:eastAsia="zh-CN"/>
        </w:rPr>
        <w:t>工矿通信用海、特殊用海等</w:t>
      </w:r>
      <w:r>
        <w:rPr>
          <w:rFonts w:ascii="Times New Roman" w:eastAsia="宋体" w:hAnsi="Times New Roman" w:cs="宋体"/>
          <w:color w:val="auto"/>
          <w:spacing w:val="-5"/>
          <w:sz w:val="24"/>
          <w:szCs w:val="24"/>
          <w:lang w:eastAsia="zh-CN"/>
        </w:rPr>
        <w:t>。项目用海涉及到利益相关者主要有</w:t>
      </w:r>
      <w:r>
        <w:rPr>
          <w:rFonts w:ascii="Times New Roman" w:eastAsia="宋体" w:hAnsi="Times New Roman" w:cs="宋体" w:hint="eastAsia"/>
          <w:color w:val="auto"/>
          <w:spacing w:val="-5"/>
          <w:sz w:val="24"/>
          <w:szCs w:val="24"/>
          <w:lang w:eastAsia="zh-CN"/>
        </w:rPr>
        <w:t>江林村集体；需协调部门有海棠区人民政府、三亚海事局</w:t>
      </w:r>
      <w:r>
        <w:rPr>
          <w:rFonts w:ascii="Times New Roman" w:eastAsia="宋体" w:hAnsi="Times New Roman" w:cs="宋体"/>
          <w:color w:val="auto"/>
          <w:spacing w:val="-5"/>
          <w:sz w:val="24"/>
          <w:szCs w:val="24"/>
          <w:lang w:eastAsia="zh-CN"/>
        </w:rPr>
        <w:t>。根据利益相关者协调分析结论，本项目用海与利益相关者和利益协调部门具有可协</w:t>
      </w:r>
      <w:r>
        <w:rPr>
          <w:rFonts w:ascii="Times New Roman" w:eastAsia="宋体" w:hAnsi="Times New Roman" w:cs="宋体"/>
          <w:color w:val="auto"/>
          <w:spacing w:val="-5"/>
          <w:sz w:val="24"/>
          <w:szCs w:val="24"/>
          <w:lang w:eastAsia="zh-CN"/>
        </w:rPr>
        <w:lastRenderedPageBreak/>
        <w:t>调性，用海申请单位应切实落实与利益相关者的协调方案，取得利益相关者的同意和支持，避免用海冲突，保障用海秩序。</w:t>
      </w:r>
    </w:p>
    <w:p w14:paraId="7D86811A" w14:textId="77777777" w:rsidR="0075791A" w:rsidRDefault="00FB2864">
      <w:pPr>
        <w:spacing w:line="360" w:lineRule="auto"/>
        <w:rPr>
          <w:rFonts w:ascii="Times New Roman" w:eastAsia="宋体" w:hAnsi="Times New Roman"/>
          <w:b/>
          <w:bCs/>
          <w:color w:val="auto"/>
          <w:sz w:val="30"/>
          <w:szCs w:val="30"/>
          <w:lang w:eastAsia="zh-CN"/>
        </w:rPr>
      </w:pPr>
      <w:r>
        <w:rPr>
          <w:rFonts w:ascii="Times New Roman" w:eastAsia="宋体" w:hAnsi="Times New Roman" w:hint="eastAsia"/>
          <w:b/>
          <w:bCs/>
          <w:color w:val="auto"/>
          <w:sz w:val="30"/>
          <w:szCs w:val="30"/>
          <w:lang w:eastAsia="zh-CN"/>
        </w:rPr>
        <w:t>七、资源生态影响及生态保护修复措施</w:t>
      </w:r>
    </w:p>
    <w:p w14:paraId="2C13CE6A" w14:textId="77777777" w:rsidR="0075791A" w:rsidRDefault="00FB2864">
      <w:pPr>
        <w:spacing w:line="360" w:lineRule="auto"/>
        <w:ind w:firstLineChars="200" w:firstLine="472"/>
        <w:rPr>
          <w:rFonts w:ascii="Times New Roman" w:eastAsia="宋体" w:hAnsi="Times New Roman" w:cs="宋体"/>
          <w:color w:val="auto"/>
          <w:sz w:val="24"/>
          <w:szCs w:val="24"/>
          <w:lang w:eastAsia="zh-CN"/>
        </w:rPr>
      </w:pPr>
      <w:r>
        <w:rPr>
          <w:rFonts w:ascii="Times New Roman" w:eastAsia="宋体" w:hAnsi="Times New Roman" w:cs="宋体"/>
          <w:b/>
          <w:bCs/>
          <w:color w:val="auto"/>
          <w:spacing w:val="-5"/>
          <w:sz w:val="24"/>
          <w:szCs w:val="24"/>
          <w:lang w:eastAsia="zh-CN"/>
        </w:rPr>
        <w:t>（</w:t>
      </w:r>
      <w:r>
        <w:rPr>
          <w:rFonts w:ascii="Times New Roman" w:eastAsia="Times New Roman" w:hAnsi="Times New Roman" w:cs="Times New Roman"/>
          <w:b/>
          <w:bCs/>
          <w:color w:val="auto"/>
          <w:spacing w:val="-5"/>
          <w:sz w:val="24"/>
          <w:szCs w:val="24"/>
          <w:lang w:eastAsia="zh-CN"/>
        </w:rPr>
        <w:t>1</w:t>
      </w:r>
      <w:r>
        <w:rPr>
          <w:rFonts w:ascii="Times New Roman" w:eastAsia="宋体" w:hAnsi="Times New Roman" w:cs="宋体"/>
          <w:b/>
          <w:bCs/>
          <w:color w:val="auto"/>
          <w:spacing w:val="-5"/>
          <w:sz w:val="24"/>
          <w:szCs w:val="24"/>
          <w:lang w:eastAsia="zh-CN"/>
        </w:rPr>
        <w:t>）资源影响</w:t>
      </w:r>
    </w:p>
    <w:p w14:paraId="0EE277AD"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论证范围内海洋资源主要有港口资源、滩涂资源、渔业资源、旅游资源及海岛资源等。本项目用海工程不会对港口资源、滩涂资源产生影响；施工过程对渔业资源、旅游资源有一定影响，施工完成后将恢复；项目实施不会对海岛资源产生影响。总体上，本项目工程用海对资源影响较小，属于可接受范围。</w:t>
      </w:r>
    </w:p>
    <w:p w14:paraId="2115E00C" w14:textId="77777777" w:rsidR="0075791A" w:rsidRDefault="00FB2864">
      <w:pPr>
        <w:kinsoku/>
        <w:autoSpaceDE/>
        <w:autoSpaceDN/>
        <w:spacing w:line="360" w:lineRule="auto"/>
        <w:ind w:firstLineChars="200" w:firstLine="480"/>
        <w:textAlignment w:val="auto"/>
        <w:rPr>
          <w:rFonts w:ascii="Times New Roman" w:eastAsia="宋体" w:hAnsi="Times New Roman" w:cs="Times New Roman"/>
          <w:color w:val="auto"/>
          <w:sz w:val="24"/>
          <w:szCs w:val="24"/>
          <w:lang w:eastAsia="zh-CN"/>
        </w:rPr>
      </w:pPr>
      <w:r>
        <w:rPr>
          <w:rFonts w:ascii="Times New Roman" w:eastAsia="宋体" w:hAnsi="Times New Roman" w:cs="Times New Roman"/>
          <w:color w:val="auto"/>
          <w:sz w:val="24"/>
          <w:szCs w:val="24"/>
          <w:lang w:eastAsia="zh-CN"/>
        </w:rPr>
        <w:t>本项目施工过程中产生的悬浮物扩散范围只局限在项目周边范围内，施工过程中未对珊瑚礁分布区、海草床分布区等区域产生不利影响，同时对周边</w:t>
      </w:r>
      <w:r>
        <w:rPr>
          <w:rFonts w:ascii="Times New Roman" w:eastAsia="宋体" w:hAnsi="Times New Roman" w:cs="Times New Roman" w:hint="eastAsia"/>
          <w:color w:val="auto"/>
          <w:sz w:val="24"/>
          <w:szCs w:val="24"/>
          <w:lang w:eastAsia="zh-CN"/>
        </w:rPr>
        <w:t>生态保护红线</w:t>
      </w:r>
      <w:r>
        <w:rPr>
          <w:rFonts w:ascii="Times New Roman" w:eastAsia="宋体" w:hAnsi="Times New Roman" w:cs="Times New Roman"/>
          <w:color w:val="auto"/>
          <w:sz w:val="24"/>
          <w:szCs w:val="24"/>
          <w:lang w:eastAsia="zh-CN"/>
        </w:rPr>
        <w:t>影响</w:t>
      </w:r>
      <w:r>
        <w:rPr>
          <w:rFonts w:ascii="Times New Roman" w:eastAsia="宋体" w:hAnsi="Times New Roman" w:cs="Times New Roman" w:hint="eastAsia"/>
          <w:color w:val="auto"/>
          <w:sz w:val="24"/>
          <w:szCs w:val="24"/>
          <w:lang w:eastAsia="zh-CN"/>
        </w:rPr>
        <w:t>较小，</w:t>
      </w:r>
      <w:r>
        <w:rPr>
          <w:rFonts w:ascii="Times New Roman" w:eastAsia="宋体" w:hAnsi="Times New Roman" w:cs="Times New Roman"/>
          <w:color w:val="auto"/>
          <w:sz w:val="24"/>
          <w:szCs w:val="24"/>
          <w:lang w:eastAsia="zh-CN"/>
        </w:rPr>
        <w:t>且所有源点叠加后超</w:t>
      </w:r>
      <w:r>
        <w:rPr>
          <w:rFonts w:ascii="Times New Roman" w:eastAsia="宋体" w:hAnsi="Times New Roman" w:cs="Times New Roman"/>
          <w:color w:val="auto"/>
          <w:sz w:val="24"/>
          <w:szCs w:val="24"/>
          <w:lang w:eastAsia="zh-CN"/>
        </w:rPr>
        <w:t>I</w:t>
      </w:r>
      <w:r>
        <w:rPr>
          <w:rFonts w:ascii="Times New Roman" w:eastAsia="宋体" w:hAnsi="Times New Roman" w:cs="Times New Roman"/>
          <w:color w:val="auto"/>
          <w:sz w:val="24"/>
          <w:szCs w:val="24"/>
          <w:lang w:eastAsia="zh-CN"/>
        </w:rPr>
        <w:t>、</w:t>
      </w:r>
      <w:r>
        <w:rPr>
          <w:rFonts w:ascii="Times New Roman" w:eastAsia="宋体" w:hAnsi="Times New Roman" w:cs="Times New Roman"/>
          <w:color w:val="auto"/>
          <w:sz w:val="24"/>
          <w:szCs w:val="24"/>
          <w:lang w:eastAsia="zh-CN"/>
        </w:rPr>
        <w:t>Ⅱ</w:t>
      </w:r>
      <w:r>
        <w:rPr>
          <w:rFonts w:ascii="Times New Roman" w:eastAsia="宋体" w:hAnsi="Times New Roman" w:cs="Times New Roman"/>
          <w:color w:val="auto"/>
          <w:sz w:val="24"/>
          <w:szCs w:val="24"/>
          <w:lang w:eastAsia="zh-CN"/>
        </w:rPr>
        <w:t>类水质</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color w:val="auto"/>
          <w:sz w:val="24"/>
          <w:szCs w:val="24"/>
          <w:lang w:eastAsia="zh-CN"/>
        </w:rPr>
        <w:t>&gt;10mg/L</w:t>
      </w:r>
      <w:r>
        <w:rPr>
          <w:rFonts w:ascii="Times New Roman" w:eastAsia="宋体" w:hAnsi="Times New Roman" w:cs="Times New Roman" w:hint="eastAsia"/>
          <w:color w:val="auto"/>
          <w:sz w:val="24"/>
          <w:szCs w:val="24"/>
          <w:lang w:eastAsia="zh-CN"/>
        </w:rPr>
        <w:t>）扩散的最远距离仅有</w:t>
      </w:r>
      <w:r>
        <w:rPr>
          <w:rFonts w:ascii="Times New Roman" w:eastAsia="宋体" w:hAnsi="Times New Roman" w:cs="Times New Roman" w:hint="eastAsia"/>
          <w:color w:val="auto"/>
          <w:sz w:val="24"/>
          <w:szCs w:val="24"/>
          <w:lang w:eastAsia="zh-CN"/>
        </w:rPr>
        <w:t>1.2km</w:t>
      </w:r>
      <w:r>
        <w:rPr>
          <w:rFonts w:ascii="Times New Roman" w:eastAsia="宋体" w:hAnsi="Times New Roman" w:cs="Times New Roman" w:hint="eastAsia"/>
          <w:color w:val="auto"/>
          <w:sz w:val="24"/>
          <w:szCs w:val="24"/>
          <w:lang w:eastAsia="zh-CN"/>
        </w:rPr>
        <w:t>左右</w:t>
      </w:r>
      <w:r>
        <w:rPr>
          <w:rFonts w:ascii="Times New Roman" w:eastAsia="宋体" w:hAnsi="Times New Roman" w:cs="Times New Roman"/>
          <w:color w:val="auto"/>
          <w:sz w:val="24"/>
          <w:szCs w:val="24"/>
          <w:lang w:eastAsia="zh-CN"/>
        </w:rPr>
        <w:t>。</w:t>
      </w:r>
      <w:r>
        <w:rPr>
          <w:rFonts w:ascii="Times New Roman" w:eastAsia="宋体" w:hAnsi="Times New Roman" w:cs="Times New Roman" w:hint="eastAsia"/>
          <w:color w:val="auto"/>
          <w:sz w:val="24"/>
          <w:szCs w:val="24"/>
          <w:lang w:eastAsia="zh-CN"/>
        </w:rPr>
        <w:t>因此，需采取必要的生态保护措施，如设置防污帘、选择合适时间施工等，并好相应的生态跟踪监测，降低对该功能区红树林及其生态系统、水质和底质的影响。疏浚施工期较短，所产生的悬浮泥沙对海水水质的影响时间是短暂的，这种影响一旦施工完毕，在较短的时间内（</w:t>
      </w:r>
      <w:r>
        <w:rPr>
          <w:rFonts w:ascii="Times New Roman" w:eastAsia="宋体" w:hAnsi="Times New Roman" w:cs="Times New Roman" w:hint="eastAsia"/>
          <w:color w:val="auto"/>
          <w:sz w:val="24"/>
          <w:szCs w:val="24"/>
          <w:lang w:eastAsia="zh-CN"/>
        </w:rPr>
        <w:t>12</w:t>
      </w:r>
      <w:r>
        <w:rPr>
          <w:rFonts w:ascii="Times New Roman" w:eastAsia="宋体" w:hAnsi="Times New Roman" w:cs="Times New Roman" w:hint="eastAsia"/>
          <w:color w:val="auto"/>
          <w:sz w:val="24"/>
          <w:szCs w:val="24"/>
          <w:lang w:eastAsia="zh-CN"/>
        </w:rPr>
        <w:t>小时）也就结束，自然生态环境逐渐</w:t>
      </w:r>
      <w:r>
        <w:rPr>
          <w:rFonts w:ascii="Times New Roman" w:eastAsia="宋体" w:hAnsi="Times New Roman" w:cs="Times New Roman" w:hint="eastAsia"/>
          <w:color w:val="auto"/>
          <w:sz w:val="24"/>
          <w:szCs w:val="24"/>
          <w:lang w:eastAsia="zh-CN"/>
        </w:rPr>
        <w:t>得到恢复。</w:t>
      </w:r>
    </w:p>
    <w:p w14:paraId="5F40E8AD"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本项目红树林种植区滩涂整地、疏浚、构筑物建设，将破坏底栖生物的栖息地和生存环境，从而导致生物资源损失，如底栖生物、潮间带生物、浮游生物、鱼卵仔稚鱼和无脊椎动物等。但施工完成后种植区将形成新的滩涂底土环境，底栖生物、潮间带生物可重新形成生态系统。</w:t>
      </w:r>
    </w:p>
    <w:p w14:paraId="582B1727" w14:textId="77777777" w:rsidR="0075791A" w:rsidRDefault="00FB2864">
      <w:pPr>
        <w:spacing w:line="360" w:lineRule="auto"/>
        <w:ind w:firstLineChars="200" w:firstLine="472"/>
        <w:jc w:val="both"/>
        <w:rPr>
          <w:rFonts w:ascii="Times New Roman" w:eastAsia="宋体" w:hAnsi="Times New Roman" w:cs="宋体"/>
          <w:color w:val="auto"/>
          <w:sz w:val="24"/>
          <w:szCs w:val="24"/>
          <w:lang w:eastAsia="zh-CN"/>
        </w:rPr>
      </w:pPr>
      <w:r>
        <w:rPr>
          <w:rFonts w:ascii="Times New Roman" w:eastAsia="宋体" w:hAnsi="Times New Roman" w:cs="宋体"/>
          <w:b/>
          <w:bCs/>
          <w:color w:val="auto"/>
          <w:spacing w:val="-5"/>
          <w:sz w:val="24"/>
          <w:szCs w:val="24"/>
          <w:lang w:eastAsia="zh-CN"/>
        </w:rPr>
        <w:t>（</w:t>
      </w:r>
      <w:r>
        <w:rPr>
          <w:rFonts w:ascii="Times New Roman" w:eastAsia="Times New Roman" w:hAnsi="Times New Roman" w:cs="Times New Roman"/>
          <w:b/>
          <w:bCs/>
          <w:color w:val="auto"/>
          <w:spacing w:val="-5"/>
          <w:sz w:val="24"/>
          <w:szCs w:val="24"/>
          <w:lang w:eastAsia="zh-CN"/>
        </w:rPr>
        <w:t>2</w:t>
      </w:r>
      <w:r>
        <w:rPr>
          <w:rFonts w:ascii="Times New Roman" w:eastAsia="宋体" w:hAnsi="Times New Roman" w:cs="宋体"/>
          <w:b/>
          <w:bCs/>
          <w:color w:val="auto"/>
          <w:spacing w:val="-5"/>
          <w:sz w:val="24"/>
          <w:szCs w:val="24"/>
          <w:lang w:eastAsia="zh-CN"/>
        </w:rPr>
        <w:t>）生态影响</w:t>
      </w:r>
    </w:p>
    <w:p w14:paraId="08241900" w14:textId="77777777" w:rsidR="0075791A" w:rsidRDefault="00FB2864">
      <w:pPr>
        <w:spacing w:line="360" w:lineRule="auto"/>
        <w:ind w:firstLineChars="200" w:firstLine="480"/>
        <w:rPr>
          <w:rFonts w:ascii="Times New Roman" w:eastAsia="宋体" w:hAnsi="Times New Roman"/>
          <w:color w:val="auto"/>
          <w:sz w:val="24"/>
          <w:szCs w:val="24"/>
          <w:lang w:eastAsia="zh-CN"/>
        </w:rPr>
      </w:pPr>
      <w:r>
        <w:rPr>
          <w:rFonts w:ascii="Times New Roman" w:eastAsia="宋体" w:hAnsi="Times New Roman" w:hint="eastAsia"/>
          <w:color w:val="auto"/>
          <w:sz w:val="24"/>
          <w:szCs w:val="24"/>
          <w:lang w:eastAsia="zh-CN"/>
        </w:rPr>
        <w:t>1</w:t>
      </w:r>
      <w:r>
        <w:rPr>
          <w:rFonts w:ascii="Times New Roman" w:eastAsia="宋体" w:hAnsi="Times New Roman" w:hint="eastAsia"/>
          <w:color w:val="auto"/>
          <w:sz w:val="24"/>
          <w:szCs w:val="24"/>
          <w:lang w:eastAsia="zh-CN"/>
        </w:rPr>
        <w:t>）</w:t>
      </w:r>
      <w:r>
        <w:rPr>
          <w:rFonts w:ascii="Times New Roman" w:eastAsia="宋体" w:hAnsi="Times New Roman"/>
          <w:color w:val="auto"/>
          <w:sz w:val="24"/>
          <w:szCs w:val="24"/>
          <w:lang w:eastAsia="zh-CN"/>
        </w:rPr>
        <w:t>通过对比工程建设前后涨急和落急时刻流场可知，</w:t>
      </w:r>
      <w:r>
        <w:rPr>
          <w:rFonts w:ascii="宋体" w:hAnsi="宋体" w:hint="eastAsia"/>
          <w:color w:val="auto"/>
          <w:sz w:val="24"/>
          <w:lang w:eastAsia="zh-CN"/>
        </w:rPr>
        <w:t>疏浚工程的实施对流速改变的幅度和范围都较小，只局限在疏浚区的小范围内，对周边的海洋动力环境影响较小。</w:t>
      </w:r>
    </w:p>
    <w:p w14:paraId="6BDFC2B4" w14:textId="77777777" w:rsidR="0075791A" w:rsidRDefault="00FB2864">
      <w:pPr>
        <w:spacing w:line="360" w:lineRule="auto"/>
        <w:ind w:firstLineChars="200" w:firstLine="480"/>
        <w:rPr>
          <w:rFonts w:ascii="Times New Roman" w:eastAsia="宋体" w:hAnsi="Times New Roman"/>
          <w:color w:val="auto"/>
          <w:sz w:val="24"/>
          <w:szCs w:val="24"/>
          <w:lang w:eastAsia="zh-CN"/>
        </w:rPr>
      </w:pPr>
      <w:r>
        <w:rPr>
          <w:rFonts w:ascii="Times New Roman" w:eastAsia="宋体" w:hAnsi="Times New Roman" w:hint="eastAsia"/>
          <w:color w:val="auto"/>
          <w:sz w:val="24"/>
          <w:szCs w:val="24"/>
          <w:lang w:eastAsia="zh-CN"/>
        </w:rPr>
        <w:t>2</w:t>
      </w:r>
      <w:r>
        <w:rPr>
          <w:rFonts w:ascii="Times New Roman" w:eastAsia="宋体" w:hAnsi="Times New Roman" w:hint="eastAsia"/>
          <w:color w:val="auto"/>
          <w:sz w:val="24"/>
          <w:szCs w:val="24"/>
          <w:lang w:eastAsia="zh-CN"/>
        </w:rPr>
        <w:t>）</w:t>
      </w:r>
      <w:r>
        <w:rPr>
          <w:rFonts w:ascii="宋体" w:hAnsi="宋体" w:hint="eastAsia"/>
          <w:color w:val="auto"/>
          <w:sz w:val="24"/>
          <w:lang w:eastAsia="zh-CN"/>
        </w:rPr>
        <w:t>本项目工程后悬浮沙引起冲淤的范围较小，主要集中在疏浚区及附近的小范围内，冲淤幅度也较小，最大值在±</w:t>
      </w:r>
      <w:r>
        <w:rPr>
          <w:rFonts w:ascii="宋体" w:hAnsi="宋体" w:hint="eastAsia"/>
          <w:color w:val="auto"/>
          <w:sz w:val="24"/>
          <w:lang w:eastAsia="zh-CN"/>
        </w:rPr>
        <w:t>13</w:t>
      </w:r>
      <w:r>
        <w:rPr>
          <w:rFonts w:ascii="宋体" w:hAnsi="宋体"/>
          <w:color w:val="auto"/>
          <w:sz w:val="24"/>
          <w:lang w:eastAsia="zh-CN"/>
        </w:rPr>
        <w:t>cm/a</w:t>
      </w:r>
      <w:r>
        <w:rPr>
          <w:rFonts w:ascii="宋体" w:hAnsi="宋体" w:hint="eastAsia"/>
          <w:color w:val="auto"/>
          <w:sz w:val="24"/>
          <w:lang w:eastAsia="zh-CN"/>
        </w:rPr>
        <w:t>左右</w:t>
      </w:r>
      <w:r>
        <w:rPr>
          <w:rFonts w:ascii="宋体" w:eastAsia="宋体" w:hAnsi="宋体" w:hint="eastAsia"/>
          <w:color w:val="auto"/>
          <w:sz w:val="24"/>
          <w:lang w:eastAsia="zh-CN"/>
        </w:rPr>
        <w:t>；</w:t>
      </w:r>
      <w:r>
        <w:rPr>
          <w:rFonts w:ascii="宋体" w:hAnsi="宋体" w:hint="eastAsia"/>
          <w:color w:val="auto"/>
          <w:sz w:val="24"/>
          <w:szCs w:val="24"/>
          <w:lang w:eastAsia="zh-CN"/>
        </w:rPr>
        <w:t>工程后纳潮量略有增加，这有利于维持铁炉港潮汐通道和泻湖口门的稳定。</w:t>
      </w:r>
      <w:r>
        <w:rPr>
          <w:rFonts w:ascii="宋体" w:hAnsi="宋体" w:hint="eastAsia"/>
          <w:color w:val="auto"/>
          <w:sz w:val="24"/>
          <w:lang w:eastAsia="zh-CN"/>
        </w:rPr>
        <w:t>铁炉港潮汐通道过水断面面积小于均衡态条件下的过水断面面积，因此在目前情况下，铁炉港潮汐通道将</w:t>
      </w:r>
      <w:r>
        <w:rPr>
          <w:rFonts w:ascii="宋体" w:hAnsi="宋体" w:hint="eastAsia"/>
          <w:color w:val="auto"/>
          <w:sz w:val="24"/>
          <w:lang w:eastAsia="zh-CN"/>
        </w:rPr>
        <w:lastRenderedPageBreak/>
        <w:t>继续维持现有的过水断面面积和潮汐深槽，不会出现明显的淤积。工程后纳潮量增加，这有利于维持铁炉港潮汐汊道的稳定。</w:t>
      </w:r>
    </w:p>
    <w:p w14:paraId="023D6BF4" w14:textId="77777777" w:rsidR="0075791A" w:rsidRDefault="00FB2864">
      <w:pPr>
        <w:spacing w:line="360" w:lineRule="auto"/>
        <w:ind w:firstLineChars="200" w:firstLine="476"/>
        <w:jc w:val="both"/>
        <w:rPr>
          <w:rFonts w:ascii="Times New Roman" w:eastAsia="宋体" w:hAnsi="Times New Roman" w:cs="宋体"/>
          <w:color w:val="auto"/>
          <w:spacing w:val="-5"/>
          <w:sz w:val="24"/>
          <w:szCs w:val="24"/>
          <w:lang w:eastAsia="zh-CN"/>
        </w:rPr>
      </w:pPr>
      <w:r>
        <w:rPr>
          <w:rFonts w:ascii="Times New Roman" w:eastAsia="宋体" w:hAnsi="Times New Roman" w:cs="宋体"/>
          <w:color w:val="auto"/>
          <w:spacing w:val="-2"/>
          <w:sz w:val="24"/>
          <w:szCs w:val="24"/>
          <w:lang w:eastAsia="zh-CN"/>
        </w:rPr>
        <w:t>综上，本项目用海对生</w:t>
      </w:r>
      <w:r>
        <w:rPr>
          <w:rFonts w:ascii="Times New Roman" w:eastAsia="宋体" w:hAnsi="Times New Roman" w:cs="宋体"/>
          <w:color w:val="auto"/>
          <w:spacing w:val="-2"/>
          <w:sz w:val="24"/>
          <w:szCs w:val="24"/>
          <w:lang w:eastAsia="zh-CN"/>
        </w:rPr>
        <w:t>态影响有正面及负面的影响，正面影响主要表现在通过</w:t>
      </w:r>
      <w:r>
        <w:rPr>
          <w:rFonts w:ascii="Times New Roman" w:eastAsia="宋体" w:hAnsi="Times New Roman" w:cs="宋体" w:hint="eastAsia"/>
          <w:color w:val="auto"/>
          <w:spacing w:val="-2"/>
          <w:sz w:val="24"/>
          <w:szCs w:val="24"/>
          <w:lang w:eastAsia="zh-CN"/>
        </w:rPr>
        <w:t>红树林湿地</w:t>
      </w:r>
      <w:r>
        <w:rPr>
          <w:rFonts w:ascii="Times New Roman" w:eastAsia="宋体" w:hAnsi="Times New Roman" w:cs="宋体"/>
          <w:color w:val="auto"/>
          <w:spacing w:val="-2"/>
          <w:sz w:val="24"/>
          <w:szCs w:val="24"/>
          <w:lang w:eastAsia="zh-CN"/>
        </w:rPr>
        <w:t>修复工程，</w:t>
      </w:r>
      <w:r>
        <w:rPr>
          <w:rFonts w:ascii="Times New Roman" w:eastAsia="宋体" w:hAnsi="Times New Roman" w:cs="宋体" w:hint="eastAsia"/>
          <w:color w:val="auto"/>
          <w:spacing w:val="-2"/>
          <w:sz w:val="24"/>
          <w:szCs w:val="24"/>
          <w:lang w:eastAsia="zh-CN"/>
        </w:rPr>
        <w:t>保护河</w:t>
      </w:r>
      <w:r>
        <w:rPr>
          <w:rFonts w:ascii="Times New Roman" w:eastAsia="宋体" w:hAnsi="Times New Roman" w:cs="宋体"/>
          <w:color w:val="auto"/>
          <w:spacing w:val="-2"/>
          <w:sz w:val="24"/>
          <w:szCs w:val="24"/>
          <w:lang w:eastAsia="zh-CN"/>
        </w:rPr>
        <w:t>恢复</w:t>
      </w:r>
      <w:r>
        <w:rPr>
          <w:rFonts w:ascii="Times New Roman" w:eastAsia="宋体" w:hAnsi="Times New Roman" w:cs="宋体" w:hint="eastAsia"/>
          <w:color w:val="auto"/>
          <w:spacing w:val="-2"/>
          <w:sz w:val="24"/>
          <w:szCs w:val="24"/>
          <w:lang w:eastAsia="zh-CN"/>
        </w:rPr>
        <w:t>红树林及滨海湿地生态系统</w:t>
      </w:r>
      <w:r>
        <w:rPr>
          <w:rFonts w:ascii="Times New Roman" w:eastAsia="宋体" w:hAnsi="Times New Roman" w:cs="宋体"/>
          <w:color w:val="auto"/>
          <w:spacing w:val="-2"/>
          <w:sz w:val="24"/>
          <w:szCs w:val="24"/>
          <w:lang w:eastAsia="zh-CN"/>
        </w:rPr>
        <w:t>；负面影响主要表现在疏浚产生悬浮泥沙对生态环境的影响，这种影响在施工完成后将逐步恢复。可见，通过采取一定的环境保护措施，本项目用海工程</w:t>
      </w:r>
      <w:r>
        <w:rPr>
          <w:rFonts w:ascii="Times New Roman" w:eastAsia="宋体" w:hAnsi="Times New Roman" w:cs="宋体"/>
          <w:color w:val="auto"/>
          <w:spacing w:val="-1"/>
          <w:sz w:val="24"/>
          <w:szCs w:val="24"/>
          <w:lang w:eastAsia="zh-CN"/>
        </w:rPr>
        <w:t>对生态的影响属于可接受的范围。</w:t>
      </w:r>
    </w:p>
    <w:p w14:paraId="09632D29"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论证范围内海洋资源主要有港口资源、滩涂资源、渔业资源、旅游资源及海岛资源等。本项目用海工程不会对港口资源、滩涂资源产生影响；施工过程对渔业资源、旅游资源有一定影响，施工完成后将恢复；项目实施不会对海岛资源产生影响。总体上，本项目工程用海对资源影响较小，属于可接受范围。</w:t>
      </w:r>
    </w:p>
    <w:p w14:paraId="3CC8363E" w14:textId="77777777" w:rsidR="0075791A" w:rsidRDefault="00FB2864">
      <w:pPr>
        <w:spacing w:line="360" w:lineRule="auto"/>
        <w:rPr>
          <w:rFonts w:ascii="Times New Roman" w:eastAsia="宋体" w:hAnsi="Times New Roman"/>
          <w:b/>
          <w:bCs/>
          <w:color w:val="auto"/>
          <w:sz w:val="30"/>
          <w:szCs w:val="30"/>
          <w:lang w:eastAsia="zh-CN"/>
        </w:rPr>
      </w:pPr>
      <w:r>
        <w:rPr>
          <w:rFonts w:ascii="Times New Roman" w:eastAsia="宋体" w:hAnsi="Times New Roman" w:hint="eastAsia"/>
          <w:b/>
          <w:bCs/>
          <w:color w:val="auto"/>
          <w:sz w:val="30"/>
          <w:szCs w:val="30"/>
          <w:lang w:eastAsia="zh-CN"/>
        </w:rPr>
        <w:t>八、项目用海合理性</w:t>
      </w:r>
    </w:p>
    <w:p w14:paraId="67D5C9C5"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（1）用海选址合理性</w:t>
      </w:r>
    </w:p>
    <w:p w14:paraId="0FAA72A5"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color w:val="auto"/>
          <w:spacing w:val="-4"/>
          <w:sz w:val="24"/>
          <w:szCs w:val="24"/>
          <w:lang w:eastAsia="zh-CN"/>
        </w:rPr>
        <w:t>三亚市铁炉港红树林自然保护区仍</w:t>
      </w:r>
      <w:r>
        <w:rPr>
          <w:rFonts w:ascii="Times New Roman" w:eastAsia="Times New Roman" w:hAnsi="Times New Roman" w:cs="Times New Roman" w:hint="eastAsia"/>
          <w:color w:val="auto"/>
          <w:spacing w:val="-4"/>
          <w:sz w:val="24"/>
          <w:szCs w:val="24"/>
          <w:lang w:eastAsia="zh-CN"/>
        </w:rPr>
        <w:t>存在一些生态问题，如人为活动破坏，湿地净化调蓄能力不足和大量的海漂垃圾对生态造成了威胁，使得生态安全生态防护能力不足；外来物种入侵使得红树林资源生态受到威胁；生境质量下降</w:t>
      </w:r>
      <w:r>
        <w:rPr>
          <w:rFonts w:ascii="Times New Roman" w:eastAsia="Times New Roman" w:hAnsi="Times New Roman" w:cs="Times New Roman" w:hint="eastAsia"/>
          <w:color w:val="auto"/>
          <w:spacing w:val="-4"/>
          <w:sz w:val="24"/>
          <w:szCs w:val="24"/>
          <w:lang w:eastAsia="zh-CN"/>
        </w:rPr>
        <w:t>，物种丰富度降低；缺乏智慧监测体系及巡护服务设施等，</w:t>
      </w:r>
      <w:r>
        <w:rPr>
          <w:rFonts w:ascii="Times New Roman" w:eastAsia="Times New Roman" w:hAnsi="Times New Roman" w:cs="Times New Roman"/>
          <w:color w:val="auto"/>
          <w:spacing w:val="-4"/>
          <w:sz w:val="24"/>
          <w:szCs w:val="24"/>
          <w:lang w:eastAsia="zh-CN"/>
        </w:rPr>
        <w:t>需开展更深层次、持续地生态修复工作</w:t>
      </w:r>
      <w:r>
        <w:rPr>
          <w:rFonts w:ascii="Times New Roman" w:eastAsia="Times New Roman" w:hAnsi="Times New Roman" w:cs="Times New Roman" w:hint="eastAsia"/>
          <w:color w:val="auto"/>
          <w:spacing w:val="-4"/>
          <w:sz w:val="24"/>
          <w:szCs w:val="24"/>
          <w:lang w:eastAsia="zh-CN"/>
        </w:rPr>
        <w:t>，其选址具有唯一性。选址的区位和社会条件适宜，场地为基本稳定场地，较适宜项目建设，项目所在的海洋生态环境能满足项目用海需求，工程实施后产生的效益包括改善海洋生态环境质量，从而促进海洋产业协调发展。因此，项目用海选址合理。</w:t>
      </w:r>
    </w:p>
    <w:p w14:paraId="18FCE2E2"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（2）平面布置合理性</w:t>
      </w:r>
    </w:p>
    <w:p w14:paraId="3898C1C2"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本项目总平面布置尽可能做到布局紧凑，远近结合，并充分利用自然条件，在保证功能的前提下，尽量减少用海及用地；巡护便道、巡护栈道主要围绕已清退养殖池塘区域建设，受塘埂影响，水流较小，低潮</w:t>
      </w:r>
      <w:r>
        <w:rPr>
          <w:rFonts w:ascii="Times New Roman" w:eastAsia="Times New Roman" w:hAnsi="Times New Roman" w:cs="Times New Roman" w:hint="eastAsia"/>
          <w:color w:val="auto"/>
          <w:spacing w:val="-4"/>
          <w:sz w:val="24"/>
          <w:szCs w:val="24"/>
          <w:lang w:eastAsia="zh-CN"/>
        </w:rPr>
        <w:t>时建设区域干出，减少悬浮物扩散，降低对水环境的影响；所有构筑物均为透水构筑物，桩基直径30-50cm，受已清退塘埂影响，该区域水深较浅，水流较小，其减少对所在海域水文动力环境、冲淤环境影响轻微。因此，项目平面布置体现了集约、节约用海的原则，最大承担的减小对水动力环境、冲淤环境、水环境的影响，有利于生态保</w:t>
      </w:r>
      <w:r>
        <w:rPr>
          <w:rFonts w:ascii="Times New Roman" w:eastAsia="Times New Roman" w:hAnsi="Times New Roman" w:cs="Times New Roman" w:hint="eastAsia"/>
          <w:color w:val="auto"/>
          <w:spacing w:val="-4"/>
          <w:sz w:val="24"/>
          <w:szCs w:val="24"/>
          <w:lang w:eastAsia="zh-CN"/>
        </w:rPr>
        <w:lastRenderedPageBreak/>
        <w:t>护。</w:t>
      </w:r>
    </w:p>
    <w:p w14:paraId="574DF828"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（3）用海方式合理性</w:t>
      </w:r>
    </w:p>
    <w:p w14:paraId="6535F7B6"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项目构筑物用海方式分别为透水构筑物；疏浚区用海方式为专用航道、锚地及其他开放式，遵循了“尽最大可能不填海和少填海、不采用非透水构筑物，尽可能采用透水式、开放式的用海原则”。</w:t>
      </w:r>
    </w:p>
    <w:p w14:paraId="626CF182"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构筑物</w:t>
      </w:r>
      <w:r>
        <w:rPr>
          <w:rFonts w:ascii="Times New Roman" w:eastAsia="Times New Roman" w:hAnsi="Times New Roman" w:cs="Times New Roman" w:hint="eastAsia"/>
          <w:color w:val="auto"/>
          <w:spacing w:val="-4"/>
          <w:sz w:val="24"/>
          <w:szCs w:val="24"/>
          <w:lang w:eastAsia="zh-CN"/>
        </w:rPr>
        <w:t>施工、清淤疏浚产生悬浮物扩散会对项目所在铁炉港海域水质环境产生一定影响；施工期生产废水若排入海也会影响水质环境，需采取污染防治措施，如设置防污帘、合理安排疏浚时间、统一回收处理等。此外，疏浚施工期较短，所产生的悬浮泥沙对海水水质的影响时间是短暂的，这种影响一旦施工完毕，在较短的时间内也就结束，自然生态环境逐渐得到恢复。</w:t>
      </w:r>
    </w:p>
    <w:p w14:paraId="0879F3C1"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因此，本项目用海方式是合理的。</w:t>
      </w:r>
    </w:p>
    <w:p w14:paraId="4988D954"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）用海面积合理性</w:t>
      </w:r>
    </w:p>
    <w:p w14:paraId="2206376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本项目申请的总用海面积为</w:t>
      </w:r>
      <w:r>
        <w:rPr>
          <w:rFonts w:ascii="Times New Roman" w:eastAsia="宋体" w:hAnsi="Times New Roman" w:cs="宋体" w:hint="eastAsia"/>
          <w:color w:val="auto"/>
          <w:spacing w:val="-4"/>
          <w:sz w:val="24"/>
          <w:szCs w:val="24"/>
          <w:lang w:eastAsia="zh-CN"/>
        </w:rPr>
        <w:t>15.2465</w:t>
      </w:r>
      <w:r>
        <w:rPr>
          <w:rFonts w:ascii="Times New Roman" w:eastAsia="宋体" w:hAnsi="Times New Roman" w:cs="宋体" w:hint="eastAsia"/>
          <w:color w:val="auto"/>
          <w:sz w:val="24"/>
          <w:szCs w:val="24"/>
          <w:lang w:eastAsia="zh-CN"/>
        </w:rPr>
        <w:t>公顷</w:t>
      </w:r>
      <w:r>
        <w:rPr>
          <w:rFonts w:ascii="Times New Roman" w:eastAsia="宋体" w:hAnsi="Times New Roman" w:cs="宋体" w:hint="eastAsia"/>
          <w:color w:val="auto"/>
          <w:spacing w:val="-2"/>
          <w:sz w:val="24"/>
          <w:szCs w:val="24"/>
          <w:lang w:eastAsia="zh-CN"/>
        </w:rPr>
        <w:t>，其中构筑物用海面积为</w:t>
      </w:r>
      <w:r>
        <w:rPr>
          <w:rFonts w:ascii="Times New Roman" w:eastAsia="宋体" w:hAnsi="Times New Roman" w:cs="宋体" w:hint="eastAsia"/>
          <w:color w:val="auto"/>
          <w:sz w:val="24"/>
          <w:szCs w:val="24"/>
          <w:lang w:eastAsia="zh-CN"/>
        </w:rPr>
        <w:t>0.3793</w:t>
      </w:r>
      <w:r>
        <w:rPr>
          <w:rFonts w:ascii="Times New Roman" w:eastAsia="宋体" w:hAnsi="Times New Roman" w:cs="宋体" w:hint="eastAsia"/>
          <w:color w:val="auto"/>
          <w:sz w:val="24"/>
          <w:szCs w:val="24"/>
          <w:lang w:eastAsia="zh-CN"/>
        </w:rPr>
        <w:t>公顷</w:t>
      </w:r>
      <w:r>
        <w:rPr>
          <w:rFonts w:ascii="Times New Roman" w:eastAsia="宋体" w:hAnsi="Times New Roman" w:cs="宋体" w:hint="eastAsia"/>
          <w:color w:val="auto"/>
          <w:spacing w:val="-2"/>
          <w:sz w:val="24"/>
          <w:szCs w:val="24"/>
          <w:lang w:eastAsia="zh-CN"/>
        </w:rPr>
        <w:t>，清淤区专用航道、锚地及其他开放式用海</w:t>
      </w:r>
      <w:r>
        <w:rPr>
          <w:rFonts w:ascii="Times New Roman" w:eastAsia="宋体" w:hAnsi="Times New Roman" w:cs="宋体" w:hint="eastAsia"/>
          <w:color w:val="auto"/>
          <w:spacing w:val="-4"/>
          <w:sz w:val="24"/>
          <w:szCs w:val="24"/>
          <w:lang w:eastAsia="zh-CN"/>
        </w:rPr>
        <w:t>14.8672</w:t>
      </w:r>
      <w:r>
        <w:rPr>
          <w:rFonts w:ascii="Times New Roman" w:eastAsia="宋体" w:hAnsi="Times New Roman" w:cs="宋体" w:hint="eastAsia"/>
          <w:color w:val="auto"/>
          <w:spacing w:val="-2"/>
          <w:sz w:val="24"/>
          <w:szCs w:val="24"/>
          <w:lang w:eastAsia="zh-CN"/>
        </w:rPr>
        <w:t>公顷。根据工程设计要求和《海籍调查规范》（</w:t>
      </w:r>
      <w:r>
        <w:rPr>
          <w:rFonts w:ascii="Times New Roman" w:eastAsia="宋体" w:hAnsi="Times New Roman" w:cs="宋体" w:hint="eastAsia"/>
          <w:color w:val="auto"/>
          <w:spacing w:val="-2"/>
          <w:sz w:val="24"/>
          <w:szCs w:val="24"/>
          <w:lang w:eastAsia="zh-CN"/>
        </w:rPr>
        <w:t>HYT124-2009</w:t>
      </w:r>
      <w:r>
        <w:rPr>
          <w:rFonts w:ascii="Times New Roman" w:eastAsia="宋体" w:hAnsi="Times New Roman" w:cs="宋体" w:hint="eastAsia"/>
          <w:color w:val="auto"/>
          <w:spacing w:val="-2"/>
          <w:sz w:val="24"/>
          <w:szCs w:val="24"/>
          <w:lang w:eastAsia="zh-CN"/>
        </w:rPr>
        <w:t>）《宗海图编绘技术规范》（</w:t>
      </w:r>
      <w:r>
        <w:rPr>
          <w:rFonts w:ascii="Times New Roman" w:eastAsia="宋体" w:hAnsi="Times New Roman" w:cs="宋体" w:hint="eastAsia"/>
          <w:color w:val="auto"/>
          <w:spacing w:val="-2"/>
          <w:sz w:val="24"/>
          <w:szCs w:val="24"/>
          <w:lang w:eastAsia="zh-CN"/>
        </w:rPr>
        <w:t>HY/T251-2018</w:t>
      </w:r>
      <w:r>
        <w:rPr>
          <w:rFonts w:ascii="Times New Roman" w:eastAsia="宋体" w:hAnsi="Times New Roman" w:cs="宋体" w:hint="eastAsia"/>
          <w:color w:val="auto"/>
          <w:spacing w:val="-2"/>
          <w:sz w:val="24"/>
          <w:szCs w:val="24"/>
          <w:lang w:eastAsia="zh-CN"/>
        </w:rPr>
        <w:t>），项目用海面积符合相关行业的设计标准和规范。因此，用海面积是合理的。</w:t>
      </w:r>
    </w:p>
    <w:p w14:paraId="6388DDC8"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hint="eastAsia"/>
          <w:color w:val="auto"/>
          <w:spacing w:val="-2"/>
          <w:sz w:val="24"/>
          <w:szCs w:val="24"/>
          <w:lang w:eastAsia="zh-CN"/>
        </w:rPr>
        <w:t>）占用岸线合理性</w:t>
      </w:r>
    </w:p>
    <w:p w14:paraId="14B140A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本项目占用岸线</w:t>
      </w:r>
      <w:r>
        <w:rPr>
          <w:rFonts w:ascii="Times New Roman" w:eastAsia="宋体" w:hAnsi="Times New Roman" w:cs="宋体" w:hint="eastAsia"/>
          <w:color w:val="auto"/>
          <w:spacing w:val="-2"/>
          <w:sz w:val="24"/>
          <w:szCs w:val="24"/>
          <w:lang w:eastAsia="zh-CN"/>
        </w:rPr>
        <w:t>0m</w:t>
      </w:r>
      <w:r>
        <w:rPr>
          <w:rFonts w:ascii="Times New Roman" w:eastAsia="宋体" w:hAnsi="Times New Roman" w:cs="宋体" w:hint="eastAsia"/>
          <w:color w:val="auto"/>
          <w:spacing w:val="-2"/>
          <w:sz w:val="24"/>
          <w:szCs w:val="24"/>
          <w:lang w:eastAsia="zh-CN"/>
        </w:rPr>
        <w:t>，透水构筑物安全防护区连接人工岸线</w:t>
      </w:r>
      <w:r>
        <w:rPr>
          <w:rFonts w:ascii="Times New Roman" w:eastAsia="宋体" w:hAnsi="Times New Roman" w:cs="宋体" w:hint="eastAsia"/>
          <w:color w:val="auto"/>
          <w:spacing w:val="-2"/>
          <w:sz w:val="24"/>
          <w:szCs w:val="24"/>
          <w:lang w:eastAsia="zh-CN"/>
        </w:rPr>
        <w:t>42m</w:t>
      </w:r>
      <w:r>
        <w:rPr>
          <w:rFonts w:ascii="Times New Roman" w:eastAsia="宋体" w:hAnsi="Times New Roman" w:cs="宋体" w:hint="eastAsia"/>
          <w:color w:val="auto"/>
          <w:spacing w:val="-2"/>
          <w:sz w:val="24"/>
          <w:szCs w:val="24"/>
          <w:lang w:eastAsia="zh-CN"/>
        </w:rPr>
        <w:t>，构筑物实体未连接海岸线，不改变岸线自然形态，不影响岸线的生态功能，未新增人工岸线，对三亚市自然岸线保有率不造成影响。</w:t>
      </w:r>
    </w:p>
    <w:p w14:paraId="6F0A68A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6</w:t>
      </w:r>
      <w:r>
        <w:rPr>
          <w:rFonts w:ascii="Times New Roman" w:eastAsia="宋体" w:hAnsi="Times New Roman" w:cs="宋体" w:hint="eastAsia"/>
          <w:color w:val="auto"/>
          <w:spacing w:val="-2"/>
          <w:sz w:val="24"/>
          <w:szCs w:val="24"/>
          <w:lang w:eastAsia="zh-CN"/>
        </w:rPr>
        <w:t>）用海期限合理性</w:t>
      </w:r>
    </w:p>
    <w:p w14:paraId="7D5E105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根据《中华人民共和国海域使用管理法》的规定：海域使用</w:t>
      </w:r>
      <w:r>
        <w:rPr>
          <w:rFonts w:ascii="Times New Roman" w:eastAsia="宋体" w:hAnsi="Times New Roman" w:cs="宋体" w:hint="eastAsia"/>
          <w:color w:val="auto"/>
          <w:spacing w:val="-2"/>
          <w:sz w:val="24"/>
          <w:szCs w:val="24"/>
          <w:lang w:eastAsia="zh-CN"/>
        </w:rPr>
        <w:t>权最高期限，按照下列用途确定：（</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）养殖用海十五年；（</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）拆船用海二十年；（</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）旅游、娱乐用海二十五年；（</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）盐业、矿业用海三十年；（</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hint="eastAsia"/>
          <w:color w:val="auto"/>
          <w:spacing w:val="-2"/>
          <w:sz w:val="24"/>
          <w:szCs w:val="24"/>
          <w:lang w:eastAsia="zh-CN"/>
        </w:rPr>
        <w:t>）公益事业用海四十年；（</w:t>
      </w:r>
      <w:r>
        <w:rPr>
          <w:rFonts w:ascii="Times New Roman" w:eastAsia="宋体" w:hAnsi="Times New Roman" w:cs="宋体" w:hint="eastAsia"/>
          <w:color w:val="auto"/>
          <w:spacing w:val="-2"/>
          <w:sz w:val="24"/>
          <w:szCs w:val="24"/>
          <w:lang w:eastAsia="zh-CN"/>
        </w:rPr>
        <w:t>6</w:t>
      </w:r>
      <w:r>
        <w:rPr>
          <w:rFonts w:ascii="Times New Roman" w:eastAsia="宋体" w:hAnsi="Times New Roman" w:cs="宋体" w:hint="eastAsia"/>
          <w:color w:val="auto"/>
          <w:spacing w:val="-2"/>
          <w:sz w:val="24"/>
          <w:szCs w:val="24"/>
          <w:lang w:eastAsia="zh-CN"/>
        </w:rPr>
        <w:t>）港口、修造船厂等建设工程用海五十年。</w:t>
      </w:r>
    </w:p>
    <w:p w14:paraId="1CA661B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本项目建设内容中</w:t>
      </w:r>
      <w:r>
        <w:rPr>
          <w:rFonts w:ascii="Times New Roman" w:eastAsia="宋体" w:hAnsi="Times New Roman" w:cs="宋体"/>
          <w:color w:val="auto"/>
          <w:sz w:val="24"/>
          <w:szCs w:val="24"/>
          <w:lang w:eastAsia="zh-CN"/>
        </w:rPr>
        <w:t>保护管理站</w:t>
      </w:r>
      <w:r>
        <w:rPr>
          <w:rFonts w:ascii="Times New Roman" w:eastAsia="宋体" w:hAnsi="Times New Roman" w:cs="宋体" w:hint="eastAsia"/>
          <w:color w:val="auto"/>
          <w:sz w:val="24"/>
          <w:szCs w:val="24"/>
          <w:lang w:eastAsia="zh-CN"/>
        </w:rPr>
        <w:t>设计使用年项为</w:t>
      </w:r>
      <w:r>
        <w:rPr>
          <w:rFonts w:ascii="Times New Roman" w:eastAsia="宋体" w:hAnsi="Times New Roman" w:cs="宋体" w:hint="eastAsia"/>
          <w:color w:val="auto"/>
          <w:sz w:val="24"/>
          <w:szCs w:val="24"/>
          <w:lang w:eastAsia="zh-CN"/>
        </w:rPr>
        <w:t>50</w:t>
      </w:r>
      <w:r>
        <w:rPr>
          <w:rFonts w:ascii="Times New Roman" w:eastAsia="宋体" w:hAnsi="Times New Roman" w:cs="宋体" w:hint="eastAsia"/>
          <w:color w:val="auto"/>
          <w:sz w:val="24"/>
          <w:szCs w:val="24"/>
          <w:lang w:eastAsia="zh-CN"/>
        </w:rPr>
        <w:t>年；栈道、便道设计年限为</w:t>
      </w:r>
      <w:r>
        <w:rPr>
          <w:rFonts w:ascii="Times New Roman" w:eastAsia="宋体" w:hAnsi="Times New Roman" w:cs="宋体" w:hint="eastAsia"/>
          <w:color w:val="auto"/>
          <w:sz w:val="24"/>
          <w:szCs w:val="24"/>
          <w:lang w:eastAsia="zh-CN"/>
        </w:rPr>
        <w:t>50</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pacing w:val="-2"/>
          <w:sz w:val="24"/>
          <w:szCs w:val="24"/>
          <w:lang w:eastAsia="zh-CN"/>
        </w:rPr>
        <w:t>项目属于公益用海项目，</w:t>
      </w:r>
      <w:r>
        <w:rPr>
          <w:rFonts w:ascii="Times New Roman" w:eastAsia="宋体" w:hAnsi="Times New Roman" w:cs="宋体" w:hint="eastAsia"/>
          <w:color w:val="auto"/>
          <w:sz w:val="24"/>
          <w:szCs w:val="24"/>
          <w:lang w:eastAsia="zh-CN"/>
        </w:rPr>
        <w:t>从项目主要功能以及构筑物设计周期等角度出发，建议项目构筑物等申请用海年限为</w:t>
      </w:r>
      <w:r>
        <w:rPr>
          <w:rFonts w:ascii="Times New Roman" w:eastAsia="宋体" w:hAnsi="Times New Roman" w:cs="宋体" w:hint="eastAsia"/>
          <w:color w:val="auto"/>
          <w:sz w:val="24"/>
          <w:szCs w:val="24"/>
          <w:lang w:eastAsia="zh-CN"/>
        </w:rPr>
        <w:t>40</w:t>
      </w:r>
      <w:r>
        <w:rPr>
          <w:rFonts w:ascii="Times New Roman" w:eastAsia="宋体" w:hAnsi="Times New Roman" w:cs="宋体" w:hint="eastAsia"/>
          <w:color w:val="auto"/>
          <w:sz w:val="24"/>
          <w:szCs w:val="24"/>
          <w:lang w:eastAsia="zh-CN"/>
        </w:rPr>
        <w:t>年。清淤区工期为</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个月，考虑前期准备工作及台风等天气影响，申请</w:t>
      </w: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个月用海。</w:t>
      </w:r>
    </w:p>
    <w:p w14:paraId="3600015A" w14:textId="77777777" w:rsidR="0075791A" w:rsidRDefault="00FB2864">
      <w:pPr>
        <w:spacing w:before="35" w:line="351" w:lineRule="auto"/>
        <w:ind w:left="8" w:right="1" w:firstLine="482"/>
        <w:rPr>
          <w:rFonts w:ascii="Times New Roman" w:eastAsia="宋体" w:hAnsi="Times New Roman" w:cs="宋体"/>
          <w:color w:val="auto"/>
          <w:sz w:val="24"/>
          <w:szCs w:val="24"/>
          <w:lang w:eastAsia="zh-CN"/>
        </w:rPr>
      </w:pPr>
      <w:r>
        <w:rPr>
          <w:rFonts w:ascii="Times New Roman" w:eastAsia="宋体" w:hAnsi="Times New Roman" w:cs="宋体"/>
          <w:color w:val="auto"/>
          <w:spacing w:val="-2"/>
          <w:sz w:val="24"/>
          <w:szCs w:val="24"/>
          <w:lang w:eastAsia="zh-CN"/>
        </w:rPr>
        <w:lastRenderedPageBreak/>
        <w:t>从以上因素综合分析，项目申请用海期限既满足法律管理规定又满</w:t>
      </w:r>
      <w:r>
        <w:rPr>
          <w:rFonts w:ascii="Times New Roman" w:eastAsia="宋体" w:hAnsi="Times New Roman" w:cs="宋体"/>
          <w:color w:val="auto"/>
          <w:spacing w:val="-2"/>
          <w:sz w:val="24"/>
          <w:szCs w:val="24"/>
          <w:lang w:eastAsia="zh-CN"/>
        </w:rPr>
        <w:t>足项目设计使用年限</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用海需求</w:t>
      </w:r>
      <w:r>
        <w:rPr>
          <w:rFonts w:ascii="Times New Roman" w:eastAsia="宋体" w:hAnsi="Times New Roman" w:cs="宋体"/>
          <w:color w:val="auto"/>
          <w:spacing w:val="-2"/>
          <w:sz w:val="24"/>
          <w:szCs w:val="24"/>
          <w:lang w:eastAsia="zh-CN"/>
        </w:rPr>
        <w:t>，项目申请使用年限是合理的。但项目具体用海年限应以管理部门批准用海年限为准。</w:t>
      </w:r>
    </w:p>
    <w:p w14:paraId="394098EF" w14:textId="77777777" w:rsidR="0075791A" w:rsidRDefault="00FB2864">
      <w:pPr>
        <w:spacing w:line="360" w:lineRule="auto"/>
        <w:rPr>
          <w:rFonts w:ascii="Times New Roman" w:eastAsia="宋体" w:hAnsi="Times New Roman"/>
          <w:b/>
          <w:bCs/>
          <w:color w:val="auto"/>
          <w:sz w:val="30"/>
          <w:szCs w:val="30"/>
          <w:lang w:eastAsia="zh-CN"/>
        </w:rPr>
      </w:pPr>
      <w:r>
        <w:rPr>
          <w:rFonts w:ascii="Times New Roman" w:eastAsia="宋体" w:hAnsi="Times New Roman" w:hint="eastAsia"/>
          <w:b/>
          <w:bCs/>
          <w:color w:val="auto"/>
          <w:sz w:val="30"/>
          <w:szCs w:val="30"/>
          <w:lang w:eastAsia="zh-CN"/>
        </w:rPr>
        <w:t>九、项目用海可行性</w:t>
      </w:r>
    </w:p>
    <w:p w14:paraId="7E37EE59" w14:textId="77777777" w:rsidR="0075791A" w:rsidRDefault="00FB2864">
      <w:pPr>
        <w:spacing w:before="35" w:line="351" w:lineRule="auto"/>
        <w:ind w:left="8" w:right="1" w:firstLine="482"/>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本项目用海工程是</w:t>
      </w:r>
      <w:r>
        <w:rPr>
          <w:rFonts w:ascii="Times New Roman" w:eastAsia="宋体" w:hAnsi="Times New Roman" w:cs="宋体"/>
          <w:color w:val="auto"/>
          <w:spacing w:val="-2"/>
          <w:sz w:val="24"/>
          <w:szCs w:val="24"/>
          <w:lang w:eastAsia="zh-CN"/>
        </w:rPr>
        <w:t>铁炉港红树林湿地保护修复项目</w:t>
      </w:r>
      <w:r>
        <w:rPr>
          <w:rFonts w:ascii="Times New Roman" w:eastAsia="宋体" w:hAnsi="Times New Roman" w:cs="宋体"/>
          <w:color w:val="auto"/>
          <w:spacing w:val="-2"/>
          <w:sz w:val="24"/>
          <w:szCs w:val="24"/>
          <w:lang w:eastAsia="zh-CN"/>
        </w:rPr>
        <w:t>重要组成部分，</w:t>
      </w:r>
      <w:r>
        <w:rPr>
          <w:rFonts w:ascii="Times New Roman" w:eastAsia="宋体" w:hAnsi="Times New Roman" w:cs="宋体"/>
          <w:color w:val="auto"/>
          <w:spacing w:val="-2"/>
          <w:sz w:val="24"/>
          <w:szCs w:val="24"/>
          <w:lang w:eastAsia="zh-CN"/>
        </w:rPr>
        <w:t>是海南南部典型热带区域山水林田湖草沙一体化保护和修复工程之三十二子项目</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属海岸带生态保护修复单元中的重要物种栖息地和生物安全防治工程，该单元总体目标为入海水体提供最后一道稳定净化屏障，为海岸旅游经济提供优质生态环境，实现陆海统筹、综合修复。</w:t>
      </w:r>
    </w:p>
    <w:p w14:paraId="42BFD141"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本项目大部分构筑物及小面积疏浚工程位于</w:t>
      </w:r>
      <w:r>
        <w:rPr>
          <w:rFonts w:ascii="Times New Roman" w:eastAsia="Times New Roman" w:hAnsi="Times New Roman" w:cs="Times New Roman" w:hint="eastAsia"/>
          <w:color w:val="auto"/>
          <w:spacing w:val="-4"/>
          <w:sz w:val="24"/>
          <w:szCs w:val="24"/>
          <w:lang w:eastAsia="zh-CN"/>
        </w:rPr>
        <w:t>海南省生态保护红线内其他区域</w:t>
      </w:r>
      <w:r>
        <w:rPr>
          <w:rFonts w:ascii="Times New Roman" w:eastAsia="宋体" w:hAnsi="Times New Roman" w:cs="宋体" w:hint="eastAsia"/>
          <w:color w:val="auto"/>
          <w:spacing w:val="-2"/>
          <w:sz w:val="24"/>
          <w:szCs w:val="24"/>
          <w:lang w:eastAsia="zh-CN"/>
        </w:rPr>
        <w:t>；疏浚工程主要位于铁炉港红树林自然保护区核心区，</w:t>
      </w:r>
      <w:r>
        <w:rPr>
          <w:rFonts w:ascii="Times New Roman" w:eastAsia="Times New Roman" w:hAnsi="Times New Roman" w:cs="Times New Roman" w:hint="eastAsia"/>
          <w:color w:val="auto"/>
          <w:spacing w:val="-4"/>
          <w:sz w:val="24"/>
          <w:szCs w:val="24"/>
          <w:lang w:eastAsia="zh-CN"/>
        </w:rPr>
        <w:t>符合《海南省人民政府办公厅关于印发海南省生态保护红线准入管理目录(修订)的通知》，</w:t>
      </w:r>
      <w:r>
        <w:rPr>
          <w:rFonts w:ascii="Times New Roman" w:eastAsia="宋体" w:hAnsi="Times New Roman" w:cs="宋体"/>
          <w:color w:val="auto"/>
          <w:spacing w:val="-2"/>
          <w:sz w:val="24"/>
          <w:szCs w:val="24"/>
          <w:lang w:eastAsia="zh-CN"/>
        </w:rPr>
        <w:t>项目用海符合</w:t>
      </w:r>
      <w:r>
        <w:rPr>
          <w:rFonts w:ascii="Times New Roman" w:eastAsia="宋体" w:hAnsi="Times New Roman" w:cs="宋体" w:hint="eastAsia"/>
          <w:color w:val="auto"/>
          <w:spacing w:val="-2"/>
          <w:sz w:val="24"/>
          <w:szCs w:val="24"/>
          <w:lang w:eastAsia="zh-CN"/>
        </w:rPr>
        <w:t>《海南省国土空间规划</w:t>
      </w:r>
      <w:r>
        <w:rPr>
          <w:rFonts w:ascii="Times New Roman" w:eastAsia="宋体" w:hAnsi="Times New Roman" w:cs="宋体" w:hint="eastAsia"/>
          <w:color w:val="auto"/>
          <w:spacing w:val="-2"/>
          <w:sz w:val="24"/>
          <w:szCs w:val="24"/>
          <w:lang w:eastAsia="zh-CN"/>
        </w:rPr>
        <w:t>(2021-2035</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》《海南省海岸带及海洋空间规划</w:t>
      </w:r>
      <w:r>
        <w:rPr>
          <w:rFonts w:ascii="Times New Roman" w:eastAsia="宋体" w:hAnsi="Times New Roman" w:cs="宋体" w:hint="eastAsia"/>
          <w:color w:val="auto"/>
          <w:spacing w:val="-2"/>
          <w:sz w:val="24"/>
          <w:szCs w:val="24"/>
          <w:lang w:eastAsia="zh-CN"/>
        </w:rPr>
        <w:t>(2021-2035</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》《三亚市国土空间生态修复规划（</w:t>
      </w:r>
      <w:r>
        <w:rPr>
          <w:rFonts w:ascii="Times New Roman" w:eastAsia="宋体" w:hAnsi="Times New Roman" w:cs="宋体" w:hint="eastAsia"/>
          <w:color w:val="auto"/>
          <w:spacing w:val="-2"/>
          <w:sz w:val="24"/>
          <w:szCs w:val="24"/>
          <w:lang w:eastAsia="zh-CN"/>
        </w:rPr>
        <w:t>2021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2035</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color w:val="auto"/>
          <w:spacing w:val="-2"/>
          <w:sz w:val="24"/>
          <w:szCs w:val="24"/>
          <w:lang w:eastAsia="zh-CN"/>
        </w:rPr>
        <w:t>，与利益相关者具有较好的协调性，选址区域的社会条件、自然资源、环境条件满足项目用海需求；平面布置、用海方式、面积、期限较为合理。在用海单位切实落实本论证报告提出的生态用海对策措施前提下，从海域使用角度分析，项目用海是可行的。</w:t>
      </w:r>
    </w:p>
    <w:p w14:paraId="53CB8D71" w14:textId="77777777" w:rsidR="0075791A" w:rsidRDefault="0075791A">
      <w:pPr>
        <w:rPr>
          <w:color w:val="auto"/>
          <w:lang w:eastAsia="zh-CN"/>
        </w:rPr>
      </w:pPr>
    </w:p>
    <w:p w14:paraId="42FE184B" w14:textId="77777777" w:rsidR="0075791A" w:rsidRDefault="0075791A">
      <w:pPr>
        <w:rPr>
          <w:color w:val="auto"/>
          <w:lang w:eastAsia="zh-CN"/>
        </w:rPr>
      </w:pPr>
    </w:p>
    <w:p w14:paraId="28F6D2D5" w14:textId="77777777" w:rsidR="0075791A" w:rsidRDefault="0075791A">
      <w:pPr>
        <w:rPr>
          <w:color w:val="auto"/>
          <w:lang w:eastAsia="zh-CN"/>
        </w:rPr>
        <w:sectPr w:rsidR="0075791A">
          <w:footerReference w:type="default" r:id="rId11"/>
          <w:pgSz w:w="11906" w:h="16839"/>
          <w:pgMar w:top="1440" w:right="1803" w:bottom="1440" w:left="1803" w:header="746" w:footer="972" w:gutter="0"/>
          <w:cols w:space="720"/>
        </w:sectPr>
      </w:pPr>
    </w:p>
    <w:p w14:paraId="20030A33" w14:textId="77777777" w:rsidR="0075791A" w:rsidRDefault="00FB2864">
      <w:pPr>
        <w:spacing w:line="360" w:lineRule="auto"/>
        <w:outlineLvl w:val="0"/>
        <w:rPr>
          <w:rFonts w:ascii="Times New Roman" w:eastAsia="宋体" w:hAnsi="Times New Roman" w:cs="宋体"/>
          <w:color w:val="auto"/>
          <w:sz w:val="32"/>
          <w:szCs w:val="32"/>
          <w:lang w:eastAsia="zh-CN"/>
        </w:rPr>
      </w:pPr>
      <w:bookmarkStart w:id="25" w:name="_Toc24171"/>
      <w:r>
        <w:rPr>
          <w:rFonts w:ascii="Times New Roman" w:eastAsia="宋体" w:hAnsi="Times New Roman" w:cs="Times New Roman" w:hint="eastAsia"/>
          <w:b/>
          <w:bCs/>
          <w:color w:val="auto"/>
          <w:spacing w:val="-5"/>
          <w:sz w:val="32"/>
          <w:szCs w:val="32"/>
          <w:lang w:eastAsia="zh-CN"/>
        </w:rPr>
        <w:lastRenderedPageBreak/>
        <w:t>1</w:t>
      </w:r>
      <w:bookmarkEnd w:id="23"/>
      <w:bookmarkEnd w:id="24"/>
      <w:r>
        <w:rPr>
          <w:rFonts w:ascii="Times New Roman" w:eastAsia="宋体" w:hAnsi="Times New Roman" w:cs="Times New Roman" w:hint="eastAsia"/>
          <w:b/>
          <w:bCs/>
          <w:color w:val="auto"/>
          <w:spacing w:val="-5"/>
          <w:sz w:val="32"/>
          <w:szCs w:val="32"/>
          <w:lang w:eastAsia="zh-CN"/>
        </w:rPr>
        <w:t>概述</w:t>
      </w:r>
      <w:bookmarkEnd w:id="25"/>
    </w:p>
    <w:p w14:paraId="2FAB11AF" w14:textId="77777777" w:rsidR="0075791A" w:rsidRDefault="00FB2864">
      <w:pPr>
        <w:spacing w:line="360" w:lineRule="auto"/>
        <w:outlineLvl w:val="1"/>
        <w:rPr>
          <w:rFonts w:ascii="Times New Roman" w:eastAsia="宋体" w:hAnsi="Times New Roman" w:cs="宋体"/>
          <w:color w:val="auto"/>
          <w:sz w:val="30"/>
          <w:szCs w:val="30"/>
          <w:lang w:eastAsia="zh-CN"/>
        </w:rPr>
      </w:pPr>
      <w:bookmarkStart w:id="26" w:name="bookmark3"/>
      <w:bookmarkStart w:id="27" w:name="_Toc179"/>
      <w:bookmarkStart w:id="28" w:name="_Toc32668"/>
      <w:bookmarkStart w:id="29" w:name="_Toc13459"/>
      <w:bookmarkEnd w:id="26"/>
      <w:r>
        <w:rPr>
          <w:rFonts w:ascii="Times New Roman" w:eastAsia="Times New Roman" w:hAnsi="Times New Roman" w:cs="Times New Roman"/>
          <w:b/>
          <w:bCs/>
          <w:color w:val="auto"/>
          <w:spacing w:val="-6"/>
          <w:sz w:val="30"/>
          <w:szCs w:val="30"/>
          <w:lang w:eastAsia="zh-CN"/>
        </w:rPr>
        <w:t>1.1</w:t>
      </w:r>
      <w:r>
        <w:rPr>
          <w:rFonts w:ascii="Times New Roman" w:eastAsia="宋体" w:hAnsi="Times New Roman" w:cs="宋体"/>
          <w:b/>
          <w:bCs/>
          <w:color w:val="auto"/>
          <w:spacing w:val="-6"/>
          <w:sz w:val="30"/>
          <w:szCs w:val="30"/>
          <w:lang w:eastAsia="zh-CN"/>
        </w:rPr>
        <w:t>论证工作来由</w:t>
      </w:r>
      <w:bookmarkEnd w:id="27"/>
      <w:bookmarkEnd w:id="28"/>
      <w:bookmarkEnd w:id="29"/>
    </w:p>
    <w:p w14:paraId="50D2212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2023</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月，财政部办公厅、自然资源部办公厅、生态环境部办公厅联合印发《关于组织申报“十四五”期间第三批山水林田湖草沙一体化保护和修复工程项目的通知》（财办资环〔</w:t>
      </w:r>
      <w:r>
        <w:rPr>
          <w:rFonts w:ascii="Times New Roman" w:eastAsia="宋体" w:hAnsi="Times New Roman" w:cs="宋体" w:hint="eastAsia"/>
          <w:color w:val="auto"/>
          <w:spacing w:val="-2"/>
          <w:sz w:val="24"/>
          <w:szCs w:val="24"/>
          <w:lang w:eastAsia="zh-CN"/>
        </w:rPr>
        <w:t>2023</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号），海南省人民政府积极组织申报“十四五”期间第三批山水林田湖草沙一体化保护和修复工程项目海南南部典型热带区域实施山水林田湖草沙一体化保护和修复工程，并于</w:t>
      </w:r>
      <w:r>
        <w:rPr>
          <w:rFonts w:ascii="Times New Roman" w:eastAsia="宋体" w:hAnsi="Times New Roman" w:cs="宋体" w:hint="eastAsia"/>
          <w:color w:val="auto"/>
          <w:spacing w:val="-2"/>
          <w:sz w:val="24"/>
          <w:szCs w:val="24"/>
          <w:lang w:eastAsia="zh-CN"/>
        </w:rPr>
        <w:t>2023</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6</w:t>
      </w:r>
      <w:r>
        <w:rPr>
          <w:rFonts w:ascii="Times New Roman" w:eastAsia="宋体" w:hAnsi="Times New Roman" w:cs="宋体" w:hint="eastAsia"/>
          <w:color w:val="auto"/>
          <w:spacing w:val="-2"/>
          <w:sz w:val="24"/>
          <w:szCs w:val="24"/>
          <w:lang w:eastAsia="zh-CN"/>
        </w:rPr>
        <w:t>月获批，工程涉及三亚、五指山、乐东、陵水和保亭五个市县，实施面积为</w:t>
      </w:r>
      <w:r>
        <w:rPr>
          <w:rFonts w:ascii="Times New Roman" w:eastAsia="宋体" w:hAnsi="Times New Roman" w:cs="宋体" w:hint="eastAsia"/>
          <w:color w:val="auto"/>
          <w:spacing w:val="-2"/>
          <w:sz w:val="24"/>
          <w:szCs w:val="24"/>
          <w:lang w:eastAsia="zh-CN"/>
        </w:rPr>
        <w:t>5868.62</w:t>
      </w:r>
      <w:r>
        <w:rPr>
          <w:rFonts w:ascii="Times New Roman" w:eastAsia="宋体" w:hAnsi="Times New Roman" w:cs="宋体" w:hint="eastAsia"/>
          <w:color w:val="auto"/>
          <w:spacing w:val="-2"/>
          <w:sz w:val="24"/>
          <w:szCs w:val="24"/>
          <w:lang w:eastAsia="zh-CN"/>
        </w:rPr>
        <w:t>平方千米，</w:t>
      </w:r>
      <w:r>
        <w:rPr>
          <w:rFonts w:ascii="Times New Roman" w:eastAsia="宋体" w:hAnsi="Times New Roman" w:cs="宋体"/>
          <w:color w:val="auto"/>
          <w:sz w:val="24"/>
          <w:szCs w:val="24"/>
          <w:lang w:eastAsia="zh-CN"/>
        </w:rPr>
        <w:t>总投资</w:t>
      </w:r>
      <w:r>
        <w:rPr>
          <w:rFonts w:ascii="Times New Roman" w:eastAsia="宋体" w:hAnsi="Times New Roman" w:cs="宋体"/>
          <w:color w:val="auto"/>
          <w:sz w:val="24"/>
          <w:szCs w:val="24"/>
          <w:lang w:eastAsia="zh-CN"/>
        </w:rPr>
        <w:t>55.04</w:t>
      </w:r>
      <w:r>
        <w:rPr>
          <w:rFonts w:ascii="Times New Roman" w:eastAsia="宋体" w:hAnsi="Times New Roman" w:cs="宋体"/>
          <w:color w:val="auto"/>
          <w:sz w:val="24"/>
          <w:szCs w:val="24"/>
          <w:lang w:eastAsia="zh-CN"/>
        </w:rPr>
        <w:t>亿元，其中中央财政支持</w:t>
      </w:r>
      <w:r>
        <w:rPr>
          <w:rFonts w:ascii="Times New Roman" w:eastAsia="宋体" w:hAnsi="Times New Roman" w:cs="宋体"/>
          <w:color w:val="auto"/>
          <w:sz w:val="24"/>
          <w:szCs w:val="24"/>
          <w:lang w:eastAsia="zh-CN"/>
        </w:rPr>
        <w:t>20</w:t>
      </w:r>
      <w:r>
        <w:rPr>
          <w:rFonts w:ascii="Times New Roman" w:eastAsia="宋体" w:hAnsi="Times New Roman" w:cs="宋体"/>
          <w:color w:val="auto"/>
          <w:sz w:val="24"/>
          <w:szCs w:val="24"/>
          <w:lang w:eastAsia="zh-CN"/>
        </w:rPr>
        <w:t>亿元</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pacing w:val="-2"/>
          <w:sz w:val="24"/>
          <w:szCs w:val="24"/>
          <w:lang w:eastAsia="zh-CN"/>
        </w:rPr>
        <w:t>共设置</w:t>
      </w:r>
      <w:r>
        <w:rPr>
          <w:rFonts w:ascii="Times New Roman" w:eastAsia="宋体" w:hAnsi="Times New Roman" w:cs="宋体" w:hint="eastAsia"/>
          <w:color w:val="auto"/>
          <w:spacing w:val="-2"/>
          <w:sz w:val="24"/>
          <w:szCs w:val="24"/>
          <w:lang w:eastAsia="zh-CN"/>
        </w:rPr>
        <w:t>36</w:t>
      </w:r>
      <w:r>
        <w:rPr>
          <w:rFonts w:ascii="Times New Roman" w:eastAsia="宋体" w:hAnsi="Times New Roman" w:cs="宋体" w:hint="eastAsia"/>
          <w:color w:val="auto"/>
          <w:spacing w:val="-2"/>
          <w:sz w:val="24"/>
          <w:szCs w:val="24"/>
          <w:lang w:eastAsia="zh-CN"/>
        </w:rPr>
        <w:t>个工程</w:t>
      </w:r>
      <w:r>
        <w:rPr>
          <w:rFonts w:ascii="Times New Roman" w:eastAsia="宋体" w:hAnsi="Times New Roman" w:cs="宋体" w:hint="eastAsia"/>
          <w:color w:val="auto"/>
          <w:spacing w:val="-2"/>
          <w:sz w:val="24"/>
          <w:szCs w:val="24"/>
          <w:lang w:eastAsia="zh-CN"/>
        </w:rPr>
        <w:t>项目和</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个全域生态系统一体化监测评估能力提升项目，实施周期为</w:t>
      </w:r>
      <w:r>
        <w:rPr>
          <w:rFonts w:ascii="Times New Roman" w:eastAsia="宋体" w:hAnsi="Times New Roman" w:cs="宋体" w:hint="eastAsia"/>
          <w:color w:val="auto"/>
          <w:spacing w:val="-2"/>
          <w:sz w:val="24"/>
          <w:szCs w:val="24"/>
          <w:lang w:eastAsia="zh-CN"/>
        </w:rPr>
        <w:t>2023</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~2025</w:t>
      </w:r>
      <w:r>
        <w:rPr>
          <w:rFonts w:ascii="Times New Roman" w:eastAsia="宋体" w:hAnsi="Times New Roman" w:cs="宋体" w:hint="eastAsia"/>
          <w:color w:val="auto"/>
          <w:spacing w:val="-2"/>
          <w:sz w:val="24"/>
          <w:szCs w:val="24"/>
          <w:lang w:eastAsia="zh-CN"/>
        </w:rPr>
        <w:t>年，以期打造一个“陆海统筹，山海联动”的生态修复新范式。</w:t>
      </w:r>
    </w:p>
    <w:p w14:paraId="284F4A1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铁炉港红树林湿地保护修复项目是海南南部典型热带区域山水林田湖草沙一体化保护和修复工程之三十二子项目</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属海岸带生态保护修复单元中的重要物种栖息地和生物安全防治工程，该单元总体</w:t>
      </w:r>
      <w:r>
        <w:rPr>
          <w:rFonts w:ascii="Times New Roman" w:eastAsia="宋体" w:hAnsi="Times New Roman" w:cs="宋体" w:hint="eastAsia"/>
          <w:color w:val="auto"/>
          <w:spacing w:val="-2"/>
          <w:sz w:val="24"/>
          <w:szCs w:val="24"/>
          <w:lang w:eastAsia="zh-CN"/>
        </w:rPr>
        <w:t>目标</w:t>
      </w:r>
      <w:r>
        <w:rPr>
          <w:rFonts w:ascii="Times New Roman" w:eastAsia="宋体" w:hAnsi="Times New Roman" w:cs="宋体"/>
          <w:color w:val="auto"/>
          <w:spacing w:val="-2"/>
          <w:sz w:val="24"/>
          <w:szCs w:val="24"/>
          <w:lang w:eastAsia="zh-CN"/>
        </w:rPr>
        <w:t>为入海水体提供最后一道稳定净化屏障，为海岸旅游经济提供优质生态环境，实现陆海统筹、综合修复。</w:t>
      </w:r>
    </w:p>
    <w:p w14:paraId="04DAE5B3"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w:t>
      </w:r>
      <w:r>
        <w:rPr>
          <w:rFonts w:ascii="Times New Roman" w:eastAsia="宋体" w:hAnsi="Times New Roman" w:cs="宋体"/>
          <w:color w:val="auto"/>
          <w:sz w:val="24"/>
          <w:szCs w:val="24"/>
          <w:lang w:eastAsia="zh-CN"/>
        </w:rPr>
        <w:t>《铁炉港红树林湿地保护修复项目初步设计（第一册：设计说明）》</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铁炉港红树林湿地保护修复项目</w:t>
      </w:r>
      <w:r>
        <w:rPr>
          <w:rFonts w:ascii="Times New Roman" w:eastAsia="宋体" w:hAnsi="Times New Roman" w:cs="宋体" w:hint="eastAsia"/>
          <w:color w:val="auto"/>
          <w:spacing w:val="-2"/>
          <w:sz w:val="24"/>
          <w:szCs w:val="24"/>
          <w:lang w:eastAsia="zh-CN"/>
        </w:rPr>
        <w:t>建设范围总面积约</w:t>
      </w:r>
      <w:r>
        <w:rPr>
          <w:rFonts w:ascii="Times New Roman" w:eastAsia="宋体" w:hAnsi="Times New Roman" w:cs="宋体" w:hint="eastAsia"/>
          <w:color w:val="auto"/>
          <w:spacing w:val="-2"/>
          <w:sz w:val="24"/>
          <w:szCs w:val="24"/>
          <w:lang w:eastAsia="zh-CN"/>
        </w:rPr>
        <w:t>403.66</w:t>
      </w:r>
      <w:r>
        <w:rPr>
          <w:rFonts w:ascii="Times New Roman" w:eastAsia="宋体" w:hAnsi="Times New Roman" w:cs="宋体" w:hint="eastAsia"/>
          <w:color w:val="auto"/>
          <w:spacing w:val="-2"/>
          <w:sz w:val="24"/>
          <w:szCs w:val="24"/>
          <w:lang w:eastAsia="zh-CN"/>
        </w:rPr>
        <w:t>公顷，建设内容包括生态安全屏障构建工程、红树林资源保护与蓝碳增汇工程、滨海生物多样性提升工程、智慧监测与生态评估工程四大体系，具体如下：</w:t>
      </w:r>
    </w:p>
    <w:p w14:paraId="5CAAA91E" w14:textId="77777777" w:rsidR="0075791A" w:rsidRDefault="00FB2864">
      <w:pPr>
        <w:spacing w:line="360" w:lineRule="auto"/>
        <w:ind w:firstLineChars="200" w:firstLine="478"/>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b/>
          <w:bCs/>
          <w:color w:val="auto"/>
          <w:spacing w:val="-2"/>
          <w:sz w:val="24"/>
          <w:szCs w:val="24"/>
          <w:lang w:eastAsia="zh-CN"/>
        </w:rPr>
        <w:t>（</w:t>
      </w:r>
      <w:r>
        <w:rPr>
          <w:rFonts w:ascii="Times New Roman" w:eastAsia="宋体" w:hAnsi="Times New Roman" w:cs="宋体" w:hint="eastAsia"/>
          <w:b/>
          <w:bCs/>
          <w:color w:val="auto"/>
          <w:spacing w:val="-2"/>
          <w:sz w:val="24"/>
          <w:szCs w:val="24"/>
          <w:lang w:eastAsia="zh-CN"/>
        </w:rPr>
        <w:t>1</w:t>
      </w:r>
      <w:r>
        <w:rPr>
          <w:rFonts w:ascii="Times New Roman" w:eastAsia="宋体" w:hAnsi="Times New Roman" w:cs="宋体" w:hint="eastAsia"/>
          <w:b/>
          <w:bCs/>
          <w:color w:val="auto"/>
          <w:spacing w:val="-2"/>
          <w:sz w:val="24"/>
          <w:szCs w:val="24"/>
          <w:lang w:eastAsia="zh-CN"/>
        </w:rPr>
        <w:t>）</w:t>
      </w:r>
      <w:r>
        <w:rPr>
          <w:rFonts w:ascii="Times New Roman" w:eastAsia="宋体" w:hAnsi="Times New Roman" w:cs="宋体"/>
          <w:b/>
          <w:bCs/>
          <w:color w:val="auto"/>
          <w:spacing w:val="-2"/>
          <w:sz w:val="24"/>
          <w:szCs w:val="24"/>
          <w:lang w:eastAsia="zh-CN"/>
        </w:rPr>
        <w:t>生态安全屏障构建工程</w:t>
      </w:r>
      <w:r>
        <w:rPr>
          <w:rFonts w:ascii="Times New Roman" w:eastAsia="宋体" w:hAnsi="Times New Roman" w:cs="宋体" w:hint="eastAsia"/>
          <w:b/>
          <w:bCs/>
          <w:color w:val="auto"/>
          <w:spacing w:val="-2"/>
          <w:sz w:val="24"/>
          <w:szCs w:val="24"/>
          <w:lang w:eastAsia="zh-CN"/>
        </w:rPr>
        <w:t>：</w:t>
      </w:r>
      <w:r>
        <w:rPr>
          <w:rFonts w:ascii="Times New Roman" w:eastAsia="宋体" w:hAnsi="Times New Roman" w:cs="宋体"/>
          <w:color w:val="auto"/>
          <w:spacing w:val="-2"/>
          <w:sz w:val="24"/>
          <w:szCs w:val="24"/>
          <w:lang w:eastAsia="zh-CN"/>
        </w:rPr>
        <w:t>生态拦截缓冲带</w:t>
      </w:r>
      <w:r>
        <w:rPr>
          <w:rFonts w:ascii="Times New Roman" w:eastAsia="宋体" w:hAnsi="Times New Roman" w:cs="宋体"/>
          <w:color w:val="auto"/>
          <w:spacing w:val="-2"/>
          <w:sz w:val="24"/>
          <w:szCs w:val="24"/>
          <w:lang w:eastAsia="zh-CN"/>
        </w:rPr>
        <w:t>11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69</w:t>
      </w:r>
      <w:r>
        <w:rPr>
          <w:rFonts w:ascii="Times New Roman" w:eastAsia="宋体" w:hAnsi="Times New Roman" w:cs="宋体" w:hint="eastAsia"/>
          <w:color w:val="auto"/>
          <w:spacing w:val="-2"/>
          <w:sz w:val="24"/>
          <w:szCs w:val="24"/>
          <w:lang w:eastAsia="zh-CN"/>
        </w:rPr>
        <w:t>km</w:t>
      </w:r>
      <w:r>
        <w:rPr>
          <w:rFonts w:ascii="Times New Roman" w:eastAsia="宋体" w:hAnsi="Times New Roman" w:cs="宋体"/>
          <w:color w:val="auto"/>
          <w:spacing w:val="-2"/>
          <w:sz w:val="24"/>
          <w:szCs w:val="24"/>
          <w:lang w:eastAsia="zh-CN"/>
        </w:rPr>
        <w:t>、生态调蓄净化湿地</w:t>
      </w:r>
      <w:r>
        <w:rPr>
          <w:rFonts w:ascii="Times New Roman" w:eastAsia="宋体" w:hAnsi="Times New Roman" w:cs="宋体"/>
          <w:color w:val="auto"/>
          <w:spacing w:val="-2"/>
          <w:sz w:val="24"/>
          <w:szCs w:val="24"/>
          <w:lang w:eastAsia="zh-CN"/>
        </w:rPr>
        <w:t>6.</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color w:val="auto"/>
          <w:spacing w:val="-2"/>
          <w:sz w:val="24"/>
          <w:szCs w:val="24"/>
          <w:lang w:eastAsia="zh-CN"/>
        </w:rPr>
        <w:t>hm</w:t>
      </w:r>
      <w:r>
        <w:rPr>
          <w:rFonts w:ascii="Times New Roman" w:eastAsia="宋体" w:hAnsi="Times New Roman" w:cs="宋体"/>
          <w:color w:val="auto"/>
          <w:spacing w:val="-2"/>
          <w:sz w:val="24"/>
          <w:szCs w:val="24"/>
          <w:vertAlign w:val="superscript"/>
          <w:lang w:eastAsia="zh-CN"/>
        </w:rPr>
        <w:t>2</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6</w:t>
      </w:r>
      <w:r>
        <w:rPr>
          <w:rFonts w:ascii="Times New Roman" w:eastAsia="宋体" w:hAnsi="Times New Roman" w:cs="宋体" w:hint="eastAsia"/>
          <w:color w:val="auto"/>
          <w:spacing w:val="-2"/>
          <w:sz w:val="24"/>
          <w:szCs w:val="24"/>
          <w:lang w:eastAsia="zh-CN"/>
        </w:rPr>
        <w:t>个生态堰、</w:t>
      </w:r>
      <w:r>
        <w:rPr>
          <w:rFonts w:ascii="Times New Roman" w:eastAsia="宋体" w:hAnsi="Times New Roman" w:cs="宋体" w:hint="eastAsia"/>
          <w:color w:val="auto"/>
          <w:spacing w:val="-2"/>
          <w:sz w:val="24"/>
          <w:szCs w:val="24"/>
          <w:lang w:eastAsia="zh-CN"/>
        </w:rPr>
        <w:t>8</w:t>
      </w:r>
      <w:r>
        <w:rPr>
          <w:rFonts w:ascii="Times New Roman" w:eastAsia="宋体" w:hAnsi="Times New Roman" w:cs="宋体" w:hint="eastAsia"/>
          <w:color w:val="auto"/>
          <w:spacing w:val="-2"/>
          <w:sz w:val="24"/>
          <w:szCs w:val="24"/>
          <w:lang w:eastAsia="zh-CN"/>
        </w:rPr>
        <w:t>个生态闸）</w:t>
      </w:r>
      <w:r>
        <w:rPr>
          <w:rFonts w:ascii="Times New Roman" w:eastAsia="宋体" w:hAnsi="Times New Roman" w:cs="宋体"/>
          <w:color w:val="auto"/>
          <w:spacing w:val="-2"/>
          <w:sz w:val="24"/>
          <w:szCs w:val="24"/>
          <w:lang w:eastAsia="zh-CN"/>
        </w:rPr>
        <w:t>、水面垃圾拦截带</w:t>
      </w:r>
      <w:r>
        <w:rPr>
          <w:rFonts w:ascii="Times New Roman" w:eastAsia="宋体" w:hAnsi="Times New Roman" w:cs="宋体"/>
          <w:color w:val="auto"/>
          <w:spacing w:val="-2"/>
          <w:sz w:val="24"/>
          <w:szCs w:val="24"/>
          <w:lang w:eastAsia="zh-CN"/>
        </w:rPr>
        <w:t>10.68km</w:t>
      </w:r>
      <w:r>
        <w:rPr>
          <w:rFonts w:ascii="Times New Roman" w:eastAsia="宋体" w:hAnsi="Times New Roman" w:cs="宋体"/>
          <w:color w:val="auto"/>
          <w:spacing w:val="-2"/>
          <w:sz w:val="24"/>
          <w:szCs w:val="24"/>
          <w:lang w:eastAsia="zh-CN"/>
        </w:rPr>
        <w:t>、海上垃圾清理站</w:t>
      </w:r>
      <w:r>
        <w:rPr>
          <w:rFonts w:ascii="Times New Roman" w:eastAsia="宋体" w:hAnsi="Times New Roman" w:cs="宋体"/>
          <w:color w:val="auto"/>
          <w:spacing w:val="-2"/>
          <w:sz w:val="24"/>
          <w:szCs w:val="24"/>
          <w:lang w:eastAsia="zh-CN"/>
        </w:rPr>
        <w:t>3</w:t>
      </w:r>
      <w:r>
        <w:rPr>
          <w:rFonts w:ascii="Times New Roman" w:eastAsia="宋体" w:hAnsi="Times New Roman" w:cs="宋体"/>
          <w:color w:val="auto"/>
          <w:spacing w:val="-2"/>
          <w:sz w:val="24"/>
          <w:szCs w:val="24"/>
          <w:lang w:eastAsia="zh-CN"/>
        </w:rPr>
        <w:t>个、外来物种清除与防治</w:t>
      </w:r>
      <w:r>
        <w:rPr>
          <w:rFonts w:ascii="Times New Roman" w:eastAsia="宋体" w:hAnsi="Times New Roman" w:cs="宋体"/>
          <w:color w:val="auto"/>
          <w:spacing w:val="-2"/>
          <w:sz w:val="24"/>
          <w:szCs w:val="24"/>
          <w:lang w:eastAsia="zh-CN"/>
        </w:rPr>
        <w:t>21hm</w:t>
      </w:r>
      <w:r>
        <w:rPr>
          <w:rFonts w:ascii="Times New Roman" w:eastAsia="宋体" w:hAnsi="Times New Roman" w:cs="宋体"/>
          <w:color w:val="auto"/>
          <w:spacing w:val="-2"/>
          <w:sz w:val="24"/>
          <w:szCs w:val="24"/>
          <w:vertAlign w:val="superscript"/>
          <w:lang w:eastAsia="zh-CN"/>
        </w:rPr>
        <w:t>2</w:t>
      </w:r>
      <w:r>
        <w:rPr>
          <w:rFonts w:ascii="Times New Roman" w:eastAsia="宋体" w:hAnsi="Times New Roman" w:cs="宋体"/>
          <w:color w:val="auto"/>
          <w:spacing w:val="-2"/>
          <w:sz w:val="24"/>
          <w:szCs w:val="24"/>
          <w:lang w:eastAsia="zh-CN"/>
        </w:rPr>
        <w:t>、清除建筑垃圾</w:t>
      </w:r>
      <w:r>
        <w:rPr>
          <w:rFonts w:ascii="Times New Roman" w:eastAsia="宋体" w:hAnsi="Times New Roman" w:cs="宋体"/>
          <w:color w:val="auto"/>
          <w:spacing w:val="-2"/>
          <w:sz w:val="24"/>
          <w:szCs w:val="24"/>
          <w:lang w:eastAsia="zh-CN"/>
        </w:rPr>
        <w:t>82387m</w:t>
      </w:r>
      <w:r>
        <w:rPr>
          <w:rFonts w:ascii="Times New Roman" w:eastAsia="宋体" w:hAnsi="Times New Roman" w:cs="宋体" w:hint="eastAsia"/>
          <w:color w:val="auto"/>
          <w:spacing w:val="-2"/>
          <w:sz w:val="24"/>
          <w:szCs w:val="24"/>
          <w:vertAlign w:val="superscript"/>
          <w:lang w:eastAsia="zh-CN"/>
        </w:rPr>
        <w:t>3</w:t>
      </w:r>
      <w:r>
        <w:rPr>
          <w:rFonts w:ascii="Times New Roman" w:eastAsia="宋体" w:hAnsi="Times New Roman" w:cs="宋体" w:hint="eastAsia"/>
          <w:color w:val="auto"/>
          <w:spacing w:val="-2"/>
          <w:sz w:val="24"/>
          <w:szCs w:val="24"/>
          <w:lang w:eastAsia="zh-CN"/>
        </w:rPr>
        <w:t>、生态围栏</w:t>
      </w:r>
      <w:r>
        <w:rPr>
          <w:rFonts w:ascii="Times New Roman" w:eastAsia="宋体" w:hAnsi="Times New Roman" w:cs="宋体" w:hint="eastAsia"/>
          <w:color w:val="auto"/>
          <w:spacing w:val="-2"/>
          <w:sz w:val="24"/>
          <w:szCs w:val="24"/>
          <w:lang w:eastAsia="zh-CN"/>
        </w:rPr>
        <w:t>2.85km</w:t>
      </w:r>
      <w:r>
        <w:rPr>
          <w:rFonts w:ascii="Times New Roman" w:eastAsia="宋体" w:hAnsi="Times New Roman" w:cs="宋体" w:hint="eastAsia"/>
          <w:color w:val="auto"/>
          <w:spacing w:val="-2"/>
          <w:sz w:val="24"/>
          <w:szCs w:val="24"/>
          <w:lang w:eastAsia="zh-CN"/>
        </w:rPr>
        <w:t>、新建钢丝网围栏</w:t>
      </w:r>
      <w:r>
        <w:rPr>
          <w:rFonts w:ascii="Times New Roman" w:eastAsia="宋体" w:hAnsi="Times New Roman" w:cs="宋体" w:hint="eastAsia"/>
          <w:color w:val="auto"/>
          <w:spacing w:val="-2"/>
          <w:sz w:val="24"/>
          <w:szCs w:val="24"/>
          <w:lang w:eastAsia="zh-CN"/>
        </w:rPr>
        <w:t>11.95km</w:t>
      </w:r>
      <w:r>
        <w:rPr>
          <w:rFonts w:ascii="Times New Roman" w:eastAsia="宋体" w:hAnsi="Times New Roman" w:cs="宋体" w:hint="eastAsia"/>
          <w:color w:val="auto"/>
          <w:spacing w:val="-2"/>
          <w:sz w:val="24"/>
          <w:szCs w:val="24"/>
          <w:lang w:eastAsia="zh-CN"/>
        </w:rPr>
        <w:t>、新建电子围栏</w:t>
      </w:r>
      <w:r>
        <w:rPr>
          <w:rFonts w:ascii="Times New Roman" w:eastAsia="宋体" w:hAnsi="Times New Roman" w:cs="宋体" w:hint="eastAsia"/>
          <w:color w:val="auto"/>
          <w:spacing w:val="-2"/>
          <w:sz w:val="24"/>
          <w:szCs w:val="24"/>
          <w:lang w:eastAsia="zh-CN"/>
        </w:rPr>
        <w:t>1.78km</w:t>
      </w:r>
      <w:r>
        <w:rPr>
          <w:rFonts w:ascii="Times New Roman" w:eastAsia="宋体" w:hAnsi="Times New Roman" w:cs="宋体" w:hint="eastAsia"/>
          <w:color w:val="auto"/>
          <w:spacing w:val="-2"/>
          <w:sz w:val="24"/>
          <w:szCs w:val="24"/>
          <w:lang w:eastAsia="zh-CN"/>
        </w:rPr>
        <w:t>；</w:t>
      </w:r>
    </w:p>
    <w:p w14:paraId="1A26BA5E" w14:textId="77777777" w:rsidR="0075791A" w:rsidRDefault="00FB2864">
      <w:pPr>
        <w:spacing w:line="360" w:lineRule="auto"/>
        <w:ind w:firstLineChars="200" w:firstLine="478"/>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b/>
          <w:bCs/>
          <w:color w:val="auto"/>
          <w:spacing w:val="-2"/>
          <w:sz w:val="24"/>
          <w:szCs w:val="24"/>
          <w:lang w:eastAsia="zh-CN"/>
        </w:rPr>
        <w:t>（</w:t>
      </w:r>
      <w:r>
        <w:rPr>
          <w:rFonts w:ascii="Times New Roman" w:eastAsia="宋体" w:hAnsi="Times New Roman" w:cs="宋体" w:hint="eastAsia"/>
          <w:b/>
          <w:bCs/>
          <w:color w:val="auto"/>
          <w:spacing w:val="-2"/>
          <w:sz w:val="24"/>
          <w:szCs w:val="24"/>
          <w:lang w:eastAsia="zh-CN"/>
        </w:rPr>
        <w:t>2</w:t>
      </w:r>
      <w:r>
        <w:rPr>
          <w:rFonts w:ascii="Times New Roman" w:eastAsia="宋体" w:hAnsi="Times New Roman" w:cs="宋体" w:hint="eastAsia"/>
          <w:b/>
          <w:bCs/>
          <w:color w:val="auto"/>
          <w:spacing w:val="-2"/>
          <w:sz w:val="24"/>
          <w:szCs w:val="24"/>
          <w:lang w:eastAsia="zh-CN"/>
        </w:rPr>
        <w:t>）</w:t>
      </w:r>
      <w:r>
        <w:rPr>
          <w:rFonts w:ascii="Times New Roman" w:eastAsia="宋体" w:hAnsi="Times New Roman" w:cs="宋体"/>
          <w:b/>
          <w:bCs/>
          <w:color w:val="auto"/>
          <w:spacing w:val="-2"/>
          <w:sz w:val="24"/>
          <w:szCs w:val="24"/>
          <w:lang w:eastAsia="zh-CN"/>
        </w:rPr>
        <w:t>红树林资源保护与蓝碳增汇工程</w:t>
      </w:r>
      <w:r>
        <w:rPr>
          <w:rFonts w:ascii="Times New Roman" w:eastAsia="宋体" w:hAnsi="Times New Roman" w:cs="宋体" w:hint="eastAsia"/>
          <w:b/>
          <w:bCs/>
          <w:color w:val="auto"/>
          <w:spacing w:val="-2"/>
          <w:sz w:val="24"/>
          <w:szCs w:val="24"/>
          <w:lang w:eastAsia="zh-CN"/>
        </w:rPr>
        <w:t>：</w:t>
      </w:r>
      <w:r>
        <w:rPr>
          <w:rFonts w:ascii="Times New Roman" w:eastAsia="宋体" w:hAnsi="Times New Roman" w:cs="宋体"/>
          <w:color w:val="auto"/>
          <w:spacing w:val="-2"/>
          <w:sz w:val="24"/>
          <w:szCs w:val="24"/>
          <w:lang w:eastAsia="zh-CN"/>
        </w:rPr>
        <w:t>红树林抚育与保护</w:t>
      </w:r>
      <w:r>
        <w:rPr>
          <w:rFonts w:ascii="Times New Roman" w:eastAsia="宋体" w:hAnsi="Times New Roman" w:cs="宋体"/>
          <w:color w:val="auto"/>
          <w:spacing w:val="-2"/>
          <w:sz w:val="24"/>
          <w:szCs w:val="24"/>
          <w:lang w:eastAsia="zh-CN"/>
        </w:rPr>
        <w:t>12</w:t>
      </w:r>
      <w:r>
        <w:rPr>
          <w:rFonts w:ascii="Times New Roman" w:eastAsia="宋体" w:hAnsi="Times New Roman" w:cs="宋体" w:hint="eastAsia"/>
          <w:color w:val="auto"/>
          <w:spacing w:val="-2"/>
          <w:sz w:val="24"/>
          <w:szCs w:val="24"/>
          <w:lang w:eastAsia="zh-CN"/>
        </w:rPr>
        <w:t>2.20</w:t>
      </w:r>
      <w:r>
        <w:rPr>
          <w:rFonts w:ascii="Times New Roman" w:eastAsia="宋体" w:hAnsi="Times New Roman" w:cs="宋体"/>
          <w:color w:val="auto"/>
          <w:spacing w:val="-2"/>
          <w:sz w:val="24"/>
          <w:szCs w:val="24"/>
          <w:lang w:eastAsia="zh-CN"/>
        </w:rPr>
        <w:t>hm</w:t>
      </w:r>
      <w:r>
        <w:rPr>
          <w:rFonts w:ascii="Times New Roman" w:eastAsia="宋体" w:hAnsi="Times New Roman" w:cs="宋体"/>
          <w:color w:val="auto"/>
          <w:spacing w:val="-2"/>
          <w:sz w:val="24"/>
          <w:szCs w:val="24"/>
          <w:vertAlign w:val="superscript"/>
          <w:lang w:eastAsia="zh-CN"/>
        </w:rPr>
        <w:t>2</w:t>
      </w:r>
      <w:r>
        <w:rPr>
          <w:rFonts w:ascii="Times New Roman" w:eastAsia="宋体" w:hAnsi="Times New Roman" w:cs="宋体"/>
          <w:color w:val="auto"/>
          <w:spacing w:val="-2"/>
          <w:sz w:val="24"/>
          <w:szCs w:val="24"/>
          <w:lang w:eastAsia="zh-CN"/>
        </w:rPr>
        <w:t>、红树林群落构建</w:t>
      </w:r>
      <w:r>
        <w:rPr>
          <w:rFonts w:ascii="Times New Roman" w:eastAsia="宋体" w:hAnsi="Times New Roman" w:cs="宋体" w:hint="eastAsia"/>
          <w:color w:val="auto"/>
          <w:spacing w:val="-2"/>
          <w:sz w:val="24"/>
          <w:szCs w:val="24"/>
          <w:lang w:eastAsia="zh-CN"/>
        </w:rPr>
        <w:t>109.76hm</w:t>
      </w:r>
      <w:r>
        <w:rPr>
          <w:rFonts w:ascii="Times New Roman" w:eastAsia="宋体" w:hAnsi="Times New Roman" w:cs="宋体"/>
          <w:color w:val="auto"/>
          <w:spacing w:val="-2"/>
          <w:sz w:val="24"/>
          <w:szCs w:val="24"/>
          <w:vertAlign w:val="superscript"/>
          <w:lang w:eastAsia="zh-CN"/>
        </w:rPr>
        <w:t>2</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生态岛模式</w:t>
      </w:r>
      <w:r>
        <w:rPr>
          <w:rFonts w:ascii="Times New Roman" w:eastAsia="宋体" w:hAnsi="Times New Roman" w:cs="宋体" w:hint="eastAsia"/>
          <w:color w:val="auto"/>
          <w:spacing w:val="-2"/>
          <w:sz w:val="24"/>
          <w:szCs w:val="24"/>
          <w:lang w:eastAsia="zh-CN"/>
        </w:rPr>
        <w:t>一：</w:t>
      </w:r>
      <w:r>
        <w:rPr>
          <w:rFonts w:ascii="Times New Roman" w:eastAsia="宋体" w:hAnsi="Times New Roman" w:cs="宋体" w:hint="eastAsia"/>
          <w:color w:val="auto"/>
          <w:spacing w:val="-2"/>
          <w:sz w:val="24"/>
          <w:szCs w:val="24"/>
          <w:lang w:eastAsia="zh-CN"/>
        </w:rPr>
        <w:t>53.87</w:t>
      </w:r>
      <w:r>
        <w:rPr>
          <w:rFonts w:ascii="Times New Roman" w:eastAsia="宋体" w:hAnsi="Times New Roman" w:cs="宋体"/>
          <w:color w:val="auto"/>
          <w:spacing w:val="-2"/>
          <w:sz w:val="24"/>
          <w:szCs w:val="24"/>
          <w:lang w:eastAsia="zh-CN"/>
        </w:rPr>
        <w:t>hm</w:t>
      </w:r>
      <w:r>
        <w:rPr>
          <w:rFonts w:ascii="Times New Roman" w:eastAsia="宋体" w:hAnsi="Times New Roman" w:cs="宋体"/>
          <w:color w:val="auto"/>
          <w:spacing w:val="-2"/>
          <w:sz w:val="24"/>
          <w:szCs w:val="24"/>
          <w:vertAlign w:val="superscript"/>
          <w:lang w:eastAsia="zh-CN"/>
        </w:rPr>
        <w:t>2</w:t>
      </w:r>
      <w:r>
        <w:rPr>
          <w:rFonts w:ascii="Times New Roman" w:eastAsia="宋体" w:hAnsi="Times New Roman" w:cs="宋体"/>
          <w:color w:val="auto"/>
          <w:spacing w:val="-2"/>
          <w:sz w:val="24"/>
          <w:szCs w:val="24"/>
          <w:lang w:eastAsia="zh-CN"/>
        </w:rPr>
        <w:t>、生态岛模式二</w:t>
      </w:r>
      <w:r>
        <w:rPr>
          <w:rFonts w:ascii="Times New Roman" w:eastAsia="宋体" w:hAnsi="Times New Roman" w:cs="宋体" w:hint="eastAsia"/>
          <w:color w:val="auto"/>
          <w:spacing w:val="-2"/>
          <w:sz w:val="24"/>
          <w:szCs w:val="24"/>
          <w:lang w:eastAsia="zh-CN"/>
        </w:rPr>
        <w:t>25.34</w:t>
      </w:r>
      <w:r>
        <w:rPr>
          <w:rFonts w:ascii="Times New Roman" w:eastAsia="宋体" w:hAnsi="Times New Roman" w:cs="宋体"/>
          <w:color w:val="auto"/>
          <w:spacing w:val="-2"/>
          <w:sz w:val="24"/>
          <w:szCs w:val="24"/>
          <w:lang w:eastAsia="zh-CN"/>
        </w:rPr>
        <w:t>hm</w:t>
      </w:r>
      <w:r>
        <w:rPr>
          <w:rFonts w:ascii="Times New Roman" w:eastAsia="宋体" w:hAnsi="Times New Roman" w:cs="宋体"/>
          <w:color w:val="auto"/>
          <w:spacing w:val="-2"/>
          <w:sz w:val="24"/>
          <w:szCs w:val="24"/>
          <w:vertAlign w:val="superscript"/>
          <w:lang w:eastAsia="zh-CN"/>
        </w:rPr>
        <w:t>2</w:t>
      </w:r>
      <w:r>
        <w:rPr>
          <w:rFonts w:ascii="Times New Roman" w:eastAsia="宋体" w:hAnsi="Times New Roman" w:cs="宋体"/>
          <w:color w:val="auto"/>
          <w:spacing w:val="-2"/>
          <w:sz w:val="24"/>
          <w:szCs w:val="24"/>
          <w:lang w:eastAsia="zh-CN"/>
        </w:rPr>
        <w:t>、滩涂修复</w:t>
      </w:r>
      <w:r>
        <w:rPr>
          <w:rFonts w:ascii="Times New Roman" w:eastAsia="宋体" w:hAnsi="Times New Roman" w:cs="宋体" w:hint="eastAsia"/>
          <w:color w:val="auto"/>
          <w:spacing w:val="-2"/>
          <w:sz w:val="24"/>
          <w:szCs w:val="24"/>
          <w:lang w:eastAsia="zh-CN"/>
        </w:rPr>
        <w:t>12.25</w:t>
      </w:r>
      <w:r>
        <w:rPr>
          <w:rFonts w:ascii="Times New Roman" w:eastAsia="宋体" w:hAnsi="Times New Roman" w:cs="宋体"/>
          <w:color w:val="auto"/>
          <w:spacing w:val="-2"/>
          <w:sz w:val="24"/>
          <w:szCs w:val="24"/>
          <w:lang w:eastAsia="zh-CN"/>
        </w:rPr>
        <w:t>hm</w:t>
      </w:r>
      <w:r>
        <w:rPr>
          <w:rFonts w:ascii="Times New Roman" w:eastAsia="宋体" w:hAnsi="Times New Roman" w:cs="宋体"/>
          <w:color w:val="auto"/>
          <w:spacing w:val="-2"/>
          <w:sz w:val="24"/>
          <w:szCs w:val="24"/>
          <w:vertAlign w:val="superscript"/>
          <w:lang w:eastAsia="zh-CN"/>
        </w:rPr>
        <w:t>2</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滩涂补植</w:t>
      </w:r>
      <w:r>
        <w:rPr>
          <w:rFonts w:ascii="Times New Roman" w:eastAsia="宋体" w:hAnsi="Times New Roman" w:cs="宋体" w:hint="eastAsia"/>
          <w:color w:val="auto"/>
          <w:spacing w:val="-2"/>
          <w:sz w:val="24"/>
          <w:szCs w:val="24"/>
          <w:lang w:eastAsia="zh-CN"/>
        </w:rPr>
        <w:t>4.39</w:t>
      </w:r>
      <w:r>
        <w:rPr>
          <w:rFonts w:ascii="Times New Roman" w:eastAsia="宋体" w:hAnsi="Times New Roman" w:cs="宋体"/>
          <w:color w:val="auto"/>
          <w:spacing w:val="-2"/>
          <w:sz w:val="24"/>
          <w:szCs w:val="24"/>
          <w:lang w:eastAsia="zh-CN"/>
        </w:rPr>
        <w:t>hm</w:t>
      </w:r>
      <w:r>
        <w:rPr>
          <w:rFonts w:ascii="Times New Roman" w:eastAsia="宋体" w:hAnsi="Times New Roman" w:cs="宋体"/>
          <w:color w:val="auto"/>
          <w:spacing w:val="-2"/>
          <w:sz w:val="24"/>
          <w:szCs w:val="24"/>
          <w:vertAlign w:val="superscript"/>
          <w:lang w:eastAsia="zh-CN"/>
        </w:rPr>
        <w:t>2</w:t>
      </w:r>
      <w:r>
        <w:rPr>
          <w:rFonts w:ascii="Times New Roman" w:eastAsia="宋体" w:hAnsi="Times New Roman" w:cs="宋体"/>
          <w:color w:val="auto"/>
          <w:spacing w:val="-2"/>
          <w:sz w:val="24"/>
          <w:szCs w:val="24"/>
          <w:lang w:eastAsia="zh-CN"/>
        </w:rPr>
        <w:t>、退化林修复</w:t>
      </w:r>
      <w:r>
        <w:rPr>
          <w:rFonts w:ascii="Times New Roman" w:eastAsia="宋体" w:hAnsi="Times New Roman" w:cs="宋体"/>
          <w:color w:val="auto"/>
          <w:spacing w:val="-2"/>
          <w:sz w:val="24"/>
          <w:szCs w:val="24"/>
          <w:lang w:eastAsia="zh-CN"/>
        </w:rPr>
        <w:t>3.29hm</w:t>
      </w:r>
      <w:r>
        <w:rPr>
          <w:rFonts w:ascii="Times New Roman" w:eastAsia="宋体" w:hAnsi="Times New Roman" w:cs="宋体"/>
          <w:color w:val="auto"/>
          <w:spacing w:val="-2"/>
          <w:sz w:val="24"/>
          <w:szCs w:val="24"/>
          <w:vertAlign w:val="superscript"/>
          <w:lang w:eastAsia="zh-CN"/>
        </w:rPr>
        <w:t>2</w:t>
      </w:r>
      <w:r>
        <w:rPr>
          <w:rFonts w:ascii="Times New Roman" w:eastAsia="宋体" w:hAnsi="Times New Roman" w:cs="宋体"/>
          <w:color w:val="auto"/>
          <w:spacing w:val="-2"/>
          <w:sz w:val="24"/>
          <w:szCs w:val="24"/>
          <w:lang w:eastAsia="zh-CN"/>
        </w:rPr>
        <w:t>、防护林</w:t>
      </w:r>
      <w:r>
        <w:rPr>
          <w:rFonts w:ascii="Times New Roman" w:eastAsia="宋体" w:hAnsi="Times New Roman" w:cs="宋体" w:hint="eastAsia"/>
          <w:color w:val="auto"/>
          <w:spacing w:val="-2"/>
          <w:sz w:val="24"/>
          <w:szCs w:val="24"/>
          <w:lang w:eastAsia="zh-CN"/>
        </w:rPr>
        <w:t>6.28</w:t>
      </w:r>
      <w:r>
        <w:rPr>
          <w:rFonts w:ascii="Times New Roman" w:eastAsia="宋体" w:hAnsi="Times New Roman" w:cs="宋体"/>
          <w:color w:val="auto"/>
          <w:spacing w:val="-2"/>
          <w:sz w:val="24"/>
          <w:szCs w:val="24"/>
          <w:lang w:eastAsia="zh-CN"/>
        </w:rPr>
        <w:t>hm</w:t>
      </w:r>
      <w:r>
        <w:rPr>
          <w:rFonts w:ascii="Times New Roman" w:eastAsia="宋体" w:hAnsi="Times New Roman" w:cs="宋体"/>
          <w:color w:val="auto"/>
          <w:spacing w:val="-2"/>
          <w:sz w:val="24"/>
          <w:szCs w:val="24"/>
          <w:vertAlign w:val="superscript"/>
          <w:lang w:eastAsia="zh-CN"/>
        </w:rPr>
        <w:t>2</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、古树与珍稀物种保护</w:t>
      </w:r>
      <w:r>
        <w:rPr>
          <w:rFonts w:ascii="Times New Roman" w:eastAsia="宋体" w:hAnsi="Times New Roman" w:cs="宋体"/>
          <w:color w:val="auto"/>
          <w:spacing w:val="-2"/>
          <w:sz w:val="24"/>
          <w:szCs w:val="24"/>
          <w:lang w:eastAsia="zh-CN"/>
        </w:rPr>
        <w:t>20</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5hm</w:t>
      </w:r>
      <w:r>
        <w:rPr>
          <w:rFonts w:ascii="Times New Roman" w:eastAsia="宋体" w:hAnsi="Times New Roman" w:cs="宋体"/>
          <w:color w:val="auto"/>
          <w:spacing w:val="-2"/>
          <w:sz w:val="24"/>
          <w:szCs w:val="24"/>
          <w:vertAlign w:val="superscript"/>
          <w:lang w:eastAsia="zh-CN"/>
        </w:rPr>
        <w:t>2</w:t>
      </w:r>
      <w:r>
        <w:rPr>
          <w:rFonts w:ascii="Times New Roman" w:eastAsia="宋体" w:hAnsi="Times New Roman" w:cs="宋体"/>
          <w:color w:val="auto"/>
          <w:spacing w:val="-2"/>
          <w:sz w:val="24"/>
          <w:szCs w:val="24"/>
          <w:lang w:eastAsia="zh-CN"/>
        </w:rPr>
        <w:t>、海南省红树林资源库建设</w:t>
      </w:r>
      <w:r>
        <w:rPr>
          <w:rFonts w:ascii="Times New Roman" w:eastAsia="宋体" w:hAnsi="Times New Roman" w:cs="宋体"/>
          <w:color w:val="auto"/>
          <w:spacing w:val="-2"/>
          <w:sz w:val="24"/>
          <w:szCs w:val="24"/>
          <w:lang w:eastAsia="zh-CN"/>
        </w:rPr>
        <w:t>13.</w:t>
      </w:r>
      <w:r>
        <w:rPr>
          <w:rFonts w:ascii="Times New Roman" w:eastAsia="宋体" w:hAnsi="Times New Roman" w:cs="宋体" w:hint="eastAsia"/>
          <w:color w:val="auto"/>
          <w:spacing w:val="-2"/>
          <w:sz w:val="24"/>
          <w:szCs w:val="24"/>
          <w:lang w:eastAsia="zh-CN"/>
        </w:rPr>
        <w:t>91</w:t>
      </w:r>
      <w:r>
        <w:rPr>
          <w:rFonts w:ascii="Times New Roman" w:eastAsia="宋体" w:hAnsi="Times New Roman" w:cs="宋体"/>
          <w:color w:val="auto"/>
          <w:spacing w:val="-2"/>
          <w:sz w:val="24"/>
          <w:szCs w:val="24"/>
          <w:lang w:eastAsia="zh-CN"/>
        </w:rPr>
        <w:t>hm</w:t>
      </w:r>
      <w:r>
        <w:rPr>
          <w:rFonts w:ascii="Times New Roman" w:eastAsia="宋体" w:hAnsi="Times New Roman" w:cs="宋体"/>
          <w:color w:val="auto"/>
          <w:spacing w:val="-2"/>
          <w:sz w:val="24"/>
          <w:szCs w:val="24"/>
          <w:vertAlign w:val="superscript"/>
          <w:lang w:eastAsia="zh-CN"/>
        </w:rPr>
        <w:t>2</w:t>
      </w:r>
      <w:r>
        <w:rPr>
          <w:rFonts w:ascii="Times New Roman" w:eastAsia="宋体" w:hAnsi="Times New Roman" w:cs="宋体"/>
          <w:color w:val="auto"/>
          <w:spacing w:val="-2"/>
          <w:sz w:val="24"/>
          <w:szCs w:val="24"/>
          <w:lang w:eastAsia="zh-CN"/>
        </w:rPr>
        <w:t>、生态挡板</w:t>
      </w:r>
      <w:r>
        <w:rPr>
          <w:rFonts w:ascii="Times New Roman" w:eastAsia="宋体" w:hAnsi="Times New Roman" w:cs="宋体"/>
          <w:color w:val="auto"/>
          <w:spacing w:val="-2"/>
          <w:sz w:val="24"/>
          <w:szCs w:val="24"/>
          <w:lang w:eastAsia="zh-CN"/>
        </w:rPr>
        <w:t>84</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04</w:t>
      </w:r>
      <w:r>
        <w:rPr>
          <w:rFonts w:ascii="Times New Roman" w:eastAsia="宋体" w:hAnsi="Times New Roman" w:cs="宋体" w:hint="eastAsia"/>
          <w:color w:val="auto"/>
          <w:spacing w:val="-2"/>
          <w:sz w:val="24"/>
          <w:szCs w:val="24"/>
          <w:lang w:eastAsia="zh-CN"/>
        </w:rPr>
        <w:t>k</w:t>
      </w:r>
      <w:r>
        <w:rPr>
          <w:rFonts w:ascii="Times New Roman" w:eastAsia="宋体" w:hAnsi="Times New Roman" w:cs="宋体"/>
          <w:color w:val="auto"/>
          <w:spacing w:val="-2"/>
          <w:sz w:val="24"/>
          <w:szCs w:val="24"/>
          <w:lang w:eastAsia="zh-CN"/>
        </w:rPr>
        <w:t>m</w:t>
      </w:r>
      <w:r>
        <w:rPr>
          <w:rFonts w:ascii="Times New Roman" w:eastAsia="宋体" w:hAnsi="Times New Roman" w:cs="宋体" w:hint="eastAsia"/>
          <w:color w:val="auto"/>
          <w:spacing w:val="-2"/>
          <w:sz w:val="24"/>
          <w:szCs w:val="24"/>
          <w:lang w:eastAsia="zh-CN"/>
        </w:rPr>
        <w:t>；</w:t>
      </w:r>
    </w:p>
    <w:p w14:paraId="5AC87326" w14:textId="77777777" w:rsidR="0075791A" w:rsidRDefault="00FB2864">
      <w:pPr>
        <w:spacing w:line="360" w:lineRule="auto"/>
        <w:ind w:firstLineChars="200" w:firstLine="478"/>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b/>
          <w:bCs/>
          <w:color w:val="auto"/>
          <w:spacing w:val="-2"/>
          <w:sz w:val="24"/>
          <w:szCs w:val="24"/>
          <w:lang w:eastAsia="zh-CN"/>
        </w:rPr>
        <w:lastRenderedPageBreak/>
        <w:t>（</w:t>
      </w:r>
      <w:r>
        <w:rPr>
          <w:rFonts w:ascii="Times New Roman" w:eastAsia="宋体" w:hAnsi="Times New Roman" w:cs="宋体" w:hint="eastAsia"/>
          <w:b/>
          <w:bCs/>
          <w:color w:val="auto"/>
          <w:spacing w:val="-2"/>
          <w:sz w:val="24"/>
          <w:szCs w:val="24"/>
          <w:lang w:eastAsia="zh-CN"/>
        </w:rPr>
        <w:t>3</w:t>
      </w:r>
      <w:r>
        <w:rPr>
          <w:rFonts w:ascii="Times New Roman" w:eastAsia="宋体" w:hAnsi="Times New Roman" w:cs="宋体" w:hint="eastAsia"/>
          <w:b/>
          <w:bCs/>
          <w:color w:val="auto"/>
          <w:spacing w:val="-2"/>
          <w:sz w:val="24"/>
          <w:szCs w:val="24"/>
          <w:lang w:eastAsia="zh-CN"/>
        </w:rPr>
        <w:t>）</w:t>
      </w:r>
      <w:r>
        <w:rPr>
          <w:rFonts w:ascii="Times New Roman" w:eastAsia="宋体" w:hAnsi="Times New Roman" w:cs="宋体"/>
          <w:b/>
          <w:bCs/>
          <w:color w:val="auto"/>
          <w:spacing w:val="-2"/>
          <w:sz w:val="24"/>
          <w:szCs w:val="24"/>
          <w:lang w:eastAsia="zh-CN"/>
        </w:rPr>
        <w:t>滨海生物多样性提升工程</w:t>
      </w:r>
      <w:r>
        <w:rPr>
          <w:rFonts w:ascii="Times New Roman" w:eastAsia="宋体" w:hAnsi="Times New Roman" w:cs="宋体" w:hint="eastAsia"/>
          <w:b/>
          <w:bCs/>
          <w:color w:val="auto"/>
          <w:spacing w:val="-2"/>
          <w:sz w:val="24"/>
          <w:szCs w:val="24"/>
          <w:lang w:eastAsia="zh-CN"/>
        </w:rPr>
        <w:t>：</w:t>
      </w:r>
      <w:r>
        <w:rPr>
          <w:rFonts w:ascii="Times New Roman" w:eastAsia="宋体" w:hAnsi="Times New Roman" w:cs="宋体"/>
          <w:color w:val="auto"/>
          <w:spacing w:val="-2"/>
          <w:sz w:val="24"/>
          <w:szCs w:val="24"/>
          <w:lang w:eastAsia="zh-CN"/>
        </w:rPr>
        <w:t>水系连通与生境改造清淤</w:t>
      </w:r>
      <w:r>
        <w:rPr>
          <w:rFonts w:ascii="Times New Roman" w:eastAsia="宋体" w:hAnsi="Times New Roman" w:cs="宋体"/>
          <w:color w:val="auto"/>
          <w:spacing w:val="-2"/>
          <w:sz w:val="24"/>
          <w:szCs w:val="24"/>
          <w:lang w:eastAsia="zh-CN"/>
        </w:rPr>
        <w:t>9.6</w:t>
      </w:r>
      <w:r>
        <w:rPr>
          <w:rFonts w:ascii="Times New Roman" w:eastAsia="宋体" w:hAnsi="Times New Roman" w:cs="宋体" w:hint="eastAsia"/>
          <w:color w:val="auto"/>
          <w:spacing w:val="-2"/>
          <w:sz w:val="24"/>
          <w:szCs w:val="24"/>
          <w:lang w:eastAsia="zh-CN"/>
        </w:rPr>
        <w:t>万</w:t>
      </w:r>
      <w:r>
        <w:rPr>
          <w:rFonts w:ascii="Times New Roman" w:eastAsia="宋体" w:hAnsi="Times New Roman" w:cs="宋体"/>
          <w:color w:val="auto"/>
          <w:spacing w:val="-2"/>
          <w:sz w:val="24"/>
          <w:szCs w:val="24"/>
          <w:lang w:eastAsia="zh-CN"/>
        </w:rPr>
        <w:t>m</w:t>
      </w:r>
      <w:r>
        <w:rPr>
          <w:rFonts w:ascii="Times New Roman" w:eastAsia="宋体" w:hAnsi="Times New Roman" w:cs="宋体" w:hint="eastAsia"/>
          <w:color w:val="auto"/>
          <w:spacing w:val="-2"/>
          <w:sz w:val="24"/>
          <w:szCs w:val="24"/>
          <w:vertAlign w:val="superscript"/>
          <w:lang w:eastAsia="zh-CN"/>
        </w:rPr>
        <w:t>3</w:t>
      </w:r>
      <w:r>
        <w:rPr>
          <w:rFonts w:ascii="Times New Roman" w:eastAsia="宋体" w:hAnsi="Times New Roman" w:cs="宋体"/>
          <w:color w:val="auto"/>
          <w:spacing w:val="-2"/>
          <w:sz w:val="24"/>
          <w:szCs w:val="24"/>
          <w:lang w:eastAsia="zh-CN"/>
        </w:rPr>
        <w:t>、海草床生态修复</w:t>
      </w:r>
      <w:r>
        <w:rPr>
          <w:rFonts w:ascii="Times New Roman" w:eastAsia="宋体" w:hAnsi="Times New Roman" w:cs="宋体"/>
          <w:color w:val="auto"/>
          <w:spacing w:val="-2"/>
          <w:sz w:val="24"/>
          <w:szCs w:val="24"/>
          <w:lang w:eastAsia="zh-CN"/>
        </w:rPr>
        <w:t>30.25hm</w:t>
      </w:r>
      <w:r>
        <w:rPr>
          <w:rFonts w:ascii="Times New Roman" w:eastAsia="宋体" w:hAnsi="Times New Roman" w:cs="宋体"/>
          <w:color w:val="auto"/>
          <w:spacing w:val="-2"/>
          <w:sz w:val="24"/>
          <w:szCs w:val="24"/>
          <w:vertAlign w:val="superscript"/>
          <w:lang w:eastAsia="zh-CN"/>
        </w:rPr>
        <w:t>2</w:t>
      </w:r>
      <w:r>
        <w:rPr>
          <w:rFonts w:ascii="Times New Roman" w:eastAsia="宋体" w:hAnsi="Times New Roman" w:cs="宋体"/>
          <w:color w:val="auto"/>
          <w:spacing w:val="-2"/>
          <w:sz w:val="24"/>
          <w:szCs w:val="24"/>
          <w:lang w:eastAsia="zh-CN"/>
        </w:rPr>
        <w:t>、鸟类栖息地营建</w:t>
      </w:r>
      <w:r>
        <w:rPr>
          <w:rFonts w:ascii="Times New Roman" w:eastAsia="宋体" w:hAnsi="Times New Roman" w:cs="宋体"/>
          <w:color w:val="auto"/>
          <w:spacing w:val="-2"/>
          <w:sz w:val="24"/>
          <w:szCs w:val="24"/>
          <w:lang w:eastAsia="zh-CN"/>
        </w:rPr>
        <w:t>33.4hm</w:t>
      </w:r>
      <w:r>
        <w:rPr>
          <w:rFonts w:ascii="Times New Roman" w:eastAsia="宋体" w:hAnsi="Times New Roman" w:cs="宋体"/>
          <w:color w:val="auto"/>
          <w:spacing w:val="-2"/>
          <w:sz w:val="24"/>
          <w:szCs w:val="24"/>
          <w:vertAlign w:val="superscript"/>
          <w:lang w:eastAsia="zh-CN"/>
        </w:rPr>
        <w:t>2</w:t>
      </w:r>
      <w:r>
        <w:rPr>
          <w:rFonts w:ascii="Times New Roman" w:eastAsia="宋体" w:hAnsi="Times New Roman" w:cs="宋体"/>
          <w:color w:val="auto"/>
          <w:spacing w:val="-2"/>
          <w:sz w:val="24"/>
          <w:szCs w:val="24"/>
          <w:lang w:eastAsia="zh-CN"/>
        </w:rPr>
        <w:t>、生物投放</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项：</w:t>
      </w:r>
      <w:r>
        <w:rPr>
          <w:rFonts w:ascii="Times New Roman" w:eastAsia="宋体" w:hAnsi="Times New Roman" w:cs="宋体"/>
          <w:color w:val="auto"/>
          <w:spacing w:val="-2"/>
          <w:sz w:val="24"/>
          <w:szCs w:val="24"/>
          <w:lang w:eastAsia="zh-CN"/>
        </w:rPr>
        <w:t>鱼</w:t>
      </w:r>
      <w:r>
        <w:rPr>
          <w:rFonts w:ascii="Times New Roman" w:eastAsia="宋体" w:hAnsi="Times New Roman" w:cs="宋体"/>
          <w:color w:val="auto"/>
          <w:spacing w:val="-2"/>
          <w:sz w:val="24"/>
          <w:szCs w:val="24"/>
          <w:lang w:eastAsia="zh-CN"/>
        </w:rPr>
        <w:t>100</w:t>
      </w:r>
      <w:r>
        <w:rPr>
          <w:rFonts w:ascii="Times New Roman" w:eastAsia="宋体" w:hAnsi="Times New Roman" w:cs="宋体" w:hint="eastAsia"/>
          <w:color w:val="auto"/>
          <w:spacing w:val="-2"/>
          <w:sz w:val="24"/>
          <w:szCs w:val="24"/>
          <w:lang w:eastAsia="zh-CN"/>
        </w:rPr>
        <w:t>万</w:t>
      </w:r>
      <w:r>
        <w:rPr>
          <w:rFonts w:ascii="Times New Roman" w:eastAsia="宋体" w:hAnsi="Times New Roman" w:cs="宋体"/>
          <w:color w:val="auto"/>
          <w:spacing w:val="-2"/>
          <w:sz w:val="24"/>
          <w:szCs w:val="24"/>
          <w:lang w:eastAsia="zh-CN"/>
        </w:rPr>
        <w:t>尾，贝类</w:t>
      </w:r>
      <w:r>
        <w:rPr>
          <w:rFonts w:ascii="Times New Roman" w:eastAsia="宋体" w:hAnsi="Times New Roman" w:cs="宋体"/>
          <w:color w:val="auto"/>
          <w:spacing w:val="-2"/>
          <w:sz w:val="24"/>
          <w:szCs w:val="24"/>
          <w:lang w:eastAsia="zh-CN"/>
        </w:rPr>
        <w:t>20</w:t>
      </w:r>
      <w:r>
        <w:rPr>
          <w:rFonts w:ascii="Times New Roman" w:eastAsia="宋体" w:hAnsi="Times New Roman" w:cs="宋体"/>
          <w:color w:val="auto"/>
          <w:spacing w:val="-2"/>
          <w:sz w:val="24"/>
          <w:szCs w:val="24"/>
          <w:lang w:eastAsia="zh-CN"/>
        </w:rPr>
        <w:t>万粒</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虾蟹</w:t>
      </w:r>
      <w:r>
        <w:rPr>
          <w:rFonts w:ascii="Times New Roman" w:eastAsia="宋体" w:hAnsi="Times New Roman" w:cs="宋体"/>
          <w:color w:val="auto"/>
          <w:spacing w:val="-2"/>
          <w:sz w:val="24"/>
          <w:szCs w:val="24"/>
          <w:lang w:eastAsia="zh-CN"/>
        </w:rPr>
        <w:t>10</w:t>
      </w:r>
      <w:r>
        <w:rPr>
          <w:rFonts w:ascii="Times New Roman" w:eastAsia="宋体" w:hAnsi="Times New Roman" w:cs="宋体"/>
          <w:color w:val="auto"/>
          <w:spacing w:val="-2"/>
          <w:sz w:val="24"/>
          <w:szCs w:val="24"/>
          <w:lang w:eastAsia="zh-CN"/>
        </w:rPr>
        <w:t>万只</w:t>
      </w:r>
      <w:r>
        <w:rPr>
          <w:rFonts w:ascii="Times New Roman" w:eastAsia="宋体" w:hAnsi="Times New Roman" w:cs="宋体" w:hint="eastAsia"/>
          <w:color w:val="auto"/>
          <w:spacing w:val="-2"/>
          <w:sz w:val="24"/>
          <w:szCs w:val="24"/>
          <w:lang w:eastAsia="zh-CN"/>
        </w:rPr>
        <w:t>；</w:t>
      </w:r>
    </w:p>
    <w:p w14:paraId="56F67230" w14:textId="77777777" w:rsidR="0075791A" w:rsidRDefault="00FB2864">
      <w:pPr>
        <w:spacing w:line="360" w:lineRule="auto"/>
        <w:ind w:firstLineChars="200" w:firstLine="478"/>
        <w:jc w:val="both"/>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color w:val="auto"/>
          <w:spacing w:val="-2"/>
          <w:sz w:val="24"/>
          <w:szCs w:val="24"/>
          <w:lang w:eastAsia="zh-CN"/>
        </w:rPr>
        <w:t>（</w:t>
      </w:r>
      <w:r>
        <w:rPr>
          <w:rFonts w:ascii="Times New Roman" w:eastAsia="宋体" w:hAnsi="Times New Roman" w:cs="宋体" w:hint="eastAsia"/>
          <w:b/>
          <w:bCs/>
          <w:color w:val="auto"/>
          <w:spacing w:val="-2"/>
          <w:sz w:val="24"/>
          <w:szCs w:val="24"/>
          <w:lang w:eastAsia="zh-CN"/>
        </w:rPr>
        <w:t>4</w:t>
      </w:r>
      <w:r>
        <w:rPr>
          <w:rFonts w:ascii="Times New Roman" w:eastAsia="宋体" w:hAnsi="Times New Roman" w:cs="宋体" w:hint="eastAsia"/>
          <w:b/>
          <w:bCs/>
          <w:color w:val="auto"/>
          <w:spacing w:val="-2"/>
          <w:sz w:val="24"/>
          <w:szCs w:val="24"/>
          <w:lang w:eastAsia="zh-CN"/>
        </w:rPr>
        <w:t>）</w:t>
      </w:r>
      <w:r>
        <w:rPr>
          <w:rFonts w:ascii="Times New Roman" w:eastAsia="宋体" w:hAnsi="Times New Roman" w:cs="宋体"/>
          <w:b/>
          <w:bCs/>
          <w:color w:val="auto"/>
          <w:spacing w:val="-2"/>
          <w:sz w:val="24"/>
          <w:szCs w:val="24"/>
          <w:lang w:eastAsia="zh-CN"/>
        </w:rPr>
        <w:t>智慧监测与生态评估工程</w:t>
      </w:r>
      <w:r>
        <w:rPr>
          <w:rFonts w:ascii="Times New Roman" w:eastAsia="宋体" w:hAnsi="Times New Roman" w:cs="宋体" w:hint="eastAsia"/>
          <w:b/>
          <w:bCs/>
          <w:color w:val="auto"/>
          <w:spacing w:val="-2"/>
          <w:sz w:val="24"/>
          <w:szCs w:val="24"/>
          <w:lang w:eastAsia="zh-CN"/>
        </w:rPr>
        <w:t>：</w:t>
      </w:r>
    </w:p>
    <w:p w14:paraId="47877F2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①巡护设施：巡护干道</w:t>
      </w:r>
      <w:r>
        <w:rPr>
          <w:rFonts w:ascii="Times New Roman" w:eastAsia="宋体" w:hAnsi="Times New Roman" w:cs="宋体" w:hint="eastAsia"/>
          <w:color w:val="auto"/>
          <w:spacing w:val="-2"/>
          <w:sz w:val="24"/>
          <w:szCs w:val="24"/>
          <w:lang w:eastAsia="zh-CN"/>
        </w:rPr>
        <w:t>0.278km</w:t>
      </w:r>
      <w:r>
        <w:rPr>
          <w:rFonts w:ascii="Times New Roman" w:eastAsia="宋体" w:hAnsi="Times New Roman" w:cs="宋体" w:hint="eastAsia"/>
          <w:color w:val="auto"/>
          <w:spacing w:val="-2"/>
          <w:sz w:val="24"/>
          <w:szCs w:val="24"/>
          <w:lang w:eastAsia="zh-CN"/>
        </w:rPr>
        <w:t>（利用现有土路）、</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color w:val="auto"/>
          <w:spacing w:val="-2"/>
          <w:sz w:val="24"/>
          <w:szCs w:val="24"/>
          <w:lang w:eastAsia="zh-CN"/>
        </w:rPr>
        <w:t>m</w:t>
      </w:r>
      <w:r>
        <w:rPr>
          <w:rFonts w:ascii="Times New Roman" w:eastAsia="宋体" w:hAnsi="Times New Roman" w:cs="宋体"/>
          <w:color w:val="auto"/>
          <w:spacing w:val="-2"/>
          <w:sz w:val="24"/>
          <w:szCs w:val="24"/>
          <w:lang w:eastAsia="zh-CN"/>
        </w:rPr>
        <w:t>巡护便道</w:t>
      </w:r>
      <w:r>
        <w:rPr>
          <w:rFonts w:ascii="Times New Roman" w:eastAsia="宋体" w:hAnsi="Times New Roman" w:cs="宋体"/>
          <w:color w:val="auto"/>
          <w:spacing w:val="-2"/>
          <w:sz w:val="24"/>
          <w:szCs w:val="24"/>
          <w:lang w:eastAsia="zh-CN"/>
        </w:rPr>
        <w:t>10</w:t>
      </w:r>
      <w:r>
        <w:rPr>
          <w:rFonts w:ascii="Times New Roman" w:eastAsia="宋体" w:hAnsi="Times New Roman" w:cs="宋体" w:hint="eastAsia"/>
          <w:color w:val="auto"/>
          <w:spacing w:val="-2"/>
          <w:sz w:val="24"/>
          <w:szCs w:val="24"/>
          <w:lang w:eastAsia="zh-CN"/>
        </w:rPr>
        <w:t>.01k</w:t>
      </w:r>
      <w:r>
        <w:rPr>
          <w:rFonts w:ascii="Times New Roman" w:eastAsia="宋体" w:hAnsi="Times New Roman" w:cs="宋体"/>
          <w:color w:val="auto"/>
          <w:spacing w:val="-2"/>
          <w:sz w:val="24"/>
          <w:szCs w:val="24"/>
          <w:lang w:eastAsia="zh-CN"/>
        </w:rPr>
        <w:t>m</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1.5m</w:t>
      </w:r>
      <w:r>
        <w:rPr>
          <w:rFonts w:ascii="Times New Roman" w:eastAsia="宋体" w:hAnsi="Times New Roman" w:cs="宋体"/>
          <w:color w:val="auto"/>
          <w:spacing w:val="-2"/>
          <w:sz w:val="24"/>
          <w:szCs w:val="24"/>
          <w:lang w:eastAsia="zh-CN"/>
        </w:rPr>
        <w:t>巡护栈道</w:t>
      </w:r>
      <w:r>
        <w:rPr>
          <w:rFonts w:ascii="Times New Roman" w:eastAsia="宋体" w:hAnsi="Times New Roman" w:cs="宋体" w:hint="eastAsia"/>
          <w:color w:val="auto"/>
          <w:spacing w:val="-2"/>
          <w:sz w:val="24"/>
          <w:szCs w:val="24"/>
          <w:lang w:eastAsia="zh-CN"/>
        </w:rPr>
        <w:t>12.0k</w:t>
      </w:r>
      <w:r>
        <w:rPr>
          <w:rFonts w:ascii="Times New Roman" w:eastAsia="宋体" w:hAnsi="Times New Roman" w:cs="宋体"/>
          <w:color w:val="auto"/>
          <w:spacing w:val="-2"/>
          <w:sz w:val="24"/>
          <w:szCs w:val="24"/>
          <w:lang w:eastAsia="zh-CN"/>
        </w:rPr>
        <w:t>m</w:t>
      </w:r>
      <w:r>
        <w:rPr>
          <w:rFonts w:ascii="Times New Roman" w:eastAsia="宋体" w:hAnsi="Times New Roman" w:cs="宋体"/>
          <w:color w:val="auto"/>
          <w:spacing w:val="-2"/>
          <w:sz w:val="24"/>
          <w:szCs w:val="24"/>
          <w:lang w:eastAsia="zh-CN"/>
        </w:rPr>
        <w:t>、</w:t>
      </w:r>
      <w:r>
        <w:rPr>
          <w:rFonts w:ascii="Times New Roman" w:eastAsia="宋体" w:hAnsi="Times New Roman" w:cs="宋体" w:hint="eastAsia"/>
          <w:color w:val="auto"/>
          <w:spacing w:val="-2"/>
          <w:sz w:val="24"/>
          <w:szCs w:val="24"/>
          <w:lang w:eastAsia="zh-CN"/>
        </w:rPr>
        <w:t>巡护</w:t>
      </w:r>
      <w:r>
        <w:rPr>
          <w:rFonts w:ascii="Times New Roman" w:eastAsia="宋体" w:hAnsi="Times New Roman" w:cs="宋体"/>
          <w:color w:val="auto"/>
          <w:spacing w:val="-2"/>
          <w:sz w:val="24"/>
          <w:szCs w:val="24"/>
          <w:lang w:eastAsia="zh-CN"/>
        </w:rPr>
        <w:t>小径</w:t>
      </w:r>
      <w:r>
        <w:rPr>
          <w:rFonts w:ascii="Times New Roman" w:eastAsia="宋体" w:hAnsi="Times New Roman" w:cs="宋体" w:hint="eastAsia"/>
          <w:color w:val="auto"/>
          <w:spacing w:val="-2"/>
          <w:sz w:val="24"/>
          <w:szCs w:val="24"/>
          <w:lang w:eastAsia="zh-CN"/>
        </w:rPr>
        <w:t>1.32k</w:t>
      </w:r>
      <w:r>
        <w:rPr>
          <w:rFonts w:ascii="Times New Roman" w:eastAsia="宋体" w:hAnsi="Times New Roman" w:cs="宋体"/>
          <w:color w:val="auto"/>
          <w:spacing w:val="-2"/>
          <w:sz w:val="24"/>
          <w:szCs w:val="24"/>
          <w:lang w:eastAsia="zh-CN"/>
        </w:rPr>
        <w:t>m</w:t>
      </w:r>
      <w:r>
        <w:rPr>
          <w:rFonts w:ascii="Times New Roman" w:eastAsia="宋体" w:hAnsi="Times New Roman" w:cs="宋体" w:hint="eastAsia"/>
          <w:color w:val="auto"/>
          <w:spacing w:val="-2"/>
          <w:sz w:val="24"/>
          <w:szCs w:val="24"/>
          <w:lang w:eastAsia="zh-CN"/>
        </w:rPr>
        <w:t>（利用现有土路）</w:t>
      </w:r>
      <w:r>
        <w:rPr>
          <w:rFonts w:ascii="Times New Roman" w:eastAsia="宋体" w:hAnsi="Times New Roman" w:cs="宋体"/>
          <w:color w:val="auto"/>
          <w:spacing w:val="-2"/>
          <w:sz w:val="24"/>
          <w:szCs w:val="24"/>
          <w:lang w:eastAsia="zh-CN"/>
        </w:rPr>
        <w:t>、巡护码头</w:t>
      </w:r>
      <w:r>
        <w:rPr>
          <w:rFonts w:ascii="Times New Roman" w:eastAsia="宋体" w:hAnsi="Times New Roman" w:cs="宋体"/>
          <w:color w:val="auto"/>
          <w:spacing w:val="-2"/>
          <w:sz w:val="24"/>
          <w:szCs w:val="24"/>
          <w:lang w:eastAsia="zh-CN"/>
        </w:rPr>
        <w:t>8</w:t>
      </w:r>
      <w:r>
        <w:rPr>
          <w:rFonts w:ascii="Times New Roman" w:eastAsia="宋体" w:hAnsi="Times New Roman" w:cs="宋体"/>
          <w:color w:val="auto"/>
          <w:spacing w:val="-2"/>
          <w:sz w:val="24"/>
          <w:szCs w:val="24"/>
          <w:lang w:eastAsia="zh-CN"/>
        </w:rPr>
        <w:t>处</w:t>
      </w:r>
      <w:r>
        <w:rPr>
          <w:rFonts w:ascii="Times New Roman" w:eastAsia="宋体" w:hAnsi="Times New Roman" w:cs="宋体" w:hint="eastAsia"/>
          <w:color w:val="auto"/>
          <w:spacing w:val="-2"/>
          <w:sz w:val="24"/>
          <w:szCs w:val="24"/>
          <w:lang w:eastAsia="zh-CN"/>
        </w:rPr>
        <w:t>、休憩点</w:t>
      </w:r>
      <w:r>
        <w:rPr>
          <w:rFonts w:ascii="Times New Roman" w:eastAsia="宋体" w:hAnsi="Times New Roman" w:cs="宋体" w:hint="eastAsia"/>
          <w:color w:val="auto"/>
          <w:spacing w:val="-2"/>
          <w:sz w:val="24"/>
          <w:szCs w:val="24"/>
          <w:lang w:eastAsia="zh-CN"/>
        </w:rPr>
        <w:t>15</w:t>
      </w:r>
      <w:r>
        <w:rPr>
          <w:rFonts w:ascii="Times New Roman" w:eastAsia="宋体" w:hAnsi="Times New Roman" w:cs="宋体" w:hint="eastAsia"/>
          <w:color w:val="auto"/>
          <w:spacing w:val="-2"/>
          <w:sz w:val="24"/>
          <w:szCs w:val="24"/>
          <w:lang w:eastAsia="zh-CN"/>
        </w:rPr>
        <w:t>处、</w:t>
      </w:r>
      <w:r>
        <w:rPr>
          <w:rFonts w:ascii="Times New Roman" w:eastAsia="宋体" w:hAnsi="Times New Roman" w:cs="宋体"/>
          <w:color w:val="auto"/>
          <w:spacing w:val="-2"/>
          <w:sz w:val="24"/>
          <w:szCs w:val="24"/>
          <w:lang w:eastAsia="zh-CN"/>
        </w:rPr>
        <w:t>标识牌</w:t>
      </w:r>
      <w:r>
        <w:rPr>
          <w:rFonts w:ascii="Times New Roman" w:eastAsia="宋体" w:hAnsi="Times New Roman" w:cs="宋体" w:hint="eastAsia"/>
          <w:color w:val="auto"/>
          <w:spacing w:val="-2"/>
          <w:sz w:val="24"/>
          <w:szCs w:val="24"/>
          <w:lang w:eastAsia="zh-CN"/>
        </w:rPr>
        <w:t>131</w:t>
      </w:r>
      <w:r>
        <w:rPr>
          <w:rFonts w:ascii="Times New Roman" w:eastAsia="宋体" w:hAnsi="Times New Roman" w:cs="宋体" w:hint="eastAsia"/>
          <w:color w:val="auto"/>
          <w:spacing w:val="-2"/>
          <w:sz w:val="24"/>
          <w:szCs w:val="24"/>
          <w:lang w:eastAsia="zh-CN"/>
        </w:rPr>
        <w:t>个、</w:t>
      </w:r>
      <w:r>
        <w:rPr>
          <w:rFonts w:ascii="Times New Roman" w:eastAsia="宋体" w:hAnsi="Times New Roman" w:cs="宋体"/>
          <w:color w:val="auto"/>
          <w:spacing w:val="-2"/>
          <w:sz w:val="24"/>
          <w:szCs w:val="24"/>
          <w:lang w:eastAsia="zh-CN"/>
        </w:rPr>
        <w:t>巡逻科考船</w:t>
      </w:r>
      <w:r>
        <w:rPr>
          <w:rFonts w:ascii="Times New Roman" w:eastAsia="宋体" w:hAnsi="Times New Roman" w:cs="宋体"/>
          <w:color w:val="auto"/>
          <w:spacing w:val="-2"/>
          <w:sz w:val="24"/>
          <w:szCs w:val="24"/>
          <w:lang w:eastAsia="zh-CN"/>
        </w:rPr>
        <w:t>2</w:t>
      </w:r>
      <w:r>
        <w:rPr>
          <w:rFonts w:ascii="Times New Roman" w:eastAsia="宋体" w:hAnsi="Times New Roman" w:cs="宋体"/>
          <w:color w:val="auto"/>
          <w:spacing w:val="-2"/>
          <w:sz w:val="24"/>
          <w:szCs w:val="24"/>
          <w:lang w:eastAsia="zh-CN"/>
        </w:rPr>
        <w:t>艘</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垃圾桶</w:t>
      </w:r>
      <w:r>
        <w:rPr>
          <w:rFonts w:ascii="Times New Roman" w:eastAsia="宋体" w:hAnsi="Times New Roman" w:cs="宋体"/>
          <w:color w:val="auto"/>
          <w:spacing w:val="-2"/>
          <w:sz w:val="24"/>
          <w:szCs w:val="24"/>
          <w:lang w:eastAsia="zh-CN"/>
        </w:rPr>
        <w:t>30</w:t>
      </w:r>
      <w:r>
        <w:rPr>
          <w:rFonts w:ascii="Times New Roman" w:eastAsia="宋体" w:hAnsi="Times New Roman" w:cs="宋体"/>
          <w:color w:val="auto"/>
          <w:spacing w:val="-2"/>
          <w:sz w:val="24"/>
          <w:szCs w:val="24"/>
          <w:lang w:eastAsia="zh-CN"/>
        </w:rPr>
        <w:t>组、坐凳</w:t>
      </w:r>
      <w:r>
        <w:rPr>
          <w:rFonts w:ascii="Times New Roman" w:eastAsia="宋体" w:hAnsi="Times New Roman" w:cs="宋体"/>
          <w:color w:val="auto"/>
          <w:spacing w:val="-2"/>
          <w:sz w:val="24"/>
          <w:szCs w:val="24"/>
          <w:lang w:eastAsia="zh-CN"/>
        </w:rPr>
        <w:t>28</w:t>
      </w:r>
      <w:r>
        <w:rPr>
          <w:rFonts w:ascii="Times New Roman" w:eastAsia="宋体" w:hAnsi="Times New Roman" w:cs="宋体"/>
          <w:color w:val="auto"/>
          <w:spacing w:val="-2"/>
          <w:sz w:val="24"/>
          <w:szCs w:val="24"/>
          <w:lang w:eastAsia="zh-CN"/>
        </w:rPr>
        <w:t>组</w:t>
      </w:r>
      <w:r>
        <w:rPr>
          <w:rFonts w:ascii="Times New Roman" w:eastAsia="宋体" w:hAnsi="Times New Roman" w:cs="宋体" w:hint="eastAsia"/>
          <w:color w:val="auto"/>
          <w:spacing w:val="-2"/>
          <w:sz w:val="24"/>
          <w:szCs w:val="24"/>
          <w:lang w:eastAsia="zh-CN"/>
        </w:rPr>
        <w:t>；</w:t>
      </w:r>
    </w:p>
    <w:p w14:paraId="34266565"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②保护管理设施：</w:t>
      </w:r>
      <w:r>
        <w:rPr>
          <w:rFonts w:ascii="Times New Roman" w:eastAsia="宋体" w:hAnsi="Times New Roman" w:cs="宋体"/>
          <w:color w:val="auto"/>
          <w:spacing w:val="-2"/>
          <w:sz w:val="24"/>
          <w:szCs w:val="24"/>
          <w:lang w:eastAsia="zh-CN"/>
        </w:rPr>
        <w:t>新建保护管理站</w:t>
      </w:r>
      <w:r>
        <w:rPr>
          <w:rFonts w:ascii="Times New Roman" w:eastAsia="宋体" w:hAnsi="Times New Roman" w:cs="宋体"/>
          <w:color w:val="auto"/>
          <w:spacing w:val="-2"/>
          <w:sz w:val="24"/>
          <w:szCs w:val="24"/>
          <w:lang w:eastAsia="zh-CN"/>
        </w:rPr>
        <w:t>1</w:t>
      </w:r>
      <w:r>
        <w:rPr>
          <w:rFonts w:ascii="Times New Roman" w:eastAsia="宋体" w:hAnsi="Times New Roman" w:cs="宋体"/>
          <w:color w:val="auto"/>
          <w:spacing w:val="-2"/>
          <w:sz w:val="24"/>
          <w:szCs w:val="24"/>
          <w:lang w:eastAsia="zh-CN"/>
        </w:rPr>
        <w:t>处、新建保护管理点</w:t>
      </w:r>
      <w:r>
        <w:rPr>
          <w:rFonts w:ascii="Times New Roman" w:eastAsia="宋体" w:hAnsi="Times New Roman" w:cs="宋体"/>
          <w:color w:val="auto"/>
          <w:spacing w:val="-2"/>
          <w:sz w:val="24"/>
          <w:szCs w:val="24"/>
          <w:lang w:eastAsia="zh-CN"/>
        </w:rPr>
        <w:t>3</w:t>
      </w:r>
      <w:r>
        <w:rPr>
          <w:rFonts w:ascii="Times New Roman" w:eastAsia="宋体" w:hAnsi="Times New Roman" w:cs="宋体"/>
          <w:color w:val="auto"/>
          <w:spacing w:val="-2"/>
          <w:sz w:val="24"/>
          <w:szCs w:val="24"/>
          <w:lang w:eastAsia="zh-CN"/>
        </w:rPr>
        <w:t>处、新建观鸟站</w:t>
      </w:r>
      <w:r>
        <w:rPr>
          <w:rFonts w:ascii="Times New Roman" w:eastAsia="宋体" w:hAnsi="Times New Roman" w:cs="宋体"/>
          <w:color w:val="auto"/>
          <w:spacing w:val="-2"/>
          <w:sz w:val="24"/>
          <w:szCs w:val="24"/>
          <w:lang w:eastAsia="zh-CN"/>
        </w:rPr>
        <w:t>4</w:t>
      </w:r>
      <w:r>
        <w:rPr>
          <w:rFonts w:ascii="Times New Roman" w:eastAsia="宋体" w:hAnsi="Times New Roman" w:cs="宋体"/>
          <w:color w:val="auto"/>
          <w:spacing w:val="-2"/>
          <w:sz w:val="24"/>
          <w:szCs w:val="24"/>
          <w:lang w:eastAsia="zh-CN"/>
        </w:rPr>
        <w:t>处</w:t>
      </w:r>
      <w:r>
        <w:rPr>
          <w:rFonts w:ascii="Times New Roman" w:eastAsia="宋体" w:hAnsi="Times New Roman" w:cs="宋体" w:hint="eastAsia"/>
          <w:color w:val="auto"/>
          <w:spacing w:val="-2"/>
          <w:sz w:val="24"/>
          <w:szCs w:val="24"/>
          <w:lang w:eastAsia="zh-CN"/>
        </w:rPr>
        <w:t>；</w:t>
      </w:r>
    </w:p>
    <w:p w14:paraId="400CA630"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③智慧监测及设备工程：</w:t>
      </w:r>
      <w:r>
        <w:rPr>
          <w:rFonts w:ascii="Times New Roman" w:eastAsia="宋体" w:hAnsi="Times New Roman" w:cs="宋体"/>
          <w:color w:val="auto"/>
          <w:spacing w:val="-2"/>
          <w:sz w:val="24"/>
          <w:szCs w:val="24"/>
          <w:lang w:eastAsia="zh-CN"/>
        </w:rPr>
        <w:t>水文水质监测设备</w:t>
      </w:r>
      <w:r>
        <w:rPr>
          <w:rFonts w:ascii="Times New Roman" w:eastAsia="宋体" w:hAnsi="Times New Roman" w:cs="宋体"/>
          <w:color w:val="auto"/>
          <w:spacing w:val="-2"/>
          <w:sz w:val="24"/>
          <w:szCs w:val="24"/>
          <w:lang w:eastAsia="zh-CN"/>
        </w:rPr>
        <w:t>8</w:t>
      </w:r>
      <w:r>
        <w:rPr>
          <w:rFonts w:ascii="Times New Roman" w:eastAsia="宋体" w:hAnsi="Times New Roman" w:cs="宋体"/>
          <w:color w:val="auto"/>
          <w:spacing w:val="-2"/>
          <w:sz w:val="24"/>
          <w:szCs w:val="24"/>
          <w:lang w:eastAsia="zh-CN"/>
        </w:rPr>
        <w:t>套、气象监测设备</w:t>
      </w:r>
      <w:r>
        <w:rPr>
          <w:rFonts w:ascii="Times New Roman" w:eastAsia="宋体" w:hAnsi="Times New Roman" w:cs="宋体"/>
          <w:color w:val="auto"/>
          <w:spacing w:val="-2"/>
          <w:sz w:val="24"/>
          <w:szCs w:val="24"/>
          <w:lang w:eastAsia="zh-CN"/>
        </w:rPr>
        <w:t>1</w:t>
      </w:r>
      <w:r>
        <w:rPr>
          <w:rFonts w:ascii="Times New Roman" w:eastAsia="宋体" w:hAnsi="Times New Roman" w:cs="宋体"/>
          <w:color w:val="auto"/>
          <w:spacing w:val="-2"/>
          <w:sz w:val="24"/>
          <w:szCs w:val="24"/>
          <w:lang w:eastAsia="zh-CN"/>
        </w:rPr>
        <w:t>套、土壤监测设备</w:t>
      </w:r>
      <w:r>
        <w:rPr>
          <w:rFonts w:ascii="Times New Roman" w:eastAsia="宋体" w:hAnsi="Times New Roman" w:cs="宋体"/>
          <w:color w:val="auto"/>
          <w:spacing w:val="-2"/>
          <w:sz w:val="24"/>
          <w:szCs w:val="24"/>
          <w:lang w:eastAsia="zh-CN"/>
        </w:rPr>
        <w:t>5</w:t>
      </w:r>
      <w:r>
        <w:rPr>
          <w:rFonts w:ascii="Times New Roman" w:eastAsia="宋体" w:hAnsi="Times New Roman" w:cs="宋体"/>
          <w:color w:val="auto"/>
          <w:spacing w:val="-2"/>
          <w:sz w:val="24"/>
          <w:szCs w:val="24"/>
          <w:lang w:eastAsia="zh-CN"/>
        </w:rPr>
        <w:t>套、红树林生理监生态监测设备</w:t>
      </w:r>
      <w:r>
        <w:rPr>
          <w:rFonts w:ascii="Times New Roman" w:eastAsia="宋体" w:hAnsi="Times New Roman" w:cs="宋体"/>
          <w:color w:val="auto"/>
          <w:spacing w:val="-2"/>
          <w:sz w:val="24"/>
          <w:szCs w:val="24"/>
          <w:lang w:eastAsia="zh-CN"/>
        </w:rPr>
        <w:t>5</w:t>
      </w:r>
      <w:r>
        <w:rPr>
          <w:rFonts w:ascii="Times New Roman" w:eastAsia="宋体" w:hAnsi="Times New Roman" w:cs="宋体"/>
          <w:color w:val="auto"/>
          <w:spacing w:val="-2"/>
          <w:sz w:val="24"/>
          <w:szCs w:val="24"/>
          <w:lang w:eastAsia="zh-CN"/>
        </w:rPr>
        <w:t>套、智慧红树林监测与评估平台系统软件</w:t>
      </w:r>
      <w:r>
        <w:rPr>
          <w:rFonts w:ascii="Times New Roman" w:eastAsia="宋体" w:hAnsi="Times New Roman" w:cs="宋体"/>
          <w:color w:val="auto"/>
          <w:spacing w:val="-2"/>
          <w:sz w:val="24"/>
          <w:szCs w:val="24"/>
          <w:lang w:eastAsia="zh-CN"/>
        </w:rPr>
        <w:t>1</w:t>
      </w:r>
      <w:r>
        <w:rPr>
          <w:rFonts w:ascii="Times New Roman" w:eastAsia="宋体" w:hAnsi="Times New Roman" w:cs="宋体"/>
          <w:color w:val="auto"/>
          <w:spacing w:val="-2"/>
          <w:sz w:val="24"/>
          <w:szCs w:val="24"/>
          <w:lang w:eastAsia="zh-CN"/>
        </w:rPr>
        <w:t>套、鸟类实时监测系统</w:t>
      </w:r>
      <w:r>
        <w:rPr>
          <w:rFonts w:ascii="Times New Roman" w:eastAsia="宋体" w:hAnsi="Times New Roman" w:cs="宋体"/>
          <w:color w:val="auto"/>
          <w:spacing w:val="-2"/>
          <w:sz w:val="24"/>
          <w:szCs w:val="24"/>
          <w:lang w:eastAsia="zh-CN"/>
        </w:rPr>
        <w:t>6</w:t>
      </w:r>
      <w:r>
        <w:rPr>
          <w:rFonts w:ascii="Times New Roman" w:eastAsia="宋体" w:hAnsi="Times New Roman" w:cs="宋体"/>
          <w:color w:val="auto"/>
          <w:spacing w:val="-2"/>
          <w:sz w:val="24"/>
          <w:szCs w:val="24"/>
          <w:lang w:eastAsia="zh-CN"/>
        </w:rPr>
        <w:t>套、蓝碳监测与评估</w:t>
      </w:r>
      <w:r>
        <w:rPr>
          <w:rFonts w:ascii="Times New Roman" w:eastAsia="宋体" w:hAnsi="Times New Roman" w:cs="宋体"/>
          <w:color w:val="auto"/>
          <w:spacing w:val="-2"/>
          <w:sz w:val="24"/>
          <w:szCs w:val="24"/>
          <w:lang w:eastAsia="zh-CN"/>
        </w:rPr>
        <w:t>1</w:t>
      </w:r>
      <w:r>
        <w:rPr>
          <w:rFonts w:ascii="Times New Roman" w:eastAsia="宋体" w:hAnsi="Times New Roman" w:cs="宋体"/>
          <w:color w:val="auto"/>
          <w:spacing w:val="-2"/>
          <w:sz w:val="24"/>
          <w:szCs w:val="24"/>
          <w:lang w:eastAsia="zh-CN"/>
        </w:rPr>
        <w:t>套</w:t>
      </w:r>
      <w:r>
        <w:rPr>
          <w:rFonts w:ascii="Times New Roman" w:eastAsia="宋体" w:hAnsi="Times New Roman" w:cs="宋体" w:hint="eastAsia"/>
          <w:color w:val="auto"/>
          <w:spacing w:val="-2"/>
          <w:sz w:val="24"/>
          <w:szCs w:val="24"/>
          <w:lang w:eastAsia="zh-CN"/>
        </w:rPr>
        <w:t>。</w:t>
      </w:r>
    </w:p>
    <w:p w14:paraId="405058C1" w14:textId="77777777" w:rsidR="0075791A" w:rsidRDefault="00FB2864">
      <w:pPr>
        <w:spacing w:line="360" w:lineRule="auto"/>
        <w:ind w:firstLineChars="200" w:firstLine="476"/>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pacing w:val="-2"/>
          <w:sz w:val="24"/>
          <w:szCs w:val="24"/>
          <w:lang w:eastAsia="zh-CN"/>
        </w:rPr>
        <w:t>由于</w:t>
      </w:r>
      <w:r>
        <w:rPr>
          <w:rFonts w:ascii="Times New Roman" w:eastAsia="宋体" w:hAnsi="Times New Roman" w:cs="宋体"/>
          <w:color w:val="auto"/>
          <w:spacing w:val="-2"/>
          <w:sz w:val="24"/>
          <w:szCs w:val="24"/>
          <w:lang w:eastAsia="zh-CN"/>
        </w:rPr>
        <w:t>铁炉港红树林湿地保护修复项目</w:t>
      </w:r>
      <w:r>
        <w:rPr>
          <w:rFonts w:ascii="Times New Roman" w:eastAsia="宋体" w:hAnsi="Times New Roman" w:cs="宋体" w:hint="eastAsia"/>
          <w:color w:val="auto"/>
          <w:spacing w:val="-2"/>
          <w:sz w:val="24"/>
          <w:szCs w:val="24"/>
          <w:lang w:eastAsia="zh-CN"/>
        </w:rPr>
        <w:t>实施范围较大，为便于项目实施管理，同时考虑地形及项目施工进度等因素，将实施范围分为一期、二期，一期范围由铁炉港口门至海中海高尔夫球场西的整个潮汐通道北侧，面积为</w:t>
      </w:r>
      <w:r>
        <w:rPr>
          <w:rFonts w:ascii="Times New Roman" w:eastAsia="宋体" w:hAnsi="Times New Roman" w:cs="宋体" w:hint="eastAsia"/>
          <w:color w:val="auto"/>
          <w:spacing w:val="-2"/>
          <w:sz w:val="24"/>
          <w:szCs w:val="24"/>
          <w:lang w:eastAsia="zh-CN"/>
        </w:rPr>
        <w:t>188.94</w:t>
      </w:r>
      <w:r>
        <w:rPr>
          <w:rFonts w:ascii="Times New Roman" w:eastAsia="宋体" w:hAnsi="Times New Roman" w:cs="宋体" w:hint="eastAsia"/>
          <w:color w:val="auto"/>
          <w:spacing w:val="-2"/>
          <w:sz w:val="24"/>
          <w:szCs w:val="24"/>
          <w:lang w:eastAsia="zh-CN"/>
        </w:rPr>
        <w:t>公顷；二期紧接一期经铁炉港潟湖底环至石尾村现有码头，面积为</w:t>
      </w:r>
      <w:r>
        <w:rPr>
          <w:rFonts w:ascii="Times New Roman" w:eastAsia="宋体" w:hAnsi="Times New Roman" w:cs="宋体" w:hint="eastAsia"/>
          <w:color w:val="auto"/>
          <w:spacing w:val="-2"/>
          <w:sz w:val="24"/>
          <w:szCs w:val="24"/>
          <w:lang w:eastAsia="zh-CN"/>
        </w:rPr>
        <w:t>214.72</w:t>
      </w:r>
      <w:r>
        <w:rPr>
          <w:rFonts w:ascii="Times New Roman" w:eastAsia="宋体" w:hAnsi="Times New Roman" w:cs="宋体" w:hint="eastAsia"/>
          <w:color w:val="auto"/>
          <w:spacing w:val="-2"/>
          <w:sz w:val="24"/>
          <w:szCs w:val="24"/>
          <w:lang w:eastAsia="zh-CN"/>
        </w:rPr>
        <w:t>公顷。上述四大体系</w:t>
      </w:r>
      <w:r>
        <w:rPr>
          <w:rFonts w:ascii="Times New Roman" w:eastAsia="宋体" w:hAnsi="Times New Roman" w:cs="宋体" w:hint="eastAsia"/>
          <w:color w:val="auto"/>
          <w:spacing w:val="-2"/>
          <w:sz w:val="24"/>
          <w:szCs w:val="24"/>
          <w:lang w:eastAsia="zh-CN"/>
        </w:rPr>
        <w:t>在一期、二期均有布置。目前，一期申请用海面积</w:t>
      </w:r>
      <w:r>
        <w:rPr>
          <w:rFonts w:ascii="Times New Roman" w:eastAsia="宋体" w:hAnsi="Times New Roman" w:cs="宋体" w:hint="eastAsia"/>
          <w:color w:val="auto"/>
          <w:sz w:val="24"/>
          <w:szCs w:val="24"/>
          <w:lang w:eastAsia="zh-CN"/>
        </w:rPr>
        <w:t>10.4697</w:t>
      </w:r>
      <w:r>
        <w:rPr>
          <w:rFonts w:ascii="Times New Roman" w:eastAsia="宋体" w:hAnsi="Times New Roman" w:cs="宋体" w:hint="eastAsia"/>
          <w:color w:val="auto"/>
          <w:sz w:val="24"/>
          <w:szCs w:val="24"/>
          <w:lang w:eastAsia="zh-CN"/>
        </w:rPr>
        <w:t>公顷，其中透水构筑物用海</w:t>
      </w:r>
      <w:r>
        <w:rPr>
          <w:rFonts w:ascii="Times New Roman" w:eastAsia="宋体" w:hAnsi="Times New Roman" w:cs="宋体" w:hint="eastAsia"/>
          <w:color w:val="auto"/>
          <w:sz w:val="24"/>
          <w:szCs w:val="24"/>
          <w:lang w:eastAsia="zh-CN"/>
        </w:rPr>
        <w:t>6.2815</w:t>
      </w:r>
      <w:r>
        <w:rPr>
          <w:rFonts w:ascii="Times New Roman" w:eastAsia="宋体" w:hAnsi="Times New Roman" w:cs="宋体" w:hint="eastAsia"/>
          <w:color w:val="auto"/>
          <w:sz w:val="24"/>
          <w:szCs w:val="24"/>
          <w:lang w:eastAsia="zh-CN"/>
        </w:rPr>
        <w:t>公顷，申请用海期限</w:t>
      </w:r>
      <w:r>
        <w:rPr>
          <w:rFonts w:ascii="Times New Roman" w:eastAsia="宋体" w:hAnsi="Times New Roman" w:cs="宋体" w:hint="eastAsia"/>
          <w:color w:val="auto"/>
          <w:sz w:val="24"/>
          <w:szCs w:val="24"/>
          <w:lang w:eastAsia="zh-CN"/>
        </w:rPr>
        <w:t>40</w:t>
      </w:r>
      <w:r>
        <w:rPr>
          <w:rFonts w:ascii="Times New Roman" w:eastAsia="宋体" w:hAnsi="Times New Roman" w:cs="宋体" w:hint="eastAsia"/>
          <w:color w:val="auto"/>
          <w:sz w:val="24"/>
          <w:szCs w:val="24"/>
          <w:lang w:eastAsia="zh-CN"/>
        </w:rPr>
        <w:t>年；清淤区用海</w:t>
      </w:r>
      <w:r>
        <w:rPr>
          <w:rFonts w:ascii="Times New Roman" w:eastAsia="宋体" w:hAnsi="Times New Roman" w:cs="宋体" w:hint="eastAsia"/>
          <w:color w:val="auto"/>
          <w:sz w:val="24"/>
          <w:szCs w:val="24"/>
          <w:lang w:eastAsia="zh-CN"/>
        </w:rPr>
        <w:t>4.1882</w:t>
      </w:r>
      <w:r>
        <w:rPr>
          <w:rFonts w:ascii="Times New Roman" w:eastAsia="宋体" w:hAnsi="Times New Roman" w:cs="宋体" w:hint="eastAsia"/>
          <w:color w:val="auto"/>
          <w:sz w:val="24"/>
          <w:szCs w:val="24"/>
          <w:lang w:eastAsia="zh-CN"/>
        </w:rPr>
        <w:t>公顷，申请临时用海，用海期限</w:t>
      </w: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个月，</w:t>
      </w:r>
      <w:r>
        <w:rPr>
          <w:rFonts w:ascii="Times New Roman" w:eastAsia="宋体" w:hAnsi="Times New Roman" w:cs="宋体" w:hint="eastAsia"/>
          <w:color w:val="auto"/>
          <w:sz w:val="24"/>
          <w:szCs w:val="24"/>
          <w:lang w:eastAsia="zh-CN"/>
        </w:rPr>
        <w:t>2025</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7</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25</w:t>
      </w:r>
      <w:r>
        <w:rPr>
          <w:rFonts w:ascii="Times New Roman" w:eastAsia="宋体" w:hAnsi="Times New Roman" w:cs="宋体" w:hint="eastAsia"/>
          <w:color w:val="auto"/>
          <w:sz w:val="24"/>
          <w:szCs w:val="24"/>
          <w:lang w:eastAsia="zh-CN"/>
        </w:rPr>
        <w:t>日</w:t>
      </w:r>
      <w:r>
        <w:rPr>
          <w:rFonts w:ascii="Times New Roman" w:eastAsia="宋体" w:hAnsi="Times New Roman" w:cs="宋体" w:hint="eastAsia"/>
          <w:color w:val="auto"/>
          <w:spacing w:val="-2"/>
          <w:sz w:val="24"/>
          <w:szCs w:val="24"/>
          <w:lang w:eastAsia="zh-CN"/>
        </w:rPr>
        <w:t>已取得用海批复，见附件</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。二期原计划包括海中海高尔夫球场北侧清淤疏浚区，由于该区域位于保护区核心区，在</w:t>
      </w:r>
      <w:r>
        <w:rPr>
          <w:rFonts w:ascii="Times New Roman" w:eastAsia="宋体" w:hAnsi="Times New Roman" w:cs="宋体" w:hint="eastAsia"/>
          <w:color w:val="auto"/>
          <w:sz w:val="24"/>
          <w:szCs w:val="24"/>
          <w:lang w:eastAsia="zh-CN"/>
        </w:rPr>
        <w:t>2025</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9</w:t>
      </w:r>
      <w:r>
        <w:rPr>
          <w:rFonts w:ascii="Times New Roman" w:eastAsia="宋体" w:hAnsi="Times New Roman" w:cs="宋体" w:hint="eastAsia"/>
          <w:color w:val="auto"/>
          <w:sz w:val="24"/>
          <w:szCs w:val="24"/>
          <w:lang w:eastAsia="zh-CN"/>
        </w:rPr>
        <w:t>月评审会中，不符合</w:t>
      </w:r>
      <w:r>
        <w:rPr>
          <w:rFonts w:ascii="Times New Roman" w:eastAsia="宋体" w:hAnsi="Times New Roman" w:cs="TimesNewRomanPSMT" w:hint="eastAsia"/>
          <w:color w:val="auto"/>
          <w:sz w:val="24"/>
          <w:szCs w:val="24"/>
          <w:lang w:eastAsia="zh-CN"/>
        </w:rPr>
        <w:t>《中华人民共和国自然保护区条例》中</w:t>
      </w:r>
      <w:r>
        <w:rPr>
          <w:rFonts w:ascii="Times New Roman" w:eastAsia="宋体" w:hAnsi="Times New Roman" w:cs="宋体" w:hint="eastAsia"/>
          <w:color w:val="auto"/>
          <w:sz w:val="24"/>
          <w:szCs w:val="24"/>
          <w:lang w:eastAsia="zh-CN"/>
        </w:rPr>
        <w:t>自然保护区核心区的管控要求，建设单位考虑</w:t>
      </w:r>
      <w:r>
        <w:rPr>
          <w:rFonts w:ascii="Times New Roman" w:eastAsia="宋体" w:hAnsi="Times New Roman" w:cs="TimesNewRomanPSMT" w:hint="eastAsia"/>
          <w:color w:val="auto"/>
          <w:sz w:val="24"/>
          <w:szCs w:val="24"/>
          <w:lang w:eastAsia="zh-CN"/>
        </w:rPr>
        <w:t>《中华人民共和国自然保护区条例》在修订中，</w:t>
      </w:r>
      <w:r>
        <w:rPr>
          <w:rFonts w:ascii="Times New Roman" w:eastAsia="宋体" w:hAnsi="Times New Roman" w:cs="宋体" w:hint="eastAsia"/>
          <w:color w:val="auto"/>
          <w:sz w:val="24"/>
          <w:szCs w:val="24"/>
          <w:lang w:eastAsia="zh-CN"/>
        </w:rPr>
        <w:t>最终确定在清淤疏浚区另行申请用海，即本次二期疏浚活动论证内容；</w:t>
      </w:r>
      <w:r>
        <w:rPr>
          <w:rFonts w:ascii="Times New Roman" w:eastAsia="宋体" w:hAnsi="Times New Roman" w:cs="宋体" w:hint="eastAsia"/>
          <w:color w:val="auto"/>
          <w:spacing w:val="-2"/>
          <w:sz w:val="24"/>
          <w:szCs w:val="24"/>
          <w:lang w:eastAsia="zh-CN"/>
        </w:rPr>
        <w:t>二期申请用海面积</w:t>
      </w:r>
      <w:r>
        <w:rPr>
          <w:rFonts w:ascii="Times New Roman" w:eastAsia="宋体" w:hAnsi="Times New Roman" w:cs="宋体" w:hint="eastAsia"/>
          <w:color w:val="auto"/>
          <w:sz w:val="24"/>
          <w:szCs w:val="24"/>
          <w:lang w:eastAsia="zh-CN"/>
        </w:rPr>
        <w:t>6.6357</w:t>
      </w:r>
      <w:r>
        <w:rPr>
          <w:rFonts w:ascii="Times New Roman" w:eastAsia="宋体" w:hAnsi="Times New Roman" w:cs="宋体" w:hint="eastAsia"/>
          <w:color w:val="auto"/>
          <w:sz w:val="24"/>
          <w:szCs w:val="24"/>
          <w:lang w:eastAsia="zh-CN"/>
        </w:rPr>
        <w:t>公顷，均为透水构筑物用海，申请用海期限</w:t>
      </w:r>
      <w:r>
        <w:rPr>
          <w:rFonts w:ascii="Times New Roman" w:eastAsia="宋体" w:hAnsi="Times New Roman" w:cs="宋体" w:hint="eastAsia"/>
          <w:color w:val="auto"/>
          <w:sz w:val="24"/>
          <w:szCs w:val="24"/>
          <w:lang w:eastAsia="zh-CN"/>
        </w:rPr>
        <w:t>40</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2025</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11</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20</w:t>
      </w:r>
      <w:r>
        <w:rPr>
          <w:rFonts w:ascii="Times New Roman" w:eastAsia="宋体" w:hAnsi="Times New Roman" w:cs="宋体" w:hint="eastAsia"/>
          <w:color w:val="auto"/>
          <w:sz w:val="24"/>
          <w:szCs w:val="24"/>
          <w:lang w:eastAsia="zh-CN"/>
        </w:rPr>
        <w:t>日已取得用海批复，见附件</w:t>
      </w: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w:t>
      </w:r>
    </w:p>
    <w:p w14:paraId="6569AB5E" w14:textId="77777777" w:rsidR="0075791A" w:rsidRDefault="0075791A">
      <w:pPr>
        <w:pStyle w:val="a5"/>
        <w:rPr>
          <w:color w:val="auto"/>
          <w:lang w:eastAsia="zh-CN"/>
        </w:rPr>
      </w:pPr>
    </w:p>
    <w:p w14:paraId="21E02B63" w14:textId="77777777" w:rsidR="0075791A" w:rsidRDefault="00FB2864">
      <w:pPr>
        <w:jc w:val="center"/>
        <w:rPr>
          <w:rFonts w:ascii="Times New Roman" w:hAnsi="Times New Roman"/>
          <w:b/>
          <w:color w:val="auto"/>
          <w:sz w:val="24"/>
          <w:szCs w:val="24"/>
        </w:rPr>
      </w:pPr>
      <w:r>
        <w:rPr>
          <w:rFonts w:ascii="Times New Roman" w:hAnsi="Times New Roman" w:hint="eastAsia"/>
          <w:b/>
          <w:color w:val="auto"/>
          <w:sz w:val="24"/>
          <w:szCs w:val="24"/>
        </w:rPr>
        <w:t>表</w:t>
      </w:r>
      <w:r>
        <w:rPr>
          <w:rFonts w:ascii="Times New Roman" w:hAnsi="Times New Roman" w:hint="eastAsia"/>
          <w:b/>
          <w:color w:val="auto"/>
          <w:sz w:val="24"/>
          <w:szCs w:val="24"/>
        </w:rPr>
        <w:t>1</w:t>
      </w:r>
      <w:r>
        <w:rPr>
          <w:rFonts w:ascii="Times New Roman" w:eastAsia="宋体" w:hAnsi="Times New Roman" w:hint="eastAsia"/>
          <w:b/>
          <w:color w:val="auto"/>
          <w:sz w:val="24"/>
          <w:szCs w:val="24"/>
          <w:lang w:eastAsia="zh-CN"/>
        </w:rPr>
        <w:t>.1</w:t>
      </w:r>
      <w:r>
        <w:rPr>
          <w:rFonts w:ascii="Times New Roman" w:hAnsi="Times New Roman" w:hint="eastAsia"/>
          <w:b/>
          <w:color w:val="auto"/>
          <w:sz w:val="24"/>
          <w:szCs w:val="24"/>
        </w:rPr>
        <w:t>-</w:t>
      </w:r>
      <w:r>
        <w:rPr>
          <w:rFonts w:ascii="Times New Roman" w:eastAsia="宋体" w:hAnsi="Times New Roman" w:hint="eastAsia"/>
          <w:b/>
          <w:color w:val="auto"/>
          <w:sz w:val="24"/>
          <w:szCs w:val="24"/>
          <w:lang w:eastAsia="zh-CN"/>
        </w:rPr>
        <w:t>1</w:t>
      </w:r>
      <w:r>
        <w:rPr>
          <w:rFonts w:ascii="Times New Roman" w:hAnsi="Times New Roman" w:hint="eastAsia"/>
          <w:b/>
          <w:color w:val="auto"/>
          <w:sz w:val="24"/>
          <w:szCs w:val="24"/>
        </w:rPr>
        <w:t xml:space="preserve"> </w:t>
      </w:r>
      <w:r>
        <w:rPr>
          <w:rFonts w:ascii="Times New Roman" w:hAnsi="Times New Roman" w:hint="eastAsia"/>
          <w:b/>
          <w:color w:val="auto"/>
          <w:sz w:val="24"/>
          <w:szCs w:val="24"/>
        </w:rPr>
        <w:t>项目建设目标一览表</w:t>
      </w:r>
    </w:p>
    <w:tbl>
      <w:tblPr>
        <w:tblW w:w="5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660"/>
        <w:gridCol w:w="623"/>
        <w:gridCol w:w="770"/>
        <w:gridCol w:w="1340"/>
        <w:gridCol w:w="1340"/>
        <w:gridCol w:w="1340"/>
      </w:tblGrid>
      <w:tr w:rsidR="0075791A" w14:paraId="3316DEEA"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shd w:val="clear" w:color="auto" w:fill="FFFFFF"/>
            <w:tcMar>
              <w:top w:w="6" w:type="dxa"/>
              <w:left w:w="6" w:type="dxa"/>
              <w:bottom w:w="6" w:type="dxa"/>
              <w:right w:w="6" w:type="dxa"/>
            </w:tcMar>
            <w:vAlign w:val="center"/>
          </w:tcPr>
          <w:p w14:paraId="2FED4092"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序号</w:t>
            </w:r>
          </w:p>
        </w:tc>
        <w:tc>
          <w:tcPr>
            <w:tcW w:w="1539" w:type="pct"/>
            <w:tcBorders>
              <w:top w:val="single" w:sz="4" w:space="0" w:color="auto"/>
              <w:left w:val="single" w:sz="4" w:space="0" w:color="auto"/>
              <w:bottom w:val="single" w:sz="4" w:space="0" w:color="auto"/>
              <w:right w:val="single" w:sz="4" w:space="0" w:color="auto"/>
              <w:tl2br w:val="nil"/>
              <w:tr2bl w:val="nil"/>
            </w:tcBorders>
            <w:shd w:val="clear" w:color="auto" w:fill="FFFFFF"/>
            <w:tcMar>
              <w:top w:w="6" w:type="dxa"/>
              <w:left w:w="6" w:type="dxa"/>
              <w:bottom w:w="6" w:type="dxa"/>
              <w:right w:w="6" w:type="dxa"/>
            </w:tcMar>
            <w:vAlign w:val="center"/>
          </w:tcPr>
          <w:p w14:paraId="3BD2DF15"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项目类型</w:t>
            </w:r>
          </w:p>
        </w:tc>
        <w:tc>
          <w:tcPr>
            <w:tcW w:w="361" w:type="pct"/>
            <w:tcBorders>
              <w:top w:val="single" w:sz="4" w:space="0" w:color="auto"/>
              <w:left w:val="single" w:sz="4" w:space="0" w:color="auto"/>
              <w:bottom w:val="single" w:sz="4" w:space="0" w:color="auto"/>
              <w:right w:val="single" w:sz="4" w:space="0" w:color="auto"/>
              <w:tl2br w:val="nil"/>
              <w:tr2bl w:val="nil"/>
            </w:tcBorders>
            <w:shd w:val="clear" w:color="auto" w:fill="FFFFFF"/>
            <w:noWrap/>
            <w:tcMar>
              <w:top w:w="6" w:type="dxa"/>
              <w:left w:w="6" w:type="dxa"/>
              <w:bottom w:w="6" w:type="dxa"/>
              <w:right w:w="6" w:type="dxa"/>
            </w:tcMar>
            <w:vAlign w:val="center"/>
          </w:tcPr>
          <w:p w14:paraId="23C4EB64"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单位</w:t>
            </w:r>
          </w:p>
        </w:tc>
        <w:tc>
          <w:tcPr>
            <w:tcW w:w="446" w:type="pct"/>
            <w:tcBorders>
              <w:top w:val="single" w:sz="4" w:space="0" w:color="auto"/>
              <w:left w:val="single" w:sz="4" w:space="0" w:color="auto"/>
              <w:bottom w:val="single" w:sz="4" w:space="0" w:color="auto"/>
              <w:right w:val="single" w:sz="4" w:space="0" w:color="auto"/>
              <w:tl2br w:val="nil"/>
              <w:tr2bl w:val="nil"/>
            </w:tcBorders>
            <w:shd w:val="clear" w:color="auto" w:fill="FFFFFF"/>
            <w:noWrap/>
            <w:tcMar>
              <w:top w:w="6" w:type="dxa"/>
              <w:left w:w="6" w:type="dxa"/>
              <w:bottom w:w="6" w:type="dxa"/>
              <w:right w:w="6" w:type="dxa"/>
            </w:tcMar>
            <w:vAlign w:val="center"/>
          </w:tcPr>
          <w:p w14:paraId="54872F19"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数量</w:t>
            </w:r>
          </w:p>
        </w:tc>
        <w:tc>
          <w:tcPr>
            <w:tcW w:w="775" w:type="pct"/>
            <w:tcBorders>
              <w:top w:val="single" w:sz="4" w:space="0" w:color="auto"/>
              <w:left w:val="single" w:sz="4" w:space="0" w:color="auto"/>
              <w:bottom w:val="single" w:sz="4" w:space="0" w:color="auto"/>
              <w:right w:val="single" w:sz="4" w:space="0" w:color="auto"/>
              <w:tl2br w:val="nil"/>
              <w:tr2bl w:val="nil"/>
            </w:tcBorders>
            <w:shd w:val="clear" w:color="auto" w:fill="FFFFFF"/>
            <w:noWrap/>
            <w:tcMar>
              <w:top w:w="6" w:type="dxa"/>
              <w:left w:w="6" w:type="dxa"/>
              <w:bottom w:w="6" w:type="dxa"/>
              <w:right w:w="6" w:type="dxa"/>
            </w:tcMar>
            <w:vAlign w:val="center"/>
          </w:tcPr>
          <w:p w14:paraId="6126AEC4"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备注</w:t>
            </w:r>
          </w:p>
        </w:tc>
        <w:tc>
          <w:tcPr>
            <w:tcW w:w="775" w:type="pct"/>
            <w:tcBorders>
              <w:top w:val="single" w:sz="4" w:space="0" w:color="auto"/>
              <w:left w:val="single" w:sz="4" w:space="0" w:color="auto"/>
              <w:bottom w:val="single" w:sz="4" w:space="0" w:color="auto"/>
              <w:right w:val="single" w:sz="4" w:space="0" w:color="auto"/>
              <w:tl2br w:val="nil"/>
              <w:tr2bl w:val="nil"/>
            </w:tcBorders>
            <w:shd w:val="clear" w:color="auto" w:fill="FFFFFF"/>
            <w:noWrap/>
            <w:tcMar>
              <w:top w:w="6" w:type="dxa"/>
              <w:left w:w="6" w:type="dxa"/>
              <w:bottom w:w="6" w:type="dxa"/>
              <w:right w:w="6" w:type="dxa"/>
            </w:tcMar>
            <w:vAlign w:val="center"/>
          </w:tcPr>
          <w:p w14:paraId="240B897E" w14:textId="77777777" w:rsidR="0075791A" w:rsidRDefault="00FB2864">
            <w:pPr>
              <w:pStyle w:val="a0"/>
              <w:spacing w:line="280" w:lineRule="exact"/>
              <w:ind w:firstLineChars="0" w:firstLine="0"/>
              <w:rPr>
                <w:rFonts w:ascii="Times New Roman" w:eastAsia="宋体" w:hAnsi="Times New Roman"/>
                <w:color w:val="auto"/>
                <w:lang w:eastAsia="zh-CN"/>
              </w:rPr>
            </w:pPr>
            <w:r>
              <w:rPr>
                <w:rFonts w:ascii="Times New Roman" w:eastAsia="宋体" w:hAnsi="Times New Roman" w:hint="eastAsia"/>
                <w:color w:val="auto"/>
                <w:lang w:eastAsia="zh-CN"/>
              </w:rPr>
              <w:t>一期规模</w:t>
            </w:r>
          </w:p>
        </w:tc>
        <w:tc>
          <w:tcPr>
            <w:tcW w:w="775" w:type="pct"/>
            <w:tcBorders>
              <w:top w:val="single" w:sz="4" w:space="0" w:color="auto"/>
              <w:left w:val="single" w:sz="4" w:space="0" w:color="auto"/>
              <w:bottom w:val="single" w:sz="4" w:space="0" w:color="auto"/>
              <w:right w:val="single" w:sz="4" w:space="0" w:color="auto"/>
              <w:tl2br w:val="nil"/>
              <w:tr2bl w:val="nil"/>
            </w:tcBorders>
            <w:shd w:val="clear" w:color="auto" w:fill="FFFFFF"/>
            <w:noWrap/>
            <w:tcMar>
              <w:top w:w="6" w:type="dxa"/>
              <w:left w:w="6" w:type="dxa"/>
              <w:bottom w:w="6" w:type="dxa"/>
              <w:right w:w="6" w:type="dxa"/>
            </w:tcMar>
            <w:vAlign w:val="center"/>
          </w:tcPr>
          <w:p w14:paraId="69A67D04" w14:textId="77777777" w:rsidR="0075791A" w:rsidRDefault="00FB2864">
            <w:pPr>
              <w:pStyle w:val="a0"/>
              <w:spacing w:line="280" w:lineRule="exact"/>
              <w:ind w:firstLineChars="0" w:firstLine="0"/>
              <w:rPr>
                <w:rFonts w:ascii="Times New Roman" w:eastAsia="宋体" w:hAnsi="Times New Roman"/>
                <w:color w:val="auto"/>
                <w:lang w:eastAsia="zh-CN"/>
              </w:rPr>
            </w:pPr>
            <w:r>
              <w:rPr>
                <w:rFonts w:ascii="Times New Roman" w:eastAsia="宋体" w:hAnsi="Times New Roman" w:hint="eastAsia"/>
                <w:color w:val="auto"/>
                <w:lang w:eastAsia="zh-CN"/>
              </w:rPr>
              <w:t>二期规模</w:t>
            </w:r>
          </w:p>
        </w:tc>
      </w:tr>
      <w:tr w:rsidR="0075791A" w14:paraId="59110284"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F729665"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一</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A005CEF" w14:textId="77777777" w:rsidR="0075791A" w:rsidRDefault="00FB2864">
            <w:pPr>
              <w:pStyle w:val="a0"/>
              <w:spacing w:line="280" w:lineRule="exact"/>
              <w:ind w:firstLineChars="0" w:firstLine="0"/>
              <w:rPr>
                <w:rFonts w:ascii="Times New Roman" w:eastAsia="宋体" w:hAnsi="Times New Roman"/>
                <w:color w:val="auto"/>
                <w:lang w:eastAsia="zh-CN"/>
              </w:rPr>
            </w:pPr>
            <w:r>
              <w:rPr>
                <w:rFonts w:ascii="Times New Roman" w:eastAsia="宋体" w:hAnsi="Times New Roman" w:hint="eastAsia"/>
                <w:color w:val="auto"/>
                <w:lang w:eastAsia="zh-CN"/>
              </w:rPr>
              <w:t>生态安全屏障构建工程</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AFA182A" w14:textId="77777777" w:rsidR="0075791A" w:rsidRDefault="0075791A">
            <w:pPr>
              <w:pStyle w:val="a0"/>
              <w:spacing w:line="280" w:lineRule="exact"/>
              <w:ind w:firstLineChars="0" w:firstLine="0"/>
              <w:rPr>
                <w:rFonts w:ascii="Times New Roman" w:eastAsia="宋体" w:hAnsi="Times New Roman"/>
                <w:color w:val="auto"/>
                <w:lang w:eastAsia="zh-CN"/>
              </w:rPr>
            </w:pP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77DC6D8" w14:textId="77777777" w:rsidR="0075791A" w:rsidRDefault="0075791A">
            <w:pPr>
              <w:pStyle w:val="a0"/>
              <w:spacing w:line="280" w:lineRule="exact"/>
              <w:ind w:firstLineChars="0" w:firstLine="0"/>
              <w:rPr>
                <w:rFonts w:ascii="Times New Roman" w:eastAsia="宋体" w:hAnsi="Times New Roman"/>
                <w:color w:val="auto"/>
                <w:lang w:eastAsia="zh-CN"/>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F42202A" w14:textId="77777777" w:rsidR="0075791A" w:rsidRDefault="0075791A">
            <w:pPr>
              <w:pStyle w:val="a0"/>
              <w:spacing w:line="280" w:lineRule="exact"/>
              <w:ind w:firstLineChars="0" w:firstLine="0"/>
              <w:rPr>
                <w:rFonts w:ascii="Times New Roman" w:eastAsia="宋体" w:hAnsi="Times New Roman"/>
                <w:color w:val="auto"/>
                <w:lang w:eastAsia="zh-CN"/>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6D8C0FA" w14:textId="77777777" w:rsidR="0075791A" w:rsidRDefault="0075791A">
            <w:pPr>
              <w:pStyle w:val="a0"/>
              <w:spacing w:line="280" w:lineRule="exact"/>
              <w:ind w:firstLineChars="0" w:firstLine="0"/>
              <w:rPr>
                <w:rFonts w:ascii="Times New Roman" w:eastAsia="宋体" w:hAnsi="Times New Roman"/>
                <w:color w:val="auto"/>
                <w:lang w:eastAsia="zh-CN"/>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47008DF" w14:textId="77777777" w:rsidR="0075791A" w:rsidRDefault="0075791A">
            <w:pPr>
              <w:pStyle w:val="a0"/>
              <w:spacing w:line="280" w:lineRule="exact"/>
              <w:ind w:firstLineChars="0" w:firstLine="0"/>
              <w:rPr>
                <w:rFonts w:ascii="Times New Roman" w:eastAsia="宋体" w:hAnsi="Times New Roman"/>
                <w:color w:val="auto"/>
                <w:lang w:eastAsia="zh-CN"/>
              </w:rPr>
            </w:pPr>
          </w:p>
        </w:tc>
      </w:tr>
      <w:tr w:rsidR="0075791A" w14:paraId="2872BDC1" w14:textId="77777777">
        <w:trPr>
          <w:trHeight w:val="574"/>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C9A61EF"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1.1</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9AC01D0"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生态拦截缓冲带</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6CE694B"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hm</w:t>
            </w:r>
            <w:r>
              <w:rPr>
                <w:rFonts w:ascii="Times New Roman" w:eastAsia="宋体" w:hAnsi="Times New Roman" w:hint="eastAsia"/>
                <w:color w:val="auto"/>
              </w:rPr>
              <w:t>²</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7AA4F32"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7.97</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BACE8AF"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11.69km</w:t>
            </w:r>
            <w:r>
              <w:rPr>
                <w:rFonts w:ascii="Times New Roman" w:eastAsia="宋体" w:hAnsi="Times New Roman" w:hint="eastAsia"/>
                <w:color w:val="auto"/>
                <w:lang w:eastAsia="zh-CN"/>
              </w:rPr>
              <w:t>，盐生植被、红树</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3677244" w14:textId="77777777" w:rsidR="0075791A" w:rsidRDefault="00FB2864">
            <w:pPr>
              <w:pStyle w:val="ab"/>
              <w:kinsoku/>
              <w:jc w:val="center"/>
              <w:rPr>
                <w:rFonts w:ascii="Times New Roman" w:eastAsia="宋体" w:hAnsi="Times New Roman" w:cs="Cambria"/>
                <w:color w:val="auto"/>
                <w:sz w:val="21"/>
              </w:rPr>
            </w:pPr>
            <w:r>
              <w:rPr>
                <w:rFonts w:ascii="Times New Roman" w:eastAsia="宋体" w:hAnsi="Times New Roman" w:cs="Cambria"/>
                <w:color w:val="auto"/>
                <w:sz w:val="21"/>
                <w:lang w:eastAsia="en-US"/>
              </w:rPr>
              <w:t>6.04</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2977BBD" w14:textId="77777777" w:rsidR="0075791A" w:rsidRDefault="00FB2864">
            <w:pPr>
              <w:pStyle w:val="ab"/>
              <w:kinsoku/>
              <w:jc w:val="center"/>
              <w:rPr>
                <w:rFonts w:ascii="Times New Roman" w:eastAsia="宋体" w:hAnsi="Times New Roman" w:cs="Cambria"/>
                <w:color w:val="auto"/>
                <w:sz w:val="21"/>
              </w:rPr>
            </w:pPr>
            <w:r>
              <w:rPr>
                <w:rFonts w:ascii="Times New Roman" w:eastAsia="宋体" w:hAnsi="Times New Roman" w:cs="Cambria"/>
                <w:color w:val="auto"/>
                <w:sz w:val="21"/>
                <w:lang w:eastAsia="en-US"/>
              </w:rPr>
              <w:t>5.65</w:t>
            </w:r>
          </w:p>
        </w:tc>
      </w:tr>
      <w:tr w:rsidR="0075791A" w14:paraId="4EEA7230" w14:textId="77777777">
        <w:trPr>
          <w:trHeight w:val="849"/>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4E66283"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lastRenderedPageBreak/>
              <w:t>1.2</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55E2DC8"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生态调蓄净化湿地</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90F249B"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hm</w:t>
            </w:r>
            <w:r>
              <w:rPr>
                <w:rFonts w:ascii="Times New Roman" w:eastAsia="宋体" w:hAnsi="Times New Roman" w:hint="eastAsia"/>
                <w:color w:val="auto"/>
              </w:rPr>
              <w:t>²</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4FC04B5"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6.2</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34D68A7"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湿地填料、湿地植物、微生物</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BB47A6E" w14:textId="77777777" w:rsidR="0075791A" w:rsidRDefault="00FB2864">
            <w:pPr>
              <w:pStyle w:val="ab"/>
              <w:kinsoku/>
              <w:jc w:val="center"/>
              <w:rPr>
                <w:rFonts w:ascii="Times New Roman" w:eastAsia="宋体" w:hAnsi="Times New Roman" w:cs="Cambria"/>
                <w:color w:val="auto"/>
                <w:sz w:val="21"/>
              </w:rPr>
            </w:pPr>
            <w:r>
              <w:rPr>
                <w:rFonts w:ascii="Times New Roman" w:eastAsia="宋体" w:hAnsi="Times New Roman" w:cs="Cambria"/>
                <w:color w:val="auto"/>
                <w:sz w:val="21"/>
              </w:rPr>
              <w:t>1.52</w:t>
            </w:r>
            <w:r>
              <w:rPr>
                <w:rFonts w:ascii="Times New Roman" w:eastAsia="宋体" w:hAnsi="Times New Roman" w:cs="Cambria"/>
                <w:color w:val="auto"/>
                <w:sz w:val="21"/>
              </w:rPr>
              <w:t>，经论证评审后取消生态闸堰</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5C9846E" w14:textId="77777777" w:rsidR="0075791A" w:rsidRDefault="00FB2864">
            <w:pPr>
              <w:pStyle w:val="ab"/>
              <w:kinsoku/>
              <w:jc w:val="center"/>
              <w:rPr>
                <w:rFonts w:ascii="Times New Roman" w:eastAsia="宋体" w:hAnsi="Times New Roman" w:cs="Cambria"/>
                <w:color w:val="auto"/>
                <w:sz w:val="21"/>
              </w:rPr>
            </w:pPr>
            <w:r>
              <w:rPr>
                <w:rFonts w:ascii="Times New Roman" w:eastAsia="宋体" w:hAnsi="Times New Roman" w:cs="Cambria"/>
                <w:color w:val="auto"/>
                <w:sz w:val="21"/>
                <w:lang w:eastAsia="en-US"/>
              </w:rPr>
              <w:t>4.68</w:t>
            </w:r>
            <w:r>
              <w:rPr>
                <w:rFonts w:ascii="Times New Roman" w:eastAsia="宋体" w:hAnsi="Times New Roman" w:cs="Cambria"/>
                <w:color w:val="auto"/>
                <w:sz w:val="21"/>
                <w:lang w:eastAsia="en-US"/>
              </w:rPr>
              <w:t>（</w:t>
            </w:r>
            <w:r>
              <w:rPr>
                <w:rFonts w:ascii="Times New Roman" w:eastAsia="宋体" w:hAnsi="Times New Roman" w:cs="Cambria"/>
                <w:color w:val="auto"/>
                <w:sz w:val="21"/>
                <w:lang w:eastAsia="en-US"/>
              </w:rPr>
              <w:t>4</w:t>
            </w:r>
            <w:r>
              <w:rPr>
                <w:rFonts w:ascii="Times New Roman" w:eastAsia="宋体" w:hAnsi="Times New Roman" w:cs="Cambria"/>
                <w:color w:val="auto"/>
                <w:sz w:val="21"/>
                <w:lang w:eastAsia="en-US"/>
              </w:rPr>
              <w:t>堰，</w:t>
            </w:r>
            <w:r>
              <w:rPr>
                <w:rFonts w:ascii="Times New Roman" w:eastAsia="宋体" w:hAnsi="Times New Roman" w:cs="Cambria"/>
                <w:color w:val="auto"/>
                <w:sz w:val="21"/>
                <w:lang w:eastAsia="en-US"/>
              </w:rPr>
              <w:t>6</w:t>
            </w:r>
            <w:r>
              <w:rPr>
                <w:rFonts w:ascii="Times New Roman" w:eastAsia="宋体" w:hAnsi="Times New Roman" w:cs="Cambria"/>
                <w:color w:val="auto"/>
                <w:sz w:val="21"/>
                <w:lang w:eastAsia="en-US"/>
              </w:rPr>
              <w:t>闸）</w:t>
            </w:r>
          </w:p>
        </w:tc>
      </w:tr>
      <w:tr w:rsidR="0075791A" w14:paraId="1AA4553B"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32B6997"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1.3</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37E8AA5"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水面垃圾拦截带</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89985AE"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km</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4AA1E5B"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10.68</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D5B611A"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5A8E655" w14:textId="77777777" w:rsidR="0075791A" w:rsidRDefault="00FB2864">
            <w:pPr>
              <w:pStyle w:val="ab"/>
              <w:kinsoku/>
              <w:jc w:val="center"/>
              <w:rPr>
                <w:rFonts w:ascii="Times New Roman" w:eastAsia="宋体" w:hAnsi="Times New Roman" w:cs="Cambria"/>
                <w:color w:val="auto"/>
                <w:sz w:val="21"/>
              </w:rPr>
            </w:pPr>
            <w:r>
              <w:rPr>
                <w:rFonts w:ascii="Times New Roman" w:eastAsia="宋体" w:hAnsi="Times New Roman" w:cs="Cambria"/>
                <w:color w:val="auto"/>
                <w:sz w:val="21"/>
                <w:lang w:eastAsia="en-US"/>
              </w:rPr>
              <w:t>3.46</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B991415" w14:textId="77777777" w:rsidR="0075791A" w:rsidRDefault="00FB2864">
            <w:pPr>
              <w:pStyle w:val="ab"/>
              <w:kinsoku/>
              <w:jc w:val="center"/>
              <w:rPr>
                <w:rFonts w:ascii="Times New Roman" w:eastAsia="宋体" w:hAnsi="Times New Roman" w:cs="Cambria"/>
                <w:color w:val="auto"/>
                <w:sz w:val="21"/>
              </w:rPr>
            </w:pPr>
            <w:r>
              <w:rPr>
                <w:rFonts w:ascii="Times New Roman" w:eastAsia="宋体" w:hAnsi="Times New Roman" w:cs="Cambria"/>
                <w:color w:val="auto"/>
                <w:sz w:val="21"/>
                <w:lang w:eastAsia="en-US"/>
              </w:rPr>
              <w:t>7.22</w:t>
            </w:r>
          </w:p>
        </w:tc>
      </w:tr>
      <w:tr w:rsidR="0075791A" w14:paraId="52FF47FB" w14:textId="77777777">
        <w:trPr>
          <w:trHeight w:val="298"/>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D66659E"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1.4</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C55262E"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海上垃圾清理中转站</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9A68CFF"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座</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57C0E1F"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3</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3367BEE"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C3D0392" w14:textId="77777777" w:rsidR="0075791A" w:rsidRDefault="00FB2864">
            <w:pPr>
              <w:pStyle w:val="ab"/>
              <w:kinsoku/>
              <w:jc w:val="center"/>
              <w:rPr>
                <w:rFonts w:ascii="Times New Roman" w:eastAsia="宋体" w:hAnsi="Times New Roman" w:cs="Cambria"/>
                <w:color w:val="auto"/>
                <w:sz w:val="21"/>
              </w:rPr>
            </w:pPr>
            <w:r>
              <w:rPr>
                <w:rFonts w:ascii="Times New Roman" w:eastAsia="宋体" w:hAnsi="Times New Roman" w:cs="Cambria"/>
                <w:color w:val="auto"/>
                <w:sz w:val="21"/>
                <w:lang w:eastAsia="en-US"/>
              </w:rPr>
              <w:t>1</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BBED507" w14:textId="77777777" w:rsidR="0075791A" w:rsidRDefault="00FB2864">
            <w:pPr>
              <w:pStyle w:val="ab"/>
              <w:kinsoku/>
              <w:jc w:val="center"/>
              <w:rPr>
                <w:rFonts w:ascii="Times New Roman" w:eastAsia="宋体" w:hAnsi="Times New Roman" w:cs="Cambria"/>
                <w:color w:val="auto"/>
                <w:sz w:val="21"/>
              </w:rPr>
            </w:pPr>
            <w:r>
              <w:rPr>
                <w:rFonts w:ascii="Times New Roman" w:eastAsia="宋体" w:hAnsi="Times New Roman" w:cs="Cambria"/>
                <w:color w:val="auto"/>
                <w:sz w:val="21"/>
                <w:lang w:eastAsia="en-US"/>
              </w:rPr>
              <w:t>2</w:t>
            </w:r>
          </w:p>
        </w:tc>
      </w:tr>
      <w:tr w:rsidR="0075791A" w14:paraId="7A16D7A4"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6794B3E"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1.5</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64841F3"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外来物种清除与防治</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D16B222"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hm</w:t>
            </w:r>
            <w:r>
              <w:rPr>
                <w:rFonts w:ascii="Times New Roman" w:eastAsia="宋体" w:hAnsi="Times New Roman" w:hint="eastAsia"/>
                <w:color w:val="auto"/>
              </w:rPr>
              <w:t>²</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ABCBEA9"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21</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5EB1A0E"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75381EC" w14:textId="77777777" w:rsidR="0075791A" w:rsidRDefault="00FB2864">
            <w:pPr>
              <w:pStyle w:val="ab"/>
              <w:kinsoku/>
              <w:jc w:val="center"/>
              <w:rPr>
                <w:rFonts w:ascii="Times New Roman" w:eastAsia="宋体" w:hAnsi="Times New Roman" w:cs="Cambria"/>
                <w:color w:val="auto"/>
                <w:sz w:val="21"/>
              </w:rPr>
            </w:pPr>
            <w:r>
              <w:rPr>
                <w:rFonts w:ascii="Times New Roman" w:eastAsia="宋体" w:hAnsi="Times New Roman" w:cs="Cambria"/>
                <w:color w:val="auto"/>
                <w:sz w:val="21"/>
                <w:lang w:eastAsia="en-US"/>
              </w:rPr>
              <w:t>17.08</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9AC17B9" w14:textId="77777777" w:rsidR="0075791A" w:rsidRDefault="00FB2864">
            <w:pPr>
              <w:pStyle w:val="ab"/>
              <w:kinsoku/>
              <w:jc w:val="center"/>
              <w:rPr>
                <w:rFonts w:ascii="Times New Roman" w:eastAsia="宋体" w:hAnsi="Times New Roman" w:cs="Cambria"/>
                <w:color w:val="auto"/>
                <w:sz w:val="21"/>
              </w:rPr>
            </w:pPr>
            <w:r>
              <w:rPr>
                <w:rFonts w:ascii="Times New Roman" w:eastAsia="宋体" w:hAnsi="Times New Roman" w:cs="Cambria"/>
                <w:color w:val="auto"/>
                <w:sz w:val="21"/>
                <w:lang w:eastAsia="en-US"/>
              </w:rPr>
              <w:t>3.92</w:t>
            </w:r>
          </w:p>
        </w:tc>
      </w:tr>
      <w:tr w:rsidR="0075791A" w14:paraId="4C10F493"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95B9AB3"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1.6</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A4AA310"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清除建筑垃圾</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C5E7515"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m</w:t>
            </w:r>
            <w:r>
              <w:rPr>
                <w:rFonts w:ascii="Times New Roman" w:eastAsia="宋体" w:hAnsi="Times New Roman" w:hint="eastAsia"/>
                <w:color w:val="auto"/>
              </w:rPr>
              <w:t>³</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EBE590F"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82387</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76B514B"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B1A709B" w14:textId="77777777" w:rsidR="0075791A" w:rsidRDefault="00FB2864">
            <w:pPr>
              <w:pStyle w:val="ab"/>
              <w:kinsoku/>
              <w:jc w:val="center"/>
              <w:rPr>
                <w:rFonts w:ascii="Times New Roman" w:eastAsia="宋体" w:hAnsi="Times New Roman" w:cs="Cambria"/>
                <w:color w:val="auto"/>
                <w:sz w:val="21"/>
                <w:lang w:eastAsia="en-US"/>
              </w:rPr>
            </w:pPr>
            <w:r>
              <w:rPr>
                <w:rFonts w:ascii="Times New Roman" w:eastAsia="宋体" w:hAnsi="Times New Roman" w:cs="Cambria"/>
                <w:color w:val="auto"/>
                <w:sz w:val="21"/>
                <w:lang w:eastAsia="en-US"/>
              </w:rPr>
              <w:t>18545</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05EB34B" w14:textId="77777777" w:rsidR="0075791A" w:rsidRDefault="00FB2864">
            <w:pPr>
              <w:pStyle w:val="ab"/>
              <w:kinsoku/>
              <w:jc w:val="center"/>
              <w:rPr>
                <w:rFonts w:ascii="Times New Roman" w:eastAsia="宋体" w:hAnsi="Times New Roman" w:cs="Cambria"/>
                <w:color w:val="auto"/>
                <w:sz w:val="21"/>
                <w:lang w:eastAsia="en-US"/>
              </w:rPr>
            </w:pPr>
            <w:r>
              <w:rPr>
                <w:rFonts w:ascii="Times New Roman" w:eastAsia="宋体" w:hAnsi="Times New Roman" w:cs="Cambria"/>
                <w:color w:val="auto"/>
                <w:sz w:val="21"/>
                <w:lang w:eastAsia="en-US"/>
              </w:rPr>
              <w:t>63842</w:t>
            </w:r>
          </w:p>
        </w:tc>
      </w:tr>
      <w:tr w:rsidR="0075791A" w14:paraId="799FC0A7"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1838B50"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1.7</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E84511B"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生态围栏</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52858DD"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m</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7E61164"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2850</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03613E1"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混凝土仿木</w:t>
            </w:r>
            <w:r>
              <w:rPr>
                <w:rFonts w:ascii="Times New Roman" w:eastAsia="宋体" w:hAnsi="Times New Roman" w:hint="eastAsia"/>
                <w:color w:val="auto"/>
              </w:rPr>
              <w:t>+</w:t>
            </w:r>
            <w:r>
              <w:rPr>
                <w:rFonts w:ascii="Times New Roman" w:eastAsia="宋体" w:hAnsi="Times New Roman" w:hint="eastAsia"/>
                <w:color w:val="auto"/>
              </w:rPr>
              <w:t>拉关木</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5A55D75" w14:textId="77777777" w:rsidR="0075791A" w:rsidRDefault="00FB2864">
            <w:pPr>
              <w:pStyle w:val="ab"/>
              <w:kinsoku/>
              <w:jc w:val="center"/>
              <w:rPr>
                <w:rFonts w:ascii="Times New Roman" w:eastAsia="宋体" w:hAnsi="Times New Roman" w:cs="Cambria"/>
                <w:color w:val="auto"/>
                <w:sz w:val="21"/>
              </w:rPr>
            </w:pPr>
            <w:r>
              <w:rPr>
                <w:rFonts w:ascii="Times New Roman" w:eastAsia="宋体" w:hAnsi="Times New Roman" w:cs="Cambria"/>
                <w:color w:val="auto"/>
                <w:sz w:val="21"/>
                <w:lang w:eastAsia="en-US"/>
              </w:rPr>
              <w:t>1650</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3FF0641" w14:textId="77777777" w:rsidR="0075791A" w:rsidRDefault="00FB2864">
            <w:pPr>
              <w:pStyle w:val="ab"/>
              <w:kinsoku/>
              <w:jc w:val="center"/>
              <w:rPr>
                <w:rFonts w:ascii="Times New Roman" w:eastAsia="宋体" w:hAnsi="Times New Roman" w:cs="Cambria"/>
                <w:color w:val="auto"/>
                <w:sz w:val="21"/>
              </w:rPr>
            </w:pPr>
            <w:r>
              <w:rPr>
                <w:rFonts w:ascii="Times New Roman" w:eastAsia="宋体" w:hAnsi="Times New Roman" w:cs="Cambria"/>
                <w:color w:val="auto"/>
                <w:sz w:val="21"/>
                <w:lang w:eastAsia="en-US"/>
              </w:rPr>
              <w:t>1200</w:t>
            </w:r>
          </w:p>
        </w:tc>
      </w:tr>
      <w:tr w:rsidR="0075791A" w14:paraId="40849715"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0AECD18"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1.8</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CFEC019"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新建围栏</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41C69A1"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m</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10D3608"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11950</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2DEA400"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钢丝网</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2467EB3" w14:textId="77777777" w:rsidR="0075791A" w:rsidRDefault="00FB2864">
            <w:pPr>
              <w:pStyle w:val="ab"/>
              <w:kinsoku/>
              <w:jc w:val="center"/>
              <w:rPr>
                <w:rFonts w:ascii="Times New Roman" w:eastAsia="宋体" w:hAnsi="Times New Roman" w:cs="Cambria"/>
                <w:color w:val="auto"/>
                <w:sz w:val="21"/>
              </w:rPr>
            </w:pPr>
            <w:r>
              <w:rPr>
                <w:rFonts w:ascii="Times New Roman" w:eastAsia="宋体" w:hAnsi="Times New Roman" w:cs="Cambria"/>
                <w:color w:val="auto"/>
                <w:sz w:val="21"/>
                <w:lang w:eastAsia="en-US"/>
              </w:rPr>
              <w:t>5450</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57765AE" w14:textId="77777777" w:rsidR="0075791A" w:rsidRDefault="00FB2864">
            <w:pPr>
              <w:pStyle w:val="ab"/>
              <w:kinsoku/>
              <w:jc w:val="center"/>
              <w:rPr>
                <w:rFonts w:ascii="Times New Roman" w:eastAsia="宋体" w:hAnsi="Times New Roman" w:cs="Cambria"/>
                <w:color w:val="auto"/>
                <w:sz w:val="21"/>
              </w:rPr>
            </w:pPr>
            <w:r>
              <w:rPr>
                <w:rFonts w:ascii="Times New Roman" w:eastAsia="宋体" w:hAnsi="Times New Roman" w:cs="Cambria"/>
                <w:color w:val="auto"/>
                <w:sz w:val="21"/>
                <w:lang w:eastAsia="en-US"/>
              </w:rPr>
              <w:t>6500</w:t>
            </w:r>
          </w:p>
        </w:tc>
      </w:tr>
      <w:tr w:rsidR="0075791A" w14:paraId="1292A77B" w14:textId="77777777">
        <w:trPr>
          <w:trHeight w:val="574"/>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9A4D66C"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1.9</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3C2C641"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新建电子围栏</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23C56FF"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m</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FE254FF"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1780</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8E384BD"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古树名木外围区域</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B683926" w14:textId="77777777" w:rsidR="0075791A" w:rsidRDefault="00FB2864">
            <w:pPr>
              <w:pStyle w:val="ab"/>
              <w:kinsoku/>
              <w:jc w:val="center"/>
              <w:rPr>
                <w:rFonts w:ascii="Times New Roman" w:eastAsia="宋体" w:hAnsi="Times New Roman" w:cs="Cambria"/>
                <w:color w:val="auto"/>
                <w:sz w:val="21"/>
              </w:rPr>
            </w:pPr>
            <w:r>
              <w:rPr>
                <w:rFonts w:ascii="Times New Roman" w:eastAsia="宋体" w:hAnsi="Times New Roman" w:cs="Cambria"/>
                <w:color w:val="auto"/>
                <w:sz w:val="21"/>
                <w:lang w:eastAsia="en-US"/>
              </w:rPr>
              <w:t>60</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865559F" w14:textId="77777777" w:rsidR="0075791A" w:rsidRDefault="00FB2864">
            <w:pPr>
              <w:pStyle w:val="ab"/>
              <w:kinsoku/>
              <w:jc w:val="center"/>
              <w:rPr>
                <w:rFonts w:ascii="Times New Roman" w:eastAsia="宋体" w:hAnsi="Times New Roman" w:cs="Cambria"/>
                <w:color w:val="auto"/>
                <w:sz w:val="21"/>
              </w:rPr>
            </w:pPr>
            <w:r>
              <w:rPr>
                <w:rFonts w:ascii="Times New Roman" w:eastAsia="宋体" w:hAnsi="Times New Roman" w:cs="Cambria"/>
                <w:color w:val="auto"/>
                <w:sz w:val="21"/>
                <w:lang w:eastAsia="en-US"/>
              </w:rPr>
              <w:t>1720</w:t>
            </w:r>
          </w:p>
        </w:tc>
      </w:tr>
      <w:tr w:rsidR="0075791A" w14:paraId="168C6828" w14:textId="77777777">
        <w:trPr>
          <w:trHeight w:val="574"/>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F2FD0AF"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二</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865897E" w14:textId="77777777" w:rsidR="0075791A" w:rsidRDefault="00FB2864">
            <w:pPr>
              <w:pStyle w:val="a0"/>
              <w:spacing w:line="280" w:lineRule="exact"/>
              <w:ind w:firstLineChars="0" w:firstLine="0"/>
              <w:rPr>
                <w:rFonts w:ascii="Times New Roman" w:eastAsia="宋体" w:hAnsi="Times New Roman"/>
                <w:color w:val="auto"/>
                <w:lang w:eastAsia="zh-CN"/>
              </w:rPr>
            </w:pPr>
            <w:r>
              <w:rPr>
                <w:rFonts w:ascii="Times New Roman" w:eastAsia="宋体" w:hAnsi="Times New Roman" w:hint="eastAsia"/>
                <w:color w:val="auto"/>
                <w:lang w:eastAsia="zh-CN"/>
              </w:rPr>
              <w:t>红树林资源保护与蓝碳增汇工程</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A5857ED" w14:textId="77777777" w:rsidR="0075791A" w:rsidRDefault="0075791A">
            <w:pPr>
              <w:pStyle w:val="a0"/>
              <w:spacing w:line="280" w:lineRule="exact"/>
              <w:ind w:firstLineChars="0" w:firstLine="0"/>
              <w:jc w:val="center"/>
              <w:rPr>
                <w:rFonts w:ascii="Times New Roman" w:eastAsia="宋体" w:hAnsi="Times New Roman"/>
                <w:color w:val="auto"/>
                <w:lang w:eastAsia="zh-CN"/>
              </w:rPr>
            </w:pP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A31FEEE" w14:textId="77777777" w:rsidR="0075791A" w:rsidRDefault="0075791A">
            <w:pPr>
              <w:pStyle w:val="a0"/>
              <w:spacing w:line="280" w:lineRule="exact"/>
              <w:ind w:firstLineChars="0" w:firstLine="0"/>
              <w:jc w:val="center"/>
              <w:rPr>
                <w:rFonts w:ascii="Times New Roman" w:eastAsia="宋体" w:hAnsi="Times New Roman"/>
                <w:color w:val="auto"/>
                <w:lang w:eastAsia="zh-CN"/>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B0DD684" w14:textId="77777777" w:rsidR="0075791A" w:rsidRDefault="0075791A">
            <w:pPr>
              <w:pStyle w:val="a0"/>
              <w:spacing w:line="280" w:lineRule="exact"/>
              <w:ind w:firstLineChars="0" w:firstLine="0"/>
              <w:jc w:val="center"/>
              <w:rPr>
                <w:rFonts w:ascii="Times New Roman" w:eastAsia="宋体" w:hAnsi="Times New Roman"/>
                <w:color w:val="auto"/>
                <w:lang w:eastAsia="zh-CN"/>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CEB4890" w14:textId="77777777" w:rsidR="0075791A" w:rsidRDefault="0075791A">
            <w:pPr>
              <w:pStyle w:val="a0"/>
              <w:spacing w:line="280" w:lineRule="exact"/>
              <w:ind w:firstLineChars="0" w:firstLine="0"/>
              <w:jc w:val="center"/>
              <w:rPr>
                <w:rFonts w:ascii="Times New Roman" w:eastAsia="宋体" w:hAnsi="Times New Roman"/>
                <w:color w:val="auto"/>
                <w:lang w:eastAsia="zh-CN"/>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94BA882" w14:textId="77777777" w:rsidR="0075791A" w:rsidRDefault="0075791A">
            <w:pPr>
              <w:pStyle w:val="a0"/>
              <w:spacing w:line="280" w:lineRule="exact"/>
              <w:ind w:firstLineChars="0" w:firstLine="0"/>
              <w:jc w:val="center"/>
              <w:rPr>
                <w:rFonts w:ascii="Times New Roman" w:eastAsia="宋体" w:hAnsi="Times New Roman"/>
                <w:color w:val="auto"/>
                <w:lang w:eastAsia="zh-CN"/>
              </w:rPr>
            </w:pPr>
          </w:p>
        </w:tc>
      </w:tr>
      <w:tr w:rsidR="0075791A" w14:paraId="0A757E33"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38493B6"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2.1</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023640A"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红树林抚育与保护</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8C1B2F1"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hm</w:t>
            </w:r>
            <w:r>
              <w:rPr>
                <w:rFonts w:ascii="Times New Roman" w:eastAsia="宋体" w:hAnsi="Times New Roman" w:hint="eastAsia"/>
                <w:color w:val="auto"/>
              </w:rPr>
              <w:t>²</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9FAA331"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122.20</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F5347E6"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8FA05C3"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83.09</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ABC076C"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39.11</w:t>
            </w:r>
          </w:p>
        </w:tc>
      </w:tr>
      <w:tr w:rsidR="0075791A" w14:paraId="3491CF69"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8771456" w14:textId="77777777" w:rsidR="0075791A" w:rsidRDefault="00FB2864">
            <w:pPr>
              <w:pStyle w:val="a0"/>
              <w:spacing w:line="280" w:lineRule="exact"/>
              <w:ind w:firstLineChars="0" w:firstLine="0"/>
              <w:rPr>
                <w:rFonts w:ascii="Times New Roman" w:eastAsia="宋体" w:hAnsi="Times New Roman"/>
                <w:color w:val="auto"/>
                <w:lang w:eastAsia="zh-CN"/>
              </w:rPr>
            </w:pPr>
            <w:r>
              <w:rPr>
                <w:rFonts w:ascii="Times New Roman" w:eastAsia="宋体" w:hAnsi="Times New Roman" w:hint="eastAsia"/>
                <w:color w:val="auto"/>
                <w:lang w:eastAsia="zh-CN"/>
              </w:rPr>
              <w:t>2.2</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B540EB7"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红树林湿地构建</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2C57CC4"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hm</w:t>
            </w:r>
            <w:r>
              <w:rPr>
                <w:rFonts w:ascii="Times New Roman" w:eastAsia="宋体" w:hAnsi="Times New Roman" w:hint="eastAsia"/>
                <w:color w:val="auto"/>
              </w:rPr>
              <w:t>²</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D502F77"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109.76</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839ADEA"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7D1C0FF"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41.85</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4E5F26A"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67.91</w:t>
            </w:r>
          </w:p>
        </w:tc>
      </w:tr>
      <w:tr w:rsidR="0075791A" w14:paraId="6FDC1087"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8CEAF35"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2.3</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C2469B6"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古树与珍稀物种保护</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BF81C58"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hm</w:t>
            </w:r>
            <w:r>
              <w:rPr>
                <w:rFonts w:ascii="Times New Roman" w:eastAsia="宋体" w:hAnsi="Times New Roman" w:hint="eastAsia"/>
                <w:color w:val="auto"/>
              </w:rPr>
              <w:t>²</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86442C6"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20.5</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9626180"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E432E7C"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25B33B9"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20.5</w:t>
            </w:r>
          </w:p>
        </w:tc>
      </w:tr>
      <w:tr w:rsidR="0075791A" w14:paraId="649C05F3" w14:textId="77777777">
        <w:trPr>
          <w:trHeight w:val="849"/>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8730074"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2.4</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EE55442" w14:textId="77777777" w:rsidR="0075791A" w:rsidRDefault="00FB2864">
            <w:pPr>
              <w:pStyle w:val="a0"/>
              <w:spacing w:line="280" w:lineRule="exact"/>
              <w:ind w:firstLineChars="0" w:firstLine="0"/>
              <w:rPr>
                <w:rFonts w:ascii="Times New Roman" w:eastAsia="宋体" w:hAnsi="Times New Roman"/>
                <w:color w:val="auto"/>
                <w:lang w:eastAsia="zh-CN"/>
              </w:rPr>
            </w:pPr>
            <w:r>
              <w:rPr>
                <w:rFonts w:ascii="Times New Roman" w:eastAsia="宋体" w:hAnsi="Times New Roman" w:hint="eastAsia"/>
                <w:color w:val="auto"/>
                <w:lang w:eastAsia="zh-CN"/>
              </w:rPr>
              <w:t>海南省红树林资源库建设</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EDE33F4"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hm</w:t>
            </w:r>
            <w:r>
              <w:rPr>
                <w:rFonts w:ascii="Times New Roman" w:eastAsia="宋体" w:hAnsi="Times New Roman" w:hint="eastAsia"/>
                <w:color w:val="auto"/>
              </w:rPr>
              <w:t>²</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D7BF887"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13.91</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7FA0132"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红树林资源库、红树林资源试验区</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D0CD72B"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0A77E0F"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w:t>
            </w:r>
          </w:p>
        </w:tc>
      </w:tr>
      <w:tr w:rsidR="0075791A" w14:paraId="35873E62"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09D28E6"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2.5</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836CF6E"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生态挡板</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9C07A91"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m</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82ACAB7"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84040</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CAFB79A"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C238913"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52543</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A4EA119"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50996</w:t>
            </w:r>
          </w:p>
        </w:tc>
      </w:tr>
      <w:tr w:rsidR="0075791A" w14:paraId="62D57F7C"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0710AA6"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三</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BB23C00" w14:textId="77777777" w:rsidR="0075791A" w:rsidRDefault="00FB2864">
            <w:pPr>
              <w:pStyle w:val="a0"/>
              <w:spacing w:line="280" w:lineRule="exact"/>
              <w:ind w:firstLineChars="0" w:firstLine="0"/>
              <w:rPr>
                <w:rFonts w:ascii="Times New Roman" w:eastAsia="宋体" w:hAnsi="Times New Roman"/>
                <w:color w:val="auto"/>
                <w:lang w:eastAsia="zh-CN"/>
              </w:rPr>
            </w:pPr>
            <w:r>
              <w:rPr>
                <w:rFonts w:ascii="Times New Roman" w:eastAsia="宋体" w:hAnsi="Times New Roman" w:hint="eastAsia"/>
                <w:color w:val="auto"/>
                <w:lang w:eastAsia="zh-CN"/>
              </w:rPr>
              <w:t>滨海生物多样性提升工程</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FB4A097" w14:textId="77777777" w:rsidR="0075791A" w:rsidRDefault="0075791A">
            <w:pPr>
              <w:pStyle w:val="a0"/>
              <w:spacing w:line="280" w:lineRule="exact"/>
              <w:ind w:firstLineChars="0" w:firstLine="0"/>
              <w:jc w:val="center"/>
              <w:rPr>
                <w:rFonts w:ascii="Times New Roman" w:eastAsia="宋体" w:hAnsi="Times New Roman"/>
                <w:color w:val="auto"/>
                <w:lang w:eastAsia="zh-CN"/>
              </w:rPr>
            </w:pP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F81C3D4" w14:textId="77777777" w:rsidR="0075791A" w:rsidRDefault="0075791A">
            <w:pPr>
              <w:pStyle w:val="a0"/>
              <w:spacing w:line="280" w:lineRule="exact"/>
              <w:ind w:firstLineChars="0" w:firstLine="0"/>
              <w:jc w:val="center"/>
              <w:rPr>
                <w:rFonts w:ascii="Times New Roman" w:eastAsia="宋体" w:hAnsi="Times New Roman"/>
                <w:color w:val="auto"/>
                <w:lang w:eastAsia="zh-CN"/>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0428956" w14:textId="77777777" w:rsidR="0075791A" w:rsidRDefault="0075791A">
            <w:pPr>
              <w:pStyle w:val="a0"/>
              <w:spacing w:line="280" w:lineRule="exact"/>
              <w:ind w:firstLineChars="0" w:firstLine="0"/>
              <w:jc w:val="center"/>
              <w:rPr>
                <w:rFonts w:ascii="Times New Roman" w:eastAsia="宋体" w:hAnsi="Times New Roman"/>
                <w:color w:val="auto"/>
                <w:lang w:eastAsia="zh-CN"/>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39B82AF" w14:textId="77777777" w:rsidR="0075791A" w:rsidRDefault="0075791A">
            <w:pPr>
              <w:pStyle w:val="a0"/>
              <w:spacing w:line="280" w:lineRule="exact"/>
              <w:ind w:firstLineChars="0" w:firstLine="0"/>
              <w:jc w:val="center"/>
              <w:rPr>
                <w:rFonts w:ascii="Times New Roman" w:eastAsia="宋体" w:hAnsi="Times New Roman"/>
                <w:color w:val="auto"/>
                <w:lang w:eastAsia="zh-CN"/>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FF13043" w14:textId="77777777" w:rsidR="0075791A" w:rsidRDefault="0075791A">
            <w:pPr>
              <w:pStyle w:val="a0"/>
              <w:spacing w:line="280" w:lineRule="exact"/>
              <w:ind w:firstLineChars="0" w:firstLine="0"/>
              <w:jc w:val="center"/>
              <w:rPr>
                <w:rFonts w:ascii="Times New Roman" w:eastAsia="宋体" w:hAnsi="Times New Roman"/>
                <w:color w:val="auto"/>
                <w:lang w:eastAsia="zh-CN"/>
              </w:rPr>
            </w:pPr>
          </w:p>
        </w:tc>
      </w:tr>
      <w:tr w:rsidR="0075791A" w14:paraId="3808096C" w14:textId="77777777">
        <w:trPr>
          <w:trHeight w:val="574"/>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388AFB5"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3.1</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DC98FAB" w14:textId="77777777" w:rsidR="0075791A" w:rsidRDefault="00FB2864">
            <w:pPr>
              <w:pStyle w:val="a0"/>
              <w:spacing w:line="280" w:lineRule="exact"/>
              <w:ind w:firstLineChars="0" w:firstLine="0"/>
              <w:rPr>
                <w:rFonts w:ascii="Times New Roman" w:eastAsia="宋体" w:hAnsi="Times New Roman"/>
                <w:b/>
                <w:bCs/>
                <w:color w:val="auto"/>
              </w:rPr>
            </w:pPr>
            <w:r>
              <w:rPr>
                <w:rFonts w:ascii="Times New Roman" w:eastAsia="宋体" w:hAnsi="Times New Roman" w:hint="eastAsia"/>
                <w:b/>
                <w:bCs/>
                <w:color w:val="auto"/>
              </w:rPr>
              <w:t>水系连通与生境改造</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8994F96" w14:textId="77777777" w:rsidR="0075791A" w:rsidRDefault="00FB2864">
            <w:pPr>
              <w:pStyle w:val="a0"/>
              <w:spacing w:line="280" w:lineRule="exact"/>
              <w:ind w:firstLineChars="0" w:firstLine="0"/>
              <w:jc w:val="center"/>
              <w:rPr>
                <w:rFonts w:ascii="Times New Roman" w:eastAsia="宋体" w:hAnsi="Times New Roman"/>
                <w:b/>
                <w:bCs/>
                <w:color w:val="auto"/>
                <w:lang w:eastAsia="zh-CN"/>
              </w:rPr>
            </w:pPr>
            <w:r>
              <w:rPr>
                <w:rFonts w:ascii="Times New Roman" w:eastAsia="宋体" w:hAnsi="Times New Roman" w:hint="eastAsia"/>
                <w:b/>
                <w:bCs/>
                <w:color w:val="auto"/>
                <w:lang w:eastAsia="zh-CN"/>
              </w:rPr>
              <w:t>万方</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C8F1DBD" w14:textId="77777777" w:rsidR="0075791A" w:rsidRDefault="00FB2864">
            <w:pPr>
              <w:pStyle w:val="a0"/>
              <w:spacing w:line="280" w:lineRule="exact"/>
              <w:ind w:firstLineChars="0" w:firstLine="0"/>
              <w:jc w:val="center"/>
              <w:rPr>
                <w:rFonts w:ascii="Times New Roman" w:eastAsia="宋体" w:hAnsi="Times New Roman"/>
                <w:b/>
                <w:bCs/>
                <w:color w:val="auto"/>
              </w:rPr>
            </w:pPr>
            <w:r>
              <w:rPr>
                <w:rFonts w:ascii="Times New Roman" w:eastAsia="宋体" w:hAnsi="Times New Roman" w:hint="eastAsia"/>
                <w:b/>
                <w:bCs/>
                <w:color w:val="auto"/>
              </w:rPr>
              <w:t>9.6</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97492E1" w14:textId="77777777" w:rsidR="0075791A" w:rsidRDefault="00FB2864">
            <w:pPr>
              <w:pStyle w:val="a0"/>
              <w:spacing w:line="280" w:lineRule="exact"/>
              <w:ind w:firstLineChars="0" w:firstLine="0"/>
              <w:jc w:val="center"/>
              <w:rPr>
                <w:rFonts w:ascii="Times New Roman" w:eastAsia="宋体" w:hAnsi="Times New Roman"/>
                <w:b/>
                <w:bCs/>
                <w:color w:val="auto"/>
              </w:rPr>
            </w:pPr>
            <w:r>
              <w:rPr>
                <w:rFonts w:ascii="Times New Roman" w:eastAsia="宋体" w:hAnsi="Times New Roman" w:hint="eastAsia"/>
                <w:b/>
                <w:bCs/>
                <w:color w:val="auto"/>
              </w:rPr>
              <w:t>清淤</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833BCEC" w14:textId="77777777" w:rsidR="0075791A" w:rsidRDefault="00FB2864">
            <w:pPr>
              <w:pStyle w:val="a0"/>
              <w:spacing w:line="280" w:lineRule="exact"/>
              <w:ind w:firstLineChars="0" w:firstLine="0"/>
              <w:jc w:val="center"/>
              <w:rPr>
                <w:rFonts w:ascii="Times New Roman" w:eastAsia="宋体" w:hAnsi="Times New Roman"/>
                <w:b/>
                <w:bCs/>
                <w:color w:val="auto"/>
                <w:lang w:eastAsia="zh-CN"/>
              </w:rPr>
            </w:pPr>
            <w:r>
              <w:rPr>
                <w:rFonts w:ascii="Times New Roman" w:eastAsia="宋体" w:hAnsi="Times New Roman" w:hint="eastAsia"/>
                <w:b/>
                <w:bCs/>
                <w:color w:val="auto"/>
                <w:lang w:eastAsia="zh-CN"/>
              </w:rPr>
              <w:t>1.3</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3E374E3" w14:textId="77777777" w:rsidR="0075791A" w:rsidRDefault="00FB2864">
            <w:pPr>
              <w:pStyle w:val="a0"/>
              <w:spacing w:line="280" w:lineRule="exact"/>
              <w:ind w:firstLineChars="0" w:firstLine="0"/>
              <w:jc w:val="center"/>
              <w:rPr>
                <w:rFonts w:ascii="Times New Roman" w:eastAsia="宋体" w:hAnsi="Times New Roman"/>
                <w:b/>
                <w:bCs/>
                <w:color w:val="auto"/>
                <w:lang w:eastAsia="zh-CN"/>
              </w:rPr>
            </w:pPr>
            <w:r>
              <w:rPr>
                <w:rFonts w:ascii="Times New Roman" w:eastAsia="宋体" w:hAnsi="Times New Roman" w:hint="eastAsia"/>
                <w:b/>
                <w:bCs/>
                <w:color w:val="auto"/>
                <w:lang w:eastAsia="zh-CN"/>
              </w:rPr>
              <w:t>8.3</w:t>
            </w:r>
            <w:r>
              <w:rPr>
                <w:rFonts w:ascii="Times New Roman" w:eastAsia="宋体" w:hAnsi="Times New Roman" w:hint="eastAsia"/>
                <w:b/>
                <w:bCs/>
                <w:color w:val="auto"/>
                <w:lang w:eastAsia="zh-CN"/>
              </w:rPr>
              <w:t>（本次申请用海）</w:t>
            </w:r>
          </w:p>
        </w:tc>
      </w:tr>
      <w:tr w:rsidR="0075791A" w14:paraId="3D35EEAE" w14:textId="77777777">
        <w:trPr>
          <w:trHeight w:val="574"/>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75E4FB9"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3.2</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8253DBA"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海草床生态修复</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7BDFA62"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hm</w:t>
            </w:r>
            <w:r>
              <w:rPr>
                <w:rFonts w:ascii="Times New Roman" w:eastAsia="宋体" w:hAnsi="Times New Roman" w:hint="eastAsia"/>
                <w:color w:val="auto"/>
              </w:rPr>
              <w:t>²</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E3B7E6E"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30.25</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B6E337A"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海草床种植、管理</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DB9B047"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7AC6F48"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已单独申请用海</w:t>
            </w:r>
          </w:p>
        </w:tc>
      </w:tr>
      <w:tr w:rsidR="0075791A" w14:paraId="24C19F3D" w14:textId="77777777">
        <w:trPr>
          <w:trHeight w:val="574"/>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91254AA"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3.3</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F46D43A"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鸟类栖息地营建</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B488013"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hm</w:t>
            </w:r>
            <w:r>
              <w:rPr>
                <w:rFonts w:ascii="Times New Roman" w:eastAsia="宋体" w:hAnsi="Times New Roman" w:hint="eastAsia"/>
                <w:color w:val="auto"/>
              </w:rPr>
              <w:t>²</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7662BEC"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33.4</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5AFE076"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光滩修复、生态倒木</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7430601"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15.84</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14A26DC"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17.56</w:t>
            </w:r>
          </w:p>
        </w:tc>
      </w:tr>
      <w:tr w:rsidR="0075791A" w14:paraId="5623E75E" w14:textId="77777777">
        <w:trPr>
          <w:trHeight w:val="2228"/>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306AE6B"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3.4</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25E0EBF"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生物投放</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D6880FE"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项</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D294E50"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1</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4AE3C30"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鱼</w:t>
            </w:r>
            <w:r>
              <w:rPr>
                <w:rFonts w:ascii="Times New Roman" w:eastAsia="宋体" w:hAnsi="Times New Roman" w:hint="eastAsia"/>
                <w:color w:val="auto"/>
                <w:lang w:eastAsia="zh-CN"/>
              </w:rPr>
              <w:t>100</w:t>
            </w:r>
            <w:r>
              <w:rPr>
                <w:rFonts w:ascii="Times New Roman" w:eastAsia="宋体" w:hAnsi="Times New Roman" w:hint="eastAsia"/>
                <w:color w:val="auto"/>
                <w:lang w:eastAsia="zh-CN"/>
              </w:rPr>
              <w:t>万尾，贝</w:t>
            </w:r>
            <w:r>
              <w:rPr>
                <w:rFonts w:ascii="Times New Roman" w:eastAsia="宋体" w:hAnsi="Times New Roman" w:hint="eastAsia"/>
                <w:color w:val="auto"/>
                <w:lang w:eastAsia="zh-CN"/>
              </w:rPr>
              <w:t>20</w:t>
            </w:r>
            <w:r>
              <w:rPr>
                <w:rFonts w:ascii="Times New Roman" w:eastAsia="宋体" w:hAnsi="Times New Roman" w:hint="eastAsia"/>
                <w:color w:val="auto"/>
                <w:lang w:eastAsia="zh-CN"/>
              </w:rPr>
              <w:t>万粒，虾蟹</w:t>
            </w:r>
            <w:r>
              <w:rPr>
                <w:rFonts w:ascii="Times New Roman" w:eastAsia="宋体" w:hAnsi="Times New Roman" w:hint="eastAsia"/>
                <w:color w:val="auto"/>
                <w:lang w:eastAsia="zh-CN"/>
              </w:rPr>
              <w:t>10</w:t>
            </w:r>
            <w:r>
              <w:rPr>
                <w:rFonts w:ascii="Times New Roman" w:eastAsia="宋体" w:hAnsi="Times New Roman" w:hint="eastAsia"/>
                <w:color w:val="auto"/>
                <w:lang w:eastAsia="zh-CN"/>
              </w:rPr>
              <w:t>万只</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B47D149"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点斑篮子鱼</w:t>
            </w:r>
            <w:r>
              <w:rPr>
                <w:rFonts w:ascii="Times New Roman" w:eastAsia="宋体" w:hAnsi="Times New Roman" w:hint="eastAsia"/>
                <w:color w:val="auto"/>
                <w:lang w:eastAsia="zh-CN"/>
              </w:rPr>
              <w:t>20</w:t>
            </w:r>
            <w:r>
              <w:rPr>
                <w:rFonts w:ascii="Times New Roman" w:eastAsia="宋体" w:hAnsi="Times New Roman" w:hint="eastAsia"/>
                <w:color w:val="auto"/>
                <w:lang w:eastAsia="zh-CN"/>
              </w:rPr>
              <w:t>万尾、细鳞鳓</w:t>
            </w:r>
            <w:r>
              <w:rPr>
                <w:rFonts w:ascii="Times New Roman" w:eastAsia="宋体" w:hAnsi="Times New Roman" w:hint="eastAsia"/>
                <w:color w:val="auto"/>
                <w:lang w:eastAsia="zh-CN"/>
              </w:rPr>
              <w:t>20</w:t>
            </w:r>
            <w:r>
              <w:rPr>
                <w:rFonts w:ascii="Times New Roman" w:eastAsia="宋体" w:hAnsi="Times New Roman" w:hint="eastAsia"/>
                <w:color w:val="auto"/>
                <w:lang w:eastAsia="zh-CN"/>
              </w:rPr>
              <w:t>万尾、毛蚶</w:t>
            </w:r>
            <w:r>
              <w:rPr>
                <w:rFonts w:ascii="Times New Roman" w:eastAsia="宋体" w:hAnsi="Times New Roman" w:hint="eastAsia"/>
                <w:color w:val="auto"/>
                <w:lang w:eastAsia="zh-CN"/>
              </w:rPr>
              <w:t>4</w:t>
            </w:r>
            <w:r>
              <w:rPr>
                <w:rFonts w:ascii="Times New Roman" w:eastAsia="宋体" w:hAnsi="Times New Roman" w:hint="eastAsia"/>
                <w:color w:val="auto"/>
                <w:lang w:eastAsia="zh-CN"/>
              </w:rPr>
              <w:t>万粒、文蛤</w:t>
            </w:r>
            <w:r>
              <w:rPr>
                <w:rFonts w:ascii="Times New Roman" w:eastAsia="宋体" w:hAnsi="Times New Roman" w:hint="eastAsia"/>
                <w:color w:val="auto"/>
                <w:lang w:eastAsia="zh-CN"/>
              </w:rPr>
              <w:t>4</w:t>
            </w:r>
            <w:r>
              <w:rPr>
                <w:rFonts w:ascii="Times New Roman" w:eastAsia="宋体" w:hAnsi="Times New Roman" w:hint="eastAsia"/>
                <w:color w:val="auto"/>
                <w:lang w:eastAsia="zh-CN"/>
              </w:rPr>
              <w:t>万粒、斑节对虾</w:t>
            </w:r>
            <w:r>
              <w:rPr>
                <w:rFonts w:ascii="Times New Roman" w:eastAsia="宋体" w:hAnsi="Times New Roman" w:hint="eastAsia"/>
                <w:color w:val="auto"/>
                <w:lang w:eastAsia="zh-CN"/>
              </w:rPr>
              <w:t>2</w:t>
            </w:r>
            <w:r>
              <w:rPr>
                <w:rFonts w:ascii="Times New Roman" w:eastAsia="宋体" w:hAnsi="Times New Roman" w:hint="eastAsia"/>
                <w:color w:val="auto"/>
                <w:lang w:eastAsia="zh-CN"/>
              </w:rPr>
              <w:t>万只、远海梭子蟹</w:t>
            </w:r>
            <w:r>
              <w:rPr>
                <w:rFonts w:ascii="Times New Roman" w:eastAsia="宋体" w:hAnsi="Times New Roman" w:hint="eastAsia"/>
                <w:color w:val="auto"/>
                <w:lang w:eastAsia="zh-CN"/>
              </w:rPr>
              <w:t>2</w:t>
            </w:r>
            <w:r>
              <w:rPr>
                <w:rFonts w:ascii="Times New Roman" w:eastAsia="宋体" w:hAnsi="Times New Roman" w:hint="eastAsia"/>
                <w:color w:val="auto"/>
                <w:lang w:eastAsia="zh-CN"/>
              </w:rPr>
              <w:t>万只</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D349AD0" w14:textId="77777777" w:rsidR="0075791A" w:rsidRDefault="00FB2864">
            <w:pPr>
              <w:spacing w:line="280" w:lineRule="exact"/>
              <w:jc w:val="center"/>
              <w:rPr>
                <w:rFonts w:ascii="Times New Roman" w:eastAsia="宋体" w:hAnsi="Times New Roman"/>
                <w:color w:val="auto"/>
                <w:lang w:eastAsia="zh-CN"/>
              </w:rPr>
            </w:pPr>
            <w:r>
              <w:rPr>
                <w:rFonts w:ascii="Times New Roman" w:eastAsia="宋体" w:hAnsi="Times New Roman" w:cs="Cambria" w:hint="eastAsia"/>
                <w:color w:val="auto"/>
                <w:lang w:eastAsia="zh-CN"/>
              </w:rPr>
              <w:t>点斑篮子鱼</w:t>
            </w:r>
            <w:r>
              <w:rPr>
                <w:rFonts w:ascii="Times New Roman" w:eastAsia="宋体" w:hAnsi="Times New Roman" w:cs="Cambria" w:hint="eastAsia"/>
                <w:color w:val="auto"/>
                <w:lang w:eastAsia="zh-CN"/>
              </w:rPr>
              <w:t>30</w:t>
            </w:r>
            <w:r>
              <w:rPr>
                <w:rFonts w:ascii="Times New Roman" w:eastAsia="宋体" w:hAnsi="Times New Roman" w:cs="Cambria" w:hint="eastAsia"/>
                <w:color w:val="auto"/>
                <w:lang w:eastAsia="zh-CN"/>
              </w:rPr>
              <w:t>万尾、细鳞鳓</w:t>
            </w:r>
            <w:r>
              <w:rPr>
                <w:rFonts w:ascii="Times New Roman" w:eastAsia="宋体" w:hAnsi="Times New Roman" w:cs="Cambria" w:hint="eastAsia"/>
                <w:color w:val="auto"/>
                <w:lang w:eastAsia="zh-CN"/>
              </w:rPr>
              <w:t>30</w:t>
            </w:r>
            <w:r>
              <w:rPr>
                <w:rFonts w:ascii="Times New Roman" w:eastAsia="宋体" w:hAnsi="Times New Roman" w:cs="Cambria" w:hint="eastAsia"/>
                <w:color w:val="auto"/>
                <w:lang w:eastAsia="zh-CN"/>
              </w:rPr>
              <w:t>万尾、毛蚶</w:t>
            </w:r>
            <w:r>
              <w:rPr>
                <w:rFonts w:ascii="Times New Roman" w:eastAsia="宋体" w:hAnsi="Times New Roman" w:cs="Cambria" w:hint="eastAsia"/>
                <w:color w:val="auto"/>
                <w:lang w:eastAsia="zh-CN"/>
              </w:rPr>
              <w:t>6</w:t>
            </w:r>
            <w:r>
              <w:rPr>
                <w:rFonts w:ascii="Times New Roman" w:eastAsia="宋体" w:hAnsi="Times New Roman" w:cs="Cambria" w:hint="eastAsia"/>
                <w:color w:val="auto"/>
                <w:lang w:eastAsia="zh-CN"/>
              </w:rPr>
              <w:t>万粒、文蛤</w:t>
            </w:r>
            <w:r>
              <w:rPr>
                <w:rFonts w:ascii="Times New Roman" w:eastAsia="宋体" w:hAnsi="Times New Roman" w:cs="Cambria" w:hint="eastAsia"/>
                <w:color w:val="auto"/>
                <w:lang w:eastAsia="zh-CN"/>
              </w:rPr>
              <w:t>6</w:t>
            </w:r>
            <w:r>
              <w:rPr>
                <w:rFonts w:ascii="Times New Roman" w:eastAsia="宋体" w:hAnsi="Times New Roman" w:cs="Cambria" w:hint="eastAsia"/>
                <w:color w:val="auto"/>
                <w:lang w:eastAsia="zh-CN"/>
              </w:rPr>
              <w:t>万粒、斑节对虾</w:t>
            </w:r>
            <w:r>
              <w:rPr>
                <w:rFonts w:ascii="Times New Roman" w:eastAsia="宋体" w:hAnsi="Times New Roman" w:cs="Cambria" w:hint="eastAsia"/>
                <w:color w:val="auto"/>
                <w:lang w:eastAsia="zh-CN"/>
              </w:rPr>
              <w:t>3</w:t>
            </w:r>
            <w:r>
              <w:rPr>
                <w:rFonts w:ascii="Times New Roman" w:eastAsia="宋体" w:hAnsi="Times New Roman" w:cs="Cambria" w:hint="eastAsia"/>
                <w:color w:val="auto"/>
                <w:lang w:eastAsia="zh-CN"/>
              </w:rPr>
              <w:t>万只、远海梭子蟹</w:t>
            </w:r>
            <w:r>
              <w:rPr>
                <w:rFonts w:ascii="Times New Roman" w:eastAsia="宋体" w:hAnsi="Times New Roman" w:cs="Cambria" w:hint="eastAsia"/>
                <w:color w:val="auto"/>
                <w:lang w:eastAsia="zh-CN"/>
              </w:rPr>
              <w:t>3</w:t>
            </w:r>
            <w:r>
              <w:rPr>
                <w:rFonts w:ascii="Times New Roman" w:eastAsia="宋体" w:hAnsi="Times New Roman" w:cs="Cambria" w:hint="eastAsia"/>
                <w:color w:val="auto"/>
                <w:lang w:eastAsia="zh-CN"/>
              </w:rPr>
              <w:t>万只</w:t>
            </w:r>
          </w:p>
        </w:tc>
      </w:tr>
      <w:tr w:rsidR="0075791A" w14:paraId="1ED0DA35"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A6FD7C4"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四</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FB55324" w14:textId="77777777" w:rsidR="0075791A" w:rsidRDefault="00FB2864">
            <w:pPr>
              <w:pStyle w:val="a0"/>
              <w:spacing w:line="280" w:lineRule="exact"/>
              <w:ind w:firstLineChars="0" w:firstLine="0"/>
              <w:rPr>
                <w:rFonts w:ascii="Times New Roman" w:eastAsia="宋体" w:hAnsi="Times New Roman"/>
                <w:color w:val="auto"/>
                <w:lang w:eastAsia="zh-CN"/>
              </w:rPr>
            </w:pPr>
            <w:r>
              <w:rPr>
                <w:rFonts w:ascii="Times New Roman" w:eastAsia="宋体" w:hAnsi="Times New Roman" w:hint="eastAsia"/>
                <w:color w:val="auto"/>
                <w:lang w:eastAsia="zh-CN"/>
              </w:rPr>
              <w:t>智慧监测与生态评估工程</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A437D39" w14:textId="77777777" w:rsidR="0075791A" w:rsidRDefault="0075791A">
            <w:pPr>
              <w:pStyle w:val="a0"/>
              <w:spacing w:line="280" w:lineRule="exact"/>
              <w:ind w:firstLineChars="0" w:firstLine="0"/>
              <w:jc w:val="center"/>
              <w:rPr>
                <w:rFonts w:ascii="Times New Roman" w:eastAsia="宋体" w:hAnsi="Times New Roman"/>
                <w:color w:val="auto"/>
                <w:lang w:eastAsia="zh-CN"/>
              </w:rPr>
            </w:pP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A27B1F9" w14:textId="77777777" w:rsidR="0075791A" w:rsidRDefault="0075791A">
            <w:pPr>
              <w:pStyle w:val="a0"/>
              <w:spacing w:line="280" w:lineRule="exact"/>
              <w:ind w:firstLineChars="0" w:firstLine="0"/>
              <w:jc w:val="center"/>
              <w:rPr>
                <w:rFonts w:ascii="Times New Roman" w:eastAsia="宋体" w:hAnsi="Times New Roman"/>
                <w:color w:val="auto"/>
                <w:lang w:eastAsia="zh-CN"/>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FE3751F" w14:textId="77777777" w:rsidR="0075791A" w:rsidRDefault="0075791A">
            <w:pPr>
              <w:pStyle w:val="a0"/>
              <w:spacing w:line="280" w:lineRule="exact"/>
              <w:ind w:firstLineChars="0" w:firstLine="0"/>
              <w:jc w:val="center"/>
              <w:rPr>
                <w:rFonts w:ascii="Times New Roman" w:eastAsia="宋体" w:hAnsi="Times New Roman"/>
                <w:color w:val="auto"/>
                <w:lang w:eastAsia="zh-CN"/>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4111408" w14:textId="77777777" w:rsidR="0075791A" w:rsidRDefault="0075791A">
            <w:pPr>
              <w:pStyle w:val="a0"/>
              <w:spacing w:line="280" w:lineRule="exact"/>
              <w:ind w:firstLineChars="0" w:firstLine="0"/>
              <w:jc w:val="center"/>
              <w:rPr>
                <w:rFonts w:ascii="Times New Roman" w:eastAsia="宋体" w:hAnsi="Times New Roman"/>
                <w:color w:val="auto"/>
                <w:lang w:eastAsia="zh-CN"/>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E3A54B7" w14:textId="77777777" w:rsidR="0075791A" w:rsidRDefault="0075791A">
            <w:pPr>
              <w:pStyle w:val="a0"/>
              <w:spacing w:line="280" w:lineRule="exact"/>
              <w:ind w:firstLineChars="0" w:firstLine="0"/>
              <w:jc w:val="center"/>
              <w:rPr>
                <w:rFonts w:ascii="Times New Roman" w:eastAsia="宋体" w:hAnsi="Times New Roman"/>
                <w:color w:val="auto"/>
                <w:lang w:eastAsia="zh-CN"/>
              </w:rPr>
            </w:pPr>
          </w:p>
        </w:tc>
      </w:tr>
      <w:tr w:rsidR="0075791A" w14:paraId="24D5961A" w14:textId="77777777">
        <w:trPr>
          <w:trHeight w:val="574"/>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D4FE21E"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4.1</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CA281F4"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巡护干道</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1601414"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km</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DEF2412"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0.278</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A47BA75"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土路清杂，整平</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CC8CDFA"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0.278</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E92E7DB"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w:t>
            </w:r>
          </w:p>
        </w:tc>
      </w:tr>
      <w:tr w:rsidR="0075791A" w14:paraId="1146D362"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0EC193F"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4.2</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C914965"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巡护</w:t>
            </w:r>
            <w:r>
              <w:rPr>
                <w:rFonts w:ascii="Times New Roman" w:eastAsia="宋体" w:hAnsi="Times New Roman" w:hint="eastAsia"/>
                <w:color w:val="auto"/>
                <w:lang w:eastAsia="zh-CN"/>
              </w:rPr>
              <w:t>便</w:t>
            </w:r>
            <w:r>
              <w:rPr>
                <w:rFonts w:ascii="Times New Roman" w:eastAsia="宋体" w:hAnsi="Times New Roman" w:hint="eastAsia"/>
                <w:color w:val="auto"/>
              </w:rPr>
              <w:t>路</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CB99AC9"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km</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773C480"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10.01</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F460DCF"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lang w:eastAsia="zh-CN"/>
              </w:rPr>
              <w:t>3</w:t>
            </w:r>
            <w:r>
              <w:rPr>
                <w:rFonts w:ascii="Times New Roman" w:eastAsia="宋体" w:hAnsi="Times New Roman" w:hint="eastAsia"/>
                <w:color w:val="auto"/>
              </w:rPr>
              <w:t>m</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D8C9797"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color w:val="auto"/>
                <w:lang w:eastAsia="zh-CN"/>
              </w:rPr>
              <w:t>6.2</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5A04A15"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color w:val="auto"/>
                <w:lang w:eastAsia="zh-CN"/>
              </w:rPr>
              <w:t>3.7</w:t>
            </w:r>
          </w:p>
        </w:tc>
      </w:tr>
      <w:tr w:rsidR="0075791A" w14:paraId="205DEEC6"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5282294"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4.3</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FC368A6"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巡护栈道</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6927CD4"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km</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CCB804D"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11.45</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605AEAF"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2m</w:t>
            </w:r>
            <w:r>
              <w:rPr>
                <w:rFonts w:ascii="Times New Roman" w:eastAsia="宋体" w:hAnsi="Times New Roman" w:hint="eastAsia"/>
                <w:color w:val="auto"/>
              </w:rPr>
              <w:t>，木栈道</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30B6FED"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color w:val="auto"/>
                <w:lang w:eastAsia="zh-CN"/>
              </w:rPr>
              <w:t>5.3</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8D1B6C7"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color w:val="auto"/>
                <w:lang w:eastAsia="zh-CN"/>
              </w:rPr>
              <w:t>6.8</w:t>
            </w:r>
          </w:p>
        </w:tc>
      </w:tr>
      <w:tr w:rsidR="0075791A" w14:paraId="471EF0D6" w14:textId="77777777">
        <w:trPr>
          <w:trHeight w:val="574"/>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E9DECC8"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4.4</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B91A01B"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观测小径</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CB7F16B"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km</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7B565E4"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1.3</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512DBBC"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w:t>
            </w:r>
            <w:r>
              <w:rPr>
                <w:rFonts w:ascii="Times New Roman" w:eastAsia="宋体" w:hAnsi="Times New Roman" w:hint="eastAsia"/>
                <w:color w:val="auto"/>
              </w:rPr>
              <w:t>1m</w:t>
            </w:r>
            <w:r>
              <w:rPr>
                <w:rFonts w:ascii="Times New Roman" w:eastAsia="宋体" w:hAnsi="Times New Roman" w:hint="eastAsia"/>
                <w:color w:val="auto"/>
              </w:rPr>
              <w:t>，利用现有土路</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F84712C"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6F66F76"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1.3</w:t>
            </w:r>
          </w:p>
        </w:tc>
      </w:tr>
      <w:tr w:rsidR="0075791A" w14:paraId="5515CC3E"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90A1BF6"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4.5</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3DF5427"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巡护码头</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9AC4752"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处</w:t>
            </w:r>
          </w:p>
        </w:tc>
        <w:tc>
          <w:tcPr>
            <w:tcW w:w="446" w:type="pct"/>
            <w:tcBorders>
              <w:top w:val="single" w:sz="4" w:space="0" w:color="auto"/>
              <w:left w:val="single" w:sz="4" w:space="0" w:color="auto"/>
              <w:bottom w:val="single" w:sz="4" w:space="0" w:color="auto"/>
              <w:right w:val="single" w:sz="4" w:space="0" w:color="auto"/>
              <w:tl2br w:val="nil"/>
              <w:tr2bl w:val="nil"/>
            </w:tcBorders>
            <w:noWrap/>
            <w:tcMar>
              <w:top w:w="6" w:type="dxa"/>
              <w:left w:w="6" w:type="dxa"/>
              <w:bottom w:w="6" w:type="dxa"/>
              <w:right w:w="6" w:type="dxa"/>
            </w:tcMar>
            <w:vAlign w:val="center"/>
          </w:tcPr>
          <w:p w14:paraId="3138BE86"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8</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8F1FB2F"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8</w:t>
            </w:r>
            <w:r>
              <w:rPr>
                <w:rFonts w:ascii="Times New Roman" w:eastAsia="宋体" w:hAnsi="Times New Roman" w:hint="eastAsia"/>
                <w:color w:val="auto"/>
              </w:rPr>
              <w:t>处</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63E387B"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4</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C098A92"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4</w:t>
            </w:r>
          </w:p>
        </w:tc>
      </w:tr>
      <w:tr w:rsidR="0075791A" w14:paraId="4BD23ECF"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049521F"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4.6</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7E042CE"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休憩点</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16FC6FB"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处</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8316579"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15</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A0EA814"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F52C7EF"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9</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5CCC5EE"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9</w:t>
            </w:r>
          </w:p>
        </w:tc>
      </w:tr>
      <w:tr w:rsidR="0075791A" w14:paraId="7DACD0BA" w14:textId="77777777">
        <w:trPr>
          <w:trHeight w:val="684"/>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BC07512"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lastRenderedPageBreak/>
              <w:t>4.7</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15826A2"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保护管理站</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DCEC854"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0E81030"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占地：</w:t>
            </w:r>
            <w:r>
              <w:rPr>
                <w:rFonts w:ascii="Times New Roman" w:eastAsia="宋体" w:hAnsi="Times New Roman" w:hint="eastAsia"/>
                <w:color w:val="auto"/>
              </w:rPr>
              <w:t>642.32</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1C1E655"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建筑面积</w:t>
            </w:r>
            <w:r>
              <w:rPr>
                <w:rFonts w:ascii="Times New Roman" w:eastAsia="宋体" w:hAnsi="Times New Roman" w:hint="eastAsia"/>
                <w:color w:val="auto"/>
              </w:rPr>
              <w:t>1132.16</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6AE0180"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1</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C7C754C"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w:t>
            </w:r>
          </w:p>
        </w:tc>
      </w:tr>
      <w:tr w:rsidR="0075791A" w14:paraId="674BB53B" w14:textId="77777777">
        <w:trPr>
          <w:trHeight w:val="574"/>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9D073F7"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4.8</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CFDC96E"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管护点</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F258715"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DBC0FDD"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占地：</w:t>
            </w:r>
            <w:r>
              <w:rPr>
                <w:rFonts w:ascii="Times New Roman" w:eastAsia="宋体" w:hAnsi="Times New Roman" w:hint="eastAsia"/>
                <w:color w:val="auto"/>
              </w:rPr>
              <w:t>96.77</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2B965F4"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建筑面积：</w:t>
            </w:r>
            <w:r>
              <w:rPr>
                <w:rFonts w:ascii="Times New Roman" w:eastAsia="宋体" w:hAnsi="Times New Roman" w:hint="eastAsia"/>
                <w:color w:val="auto"/>
              </w:rPr>
              <w:t>96.77</w:t>
            </w:r>
            <w:r>
              <w:rPr>
                <w:rFonts w:ascii="Times New Roman" w:eastAsia="宋体" w:hAnsi="Times New Roman" w:hint="eastAsia"/>
                <w:color w:val="auto"/>
              </w:rPr>
              <w:t>，共三处</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D892538"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165BE8A"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3</w:t>
            </w:r>
          </w:p>
        </w:tc>
      </w:tr>
      <w:tr w:rsidR="0075791A" w14:paraId="5392A94E" w14:textId="77777777">
        <w:trPr>
          <w:trHeight w:val="574"/>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E74976F"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4.9</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9E278F5"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观鸟点</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0471D9B"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3478B8B"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占地：</w:t>
            </w:r>
            <w:r>
              <w:rPr>
                <w:rFonts w:ascii="Times New Roman" w:eastAsia="宋体" w:hAnsi="Times New Roman" w:hint="eastAsia"/>
                <w:color w:val="auto"/>
              </w:rPr>
              <w:t>119.52</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AC10ADE"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建筑面积：</w:t>
            </w:r>
            <w:r>
              <w:rPr>
                <w:rFonts w:ascii="Times New Roman" w:eastAsia="宋体" w:hAnsi="Times New Roman" w:hint="eastAsia"/>
                <w:color w:val="auto"/>
              </w:rPr>
              <w:t>41.84</w:t>
            </w:r>
            <w:r>
              <w:rPr>
                <w:rFonts w:ascii="Times New Roman" w:eastAsia="宋体" w:hAnsi="Times New Roman" w:hint="eastAsia"/>
                <w:color w:val="auto"/>
              </w:rPr>
              <w:t>，</w:t>
            </w:r>
            <w:r>
              <w:rPr>
                <w:rFonts w:ascii="Times New Roman" w:eastAsia="宋体" w:hAnsi="Times New Roman" w:hint="eastAsia"/>
                <w:color w:val="auto"/>
              </w:rPr>
              <w:t>4</w:t>
            </w:r>
            <w:r>
              <w:rPr>
                <w:rFonts w:ascii="Times New Roman" w:eastAsia="宋体" w:hAnsi="Times New Roman" w:hint="eastAsia"/>
                <w:color w:val="auto"/>
              </w:rPr>
              <w:t>处</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ACAC969"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1</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09D74B3"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3</w:t>
            </w:r>
          </w:p>
        </w:tc>
      </w:tr>
      <w:tr w:rsidR="0075791A" w14:paraId="207BCAFE" w14:textId="77777777">
        <w:trPr>
          <w:trHeight w:val="849"/>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C75EA9B"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4.10</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2B60AE9"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标识牌</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CCD54DF"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个</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C3DF31D"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131</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FA45C01"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基础类、科普教育类、体验类</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F6A5C3E"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43</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E61941C"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112</w:t>
            </w:r>
          </w:p>
        </w:tc>
      </w:tr>
      <w:tr w:rsidR="0075791A" w14:paraId="2125F9DC"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8273D6D"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4.11</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46C5F8F"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垃圾桶</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C9AA612"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组</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3E1F86E"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30</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F04390E"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00D7E31"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12</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0AEE8CF"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16</w:t>
            </w:r>
          </w:p>
        </w:tc>
      </w:tr>
      <w:tr w:rsidR="0075791A" w14:paraId="5DA2799F"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8EF2A4A"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4.12</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A3629A8"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坐凳</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AE8E487"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组</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393E85C"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28</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C45D8AE"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E965B16"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14</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9312699"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34</w:t>
            </w:r>
          </w:p>
        </w:tc>
      </w:tr>
      <w:tr w:rsidR="0075791A" w14:paraId="3748ED5B"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D20B1E3"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4.13</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A55253C"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巡逻科考船</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F824B7C"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艘</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496A1F8"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2</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1D0A3B4"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C24E67D"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EAB28CB"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2</w:t>
            </w:r>
          </w:p>
        </w:tc>
      </w:tr>
      <w:tr w:rsidR="0075791A" w14:paraId="6EFDBE54"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3C68E69"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4.14</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351F728"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水文水质监测设备</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A83AF65"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套</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8EC84E5"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8</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4B2F871"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0F1EA2F"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color w:val="auto"/>
                <w:lang w:eastAsia="zh-CN"/>
              </w:rPr>
              <w:t>3</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BB1CC76"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color w:val="auto"/>
                <w:lang w:eastAsia="zh-CN"/>
              </w:rPr>
              <w:t>5</w:t>
            </w:r>
          </w:p>
        </w:tc>
      </w:tr>
      <w:tr w:rsidR="0075791A" w14:paraId="40DBAD69"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77B9946"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4.15</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BB3D689"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气象监测设备</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D3A4A3E"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套</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03F0BC3"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1</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DB2E626"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333FD06"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C7EA063"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color w:val="auto"/>
                <w:lang w:eastAsia="zh-CN"/>
              </w:rPr>
              <w:t>1</w:t>
            </w:r>
          </w:p>
        </w:tc>
      </w:tr>
      <w:tr w:rsidR="0075791A" w14:paraId="31AC3FC7"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6987EDE"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4.16</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347EFCD"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土壤监测设备</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9C76D8D"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套</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2C2B182"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5</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220A8AA"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9F32C78"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color w:val="auto"/>
                <w:lang w:eastAsia="zh-CN"/>
              </w:rPr>
              <w:t>1</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50FDBF99"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color w:val="auto"/>
                <w:lang w:eastAsia="zh-CN"/>
              </w:rPr>
              <w:t>4</w:t>
            </w:r>
          </w:p>
        </w:tc>
      </w:tr>
      <w:tr w:rsidR="0075791A" w14:paraId="156CA493" w14:textId="77777777">
        <w:trPr>
          <w:trHeight w:val="574"/>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38177E0D"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4.17</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84B7A82" w14:textId="77777777" w:rsidR="0075791A" w:rsidRDefault="00FB2864">
            <w:pPr>
              <w:pStyle w:val="a0"/>
              <w:spacing w:line="280" w:lineRule="exact"/>
              <w:ind w:firstLineChars="0" w:firstLine="0"/>
              <w:rPr>
                <w:rFonts w:ascii="Times New Roman" w:eastAsia="宋体" w:hAnsi="Times New Roman"/>
                <w:color w:val="auto"/>
                <w:lang w:eastAsia="zh-CN"/>
              </w:rPr>
            </w:pPr>
            <w:r>
              <w:rPr>
                <w:rFonts w:ascii="Times New Roman" w:eastAsia="宋体" w:hAnsi="Times New Roman" w:hint="eastAsia"/>
                <w:color w:val="auto"/>
                <w:lang w:eastAsia="zh-CN"/>
              </w:rPr>
              <w:t>红树林</w:t>
            </w:r>
            <w:r>
              <w:rPr>
                <w:rFonts w:ascii="Times New Roman" w:eastAsia="宋体" w:hAnsi="Times New Roman" w:hint="eastAsia"/>
                <w:color w:val="auto"/>
                <w:lang w:eastAsia="zh-CN"/>
              </w:rPr>
              <w:t>生理</w:t>
            </w:r>
            <w:r>
              <w:rPr>
                <w:rFonts w:ascii="Times New Roman" w:eastAsia="宋体" w:hAnsi="Times New Roman" w:hint="eastAsia"/>
                <w:color w:val="auto"/>
                <w:lang w:eastAsia="zh-CN"/>
              </w:rPr>
              <w:t>生态监测点设备</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2A7B981"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套</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784291B"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5</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429E733"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69759C7"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color w:val="auto"/>
                <w:lang w:eastAsia="zh-CN"/>
              </w:rPr>
              <w:t>1</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75C27B9"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color w:val="auto"/>
                <w:lang w:eastAsia="zh-CN"/>
              </w:rPr>
              <w:t>4</w:t>
            </w:r>
          </w:p>
        </w:tc>
      </w:tr>
      <w:tr w:rsidR="0075791A" w14:paraId="3B99DD1E" w14:textId="77777777">
        <w:trPr>
          <w:trHeight w:val="574"/>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3F25002"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4.18</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1F3FD79" w14:textId="77777777" w:rsidR="0075791A" w:rsidRDefault="00FB2864">
            <w:pPr>
              <w:pStyle w:val="a0"/>
              <w:spacing w:line="280" w:lineRule="exact"/>
              <w:ind w:firstLineChars="0" w:firstLine="0"/>
              <w:rPr>
                <w:rFonts w:ascii="Times New Roman" w:eastAsia="宋体" w:hAnsi="Times New Roman"/>
                <w:color w:val="auto"/>
                <w:lang w:eastAsia="zh-CN"/>
              </w:rPr>
            </w:pPr>
            <w:r>
              <w:rPr>
                <w:rFonts w:ascii="Times New Roman" w:eastAsia="宋体" w:hAnsi="Times New Roman" w:hint="eastAsia"/>
                <w:color w:val="auto"/>
                <w:lang w:eastAsia="zh-CN"/>
              </w:rPr>
              <w:t>智慧红树林监测与评估平台系统软件</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84FCCE6"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套</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8744109"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1</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EEFF0EC"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5FA3F42"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C59C9A7"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color w:val="auto"/>
                <w:lang w:eastAsia="zh-CN"/>
              </w:rPr>
              <w:t>1</w:t>
            </w:r>
          </w:p>
        </w:tc>
      </w:tr>
      <w:tr w:rsidR="0075791A" w14:paraId="7F94159A" w14:textId="77777777">
        <w:trPr>
          <w:trHeight w:val="303"/>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18C48C63"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4.19</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474A6631"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鸟类实时监测设备</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C3F306F"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套</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F31C280"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6</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2FFA0D5"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03CA00CC"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color w:val="auto"/>
                <w:lang w:eastAsia="zh-CN"/>
              </w:rPr>
              <w:t>2</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78D376C"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color w:val="auto"/>
                <w:lang w:eastAsia="zh-CN"/>
              </w:rPr>
              <w:t>4</w:t>
            </w:r>
          </w:p>
        </w:tc>
      </w:tr>
      <w:tr w:rsidR="0075791A" w14:paraId="1F41F06C" w14:textId="77777777">
        <w:trPr>
          <w:trHeight w:val="319"/>
        </w:trPr>
        <w:tc>
          <w:tcPr>
            <w:tcW w:w="32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F0DC062"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4.20</w:t>
            </w:r>
          </w:p>
        </w:tc>
        <w:tc>
          <w:tcPr>
            <w:tcW w:w="1539"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D9A7126" w14:textId="77777777" w:rsidR="0075791A" w:rsidRDefault="00FB2864">
            <w:pPr>
              <w:pStyle w:val="a0"/>
              <w:spacing w:line="280" w:lineRule="exact"/>
              <w:ind w:firstLineChars="0" w:firstLine="0"/>
              <w:rPr>
                <w:rFonts w:ascii="Times New Roman" w:eastAsia="宋体" w:hAnsi="Times New Roman"/>
                <w:color w:val="auto"/>
              </w:rPr>
            </w:pPr>
            <w:r>
              <w:rPr>
                <w:rFonts w:ascii="Times New Roman" w:eastAsia="宋体" w:hAnsi="Times New Roman" w:hint="eastAsia"/>
                <w:color w:val="auto"/>
              </w:rPr>
              <w:t>蓝碳监测与评估</w:t>
            </w:r>
          </w:p>
        </w:tc>
        <w:tc>
          <w:tcPr>
            <w:tcW w:w="361"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8F3C142"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项</w:t>
            </w:r>
          </w:p>
        </w:tc>
        <w:tc>
          <w:tcPr>
            <w:tcW w:w="446"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2A49BD98" w14:textId="77777777" w:rsidR="0075791A" w:rsidRDefault="00FB2864">
            <w:pPr>
              <w:pStyle w:val="a0"/>
              <w:spacing w:line="280" w:lineRule="exact"/>
              <w:ind w:firstLineChars="0" w:firstLine="0"/>
              <w:jc w:val="center"/>
              <w:rPr>
                <w:rFonts w:ascii="Times New Roman" w:eastAsia="宋体" w:hAnsi="Times New Roman"/>
                <w:color w:val="auto"/>
              </w:rPr>
            </w:pPr>
            <w:r>
              <w:rPr>
                <w:rFonts w:ascii="Times New Roman" w:eastAsia="宋体" w:hAnsi="Times New Roman" w:hint="eastAsia"/>
                <w:color w:val="auto"/>
              </w:rPr>
              <w:t>1</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9FB4808" w14:textId="77777777" w:rsidR="0075791A" w:rsidRDefault="0075791A">
            <w:pPr>
              <w:pStyle w:val="a0"/>
              <w:spacing w:line="280" w:lineRule="exact"/>
              <w:ind w:firstLineChars="0" w:firstLine="0"/>
              <w:jc w:val="center"/>
              <w:rPr>
                <w:rFonts w:ascii="Times New Roman" w:eastAsia="宋体" w:hAnsi="Times New Roman"/>
                <w:color w:val="auto"/>
              </w:rPr>
            </w:pP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6807569C"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hint="eastAsia"/>
                <w:color w:val="auto"/>
                <w:lang w:eastAsia="zh-CN"/>
              </w:rPr>
              <w:t>/</w:t>
            </w:r>
          </w:p>
        </w:tc>
        <w:tc>
          <w:tcPr>
            <w:tcW w:w="775" w:type="pct"/>
            <w:tcBorders>
              <w:top w:val="single" w:sz="4" w:space="0" w:color="auto"/>
              <w:left w:val="single" w:sz="4" w:space="0" w:color="auto"/>
              <w:bottom w:val="single" w:sz="4" w:space="0" w:color="auto"/>
              <w:right w:val="single" w:sz="4" w:space="0" w:color="auto"/>
              <w:tl2br w:val="nil"/>
              <w:tr2bl w:val="nil"/>
            </w:tcBorders>
            <w:tcMar>
              <w:top w:w="6" w:type="dxa"/>
              <w:left w:w="6" w:type="dxa"/>
              <w:bottom w:w="6" w:type="dxa"/>
              <w:right w:w="6" w:type="dxa"/>
            </w:tcMar>
            <w:vAlign w:val="center"/>
          </w:tcPr>
          <w:p w14:paraId="7C929A9A" w14:textId="77777777" w:rsidR="0075791A" w:rsidRDefault="00FB2864">
            <w:pPr>
              <w:pStyle w:val="a0"/>
              <w:spacing w:line="280" w:lineRule="exact"/>
              <w:ind w:firstLineChars="0" w:firstLine="0"/>
              <w:jc w:val="center"/>
              <w:rPr>
                <w:rFonts w:ascii="Times New Roman" w:eastAsia="宋体" w:hAnsi="Times New Roman"/>
                <w:color w:val="auto"/>
                <w:lang w:eastAsia="zh-CN"/>
              </w:rPr>
            </w:pPr>
            <w:r>
              <w:rPr>
                <w:rFonts w:ascii="Times New Roman" w:eastAsia="宋体" w:hAnsi="Times New Roman"/>
                <w:color w:val="auto"/>
                <w:lang w:eastAsia="zh-CN"/>
              </w:rPr>
              <w:t>1</w:t>
            </w:r>
          </w:p>
        </w:tc>
      </w:tr>
    </w:tbl>
    <w:p w14:paraId="3FB1170E" w14:textId="77777777" w:rsidR="0075791A" w:rsidRDefault="0075791A">
      <w:pPr>
        <w:pStyle w:val="a5"/>
        <w:rPr>
          <w:color w:val="auto"/>
          <w:lang w:eastAsia="zh-CN"/>
        </w:rPr>
      </w:pPr>
    </w:p>
    <w:p w14:paraId="07CE5A4B" w14:textId="77777777" w:rsidR="0075791A" w:rsidRDefault="0075791A">
      <w:pPr>
        <w:pStyle w:val="a5"/>
        <w:rPr>
          <w:color w:val="auto"/>
          <w:lang w:eastAsia="zh-CN"/>
        </w:rPr>
        <w:sectPr w:rsidR="0075791A">
          <w:pgSz w:w="11906" w:h="16839"/>
          <w:pgMar w:top="1440" w:right="1803" w:bottom="1440" w:left="1803" w:header="746" w:footer="972" w:gutter="0"/>
          <w:cols w:space="720"/>
        </w:sectPr>
      </w:pPr>
    </w:p>
    <w:p w14:paraId="126A996F" w14:textId="77777777" w:rsidR="0075791A" w:rsidRDefault="00FB2864">
      <w:pPr>
        <w:pStyle w:val="a5"/>
        <w:jc w:val="center"/>
        <w:rPr>
          <w:color w:val="auto"/>
          <w:lang w:eastAsia="zh-CN"/>
        </w:rPr>
      </w:pPr>
      <w:r>
        <w:rPr>
          <w:rFonts w:hint="eastAsia"/>
          <w:noProof/>
          <w:color w:val="auto"/>
          <w:lang w:eastAsia="zh-CN"/>
        </w:rPr>
        <w:lastRenderedPageBreak/>
        <w:drawing>
          <wp:inline distT="0" distB="0" distL="114300" distR="114300" wp14:anchorId="6868E101" wp14:editId="1A8CCEBE">
            <wp:extent cx="8401685" cy="6034405"/>
            <wp:effectExtent l="0" t="0" r="0" b="0"/>
            <wp:docPr id="1" name="图片 1" descr="项目一期二期海草床疏浚分区图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项目一期二期海草床疏浚分区图0409"/>
                    <pic:cNvPicPr>
                      <a:picLocks noChangeAspect="1"/>
                    </pic:cNvPicPr>
                  </pic:nvPicPr>
                  <pic:blipFill>
                    <a:blip r:embed="rId12"/>
                    <a:srcRect l="2803" t="1885" r="2351" b="1784"/>
                    <a:stretch>
                      <a:fillRect/>
                    </a:stretch>
                  </pic:blipFill>
                  <pic:spPr>
                    <a:xfrm>
                      <a:off x="0" y="0"/>
                      <a:ext cx="8401685" cy="6034405"/>
                    </a:xfrm>
                    <a:prstGeom prst="rect">
                      <a:avLst/>
                    </a:prstGeom>
                  </pic:spPr>
                </pic:pic>
              </a:graphicData>
            </a:graphic>
          </wp:inline>
        </w:drawing>
      </w:r>
    </w:p>
    <w:p w14:paraId="1E8CF4EB"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 xml:space="preserve">1.1-1 </w:t>
      </w:r>
      <w:r>
        <w:rPr>
          <w:rFonts w:ascii="Times New Roman" w:eastAsia="宋体" w:hAnsi="Times New Roman" w:cs="宋体" w:hint="eastAsia"/>
          <w:color w:val="auto"/>
          <w:spacing w:val="-4"/>
          <w:sz w:val="24"/>
          <w:szCs w:val="24"/>
          <w:lang w:eastAsia="zh-CN"/>
        </w:rPr>
        <w:t>三亚铁炉港红树林湿地保护</w:t>
      </w:r>
      <w:r>
        <w:rPr>
          <w:rFonts w:ascii="Times New Roman" w:eastAsia="宋体" w:hAnsi="Times New Roman" w:cs="宋体" w:hint="eastAsia"/>
          <w:color w:val="auto"/>
          <w:spacing w:val="-4"/>
          <w:sz w:val="24"/>
          <w:szCs w:val="24"/>
          <w:lang w:eastAsia="zh-CN"/>
        </w:rPr>
        <w:t>修复项目</w:t>
      </w:r>
      <w:r>
        <w:rPr>
          <w:rFonts w:ascii="Times New Roman" w:eastAsia="宋体" w:hAnsi="Times New Roman" w:cs="宋体" w:hint="eastAsia"/>
          <w:color w:val="auto"/>
          <w:spacing w:val="-4"/>
          <w:sz w:val="24"/>
          <w:szCs w:val="24"/>
          <w:lang w:eastAsia="zh-CN"/>
        </w:rPr>
        <w:t>各工程用海布置图</w:t>
      </w:r>
    </w:p>
    <w:p w14:paraId="209C9AB0" w14:textId="77777777" w:rsidR="0075791A" w:rsidRDefault="0075791A">
      <w:pPr>
        <w:pStyle w:val="a5"/>
        <w:rPr>
          <w:color w:val="auto"/>
          <w:lang w:eastAsia="zh-CN"/>
        </w:rPr>
        <w:sectPr w:rsidR="0075791A">
          <w:pgSz w:w="16839" w:h="11906" w:orient="landscape"/>
          <w:pgMar w:top="1134" w:right="1440" w:bottom="567" w:left="1440" w:header="746" w:footer="567" w:gutter="0"/>
          <w:cols w:space="720"/>
        </w:sectPr>
      </w:pPr>
    </w:p>
    <w:p w14:paraId="32E71812"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lastRenderedPageBreak/>
        <w:t>根据《自然资源部办公厅关于加强国土空间生态修复项目规范实施和监督管理的通知》（自然资办发</w:t>
      </w:r>
      <w:r>
        <w:rPr>
          <w:rFonts w:ascii="Times New Roman" w:eastAsia="宋体" w:hAnsi="Times New Roman" w:cs="宋体" w:hint="eastAsia"/>
          <w:color w:val="auto"/>
          <w:spacing w:val="-2"/>
          <w:sz w:val="24"/>
          <w:szCs w:val="24"/>
          <w:lang w:eastAsia="zh-CN"/>
        </w:rPr>
        <w:t>[2023]10</w:t>
      </w:r>
      <w:r>
        <w:rPr>
          <w:rFonts w:ascii="Times New Roman" w:eastAsia="宋体" w:hAnsi="Times New Roman" w:cs="宋体" w:hint="eastAsia"/>
          <w:color w:val="auto"/>
          <w:spacing w:val="-2"/>
          <w:sz w:val="24"/>
          <w:szCs w:val="24"/>
          <w:lang w:eastAsia="zh-CN"/>
        </w:rPr>
        <w:t>号）就</w:t>
      </w:r>
      <w:r>
        <w:rPr>
          <w:rFonts w:ascii="宋体" w:eastAsia="宋体" w:hAnsi="宋体" w:cs="宋体"/>
          <w:color w:val="auto"/>
          <w:sz w:val="24"/>
          <w:szCs w:val="24"/>
          <w:lang w:eastAsia="zh-CN"/>
        </w:rPr>
        <w:t>加强各级财政资金支持并由自然资源部门牵头组织实施的国土空间生态修复项目规范实施和监督管理，提出</w:t>
      </w:r>
      <w:r>
        <w:rPr>
          <w:rFonts w:ascii="宋体" w:eastAsia="宋体" w:hAnsi="宋体" w:cs="宋体" w:hint="eastAsia"/>
          <w:color w:val="auto"/>
          <w:sz w:val="24"/>
          <w:szCs w:val="24"/>
          <w:lang w:eastAsia="zh-CN"/>
        </w:rPr>
        <w:t>要求</w:t>
      </w:r>
      <w:r>
        <w:rPr>
          <w:rFonts w:ascii="宋体" w:eastAsia="宋体" w:hAnsi="宋体" w:cs="宋体" w:hint="eastAsia"/>
          <w:color w:val="auto"/>
          <w:sz w:val="24"/>
          <w:szCs w:val="24"/>
          <w:lang w:eastAsia="zh-CN"/>
        </w:rPr>
        <w:t>“</w:t>
      </w:r>
      <w:r>
        <w:rPr>
          <w:rFonts w:ascii="宋体" w:eastAsia="宋体" w:hAnsi="宋体" w:cs="宋体"/>
          <w:color w:val="auto"/>
          <w:sz w:val="24"/>
          <w:szCs w:val="24"/>
          <w:lang w:eastAsia="zh-CN"/>
        </w:rPr>
        <w:t>三、严格遵守法律法规</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w:t>
      </w:r>
      <w:r>
        <w:rPr>
          <w:rFonts w:ascii="宋体" w:eastAsia="宋体" w:hAnsi="宋体" w:cs="宋体"/>
          <w:color w:val="auto"/>
          <w:sz w:val="24"/>
          <w:szCs w:val="24"/>
          <w:lang w:eastAsia="zh-CN"/>
        </w:rPr>
        <w:t>（三）严格用海用岛规定</w:t>
      </w:r>
      <w:r>
        <w:rPr>
          <w:rFonts w:ascii="宋体" w:eastAsia="宋体" w:hAnsi="宋体" w:cs="宋体" w:hint="eastAsia"/>
          <w:color w:val="auto"/>
          <w:sz w:val="24"/>
          <w:szCs w:val="24"/>
          <w:lang w:eastAsia="zh-CN"/>
        </w:rPr>
        <w:t>”要求：</w:t>
      </w:r>
      <w:r>
        <w:rPr>
          <w:rFonts w:ascii="Times New Roman" w:eastAsia="宋体" w:hAnsi="Times New Roman" w:cs="宋体" w:hint="eastAsia"/>
          <w:color w:val="auto"/>
          <w:spacing w:val="-2"/>
          <w:sz w:val="24"/>
          <w:szCs w:val="24"/>
          <w:lang w:eastAsia="zh-CN"/>
        </w:rPr>
        <w:t>“</w:t>
      </w:r>
      <w:r>
        <w:rPr>
          <w:rFonts w:ascii="宋体" w:eastAsia="宋体" w:hAnsi="宋体" w:cs="宋体"/>
          <w:color w:val="auto"/>
          <w:sz w:val="24"/>
          <w:szCs w:val="24"/>
          <w:lang w:eastAsia="zh-CN"/>
        </w:rPr>
        <w:t>海洋生态保护修复项目中的海堤（含镇压层）、突堤、离岸堤（含潜堤）、栈桥、围堰（含临时围堰）等构筑物建设，人工鱼礁、牡蛎附着礁等礁体投放、清淤疏浚及其他涉及持续使用特定海域的排他性工程措施用海，在实施前应当依法依规办理海域使用审批手续或临时海域使用手续；海洋生态保护修复项目中不足三个月的临时围堰可办理临时海域使用手续；涉及在无居民海岛上开展建筑物或设施建设等开发利用活动的，应当依法依规办理无居民海岛开发利用审批手续。需要种植植被、互花米草清理、进行沙滩人工补沙等无构筑物、建筑物或设施建设的非排他性用海活动，以</w:t>
      </w:r>
      <w:r>
        <w:rPr>
          <w:rFonts w:ascii="宋体" w:eastAsia="宋体" w:hAnsi="宋体" w:cs="宋体"/>
          <w:color w:val="auto"/>
          <w:sz w:val="24"/>
          <w:szCs w:val="24"/>
          <w:lang w:eastAsia="zh-CN"/>
        </w:rPr>
        <w:t>及拆除养殖池、构筑物等不足三个月的临时施工行为工程措施，依法依规无需办理海域使用审批手续、临时海域使用手续或无居民海岛开发利用审批手续。</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因此，</w:t>
      </w:r>
      <w:r>
        <w:rPr>
          <w:rFonts w:ascii="Times New Roman" w:eastAsia="宋体" w:hAnsi="Times New Roman" w:cs="宋体"/>
          <w:color w:val="auto"/>
          <w:spacing w:val="-2"/>
          <w:sz w:val="24"/>
          <w:szCs w:val="24"/>
          <w:lang w:eastAsia="zh-CN"/>
        </w:rPr>
        <w:t>铁炉港红树林湿地保护修复</w:t>
      </w:r>
      <w:r>
        <w:rPr>
          <w:rFonts w:ascii="Times New Roman" w:eastAsia="宋体" w:hAnsi="Times New Roman" w:cs="宋体" w:hint="eastAsia"/>
          <w:color w:val="auto"/>
          <w:spacing w:val="-2"/>
          <w:sz w:val="24"/>
          <w:szCs w:val="24"/>
          <w:lang w:eastAsia="zh-CN"/>
        </w:rPr>
        <w:t>项目</w:t>
      </w:r>
      <w:r>
        <w:rPr>
          <w:rFonts w:ascii="Times New Roman" w:eastAsia="宋体" w:hAnsi="Times New Roman" w:cs="宋体" w:hint="eastAsia"/>
          <w:color w:val="auto"/>
          <w:spacing w:val="-2"/>
          <w:sz w:val="24"/>
          <w:szCs w:val="24"/>
          <w:lang w:eastAsia="zh-CN"/>
        </w:rPr>
        <w:t>清淤疏浚工程需申请用海。</w:t>
      </w:r>
    </w:p>
    <w:p w14:paraId="669344F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此外，一、二期巡护设施、保护管理设施在用海批复后因防洪、施工等需要对原设计进行优化调整，需新增透水构筑物用海。因此将清淤疏浚工程及新增透水构筑物用海作为本项目论证内容。</w:t>
      </w:r>
    </w:p>
    <w:p w14:paraId="3ACA0DE0" w14:textId="77777777" w:rsidR="0075791A" w:rsidRDefault="00FB2864">
      <w:pPr>
        <w:spacing w:line="360" w:lineRule="auto"/>
        <w:ind w:firstLineChars="200" w:firstLine="480"/>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z w:val="24"/>
          <w:szCs w:val="24"/>
          <w:lang w:eastAsia="zh-CN"/>
        </w:rPr>
        <w:t>为了能科学、合理地使用海域，保障工程项目建设的顺利实施，并为海域使用审批提供重要依据，根据《中华人民共和国海域使用管理法》和《海南省实施〈中华</w:t>
      </w:r>
      <w:r>
        <w:rPr>
          <w:rFonts w:ascii="Times New Roman" w:eastAsia="宋体" w:hAnsi="Times New Roman" w:cs="宋体"/>
          <w:color w:val="auto"/>
          <w:sz w:val="24"/>
          <w:szCs w:val="24"/>
          <w:lang w:eastAsia="zh-CN"/>
        </w:rPr>
        <w:t>人民共和国海域使用管理法〉办法》的规定和要求，在中华人民共和国内水、领海持续使用特定海域三个月以上的排他性用海活动，任何单位或个人使用海域，必须依法取得海域使用权。受</w:t>
      </w:r>
      <w:r>
        <w:rPr>
          <w:rFonts w:ascii="Times New Roman" w:eastAsia="宋体" w:hAnsi="Times New Roman" w:cs="宋体" w:hint="eastAsia"/>
          <w:color w:val="auto"/>
          <w:sz w:val="24"/>
          <w:szCs w:val="24"/>
          <w:lang w:eastAsia="zh-CN"/>
        </w:rPr>
        <w:t>三亚环通工程管理有限公司</w:t>
      </w:r>
      <w:r>
        <w:rPr>
          <w:rFonts w:ascii="Times New Roman" w:eastAsia="宋体" w:hAnsi="Times New Roman" w:cs="宋体"/>
          <w:color w:val="auto"/>
          <w:sz w:val="24"/>
          <w:szCs w:val="24"/>
          <w:lang w:eastAsia="zh-CN"/>
        </w:rPr>
        <w:t>委托，</w:t>
      </w:r>
      <w:r>
        <w:rPr>
          <w:rFonts w:ascii="Times New Roman" w:eastAsia="宋体" w:hAnsi="Times New Roman" w:cs="宋体" w:hint="eastAsia"/>
          <w:color w:val="auto"/>
          <w:sz w:val="24"/>
          <w:szCs w:val="24"/>
          <w:lang w:eastAsia="zh-CN"/>
        </w:rPr>
        <w:t>自然资源部海口海洋中心</w:t>
      </w:r>
      <w:r>
        <w:rPr>
          <w:rFonts w:ascii="Times New Roman" w:eastAsia="宋体" w:hAnsi="Times New Roman" w:cs="宋体"/>
          <w:color w:val="auto"/>
          <w:sz w:val="24"/>
          <w:szCs w:val="24"/>
          <w:lang w:eastAsia="zh-CN"/>
        </w:rPr>
        <w:t>承担本项目海域使用论证工作。项目组人员深入现场测量踏勘，收集相关资料，</w:t>
      </w:r>
      <w:r>
        <w:rPr>
          <w:rFonts w:ascii="Times New Roman" w:eastAsia="宋体" w:hAnsi="Times New Roman" w:cs="宋体" w:hint="eastAsia"/>
          <w:color w:val="auto"/>
          <w:sz w:val="24"/>
          <w:szCs w:val="24"/>
          <w:lang w:eastAsia="zh-CN"/>
        </w:rPr>
        <w:t>针对清淤工程，</w:t>
      </w:r>
      <w:r>
        <w:rPr>
          <w:rFonts w:ascii="Times New Roman" w:eastAsia="宋体" w:hAnsi="Times New Roman" w:cs="宋体"/>
          <w:color w:val="auto"/>
          <w:sz w:val="24"/>
          <w:szCs w:val="24"/>
          <w:lang w:eastAsia="zh-CN"/>
        </w:rPr>
        <w:t>论证分析了项目用海的可行性，并在此基础上编制了《</w:t>
      </w:r>
      <w:r>
        <w:rPr>
          <w:rFonts w:ascii="Times New Roman" w:eastAsia="宋体" w:hAnsi="Times New Roman" w:cs="宋体" w:hint="eastAsia"/>
          <w:color w:val="auto"/>
          <w:spacing w:val="-1"/>
          <w:sz w:val="24"/>
          <w:szCs w:val="24"/>
          <w:lang w:eastAsia="zh-CN"/>
        </w:rPr>
        <w:t>三亚铁炉港红树林湿地保护</w:t>
      </w:r>
      <w:r>
        <w:rPr>
          <w:rFonts w:ascii="Times New Roman" w:eastAsia="宋体" w:hAnsi="Times New Roman" w:cs="宋体" w:hint="eastAsia"/>
          <w:color w:val="auto"/>
          <w:spacing w:val="-1"/>
          <w:sz w:val="24"/>
          <w:szCs w:val="24"/>
          <w:lang w:eastAsia="zh-CN"/>
        </w:rPr>
        <w:t>修复项目</w:t>
      </w:r>
      <w:r>
        <w:rPr>
          <w:rFonts w:ascii="Times New Roman" w:eastAsia="宋体" w:hAnsi="Times New Roman" w:cs="宋体" w:hint="eastAsia"/>
          <w:color w:val="auto"/>
          <w:spacing w:val="-1"/>
          <w:sz w:val="24"/>
          <w:szCs w:val="24"/>
          <w:lang w:eastAsia="zh-CN"/>
        </w:rPr>
        <w:t>（清淤区）</w:t>
      </w:r>
      <w:r>
        <w:rPr>
          <w:rFonts w:ascii="Times New Roman" w:eastAsia="宋体" w:hAnsi="Times New Roman" w:cs="宋体" w:hint="eastAsia"/>
          <w:color w:val="auto"/>
          <w:spacing w:val="-1"/>
          <w:sz w:val="24"/>
          <w:szCs w:val="24"/>
          <w:lang w:eastAsia="zh-CN"/>
        </w:rPr>
        <w:t>海域使用论证报告</w:t>
      </w:r>
      <w:r>
        <w:rPr>
          <w:rFonts w:ascii="Times New Roman" w:eastAsia="宋体" w:hAnsi="Times New Roman" w:cs="宋体" w:hint="eastAsia"/>
          <w:color w:val="auto"/>
          <w:spacing w:val="-1"/>
          <w:sz w:val="24"/>
          <w:szCs w:val="24"/>
          <w:lang w:eastAsia="zh-CN"/>
        </w:rPr>
        <w:t>表</w:t>
      </w:r>
      <w:r>
        <w:rPr>
          <w:rFonts w:ascii="Times New Roman" w:eastAsia="宋体" w:hAnsi="Times New Roman" w:cs="宋体"/>
          <w:color w:val="auto"/>
          <w:sz w:val="24"/>
          <w:szCs w:val="24"/>
          <w:lang w:eastAsia="zh-CN"/>
        </w:rPr>
        <w:t>》，拟作为</w:t>
      </w:r>
      <w:r>
        <w:rPr>
          <w:rFonts w:ascii="Times New Roman" w:eastAsia="宋体" w:hAnsi="Times New Roman" w:cs="宋体"/>
          <w:color w:val="auto"/>
          <w:spacing w:val="-2"/>
          <w:sz w:val="24"/>
          <w:szCs w:val="24"/>
          <w:lang w:eastAsia="zh-CN"/>
        </w:rPr>
        <w:t>自然资源主管部门</w:t>
      </w:r>
      <w:r>
        <w:rPr>
          <w:rFonts w:ascii="Times New Roman" w:eastAsia="宋体" w:hAnsi="Times New Roman" w:cs="宋体"/>
          <w:color w:val="auto"/>
          <w:sz w:val="24"/>
          <w:szCs w:val="24"/>
          <w:lang w:eastAsia="zh-CN"/>
        </w:rPr>
        <w:t>审核项目用海的依据。</w:t>
      </w:r>
    </w:p>
    <w:p w14:paraId="74832928"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30" w:name="bookmark6"/>
      <w:bookmarkStart w:id="31" w:name="bookmark5"/>
      <w:bookmarkStart w:id="32" w:name="_Toc3866"/>
      <w:bookmarkStart w:id="33" w:name="_Toc30111"/>
      <w:bookmarkStart w:id="34" w:name="_Toc3567"/>
      <w:bookmarkEnd w:id="30"/>
      <w:bookmarkEnd w:id="31"/>
      <w:r>
        <w:rPr>
          <w:rFonts w:ascii="Times New Roman" w:eastAsia="Times New Roman" w:hAnsi="Times New Roman" w:cs="Times New Roman"/>
          <w:b/>
          <w:bCs/>
          <w:color w:val="auto"/>
          <w:spacing w:val="-6"/>
          <w:sz w:val="30"/>
          <w:szCs w:val="30"/>
          <w:lang w:eastAsia="zh-CN"/>
        </w:rPr>
        <w:t>1.2论证依据</w:t>
      </w:r>
      <w:bookmarkEnd w:id="32"/>
      <w:bookmarkEnd w:id="33"/>
      <w:bookmarkEnd w:id="34"/>
    </w:p>
    <w:p w14:paraId="66CEDB1D" w14:textId="77777777" w:rsidR="0075791A" w:rsidRDefault="00FB2864">
      <w:pPr>
        <w:spacing w:line="360" w:lineRule="auto"/>
        <w:outlineLvl w:val="2"/>
        <w:rPr>
          <w:rFonts w:ascii="Times New Roman" w:eastAsia="宋体" w:hAnsi="Times New Roman" w:cs="宋体"/>
          <w:color w:val="auto"/>
          <w:sz w:val="28"/>
          <w:szCs w:val="28"/>
          <w:lang w:eastAsia="zh-CN"/>
        </w:rPr>
      </w:pPr>
      <w:bookmarkStart w:id="35" w:name="_Toc5943"/>
      <w:r>
        <w:rPr>
          <w:rFonts w:ascii="Times New Roman" w:eastAsia="Times New Roman" w:hAnsi="Times New Roman" w:cs="Times New Roman"/>
          <w:b/>
          <w:bCs/>
          <w:color w:val="auto"/>
          <w:spacing w:val="-3"/>
          <w:sz w:val="28"/>
          <w:szCs w:val="28"/>
          <w:lang w:eastAsia="zh-CN"/>
        </w:rPr>
        <w:t>1.2.1</w:t>
      </w:r>
      <w:r>
        <w:rPr>
          <w:rFonts w:ascii="Times New Roman" w:eastAsia="宋体" w:hAnsi="Times New Roman" w:cs="宋体"/>
          <w:b/>
          <w:bCs/>
          <w:color w:val="auto"/>
          <w:spacing w:val="-3"/>
          <w:sz w:val="28"/>
          <w:szCs w:val="28"/>
          <w:lang w:eastAsia="zh-CN"/>
        </w:rPr>
        <w:t>法律法规</w:t>
      </w:r>
      <w:bookmarkEnd w:id="35"/>
    </w:p>
    <w:p w14:paraId="28B8E3D8" w14:textId="77777777" w:rsidR="0075791A" w:rsidRDefault="00FB2864">
      <w:pPr>
        <w:pStyle w:val="4"/>
        <w:spacing w:before="0" w:after="0" w:line="360" w:lineRule="auto"/>
        <w:rPr>
          <w:rFonts w:ascii="Times New Roman" w:eastAsia="宋体" w:hAnsi="Times New Roman"/>
          <w:color w:val="auto"/>
          <w:sz w:val="24"/>
          <w:szCs w:val="24"/>
          <w:lang w:eastAsia="zh-CN"/>
        </w:rPr>
      </w:pPr>
      <w:r>
        <w:rPr>
          <w:rFonts w:ascii="Times New Roman" w:eastAsia="宋体" w:hAnsi="Times New Roman" w:hint="eastAsia"/>
          <w:color w:val="auto"/>
          <w:sz w:val="24"/>
          <w:szCs w:val="24"/>
          <w:lang w:eastAsia="zh-CN"/>
        </w:rPr>
        <w:lastRenderedPageBreak/>
        <w:t xml:space="preserve">1.2.1.1 </w:t>
      </w:r>
      <w:r>
        <w:rPr>
          <w:rFonts w:ascii="Times New Roman" w:eastAsia="宋体" w:hAnsi="Times New Roman" w:hint="eastAsia"/>
          <w:color w:val="auto"/>
          <w:sz w:val="24"/>
          <w:szCs w:val="24"/>
          <w:lang w:eastAsia="zh-CN"/>
        </w:rPr>
        <w:t>国家法律法规、政策</w:t>
      </w:r>
    </w:p>
    <w:p w14:paraId="5809960E"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color w:val="auto"/>
          <w:sz w:val="24"/>
          <w:szCs w:val="24"/>
          <w:lang w:eastAsia="zh-CN"/>
        </w:rPr>
        <w:t>1.</w:t>
      </w:r>
      <w:r>
        <w:rPr>
          <w:rFonts w:ascii="Times New Roman" w:eastAsia="宋体" w:hAnsi="Times New Roman" w:cs="宋体"/>
          <w:color w:val="auto"/>
          <w:sz w:val="24"/>
          <w:szCs w:val="24"/>
          <w:lang w:eastAsia="zh-CN"/>
        </w:rPr>
        <w:t>《中华人民共和国海域使用管理法》，</w:t>
      </w:r>
      <w:r>
        <w:rPr>
          <w:rFonts w:ascii="Times New Roman" w:eastAsia="宋体" w:hAnsi="Times New Roman" w:cs="宋体" w:hint="eastAsia"/>
          <w:color w:val="auto"/>
          <w:sz w:val="24"/>
          <w:szCs w:val="24"/>
          <w:lang w:eastAsia="zh-CN"/>
        </w:rPr>
        <w:t>2001</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10</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27</w:t>
      </w:r>
      <w:r>
        <w:rPr>
          <w:rFonts w:ascii="Times New Roman" w:eastAsia="宋体" w:hAnsi="Times New Roman" w:cs="宋体" w:hint="eastAsia"/>
          <w:color w:val="auto"/>
          <w:sz w:val="24"/>
          <w:szCs w:val="24"/>
          <w:lang w:eastAsia="zh-CN"/>
        </w:rPr>
        <w:t>日第九届全国人民代表大会常务委员会第二十四次会议通过</w:t>
      </w:r>
      <w:r>
        <w:rPr>
          <w:rFonts w:ascii="Times New Roman" w:eastAsia="宋体" w:hAnsi="Times New Roman" w:cs="宋体" w:hint="eastAsia"/>
          <w:color w:val="auto"/>
          <w:sz w:val="24"/>
          <w:szCs w:val="24"/>
          <w:lang w:eastAsia="zh-CN"/>
        </w:rPr>
        <w:t>，</w:t>
      </w:r>
      <w:r>
        <w:rPr>
          <w:rFonts w:ascii="Times New Roman" w:eastAsia="宋体" w:hAnsi="Times New Roman" w:cs="TimesNewRomanPSMT"/>
          <w:color w:val="auto"/>
          <w:sz w:val="24"/>
          <w:szCs w:val="24"/>
          <w:lang w:eastAsia="zh-CN"/>
        </w:rPr>
        <w:t>2002</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1</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1</w:t>
      </w:r>
      <w:r>
        <w:rPr>
          <w:rFonts w:ascii="Times New Roman" w:eastAsia="宋体" w:hAnsi="Times New Roman" w:cs="宋体"/>
          <w:color w:val="auto"/>
          <w:sz w:val="24"/>
          <w:szCs w:val="24"/>
          <w:lang w:eastAsia="zh-CN"/>
        </w:rPr>
        <w:t>日起实施；</w:t>
      </w:r>
    </w:p>
    <w:p w14:paraId="02CE86F5"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color w:val="auto"/>
          <w:sz w:val="24"/>
          <w:szCs w:val="24"/>
          <w:lang w:eastAsia="zh-CN"/>
        </w:rPr>
        <w:t>2.</w:t>
      </w:r>
      <w:r>
        <w:rPr>
          <w:rFonts w:ascii="Times New Roman" w:eastAsia="宋体" w:hAnsi="Times New Roman" w:cs="宋体"/>
          <w:color w:val="auto"/>
          <w:sz w:val="24"/>
          <w:szCs w:val="24"/>
          <w:lang w:eastAsia="zh-CN"/>
        </w:rPr>
        <w:t>《中华人民共和国环境保护法》</w:t>
      </w:r>
      <w:r>
        <w:rPr>
          <w:rFonts w:ascii="Times New Roman" w:eastAsia="宋体" w:hAnsi="Times New Roman" w:cs="宋体" w:hint="eastAsia"/>
          <w:color w:val="auto"/>
          <w:sz w:val="24"/>
          <w:szCs w:val="24"/>
          <w:lang w:eastAsia="zh-CN"/>
        </w:rPr>
        <w:t>，</w:t>
      </w:r>
      <w:r>
        <w:rPr>
          <w:rFonts w:ascii="Times New Roman" w:eastAsia="宋体" w:hAnsi="Times New Roman" w:cs="TimesNewRomanPSMT"/>
          <w:color w:val="auto"/>
          <w:sz w:val="24"/>
          <w:szCs w:val="24"/>
          <w:lang w:eastAsia="zh-CN"/>
        </w:rPr>
        <w:t>2014</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4</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24</w:t>
      </w:r>
      <w:r>
        <w:rPr>
          <w:rFonts w:ascii="Times New Roman" w:eastAsia="宋体" w:hAnsi="Times New Roman" w:cs="宋体"/>
          <w:color w:val="auto"/>
          <w:sz w:val="24"/>
          <w:szCs w:val="24"/>
          <w:lang w:eastAsia="zh-CN"/>
        </w:rPr>
        <w:t>日第十二届全国人民代表大会常务委员会第八次会议修订，</w:t>
      </w:r>
      <w:r>
        <w:rPr>
          <w:rFonts w:ascii="Times New Roman" w:eastAsia="宋体" w:hAnsi="Times New Roman" w:cs="TimesNewRomanPSMT"/>
          <w:color w:val="auto"/>
          <w:sz w:val="24"/>
          <w:szCs w:val="24"/>
          <w:lang w:eastAsia="zh-CN"/>
        </w:rPr>
        <w:t>2015</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1</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1</w:t>
      </w:r>
      <w:r>
        <w:rPr>
          <w:rFonts w:ascii="Times New Roman" w:eastAsia="宋体" w:hAnsi="Times New Roman" w:cs="宋体"/>
          <w:color w:val="auto"/>
          <w:sz w:val="24"/>
          <w:szCs w:val="24"/>
          <w:lang w:eastAsia="zh-CN"/>
        </w:rPr>
        <w:t>日起施行；</w:t>
      </w:r>
    </w:p>
    <w:p w14:paraId="481C1FBF"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hint="eastAsia"/>
          <w:color w:val="auto"/>
          <w:sz w:val="24"/>
          <w:szCs w:val="24"/>
          <w:lang w:eastAsia="zh-CN"/>
        </w:rPr>
        <w:t>3</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《中华人民共和国海洋环境保护法》，</w:t>
      </w:r>
      <w:r>
        <w:rPr>
          <w:rFonts w:ascii="Times New Roman" w:eastAsia="宋体" w:hAnsi="Times New Roman" w:cs="TimesNewRomanPSMT"/>
          <w:color w:val="auto"/>
          <w:sz w:val="24"/>
          <w:szCs w:val="24"/>
          <w:lang w:eastAsia="zh-CN"/>
        </w:rPr>
        <w:t>2023</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10</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24</w:t>
      </w:r>
      <w:r>
        <w:rPr>
          <w:rFonts w:ascii="Times New Roman" w:eastAsia="宋体" w:hAnsi="Times New Roman" w:cs="宋体"/>
          <w:color w:val="auto"/>
          <w:sz w:val="24"/>
          <w:szCs w:val="24"/>
          <w:lang w:eastAsia="zh-CN"/>
        </w:rPr>
        <w:t>日第十四届全国人民代表大会常务委员会第六次会议第二次修订</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自</w:t>
      </w:r>
      <w:r>
        <w:rPr>
          <w:rFonts w:ascii="Times New Roman" w:eastAsia="宋体" w:hAnsi="Times New Roman" w:cs="宋体"/>
          <w:color w:val="auto"/>
          <w:sz w:val="24"/>
          <w:szCs w:val="24"/>
          <w:lang w:eastAsia="zh-CN"/>
        </w:rPr>
        <w:t>2024</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1</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color w:val="auto"/>
          <w:sz w:val="24"/>
          <w:szCs w:val="24"/>
          <w:lang w:eastAsia="zh-CN"/>
        </w:rPr>
        <w:t>日起施行</w:t>
      </w:r>
      <w:r>
        <w:rPr>
          <w:rFonts w:ascii="Times New Roman" w:eastAsia="宋体" w:hAnsi="Times New Roman" w:cs="宋体"/>
          <w:color w:val="auto"/>
          <w:sz w:val="24"/>
          <w:szCs w:val="24"/>
          <w:lang w:eastAsia="zh-CN"/>
        </w:rPr>
        <w:t>；</w:t>
      </w:r>
    </w:p>
    <w:p w14:paraId="79FACBCF"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hint="eastAsia"/>
          <w:color w:val="auto"/>
          <w:sz w:val="24"/>
          <w:szCs w:val="24"/>
          <w:lang w:eastAsia="zh-CN"/>
        </w:rPr>
        <w:t>4</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《中华人民共和国湿地保护法》，</w:t>
      </w:r>
      <w:r>
        <w:rPr>
          <w:rFonts w:ascii="Times New Roman" w:eastAsia="宋体" w:hAnsi="Times New Roman" w:cs="TimesNewRomanPSMT"/>
          <w:color w:val="auto"/>
          <w:sz w:val="24"/>
          <w:szCs w:val="24"/>
          <w:lang w:eastAsia="zh-CN"/>
        </w:rPr>
        <w:t>2021</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12</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24</w:t>
      </w:r>
      <w:r>
        <w:rPr>
          <w:rFonts w:ascii="Times New Roman" w:eastAsia="宋体" w:hAnsi="Times New Roman" w:cs="宋体"/>
          <w:color w:val="auto"/>
          <w:sz w:val="24"/>
          <w:szCs w:val="24"/>
          <w:lang w:eastAsia="zh-CN"/>
        </w:rPr>
        <w:t>日中华人民共和国第十三届全国人民代表大会常务委员会第三十二次会议通过，自</w:t>
      </w:r>
      <w:r>
        <w:rPr>
          <w:rFonts w:ascii="Times New Roman" w:eastAsia="宋体" w:hAnsi="Times New Roman" w:cs="TimesNewRomanPSMT"/>
          <w:color w:val="auto"/>
          <w:sz w:val="24"/>
          <w:szCs w:val="24"/>
          <w:lang w:eastAsia="zh-CN"/>
        </w:rPr>
        <w:t>2022</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6</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1</w:t>
      </w:r>
      <w:r>
        <w:rPr>
          <w:rFonts w:ascii="Times New Roman" w:eastAsia="宋体" w:hAnsi="Times New Roman" w:cs="宋体"/>
          <w:color w:val="auto"/>
          <w:sz w:val="24"/>
          <w:szCs w:val="24"/>
          <w:lang w:eastAsia="zh-CN"/>
        </w:rPr>
        <w:t>日起施行；</w:t>
      </w:r>
    </w:p>
    <w:p w14:paraId="2569CAD9"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hint="eastAsia"/>
          <w:color w:val="auto"/>
          <w:sz w:val="24"/>
          <w:szCs w:val="24"/>
          <w:lang w:eastAsia="zh-CN"/>
        </w:rPr>
        <w:t>5</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《中华人民共和国野生动物保护法》，</w:t>
      </w:r>
      <w:r>
        <w:rPr>
          <w:rFonts w:ascii="Times New Roman" w:eastAsia="宋体" w:hAnsi="Times New Roman" w:cs="TimesNewRomanPSMT"/>
          <w:color w:val="auto"/>
          <w:sz w:val="24"/>
          <w:szCs w:val="24"/>
          <w:lang w:eastAsia="zh-CN"/>
        </w:rPr>
        <w:t>2022</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12</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30</w:t>
      </w:r>
      <w:r>
        <w:rPr>
          <w:rFonts w:ascii="Times New Roman" w:eastAsia="宋体" w:hAnsi="Times New Roman" w:cs="宋体"/>
          <w:color w:val="auto"/>
          <w:sz w:val="24"/>
          <w:szCs w:val="24"/>
          <w:lang w:eastAsia="zh-CN"/>
        </w:rPr>
        <w:t>日第十三届全国人民代表大会常务委员会第三十八次会议第二次修订</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自</w:t>
      </w:r>
      <w:r>
        <w:rPr>
          <w:rFonts w:ascii="Times New Roman" w:eastAsia="宋体" w:hAnsi="Times New Roman" w:cs="宋体"/>
          <w:color w:val="auto"/>
          <w:sz w:val="24"/>
          <w:szCs w:val="24"/>
          <w:lang w:eastAsia="zh-CN"/>
        </w:rPr>
        <w:t>2023</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5</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color w:val="auto"/>
          <w:sz w:val="24"/>
          <w:szCs w:val="24"/>
          <w:lang w:eastAsia="zh-CN"/>
        </w:rPr>
        <w:t>日起施行</w:t>
      </w:r>
      <w:r>
        <w:rPr>
          <w:rFonts w:ascii="Times New Roman" w:eastAsia="宋体" w:hAnsi="Times New Roman" w:cs="宋体"/>
          <w:color w:val="auto"/>
          <w:sz w:val="24"/>
          <w:szCs w:val="24"/>
          <w:lang w:eastAsia="zh-CN"/>
        </w:rPr>
        <w:t>；</w:t>
      </w:r>
    </w:p>
    <w:p w14:paraId="6697AA0A"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hint="eastAsia"/>
          <w:color w:val="auto"/>
          <w:sz w:val="24"/>
          <w:szCs w:val="24"/>
          <w:lang w:eastAsia="zh-CN"/>
        </w:rPr>
        <w:t>6</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《中华人民共和国安全生产法》</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2021</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6</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10</w:t>
      </w:r>
      <w:r>
        <w:rPr>
          <w:rFonts w:ascii="Times New Roman" w:eastAsia="宋体" w:hAnsi="Times New Roman" w:cs="宋体"/>
          <w:color w:val="auto"/>
          <w:sz w:val="24"/>
          <w:szCs w:val="24"/>
          <w:lang w:eastAsia="zh-CN"/>
        </w:rPr>
        <w:t>日第十三届全国人民代表大会常务委员会第二十九次会议</w:t>
      </w:r>
      <w:r>
        <w:rPr>
          <w:rFonts w:ascii="Times New Roman" w:eastAsia="宋体" w:hAnsi="Times New Roman" w:cs="宋体" w:hint="eastAsia"/>
          <w:color w:val="auto"/>
          <w:sz w:val="24"/>
          <w:szCs w:val="24"/>
          <w:lang w:eastAsia="zh-CN"/>
        </w:rPr>
        <w:t>第三次修订</w:t>
      </w:r>
      <w:r>
        <w:rPr>
          <w:rFonts w:ascii="Times New Roman" w:eastAsia="宋体" w:hAnsi="Times New Roman" w:cs="宋体"/>
          <w:color w:val="auto"/>
          <w:sz w:val="24"/>
          <w:szCs w:val="24"/>
          <w:lang w:eastAsia="zh-CN"/>
        </w:rPr>
        <w:t>，自</w:t>
      </w:r>
      <w:r>
        <w:rPr>
          <w:rFonts w:ascii="Times New Roman" w:eastAsia="宋体" w:hAnsi="Times New Roman" w:cs="宋体"/>
          <w:color w:val="auto"/>
          <w:sz w:val="24"/>
          <w:szCs w:val="24"/>
          <w:lang w:eastAsia="zh-CN"/>
        </w:rPr>
        <w:t>2021</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9</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color w:val="auto"/>
          <w:sz w:val="24"/>
          <w:szCs w:val="24"/>
          <w:lang w:eastAsia="zh-CN"/>
        </w:rPr>
        <w:t>日起施行</w:t>
      </w:r>
      <w:r>
        <w:rPr>
          <w:rFonts w:ascii="Times New Roman" w:eastAsia="宋体" w:hAnsi="Times New Roman" w:cs="宋体"/>
          <w:color w:val="auto"/>
          <w:sz w:val="24"/>
          <w:szCs w:val="24"/>
          <w:lang w:eastAsia="zh-CN"/>
        </w:rPr>
        <w:t>；</w:t>
      </w:r>
    </w:p>
    <w:p w14:paraId="63633F36"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hint="eastAsia"/>
          <w:color w:val="auto"/>
          <w:sz w:val="24"/>
          <w:szCs w:val="24"/>
          <w:lang w:eastAsia="zh-CN"/>
        </w:rPr>
        <w:t>7</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《中华人民共和国渔业法》，</w:t>
      </w:r>
      <w:r>
        <w:rPr>
          <w:rFonts w:ascii="Times New Roman" w:eastAsia="宋体" w:hAnsi="Times New Roman" w:cs="TimesNewRomanPSMT"/>
          <w:color w:val="auto"/>
          <w:sz w:val="24"/>
          <w:szCs w:val="24"/>
          <w:lang w:eastAsia="zh-CN"/>
        </w:rPr>
        <w:t>2013</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12</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28</w:t>
      </w:r>
      <w:r>
        <w:rPr>
          <w:rFonts w:ascii="Times New Roman" w:eastAsia="宋体" w:hAnsi="Times New Roman" w:cs="宋体"/>
          <w:color w:val="auto"/>
          <w:sz w:val="24"/>
          <w:szCs w:val="24"/>
          <w:lang w:eastAsia="zh-CN"/>
        </w:rPr>
        <w:t>日第十二届全国人民代表大会常务委员会第六次会议修订，</w:t>
      </w:r>
      <w:r>
        <w:rPr>
          <w:rFonts w:ascii="Times New Roman" w:eastAsia="宋体" w:hAnsi="Times New Roman" w:cs="TimesNewRomanPSMT"/>
          <w:color w:val="auto"/>
          <w:sz w:val="24"/>
          <w:szCs w:val="24"/>
          <w:lang w:eastAsia="zh-CN"/>
        </w:rPr>
        <w:t>2014</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3</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1</w:t>
      </w:r>
      <w:r>
        <w:rPr>
          <w:rFonts w:ascii="Times New Roman" w:eastAsia="宋体" w:hAnsi="Times New Roman" w:cs="宋体"/>
          <w:color w:val="auto"/>
          <w:sz w:val="24"/>
          <w:szCs w:val="24"/>
          <w:lang w:eastAsia="zh-CN"/>
        </w:rPr>
        <w:t>日起施行；</w:t>
      </w:r>
    </w:p>
    <w:p w14:paraId="717CE4F0"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hint="eastAsia"/>
          <w:color w:val="auto"/>
          <w:sz w:val="24"/>
          <w:szCs w:val="24"/>
          <w:lang w:eastAsia="zh-CN"/>
        </w:rPr>
        <w:t>8</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《中华人民共和国测绘法》，</w:t>
      </w:r>
      <w:r>
        <w:rPr>
          <w:rFonts w:ascii="Times New Roman" w:eastAsia="宋体" w:hAnsi="Times New Roman" w:cs="TimesNewRomanPSMT"/>
          <w:color w:val="auto"/>
          <w:sz w:val="24"/>
          <w:szCs w:val="24"/>
          <w:lang w:eastAsia="zh-CN"/>
        </w:rPr>
        <w:t>2017</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4</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27</w:t>
      </w:r>
      <w:r>
        <w:rPr>
          <w:rFonts w:ascii="Times New Roman" w:eastAsia="宋体" w:hAnsi="Times New Roman" w:cs="宋体"/>
          <w:color w:val="auto"/>
          <w:sz w:val="24"/>
          <w:szCs w:val="24"/>
          <w:lang w:eastAsia="zh-CN"/>
        </w:rPr>
        <w:t>日第十二届全国人民代表大会常务委员会第二十七次会议第二次修订</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自</w:t>
      </w:r>
      <w:r>
        <w:rPr>
          <w:rFonts w:ascii="Times New Roman" w:eastAsia="宋体" w:hAnsi="Times New Roman" w:cs="宋体"/>
          <w:color w:val="auto"/>
          <w:sz w:val="24"/>
          <w:szCs w:val="24"/>
          <w:lang w:eastAsia="zh-CN"/>
        </w:rPr>
        <w:t>2017</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7</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color w:val="auto"/>
          <w:sz w:val="24"/>
          <w:szCs w:val="24"/>
          <w:lang w:eastAsia="zh-CN"/>
        </w:rPr>
        <w:t>日起施行</w:t>
      </w:r>
      <w:r>
        <w:rPr>
          <w:rFonts w:ascii="Times New Roman" w:eastAsia="宋体" w:hAnsi="Times New Roman" w:cs="宋体"/>
          <w:color w:val="auto"/>
          <w:sz w:val="24"/>
          <w:szCs w:val="24"/>
          <w:lang w:eastAsia="zh-CN"/>
        </w:rPr>
        <w:t>；</w:t>
      </w:r>
    </w:p>
    <w:p w14:paraId="5F67C1B9"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hint="eastAsia"/>
          <w:color w:val="auto"/>
          <w:sz w:val="24"/>
          <w:szCs w:val="24"/>
          <w:lang w:eastAsia="zh-CN"/>
        </w:rPr>
        <w:t>9</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《中华人民共和国航道法》</w:t>
      </w:r>
      <w:r>
        <w:rPr>
          <w:rFonts w:ascii="Times New Roman" w:eastAsia="宋体" w:hAnsi="Times New Roman" w:cs="宋体" w:hint="eastAsia"/>
          <w:color w:val="auto"/>
          <w:sz w:val="24"/>
          <w:szCs w:val="24"/>
          <w:lang w:eastAsia="zh-CN"/>
        </w:rPr>
        <w:t>，</w:t>
      </w:r>
      <w:r>
        <w:rPr>
          <w:rFonts w:ascii="Times New Roman" w:eastAsia="宋体" w:hAnsi="Times New Roman" w:cs="TimesNewRomanPSMT"/>
          <w:color w:val="auto"/>
          <w:sz w:val="24"/>
          <w:szCs w:val="24"/>
          <w:lang w:eastAsia="zh-CN"/>
        </w:rPr>
        <w:t>2016</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7</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2</w:t>
      </w:r>
      <w:r>
        <w:rPr>
          <w:rFonts w:ascii="Times New Roman" w:eastAsia="宋体" w:hAnsi="Times New Roman" w:cs="宋体"/>
          <w:color w:val="auto"/>
          <w:sz w:val="24"/>
          <w:szCs w:val="24"/>
          <w:lang w:eastAsia="zh-CN"/>
        </w:rPr>
        <w:t>日第十二届全国人民代表大会常务委员会第二十一次会议</w:t>
      </w:r>
      <w:r>
        <w:rPr>
          <w:rFonts w:ascii="Times New Roman" w:eastAsia="宋体" w:hAnsi="Times New Roman" w:cs="宋体" w:hint="eastAsia"/>
          <w:color w:val="auto"/>
          <w:sz w:val="24"/>
          <w:szCs w:val="24"/>
          <w:lang w:eastAsia="zh-CN"/>
        </w:rPr>
        <w:t>修订，</w:t>
      </w:r>
      <w:r>
        <w:rPr>
          <w:rFonts w:ascii="宋体" w:eastAsia="宋体" w:hAnsi="宋体" w:cs="宋体"/>
          <w:color w:val="auto"/>
          <w:sz w:val="24"/>
          <w:szCs w:val="24"/>
          <w:lang w:eastAsia="zh-CN"/>
        </w:rPr>
        <w:t>自公布之日起施行</w:t>
      </w:r>
      <w:r>
        <w:rPr>
          <w:rFonts w:ascii="Times New Roman" w:eastAsia="宋体" w:hAnsi="Times New Roman" w:cs="宋体"/>
          <w:color w:val="auto"/>
          <w:sz w:val="24"/>
          <w:szCs w:val="24"/>
          <w:lang w:eastAsia="zh-CN"/>
        </w:rPr>
        <w:t>；</w:t>
      </w:r>
    </w:p>
    <w:p w14:paraId="2A7FBDD6"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color w:val="auto"/>
          <w:sz w:val="24"/>
          <w:szCs w:val="24"/>
          <w:lang w:eastAsia="zh-CN"/>
        </w:rPr>
        <w:t>1</w:t>
      </w:r>
      <w:r>
        <w:rPr>
          <w:rFonts w:ascii="Times New Roman" w:eastAsia="宋体" w:hAnsi="Times New Roman" w:cs="TimesNewRomanPSMT" w:hint="eastAsia"/>
          <w:color w:val="auto"/>
          <w:sz w:val="24"/>
          <w:szCs w:val="24"/>
          <w:lang w:eastAsia="zh-CN"/>
        </w:rPr>
        <w:t>0</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《中华人民共和国防洪法》，</w:t>
      </w:r>
      <w:r>
        <w:rPr>
          <w:rFonts w:ascii="Times New Roman" w:eastAsia="宋体" w:hAnsi="Times New Roman" w:cs="TimesNewRomanPSMT"/>
          <w:color w:val="auto"/>
          <w:sz w:val="24"/>
          <w:szCs w:val="24"/>
          <w:lang w:eastAsia="zh-CN"/>
        </w:rPr>
        <w:t>2016</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7</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2</w:t>
      </w:r>
      <w:r>
        <w:rPr>
          <w:rFonts w:ascii="Times New Roman" w:eastAsia="宋体" w:hAnsi="Times New Roman" w:cs="宋体"/>
          <w:color w:val="auto"/>
          <w:sz w:val="24"/>
          <w:szCs w:val="24"/>
          <w:lang w:eastAsia="zh-CN"/>
        </w:rPr>
        <w:t>日第十二届全国人民代表大会常务委员会第二十一次会议</w:t>
      </w:r>
      <w:r>
        <w:rPr>
          <w:rFonts w:ascii="Times New Roman" w:eastAsia="宋体" w:hAnsi="Times New Roman" w:cs="宋体" w:hint="eastAsia"/>
          <w:color w:val="auto"/>
          <w:sz w:val="24"/>
          <w:szCs w:val="24"/>
          <w:lang w:eastAsia="zh-CN"/>
        </w:rPr>
        <w:t>修订</w:t>
      </w:r>
      <w:r>
        <w:rPr>
          <w:rFonts w:ascii="Times New Roman" w:eastAsia="宋体" w:hAnsi="Times New Roman" w:cs="宋体"/>
          <w:color w:val="auto"/>
          <w:sz w:val="24"/>
          <w:szCs w:val="24"/>
          <w:lang w:eastAsia="zh-CN"/>
        </w:rPr>
        <w:t>；</w:t>
      </w:r>
    </w:p>
    <w:p w14:paraId="01A2763D"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11</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《中华人民共和国海上交通安全法》</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2021</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4</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29</w:t>
      </w:r>
      <w:r>
        <w:rPr>
          <w:rFonts w:ascii="Times New Roman" w:eastAsia="宋体" w:hAnsi="Times New Roman" w:cs="宋体"/>
          <w:color w:val="auto"/>
          <w:sz w:val="24"/>
          <w:szCs w:val="24"/>
          <w:lang w:eastAsia="zh-CN"/>
        </w:rPr>
        <w:t>日第十三届全国人民代表大会常务委员会第二十八次会议修订通过</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2021</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9</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color w:val="auto"/>
          <w:sz w:val="24"/>
          <w:szCs w:val="24"/>
          <w:lang w:eastAsia="zh-CN"/>
        </w:rPr>
        <w:t>日起施行</w:t>
      </w:r>
      <w:r>
        <w:rPr>
          <w:rFonts w:ascii="Times New Roman" w:eastAsia="宋体" w:hAnsi="Times New Roman" w:cs="宋体" w:hint="eastAsia"/>
          <w:color w:val="auto"/>
          <w:sz w:val="24"/>
          <w:szCs w:val="24"/>
          <w:lang w:eastAsia="zh-CN"/>
        </w:rPr>
        <w:t>；</w:t>
      </w:r>
    </w:p>
    <w:p w14:paraId="509EBE2D"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color w:val="auto"/>
          <w:sz w:val="24"/>
          <w:szCs w:val="24"/>
          <w:lang w:eastAsia="zh-CN"/>
        </w:rPr>
        <w:t>1</w:t>
      </w:r>
      <w:r>
        <w:rPr>
          <w:rFonts w:ascii="Times New Roman" w:eastAsia="宋体" w:hAnsi="Times New Roman" w:cs="TimesNewRomanPSMT" w:hint="eastAsia"/>
          <w:color w:val="auto"/>
          <w:sz w:val="24"/>
          <w:szCs w:val="24"/>
          <w:lang w:eastAsia="zh-CN"/>
        </w:rPr>
        <w:t>2</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《中华人民共和国水污染防治法》，</w:t>
      </w:r>
      <w:r>
        <w:rPr>
          <w:rFonts w:ascii="Times New Roman" w:eastAsia="宋体" w:hAnsi="Times New Roman" w:cs="TimesNewRomanPSMT"/>
          <w:color w:val="auto"/>
          <w:sz w:val="24"/>
          <w:szCs w:val="24"/>
          <w:lang w:eastAsia="zh-CN"/>
        </w:rPr>
        <w:t>2017</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6</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27</w:t>
      </w:r>
      <w:r>
        <w:rPr>
          <w:rFonts w:ascii="Times New Roman" w:eastAsia="宋体" w:hAnsi="Times New Roman" w:cs="宋体"/>
          <w:color w:val="auto"/>
          <w:sz w:val="24"/>
          <w:szCs w:val="24"/>
          <w:lang w:eastAsia="zh-CN"/>
        </w:rPr>
        <w:t>日第十二届全国人民代表大会常务委员会第二十八次会议通过</w:t>
      </w:r>
      <w:r>
        <w:rPr>
          <w:rFonts w:ascii="Times New Roman" w:eastAsia="宋体" w:hAnsi="Times New Roman" w:cs="宋体" w:hint="eastAsia"/>
          <w:color w:val="auto"/>
          <w:sz w:val="24"/>
          <w:szCs w:val="24"/>
          <w:lang w:eastAsia="zh-CN"/>
        </w:rPr>
        <w:t>修订</w:t>
      </w:r>
      <w:r>
        <w:rPr>
          <w:rFonts w:ascii="Times New Roman" w:eastAsia="宋体" w:hAnsi="Times New Roman" w:cs="宋体"/>
          <w:color w:val="auto"/>
          <w:sz w:val="24"/>
          <w:szCs w:val="24"/>
          <w:lang w:eastAsia="zh-CN"/>
        </w:rPr>
        <w:t>，自</w:t>
      </w:r>
      <w:r>
        <w:rPr>
          <w:rFonts w:ascii="Times New Roman" w:eastAsia="宋体" w:hAnsi="Times New Roman" w:cs="TimesNewRomanPSMT"/>
          <w:color w:val="auto"/>
          <w:sz w:val="24"/>
          <w:szCs w:val="24"/>
          <w:lang w:eastAsia="zh-CN"/>
        </w:rPr>
        <w:t>2018</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1</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1</w:t>
      </w:r>
      <w:r>
        <w:rPr>
          <w:rFonts w:ascii="Times New Roman" w:eastAsia="宋体" w:hAnsi="Times New Roman" w:cs="宋体"/>
          <w:color w:val="auto"/>
          <w:sz w:val="24"/>
          <w:szCs w:val="24"/>
          <w:lang w:eastAsia="zh-CN"/>
        </w:rPr>
        <w:t>日起施行</w:t>
      </w:r>
      <w:r>
        <w:rPr>
          <w:rFonts w:ascii="Times New Roman" w:eastAsia="宋体" w:hAnsi="Times New Roman" w:cs="宋体" w:hint="eastAsia"/>
          <w:color w:val="auto"/>
          <w:sz w:val="24"/>
          <w:szCs w:val="24"/>
          <w:lang w:eastAsia="zh-CN"/>
        </w:rPr>
        <w:t>；</w:t>
      </w:r>
    </w:p>
    <w:p w14:paraId="74F2B124"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13.</w:t>
      </w:r>
      <w:r>
        <w:rPr>
          <w:rFonts w:ascii="宋体" w:eastAsia="宋体" w:hAnsi="宋体" w:cs="宋体"/>
          <w:color w:val="auto"/>
          <w:sz w:val="24"/>
          <w:szCs w:val="24"/>
          <w:lang w:eastAsia="zh-CN"/>
        </w:rPr>
        <w:t>《中华人民共和国森林法》</w:t>
      </w:r>
      <w:r>
        <w:rPr>
          <w:rFonts w:ascii="宋体" w:eastAsia="宋体" w:hAnsi="宋体" w:cs="宋体" w:hint="eastAsia"/>
          <w:color w:val="auto"/>
          <w:sz w:val="24"/>
          <w:szCs w:val="24"/>
          <w:lang w:eastAsia="zh-CN"/>
        </w:rPr>
        <w:t>，</w:t>
      </w:r>
      <w:r>
        <w:rPr>
          <w:rFonts w:ascii="宋体" w:eastAsia="宋体" w:hAnsi="宋体" w:cs="宋体"/>
          <w:color w:val="auto"/>
          <w:sz w:val="24"/>
          <w:szCs w:val="24"/>
          <w:lang w:eastAsia="zh-CN"/>
        </w:rPr>
        <w:t>2019</w:t>
      </w:r>
      <w:r>
        <w:rPr>
          <w:rFonts w:ascii="宋体" w:eastAsia="宋体" w:hAnsi="宋体" w:cs="宋体"/>
          <w:color w:val="auto"/>
          <w:sz w:val="24"/>
          <w:szCs w:val="24"/>
          <w:lang w:eastAsia="zh-CN"/>
        </w:rPr>
        <w:t>年第十三届全国人大常委会第十五次会议修订，自</w:t>
      </w:r>
      <w:r>
        <w:rPr>
          <w:rFonts w:ascii="宋体" w:eastAsia="宋体" w:hAnsi="宋体" w:cs="宋体"/>
          <w:color w:val="auto"/>
          <w:sz w:val="24"/>
          <w:szCs w:val="24"/>
          <w:lang w:eastAsia="zh-CN"/>
        </w:rPr>
        <w:t>2020</w:t>
      </w:r>
      <w:r>
        <w:rPr>
          <w:rFonts w:ascii="宋体" w:eastAsia="宋体" w:hAnsi="宋体" w:cs="宋体"/>
          <w:color w:val="auto"/>
          <w:sz w:val="24"/>
          <w:szCs w:val="24"/>
          <w:lang w:eastAsia="zh-CN"/>
        </w:rPr>
        <w:t>年</w:t>
      </w:r>
      <w:r>
        <w:rPr>
          <w:rFonts w:ascii="宋体" w:eastAsia="宋体" w:hAnsi="宋体" w:cs="宋体"/>
          <w:color w:val="auto"/>
          <w:sz w:val="24"/>
          <w:szCs w:val="24"/>
          <w:lang w:eastAsia="zh-CN"/>
        </w:rPr>
        <w:t>7</w:t>
      </w:r>
      <w:r>
        <w:rPr>
          <w:rFonts w:ascii="宋体" w:eastAsia="宋体" w:hAnsi="宋体" w:cs="宋体"/>
          <w:color w:val="auto"/>
          <w:sz w:val="24"/>
          <w:szCs w:val="24"/>
          <w:lang w:eastAsia="zh-CN"/>
        </w:rPr>
        <w:t>月</w:t>
      </w:r>
      <w:r>
        <w:rPr>
          <w:rFonts w:ascii="宋体" w:eastAsia="宋体" w:hAnsi="宋体" w:cs="宋体"/>
          <w:color w:val="auto"/>
          <w:sz w:val="24"/>
          <w:szCs w:val="24"/>
          <w:lang w:eastAsia="zh-CN"/>
        </w:rPr>
        <w:t>1</w:t>
      </w:r>
      <w:r>
        <w:rPr>
          <w:rFonts w:ascii="宋体" w:eastAsia="宋体" w:hAnsi="宋体" w:cs="宋体"/>
          <w:color w:val="auto"/>
          <w:sz w:val="24"/>
          <w:szCs w:val="24"/>
          <w:lang w:eastAsia="zh-CN"/>
        </w:rPr>
        <w:t>日起施行</w:t>
      </w:r>
      <w:r>
        <w:rPr>
          <w:rFonts w:ascii="宋体" w:eastAsia="宋体" w:hAnsi="宋体" w:cs="宋体" w:hint="eastAsia"/>
          <w:color w:val="auto"/>
          <w:sz w:val="24"/>
          <w:szCs w:val="24"/>
          <w:lang w:eastAsia="zh-CN"/>
        </w:rPr>
        <w:t>；</w:t>
      </w:r>
    </w:p>
    <w:p w14:paraId="1D82B3DB"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hint="eastAsia"/>
          <w:color w:val="auto"/>
          <w:sz w:val="24"/>
          <w:szCs w:val="24"/>
          <w:lang w:eastAsia="zh-CN"/>
        </w:rPr>
        <w:t>14</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《中华人民共和国水生野生动物保护实施条例》</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国务院，</w:t>
      </w:r>
      <w:r>
        <w:rPr>
          <w:rFonts w:ascii="Times New Roman" w:eastAsia="宋体" w:hAnsi="Times New Roman" w:cs="宋体"/>
          <w:color w:val="auto"/>
          <w:sz w:val="24"/>
          <w:szCs w:val="24"/>
          <w:lang w:eastAsia="zh-CN"/>
        </w:rPr>
        <w:t>2013</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12</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7</w:t>
      </w:r>
      <w:r>
        <w:rPr>
          <w:rFonts w:ascii="Times New Roman" w:eastAsia="宋体" w:hAnsi="Times New Roman" w:cs="宋体"/>
          <w:color w:val="auto"/>
          <w:sz w:val="24"/>
          <w:szCs w:val="24"/>
          <w:lang w:eastAsia="zh-CN"/>
        </w:rPr>
        <w:t>日《国务院关于修改部分行政法规的决定》第二次修订</w:t>
      </w:r>
      <w:r>
        <w:rPr>
          <w:rFonts w:ascii="Times New Roman" w:eastAsia="宋体" w:hAnsi="Times New Roman" w:cs="宋体"/>
          <w:color w:val="auto"/>
          <w:sz w:val="24"/>
          <w:szCs w:val="24"/>
          <w:lang w:eastAsia="zh-CN"/>
        </w:rPr>
        <w:t>；</w:t>
      </w:r>
    </w:p>
    <w:p w14:paraId="3A3AA31D" w14:textId="77777777" w:rsidR="0075791A" w:rsidRDefault="00FB2864">
      <w:pPr>
        <w:spacing w:line="348" w:lineRule="auto"/>
        <w:ind w:firstLineChars="200" w:firstLine="480"/>
        <w:jc w:val="both"/>
        <w:rPr>
          <w:rFonts w:ascii="Times New Roman" w:eastAsia="宋体" w:hAnsi="Times New Roman" w:cs="TimesNewRomanPSMT"/>
          <w:color w:val="auto"/>
          <w:sz w:val="24"/>
          <w:szCs w:val="24"/>
          <w:lang w:eastAsia="zh-CN"/>
        </w:rPr>
      </w:pPr>
      <w:r>
        <w:rPr>
          <w:rFonts w:ascii="Times New Roman" w:eastAsia="宋体" w:hAnsi="Times New Roman" w:cs="TimesNewRomanPSMT"/>
          <w:color w:val="auto"/>
          <w:sz w:val="24"/>
          <w:szCs w:val="24"/>
          <w:lang w:eastAsia="zh-CN"/>
        </w:rPr>
        <w:lastRenderedPageBreak/>
        <w:t>1</w:t>
      </w:r>
      <w:r>
        <w:rPr>
          <w:rFonts w:ascii="Times New Roman" w:eastAsia="宋体" w:hAnsi="Times New Roman" w:cs="TimesNewRomanPSMT" w:hint="eastAsia"/>
          <w:color w:val="auto"/>
          <w:sz w:val="24"/>
          <w:szCs w:val="24"/>
          <w:lang w:eastAsia="zh-CN"/>
        </w:rPr>
        <w:t>5</w:t>
      </w:r>
      <w:r>
        <w:rPr>
          <w:rFonts w:ascii="Times New Roman" w:eastAsia="宋体" w:hAnsi="Times New Roman" w:cs="TimesNewRomanPSMT"/>
          <w:color w:val="auto"/>
          <w:sz w:val="24"/>
          <w:szCs w:val="24"/>
          <w:lang w:eastAsia="zh-CN"/>
        </w:rPr>
        <w:t>.</w:t>
      </w:r>
      <w:r>
        <w:rPr>
          <w:rFonts w:ascii="Times New Roman" w:eastAsia="宋体" w:hAnsi="Times New Roman" w:cs="TimesNewRomanPSMT" w:hint="eastAsia"/>
          <w:color w:val="auto"/>
          <w:sz w:val="24"/>
          <w:szCs w:val="24"/>
          <w:lang w:eastAsia="zh-CN"/>
        </w:rPr>
        <w:t>《中华人民共和国自然保护区条例》国务院令第</w:t>
      </w:r>
      <w:r>
        <w:rPr>
          <w:rFonts w:ascii="Times New Roman" w:eastAsia="宋体" w:hAnsi="Times New Roman" w:cs="TimesNewRomanPSMT" w:hint="eastAsia"/>
          <w:color w:val="auto"/>
          <w:sz w:val="24"/>
          <w:szCs w:val="24"/>
          <w:lang w:eastAsia="zh-CN"/>
        </w:rPr>
        <w:t>830</w:t>
      </w:r>
      <w:r>
        <w:rPr>
          <w:rFonts w:ascii="Times New Roman" w:eastAsia="宋体" w:hAnsi="Times New Roman" w:cs="TimesNewRomanPSMT" w:hint="eastAsia"/>
          <w:color w:val="auto"/>
          <w:sz w:val="24"/>
          <w:szCs w:val="24"/>
          <w:lang w:eastAsia="zh-CN"/>
        </w:rPr>
        <w:t>号，根据</w:t>
      </w:r>
      <w:r>
        <w:rPr>
          <w:rFonts w:ascii="Times New Roman" w:eastAsia="宋体" w:hAnsi="Times New Roman" w:cs="TimesNewRomanPSMT" w:hint="eastAsia"/>
          <w:color w:val="auto"/>
          <w:sz w:val="24"/>
          <w:szCs w:val="24"/>
          <w:lang w:eastAsia="zh-CN"/>
        </w:rPr>
        <w:t>2026</w:t>
      </w:r>
      <w:r>
        <w:rPr>
          <w:rFonts w:ascii="Times New Roman" w:eastAsia="宋体" w:hAnsi="Times New Roman" w:cs="TimesNewRomanPSMT" w:hint="eastAsia"/>
          <w:color w:val="auto"/>
          <w:sz w:val="24"/>
          <w:szCs w:val="24"/>
          <w:lang w:eastAsia="zh-CN"/>
        </w:rPr>
        <w:t>年</w:t>
      </w:r>
      <w:r>
        <w:rPr>
          <w:rFonts w:ascii="Times New Roman" w:eastAsia="宋体" w:hAnsi="Times New Roman" w:cs="TimesNewRomanPSMT" w:hint="eastAsia"/>
          <w:color w:val="auto"/>
          <w:sz w:val="24"/>
          <w:szCs w:val="24"/>
          <w:lang w:eastAsia="zh-CN"/>
        </w:rPr>
        <w:t>1</w:t>
      </w:r>
      <w:r>
        <w:rPr>
          <w:rFonts w:ascii="Times New Roman" w:eastAsia="宋体" w:hAnsi="Times New Roman" w:cs="TimesNewRomanPSMT" w:hint="eastAsia"/>
          <w:color w:val="auto"/>
          <w:sz w:val="24"/>
          <w:szCs w:val="24"/>
          <w:lang w:eastAsia="zh-CN"/>
        </w:rPr>
        <w:t>月</w:t>
      </w:r>
      <w:r>
        <w:rPr>
          <w:rFonts w:ascii="Times New Roman" w:eastAsia="宋体" w:hAnsi="Times New Roman" w:cs="TimesNewRomanPSMT" w:hint="eastAsia"/>
          <w:color w:val="auto"/>
          <w:sz w:val="24"/>
          <w:szCs w:val="24"/>
          <w:lang w:eastAsia="zh-CN"/>
        </w:rPr>
        <w:t>9</w:t>
      </w:r>
      <w:r>
        <w:rPr>
          <w:rFonts w:ascii="Times New Roman" w:eastAsia="宋体" w:hAnsi="Times New Roman" w:cs="TimesNewRomanPSMT" w:hint="eastAsia"/>
          <w:color w:val="auto"/>
          <w:sz w:val="24"/>
          <w:szCs w:val="24"/>
          <w:lang w:eastAsia="zh-CN"/>
        </w:rPr>
        <w:t>日国务院第</w:t>
      </w:r>
      <w:r>
        <w:rPr>
          <w:rFonts w:ascii="Times New Roman" w:eastAsia="宋体" w:hAnsi="Times New Roman" w:cs="TimesNewRomanPSMT" w:hint="eastAsia"/>
          <w:color w:val="auto"/>
          <w:sz w:val="24"/>
          <w:szCs w:val="24"/>
          <w:lang w:eastAsia="zh-CN"/>
        </w:rPr>
        <w:t>77</w:t>
      </w:r>
      <w:r>
        <w:rPr>
          <w:rFonts w:ascii="Times New Roman" w:eastAsia="宋体" w:hAnsi="Times New Roman" w:cs="TimesNewRomanPSMT" w:hint="eastAsia"/>
          <w:color w:val="auto"/>
          <w:sz w:val="24"/>
          <w:szCs w:val="24"/>
          <w:lang w:eastAsia="zh-CN"/>
        </w:rPr>
        <w:t>次常务会议修订通过第三次修订；</w:t>
      </w:r>
    </w:p>
    <w:p w14:paraId="76905F1B" w14:textId="77777777" w:rsidR="0075791A" w:rsidRDefault="00FB2864">
      <w:pPr>
        <w:spacing w:line="348" w:lineRule="auto"/>
        <w:ind w:firstLineChars="200" w:firstLine="480"/>
        <w:jc w:val="both"/>
        <w:rPr>
          <w:rFonts w:ascii="Times New Roman" w:eastAsia="宋体" w:hAnsi="Times New Roman" w:cs="宋体"/>
          <w:color w:val="auto"/>
          <w:spacing w:val="-2"/>
          <w:sz w:val="24"/>
          <w:szCs w:val="24"/>
          <w:lang w:eastAsia="zh-CN"/>
        </w:rPr>
      </w:pPr>
      <w:r>
        <w:rPr>
          <w:rFonts w:ascii="Times New Roman" w:eastAsia="宋体" w:hAnsi="Times New Roman" w:cs="TimesNewRomanPSMT" w:hint="eastAsia"/>
          <w:color w:val="auto"/>
          <w:sz w:val="24"/>
          <w:szCs w:val="24"/>
          <w:lang w:eastAsia="zh-CN"/>
        </w:rPr>
        <w:t>16</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《防治海洋工程建设项目污染损害海洋环境管理条例》，国务院令第</w:t>
      </w:r>
      <w:r>
        <w:rPr>
          <w:rFonts w:ascii="Times New Roman" w:eastAsia="宋体" w:hAnsi="Times New Roman" w:cs="TimesNewRomanPSMT"/>
          <w:color w:val="auto"/>
          <w:sz w:val="24"/>
          <w:szCs w:val="24"/>
          <w:lang w:eastAsia="zh-CN"/>
        </w:rPr>
        <w:t>475</w:t>
      </w:r>
      <w:r>
        <w:rPr>
          <w:rFonts w:ascii="Times New Roman" w:eastAsia="宋体" w:hAnsi="Times New Roman" w:cs="宋体"/>
          <w:color w:val="auto"/>
          <w:sz w:val="24"/>
          <w:szCs w:val="24"/>
          <w:lang w:eastAsia="zh-CN"/>
        </w:rPr>
        <w:t>号，</w:t>
      </w:r>
      <w:r>
        <w:rPr>
          <w:rFonts w:ascii="Times New Roman" w:eastAsia="宋体" w:hAnsi="Times New Roman" w:cs="宋体"/>
          <w:color w:val="auto"/>
          <w:sz w:val="24"/>
          <w:szCs w:val="24"/>
          <w:lang w:eastAsia="zh-CN"/>
        </w:rPr>
        <w:t>根据</w:t>
      </w:r>
      <w:r>
        <w:rPr>
          <w:rFonts w:ascii="Times New Roman" w:eastAsia="宋体" w:hAnsi="Times New Roman" w:cs="宋体"/>
          <w:color w:val="auto"/>
          <w:sz w:val="24"/>
          <w:szCs w:val="24"/>
          <w:lang w:eastAsia="zh-CN"/>
        </w:rPr>
        <w:t>2018</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3</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19</w:t>
      </w:r>
      <w:r>
        <w:rPr>
          <w:rFonts w:ascii="Times New Roman" w:eastAsia="宋体" w:hAnsi="Times New Roman" w:cs="宋体"/>
          <w:color w:val="auto"/>
          <w:sz w:val="24"/>
          <w:szCs w:val="24"/>
          <w:lang w:eastAsia="zh-CN"/>
        </w:rPr>
        <w:t>日《国务院关于修改和废止部分行政法规的决定》第二次修订</w:t>
      </w:r>
      <w:r>
        <w:rPr>
          <w:rFonts w:ascii="Times New Roman" w:eastAsia="宋体" w:hAnsi="Times New Roman" w:cs="宋体"/>
          <w:color w:val="auto"/>
          <w:sz w:val="24"/>
          <w:szCs w:val="24"/>
          <w:lang w:eastAsia="zh-CN"/>
        </w:rPr>
        <w:t>；</w:t>
      </w:r>
    </w:p>
    <w:p w14:paraId="1B9D8B44"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hint="eastAsia"/>
          <w:color w:val="auto"/>
          <w:sz w:val="24"/>
          <w:szCs w:val="24"/>
          <w:lang w:eastAsia="zh-CN"/>
        </w:rPr>
        <w:t>18</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《海洋自然保护区管理办法》，国海发〔</w:t>
      </w:r>
      <w:r>
        <w:rPr>
          <w:rFonts w:ascii="Times New Roman" w:eastAsia="宋体" w:hAnsi="Times New Roman" w:cs="TimesNewRomanPSMT"/>
          <w:color w:val="auto"/>
          <w:sz w:val="24"/>
          <w:szCs w:val="24"/>
          <w:lang w:eastAsia="zh-CN"/>
        </w:rPr>
        <w:t>1995</w:t>
      </w:r>
      <w:r>
        <w:rPr>
          <w:rFonts w:ascii="Times New Roman" w:eastAsia="宋体" w:hAnsi="Times New Roman" w:cs="宋体"/>
          <w:color w:val="auto"/>
          <w:sz w:val="24"/>
          <w:szCs w:val="24"/>
          <w:lang w:eastAsia="zh-CN"/>
        </w:rPr>
        <w:t>〕</w:t>
      </w:r>
      <w:r>
        <w:rPr>
          <w:rFonts w:ascii="Times New Roman" w:eastAsia="宋体" w:hAnsi="Times New Roman" w:cs="TimesNewRomanPSMT"/>
          <w:color w:val="auto"/>
          <w:sz w:val="24"/>
          <w:szCs w:val="24"/>
          <w:lang w:eastAsia="zh-CN"/>
        </w:rPr>
        <w:t>251</w:t>
      </w:r>
      <w:r>
        <w:rPr>
          <w:rFonts w:ascii="Times New Roman" w:eastAsia="宋体" w:hAnsi="Times New Roman" w:cs="宋体"/>
          <w:color w:val="auto"/>
          <w:sz w:val="24"/>
          <w:szCs w:val="24"/>
          <w:lang w:eastAsia="zh-CN"/>
        </w:rPr>
        <w:t>号，</w:t>
      </w:r>
      <w:r>
        <w:rPr>
          <w:rFonts w:ascii="Times New Roman" w:eastAsia="宋体" w:hAnsi="Times New Roman" w:cs="TimesNewRomanPSMT"/>
          <w:color w:val="auto"/>
          <w:sz w:val="24"/>
          <w:szCs w:val="24"/>
          <w:lang w:eastAsia="zh-CN"/>
        </w:rPr>
        <w:t>1995</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5</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29</w:t>
      </w:r>
      <w:r>
        <w:rPr>
          <w:rFonts w:ascii="Times New Roman" w:eastAsia="宋体" w:hAnsi="Times New Roman" w:cs="宋体"/>
          <w:color w:val="auto"/>
          <w:sz w:val="24"/>
          <w:szCs w:val="24"/>
          <w:lang w:eastAsia="zh-CN"/>
        </w:rPr>
        <w:t>日；</w:t>
      </w:r>
    </w:p>
    <w:p w14:paraId="05F47E4F"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hint="eastAsia"/>
          <w:color w:val="auto"/>
          <w:sz w:val="24"/>
          <w:szCs w:val="24"/>
          <w:lang w:eastAsia="zh-CN"/>
        </w:rPr>
        <w:t>19</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《海岸线保护与利用管理办法》，国家海洋局，</w:t>
      </w:r>
      <w:r>
        <w:rPr>
          <w:rFonts w:ascii="Times New Roman" w:eastAsia="宋体" w:hAnsi="Times New Roman" w:cs="TimesNewRomanPSMT"/>
          <w:color w:val="auto"/>
          <w:sz w:val="24"/>
          <w:szCs w:val="24"/>
          <w:lang w:eastAsia="zh-CN"/>
        </w:rPr>
        <w:t>2017</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3</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31</w:t>
      </w:r>
      <w:r>
        <w:rPr>
          <w:rFonts w:ascii="Times New Roman" w:eastAsia="宋体" w:hAnsi="Times New Roman" w:cs="宋体"/>
          <w:color w:val="auto"/>
          <w:sz w:val="24"/>
          <w:szCs w:val="24"/>
          <w:lang w:eastAsia="zh-CN"/>
        </w:rPr>
        <w:t>日；</w:t>
      </w:r>
    </w:p>
    <w:p w14:paraId="0F9E3E92"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hint="eastAsia"/>
          <w:color w:val="auto"/>
          <w:sz w:val="24"/>
          <w:szCs w:val="24"/>
          <w:lang w:eastAsia="zh-CN"/>
        </w:rPr>
        <w:t>20</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《中华人民共和国水上水下活动通航安全管理规定》，中华人民共和国交通运输部令，</w:t>
      </w:r>
      <w:r>
        <w:rPr>
          <w:rFonts w:ascii="Times New Roman" w:eastAsia="宋体" w:hAnsi="Times New Roman" w:cs="TimesNewRomanPSMT"/>
          <w:color w:val="auto"/>
          <w:sz w:val="24"/>
          <w:szCs w:val="24"/>
          <w:lang w:eastAsia="zh-CN"/>
        </w:rPr>
        <w:t>2016</w:t>
      </w:r>
      <w:r>
        <w:rPr>
          <w:rFonts w:ascii="Times New Roman" w:eastAsia="宋体" w:hAnsi="Times New Roman" w:cs="宋体"/>
          <w:color w:val="auto"/>
          <w:sz w:val="24"/>
          <w:szCs w:val="24"/>
          <w:lang w:eastAsia="zh-CN"/>
        </w:rPr>
        <w:t>年第</w:t>
      </w:r>
      <w:r>
        <w:rPr>
          <w:rFonts w:ascii="Times New Roman" w:eastAsia="宋体" w:hAnsi="Times New Roman" w:cs="TimesNewRomanPSMT"/>
          <w:color w:val="auto"/>
          <w:sz w:val="24"/>
          <w:szCs w:val="24"/>
          <w:lang w:eastAsia="zh-CN"/>
        </w:rPr>
        <w:t>69</w:t>
      </w:r>
      <w:r>
        <w:rPr>
          <w:rFonts w:ascii="Times New Roman" w:eastAsia="宋体" w:hAnsi="Times New Roman" w:cs="宋体"/>
          <w:color w:val="auto"/>
          <w:sz w:val="24"/>
          <w:szCs w:val="24"/>
          <w:lang w:eastAsia="zh-CN"/>
        </w:rPr>
        <w:t>号；</w:t>
      </w:r>
    </w:p>
    <w:p w14:paraId="44D31E69"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hint="eastAsia"/>
          <w:color w:val="auto"/>
          <w:sz w:val="24"/>
          <w:szCs w:val="24"/>
          <w:lang w:eastAsia="zh-CN"/>
        </w:rPr>
        <w:t>21</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《国家海洋局关于进一步规范海域使用论证管理工作的意见》，国家海洋局，国海规范〔</w:t>
      </w:r>
      <w:r>
        <w:rPr>
          <w:rFonts w:ascii="Times New Roman" w:eastAsia="宋体" w:hAnsi="Times New Roman" w:cs="TimesNewRomanPSMT"/>
          <w:color w:val="auto"/>
          <w:sz w:val="24"/>
          <w:szCs w:val="24"/>
          <w:lang w:eastAsia="zh-CN"/>
        </w:rPr>
        <w:t>2016</w:t>
      </w:r>
      <w:r>
        <w:rPr>
          <w:rFonts w:ascii="Times New Roman" w:eastAsia="宋体" w:hAnsi="Times New Roman" w:cs="宋体"/>
          <w:color w:val="auto"/>
          <w:sz w:val="24"/>
          <w:szCs w:val="24"/>
          <w:lang w:eastAsia="zh-CN"/>
        </w:rPr>
        <w:t>〕</w:t>
      </w:r>
      <w:r>
        <w:rPr>
          <w:rFonts w:ascii="Times New Roman" w:eastAsia="宋体" w:hAnsi="Times New Roman" w:cs="TimesNewRomanPSMT"/>
          <w:color w:val="auto"/>
          <w:sz w:val="24"/>
          <w:szCs w:val="24"/>
          <w:lang w:eastAsia="zh-CN"/>
        </w:rPr>
        <w:t>10</w:t>
      </w:r>
      <w:r>
        <w:rPr>
          <w:rFonts w:ascii="Times New Roman" w:eastAsia="宋体" w:hAnsi="Times New Roman" w:cs="宋体"/>
          <w:color w:val="auto"/>
          <w:sz w:val="24"/>
          <w:szCs w:val="24"/>
          <w:lang w:eastAsia="zh-CN"/>
        </w:rPr>
        <w:t>号；</w:t>
      </w:r>
    </w:p>
    <w:p w14:paraId="724284E6" w14:textId="2B9DFD44"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22.</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国务院关于加强滨海湿地保护严格管控围填海的通知》，国务院，国发</w:t>
      </w:r>
      <w:r>
        <w:rPr>
          <w:rFonts w:ascii="Times New Roman" w:eastAsia="宋体" w:hAnsi="Times New Roman" w:cs="宋体" w:hint="eastAsia"/>
          <w:color w:val="auto"/>
          <w:sz w:val="24"/>
          <w:szCs w:val="24"/>
          <w:lang w:eastAsia="zh-CN"/>
        </w:rPr>
        <w:t>(2018)24</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2018</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7</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14</w:t>
      </w:r>
      <w:r>
        <w:rPr>
          <w:rFonts w:ascii="Times New Roman" w:eastAsia="宋体" w:hAnsi="Times New Roman" w:cs="宋体"/>
          <w:color w:val="auto"/>
          <w:sz w:val="24"/>
          <w:szCs w:val="24"/>
          <w:lang w:eastAsia="zh-CN"/>
        </w:rPr>
        <w:t>日起实施</w:t>
      </w:r>
      <w:r>
        <w:rPr>
          <w:rFonts w:ascii="Times New Roman" w:eastAsia="宋体" w:hAnsi="Times New Roman" w:cs="宋体" w:hint="eastAsia"/>
          <w:color w:val="auto"/>
          <w:sz w:val="24"/>
          <w:szCs w:val="24"/>
          <w:lang w:eastAsia="zh-CN"/>
        </w:rPr>
        <w:t>；</w:t>
      </w:r>
    </w:p>
    <w:p w14:paraId="7CF154D3"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23.</w:t>
      </w:r>
      <w:r>
        <w:rPr>
          <w:rFonts w:ascii="Times New Roman" w:eastAsia="宋体" w:hAnsi="Times New Roman" w:cs="宋体" w:hint="eastAsia"/>
          <w:color w:val="auto"/>
          <w:sz w:val="24"/>
          <w:szCs w:val="24"/>
          <w:lang w:eastAsia="zh-CN"/>
        </w:rPr>
        <w:t>《红树林保护修复专项行动计划</w:t>
      </w:r>
      <w:r>
        <w:rPr>
          <w:rFonts w:ascii="Times New Roman" w:eastAsia="宋体" w:hAnsi="Times New Roman" w:cs="宋体" w:hint="eastAsia"/>
          <w:color w:val="auto"/>
          <w:sz w:val="24"/>
          <w:szCs w:val="24"/>
          <w:lang w:eastAsia="zh-CN"/>
        </w:rPr>
        <w:t>(2020-2025</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》，自然资源部国家林业和草原局，</w:t>
      </w:r>
      <w:r>
        <w:rPr>
          <w:rFonts w:ascii="Times New Roman" w:eastAsia="宋体" w:hAnsi="Times New Roman" w:cs="宋体" w:hint="eastAsia"/>
          <w:color w:val="auto"/>
          <w:sz w:val="24"/>
          <w:szCs w:val="24"/>
          <w:lang w:eastAsia="zh-CN"/>
        </w:rPr>
        <w:t>2020</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8</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14</w:t>
      </w:r>
      <w:r>
        <w:rPr>
          <w:rFonts w:ascii="Times New Roman" w:eastAsia="宋体" w:hAnsi="Times New Roman" w:cs="宋体" w:hint="eastAsia"/>
          <w:color w:val="auto"/>
          <w:sz w:val="24"/>
          <w:szCs w:val="24"/>
          <w:lang w:eastAsia="zh-CN"/>
        </w:rPr>
        <w:t>日；</w:t>
      </w:r>
    </w:p>
    <w:p w14:paraId="51502ACC"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hint="eastAsia"/>
          <w:color w:val="auto"/>
          <w:sz w:val="24"/>
          <w:szCs w:val="24"/>
          <w:lang w:eastAsia="zh-CN"/>
        </w:rPr>
        <w:t>24</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《关于在国土空间规划中统筹划定落实三条控制线的指导意见》，中共中央办公厅、国务院办公厅，</w:t>
      </w:r>
      <w:r>
        <w:rPr>
          <w:rFonts w:ascii="Times New Roman" w:eastAsia="宋体" w:hAnsi="Times New Roman" w:cs="TimesNewRomanPSMT"/>
          <w:color w:val="auto"/>
          <w:sz w:val="24"/>
          <w:szCs w:val="24"/>
          <w:lang w:eastAsia="zh-CN"/>
        </w:rPr>
        <w:t>2020</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11</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1</w:t>
      </w:r>
      <w:r>
        <w:rPr>
          <w:rFonts w:ascii="Times New Roman" w:eastAsia="宋体" w:hAnsi="Times New Roman" w:cs="宋体"/>
          <w:color w:val="auto"/>
          <w:sz w:val="24"/>
          <w:szCs w:val="24"/>
          <w:lang w:eastAsia="zh-CN"/>
        </w:rPr>
        <w:t>日；</w:t>
      </w:r>
    </w:p>
    <w:p w14:paraId="0B86AF9A" w14:textId="77777777" w:rsidR="0075791A" w:rsidRDefault="00FB2864">
      <w:pPr>
        <w:spacing w:line="348" w:lineRule="auto"/>
        <w:ind w:firstLineChars="200" w:firstLine="480"/>
        <w:jc w:val="both"/>
        <w:rPr>
          <w:rFonts w:ascii="Times New Roman" w:eastAsia="宋体" w:hAnsi="Times New Roman" w:cs="TimesNewRomanPSMT"/>
          <w:color w:val="auto"/>
          <w:sz w:val="24"/>
          <w:szCs w:val="24"/>
          <w:lang w:eastAsia="zh-CN"/>
        </w:rPr>
      </w:pPr>
      <w:r>
        <w:rPr>
          <w:rFonts w:ascii="Times New Roman" w:eastAsia="宋体" w:hAnsi="Times New Roman" w:cs="TimesNewRomanPSMT" w:hint="eastAsia"/>
          <w:color w:val="auto"/>
          <w:sz w:val="24"/>
          <w:szCs w:val="24"/>
          <w:lang w:eastAsia="zh-CN"/>
        </w:rPr>
        <w:t>25.</w:t>
      </w:r>
      <w:r>
        <w:rPr>
          <w:rFonts w:ascii="Times New Roman" w:eastAsia="宋体" w:hAnsi="Times New Roman" w:cs="TimesNewRomanPSMT" w:hint="eastAsia"/>
          <w:color w:val="auto"/>
          <w:sz w:val="24"/>
          <w:szCs w:val="24"/>
          <w:lang w:eastAsia="zh-CN"/>
        </w:rPr>
        <w:t>《自然资源部办公厅关于进一步做好海域使用论证报告评审工作的通知》自然资办函〔</w:t>
      </w:r>
      <w:r>
        <w:rPr>
          <w:rFonts w:ascii="Times New Roman" w:eastAsia="宋体" w:hAnsi="Times New Roman" w:cs="TimesNewRomanPSMT"/>
          <w:color w:val="auto"/>
          <w:sz w:val="24"/>
          <w:szCs w:val="24"/>
          <w:lang w:eastAsia="zh-CN"/>
        </w:rPr>
        <w:t>2021</w:t>
      </w:r>
      <w:r>
        <w:rPr>
          <w:rFonts w:ascii="Times New Roman" w:eastAsia="宋体" w:hAnsi="Times New Roman" w:cs="TimesNewRomanPSMT" w:hint="eastAsia"/>
          <w:color w:val="auto"/>
          <w:sz w:val="24"/>
          <w:szCs w:val="24"/>
          <w:lang w:eastAsia="zh-CN"/>
        </w:rPr>
        <w:t>〕</w:t>
      </w:r>
      <w:r>
        <w:rPr>
          <w:rFonts w:ascii="Times New Roman" w:eastAsia="宋体" w:hAnsi="Times New Roman" w:cs="TimesNewRomanPSMT"/>
          <w:color w:val="auto"/>
          <w:sz w:val="24"/>
          <w:szCs w:val="24"/>
          <w:lang w:eastAsia="zh-CN"/>
        </w:rPr>
        <w:t>2073</w:t>
      </w:r>
      <w:r>
        <w:rPr>
          <w:rFonts w:ascii="Times New Roman" w:eastAsia="宋体" w:hAnsi="Times New Roman" w:cs="TimesNewRomanPSMT" w:hint="eastAsia"/>
          <w:color w:val="auto"/>
          <w:sz w:val="24"/>
          <w:szCs w:val="24"/>
          <w:lang w:eastAsia="zh-CN"/>
        </w:rPr>
        <w:t>号，</w:t>
      </w:r>
      <w:r>
        <w:rPr>
          <w:rFonts w:ascii="Times New Roman" w:eastAsia="宋体" w:hAnsi="Times New Roman" w:cs="TimesNewRomanPSMT"/>
          <w:color w:val="auto"/>
          <w:sz w:val="24"/>
          <w:szCs w:val="24"/>
          <w:lang w:eastAsia="zh-CN"/>
        </w:rPr>
        <w:t>2021</w:t>
      </w:r>
      <w:r>
        <w:rPr>
          <w:rFonts w:ascii="Times New Roman" w:eastAsia="宋体" w:hAnsi="Times New Roman" w:cs="TimesNewRomanPSMT" w:hint="eastAsia"/>
          <w:color w:val="auto"/>
          <w:sz w:val="24"/>
          <w:szCs w:val="24"/>
          <w:lang w:eastAsia="zh-CN"/>
        </w:rPr>
        <w:t>年</w:t>
      </w:r>
      <w:r>
        <w:rPr>
          <w:rFonts w:ascii="Times New Roman" w:eastAsia="宋体" w:hAnsi="Times New Roman" w:cs="TimesNewRomanPSMT"/>
          <w:color w:val="auto"/>
          <w:sz w:val="24"/>
          <w:szCs w:val="24"/>
          <w:lang w:eastAsia="zh-CN"/>
        </w:rPr>
        <w:t>11</w:t>
      </w:r>
      <w:r>
        <w:rPr>
          <w:rFonts w:ascii="Times New Roman" w:eastAsia="宋体" w:hAnsi="Times New Roman" w:cs="TimesNewRomanPSMT" w:hint="eastAsia"/>
          <w:color w:val="auto"/>
          <w:sz w:val="24"/>
          <w:szCs w:val="24"/>
          <w:lang w:eastAsia="zh-CN"/>
        </w:rPr>
        <w:t>月</w:t>
      </w:r>
      <w:r>
        <w:rPr>
          <w:rFonts w:ascii="Times New Roman" w:eastAsia="宋体" w:hAnsi="Times New Roman" w:cs="TimesNewRomanPSMT"/>
          <w:color w:val="auto"/>
          <w:sz w:val="24"/>
          <w:szCs w:val="24"/>
          <w:lang w:eastAsia="zh-CN"/>
        </w:rPr>
        <w:t>10</w:t>
      </w:r>
      <w:r>
        <w:rPr>
          <w:rFonts w:ascii="Times New Roman" w:eastAsia="宋体" w:hAnsi="Times New Roman" w:cs="TimesNewRomanPSMT" w:hint="eastAsia"/>
          <w:color w:val="auto"/>
          <w:sz w:val="24"/>
          <w:szCs w:val="24"/>
          <w:lang w:eastAsia="zh-CN"/>
        </w:rPr>
        <w:t>日；</w:t>
      </w:r>
    </w:p>
    <w:p w14:paraId="490B521B"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26.</w:t>
      </w:r>
      <w:r>
        <w:rPr>
          <w:rFonts w:ascii="Times New Roman" w:eastAsia="宋体" w:hAnsi="Times New Roman" w:cs="宋体"/>
          <w:color w:val="auto"/>
          <w:sz w:val="24"/>
          <w:szCs w:val="24"/>
          <w:lang w:eastAsia="zh-CN"/>
        </w:rPr>
        <w:t>《国家发展改革委商务部关于印发</w:t>
      </w:r>
      <w:r>
        <w:rPr>
          <w:rFonts w:ascii="Times New Roman" w:eastAsia="宋体" w:hAnsi="Times New Roman" w:cs="TimesNewRomanPSMT"/>
          <w:color w:val="auto"/>
          <w:sz w:val="24"/>
          <w:szCs w:val="24"/>
          <w:lang w:eastAsia="zh-CN"/>
        </w:rPr>
        <w:t>&lt;</w:t>
      </w:r>
      <w:r>
        <w:rPr>
          <w:rFonts w:ascii="Times New Roman" w:eastAsia="宋体" w:hAnsi="Times New Roman" w:cs="宋体"/>
          <w:color w:val="auto"/>
          <w:sz w:val="24"/>
          <w:szCs w:val="24"/>
          <w:lang w:eastAsia="zh-CN"/>
        </w:rPr>
        <w:t>市场准入负面清单（</w:t>
      </w:r>
      <w:r>
        <w:rPr>
          <w:rFonts w:ascii="Times New Roman" w:eastAsia="宋体" w:hAnsi="Times New Roman" w:cs="TimesNewRomanPSMT"/>
          <w:color w:val="auto"/>
          <w:sz w:val="24"/>
          <w:szCs w:val="24"/>
          <w:lang w:eastAsia="zh-CN"/>
        </w:rPr>
        <w:t>202</w:t>
      </w:r>
      <w:r>
        <w:rPr>
          <w:rFonts w:ascii="Times New Roman" w:eastAsia="宋体" w:hAnsi="Times New Roman" w:cs="TimesNewRomanPSMT" w:hint="eastAsia"/>
          <w:color w:val="auto"/>
          <w:sz w:val="24"/>
          <w:szCs w:val="24"/>
          <w:lang w:eastAsia="zh-CN"/>
        </w:rPr>
        <w:t>2</w:t>
      </w:r>
      <w:r>
        <w:rPr>
          <w:rFonts w:ascii="Times New Roman" w:eastAsia="宋体" w:hAnsi="Times New Roman" w:cs="宋体"/>
          <w:color w:val="auto"/>
          <w:sz w:val="24"/>
          <w:szCs w:val="24"/>
          <w:lang w:eastAsia="zh-CN"/>
        </w:rPr>
        <w:t>年版）</w:t>
      </w:r>
      <w:r>
        <w:rPr>
          <w:rFonts w:ascii="Times New Roman" w:eastAsia="宋体" w:hAnsi="Times New Roman" w:cs="TimesNewRomanPSMT"/>
          <w:color w:val="auto"/>
          <w:sz w:val="24"/>
          <w:szCs w:val="24"/>
          <w:lang w:eastAsia="zh-CN"/>
        </w:rPr>
        <w:t>&gt;</w:t>
      </w:r>
      <w:r>
        <w:rPr>
          <w:rFonts w:ascii="Times New Roman" w:eastAsia="宋体" w:hAnsi="Times New Roman" w:cs="宋体"/>
          <w:color w:val="auto"/>
          <w:sz w:val="24"/>
          <w:szCs w:val="24"/>
          <w:lang w:eastAsia="zh-CN"/>
        </w:rPr>
        <w:t>的通知》，发改体改规〔</w:t>
      </w:r>
      <w:r>
        <w:rPr>
          <w:rFonts w:ascii="Times New Roman" w:eastAsia="宋体" w:hAnsi="Times New Roman" w:cs="TimesNewRomanPSMT"/>
          <w:color w:val="auto"/>
          <w:sz w:val="24"/>
          <w:szCs w:val="24"/>
          <w:lang w:eastAsia="zh-CN"/>
        </w:rPr>
        <w:t>202</w:t>
      </w:r>
      <w:r>
        <w:rPr>
          <w:rFonts w:ascii="Times New Roman" w:eastAsia="宋体" w:hAnsi="Times New Roman" w:cs="TimesNewRomanPSMT" w:hint="eastAsia"/>
          <w:color w:val="auto"/>
          <w:sz w:val="24"/>
          <w:szCs w:val="24"/>
          <w:lang w:eastAsia="zh-CN"/>
        </w:rPr>
        <w:t>2</w:t>
      </w:r>
      <w:r>
        <w:rPr>
          <w:rFonts w:ascii="Times New Roman" w:eastAsia="宋体" w:hAnsi="Times New Roman" w:cs="宋体"/>
          <w:color w:val="auto"/>
          <w:sz w:val="24"/>
          <w:szCs w:val="24"/>
          <w:lang w:eastAsia="zh-CN"/>
        </w:rPr>
        <w:t>〕</w:t>
      </w:r>
      <w:r>
        <w:rPr>
          <w:rFonts w:ascii="Times New Roman" w:eastAsia="宋体" w:hAnsi="Times New Roman" w:cs="TimesNewRomanPSMT" w:hint="eastAsia"/>
          <w:color w:val="auto"/>
          <w:sz w:val="24"/>
          <w:szCs w:val="24"/>
          <w:lang w:eastAsia="zh-CN"/>
        </w:rPr>
        <w:t>397</w:t>
      </w:r>
      <w:r>
        <w:rPr>
          <w:rFonts w:ascii="Times New Roman" w:eastAsia="宋体" w:hAnsi="Times New Roman" w:cs="宋体"/>
          <w:color w:val="auto"/>
          <w:sz w:val="24"/>
          <w:szCs w:val="24"/>
          <w:lang w:eastAsia="zh-CN"/>
        </w:rPr>
        <w:t>号，</w:t>
      </w:r>
      <w:r>
        <w:rPr>
          <w:rFonts w:ascii="Times New Roman" w:eastAsia="宋体" w:hAnsi="Times New Roman" w:cs="TimesNewRomanPSMT"/>
          <w:color w:val="auto"/>
          <w:sz w:val="24"/>
          <w:szCs w:val="24"/>
          <w:lang w:eastAsia="zh-CN"/>
        </w:rPr>
        <w:t>202</w:t>
      </w:r>
      <w:r>
        <w:rPr>
          <w:rFonts w:ascii="Times New Roman" w:eastAsia="宋体" w:hAnsi="Times New Roman" w:cs="TimesNewRomanPSMT" w:hint="eastAsia"/>
          <w:color w:val="auto"/>
          <w:sz w:val="24"/>
          <w:szCs w:val="24"/>
          <w:lang w:eastAsia="zh-CN"/>
        </w:rPr>
        <w:t>2</w:t>
      </w:r>
      <w:r>
        <w:rPr>
          <w:rFonts w:ascii="Times New Roman" w:eastAsia="宋体" w:hAnsi="Times New Roman" w:cs="宋体"/>
          <w:color w:val="auto"/>
          <w:sz w:val="24"/>
          <w:szCs w:val="24"/>
          <w:lang w:eastAsia="zh-CN"/>
        </w:rPr>
        <w:t>年</w:t>
      </w:r>
      <w:r>
        <w:rPr>
          <w:rFonts w:ascii="Times New Roman" w:eastAsia="宋体" w:hAnsi="Times New Roman" w:cs="宋体" w:hint="eastAsia"/>
          <w:color w:val="auto"/>
          <w:sz w:val="24"/>
          <w:szCs w:val="24"/>
          <w:lang w:eastAsia="zh-CN"/>
        </w:rPr>
        <w:t>03</w:t>
      </w:r>
      <w:r>
        <w:rPr>
          <w:rFonts w:ascii="Times New Roman" w:eastAsia="宋体" w:hAnsi="Times New Roman" w:cs="宋体"/>
          <w:color w:val="auto"/>
          <w:sz w:val="24"/>
          <w:szCs w:val="24"/>
          <w:lang w:eastAsia="zh-CN"/>
        </w:rPr>
        <w:t>月</w:t>
      </w:r>
      <w:r>
        <w:rPr>
          <w:rFonts w:ascii="Times New Roman" w:eastAsia="宋体" w:hAnsi="Times New Roman" w:cs="TimesNewRomanPSMT" w:hint="eastAsia"/>
          <w:color w:val="auto"/>
          <w:sz w:val="24"/>
          <w:szCs w:val="24"/>
          <w:lang w:eastAsia="zh-CN"/>
        </w:rPr>
        <w:t>12</w:t>
      </w:r>
      <w:r>
        <w:rPr>
          <w:rFonts w:ascii="Times New Roman" w:eastAsia="宋体" w:hAnsi="Times New Roman" w:cs="宋体"/>
          <w:color w:val="auto"/>
          <w:sz w:val="24"/>
          <w:szCs w:val="24"/>
          <w:lang w:eastAsia="zh-CN"/>
        </w:rPr>
        <w:t>日；</w:t>
      </w:r>
    </w:p>
    <w:p w14:paraId="5259A143"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hint="eastAsia"/>
          <w:color w:val="auto"/>
          <w:sz w:val="24"/>
          <w:szCs w:val="24"/>
          <w:lang w:eastAsia="zh-CN"/>
        </w:rPr>
        <w:t>27</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《自然资源部办公厅关于进一步规范项目用海监管工作的函》自然资办函〔</w:t>
      </w:r>
      <w:r>
        <w:rPr>
          <w:rFonts w:ascii="Times New Roman" w:eastAsia="宋体" w:hAnsi="Times New Roman" w:cs="TimesNewRomanPSMT"/>
          <w:color w:val="auto"/>
          <w:sz w:val="24"/>
          <w:szCs w:val="24"/>
          <w:lang w:eastAsia="zh-CN"/>
        </w:rPr>
        <w:t>2022</w:t>
      </w:r>
      <w:r>
        <w:rPr>
          <w:rFonts w:ascii="Times New Roman" w:eastAsia="宋体" w:hAnsi="Times New Roman" w:cs="宋体"/>
          <w:color w:val="auto"/>
          <w:sz w:val="24"/>
          <w:szCs w:val="24"/>
          <w:lang w:eastAsia="zh-CN"/>
        </w:rPr>
        <w:t>〕</w:t>
      </w:r>
      <w:r>
        <w:rPr>
          <w:rFonts w:ascii="Times New Roman" w:eastAsia="宋体" w:hAnsi="Times New Roman" w:cs="TimesNewRomanPSMT"/>
          <w:color w:val="auto"/>
          <w:sz w:val="24"/>
          <w:szCs w:val="24"/>
          <w:lang w:eastAsia="zh-CN"/>
        </w:rPr>
        <w:t>640</w:t>
      </w:r>
      <w:r>
        <w:rPr>
          <w:rFonts w:ascii="Times New Roman" w:eastAsia="宋体" w:hAnsi="Times New Roman" w:cs="宋体"/>
          <w:color w:val="auto"/>
          <w:sz w:val="24"/>
          <w:szCs w:val="24"/>
          <w:lang w:eastAsia="zh-CN"/>
        </w:rPr>
        <w:t>号，自然资源部</w:t>
      </w:r>
      <w:r>
        <w:rPr>
          <w:rFonts w:ascii="Times New Roman" w:eastAsia="宋体" w:hAnsi="Times New Roman" w:cs="宋体" w:hint="eastAsia"/>
          <w:color w:val="auto"/>
          <w:sz w:val="24"/>
          <w:szCs w:val="24"/>
          <w:lang w:eastAsia="zh-CN"/>
        </w:rPr>
        <w:t>，</w:t>
      </w:r>
      <w:r>
        <w:rPr>
          <w:rFonts w:ascii="Times New Roman" w:eastAsia="宋体" w:hAnsi="Times New Roman" w:cs="TimesNewRomanPSMT"/>
          <w:color w:val="auto"/>
          <w:sz w:val="24"/>
          <w:szCs w:val="24"/>
          <w:lang w:eastAsia="zh-CN"/>
        </w:rPr>
        <w:t>2022</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4</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15</w:t>
      </w:r>
      <w:r>
        <w:rPr>
          <w:rFonts w:ascii="Times New Roman" w:eastAsia="宋体" w:hAnsi="Times New Roman" w:cs="宋体"/>
          <w:color w:val="auto"/>
          <w:sz w:val="24"/>
          <w:szCs w:val="24"/>
          <w:lang w:eastAsia="zh-CN"/>
        </w:rPr>
        <w:t>日；</w:t>
      </w:r>
    </w:p>
    <w:p w14:paraId="538C5DCE"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28.</w:t>
      </w:r>
      <w:r>
        <w:rPr>
          <w:rFonts w:ascii="Times New Roman" w:eastAsia="宋体" w:hAnsi="Times New Roman" w:cs="宋体" w:hint="eastAsia"/>
          <w:color w:val="auto"/>
          <w:sz w:val="24"/>
          <w:szCs w:val="24"/>
          <w:lang w:eastAsia="zh-CN"/>
        </w:rPr>
        <w:t>《红树林造林合格面积认定及成果应用规则</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试行</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》自然资办发</w:t>
      </w:r>
      <w:r>
        <w:rPr>
          <w:rFonts w:ascii="Times New Roman" w:eastAsia="宋体" w:hAnsi="Times New Roman" w:cs="宋体" w:hint="eastAsia"/>
          <w:color w:val="auto"/>
          <w:sz w:val="24"/>
          <w:szCs w:val="24"/>
          <w:lang w:eastAsia="zh-CN"/>
        </w:rPr>
        <w:t>[2022]27</w:t>
      </w:r>
      <w:r>
        <w:rPr>
          <w:rFonts w:ascii="Times New Roman" w:eastAsia="宋体" w:hAnsi="Times New Roman" w:cs="宋体" w:hint="eastAsia"/>
          <w:color w:val="auto"/>
          <w:sz w:val="24"/>
          <w:szCs w:val="24"/>
          <w:lang w:eastAsia="zh-CN"/>
        </w:rPr>
        <w:t>号，自然资源部办公厅国家林业和草原局办公室；</w:t>
      </w:r>
    </w:p>
    <w:p w14:paraId="4AF79934"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2</w:t>
      </w:r>
      <w:r>
        <w:rPr>
          <w:rFonts w:ascii="Times New Roman" w:eastAsia="宋体" w:hAnsi="Times New Roman" w:cs="宋体" w:hint="eastAsia"/>
          <w:color w:val="auto"/>
          <w:sz w:val="24"/>
          <w:szCs w:val="24"/>
          <w:lang w:eastAsia="zh-CN"/>
        </w:rPr>
        <w:t>9</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《关于加强生态保护红线管理的通知（试行）》自然资发〔</w:t>
      </w:r>
      <w:r>
        <w:rPr>
          <w:rFonts w:ascii="Times New Roman" w:eastAsia="宋体" w:hAnsi="Times New Roman" w:cs="宋体" w:hint="eastAsia"/>
          <w:color w:val="auto"/>
          <w:sz w:val="24"/>
          <w:szCs w:val="24"/>
          <w:lang w:eastAsia="zh-CN"/>
        </w:rPr>
        <w:t>2022</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142</w:t>
      </w:r>
      <w:r>
        <w:rPr>
          <w:rFonts w:ascii="Times New Roman" w:eastAsia="宋体" w:hAnsi="Times New Roman" w:cs="宋体" w:hint="eastAsia"/>
          <w:color w:val="auto"/>
          <w:sz w:val="24"/>
          <w:szCs w:val="24"/>
          <w:lang w:eastAsia="zh-CN"/>
        </w:rPr>
        <w:t>号，自然资源部、生态环境部和国家林草局，</w:t>
      </w:r>
      <w:r>
        <w:rPr>
          <w:rFonts w:ascii="Times New Roman" w:eastAsia="宋体" w:hAnsi="Times New Roman" w:cs="宋体" w:hint="eastAsia"/>
          <w:color w:val="auto"/>
          <w:sz w:val="24"/>
          <w:szCs w:val="24"/>
          <w:lang w:eastAsia="zh-CN"/>
        </w:rPr>
        <w:t>2022</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8</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16</w:t>
      </w:r>
      <w:r>
        <w:rPr>
          <w:rFonts w:ascii="Times New Roman" w:eastAsia="宋体" w:hAnsi="Times New Roman" w:cs="宋体" w:hint="eastAsia"/>
          <w:color w:val="auto"/>
          <w:sz w:val="24"/>
          <w:szCs w:val="24"/>
          <w:lang w:eastAsia="zh-CN"/>
        </w:rPr>
        <w:t>日实施；</w:t>
      </w:r>
    </w:p>
    <w:p w14:paraId="17BD32EA"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NewRomanPSMT" w:hint="eastAsia"/>
          <w:color w:val="auto"/>
          <w:sz w:val="24"/>
          <w:szCs w:val="24"/>
          <w:lang w:eastAsia="zh-CN"/>
        </w:rPr>
        <w:t>30</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《自然资源部办公厅关于北京等省（区、市）启用</w:t>
      </w:r>
      <w:r>
        <w:rPr>
          <w:rFonts w:ascii="Times New Roman" w:eastAsia="宋体" w:hAnsi="Times New Roman" w:cs="TimesNewRomanPSMT" w:hint="eastAsia"/>
          <w:color w:val="auto"/>
          <w:sz w:val="24"/>
          <w:szCs w:val="24"/>
          <w:lang w:eastAsia="zh-CN"/>
        </w:rPr>
        <w:t>“</w:t>
      </w:r>
      <w:r>
        <w:rPr>
          <w:rFonts w:ascii="Times New Roman" w:eastAsia="宋体" w:hAnsi="Times New Roman" w:cs="宋体"/>
          <w:color w:val="auto"/>
          <w:sz w:val="24"/>
          <w:szCs w:val="24"/>
          <w:lang w:eastAsia="zh-CN"/>
        </w:rPr>
        <w:t>三区三线</w:t>
      </w:r>
      <w:r>
        <w:rPr>
          <w:rFonts w:ascii="Times New Roman" w:eastAsia="宋体" w:hAnsi="Times New Roman" w:cs="TimesNewRomanPSMT" w:hint="eastAsia"/>
          <w:color w:val="auto"/>
          <w:sz w:val="24"/>
          <w:szCs w:val="24"/>
          <w:lang w:eastAsia="zh-CN"/>
        </w:rPr>
        <w:t>”</w:t>
      </w:r>
      <w:r>
        <w:rPr>
          <w:rFonts w:ascii="Times New Roman" w:eastAsia="宋体" w:hAnsi="Times New Roman" w:cs="宋体"/>
          <w:color w:val="auto"/>
          <w:sz w:val="24"/>
          <w:szCs w:val="24"/>
          <w:lang w:eastAsia="zh-CN"/>
        </w:rPr>
        <w:t>划定成果作为报批建设用地用海依据的函》自然资办函〔</w:t>
      </w:r>
      <w:r>
        <w:rPr>
          <w:rFonts w:ascii="Times New Roman" w:eastAsia="宋体" w:hAnsi="Times New Roman" w:cs="TimesNewRomanPSMT"/>
          <w:color w:val="auto"/>
          <w:sz w:val="24"/>
          <w:szCs w:val="24"/>
          <w:lang w:eastAsia="zh-CN"/>
        </w:rPr>
        <w:t>2022</w:t>
      </w:r>
      <w:r>
        <w:rPr>
          <w:rFonts w:ascii="Times New Roman" w:eastAsia="宋体" w:hAnsi="Times New Roman" w:cs="宋体"/>
          <w:color w:val="auto"/>
          <w:sz w:val="24"/>
          <w:szCs w:val="24"/>
          <w:lang w:eastAsia="zh-CN"/>
        </w:rPr>
        <w:t>〕</w:t>
      </w:r>
      <w:r>
        <w:rPr>
          <w:rFonts w:ascii="Times New Roman" w:eastAsia="宋体" w:hAnsi="Times New Roman" w:cs="TimesNewRomanPSMT"/>
          <w:color w:val="auto"/>
          <w:sz w:val="24"/>
          <w:szCs w:val="24"/>
          <w:lang w:eastAsia="zh-CN"/>
        </w:rPr>
        <w:t>2207</w:t>
      </w:r>
      <w:r>
        <w:rPr>
          <w:rFonts w:ascii="Times New Roman" w:eastAsia="宋体" w:hAnsi="Times New Roman" w:cs="宋体"/>
          <w:color w:val="auto"/>
          <w:sz w:val="24"/>
          <w:szCs w:val="24"/>
          <w:lang w:eastAsia="zh-CN"/>
        </w:rPr>
        <w:t>号，自然资源部</w:t>
      </w:r>
      <w:r>
        <w:rPr>
          <w:rFonts w:ascii="Times New Roman" w:eastAsia="宋体" w:hAnsi="Times New Roman" w:cs="宋体" w:hint="eastAsia"/>
          <w:color w:val="auto"/>
          <w:sz w:val="24"/>
          <w:szCs w:val="24"/>
          <w:lang w:eastAsia="zh-CN"/>
        </w:rPr>
        <w:t>，</w:t>
      </w:r>
      <w:r>
        <w:rPr>
          <w:rFonts w:ascii="Times New Roman" w:eastAsia="宋体" w:hAnsi="Times New Roman" w:cs="TimesNewRomanPSMT"/>
          <w:color w:val="auto"/>
          <w:sz w:val="24"/>
          <w:szCs w:val="24"/>
          <w:lang w:eastAsia="zh-CN"/>
        </w:rPr>
        <w:t>2022</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10</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14</w:t>
      </w:r>
      <w:r>
        <w:rPr>
          <w:rFonts w:ascii="Times New Roman" w:eastAsia="宋体" w:hAnsi="Times New Roman" w:cs="宋体"/>
          <w:color w:val="auto"/>
          <w:sz w:val="24"/>
          <w:szCs w:val="24"/>
          <w:lang w:eastAsia="zh-CN"/>
        </w:rPr>
        <w:t>日；</w:t>
      </w:r>
    </w:p>
    <w:p w14:paraId="5056F860"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lastRenderedPageBreak/>
        <w:t>31.</w:t>
      </w:r>
      <w:r>
        <w:rPr>
          <w:rFonts w:ascii="Times New Roman" w:eastAsia="宋体" w:hAnsi="Times New Roman" w:cs="宋体" w:hint="eastAsia"/>
          <w:color w:val="auto"/>
          <w:sz w:val="24"/>
          <w:szCs w:val="24"/>
          <w:lang w:eastAsia="zh-CN"/>
        </w:rPr>
        <w:t>《自然资源部办公厅关于加强国土空间生态修复项目规范实施和监督管理的通知》自然资办发</w:t>
      </w:r>
      <w:r>
        <w:rPr>
          <w:rFonts w:ascii="Times New Roman" w:eastAsia="宋体" w:hAnsi="Times New Roman" w:cs="宋体" w:hint="eastAsia"/>
          <w:color w:val="auto"/>
          <w:sz w:val="24"/>
          <w:szCs w:val="24"/>
          <w:lang w:eastAsia="zh-CN"/>
        </w:rPr>
        <w:t>[2023]10</w:t>
      </w:r>
      <w:r>
        <w:rPr>
          <w:rFonts w:ascii="Times New Roman" w:eastAsia="宋体" w:hAnsi="Times New Roman" w:cs="宋体" w:hint="eastAsia"/>
          <w:color w:val="auto"/>
          <w:sz w:val="24"/>
          <w:szCs w:val="24"/>
          <w:lang w:eastAsia="zh-CN"/>
        </w:rPr>
        <w:t>号，自然资源部办公厅，</w:t>
      </w:r>
      <w:r>
        <w:rPr>
          <w:rFonts w:ascii="Times New Roman" w:eastAsia="宋体" w:hAnsi="Times New Roman" w:cs="宋体"/>
          <w:color w:val="auto"/>
          <w:sz w:val="24"/>
          <w:szCs w:val="24"/>
          <w:lang w:eastAsia="zh-CN"/>
        </w:rPr>
        <w:t>2023</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3</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2</w:t>
      </w:r>
      <w:r>
        <w:rPr>
          <w:rFonts w:ascii="Times New Roman" w:eastAsia="宋体" w:hAnsi="Times New Roman" w:cs="宋体"/>
          <w:color w:val="auto"/>
          <w:sz w:val="24"/>
          <w:szCs w:val="24"/>
          <w:lang w:eastAsia="zh-CN"/>
        </w:rPr>
        <w:t>日</w:t>
      </w:r>
      <w:r>
        <w:rPr>
          <w:rFonts w:ascii="Times New Roman" w:eastAsia="宋体" w:hAnsi="Times New Roman" w:cs="宋体" w:hint="eastAsia"/>
          <w:color w:val="auto"/>
          <w:sz w:val="24"/>
          <w:szCs w:val="24"/>
          <w:lang w:eastAsia="zh-CN"/>
        </w:rPr>
        <w:t>；</w:t>
      </w:r>
    </w:p>
    <w:p w14:paraId="33834BA6"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32</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《自然资源部关于进一步做好用地用海要素保障的通知》自然资发〔</w:t>
      </w:r>
      <w:r>
        <w:rPr>
          <w:rFonts w:ascii="Times New Roman" w:eastAsia="宋体" w:hAnsi="Times New Roman" w:cs="宋体"/>
          <w:color w:val="auto"/>
          <w:sz w:val="24"/>
          <w:szCs w:val="24"/>
          <w:lang w:eastAsia="zh-CN"/>
        </w:rPr>
        <w:t>2023</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89</w:t>
      </w:r>
      <w:r>
        <w:rPr>
          <w:rFonts w:ascii="Times New Roman" w:eastAsia="宋体" w:hAnsi="Times New Roman" w:cs="宋体" w:hint="eastAsia"/>
          <w:color w:val="auto"/>
          <w:sz w:val="24"/>
          <w:szCs w:val="24"/>
          <w:lang w:eastAsia="zh-CN"/>
        </w:rPr>
        <w:t>号，自</w:t>
      </w:r>
      <w:r>
        <w:rPr>
          <w:rFonts w:ascii="Times New Roman" w:eastAsia="宋体" w:hAnsi="Times New Roman" w:cs="宋体" w:hint="eastAsia"/>
          <w:color w:val="auto"/>
          <w:sz w:val="24"/>
          <w:szCs w:val="24"/>
          <w:lang w:eastAsia="zh-CN"/>
        </w:rPr>
        <w:t>2023</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13</w:t>
      </w:r>
      <w:r>
        <w:rPr>
          <w:rFonts w:ascii="Times New Roman" w:eastAsia="宋体" w:hAnsi="Times New Roman" w:cs="宋体" w:hint="eastAsia"/>
          <w:color w:val="auto"/>
          <w:sz w:val="24"/>
          <w:szCs w:val="24"/>
          <w:lang w:eastAsia="zh-CN"/>
        </w:rPr>
        <w:t>日起施行，有效期至</w:t>
      </w:r>
      <w:r>
        <w:rPr>
          <w:rFonts w:ascii="Times New Roman" w:eastAsia="宋体" w:hAnsi="Times New Roman" w:cs="宋体" w:hint="eastAsia"/>
          <w:color w:val="auto"/>
          <w:sz w:val="24"/>
          <w:szCs w:val="24"/>
          <w:lang w:eastAsia="zh-CN"/>
        </w:rPr>
        <w:t>2025</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12</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31</w:t>
      </w:r>
      <w:r>
        <w:rPr>
          <w:rFonts w:ascii="Times New Roman" w:eastAsia="宋体" w:hAnsi="Times New Roman" w:cs="宋体" w:hint="eastAsia"/>
          <w:color w:val="auto"/>
          <w:sz w:val="24"/>
          <w:szCs w:val="24"/>
          <w:lang w:eastAsia="zh-CN"/>
        </w:rPr>
        <w:t>日；</w:t>
      </w:r>
    </w:p>
    <w:p w14:paraId="4EF9F1CD"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33.</w:t>
      </w:r>
      <w:r>
        <w:rPr>
          <w:rFonts w:ascii="Times New Roman" w:eastAsia="宋体" w:hAnsi="Times New Roman" w:cs="宋体"/>
          <w:color w:val="auto"/>
          <w:sz w:val="24"/>
          <w:szCs w:val="24"/>
          <w:lang w:eastAsia="zh-CN"/>
        </w:rPr>
        <w:t>《自然资源部关于印发《国土空间调查、规划、用途管制用地用海分类指南》的通知》自然资发〔</w:t>
      </w:r>
      <w:r>
        <w:rPr>
          <w:rFonts w:ascii="Times New Roman" w:eastAsia="宋体" w:hAnsi="Times New Roman" w:cs="TimesNewRomanPSMT"/>
          <w:color w:val="auto"/>
          <w:sz w:val="24"/>
          <w:szCs w:val="24"/>
          <w:lang w:eastAsia="zh-CN"/>
        </w:rPr>
        <w:t>2023</w:t>
      </w:r>
      <w:r>
        <w:rPr>
          <w:rFonts w:ascii="Times New Roman" w:eastAsia="宋体" w:hAnsi="Times New Roman" w:cs="宋体"/>
          <w:color w:val="auto"/>
          <w:sz w:val="24"/>
          <w:szCs w:val="24"/>
          <w:lang w:eastAsia="zh-CN"/>
        </w:rPr>
        <w:t>〕</w:t>
      </w:r>
      <w:r>
        <w:rPr>
          <w:rFonts w:ascii="Times New Roman" w:eastAsia="宋体" w:hAnsi="Times New Roman" w:cs="TimesNewRomanPSMT"/>
          <w:color w:val="auto"/>
          <w:sz w:val="24"/>
          <w:szCs w:val="24"/>
          <w:lang w:eastAsia="zh-CN"/>
        </w:rPr>
        <w:t>234</w:t>
      </w:r>
      <w:r>
        <w:rPr>
          <w:rFonts w:ascii="Times New Roman" w:eastAsia="宋体" w:hAnsi="Times New Roman" w:cs="宋体"/>
          <w:color w:val="auto"/>
          <w:sz w:val="24"/>
          <w:szCs w:val="24"/>
          <w:lang w:eastAsia="zh-CN"/>
        </w:rPr>
        <w:t>号</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自然资源部</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2023</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11</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22</w:t>
      </w:r>
      <w:r>
        <w:rPr>
          <w:rFonts w:ascii="Times New Roman" w:eastAsia="宋体" w:hAnsi="Times New Roman" w:cs="宋体"/>
          <w:color w:val="auto"/>
          <w:sz w:val="24"/>
          <w:szCs w:val="24"/>
          <w:lang w:eastAsia="zh-CN"/>
        </w:rPr>
        <w:t>日</w:t>
      </w:r>
      <w:r>
        <w:rPr>
          <w:rFonts w:ascii="Times New Roman" w:eastAsia="宋体" w:hAnsi="Times New Roman" w:cs="宋体"/>
          <w:color w:val="auto"/>
          <w:sz w:val="24"/>
          <w:szCs w:val="24"/>
          <w:lang w:eastAsia="zh-CN"/>
        </w:rPr>
        <w:t>；</w:t>
      </w:r>
    </w:p>
    <w:p w14:paraId="65BE1EC9"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34.</w:t>
      </w:r>
      <w:r>
        <w:rPr>
          <w:rFonts w:ascii="Times New Roman" w:eastAsia="宋体" w:hAnsi="Times New Roman" w:cs="宋体"/>
          <w:color w:val="auto"/>
          <w:sz w:val="24"/>
          <w:szCs w:val="24"/>
          <w:lang w:eastAsia="zh-CN"/>
        </w:rPr>
        <w:t>《产业结构调整指导目录（</w:t>
      </w:r>
      <w:r>
        <w:rPr>
          <w:rFonts w:ascii="Times New Roman" w:eastAsia="宋体" w:hAnsi="Times New Roman" w:cs="TimesNewRomanPSMT"/>
          <w:color w:val="auto"/>
          <w:sz w:val="24"/>
          <w:szCs w:val="24"/>
          <w:lang w:eastAsia="zh-CN"/>
        </w:rPr>
        <w:t>2024</w:t>
      </w:r>
      <w:r>
        <w:rPr>
          <w:rFonts w:ascii="Times New Roman" w:eastAsia="宋体" w:hAnsi="Times New Roman" w:cs="宋体"/>
          <w:color w:val="auto"/>
          <w:sz w:val="24"/>
          <w:szCs w:val="24"/>
          <w:lang w:eastAsia="zh-CN"/>
        </w:rPr>
        <w:t>年本）》，国家发展改革委，自</w:t>
      </w:r>
      <w:r>
        <w:rPr>
          <w:rFonts w:ascii="Times New Roman" w:eastAsia="宋体" w:hAnsi="Times New Roman" w:cs="TimesNewRomanPSMT"/>
          <w:color w:val="auto"/>
          <w:sz w:val="24"/>
          <w:szCs w:val="24"/>
          <w:lang w:eastAsia="zh-CN"/>
        </w:rPr>
        <w:t>2024</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2</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1</w:t>
      </w:r>
      <w:r>
        <w:rPr>
          <w:rFonts w:ascii="Times New Roman" w:eastAsia="宋体" w:hAnsi="Times New Roman" w:cs="宋体"/>
          <w:color w:val="auto"/>
          <w:sz w:val="24"/>
          <w:szCs w:val="24"/>
          <w:lang w:eastAsia="zh-CN"/>
        </w:rPr>
        <w:t>日起正式施行；</w:t>
      </w:r>
    </w:p>
    <w:p w14:paraId="49AFF2A4"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35.</w:t>
      </w:r>
      <w:r>
        <w:rPr>
          <w:rFonts w:ascii="Times New Roman" w:eastAsia="宋体" w:hAnsi="Times New Roman" w:cs="宋体" w:hint="eastAsia"/>
          <w:color w:val="auto"/>
          <w:sz w:val="24"/>
          <w:szCs w:val="24"/>
          <w:lang w:eastAsia="zh-CN"/>
        </w:rPr>
        <w:t>《国家林业和草原局关于进一步做好林草要素保障工作的通知》，</w:t>
      </w:r>
      <w:r>
        <w:rPr>
          <w:rFonts w:ascii="Times New Roman" w:eastAsia="宋体" w:hAnsi="Times New Roman" w:cs="宋体"/>
          <w:color w:val="auto"/>
          <w:sz w:val="24"/>
          <w:szCs w:val="24"/>
          <w:lang w:eastAsia="zh-CN"/>
        </w:rPr>
        <w:t>林办发〔</w:t>
      </w:r>
      <w:r>
        <w:rPr>
          <w:rFonts w:ascii="Times New Roman" w:eastAsia="宋体" w:hAnsi="Times New Roman" w:cs="宋体"/>
          <w:color w:val="auto"/>
          <w:sz w:val="24"/>
          <w:szCs w:val="24"/>
          <w:lang w:eastAsia="zh-CN"/>
        </w:rPr>
        <w:t>2024</w:t>
      </w: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64</w:t>
      </w:r>
      <w:r>
        <w:rPr>
          <w:rFonts w:ascii="Times New Roman" w:eastAsia="宋体" w:hAnsi="Times New Roman" w:cs="宋体"/>
          <w:color w:val="auto"/>
          <w:sz w:val="24"/>
          <w:szCs w:val="24"/>
          <w:lang w:eastAsia="zh-CN"/>
        </w:rPr>
        <w:t>号</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2024</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10</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14</w:t>
      </w:r>
      <w:r>
        <w:rPr>
          <w:rFonts w:ascii="Times New Roman" w:eastAsia="宋体" w:hAnsi="Times New Roman" w:cs="宋体" w:hint="eastAsia"/>
          <w:color w:val="auto"/>
          <w:sz w:val="24"/>
          <w:szCs w:val="24"/>
          <w:lang w:eastAsia="zh-CN"/>
        </w:rPr>
        <w:t>日；</w:t>
      </w:r>
    </w:p>
    <w:p w14:paraId="7DFC4D73"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36.</w:t>
      </w:r>
      <w:r>
        <w:rPr>
          <w:rFonts w:ascii="Times New Roman" w:eastAsia="宋体" w:hAnsi="Times New Roman" w:cs="宋体" w:hint="eastAsia"/>
          <w:color w:val="auto"/>
          <w:sz w:val="24"/>
          <w:szCs w:val="24"/>
          <w:lang w:eastAsia="zh-CN"/>
        </w:rPr>
        <w:t>《自然资源部</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hint="eastAsia"/>
          <w:color w:val="auto"/>
          <w:sz w:val="24"/>
          <w:szCs w:val="24"/>
          <w:lang w:eastAsia="zh-CN"/>
        </w:rPr>
        <w:t>国家林业和草原局关于做好自然保护区范围及功能分区优化调整前期有关工作的函》自然资函〔</w:t>
      </w:r>
      <w:r>
        <w:rPr>
          <w:rFonts w:ascii="Times New Roman" w:eastAsia="宋体" w:hAnsi="Times New Roman" w:cs="宋体" w:hint="eastAsia"/>
          <w:color w:val="auto"/>
          <w:sz w:val="24"/>
          <w:szCs w:val="24"/>
          <w:lang w:eastAsia="zh-CN"/>
        </w:rPr>
        <w:t>2020</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71</w:t>
      </w:r>
      <w:r>
        <w:rPr>
          <w:rFonts w:ascii="Times New Roman" w:eastAsia="宋体" w:hAnsi="Times New Roman" w:cs="宋体" w:hint="eastAsia"/>
          <w:color w:val="auto"/>
          <w:sz w:val="24"/>
          <w:szCs w:val="24"/>
          <w:lang w:eastAsia="zh-CN"/>
        </w:rPr>
        <w:t>号，自然资源部</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hint="eastAsia"/>
          <w:color w:val="auto"/>
          <w:sz w:val="24"/>
          <w:szCs w:val="24"/>
          <w:lang w:eastAsia="zh-CN"/>
        </w:rPr>
        <w:t>国家林业和草原局，</w:t>
      </w:r>
      <w:r>
        <w:rPr>
          <w:rFonts w:ascii="Times New Roman" w:eastAsia="宋体" w:hAnsi="Times New Roman" w:cs="宋体" w:hint="eastAsia"/>
          <w:color w:val="auto"/>
          <w:sz w:val="24"/>
          <w:szCs w:val="24"/>
          <w:lang w:eastAsia="zh-CN"/>
        </w:rPr>
        <w:t>2020</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10</w:t>
      </w:r>
      <w:r>
        <w:rPr>
          <w:rFonts w:ascii="Times New Roman" w:eastAsia="宋体" w:hAnsi="Times New Roman" w:cs="宋体" w:hint="eastAsia"/>
          <w:color w:val="auto"/>
          <w:sz w:val="24"/>
          <w:szCs w:val="24"/>
          <w:lang w:eastAsia="zh-CN"/>
        </w:rPr>
        <w:t>日；</w:t>
      </w:r>
    </w:p>
    <w:p w14:paraId="533426BE"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37.</w:t>
      </w:r>
      <w:r>
        <w:rPr>
          <w:rFonts w:ascii="Times New Roman" w:eastAsia="宋体" w:hAnsi="Times New Roman" w:cs="宋体" w:hint="eastAsia"/>
          <w:color w:val="auto"/>
          <w:sz w:val="24"/>
          <w:szCs w:val="24"/>
          <w:lang w:eastAsia="zh-CN"/>
        </w:rPr>
        <w:t>《中华人民共和国国家公园法》，</w:t>
      </w:r>
      <w:r>
        <w:rPr>
          <w:rFonts w:ascii="Times New Roman" w:eastAsia="宋体" w:hAnsi="Times New Roman" w:cs="宋体" w:hint="eastAsia"/>
          <w:color w:val="auto"/>
          <w:sz w:val="24"/>
          <w:szCs w:val="24"/>
          <w:lang w:eastAsia="zh-CN"/>
        </w:rPr>
        <w:t>2025</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9</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12</w:t>
      </w:r>
      <w:r>
        <w:rPr>
          <w:rFonts w:ascii="Times New Roman" w:eastAsia="宋体" w:hAnsi="Times New Roman" w:cs="宋体" w:hint="eastAsia"/>
          <w:color w:val="auto"/>
          <w:sz w:val="24"/>
          <w:szCs w:val="24"/>
          <w:lang w:eastAsia="zh-CN"/>
        </w:rPr>
        <w:t>日第十四届全国人民代表大会常务委员会第十七次会议通过，自</w:t>
      </w:r>
      <w:r>
        <w:rPr>
          <w:rFonts w:ascii="Times New Roman" w:eastAsia="宋体" w:hAnsi="Times New Roman" w:cs="宋体" w:hint="eastAsia"/>
          <w:color w:val="auto"/>
          <w:sz w:val="24"/>
          <w:szCs w:val="24"/>
          <w:lang w:eastAsia="zh-CN"/>
        </w:rPr>
        <w:t>2026</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日起施行。</w:t>
      </w:r>
    </w:p>
    <w:p w14:paraId="12BF2B81" w14:textId="77777777" w:rsidR="0075791A" w:rsidRDefault="00FB2864">
      <w:pPr>
        <w:pStyle w:val="4"/>
        <w:spacing w:before="0" w:after="0" w:line="360" w:lineRule="auto"/>
        <w:rPr>
          <w:rFonts w:ascii="Times New Roman" w:eastAsia="宋体" w:hAnsi="Times New Roman"/>
          <w:color w:val="auto"/>
          <w:sz w:val="24"/>
          <w:szCs w:val="24"/>
          <w:lang w:eastAsia="zh-CN"/>
        </w:rPr>
      </w:pPr>
      <w:r>
        <w:rPr>
          <w:rFonts w:ascii="Times New Roman" w:eastAsia="宋体" w:hAnsi="Times New Roman" w:hint="eastAsia"/>
          <w:color w:val="auto"/>
          <w:sz w:val="24"/>
          <w:szCs w:val="24"/>
          <w:lang w:eastAsia="zh-CN"/>
        </w:rPr>
        <w:t xml:space="preserve">1.2.1.2 </w:t>
      </w:r>
      <w:r>
        <w:rPr>
          <w:rFonts w:ascii="Times New Roman" w:eastAsia="宋体" w:hAnsi="Times New Roman" w:hint="eastAsia"/>
          <w:color w:val="auto"/>
          <w:sz w:val="24"/>
          <w:szCs w:val="24"/>
          <w:lang w:eastAsia="zh-CN"/>
        </w:rPr>
        <w:t>地方法</w:t>
      </w:r>
      <w:r>
        <w:rPr>
          <w:rFonts w:ascii="Times New Roman" w:eastAsia="宋体" w:hAnsi="Times New Roman" w:hint="eastAsia"/>
          <w:color w:val="auto"/>
          <w:sz w:val="24"/>
          <w:szCs w:val="24"/>
          <w:lang w:eastAsia="zh-CN"/>
        </w:rPr>
        <w:t>律法规、政策</w:t>
      </w:r>
    </w:p>
    <w:p w14:paraId="4AF4BD98"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w:t>
      </w:r>
      <w:r>
        <w:rPr>
          <w:rFonts w:ascii="Times New Roman" w:eastAsia="宋体" w:hAnsi="Times New Roman" w:cs="宋体"/>
          <w:color w:val="auto"/>
          <w:sz w:val="24"/>
          <w:szCs w:val="24"/>
          <w:lang w:eastAsia="zh-CN"/>
        </w:rPr>
        <w:t>《海南省实施〈中华人民共和国渔业法〉办法》，</w:t>
      </w:r>
      <w:r>
        <w:rPr>
          <w:rFonts w:ascii="Times New Roman" w:eastAsia="宋体" w:hAnsi="Times New Roman" w:cs="TimesNewRomanPSMT"/>
          <w:color w:val="auto"/>
          <w:sz w:val="24"/>
          <w:szCs w:val="24"/>
          <w:lang w:eastAsia="zh-CN"/>
        </w:rPr>
        <w:t>2015</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7</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31</w:t>
      </w:r>
      <w:r>
        <w:rPr>
          <w:rFonts w:ascii="Times New Roman" w:eastAsia="宋体" w:hAnsi="Times New Roman" w:cs="宋体"/>
          <w:color w:val="auto"/>
          <w:sz w:val="24"/>
          <w:szCs w:val="24"/>
          <w:lang w:eastAsia="zh-CN"/>
        </w:rPr>
        <w:t>日海南省第五届人民代表大会常务委员会第十六次会议第二次修订；</w:t>
      </w:r>
    </w:p>
    <w:p w14:paraId="2A1A3FDF"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《海南省环境保护条例》</w:t>
      </w:r>
      <w:r>
        <w:rPr>
          <w:rFonts w:ascii="Times New Roman" w:eastAsia="宋体" w:hAnsi="Times New Roman" w:cs="宋体"/>
          <w:color w:val="auto"/>
          <w:sz w:val="24"/>
          <w:szCs w:val="24"/>
          <w:lang w:eastAsia="zh-CN"/>
        </w:rPr>
        <w:t>2017</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11</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30</w:t>
      </w:r>
      <w:r>
        <w:rPr>
          <w:rFonts w:ascii="Times New Roman" w:eastAsia="宋体" w:hAnsi="Times New Roman" w:cs="宋体"/>
          <w:color w:val="auto"/>
          <w:sz w:val="24"/>
          <w:szCs w:val="24"/>
          <w:lang w:eastAsia="zh-CN"/>
        </w:rPr>
        <w:t>日海南省第五届人大常务委员会第三十三次会议</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2018</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日施行；</w:t>
      </w:r>
    </w:p>
    <w:p w14:paraId="4C1104B5"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3.</w:t>
      </w:r>
      <w:r>
        <w:rPr>
          <w:rFonts w:ascii="Times New Roman" w:eastAsia="宋体" w:hAnsi="Times New Roman" w:cs="宋体"/>
          <w:color w:val="auto"/>
          <w:sz w:val="24"/>
          <w:szCs w:val="24"/>
          <w:lang w:eastAsia="zh-CN"/>
        </w:rPr>
        <w:t>《海南省实施〈中华人民共和国海域使用管理法〉办法修正案</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二</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海南省第六届人民代表大会常务委员会第三次会议，</w:t>
      </w:r>
      <w:r>
        <w:rPr>
          <w:rFonts w:ascii="Times New Roman" w:eastAsia="宋体" w:hAnsi="Times New Roman" w:cs="TimesNewRomanPSMT"/>
          <w:color w:val="auto"/>
          <w:sz w:val="24"/>
          <w:szCs w:val="24"/>
          <w:lang w:eastAsia="zh-CN"/>
        </w:rPr>
        <w:t>2018</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5</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15</w:t>
      </w:r>
      <w:r>
        <w:rPr>
          <w:rFonts w:ascii="Times New Roman" w:eastAsia="宋体" w:hAnsi="Times New Roman" w:cs="宋体"/>
          <w:color w:val="auto"/>
          <w:sz w:val="24"/>
          <w:szCs w:val="24"/>
          <w:lang w:eastAsia="zh-CN"/>
        </w:rPr>
        <w:t>日起施行</w:t>
      </w:r>
      <w:r>
        <w:rPr>
          <w:rFonts w:ascii="Times New Roman" w:eastAsia="宋体" w:hAnsi="Times New Roman" w:cs="TimesNewRomanPSMT"/>
          <w:color w:val="auto"/>
          <w:sz w:val="24"/>
          <w:szCs w:val="24"/>
          <w:lang w:eastAsia="zh-CN"/>
        </w:rPr>
        <w:t>)</w:t>
      </w:r>
      <w:r>
        <w:rPr>
          <w:rFonts w:ascii="Times New Roman" w:eastAsia="宋体" w:hAnsi="Times New Roman" w:cs="宋体"/>
          <w:color w:val="auto"/>
          <w:sz w:val="24"/>
          <w:szCs w:val="24"/>
          <w:lang w:eastAsia="zh-CN"/>
        </w:rPr>
        <w:t>；</w:t>
      </w:r>
    </w:p>
    <w:p w14:paraId="43EE8485"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4.</w:t>
      </w:r>
      <w:r>
        <w:rPr>
          <w:rFonts w:ascii="Times New Roman" w:eastAsia="宋体" w:hAnsi="Times New Roman" w:cs="宋体"/>
          <w:color w:val="auto"/>
          <w:sz w:val="24"/>
          <w:szCs w:val="24"/>
          <w:lang w:eastAsia="zh-CN"/>
        </w:rPr>
        <w:t>《海南省海洋环境保护规定》，</w:t>
      </w:r>
      <w:r>
        <w:rPr>
          <w:rFonts w:ascii="Times New Roman" w:eastAsia="宋体" w:hAnsi="Times New Roman" w:cs="TimesNewRomanPSMT"/>
          <w:color w:val="auto"/>
          <w:sz w:val="24"/>
          <w:szCs w:val="24"/>
          <w:lang w:eastAsia="zh-CN"/>
        </w:rPr>
        <w:t>2016</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3</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31</w:t>
      </w:r>
      <w:r>
        <w:rPr>
          <w:rFonts w:ascii="Times New Roman" w:eastAsia="宋体" w:hAnsi="Times New Roman" w:cs="宋体"/>
          <w:color w:val="auto"/>
          <w:sz w:val="24"/>
          <w:szCs w:val="24"/>
          <w:lang w:eastAsia="zh-CN"/>
        </w:rPr>
        <w:t>日海南省第五届人民代表大会常务委员会第二十次会议通过修订</w:t>
      </w:r>
      <w:r>
        <w:rPr>
          <w:rFonts w:ascii="Times New Roman" w:eastAsia="宋体" w:hAnsi="Times New Roman" w:cs="宋体" w:hint="eastAsia"/>
          <w:color w:val="auto"/>
          <w:sz w:val="24"/>
          <w:szCs w:val="24"/>
          <w:lang w:eastAsia="zh-CN"/>
        </w:rPr>
        <w:t>，</w:t>
      </w:r>
      <w:r>
        <w:rPr>
          <w:rFonts w:ascii="Times New Roman" w:eastAsia="宋体" w:hAnsi="Times New Roman" w:cs="TimesNewRomanPSMT"/>
          <w:color w:val="auto"/>
          <w:sz w:val="24"/>
          <w:szCs w:val="24"/>
          <w:lang w:eastAsia="zh-CN"/>
        </w:rPr>
        <w:t>2016</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3</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31</w:t>
      </w:r>
      <w:r>
        <w:rPr>
          <w:rFonts w:ascii="Times New Roman" w:eastAsia="宋体" w:hAnsi="Times New Roman" w:cs="宋体"/>
          <w:color w:val="auto"/>
          <w:sz w:val="24"/>
          <w:szCs w:val="24"/>
          <w:lang w:eastAsia="zh-CN"/>
        </w:rPr>
        <w:t>日</w:t>
      </w:r>
      <w:r>
        <w:rPr>
          <w:rFonts w:ascii="Times New Roman" w:eastAsia="宋体" w:hAnsi="Times New Roman" w:cs="宋体" w:hint="eastAsia"/>
          <w:color w:val="auto"/>
          <w:sz w:val="24"/>
          <w:szCs w:val="24"/>
          <w:lang w:eastAsia="zh-CN"/>
        </w:rPr>
        <w:t>施行</w:t>
      </w:r>
      <w:r>
        <w:rPr>
          <w:rFonts w:ascii="Times New Roman" w:eastAsia="宋体" w:hAnsi="Times New Roman" w:cs="宋体"/>
          <w:color w:val="auto"/>
          <w:sz w:val="24"/>
          <w:szCs w:val="24"/>
          <w:lang w:eastAsia="zh-CN"/>
        </w:rPr>
        <w:t>；</w:t>
      </w:r>
    </w:p>
    <w:p w14:paraId="305ECA51"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5.</w:t>
      </w:r>
      <w:r>
        <w:rPr>
          <w:rFonts w:ascii="Times New Roman" w:eastAsia="宋体" w:hAnsi="Times New Roman" w:cs="宋体"/>
          <w:color w:val="auto"/>
          <w:sz w:val="24"/>
          <w:szCs w:val="24"/>
          <w:lang w:eastAsia="zh-CN"/>
        </w:rPr>
        <w:t>《海南省生态保护红线管理规定》，</w:t>
      </w:r>
      <w:r>
        <w:rPr>
          <w:rFonts w:ascii="Times New Roman" w:eastAsia="宋体" w:hAnsi="Times New Roman" w:cs="TimesNewRomanPSMT"/>
          <w:color w:val="auto"/>
          <w:sz w:val="24"/>
          <w:szCs w:val="24"/>
          <w:lang w:eastAsia="zh-CN"/>
        </w:rPr>
        <w:t>2022</w:t>
      </w:r>
      <w:r>
        <w:rPr>
          <w:rFonts w:ascii="Times New Roman" w:eastAsia="宋体" w:hAnsi="Times New Roman" w:cs="宋体"/>
          <w:color w:val="auto"/>
          <w:sz w:val="24"/>
          <w:szCs w:val="24"/>
          <w:lang w:eastAsia="zh-CN"/>
        </w:rPr>
        <w:t>年</w:t>
      </w:r>
      <w:r>
        <w:rPr>
          <w:rFonts w:ascii="Times New Roman" w:eastAsia="宋体" w:hAnsi="Times New Roman" w:cs="TimesNewRomanPSMT"/>
          <w:color w:val="auto"/>
          <w:sz w:val="24"/>
          <w:szCs w:val="24"/>
          <w:lang w:eastAsia="zh-CN"/>
        </w:rPr>
        <w:t>5</w:t>
      </w:r>
      <w:r>
        <w:rPr>
          <w:rFonts w:ascii="Times New Roman" w:eastAsia="宋体" w:hAnsi="Times New Roman" w:cs="宋体"/>
          <w:color w:val="auto"/>
          <w:sz w:val="24"/>
          <w:szCs w:val="24"/>
          <w:lang w:eastAsia="zh-CN"/>
        </w:rPr>
        <w:t>月</w:t>
      </w:r>
      <w:r>
        <w:rPr>
          <w:rFonts w:ascii="Times New Roman" w:eastAsia="宋体" w:hAnsi="Times New Roman" w:cs="TimesNewRomanPSMT"/>
          <w:color w:val="auto"/>
          <w:sz w:val="24"/>
          <w:szCs w:val="24"/>
          <w:lang w:eastAsia="zh-CN"/>
        </w:rPr>
        <w:t>31</w:t>
      </w:r>
      <w:r>
        <w:rPr>
          <w:rFonts w:ascii="Times New Roman" w:eastAsia="宋体" w:hAnsi="Times New Roman" w:cs="宋体"/>
          <w:color w:val="auto"/>
          <w:sz w:val="24"/>
          <w:szCs w:val="24"/>
          <w:lang w:eastAsia="zh-CN"/>
        </w:rPr>
        <w:t>日海南省第六届人民代表大会常务委员会第三十六次会议修</w:t>
      </w:r>
      <w:r>
        <w:rPr>
          <w:rFonts w:ascii="Times New Roman" w:eastAsia="宋体" w:hAnsi="Times New Roman" w:cs="宋体" w:hint="eastAsia"/>
          <w:color w:val="auto"/>
          <w:sz w:val="24"/>
          <w:szCs w:val="24"/>
          <w:lang w:eastAsia="zh-CN"/>
        </w:rPr>
        <w:t>订</w:t>
      </w:r>
      <w:r>
        <w:rPr>
          <w:rFonts w:ascii="Times New Roman" w:eastAsia="宋体" w:hAnsi="Times New Roman" w:cs="宋体"/>
          <w:color w:val="auto"/>
          <w:sz w:val="24"/>
          <w:szCs w:val="24"/>
          <w:lang w:eastAsia="zh-CN"/>
        </w:rPr>
        <w:t>；</w:t>
      </w:r>
    </w:p>
    <w:p w14:paraId="3F8463C3"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《海南省森林保护管理条例》，</w:t>
      </w:r>
      <w:r>
        <w:rPr>
          <w:rFonts w:ascii="Times New Roman" w:eastAsia="宋体" w:hAnsi="Times New Roman" w:cs="宋体"/>
          <w:color w:val="auto"/>
          <w:sz w:val="24"/>
          <w:szCs w:val="24"/>
          <w:lang w:eastAsia="zh-CN"/>
        </w:rPr>
        <w:t>2022</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5</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31</w:t>
      </w:r>
      <w:r>
        <w:rPr>
          <w:rFonts w:ascii="Times New Roman" w:eastAsia="宋体" w:hAnsi="Times New Roman" w:cs="宋体"/>
          <w:color w:val="auto"/>
          <w:sz w:val="24"/>
          <w:szCs w:val="24"/>
          <w:lang w:eastAsia="zh-CN"/>
        </w:rPr>
        <w:t>日海南省第六届人民代表大会常务委员会第三十六次会议</w:t>
      </w:r>
      <w:r>
        <w:rPr>
          <w:rFonts w:ascii="Times New Roman" w:eastAsia="宋体" w:hAnsi="Times New Roman" w:cs="宋体" w:hint="eastAsia"/>
          <w:color w:val="auto"/>
          <w:sz w:val="24"/>
          <w:szCs w:val="24"/>
          <w:lang w:eastAsia="zh-CN"/>
        </w:rPr>
        <w:t>修订；</w:t>
      </w:r>
    </w:p>
    <w:p w14:paraId="54F3FD9D" w14:textId="77777777" w:rsidR="0075791A" w:rsidRDefault="00FB2864">
      <w:pPr>
        <w:spacing w:line="348" w:lineRule="auto"/>
        <w:ind w:firstLineChars="200" w:firstLine="480"/>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z w:val="24"/>
          <w:szCs w:val="24"/>
          <w:lang w:eastAsia="zh-CN"/>
        </w:rPr>
        <w:t>7.</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海南经济特区海岸带保护与利用管理实施细则</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海南省人民政府，</w:t>
      </w:r>
      <w:r>
        <w:rPr>
          <w:rFonts w:ascii="Times New Roman" w:eastAsia="宋体" w:hAnsi="Times New Roman" w:cs="宋体"/>
          <w:color w:val="auto"/>
          <w:sz w:val="24"/>
          <w:szCs w:val="24"/>
          <w:lang w:eastAsia="zh-CN"/>
        </w:rPr>
        <w:t>2022</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6</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10</w:t>
      </w:r>
      <w:r>
        <w:rPr>
          <w:rFonts w:ascii="Times New Roman" w:eastAsia="宋体" w:hAnsi="Times New Roman" w:cs="宋体"/>
          <w:color w:val="auto"/>
          <w:sz w:val="24"/>
          <w:szCs w:val="24"/>
          <w:lang w:eastAsia="zh-CN"/>
        </w:rPr>
        <w:t>日</w:t>
      </w:r>
    </w:p>
    <w:p w14:paraId="2F555EB5"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lastRenderedPageBreak/>
        <w:t>8.</w:t>
      </w:r>
      <w:r>
        <w:rPr>
          <w:rFonts w:ascii="Times New Roman" w:eastAsia="宋体" w:hAnsi="Times New Roman" w:cs="宋体"/>
          <w:color w:val="auto"/>
          <w:sz w:val="24"/>
          <w:szCs w:val="24"/>
          <w:lang w:eastAsia="zh-CN"/>
        </w:rPr>
        <w:t>《海南省人民政府办公厅关于印发</w:t>
      </w:r>
      <w:r>
        <w:rPr>
          <w:rFonts w:ascii="Times New Roman" w:eastAsia="宋体" w:hAnsi="Times New Roman" w:cs="TimesNewRomanPSMT"/>
          <w:color w:val="auto"/>
          <w:sz w:val="24"/>
          <w:szCs w:val="24"/>
          <w:lang w:eastAsia="zh-CN"/>
        </w:rPr>
        <w:t>&lt;</w:t>
      </w:r>
      <w:r>
        <w:rPr>
          <w:rFonts w:ascii="Times New Roman" w:eastAsia="宋体" w:hAnsi="Times New Roman" w:cs="宋体"/>
          <w:color w:val="auto"/>
          <w:sz w:val="24"/>
          <w:szCs w:val="24"/>
          <w:lang w:eastAsia="zh-CN"/>
        </w:rPr>
        <w:t>海南省生态保护红线准入管理目录（修订）</w:t>
      </w:r>
      <w:r>
        <w:rPr>
          <w:rFonts w:ascii="Times New Roman" w:eastAsia="宋体" w:hAnsi="Times New Roman" w:cs="TimesNewRomanPSMT"/>
          <w:color w:val="auto"/>
          <w:sz w:val="24"/>
          <w:szCs w:val="24"/>
          <w:lang w:eastAsia="zh-CN"/>
        </w:rPr>
        <w:t>&gt;</w:t>
      </w:r>
      <w:r>
        <w:rPr>
          <w:rFonts w:ascii="Times New Roman" w:eastAsia="宋体" w:hAnsi="Times New Roman" w:cs="宋体"/>
          <w:color w:val="auto"/>
          <w:sz w:val="24"/>
          <w:szCs w:val="24"/>
          <w:lang w:eastAsia="zh-CN"/>
        </w:rPr>
        <w:t>的通知》琼府办〔</w:t>
      </w:r>
      <w:r>
        <w:rPr>
          <w:rFonts w:ascii="Times New Roman" w:eastAsia="宋体" w:hAnsi="Times New Roman" w:cs="TimesNewRomanPSMT"/>
          <w:color w:val="auto"/>
          <w:sz w:val="24"/>
          <w:szCs w:val="24"/>
          <w:lang w:eastAsia="zh-CN"/>
        </w:rPr>
        <w:t>2023</w:t>
      </w:r>
      <w:r>
        <w:rPr>
          <w:rFonts w:ascii="Times New Roman" w:eastAsia="宋体" w:hAnsi="Times New Roman" w:cs="宋体"/>
          <w:color w:val="auto"/>
          <w:sz w:val="24"/>
          <w:szCs w:val="24"/>
          <w:lang w:eastAsia="zh-CN"/>
        </w:rPr>
        <w:t>〕</w:t>
      </w:r>
      <w:r>
        <w:rPr>
          <w:rFonts w:ascii="Times New Roman" w:eastAsia="宋体" w:hAnsi="Times New Roman" w:cs="TimesNewRomanPSMT"/>
          <w:color w:val="auto"/>
          <w:sz w:val="24"/>
          <w:szCs w:val="24"/>
          <w:lang w:eastAsia="zh-CN"/>
        </w:rPr>
        <w:t>4</w:t>
      </w:r>
      <w:r>
        <w:rPr>
          <w:rFonts w:ascii="Times New Roman" w:eastAsia="宋体" w:hAnsi="Times New Roman" w:cs="宋体"/>
          <w:color w:val="auto"/>
          <w:sz w:val="24"/>
          <w:szCs w:val="24"/>
          <w:lang w:eastAsia="zh-CN"/>
        </w:rPr>
        <w:t>号</w:t>
      </w:r>
      <w:r>
        <w:rPr>
          <w:rFonts w:ascii="Times New Roman" w:eastAsia="宋体" w:hAnsi="Times New Roman" w:cs="TimesNewRomanPSMT" w:hint="eastAsia"/>
          <w:color w:val="auto"/>
          <w:sz w:val="24"/>
          <w:szCs w:val="24"/>
          <w:lang w:eastAsia="zh-CN"/>
        </w:rPr>
        <w:t>，</w:t>
      </w:r>
      <w:r>
        <w:rPr>
          <w:rFonts w:ascii="Times New Roman" w:eastAsia="宋体" w:hAnsi="Times New Roman" w:cs="TimesNewRomanPSMT" w:hint="eastAsia"/>
          <w:color w:val="auto"/>
          <w:sz w:val="24"/>
          <w:szCs w:val="24"/>
          <w:lang w:eastAsia="zh-CN"/>
        </w:rPr>
        <w:t>海南省人民政府，</w:t>
      </w:r>
      <w:r>
        <w:rPr>
          <w:rFonts w:ascii="Times New Roman" w:eastAsia="宋体" w:hAnsi="Times New Roman" w:cs="TimesNewRomanPSMT"/>
          <w:color w:val="auto"/>
          <w:sz w:val="24"/>
          <w:szCs w:val="24"/>
          <w:lang w:eastAsia="zh-CN"/>
        </w:rPr>
        <w:t>202</w:t>
      </w:r>
      <w:r>
        <w:rPr>
          <w:rFonts w:ascii="Times New Roman" w:eastAsia="宋体" w:hAnsi="Times New Roman" w:cs="TimesNewRomanPSMT" w:hint="eastAsia"/>
          <w:color w:val="auto"/>
          <w:sz w:val="24"/>
          <w:szCs w:val="24"/>
          <w:lang w:eastAsia="zh-CN"/>
        </w:rPr>
        <w:t>3</w:t>
      </w:r>
      <w:r>
        <w:rPr>
          <w:rFonts w:ascii="Times New Roman" w:eastAsia="宋体" w:hAnsi="Times New Roman" w:cs="宋体"/>
          <w:color w:val="auto"/>
          <w:sz w:val="24"/>
          <w:szCs w:val="24"/>
          <w:lang w:eastAsia="zh-CN"/>
        </w:rPr>
        <w:t>年</w:t>
      </w:r>
      <w:r>
        <w:rPr>
          <w:rFonts w:ascii="Times New Roman" w:eastAsia="宋体" w:hAnsi="Times New Roman" w:cs="TimesNewRomanPSMT" w:hint="eastAsia"/>
          <w:color w:val="auto"/>
          <w:sz w:val="24"/>
          <w:szCs w:val="24"/>
          <w:lang w:eastAsia="zh-CN"/>
        </w:rPr>
        <w:t>1</w:t>
      </w:r>
      <w:r>
        <w:rPr>
          <w:rFonts w:ascii="Times New Roman" w:eastAsia="宋体" w:hAnsi="Times New Roman" w:cs="宋体"/>
          <w:color w:val="auto"/>
          <w:sz w:val="24"/>
          <w:szCs w:val="24"/>
          <w:lang w:eastAsia="zh-CN"/>
        </w:rPr>
        <w:t>月</w:t>
      </w:r>
      <w:r>
        <w:rPr>
          <w:rFonts w:ascii="Times New Roman" w:eastAsia="宋体" w:hAnsi="Times New Roman" w:cs="TimesNewRomanPSMT" w:hint="eastAsia"/>
          <w:color w:val="auto"/>
          <w:sz w:val="24"/>
          <w:szCs w:val="24"/>
          <w:lang w:eastAsia="zh-CN"/>
        </w:rPr>
        <w:t>16</w:t>
      </w:r>
      <w:r>
        <w:rPr>
          <w:rFonts w:ascii="Times New Roman" w:eastAsia="宋体" w:hAnsi="Times New Roman" w:cs="宋体"/>
          <w:color w:val="auto"/>
          <w:sz w:val="24"/>
          <w:szCs w:val="24"/>
          <w:lang w:eastAsia="zh-CN"/>
        </w:rPr>
        <w:t>日</w:t>
      </w:r>
      <w:r>
        <w:rPr>
          <w:rFonts w:ascii="Times New Roman" w:eastAsia="宋体" w:hAnsi="Times New Roman" w:cs="宋体" w:hint="eastAsia"/>
          <w:color w:val="auto"/>
          <w:sz w:val="24"/>
          <w:szCs w:val="24"/>
          <w:lang w:eastAsia="zh-CN"/>
        </w:rPr>
        <w:t>。</w:t>
      </w:r>
    </w:p>
    <w:p w14:paraId="791F0417"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9.</w:t>
      </w:r>
      <w:r>
        <w:rPr>
          <w:rFonts w:ascii="Times New Roman" w:eastAsia="宋体" w:hAnsi="Times New Roman" w:cs="宋体" w:hint="eastAsia"/>
          <w:color w:val="auto"/>
          <w:sz w:val="24"/>
          <w:szCs w:val="24"/>
          <w:lang w:eastAsia="zh-CN"/>
        </w:rPr>
        <w:t>《海南省红树林保护规定》，</w:t>
      </w:r>
      <w:r>
        <w:rPr>
          <w:rFonts w:ascii="Times New Roman" w:eastAsia="宋体" w:hAnsi="Times New Roman" w:cs="宋体" w:hint="eastAsia"/>
          <w:color w:val="auto"/>
          <w:sz w:val="24"/>
          <w:szCs w:val="24"/>
          <w:lang w:eastAsia="zh-CN"/>
        </w:rPr>
        <w:t>2023</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11</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24</w:t>
      </w:r>
      <w:r>
        <w:rPr>
          <w:rFonts w:ascii="Times New Roman" w:eastAsia="宋体" w:hAnsi="Times New Roman" w:cs="宋体" w:hint="eastAsia"/>
          <w:color w:val="auto"/>
          <w:sz w:val="24"/>
          <w:szCs w:val="24"/>
          <w:lang w:eastAsia="zh-CN"/>
        </w:rPr>
        <w:t>日，海南省七届人大常委会第七次会议表决通过海南省人民代表大会常务委员会修改决定，</w:t>
      </w:r>
      <w:r>
        <w:rPr>
          <w:rFonts w:ascii="Times New Roman" w:eastAsia="宋体" w:hAnsi="Times New Roman" w:cs="宋体" w:hint="eastAsia"/>
          <w:color w:val="auto"/>
          <w:sz w:val="24"/>
          <w:szCs w:val="24"/>
          <w:lang w:eastAsia="zh-CN"/>
        </w:rPr>
        <w:t>2024</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日起施行；</w:t>
      </w:r>
    </w:p>
    <w:p w14:paraId="35ECEB5B"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10.</w:t>
      </w:r>
      <w:r>
        <w:rPr>
          <w:rFonts w:ascii="Times New Roman" w:eastAsia="宋体" w:hAnsi="Times New Roman" w:cs="宋体" w:hint="eastAsia"/>
          <w:color w:val="auto"/>
          <w:sz w:val="24"/>
          <w:szCs w:val="24"/>
          <w:lang w:eastAsia="zh-CN"/>
        </w:rPr>
        <w:t>《海南省湿地保护条例》，海南省第七届人民代表大会常务委员会第七次会议于</w:t>
      </w:r>
      <w:r>
        <w:rPr>
          <w:rFonts w:ascii="Times New Roman" w:eastAsia="宋体" w:hAnsi="Times New Roman" w:cs="宋体" w:hint="eastAsia"/>
          <w:color w:val="auto"/>
          <w:sz w:val="24"/>
          <w:szCs w:val="24"/>
          <w:lang w:eastAsia="zh-CN"/>
        </w:rPr>
        <w:t>2023</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11</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24</w:t>
      </w:r>
      <w:r>
        <w:rPr>
          <w:rFonts w:ascii="Times New Roman" w:eastAsia="宋体" w:hAnsi="Times New Roman" w:cs="宋体" w:hint="eastAsia"/>
          <w:color w:val="auto"/>
          <w:sz w:val="24"/>
          <w:szCs w:val="24"/>
          <w:lang w:eastAsia="zh-CN"/>
        </w:rPr>
        <w:t>日修订通过，</w:t>
      </w:r>
      <w:r>
        <w:rPr>
          <w:rFonts w:ascii="Times New Roman" w:eastAsia="宋体" w:hAnsi="Times New Roman" w:cs="宋体" w:hint="eastAsia"/>
          <w:color w:val="auto"/>
          <w:sz w:val="24"/>
          <w:szCs w:val="24"/>
          <w:lang w:eastAsia="zh-CN"/>
        </w:rPr>
        <w:t>2024</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日起施行；</w:t>
      </w:r>
    </w:p>
    <w:p w14:paraId="5D0DC56B"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11.</w:t>
      </w:r>
      <w:r>
        <w:rPr>
          <w:rFonts w:ascii="Times New Roman" w:eastAsia="宋体" w:hAnsi="Times New Roman" w:cs="宋体" w:hint="eastAsia"/>
          <w:color w:val="auto"/>
          <w:sz w:val="24"/>
          <w:szCs w:val="24"/>
          <w:lang w:eastAsia="zh-CN"/>
        </w:rPr>
        <w:t>《海南省人民政府关于三亚市铁炉港红树林自然保护区范围和功能区的批复》，琼府函〔</w:t>
      </w:r>
      <w:r>
        <w:rPr>
          <w:rFonts w:ascii="Times New Roman" w:eastAsia="宋体" w:hAnsi="Times New Roman" w:cs="宋体" w:hint="eastAsia"/>
          <w:color w:val="auto"/>
          <w:sz w:val="24"/>
          <w:szCs w:val="24"/>
          <w:lang w:eastAsia="zh-CN"/>
        </w:rPr>
        <w:t>2025</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198</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2025</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9</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日。</w:t>
      </w:r>
    </w:p>
    <w:p w14:paraId="745B7F05"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36" w:name="_Toc23243"/>
      <w:r>
        <w:rPr>
          <w:rFonts w:ascii="Times New Roman" w:eastAsia="Times New Roman" w:hAnsi="Times New Roman" w:cs="Times New Roman"/>
          <w:b/>
          <w:bCs/>
          <w:color w:val="auto"/>
          <w:spacing w:val="-3"/>
          <w:sz w:val="28"/>
          <w:szCs w:val="28"/>
          <w:lang w:eastAsia="zh-CN"/>
        </w:rPr>
        <w:t>1.2.2标准规范</w:t>
      </w:r>
      <w:bookmarkEnd w:id="36"/>
    </w:p>
    <w:p w14:paraId="7524EB42"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《海域使用论证技术导则》</w:t>
      </w:r>
      <w:r>
        <w:rPr>
          <w:rFonts w:ascii="Times New Roman" w:eastAsia="宋体" w:hAnsi="Times New Roman" w:cs="宋体"/>
          <w:color w:val="auto"/>
          <w:sz w:val="24"/>
          <w:szCs w:val="24"/>
          <w:lang w:eastAsia="zh-CN"/>
        </w:rPr>
        <w:t>GB/T42361-2023</w:t>
      </w:r>
      <w:r>
        <w:rPr>
          <w:rFonts w:ascii="Times New Roman" w:eastAsia="宋体" w:hAnsi="Times New Roman" w:cs="宋体" w:hint="eastAsia"/>
          <w:color w:val="auto"/>
          <w:sz w:val="24"/>
          <w:szCs w:val="24"/>
          <w:lang w:eastAsia="zh-CN"/>
        </w:rPr>
        <w:t>，国家市场监督管理总局</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hint="eastAsia"/>
          <w:color w:val="auto"/>
          <w:sz w:val="24"/>
          <w:szCs w:val="24"/>
          <w:lang w:eastAsia="zh-CN"/>
        </w:rPr>
        <w:t>国家标准化管理委员会，自</w:t>
      </w:r>
      <w:r>
        <w:rPr>
          <w:rFonts w:ascii="Times New Roman" w:eastAsia="宋体" w:hAnsi="Times New Roman" w:cs="宋体"/>
          <w:color w:val="auto"/>
          <w:sz w:val="24"/>
          <w:szCs w:val="24"/>
          <w:lang w:eastAsia="zh-CN"/>
        </w:rPr>
        <w:t>2023</w:t>
      </w:r>
      <w:r>
        <w:rPr>
          <w:rFonts w:ascii="Times New Roman" w:eastAsia="宋体" w:hAnsi="Times New Roman" w:cs="宋体" w:hint="eastAsia"/>
          <w:color w:val="auto"/>
          <w:sz w:val="24"/>
          <w:szCs w:val="24"/>
          <w:lang w:eastAsia="zh-CN"/>
        </w:rPr>
        <w:t>年</w:t>
      </w:r>
      <w:r>
        <w:rPr>
          <w:rFonts w:ascii="Times New Roman" w:eastAsia="宋体" w:hAnsi="Times New Roman" w:cs="宋体"/>
          <w:color w:val="auto"/>
          <w:sz w:val="24"/>
          <w:szCs w:val="24"/>
          <w:lang w:eastAsia="zh-CN"/>
        </w:rPr>
        <w:t>07</w:t>
      </w:r>
      <w:r>
        <w:rPr>
          <w:rFonts w:ascii="Times New Roman" w:eastAsia="宋体" w:hAnsi="Times New Roman" w:cs="宋体" w:hint="eastAsia"/>
          <w:color w:val="auto"/>
          <w:sz w:val="24"/>
          <w:szCs w:val="24"/>
          <w:lang w:eastAsia="zh-CN"/>
        </w:rPr>
        <w:t>月</w:t>
      </w:r>
      <w:r>
        <w:rPr>
          <w:rFonts w:ascii="Times New Roman" w:eastAsia="宋体" w:hAnsi="Times New Roman" w:cs="宋体"/>
          <w:color w:val="auto"/>
          <w:sz w:val="24"/>
          <w:szCs w:val="24"/>
          <w:lang w:eastAsia="zh-CN"/>
        </w:rPr>
        <w:t>01</w:t>
      </w:r>
      <w:r>
        <w:rPr>
          <w:rFonts w:ascii="Times New Roman" w:eastAsia="宋体" w:hAnsi="Times New Roman" w:cs="宋体" w:hint="eastAsia"/>
          <w:color w:val="auto"/>
          <w:sz w:val="24"/>
          <w:szCs w:val="24"/>
          <w:lang w:eastAsia="zh-CN"/>
        </w:rPr>
        <w:t>日起施行；</w:t>
      </w:r>
    </w:p>
    <w:p w14:paraId="24623A57"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《海域使用分类》</w:t>
      </w:r>
      <w:r>
        <w:rPr>
          <w:rFonts w:ascii="Times New Roman" w:eastAsia="宋体" w:hAnsi="Times New Roman" w:cs="宋体"/>
          <w:color w:val="auto"/>
          <w:sz w:val="24"/>
          <w:szCs w:val="24"/>
          <w:lang w:eastAsia="zh-CN"/>
        </w:rPr>
        <w:t>HY/T123-2009</w:t>
      </w:r>
      <w:r>
        <w:rPr>
          <w:rFonts w:ascii="Times New Roman" w:eastAsia="宋体" w:hAnsi="Times New Roman" w:cs="宋体" w:hint="eastAsia"/>
          <w:color w:val="auto"/>
          <w:sz w:val="24"/>
          <w:szCs w:val="24"/>
          <w:lang w:eastAsia="zh-CN"/>
        </w:rPr>
        <w:t>，国家海洋局，自</w:t>
      </w:r>
      <w:r>
        <w:rPr>
          <w:rFonts w:ascii="Times New Roman" w:eastAsia="宋体" w:hAnsi="Times New Roman" w:cs="宋体"/>
          <w:color w:val="auto"/>
          <w:sz w:val="24"/>
          <w:szCs w:val="24"/>
          <w:lang w:eastAsia="zh-CN"/>
        </w:rPr>
        <w:t>2009</w:t>
      </w:r>
      <w:r>
        <w:rPr>
          <w:rFonts w:ascii="Times New Roman" w:eastAsia="宋体" w:hAnsi="Times New Roman" w:cs="宋体" w:hint="eastAsia"/>
          <w:color w:val="auto"/>
          <w:sz w:val="24"/>
          <w:szCs w:val="24"/>
          <w:lang w:eastAsia="zh-CN"/>
        </w:rPr>
        <w:t>年</w:t>
      </w:r>
      <w:r>
        <w:rPr>
          <w:rFonts w:ascii="Times New Roman" w:eastAsia="宋体" w:hAnsi="Times New Roman" w:cs="宋体"/>
          <w:color w:val="auto"/>
          <w:sz w:val="24"/>
          <w:szCs w:val="24"/>
          <w:lang w:eastAsia="zh-CN"/>
        </w:rPr>
        <w:t>5</w:t>
      </w:r>
      <w:r>
        <w:rPr>
          <w:rFonts w:ascii="Times New Roman" w:eastAsia="宋体" w:hAnsi="Times New Roman" w:cs="宋体" w:hint="eastAsia"/>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hint="eastAsia"/>
          <w:color w:val="auto"/>
          <w:sz w:val="24"/>
          <w:szCs w:val="24"/>
          <w:lang w:eastAsia="zh-CN"/>
        </w:rPr>
        <w:t>日起施行；</w:t>
      </w:r>
    </w:p>
    <w:p w14:paraId="6764DCB7"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《海籍调查规范》</w:t>
      </w:r>
      <w:r>
        <w:rPr>
          <w:rFonts w:ascii="Times New Roman" w:eastAsia="宋体" w:hAnsi="Times New Roman" w:cs="宋体"/>
          <w:color w:val="auto"/>
          <w:sz w:val="24"/>
          <w:szCs w:val="24"/>
          <w:lang w:eastAsia="zh-CN"/>
        </w:rPr>
        <w:t>HY/T124-2009</w:t>
      </w:r>
      <w:r>
        <w:rPr>
          <w:rFonts w:ascii="Times New Roman" w:eastAsia="宋体" w:hAnsi="Times New Roman" w:cs="宋体" w:hint="eastAsia"/>
          <w:color w:val="auto"/>
          <w:sz w:val="24"/>
          <w:szCs w:val="24"/>
          <w:lang w:eastAsia="zh-CN"/>
        </w:rPr>
        <w:t>，国家海洋局，自</w:t>
      </w:r>
      <w:r>
        <w:rPr>
          <w:rFonts w:ascii="Times New Roman" w:eastAsia="宋体" w:hAnsi="Times New Roman" w:cs="宋体"/>
          <w:color w:val="auto"/>
          <w:sz w:val="24"/>
          <w:szCs w:val="24"/>
          <w:lang w:eastAsia="zh-CN"/>
        </w:rPr>
        <w:t>2009</w:t>
      </w:r>
      <w:r>
        <w:rPr>
          <w:rFonts w:ascii="Times New Roman" w:eastAsia="宋体" w:hAnsi="Times New Roman" w:cs="宋体" w:hint="eastAsia"/>
          <w:color w:val="auto"/>
          <w:sz w:val="24"/>
          <w:szCs w:val="24"/>
          <w:lang w:eastAsia="zh-CN"/>
        </w:rPr>
        <w:t>年</w:t>
      </w:r>
      <w:r>
        <w:rPr>
          <w:rFonts w:ascii="Times New Roman" w:eastAsia="宋体" w:hAnsi="Times New Roman" w:cs="宋体"/>
          <w:color w:val="auto"/>
          <w:sz w:val="24"/>
          <w:szCs w:val="24"/>
          <w:lang w:eastAsia="zh-CN"/>
        </w:rPr>
        <w:t>5</w:t>
      </w:r>
      <w:r>
        <w:rPr>
          <w:rFonts w:ascii="Times New Roman" w:eastAsia="宋体" w:hAnsi="Times New Roman" w:cs="宋体" w:hint="eastAsia"/>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hint="eastAsia"/>
          <w:color w:val="auto"/>
          <w:sz w:val="24"/>
          <w:szCs w:val="24"/>
          <w:lang w:eastAsia="zh-CN"/>
        </w:rPr>
        <w:t>日起施行；</w:t>
      </w:r>
    </w:p>
    <w:p w14:paraId="237452C4"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《海域使用面积测量规范》</w:t>
      </w:r>
      <w:r>
        <w:rPr>
          <w:rFonts w:ascii="Times New Roman" w:eastAsia="宋体" w:hAnsi="Times New Roman" w:cs="宋体"/>
          <w:color w:val="auto"/>
          <w:sz w:val="24"/>
          <w:szCs w:val="24"/>
          <w:lang w:eastAsia="zh-CN"/>
        </w:rPr>
        <w:t>HY070-2022</w:t>
      </w:r>
      <w:r>
        <w:rPr>
          <w:rFonts w:ascii="Times New Roman" w:eastAsia="宋体" w:hAnsi="Times New Roman" w:cs="宋体" w:hint="eastAsia"/>
          <w:color w:val="auto"/>
          <w:sz w:val="24"/>
          <w:szCs w:val="24"/>
          <w:lang w:eastAsia="zh-CN"/>
        </w:rPr>
        <w:t>，自然资源部，自</w:t>
      </w:r>
      <w:r>
        <w:rPr>
          <w:rFonts w:ascii="Times New Roman" w:eastAsia="宋体" w:hAnsi="Times New Roman" w:cs="宋体"/>
          <w:color w:val="auto"/>
          <w:sz w:val="24"/>
          <w:szCs w:val="24"/>
          <w:lang w:eastAsia="zh-CN"/>
        </w:rPr>
        <w:t>20</w:t>
      </w:r>
      <w:r>
        <w:rPr>
          <w:rFonts w:ascii="Times New Roman" w:eastAsia="宋体" w:hAnsi="Times New Roman" w:cs="宋体" w:hint="eastAsia"/>
          <w:color w:val="auto"/>
          <w:sz w:val="24"/>
          <w:szCs w:val="24"/>
          <w:lang w:eastAsia="zh-CN"/>
        </w:rPr>
        <w:t>22</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9</w:t>
      </w:r>
      <w:r>
        <w:rPr>
          <w:rFonts w:ascii="Times New Roman" w:eastAsia="宋体" w:hAnsi="Times New Roman" w:cs="宋体" w:hint="eastAsia"/>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hint="eastAsia"/>
          <w:color w:val="auto"/>
          <w:sz w:val="24"/>
          <w:szCs w:val="24"/>
          <w:lang w:eastAsia="zh-CN"/>
        </w:rPr>
        <w:t>日起施行；</w:t>
      </w:r>
    </w:p>
    <w:p w14:paraId="4097ED77"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5.</w:t>
      </w:r>
      <w:r>
        <w:rPr>
          <w:rFonts w:ascii="Times New Roman" w:eastAsia="宋体" w:hAnsi="Times New Roman" w:cs="宋体" w:hint="eastAsia"/>
          <w:color w:val="auto"/>
          <w:sz w:val="24"/>
          <w:szCs w:val="24"/>
          <w:lang w:eastAsia="zh-CN"/>
        </w:rPr>
        <w:t>《</w:t>
      </w:r>
      <w:hyperlink r:id="rId13" w:tgtFrame="https://std.samr.gov.cn/search/_blank" w:history="1">
        <w:r>
          <w:rPr>
            <w:rFonts w:ascii="Times New Roman" w:eastAsia="宋体" w:hAnsi="Times New Roman" w:cs="宋体" w:hint="eastAsia"/>
            <w:color w:val="auto"/>
            <w:sz w:val="24"/>
            <w:szCs w:val="24"/>
            <w:lang w:eastAsia="zh-CN"/>
          </w:rPr>
          <w:t>海洋观测规范</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hint="eastAsia"/>
            <w:color w:val="auto"/>
            <w:sz w:val="24"/>
            <w:szCs w:val="24"/>
            <w:lang w:eastAsia="zh-CN"/>
          </w:rPr>
          <w:t>第</w:t>
        </w:r>
        <w:r>
          <w:rPr>
            <w:rFonts w:ascii="Times New Roman" w:eastAsia="宋体" w:hAnsi="Times New Roman" w:cs="宋体" w:hint="eastAsia"/>
            <w:color w:val="auto"/>
            <w:sz w:val="24"/>
            <w:szCs w:val="24"/>
            <w:lang w:eastAsia="zh-CN"/>
          </w:rPr>
          <w:t xml:space="preserve"> 2 </w:t>
        </w:r>
        <w:r>
          <w:rPr>
            <w:rFonts w:ascii="Times New Roman" w:eastAsia="宋体" w:hAnsi="Times New Roman" w:cs="宋体" w:hint="eastAsia"/>
            <w:color w:val="auto"/>
            <w:sz w:val="24"/>
            <w:szCs w:val="24"/>
            <w:lang w:eastAsia="zh-CN"/>
          </w:rPr>
          <w:t>部分：海滨观测</w:t>
        </w:r>
      </w:hyperlink>
      <w:r>
        <w:rPr>
          <w:rFonts w:ascii="Times New Roman" w:eastAsia="宋体" w:hAnsi="Times New Roman" w:cs="宋体" w:hint="eastAsia"/>
          <w:color w:val="auto"/>
          <w:sz w:val="24"/>
          <w:szCs w:val="24"/>
          <w:lang w:eastAsia="zh-CN"/>
        </w:rPr>
        <w:t>》</w:t>
      </w:r>
      <w:hyperlink r:id="rId14" w:tgtFrame="https://std.samr.gov.cn/search/_blank" w:history="1">
        <w:r>
          <w:rPr>
            <w:rFonts w:ascii="Times New Roman" w:eastAsia="宋体" w:hAnsi="Times New Roman" w:cs="宋体" w:hint="eastAsia"/>
            <w:color w:val="auto"/>
            <w:sz w:val="24"/>
            <w:szCs w:val="24"/>
            <w:lang w:eastAsia="zh-CN"/>
          </w:rPr>
          <w:t>GB/T 14914.2-2019</w:t>
        </w:r>
      </w:hyperlink>
      <w:r>
        <w:rPr>
          <w:rFonts w:ascii="Times New Roman" w:eastAsia="宋体" w:hAnsi="Times New Roman" w:cs="宋体" w:hint="eastAsia"/>
          <w:color w:val="auto"/>
          <w:sz w:val="24"/>
          <w:szCs w:val="24"/>
          <w:lang w:eastAsia="zh-CN"/>
        </w:rPr>
        <w:t>，</w:t>
      </w:r>
      <w:r>
        <w:rPr>
          <w:rFonts w:ascii="宋体" w:eastAsia="宋体" w:hAnsi="宋体" w:cs="宋体"/>
          <w:color w:val="auto"/>
          <w:sz w:val="24"/>
          <w:szCs w:val="24"/>
          <w:lang w:eastAsia="zh-CN"/>
        </w:rPr>
        <w:t>国家市场监督管理总局</w:t>
      </w:r>
      <w:r>
        <w:rPr>
          <w:rFonts w:ascii="Times New Roman" w:eastAsia="宋体" w:hAnsi="Times New Roman" w:cs="宋体" w:hint="eastAsia"/>
          <w:color w:val="auto"/>
          <w:sz w:val="24"/>
          <w:szCs w:val="24"/>
          <w:lang w:eastAsia="zh-CN"/>
        </w:rPr>
        <w:t xml:space="preserve"> </w:t>
      </w:r>
      <w:r>
        <w:rPr>
          <w:rFonts w:ascii="宋体" w:eastAsia="宋体" w:hAnsi="宋体" w:cs="宋体"/>
          <w:color w:val="auto"/>
          <w:sz w:val="24"/>
          <w:szCs w:val="24"/>
          <w:lang w:eastAsia="zh-CN"/>
        </w:rPr>
        <w:t>中国国家标准化管理委员会</w:t>
      </w:r>
      <w:r>
        <w:rPr>
          <w:rFonts w:ascii="Times New Roman" w:eastAsia="宋体" w:hAnsi="Times New Roman" w:cs="宋体" w:hint="eastAsia"/>
          <w:color w:val="auto"/>
          <w:sz w:val="24"/>
          <w:szCs w:val="24"/>
          <w:lang w:eastAsia="zh-CN"/>
        </w:rPr>
        <w:t>，自</w:t>
      </w:r>
      <w:r>
        <w:rPr>
          <w:rFonts w:ascii="Times New Roman" w:eastAsia="宋体" w:hAnsi="Times New Roman" w:cs="宋体"/>
          <w:color w:val="auto"/>
          <w:sz w:val="24"/>
          <w:szCs w:val="24"/>
          <w:lang w:eastAsia="zh-CN"/>
        </w:rPr>
        <w:t>20</w:t>
      </w:r>
      <w:r>
        <w:rPr>
          <w:rFonts w:ascii="Times New Roman" w:eastAsia="宋体" w:hAnsi="Times New Roman" w:cs="宋体" w:hint="eastAsia"/>
          <w:color w:val="auto"/>
          <w:sz w:val="24"/>
          <w:szCs w:val="24"/>
          <w:lang w:eastAsia="zh-CN"/>
        </w:rPr>
        <w:t>19</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10</w:t>
      </w:r>
      <w:r>
        <w:rPr>
          <w:rFonts w:ascii="Times New Roman" w:eastAsia="宋体" w:hAnsi="Times New Roman" w:cs="宋体" w:hint="eastAsia"/>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hint="eastAsia"/>
          <w:color w:val="auto"/>
          <w:sz w:val="24"/>
          <w:szCs w:val="24"/>
          <w:lang w:eastAsia="zh-CN"/>
        </w:rPr>
        <w:t>日起施行；</w:t>
      </w:r>
    </w:p>
    <w:p w14:paraId="1F7DB3EB"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《海洋监测规范》</w:t>
      </w:r>
      <w:r>
        <w:rPr>
          <w:rFonts w:ascii="Times New Roman" w:eastAsia="宋体" w:hAnsi="Times New Roman" w:cs="宋体"/>
          <w:color w:val="auto"/>
          <w:sz w:val="24"/>
          <w:szCs w:val="24"/>
          <w:lang w:eastAsia="zh-CN"/>
        </w:rPr>
        <w:t>GB17378-2007</w:t>
      </w:r>
      <w:r>
        <w:rPr>
          <w:rFonts w:ascii="Times New Roman" w:eastAsia="宋体" w:hAnsi="Times New Roman" w:cs="宋体" w:hint="eastAsia"/>
          <w:color w:val="auto"/>
          <w:sz w:val="24"/>
          <w:szCs w:val="24"/>
          <w:lang w:eastAsia="zh-CN"/>
        </w:rPr>
        <w:t>，国家质量监督检验检疫总局和国家标准化管理委员会，自</w:t>
      </w:r>
      <w:r>
        <w:rPr>
          <w:rFonts w:ascii="Times New Roman" w:eastAsia="宋体" w:hAnsi="Times New Roman" w:cs="宋体"/>
          <w:color w:val="auto"/>
          <w:sz w:val="24"/>
          <w:szCs w:val="24"/>
          <w:lang w:eastAsia="zh-CN"/>
        </w:rPr>
        <w:t>2008</w:t>
      </w:r>
      <w:r>
        <w:rPr>
          <w:rFonts w:ascii="Times New Roman" w:eastAsia="宋体" w:hAnsi="Times New Roman" w:cs="宋体" w:hint="eastAsia"/>
          <w:color w:val="auto"/>
          <w:sz w:val="24"/>
          <w:szCs w:val="24"/>
          <w:lang w:eastAsia="zh-CN"/>
        </w:rPr>
        <w:t>年</w:t>
      </w:r>
      <w:r>
        <w:rPr>
          <w:rFonts w:ascii="Times New Roman" w:eastAsia="宋体" w:hAnsi="Times New Roman" w:cs="宋体"/>
          <w:color w:val="auto"/>
          <w:sz w:val="24"/>
          <w:szCs w:val="24"/>
          <w:lang w:eastAsia="zh-CN"/>
        </w:rPr>
        <w:t>5</w:t>
      </w:r>
      <w:r>
        <w:rPr>
          <w:rFonts w:ascii="Times New Roman" w:eastAsia="宋体" w:hAnsi="Times New Roman" w:cs="宋体" w:hint="eastAsia"/>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hint="eastAsia"/>
          <w:color w:val="auto"/>
          <w:sz w:val="24"/>
          <w:szCs w:val="24"/>
          <w:lang w:eastAsia="zh-CN"/>
        </w:rPr>
        <w:t>日起施行；</w:t>
      </w:r>
    </w:p>
    <w:p w14:paraId="346BEF00"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7.</w:t>
      </w:r>
      <w:r>
        <w:rPr>
          <w:rFonts w:ascii="Times New Roman" w:eastAsia="宋体" w:hAnsi="Times New Roman" w:cs="宋体" w:hint="eastAsia"/>
          <w:color w:val="auto"/>
          <w:sz w:val="24"/>
          <w:szCs w:val="24"/>
          <w:lang w:eastAsia="zh-CN"/>
        </w:rPr>
        <w:t>《海洋调查规范》</w:t>
      </w:r>
      <w:r>
        <w:rPr>
          <w:rFonts w:ascii="Times New Roman" w:eastAsia="宋体" w:hAnsi="Times New Roman" w:cs="宋体"/>
          <w:color w:val="auto"/>
          <w:sz w:val="24"/>
          <w:szCs w:val="24"/>
          <w:lang w:eastAsia="zh-CN"/>
        </w:rPr>
        <w:t>GB12763-2007</w:t>
      </w:r>
      <w:r>
        <w:rPr>
          <w:rFonts w:ascii="Times New Roman" w:eastAsia="宋体" w:hAnsi="Times New Roman" w:cs="宋体" w:hint="eastAsia"/>
          <w:color w:val="auto"/>
          <w:sz w:val="24"/>
          <w:szCs w:val="24"/>
          <w:lang w:eastAsia="zh-CN"/>
        </w:rPr>
        <w:t>，国家质量监督检验检疫总局和国家标准化管理委员会，自</w:t>
      </w:r>
      <w:r>
        <w:rPr>
          <w:rFonts w:ascii="Times New Roman" w:eastAsia="宋体" w:hAnsi="Times New Roman" w:cs="宋体"/>
          <w:color w:val="auto"/>
          <w:sz w:val="24"/>
          <w:szCs w:val="24"/>
          <w:lang w:eastAsia="zh-CN"/>
        </w:rPr>
        <w:t>2008</w:t>
      </w:r>
      <w:r>
        <w:rPr>
          <w:rFonts w:ascii="Times New Roman" w:eastAsia="宋体" w:hAnsi="Times New Roman" w:cs="宋体" w:hint="eastAsia"/>
          <w:color w:val="auto"/>
          <w:sz w:val="24"/>
          <w:szCs w:val="24"/>
          <w:lang w:eastAsia="zh-CN"/>
        </w:rPr>
        <w:t>年</w:t>
      </w:r>
      <w:r>
        <w:rPr>
          <w:rFonts w:ascii="Times New Roman" w:eastAsia="宋体" w:hAnsi="Times New Roman" w:cs="宋体"/>
          <w:color w:val="auto"/>
          <w:sz w:val="24"/>
          <w:szCs w:val="24"/>
          <w:lang w:eastAsia="zh-CN"/>
        </w:rPr>
        <w:t>2</w:t>
      </w:r>
      <w:r>
        <w:rPr>
          <w:rFonts w:ascii="Times New Roman" w:eastAsia="宋体" w:hAnsi="Times New Roman" w:cs="宋体" w:hint="eastAsia"/>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hint="eastAsia"/>
          <w:color w:val="auto"/>
          <w:sz w:val="24"/>
          <w:szCs w:val="24"/>
          <w:lang w:eastAsia="zh-CN"/>
        </w:rPr>
        <w:t>日起施行；</w:t>
      </w:r>
    </w:p>
    <w:p w14:paraId="2BBCA86B"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8.</w:t>
      </w:r>
      <w:r>
        <w:rPr>
          <w:rFonts w:ascii="Times New Roman" w:eastAsia="宋体" w:hAnsi="Times New Roman" w:cs="宋体" w:hint="eastAsia"/>
          <w:color w:val="auto"/>
          <w:sz w:val="24"/>
          <w:szCs w:val="24"/>
          <w:lang w:eastAsia="zh-CN"/>
        </w:rPr>
        <w:t>《海水水质标准》</w:t>
      </w:r>
      <w:r>
        <w:rPr>
          <w:rFonts w:ascii="Times New Roman" w:eastAsia="宋体" w:hAnsi="Times New Roman" w:cs="宋体"/>
          <w:color w:val="auto"/>
          <w:sz w:val="24"/>
          <w:szCs w:val="24"/>
          <w:lang w:eastAsia="zh-CN"/>
        </w:rPr>
        <w:t>GB3097-1997</w:t>
      </w:r>
      <w:r>
        <w:rPr>
          <w:rFonts w:ascii="Times New Roman" w:eastAsia="宋体" w:hAnsi="Times New Roman" w:cs="宋体" w:hint="eastAsia"/>
          <w:color w:val="auto"/>
          <w:sz w:val="24"/>
          <w:szCs w:val="24"/>
          <w:lang w:eastAsia="zh-CN"/>
        </w:rPr>
        <w:t>，国家环境保护局，自</w:t>
      </w:r>
      <w:r>
        <w:rPr>
          <w:rFonts w:ascii="Times New Roman" w:eastAsia="宋体" w:hAnsi="Times New Roman" w:cs="宋体"/>
          <w:color w:val="auto"/>
          <w:sz w:val="24"/>
          <w:szCs w:val="24"/>
          <w:lang w:eastAsia="zh-CN"/>
        </w:rPr>
        <w:t>1998</w:t>
      </w:r>
      <w:r>
        <w:rPr>
          <w:rFonts w:ascii="Times New Roman" w:eastAsia="宋体" w:hAnsi="Times New Roman" w:cs="宋体" w:hint="eastAsia"/>
          <w:color w:val="auto"/>
          <w:sz w:val="24"/>
          <w:szCs w:val="24"/>
          <w:lang w:eastAsia="zh-CN"/>
        </w:rPr>
        <w:t>年</w:t>
      </w:r>
      <w:r>
        <w:rPr>
          <w:rFonts w:ascii="Times New Roman" w:eastAsia="宋体" w:hAnsi="Times New Roman" w:cs="宋体"/>
          <w:color w:val="auto"/>
          <w:sz w:val="24"/>
          <w:szCs w:val="24"/>
          <w:lang w:eastAsia="zh-CN"/>
        </w:rPr>
        <w:t>7</w:t>
      </w:r>
      <w:r>
        <w:rPr>
          <w:rFonts w:ascii="Times New Roman" w:eastAsia="宋体" w:hAnsi="Times New Roman" w:cs="宋体" w:hint="eastAsia"/>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hint="eastAsia"/>
          <w:color w:val="auto"/>
          <w:sz w:val="24"/>
          <w:szCs w:val="24"/>
          <w:lang w:eastAsia="zh-CN"/>
        </w:rPr>
        <w:t>日起施行；</w:t>
      </w:r>
    </w:p>
    <w:p w14:paraId="7F95ED67"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9.</w:t>
      </w:r>
      <w:r>
        <w:rPr>
          <w:rFonts w:ascii="Times New Roman" w:eastAsia="宋体" w:hAnsi="Times New Roman" w:cs="宋体" w:hint="eastAsia"/>
          <w:color w:val="auto"/>
          <w:sz w:val="24"/>
          <w:szCs w:val="24"/>
          <w:lang w:eastAsia="zh-CN"/>
        </w:rPr>
        <w:t>《海洋生物质量》</w:t>
      </w:r>
      <w:r>
        <w:rPr>
          <w:rFonts w:ascii="Times New Roman" w:eastAsia="宋体" w:hAnsi="Times New Roman" w:cs="宋体"/>
          <w:color w:val="auto"/>
          <w:sz w:val="24"/>
          <w:szCs w:val="24"/>
          <w:lang w:eastAsia="zh-CN"/>
        </w:rPr>
        <w:t>GB18421-2001</w:t>
      </w:r>
      <w:r>
        <w:rPr>
          <w:rFonts w:ascii="Times New Roman" w:eastAsia="宋体" w:hAnsi="Times New Roman" w:cs="宋体" w:hint="eastAsia"/>
          <w:color w:val="auto"/>
          <w:sz w:val="24"/>
          <w:szCs w:val="24"/>
          <w:lang w:eastAsia="zh-CN"/>
        </w:rPr>
        <w:t>，国家质量监督检验检疫总局，自</w:t>
      </w:r>
      <w:r>
        <w:rPr>
          <w:rFonts w:ascii="Times New Roman" w:eastAsia="宋体" w:hAnsi="Times New Roman" w:cs="宋体"/>
          <w:color w:val="auto"/>
          <w:sz w:val="24"/>
          <w:szCs w:val="24"/>
          <w:lang w:eastAsia="zh-CN"/>
        </w:rPr>
        <w:t>2002</w:t>
      </w:r>
      <w:r>
        <w:rPr>
          <w:rFonts w:ascii="Times New Roman" w:eastAsia="宋体" w:hAnsi="Times New Roman" w:cs="宋体" w:hint="eastAsia"/>
          <w:color w:val="auto"/>
          <w:sz w:val="24"/>
          <w:szCs w:val="24"/>
          <w:lang w:eastAsia="zh-CN"/>
        </w:rPr>
        <w:t>年</w:t>
      </w:r>
      <w:r>
        <w:rPr>
          <w:rFonts w:ascii="Times New Roman" w:eastAsia="宋体" w:hAnsi="Times New Roman" w:cs="宋体"/>
          <w:color w:val="auto"/>
          <w:sz w:val="24"/>
          <w:szCs w:val="24"/>
          <w:lang w:eastAsia="zh-CN"/>
        </w:rPr>
        <w:t>3</w:t>
      </w:r>
      <w:r>
        <w:rPr>
          <w:rFonts w:ascii="Times New Roman" w:eastAsia="宋体" w:hAnsi="Times New Roman" w:cs="宋体" w:hint="eastAsia"/>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hint="eastAsia"/>
          <w:color w:val="auto"/>
          <w:sz w:val="24"/>
          <w:szCs w:val="24"/>
          <w:lang w:eastAsia="zh-CN"/>
        </w:rPr>
        <w:t>日起施行；</w:t>
      </w:r>
    </w:p>
    <w:p w14:paraId="35C19522"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10.</w:t>
      </w:r>
      <w:r>
        <w:rPr>
          <w:rFonts w:ascii="Times New Roman" w:eastAsia="宋体" w:hAnsi="Times New Roman" w:cs="宋体" w:hint="eastAsia"/>
          <w:color w:val="auto"/>
          <w:sz w:val="24"/>
          <w:szCs w:val="24"/>
          <w:lang w:eastAsia="zh-CN"/>
        </w:rPr>
        <w:t>《渔业水质标准》</w:t>
      </w:r>
      <w:r>
        <w:rPr>
          <w:rFonts w:ascii="Times New Roman" w:eastAsia="宋体" w:hAnsi="Times New Roman" w:cs="宋体"/>
          <w:color w:val="auto"/>
          <w:sz w:val="24"/>
          <w:szCs w:val="24"/>
          <w:lang w:eastAsia="zh-CN"/>
        </w:rPr>
        <w:t>GB11607-1989</w:t>
      </w:r>
      <w:r>
        <w:rPr>
          <w:rFonts w:ascii="Times New Roman" w:eastAsia="宋体" w:hAnsi="Times New Roman" w:cs="宋体" w:hint="eastAsia"/>
          <w:color w:val="auto"/>
          <w:sz w:val="24"/>
          <w:szCs w:val="24"/>
          <w:lang w:eastAsia="zh-CN"/>
        </w:rPr>
        <w:t>，国家环境保护局，自</w:t>
      </w:r>
      <w:r>
        <w:rPr>
          <w:rFonts w:ascii="Times New Roman" w:eastAsia="宋体" w:hAnsi="Times New Roman" w:cs="宋体"/>
          <w:color w:val="auto"/>
          <w:sz w:val="24"/>
          <w:szCs w:val="24"/>
          <w:lang w:eastAsia="zh-CN"/>
        </w:rPr>
        <w:t>1990</w:t>
      </w:r>
      <w:r>
        <w:rPr>
          <w:rFonts w:ascii="Times New Roman" w:eastAsia="宋体" w:hAnsi="Times New Roman" w:cs="宋体" w:hint="eastAsia"/>
          <w:color w:val="auto"/>
          <w:sz w:val="24"/>
          <w:szCs w:val="24"/>
          <w:lang w:eastAsia="zh-CN"/>
        </w:rPr>
        <w:t>年</w:t>
      </w:r>
      <w:r>
        <w:rPr>
          <w:rFonts w:ascii="Times New Roman" w:eastAsia="宋体" w:hAnsi="Times New Roman" w:cs="宋体"/>
          <w:color w:val="auto"/>
          <w:sz w:val="24"/>
          <w:szCs w:val="24"/>
          <w:lang w:eastAsia="zh-CN"/>
        </w:rPr>
        <w:t>3</w:t>
      </w:r>
      <w:r>
        <w:rPr>
          <w:rFonts w:ascii="Times New Roman" w:eastAsia="宋体" w:hAnsi="Times New Roman" w:cs="宋体" w:hint="eastAsia"/>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hint="eastAsia"/>
          <w:color w:val="auto"/>
          <w:sz w:val="24"/>
          <w:szCs w:val="24"/>
          <w:lang w:eastAsia="zh-CN"/>
        </w:rPr>
        <w:t>日起施行；</w:t>
      </w:r>
    </w:p>
    <w:p w14:paraId="5E8317FC"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11.</w:t>
      </w:r>
      <w:r>
        <w:rPr>
          <w:rFonts w:ascii="Times New Roman" w:eastAsia="宋体" w:hAnsi="Times New Roman" w:cs="宋体" w:hint="eastAsia"/>
          <w:color w:val="auto"/>
          <w:sz w:val="24"/>
          <w:szCs w:val="24"/>
          <w:lang w:eastAsia="zh-CN"/>
        </w:rPr>
        <w:t>《海洋沉积物质量》</w:t>
      </w:r>
      <w:r>
        <w:rPr>
          <w:rFonts w:ascii="Times New Roman" w:eastAsia="宋体" w:hAnsi="Times New Roman" w:cs="宋体"/>
          <w:color w:val="auto"/>
          <w:sz w:val="24"/>
          <w:szCs w:val="24"/>
          <w:lang w:eastAsia="zh-CN"/>
        </w:rPr>
        <w:t>GB18668-2002</w:t>
      </w:r>
      <w:r>
        <w:rPr>
          <w:rFonts w:ascii="Times New Roman" w:eastAsia="宋体" w:hAnsi="Times New Roman" w:cs="宋体" w:hint="eastAsia"/>
          <w:color w:val="auto"/>
          <w:sz w:val="24"/>
          <w:szCs w:val="24"/>
          <w:lang w:eastAsia="zh-CN"/>
        </w:rPr>
        <w:t>，国家质量监督检验检疫总局，自</w:t>
      </w:r>
      <w:r>
        <w:rPr>
          <w:rFonts w:ascii="Times New Roman" w:eastAsia="宋体" w:hAnsi="Times New Roman" w:cs="宋体"/>
          <w:color w:val="auto"/>
          <w:sz w:val="24"/>
          <w:szCs w:val="24"/>
          <w:lang w:eastAsia="zh-CN"/>
        </w:rPr>
        <w:t>2002</w:t>
      </w:r>
      <w:r>
        <w:rPr>
          <w:rFonts w:ascii="Times New Roman" w:eastAsia="宋体" w:hAnsi="Times New Roman" w:cs="宋体" w:hint="eastAsia"/>
          <w:color w:val="auto"/>
          <w:sz w:val="24"/>
          <w:szCs w:val="24"/>
          <w:lang w:eastAsia="zh-CN"/>
        </w:rPr>
        <w:t>年</w:t>
      </w:r>
      <w:r>
        <w:rPr>
          <w:rFonts w:ascii="Times New Roman" w:eastAsia="宋体" w:hAnsi="Times New Roman" w:cs="宋体"/>
          <w:color w:val="auto"/>
          <w:sz w:val="24"/>
          <w:szCs w:val="24"/>
          <w:lang w:eastAsia="zh-CN"/>
        </w:rPr>
        <w:t>10</w:t>
      </w:r>
      <w:r>
        <w:rPr>
          <w:rFonts w:ascii="Times New Roman" w:eastAsia="宋体" w:hAnsi="Times New Roman" w:cs="宋体" w:hint="eastAsia"/>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hint="eastAsia"/>
          <w:color w:val="auto"/>
          <w:sz w:val="24"/>
          <w:szCs w:val="24"/>
          <w:lang w:eastAsia="zh-CN"/>
        </w:rPr>
        <w:t>日起施行；</w:t>
      </w:r>
    </w:p>
    <w:p w14:paraId="663C0832"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lastRenderedPageBreak/>
        <w:t>12.</w:t>
      </w:r>
      <w:r>
        <w:rPr>
          <w:rFonts w:ascii="Times New Roman" w:eastAsia="宋体" w:hAnsi="Times New Roman" w:cs="宋体" w:hint="eastAsia"/>
          <w:color w:val="auto"/>
          <w:sz w:val="24"/>
          <w:szCs w:val="24"/>
          <w:lang w:eastAsia="zh-CN"/>
        </w:rPr>
        <w:t>《水运工程模拟试验技术规范》</w:t>
      </w:r>
      <w:r>
        <w:rPr>
          <w:rFonts w:ascii="Times New Roman" w:eastAsia="宋体" w:hAnsi="Times New Roman" w:cs="宋体"/>
          <w:color w:val="auto"/>
          <w:sz w:val="24"/>
          <w:szCs w:val="24"/>
          <w:lang w:eastAsia="zh-CN"/>
        </w:rPr>
        <w:t>JT</w:t>
      </w:r>
      <w:r>
        <w:rPr>
          <w:rFonts w:ascii="Times New Roman" w:eastAsia="宋体" w:hAnsi="Times New Roman" w:cs="宋体"/>
          <w:color w:val="auto"/>
          <w:sz w:val="24"/>
          <w:szCs w:val="24"/>
          <w:lang w:eastAsia="zh-CN"/>
        </w:rPr>
        <w:t>S/T231-2-2021</w:t>
      </w:r>
      <w:r>
        <w:rPr>
          <w:rFonts w:ascii="Times New Roman" w:eastAsia="宋体" w:hAnsi="Times New Roman" w:cs="宋体" w:hint="eastAsia"/>
          <w:color w:val="auto"/>
          <w:sz w:val="24"/>
          <w:szCs w:val="24"/>
          <w:lang w:eastAsia="zh-CN"/>
        </w:rPr>
        <w:t>，交通运输部，自</w:t>
      </w:r>
      <w:r>
        <w:rPr>
          <w:rFonts w:ascii="Times New Roman" w:eastAsia="宋体" w:hAnsi="Times New Roman" w:cs="宋体"/>
          <w:color w:val="auto"/>
          <w:sz w:val="24"/>
          <w:szCs w:val="24"/>
          <w:lang w:eastAsia="zh-CN"/>
        </w:rPr>
        <w:t>2021</w:t>
      </w:r>
      <w:r>
        <w:rPr>
          <w:rFonts w:ascii="Times New Roman" w:eastAsia="宋体" w:hAnsi="Times New Roman" w:cs="宋体" w:hint="eastAsia"/>
          <w:color w:val="auto"/>
          <w:sz w:val="24"/>
          <w:szCs w:val="24"/>
          <w:lang w:eastAsia="zh-CN"/>
        </w:rPr>
        <w:t>年</w:t>
      </w:r>
      <w:r>
        <w:rPr>
          <w:rFonts w:ascii="Times New Roman" w:eastAsia="宋体" w:hAnsi="Times New Roman" w:cs="宋体"/>
          <w:color w:val="auto"/>
          <w:sz w:val="24"/>
          <w:szCs w:val="24"/>
          <w:lang w:eastAsia="zh-CN"/>
        </w:rPr>
        <w:t>7</w:t>
      </w:r>
      <w:r>
        <w:rPr>
          <w:rFonts w:ascii="Times New Roman" w:eastAsia="宋体" w:hAnsi="Times New Roman" w:cs="宋体" w:hint="eastAsia"/>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hint="eastAsia"/>
          <w:color w:val="auto"/>
          <w:sz w:val="24"/>
          <w:szCs w:val="24"/>
          <w:lang w:eastAsia="zh-CN"/>
        </w:rPr>
        <w:t>日起施行；</w:t>
      </w:r>
    </w:p>
    <w:p w14:paraId="2813445A"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13.</w:t>
      </w:r>
      <w:r>
        <w:rPr>
          <w:rFonts w:ascii="Times New Roman" w:eastAsia="宋体" w:hAnsi="Times New Roman" w:cs="宋体" w:hint="eastAsia"/>
          <w:color w:val="auto"/>
          <w:sz w:val="24"/>
          <w:szCs w:val="24"/>
          <w:lang w:eastAsia="zh-CN"/>
        </w:rPr>
        <w:t>《建设项目对海洋生物资源影响评价技术规程》</w:t>
      </w:r>
      <w:r>
        <w:rPr>
          <w:rFonts w:ascii="Times New Roman" w:eastAsia="宋体" w:hAnsi="Times New Roman" w:cs="Times New Roman" w:hint="eastAsia"/>
          <w:snapToGrid/>
          <w:color w:val="auto"/>
          <w:kern w:val="2"/>
          <w:sz w:val="24"/>
          <w:szCs w:val="24"/>
          <w:lang w:eastAsia="zh-CN"/>
        </w:rPr>
        <w:t>SC/T 9110-2007</w:t>
      </w:r>
      <w:r>
        <w:rPr>
          <w:rFonts w:ascii="Times New Roman" w:eastAsia="宋体" w:hAnsi="Times New Roman" w:cs="宋体" w:hint="eastAsia"/>
          <w:color w:val="auto"/>
          <w:sz w:val="24"/>
          <w:szCs w:val="24"/>
          <w:lang w:eastAsia="zh-CN"/>
        </w:rPr>
        <w:t>，农业部，自</w:t>
      </w:r>
      <w:r>
        <w:rPr>
          <w:rFonts w:ascii="Times New Roman" w:eastAsia="宋体" w:hAnsi="Times New Roman" w:cs="宋体" w:hint="eastAsia"/>
          <w:color w:val="auto"/>
          <w:sz w:val="24"/>
          <w:szCs w:val="24"/>
          <w:lang w:eastAsia="zh-CN"/>
        </w:rPr>
        <w:t>2008</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日起施行；</w:t>
      </w:r>
    </w:p>
    <w:p w14:paraId="0631F08A"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14.</w:t>
      </w:r>
      <w:r>
        <w:rPr>
          <w:rFonts w:ascii="Times New Roman" w:eastAsia="宋体" w:hAnsi="Times New Roman" w:cs="宋体" w:hint="eastAsia"/>
          <w:color w:val="auto"/>
          <w:sz w:val="24"/>
          <w:szCs w:val="24"/>
          <w:lang w:eastAsia="zh-CN"/>
        </w:rPr>
        <w:t>《建设项目海洋环境影响跟踪监测技术规程》国家海洋局，自</w:t>
      </w:r>
      <w:r>
        <w:rPr>
          <w:rFonts w:ascii="Times New Roman" w:eastAsia="宋体" w:hAnsi="Times New Roman" w:cs="宋体"/>
          <w:color w:val="auto"/>
          <w:sz w:val="24"/>
          <w:szCs w:val="24"/>
          <w:lang w:eastAsia="zh-CN"/>
        </w:rPr>
        <w:t>2002</w:t>
      </w:r>
      <w:r>
        <w:rPr>
          <w:rFonts w:ascii="Times New Roman" w:eastAsia="宋体" w:hAnsi="Times New Roman" w:cs="宋体" w:hint="eastAsia"/>
          <w:color w:val="auto"/>
          <w:sz w:val="24"/>
          <w:szCs w:val="24"/>
          <w:lang w:eastAsia="zh-CN"/>
        </w:rPr>
        <w:t>年</w:t>
      </w:r>
      <w:r>
        <w:rPr>
          <w:rFonts w:ascii="Times New Roman" w:eastAsia="宋体" w:hAnsi="Times New Roman" w:cs="宋体"/>
          <w:color w:val="auto"/>
          <w:sz w:val="24"/>
          <w:szCs w:val="24"/>
          <w:lang w:eastAsia="zh-CN"/>
        </w:rPr>
        <w:t>4</w:t>
      </w:r>
      <w:r>
        <w:rPr>
          <w:rFonts w:ascii="Times New Roman" w:eastAsia="宋体" w:hAnsi="Times New Roman" w:cs="宋体" w:hint="eastAsia"/>
          <w:color w:val="auto"/>
          <w:sz w:val="24"/>
          <w:szCs w:val="24"/>
          <w:lang w:eastAsia="zh-CN"/>
        </w:rPr>
        <w:t>月</w:t>
      </w:r>
      <w:r>
        <w:rPr>
          <w:rFonts w:ascii="Times New Roman" w:eastAsia="宋体" w:hAnsi="Times New Roman" w:cs="宋体"/>
          <w:color w:val="auto"/>
          <w:sz w:val="24"/>
          <w:szCs w:val="24"/>
          <w:lang w:eastAsia="zh-CN"/>
        </w:rPr>
        <w:t>1</w:t>
      </w:r>
      <w:r>
        <w:rPr>
          <w:rFonts w:ascii="Times New Roman" w:eastAsia="宋体" w:hAnsi="Times New Roman" w:cs="宋体" w:hint="eastAsia"/>
          <w:color w:val="auto"/>
          <w:sz w:val="24"/>
          <w:szCs w:val="24"/>
          <w:lang w:eastAsia="zh-CN"/>
        </w:rPr>
        <w:t>日起施行。</w:t>
      </w:r>
    </w:p>
    <w:p w14:paraId="44E58851"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15.</w:t>
      </w:r>
      <w:r>
        <w:rPr>
          <w:rFonts w:ascii="Times New Roman" w:eastAsia="宋体" w:hAnsi="Times New Roman" w:cs="宋体"/>
          <w:color w:val="auto"/>
          <w:sz w:val="24"/>
          <w:szCs w:val="24"/>
          <w:lang w:eastAsia="zh-CN"/>
        </w:rPr>
        <w:t>《港口与航道水文规范》</w:t>
      </w:r>
      <w:r>
        <w:rPr>
          <w:rFonts w:ascii="Times New Roman" w:eastAsia="宋体" w:hAnsi="Times New Roman" w:cs="宋体"/>
          <w:color w:val="auto"/>
          <w:sz w:val="24"/>
          <w:szCs w:val="24"/>
          <w:lang w:eastAsia="zh-CN"/>
        </w:rPr>
        <w:t>JTS145-2015</w:t>
      </w:r>
      <w:r>
        <w:rPr>
          <w:rFonts w:ascii="Times New Roman" w:eastAsia="宋体" w:hAnsi="Times New Roman" w:cs="宋体" w:hint="eastAsia"/>
          <w:color w:val="auto"/>
          <w:sz w:val="24"/>
          <w:szCs w:val="24"/>
          <w:lang w:eastAsia="zh-CN"/>
        </w:rPr>
        <w:t>，交通运输部，</w:t>
      </w:r>
      <w:r>
        <w:rPr>
          <w:rFonts w:ascii="Times New Roman" w:eastAsia="宋体" w:hAnsi="Times New Roman" w:cs="宋体" w:hint="eastAsia"/>
          <w:color w:val="auto"/>
          <w:sz w:val="24"/>
          <w:szCs w:val="24"/>
          <w:lang w:eastAsia="zh-CN"/>
        </w:rPr>
        <w:t>2016</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日施行；</w:t>
      </w:r>
    </w:p>
    <w:p w14:paraId="34AB6F62"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16.</w:t>
      </w:r>
      <w:r>
        <w:rPr>
          <w:rFonts w:ascii="Times New Roman" w:eastAsia="宋体" w:hAnsi="Times New Roman" w:cs="宋体" w:hint="eastAsia"/>
          <w:color w:val="auto"/>
          <w:sz w:val="24"/>
          <w:szCs w:val="24"/>
          <w:lang w:eastAsia="zh-CN"/>
        </w:rPr>
        <w:t>《自然资源部办公厅</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hint="eastAsia"/>
          <w:color w:val="auto"/>
          <w:sz w:val="24"/>
          <w:szCs w:val="24"/>
          <w:lang w:eastAsia="zh-CN"/>
        </w:rPr>
        <w:t>国家林业和草原局办公室关于印发</w:t>
      </w:r>
      <w:r>
        <w:rPr>
          <w:rFonts w:ascii="Times New Roman" w:eastAsia="宋体" w:hAnsi="Times New Roman" w:cs="宋体" w:hint="eastAsia"/>
          <w:color w:val="auto"/>
          <w:sz w:val="24"/>
          <w:szCs w:val="24"/>
          <w:lang w:eastAsia="zh-CN"/>
        </w:rPr>
        <w:t>&lt;</w:t>
      </w:r>
      <w:r>
        <w:rPr>
          <w:rFonts w:ascii="Times New Roman" w:eastAsia="宋体" w:hAnsi="Times New Roman" w:cs="宋体" w:hint="eastAsia"/>
          <w:color w:val="auto"/>
          <w:sz w:val="24"/>
          <w:szCs w:val="24"/>
          <w:lang w:eastAsia="zh-CN"/>
        </w:rPr>
        <w:t>红树林生态修复手册</w:t>
      </w:r>
      <w:r>
        <w:rPr>
          <w:rFonts w:ascii="Times New Roman" w:eastAsia="宋体" w:hAnsi="Times New Roman" w:cs="宋体" w:hint="eastAsia"/>
          <w:color w:val="auto"/>
          <w:sz w:val="24"/>
          <w:szCs w:val="24"/>
          <w:lang w:eastAsia="zh-CN"/>
        </w:rPr>
        <w:t>&gt;</w:t>
      </w:r>
      <w:r>
        <w:rPr>
          <w:rFonts w:ascii="Times New Roman" w:eastAsia="宋体" w:hAnsi="Times New Roman" w:cs="宋体" w:hint="eastAsia"/>
          <w:color w:val="auto"/>
          <w:sz w:val="24"/>
          <w:szCs w:val="24"/>
          <w:lang w:eastAsia="zh-CN"/>
        </w:rPr>
        <w:t>的通知》，自然资办函</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2021</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809</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2021</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10</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8</w:t>
      </w:r>
      <w:r>
        <w:rPr>
          <w:rFonts w:ascii="Times New Roman" w:eastAsia="宋体" w:hAnsi="Times New Roman" w:cs="宋体" w:hint="eastAsia"/>
          <w:color w:val="auto"/>
          <w:sz w:val="24"/>
          <w:szCs w:val="24"/>
          <w:lang w:eastAsia="zh-CN"/>
        </w:rPr>
        <w:t>日；</w:t>
      </w:r>
    </w:p>
    <w:p w14:paraId="2FDCC1EB"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17.</w:t>
      </w:r>
      <w:r>
        <w:rPr>
          <w:rFonts w:ascii="Times New Roman" w:eastAsia="宋体" w:hAnsi="Times New Roman" w:cs="宋体" w:hint="eastAsia"/>
          <w:color w:val="auto"/>
          <w:sz w:val="24"/>
          <w:szCs w:val="24"/>
          <w:lang w:eastAsia="zh-CN"/>
        </w:rPr>
        <w:t>《红树林生态修复监测和效果评估技术指南》</w:t>
      </w:r>
      <w:r>
        <w:rPr>
          <w:rFonts w:ascii="Times New Roman" w:eastAsia="宋体" w:hAnsi="Times New Roman" w:cs="宋体" w:hint="eastAsia"/>
          <w:color w:val="auto"/>
          <w:sz w:val="24"/>
          <w:szCs w:val="24"/>
          <w:lang w:eastAsia="zh-CN"/>
        </w:rPr>
        <w:t>GB/T 45140-2025</w:t>
      </w:r>
      <w:r>
        <w:rPr>
          <w:rFonts w:ascii="Times New Roman" w:eastAsia="宋体" w:hAnsi="Times New Roman" w:cs="宋体" w:hint="eastAsia"/>
          <w:color w:val="auto"/>
          <w:sz w:val="24"/>
          <w:szCs w:val="24"/>
          <w:lang w:eastAsia="zh-CN"/>
        </w:rPr>
        <w:t>，国家市场监督管理总局、国家标准化管理委员会，</w:t>
      </w:r>
      <w:r>
        <w:rPr>
          <w:rFonts w:ascii="Times New Roman" w:eastAsia="宋体" w:hAnsi="Times New Roman" w:cs="宋体" w:hint="eastAsia"/>
          <w:color w:val="auto"/>
          <w:sz w:val="24"/>
          <w:szCs w:val="24"/>
          <w:lang w:eastAsia="zh-CN"/>
        </w:rPr>
        <w:t>2025-05-01</w:t>
      </w:r>
      <w:r>
        <w:rPr>
          <w:rFonts w:ascii="Times New Roman" w:eastAsia="宋体" w:hAnsi="Times New Roman" w:cs="宋体" w:hint="eastAsia"/>
          <w:color w:val="auto"/>
          <w:sz w:val="24"/>
          <w:szCs w:val="24"/>
          <w:lang w:eastAsia="zh-CN"/>
        </w:rPr>
        <w:t>实施。</w:t>
      </w:r>
    </w:p>
    <w:p w14:paraId="43081A81"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37" w:name="_Toc23206"/>
      <w:r>
        <w:rPr>
          <w:rFonts w:ascii="Times New Roman" w:eastAsia="Times New Roman" w:hAnsi="Times New Roman" w:cs="Times New Roman" w:hint="eastAsia"/>
          <w:b/>
          <w:bCs/>
          <w:color w:val="auto"/>
          <w:spacing w:val="-3"/>
          <w:sz w:val="28"/>
          <w:szCs w:val="28"/>
          <w:lang w:eastAsia="zh-CN"/>
        </w:rPr>
        <w:t>1.2.3相关规划</w:t>
      </w:r>
      <w:bookmarkEnd w:id="37"/>
    </w:p>
    <w:p w14:paraId="28EDA14E"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w:t>
      </w:r>
      <w:r>
        <w:rPr>
          <w:rFonts w:ascii="宋体" w:eastAsia="宋体" w:hAnsi="宋体" w:cs="宋体"/>
          <w:color w:val="auto"/>
          <w:sz w:val="24"/>
          <w:szCs w:val="24"/>
          <w:lang w:eastAsia="zh-CN"/>
        </w:rPr>
        <w:t>国务院关于</w:t>
      </w:r>
      <w:r>
        <w:rPr>
          <w:rFonts w:ascii="宋体" w:eastAsia="宋体" w:hAnsi="宋体" w:cs="宋体" w:hint="eastAsia"/>
          <w:color w:val="auto"/>
          <w:sz w:val="24"/>
          <w:szCs w:val="24"/>
          <w:lang w:eastAsia="zh-CN"/>
        </w:rPr>
        <w:t>&lt;</w:t>
      </w:r>
      <w:r>
        <w:rPr>
          <w:rFonts w:ascii="宋体" w:eastAsia="宋体" w:hAnsi="宋体" w:cs="宋体"/>
          <w:color w:val="auto"/>
          <w:sz w:val="24"/>
          <w:szCs w:val="24"/>
          <w:lang w:eastAsia="zh-CN"/>
        </w:rPr>
        <w:t>海南省国土空间规划（</w:t>
      </w:r>
      <w:r>
        <w:rPr>
          <w:rFonts w:ascii="宋体" w:eastAsia="宋体" w:hAnsi="宋体" w:cs="宋体"/>
          <w:color w:val="auto"/>
          <w:sz w:val="24"/>
          <w:szCs w:val="24"/>
          <w:lang w:eastAsia="zh-CN"/>
        </w:rPr>
        <w:t>2021—2035</w:t>
      </w:r>
      <w:r>
        <w:rPr>
          <w:rFonts w:ascii="宋体" w:eastAsia="宋体" w:hAnsi="宋体" w:cs="宋体"/>
          <w:color w:val="auto"/>
          <w:sz w:val="24"/>
          <w:szCs w:val="24"/>
          <w:lang w:eastAsia="zh-CN"/>
        </w:rPr>
        <w:t>年）</w:t>
      </w:r>
      <w:r>
        <w:rPr>
          <w:rFonts w:ascii="宋体" w:eastAsia="宋体" w:hAnsi="宋体" w:cs="宋体" w:hint="eastAsia"/>
          <w:color w:val="auto"/>
          <w:sz w:val="24"/>
          <w:szCs w:val="24"/>
          <w:lang w:eastAsia="zh-CN"/>
        </w:rPr>
        <w:t>&gt;</w:t>
      </w:r>
      <w:r>
        <w:rPr>
          <w:rFonts w:ascii="宋体" w:eastAsia="宋体" w:hAnsi="宋体" w:cs="宋体"/>
          <w:color w:val="auto"/>
          <w:sz w:val="24"/>
          <w:szCs w:val="24"/>
          <w:lang w:eastAsia="zh-CN"/>
        </w:rPr>
        <w:t>的批复</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国函〔</w:t>
      </w:r>
      <w:r>
        <w:rPr>
          <w:rFonts w:ascii="Times New Roman" w:eastAsia="宋体" w:hAnsi="Times New Roman" w:cs="宋体"/>
          <w:color w:val="auto"/>
          <w:sz w:val="24"/>
          <w:szCs w:val="24"/>
          <w:lang w:eastAsia="zh-CN"/>
        </w:rPr>
        <w:t>2023</w:t>
      </w: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97</w:t>
      </w:r>
      <w:r>
        <w:rPr>
          <w:rFonts w:ascii="Times New Roman" w:eastAsia="宋体" w:hAnsi="Times New Roman" w:cs="宋体"/>
          <w:color w:val="auto"/>
          <w:sz w:val="24"/>
          <w:szCs w:val="24"/>
          <w:lang w:eastAsia="zh-CN"/>
        </w:rPr>
        <w:t>号</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国务院，</w:t>
      </w:r>
      <w:r>
        <w:rPr>
          <w:rFonts w:ascii="Times New Roman" w:eastAsia="宋体" w:hAnsi="Times New Roman" w:cs="宋体"/>
          <w:color w:val="auto"/>
          <w:sz w:val="24"/>
          <w:szCs w:val="24"/>
          <w:lang w:eastAsia="zh-CN"/>
        </w:rPr>
        <w:t>2023</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09</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20</w:t>
      </w:r>
      <w:r>
        <w:rPr>
          <w:rFonts w:ascii="Times New Roman" w:eastAsia="宋体" w:hAnsi="Times New Roman" w:cs="宋体"/>
          <w:color w:val="auto"/>
          <w:sz w:val="24"/>
          <w:szCs w:val="24"/>
          <w:lang w:eastAsia="zh-CN"/>
        </w:rPr>
        <w:t>日</w:t>
      </w:r>
      <w:r>
        <w:rPr>
          <w:rFonts w:ascii="Times New Roman" w:eastAsia="宋体" w:hAnsi="Times New Roman" w:cs="宋体" w:hint="eastAsia"/>
          <w:color w:val="auto"/>
          <w:sz w:val="24"/>
          <w:szCs w:val="24"/>
          <w:lang w:eastAsia="zh-CN"/>
        </w:rPr>
        <w:t>发布</w:t>
      </w:r>
      <w:r>
        <w:rPr>
          <w:rFonts w:ascii="Times New Roman" w:eastAsia="宋体" w:hAnsi="Times New Roman" w:cs="宋体" w:hint="eastAsia"/>
          <w:color w:val="auto"/>
          <w:sz w:val="24"/>
          <w:szCs w:val="24"/>
          <w:lang w:eastAsia="zh-CN"/>
        </w:rPr>
        <w:t>；</w:t>
      </w:r>
    </w:p>
    <w:p w14:paraId="3F51EA07"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《海南省国土空间生态修复规划</w:t>
      </w:r>
      <w:r>
        <w:rPr>
          <w:rFonts w:ascii="Times New Roman" w:eastAsia="宋体" w:hAnsi="Times New Roman" w:cs="宋体" w:hint="eastAsia"/>
          <w:color w:val="auto"/>
          <w:sz w:val="24"/>
          <w:szCs w:val="24"/>
          <w:lang w:eastAsia="zh-CN"/>
        </w:rPr>
        <w:t>(2021-2035</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》琼自然资修（</w:t>
      </w:r>
      <w:r>
        <w:rPr>
          <w:rFonts w:ascii="Times New Roman" w:eastAsia="宋体" w:hAnsi="Times New Roman" w:cs="宋体" w:hint="eastAsia"/>
          <w:color w:val="auto"/>
          <w:sz w:val="24"/>
          <w:szCs w:val="24"/>
          <w:lang w:eastAsia="zh-CN"/>
        </w:rPr>
        <w:t>2022</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125</w:t>
      </w:r>
      <w:r>
        <w:rPr>
          <w:rFonts w:ascii="Times New Roman" w:eastAsia="宋体" w:hAnsi="Times New Roman" w:cs="宋体" w:hint="eastAsia"/>
          <w:color w:val="auto"/>
          <w:sz w:val="24"/>
          <w:szCs w:val="24"/>
          <w:lang w:eastAsia="zh-CN"/>
        </w:rPr>
        <w:t>号，海南省自然资源和规划厅，</w:t>
      </w:r>
      <w:r>
        <w:rPr>
          <w:rFonts w:ascii="Times New Roman" w:eastAsia="宋体" w:hAnsi="Times New Roman" w:cs="宋体" w:hint="eastAsia"/>
          <w:color w:val="auto"/>
          <w:sz w:val="24"/>
          <w:szCs w:val="24"/>
          <w:lang w:eastAsia="zh-CN"/>
        </w:rPr>
        <w:t>2022</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月；</w:t>
      </w:r>
    </w:p>
    <w:p w14:paraId="448BED54"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《海南省海岸带及海洋空间规划（</w:t>
      </w:r>
      <w:r>
        <w:rPr>
          <w:rFonts w:ascii="Times New Roman" w:eastAsia="宋体" w:hAnsi="Times New Roman" w:cs="宋体" w:hint="eastAsia"/>
          <w:color w:val="auto"/>
          <w:sz w:val="24"/>
          <w:szCs w:val="24"/>
          <w:lang w:eastAsia="zh-CN"/>
        </w:rPr>
        <w:t>2021-2035</w:t>
      </w:r>
      <w:r>
        <w:rPr>
          <w:rFonts w:ascii="Times New Roman" w:eastAsia="宋体" w:hAnsi="Times New Roman" w:cs="宋体" w:hint="eastAsia"/>
          <w:color w:val="auto"/>
          <w:sz w:val="24"/>
          <w:szCs w:val="24"/>
          <w:lang w:eastAsia="zh-CN"/>
        </w:rPr>
        <w:t>年）》，</w:t>
      </w:r>
      <w:r>
        <w:rPr>
          <w:rFonts w:ascii="宋体" w:eastAsia="宋体" w:hAnsi="宋体" w:cs="宋体"/>
          <w:color w:val="auto"/>
          <w:sz w:val="24"/>
          <w:szCs w:val="24"/>
          <w:lang w:eastAsia="zh-CN"/>
        </w:rPr>
        <w:t>海南省</w:t>
      </w:r>
      <w:r>
        <w:rPr>
          <w:rFonts w:ascii="宋体" w:eastAsia="宋体" w:hAnsi="宋体" w:cs="宋体" w:hint="eastAsia"/>
          <w:color w:val="auto"/>
          <w:sz w:val="24"/>
          <w:szCs w:val="24"/>
          <w:lang w:eastAsia="zh-CN"/>
        </w:rPr>
        <w:t>人民</w:t>
      </w:r>
      <w:r>
        <w:rPr>
          <w:rFonts w:ascii="宋体" w:eastAsia="宋体" w:hAnsi="宋体" w:cs="宋体"/>
          <w:color w:val="auto"/>
          <w:sz w:val="24"/>
          <w:szCs w:val="24"/>
          <w:lang w:eastAsia="zh-CN"/>
        </w:rPr>
        <w:t>政府</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2025</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月；</w:t>
      </w:r>
    </w:p>
    <w:p w14:paraId="471C80BD"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4.</w:t>
      </w:r>
      <w:r>
        <w:rPr>
          <w:rFonts w:ascii="Times New Roman" w:eastAsia="宋体" w:hAnsi="Times New Roman" w:cs="宋体"/>
          <w:color w:val="auto"/>
          <w:sz w:val="24"/>
          <w:szCs w:val="24"/>
          <w:lang w:eastAsia="zh-CN"/>
        </w:rPr>
        <w:t>《海南省养殖水域滩涂规划（</w:t>
      </w:r>
      <w:r>
        <w:rPr>
          <w:rFonts w:ascii="Times New Roman" w:eastAsia="宋体" w:hAnsi="Times New Roman" w:cs="宋体"/>
          <w:color w:val="auto"/>
          <w:sz w:val="24"/>
          <w:szCs w:val="24"/>
          <w:lang w:eastAsia="zh-CN"/>
        </w:rPr>
        <w:t>2021-2030</w:t>
      </w:r>
      <w:r>
        <w:rPr>
          <w:rFonts w:ascii="Times New Roman" w:eastAsia="宋体" w:hAnsi="Times New Roman" w:cs="宋体"/>
          <w:color w:val="auto"/>
          <w:sz w:val="24"/>
          <w:szCs w:val="24"/>
          <w:lang w:eastAsia="zh-CN"/>
        </w:rPr>
        <w:t>年）》</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海南省人民政府，</w:t>
      </w:r>
      <w:r>
        <w:rPr>
          <w:rFonts w:ascii="Times New Roman" w:eastAsia="宋体" w:hAnsi="Times New Roman" w:cs="宋体" w:hint="eastAsia"/>
          <w:color w:val="auto"/>
          <w:sz w:val="24"/>
          <w:szCs w:val="24"/>
          <w:lang w:eastAsia="zh-CN"/>
        </w:rPr>
        <w:t>2022</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月</w:t>
      </w:r>
      <w:r>
        <w:rPr>
          <w:rFonts w:ascii="Times New Roman" w:eastAsia="宋体" w:hAnsi="Times New Roman" w:cs="宋体"/>
          <w:color w:val="auto"/>
          <w:sz w:val="24"/>
          <w:szCs w:val="24"/>
          <w:lang w:eastAsia="zh-CN"/>
        </w:rPr>
        <w:t>；</w:t>
      </w:r>
    </w:p>
    <w:p w14:paraId="2B83A89B"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5.</w:t>
      </w:r>
      <w:r>
        <w:rPr>
          <w:rFonts w:ascii="Times New Roman" w:eastAsia="宋体" w:hAnsi="Times New Roman" w:cs="宋体" w:hint="eastAsia"/>
          <w:color w:val="auto"/>
          <w:sz w:val="24"/>
          <w:szCs w:val="24"/>
          <w:lang w:eastAsia="zh-CN"/>
        </w:rPr>
        <w:t>《三亚市国土空间总体规划</w:t>
      </w:r>
      <w:r>
        <w:rPr>
          <w:rFonts w:ascii="Times New Roman" w:eastAsia="宋体" w:hAnsi="Times New Roman" w:cs="宋体" w:hint="eastAsia"/>
          <w:color w:val="auto"/>
          <w:sz w:val="24"/>
          <w:szCs w:val="24"/>
          <w:lang w:eastAsia="zh-CN"/>
        </w:rPr>
        <w:t>(2021-2035)</w:t>
      </w:r>
      <w:r>
        <w:rPr>
          <w:rFonts w:ascii="Times New Roman" w:eastAsia="宋体" w:hAnsi="Times New Roman" w:cs="宋体" w:hint="eastAsia"/>
          <w:color w:val="auto"/>
          <w:sz w:val="24"/>
          <w:szCs w:val="24"/>
          <w:lang w:eastAsia="zh-CN"/>
        </w:rPr>
        <w:t>》，经</w:t>
      </w:r>
      <w:hyperlink r:id="rId15" w:tgtFrame="https://baike.baidu.com/item/%E4%B8%89%E4%BA%9A%E5%B8%82%E5%9B%BD%E5%9C%9F%E7%A9%BA%E9%97%B4%E6%80%BB%E4%BD%93%E8%A7%84%E5%88%92%EF%BC%882021%E2%80%942035%E5%B9%B4%EF%BC%89/_blank" w:history="1">
        <w:r>
          <w:rPr>
            <w:rFonts w:ascii="Times New Roman" w:eastAsia="宋体" w:hAnsi="Times New Roman" w:cs="宋体" w:hint="eastAsia"/>
            <w:color w:val="auto"/>
            <w:sz w:val="24"/>
            <w:szCs w:val="24"/>
            <w:lang w:eastAsia="zh-CN"/>
          </w:rPr>
          <w:t>海南省</w:t>
        </w:r>
        <w:r>
          <w:rPr>
            <w:rFonts w:ascii="Times New Roman" w:eastAsia="宋体" w:hAnsi="Times New Roman" w:cs="宋体" w:hint="eastAsia"/>
            <w:color w:val="auto"/>
            <w:sz w:val="24"/>
            <w:szCs w:val="24"/>
            <w:lang w:eastAsia="zh-CN"/>
          </w:rPr>
          <w:t>人民政府</w:t>
        </w:r>
      </w:hyperlink>
      <w:r>
        <w:rPr>
          <w:rFonts w:ascii="Times New Roman" w:eastAsia="宋体" w:hAnsi="Times New Roman" w:cs="宋体" w:hint="eastAsia"/>
          <w:color w:val="auto"/>
          <w:sz w:val="24"/>
          <w:szCs w:val="24"/>
          <w:lang w:eastAsia="zh-CN"/>
        </w:rPr>
        <w:t>于</w:t>
      </w:r>
      <w:r>
        <w:rPr>
          <w:rFonts w:ascii="Times New Roman" w:eastAsia="宋体" w:hAnsi="Times New Roman" w:cs="宋体" w:hint="eastAsia"/>
          <w:color w:val="auto"/>
          <w:sz w:val="24"/>
          <w:szCs w:val="24"/>
          <w:lang w:eastAsia="zh-CN"/>
        </w:rPr>
        <w:t>2023</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11</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30</w:t>
      </w:r>
      <w:r>
        <w:rPr>
          <w:rFonts w:ascii="Times New Roman" w:eastAsia="宋体" w:hAnsi="Times New Roman" w:cs="宋体" w:hint="eastAsia"/>
          <w:color w:val="auto"/>
          <w:sz w:val="24"/>
          <w:szCs w:val="24"/>
          <w:lang w:eastAsia="zh-CN"/>
        </w:rPr>
        <w:t>日批复，三亚市自然资源和规划局于</w:t>
      </w:r>
      <w:r>
        <w:rPr>
          <w:rFonts w:ascii="Times New Roman" w:eastAsia="宋体" w:hAnsi="Times New Roman" w:cs="宋体" w:hint="eastAsia"/>
          <w:color w:val="auto"/>
          <w:sz w:val="24"/>
          <w:szCs w:val="24"/>
          <w:lang w:eastAsia="zh-CN"/>
        </w:rPr>
        <w:t>2024</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9</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29</w:t>
      </w:r>
      <w:r>
        <w:rPr>
          <w:rFonts w:ascii="Times New Roman" w:eastAsia="宋体" w:hAnsi="Times New Roman" w:cs="宋体" w:hint="eastAsia"/>
          <w:color w:val="auto"/>
          <w:sz w:val="24"/>
          <w:szCs w:val="24"/>
          <w:lang w:eastAsia="zh-CN"/>
        </w:rPr>
        <w:t>日发布；</w:t>
      </w:r>
    </w:p>
    <w:p w14:paraId="74E802E5"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三亚市海域使用详细规划</w:t>
      </w:r>
      <w:r>
        <w:rPr>
          <w:rFonts w:ascii="Times New Roman" w:eastAsia="宋体" w:hAnsi="Times New Roman" w:cs="宋体" w:hint="eastAsia"/>
          <w:color w:val="auto"/>
          <w:sz w:val="24"/>
          <w:szCs w:val="24"/>
          <w:lang w:eastAsia="zh-CN"/>
        </w:rPr>
        <w:t>》，三亚市人民政府，</w:t>
      </w:r>
      <w:r>
        <w:rPr>
          <w:rFonts w:ascii="Times New Roman" w:eastAsia="宋体" w:hAnsi="Times New Roman" w:cs="宋体" w:hint="eastAsia"/>
          <w:color w:val="auto"/>
          <w:sz w:val="24"/>
          <w:szCs w:val="24"/>
          <w:lang w:eastAsia="zh-CN"/>
        </w:rPr>
        <w:t>2023</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7</w:t>
      </w:r>
      <w:r>
        <w:rPr>
          <w:rFonts w:ascii="Times New Roman" w:eastAsia="宋体" w:hAnsi="Times New Roman" w:cs="宋体" w:hint="eastAsia"/>
          <w:color w:val="auto"/>
          <w:sz w:val="24"/>
          <w:szCs w:val="24"/>
          <w:lang w:eastAsia="zh-CN"/>
        </w:rPr>
        <w:t>月；</w:t>
      </w:r>
    </w:p>
    <w:p w14:paraId="03C3FB10"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7.</w:t>
      </w:r>
      <w:r>
        <w:rPr>
          <w:rFonts w:ascii="Times New Roman" w:eastAsia="宋体" w:hAnsi="Times New Roman" w:cs="宋体"/>
          <w:color w:val="auto"/>
          <w:sz w:val="24"/>
          <w:szCs w:val="24"/>
          <w:lang w:eastAsia="zh-CN"/>
        </w:rPr>
        <w:t>《海南省</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十四五</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生态环境保护规划》</w:t>
      </w:r>
      <w:r>
        <w:rPr>
          <w:rFonts w:ascii="Times New Roman" w:eastAsia="宋体" w:hAnsi="Times New Roman" w:cs="宋体" w:hint="eastAsia"/>
          <w:color w:val="auto"/>
          <w:sz w:val="24"/>
          <w:szCs w:val="24"/>
          <w:lang w:eastAsia="zh-CN"/>
        </w:rPr>
        <w:t>，海南省人民政府，</w:t>
      </w:r>
      <w:r>
        <w:rPr>
          <w:rFonts w:ascii="Times New Roman" w:eastAsia="宋体" w:hAnsi="Times New Roman" w:cs="宋体" w:hint="eastAsia"/>
          <w:color w:val="auto"/>
          <w:sz w:val="24"/>
          <w:szCs w:val="24"/>
          <w:lang w:eastAsia="zh-CN"/>
        </w:rPr>
        <w:t>2021</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7</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22</w:t>
      </w:r>
      <w:r>
        <w:rPr>
          <w:rFonts w:ascii="Times New Roman" w:eastAsia="宋体" w:hAnsi="Times New Roman" w:cs="宋体" w:hint="eastAsia"/>
          <w:color w:val="auto"/>
          <w:sz w:val="24"/>
          <w:szCs w:val="24"/>
          <w:lang w:eastAsia="zh-CN"/>
        </w:rPr>
        <w:t>日</w:t>
      </w:r>
      <w:r>
        <w:rPr>
          <w:rFonts w:ascii="Times New Roman" w:eastAsia="宋体" w:hAnsi="Times New Roman" w:cs="宋体"/>
          <w:color w:val="auto"/>
          <w:sz w:val="24"/>
          <w:szCs w:val="24"/>
          <w:lang w:eastAsia="zh-CN"/>
        </w:rPr>
        <w:t>；</w:t>
      </w:r>
    </w:p>
    <w:p w14:paraId="10834FA2"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8.</w:t>
      </w:r>
      <w:r>
        <w:rPr>
          <w:rFonts w:ascii="Times New Roman" w:eastAsia="宋体" w:hAnsi="Times New Roman" w:cs="宋体"/>
          <w:color w:val="auto"/>
          <w:sz w:val="24"/>
          <w:szCs w:val="24"/>
          <w:lang w:eastAsia="zh-CN"/>
        </w:rPr>
        <w:t>《海南省</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十四五</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海洋生态环境保护规划》</w:t>
      </w:r>
      <w:r>
        <w:rPr>
          <w:rFonts w:ascii="Times New Roman" w:eastAsia="宋体" w:hAnsi="Times New Roman" w:cs="宋体" w:hint="eastAsia"/>
          <w:color w:val="auto"/>
          <w:sz w:val="24"/>
          <w:szCs w:val="24"/>
          <w:lang w:eastAsia="zh-CN"/>
        </w:rPr>
        <w:t>，海南省生态环境厅印发，</w:t>
      </w:r>
      <w:r>
        <w:rPr>
          <w:rFonts w:ascii="Times New Roman" w:eastAsia="宋体" w:hAnsi="Times New Roman" w:cs="宋体"/>
          <w:color w:val="auto"/>
          <w:sz w:val="24"/>
          <w:szCs w:val="24"/>
          <w:lang w:eastAsia="zh-CN"/>
        </w:rPr>
        <w:t>2021</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12</w:t>
      </w:r>
      <w:r>
        <w:rPr>
          <w:rFonts w:ascii="Times New Roman" w:eastAsia="宋体" w:hAnsi="Times New Roman" w:cs="宋体"/>
          <w:color w:val="auto"/>
          <w:sz w:val="24"/>
          <w:szCs w:val="24"/>
          <w:lang w:eastAsia="zh-CN"/>
        </w:rPr>
        <w:t>月；</w:t>
      </w:r>
    </w:p>
    <w:p w14:paraId="1892C3E2"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9.</w:t>
      </w:r>
      <w:r>
        <w:rPr>
          <w:rFonts w:ascii="Times New Roman" w:eastAsia="宋体" w:hAnsi="Times New Roman" w:cs="宋体" w:hint="eastAsia"/>
          <w:color w:val="auto"/>
          <w:sz w:val="24"/>
          <w:szCs w:val="24"/>
          <w:lang w:eastAsia="zh-CN"/>
        </w:rPr>
        <w:t>《三亚市“十四五”生态环境保护规划》，三亚市生态环境局发布，</w:t>
      </w:r>
      <w:r>
        <w:rPr>
          <w:rFonts w:ascii="Times New Roman" w:eastAsia="宋体" w:hAnsi="Times New Roman" w:cs="宋体" w:hint="eastAsia"/>
          <w:color w:val="auto"/>
          <w:sz w:val="24"/>
          <w:szCs w:val="24"/>
          <w:lang w:eastAsia="zh-CN"/>
        </w:rPr>
        <w:t>2023</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12</w:t>
      </w:r>
      <w:r>
        <w:rPr>
          <w:rFonts w:ascii="Times New Roman" w:eastAsia="宋体" w:hAnsi="Times New Roman" w:cs="宋体" w:hint="eastAsia"/>
          <w:color w:val="auto"/>
          <w:sz w:val="24"/>
          <w:szCs w:val="24"/>
          <w:lang w:eastAsia="zh-CN"/>
        </w:rPr>
        <w:t>日；</w:t>
      </w:r>
    </w:p>
    <w:p w14:paraId="51717A42"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lastRenderedPageBreak/>
        <w:t>10.</w:t>
      </w:r>
      <w:r>
        <w:rPr>
          <w:rFonts w:ascii="Times New Roman" w:eastAsia="宋体" w:hAnsi="Times New Roman" w:cs="宋体"/>
          <w:color w:val="auto"/>
          <w:sz w:val="24"/>
          <w:szCs w:val="24"/>
          <w:lang w:eastAsia="zh-CN"/>
        </w:rPr>
        <w:t>《三亚市林业发展</w:t>
      </w:r>
      <w:r>
        <w:rPr>
          <w:rFonts w:ascii="Times New Roman" w:eastAsia="宋体" w:hAnsi="Times New Roman" w:cs="宋体" w:hint="eastAsia"/>
          <w:color w:val="auto"/>
          <w:sz w:val="24"/>
          <w:szCs w:val="24"/>
          <w:lang w:eastAsia="zh-CN"/>
        </w:rPr>
        <w:t>“十四五”</w:t>
      </w:r>
      <w:r>
        <w:rPr>
          <w:rFonts w:ascii="Times New Roman" w:eastAsia="宋体" w:hAnsi="Times New Roman" w:cs="宋体"/>
          <w:color w:val="auto"/>
          <w:sz w:val="24"/>
          <w:szCs w:val="24"/>
          <w:lang w:eastAsia="zh-CN"/>
        </w:rPr>
        <w:t>规划》</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2022</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1</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21</w:t>
      </w:r>
      <w:r>
        <w:rPr>
          <w:rFonts w:ascii="Times New Roman" w:eastAsia="宋体" w:hAnsi="Times New Roman" w:cs="宋体"/>
          <w:color w:val="auto"/>
          <w:sz w:val="24"/>
          <w:szCs w:val="24"/>
          <w:lang w:eastAsia="zh-CN"/>
        </w:rPr>
        <w:t>日经八届三亚市人民政府第</w:t>
      </w:r>
      <w:r>
        <w:rPr>
          <w:rFonts w:ascii="Times New Roman" w:eastAsia="宋体" w:hAnsi="Times New Roman" w:cs="宋体"/>
          <w:color w:val="auto"/>
          <w:sz w:val="24"/>
          <w:szCs w:val="24"/>
          <w:lang w:eastAsia="zh-CN"/>
        </w:rPr>
        <w:t>2</w:t>
      </w:r>
      <w:r>
        <w:rPr>
          <w:rFonts w:ascii="Times New Roman" w:eastAsia="宋体" w:hAnsi="Times New Roman" w:cs="宋体"/>
          <w:color w:val="auto"/>
          <w:sz w:val="24"/>
          <w:szCs w:val="24"/>
          <w:lang w:eastAsia="zh-CN"/>
        </w:rPr>
        <w:t>次常务会审议通过</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2022</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2</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28</w:t>
      </w:r>
      <w:r>
        <w:rPr>
          <w:rFonts w:ascii="Times New Roman" w:eastAsia="宋体" w:hAnsi="Times New Roman" w:cs="宋体"/>
          <w:color w:val="auto"/>
          <w:sz w:val="24"/>
          <w:szCs w:val="24"/>
          <w:lang w:eastAsia="zh-CN"/>
        </w:rPr>
        <w:t>日</w:t>
      </w:r>
      <w:r>
        <w:rPr>
          <w:rFonts w:ascii="Times New Roman" w:eastAsia="宋体" w:hAnsi="Times New Roman" w:cs="宋体" w:hint="eastAsia"/>
          <w:color w:val="auto"/>
          <w:sz w:val="24"/>
          <w:szCs w:val="24"/>
          <w:lang w:eastAsia="zh-CN"/>
        </w:rPr>
        <w:t>；</w:t>
      </w:r>
    </w:p>
    <w:p w14:paraId="096C28EC"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11.</w:t>
      </w:r>
      <w:r>
        <w:rPr>
          <w:rFonts w:ascii="Times New Roman" w:eastAsia="宋体" w:hAnsi="Times New Roman" w:cs="宋体"/>
          <w:color w:val="auto"/>
          <w:sz w:val="24"/>
          <w:szCs w:val="24"/>
          <w:lang w:eastAsia="zh-CN"/>
        </w:rPr>
        <w:t>《三亚市</w:t>
      </w:r>
      <w:r>
        <w:rPr>
          <w:rFonts w:ascii="Times New Roman" w:eastAsia="宋体" w:hAnsi="Times New Roman" w:cs="宋体" w:hint="eastAsia"/>
          <w:color w:val="auto"/>
          <w:sz w:val="24"/>
          <w:szCs w:val="24"/>
          <w:lang w:eastAsia="zh-CN"/>
        </w:rPr>
        <w:t>“十四五”</w:t>
      </w:r>
      <w:r>
        <w:rPr>
          <w:rFonts w:ascii="Times New Roman" w:eastAsia="宋体" w:hAnsi="Times New Roman" w:cs="宋体"/>
          <w:color w:val="auto"/>
          <w:sz w:val="24"/>
          <w:szCs w:val="24"/>
          <w:lang w:eastAsia="zh-CN"/>
        </w:rPr>
        <w:t>海洋生态环境保护规划》</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2022</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1</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21</w:t>
      </w:r>
      <w:r>
        <w:rPr>
          <w:rFonts w:ascii="Times New Roman" w:eastAsia="宋体" w:hAnsi="Times New Roman" w:cs="宋体"/>
          <w:color w:val="auto"/>
          <w:sz w:val="24"/>
          <w:szCs w:val="24"/>
          <w:lang w:eastAsia="zh-CN"/>
        </w:rPr>
        <w:t>日八届三亚市人民政府第</w:t>
      </w:r>
      <w:r>
        <w:rPr>
          <w:rFonts w:ascii="Times New Roman" w:eastAsia="宋体" w:hAnsi="Times New Roman" w:cs="宋体"/>
          <w:color w:val="auto"/>
          <w:sz w:val="24"/>
          <w:szCs w:val="24"/>
          <w:lang w:eastAsia="zh-CN"/>
        </w:rPr>
        <w:t>2</w:t>
      </w:r>
      <w:r>
        <w:rPr>
          <w:rFonts w:ascii="Times New Roman" w:eastAsia="宋体" w:hAnsi="Times New Roman" w:cs="宋体"/>
          <w:color w:val="auto"/>
          <w:sz w:val="24"/>
          <w:szCs w:val="24"/>
          <w:lang w:eastAsia="zh-CN"/>
        </w:rPr>
        <w:t>次常务会议审议通过</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2022</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2</w:t>
      </w:r>
      <w:r>
        <w:rPr>
          <w:rFonts w:ascii="Times New Roman" w:eastAsia="宋体" w:hAnsi="Times New Roman" w:cs="宋体"/>
          <w:color w:val="auto"/>
          <w:sz w:val="24"/>
          <w:szCs w:val="24"/>
          <w:lang w:eastAsia="zh-CN"/>
        </w:rPr>
        <w:t>月</w:t>
      </w:r>
      <w:r>
        <w:rPr>
          <w:rFonts w:ascii="Times New Roman" w:eastAsia="宋体" w:hAnsi="Times New Roman" w:cs="宋体"/>
          <w:color w:val="auto"/>
          <w:sz w:val="24"/>
          <w:szCs w:val="24"/>
          <w:lang w:eastAsia="zh-CN"/>
        </w:rPr>
        <w:t>18</w:t>
      </w:r>
      <w:r>
        <w:rPr>
          <w:rFonts w:ascii="Times New Roman" w:eastAsia="宋体" w:hAnsi="Times New Roman" w:cs="宋体"/>
          <w:color w:val="auto"/>
          <w:sz w:val="24"/>
          <w:szCs w:val="24"/>
          <w:lang w:eastAsia="zh-CN"/>
        </w:rPr>
        <w:t>日</w:t>
      </w:r>
      <w:r>
        <w:rPr>
          <w:rFonts w:ascii="Times New Roman" w:eastAsia="宋体" w:hAnsi="Times New Roman" w:cs="宋体" w:hint="eastAsia"/>
          <w:color w:val="auto"/>
          <w:sz w:val="24"/>
          <w:szCs w:val="24"/>
          <w:lang w:eastAsia="zh-CN"/>
        </w:rPr>
        <w:t>；</w:t>
      </w:r>
    </w:p>
    <w:p w14:paraId="156A8B47"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12.</w:t>
      </w:r>
      <w:r>
        <w:rPr>
          <w:rFonts w:ascii="Times New Roman" w:eastAsia="宋体" w:hAnsi="Times New Roman" w:cs="宋体" w:hint="eastAsia"/>
          <w:color w:val="auto"/>
          <w:sz w:val="24"/>
          <w:szCs w:val="24"/>
          <w:lang w:eastAsia="zh-CN"/>
        </w:rPr>
        <w:t>《海南省红树林资源保护专项规划（</w:t>
      </w:r>
      <w:r>
        <w:rPr>
          <w:rFonts w:ascii="Times New Roman" w:eastAsia="宋体" w:hAnsi="Times New Roman" w:cs="宋体" w:hint="eastAsia"/>
          <w:color w:val="auto"/>
          <w:sz w:val="24"/>
          <w:szCs w:val="24"/>
          <w:lang w:eastAsia="zh-CN"/>
        </w:rPr>
        <w:t>2024-2035</w:t>
      </w:r>
      <w:r>
        <w:rPr>
          <w:rFonts w:ascii="Times New Roman" w:eastAsia="宋体" w:hAnsi="Times New Roman" w:cs="宋体" w:hint="eastAsia"/>
          <w:color w:val="auto"/>
          <w:sz w:val="24"/>
          <w:szCs w:val="24"/>
          <w:lang w:eastAsia="zh-CN"/>
        </w:rPr>
        <w:t>年）》，</w:t>
      </w:r>
      <w:r>
        <w:rPr>
          <w:rFonts w:ascii="Times New Roman" w:eastAsia="宋体" w:hAnsi="Times New Roman" w:cs="宋体"/>
          <w:color w:val="auto"/>
          <w:sz w:val="24"/>
          <w:szCs w:val="24"/>
          <w:lang w:eastAsia="zh-CN"/>
        </w:rPr>
        <w:t>海南省人民政府办公厅，琼府办〔</w:t>
      </w:r>
      <w:r>
        <w:rPr>
          <w:rFonts w:ascii="Times New Roman" w:eastAsia="宋体" w:hAnsi="Times New Roman" w:cs="宋体"/>
          <w:color w:val="auto"/>
          <w:sz w:val="24"/>
          <w:szCs w:val="24"/>
          <w:lang w:eastAsia="zh-CN"/>
        </w:rPr>
        <w:t>202</w:t>
      </w:r>
      <w:r>
        <w:rPr>
          <w:rFonts w:ascii="Times New Roman" w:eastAsia="宋体" w:hAnsi="Times New Roman" w:cs="宋体" w:hint="eastAsia"/>
          <w:color w:val="auto"/>
          <w:sz w:val="24"/>
          <w:szCs w:val="24"/>
          <w:lang w:eastAsia="zh-CN"/>
        </w:rPr>
        <w:t>5</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12</w:t>
      </w:r>
      <w:r>
        <w:rPr>
          <w:rFonts w:ascii="Times New Roman" w:eastAsia="宋体" w:hAnsi="Times New Roman" w:cs="宋体"/>
          <w:color w:val="auto"/>
          <w:sz w:val="24"/>
          <w:szCs w:val="24"/>
          <w:lang w:eastAsia="zh-CN"/>
        </w:rPr>
        <w:t>号，</w:t>
      </w:r>
      <w:r>
        <w:rPr>
          <w:rFonts w:ascii="Times New Roman" w:eastAsia="宋体" w:hAnsi="Times New Roman" w:cs="宋体"/>
          <w:color w:val="auto"/>
          <w:sz w:val="24"/>
          <w:szCs w:val="24"/>
          <w:lang w:eastAsia="zh-CN"/>
        </w:rPr>
        <w:t>202</w:t>
      </w:r>
      <w:r>
        <w:rPr>
          <w:rFonts w:ascii="Times New Roman" w:eastAsia="宋体" w:hAnsi="Times New Roman" w:cs="宋体" w:hint="eastAsia"/>
          <w:color w:val="auto"/>
          <w:sz w:val="24"/>
          <w:szCs w:val="24"/>
          <w:lang w:eastAsia="zh-CN"/>
        </w:rPr>
        <w:t>5</w:t>
      </w:r>
      <w:r>
        <w:rPr>
          <w:rFonts w:ascii="Times New Roman" w:eastAsia="宋体" w:hAnsi="Times New Roman" w:cs="宋体"/>
          <w:color w:val="auto"/>
          <w:sz w:val="24"/>
          <w:szCs w:val="24"/>
          <w:lang w:eastAsia="zh-CN"/>
        </w:rPr>
        <w:t>年</w:t>
      </w:r>
      <w:r>
        <w:rPr>
          <w:rFonts w:ascii="Times New Roman" w:eastAsia="宋体" w:hAnsi="Times New Roman" w:cs="宋体" w:hint="eastAsia"/>
          <w:color w:val="auto"/>
          <w:sz w:val="24"/>
          <w:szCs w:val="24"/>
          <w:lang w:eastAsia="zh-CN"/>
        </w:rPr>
        <w:t>3</w:t>
      </w:r>
      <w:r>
        <w:rPr>
          <w:rFonts w:ascii="Times New Roman" w:eastAsia="宋体" w:hAnsi="Times New Roman" w:cs="宋体"/>
          <w:color w:val="auto"/>
          <w:sz w:val="24"/>
          <w:szCs w:val="24"/>
          <w:lang w:eastAsia="zh-CN"/>
        </w:rPr>
        <w:t>月</w:t>
      </w:r>
      <w:r>
        <w:rPr>
          <w:rFonts w:ascii="Times New Roman" w:eastAsia="宋体" w:hAnsi="Times New Roman" w:cs="宋体" w:hint="eastAsia"/>
          <w:color w:val="auto"/>
          <w:sz w:val="24"/>
          <w:szCs w:val="24"/>
          <w:lang w:eastAsia="zh-CN"/>
        </w:rPr>
        <w:t>。</w:t>
      </w:r>
    </w:p>
    <w:p w14:paraId="336DD658"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38" w:name="_Toc28732"/>
      <w:r>
        <w:rPr>
          <w:rFonts w:ascii="Times New Roman" w:eastAsia="Times New Roman" w:hAnsi="Times New Roman" w:cs="Times New Roman" w:hint="eastAsia"/>
          <w:b/>
          <w:bCs/>
          <w:color w:val="auto"/>
          <w:spacing w:val="-3"/>
          <w:sz w:val="28"/>
          <w:szCs w:val="28"/>
          <w:lang w:eastAsia="zh-CN"/>
        </w:rPr>
        <w:t>1.2.4项目技术资料</w:t>
      </w:r>
      <w:bookmarkEnd w:id="38"/>
    </w:p>
    <w:p w14:paraId="17C4C69D"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w:t>
      </w:r>
      <w:r>
        <w:rPr>
          <w:rFonts w:ascii="Times New Roman" w:eastAsia="宋体" w:hAnsi="Times New Roman" w:cs="宋体"/>
          <w:color w:val="auto"/>
          <w:sz w:val="24"/>
          <w:szCs w:val="24"/>
          <w:lang w:eastAsia="zh-CN"/>
        </w:rPr>
        <w:t>《铁炉港红树林湿地保护修复项目初步设计（第一册：设计说明）》，湖南省农林工业勘察设计院有限公司，</w:t>
      </w:r>
      <w:r>
        <w:rPr>
          <w:rFonts w:ascii="Times New Roman" w:eastAsia="宋体" w:hAnsi="Times New Roman" w:cs="宋体"/>
          <w:color w:val="auto"/>
          <w:sz w:val="24"/>
          <w:szCs w:val="24"/>
          <w:lang w:eastAsia="zh-CN"/>
        </w:rPr>
        <w:t>202</w:t>
      </w:r>
      <w:r>
        <w:rPr>
          <w:rFonts w:ascii="Times New Roman" w:eastAsia="宋体" w:hAnsi="Times New Roman" w:cs="宋体" w:hint="eastAsia"/>
          <w:color w:val="auto"/>
          <w:sz w:val="24"/>
          <w:szCs w:val="24"/>
          <w:lang w:eastAsia="zh-CN"/>
        </w:rPr>
        <w:t>4</w:t>
      </w:r>
      <w:r>
        <w:rPr>
          <w:rFonts w:ascii="Times New Roman" w:eastAsia="宋体" w:hAnsi="Times New Roman" w:cs="宋体"/>
          <w:color w:val="auto"/>
          <w:sz w:val="24"/>
          <w:szCs w:val="24"/>
          <w:lang w:eastAsia="zh-CN"/>
        </w:rPr>
        <w:t>年</w:t>
      </w:r>
      <w:r>
        <w:rPr>
          <w:rFonts w:ascii="Times New Roman" w:eastAsia="宋体" w:hAnsi="Times New Roman" w:cs="宋体" w:hint="eastAsia"/>
          <w:color w:val="auto"/>
          <w:sz w:val="24"/>
          <w:szCs w:val="24"/>
          <w:lang w:eastAsia="zh-CN"/>
        </w:rPr>
        <w:t>8</w:t>
      </w:r>
      <w:r>
        <w:rPr>
          <w:rFonts w:ascii="Times New Roman" w:eastAsia="宋体" w:hAnsi="Times New Roman" w:cs="宋体"/>
          <w:color w:val="auto"/>
          <w:sz w:val="24"/>
          <w:szCs w:val="24"/>
          <w:lang w:eastAsia="zh-CN"/>
        </w:rPr>
        <w:t>月；</w:t>
      </w:r>
    </w:p>
    <w:p w14:paraId="730423F0"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《铁炉港红树林湿地保护修复项目环境影响报告表》，海南绿屿环境科技有限公司，</w:t>
      </w:r>
      <w:r>
        <w:rPr>
          <w:rFonts w:ascii="Times New Roman" w:eastAsia="宋体" w:hAnsi="Times New Roman" w:cs="宋体" w:hint="eastAsia"/>
          <w:color w:val="auto"/>
          <w:sz w:val="24"/>
          <w:szCs w:val="24"/>
          <w:lang w:eastAsia="zh-CN"/>
        </w:rPr>
        <w:t>2025</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5</w:t>
      </w:r>
      <w:r>
        <w:rPr>
          <w:rFonts w:ascii="Times New Roman" w:eastAsia="宋体" w:hAnsi="Times New Roman" w:cs="宋体" w:hint="eastAsia"/>
          <w:color w:val="auto"/>
          <w:sz w:val="24"/>
          <w:szCs w:val="24"/>
          <w:lang w:eastAsia="zh-CN"/>
        </w:rPr>
        <w:t>月；</w:t>
      </w:r>
    </w:p>
    <w:p w14:paraId="00E3A328"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《铁炉港红树林湿地保护修复项目区域生态环境调查报告》，中国林业科学研究院热带林业研究所，</w:t>
      </w:r>
      <w:r>
        <w:rPr>
          <w:rFonts w:ascii="Times New Roman" w:eastAsia="宋体" w:hAnsi="Times New Roman" w:cs="宋体" w:hint="eastAsia"/>
          <w:color w:val="auto"/>
          <w:sz w:val="24"/>
          <w:szCs w:val="24"/>
          <w:lang w:eastAsia="zh-CN"/>
        </w:rPr>
        <w:t>2024</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7</w:t>
      </w:r>
      <w:r>
        <w:rPr>
          <w:rFonts w:ascii="Times New Roman" w:eastAsia="宋体" w:hAnsi="Times New Roman" w:cs="宋体" w:hint="eastAsia"/>
          <w:color w:val="auto"/>
          <w:sz w:val="24"/>
          <w:szCs w:val="24"/>
          <w:lang w:eastAsia="zh-CN"/>
        </w:rPr>
        <w:t>月；</w:t>
      </w:r>
    </w:p>
    <w:p w14:paraId="37F6D779"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《铁炉港红树林湿地保护修复项目生态专项评价报告》，</w:t>
      </w:r>
      <w:r>
        <w:rPr>
          <w:rFonts w:ascii="Times New Roman" w:eastAsia="宋体" w:hAnsi="Times New Roman" w:cs="宋体"/>
          <w:color w:val="auto"/>
          <w:sz w:val="24"/>
          <w:szCs w:val="24"/>
          <w:lang w:eastAsia="zh-CN"/>
        </w:rPr>
        <w:t>海南绿</w:t>
      </w:r>
      <w:r>
        <w:rPr>
          <w:rFonts w:ascii="Times New Roman" w:eastAsia="宋体" w:hAnsi="Times New Roman" w:cs="宋体" w:hint="eastAsia"/>
          <w:color w:val="auto"/>
          <w:sz w:val="24"/>
          <w:szCs w:val="24"/>
          <w:lang w:eastAsia="zh-CN"/>
        </w:rPr>
        <w:t>屿</w:t>
      </w:r>
      <w:r>
        <w:rPr>
          <w:rFonts w:ascii="Times New Roman" w:eastAsia="宋体" w:hAnsi="Times New Roman" w:cs="宋体"/>
          <w:color w:val="auto"/>
          <w:sz w:val="24"/>
          <w:szCs w:val="24"/>
          <w:lang w:eastAsia="zh-CN"/>
        </w:rPr>
        <w:t>环境科技有限公司</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2024</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11</w:t>
      </w:r>
      <w:r>
        <w:rPr>
          <w:rFonts w:ascii="Times New Roman" w:eastAsia="宋体" w:hAnsi="Times New Roman" w:cs="宋体"/>
          <w:color w:val="auto"/>
          <w:sz w:val="24"/>
          <w:szCs w:val="24"/>
          <w:lang w:eastAsia="zh-CN"/>
        </w:rPr>
        <w:t>月</w:t>
      </w:r>
      <w:r>
        <w:rPr>
          <w:rFonts w:ascii="Times New Roman" w:eastAsia="宋体" w:hAnsi="Times New Roman" w:cs="宋体" w:hint="eastAsia"/>
          <w:color w:val="auto"/>
          <w:sz w:val="24"/>
          <w:szCs w:val="24"/>
          <w:lang w:eastAsia="zh-CN"/>
        </w:rPr>
        <w:t>；</w:t>
      </w:r>
    </w:p>
    <w:p w14:paraId="13B521AA"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5.2019</w:t>
      </w:r>
      <w:r>
        <w:rPr>
          <w:rFonts w:ascii="Times New Roman" w:eastAsia="宋体" w:hAnsi="Times New Roman" w:cs="宋体" w:hint="eastAsia"/>
          <w:color w:val="auto"/>
          <w:sz w:val="24"/>
          <w:szCs w:val="24"/>
          <w:lang w:eastAsia="zh-CN"/>
        </w:rPr>
        <w:t>年海南省海岸线修测成果，海南省自然资源和规划厅，</w:t>
      </w:r>
      <w:r>
        <w:rPr>
          <w:rFonts w:ascii="Times New Roman" w:eastAsia="宋体" w:hAnsi="Times New Roman" w:cs="宋体" w:hint="eastAsia"/>
          <w:color w:val="auto"/>
          <w:sz w:val="24"/>
          <w:szCs w:val="24"/>
          <w:lang w:eastAsia="zh-CN"/>
        </w:rPr>
        <w:t>2021</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12</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8</w:t>
      </w:r>
      <w:r>
        <w:rPr>
          <w:rFonts w:ascii="Times New Roman" w:eastAsia="宋体" w:hAnsi="Times New Roman" w:cs="宋体" w:hint="eastAsia"/>
          <w:color w:val="auto"/>
          <w:sz w:val="24"/>
          <w:szCs w:val="24"/>
          <w:lang w:eastAsia="zh-CN"/>
        </w:rPr>
        <w:t>日；</w:t>
      </w:r>
    </w:p>
    <w:p w14:paraId="26D93A7F"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铁炉</w:t>
      </w:r>
      <w:r>
        <w:rPr>
          <w:rFonts w:ascii="Times New Roman" w:eastAsia="宋体" w:hAnsi="Times New Roman" w:cs="宋体" w:hint="eastAsia"/>
          <w:color w:val="auto"/>
          <w:sz w:val="24"/>
          <w:szCs w:val="24"/>
          <w:lang w:eastAsia="zh-CN"/>
        </w:rPr>
        <w:t>港区域用地权属数据，三亚市自然资源和规划局用地登记发证现势宗地数据；</w:t>
      </w:r>
    </w:p>
    <w:p w14:paraId="76A5D567"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hAnsi="Times New Roman" w:cs="Times New Roman" w:hint="eastAsia"/>
          <w:color w:val="auto"/>
          <w:sz w:val="24"/>
          <w:szCs w:val="24"/>
          <w:lang w:eastAsia="zh-CN"/>
        </w:rPr>
        <w:t>7.</w:t>
      </w:r>
      <w:r>
        <w:rPr>
          <w:rFonts w:ascii="Times New Roman" w:hAnsi="Times New Roman" w:cs="Times New Roman"/>
          <w:color w:val="auto"/>
          <w:sz w:val="24"/>
          <w:szCs w:val="24"/>
          <w:lang w:eastAsia="zh-CN"/>
        </w:rPr>
        <w:t>1:</w:t>
      </w:r>
      <w:r>
        <w:rPr>
          <w:rFonts w:ascii="Times New Roman" w:hAnsi="Times New Roman" w:cs="Times New Roman" w:hint="eastAsia"/>
          <w:color w:val="auto"/>
          <w:sz w:val="24"/>
          <w:szCs w:val="24"/>
          <w:lang w:eastAsia="zh-CN"/>
        </w:rPr>
        <w:t>2</w:t>
      </w:r>
      <w:r>
        <w:rPr>
          <w:rFonts w:ascii="Times New Roman" w:hAnsi="Times New Roman" w:cs="Times New Roman"/>
          <w:color w:val="auto"/>
          <w:sz w:val="24"/>
          <w:szCs w:val="24"/>
          <w:lang w:eastAsia="zh-CN"/>
        </w:rPr>
        <w:t>000</w:t>
      </w:r>
      <w:r>
        <w:rPr>
          <w:rFonts w:ascii="Times New Roman" w:hAnsi="Times New Roman" w:cs="Times New Roman" w:hint="eastAsia"/>
          <w:color w:val="auto"/>
          <w:sz w:val="24"/>
          <w:szCs w:val="24"/>
          <w:lang w:eastAsia="zh-CN"/>
        </w:rPr>
        <w:t>铁炉港</w:t>
      </w:r>
      <w:r>
        <w:rPr>
          <w:rFonts w:ascii="Times New Roman" w:hAnsi="Times New Roman" w:cs="Times New Roman"/>
          <w:color w:val="auto"/>
          <w:sz w:val="24"/>
          <w:szCs w:val="24"/>
          <w:lang w:eastAsia="zh-CN"/>
        </w:rPr>
        <w:t>水下地形图</w:t>
      </w:r>
      <w:r>
        <w:rPr>
          <w:rFonts w:ascii="Times New Roman" w:hAnsi="Times New Roman" w:cs="Times New Roman" w:hint="eastAsia"/>
          <w:color w:val="auto"/>
          <w:sz w:val="24"/>
          <w:szCs w:val="24"/>
          <w:lang w:eastAsia="zh-CN"/>
        </w:rPr>
        <w:t>，海南云洲科技有限公司，</w:t>
      </w:r>
      <w:r>
        <w:rPr>
          <w:rFonts w:ascii="Times New Roman" w:hAnsi="Times New Roman" w:cs="Times New Roman" w:hint="eastAsia"/>
          <w:color w:val="auto"/>
          <w:sz w:val="24"/>
          <w:szCs w:val="24"/>
          <w:lang w:eastAsia="zh-CN"/>
        </w:rPr>
        <w:t>2024</w:t>
      </w:r>
      <w:r>
        <w:rPr>
          <w:rFonts w:ascii="Times New Roman" w:hAnsi="Times New Roman" w:cs="Times New Roman" w:hint="eastAsia"/>
          <w:color w:val="auto"/>
          <w:sz w:val="24"/>
          <w:szCs w:val="24"/>
          <w:lang w:eastAsia="zh-CN"/>
        </w:rPr>
        <w:t>年</w:t>
      </w:r>
      <w:r>
        <w:rPr>
          <w:rFonts w:ascii="Times New Roman" w:hAnsi="Times New Roman" w:cs="Times New Roman" w:hint="eastAsia"/>
          <w:color w:val="auto"/>
          <w:sz w:val="24"/>
          <w:szCs w:val="24"/>
          <w:lang w:eastAsia="zh-CN"/>
        </w:rPr>
        <w:t>8</w:t>
      </w:r>
      <w:r>
        <w:rPr>
          <w:rFonts w:ascii="Times New Roman" w:hAnsi="Times New Roman" w:cs="Times New Roman" w:hint="eastAsia"/>
          <w:color w:val="auto"/>
          <w:sz w:val="24"/>
          <w:szCs w:val="24"/>
          <w:lang w:eastAsia="zh-CN"/>
        </w:rPr>
        <w:t>月；</w:t>
      </w:r>
    </w:p>
    <w:p w14:paraId="52F8C442"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8.</w:t>
      </w:r>
      <w:r>
        <w:rPr>
          <w:rFonts w:ascii="Times New Roman" w:eastAsia="宋体" w:hAnsi="Times New Roman" w:cs="宋体" w:hint="eastAsia"/>
          <w:color w:val="auto"/>
          <w:sz w:val="24"/>
          <w:szCs w:val="24"/>
          <w:lang w:eastAsia="zh-CN"/>
        </w:rPr>
        <w:t>《三亚后海湾旅游娱乐用海项目海域使用论证报告表》，海南省海洋与渔业科学院，</w:t>
      </w:r>
      <w:r>
        <w:rPr>
          <w:rFonts w:ascii="Times New Roman" w:eastAsia="宋体" w:hAnsi="Times New Roman" w:cs="宋体" w:hint="eastAsia"/>
          <w:color w:val="auto"/>
          <w:sz w:val="24"/>
          <w:szCs w:val="24"/>
          <w:lang w:eastAsia="zh-CN"/>
        </w:rPr>
        <w:t>2023</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11</w:t>
      </w:r>
      <w:r>
        <w:rPr>
          <w:rFonts w:ascii="Times New Roman" w:eastAsia="宋体" w:hAnsi="Times New Roman" w:cs="宋体" w:hint="eastAsia"/>
          <w:color w:val="auto"/>
          <w:sz w:val="24"/>
          <w:szCs w:val="24"/>
          <w:lang w:eastAsia="zh-CN"/>
        </w:rPr>
        <w:t>月；</w:t>
      </w:r>
    </w:p>
    <w:p w14:paraId="2C8DEAEC"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9.</w:t>
      </w:r>
      <w:r>
        <w:rPr>
          <w:rFonts w:ascii="Times New Roman" w:eastAsia="宋体" w:hAnsi="Times New Roman" w:cs="宋体" w:hint="eastAsia"/>
          <w:color w:val="auto"/>
          <w:sz w:val="24"/>
          <w:szCs w:val="24"/>
          <w:lang w:eastAsia="zh-CN"/>
        </w:rPr>
        <w:t>《三亚铁炉港红树林生态系统碳储量调查与评估报告》，中国海洋大学，</w:t>
      </w:r>
      <w:r>
        <w:rPr>
          <w:rFonts w:ascii="Times New Roman" w:eastAsia="宋体" w:hAnsi="Times New Roman" w:cs="宋体" w:hint="eastAsia"/>
          <w:color w:val="auto"/>
          <w:sz w:val="24"/>
          <w:szCs w:val="24"/>
          <w:lang w:eastAsia="zh-CN"/>
        </w:rPr>
        <w:t>2023</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10</w:t>
      </w:r>
      <w:r>
        <w:rPr>
          <w:rFonts w:ascii="Times New Roman" w:eastAsia="宋体" w:hAnsi="Times New Roman" w:cs="宋体" w:hint="eastAsia"/>
          <w:color w:val="auto"/>
          <w:sz w:val="24"/>
          <w:szCs w:val="24"/>
          <w:lang w:eastAsia="zh-CN"/>
        </w:rPr>
        <w:t>月；</w:t>
      </w:r>
    </w:p>
    <w:p w14:paraId="5B7A3C7F"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10.</w:t>
      </w:r>
      <w:r>
        <w:rPr>
          <w:rFonts w:ascii="Times New Roman" w:eastAsia="宋体" w:hAnsi="Times New Roman" w:cs="宋体" w:hint="eastAsia"/>
          <w:color w:val="auto"/>
          <w:sz w:val="24"/>
          <w:szCs w:val="24"/>
          <w:lang w:eastAsia="zh-CN"/>
        </w:rPr>
        <w:t>《铁炉港红树林湿地保护修复项目岩土工程详细勘察报告》</w:t>
      </w:r>
      <w:r>
        <w:rPr>
          <w:rFonts w:ascii="Times New Roman" w:eastAsia="宋体" w:hAnsi="Times New Roman" w:cs="宋体"/>
          <w:color w:val="auto"/>
          <w:sz w:val="24"/>
          <w:szCs w:val="24"/>
          <w:lang w:eastAsia="zh-CN"/>
        </w:rPr>
        <w:t>，湖南省农林工业勘察设计院有限公司，</w:t>
      </w:r>
      <w:r>
        <w:rPr>
          <w:rFonts w:ascii="Times New Roman" w:eastAsia="宋体" w:hAnsi="Times New Roman" w:cs="宋体"/>
          <w:color w:val="auto"/>
          <w:sz w:val="24"/>
          <w:szCs w:val="24"/>
          <w:lang w:eastAsia="zh-CN"/>
        </w:rPr>
        <w:t>202</w:t>
      </w:r>
      <w:r>
        <w:rPr>
          <w:rFonts w:ascii="Times New Roman" w:eastAsia="宋体" w:hAnsi="Times New Roman" w:cs="宋体" w:hint="eastAsia"/>
          <w:color w:val="auto"/>
          <w:sz w:val="24"/>
          <w:szCs w:val="24"/>
          <w:lang w:eastAsia="zh-CN"/>
        </w:rPr>
        <w:t>4</w:t>
      </w:r>
      <w:r>
        <w:rPr>
          <w:rFonts w:ascii="Times New Roman" w:eastAsia="宋体" w:hAnsi="Times New Roman" w:cs="宋体"/>
          <w:color w:val="auto"/>
          <w:sz w:val="24"/>
          <w:szCs w:val="24"/>
          <w:lang w:eastAsia="zh-CN"/>
        </w:rPr>
        <w:t>年</w:t>
      </w:r>
      <w:r>
        <w:rPr>
          <w:rFonts w:ascii="Times New Roman" w:eastAsia="宋体" w:hAnsi="Times New Roman" w:cs="宋体" w:hint="eastAsia"/>
          <w:color w:val="auto"/>
          <w:sz w:val="24"/>
          <w:szCs w:val="24"/>
          <w:lang w:eastAsia="zh-CN"/>
        </w:rPr>
        <w:t>10</w:t>
      </w:r>
      <w:r>
        <w:rPr>
          <w:rFonts w:ascii="Times New Roman" w:eastAsia="宋体" w:hAnsi="Times New Roman" w:cs="宋体"/>
          <w:color w:val="auto"/>
          <w:sz w:val="24"/>
          <w:szCs w:val="24"/>
          <w:lang w:eastAsia="zh-CN"/>
        </w:rPr>
        <w:t>月；</w:t>
      </w:r>
    </w:p>
    <w:p w14:paraId="7B6FA907"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11.</w:t>
      </w:r>
      <w:r>
        <w:rPr>
          <w:rFonts w:ascii="Times New Roman" w:eastAsia="宋体" w:hAnsi="Times New Roman" w:cs="宋体"/>
          <w:color w:val="auto"/>
          <w:sz w:val="24"/>
          <w:szCs w:val="24"/>
          <w:lang w:eastAsia="zh-CN"/>
        </w:rPr>
        <w:t>《三亚市红树林湿地资源本地调查技术报告》</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三亚市林业科学研究院</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2022</w:t>
      </w:r>
      <w:r>
        <w:rPr>
          <w:rFonts w:ascii="Times New Roman" w:eastAsia="宋体" w:hAnsi="Times New Roman" w:cs="宋体"/>
          <w:color w:val="auto"/>
          <w:sz w:val="24"/>
          <w:szCs w:val="24"/>
          <w:lang w:eastAsia="zh-CN"/>
        </w:rPr>
        <w:t>年</w:t>
      </w:r>
      <w:r>
        <w:rPr>
          <w:rFonts w:ascii="Times New Roman" w:eastAsia="宋体" w:hAnsi="Times New Roman" w:cs="宋体"/>
          <w:color w:val="auto"/>
          <w:sz w:val="24"/>
          <w:szCs w:val="24"/>
          <w:lang w:eastAsia="zh-CN"/>
        </w:rPr>
        <w:t>2</w:t>
      </w:r>
      <w:r>
        <w:rPr>
          <w:rFonts w:ascii="Times New Roman" w:eastAsia="宋体" w:hAnsi="Times New Roman" w:cs="宋体"/>
          <w:color w:val="auto"/>
          <w:sz w:val="24"/>
          <w:szCs w:val="24"/>
          <w:lang w:eastAsia="zh-CN"/>
        </w:rPr>
        <w:t>月</w:t>
      </w:r>
      <w:r>
        <w:rPr>
          <w:rFonts w:ascii="Times New Roman" w:eastAsia="宋体" w:hAnsi="Times New Roman" w:cs="宋体" w:hint="eastAsia"/>
          <w:color w:val="auto"/>
          <w:sz w:val="24"/>
          <w:szCs w:val="24"/>
          <w:lang w:eastAsia="zh-CN"/>
        </w:rPr>
        <w:t>；</w:t>
      </w:r>
    </w:p>
    <w:p w14:paraId="05B46A08"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12.</w:t>
      </w:r>
      <w:r>
        <w:rPr>
          <w:rFonts w:ascii="Times New Roman" w:eastAsia="宋体" w:hAnsi="Times New Roman" w:cs="宋体" w:hint="eastAsia"/>
          <w:color w:val="auto"/>
          <w:sz w:val="24"/>
          <w:szCs w:val="24"/>
          <w:lang w:eastAsia="zh-CN"/>
        </w:rPr>
        <w:t>《铁炉港红树林湿地保护修复项目</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一期</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对三亚市铁炉港红树林自然保护区生物多样性影响评价报告》，海南新绿神热带生物工程有限责任公司，</w:t>
      </w:r>
      <w:r>
        <w:rPr>
          <w:rFonts w:ascii="Times New Roman" w:eastAsia="宋体" w:hAnsi="Times New Roman" w:cs="宋体" w:hint="eastAsia"/>
          <w:color w:val="auto"/>
          <w:sz w:val="24"/>
          <w:szCs w:val="24"/>
          <w:lang w:eastAsia="zh-CN"/>
        </w:rPr>
        <w:t>2025</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月；</w:t>
      </w:r>
    </w:p>
    <w:p w14:paraId="75546B60"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lastRenderedPageBreak/>
        <w:t>13.</w:t>
      </w:r>
      <w:r>
        <w:rPr>
          <w:rFonts w:ascii="Times New Roman" w:eastAsia="宋体" w:hAnsi="Times New Roman" w:cs="宋体" w:hint="eastAsia"/>
          <w:color w:val="auto"/>
          <w:sz w:val="24"/>
          <w:szCs w:val="24"/>
          <w:lang w:eastAsia="zh-CN"/>
        </w:rPr>
        <w:t>《三亚市铁炉港红树林自然保护区</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hint="eastAsia"/>
          <w:color w:val="auto"/>
          <w:sz w:val="24"/>
          <w:szCs w:val="24"/>
          <w:lang w:eastAsia="zh-CN"/>
        </w:rPr>
        <w:t>范围和功能区调整论证报告》，三亚市林业局，</w:t>
      </w:r>
      <w:r>
        <w:rPr>
          <w:rFonts w:ascii="Times New Roman" w:eastAsia="宋体" w:hAnsi="Times New Roman" w:cs="宋体" w:hint="eastAsia"/>
          <w:color w:val="auto"/>
          <w:sz w:val="24"/>
          <w:szCs w:val="24"/>
          <w:lang w:eastAsia="zh-CN"/>
        </w:rPr>
        <w:t>2025</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7</w:t>
      </w:r>
      <w:r>
        <w:rPr>
          <w:rFonts w:ascii="Times New Roman" w:eastAsia="宋体" w:hAnsi="Times New Roman" w:cs="宋体" w:hint="eastAsia"/>
          <w:color w:val="auto"/>
          <w:sz w:val="24"/>
          <w:szCs w:val="24"/>
          <w:lang w:eastAsia="zh-CN"/>
        </w:rPr>
        <w:t>月；</w:t>
      </w:r>
    </w:p>
    <w:p w14:paraId="42A8441A"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14.</w:t>
      </w:r>
      <w:r>
        <w:rPr>
          <w:rFonts w:ascii="Times New Roman" w:eastAsia="宋体" w:hAnsi="Times New Roman" w:cs="宋体" w:hint="eastAsia"/>
          <w:color w:val="auto"/>
          <w:sz w:val="24"/>
          <w:szCs w:val="24"/>
          <w:lang w:eastAsia="zh-CN"/>
        </w:rPr>
        <w:t>《三亚市铁炉港红树林自然保护区</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hint="eastAsia"/>
          <w:color w:val="auto"/>
          <w:sz w:val="24"/>
          <w:szCs w:val="24"/>
          <w:lang w:eastAsia="zh-CN"/>
        </w:rPr>
        <w:t>综合科学考察报告》，国家林业和草原局中南调查规划院，</w:t>
      </w:r>
      <w:r>
        <w:rPr>
          <w:rFonts w:ascii="Times New Roman" w:eastAsia="宋体" w:hAnsi="Times New Roman" w:cs="宋体" w:hint="eastAsia"/>
          <w:color w:val="auto"/>
          <w:sz w:val="24"/>
          <w:szCs w:val="24"/>
          <w:lang w:eastAsia="zh-CN"/>
        </w:rPr>
        <w:t>2025</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7</w:t>
      </w:r>
      <w:r>
        <w:rPr>
          <w:rFonts w:ascii="Times New Roman" w:eastAsia="宋体" w:hAnsi="Times New Roman" w:cs="宋体" w:hint="eastAsia"/>
          <w:color w:val="auto"/>
          <w:sz w:val="24"/>
          <w:szCs w:val="24"/>
          <w:lang w:eastAsia="zh-CN"/>
        </w:rPr>
        <w:t>月；</w:t>
      </w:r>
    </w:p>
    <w:p w14:paraId="4C496798"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15.</w:t>
      </w:r>
      <w:r>
        <w:rPr>
          <w:rFonts w:ascii="Times New Roman" w:eastAsia="宋体" w:hAnsi="Times New Roman" w:cs="宋体" w:hint="eastAsia"/>
          <w:color w:val="auto"/>
          <w:sz w:val="24"/>
          <w:szCs w:val="24"/>
          <w:lang w:eastAsia="zh-CN"/>
        </w:rPr>
        <w:t>《铁炉港红树林湿地保护修复项目生态修复活动论证咨询报告》湖南省农</w:t>
      </w:r>
      <w:r>
        <w:rPr>
          <w:rFonts w:ascii="Times New Roman" w:eastAsia="宋体" w:hAnsi="Times New Roman" w:cs="宋体" w:hint="eastAsia"/>
          <w:color w:val="auto"/>
          <w:sz w:val="24"/>
          <w:szCs w:val="24"/>
          <w:lang w:eastAsia="zh-CN"/>
        </w:rPr>
        <w:t>林工业勘察设计研究院，</w:t>
      </w:r>
      <w:r>
        <w:rPr>
          <w:rFonts w:ascii="Times New Roman" w:eastAsia="宋体" w:hAnsi="Times New Roman" w:cs="宋体" w:hint="eastAsia"/>
          <w:color w:val="auto"/>
          <w:sz w:val="24"/>
          <w:szCs w:val="24"/>
          <w:lang w:eastAsia="zh-CN"/>
        </w:rPr>
        <w:t>2025</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9</w:t>
      </w:r>
      <w:r>
        <w:rPr>
          <w:rFonts w:ascii="Times New Roman" w:eastAsia="宋体" w:hAnsi="Times New Roman" w:cs="宋体" w:hint="eastAsia"/>
          <w:color w:val="auto"/>
          <w:sz w:val="24"/>
          <w:szCs w:val="24"/>
          <w:lang w:eastAsia="zh-CN"/>
        </w:rPr>
        <w:t>月；</w:t>
      </w:r>
    </w:p>
    <w:p w14:paraId="37181D5E"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16.</w:t>
      </w:r>
      <w:r>
        <w:rPr>
          <w:rFonts w:ascii="Times New Roman" w:eastAsia="宋体" w:hAnsi="Times New Roman" w:cs="宋体" w:hint="eastAsia"/>
          <w:color w:val="auto"/>
          <w:sz w:val="24"/>
          <w:szCs w:val="24"/>
          <w:lang w:eastAsia="zh-CN"/>
        </w:rPr>
        <w:t>业主单位提供的其他工程资料。</w:t>
      </w:r>
    </w:p>
    <w:p w14:paraId="332B6F3F"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39" w:name="bookmark8"/>
      <w:bookmarkStart w:id="40" w:name="bookmark7"/>
      <w:bookmarkStart w:id="41" w:name="_Toc26643"/>
      <w:bookmarkStart w:id="42" w:name="_Toc5890"/>
      <w:bookmarkStart w:id="43" w:name="_Toc20792"/>
      <w:bookmarkEnd w:id="39"/>
      <w:bookmarkEnd w:id="40"/>
      <w:r>
        <w:rPr>
          <w:rFonts w:ascii="Times New Roman" w:eastAsia="Times New Roman" w:hAnsi="Times New Roman" w:cs="Times New Roman"/>
          <w:b/>
          <w:bCs/>
          <w:color w:val="auto"/>
          <w:spacing w:val="-6"/>
          <w:sz w:val="30"/>
          <w:szCs w:val="30"/>
          <w:lang w:eastAsia="zh-CN"/>
        </w:rPr>
        <w:t>1.3论证等级和范围</w:t>
      </w:r>
      <w:bookmarkEnd w:id="41"/>
      <w:bookmarkEnd w:id="42"/>
      <w:bookmarkEnd w:id="43"/>
    </w:p>
    <w:p w14:paraId="2457A465"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44" w:name="_Toc25981"/>
      <w:r>
        <w:rPr>
          <w:rFonts w:ascii="Times New Roman" w:eastAsia="Times New Roman" w:hAnsi="Times New Roman" w:cs="Times New Roman" w:hint="eastAsia"/>
          <w:b/>
          <w:bCs/>
          <w:color w:val="auto"/>
          <w:spacing w:val="-3"/>
          <w:sz w:val="28"/>
          <w:szCs w:val="28"/>
          <w:lang w:eastAsia="zh-CN"/>
        </w:rPr>
        <w:t>1.3.1论证等级</w:t>
      </w:r>
      <w:bookmarkEnd w:id="44"/>
    </w:p>
    <w:p w14:paraId="514A8EBB"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用海方式的界定</w:t>
      </w:r>
    </w:p>
    <w:p w14:paraId="3452862F"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根据项目建设内容、所在位置、建设方式及确权情况，本项目涉海工程主要为</w:t>
      </w:r>
      <w:r>
        <w:rPr>
          <w:rFonts w:ascii="Times New Roman" w:eastAsia="宋体" w:hAnsi="Times New Roman" w:cs="宋体"/>
          <w:color w:val="auto"/>
          <w:spacing w:val="-2"/>
          <w:sz w:val="24"/>
          <w:szCs w:val="24"/>
          <w:lang w:eastAsia="zh-CN"/>
        </w:rPr>
        <w:t>水系连通与生境改造</w:t>
      </w:r>
      <w:r>
        <w:rPr>
          <w:rFonts w:ascii="Times New Roman" w:eastAsia="宋体" w:hAnsi="Times New Roman" w:cs="宋体" w:hint="eastAsia"/>
          <w:color w:val="auto"/>
          <w:spacing w:val="-2"/>
          <w:sz w:val="24"/>
          <w:szCs w:val="24"/>
          <w:lang w:eastAsia="zh-CN"/>
        </w:rPr>
        <w:t>涉及的</w:t>
      </w:r>
      <w:r>
        <w:rPr>
          <w:rFonts w:ascii="Times New Roman" w:eastAsia="宋体" w:hAnsi="Times New Roman" w:cs="宋体"/>
          <w:color w:val="auto"/>
          <w:spacing w:val="-2"/>
          <w:sz w:val="24"/>
          <w:szCs w:val="24"/>
          <w:lang w:eastAsia="zh-CN"/>
        </w:rPr>
        <w:t>清淤</w:t>
      </w:r>
      <w:r>
        <w:rPr>
          <w:rFonts w:ascii="Times New Roman" w:eastAsia="宋体" w:hAnsi="Times New Roman" w:cs="宋体" w:hint="eastAsia"/>
          <w:color w:val="auto"/>
          <w:spacing w:val="-2"/>
          <w:sz w:val="24"/>
          <w:szCs w:val="24"/>
          <w:lang w:eastAsia="zh-CN"/>
        </w:rPr>
        <w:t>工程、一二期智慧监测与生态评估工程中巡护设施、保护管理设施因设计变更、施工等新增用海。</w:t>
      </w:r>
      <w:r>
        <w:rPr>
          <w:rFonts w:ascii="Times New Roman" w:eastAsia="宋体" w:hAnsi="Times New Roman" w:cs="宋体" w:hint="eastAsia"/>
          <w:color w:val="auto"/>
          <w:sz w:val="24"/>
          <w:szCs w:val="24"/>
          <w:lang w:eastAsia="zh-CN"/>
        </w:rPr>
        <w:t>根据《国土空间调查、规划、用途管制用地用海分类指南》，本项目用海分类一级类为“特殊用海”（代码：</w:t>
      </w:r>
      <w:r>
        <w:rPr>
          <w:rFonts w:ascii="Times New Roman" w:eastAsia="宋体" w:hAnsi="Times New Roman" w:cs="宋体" w:hint="eastAsia"/>
          <w:color w:val="auto"/>
          <w:sz w:val="24"/>
          <w:szCs w:val="24"/>
          <w:lang w:eastAsia="zh-CN"/>
        </w:rPr>
        <w:t>22</w:t>
      </w:r>
      <w:r>
        <w:rPr>
          <w:rFonts w:ascii="Times New Roman" w:eastAsia="宋体" w:hAnsi="Times New Roman" w:cs="宋体" w:hint="eastAsia"/>
          <w:color w:val="auto"/>
          <w:sz w:val="24"/>
          <w:szCs w:val="24"/>
          <w:lang w:eastAsia="zh-CN"/>
        </w:rPr>
        <w:t>），二级类为“</w:t>
      </w:r>
      <w:r>
        <w:rPr>
          <w:rFonts w:ascii="Times New Roman" w:eastAsia="宋体" w:hAnsi="Times New Roman" w:cs="宋体"/>
          <w:color w:val="auto"/>
          <w:sz w:val="24"/>
          <w:szCs w:val="24"/>
          <w:lang w:eastAsia="zh-CN"/>
        </w:rPr>
        <w:t>海洋保护修复及海岸防护工程用海</w:t>
      </w:r>
      <w:r>
        <w:rPr>
          <w:rFonts w:ascii="Times New Roman" w:eastAsia="宋体" w:hAnsi="Times New Roman" w:cs="宋体" w:hint="eastAsia"/>
          <w:color w:val="auto"/>
          <w:sz w:val="24"/>
          <w:szCs w:val="24"/>
          <w:lang w:eastAsia="zh-CN"/>
        </w:rPr>
        <w:t>”（代码：</w:t>
      </w:r>
      <w:r>
        <w:rPr>
          <w:rFonts w:ascii="Times New Roman" w:eastAsia="宋体" w:hAnsi="Times New Roman" w:cs="宋体" w:hint="eastAsia"/>
          <w:color w:val="auto"/>
          <w:sz w:val="24"/>
          <w:szCs w:val="24"/>
          <w:lang w:eastAsia="zh-CN"/>
        </w:rPr>
        <w:t>2203</w:t>
      </w:r>
      <w:r>
        <w:rPr>
          <w:rFonts w:ascii="Times New Roman" w:eastAsia="宋体" w:hAnsi="Times New Roman" w:cs="宋体" w:hint="eastAsia"/>
          <w:color w:val="auto"/>
          <w:sz w:val="24"/>
          <w:szCs w:val="24"/>
          <w:lang w:eastAsia="zh-CN"/>
        </w:rPr>
        <w:t>）；根据</w:t>
      </w:r>
      <w:r>
        <w:rPr>
          <w:rFonts w:ascii="Times New Roman" w:eastAsia="宋体" w:hAnsi="Times New Roman" w:cs="宋体" w:hint="eastAsia"/>
          <w:color w:val="auto"/>
          <w:spacing w:val="-8"/>
          <w:sz w:val="24"/>
          <w:szCs w:val="24"/>
          <w:lang w:eastAsia="zh-CN"/>
        </w:rPr>
        <w:t>《海域使用分</w:t>
      </w:r>
      <w:r>
        <w:rPr>
          <w:rFonts w:ascii="Times New Roman" w:eastAsia="宋体" w:hAnsi="Times New Roman" w:cs="宋体" w:hint="eastAsia"/>
          <w:color w:val="auto"/>
          <w:spacing w:val="-7"/>
          <w:sz w:val="24"/>
          <w:szCs w:val="24"/>
          <w:lang w:eastAsia="zh-CN"/>
        </w:rPr>
        <w:t>类体系》（</w:t>
      </w:r>
      <w:r>
        <w:rPr>
          <w:rFonts w:ascii="Times New Roman" w:eastAsia="宋体" w:hAnsi="Times New Roman" w:cs="宋体" w:hint="eastAsia"/>
          <w:color w:val="auto"/>
          <w:spacing w:val="-7"/>
          <w:sz w:val="24"/>
          <w:szCs w:val="24"/>
          <w:lang w:eastAsia="zh-CN"/>
        </w:rPr>
        <w:t>HY/T123-2009</w:t>
      </w:r>
      <w:r>
        <w:rPr>
          <w:rFonts w:ascii="Times New Roman" w:eastAsia="宋体" w:hAnsi="Times New Roman" w:cs="宋体" w:hint="eastAsia"/>
          <w:color w:val="auto"/>
          <w:spacing w:val="-7"/>
          <w:sz w:val="24"/>
          <w:szCs w:val="24"/>
          <w:lang w:eastAsia="zh-CN"/>
        </w:rPr>
        <w:t>）</w:t>
      </w:r>
      <w:r>
        <w:rPr>
          <w:rFonts w:ascii="Times New Roman" w:eastAsia="宋体" w:hAnsi="Times New Roman" w:cs="宋体" w:hint="eastAsia"/>
          <w:color w:val="auto"/>
          <w:spacing w:val="-7"/>
          <w:sz w:val="24"/>
          <w:szCs w:val="24"/>
          <w:lang w:eastAsia="zh-CN"/>
        </w:rPr>
        <w:t>，</w:t>
      </w:r>
      <w:r>
        <w:rPr>
          <w:rFonts w:ascii="Times New Roman" w:eastAsia="宋体" w:hAnsi="Times New Roman" w:cs="宋体" w:hint="eastAsia"/>
          <w:color w:val="auto"/>
          <w:spacing w:val="-7"/>
          <w:sz w:val="24"/>
          <w:szCs w:val="24"/>
          <w:lang w:eastAsia="zh-CN"/>
        </w:rPr>
        <w:t>本项目用海类型一级类</w:t>
      </w:r>
      <w:r>
        <w:rPr>
          <w:rFonts w:ascii="Times New Roman" w:eastAsia="宋体" w:hAnsi="Times New Roman" w:cs="宋体" w:hint="eastAsia"/>
          <w:color w:val="auto"/>
          <w:spacing w:val="-7"/>
          <w:sz w:val="24"/>
          <w:szCs w:val="24"/>
          <w:lang w:eastAsia="zh-CN"/>
        </w:rPr>
        <w:t>为</w:t>
      </w:r>
      <w:r>
        <w:rPr>
          <w:rFonts w:ascii="Times New Roman" w:eastAsia="宋体" w:hAnsi="Times New Roman" w:cs="宋体" w:hint="eastAsia"/>
          <w:color w:val="auto"/>
          <w:spacing w:val="-7"/>
          <w:sz w:val="24"/>
          <w:szCs w:val="24"/>
          <w:lang w:eastAsia="zh-CN"/>
        </w:rPr>
        <w:t>其他用海</w:t>
      </w:r>
      <w:r>
        <w:rPr>
          <w:rFonts w:ascii="Times New Roman" w:eastAsia="宋体" w:hAnsi="Times New Roman" w:cs="宋体" w:hint="eastAsia"/>
          <w:color w:val="auto"/>
          <w:spacing w:val="-6"/>
          <w:sz w:val="24"/>
          <w:szCs w:val="24"/>
          <w:lang w:eastAsia="zh-CN"/>
        </w:rPr>
        <w:t>（</w:t>
      </w:r>
      <w:r>
        <w:rPr>
          <w:rFonts w:ascii="Times New Roman" w:eastAsia="宋体" w:hAnsi="Times New Roman" w:cs="宋体" w:hint="eastAsia"/>
          <w:color w:val="auto"/>
          <w:spacing w:val="-6"/>
          <w:sz w:val="24"/>
          <w:szCs w:val="24"/>
          <w:lang w:eastAsia="zh-CN"/>
        </w:rPr>
        <w:t>编码：</w:t>
      </w:r>
      <w:r>
        <w:rPr>
          <w:rFonts w:ascii="Times New Roman" w:eastAsia="宋体" w:hAnsi="Times New Roman" w:cs="宋体" w:hint="eastAsia"/>
          <w:color w:val="auto"/>
          <w:spacing w:val="-6"/>
          <w:sz w:val="24"/>
          <w:szCs w:val="24"/>
          <w:lang w:eastAsia="zh-CN"/>
        </w:rPr>
        <w:t>9</w:t>
      </w:r>
      <w:r>
        <w:rPr>
          <w:rFonts w:ascii="Times New Roman" w:eastAsia="宋体" w:hAnsi="Times New Roman" w:cs="宋体" w:hint="eastAsia"/>
          <w:color w:val="auto"/>
          <w:spacing w:val="-6"/>
          <w:sz w:val="24"/>
          <w:szCs w:val="24"/>
          <w:lang w:eastAsia="zh-CN"/>
        </w:rPr>
        <w:t>）</w:t>
      </w:r>
      <w:r>
        <w:rPr>
          <w:rFonts w:ascii="Times New Roman" w:eastAsia="宋体" w:hAnsi="Times New Roman" w:cs="宋体" w:hint="eastAsia"/>
          <w:color w:val="auto"/>
          <w:spacing w:val="-6"/>
          <w:sz w:val="24"/>
          <w:szCs w:val="24"/>
          <w:lang w:eastAsia="zh-CN"/>
        </w:rPr>
        <w:t>。</w:t>
      </w:r>
      <w:r>
        <w:rPr>
          <w:rFonts w:ascii="Times New Roman" w:eastAsia="宋体" w:hAnsi="Times New Roman" w:cs="宋体" w:hint="eastAsia"/>
          <w:color w:val="auto"/>
          <w:sz w:val="24"/>
          <w:szCs w:val="24"/>
          <w:lang w:eastAsia="zh-CN"/>
        </w:rPr>
        <w:t>根据《海域使用分类》（</w:t>
      </w:r>
      <w:r>
        <w:rPr>
          <w:rFonts w:ascii="Times New Roman" w:eastAsia="宋体" w:hAnsi="Times New Roman" w:cs="宋体" w:hint="eastAsia"/>
          <w:color w:val="auto"/>
          <w:sz w:val="24"/>
          <w:szCs w:val="24"/>
          <w:lang w:eastAsia="zh-CN"/>
        </w:rPr>
        <w:t>HY/T123-2009</w:t>
      </w:r>
      <w:r>
        <w:rPr>
          <w:rFonts w:ascii="Times New Roman" w:eastAsia="宋体" w:hAnsi="Times New Roman" w:cs="宋体" w:hint="eastAsia"/>
          <w:color w:val="auto"/>
          <w:sz w:val="24"/>
          <w:szCs w:val="24"/>
          <w:lang w:eastAsia="zh-CN"/>
        </w:rPr>
        <w:t>）中规定的分类方法、项目建设内容，本项目用海方式为专用航道、锚地及其他开放式、透水构筑物。</w:t>
      </w:r>
    </w:p>
    <w:p w14:paraId="5CF28247"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论证等级判定</w:t>
      </w:r>
    </w:p>
    <w:p w14:paraId="5E7CC963"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本项目清淤工程用海方式为专用航道、锚地及其他开放式，用海面积为</w:t>
      </w:r>
      <w:r>
        <w:rPr>
          <w:rFonts w:ascii="Times New Roman" w:eastAsia="宋体" w:hAnsi="Times New Roman" w:cs="宋体" w:hint="eastAsia"/>
          <w:color w:val="auto"/>
          <w:sz w:val="24"/>
          <w:szCs w:val="24"/>
          <w:lang w:eastAsia="zh-CN"/>
        </w:rPr>
        <w:t>14.8672</w:t>
      </w:r>
      <w:r>
        <w:rPr>
          <w:rFonts w:ascii="Times New Roman" w:eastAsia="宋体" w:hAnsi="Times New Roman" w:cs="宋体" w:hint="eastAsia"/>
          <w:color w:val="auto"/>
          <w:sz w:val="24"/>
          <w:szCs w:val="24"/>
          <w:lang w:eastAsia="zh-CN"/>
        </w:rPr>
        <w:t>公顷；巡护道路、保护管理站、管理点用海方式为透水构筑物，用海面积为</w:t>
      </w:r>
      <w:r>
        <w:rPr>
          <w:rFonts w:ascii="Times New Roman" w:eastAsia="宋体" w:hAnsi="Times New Roman" w:cs="宋体" w:hint="eastAsia"/>
          <w:color w:val="auto"/>
          <w:sz w:val="24"/>
          <w:szCs w:val="24"/>
          <w:lang w:eastAsia="zh-CN"/>
        </w:rPr>
        <w:t>0.3793</w:t>
      </w:r>
      <w:r>
        <w:rPr>
          <w:rFonts w:ascii="Times New Roman" w:eastAsia="宋体" w:hAnsi="Times New Roman" w:cs="宋体" w:hint="eastAsia"/>
          <w:color w:val="auto"/>
          <w:sz w:val="24"/>
          <w:szCs w:val="24"/>
          <w:lang w:eastAsia="zh-CN"/>
        </w:rPr>
        <w:t>公顷。项目用海主要位于三亚市铁炉港红树林自然保护区，为生态敏感区。</w:t>
      </w:r>
      <w:r>
        <w:rPr>
          <w:rFonts w:ascii="Times New Roman" w:eastAsia="宋体" w:hAnsi="Times New Roman" w:cs="宋体"/>
          <w:color w:val="auto"/>
          <w:sz w:val="24"/>
          <w:szCs w:val="24"/>
          <w:lang w:eastAsia="zh-CN"/>
        </w:rPr>
        <w:t>根据《海域使用论证技术导则》（</w:t>
      </w:r>
      <w:r>
        <w:rPr>
          <w:rFonts w:ascii="Times New Roman" w:eastAsia="TimesNewRomanPSMT" w:hAnsi="Times New Roman" w:cs="TimesNewRomanPSMT"/>
          <w:color w:val="auto"/>
          <w:sz w:val="24"/>
          <w:szCs w:val="24"/>
          <w:lang w:eastAsia="zh-CN"/>
        </w:rPr>
        <w:t>GB/T42361-2023</w:t>
      </w:r>
      <w:r>
        <w:rPr>
          <w:rFonts w:ascii="Times New Roman" w:eastAsia="宋体" w:hAnsi="Times New Roman" w:cs="宋体"/>
          <w:color w:val="auto"/>
          <w:sz w:val="24"/>
          <w:szCs w:val="24"/>
          <w:lang w:eastAsia="zh-CN"/>
        </w:rPr>
        <w:t>）中的海域使用论证工作等级判据，分析</w:t>
      </w:r>
      <w:r>
        <w:rPr>
          <w:rFonts w:ascii="Times New Roman" w:eastAsia="宋体" w:hAnsi="Times New Roman" w:cs="宋体" w:hint="eastAsia"/>
          <w:color w:val="auto"/>
          <w:spacing w:val="-2"/>
          <w:sz w:val="24"/>
          <w:szCs w:val="24"/>
          <w:lang w:eastAsia="zh-CN"/>
        </w:rPr>
        <w:t>专用航道、锚地及其他开放式、透水构筑物</w:t>
      </w:r>
      <w:r>
        <w:rPr>
          <w:rFonts w:ascii="Times New Roman" w:eastAsia="宋体" w:hAnsi="Times New Roman" w:cs="宋体"/>
          <w:color w:val="auto"/>
          <w:sz w:val="24"/>
          <w:szCs w:val="24"/>
          <w:lang w:eastAsia="zh-CN"/>
        </w:rPr>
        <w:t>的规模，如表</w:t>
      </w:r>
      <w:r>
        <w:rPr>
          <w:rFonts w:ascii="Times New Roman" w:eastAsia="TimesNewRomanPSMT" w:hAnsi="Times New Roman" w:cs="TimesNewRomanPSMT"/>
          <w:color w:val="auto"/>
          <w:sz w:val="24"/>
          <w:szCs w:val="24"/>
          <w:lang w:eastAsia="zh-CN"/>
        </w:rPr>
        <w:t>1.3.1-</w:t>
      </w:r>
      <w:r>
        <w:rPr>
          <w:rFonts w:ascii="Times New Roman" w:eastAsia="宋体" w:hAnsi="Times New Roman" w:cs="TimesNewRomanPSMT" w:hint="eastAsia"/>
          <w:color w:val="auto"/>
          <w:sz w:val="24"/>
          <w:szCs w:val="24"/>
          <w:lang w:eastAsia="zh-CN"/>
        </w:rPr>
        <w:t>1</w:t>
      </w:r>
      <w:r>
        <w:rPr>
          <w:rFonts w:ascii="Times New Roman" w:eastAsia="宋体" w:hAnsi="Times New Roman" w:cs="TimesNewRomanPSMT" w:hint="eastAsia"/>
          <w:color w:val="auto"/>
          <w:sz w:val="24"/>
          <w:szCs w:val="24"/>
          <w:lang w:eastAsia="zh-CN"/>
        </w:rPr>
        <w:t>。</w:t>
      </w:r>
      <w:r>
        <w:rPr>
          <w:rFonts w:ascii="Times New Roman" w:eastAsia="宋体" w:hAnsi="Times New Roman" w:cs="宋体"/>
          <w:color w:val="auto"/>
          <w:sz w:val="24"/>
          <w:szCs w:val="24"/>
          <w:lang w:eastAsia="zh-CN"/>
        </w:rPr>
        <w:t>经判定，本项目最终论证等级为</w:t>
      </w:r>
      <w:r>
        <w:rPr>
          <w:rFonts w:ascii="Times New Roman" w:eastAsia="宋体" w:hAnsi="Times New Roman" w:cs="宋体" w:hint="eastAsia"/>
          <w:color w:val="auto"/>
          <w:sz w:val="24"/>
          <w:szCs w:val="24"/>
          <w:lang w:eastAsia="zh-CN"/>
        </w:rPr>
        <w:t>一</w:t>
      </w:r>
      <w:r>
        <w:rPr>
          <w:rFonts w:ascii="Times New Roman" w:eastAsia="宋体" w:hAnsi="Times New Roman" w:cs="宋体"/>
          <w:color w:val="auto"/>
          <w:sz w:val="24"/>
          <w:szCs w:val="24"/>
          <w:lang w:eastAsia="zh-CN"/>
        </w:rPr>
        <w:t>级。</w:t>
      </w:r>
    </w:p>
    <w:p w14:paraId="7446D4DF" w14:textId="77777777" w:rsidR="0075791A" w:rsidRDefault="00FB2864">
      <w:pPr>
        <w:jc w:val="center"/>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表</w:t>
      </w:r>
      <w:r>
        <w:rPr>
          <w:rFonts w:ascii="Times New Roman" w:eastAsia="宋体" w:hAnsi="Times New Roman" w:cs="宋体" w:hint="eastAsia"/>
          <w:color w:val="auto"/>
          <w:sz w:val="24"/>
          <w:szCs w:val="24"/>
          <w:lang w:eastAsia="zh-CN"/>
        </w:rPr>
        <w:t>1.3.1-1</w:t>
      </w:r>
      <w:r>
        <w:rPr>
          <w:rFonts w:ascii="Times New Roman" w:eastAsia="宋体" w:hAnsi="Times New Roman" w:cs="宋体" w:hint="eastAsia"/>
          <w:color w:val="auto"/>
          <w:sz w:val="24"/>
          <w:szCs w:val="24"/>
          <w:lang w:eastAsia="zh-CN"/>
        </w:rPr>
        <w:t>论证工作等级判定表</w:t>
      </w:r>
    </w:p>
    <w:tbl>
      <w:tblPr>
        <w:tblStyle w:val="ad"/>
        <w:tblW w:w="8526" w:type="dxa"/>
        <w:jc w:val="center"/>
        <w:tblLook w:val="04A0" w:firstRow="1" w:lastRow="0" w:firstColumn="1" w:lastColumn="0" w:noHBand="0" w:noVBand="1"/>
      </w:tblPr>
      <w:tblGrid>
        <w:gridCol w:w="1686"/>
        <w:gridCol w:w="1337"/>
        <w:gridCol w:w="2036"/>
        <w:gridCol w:w="1492"/>
        <w:gridCol w:w="1080"/>
        <w:gridCol w:w="895"/>
      </w:tblGrid>
      <w:tr w:rsidR="0075791A" w14:paraId="332D1C14" w14:textId="77777777">
        <w:trPr>
          <w:trHeight w:val="411"/>
          <w:jc w:val="center"/>
        </w:trPr>
        <w:tc>
          <w:tcPr>
            <w:tcW w:w="1686" w:type="dxa"/>
            <w:vMerge w:val="restart"/>
            <w:tcMar>
              <w:top w:w="0" w:type="dxa"/>
              <w:left w:w="0" w:type="dxa"/>
              <w:bottom w:w="0" w:type="dxa"/>
              <w:right w:w="0" w:type="dxa"/>
            </w:tcMar>
            <w:vAlign w:val="center"/>
          </w:tcPr>
          <w:p w14:paraId="5C615D28"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本项目用海方式</w:t>
            </w:r>
          </w:p>
        </w:tc>
        <w:tc>
          <w:tcPr>
            <w:tcW w:w="1337" w:type="dxa"/>
            <w:vMerge w:val="restart"/>
            <w:tcMar>
              <w:top w:w="0" w:type="dxa"/>
              <w:left w:w="0" w:type="dxa"/>
              <w:bottom w:w="0" w:type="dxa"/>
              <w:right w:w="0" w:type="dxa"/>
            </w:tcMar>
            <w:vAlign w:val="center"/>
          </w:tcPr>
          <w:p w14:paraId="1E3FA1F9"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本项目用海规模</w:t>
            </w:r>
          </w:p>
        </w:tc>
        <w:tc>
          <w:tcPr>
            <w:tcW w:w="4608" w:type="dxa"/>
            <w:gridSpan w:val="3"/>
            <w:tcMar>
              <w:top w:w="0" w:type="dxa"/>
              <w:left w:w="0" w:type="dxa"/>
              <w:bottom w:w="0" w:type="dxa"/>
              <w:right w:w="0" w:type="dxa"/>
            </w:tcMar>
            <w:vAlign w:val="center"/>
          </w:tcPr>
          <w:p w14:paraId="0A358A27"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论证等级判据</w:t>
            </w:r>
          </w:p>
        </w:tc>
        <w:tc>
          <w:tcPr>
            <w:tcW w:w="895" w:type="dxa"/>
            <w:vMerge w:val="restart"/>
            <w:tcMar>
              <w:top w:w="0" w:type="dxa"/>
              <w:left w:w="0" w:type="dxa"/>
              <w:bottom w:w="0" w:type="dxa"/>
              <w:right w:w="0" w:type="dxa"/>
            </w:tcMar>
            <w:vAlign w:val="center"/>
          </w:tcPr>
          <w:p w14:paraId="4301B297" w14:textId="77777777" w:rsidR="0075791A" w:rsidRDefault="00FB2864">
            <w:pPr>
              <w:widowControl/>
              <w:spacing w:line="300" w:lineRule="exact"/>
              <w:jc w:val="center"/>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color w:val="auto"/>
                <w:spacing w:val="-2"/>
                <w:sz w:val="24"/>
                <w:szCs w:val="24"/>
                <w:lang w:eastAsia="zh-CN"/>
              </w:rPr>
              <w:t>确定本项目论证等级</w:t>
            </w:r>
          </w:p>
        </w:tc>
      </w:tr>
      <w:tr w:rsidR="0075791A" w14:paraId="1DEC6FDB" w14:textId="77777777">
        <w:trPr>
          <w:trHeight w:val="431"/>
          <w:jc w:val="center"/>
        </w:trPr>
        <w:tc>
          <w:tcPr>
            <w:tcW w:w="1686" w:type="dxa"/>
            <w:vMerge/>
            <w:tcMar>
              <w:top w:w="0" w:type="dxa"/>
              <w:left w:w="0" w:type="dxa"/>
              <w:bottom w:w="0" w:type="dxa"/>
              <w:right w:w="0" w:type="dxa"/>
            </w:tcMar>
            <w:vAlign w:val="center"/>
          </w:tcPr>
          <w:p w14:paraId="649B0135" w14:textId="77777777" w:rsidR="0075791A" w:rsidRDefault="0075791A">
            <w:pPr>
              <w:widowControl/>
              <w:spacing w:line="300" w:lineRule="exact"/>
              <w:jc w:val="center"/>
              <w:rPr>
                <w:rFonts w:ascii="Times New Roman" w:eastAsia="宋体" w:hAnsi="Times New Roman" w:cs="宋体"/>
                <w:color w:val="auto"/>
                <w:spacing w:val="-2"/>
                <w:sz w:val="24"/>
                <w:szCs w:val="24"/>
                <w:lang w:eastAsia="zh-CN"/>
              </w:rPr>
            </w:pPr>
          </w:p>
        </w:tc>
        <w:tc>
          <w:tcPr>
            <w:tcW w:w="1337" w:type="dxa"/>
            <w:vMerge/>
            <w:tcMar>
              <w:top w:w="0" w:type="dxa"/>
              <w:left w:w="0" w:type="dxa"/>
              <w:bottom w:w="0" w:type="dxa"/>
              <w:right w:w="0" w:type="dxa"/>
            </w:tcMar>
            <w:vAlign w:val="center"/>
          </w:tcPr>
          <w:p w14:paraId="298A3535" w14:textId="77777777" w:rsidR="0075791A" w:rsidRDefault="0075791A">
            <w:pPr>
              <w:widowControl/>
              <w:spacing w:line="300" w:lineRule="exact"/>
              <w:jc w:val="center"/>
              <w:rPr>
                <w:rFonts w:ascii="Times New Roman" w:eastAsia="宋体" w:hAnsi="Times New Roman" w:cs="宋体"/>
                <w:color w:val="auto"/>
                <w:spacing w:val="-2"/>
                <w:sz w:val="24"/>
                <w:szCs w:val="24"/>
                <w:lang w:eastAsia="zh-CN"/>
              </w:rPr>
            </w:pPr>
          </w:p>
        </w:tc>
        <w:tc>
          <w:tcPr>
            <w:tcW w:w="2036" w:type="dxa"/>
            <w:tcMar>
              <w:top w:w="0" w:type="dxa"/>
              <w:left w:w="0" w:type="dxa"/>
              <w:bottom w:w="0" w:type="dxa"/>
              <w:right w:w="0" w:type="dxa"/>
            </w:tcMar>
            <w:vAlign w:val="center"/>
          </w:tcPr>
          <w:p w14:paraId="3627FBC2"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用海规模</w:t>
            </w:r>
          </w:p>
        </w:tc>
        <w:tc>
          <w:tcPr>
            <w:tcW w:w="1492" w:type="dxa"/>
            <w:tcMar>
              <w:top w:w="0" w:type="dxa"/>
              <w:left w:w="0" w:type="dxa"/>
              <w:bottom w:w="0" w:type="dxa"/>
              <w:right w:w="0" w:type="dxa"/>
            </w:tcMar>
            <w:vAlign w:val="center"/>
          </w:tcPr>
          <w:p w14:paraId="36F22296"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所在海域特征</w:t>
            </w:r>
          </w:p>
        </w:tc>
        <w:tc>
          <w:tcPr>
            <w:tcW w:w="1080" w:type="dxa"/>
            <w:tcMar>
              <w:top w:w="0" w:type="dxa"/>
              <w:left w:w="0" w:type="dxa"/>
              <w:bottom w:w="0" w:type="dxa"/>
              <w:right w:w="0" w:type="dxa"/>
            </w:tcMar>
            <w:vAlign w:val="center"/>
          </w:tcPr>
          <w:p w14:paraId="0225978F"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论证等级</w:t>
            </w:r>
          </w:p>
        </w:tc>
        <w:tc>
          <w:tcPr>
            <w:tcW w:w="895" w:type="dxa"/>
            <w:vMerge/>
            <w:tcMar>
              <w:top w:w="0" w:type="dxa"/>
              <w:left w:w="0" w:type="dxa"/>
              <w:bottom w:w="0" w:type="dxa"/>
              <w:right w:w="0" w:type="dxa"/>
            </w:tcMar>
            <w:vAlign w:val="center"/>
          </w:tcPr>
          <w:p w14:paraId="7733EBDD" w14:textId="77777777" w:rsidR="0075791A" w:rsidRDefault="0075791A">
            <w:pPr>
              <w:widowControl/>
              <w:spacing w:line="300" w:lineRule="exact"/>
              <w:jc w:val="center"/>
              <w:rPr>
                <w:rFonts w:ascii="Times New Roman" w:eastAsia="宋体" w:hAnsi="Times New Roman" w:cs="宋体"/>
                <w:b/>
                <w:bCs/>
                <w:color w:val="auto"/>
                <w:spacing w:val="-2"/>
                <w:sz w:val="24"/>
                <w:szCs w:val="24"/>
                <w:lang w:eastAsia="zh-CN"/>
              </w:rPr>
            </w:pPr>
          </w:p>
        </w:tc>
      </w:tr>
      <w:tr w:rsidR="0075791A" w14:paraId="494D8B13" w14:textId="77777777">
        <w:trPr>
          <w:trHeight w:val="440"/>
          <w:jc w:val="center"/>
        </w:trPr>
        <w:tc>
          <w:tcPr>
            <w:tcW w:w="1686" w:type="dxa"/>
            <w:vMerge w:val="restart"/>
            <w:tcMar>
              <w:top w:w="0" w:type="dxa"/>
              <w:left w:w="0" w:type="dxa"/>
              <w:bottom w:w="0" w:type="dxa"/>
              <w:right w:w="0" w:type="dxa"/>
            </w:tcMar>
            <w:vAlign w:val="center"/>
          </w:tcPr>
          <w:p w14:paraId="128BE4A0"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透水构筑物</w:t>
            </w:r>
          </w:p>
        </w:tc>
        <w:tc>
          <w:tcPr>
            <w:tcW w:w="1337" w:type="dxa"/>
            <w:vMerge w:val="restart"/>
            <w:tcMar>
              <w:top w:w="0" w:type="dxa"/>
              <w:left w:w="0" w:type="dxa"/>
              <w:bottom w:w="0" w:type="dxa"/>
              <w:right w:w="0" w:type="dxa"/>
            </w:tcMar>
            <w:vAlign w:val="center"/>
          </w:tcPr>
          <w:p w14:paraId="1BCE8D38"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长度约</w:t>
            </w:r>
            <w:r>
              <w:rPr>
                <w:rFonts w:ascii="Times New Roman" w:eastAsia="宋体" w:hAnsi="Times New Roman" w:cs="宋体" w:hint="eastAsia"/>
                <w:color w:val="auto"/>
                <w:spacing w:val="-2"/>
                <w:sz w:val="24"/>
                <w:szCs w:val="24"/>
                <w:lang w:eastAsia="zh-CN"/>
              </w:rPr>
              <w:t>780m</w:t>
            </w:r>
            <w:r>
              <w:rPr>
                <w:rFonts w:ascii="Times New Roman" w:eastAsia="宋体" w:hAnsi="Times New Roman" w:cs="宋体" w:hint="eastAsia"/>
                <w:color w:val="auto"/>
                <w:spacing w:val="-2"/>
                <w:sz w:val="24"/>
                <w:szCs w:val="24"/>
                <w:lang w:eastAsia="zh-CN"/>
              </w:rPr>
              <w:t>，用海面积</w:t>
            </w:r>
            <w:r>
              <w:rPr>
                <w:rFonts w:ascii="Times New Roman" w:eastAsia="宋体" w:hAnsi="Times New Roman" w:cs="宋体" w:hint="eastAsia"/>
                <w:color w:val="auto"/>
                <w:spacing w:val="-2"/>
                <w:sz w:val="24"/>
                <w:szCs w:val="24"/>
                <w:lang w:eastAsia="zh-CN"/>
              </w:rPr>
              <w:t>0.3793</w:t>
            </w:r>
            <w:r>
              <w:rPr>
                <w:rFonts w:ascii="Times New Roman" w:eastAsia="宋体" w:hAnsi="Times New Roman" w:cs="宋体" w:hint="eastAsia"/>
                <w:color w:val="auto"/>
                <w:spacing w:val="-2"/>
                <w:sz w:val="24"/>
                <w:szCs w:val="24"/>
                <w:lang w:eastAsia="zh-CN"/>
              </w:rPr>
              <w:t>公顷</w:t>
            </w:r>
          </w:p>
        </w:tc>
        <w:tc>
          <w:tcPr>
            <w:tcW w:w="2036" w:type="dxa"/>
            <w:vMerge w:val="restart"/>
            <w:tcMar>
              <w:top w:w="0" w:type="dxa"/>
              <w:left w:w="0" w:type="dxa"/>
              <w:bottom w:w="0" w:type="dxa"/>
              <w:right w:w="0" w:type="dxa"/>
            </w:tcMar>
            <w:vAlign w:val="center"/>
          </w:tcPr>
          <w:p w14:paraId="5E0C4E92"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构筑物总长度（</w:t>
            </w:r>
            <w:r>
              <w:rPr>
                <w:rFonts w:ascii="Times New Roman" w:eastAsia="宋体" w:hAnsi="Times New Roman" w:cs="宋体" w:hint="eastAsia"/>
                <w:color w:val="auto"/>
                <w:spacing w:val="-2"/>
                <w:sz w:val="24"/>
                <w:szCs w:val="24"/>
                <w:lang w:eastAsia="zh-CN"/>
              </w:rPr>
              <w:t>400~2000</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m</w:t>
            </w:r>
            <w:r>
              <w:rPr>
                <w:rFonts w:ascii="Times New Roman" w:eastAsia="宋体" w:hAnsi="Times New Roman" w:cs="宋体" w:hint="eastAsia"/>
                <w:color w:val="auto"/>
                <w:spacing w:val="-2"/>
                <w:sz w:val="24"/>
                <w:szCs w:val="24"/>
                <w:lang w:eastAsia="zh-CN"/>
              </w:rPr>
              <w:t>或用海总面积（</w:t>
            </w:r>
            <w:r>
              <w:rPr>
                <w:rFonts w:ascii="Times New Roman" w:eastAsia="宋体" w:hAnsi="Times New Roman" w:cs="宋体" w:hint="eastAsia"/>
                <w:color w:val="auto"/>
                <w:spacing w:val="-2"/>
                <w:sz w:val="24"/>
                <w:szCs w:val="24"/>
                <w:lang w:eastAsia="zh-CN"/>
              </w:rPr>
              <w:t>10~30</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10ha</w:t>
            </w:r>
          </w:p>
        </w:tc>
        <w:tc>
          <w:tcPr>
            <w:tcW w:w="1492" w:type="dxa"/>
            <w:tcMar>
              <w:top w:w="0" w:type="dxa"/>
              <w:left w:w="0" w:type="dxa"/>
              <w:bottom w:w="0" w:type="dxa"/>
              <w:right w:w="0" w:type="dxa"/>
            </w:tcMar>
            <w:vAlign w:val="center"/>
          </w:tcPr>
          <w:p w14:paraId="192F1DD8"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敏感海域</w:t>
            </w:r>
          </w:p>
        </w:tc>
        <w:tc>
          <w:tcPr>
            <w:tcW w:w="1080" w:type="dxa"/>
            <w:tcMar>
              <w:top w:w="0" w:type="dxa"/>
              <w:left w:w="0" w:type="dxa"/>
              <w:bottom w:w="0" w:type="dxa"/>
              <w:right w:w="0" w:type="dxa"/>
            </w:tcMar>
            <w:vAlign w:val="center"/>
          </w:tcPr>
          <w:p w14:paraId="3F98A309"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一</w:t>
            </w:r>
          </w:p>
        </w:tc>
        <w:tc>
          <w:tcPr>
            <w:tcW w:w="895" w:type="dxa"/>
            <w:vMerge w:val="restart"/>
            <w:tcMar>
              <w:top w:w="0" w:type="dxa"/>
              <w:left w:w="0" w:type="dxa"/>
              <w:bottom w:w="0" w:type="dxa"/>
              <w:right w:w="0" w:type="dxa"/>
            </w:tcMar>
            <w:vAlign w:val="center"/>
          </w:tcPr>
          <w:p w14:paraId="5DB3799E" w14:textId="77777777" w:rsidR="0075791A" w:rsidRDefault="00FB2864">
            <w:pPr>
              <w:widowControl/>
              <w:spacing w:line="300" w:lineRule="exact"/>
              <w:jc w:val="center"/>
              <w:rPr>
                <w:rFonts w:ascii="Times New Roman" w:eastAsia="宋体" w:hAnsi="Times New Roman" w:cs="宋体"/>
                <w:b/>
                <w:bCs/>
                <w:color w:val="auto"/>
                <w:spacing w:val="-2"/>
                <w:sz w:val="24"/>
                <w:szCs w:val="24"/>
                <w:lang w:eastAsia="zh-CN"/>
              </w:rPr>
            </w:pPr>
            <w:r>
              <w:rPr>
                <w:rFonts w:ascii="Times New Roman" w:eastAsia="宋体" w:hAnsi="Times New Roman" w:cs="宋体" w:hint="eastAsia"/>
                <w:color w:val="auto"/>
                <w:spacing w:val="-2"/>
                <w:sz w:val="24"/>
                <w:szCs w:val="24"/>
                <w:lang w:eastAsia="zh-CN"/>
              </w:rPr>
              <w:t>一</w:t>
            </w:r>
          </w:p>
        </w:tc>
      </w:tr>
      <w:tr w:rsidR="0075791A" w14:paraId="3841F02F" w14:textId="77777777">
        <w:trPr>
          <w:trHeight w:val="414"/>
          <w:jc w:val="center"/>
        </w:trPr>
        <w:tc>
          <w:tcPr>
            <w:tcW w:w="1686" w:type="dxa"/>
            <w:vMerge/>
            <w:tcMar>
              <w:top w:w="0" w:type="dxa"/>
              <w:left w:w="0" w:type="dxa"/>
              <w:bottom w:w="0" w:type="dxa"/>
              <w:right w:w="0" w:type="dxa"/>
            </w:tcMar>
            <w:vAlign w:val="center"/>
          </w:tcPr>
          <w:p w14:paraId="3EDD283A" w14:textId="77777777" w:rsidR="0075791A" w:rsidRDefault="0075791A">
            <w:pPr>
              <w:widowControl/>
              <w:spacing w:line="300" w:lineRule="exact"/>
              <w:jc w:val="center"/>
              <w:rPr>
                <w:rFonts w:ascii="Times New Roman" w:eastAsia="宋体" w:hAnsi="Times New Roman" w:cs="宋体"/>
                <w:color w:val="auto"/>
                <w:spacing w:val="-2"/>
                <w:sz w:val="24"/>
                <w:szCs w:val="24"/>
                <w:lang w:eastAsia="zh-CN"/>
              </w:rPr>
            </w:pPr>
          </w:p>
        </w:tc>
        <w:tc>
          <w:tcPr>
            <w:tcW w:w="1337" w:type="dxa"/>
            <w:vMerge/>
            <w:tcMar>
              <w:top w:w="0" w:type="dxa"/>
              <w:left w:w="0" w:type="dxa"/>
              <w:bottom w:w="0" w:type="dxa"/>
              <w:right w:w="0" w:type="dxa"/>
            </w:tcMar>
            <w:vAlign w:val="center"/>
          </w:tcPr>
          <w:p w14:paraId="455D081F" w14:textId="77777777" w:rsidR="0075791A" w:rsidRDefault="0075791A">
            <w:pPr>
              <w:widowControl/>
              <w:spacing w:line="300" w:lineRule="exact"/>
              <w:jc w:val="center"/>
              <w:rPr>
                <w:rFonts w:ascii="Times New Roman" w:eastAsia="宋体" w:hAnsi="Times New Roman" w:cs="宋体"/>
                <w:color w:val="auto"/>
                <w:spacing w:val="-2"/>
                <w:sz w:val="24"/>
                <w:szCs w:val="24"/>
                <w:lang w:eastAsia="zh-CN"/>
              </w:rPr>
            </w:pPr>
          </w:p>
        </w:tc>
        <w:tc>
          <w:tcPr>
            <w:tcW w:w="2036" w:type="dxa"/>
            <w:vMerge/>
            <w:tcMar>
              <w:top w:w="0" w:type="dxa"/>
              <w:left w:w="0" w:type="dxa"/>
              <w:bottom w:w="0" w:type="dxa"/>
              <w:right w:w="0" w:type="dxa"/>
            </w:tcMar>
            <w:vAlign w:val="center"/>
          </w:tcPr>
          <w:p w14:paraId="1D0D58F1" w14:textId="77777777" w:rsidR="0075791A" w:rsidRDefault="0075791A">
            <w:pPr>
              <w:widowControl/>
              <w:spacing w:line="300" w:lineRule="exact"/>
              <w:jc w:val="center"/>
              <w:rPr>
                <w:rFonts w:ascii="Times New Roman" w:eastAsia="宋体" w:hAnsi="Times New Roman" w:cs="宋体"/>
                <w:color w:val="auto"/>
                <w:spacing w:val="-2"/>
                <w:sz w:val="24"/>
                <w:szCs w:val="24"/>
                <w:lang w:eastAsia="zh-CN"/>
              </w:rPr>
            </w:pPr>
          </w:p>
        </w:tc>
        <w:tc>
          <w:tcPr>
            <w:tcW w:w="1492" w:type="dxa"/>
            <w:tcMar>
              <w:top w:w="0" w:type="dxa"/>
              <w:left w:w="0" w:type="dxa"/>
              <w:bottom w:w="0" w:type="dxa"/>
              <w:right w:w="0" w:type="dxa"/>
            </w:tcMar>
            <w:vAlign w:val="center"/>
          </w:tcPr>
          <w:p w14:paraId="2419DA90"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其他海域</w:t>
            </w:r>
          </w:p>
        </w:tc>
        <w:tc>
          <w:tcPr>
            <w:tcW w:w="1080" w:type="dxa"/>
            <w:tcMar>
              <w:top w:w="0" w:type="dxa"/>
              <w:left w:w="0" w:type="dxa"/>
              <w:bottom w:w="0" w:type="dxa"/>
              <w:right w:w="0" w:type="dxa"/>
            </w:tcMar>
            <w:vAlign w:val="center"/>
          </w:tcPr>
          <w:p w14:paraId="0EE284F5"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二</w:t>
            </w:r>
          </w:p>
        </w:tc>
        <w:tc>
          <w:tcPr>
            <w:tcW w:w="895" w:type="dxa"/>
            <w:vMerge/>
            <w:tcMar>
              <w:top w:w="0" w:type="dxa"/>
              <w:left w:w="0" w:type="dxa"/>
              <w:bottom w:w="0" w:type="dxa"/>
              <w:right w:w="0" w:type="dxa"/>
            </w:tcMar>
            <w:vAlign w:val="center"/>
          </w:tcPr>
          <w:p w14:paraId="231358CA" w14:textId="77777777" w:rsidR="0075791A" w:rsidRDefault="0075791A">
            <w:pPr>
              <w:widowControl/>
              <w:spacing w:line="300" w:lineRule="exact"/>
              <w:jc w:val="center"/>
              <w:rPr>
                <w:rFonts w:ascii="Times New Roman" w:eastAsia="宋体" w:hAnsi="Times New Roman" w:cs="宋体"/>
                <w:color w:val="auto"/>
                <w:spacing w:val="-2"/>
                <w:sz w:val="24"/>
                <w:szCs w:val="24"/>
                <w:lang w:eastAsia="zh-CN"/>
              </w:rPr>
            </w:pPr>
          </w:p>
        </w:tc>
      </w:tr>
      <w:tr w:rsidR="0075791A" w14:paraId="571FBF25" w14:textId="77777777">
        <w:trPr>
          <w:jc w:val="center"/>
        </w:trPr>
        <w:tc>
          <w:tcPr>
            <w:tcW w:w="1686" w:type="dxa"/>
            <w:tcMar>
              <w:top w:w="0" w:type="dxa"/>
              <w:left w:w="0" w:type="dxa"/>
              <w:bottom w:w="0" w:type="dxa"/>
              <w:right w:w="0" w:type="dxa"/>
            </w:tcMar>
            <w:vAlign w:val="center"/>
          </w:tcPr>
          <w:p w14:paraId="54A81AC2"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lastRenderedPageBreak/>
              <w:t>专用航道、锚地及其他开放式</w:t>
            </w:r>
          </w:p>
        </w:tc>
        <w:tc>
          <w:tcPr>
            <w:tcW w:w="1337" w:type="dxa"/>
            <w:tcMar>
              <w:top w:w="0" w:type="dxa"/>
              <w:left w:w="0" w:type="dxa"/>
              <w:bottom w:w="0" w:type="dxa"/>
              <w:right w:w="0" w:type="dxa"/>
            </w:tcMar>
            <w:vAlign w:val="center"/>
          </w:tcPr>
          <w:p w14:paraId="50175C97"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用海面积为</w:t>
            </w:r>
            <w:r>
              <w:rPr>
                <w:rFonts w:ascii="Times New Roman" w:eastAsia="宋体" w:hAnsi="Times New Roman" w:cs="宋体" w:hint="eastAsia"/>
                <w:color w:val="auto"/>
                <w:spacing w:val="-2"/>
                <w:sz w:val="24"/>
                <w:szCs w:val="24"/>
                <w:lang w:eastAsia="zh-CN"/>
              </w:rPr>
              <w:t>14.8672</w:t>
            </w:r>
            <w:r>
              <w:rPr>
                <w:rFonts w:ascii="Times New Roman" w:eastAsia="宋体" w:hAnsi="Times New Roman" w:cs="宋体" w:hint="eastAsia"/>
                <w:color w:val="auto"/>
                <w:spacing w:val="-2"/>
                <w:sz w:val="24"/>
                <w:szCs w:val="24"/>
                <w:lang w:eastAsia="zh-CN"/>
              </w:rPr>
              <w:t>公顷</w:t>
            </w:r>
          </w:p>
        </w:tc>
        <w:tc>
          <w:tcPr>
            <w:tcW w:w="2036" w:type="dxa"/>
            <w:tcMar>
              <w:top w:w="0" w:type="dxa"/>
              <w:left w:w="0" w:type="dxa"/>
              <w:bottom w:w="0" w:type="dxa"/>
              <w:right w:w="0" w:type="dxa"/>
            </w:tcMar>
            <w:vAlign w:val="center"/>
          </w:tcPr>
          <w:p w14:paraId="2B47FE13"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所有规模</w:t>
            </w:r>
          </w:p>
        </w:tc>
        <w:tc>
          <w:tcPr>
            <w:tcW w:w="1492" w:type="dxa"/>
            <w:tcMar>
              <w:top w:w="0" w:type="dxa"/>
              <w:left w:w="0" w:type="dxa"/>
              <w:bottom w:w="0" w:type="dxa"/>
              <w:right w:w="0" w:type="dxa"/>
            </w:tcMar>
            <w:vAlign w:val="center"/>
          </w:tcPr>
          <w:p w14:paraId="03EAE3FD"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所有海域</w:t>
            </w:r>
          </w:p>
        </w:tc>
        <w:tc>
          <w:tcPr>
            <w:tcW w:w="1080" w:type="dxa"/>
            <w:tcMar>
              <w:top w:w="0" w:type="dxa"/>
              <w:left w:w="0" w:type="dxa"/>
              <w:bottom w:w="0" w:type="dxa"/>
              <w:right w:w="0" w:type="dxa"/>
            </w:tcMar>
            <w:vAlign w:val="center"/>
          </w:tcPr>
          <w:p w14:paraId="65392684" w14:textId="77777777" w:rsidR="0075791A" w:rsidRDefault="00FB2864">
            <w:pPr>
              <w:widowControl/>
              <w:spacing w:line="300" w:lineRule="exact"/>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三</w:t>
            </w:r>
          </w:p>
        </w:tc>
        <w:tc>
          <w:tcPr>
            <w:tcW w:w="895" w:type="dxa"/>
            <w:vMerge/>
            <w:tcMar>
              <w:top w:w="0" w:type="dxa"/>
              <w:left w:w="0" w:type="dxa"/>
              <w:bottom w:w="0" w:type="dxa"/>
              <w:right w:w="0" w:type="dxa"/>
            </w:tcMar>
            <w:vAlign w:val="center"/>
          </w:tcPr>
          <w:p w14:paraId="5C878C57" w14:textId="77777777" w:rsidR="0075791A" w:rsidRDefault="0075791A">
            <w:pPr>
              <w:widowControl/>
              <w:spacing w:line="300" w:lineRule="exact"/>
              <w:jc w:val="center"/>
              <w:rPr>
                <w:rFonts w:ascii="Times New Roman" w:eastAsia="宋体" w:hAnsi="Times New Roman" w:cs="宋体"/>
                <w:b/>
                <w:bCs/>
                <w:color w:val="auto"/>
                <w:spacing w:val="-2"/>
                <w:sz w:val="24"/>
                <w:szCs w:val="24"/>
                <w:lang w:eastAsia="zh-CN"/>
              </w:rPr>
            </w:pPr>
          </w:p>
        </w:tc>
      </w:tr>
    </w:tbl>
    <w:p w14:paraId="77F4CA9A" w14:textId="77777777" w:rsidR="0075791A" w:rsidRDefault="0075791A">
      <w:pPr>
        <w:ind w:firstLineChars="200" w:firstLine="480"/>
        <w:jc w:val="both"/>
        <w:rPr>
          <w:rFonts w:ascii="Times New Roman" w:eastAsia="宋体" w:hAnsi="Times New Roman" w:cs="宋体"/>
          <w:color w:val="auto"/>
          <w:sz w:val="24"/>
          <w:szCs w:val="24"/>
          <w:lang w:eastAsia="zh-CN"/>
        </w:rPr>
      </w:pPr>
    </w:p>
    <w:p w14:paraId="050D5FD3"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45" w:name="_Toc28079"/>
      <w:r>
        <w:rPr>
          <w:rFonts w:ascii="Times New Roman" w:eastAsia="Times New Roman" w:hAnsi="Times New Roman" w:cs="Times New Roman" w:hint="eastAsia"/>
          <w:b/>
          <w:bCs/>
          <w:color w:val="auto"/>
          <w:spacing w:val="-3"/>
          <w:sz w:val="28"/>
          <w:szCs w:val="28"/>
          <w:lang w:eastAsia="zh-CN"/>
        </w:rPr>
        <w:t>1.3.2论证范围</w:t>
      </w:r>
      <w:bookmarkEnd w:id="45"/>
    </w:p>
    <w:p w14:paraId="6D21C817"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依据《海域使用论证技术导则》（</w:t>
      </w:r>
      <w:r>
        <w:rPr>
          <w:rFonts w:ascii="Times New Roman" w:eastAsia="宋体" w:hAnsi="Times New Roman" w:cs="宋体" w:hint="eastAsia"/>
          <w:color w:val="auto"/>
          <w:sz w:val="24"/>
          <w:szCs w:val="24"/>
          <w:lang w:eastAsia="zh-CN"/>
        </w:rPr>
        <w:t>GB/T42361-2023</w:t>
      </w:r>
      <w:r>
        <w:rPr>
          <w:rFonts w:ascii="Times New Roman" w:eastAsia="宋体" w:hAnsi="Times New Roman" w:cs="宋体" w:hint="eastAsia"/>
          <w:color w:val="auto"/>
          <w:sz w:val="24"/>
          <w:szCs w:val="24"/>
          <w:lang w:eastAsia="zh-CN"/>
        </w:rPr>
        <w:t>）中的规定：论证范围确定应依据项目用海情况、所在海域特征及周边海域开发利用现状等确定，应覆盖项目可能影响到的全部区域。</w:t>
      </w:r>
    </w:p>
    <w:p w14:paraId="4405FB2A"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一般情况下，论证范围以项目用海外缘线为起点进行划定，一级论证向外扩展</w:t>
      </w:r>
      <w:r>
        <w:rPr>
          <w:rFonts w:ascii="Times New Roman" w:eastAsia="宋体" w:hAnsi="Times New Roman" w:cs="宋体" w:hint="eastAsia"/>
          <w:color w:val="auto"/>
          <w:sz w:val="24"/>
          <w:szCs w:val="24"/>
          <w:lang w:eastAsia="zh-CN"/>
        </w:rPr>
        <w:t>15km</w:t>
      </w:r>
      <w:r>
        <w:rPr>
          <w:rFonts w:ascii="Times New Roman" w:eastAsia="宋体" w:hAnsi="Times New Roman" w:cs="宋体" w:hint="eastAsia"/>
          <w:color w:val="auto"/>
          <w:sz w:val="24"/>
          <w:szCs w:val="24"/>
          <w:lang w:eastAsia="zh-CN"/>
        </w:rPr>
        <w:t>，二级论证</w:t>
      </w:r>
      <w:r>
        <w:rPr>
          <w:rFonts w:ascii="Times New Roman" w:eastAsia="宋体" w:hAnsi="Times New Roman" w:cs="宋体" w:hint="eastAsia"/>
          <w:color w:val="auto"/>
          <w:sz w:val="24"/>
          <w:szCs w:val="24"/>
          <w:lang w:eastAsia="zh-CN"/>
        </w:rPr>
        <w:t>8km</w:t>
      </w:r>
      <w:r>
        <w:rPr>
          <w:rFonts w:ascii="Times New Roman" w:eastAsia="宋体" w:hAnsi="Times New Roman" w:cs="宋体" w:hint="eastAsia"/>
          <w:color w:val="auto"/>
          <w:sz w:val="24"/>
          <w:szCs w:val="24"/>
          <w:lang w:eastAsia="zh-CN"/>
        </w:rPr>
        <w:t>，三级论证</w:t>
      </w:r>
      <w:r>
        <w:rPr>
          <w:rFonts w:ascii="Times New Roman" w:eastAsia="宋体" w:hAnsi="Times New Roman" w:cs="宋体" w:hint="eastAsia"/>
          <w:color w:val="auto"/>
          <w:sz w:val="24"/>
          <w:szCs w:val="24"/>
          <w:lang w:eastAsia="zh-CN"/>
        </w:rPr>
        <w:t>5km</w:t>
      </w:r>
      <w:r>
        <w:rPr>
          <w:rFonts w:ascii="Times New Roman" w:eastAsia="宋体" w:hAnsi="Times New Roman" w:cs="宋体" w:hint="eastAsia"/>
          <w:color w:val="auto"/>
          <w:sz w:val="24"/>
          <w:szCs w:val="24"/>
          <w:lang w:eastAsia="zh-CN"/>
        </w:rPr>
        <w:t>；跨海桥梁、海底管道、航道等线型工程项目用海的论证范围划定，一级论证每侧向外扩展</w:t>
      </w:r>
      <w:r>
        <w:rPr>
          <w:rFonts w:ascii="Times New Roman" w:eastAsia="宋体" w:hAnsi="Times New Roman" w:cs="宋体" w:hint="eastAsia"/>
          <w:color w:val="auto"/>
          <w:sz w:val="24"/>
          <w:szCs w:val="24"/>
          <w:lang w:eastAsia="zh-CN"/>
        </w:rPr>
        <w:t>5km</w:t>
      </w:r>
      <w:r>
        <w:rPr>
          <w:rFonts w:ascii="Times New Roman" w:eastAsia="宋体" w:hAnsi="Times New Roman" w:cs="宋体" w:hint="eastAsia"/>
          <w:color w:val="auto"/>
          <w:sz w:val="24"/>
          <w:szCs w:val="24"/>
          <w:lang w:eastAsia="zh-CN"/>
        </w:rPr>
        <w:t>，二级论证</w:t>
      </w:r>
      <w:r>
        <w:rPr>
          <w:rFonts w:ascii="Times New Roman" w:eastAsia="宋体" w:hAnsi="Times New Roman" w:cs="宋体" w:hint="eastAsia"/>
          <w:color w:val="auto"/>
          <w:sz w:val="24"/>
          <w:szCs w:val="24"/>
          <w:lang w:eastAsia="zh-CN"/>
        </w:rPr>
        <w:t>3km</w:t>
      </w:r>
      <w:r>
        <w:rPr>
          <w:rFonts w:ascii="Times New Roman" w:eastAsia="宋体" w:hAnsi="Times New Roman" w:cs="宋体" w:hint="eastAsia"/>
          <w:color w:val="auto"/>
          <w:sz w:val="24"/>
          <w:szCs w:val="24"/>
          <w:lang w:eastAsia="zh-CN"/>
        </w:rPr>
        <w:t>，三级论证</w:t>
      </w:r>
      <w:r>
        <w:rPr>
          <w:rFonts w:ascii="Times New Roman" w:eastAsia="宋体" w:hAnsi="Times New Roman" w:cs="宋体" w:hint="eastAsia"/>
          <w:color w:val="auto"/>
          <w:sz w:val="24"/>
          <w:szCs w:val="24"/>
          <w:lang w:eastAsia="zh-CN"/>
        </w:rPr>
        <w:t>1.5km</w:t>
      </w:r>
      <w:r>
        <w:rPr>
          <w:rFonts w:ascii="Times New Roman" w:eastAsia="宋体" w:hAnsi="Times New Roman" w:cs="宋体" w:hint="eastAsia"/>
          <w:color w:val="auto"/>
          <w:sz w:val="24"/>
          <w:szCs w:val="24"/>
          <w:lang w:eastAsia="zh-CN"/>
        </w:rPr>
        <w:t>。</w:t>
      </w:r>
    </w:p>
    <w:p w14:paraId="348147CF"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本项目论证等级为一级，论证范围为项目用海范围向四周外扩</w:t>
      </w:r>
      <w:r>
        <w:rPr>
          <w:rFonts w:ascii="Times New Roman" w:eastAsia="宋体" w:hAnsi="Times New Roman" w:cs="宋体" w:hint="eastAsia"/>
          <w:color w:val="auto"/>
          <w:sz w:val="24"/>
          <w:szCs w:val="24"/>
          <w:lang w:eastAsia="zh-CN"/>
        </w:rPr>
        <w:t>15km</w:t>
      </w:r>
      <w:r>
        <w:rPr>
          <w:rFonts w:ascii="Times New Roman" w:eastAsia="宋体" w:hAnsi="Times New Roman" w:cs="宋体" w:hint="eastAsia"/>
          <w:color w:val="auto"/>
          <w:sz w:val="24"/>
          <w:szCs w:val="24"/>
          <w:lang w:eastAsia="zh-CN"/>
        </w:rPr>
        <w:t>，即包括整个海棠湾至亚龙湾海域，面积约</w:t>
      </w:r>
      <w:r>
        <w:rPr>
          <w:rFonts w:ascii="Times New Roman" w:eastAsia="宋体" w:hAnsi="Times New Roman" w:cs="宋体" w:hint="eastAsia"/>
          <w:color w:val="auto"/>
          <w:sz w:val="24"/>
          <w:szCs w:val="24"/>
          <w:lang w:eastAsia="zh-CN"/>
        </w:rPr>
        <w:t>为</w:t>
      </w:r>
      <w:r>
        <w:rPr>
          <w:rFonts w:ascii="Times New Roman" w:eastAsia="宋体" w:hAnsi="Times New Roman" w:cs="宋体" w:hint="eastAsia"/>
          <w:color w:val="auto"/>
          <w:sz w:val="24"/>
          <w:szCs w:val="24"/>
          <w:lang w:eastAsia="zh-CN"/>
        </w:rPr>
        <w:t>544.3km</w:t>
      </w:r>
      <w:r>
        <w:rPr>
          <w:rFonts w:ascii="Times New Roman" w:eastAsia="宋体" w:hAnsi="Times New Roman" w:cs="宋体" w:hint="eastAsia"/>
          <w:color w:val="auto"/>
          <w:sz w:val="24"/>
          <w:szCs w:val="24"/>
          <w:vertAlign w:val="superscript"/>
          <w:lang w:eastAsia="zh-CN"/>
        </w:rPr>
        <w:t>2</w:t>
      </w:r>
      <w:r>
        <w:rPr>
          <w:rFonts w:ascii="Times New Roman" w:eastAsia="宋体" w:hAnsi="Times New Roman" w:cs="宋体" w:hint="eastAsia"/>
          <w:color w:val="auto"/>
          <w:sz w:val="24"/>
          <w:szCs w:val="24"/>
          <w:lang w:eastAsia="zh-CN"/>
        </w:rPr>
        <w:t>，（地理范围为东经</w:t>
      </w:r>
      <w:r>
        <w:rPr>
          <w:rFonts w:ascii="Times New Roman" w:eastAsia="宋体" w:hAnsi="Times New Roman" w:cs="宋体" w:hint="eastAsia"/>
          <w:color w:val="auto"/>
          <w:sz w:val="24"/>
          <w:szCs w:val="24"/>
          <w:lang w:eastAsia="zh-CN"/>
        </w:rPr>
        <w:t>109</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34</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27.54</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~109</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51</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28.31</w:t>
      </w:r>
      <w:r>
        <w:rPr>
          <w:rFonts w:ascii="Times New Roman" w:eastAsia="宋体" w:hAnsi="Times New Roman" w:cs="宋体" w:hint="eastAsia"/>
          <w:color w:val="auto"/>
          <w:sz w:val="24"/>
          <w:szCs w:val="24"/>
          <w:lang w:eastAsia="zh-CN"/>
        </w:rPr>
        <w:t>″之间，北纬</w:t>
      </w:r>
      <w:r>
        <w:rPr>
          <w:rFonts w:ascii="Times New Roman" w:eastAsia="宋体" w:hAnsi="Times New Roman" w:cs="宋体" w:hint="eastAsia"/>
          <w:color w:val="auto"/>
          <w:sz w:val="24"/>
          <w:szCs w:val="24"/>
          <w:lang w:eastAsia="zh-CN"/>
        </w:rPr>
        <w:t>18</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07</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45.96</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18</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23</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27.39</w:t>
      </w:r>
      <w:r>
        <w:rPr>
          <w:rFonts w:ascii="Times New Roman" w:eastAsia="宋体" w:hAnsi="Times New Roman" w:cs="宋体" w:hint="eastAsia"/>
          <w:color w:val="auto"/>
          <w:sz w:val="24"/>
          <w:szCs w:val="24"/>
          <w:lang w:eastAsia="zh-CN"/>
        </w:rPr>
        <w:t>″之间），详见图</w:t>
      </w:r>
      <w:r>
        <w:rPr>
          <w:rFonts w:ascii="Times New Roman" w:eastAsia="宋体" w:hAnsi="Times New Roman" w:cs="宋体" w:hint="eastAsia"/>
          <w:color w:val="auto"/>
          <w:sz w:val="24"/>
          <w:szCs w:val="24"/>
          <w:lang w:eastAsia="zh-CN"/>
        </w:rPr>
        <w:t>1.3.2-1</w:t>
      </w:r>
      <w:r>
        <w:rPr>
          <w:rFonts w:ascii="Times New Roman" w:eastAsia="宋体" w:hAnsi="Times New Roman" w:cs="宋体" w:hint="eastAsia"/>
          <w:color w:val="auto"/>
          <w:sz w:val="24"/>
          <w:szCs w:val="24"/>
          <w:lang w:eastAsia="zh-CN"/>
        </w:rPr>
        <w:t>。</w:t>
      </w:r>
    </w:p>
    <w:p w14:paraId="5EACA9F6" w14:textId="77777777" w:rsidR="0075791A" w:rsidRDefault="00FB2864">
      <w:pPr>
        <w:jc w:val="center"/>
        <w:rPr>
          <w:rFonts w:ascii="Times New Roman" w:eastAsia="宋体" w:hAnsi="Times New Roman" w:cs="宋体"/>
          <w:color w:val="auto"/>
          <w:sz w:val="24"/>
          <w:szCs w:val="24"/>
          <w:lang w:eastAsia="zh-CN"/>
        </w:rPr>
      </w:pPr>
      <w:r>
        <w:rPr>
          <w:rFonts w:ascii="Times New Roman" w:eastAsia="宋体" w:hAnsi="Times New Roman" w:cs="宋体" w:hint="eastAsia"/>
          <w:noProof/>
          <w:color w:val="auto"/>
          <w:sz w:val="24"/>
          <w:szCs w:val="24"/>
          <w:lang w:eastAsia="zh-CN"/>
        </w:rPr>
        <w:drawing>
          <wp:inline distT="0" distB="0" distL="114300" distR="114300" wp14:anchorId="26E3FE4E" wp14:editId="139FC16B">
            <wp:extent cx="4532630" cy="3096260"/>
            <wp:effectExtent l="0" t="0" r="8890" b="12700"/>
            <wp:docPr id="12" name="图片 12" descr="铁炉港论证范围图2026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铁炉港论证范围图20260412"/>
                    <pic:cNvPicPr>
                      <a:picLocks noChangeAspect="1"/>
                    </pic:cNvPicPr>
                  </pic:nvPicPr>
                  <pic:blipFill>
                    <a:blip r:embed="rId16"/>
                    <a:srcRect t="1856" b="1736"/>
                    <a:stretch>
                      <a:fillRect/>
                    </a:stretch>
                  </pic:blipFill>
                  <pic:spPr>
                    <a:xfrm>
                      <a:off x="0" y="0"/>
                      <a:ext cx="4532630" cy="3096260"/>
                    </a:xfrm>
                    <a:prstGeom prst="rect">
                      <a:avLst/>
                    </a:prstGeom>
                  </pic:spPr>
                </pic:pic>
              </a:graphicData>
            </a:graphic>
          </wp:inline>
        </w:drawing>
      </w:r>
    </w:p>
    <w:p w14:paraId="21013370" w14:textId="77777777" w:rsidR="0075791A" w:rsidRDefault="00FB2864">
      <w:pPr>
        <w:spacing w:line="360" w:lineRule="auto"/>
        <w:jc w:val="center"/>
        <w:rPr>
          <w:rFonts w:ascii="Times New Roman" w:eastAsia="宋体" w:hAnsi="Times New Roman" w:cs="宋体"/>
          <w:color w:val="auto"/>
          <w:sz w:val="24"/>
          <w:szCs w:val="24"/>
          <w:lang w:eastAsia="zh-CN"/>
        </w:rPr>
      </w:pPr>
      <w:r>
        <w:rPr>
          <w:rFonts w:ascii="Times New Roman" w:eastAsia="宋体" w:hAnsi="Times New Roman" w:cs="宋体"/>
          <w:color w:val="auto"/>
          <w:spacing w:val="-4"/>
          <w:sz w:val="24"/>
          <w:szCs w:val="24"/>
          <w:lang w:eastAsia="zh-CN"/>
        </w:rPr>
        <w:t>图</w:t>
      </w:r>
      <w:r>
        <w:rPr>
          <w:rFonts w:ascii="Times New Roman" w:eastAsia="Times New Roman" w:hAnsi="Times New Roman" w:cs="Times New Roman"/>
          <w:color w:val="auto"/>
          <w:spacing w:val="-4"/>
          <w:sz w:val="24"/>
          <w:szCs w:val="24"/>
          <w:lang w:eastAsia="zh-CN"/>
        </w:rPr>
        <w:t>1.3</w:t>
      </w:r>
      <w:r>
        <w:rPr>
          <w:rFonts w:ascii="Times New Roman" w:eastAsia="宋体" w:hAnsi="Times New Roman" w:cs="Times New Roman" w:hint="eastAsia"/>
          <w:color w:val="auto"/>
          <w:spacing w:val="-4"/>
          <w:sz w:val="24"/>
          <w:szCs w:val="24"/>
          <w:lang w:eastAsia="zh-CN"/>
        </w:rPr>
        <w:t>.2</w:t>
      </w:r>
      <w:r>
        <w:rPr>
          <w:rFonts w:ascii="Times New Roman" w:eastAsia="Times New Roman" w:hAnsi="Times New Roman" w:cs="Times New Roman"/>
          <w:color w:val="auto"/>
          <w:spacing w:val="-4"/>
          <w:sz w:val="24"/>
          <w:szCs w:val="24"/>
          <w:lang w:eastAsia="zh-CN"/>
        </w:rPr>
        <w:t>-1</w:t>
      </w:r>
      <w:r>
        <w:rPr>
          <w:rFonts w:ascii="Times New Roman" w:eastAsia="宋体" w:hAnsi="Times New Roman" w:cs="宋体"/>
          <w:color w:val="auto"/>
          <w:spacing w:val="-4"/>
          <w:sz w:val="24"/>
          <w:szCs w:val="24"/>
          <w:lang w:eastAsia="zh-CN"/>
        </w:rPr>
        <w:t>项目海域使用论证范围</w:t>
      </w:r>
    </w:p>
    <w:p w14:paraId="461F06D6" w14:textId="77777777" w:rsidR="0075791A" w:rsidRDefault="0075791A">
      <w:pPr>
        <w:spacing w:line="43" w:lineRule="exact"/>
        <w:rPr>
          <w:rFonts w:ascii="Times New Roman" w:hAnsi="Times New Roman"/>
          <w:color w:val="auto"/>
          <w:lang w:eastAsia="zh-CN"/>
        </w:rPr>
      </w:pPr>
      <w:bookmarkStart w:id="46" w:name="bookmark9"/>
      <w:bookmarkStart w:id="47" w:name="bookmark10"/>
      <w:bookmarkEnd w:id="46"/>
      <w:bookmarkEnd w:id="47"/>
    </w:p>
    <w:p w14:paraId="2F560D98" w14:textId="77777777" w:rsidR="0075791A" w:rsidRDefault="00FB2864">
      <w:pPr>
        <w:spacing w:line="360" w:lineRule="auto"/>
        <w:outlineLvl w:val="1"/>
        <w:rPr>
          <w:rFonts w:ascii="Times New Roman" w:eastAsia="宋体" w:hAnsi="Times New Roman" w:cs="Times New Roman"/>
          <w:b/>
          <w:bCs/>
          <w:color w:val="auto"/>
          <w:spacing w:val="-6"/>
          <w:sz w:val="30"/>
          <w:szCs w:val="30"/>
          <w:lang w:eastAsia="zh-CN"/>
        </w:rPr>
      </w:pPr>
      <w:bookmarkStart w:id="48" w:name="bookmark13"/>
      <w:bookmarkStart w:id="49" w:name="bookmark11"/>
      <w:bookmarkStart w:id="50" w:name="bookmark14"/>
      <w:bookmarkStart w:id="51" w:name="bookmark12"/>
      <w:bookmarkStart w:id="52" w:name="_Toc31214"/>
      <w:bookmarkStart w:id="53" w:name="_Toc27822"/>
      <w:bookmarkStart w:id="54" w:name="_Toc13541"/>
      <w:bookmarkEnd w:id="48"/>
      <w:bookmarkEnd w:id="49"/>
      <w:bookmarkEnd w:id="50"/>
      <w:bookmarkEnd w:id="51"/>
      <w:r>
        <w:rPr>
          <w:rFonts w:ascii="Times New Roman" w:eastAsia="宋体" w:hAnsi="Times New Roman" w:cs="Times New Roman" w:hint="eastAsia"/>
          <w:b/>
          <w:bCs/>
          <w:color w:val="auto"/>
          <w:spacing w:val="-6"/>
          <w:sz w:val="30"/>
          <w:szCs w:val="30"/>
          <w:lang w:eastAsia="zh-CN"/>
        </w:rPr>
        <w:t>1.4</w:t>
      </w:r>
      <w:r>
        <w:rPr>
          <w:rFonts w:ascii="Times New Roman" w:eastAsia="宋体" w:hAnsi="Times New Roman" w:cs="Times New Roman" w:hint="eastAsia"/>
          <w:b/>
          <w:bCs/>
          <w:color w:val="auto"/>
          <w:spacing w:val="-6"/>
          <w:sz w:val="30"/>
          <w:szCs w:val="30"/>
          <w:lang w:eastAsia="zh-CN"/>
        </w:rPr>
        <w:t>论证重点</w:t>
      </w:r>
      <w:bookmarkEnd w:id="52"/>
    </w:p>
    <w:p w14:paraId="13544F7F"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依据《海域使用论证技术导则》</w:t>
      </w:r>
      <w:r>
        <w:rPr>
          <w:rFonts w:ascii="Times New Roman" w:eastAsia="宋体" w:hAnsi="Times New Roman" w:cs="宋体" w:hint="eastAsia"/>
          <w:color w:val="auto"/>
          <w:sz w:val="24"/>
          <w:szCs w:val="24"/>
          <w:lang w:eastAsia="zh-CN"/>
        </w:rPr>
        <w:t>(GB/T42361-2023)</w:t>
      </w:r>
      <w:r>
        <w:rPr>
          <w:rFonts w:ascii="Times New Roman" w:eastAsia="宋体" w:hAnsi="Times New Roman" w:cs="宋体" w:hint="eastAsia"/>
          <w:color w:val="auto"/>
          <w:sz w:val="24"/>
          <w:szCs w:val="24"/>
          <w:lang w:eastAsia="zh-CN"/>
        </w:rPr>
        <w:t>，根据本项目所在海域的自然条件、海洋资源分布及开发利用现状等特点，结合项目的用海性质及其造成的环境影响，确定本项目论证重点是：</w:t>
      </w:r>
    </w:p>
    <w:p w14:paraId="247A755C"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lastRenderedPageBreak/>
        <w:t>（</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）项目用海必要性分析；</w:t>
      </w:r>
    </w:p>
    <w:p w14:paraId="08F50312"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）项目用海合理性分析；</w:t>
      </w:r>
    </w:p>
    <w:p w14:paraId="3A83894E"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）项目对资源生态影响分析。</w:t>
      </w:r>
    </w:p>
    <w:p w14:paraId="63373EEA" w14:textId="77777777" w:rsidR="0075791A" w:rsidRDefault="0075791A">
      <w:pPr>
        <w:rPr>
          <w:color w:val="auto"/>
          <w:lang w:eastAsia="zh-CN"/>
        </w:rPr>
      </w:pPr>
    </w:p>
    <w:p w14:paraId="59757F15" w14:textId="77777777" w:rsidR="0075791A" w:rsidRDefault="0075791A">
      <w:pPr>
        <w:rPr>
          <w:color w:val="auto"/>
          <w:lang w:eastAsia="zh-CN"/>
        </w:rPr>
        <w:sectPr w:rsidR="0075791A">
          <w:footerReference w:type="default" r:id="rId17"/>
          <w:pgSz w:w="11906" w:h="16839"/>
          <w:pgMar w:top="1440" w:right="1803" w:bottom="1440" w:left="1803" w:header="746" w:footer="972" w:gutter="0"/>
          <w:cols w:space="720"/>
        </w:sectPr>
      </w:pPr>
    </w:p>
    <w:p w14:paraId="0B992DEF" w14:textId="77777777" w:rsidR="0075791A" w:rsidRDefault="00FB2864">
      <w:pPr>
        <w:spacing w:line="360" w:lineRule="auto"/>
        <w:outlineLvl w:val="0"/>
        <w:rPr>
          <w:rFonts w:ascii="Times New Roman" w:eastAsia="宋体" w:hAnsi="Times New Roman" w:cs="Times New Roman"/>
          <w:b/>
          <w:bCs/>
          <w:color w:val="auto"/>
          <w:spacing w:val="-5"/>
          <w:sz w:val="32"/>
          <w:szCs w:val="32"/>
          <w:lang w:eastAsia="zh-CN"/>
        </w:rPr>
      </w:pPr>
      <w:bookmarkStart w:id="55" w:name="_Toc10934"/>
      <w:r>
        <w:rPr>
          <w:rFonts w:ascii="Times New Roman" w:eastAsia="宋体" w:hAnsi="Times New Roman" w:cs="Times New Roman" w:hint="eastAsia"/>
          <w:b/>
          <w:bCs/>
          <w:color w:val="auto"/>
          <w:spacing w:val="-5"/>
          <w:sz w:val="32"/>
          <w:szCs w:val="32"/>
          <w:lang w:eastAsia="zh-CN"/>
        </w:rPr>
        <w:lastRenderedPageBreak/>
        <w:t>2</w:t>
      </w:r>
      <w:bookmarkEnd w:id="53"/>
      <w:bookmarkEnd w:id="54"/>
      <w:r>
        <w:rPr>
          <w:rFonts w:ascii="Times New Roman" w:eastAsia="宋体" w:hAnsi="Times New Roman" w:cs="Times New Roman" w:hint="eastAsia"/>
          <w:b/>
          <w:bCs/>
          <w:color w:val="auto"/>
          <w:spacing w:val="-5"/>
          <w:sz w:val="32"/>
          <w:szCs w:val="32"/>
          <w:lang w:eastAsia="zh-CN"/>
        </w:rPr>
        <w:t>项目用海基本情况</w:t>
      </w:r>
      <w:bookmarkEnd w:id="55"/>
    </w:p>
    <w:p w14:paraId="0E83F37B" w14:textId="77777777" w:rsidR="0075791A" w:rsidRDefault="00FB2864">
      <w:pPr>
        <w:spacing w:line="360" w:lineRule="auto"/>
        <w:outlineLvl w:val="1"/>
        <w:rPr>
          <w:rFonts w:ascii="Times New Roman" w:eastAsia="宋体" w:hAnsi="Times New Roman" w:cs="Times New Roman"/>
          <w:b/>
          <w:bCs/>
          <w:color w:val="auto"/>
          <w:spacing w:val="-6"/>
          <w:sz w:val="30"/>
          <w:szCs w:val="30"/>
          <w:lang w:eastAsia="zh-CN"/>
        </w:rPr>
      </w:pPr>
      <w:bookmarkStart w:id="56" w:name="_Toc20422"/>
      <w:r>
        <w:rPr>
          <w:rFonts w:ascii="Times New Roman" w:eastAsia="宋体" w:hAnsi="Times New Roman" w:cs="Times New Roman" w:hint="eastAsia"/>
          <w:b/>
          <w:bCs/>
          <w:color w:val="auto"/>
          <w:spacing w:val="-6"/>
          <w:sz w:val="30"/>
          <w:szCs w:val="30"/>
          <w:lang w:eastAsia="zh-CN"/>
        </w:rPr>
        <w:t>2.1</w:t>
      </w:r>
      <w:r>
        <w:rPr>
          <w:rFonts w:ascii="Times New Roman" w:eastAsia="宋体" w:hAnsi="Times New Roman" w:cs="Times New Roman" w:hint="eastAsia"/>
          <w:b/>
          <w:bCs/>
          <w:color w:val="auto"/>
          <w:spacing w:val="-6"/>
          <w:sz w:val="30"/>
          <w:szCs w:val="30"/>
          <w:lang w:eastAsia="zh-CN"/>
        </w:rPr>
        <w:t>项目用海建设内容</w:t>
      </w:r>
      <w:bookmarkEnd w:id="56"/>
    </w:p>
    <w:p w14:paraId="77207E5C" w14:textId="77777777" w:rsidR="0075791A" w:rsidRDefault="00FB2864">
      <w:pPr>
        <w:spacing w:line="360" w:lineRule="auto"/>
        <w:ind w:firstLineChars="200" w:firstLine="482"/>
        <w:jc w:val="both"/>
        <w:rPr>
          <w:rFonts w:ascii="Times New Roman" w:eastAsia="宋体" w:hAnsi="Times New Roman" w:cs="宋体"/>
          <w:color w:val="auto"/>
          <w:sz w:val="24"/>
          <w:szCs w:val="24"/>
          <w:lang w:eastAsia="zh-CN"/>
        </w:rPr>
      </w:pPr>
      <w:r>
        <w:rPr>
          <w:rFonts w:ascii="Times New Roman" w:eastAsia="宋体" w:hAnsi="Times New Roman" w:cs="宋体" w:hint="eastAsia"/>
          <w:b/>
          <w:bCs/>
          <w:color w:val="auto"/>
          <w:sz w:val="24"/>
          <w:szCs w:val="24"/>
          <w:lang w:eastAsia="zh-CN"/>
        </w:rPr>
        <w:t>项目名称：</w:t>
      </w:r>
      <w:r>
        <w:rPr>
          <w:rFonts w:ascii="Times New Roman" w:eastAsia="宋体" w:hAnsi="Times New Roman" w:cs="宋体" w:hint="eastAsia"/>
          <w:color w:val="auto"/>
          <w:sz w:val="24"/>
          <w:szCs w:val="24"/>
          <w:lang w:eastAsia="zh-CN"/>
        </w:rPr>
        <w:t>三亚铁炉港红树林湿地保护</w:t>
      </w:r>
      <w:r>
        <w:rPr>
          <w:rFonts w:ascii="Times New Roman" w:eastAsia="宋体" w:hAnsi="Times New Roman" w:cs="宋体" w:hint="eastAsia"/>
          <w:color w:val="auto"/>
          <w:sz w:val="24"/>
          <w:szCs w:val="24"/>
          <w:lang w:eastAsia="zh-CN"/>
        </w:rPr>
        <w:t>修复项目</w:t>
      </w:r>
      <w:r>
        <w:rPr>
          <w:rFonts w:ascii="Times New Roman" w:eastAsia="宋体" w:hAnsi="Times New Roman" w:cs="宋体" w:hint="eastAsia"/>
          <w:color w:val="auto"/>
          <w:sz w:val="24"/>
          <w:szCs w:val="24"/>
          <w:lang w:eastAsia="zh-CN"/>
        </w:rPr>
        <w:t>（二期）疏浚活动</w:t>
      </w:r>
    </w:p>
    <w:p w14:paraId="349C96F8" w14:textId="77777777" w:rsidR="0075791A" w:rsidRDefault="00FB2864">
      <w:pPr>
        <w:spacing w:line="360" w:lineRule="auto"/>
        <w:ind w:firstLineChars="200" w:firstLine="482"/>
        <w:jc w:val="both"/>
        <w:rPr>
          <w:rFonts w:ascii="Times New Roman" w:eastAsia="宋体" w:hAnsi="Times New Roman" w:cs="宋体"/>
          <w:color w:val="auto"/>
          <w:sz w:val="24"/>
          <w:szCs w:val="24"/>
          <w:lang w:eastAsia="zh-CN"/>
        </w:rPr>
      </w:pPr>
      <w:r>
        <w:rPr>
          <w:rFonts w:ascii="Times New Roman" w:eastAsia="宋体" w:hAnsi="Times New Roman" w:cs="宋体" w:hint="eastAsia"/>
          <w:b/>
          <w:bCs/>
          <w:color w:val="auto"/>
          <w:sz w:val="24"/>
          <w:szCs w:val="24"/>
          <w:lang w:eastAsia="zh-CN"/>
        </w:rPr>
        <w:t>项目性质</w:t>
      </w:r>
      <w:r>
        <w:rPr>
          <w:rFonts w:ascii="Times New Roman" w:eastAsia="宋体" w:hAnsi="Times New Roman" w:cs="宋体" w:hint="eastAsia"/>
          <w:color w:val="auto"/>
          <w:sz w:val="24"/>
          <w:szCs w:val="24"/>
          <w:lang w:eastAsia="zh-CN"/>
        </w:rPr>
        <w:t>：新建</w:t>
      </w:r>
    </w:p>
    <w:p w14:paraId="76587232" w14:textId="77777777" w:rsidR="0075791A" w:rsidRDefault="00FB2864">
      <w:pPr>
        <w:spacing w:line="360" w:lineRule="auto"/>
        <w:ind w:firstLineChars="200" w:firstLine="482"/>
        <w:jc w:val="both"/>
        <w:rPr>
          <w:rFonts w:ascii="Times New Roman" w:eastAsia="宋体" w:hAnsi="Times New Roman" w:cs="宋体"/>
          <w:color w:val="auto"/>
          <w:sz w:val="24"/>
          <w:szCs w:val="24"/>
          <w:lang w:eastAsia="zh-CN"/>
        </w:rPr>
      </w:pPr>
      <w:r>
        <w:rPr>
          <w:rFonts w:ascii="Times New Roman" w:eastAsia="宋体" w:hAnsi="Times New Roman" w:cs="宋体" w:hint="eastAsia"/>
          <w:b/>
          <w:bCs/>
          <w:color w:val="auto"/>
          <w:sz w:val="24"/>
          <w:szCs w:val="24"/>
          <w:lang w:eastAsia="zh-CN"/>
        </w:rPr>
        <w:t>项目建设单位：</w:t>
      </w:r>
      <w:r>
        <w:rPr>
          <w:rFonts w:ascii="Times New Roman" w:eastAsia="宋体" w:hAnsi="Times New Roman" w:cs="宋体" w:hint="eastAsia"/>
          <w:color w:val="auto"/>
          <w:sz w:val="24"/>
          <w:szCs w:val="24"/>
          <w:lang w:eastAsia="zh-CN"/>
        </w:rPr>
        <w:t>三亚市林业局</w:t>
      </w:r>
    </w:p>
    <w:p w14:paraId="3A21DAA8" w14:textId="77777777" w:rsidR="0075791A" w:rsidRDefault="00FB2864">
      <w:pPr>
        <w:spacing w:line="360" w:lineRule="auto"/>
        <w:ind w:firstLineChars="200" w:firstLine="482"/>
        <w:jc w:val="both"/>
        <w:rPr>
          <w:rFonts w:ascii="Times New Roman" w:eastAsia="宋体" w:hAnsi="Times New Roman" w:cs="宋体"/>
          <w:color w:val="auto"/>
          <w:sz w:val="24"/>
          <w:szCs w:val="24"/>
          <w:lang w:eastAsia="zh-CN"/>
        </w:rPr>
      </w:pPr>
      <w:r>
        <w:rPr>
          <w:rFonts w:ascii="Times New Roman" w:eastAsia="宋体" w:hAnsi="Times New Roman" w:cs="宋体" w:hint="eastAsia"/>
          <w:b/>
          <w:bCs/>
          <w:color w:val="auto"/>
          <w:sz w:val="24"/>
          <w:szCs w:val="24"/>
          <w:lang w:eastAsia="zh-CN"/>
        </w:rPr>
        <w:t>项目代管单位：</w:t>
      </w:r>
      <w:r>
        <w:rPr>
          <w:rFonts w:ascii="Times New Roman" w:eastAsia="宋体" w:hAnsi="Times New Roman" w:cs="宋体" w:hint="eastAsia"/>
          <w:color w:val="auto"/>
          <w:sz w:val="24"/>
          <w:szCs w:val="24"/>
          <w:lang w:eastAsia="zh-CN"/>
        </w:rPr>
        <w:t>三亚环通工程管理有限公司</w:t>
      </w:r>
    </w:p>
    <w:p w14:paraId="3FCE277D" w14:textId="77777777" w:rsidR="0075791A" w:rsidRDefault="00FB2864">
      <w:pPr>
        <w:spacing w:line="360" w:lineRule="auto"/>
        <w:ind w:firstLineChars="200" w:firstLine="482"/>
        <w:jc w:val="both"/>
        <w:rPr>
          <w:rFonts w:ascii="Times New Roman" w:eastAsia="宋体" w:hAnsi="Times New Roman" w:cs="宋体"/>
          <w:color w:val="auto"/>
          <w:sz w:val="24"/>
          <w:szCs w:val="24"/>
          <w:lang w:eastAsia="zh-CN"/>
        </w:rPr>
      </w:pPr>
      <w:r>
        <w:rPr>
          <w:rFonts w:ascii="Times New Roman" w:eastAsia="宋体" w:hAnsi="Times New Roman" w:cs="宋体" w:hint="eastAsia"/>
          <w:b/>
          <w:bCs/>
          <w:color w:val="auto"/>
          <w:sz w:val="24"/>
          <w:szCs w:val="24"/>
          <w:lang w:eastAsia="zh-CN"/>
        </w:rPr>
        <w:t>投资规模：</w:t>
      </w:r>
      <w:r>
        <w:rPr>
          <w:rFonts w:ascii="Times New Roman" w:eastAsia="宋体" w:hAnsi="Times New Roman" w:cs="宋体" w:hint="eastAsia"/>
          <w:color w:val="auto"/>
          <w:sz w:val="24"/>
          <w:szCs w:val="24"/>
          <w:lang w:eastAsia="zh-CN"/>
        </w:rPr>
        <w:t>三亚铁炉港红树林湿地保护</w:t>
      </w:r>
      <w:r>
        <w:rPr>
          <w:rFonts w:ascii="Times New Roman" w:eastAsia="宋体" w:hAnsi="Times New Roman" w:cs="宋体" w:hint="eastAsia"/>
          <w:color w:val="auto"/>
          <w:sz w:val="24"/>
          <w:szCs w:val="24"/>
          <w:lang w:eastAsia="zh-CN"/>
        </w:rPr>
        <w:t>修复项目</w:t>
      </w:r>
      <w:r>
        <w:rPr>
          <w:rFonts w:ascii="Times New Roman" w:eastAsia="宋体" w:hAnsi="Times New Roman" w:cs="宋体" w:hint="eastAsia"/>
          <w:color w:val="auto"/>
          <w:sz w:val="24"/>
          <w:szCs w:val="24"/>
          <w:lang w:eastAsia="zh-CN"/>
        </w:rPr>
        <w:t>（二期）疏浚活动投资</w:t>
      </w:r>
      <w:r>
        <w:rPr>
          <w:rFonts w:ascii="Times New Roman" w:eastAsia="宋体" w:hAnsi="Times New Roman" w:cs="宋体" w:hint="eastAsia"/>
          <w:color w:val="auto"/>
          <w:sz w:val="24"/>
          <w:szCs w:val="24"/>
          <w:lang w:eastAsia="zh-CN"/>
        </w:rPr>
        <w:t>319.79</w:t>
      </w:r>
      <w:r>
        <w:rPr>
          <w:rFonts w:ascii="Times New Roman" w:eastAsia="宋体" w:hAnsi="Times New Roman" w:cs="宋体" w:hint="eastAsia"/>
          <w:color w:val="auto"/>
          <w:sz w:val="24"/>
          <w:szCs w:val="24"/>
          <w:lang w:eastAsia="zh-CN"/>
        </w:rPr>
        <w:t>万元</w:t>
      </w:r>
    </w:p>
    <w:p w14:paraId="62CDB2AF" w14:textId="77777777" w:rsidR="0075791A" w:rsidRDefault="00FB2864">
      <w:pPr>
        <w:spacing w:line="360" w:lineRule="auto"/>
        <w:ind w:firstLineChars="200" w:firstLine="482"/>
        <w:jc w:val="both"/>
        <w:rPr>
          <w:rFonts w:ascii="Times New Roman" w:eastAsia="宋体" w:hAnsi="Times New Roman" w:cs="宋体"/>
          <w:color w:val="auto"/>
          <w:sz w:val="24"/>
          <w:szCs w:val="24"/>
          <w:lang w:eastAsia="zh-CN"/>
        </w:rPr>
      </w:pPr>
      <w:r>
        <w:rPr>
          <w:rFonts w:ascii="Times New Roman" w:eastAsia="宋体" w:hAnsi="Times New Roman" w:cs="宋体" w:hint="eastAsia"/>
          <w:b/>
          <w:bCs/>
          <w:color w:val="auto"/>
          <w:sz w:val="24"/>
          <w:szCs w:val="24"/>
          <w:lang w:eastAsia="zh-CN"/>
        </w:rPr>
        <w:t>地理位置</w:t>
      </w:r>
      <w:r>
        <w:rPr>
          <w:rFonts w:ascii="Times New Roman" w:eastAsia="宋体" w:hAnsi="Times New Roman" w:cs="宋体" w:hint="eastAsia"/>
          <w:color w:val="auto"/>
          <w:sz w:val="24"/>
          <w:szCs w:val="24"/>
          <w:lang w:eastAsia="zh-CN"/>
        </w:rPr>
        <w:t>：项目工程区位于三亚市铁炉港潟湖海域，坐标概位</w:t>
      </w:r>
      <w:r>
        <w:rPr>
          <w:rFonts w:ascii="Times New Roman" w:eastAsia="宋体" w:hAnsi="Times New Roman" w:cs="宋体" w:hint="eastAsia"/>
          <w:color w:val="auto"/>
          <w:sz w:val="24"/>
          <w:szCs w:val="24"/>
          <w:lang w:eastAsia="zh-CN"/>
        </w:rPr>
        <w:t>109</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42</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11.16</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E</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18</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16</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47.6738.72</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N</w:t>
      </w:r>
      <w:r>
        <w:rPr>
          <w:rFonts w:ascii="Times New Roman" w:eastAsia="宋体" w:hAnsi="Times New Roman" w:cs="宋体" w:hint="eastAsia"/>
          <w:color w:val="auto"/>
          <w:sz w:val="24"/>
          <w:szCs w:val="24"/>
          <w:lang w:eastAsia="zh-CN"/>
        </w:rPr>
        <w:t>。工程地理位置见图</w:t>
      </w:r>
      <w:r>
        <w:rPr>
          <w:rFonts w:ascii="Times New Roman" w:eastAsia="宋体" w:hAnsi="Times New Roman" w:cs="宋体" w:hint="eastAsia"/>
          <w:color w:val="auto"/>
          <w:sz w:val="24"/>
          <w:szCs w:val="24"/>
          <w:lang w:eastAsia="zh-CN"/>
        </w:rPr>
        <w:t>2.1-1</w:t>
      </w:r>
      <w:r>
        <w:rPr>
          <w:rFonts w:ascii="Times New Roman" w:eastAsia="宋体" w:hAnsi="Times New Roman" w:cs="宋体" w:hint="eastAsia"/>
          <w:color w:val="auto"/>
          <w:sz w:val="24"/>
          <w:szCs w:val="24"/>
          <w:lang w:eastAsia="zh-CN"/>
        </w:rPr>
        <w:t>。</w:t>
      </w:r>
    </w:p>
    <w:p w14:paraId="084CE055"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noProof/>
          <w:color w:val="auto"/>
          <w:spacing w:val="-4"/>
          <w:sz w:val="24"/>
          <w:szCs w:val="24"/>
          <w:lang w:eastAsia="zh-CN"/>
        </w:rPr>
        <w:drawing>
          <wp:inline distT="0" distB="0" distL="114300" distR="114300" wp14:anchorId="72CBD97E" wp14:editId="1163BCC0">
            <wp:extent cx="5213350" cy="3599815"/>
            <wp:effectExtent l="0" t="0" r="13970" b="12065"/>
            <wp:docPr id="2" name="图片 2" descr="项目位置图_政区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项目位置图_政区0410"/>
                    <pic:cNvPicPr>
                      <a:picLocks noChangeAspect="1"/>
                    </pic:cNvPicPr>
                  </pic:nvPicPr>
                  <pic:blipFill>
                    <a:blip r:embed="rId18"/>
                    <a:srcRect l="2630" t="3804" r="2015" b="3088"/>
                    <a:stretch>
                      <a:fillRect/>
                    </a:stretch>
                  </pic:blipFill>
                  <pic:spPr>
                    <a:xfrm>
                      <a:off x="0" y="0"/>
                      <a:ext cx="5213350" cy="3599815"/>
                    </a:xfrm>
                    <a:prstGeom prst="rect">
                      <a:avLst/>
                    </a:prstGeom>
                  </pic:spPr>
                </pic:pic>
              </a:graphicData>
            </a:graphic>
          </wp:inline>
        </w:drawing>
      </w:r>
    </w:p>
    <w:p w14:paraId="0846E0EB"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color w:val="auto"/>
          <w:spacing w:val="-4"/>
          <w:sz w:val="24"/>
          <w:szCs w:val="24"/>
          <w:lang w:eastAsia="zh-CN"/>
        </w:rPr>
        <w:t>图</w:t>
      </w:r>
      <w:r>
        <w:rPr>
          <w:rFonts w:ascii="Times New Roman" w:eastAsia="宋体" w:hAnsi="Times New Roman" w:cs="宋体" w:hint="eastAsia"/>
          <w:color w:val="auto"/>
          <w:spacing w:val="-4"/>
          <w:sz w:val="24"/>
          <w:szCs w:val="24"/>
          <w:lang w:eastAsia="zh-CN"/>
        </w:rPr>
        <w:t>2.1</w:t>
      </w:r>
      <w:r>
        <w:rPr>
          <w:rFonts w:ascii="Times New Roman" w:eastAsia="宋体" w:hAnsi="Times New Roman" w:cs="宋体"/>
          <w:color w:val="auto"/>
          <w:spacing w:val="-4"/>
          <w:sz w:val="24"/>
          <w:szCs w:val="24"/>
          <w:lang w:eastAsia="zh-CN"/>
        </w:rPr>
        <w:t>-</w:t>
      </w:r>
      <w:r>
        <w:rPr>
          <w:rFonts w:ascii="Times New Roman" w:eastAsia="宋体" w:hAnsi="Times New Roman" w:cs="宋体" w:hint="eastAsia"/>
          <w:color w:val="auto"/>
          <w:spacing w:val="-4"/>
          <w:sz w:val="24"/>
          <w:szCs w:val="24"/>
          <w:lang w:eastAsia="zh-CN"/>
        </w:rPr>
        <w:t xml:space="preserve">1 </w:t>
      </w:r>
      <w:r>
        <w:rPr>
          <w:rFonts w:ascii="Times New Roman" w:eastAsia="宋体" w:hAnsi="Times New Roman" w:cs="宋体"/>
          <w:color w:val="auto"/>
          <w:spacing w:val="-4"/>
          <w:sz w:val="24"/>
          <w:szCs w:val="24"/>
          <w:lang w:eastAsia="zh-CN"/>
        </w:rPr>
        <w:t>项目地理位置图</w:t>
      </w:r>
    </w:p>
    <w:p w14:paraId="222F4827" w14:textId="77777777" w:rsidR="0075791A" w:rsidRDefault="00FB2864">
      <w:pPr>
        <w:spacing w:line="360" w:lineRule="auto"/>
        <w:ind w:firstLineChars="200" w:firstLine="482"/>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b/>
          <w:bCs/>
          <w:color w:val="auto"/>
          <w:sz w:val="24"/>
          <w:szCs w:val="24"/>
          <w:lang w:eastAsia="zh-CN"/>
        </w:rPr>
        <w:t>项目建设内容：</w:t>
      </w:r>
      <w:r>
        <w:rPr>
          <w:rFonts w:ascii="Times New Roman" w:eastAsia="宋体" w:hAnsi="Times New Roman" w:cs="宋体" w:hint="eastAsia"/>
          <w:color w:val="auto"/>
          <w:sz w:val="24"/>
          <w:szCs w:val="24"/>
          <w:lang w:eastAsia="zh-CN"/>
        </w:rPr>
        <w:t>三亚铁炉港红树林湿地保护</w:t>
      </w:r>
      <w:r>
        <w:rPr>
          <w:rFonts w:ascii="Times New Roman" w:eastAsia="宋体" w:hAnsi="Times New Roman" w:cs="宋体" w:hint="eastAsia"/>
          <w:color w:val="auto"/>
          <w:sz w:val="24"/>
          <w:szCs w:val="24"/>
          <w:lang w:eastAsia="zh-CN"/>
        </w:rPr>
        <w:t>修复项</w:t>
      </w:r>
      <w:r>
        <w:rPr>
          <w:rFonts w:ascii="Times New Roman" w:eastAsia="宋体" w:hAnsi="Times New Roman" w:cs="宋体" w:hint="eastAsia"/>
          <w:color w:val="auto"/>
          <w:sz w:val="24"/>
          <w:szCs w:val="24"/>
          <w:lang w:eastAsia="zh-CN"/>
        </w:rPr>
        <w:t>目（二期）疏浚活动建设内容四大体系</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生态安全屏障构建工程、红树林资源保护与蓝碳增汇工程、滨海生物多样性提升工程、智慧监测与生态评估工程中的</w:t>
      </w:r>
      <w:r>
        <w:rPr>
          <w:rFonts w:ascii="Times New Roman" w:eastAsia="宋体" w:hAnsi="Times New Roman" w:cs="宋体"/>
          <w:color w:val="auto"/>
          <w:spacing w:val="-2"/>
          <w:sz w:val="24"/>
          <w:szCs w:val="24"/>
          <w:lang w:eastAsia="zh-CN"/>
        </w:rPr>
        <w:t>滨海生物多样性提升工程</w:t>
      </w:r>
      <w:r>
        <w:rPr>
          <w:rFonts w:ascii="Times New Roman" w:eastAsia="宋体" w:hAnsi="Times New Roman" w:cs="宋体" w:hint="eastAsia"/>
          <w:b/>
          <w:bCs/>
          <w:color w:val="auto"/>
          <w:spacing w:val="-2"/>
          <w:sz w:val="24"/>
          <w:szCs w:val="24"/>
          <w:lang w:eastAsia="zh-CN"/>
        </w:rPr>
        <w:t>之</w:t>
      </w:r>
      <w:r>
        <w:rPr>
          <w:rFonts w:ascii="Times New Roman" w:eastAsia="宋体" w:hAnsi="Times New Roman" w:cs="宋体"/>
          <w:color w:val="auto"/>
          <w:spacing w:val="-2"/>
          <w:sz w:val="24"/>
          <w:szCs w:val="24"/>
          <w:lang w:eastAsia="zh-CN"/>
        </w:rPr>
        <w:t>水系连通与生境改造清淤</w:t>
      </w:r>
      <w:r>
        <w:rPr>
          <w:rFonts w:ascii="Times New Roman" w:eastAsia="宋体" w:hAnsi="Times New Roman" w:cs="宋体" w:hint="eastAsia"/>
          <w:color w:val="auto"/>
          <w:spacing w:val="-2"/>
          <w:sz w:val="24"/>
          <w:szCs w:val="24"/>
          <w:lang w:eastAsia="zh-CN"/>
        </w:rPr>
        <w:t>8.6</w:t>
      </w:r>
      <w:r>
        <w:rPr>
          <w:rFonts w:ascii="Times New Roman" w:eastAsia="宋体" w:hAnsi="Times New Roman" w:cs="宋体" w:hint="eastAsia"/>
          <w:color w:val="auto"/>
          <w:spacing w:val="-2"/>
          <w:sz w:val="24"/>
          <w:szCs w:val="24"/>
          <w:lang w:eastAsia="zh-CN"/>
        </w:rPr>
        <w:t>万</w:t>
      </w:r>
      <w:r>
        <w:rPr>
          <w:rFonts w:ascii="Times New Roman" w:eastAsia="宋体" w:hAnsi="Times New Roman" w:cs="宋体" w:hint="eastAsia"/>
          <w:color w:val="auto"/>
          <w:sz w:val="24"/>
          <w:szCs w:val="24"/>
          <w:lang w:eastAsia="zh-CN"/>
        </w:rPr>
        <w:t>m</w:t>
      </w:r>
      <w:r>
        <w:rPr>
          <w:rFonts w:ascii="Times New Roman" w:eastAsia="宋体" w:hAnsi="Times New Roman" w:cs="宋体" w:hint="eastAsia"/>
          <w:color w:val="auto"/>
          <w:sz w:val="24"/>
          <w:szCs w:val="24"/>
          <w:vertAlign w:val="superscript"/>
          <w:lang w:eastAsia="zh-CN"/>
        </w:rPr>
        <w:t>3</w:t>
      </w:r>
      <w:r>
        <w:rPr>
          <w:rFonts w:ascii="Times New Roman" w:eastAsia="宋体" w:hAnsi="Times New Roman" w:cs="宋体" w:hint="eastAsia"/>
          <w:color w:val="auto"/>
          <w:sz w:val="24"/>
          <w:szCs w:val="24"/>
          <w:lang w:eastAsia="zh-CN"/>
        </w:rPr>
        <w:t>，以及一二期中因构筑物建设偏移、设计变更引起的超范围用海</w:t>
      </w:r>
      <w:r>
        <w:rPr>
          <w:rFonts w:ascii="Times New Roman" w:eastAsia="宋体" w:hAnsi="Times New Roman" w:cs="宋体" w:hint="eastAsia"/>
          <w:color w:val="auto"/>
          <w:spacing w:val="-2"/>
          <w:sz w:val="24"/>
          <w:szCs w:val="24"/>
          <w:lang w:eastAsia="zh-CN"/>
        </w:rPr>
        <w:t>。</w:t>
      </w:r>
    </w:p>
    <w:p w14:paraId="0AEFBD2A" w14:textId="77777777" w:rsidR="0075791A" w:rsidRDefault="00FB2864">
      <w:pPr>
        <w:spacing w:line="348"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lastRenderedPageBreak/>
        <w:t>本项目用海总面积</w:t>
      </w:r>
      <w:r>
        <w:rPr>
          <w:rFonts w:ascii="Times New Roman" w:hAnsi="Times New Roman" w:cs="宋体" w:hint="eastAsia"/>
          <w:color w:val="auto"/>
          <w:spacing w:val="-8"/>
          <w:sz w:val="24"/>
          <w:szCs w:val="24"/>
          <w:lang w:eastAsia="zh-CN"/>
        </w:rPr>
        <w:t>15.2465ha</w:t>
      </w:r>
      <w:r>
        <w:rPr>
          <w:rFonts w:ascii="Times New Roman" w:hAnsi="Times New Roman" w:cs="宋体" w:hint="eastAsia"/>
          <w:color w:val="auto"/>
          <w:spacing w:val="-8"/>
          <w:sz w:val="24"/>
          <w:szCs w:val="24"/>
          <w:lang w:eastAsia="zh-CN"/>
        </w:rPr>
        <w:t>，其中构筑物</w:t>
      </w:r>
      <w:r>
        <w:rPr>
          <w:rFonts w:ascii="Times New Roman" w:hAnsi="Times New Roman" w:cs="宋体" w:hint="eastAsia"/>
          <w:color w:val="auto"/>
          <w:spacing w:val="-8"/>
          <w:sz w:val="24"/>
          <w:szCs w:val="24"/>
          <w:lang w:eastAsia="zh-CN"/>
        </w:rPr>
        <w:t>0.3793ha</w:t>
      </w:r>
      <w:r>
        <w:rPr>
          <w:rFonts w:ascii="Times New Roman" w:hAnsi="Times New Roman" w:cs="宋体" w:hint="eastAsia"/>
          <w:color w:val="auto"/>
          <w:spacing w:val="-8"/>
          <w:sz w:val="24"/>
          <w:szCs w:val="24"/>
          <w:lang w:eastAsia="zh-CN"/>
        </w:rPr>
        <w:t>，</w:t>
      </w:r>
      <w:r>
        <w:rPr>
          <w:rFonts w:ascii="Times New Roman" w:eastAsia="宋体" w:hAnsi="Times New Roman" w:cs="宋体" w:hint="eastAsia"/>
          <w:color w:val="auto"/>
          <w:sz w:val="24"/>
          <w:szCs w:val="24"/>
          <w:lang w:eastAsia="zh-CN"/>
        </w:rPr>
        <w:t>清淤区用海</w:t>
      </w:r>
      <w:r>
        <w:rPr>
          <w:rFonts w:ascii="Times New Roman" w:eastAsia="宋体" w:hAnsi="Times New Roman" w:cs="宋体" w:hint="eastAsia"/>
          <w:color w:val="auto"/>
          <w:sz w:val="24"/>
          <w:szCs w:val="24"/>
          <w:lang w:eastAsia="zh-CN"/>
        </w:rPr>
        <w:t>14.8672</w:t>
      </w:r>
      <w:r>
        <w:rPr>
          <w:rFonts w:ascii="Times New Roman" w:eastAsia="宋体" w:hAnsi="Times New Roman" w:cs="宋体" w:hint="eastAsia"/>
          <w:color w:val="auto"/>
          <w:sz w:val="24"/>
          <w:szCs w:val="24"/>
          <w:lang w:eastAsia="zh-CN"/>
        </w:rPr>
        <w:t>公顷，施工期约</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个月。</w:t>
      </w:r>
    </w:p>
    <w:p w14:paraId="2A38A231"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57" w:name="bookmark16"/>
      <w:bookmarkStart w:id="58" w:name="bookmark15"/>
      <w:bookmarkStart w:id="59" w:name="_Toc12457"/>
      <w:bookmarkStart w:id="60" w:name="_Toc20171"/>
      <w:bookmarkStart w:id="61" w:name="_Toc15116"/>
      <w:bookmarkEnd w:id="57"/>
      <w:bookmarkEnd w:id="58"/>
      <w:r>
        <w:rPr>
          <w:rFonts w:ascii="Times New Roman" w:eastAsia="宋体" w:hAnsi="Times New Roman" w:cs="Times New Roman" w:hint="eastAsia"/>
          <w:b/>
          <w:bCs/>
          <w:color w:val="auto"/>
          <w:spacing w:val="-6"/>
          <w:sz w:val="30"/>
          <w:szCs w:val="30"/>
          <w:lang w:eastAsia="zh-CN"/>
        </w:rPr>
        <w:t>2.2</w:t>
      </w:r>
      <w:r>
        <w:rPr>
          <w:rFonts w:ascii="Times New Roman" w:eastAsia="Times New Roman" w:hAnsi="Times New Roman" w:cs="Times New Roman"/>
          <w:b/>
          <w:bCs/>
          <w:color w:val="auto"/>
          <w:spacing w:val="-6"/>
          <w:sz w:val="30"/>
          <w:szCs w:val="30"/>
          <w:lang w:eastAsia="zh-CN"/>
        </w:rPr>
        <w:t>平面布置和主要结构、尺度</w:t>
      </w:r>
      <w:bookmarkEnd w:id="59"/>
      <w:bookmarkEnd w:id="60"/>
      <w:bookmarkEnd w:id="61"/>
    </w:p>
    <w:p w14:paraId="59B2F28A"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62" w:name="_Toc9671"/>
      <w:r>
        <w:rPr>
          <w:rFonts w:ascii="Times New Roman" w:eastAsia="Times New Roman" w:hAnsi="Times New Roman" w:cs="Times New Roman" w:hint="eastAsia"/>
          <w:b/>
          <w:bCs/>
          <w:color w:val="auto"/>
          <w:spacing w:val="-3"/>
          <w:sz w:val="28"/>
          <w:szCs w:val="28"/>
          <w:lang w:eastAsia="zh-CN"/>
        </w:rPr>
        <w:t>2.2.1总平面布置</w:t>
      </w:r>
      <w:bookmarkEnd w:id="62"/>
    </w:p>
    <w:p w14:paraId="410F6F9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根据</w:t>
      </w:r>
      <w:r>
        <w:rPr>
          <w:rFonts w:ascii="Times New Roman" w:eastAsia="宋体" w:hAnsi="Times New Roman" w:cs="宋体"/>
          <w:color w:val="auto"/>
          <w:sz w:val="24"/>
          <w:szCs w:val="24"/>
          <w:lang w:eastAsia="zh-CN"/>
        </w:rPr>
        <w:t>《铁炉港红树林湿地保护修复项目初步设计（第一册：设计说明）》</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在长期潮汐作用下，</w:t>
      </w:r>
      <w:r>
        <w:rPr>
          <w:rFonts w:ascii="Times New Roman" w:eastAsia="宋体" w:hAnsi="Times New Roman" w:cs="宋体" w:hint="eastAsia"/>
          <w:color w:val="auto"/>
          <w:sz w:val="24"/>
          <w:szCs w:val="24"/>
          <w:lang w:eastAsia="zh-CN"/>
        </w:rPr>
        <w:t>铁炉港</w:t>
      </w:r>
      <w:r>
        <w:rPr>
          <w:rFonts w:ascii="Times New Roman" w:eastAsia="宋体" w:hAnsi="Times New Roman" w:cs="宋体"/>
          <w:color w:val="auto"/>
          <w:sz w:val="24"/>
          <w:szCs w:val="24"/>
          <w:lang w:eastAsia="zh-CN"/>
        </w:rPr>
        <w:t>与海棠河交汇处存在两处河床淤泥沉积区域，严重</w:t>
      </w:r>
      <w:r>
        <w:rPr>
          <w:rFonts w:ascii="Times New Roman" w:eastAsia="宋体" w:hAnsi="Times New Roman" w:cs="宋体"/>
          <w:color w:val="auto"/>
          <w:sz w:val="24"/>
          <w:szCs w:val="24"/>
          <w:lang w:eastAsia="zh-CN"/>
        </w:rPr>
        <w:t xml:space="preserve"> </w:t>
      </w:r>
      <w:r>
        <w:rPr>
          <w:rFonts w:ascii="Times New Roman" w:eastAsia="宋体" w:hAnsi="Times New Roman" w:cs="宋体"/>
          <w:color w:val="auto"/>
          <w:sz w:val="24"/>
          <w:szCs w:val="24"/>
          <w:lang w:eastAsia="zh-CN"/>
        </w:rPr>
        <w:t>影响了水动力，淡海水交换能力逐渐减弱，影响了红树林的生境。为了提升红树林的生长环境，根据现场情况进行河道清淤，总方量为</w:t>
      </w:r>
      <w:r>
        <w:rPr>
          <w:rFonts w:ascii="Times New Roman" w:eastAsia="宋体" w:hAnsi="Times New Roman" w:cs="宋体"/>
          <w:color w:val="auto"/>
          <w:sz w:val="24"/>
          <w:szCs w:val="24"/>
          <w:lang w:eastAsia="zh-CN"/>
        </w:rPr>
        <w:t xml:space="preserve"> 95957m³</w:t>
      </w:r>
      <w:r>
        <w:rPr>
          <w:rFonts w:ascii="Times New Roman" w:eastAsia="宋体" w:hAnsi="Times New Roman" w:cs="宋体" w:hint="eastAsia"/>
          <w:color w:val="auto"/>
          <w:sz w:val="24"/>
          <w:szCs w:val="24"/>
          <w:lang w:eastAsia="zh-CN"/>
        </w:rPr>
        <w:t>，本项目所申请用海为位于海中海高尔夫球场北侧，清淤方量为</w:t>
      </w:r>
      <w:r>
        <w:rPr>
          <w:rFonts w:ascii="Times New Roman" w:eastAsia="宋体" w:hAnsi="Times New Roman" w:cs="宋体" w:hint="eastAsia"/>
          <w:color w:val="auto"/>
          <w:sz w:val="24"/>
          <w:szCs w:val="24"/>
          <w:lang w:eastAsia="zh-CN"/>
        </w:rPr>
        <w:t>8.6</w:t>
      </w:r>
      <w:r>
        <w:rPr>
          <w:rFonts w:ascii="Times New Roman" w:eastAsia="宋体" w:hAnsi="Times New Roman" w:cs="宋体" w:hint="eastAsia"/>
          <w:color w:val="auto"/>
          <w:sz w:val="24"/>
          <w:szCs w:val="24"/>
          <w:lang w:eastAsia="zh-CN"/>
        </w:rPr>
        <w:t>万方。</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hint="eastAsia"/>
          <w:color w:val="auto"/>
          <w:sz w:val="24"/>
          <w:szCs w:val="24"/>
          <w:lang w:eastAsia="zh-CN"/>
        </w:rPr>
        <w:t>项目利用清淤船在海中海高尔夫球场北侧处开挖坡度大于等于</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color w:val="auto"/>
          <w:sz w:val="24"/>
          <w:szCs w:val="24"/>
          <w:lang w:eastAsia="zh-CN"/>
        </w:rPr>
        <w:t>1</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 xml:space="preserve">5 </w:t>
      </w:r>
      <w:r>
        <w:rPr>
          <w:rFonts w:ascii="Times New Roman" w:eastAsia="宋体" w:hAnsi="Times New Roman" w:cs="宋体" w:hint="eastAsia"/>
          <w:color w:val="auto"/>
          <w:sz w:val="24"/>
          <w:szCs w:val="24"/>
          <w:lang w:eastAsia="zh-CN"/>
        </w:rPr>
        <w:t>的水下岸线，同时将疏浚土用于补充周边滩涂的微地形改造中，运距约</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color w:val="auto"/>
          <w:sz w:val="24"/>
          <w:szCs w:val="24"/>
          <w:lang w:eastAsia="zh-CN"/>
        </w:rPr>
        <w:t>1-5km</w:t>
      </w:r>
      <w:r>
        <w:rPr>
          <w:rFonts w:ascii="Times New Roman" w:eastAsia="宋体" w:hAnsi="Times New Roman" w:cs="宋体" w:hint="eastAsia"/>
          <w:color w:val="auto"/>
          <w:sz w:val="24"/>
          <w:szCs w:val="24"/>
          <w:lang w:eastAsia="zh-CN"/>
        </w:rPr>
        <w:t>。</w:t>
      </w:r>
    </w:p>
    <w:p w14:paraId="08383345"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总平面布置图见图</w:t>
      </w:r>
      <w:r>
        <w:rPr>
          <w:rFonts w:ascii="Times New Roman" w:eastAsia="宋体" w:hAnsi="Times New Roman" w:cs="宋体" w:hint="eastAsia"/>
          <w:color w:val="auto"/>
          <w:sz w:val="24"/>
          <w:szCs w:val="24"/>
          <w:lang w:eastAsia="zh-CN"/>
        </w:rPr>
        <w:t>2.2.1-1</w:t>
      </w:r>
      <w:r>
        <w:rPr>
          <w:rFonts w:ascii="Times New Roman" w:eastAsia="宋体" w:hAnsi="Times New Roman" w:cs="宋体" w:hint="eastAsia"/>
          <w:color w:val="auto"/>
          <w:sz w:val="24"/>
          <w:szCs w:val="24"/>
          <w:lang w:eastAsia="zh-CN"/>
        </w:rPr>
        <w:t>，效</w:t>
      </w:r>
      <w:r>
        <w:rPr>
          <w:rFonts w:ascii="Times New Roman" w:eastAsia="宋体" w:hAnsi="Times New Roman" w:cs="宋体" w:hint="eastAsia"/>
          <w:color w:val="auto"/>
          <w:sz w:val="24"/>
          <w:szCs w:val="24"/>
          <w:lang w:eastAsia="zh-CN"/>
        </w:rPr>
        <w:t>果图见图</w:t>
      </w:r>
      <w:r>
        <w:rPr>
          <w:rFonts w:ascii="Times New Roman" w:eastAsia="宋体" w:hAnsi="Times New Roman" w:cs="宋体" w:hint="eastAsia"/>
          <w:color w:val="auto"/>
          <w:sz w:val="24"/>
          <w:szCs w:val="24"/>
          <w:lang w:eastAsia="zh-CN"/>
        </w:rPr>
        <w:t>2.2.1-2</w:t>
      </w:r>
      <w:r>
        <w:rPr>
          <w:rFonts w:ascii="Times New Roman" w:eastAsia="宋体" w:hAnsi="Times New Roman" w:cs="宋体" w:hint="eastAsia"/>
          <w:color w:val="auto"/>
          <w:sz w:val="24"/>
          <w:szCs w:val="24"/>
          <w:lang w:eastAsia="zh-CN"/>
        </w:rPr>
        <w:t>。</w:t>
      </w:r>
    </w:p>
    <w:p w14:paraId="6F13A1E0" w14:textId="77777777" w:rsidR="0075791A" w:rsidRDefault="0075791A">
      <w:pPr>
        <w:spacing w:line="219" w:lineRule="auto"/>
        <w:rPr>
          <w:rFonts w:ascii="Times New Roman" w:eastAsia="宋体" w:hAnsi="Times New Roman" w:cs="宋体"/>
          <w:color w:val="auto"/>
          <w:sz w:val="24"/>
          <w:szCs w:val="24"/>
          <w:lang w:eastAsia="zh-CN"/>
        </w:rPr>
        <w:sectPr w:rsidR="0075791A">
          <w:pgSz w:w="11906" w:h="16839"/>
          <w:pgMar w:top="1440" w:right="1803" w:bottom="1440" w:left="1803" w:header="746" w:footer="972" w:gutter="0"/>
          <w:cols w:space="720"/>
        </w:sectPr>
      </w:pPr>
    </w:p>
    <w:p w14:paraId="5F35F6F9" w14:textId="77777777" w:rsidR="0075791A" w:rsidRDefault="00FB2864">
      <w:pPr>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noProof/>
          <w:color w:val="auto"/>
          <w:spacing w:val="-4"/>
          <w:sz w:val="24"/>
          <w:szCs w:val="24"/>
          <w:lang w:eastAsia="zh-CN"/>
        </w:rPr>
        <w:lastRenderedPageBreak/>
        <w:drawing>
          <wp:inline distT="0" distB="0" distL="114300" distR="114300" wp14:anchorId="3A4CBC89" wp14:editId="2CE9A2BF">
            <wp:extent cx="12122150" cy="8568055"/>
            <wp:effectExtent l="0" t="0" r="8890" b="12065"/>
            <wp:docPr id="3" name="图片 3" descr="项目总平图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项目总平图0410"/>
                    <pic:cNvPicPr>
                      <a:picLocks noChangeAspect="1"/>
                    </pic:cNvPicPr>
                  </pic:nvPicPr>
                  <pic:blipFill>
                    <a:blip r:embed="rId19"/>
                    <a:srcRect l="1794" t="2137" r="1615" b="1386"/>
                    <a:stretch>
                      <a:fillRect/>
                    </a:stretch>
                  </pic:blipFill>
                  <pic:spPr>
                    <a:xfrm>
                      <a:off x="0" y="0"/>
                      <a:ext cx="12122150" cy="8568055"/>
                    </a:xfrm>
                    <a:prstGeom prst="rect">
                      <a:avLst/>
                    </a:prstGeom>
                  </pic:spPr>
                </pic:pic>
              </a:graphicData>
            </a:graphic>
          </wp:inline>
        </w:drawing>
      </w:r>
    </w:p>
    <w:p w14:paraId="34509E2D" w14:textId="77777777" w:rsidR="0075791A" w:rsidRDefault="00FB2864">
      <w:pPr>
        <w:jc w:val="center"/>
        <w:rPr>
          <w:rFonts w:ascii="Times New Roman" w:eastAsia="宋体" w:hAnsi="Times New Roman" w:cs="宋体"/>
          <w:color w:val="auto"/>
          <w:spacing w:val="-4"/>
          <w:sz w:val="24"/>
          <w:szCs w:val="24"/>
          <w:lang w:eastAsia="zh-CN"/>
        </w:rPr>
        <w:sectPr w:rsidR="0075791A">
          <w:footerReference w:type="default" r:id="rId20"/>
          <w:pgSz w:w="23811" w:h="16839" w:orient="landscape"/>
          <w:pgMar w:top="1803" w:right="1440" w:bottom="1134" w:left="1440" w:header="746" w:footer="972" w:gutter="0"/>
          <w:cols w:space="720"/>
        </w:sectPr>
      </w:pPr>
      <w:r>
        <w:rPr>
          <w:rFonts w:ascii="Times New Roman" w:eastAsia="宋体" w:hAnsi="Times New Roman" w:cs="宋体"/>
          <w:color w:val="auto"/>
          <w:spacing w:val="-4"/>
          <w:sz w:val="24"/>
          <w:szCs w:val="24"/>
        </w:rPr>
        <w:t>图</w:t>
      </w:r>
      <w:r>
        <w:rPr>
          <w:rFonts w:ascii="Times New Roman" w:eastAsia="宋体" w:hAnsi="Times New Roman" w:cs="宋体" w:hint="eastAsia"/>
          <w:color w:val="auto"/>
          <w:spacing w:val="-4"/>
          <w:sz w:val="24"/>
          <w:szCs w:val="24"/>
          <w:lang w:eastAsia="zh-CN"/>
        </w:rPr>
        <w:t>2.2.1</w:t>
      </w:r>
      <w:r>
        <w:rPr>
          <w:rFonts w:ascii="Times New Roman" w:eastAsia="宋体" w:hAnsi="Times New Roman" w:cs="宋体"/>
          <w:color w:val="auto"/>
          <w:spacing w:val="-4"/>
          <w:sz w:val="24"/>
          <w:szCs w:val="24"/>
        </w:rPr>
        <w:t>-1</w:t>
      </w:r>
      <w:r>
        <w:rPr>
          <w:rFonts w:ascii="Times New Roman" w:eastAsia="宋体" w:hAnsi="Times New Roman" w:cs="宋体" w:hint="eastAsia"/>
          <w:color w:val="auto"/>
          <w:spacing w:val="-4"/>
          <w:sz w:val="24"/>
          <w:szCs w:val="24"/>
          <w:lang w:eastAsia="zh-CN"/>
        </w:rPr>
        <w:t xml:space="preserve"> </w:t>
      </w:r>
      <w:r>
        <w:rPr>
          <w:rFonts w:ascii="Times New Roman" w:eastAsia="宋体" w:hAnsi="Times New Roman" w:cs="宋体"/>
          <w:color w:val="auto"/>
          <w:spacing w:val="-4"/>
          <w:sz w:val="24"/>
          <w:szCs w:val="24"/>
        </w:rPr>
        <w:t>总体平面布置图</w:t>
      </w:r>
    </w:p>
    <w:p w14:paraId="13D0F785" w14:textId="77777777" w:rsidR="0075791A" w:rsidRDefault="00FB2864">
      <w:pPr>
        <w:spacing w:line="360" w:lineRule="auto"/>
        <w:jc w:val="center"/>
        <w:rPr>
          <w:rFonts w:ascii="Times New Roman" w:hAnsi="Times New Roman" w:cs="Times New Roman"/>
          <w:b/>
          <w:bCs/>
          <w:color w:val="auto"/>
          <w:lang w:eastAsia="zh-CN"/>
        </w:rPr>
      </w:pPr>
      <w:r>
        <w:rPr>
          <w:rFonts w:ascii="Times New Roman" w:hAnsi="Times New Roman" w:cs="Times New Roman"/>
          <w:b/>
          <w:bCs/>
          <w:noProof/>
          <w:color w:val="auto"/>
          <w:lang w:eastAsia="zh-CN"/>
        </w:rPr>
        <w:lastRenderedPageBreak/>
        <w:drawing>
          <wp:inline distT="0" distB="0" distL="114300" distR="114300" wp14:anchorId="1A153E19" wp14:editId="3BFC0E36">
            <wp:extent cx="13284200" cy="7472680"/>
            <wp:effectExtent l="0" t="0" r="5080" b="10160"/>
            <wp:docPr id="11" name="图片 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图片"/>
                    <pic:cNvPicPr>
                      <a:picLocks noChangeAspect="1"/>
                    </pic:cNvPicPr>
                  </pic:nvPicPr>
                  <pic:blipFill>
                    <a:blip r:embed="rId21"/>
                    <a:stretch>
                      <a:fillRect/>
                    </a:stretch>
                  </pic:blipFill>
                  <pic:spPr>
                    <a:xfrm>
                      <a:off x="0" y="0"/>
                      <a:ext cx="13284200" cy="7472680"/>
                    </a:xfrm>
                    <a:prstGeom prst="rect">
                      <a:avLst/>
                    </a:prstGeom>
                    <a:noFill/>
                    <a:ln>
                      <a:noFill/>
                    </a:ln>
                  </pic:spPr>
                </pic:pic>
              </a:graphicData>
            </a:graphic>
          </wp:inline>
        </w:drawing>
      </w:r>
    </w:p>
    <w:p w14:paraId="52B4749E" w14:textId="77777777" w:rsidR="0075791A" w:rsidRDefault="00FB2864">
      <w:pPr>
        <w:spacing w:line="360" w:lineRule="auto"/>
        <w:jc w:val="center"/>
        <w:rPr>
          <w:rFonts w:ascii="Times New Roman" w:eastAsia="宋体" w:hAnsi="Times New Roman" w:cs="宋体"/>
          <w:color w:val="auto"/>
          <w:spacing w:val="-4"/>
          <w:sz w:val="24"/>
          <w:szCs w:val="24"/>
          <w:lang w:eastAsia="zh-CN"/>
        </w:rPr>
        <w:sectPr w:rsidR="0075791A">
          <w:footerReference w:type="default" r:id="rId22"/>
          <w:pgSz w:w="23811" w:h="16838" w:orient="landscape"/>
          <w:pgMar w:top="1803" w:right="1440" w:bottom="1803" w:left="1440" w:header="746" w:footer="972" w:gutter="0"/>
          <w:cols w:space="720"/>
        </w:sectPr>
      </w:pPr>
      <w:r>
        <w:rPr>
          <w:rFonts w:ascii="Times New Roman" w:eastAsia="宋体" w:hAnsi="Times New Roman" w:cs="宋体"/>
          <w:color w:val="auto"/>
          <w:spacing w:val="-4"/>
          <w:sz w:val="24"/>
          <w:szCs w:val="24"/>
          <w:lang w:eastAsia="zh-CN"/>
        </w:rPr>
        <w:t>图</w:t>
      </w:r>
      <w:r>
        <w:rPr>
          <w:rFonts w:ascii="Times New Roman" w:eastAsia="宋体" w:hAnsi="Times New Roman" w:cs="宋体" w:hint="eastAsia"/>
          <w:color w:val="auto"/>
          <w:spacing w:val="-4"/>
          <w:sz w:val="24"/>
          <w:szCs w:val="24"/>
          <w:lang w:eastAsia="zh-CN"/>
        </w:rPr>
        <w:t>2.2.1</w:t>
      </w:r>
      <w:r>
        <w:rPr>
          <w:rFonts w:ascii="Times New Roman" w:eastAsia="宋体" w:hAnsi="Times New Roman" w:cs="宋体"/>
          <w:color w:val="auto"/>
          <w:spacing w:val="-4"/>
          <w:sz w:val="24"/>
          <w:szCs w:val="24"/>
          <w:lang w:eastAsia="zh-CN"/>
        </w:rPr>
        <w:t>-</w:t>
      </w:r>
      <w:r>
        <w:rPr>
          <w:rFonts w:ascii="Times New Roman" w:eastAsia="宋体" w:hAnsi="Times New Roman" w:cs="宋体" w:hint="eastAsia"/>
          <w:color w:val="auto"/>
          <w:spacing w:val="-4"/>
          <w:sz w:val="24"/>
          <w:szCs w:val="24"/>
          <w:lang w:eastAsia="zh-CN"/>
        </w:rPr>
        <w:t>2</w:t>
      </w:r>
      <w:r>
        <w:rPr>
          <w:rFonts w:ascii="Times New Roman" w:eastAsia="宋体" w:hAnsi="Times New Roman" w:cs="宋体" w:hint="eastAsia"/>
          <w:color w:val="auto"/>
          <w:spacing w:val="-4"/>
          <w:sz w:val="24"/>
          <w:szCs w:val="24"/>
          <w:lang w:eastAsia="zh-CN"/>
        </w:rPr>
        <w:t>项目建设效果图</w:t>
      </w:r>
    </w:p>
    <w:p w14:paraId="6FEAC04A"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63" w:name="_Toc23647"/>
      <w:r>
        <w:rPr>
          <w:rFonts w:ascii="Times New Roman" w:eastAsia="Times New Roman" w:hAnsi="Times New Roman" w:cs="Times New Roman" w:hint="eastAsia"/>
          <w:b/>
          <w:bCs/>
          <w:color w:val="auto"/>
          <w:spacing w:val="-3"/>
          <w:sz w:val="28"/>
          <w:szCs w:val="28"/>
          <w:lang w:eastAsia="zh-CN"/>
        </w:rPr>
        <w:lastRenderedPageBreak/>
        <w:t>2.2.2主要结构、尺寸</w:t>
      </w:r>
      <w:bookmarkEnd w:id="63"/>
    </w:p>
    <w:p w14:paraId="1BDFD07E"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本项目需申请用海内容为</w:t>
      </w:r>
      <w:r>
        <w:rPr>
          <w:rFonts w:ascii="Times New Roman" w:eastAsia="宋体" w:hAnsi="Times New Roman" w:cs="宋体"/>
          <w:color w:val="auto"/>
          <w:sz w:val="24"/>
          <w:szCs w:val="24"/>
          <w:lang w:eastAsia="zh-CN"/>
        </w:rPr>
        <w:t>水系连通与生境改造清淤</w:t>
      </w:r>
      <w:r>
        <w:rPr>
          <w:rFonts w:ascii="Times New Roman" w:eastAsia="宋体" w:hAnsi="Times New Roman" w:cs="宋体" w:hint="eastAsia"/>
          <w:color w:val="auto"/>
          <w:sz w:val="24"/>
          <w:szCs w:val="24"/>
          <w:lang w:eastAsia="zh-CN"/>
        </w:rPr>
        <w:t>、构筑物新增用海。</w:t>
      </w:r>
    </w:p>
    <w:p w14:paraId="744E441E"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清淤疏浚</w:t>
      </w:r>
    </w:p>
    <w:p w14:paraId="799824A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铁炉港部分河口与水动力较弱区域浅滩不断发育，南边海水域河道淤积较严重，导致潮汐通道内水流不畅，降低了潟湖主体与外海水体的交换能力，影响红树林的生长。因此，通过对潟湖水动力较弱产生淤泥沉积的地方进行水系连通，使生境更适宜于红树林生长，海中海高尔夫球场北部清淤区开挖量为</w:t>
      </w:r>
      <w:r>
        <w:rPr>
          <w:rFonts w:ascii="Times New Roman" w:eastAsia="宋体" w:hAnsi="Times New Roman" w:cs="宋体" w:hint="eastAsia"/>
          <w:color w:val="auto"/>
          <w:sz w:val="24"/>
          <w:szCs w:val="24"/>
          <w:lang w:eastAsia="zh-CN"/>
        </w:rPr>
        <w:t>86000m</w:t>
      </w:r>
      <w:r>
        <w:rPr>
          <w:rFonts w:ascii="Times New Roman" w:eastAsia="宋体" w:hAnsi="Times New Roman" w:cs="宋体" w:hint="eastAsia"/>
          <w:color w:val="auto"/>
          <w:sz w:val="24"/>
          <w:szCs w:val="24"/>
          <w:vertAlign w:val="superscript"/>
          <w:lang w:eastAsia="zh-CN"/>
        </w:rPr>
        <w:t>3</w:t>
      </w:r>
      <w:r>
        <w:rPr>
          <w:rFonts w:ascii="Times New Roman" w:eastAsia="宋体" w:hAnsi="Times New Roman" w:cs="宋体" w:hint="eastAsia"/>
          <w:color w:val="auto"/>
          <w:sz w:val="24"/>
          <w:szCs w:val="24"/>
          <w:lang w:eastAsia="zh-CN"/>
        </w:rPr>
        <w:t>。</w:t>
      </w:r>
    </w:p>
    <w:p w14:paraId="5CC2773A" w14:textId="77777777" w:rsidR="0075791A" w:rsidRDefault="00FB2864">
      <w:pPr>
        <w:jc w:val="center"/>
        <w:rPr>
          <w:rFonts w:ascii="Times New Roman" w:hAnsi="Times New Roman"/>
          <w:color w:val="auto"/>
        </w:rPr>
      </w:pPr>
      <w:r>
        <w:rPr>
          <w:rFonts w:ascii="Times New Roman" w:hAnsi="Times New Roman"/>
          <w:noProof/>
          <w:color w:val="auto"/>
        </w:rPr>
        <w:drawing>
          <wp:inline distT="0" distB="0" distL="114300" distR="114300" wp14:anchorId="4FBA123F" wp14:editId="305AD28E">
            <wp:extent cx="3924300" cy="3521710"/>
            <wp:effectExtent l="0" t="0" r="7620" b="1397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23"/>
                    <a:srcRect l="5086" t="27568" r="46782" b="7745"/>
                    <a:stretch>
                      <a:fillRect/>
                    </a:stretch>
                  </pic:blipFill>
                  <pic:spPr>
                    <a:xfrm>
                      <a:off x="0" y="0"/>
                      <a:ext cx="3924300" cy="3521710"/>
                    </a:xfrm>
                    <a:prstGeom prst="rect">
                      <a:avLst/>
                    </a:prstGeom>
                    <a:noFill/>
                    <a:ln>
                      <a:noFill/>
                    </a:ln>
                  </pic:spPr>
                </pic:pic>
              </a:graphicData>
            </a:graphic>
          </wp:inline>
        </w:drawing>
      </w:r>
    </w:p>
    <w:p w14:paraId="2B64C935" w14:textId="77777777" w:rsidR="0075791A" w:rsidRDefault="00FB2864">
      <w:pPr>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2.2.2-1</w:t>
      </w:r>
      <w:r>
        <w:rPr>
          <w:rFonts w:ascii="Times New Roman" w:eastAsia="宋体" w:hAnsi="Times New Roman" w:cs="宋体" w:hint="eastAsia"/>
          <w:color w:val="auto"/>
          <w:spacing w:val="-4"/>
          <w:sz w:val="24"/>
          <w:szCs w:val="24"/>
          <w:lang w:eastAsia="zh-CN"/>
        </w:rPr>
        <w:t>清淤区平面布置</w:t>
      </w:r>
    </w:p>
    <w:p w14:paraId="5487C7A0" w14:textId="77777777" w:rsidR="0075791A" w:rsidRDefault="00FB2864">
      <w:pPr>
        <w:spacing w:line="360" w:lineRule="auto"/>
        <w:jc w:val="center"/>
        <w:rPr>
          <w:rFonts w:ascii="Times New Roman" w:eastAsia="宋体" w:hAnsi="Times New Roman" w:cs="宋体"/>
          <w:color w:val="auto"/>
          <w:sz w:val="24"/>
          <w:szCs w:val="24"/>
          <w:lang w:eastAsia="zh-CN"/>
        </w:rPr>
      </w:pPr>
      <w:r>
        <w:rPr>
          <w:rFonts w:ascii="Times New Roman" w:eastAsia="宋体" w:hAnsi="Times New Roman" w:cs="宋体"/>
          <w:noProof/>
          <w:color w:val="auto"/>
          <w:sz w:val="24"/>
          <w:szCs w:val="24"/>
          <w:lang w:eastAsia="zh-CN"/>
        </w:rPr>
        <w:drawing>
          <wp:inline distT="0" distB="0" distL="114300" distR="114300" wp14:anchorId="274C58FF" wp14:editId="36FEE616">
            <wp:extent cx="4894580" cy="1546860"/>
            <wp:effectExtent l="0" t="0" r="0" b="0"/>
            <wp:docPr id="105" name="图片 765"/>
            <wp:cNvGraphicFramePr/>
            <a:graphic xmlns:a="http://schemas.openxmlformats.org/drawingml/2006/main">
              <a:graphicData uri="http://schemas.openxmlformats.org/drawingml/2006/picture">
                <pic:pic xmlns:pic="http://schemas.openxmlformats.org/drawingml/2006/picture">
                  <pic:nvPicPr>
                    <pic:cNvPr id="105" name="图片 765"/>
                    <pic:cNvPicPr/>
                  </pic:nvPicPr>
                  <pic:blipFill>
                    <a:blip r:embed="rId24">
                      <a:lum contrast="6000"/>
                    </a:blip>
                    <a:srcRect b="28437"/>
                    <a:stretch>
                      <a:fillRect/>
                    </a:stretch>
                  </pic:blipFill>
                  <pic:spPr>
                    <a:xfrm>
                      <a:off x="0" y="0"/>
                      <a:ext cx="4894580" cy="1546860"/>
                    </a:xfrm>
                    <a:prstGeom prst="rect">
                      <a:avLst/>
                    </a:prstGeom>
                    <a:noFill/>
                    <a:ln>
                      <a:noFill/>
                    </a:ln>
                  </pic:spPr>
                </pic:pic>
              </a:graphicData>
            </a:graphic>
          </wp:inline>
        </w:drawing>
      </w:r>
    </w:p>
    <w:p w14:paraId="78022900" w14:textId="77777777" w:rsidR="0075791A" w:rsidRDefault="00FB2864">
      <w:pPr>
        <w:spacing w:line="360" w:lineRule="auto"/>
        <w:jc w:val="center"/>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图</w:t>
      </w:r>
      <w:r>
        <w:rPr>
          <w:rFonts w:ascii="Times New Roman" w:eastAsia="宋体" w:hAnsi="Times New Roman" w:cs="宋体" w:hint="eastAsia"/>
          <w:color w:val="auto"/>
          <w:spacing w:val="-4"/>
          <w:sz w:val="24"/>
          <w:szCs w:val="24"/>
          <w:lang w:eastAsia="zh-CN"/>
        </w:rPr>
        <w:t>2.2</w:t>
      </w:r>
      <w:r>
        <w:rPr>
          <w:rFonts w:ascii="Times New Roman" w:eastAsia="宋体" w:hAnsi="Times New Roman" w:cs="宋体" w:hint="eastAsia"/>
          <w:color w:val="auto"/>
          <w:sz w:val="24"/>
          <w:szCs w:val="24"/>
          <w:lang w:eastAsia="zh-CN"/>
        </w:rPr>
        <w:t>.2-2</w:t>
      </w:r>
      <w:r>
        <w:rPr>
          <w:rFonts w:ascii="Times New Roman" w:eastAsia="宋体" w:hAnsi="Times New Roman" w:cs="宋体" w:hint="eastAsia"/>
          <w:color w:val="auto"/>
          <w:sz w:val="24"/>
          <w:szCs w:val="24"/>
          <w:lang w:eastAsia="zh-CN"/>
        </w:rPr>
        <w:t>淤积区清淤断面图</w:t>
      </w:r>
    </w:p>
    <w:p w14:paraId="05EBEA1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透水构筑物</w:t>
      </w:r>
    </w:p>
    <w:p w14:paraId="467FA528"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）保护管理站</w:t>
      </w:r>
    </w:p>
    <w:p w14:paraId="29EFC999"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noProof/>
          <w:color w:val="auto"/>
          <w:spacing w:val="-4"/>
          <w:sz w:val="24"/>
          <w:szCs w:val="24"/>
          <w:lang w:eastAsia="zh-CN"/>
        </w:rPr>
        <w:lastRenderedPageBreak/>
        <w:drawing>
          <wp:inline distT="0" distB="0" distL="114300" distR="114300" wp14:anchorId="6BCD9D5A" wp14:editId="4A1A6AD9">
            <wp:extent cx="5179695" cy="2941320"/>
            <wp:effectExtent l="0" t="0" r="1905" b="0"/>
            <wp:docPr id="23" name="图片 14" descr="保护管理站鸟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descr="保护管理站鸟瞰图"/>
                    <pic:cNvPicPr>
                      <a:picLocks noChangeAspect="1"/>
                    </pic:cNvPicPr>
                  </pic:nvPicPr>
                  <pic:blipFill>
                    <a:blip r:embed="rId25"/>
                    <a:stretch>
                      <a:fillRect/>
                    </a:stretch>
                  </pic:blipFill>
                  <pic:spPr>
                    <a:xfrm>
                      <a:off x="0" y="0"/>
                      <a:ext cx="5179695" cy="2941320"/>
                    </a:xfrm>
                    <a:prstGeom prst="rect">
                      <a:avLst/>
                    </a:prstGeom>
                    <a:noFill/>
                    <a:ln>
                      <a:noFill/>
                    </a:ln>
                  </pic:spPr>
                </pic:pic>
              </a:graphicData>
            </a:graphic>
          </wp:inline>
        </w:drawing>
      </w:r>
    </w:p>
    <w:p w14:paraId="6F15B2CB"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color w:val="auto"/>
          <w:spacing w:val="-4"/>
          <w:sz w:val="24"/>
          <w:szCs w:val="24"/>
          <w:lang w:eastAsia="zh-CN"/>
        </w:rPr>
        <w:t>图</w:t>
      </w:r>
      <w:r>
        <w:rPr>
          <w:rFonts w:ascii="Times New Roman" w:eastAsia="宋体" w:hAnsi="Times New Roman" w:cs="宋体" w:hint="eastAsia"/>
          <w:color w:val="auto"/>
          <w:spacing w:val="-4"/>
          <w:sz w:val="24"/>
          <w:szCs w:val="24"/>
          <w:lang w:eastAsia="zh-CN"/>
        </w:rPr>
        <w:t>2.2.2-3</w:t>
      </w:r>
      <w:r>
        <w:rPr>
          <w:rFonts w:ascii="Times New Roman" w:eastAsia="宋体" w:hAnsi="Times New Roman" w:cs="宋体" w:hint="eastAsia"/>
          <w:color w:val="auto"/>
          <w:spacing w:val="-4"/>
          <w:sz w:val="24"/>
          <w:szCs w:val="24"/>
          <w:lang w:eastAsia="zh-CN"/>
        </w:rPr>
        <w:t>保护管理站鸟瞰图</w:t>
      </w:r>
    </w:p>
    <w:p w14:paraId="2E79092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①</w:t>
      </w:r>
      <w:r>
        <w:rPr>
          <w:rFonts w:ascii="Times New Roman" w:eastAsia="宋体" w:hAnsi="Times New Roman" w:cs="宋体"/>
          <w:color w:val="auto"/>
          <w:sz w:val="24"/>
          <w:szCs w:val="24"/>
          <w:lang w:eastAsia="zh-CN"/>
        </w:rPr>
        <w:t>总体布局</w:t>
      </w:r>
    </w:p>
    <w:p w14:paraId="74605310"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用地位于南北向道路东侧，场地西低东高，极为平坦。故建筑总体呈半围合式院落布局，向东侧开口。考虑场地关系及北侧人群来向，设置有北向、西向双入口。北侧为集中式停车场及野生动植物资源巡护监测站，中部为林业科研实验工作站、科研监测宣教点，南侧为保护管理用房。</w:t>
      </w:r>
    </w:p>
    <w:p w14:paraId="2E5F745D"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②新增用海</w:t>
      </w:r>
    </w:p>
    <w:p w14:paraId="1EFFEED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主要为</w:t>
      </w:r>
      <w:r>
        <w:rPr>
          <w:rFonts w:ascii="Times New Roman" w:eastAsia="宋体" w:hAnsi="Times New Roman" w:cs="宋体"/>
          <w:color w:val="auto"/>
          <w:sz w:val="24"/>
          <w:szCs w:val="24"/>
          <w:lang w:eastAsia="zh-CN"/>
        </w:rPr>
        <w:t>林业科研实验工作站、科研监测宣教点</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南侧为保护管理用房</w:t>
      </w:r>
      <w:r>
        <w:rPr>
          <w:rFonts w:ascii="Times New Roman" w:eastAsia="宋体" w:hAnsi="Times New Roman" w:cs="宋体" w:hint="eastAsia"/>
          <w:color w:val="auto"/>
          <w:sz w:val="24"/>
          <w:szCs w:val="24"/>
          <w:lang w:eastAsia="zh-CN"/>
        </w:rPr>
        <w:t>外围调整。</w:t>
      </w:r>
    </w:p>
    <w:p w14:paraId="5B79E2BA" w14:textId="77777777" w:rsidR="0075791A" w:rsidRDefault="00FB2864">
      <w:pPr>
        <w:numPr>
          <w:ilvl w:val="0"/>
          <w:numId w:val="1"/>
        </w:num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巡护道路</w:t>
      </w:r>
    </w:p>
    <w:p w14:paraId="6DFBDDBF"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红龙路南侧巡护便道接主路变更；江前村附近</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处巡护便道建设因椰子林影响发生偏移、</w:t>
      </w: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处巡护栈道设计变更。</w:t>
      </w:r>
    </w:p>
    <w:p w14:paraId="7276E2F7" w14:textId="77777777" w:rsidR="0075791A" w:rsidRDefault="00FB2864">
      <w:pPr>
        <w:numPr>
          <w:ilvl w:val="0"/>
          <w:numId w:val="1"/>
        </w:numPr>
        <w:spacing w:line="360" w:lineRule="auto"/>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管理点</w:t>
      </w:r>
    </w:p>
    <w:p w14:paraId="55EE243A" w14:textId="77777777" w:rsidR="0075791A" w:rsidRDefault="00FB2864">
      <w:pPr>
        <w:spacing w:line="360" w:lineRule="auto"/>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铁炉村附近管理点、消防平台设计变更。</w:t>
      </w:r>
    </w:p>
    <w:p w14:paraId="2BF0A0B6" w14:textId="77777777" w:rsidR="0075791A" w:rsidRDefault="0075791A">
      <w:pPr>
        <w:spacing w:before="182" w:line="337" w:lineRule="auto"/>
        <w:ind w:right="61"/>
        <w:rPr>
          <w:rFonts w:ascii="Times New Roman" w:eastAsia="宋体" w:hAnsi="Times New Roman" w:cs="宋体"/>
          <w:color w:val="auto"/>
          <w:spacing w:val="-1"/>
          <w:sz w:val="24"/>
          <w:szCs w:val="24"/>
          <w:lang w:eastAsia="zh-CN"/>
        </w:rPr>
      </w:pPr>
    </w:p>
    <w:p w14:paraId="49521F36" w14:textId="77777777" w:rsidR="0075791A" w:rsidRDefault="0075791A">
      <w:pPr>
        <w:spacing w:before="182" w:line="337" w:lineRule="auto"/>
        <w:ind w:right="61"/>
        <w:rPr>
          <w:rFonts w:ascii="Times New Roman" w:eastAsia="宋体" w:hAnsi="Times New Roman" w:cs="宋体"/>
          <w:color w:val="auto"/>
          <w:spacing w:val="-1"/>
          <w:sz w:val="24"/>
          <w:szCs w:val="24"/>
          <w:lang w:eastAsia="zh-CN"/>
        </w:rPr>
        <w:sectPr w:rsidR="0075791A">
          <w:pgSz w:w="11906" w:h="16839"/>
          <w:pgMar w:top="1018" w:right="788" w:bottom="1134" w:left="1417" w:header="746" w:footer="850" w:gutter="0"/>
          <w:cols w:space="720"/>
        </w:sectPr>
      </w:pPr>
    </w:p>
    <w:p w14:paraId="6E844430"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64" w:name="bookmark18"/>
      <w:bookmarkStart w:id="65" w:name="bookmark17"/>
      <w:bookmarkStart w:id="66" w:name="_Toc30060"/>
      <w:bookmarkStart w:id="67" w:name="_Toc10183"/>
      <w:bookmarkStart w:id="68" w:name="_Toc18736"/>
      <w:bookmarkEnd w:id="64"/>
      <w:bookmarkEnd w:id="65"/>
      <w:r>
        <w:rPr>
          <w:rFonts w:ascii="Times New Roman" w:eastAsia="宋体" w:hAnsi="Times New Roman" w:cs="Times New Roman" w:hint="eastAsia"/>
          <w:b/>
          <w:bCs/>
          <w:color w:val="auto"/>
          <w:spacing w:val="-6"/>
          <w:sz w:val="30"/>
          <w:szCs w:val="30"/>
          <w:lang w:eastAsia="zh-CN"/>
        </w:rPr>
        <w:lastRenderedPageBreak/>
        <w:t>2.3</w:t>
      </w:r>
      <w:r>
        <w:rPr>
          <w:rFonts w:ascii="Times New Roman" w:eastAsia="Times New Roman" w:hAnsi="Times New Roman" w:cs="Times New Roman"/>
          <w:b/>
          <w:bCs/>
          <w:color w:val="auto"/>
          <w:spacing w:val="-6"/>
          <w:sz w:val="30"/>
          <w:szCs w:val="30"/>
          <w:lang w:eastAsia="zh-CN"/>
        </w:rPr>
        <w:t>项目主要施工工艺和方法</w:t>
      </w:r>
      <w:bookmarkEnd w:id="66"/>
      <w:bookmarkEnd w:id="67"/>
      <w:bookmarkEnd w:id="68"/>
    </w:p>
    <w:p w14:paraId="6338E304"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69" w:name="_Toc6559"/>
      <w:r>
        <w:rPr>
          <w:rFonts w:ascii="Times New Roman" w:eastAsia="Times New Roman" w:hAnsi="Times New Roman" w:cs="Times New Roman" w:hint="eastAsia"/>
          <w:b/>
          <w:bCs/>
          <w:color w:val="auto"/>
          <w:spacing w:val="-3"/>
          <w:sz w:val="28"/>
          <w:szCs w:val="28"/>
          <w:lang w:eastAsia="zh-CN"/>
        </w:rPr>
        <w:t>2.3.1施工条件</w:t>
      </w:r>
    </w:p>
    <w:p w14:paraId="1869FAC7"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）交通条件：项目区位于海棠湾“国家海岸”旅游度假区中，交通通达性强，可通过多条交通线路能够快速串联市区与主要交通节点，距三亚市区约</w:t>
      </w:r>
      <w:r>
        <w:rPr>
          <w:rFonts w:ascii="Times New Roman" w:eastAsia="宋体" w:hAnsi="Times New Roman" w:cs="宋体" w:hint="eastAsia"/>
          <w:color w:val="auto"/>
          <w:sz w:val="24"/>
          <w:szCs w:val="24"/>
          <w:lang w:eastAsia="zh-CN"/>
        </w:rPr>
        <w:t>15</w:t>
      </w:r>
      <w:r>
        <w:rPr>
          <w:rFonts w:ascii="Times New Roman" w:eastAsia="宋体" w:hAnsi="Times New Roman" w:cs="宋体" w:hint="eastAsia"/>
          <w:color w:val="auto"/>
          <w:sz w:val="24"/>
          <w:szCs w:val="24"/>
          <w:lang w:eastAsia="zh-CN"/>
        </w:rPr>
        <w:t>公里、凤凰机场</w:t>
      </w:r>
      <w:r>
        <w:rPr>
          <w:rFonts w:ascii="Times New Roman" w:eastAsia="宋体" w:hAnsi="Times New Roman" w:cs="宋体" w:hint="eastAsia"/>
          <w:color w:val="auto"/>
          <w:sz w:val="24"/>
          <w:szCs w:val="24"/>
          <w:lang w:eastAsia="zh-CN"/>
        </w:rPr>
        <w:t>29</w:t>
      </w:r>
      <w:r>
        <w:rPr>
          <w:rFonts w:ascii="Times New Roman" w:eastAsia="宋体" w:hAnsi="Times New Roman" w:cs="宋体" w:hint="eastAsia"/>
          <w:color w:val="auto"/>
          <w:sz w:val="24"/>
          <w:szCs w:val="24"/>
          <w:lang w:eastAsia="zh-CN"/>
        </w:rPr>
        <w:t>公里、亚龙湾高铁站</w:t>
      </w:r>
      <w:r>
        <w:rPr>
          <w:rFonts w:ascii="Times New Roman" w:eastAsia="宋体" w:hAnsi="Times New Roman" w:cs="宋体" w:hint="eastAsia"/>
          <w:color w:val="auto"/>
          <w:sz w:val="24"/>
          <w:szCs w:val="24"/>
          <w:lang w:eastAsia="zh-CN"/>
        </w:rPr>
        <w:t>8</w:t>
      </w:r>
      <w:r>
        <w:rPr>
          <w:rFonts w:ascii="Times New Roman" w:eastAsia="宋体" w:hAnsi="Times New Roman" w:cs="宋体" w:hint="eastAsia"/>
          <w:color w:val="auto"/>
          <w:sz w:val="24"/>
          <w:szCs w:val="24"/>
          <w:lang w:eastAsia="zh-CN"/>
        </w:rPr>
        <w:t>公里。进入项目区主要路线由</w:t>
      </w:r>
      <w:r>
        <w:rPr>
          <w:rFonts w:ascii="Times New Roman" w:eastAsia="宋体" w:hAnsi="Times New Roman" w:cs="宋体" w:hint="eastAsia"/>
          <w:color w:val="auto"/>
          <w:sz w:val="24"/>
          <w:szCs w:val="24"/>
          <w:lang w:eastAsia="zh-CN"/>
        </w:rPr>
        <w:t>G233</w:t>
      </w:r>
      <w:r>
        <w:rPr>
          <w:rFonts w:ascii="Times New Roman" w:eastAsia="宋体" w:hAnsi="Times New Roman" w:cs="宋体" w:hint="eastAsia"/>
          <w:color w:val="auto"/>
          <w:sz w:val="24"/>
          <w:szCs w:val="24"/>
          <w:lang w:eastAsia="zh-CN"/>
        </w:rPr>
        <w:t>国道途经江林路、</w:t>
      </w:r>
      <w:r>
        <w:rPr>
          <w:rFonts w:ascii="Times New Roman" w:eastAsia="宋体" w:hAnsi="Times New Roman" w:cs="宋体" w:hint="eastAsia"/>
          <w:color w:val="auto"/>
          <w:sz w:val="24"/>
          <w:szCs w:val="24"/>
          <w:lang w:eastAsia="zh-CN"/>
        </w:rPr>
        <w:t>X822</w:t>
      </w:r>
      <w:r>
        <w:rPr>
          <w:rFonts w:ascii="Times New Roman" w:eastAsia="宋体" w:hAnsi="Times New Roman" w:cs="宋体" w:hint="eastAsia"/>
          <w:color w:val="auto"/>
          <w:sz w:val="24"/>
          <w:szCs w:val="24"/>
          <w:lang w:eastAsia="zh-CN"/>
        </w:rPr>
        <w:t>县道进入。</w:t>
      </w:r>
    </w:p>
    <w:p w14:paraId="34C67478"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）供水、供电条件用电：工程施工用电负荷不大，项目附近电力系统完善，本工程各栋电源由就近室外箱变引来，管理站新设一台</w:t>
      </w:r>
      <w:r>
        <w:rPr>
          <w:rFonts w:ascii="Times New Roman" w:eastAsia="宋体" w:hAnsi="Times New Roman" w:cs="宋体" w:hint="eastAsia"/>
          <w:color w:val="auto"/>
          <w:sz w:val="24"/>
          <w:szCs w:val="24"/>
          <w:lang w:eastAsia="zh-CN"/>
        </w:rPr>
        <w:t>500kVA</w:t>
      </w:r>
      <w:r>
        <w:rPr>
          <w:rFonts w:ascii="Times New Roman" w:eastAsia="宋体" w:hAnsi="Times New Roman" w:cs="宋体" w:hint="eastAsia"/>
          <w:color w:val="auto"/>
          <w:sz w:val="24"/>
          <w:szCs w:val="24"/>
          <w:lang w:eastAsia="zh-CN"/>
        </w:rPr>
        <w:t>箱变；此外</w:t>
      </w:r>
      <w:r>
        <w:rPr>
          <w:rFonts w:ascii="Times New Roman" w:eastAsia="宋体" w:hAnsi="Times New Roman" w:cs="宋体" w:hint="eastAsia"/>
          <w:color w:val="auto"/>
          <w:sz w:val="24"/>
          <w:szCs w:val="24"/>
          <w:lang w:eastAsia="zh-CN"/>
        </w:rPr>
        <w:t>，各施工工区分别配一台移动式柴油发电机作为备用电源。项目总装机容量为</w:t>
      </w:r>
      <w:r>
        <w:rPr>
          <w:rFonts w:ascii="Times New Roman" w:eastAsia="宋体" w:hAnsi="Times New Roman" w:cs="宋体" w:hint="eastAsia"/>
          <w:color w:val="auto"/>
          <w:sz w:val="24"/>
          <w:szCs w:val="24"/>
          <w:lang w:eastAsia="zh-CN"/>
        </w:rPr>
        <w:t>653kW</w:t>
      </w:r>
      <w:r>
        <w:rPr>
          <w:rFonts w:ascii="Times New Roman" w:eastAsia="宋体" w:hAnsi="Times New Roman" w:cs="宋体" w:hint="eastAsia"/>
          <w:color w:val="auto"/>
          <w:sz w:val="24"/>
          <w:szCs w:val="24"/>
          <w:lang w:eastAsia="zh-CN"/>
        </w:rPr>
        <w:t>，其中每处管理点</w:t>
      </w:r>
      <w:r>
        <w:rPr>
          <w:rFonts w:ascii="Times New Roman" w:eastAsia="宋体" w:hAnsi="Times New Roman" w:cs="宋体" w:hint="eastAsia"/>
          <w:color w:val="auto"/>
          <w:sz w:val="24"/>
          <w:szCs w:val="24"/>
          <w:lang w:eastAsia="zh-CN"/>
        </w:rPr>
        <w:t>8kW</w:t>
      </w:r>
      <w:r>
        <w:rPr>
          <w:rFonts w:ascii="Times New Roman" w:eastAsia="宋体" w:hAnsi="Times New Roman" w:cs="宋体" w:hint="eastAsia"/>
          <w:color w:val="auto"/>
          <w:sz w:val="24"/>
          <w:szCs w:val="24"/>
          <w:lang w:eastAsia="zh-CN"/>
        </w:rPr>
        <w:t>、管理站</w:t>
      </w:r>
      <w:r>
        <w:rPr>
          <w:rFonts w:ascii="Times New Roman" w:eastAsia="宋体" w:hAnsi="Times New Roman" w:cs="宋体" w:hint="eastAsia"/>
          <w:color w:val="auto"/>
          <w:sz w:val="24"/>
          <w:szCs w:val="24"/>
          <w:lang w:eastAsia="zh-CN"/>
        </w:rPr>
        <w:t>100kW</w:t>
      </w:r>
      <w:r>
        <w:rPr>
          <w:rFonts w:ascii="Times New Roman" w:eastAsia="宋体" w:hAnsi="Times New Roman" w:cs="宋体" w:hint="eastAsia"/>
          <w:color w:val="auto"/>
          <w:sz w:val="24"/>
          <w:szCs w:val="24"/>
          <w:lang w:eastAsia="zh-CN"/>
        </w:rPr>
        <w:t>、管理站充电桩</w:t>
      </w:r>
      <w:r>
        <w:rPr>
          <w:rFonts w:ascii="Times New Roman" w:eastAsia="宋体" w:hAnsi="Times New Roman" w:cs="宋体" w:hint="eastAsia"/>
          <w:color w:val="auto"/>
          <w:sz w:val="24"/>
          <w:szCs w:val="24"/>
          <w:lang w:eastAsia="zh-CN"/>
        </w:rPr>
        <w:t>529kw</w:t>
      </w:r>
      <w:r>
        <w:rPr>
          <w:rFonts w:ascii="Times New Roman" w:eastAsia="宋体" w:hAnsi="Times New Roman" w:cs="宋体" w:hint="eastAsia"/>
          <w:color w:val="auto"/>
          <w:sz w:val="24"/>
          <w:szCs w:val="24"/>
          <w:lang w:eastAsia="zh-CN"/>
        </w:rPr>
        <w:t>。给水：施工期间生活用水可直接利用市政给排水系统。本工程的供水水源为场区已有给水管，保护管理站从北面市政路引入一根</w:t>
      </w:r>
      <w:r>
        <w:rPr>
          <w:rFonts w:ascii="Times New Roman" w:eastAsia="宋体" w:hAnsi="Times New Roman" w:cs="宋体" w:hint="eastAsia"/>
          <w:color w:val="auto"/>
          <w:sz w:val="24"/>
          <w:szCs w:val="24"/>
          <w:lang w:eastAsia="zh-CN"/>
        </w:rPr>
        <w:t>DN100</w:t>
      </w:r>
      <w:r>
        <w:rPr>
          <w:rFonts w:ascii="Times New Roman" w:eastAsia="宋体" w:hAnsi="Times New Roman" w:cs="宋体" w:hint="eastAsia"/>
          <w:color w:val="auto"/>
          <w:sz w:val="24"/>
          <w:szCs w:val="24"/>
          <w:lang w:eastAsia="zh-CN"/>
        </w:rPr>
        <w:t>给水管，引入点压力</w:t>
      </w:r>
      <w:r>
        <w:rPr>
          <w:rFonts w:ascii="Times New Roman" w:eastAsia="宋体" w:hAnsi="Times New Roman" w:cs="宋体" w:hint="eastAsia"/>
          <w:color w:val="auto"/>
          <w:sz w:val="24"/>
          <w:szCs w:val="24"/>
          <w:lang w:eastAsia="zh-CN"/>
        </w:rPr>
        <w:t>0.20MPa</w:t>
      </w:r>
      <w:r>
        <w:rPr>
          <w:rFonts w:ascii="Times New Roman" w:eastAsia="宋体" w:hAnsi="Times New Roman" w:cs="宋体" w:hint="eastAsia"/>
          <w:color w:val="auto"/>
          <w:sz w:val="24"/>
          <w:szCs w:val="24"/>
          <w:lang w:eastAsia="zh-CN"/>
        </w:rPr>
        <w:t>。</w:t>
      </w:r>
    </w:p>
    <w:p w14:paraId="3C6EE0B5"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）场地条件：</w:t>
      </w:r>
      <w:r>
        <w:rPr>
          <w:rFonts w:ascii="Times New Roman" w:eastAsia="宋体" w:hAnsi="Times New Roman" w:cs="宋体"/>
          <w:color w:val="auto"/>
          <w:sz w:val="24"/>
          <w:szCs w:val="24"/>
          <w:lang w:eastAsia="zh-CN"/>
        </w:rPr>
        <w:t>施工营地布置在</w:t>
      </w:r>
      <w:r>
        <w:rPr>
          <w:rFonts w:ascii="Times New Roman" w:eastAsia="宋体" w:hAnsi="Times New Roman" w:cs="宋体" w:hint="eastAsia"/>
          <w:color w:val="auto"/>
          <w:sz w:val="24"/>
          <w:szCs w:val="24"/>
          <w:lang w:eastAsia="zh-CN"/>
        </w:rPr>
        <w:t>铁炉港西</w:t>
      </w:r>
      <w:r>
        <w:rPr>
          <w:rFonts w:ascii="Times New Roman" w:eastAsia="宋体" w:hAnsi="Times New Roman" w:cs="宋体"/>
          <w:color w:val="auto"/>
          <w:sz w:val="24"/>
          <w:szCs w:val="24"/>
          <w:lang w:eastAsia="zh-CN"/>
        </w:rPr>
        <w:t>北侧，占地面积</w:t>
      </w:r>
      <w:r>
        <w:rPr>
          <w:rFonts w:ascii="Times New Roman" w:eastAsia="宋体" w:hAnsi="Times New Roman" w:cs="宋体"/>
          <w:color w:val="auto"/>
          <w:sz w:val="24"/>
          <w:szCs w:val="24"/>
          <w:lang w:eastAsia="zh-CN"/>
        </w:rPr>
        <w:t>1000m</w:t>
      </w:r>
      <w:r>
        <w:rPr>
          <w:rFonts w:ascii="Times New Roman" w:eastAsia="宋体" w:hAnsi="Times New Roman" w:cs="宋体"/>
          <w:color w:val="auto"/>
          <w:sz w:val="24"/>
          <w:szCs w:val="24"/>
          <w:vertAlign w:val="superscript"/>
          <w:lang w:eastAsia="zh-CN"/>
        </w:rPr>
        <w:t>2</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主要包括办公生活区、仓库、机械停放、维修等地。</w:t>
      </w:r>
    </w:p>
    <w:p w14:paraId="04AF53AD"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施工队伍在海南省及广东地区有多支水上施工经验丰富、施工机械设备先进、具有承建大、中型水工工程资质的航务工程施工单位。可以通过工程招标，选择技术力量强，施工质量好的专业队伍承担本工程施工。因此，本工程的外部协作条件十分良好，可以满足工程建设的需求。</w:t>
      </w:r>
    </w:p>
    <w:p w14:paraId="5529D81B"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r>
        <w:rPr>
          <w:rFonts w:ascii="Times New Roman" w:eastAsia="Times New Roman" w:hAnsi="Times New Roman" w:cs="Times New Roman" w:hint="eastAsia"/>
          <w:b/>
          <w:bCs/>
          <w:color w:val="auto"/>
          <w:spacing w:val="-3"/>
          <w:sz w:val="28"/>
          <w:szCs w:val="28"/>
          <w:lang w:eastAsia="zh-CN"/>
        </w:rPr>
        <w:t>2.3.2施工方案</w:t>
      </w:r>
    </w:p>
    <w:p w14:paraId="41546FD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本项目施工方案采用中国电建集团江西省水电工程局有限公司编制《铁炉港红树林湿地保护修复项目（第二标段）</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color w:val="auto"/>
          <w:sz w:val="24"/>
          <w:szCs w:val="24"/>
          <w:lang w:eastAsia="zh-CN"/>
        </w:rPr>
        <w:t>疏浚活动专项施工方案</w:t>
      </w:r>
      <w:r>
        <w:rPr>
          <w:rFonts w:ascii="Times New Roman" w:eastAsia="宋体" w:hAnsi="Times New Roman" w:cs="宋体" w:hint="eastAsia"/>
          <w:color w:val="auto"/>
          <w:sz w:val="24"/>
          <w:szCs w:val="24"/>
          <w:lang w:eastAsia="zh-CN"/>
        </w:rPr>
        <w:t>》。</w:t>
      </w:r>
    </w:p>
    <w:p w14:paraId="5F53FB8C"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1.</w:t>
      </w:r>
      <w:r>
        <w:rPr>
          <w:rFonts w:ascii="Times New Roman" w:eastAsia="宋体" w:hAnsi="Times New Roman" w:cs="宋体" w:hint="eastAsia"/>
          <w:b/>
          <w:bCs/>
          <w:color w:val="auto"/>
          <w:sz w:val="24"/>
          <w:szCs w:val="24"/>
          <w:lang w:eastAsia="zh-CN"/>
        </w:rPr>
        <w:t>施工段划分</w:t>
      </w:r>
    </w:p>
    <w:p w14:paraId="33E625A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经过现场踏勘与环境调查，因已完成的二期构筑物的阻碍，无法采用大型工程车</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hint="eastAsia"/>
          <w:color w:val="auto"/>
          <w:sz w:val="24"/>
          <w:szCs w:val="24"/>
          <w:lang w:eastAsia="zh-CN"/>
        </w:rPr>
        <w:t>转运土方至回填部位，而</w:t>
      </w:r>
      <w:r>
        <w:rPr>
          <w:rFonts w:ascii="Times New Roman" w:eastAsia="宋体" w:hAnsi="Times New Roman" w:cs="宋体" w:hint="eastAsia"/>
          <w:color w:val="auto"/>
          <w:sz w:val="24"/>
          <w:szCs w:val="24"/>
          <w:lang w:eastAsia="zh-CN"/>
        </w:rPr>
        <w:t>海域位置未发现礁石及其他建筑，不影响泥驳船与吹泥船通航</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hint="eastAsia"/>
          <w:color w:val="auto"/>
          <w:sz w:val="24"/>
          <w:szCs w:val="24"/>
          <w:lang w:eastAsia="zh-CN"/>
        </w:rPr>
        <w:t>作业，因此分区一、分区七采用泥驳船转运，吹泥船回填的方式进行土方平衡，见图</w:t>
      </w:r>
      <w:r>
        <w:rPr>
          <w:rFonts w:ascii="Times New Roman" w:eastAsia="宋体" w:hAnsi="Times New Roman" w:cs="宋体" w:hint="eastAsia"/>
          <w:color w:val="auto"/>
          <w:sz w:val="24"/>
          <w:szCs w:val="24"/>
          <w:lang w:eastAsia="zh-CN"/>
        </w:rPr>
        <w:t>1.6.2-1</w:t>
      </w:r>
      <w:r>
        <w:rPr>
          <w:rFonts w:ascii="Times New Roman" w:eastAsia="宋体" w:hAnsi="Times New Roman" w:cs="宋体" w:hint="eastAsia"/>
          <w:color w:val="auto"/>
          <w:sz w:val="24"/>
          <w:szCs w:val="24"/>
          <w:lang w:eastAsia="zh-CN"/>
        </w:rPr>
        <w:t>。施工内容包含以下方面：沉淀沟设置、防污帘安装、疏浚清淤、海上土方转运、土方吹填。</w:t>
      </w:r>
    </w:p>
    <w:p w14:paraId="1F3EE11E"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2.</w:t>
      </w:r>
      <w:r>
        <w:rPr>
          <w:rFonts w:ascii="Times New Roman" w:eastAsia="宋体" w:hAnsi="Times New Roman" w:cs="宋体" w:hint="eastAsia"/>
          <w:b/>
          <w:bCs/>
          <w:color w:val="auto"/>
          <w:sz w:val="24"/>
          <w:szCs w:val="24"/>
          <w:lang w:eastAsia="zh-CN"/>
        </w:rPr>
        <w:t>工艺流程</w:t>
      </w:r>
    </w:p>
    <w:p w14:paraId="4A4EFBE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沉淀沟设置→防污帘安装→清淤疏浚→土方转运→吹泥回填</w:t>
      </w:r>
    </w:p>
    <w:p w14:paraId="532211F3" w14:textId="77777777" w:rsidR="0075791A" w:rsidRDefault="0075791A">
      <w:pPr>
        <w:spacing w:line="360" w:lineRule="auto"/>
        <w:ind w:firstLineChars="200" w:firstLine="480"/>
        <w:jc w:val="both"/>
        <w:rPr>
          <w:rFonts w:ascii="Times New Roman" w:eastAsia="宋体" w:hAnsi="Times New Roman" w:cs="宋体"/>
          <w:color w:val="auto"/>
          <w:sz w:val="24"/>
          <w:szCs w:val="24"/>
          <w:lang w:eastAsia="zh-CN"/>
        </w:rPr>
        <w:sectPr w:rsidR="0075791A">
          <w:footerReference w:type="default" r:id="rId26"/>
          <w:pgSz w:w="11906" w:h="16839"/>
          <w:pgMar w:top="1018" w:right="1356" w:bottom="1134" w:left="1417" w:header="746" w:footer="972" w:gutter="0"/>
          <w:cols w:space="720"/>
        </w:sectPr>
      </w:pPr>
    </w:p>
    <w:p w14:paraId="5D1772FD" w14:textId="77777777" w:rsidR="0075791A" w:rsidRDefault="00FB2864">
      <w:pPr>
        <w:jc w:val="center"/>
        <w:rPr>
          <w:rFonts w:ascii="宋体" w:eastAsia="宋体" w:hAnsi="宋体"/>
          <w:color w:val="auto"/>
          <w:sz w:val="28"/>
          <w:szCs w:val="28"/>
          <w:lang w:eastAsia="zh-CN"/>
        </w:rPr>
      </w:pPr>
      <w:r>
        <w:rPr>
          <w:noProof/>
          <w:color w:val="auto"/>
        </w:rPr>
        <w:lastRenderedPageBreak/>
        <w:drawing>
          <wp:inline distT="0" distB="0" distL="114300" distR="114300" wp14:anchorId="7281E90F" wp14:editId="7CD6E9AB">
            <wp:extent cx="7005955" cy="5579745"/>
            <wp:effectExtent l="0" t="0" r="4445" b="13335"/>
            <wp:docPr id="158"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01"/>
                    <pic:cNvPicPr>
                      <a:picLocks noChangeAspect="1"/>
                    </pic:cNvPicPr>
                  </pic:nvPicPr>
                  <pic:blipFill>
                    <a:blip r:embed="rId27"/>
                    <a:stretch>
                      <a:fillRect/>
                    </a:stretch>
                  </pic:blipFill>
                  <pic:spPr>
                    <a:xfrm>
                      <a:off x="0" y="0"/>
                      <a:ext cx="7005955" cy="5579745"/>
                    </a:xfrm>
                    <a:prstGeom prst="rect">
                      <a:avLst/>
                    </a:prstGeom>
                    <a:noFill/>
                    <a:ln>
                      <a:noFill/>
                    </a:ln>
                  </pic:spPr>
                </pic:pic>
              </a:graphicData>
            </a:graphic>
          </wp:inline>
        </w:drawing>
      </w:r>
    </w:p>
    <w:p w14:paraId="67A33A56" w14:textId="77777777" w:rsidR="0075791A" w:rsidRDefault="00FB2864">
      <w:pPr>
        <w:spacing w:line="360" w:lineRule="auto"/>
        <w:ind w:firstLineChars="200" w:firstLine="472"/>
        <w:jc w:val="center"/>
        <w:rPr>
          <w:rFonts w:ascii="Times New Roman" w:eastAsia="宋体" w:hAnsi="Times New Roman" w:cs="宋体"/>
          <w:color w:val="auto"/>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 xml:space="preserve">2.3.2-1 </w:t>
      </w:r>
      <w:r>
        <w:rPr>
          <w:rFonts w:ascii="Times New Roman" w:eastAsia="宋体" w:hAnsi="Times New Roman" w:cs="宋体" w:hint="eastAsia"/>
          <w:color w:val="auto"/>
          <w:spacing w:val="-4"/>
          <w:sz w:val="24"/>
          <w:szCs w:val="24"/>
          <w:lang w:eastAsia="zh-CN"/>
        </w:rPr>
        <w:t>施工段划分</w:t>
      </w:r>
    </w:p>
    <w:p w14:paraId="7C01DAB1" w14:textId="77777777" w:rsidR="0075791A" w:rsidRDefault="0075791A">
      <w:pPr>
        <w:spacing w:line="360" w:lineRule="auto"/>
        <w:ind w:firstLineChars="200" w:firstLine="482"/>
        <w:jc w:val="both"/>
        <w:rPr>
          <w:rFonts w:ascii="Times New Roman" w:eastAsia="宋体" w:hAnsi="Times New Roman" w:cs="宋体"/>
          <w:b/>
          <w:bCs/>
          <w:color w:val="auto"/>
          <w:sz w:val="24"/>
          <w:szCs w:val="24"/>
          <w:lang w:eastAsia="zh-CN"/>
        </w:rPr>
        <w:sectPr w:rsidR="0075791A">
          <w:pgSz w:w="16839" w:h="11906" w:orient="landscape"/>
          <w:pgMar w:top="1417" w:right="1018" w:bottom="1356" w:left="1134" w:header="746" w:footer="972" w:gutter="0"/>
          <w:cols w:space="720"/>
        </w:sectPr>
      </w:pPr>
    </w:p>
    <w:p w14:paraId="6E2FB641"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lastRenderedPageBreak/>
        <w:t>3.</w:t>
      </w:r>
      <w:r>
        <w:rPr>
          <w:rFonts w:ascii="Times New Roman" w:eastAsia="宋体" w:hAnsi="Times New Roman" w:cs="宋体" w:hint="eastAsia"/>
          <w:b/>
          <w:bCs/>
          <w:color w:val="auto"/>
          <w:sz w:val="24"/>
          <w:szCs w:val="24"/>
          <w:lang w:eastAsia="zh-CN"/>
        </w:rPr>
        <w:t>施工工艺</w:t>
      </w:r>
    </w:p>
    <w:p w14:paraId="376FC27E"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）沉淀沟设置</w:t>
      </w:r>
    </w:p>
    <w:p w14:paraId="55851E62"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为防止吹填的泥沙随潮水涨退流入海中，在清淤前应先施工沉淀沟。在回填区域最外侧红线边用水陆两用挖掘机从海底掏土堆高至</w:t>
      </w:r>
      <w:r>
        <w:rPr>
          <w:rFonts w:ascii="Times New Roman" w:eastAsia="宋体" w:hAnsi="Times New Roman" w:cs="宋体" w:hint="eastAsia"/>
          <w:color w:val="auto"/>
          <w:sz w:val="24"/>
          <w:szCs w:val="24"/>
          <w:lang w:eastAsia="zh-CN"/>
        </w:rPr>
        <w:t>1.2m</w:t>
      </w:r>
      <w:r>
        <w:rPr>
          <w:rFonts w:ascii="Times New Roman" w:eastAsia="宋体" w:hAnsi="Times New Roman" w:cs="宋体" w:hint="eastAsia"/>
          <w:color w:val="auto"/>
          <w:sz w:val="24"/>
          <w:szCs w:val="24"/>
          <w:lang w:eastAsia="zh-CN"/>
        </w:rPr>
        <w:t>，宽度</w:t>
      </w:r>
      <w:r>
        <w:rPr>
          <w:rFonts w:ascii="Times New Roman" w:eastAsia="宋体" w:hAnsi="Times New Roman" w:cs="宋体" w:hint="eastAsia"/>
          <w:color w:val="auto"/>
          <w:sz w:val="24"/>
          <w:szCs w:val="24"/>
          <w:lang w:eastAsia="zh-CN"/>
        </w:rPr>
        <w:t>2m</w:t>
      </w:r>
      <w:r>
        <w:rPr>
          <w:rFonts w:ascii="Times New Roman" w:eastAsia="宋体" w:hAnsi="Times New Roman" w:cs="宋体" w:hint="eastAsia"/>
          <w:color w:val="auto"/>
          <w:sz w:val="24"/>
          <w:szCs w:val="24"/>
          <w:lang w:eastAsia="zh-CN"/>
        </w:rPr>
        <w:t>，起到存土留沙的作用，吹填完成后用挖掘机将土推平至该区域土方设计标高。</w:t>
      </w:r>
    </w:p>
    <w:p w14:paraId="6EEB81CC"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现场利用潮沟作为沉淀沟，从与一期交界处向二分区设置，在潮沟水流进出口位置设置两处出水口，宽度</w:t>
      </w:r>
      <w:r>
        <w:rPr>
          <w:rFonts w:ascii="Times New Roman" w:eastAsia="宋体" w:hAnsi="Times New Roman" w:cs="宋体" w:hint="eastAsia"/>
          <w:color w:val="auto"/>
          <w:sz w:val="24"/>
          <w:szCs w:val="24"/>
          <w:lang w:eastAsia="zh-CN"/>
        </w:rPr>
        <w:t>20m</w:t>
      </w:r>
      <w:r>
        <w:rPr>
          <w:rFonts w:ascii="Times New Roman" w:eastAsia="宋体" w:hAnsi="Times New Roman" w:cs="宋体" w:hint="eastAsia"/>
          <w:color w:val="auto"/>
          <w:sz w:val="24"/>
          <w:szCs w:val="24"/>
          <w:lang w:eastAsia="zh-CN"/>
        </w:rPr>
        <w:t>，在出水口设置两道防污帘，分区七不设置沉淀沟，但需用防污帘将施工区域围住。</w:t>
      </w:r>
    </w:p>
    <w:p w14:paraId="5BDF5409"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）一般规定</w:t>
      </w:r>
    </w:p>
    <w:p w14:paraId="21A7D0E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施工准备：开展潮汐水位监测，掌握施工区域的高潮位、低潮位时段及风浪等级，在退潮期间开展施工作业；</w:t>
      </w:r>
    </w:p>
    <w:p w14:paraId="3E05525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）海底掏土</w:t>
      </w:r>
    </w:p>
    <w:p w14:paraId="6D35483E"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严格按照观测潮汐规律，选择低潮位时段作业，当风力≥</w:t>
      </w:r>
      <w:r>
        <w:rPr>
          <w:rFonts w:ascii="Times New Roman" w:eastAsia="宋体" w:hAnsi="Times New Roman" w:cs="宋体" w:hint="eastAsia"/>
          <w:color w:val="auto"/>
          <w:sz w:val="24"/>
          <w:szCs w:val="24"/>
          <w:lang w:eastAsia="zh-CN"/>
        </w:rPr>
        <w:t>5</w:t>
      </w:r>
      <w:r>
        <w:rPr>
          <w:rFonts w:ascii="Times New Roman" w:eastAsia="宋体" w:hAnsi="Times New Roman" w:cs="宋体" w:hint="eastAsia"/>
          <w:color w:val="auto"/>
          <w:sz w:val="24"/>
          <w:szCs w:val="24"/>
          <w:lang w:eastAsia="zh-CN"/>
        </w:rPr>
        <w:t>级或开始涨潮时，应停止作业并将机械设备转移至安全区域；</w:t>
      </w:r>
    </w:p>
    <w:p w14:paraId="302174E6"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海底掏土时，根据作业顺序从一端向另一端连续作业，掏土过程中清理土方中的杂物（如杂草、大石块等）；</w:t>
      </w:r>
    </w:p>
    <w:p w14:paraId="0E8E777F"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作业时，水陆两栖挖掘机不得在同一位置连续掏土，防止泥沙流动造成附近塌陷；</w:t>
      </w:r>
    </w:p>
    <w:p w14:paraId="0A8AF1BF"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）堆土</w:t>
      </w:r>
    </w:p>
    <w:p w14:paraId="0F68DF1E"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按照先底边、后边坡、再封顶的顺序，分层摊铺填筑，每层高度控制在</w:t>
      </w:r>
      <w:r>
        <w:rPr>
          <w:rFonts w:ascii="Times New Roman" w:eastAsia="宋体" w:hAnsi="Times New Roman" w:cs="宋体" w:hint="eastAsia"/>
          <w:color w:val="auto"/>
          <w:sz w:val="24"/>
          <w:szCs w:val="24"/>
          <w:lang w:eastAsia="zh-CN"/>
        </w:rPr>
        <w:t>0.5m</w:t>
      </w:r>
      <w:r>
        <w:rPr>
          <w:rFonts w:ascii="Times New Roman" w:eastAsia="宋体" w:hAnsi="Times New Roman" w:cs="宋体" w:hint="eastAsia"/>
          <w:color w:val="auto"/>
          <w:sz w:val="24"/>
          <w:szCs w:val="24"/>
          <w:lang w:eastAsia="zh-CN"/>
        </w:rPr>
        <w:t>，逐层收坡；</w:t>
      </w:r>
    </w:p>
    <w:p w14:paraId="45443440"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挖掘机利用自重对每层土方进行碾压密实，防止沉降；</w:t>
      </w:r>
    </w:p>
    <w:p w14:paraId="6495577C"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填筑至标高附近放缓速度，精细化找平。</w:t>
      </w:r>
    </w:p>
    <w:p w14:paraId="504A20E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bookmarkStart w:id="70" w:name="_Toc29116"/>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）防污帘安装</w:t>
      </w:r>
      <w:bookmarkEnd w:id="70"/>
    </w:p>
    <w:p w14:paraId="46DC936F"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为防止回填作业对周边生态环境造成污染，现场在回填区域周边安装防污帘，降低施工作业的影响。</w:t>
      </w:r>
    </w:p>
    <w:p w14:paraId="1710E38A"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回填作业区域最外围有生态栏板时，可以将防污帘直接装在栏板外侧，高度与生态栏板高度一致，若施工区域无生态栏板时，需设置防污帘底座，底座采用</w:t>
      </w:r>
      <w:r>
        <w:rPr>
          <w:rFonts w:ascii="Times New Roman" w:eastAsia="宋体" w:hAnsi="Times New Roman" w:cs="宋体" w:hint="eastAsia"/>
          <w:color w:val="auto"/>
          <w:sz w:val="24"/>
          <w:szCs w:val="24"/>
          <w:lang w:eastAsia="zh-CN"/>
        </w:rPr>
        <w:t>50cm*50cm*50cm</w:t>
      </w:r>
      <w:r>
        <w:rPr>
          <w:rFonts w:ascii="Times New Roman" w:eastAsia="宋体" w:hAnsi="Times New Roman" w:cs="宋体" w:hint="eastAsia"/>
          <w:color w:val="auto"/>
          <w:sz w:val="24"/>
          <w:szCs w:val="24"/>
          <w:lang w:eastAsia="zh-CN"/>
        </w:rPr>
        <w:t>的混凝土预制块，每隔</w:t>
      </w:r>
      <w:r>
        <w:rPr>
          <w:rFonts w:ascii="Times New Roman" w:eastAsia="宋体" w:hAnsi="Times New Roman" w:cs="宋体" w:hint="eastAsia"/>
          <w:color w:val="auto"/>
          <w:sz w:val="24"/>
          <w:szCs w:val="24"/>
          <w:lang w:eastAsia="zh-CN"/>
        </w:rPr>
        <w:t>50m</w:t>
      </w:r>
      <w:r>
        <w:rPr>
          <w:rFonts w:ascii="Times New Roman" w:eastAsia="宋体" w:hAnsi="Times New Roman" w:cs="宋体" w:hint="eastAsia"/>
          <w:color w:val="auto"/>
          <w:sz w:val="24"/>
          <w:szCs w:val="24"/>
          <w:lang w:eastAsia="zh-CN"/>
        </w:rPr>
        <w:t>设置一个，非底座区域用</w:t>
      </w:r>
      <w:r>
        <w:rPr>
          <w:rFonts w:ascii="Times New Roman" w:eastAsia="宋体" w:hAnsi="Times New Roman" w:cs="宋体" w:hint="eastAsia"/>
          <w:color w:val="auto"/>
          <w:sz w:val="24"/>
          <w:szCs w:val="24"/>
          <w:lang w:eastAsia="zh-CN"/>
        </w:rPr>
        <w:t>100mm*50mm</w:t>
      </w:r>
      <w:r>
        <w:rPr>
          <w:rFonts w:ascii="Times New Roman" w:eastAsia="宋体" w:hAnsi="Times New Roman" w:cs="宋体" w:hint="eastAsia"/>
          <w:color w:val="auto"/>
          <w:sz w:val="24"/>
          <w:szCs w:val="24"/>
          <w:lang w:eastAsia="zh-CN"/>
        </w:rPr>
        <w:t>*4mm</w:t>
      </w:r>
      <w:r>
        <w:rPr>
          <w:rFonts w:ascii="Times New Roman" w:eastAsia="宋体" w:hAnsi="Times New Roman" w:cs="宋体" w:hint="eastAsia"/>
          <w:color w:val="auto"/>
          <w:sz w:val="24"/>
          <w:szCs w:val="24"/>
          <w:lang w:eastAsia="zh-CN"/>
        </w:rPr>
        <w:t>的钢管作为防污帘龙骨支撑，高度</w:t>
      </w:r>
      <w:r>
        <w:rPr>
          <w:rFonts w:ascii="Times New Roman" w:eastAsia="宋体" w:hAnsi="Times New Roman" w:cs="宋体" w:hint="eastAsia"/>
          <w:color w:val="auto"/>
          <w:sz w:val="24"/>
          <w:szCs w:val="24"/>
          <w:lang w:eastAsia="zh-CN"/>
        </w:rPr>
        <w:t>2.5m</w:t>
      </w:r>
      <w:r>
        <w:rPr>
          <w:rFonts w:ascii="Times New Roman" w:eastAsia="宋体" w:hAnsi="Times New Roman" w:cs="宋体" w:hint="eastAsia"/>
          <w:color w:val="auto"/>
          <w:sz w:val="24"/>
          <w:szCs w:val="24"/>
          <w:lang w:eastAsia="zh-CN"/>
        </w:rPr>
        <w:t>，间距</w:t>
      </w:r>
      <w:r>
        <w:rPr>
          <w:rFonts w:ascii="Times New Roman" w:eastAsia="宋体" w:hAnsi="Times New Roman" w:cs="宋体" w:hint="eastAsia"/>
          <w:color w:val="auto"/>
          <w:sz w:val="24"/>
          <w:szCs w:val="24"/>
          <w:lang w:eastAsia="zh-CN"/>
        </w:rPr>
        <w:t>10m</w:t>
      </w:r>
      <w:r>
        <w:rPr>
          <w:rFonts w:ascii="Times New Roman" w:eastAsia="宋体" w:hAnsi="Times New Roman" w:cs="宋体" w:hint="eastAsia"/>
          <w:color w:val="auto"/>
          <w:sz w:val="24"/>
          <w:szCs w:val="24"/>
          <w:lang w:eastAsia="zh-CN"/>
        </w:rPr>
        <w:t>，钢管打入沙土中长度与外露长度之比不小于</w:t>
      </w:r>
      <w:r>
        <w:rPr>
          <w:rFonts w:ascii="Times New Roman" w:eastAsia="宋体" w:hAnsi="Times New Roman" w:cs="宋体" w:hint="eastAsia"/>
          <w:color w:val="auto"/>
          <w:sz w:val="24"/>
          <w:szCs w:val="24"/>
          <w:lang w:eastAsia="zh-CN"/>
        </w:rPr>
        <w:t>1.5</w:t>
      </w:r>
      <w:r>
        <w:rPr>
          <w:rFonts w:ascii="Times New Roman" w:eastAsia="宋体" w:hAnsi="Times New Roman" w:cs="宋体" w:hint="eastAsia"/>
          <w:color w:val="auto"/>
          <w:sz w:val="24"/>
          <w:szCs w:val="24"/>
          <w:lang w:eastAsia="zh-CN"/>
        </w:rPr>
        <w:t>。</w:t>
      </w:r>
    </w:p>
    <w:p w14:paraId="7DF5F348"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lastRenderedPageBreak/>
        <w:t>清淤疏浚作业区域从最窄处开始设置防污帘，围成封闭区域，抓斗式挖泥船在包围范围内作业。防污帘安装时先设置混凝土底座，规格未</w:t>
      </w:r>
      <w:r>
        <w:rPr>
          <w:rFonts w:ascii="Times New Roman" w:eastAsia="宋体" w:hAnsi="Times New Roman" w:cs="宋体" w:hint="eastAsia"/>
          <w:color w:val="auto"/>
          <w:sz w:val="24"/>
          <w:szCs w:val="24"/>
          <w:lang w:eastAsia="zh-CN"/>
        </w:rPr>
        <w:t>50cm*50cm*50cm</w:t>
      </w:r>
      <w:r>
        <w:rPr>
          <w:rFonts w:ascii="Times New Roman" w:eastAsia="宋体" w:hAnsi="Times New Roman" w:cs="宋体" w:hint="eastAsia"/>
          <w:color w:val="auto"/>
          <w:sz w:val="24"/>
          <w:szCs w:val="24"/>
          <w:lang w:eastAsia="zh-CN"/>
        </w:rPr>
        <w:t>，间距</w:t>
      </w:r>
      <w:r>
        <w:rPr>
          <w:rFonts w:ascii="Times New Roman" w:eastAsia="宋体" w:hAnsi="Times New Roman" w:cs="宋体" w:hint="eastAsia"/>
          <w:color w:val="auto"/>
          <w:sz w:val="24"/>
          <w:szCs w:val="24"/>
          <w:lang w:eastAsia="zh-CN"/>
        </w:rPr>
        <w:t>50m</w:t>
      </w:r>
      <w:r>
        <w:rPr>
          <w:rFonts w:ascii="Times New Roman" w:eastAsia="宋体" w:hAnsi="Times New Roman" w:cs="宋体" w:hint="eastAsia"/>
          <w:color w:val="auto"/>
          <w:sz w:val="24"/>
          <w:szCs w:val="24"/>
          <w:lang w:eastAsia="zh-CN"/>
        </w:rPr>
        <w:t>，便于固定，然后在非底座区域设置</w:t>
      </w:r>
      <w:r>
        <w:rPr>
          <w:rFonts w:ascii="Times New Roman" w:eastAsia="宋体" w:hAnsi="Times New Roman" w:cs="宋体" w:hint="eastAsia"/>
          <w:color w:val="auto"/>
          <w:sz w:val="24"/>
          <w:szCs w:val="24"/>
          <w:lang w:eastAsia="zh-CN"/>
        </w:rPr>
        <w:t>100mm*50mm*4mm</w:t>
      </w:r>
      <w:r>
        <w:rPr>
          <w:rFonts w:ascii="Times New Roman" w:eastAsia="宋体" w:hAnsi="Times New Roman" w:cs="宋体" w:hint="eastAsia"/>
          <w:color w:val="auto"/>
          <w:sz w:val="24"/>
          <w:szCs w:val="24"/>
          <w:lang w:eastAsia="zh-CN"/>
        </w:rPr>
        <w:t>钢管作为龙骨支撑，高度</w:t>
      </w:r>
      <w:r>
        <w:rPr>
          <w:rFonts w:ascii="Times New Roman" w:eastAsia="宋体" w:hAnsi="Times New Roman" w:cs="宋体" w:hint="eastAsia"/>
          <w:color w:val="auto"/>
          <w:sz w:val="24"/>
          <w:szCs w:val="24"/>
          <w:lang w:eastAsia="zh-CN"/>
        </w:rPr>
        <w:t>4m</w:t>
      </w:r>
      <w:r>
        <w:rPr>
          <w:rFonts w:ascii="Times New Roman" w:eastAsia="宋体" w:hAnsi="Times New Roman" w:cs="宋体" w:hint="eastAsia"/>
          <w:color w:val="auto"/>
          <w:sz w:val="24"/>
          <w:szCs w:val="24"/>
          <w:lang w:eastAsia="zh-CN"/>
        </w:rPr>
        <w:t>，间距</w:t>
      </w:r>
      <w:r>
        <w:rPr>
          <w:rFonts w:ascii="Times New Roman" w:eastAsia="宋体" w:hAnsi="Times New Roman" w:cs="宋体" w:hint="eastAsia"/>
          <w:color w:val="auto"/>
          <w:sz w:val="24"/>
          <w:szCs w:val="24"/>
          <w:lang w:eastAsia="zh-CN"/>
        </w:rPr>
        <w:t>10m</w:t>
      </w:r>
      <w:r>
        <w:rPr>
          <w:rFonts w:ascii="Times New Roman" w:eastAsia="宋体" w:hAnsi="Times New Roman" w:cs="宋体" w:hint="eastAsia"/>
          <w:color w:val="auto"/>
          <w:sz w:val="24"/>
          <w:szCs w:val="24"/>
          <w:lang w:eastAsia="zh-CN"/>
        </w:rPr>
        <w:t>，钢管打入沙土中长度与外露长度之比不小于</w:t>
      </w:r>
      <w:r>
        <w:rPr>
          <w:rFonts w:ascii="Times New Roman" w:eastAsia="宋体" w:hAnsi="Times New Roman" w:cs="宋体" w:hint="eastAsia"/>
          <w:color w:val="auto"/>
          <w:sz w:val="24"/>
          <w:szCs w:val="24"/>
          <w:lang w:eastAsia="zh-CN"/>
        </w:rPr>
        <w:t>1.5</w:t>
      </w:r>
      <w:r>
        <w:rPr>
          <w:rFonts w:ascii="Times New Roman" w:eastAsia="宋体" w:hAnsi="Times New Roman" w:cs="宋体" w:hint="eastAsia"/>
          <w:color w:val="auto"/>
          <w:sz w:val="24"/>
          <w:szCs w:val="24"/>
          <w:lang w:eastAsia="zh-CN"/>
        </w:rPr>
        <w:t>。</w:t>
      </w:r>
    </w:p>
    <w:p w14:paraId="5F82FC4D"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防污帘裙体材料未高密度聚乙烯编织布，克重≥</w:t>
      </w:r>
      <w:r>
        <w:rPr>
          <w:rFonts w:ascii="Times New Roman" w:eastAsia="宋体" w:hAnsi="Times New Roman" w:cs="宋体" w:hint="eastAsia"/>
          <w:color w:val="auto"/>
          <w:sz w:val="24"/>
          <w:szCs w:val="24"/>
          <w:lang w:eastAsia="zh-CN"/>
        </w:rPr>
        <w:t>200g/</w:t>
      </w:r>
      <w:r>
        <w:rPr>
          <w:rFonts w:ascii="Times New Roman" w:eastAsia="宋体" w:hAnsi="Times New Roman" w:cs="宋体" w:hint="eastAsia"/>
          <w:color w:val="auto"/>
          <w:sz w:val="24"/>
          <w:szCs w:val="24"/>
          <w:lang w:eastAsia="zh-CN"/>
        </w:rPr>
        <w:t>㎡，裙体顶部设置浮漂，底部配置镀锌铁链，直径</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8mm</w:t>
      </w:r>
      <w:r>
        <w:rPr>
          <w:rFonts w:ascii="Times New Roman" w:eastAsia="宋体" w:hAnsi="Times New Roman" w:cs="宋体" w:hint="eastAsia"/>
          <w:color w:val="auto"/>
          <w:sz w:val="24"/>
          <w:szCs w:val="24"/>
          <w:lang w:eastAsia="zh-CN"/>
        </w:rPr>
        <w:t>，涨退潮时防污帘上部浮漂可上下浮动，回填区域防污帘高</w:t>
      </w:r>
      <w:r>
        <w:rPr>
          <w:rFonts w:ascii="Times New Roman" w:eastAsia="宋体" w:hAnsi="Times New Roman" w:cs="宋体" w:hint="eastAsia"/>
          <w:color w:val="auto"/>
          <w:sz w:val="24"/>
          <w:szCs w:val="24"/>
          <w:lang w:eastAsia="zh-CN"/>
        </w:rPr>
        <w:t>1m</w:t>
      </w:r>
      <w:r>
        <w:rPr>
          <w:rFonts w:ascii="Times New Roman" w:eastAsia="宋体" w:hAnsi="Times New Roman" w:cs="宋体" w:hint="eastAsia"/>
          <w:color w:val="auto"/>
          <w:sz w:val="24"/>
          <w:szCs w:val="24"/>
          <w:lang w:eastAsia="zh-CN"/>
        </w:rPr>
        <w:t>，长</w:t>
      </w:r>
      <w:r>
        <w:rPr>
          <w:rFonts w:ascii="Times New Roman" w:eastAsia="宋体" w:hAnsi="Times New Roman" w:cs="宋体" w:hint="eastAsia"/>
          <w:color w:val="auto"/>
          <w:sz w:val="24"/>
          <w:szCs w:val="24"/>
          <w:lang w:eastAsia="zh-CN"/>
        </w:rPr>
        <w:t>3.1km</w:t>
      </w:r>
      <w:r>
        <w:rPr>
          <w:rFonts w:ascii="Times New Roman" w:eastAsia="宋体" w:hAnsi="Times New Roman" w:cs="宋体" w:hint="eastAsia"/>
          <w:color w:val="auto"/>
          <w:sz w:val="24"/>
          <w:szCs w:val="24"/>
          <w:lang w:eastAsia="zh-CN"/>
        </w:rPr>
        <w:t>，清淤疏浚区域防污帘高</w:t>
      </w:r>
      <w:r>
        <w:rPr>
          <w:rFonts w:ascii="Times New Roman" w:eastAsia="宋体" w:hAnsi="Times New Roman" w:cs="宋体" w:hint="eastAsia"/>
          <w:color w:val="auto"/>
          <w:sz w:val="24"/>
          <w:szCs w:val="24"/>
          <w:lang w:eastAsia="zh-CN"/>
        </w:rPr>
        <w:t>1.6m</w:t>
      </w:r>
      <w:r>
        <w:rPr>
          <w:rFonts w:ascii="Times New Roman" w:eastAsia="宋体" w:hAnsi="Times New Roman" w:cs="宋体" w:hint="eastAsia"/>
          <w:color w:val="auto"/>
          <w:sz w:val="24"/>
          <w:szCs w:val="24"/>
          <w:lang w:eastAsia="zh-CN"/>
        </w:rPr>
        <w:t>，长</w:t>
      </w:r>
      <w:r>
        <w:rPr>
          <w:rFonts w:ascii="Times New Roman" w:eastAsia="宋体" w:hAnsi="Times New Roman" w:cs="宋体" w:hint="eastAsia"/>
          <w:color w:val="auto"/>
          <w:sz w:val="24"/>
          <w:szCs w:val="24"/>
          <w:lang w:eastAsia="zh-CN"/>
        </w:rPr>
        <w:t>0.5km</w:t>
      </w:r>
      <w:r>
        <w:rPr>
          <w:rFonts w:ascii="Times New Roman" w:eastAsia="宋体" w:hAnsi="Times New Roman" w:cs="宋体" w:hint="eastAsia"/>
          <w:color w:val="auto"/>
          <w:sz w:val="24"/>
          <w:szCs w:val="24"/>
          <w:lang w:eastAsia="zh-CN"/>
        </w:rPr>
        <w:t>。现场施工时以</w:t>
      </w:r>
      <w:r>
        <w:rPr>
          <w:rFonts w:ascii="Times New Roman" w:eastAsia="宋体" w:hAnsi="Times New Roman" w:cs="宋体" w:hint="eastAsia"/>
          <w:color w:val="auto"/>
          <w:sz w:val="24"/>
          <w:szCs w:val="24"/>
          <w:lang w:eastAsia="zh-CN"/>
        </w:rPr>
        <w:t>200m</w:t>
      </w:r>
      <w:r>
        <w:rPr>
          <w:rFonts w:ascii="Times New Roman" w:eastAsia="宋体" w:hAnsi="Times New Roman" w:cs="宋体" w:hint="eastAsia"/>
          <w:color w:val="auto"/>
          <w:sz w:val="24"/>
          <w:szCs w:val="24"/>
          <w:lang w:eastAsia="zh-CN"/>
        </w:rPr>
        <w:t>为一段，分段安装，安装后分区一自东向西、分区七向分区八方向开始吹填作业，始终保持吹填区域前方有</w:t>
      </w: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段防污帘。防污帘安装后每日巡视是否存在松动情况，并派人及时加固，施工完成后，防污帘所有相关配件均需回收，防止污染海域。</w:t>
      </w:r>
    </w:p>
    <w:p w14:paraId="3F160C96"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详见防污帘布置图和防污帘安装示意图。</w:t>
      </w:r>
    </w:p>
    <w:p w14:paraId="4BED9E9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bookmarkStart w:id="71" w:name="_Toc14549"/>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）清淤疏浚与土方转运</w:t>
      </w:r>
      <w:bookmarkEnd w:id="71"/>
    </w:p>
    <w:p w14:paraId="75E93D3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本项目共设置一艘抓斗式挖泥船、</w:t>
      </w: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艘泥驳船、</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艘吹泥船，核心区清淤疏浚位置设置抓斗式挖泥船</w:t>
      </w:r>
      <w:r>
        <w:rPr>
          <w:rFonts w:ascii="Times New Roman" w:eastAsia="宋体" w:hAnsi="Times New Roman" w:cs="宋体" w:hint="eastAsia"/>
          <w:color w:val="auto"/>
          <w:sz w:val="24"/>
          <w:szCs w:val="24"/>
          <w:lang w:eastAsia="zh-CN"/>
        </w:rPr>
        <w:t>，抓斗容量</w:t>
      </w:r>
      <w:r>
        <w:rPr>
          <w:rFonts w:ascii="Times New Roman" w:eastAsia="宋体" w:hAnsi="Times New Roman" w:cs="宋体" w:hint="eastAsia"/>
          <w:color w:val="auto"/>
          <w:sz w:val="24"/>
          <w:szCs w:val="24"/>
          <w:lang w:eastAsia="zh-CN"/>
        </w:rPr>
        <w:t>10m</w:t>
      </w:r>
      <w:r>
        <w:rPr>
          <w:rFonts w:ascii="Times New Roman" w:eastAsia="宋体" w:hAnsi="Times New Roman" w:cs="宋体" w:hint="eastAsia"/>
          <w:color w:val="auto"/>
          <w:sz w:val="24"/>
          <w:szCs w:val="24"/>
          <w:lang w:eastAsia="zh-CN"/>
        </w:rPr>
        <w:t>³</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斗，吃水深度</w:t>
      </w:r>
      <w:r>
        <w:rPr>
          <w:rFonts w:ascii="Times New Roman" w:eastAsia="宋体" w:hAnsi="Times New Roman" w:cs="宋体" w:hint="eastAsia"/>
          <w:color w:val="auto"/>
          <w:sz w:val="24"/>
          <w:szCs w:val="24"/>
          <w:lang w:eastAsia="zh-CN"/>
        </w:rPr>
        <w:t>2.2m</w:t>
      </w:r>
      <w:r>
        <w:rPr>
          <w:rFonts w:ascii="Times New Roman" w:eastAsia="宋体" w:hAnsi="Times New Roman" w:cs="宋体" w:hint="eastAsia"/>
          <w:color w:val="auto"/>
          <w:sz w:val="24"/>
          <w:szCs w:val="24"/>
          <w:lang w:eastAsia="zh-CN"/>
        </w:rPr>
        <w:t>；泥驳船负责将挖泥船挖出的泥沙转运至吹泥船，载重量</w:t>
      </w:r>
      <w:r>
        <w:rPr>
          <w:rFonts w:ascii="Times New Roman" w:eastAsia="宋体" w:hAnsi="Times New Roman" w:cs="宋体" w:hint="eastAsia"/>
          <w:color w:val="auto"/>
          <w:sz w:val="24"/>
          <w:szCs w:val="24"/>
          <w:lang w:eastAsia="zh-CN"/>
        </w:rPr>
        <w:t>300t/</w:t>
      </w:r>
      <w:r>
        <w:rPr>
          <w:rFonts w:ascii="Times New Roman" w:eastAsia="宋体" w:hAnsi="Times New Roman" w:cs="宋体" w:hint="eastAsia"/>
          <w:color w:val="auto"/>
          <w:sz w:val="24"/>
          <w:szCs w:val="24"/>
          <w:lang w:eastAsia="zh-CN"/>
        </w:rPr>
        <w:t>船，满载吃水深度</w:t>
      </w:r>
      <w:r>
        <w:rPr>
          <w:rFonts w:ascii="Times New Roman" w:eastAsia="宋体" w:hAnsi="Times New Roman" w:cs="宋体" w:hint="eastAsia"/>
          <w:color w:val="auto"/>
          <w:sz w:val="24"/>
          <w:szCs w:val="24"/>
          <w:lang w:eastAsia="zh-CN"/>
        </w:rPr>
        <w:t>2m</w:t>
      </w:r>
      <w:r>
        <w:rPr>
          <w:rFonts w:ascii="Times New Roman" w:eastAsia="宋体" w:hAnsi="Times New Roman" w:cs="宋体" w:hint="eastAsia"/>
          <w:color w:val="auto"/>
          <w:sz w:val="24"/>
          <w:szCs w:val="24"/>
          <w:lang w:eastAsia="zh-CN"/>
        </w:rPr>
        <w:t>；吹泥船完成最后一步土方平衡工作，吹填量</w:t>
      </w:r>
      <w:r>
        <w:rPr>
          <w:rFonts w:ascii="Times New Roman" w:eastAsia="宋体" w:hAnsi="Times New Roman" w:cs="宋体" w:hint="eastAsia"/>
          <w:color w:val="auto"/>
          <w:sz w:val="24"/>
          <w:szCs w:val="24"/>
          <w:lang w:eastAsia="zh-CN"/>
        </w:rPr>
        <w:t>200m</w:t>
      </w:r>
      <w:r>
        <w:rPr>
          <w:rFonts w:ascii="Times New Roman" w:eastAsia="宋体" w:hAnsi="Times New Roman" w:cs="宋体" w:hint="eastAsia"/>
          <w:color w:val="auto"/>
          <w:sz w:val="24"/>
          <w:szCs w:val="24"/>
          <w:lang w:eastAsia="zh-CN"/>
        </w:rPr>
        <w:t>³</w:t>
      </w:r>
      <w:r>
        <w:rPr>
          <w:rFonts w:ascii="Times New Roman" w:eastAsia="宋体" w:hAnsi="Times New Roman" w:cs="宋体" w:hint="eastAsia"/>
          <w:color w:val="auto"/>
          <w:sz w:val="24"/>
          <w:szCs w:val="24"/>
          <w:lang w:eastAsia="zh-CN"/>
        </w:rPr>
        <w:t>/h</w:t>
      </w:r>
      <w:r>
        <w:rPr>
          <w:rFonts w:ascii="Times New Roman" w:eastAsia="宋体" w:hAnsi="Times New Roman" w:cs="宋体" w:hint="eastAsia"/>
          <w:color w:val="auto"/>
          <w:sz w:val="24"/>
          <w:szCs w:val="24"/>
          <w:lang w:eastAsia="zh-CN"/>
        </w:rPr>
        <w:t>，吃水深度</w:t>
      </w:r>
      <w:r>
        <w:rPr>
          <w:rFonts w:ascii="Times New Roman" w:eastAsia="宋体" w:hAnsi="Times New Roman" w:cs="宋体" w:hint="eastAsia"/>
          <w:color w:val="auto"/>
          <w:sz w:val="24"/>
          <w:szCs w:val="24"/>
          <w:lang w:eastAsia="zh-CN"/>
        </w:rPr>
        <w:t>1.4m</w:t>
      </w:r>
      <w:r>
        <w:rPr>
          <w:rFonts w:ascii="Times New Roman" w:eastAsia="宋体" w:hAnsi="Times New Roman" w:cs="宋体" w:hint="eastAsia"/>
          <w:color w:val="auto"/>
          <w:sz w:val="24"/>
          <w:szCs w:val="24"/>
          <w:lang w:eastAsia="zh-CN"/>
        </w:rPr>
        <w:t>，自带可拆卸的吹泥管，最远吹填距离</w:t>
      </w:r>
      <w:r>
        <w:rPr>
          <w:rFonts w:ascii="Times New Roman" w:eastAsia="宋体" w:hAnsi="Times New Roman" w:cs="宋体" w:hint="eastAsia"/>
          <w:color w:val="auto"/>
          <w:sz w:val="24"/>
          <w:szCs w:val="24"/>
          <w:lang w:eastAsia="zh-CN"/>
        </w:rPr>
        <w:t>1000m</w:t>
      </w:r>
      <w:r>
        <w:rPr>
          <w:rFonts w:ascii="Times New Roman" w:eastAsia="宋体" w:hAnsi="Times New Roman" w:cs="宋体" w:hint="eastAsia"/>
          <w:color w:val="auto"/>
          <w:sz w:val="24"/>
          <w:szCs w:val="24"/>
          <w:lang w:eastAsia="zh-CN"/>
        </w:rPr>
        <w:t>。</w:t>
      </w:r>
    </w:p>
    <w:p w14:paraId="0FDDB887"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）施工流程</w:t>
      </w:r>
    </w:p>
    <w:p w14:paraId="47FCD53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施工准备→测量定位→抓斗式挖泥船就位→挖泥作业→泥驳船靠近接土→土方转运</w:t>
      </w:r>
    </w:p>
    <w:p w14:paraId="498C14A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）施工工艺</w:t>
      </w:r>
    </w:p>
    <w:p w14:paraId="1E00AEDF"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施工准备：抓斗式挖泥船进场前检修抓斗机构、液压系统、船体结构，更换老化部件，泥驳船清理船舱内杂物、检修舱门密封与船体排水系统，确保无渗漏，同步检查定位系统、通讯系统；</w:t>
      </w:r>
    </w:p>
    <w:p w14:paraId="1B416BF1"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测</w:t>
      </w:r>
      <w:r>
        <w:rPr>
          <w:rFonts w:ascii="Times New Roman" w:eastAsia="宋体" w:hAnsi="Times New Roman" w:cs="宋体" w:hint="eastAsia"/>
          <w:color w:val="auto"/>
          <w:sz w:val="24"/>
          <w:szCs w:val="24"/>
          <w:lang w:eastAsia="zh-CN"/>
        </w:rPr>
        <w:t>量定位：结合潮汐水位数据，在施工区域放出挖泥作业边界线，标高控制线，每隔</w:t>
      </w:r>
      <w:r>
        <w:rPr>
          <w:rFonts w:ascii="Times New Roman" w:eastAsia="宋体" w:hAnsi="Times New Roman" w:cs="宋体" w:hint="eastAsia"/>
          <w:color w:val="auto"/>
          <w:sz w:val="24"/>
          <w:szCs w:val="24"/>
          <w:lang w:eastAsia="zh-CN"/>
        </w:rPr>
        <w:t>10m</w:t>
      </w:r>
      <w:r>
        <w:rPr>
          <w:rFonts w:ascii="Times New Roman" w:eastAsia="宋体" w:hAnsi="Times New Roman" w:cs="宋体" w:hint="eastAsia"/>
          <w:color w:val="auto"/>
          <w:sz w:val="24"/>
          <w:szCs w:val="24"/>
          <w:lang w:eastAsia="zh-CN"/>
        </w:rPr>
        <w:t>设置定位桩并标注设计标高。</w:t>
      </w:r>
    </w:p>
    <w:p w14:paraId="37D6C89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挖泥作业：抓斗式挖泥船行驶至作业区后，缓慢下方抓斗，抓取淤泥、泥沙等土体后缓慢提升，避免散落，对含水量高的流动性泥土，可配合抽泥泵稀释，降低抓取作业难度；</w:t>
      </w:r>
    </w:p>
    <w:p w14:paraId="45DAA3CC"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接土：待泥驳船靠近挖泥船后，将抓斗缓慢提升至泥驳船舱口上方，下方卸土，泥驳船驾驶员配合调整船位，保持舱口与抓斗对齐，避免泥块掉落至船外造成污染，没舱卸泥完成后，泥驳船关闭舱门，做好船体密封；</w:t>
      </w:r>
    </w:p>
    <w:p w14:paraId="6FCA9981"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lastRenderedPageBreak/>
        <w:t>泥驳船满载后行驶至指定吹泥船位置，将吹泥船吹管伸入泥驳船船</w:t>
      </w:r>
      <w:r>
        <w:rPr>
          <w:rFonts w:ascii="Times New Roman" w:eastAsia="宋体" w:hAnsi="Times New Roman" w:cs="宋体" w:hint="eastAsia"/>
          <w:color w:val="auto"/>
          <w:sz w:val="24"/>
          <w:szCs w:val="24"/>
          <w:lang w:eastAsia="zh-CN"/>
        </w:rPr>
        <w:t>舱内，通过吸泥管将泥沙抽吸，完成土方平衡，每个区域完成后转移至下一作业区重复作业。</w:t>
      </w:r>
    </w:p>
    <w:p w14:paraId="4A6FE63E"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）吹填作业</w:t>
      </w:r>
    </w:p>
    <w:p w14:paraId="41E0C672" w14:textId="77777777" w:rsidR="0075791A" w:rsidRDefault="00FB2864">
      <w:pPr>
        <w:numPr>
          <w:ilvl w:val="0"/>
          <w:numId w:val="2"/>
        </w:num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吹泥船根据土质含水量、输送距离调整泵压，淤泥采用低压力大流量，土方适当提高泵压，实时监测吸泥口、管道压力，防止堵管爆管，定期清理吸口杂物；</w:t>
      </w:r>
    </w:p>
    <w:p w14:paraId="6729C8CC" w14:textId="77777777" w:rsidR="0075791A" w:rsidRDefault="00FB2864">
      <w:pPr>
        <w:numPr>
          <w:ilvl w:val="0"/>
          <w:numId w:val="2"/>
        </w:num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吹填作业采用网格式分层吹填，每次吹填厚度控制在</w:t>
      </w:r>
      <w:r>
        <w:rPr>
          <w:rFonts w:ascii="Times New Roman" w:eastAsia="宋体" w:hAnsi="Times New Roman" w:cs="宋体" w:hint="eastAsia"/>
          <w:color w:val="auto"/>
          <w:sz w:val="24"/>
          <w:szCs w:val="24"/>
          <w:lang w:eastAsia="zh-CN"/>
        </w:rPr>
        <w:t>50cm~80cm</w:t>
      </w:r>
      <w:r>
        <w:rPr>
          <w:rFonts w:ascii="Times New Roman" w:eastAsia="宋体" w:hAnsi="Times New Roman" w:cs="宋体" w:hint="eastAsia"/>
          <w:color w:val="auto"/>
          <w:sz w:val="24"/>
          <w:szCs w:val="24"/>
          <w:lang w:eastAsia="zh-CN"/>
        </w:rPr>
        <w:t>，避免一次性厚填导致沉降不均，通过移动输泥管实现均匀吹填，实时监测吹填标高；</w:t>
      </w:r>
    </w:p>
    <w:p w14:paraId="49091B97" w14:textId="77777777" w:rsidR="0075791A" w:rsidRDefault="00FB2864">
      <w:pPr>
        <w:numPr>
          <w:ilvl w:val="0"/>
          <w:numId w:val="2"/>
        </w:num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输泥管接口密封严实，防止渗漏，安排专人巡检管道，发生破损、堵管、爆管立即停止作业，修复后全面检查泥泵系统是否工作正常，再继续作业。</w:t>
      </w:r>
    </w:p>
    <w:p w14:paraId="7D7455C1" w14:textId="77777777" w:rsidR="0075791A" w:rsidRDefault="00FB2864">
      <w:pPr>
        <w:numPr>
          <w:ilvl w:val="0"/>
          <w:numId w:val="2"/>
        </w:num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分区一设置三个停船点，分区七设置一个停船点，吹泥船在停船点锚定后开始吹填作业，当该区域吹填结束后移到下一位置；</w:t>
      </w:r>
    </w:p>
    <w:p w14:paraId="730ACE83" w14:textId="77777777" w:rsidR="0075791A" w:rsidRDefault="00FB2864">
      <w:pPr>
        <w:numPr>
          <w:ilvl w:val="0"/>
          <w:numId w:val="2"/>
        </w:num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吹填前和吹填完成后分别用测量无人机对吹填区进行标高扫描，确保回填高度符合设计要求。</w:t>
      </w:r>
    </w:p>
    <w:p w14:paraId="00A16C1C"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5</w:t>
      </w:r>
      <w:r>
        <w:rPr>
          <w:rFonts w:ascii="Times New Roman" w:eastAsia="宋体" w:hAnsi="Times New Roman" w:cs="宋体" w:hint="eastAsia"/>
          <w:color w:val="auto"/>
          <w:sz w:val="24"/>
          <w:szCs w:val="24"/>
          <w:lang w:eastAsia="zh-CN"/>
        </w:rPr>
        <w:t>）海上转运</w:t>
      </w:r>
    </w:p>
    <w:p w14:paraId="4BBD0CA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为满足船舶吃水要求，停船点与航行路线如下图所示。疏浚施工前向海事局报备船舶航行路线，在路线两侧安全距离设置浮漂警示，防止其他船只进入阻碍泥驳船通行，并由海事局派遣专人进</w:t>
      </w:r>
      <w:r>
        <w:rPr>
          <w:rFonts w:ascii="Times New Roman" w:eastAsia="宋体" w:hAnsi="Times New Roman" w:cs="宋体" w:hint="eastAsia"/>
          <w:color w:val="auto"/>
          <w:sz w:val="24"/>
          <w:szCs w:val="24"/>
          <w:lang w:eastAsia="zh-CN"/>
        </w:rPr>
        <w:t>行安全监护。</w:t>
      </w:r>
    </w:p>
    <w:p w14:paraId="2E9BD331" w14:textId="77777777" w:rsidR="0075791A" w:rsidRDefault="00FB2864">
      <w:pPr>
        <w:pStyle w:val="a5"/>
        <w:jc w:val="center"/>
        <w:rPr>
          <w:rFonts w:ascii="Times New Roman" w:eastAsia="宋体" w:hAnsi="Times New Roman" w:cs="宋体"/>
          <w:color w:val="auto"/>
          <w:sz w:val="24"/>
          <w:szCs w:val="24"/>
          <w:lang w:eastAsia="zh-CN"/>
        </w:rPr>
      </w:pPr>
      <w:r>
        <w:rPr>
          <w:rFonts w:ascii="Times New Roman" w:eastAsia="宋体" w:hAnsi="Times New Roman" w:cs="宋体" w:hint="eastAsia"/>
          <w:noProof/>
          <w:color w:val="auto"/>
          <w:sz w:val="24"/>
          <w:szCs w:val="24"/>
          <w:lang w:eastAsia="zh-CN"/>
        </w:rPr>
        <w:drawing>
          <wp:inline distT="0" distB="0" distL="114300" distR="114300" wp14:anchorId="5BCF43D3" wp14:editId="3969D57D">
            <wp:extent cx="3786505" cy="3623945"/>
            <wp:effectExtent l="0" t="0" r="8255" b="3175"/>
            <wp:docPr id="160"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01"/>
                    <pic:cNvPicPr>
                      <a:picLocks noChangeAspect="1"/>
                    </pic:cNvPicPr>
                  </pic:nvPicPr>
                  <pic:blipFill>
                    <a:blip r:embed="rId28"/>
                    <a:srcRect b="10898"/>
                    <a:stretch>
                      <a:fillRect/>
                    </a:stretch>
                  </pic:blipFill>
                  <pic:spPr>
                    <a:xfrm>
                      <a:off x="0" y="0"/>
                      <a:ext cx="3786505" cy="3623945"/>
                    </a:xfrm>
                    <a:prstGeom prst="rect">
                      <a:avLst/>
                    </a:prstGeom>
                    <a:noFill/>
                    <a:ln>
                      <a:noFill/>
                    </a:ln>
                  </pic:spPr>
                </pic:pic>
              </a:graphicData>
            </a:graphic>
          </wp:inline>
        </w:drawing>
      </w:r>
    </w:p>
    <w:p w14:paraId="2B01C04A" w14:textId="77777777" w:rsidR="0075791A" w:rsidRDefault="00FB2864">
      <w:pPr>
        <w:pStyle w:val="a5"/>
        <w:spacing w:before="92" w:line="360" w:lineRule="auto"/>
        <w:ind w:left="2915"/>
        <w:rPr>
          <w:color w:val="auto"/>
          <w:spacing w:val="-1"/>
          <w:sz w:val="24"/>
          <w:szCs w:val="24"/>
          <w:lang w:eastAsia="zh-CN"/>
        </w:rPr>
      </w:pPr>
      <w:r>
        <w:rPr>
          <w:rFonts w:ascii="Times New Roman" w:eastAsia="宋体" w:hAnsi="Times New Roman" w:cs="宋体" w:hint="eastAsia"/>
          <w:color w:val="auto"/>
          <w:sz w:val="24"/>
          <w:szCs w:val="24"/>
          <w:lang w:eastAsia="zh-CN"/>
        </w:rPr>
        <w:t>图</w:t>
      </w:r>
      <w:r>
        <w:rPr>
          <w:rFonts w:ascii="Times New Roman" w:eastAsia="宋体" w:hAnsi="Times New Roman" w:cs="宋体" w:hint="eastAsia"/>
          <w:color w:val="auto"/>
          <w:sz w:val="24"/>
          <w:szCs w:val="24"/>
          <w:lang w:eastAsia="zh-CN"/>
        </w:rPr>
        <w:t>2.3</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 xml:space="preserve">2-3 </w:t>
      </w:r>
      <w:r>
        <w:rPr>
          <w:color w:val="auto"/>
          <w:spacing w:val="-1"/>
          <w:sz w:val="24"/>
          <w:szCs w:val="24"/>
          <w:lang w:eastAsia="zh-CN"/>
        </w:rPr>
        <w:t>清淤开挖施工工艺流程图</w:t>
      </w:r>
    </w:p>
    <w:p w14:paraId="7D3AA747"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6.</w:t>
      </w:r>
      <w:r>
        <w:rPr>
          <w:rFonts w:ascii="Times New Roman" w:eastAsia="宋体" w:hAnsi="Times New Roman" w:cs="宋体" w:hint="eastAsia"/>
          <w:b/>
          <w:bCs/>
          <w:color w:val="auto"/>
          <w:sz w:val="24"/>
          <w:szCs w:val="24"/>
          <w:lang w:eastAsia="zh-CN"/>
        </w:rPr>
        <w:t>机械设备准备</w:t>
      </w:r>
    </w:p>
    <w:p w14:paraId="4E304B2C"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lastRenderedPageBreak/>
        <w:t>本项目投入机械设备主要包括抓斗船、泥驳船、吹泥船、水陆两栖挖机、锚</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机</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艇等，数量满足施工需求。</w:t>
      </w:r>
    </w:p>
    <w:p w14:paraId="2DC0C4E8" w14:textId="77777777" w:rsidR="0075791A" w:rsidRDefault="00FB2864">
      <w:pPr>
        <w:spacing w:line="360" w:lineRule="auto"/>
        <w:jc w:val="center"/>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表</w:t>
      </w:r>
      <w:r>
        <w:rPr>
          <w:rFonts w:ascii="Times New Roman" w:eastAsia="宋体" w:hAnsi="Times New Roman" w:cs="宋体" w:hint="eastAsia"/>
          <w:color w:val="auto"/>
          <w:sz w:val="24"/>
          <w:szCs w:val="24"/>
          <w:lang w:eastAsia="zh-CN"/>
        </w:rPr>
        <w:t xml:space="preserve">2.3.2-1 </w:t>
      </w:r>
      <w:r>
        <w:rPr>
          <w:rFonts w:ascii="Times New Roman" w:eastAsia="宋体" w:hAnsi="Times New Roman" w:cs="宋体" w:hint="eastAsia"/>
          <w:color w:val="auto"/>
          <w:sz w:val="24"/>
          <w:szCs w:val="24"/>
          <w:lang w:eastAsia="zh-CN"/>
        </w:rPr>
        <w:t>主要投入机械设备</w:t>
      </w:r>
    </w:p>
    <w:tbl>
      <w:tblPr>
        <w:tblStyle w:val="ad"/>
        <w:tblW w:w="0" w:type="auto"/>
        <w:jc w:val="center"/>
        <w:tblLook w:val="04A0" w:firstRow="1" w:lastRow="0" w:firstColumn="1" w:lastColumn="0" w:noHBand="0" w:noVBand="1"/>
      </w:tblPr>
      <w:tblGrid>
        <w:gridCol w:w="4603"/>
        <w:gridCol w:w="4746"/>
      </w:tblGrid>
      <w:tr w:rsidR="0075791A" w14:paraId="5AE27E10" w14:textId="77777777">
        <w:trPr>
          <w:jc w:val="center"/>
        </w:trPr>
        <w:tc>
          <w:tcPr>
            <w:tcW w:w="4603" w:type="dxa"/>
            <w:vAlign w:val="center"/>
          </w:tcPr>
          <w:p w14:paraId="574EBDAA" w14:textId="77777777" w:rsidR="0075791A" w:rsidRDefault="00FB2864">
            <w:pPr>
              <w:jc w:val="center"/>
              <w:rPr>
                <w:rFonts w:eastAsia="华文楷体"/>
                <w:color w:val="auto"/>
                <w:sz w:val="24"/>
                <w:szCs w:val="24"/>
                <w:lang w:eastAsia="zh-CN"/>
              </w:rPr>
            </w:pPr>
            <w:r>
              <w:rPr>
                <w:noProof/>
                <w:color w:val="auto"/>
              </w:rPr>
              <w:drawing>
                <wp:inline distT="0" distB="0" distL="114300" distR="114300" wp14:anchorId="2C2FDC1A" wp14:editId="431B940F">
                  <wp:extent cx="2794000" cy="1731645"/>
                  <wp:effectExtent l="0" t="0" r="10160" b="5715"/>
                  <wp:docPr id="17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03"/>
                          <pic:cNvPicPr>
                            <a:picLocks noChangeAspect="1"/>
                          </pic:cNvPicPr>
                        </pic:nvPicPr>
                        <pic:blipFill>
                          <a:blip r:embed="rId29"/>
                          <a:stretch>
                            <a:fillRect/>
                          </a:stretch>
                        </pic:blipFill>
                        <pic:spPr>
                          <a:xfrm>
                            <a:off x="0" y="0"/>
                            <a:ext cx="2794000" cy="1731645"/>
                          </a:xfrm>
                          <a:prstGeom prst="rect">
                            <a:avLst/>
                          </a:prstGeom>
                          <a:noFill/>
                          <a:ln>
                            <a:noFill/>
                          </a:ln>
                        </pic:spPr>
                      </pic:pic>
                    </a:graphicData>
                  </a:graphic>
                </wp:inline>
              </w:drawing>
            </w:r>
          </w:p>
        </w:tc>
        <w:tc>
          <w:tcPr>
            <w:tcW w:w="4746" w:type="dxa"/>
            <w:vAlign w:val="center"/>
          </w:tcPr>
          <w:p w14:paraId="02CF043E" w14:textId="77777777" w:rsidR="0075791A" w:rsidRDefault="00FB2864">
            <w:pPr>
              <w:jc w:val="center"/>
              <w:rPr>
                <w:rFonts w:eastAsia="华文楷体"/>
                <w:color w:val="auto"/>
                <w:sz w:val="24"/>
                <w:szCs w:val="24"/>
                <w:lang w:eastAsia="zh-CN"/>
              </w:rPr>
            </w:pPr>
            <w:r>
              <w:rPr>
                <w:noProof/>
                <w:color w:val="auto"/>
              </w:rPr>
              <w:drawing>
                <wp:inline distT="0" distB="0" distL="114300" distR="114300" wp14:anchorId="140BC949" wp14:editId="2335B416">
                  <wp:extent cx="2770505" cy="1727835"/>
                  <wp:effectExtent l="0" t="0" r="3175" b="9525"/>
                  <wp:docPr id="171"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04"/>
                          <pic:cNvPicPr>
                            <a:picLocks noChangeAspect="1"/>
                          </pic:cNvPicPr>
                        </pic:nvPicPr>
                        <pic:blipFill>
                          <a:blip r:embed="rId30"/>
                          <a:stretch>
                            <a:fillRect/>
                          </a:stretch>
                        </pic:blipFill>
                        <pic:spPr>
                          <a:xfrm>
                            <a:off x="0" y="0"/>
                            <a:ext cx="2770505" cy="1727835"/>
                          </a:xfrm>
                          <a:prstGeom prst="rect">
                            <a:avLst/>
                          </a:prstGeom>
                          <a:noFill/>
                          <a:ln>
                            <a:noFill/>
                          </a:ln>
                        </pic:spPr>
                      </pic:pic>
                    </a:graphicData>
                  </a:graphic>
                </wp:inline>
              </w:drawing>
            </w:r>
          </w:p>
        </w:tc>
      </w:tr>
      <w:tr w:rsidR="0075791A" w14:paraId="121A5E8C" w14:textId="77777777">
        <w:trPr>
          <w:jc w:val="center"/>
        </w:trPr>
        <w:tc>
          <w:tcPr>
            <w:tcW w:w="4603" w:type="dxa"/>
            <w:vAlign w:val="center"/>
          </w:tcPr>
          <w:p w14:paraId="3E0B06DA" w14:textId="77777777" w:rsidR="0075791A" w:rsidRDefault="00FB2864">
            <w:pPr>
              <w:jc w:val="center"/>
              <w:rPr>
                <w:rFonts w:eastAsia="华文楷体"/>
                <w:color w:val="auto"/>
                <w:kern w:val="2"/>
                <w:sz w:val="24"/>
                <w:szCs w:val="24"/>
                <w:lang w:eastAsia="zh-CN"/>
              </w:rPr>
            </w:pPr>
            <w:r>
              <w:rPr>
                <w:rFonts w:eastAsia="华文楷体" w:hint="eastAsia"/>
                <w:color w:val="auto"/>
                <w:sz w:val="24"/>
                <w:szCs w:val="24"/>
                <w:lang w:eastAsia="zh-CN"/>
              </w:rPr>
              <w:t>设备名称：抓斗船（</w:t>
            </w:r>
            <w:r>
              <w:rPr>
                <w:rFonts w:eastAsia="华文楷体" w:hint="eastAsia"/>
                <w:color w:val="auto"/>
                <w:sz w:val="24"/>
                <w:szCs w:val="24"/>
                <w:lang w:eastAsia="zh-CN"/>
              </w:rPr>
              <w:t>13m</w:t>
            </w:r>
            <w:r>
              <w:rPr>
                <w:rFonts w:eastAsia="华文楷体" w:hint="eastAsia"/>
                <w:color w:val="auto"/>
                <w:sz w:val="24"/>
                <w:szCs w:val="24"/>
                <w:lang w:eastAsia="zh-CN"/>
              </w:rPr>
              <w:t>³</w:t>
            </w:r>
            <w:r>
              <w:rPr>
                <w:rFonts w:eastAsia="华文楷体" w:hint="eastAsia"/>
                <w:color w:val="auto"/>
                <w:sz w:val="24"/>
                <w:szCs w:val="24"/>
                <w:lang w:eastAsia="zh-CN"/>
              </w:rPr>
              <w:t>/</w:t>
            </w:r>
            <w:r>
              <w:rPr>
                <w:rFonts w:eastAsia="华文楷体" w:hint="eastAsia"/>
                <w:color w:val="auto"/>
                <w:sz w:val="24"/>
                <w:szCs w:val="24"/>
                <w:lang w:eastAsia="zh-CN"/>
              </w:rPr>
              <w:t>斗）</w:t>
            </w:r>
          </w:p>
        </w:tc>
        <w:tc>
          <w:tcPr>
            <w:tcW w:w="4746" w:type="dxa"/>
            <w:vAlign w:val="center"/>
          </w:tcPr>
          <w:p w14:paraId="4812BE46" w14:textId="77777777" w:rsidR="0075791A" w:rsidRDefault="00FB2864">
            <w:pPr>
              <w:jc w:val="center"/>
              <w:rPr>
                <w:rFonts w:eastAsia="华文楷体"/>
                <w:color w:val="auto"/>
                <w:kern w:val="2"/>
                <w:sz w:val="24"/>
                <w:szCs w:val="24"/>
                <w:lang w:eastAsia="zh-CN"/>
              </w:rPr>
            </w:pPr>
            <w:r>
              <w:rPr>
                <w:rFonts w:eastAsia="华文楷体" w:hint="eastAsia"/>
                <w:color w:val="auto"/>
                <w:sz w:val="24"/>
                <w:szCs w:val="24"/>
                <w:lang w:eastAsia="zh-CN"/>
              </w:rPr>
              <w:t>设备名称：泥驳船</w:t>
            </w:r>
            <w:r>
              <w:rPr>
                <w:rFonts w:eastAsia="华文楷体" w:hint="eastAsia"/>
                <w:color w:val="auto"/>
                <w:sz w:val="24"/>
                <w:szCs w:val="24"/>
                <w:lang w:eastAsia="zh-CN"/>
              </w:rPr>
              <w:t>(290t/</w:t>
            </w:r>
            <w:r>
              <w:rPr>
                <w:rFonts w:eastAsia="华文楷体" w:hint="eastAsia"/>
                <w:color w:val="auto"/>
                <w:sz w:val="24"/>
                <w:szCs w:val="24"/>
                <w:lang w:eastAsia="zh-CN"/>
              </w:rPr>
              <w:t>船</w:t>
            </w:r>
            <w:r>
              <w:rPr>
                <w:rFonts w:eastAsia="华文楷体" w:hint="eastAsia"/>
                <w:color w:val="auto"/>
                <w:sz w:val="24"/>
                <w:szCs w:val="24"/>
                <w:lang w:eastAsia="zh-CN"/>
              </w:rPr>
              <w:t>)</w:t>
            </w:r>
          </w:p>
        </w:tc>
      </w:tr>
      <w:tr w:rsidR="0075791A" w14:paraId="1D7F4966" w14:textId="77777777">
        <w:trPr>
          <w:jc w:val="center"/>
        </w:trPr>
        <w:tc>
          <w:tcPr>
            <w:tcW w:w="4603" w:type="dxa"/>
            <w:vAlign w:val="center"/>
          </w:tcPr>
          <w:p w14:paraId="18A9CF8B" w14:textId="77777777" w:rsidR="0075791A" w:rsidRDefault="00FB2864">
            <w:pPr>
              <w:jc w:val="center"/>
              <w:rPr>
                <w:rFonts w:eastAsia="华文楷体"/>
                <w:color w:val="auto"/>
                <w:kern w:val="2"/>
                <w:sz w:val="24"/>
                <w:szCs w:val="24"/>
                <w:lang w:eastAsia="zh-CN"/>
              </w:rPr>
            </w:pPr>
            <w:r>
              <w:rPr>
                <w:noProof/>
                <w:color w:val="auto"/>
              </w:rPr>
              <w:drawing>
                <wp:inline distT="0" distB="0" distL="114300" distR="114300" wp14:anchorId="5E4A7D2B" wp14:editId="6AB0B7E8">
                  <wp:extent cx="2611755" cy="1727835"/>
                  <wp:effectExtent l="0" t="0" r="9525" b="9525"/>
                  <wp:docPr id="170"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05"/>
                          <pic:cNvPicPr>
                            <a:picLocks noChangeAspect="1"/>
                          </pic:cNvPicPr>
                        </pic:nvPicPr>
                        <pic:blipFill>
                          <a:blip r:embed="rId31"/>
                          <a:stretch>
                            <a:fillRect/>
                          </a:stretch>
                        </pic:blipFill>
                        <pic:spPr>
                          <a:xfrm>
                            <a:off x="0" y="0"/>
                            <a:ext cx="2611755" cy="1727835"/>
                          </a:xfrm>
                          <a:prstGeom prst="rect">
                            <a:avLst/>
                          </a:prstGeom>
                          <a:noFill/>
                          <a:ln>
                            <a:noFill/>
                          </a:ln>
                        </pic:spPr>
                      </pic:pic>
                    </a:graphicData>
                  </a:graphic>
                </wp:inline>
              </w:drawing>
            </w:r>
          </w:p>
        </w:tc>
        <w:tc>
          <w:tcPr>
            <w:tcW w:w="4746" w:type="dxa"/>
            <w:vAlign w:val="center"/>
          </w:tcPr>
          <w:p w14:paraId="458BC131" w14:textId="77777777" w:rsidR="0075791A" w:rsidRDefault="00FB2864">
            <w:pPr>
              <w:jc w:val="center"/>
              <w:rPr>
                <w:rFonts w:eastAsia="华文楷体"/>
                <w:color w:val="auto"/>
                <w:kern w:val="2"/>
                <w:sz w:val="24"/>
                <w:szCs w:val="24"/>
                <w:lang w:eastAsia="zh-CN"/>
              </w:rPr>
            </w:pPr>
            <w:r>
              <w:rPr>
                <w:noProof/>
                <w:color w:val="auto"/>
              </w:rPr>
              <w:drawing>
                <wp:inline distT="0" distB="0" distL="114300" distR="114300" wp14:anchorId="188C1E98" wp14:editId="527E627E">
                  <wp:extent cx="2883535" cy="1727835"/>
                  <wp:effectExtent l="0" t="0" r="12065" b="9525"/>
                  <wp:docPr id="163"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06"/>
                          <pic:cNvPicPr>
                            <a:picLocks noChangeAspect="1"/>
                          </pic:cNvPicPr>
                        </pic:nvPicPr>
                        <pic:blipFill>
                          <a:blip r:embed="rId32"/>
                          <a:stretch>
                            <a:fillRect/>
                          </a:stretch>
                        </pic:blipFill>
                        <pic:spPr>
                          <a:xfrm>
                            <a:off x="0" y="0"/>
                            <a:ext cx="2883535" cy="1727835"/>
                          </a:xfrm>
                          <a:prstGeom prst="rect">
                            <a:avLst/>
                          </a:prstGeom>
                          <a:noFill/>
                          <a:ln>
                            <a:noFill/>
                          </a:ln>
                        </pic:spPr>
                      </pic:pic>
                    </a:graphicData>
                  </a:graphic>
                </wp:inline>
              </w:drawing>
            </w:r>
          </w:p>
        </w:tc>
      </w:tr>
      <w:tr w:rsidR="0075791A" w14:paraId="7967F69B" w14:textId="77777777">
        <w:trPr>
          <w:jc w:val="center"/>
        </w:trPr>
        <w:tc>
          <w:tcPr>
            <w:tcW w:w="4603" w:type="dxa"/>
            <w:vAlign w:val="center"/>
          </w:tcPr>
          <w:p w14:paraId="372F844E" w14:textId="77777777" w:rsidR="0075791A" w:rsidRDefault="00FB2864">
            <w:pPr>
              <w:jc w:val="center"/>
              <w:rPr>
                <w:rFonts w:eastAsia="华文楷体"/>
                <w:color w:val="auto"/>
                <w:sz w:val="24"/>
                <w:szCs w:val="24"/>
                <w:lang w:eastAsia="zh-CN"/>
              </w:rPr>
            </w:pPr>
            <w:r>
              <w:rPr>
                <w:rFonts w:eastAsia="华文楷体" w:hint="eastAsia"/>
                <w:color w:val="auto"/>
                <w:sz w:val="24"/>
                <w:szCs w:val="24"/>
                <w:lang w:eastAsia="zh-CN"/>
              </w:rPr>
              <w:t>设备名称：吹泥船</w:t>
            </w:r>
            <w:r>
              <w:rPr>
                <w:rFonts w:eastAsia="华文楷体" w:hint="eastAsia"/>
                <w:color w:val="auto"/>
                <w:sz w:val="24"/>
                <w:szCs w:val="24"/>
                <w:lang w:eastAsia="zh-CN"/>
              </w:rPr>
              <w:t>(200m</w:t>
            </w:r>
            <w:r>
              <w:rPr>
                <w:rFonts w:eastAsia="华文楷体" w:hint="eastAsia"/>
                <w:color w:val="auto"/>
                <w:sz w:val="24"/>
                <w:szCs w:val="24"/>
                <w:lang w:eastAsia="zh-CN"/>
              </w:rPr>
              <w:t>³</w:t>
            </w:r>
            <w:r>
              <w:rPr>
                <w:rFonts w:eastAsia="华文楷体" w:hint="eastAsia"/>
                <w:color w:val="auto"/>
                <w:sz w:val="24"/>
                <w:szCs w:val="24"/>
                <w:lang w:eastAsia="zh-CN"/>
              </w:rPr>
              <w:t>/h)</w:t>
            </w:r>
          </w:p>
        </w:tc>
        <w:tc>
          <w:tcPr>
            <w:tcW w:w="4746" w:type="dxa"/>
            <w:vAlign w:val="center"/>
          </w:tcPr>
          <w:p w14:paraId="34F36B4B" w14:textId="77777777" w:rsidR="0075791A" w:rsidRDefault="00FB2864">
            <w:pPr>
              <w:jc w:val="center"/>
              <w:rPr>
                <w:rFonts w:eastAsia="华文楷体"/>
                <w:color w:val="auto"/>
                <w:sz w:val="24"/>
                <w:szCs w:val="24"/>
                <w:lang w:eastAsia="zh-CN"/>
              </w:rPr>
            </w:pPr>
            <w:r>
              <w:rPr>
                <w:rFonts w:eastAsia="华文楷体" w:hint="eastAsia"/>
                <w:color w:val="auto"/>
                <w:sz w:val="24"/>
                <w:szCs w:val="24"/>
                <w:lang w:eastAsia="zh-CN"/>
              </w:rPr>
              <w:t>材料名称：防污帘</w:t>
            </w:r>
          </w:p>
        </w:tc>
      </w:tr>
      <w:tr w:rsidR="0075791A" w14:paraId="60B14B51" w14:textId="77777777">
        <w:trPr>
          <w:jc w:val="center"/>
        </w:trPr>
        <w:tc>
          <w:tcPr>
            <w:tcW w:w="4603" w:type="dxa"/>
            <w:vAlign w:val="center"/>
          </w:tcPr>
          <w:p w14:paraId="246C9AC3" w14:textId="77777777" w:rsidR="0075791A" w:rsidRDefault="00FB2864">
            <w:pPr>
              <w:jc w:val="center"/>
              <w:rPr>
                <w:rFonts w:eastAsia="华文楷体"/>
                <w:color w:val="auto"/>
                <w:sz w:val="24"/>
                <w:szCs w:val="24"/>
                <w:lang w:eastAsia="zh-CN"/>
              </w:rPr>
            </w:pPr>
            <w:r>
              <w:rPr>
                <w:noProof/>
                <w:color w:val="auto"/>
              </w:rPr>
              <w:drawing>
                <wp:inline distT="0" distB="0" distL="114300" distR="114300" wp14:anchorId="55955B3B" wp14:editId="5DD9D002">
                  <wp:extent cx="2767965" cy="1727835"/>
                  <wp:effectExtent l="0" t="0" r="5715" b="9525"/>
                  <wp:docPr id="172"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07"/>
                          <pic:cNvPicPr>
                            <a:picLocks noChangeAspect="1"/>
                          </pic:cNvPicPr>
                        </pic:nvPicPr>
                        <pic:blipFill>
                          <a:blip r:embed="rId33"/>
                          <a:stretch>
                            <a:fillRect/>
                          </a:stretch>
                        </pic:blipFill>
                        <pic:spPr>
                          <a:xfrm>
                            <a:off x="0" y="0"/>
                            <a:ext cx="2767965" cy="1727835"/>
                          </a:xfrm>
                          <a:prstGeom prst="rect">
                            <a:avLst/>
                          </a:prstGeom>
                          <a:noFill/>
                          <a:ln>
                            <a:noFill/>
                          </a:ln>
                        </pic:spPr>
                      </pic:pic>
                    </a:graphicData>
                  </a:graphic>
                </wp:inline>
              </w:drawing>
            </w:r>
          </w:p>
        </w:tc>
        <w:tc>
          <w:tcPr>
            <w:tcW w:w="4746" w:type="dxa"/>
            <w:vAlign w:val="center"/>
          </w:tcPr>
          <w:p w14:paraId="7579E774" w14:textId="77777777" w:rsidR="0075791A" w:rsidRDefault="0075791A">
            <w:pPr>
              <w:jc w:val="center"/>
              <w:rPr>
                <w:rFonts w:eastAsia="华文楷体"/>
                <w:color w:val="auto"/>
                <w:sz w:val="24"/>
                <w:szCs w:val="24"/>
                <w:lang w:eastAsia="zh-CN"/>
              </w:rPr>
            </w:pPr>
          </w:p>
        </w:tc>
      </w:tr>
      <w:tr w:rsidR="0075791A" w14:paraId="448C08D8" w14:textId="77777777">
        <w:trPr>
          <w:jc w:val="center"/>
        </w:trPr>
        <w:tc>
          <w:tcPr>
            <w:tcW w:w="4603" w:type="dxa"/>
            <w:vAlign w:val="center"/>
          </w:tcPr>
          <w:p w14:paraId="0CA35E23" w14:textId="77777777" w:rsidR="0075791A" w:rsidRDefault="00FB2864">
            <w:pPr>
              <w:jc w:val="center"/>
              <w:rPr>
                <w:rFonts w:eastAsia="华文楷体"/>
                <w:color w:val="auto"/>
                <w:kern w:val="2"/>
                <w:sz w:val="24"/>
                <w:szCs w:val="24"/>
                <w:lang w:eastAsia="zh-CN"/>
              </w:rPr>
            </w:pPr>
            <w:r>
              <w:rPr>
                <w:rFonts w:eastAsia="华文楷体" w:hint="eastAsia"/>
                <w:color w:val="auto"/>
                <w:sz w:val="24"/>
                <w:szCs w:val="24"/>
                <w:lang w:eastAsia="zh-CN"/>
              </w:rPr>
              <w:t>设备名称：水路两栖挖机（</w:t>
            </w:r>
            <w:r>
              <w:rPr>
                <w:rFonts w:eastAsia="华文楷体" w:hint="eastAsia"/>
                <w:color w:val="auto"/>
                <w:sz w:val="24"/>
                <w:szCs w:val="24"/>
                <w:lang w:eastAsia="zh-CN"/>
              </w:rPr>
              <w:t>0.8m</w:t>
            </w:r>
            <w:r>
              <w:rPr>
                <w:rFonts w:eastAsia="华文楷体" w:hint="eastAsia"/>
                <w:color w:val="auto"/>
                <w:sz w:val="24"/>
                <w:szCs w:val="24"/>
                <w:lang w:eastAsia="zh-CN"/>
              </w:rPr>
              <w:t>³</w:t>
            </w:r>
            <w:r>
              <w:rPr>
                <w:rFonts w:eastAsia="华文楷体" w:hint="eastAsia"/>
                <w:color w:val="auto"/>
                <w:sz w:val="24"/>
                <w:szCs w:val="24"/>
                <w:lang w:eastAsia="zh-CN"/>
              </w:rPr>
              <w:t>/</w:t>
            </w:r>
            <w:r>
              <w:rPr>
                <w:rFonts w:eastAsia="华文楷体" w:hint="eastAsia"/>
                <w:color w:val="auto"/>
                <w:sz w:val="24"/>
                <w:szCs w:val="24"/>
                <w:lang w:eastAsia="zh-CN"/>
              </w:rPr>
              <w:t>斗）</w:t>
            </w:r>
          </w:p>
        </w:tc>
        <w:tc>
          <w:tcPr>
            <w:tcW w:w="4746" w:type="dxa"/>
            <w:vAlign w:val="center"/>
          </w:tcPr>
          <w:p w14:paraId="725F13EB" w14:textId="77777777" w:rsidR="0075791A" w:rsidRDefault="0075791A">
            <w:pPr>
              <w:jc w:val="center"/>
              <w:rPr>
                <w:rFonts w:eastAsia="华文楷体"/>
                <w:color w:val="auto"/>
                <w:sz w:val="24"/>
                <w:szCs w:val="24"/>
                <w:lang w:eastAsia="zh-CN"/>
              </w:rPr>
            </w:pPr>
          </w:p>
        </w:tc>
      </w:tr>
    </w:tbl>
    <w:p w14:paraId="4B3C24A7" w14:textId="77777777" w:rsidR="0075791A" w:rsidRDefault="0075791A">
      <w:pPr>
        <w:pStyle w:val="a5"/>
        <w:rPr>
          <w:color w:val="auto"/>
          <w:lang w:eastAsia="zh-CN"/>
        </w:rPr>
      </w:pPr>
    </w:p>
    <w:p w14:paraId="5D5700DE" w14:textId="77777777" w:rsidR="0075791A" w:rsidRDefault="00FB2864">
      <w:pPr>
        <w:pStyle w:val="a5"/>
        <w:jc w:val="center"/>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表</w:t>
      </w:r>
      <w:r>
        <w:rPr>
          <w:rFonts w:ascii="Times New Roman" w:eastAsia="宋体" w:hAnsi="Times New Roman" w:cs="宋体" w:hint="eastAsia"/>
          <w:color w:val="auto"/>
          <w:sz w:val="24"/>
          <w:szCs w:val="24"/>
          <w:lang w:eastAsia="zh-CN"/>
        </w:rPr>
        <w:t>2.3.2-2</w:t>
      </w:r>
      <w:r>
        <w:rPr>
          <w:rFonts w:ascii="Times New Roman" w:eastAsia="宋体" w:hAnsi="Times New Roman" w:cs="宋体" w:hint="eastAsia"/>
          <w:color w:val="auto"/>
          <w:sz w:val="24"/>
          <w:szCs w:val="24"/>
          <w:lang w:eastAsia="zh-CN"/>
        </w:rPr>
        <w:t>根据本施工方案拟配置的设备机械及工器具表</w:t>
      </w:r>
    </w:p>
    <w:tbl>
      <w:tblPr>
        <w:tblW w:w="0" w:type="auto"/>
        <w:jc w:val="center"/>
        <w:tblBorders>
          <w:top w:val="double" w:sz="4" w:space="0" w:color="auto"/>
          <w:left w:val="double" w:sz="4" w:space="0" w:color="auto"/>
          <w:bottom w:val="double" w:sz="4" w:space="0" w:color="auto"/>
          <w:right w:val="double" w:sz="4" w:space="0" w:color="auto"/>
          <w:insideH w:val="single" w:sz="6" w:space="0" w:color="0000FF"/>
          <w:insideV w:val="single" w:sz="6" w:space="0" w:color="0000FF"/>
        </w:tblBorders>
        <w:tblLayout w:type="fixed"/>
        <w:tblLook w:val="04A0" w:firstRow="1" w:lastRow="0" w:firstColumn="1" w:lastColumn="0" w:noHBand="0" w:noVBand="1"/>
      </w:tblPr>
      <w:tblGrid>
        <w:gridCol w:w="990"/>
        <w:gridCol w:w="2246"/>
        <w:gridCol w:w="1701"/>
        <w:gridCol w:w="850"/>
        <w:gridCol w:w="709"/>
        <w:gridCol w:w="1134"/>
        <w:gridCol w:w="1413"/>
      </w:tblGrid>
      <w:tr w:rsidR="0075791A" w14:paraId="03E6DCA4" w14:textId="77777777">
        <w:trPr>
          <w:trHeight w:val="397"/>
          <w:tblHeader/>
          <w:jc w:val="center"/>
        </w:trPr>
        <w:tc>
          <w:tcPr>
            <w:tcW w:w="990" w:type="dxa"/>
            <w:tcBorders>
              <w:top w:val="double" w:sz="4" w:space="0" w:color="auto"/>
            </w:tcBorders>
            <w:shd w:val="clear" w:color="auto" w:fill="CCECFF"/>
            <w:vAlign w:val="center"/>
          </w:tcPr>
          <w:p w14:paraId="6DC93B8F" w14:textId="77777777" w:rsidR="0075791A" w:rsidRDefault="00FB2864">
            <w:pPr>
              <w:pStyle w:val="af4"/>
              <w:rPr>
                <w:color w:val="auto"/>
              </w:rPr>
            </w:pPr>
            <w:r>
              <w:rPr>
                <w:rFonts w:hint="eastAsia"/>
                <w:color w:val="auto"/>
              </w:rPr>
              <w:t>序号</w:t>
            </w:r>
          </w:p>
        </w:tc>
        <w:tc>
          <w:tcPr>
            <w:tcW w:w="2246" w:type="dxa"/>
            <w:tcBorders>
              <w:top w:val="double" w:sz="4" w:space="0" w:color="auto"/>
            </w:tcBorders>
            <w:shd w:val="clear" w:color="auto" w:fill="CCECFF"/>
            <w:vAlign w:val="center"/>
          </w:tcPr>
          <w:p w14:paraId="5BFEC0E7" w14:textId="77777777" w:rsidR="0075791A" w:rsidRDefault="00FB2864">
            <w:pPr>
              <w:pStyle w:val="af4"/>
              <w:rPr>
                <w:color w:val="auto"/>
              </w:rPr>
            </w:pPr>
            <w:r>
              <w:rPr>
                <w:rFonts w:hint="eastAsia"/>
                <w:color w:val="auto"/>
              </w:rPr>
              <w:t>名称</w:t>
            </w:r>
          </w:p>
        </w:tc>
        <w:tc>
          <w:tcPr>
            <w:tcW w:w="1701" w:type="dxa"/>
            <w:tcBorders>
              <w:top w:val="double" w:sz="4" w:space="0" w:color="auto"/>
            </w:tcBorders>
            <w:shd w:val="clear" w:color="auto" w:fill="CCECFF"/>
            <w:vAlign w:val="center"/>
          </w:tcPr>
          <w:p w14:paraId="573B43BF" w14:textId="77777777" w:rsidR="0075791A" w:rsidRDefault="00FB2864">
            <w:pPr>
              <w:pStyle w:val="af4"/>
              <w:rPr>
                <w:color w:val="auto"/>
              </w:rPr>
            </w:pPr>
            <w:r>
              <w:rPr>
                <w:rFonts w:hint="eastAsia"/>
                <w:color w:val="auto"/>
              </w:rPr>
              <w:t>规格型号</w:t>
            </w:r>
          </w:p>
        </w:tc>
        <w:tc>
          <w:tcPr>
            <w:tcW w:w="850" w:type="dxa"/>
            <w:tcBorders>
              <w:top w:val="double" w:sz="4" w:space="0" w:color="auto"/>
            </w:tcBorders>
            <w:shd w:val="clear" w:color="auto" w:fill="CCECFF"/>
            <w:vAlign w:val="center"/>
          </w:tcPr>
          <w:p w14:paraId="17A2CA76" w14:textId="77777777" w:rsidR="0075791A" w:rsidRDefault="00FB2864">
            <w:pPr>
              <w:pStyle w:val="af4"/>
              <w:rPr>
                <w:color w:val="auto"/>
              </w:rPr>
            </w:pPr>
            <w:r>
              <w:rPr>
                <w:rFonts w:hint="eastAsia"/>
                <w:color w:val="auto"/>
              </w:rPr>
              <w:t>数量</w:t>
            </w:r>
          </w:p>
        </w:tc>
        <w:tc>
          <w:tcPr>
            <w:tcW w:w="709" w:type="dxa"/>
            <w:tcBorders>
              <w:top w:val="double" w:sz="4" w:space="0" w:color="auto"/>
            </w:tcBorders>
            <w:shd w:val="clear" w:color="auto" w:fill="CCECFF"/>
            <w:vAlign w:val="center"/>
          </w:tcPr>
          <w:p w14:paraId="5B3DBCB3" w14:textId="77777777" w:rsidR="0075791A" w:rsidRDefault="00FB2864">
            <w:pPr>
              <w:pStyle w:val="af4"/>
              <w:rPr>
                <w:color w:val="auto"/>
              </w:rPr>
            </w:pPr>
            <w:r>
              <w:rPr>
                <w:rFonts w:hint="eastAsia"/>
                <w:color w:val="auto"/>
              </w:rPr>
              <w:t>产地</w:t>
            </w:r>
          </w:p>
        </w:tc>
        <w:tc>
          <w:tcPr>
            <w:tcW w:w="1134" w:type="dxa"/>
            <w:tcBorders>
              <w:top w:val="double" w:sz="4" w:space="0" w:color="auto"/>
            </w:tcBorders>
            <w:shd w:val="clear" w:color="auto" w:fill="CCECFF"/>
            <w:vAlign w:val="center"/>
          </w:tcPr>
          <w:p w14:paraId="6A7D02D4" w14:textId="77777777" w:rsidR="0075791A" w:rsidRDefault="00FB2864">
            <w:pPr>
              <w:pStyle w:val="af4"/>
              <w:rPr>
                <w:color w:val="auto"/>
              </w:rPr>
            </w:pPr>
            <w:r>
              <w:rPr>
                <w:rFonts w:hint="eastAsia"/>
                <w:color w:val="auto"/>
              </w:rPr>
              <w:t>额定功率（</w:t>
            </w:r>
            <w:r>
              <w:rPr>
                <w:color w:val="auto"/>
              </w:rPr>
              <w:t>KW</w:t>
            </w:r>
            <w:r>
              <w:rPr>
                <w:rFonts w:hint="eastAsia"/>
                <w:color w:val="auto"/>
              </w:rPr>
              <w:t>）</w:t>
            </w:r>
          </w:p>
        </w:tc>
        <w:tc>
          <w:tcPr>
            <w:tcW w:w="1413" w:type="dxa"/>
            <w:tcBorders>
              <w:top w:val="double" w:sz="4" w:space="0" w:color="auto"/>
            </w:tcBorders>
            <w:shd w:val="clear" w:color="auto" w:fill="CCECFF"/>
            <w:vAlign w:val="center"/>
          </w:tcPr>
          <w:p w14:paraId="58E27D1E" w14:textId="77777777" w:rsidR="0075791A" w:rsidRDefault="00FB2864">
            <w:pPr>
              <w:pStyle w:val="af4"/>
              <w:rPr>
                <w:color w:val="auto"/>
              </w:rPr>
            </w:pPr>
            <w:r>
              <w:rPr>
                <w:rFonts w:hint="eastAsia"/>
                <w:color w:val="auto"/>
              </w:rPr>
              <w:t>备注</w:t>
            </w:r>
          </w:p>
        </w:tc>
      </w:tr>
      <w:tr w:rsidR="0075791A" w14:paraId="24CCB205" w14:textId="77777777">
        <w:trPr>
          <w:trHeight w:val="387"/>
          <w:jc w:val="center"/>
        </w:trPr>
        <w:tc>
          <w:tcPr>
            <w:tcW w:w="9043" w:type="dxa"/>
            <w:gridSpan w:val="7"/>
            <w:vAlign w:val="center"/>
          </w:tcPr>
          <w:p w14:paraId="4AAB32E7" w14:textId="77777777" w:rsidR="0075791A" w:rsidRDefault="00FB2864">
            <w:pPr>
              <w:pStyle w:val="af4"/>
              <w:rPr>
                <w:color w:val="auto"/>
              </w:rPr>
            </w:pPr>
            <w:r>
              <w:rPr>
                <w:rFonts w:hint="eastAsia"/>
                <w:color w:val="auto"/>
                <w:lang w:eastAsia="zh-CN"/>
              </w:rPr>
              <w:t>机械设备</w:t>
            </w:r>
          </w:p>
        </w:tc>
      </w:tr>
      <w:tr w:rsidR="0075791A" w14:paraId="1C68F9A3" w14:textId="77777777">
        <w:trPr>
          <w:trHeight w:val="387"/>
          <w:jc w:val="center"/>
        </w:trPr>
        <w:tc>
          <w:tcPr>
            <w:tcW w:w="990" w:type="dxa"/>
            <w:vAlign w:val="center"/>
          </w:tcPr>
          <w:p w14:paraId="5BD62515" w14:textId="77777777" w:rsidR="0075791A" w:rsidRDefault="00FB2864">
            <w:pPr>
              <w:pStyle w:val="af4"/>
              <w:rPr>
                <w:color w:val="auto"/>
                <w:lang w:eastAsia="zh-CN"/>
              </w:rPr>
            </w:pPr>
            <w:r>
              <w:rPr>
                <w:rFonts w:hint="eastAsia"/>
                <w:color w:val="auto"/>
                <w:lang w:eastAsia="zh-CN"/>
              </w:rPr>
              <w:t>1</w:t>
            </w:r>
          </w:p>
        </w:tc>
        <w:tc>
          <w:tcPr>
            <w:tcW w:w="2246" w:type="dxa"/>
            <w:vAlign w:val="center"/>
          </w:tcPr>
          <w:p w14:paraId="41598A78" w14:textId="77777777" w:rsidR="0075791A" w:rsidRDefault="00FB2864">
            <w:pPr>
              <w:pStyle w:val="af4"/>
              <w:rPr>
                <w:color w:val="auto"/>
                <w:lang w:eastAsia="zh-CN"/>
              </w:rPr>
            </w:pPr>
            <w:r>
              <w:rPr>
                <w:rFonts w:hint="eastAsia"/>
                <w:color w:val="auto"/>
                <w:lang w:eastAsia="zh-CN"/>
              </w:rPr>
              <w:t>抓斗式挖泥船</w:t>
            </w:r>
          </w:p>
        </w:tc>
        <w:tc>
          <w:tcPr>
            <w:tcW w:w="1701" w:type="dxa"/>
            <w:vAlign w:val="center"/>
          </w:tcPr>
          <w:p w14:paraId="2321F064" w14:textId="77777777" w:rsidR="0075791A" w:rsidRDefault="00FB2864">
            <w:pPr>
              <w:pStyle w:val="af4"/>
              <w:rPr>
                <w:color w:val="auto"/>
                <w:lang w:eastAsia="zh-CN"/>
              </w:rPr>
            </w:pPr>
            <w:r>
              <w:rPr>
                <w:rFonts w:hint="eastAsia"/>
                <w:color w:val="auto"/>
                <w:lang w:eastAsia="zh-CN"/>
              </w:rPr>
              <w:t>10m</w:t>
            </w:r>
            <w:r>
              <w:rPr>
                <w:rFonts w:hint="eastAsia"/>
                <w:color w:val="auto"/>
                <w:lang w:eastAsia="zh-CN"/>
              </w:rPr>
              <w:t>³</w:t>
            </w:r>
            <w:r>
              <w:rPr>
                <w:rFonts w:hint="eastAsia"/>
                <w:color w:val="auto"/>
                <w:lang w:eastAsia="zh-CN"/>
              </w:rPr>
              <w:t>/</w:t>
            </w:r>
            <w:r>
              <w:rPr>
                <w:rFonts w:hint="eastAsia"/>
                <w:color w:val="auto"/>
                <w:lang w:eastAsia="zh-CN"/>
              </w:rPr>
              <w:t>斗</w:t>
            </w:r>
          </w:p>
        </w:tc>
        <w:tc>
          <w:tcPr>
            <w:tcW w:w="850" w:type="dxa"/>
            <w:vAlign w:val="center"/>
          </w:tcPr>
          <w:p w14:paraId="680FFB27" w14:textId="77777777" w:rsidR="0075791A" w:rsidRDefault="00FB2864">
            <w:pPr>
              <w:pStyle w:val="af4"/>
              <w:rPr>
                <w:color w:val="auto"/>
                <w:lang w:eastAsia="zh-CN"/>
              </w:rPr>
            </w:pPr>
            <w:r>
              <w:rPr>
                <w:rFonts w:hint="eastAsia"/>
                <w:color w:val="auto"/>
                <w:lang w:eastAsia="zh-CN"/>
              </w:rPr>
              <w:t>1</w:t>
            </w:r>
            <w:r>
              <w:rPr>
                <w:rFonts w:hint="eastAsia"/>
                <w:color w:val="auto"/>
                <w:lang w:eastAsia="zh-CN"/>
              </w:rPr>
              <w:t>艘</w:t>
            </w:r>
          </w:p>
        </w:tc>
        <w:tc>
          <w:tcPr>
            <w:tcW w:w="709" w:type="dxa"/>
            <w:vAlign w:val="center"/>
          </w:tcPr>
          <w:p w14:paraId="4822E44E" w14:textId="77777777" w:rsidR="0075791A" w:rsidRDefault="00FB2864">
            <w:pPr>
              <w:pStyle w:val="af4"/>
              <w:rPr>
                <w:color w:val="auto"/>
                <w:lang w:eastAsia="zh-CN"/>
              </w:rPr>
            </w:pPr>
            <w:r>
              <w:rPr>
                <w:rFonts w:hint="eastAsia"/>
                <w:color w:val="auto"/>
                <w:lang w:eastAsia="zh-CN"/>
              </w:rPr>
              <w:t>/</w:t>
            </w:r>
          </w:p>
        </w:tc>
        <w:tc>
          <w:tcPr>
            <w:tcW w:w="1134" w:type="dxa"/>
            <w:vAlign w:val="center"/>
          </w:tcPr>
          <w:p w14:paraId="7D9D55B4" w14:textId="77777777" w:rsidR="0075791A" w:rsidRDefault="00FB2864">
            <w:pPr>
              <w:pStyle w:val="af4"/>
              <w:rPr>
                <w:color w:val="auto"/>
                <w:lang w:eastAsia="zh-CN"/>
              </w:rPr>
            </w:pPr>
            <w:r>
              <w:rPr>
                <w:rFonts w:hint="eastAsia"/>
                <w:color w:val="auto"/>
                <w:lang w:eastAsia="zh-CN"/>
              </w:rPr>
              <w:t>/</w:t>
            </w:r>
          </w:p>
        </w:tc>
        <w:tc>
          <w:tcPr>
            <w:tcW w:w="1413" w:type="dxa"/>
            <w:vAlign w:val="center"/>
          </w:tcPr>
          <w:p w14:paraId="17EDE4A3" w14:textId="77777777" w:rsidR="0075791A" w:rsidRDefault="0075791A">
            <w:pPr>
              <w:pStyle w:val="af4"/>
              <w:rPr>
                <w:color w:val="auto"/>
              </w:rPr>
            </w:pPr>
          </w:p>
        </w:tc>
      </w:tr>
      <w:tr w:rsidR="0075791A" w14:paraId="15E084AF" w14:textId="77777777">
        <w:trPr>
          <w:trHeight w:val="387"/>
          <w:jc w:val="center"/>
        </w:trPr>
        <w:tc>
          <w:tcPr>
            <w:tcW w:w="990" w:type="dxa"/>
            <w:vAlign w:val="center"/>
          </w:tcPr>
          <w:p w14:paraId="023DB371" w14:textId="77777777" w:rsidR="0075791A" w:rsidRDefault="00FB2864">
            <w:pPr>
              <w:pStyle w:val="af4"/>
              <w:rPr>
                <w:color w:val="auto"/>
                <w:lang w:eastAsia="zh-CN"/>
              </w:rPr>
            </w:pPr>
            <w:r>
              <w:rPr>
                <w:rFonts w:hint="eastAsia"/>
                <w:color w:val="auto"/>
                <w:lang w:eastAsia="zh-CN"/>
              </w:rPr>
              <w:t>2</w:t>
            </w:r>
          </w:p>
        </w:tc>
        <w:tc>
          <w:tcPr>
            <w:tcW w:w="2246" w:type="dxa"/>
            <w:vAlign w:val="center"/>
          </w:tcPr>
          <w:p w14:paraId="1419A5A2" w14:textId="77777777" w:rsidR="0075791A" w:rsidRDefault="00FB2864">
            <w:pPr>
              <w:pStyle w:val="af4"/>
              <w:rPr>
                <w:color w:val="auto"/>
                <w:lang w:eastAsia="zh-CN"/>
              </w:rPr>
            </w:pPr>
            <w:r>
              <w:rPr>
                <w:rFonts w:hint="eastAsia"/>
                <w:color w:val="auto"/>
                <w:lang w:eastAsia="zh-CN"/>
              </w:rPr>
              <w:t>泥驳船</w:t>
            </w:r>
          </w:p>
        </w:tc>
        <w:tc>
          <w:tcPr>
            <w:tcW w:w="1701" w:type="dxa"/>
            <w:vAlign w:val="center"/>
          </w:tcPr>
          <w:p w14:paraId="36F3F871" w14:textId="77777777" w:rsidR="0075791A" w:rsidRDefault="00FB2864">
            <w:pPr>
              <w:pStyle w:val="af4"/>
              <w:rPr>
                <w:color w:val="auto"/>
                <w:lang w:eastAsia="zh-CN"/>
              </w:rPr>
            </w:pPr>
            <w:r>
              <w:rPr>
                <w:rFonts w:hint="eastAsia"/>
                <w:color w:val="auto"/>
                <w:lang w:eastAsia="zh-CN"/>
              </w:rPr>
              <w:t>载货量</w:t>
            </w:r>
            <w:r>
              <w:rPr>
                <w:rFonts w:hint="eastAsia"/>
                <w:color w:val="auto"/>
                <w:lang w:eastAsia="zh-CN"/>
              </w:rPr>
              <w:t>300t/</w:t>
            </w:r>
            <w:r>
              <w:rPr>
                <w:rFonts w:hint="eastAsia"/>
                <w:color w:val="auto"/>
                <w:lang w:eastAsia="zh-CN"/>
              </w:rPr>
              <w:t>船</w:t>
            </w:r>
          </w:p>
        </w:tc>
        <w:tc>
          <w:tcPr>
            <w:tcW w:w="850" w:type="dxa"/>
            <w:vAlign w:val="center"/>
          </w:tcPr>
          <w:p w14:paraId="488EE78F" w14:textId="77777777" w:rsidR="0075791A" w:rsidRDefault="00FB2864">
            <w:pPr>
              <w:pStyle w:val="af4"/>
              <w:rPr>
                <w:color w:val="auto"/>
                <w:lang w:eastAsia="zh-CN"/>
              </w:rPr>
            </w:pPr>
            <w:r>
              <w:rPr>
                <w:rFonts w:hint="eastAsia"/>
                <w:color w:val="auto"/>
                <w:lang w:eastAsia="zh-CN"/>
              </w:rPr>
              <w:t>4</w:t>
            </w:r>
            <w:r>
              <w:rPr>
                <w:rFonts w:hint="eastAsia"/>
                <w:color w:val="auto"/>
                <w:lang w:eastAsia="zh-CN"/>
              </w:rPr>
              <w:t>艘</w:t>
            </w:r>
          </w:p>
        </w:tc>
        <w:tc>
          <w:tcPr>
            <w:tcW w:w="709" w:type="dxa"/>
            <w:vAlign w:val="center"/>
          </w:tcPr>
          <w:p w14:paraId="2D5630FE" w14:textId="77777777" w:rsidR="0075791A" w:rsidRDefault="00FB2864">
            <w:pPr>
              <w:pStyle w:val="af4"/>
              <w:rPr>
                <w:color w:val="auto"/>
                <w:lang w:eastAsia="zh-CN"/>
              </w:rPr>
            </w:pPr>
            <w:r>
              <w:rPr>
                <w:rFonts w:hint="eastAsia"/>
                <w:color w:val="auto"/>
                <w:lang w:eastAsia="zh-CN"/>
              </w:rPr>
              <w:t>/</w:t>
            </w:r>
          </w:p>
        </w:tc>
        <w:tc>
          <w:tcPr>
            <w:tcW w:w="1134" w:type="dxa"/>
            <w:vAlign w:val="center"/>
          </w:tcPr>
          <w:p w14:paraId="5EA24428" w14:textId="77777777" w:rsidR="0075791A" w:rsidRDefault="00FB2864">
            <w:pPr>
              <w:pStyle w:val="af4"/>
              <w:rPr>
                <w:color w:val="auto"/>
                <w:lang w:eastAsia="zh-CN"/>
              </w:rPr>
            </w:pPr>
            <w:r>
              <w:rPr>
                <w:rFonts w:hint="eastAsia"/>
                <w:color w:val="auto"/>
                <w:lang w:eastAsia="zh-CN"/>
              </w:rPr>
              <w:t>/</w:t>
            </w:r>
          </w:p>
        </w:tc>
        <w:tc>
          <w:tcPr>
            <w:tcW w:w="1413" w:type="dxa"/>
            <w:vAlign w:val="center"/>
          </w:tcPr>
          <w:p w14:paraId="121DA21A" w14:textId="77777777" w:rsidR="0075791A" w:rsidRDefault="0075791A">
            <w:pPr>
              <w:pStyle w:val="af4"/>
              <w:rPr>
                <w:color w:val="auto"/>
              </w:rPr>
            </w:pPr>
          </w:p>
        </w:tc>
      </w:tr>
      <w:tr w:rsidR="0075791A" w14:paraId="2736F466" w14:textId="77777777">
        <w:trPr>
          <w:trHeight w:val="387"/>
          <w:jc w:val="center"/>
        </w:trPr>
        <w:tc>
          <w:tcPr>
            <w:tcW w:w="990" w:type="dxa"/>
            <w:vAlign w:val="center"/>
          </w:tcPr>
          <w:p w14:paraId="614EDAC1" w14:textId="77777777" w:rsidR="0075791A" w:rsidRDefault="00FB2864">
            <w:pPr>
              <w:pStyle w:val="af4"/>
              <w:rPr>
                <w:color w:val="auto"/>
                <w:lang w:eastAsia="zh-CN"/>
              </w:rPr>
            </w:pPr>
            <w:r>
              <w:rPr>
                <w:rFonts w:hint="eastAsia"/>
                <w:color w:val="auto"/>
                <w:lang w:eastAsia="zh-CN"/>
              </w:rPr>
              <w:t>3</w:t>
            </w:r>
          </w:p>
        </w:tc>
        <w:tc>
          <w:tcPr>
            <w:tcW w:w="2246" w:type="dxa"/>
            <w:vAlign w:val="center"/>
          </w:tcPr>
          <w:p w14:paraId="292B0C42" w14:textId="77777777" w:rsidR="0075791A" w:rsidRDefault="00FB2864">
            <w:pPr>
              <w:pStyle w:val="af4"/>
              <w:rPr>
                <w:color w:val="auto"/>
                <w:lang w:eastAsia="zh-CN"/>
              </w:rPr>
            </w:pPr>
            <w:r>
              <w:rPr>
                <w:rFonts w:hint="eastAsia"/>
                <w:color w:val="auto"/>
                <w:lang w:eastAsia="zh-CN"/>
              </w:rPr>
              <w:t>吹泥船</w:t>
            </w:r>
          </w:p>
        </w:tc>
        <w:tc>
          <w:tcPr>
            <w:tcW w:w="1701" w:type="dxa"/>
            <w:vAlign w:val="center"/>
          </w:tcPr>
          <w:p w14:paraId="73821A43" w14:textId="77777777" w:rsidR="0075791A" w:rsidRDefault="00FB2864">
            <w:pPr>
              <w:pStyle w:val="af4"/>
              <w:rPr>
                <w:color w:val="auto"/>
                <w:lang w:eastAsia="zh-CN"/>
              </w:rPr>
            </w:pPr>
            <w:r>
              <w:rPr>
                <w:rFonts w:hint="eastAsia"/>
                <w:color w:val="auto"/>
                <w:lang w:eastAsia="zh-CN"/>
              </w:rPr>
              <w:t>吹填量</w:t>
            </w:r>
            <w:r>
              <w:rPr>
                <w:rFonts w:hint="eastAsia"/>
                <w:color w:val="auto"/>
                <w:lang w:eastAsia="zh-CN"/>
              </w:rPr>
              <w:t>200m</w:t>
            </w:r>
            <w:r>
              <w:rPr>
                <w:rFonts w:hint="eastAsia"/>
                <w:color w:val="auto"/>
                <w:lang w:eastAsia="zh-CN"/>
              </w:rPr>
              <w:t>³</w:t>
            </w:r>
            <w:r>
              <w:rPr>
                <w:rFonts w:hint="eastAsia"/>
                <w:color w:val="auto"/>
                <w:lang w:eastAsia="zh-CN"/>
              </w:rPr>
              <w:t>/h</w:t>
            </w:r>
          </w:p>
        </w:tc>
        <w:tc>
          <w:tcPr>
            <w:tcW w:w="850" w:type="dxa"/>
            <w:vAlign w:val="center"/>
          </w:tcPr>
          <w:p w14:paraId="613677D2" w14:textId="77777777" w:rsidR="0075791A" w:rsidRDefault="00FB2864">
            <w:pPr>
              <w:pStyle w:val="af4"/>
              <w:rPr>
                <w:color w:val="auto"/>
                <w:lang w:eastAsia="zh-CN"/>
              </w:rPr>
            </w:pPr>
            <w:r>
              <w:rPr>
                <w:rFonts w:hint="eastAsia"/>
                <w:color w:val="auto"/>
                <w:lang w:eastAsia="zh-CN"/>
              </w:rPr>
              <w:t>2</w:t>
            </w:r>
            <w:r>
              <w:rPr>
                <w:rFonts w:hint="eastAsia"/>
                <w:color w:val="auto"/>
                <w:lang w:eastAsia="zh-CN"/>
              </w:rPr>
              <w:t>艘</w:t>
            </w:r>
          </w:p>
        </w:tc>
        <w:tc>
          <w:tcPr>
            <w:tcW w:w="709" w:type="dxa"/>
            <w:vAlign w:val="center"/>
          </w:tcPr>
          <w:p w14:paraId="019F9A52" w14:textId="77777777" w:rsidR="0075791A" w:rsidRDefault="00FB2864">
            <w:pPr>
              <w:pStyle w:val="af4"/>
              <w:rPr>
                <w:color w:val="auto"/>
                <w:lang w:eastAsia="zh-CN"/>
              </w:rPr>
            </w:pPr>
            <w:r>
              <w:rPr>
                <w:rFonts w:hint="eastAsia"/>
                <w:color w:val="auto"/>
                <w:lang w:eastAsia="zh-CN"/>
              </w:rPr>
              <w:t>/</w:t>
            </w:r>
          </w:p>
        </w:tc>
        <w:tc>
          <w:tcPr>
            <w:tcW w:w="1134" w:type="dxa"/>
            <w:vAlign w:val="center"/>
          </w:tcPr>
          <w:p w14:paraId="62EFE5E6" w14:textId="77777777" w:rsidR="0075791A" w:rsidRDefault="00FB2864">
            <w:pPr>
              <w:pStyle w:val="af4"/>
              <w:rPr>
                <w:color w:val="auto"/>
                <w:lang w:eastAsia="zh-CN"/>
              </w:rPr>
            </w:pPr>
            <w:r>
              <w:rPr>
                <w:rFonts w:hint="eastAsia"/>
                <w:color w:val="auto"/>
                <w:lang w:eastAsia="zh-CN"/>
              </w:rPr>
              <w:t>/</w:t>
            </w:r>
          </w:p>
        </w:tc>
        <w:tc>
          <w:tcPr>
            <w:tcW w:w="1413" w:type="dxa"/>
            <w:vAlign w:val="center"/>
          </w:tcPr>
          <w:p w14:paraId="2853858B" w14:textId="77777777" w:rsidR="0075791A" w:rsidRDefault="0075791A">
            <w:pPr>
              <w:pStyle w:val="af4"/>
              <w:rPr>
                <w:color w:val="auto"/>
              </w:rPr>
            </w:pPr>
          </w:p>
        </w:tc>
      </w:tr>
      <w:tr w:rsidR="0075791A" w14:paraId="2B749061" w14:textId="77777777">
        <w:trPr>
          <w:trHeight w:val="387"/>
          <w:jc w:val="center"/>
        </w:trPr>
        <w:tc>
          <w:tcPr>
            <w:tcW w:w="990" w:type="dxa"/>
            <w:vAlign w:val="center"/>
          </w:tcPr>
          <w:p w14:paraId="024AAACD" w14:textId="77777777" w:rsidR="0075791A" w:rsidRDefault="00FB2864">
            <w:pPr>
              <w:pStyle w:val="af4"/>
              <w:rPr>
                <w:color w:val="auto"/>
                <w:lang w:eastAsia="zh-CN"/>
              </w:rPr>
            </w:pPr>
            <w:r>
              <w:rPr>
                <w:rFonts w:hint="eastAsia"/>
                <w:color w:val="auto"/>
                <w:lang w:eastAsia="zh-CN"/>
              </w:rPr>
              <w:t>4</w:t>
            </w:r>
          </w:p>
        </w:tc>
        <w:tc>
          <w:tcPr>
            <w:tcW w:w="2246" w:type="dxa"/>
            <w:shd w:val="clear" w:color="auto" w:fill="auto"/>
            <w:vAlign w:val="center"/>
          </w:tcPr>
          <w:p w14:paraId="0587215D" w14:textId="77777777" w:rsidR="0075791A" w:rsidRDefault="00FB2864">
            <w:pPr>
              <w:pStyle w:val="af4"/>
              <w:rPr>
                <w:color w:val="auto"/>
                <w:lang w:eastAsia="zh-CN"/>
              </w:rPr>
            </w:pPr>
            <w:r>
              <w:rPr>
                <w:rFonts w:hint="eastAsia"/>
                <w:color w:val="auto"/>
                <w:lang w:eastAsia="zh-CN"/>
              </w:rPr>
              <w:t>水陆两用</w:t>
            </w:r>
            <w:r>
              <w:rPr>
                <w:rFonts w:hint="eastAsia"/>
                <w:color w:val="auto"/>
              </w:rPr>
              <w:t>挖掘机</w:t>
            </w:r>
          </w:p>
        </w:tc>
        <w:tc>
          <w:tcPr>
            <w:tcW w:w="1701" w:type="dxa"/>
            <w:shd w:val="clear" w:color="auto" w:fill="auto"/>
            <w:vAlign w:val="center"/>
          </w:tcPr>
          <w:p w14:paraId="2C17AAAE" w14:textId="77777777" w:rsidR="0075791A" w:rsidRDefault="00FB2864">
            <w:pPr>
              <w:pStyle w:val="af4"/>
              <w:rPr>
                <w:color w:val="auto"/>
                <w:lang w:eastAsia="zh-CN"/>
              </w:rPr>
            </w:pPr>
            <w:r>
              <w:rPr>
                <w:rFonts w:hint="eastAsia"/>
                <w:color w:val="auto"/>
              </w:rPr>
              <w:t>R215vspro</w:t>
            </w:r>
          </w:p>
        </w:tc>
        <w:tc>
          <w:tcPr>
            <w:tcW w:w="850" w:type="dxa"/>
            <w:shd w:val="clear" w:color="auto" w:fill="auto"/>
            <w:vAlign w:val="center"/>
          </w:tcPr>
          <w:p w14:paraId="22FBA108" w14:textId="77777777" w:rsidR="0075791A" w:rsidRDefault="00FB2864">
            <w:pPr>
              <w:pStyle w:val="af4"/>
              <w:rPr>
                <w:color w:val="auto"/>
                <w:lang w:eastAsia="zh-CN"/>
              </w:rPr>
            </w:pPr>
            <w:r>
              <w:rPr>
                <w:rFonts w:hint="eastAsia"/>
                <w:color w:val="auto"/>
                <w:lang w:eastAsia="zh-CN"/>
              </w:rPr>
              <w:t>2</w:t>
            </w:r>
            <w:r>
              <w:rPr>
                <w:rFonts w:hint="eastAsia"/>
                <w:color w:val="auto"/>
                <w:lang w:eastAsia="zh-CN"/>
              </w:rPr>
              <w:t>台</w:t>
            </w:r>
          </w:p>
        </w:tc>
        <w:tc>
          <w:tcPr>
            <w:tcW w:w="709" w:type="dxa"/>
            <w:shd w:val="clear" w:color="auto" w:fill="auto"/>
            <w:vAlign w:val="center"/>
          </w:tcPr>
          <w:p w14:paraId="2A5D739B" w14:textId="77777777" w:rsidR="0075791A" w:rsidRDefault="00FB2864">
            <w:pPr>
              <w:pStyle w:val="af4"/>
              <w:rPr>
                <w:color w:val="auto"/>
                <w:lang w:eastAsia="zh-CN"/>
              </w:rPr>
            </w:pPr>
            <w:r>
              <w:rPr>
                <w:rFonts w:hint="eastAsia"/>
                <w:color w:val="auto"/>
              </w:rPr>
              <w:t>徐州</w:t>
            </w:r>
          </w:p>
        </w:tc>
        <w:tc>
          <w:tcPr>
            <w:tcW w:w="1134" w:type="dxa"/>
            <w:shd w:val="clear" w:color="auto" w:fill="auto"/>
            <w:vAlign w:val="center"/>
          </w:tcPr>
          <w:p w14:paraId="5E28CC46" w14:textId="77777777" w:rsidR="0075791A" w:rsidRDefault="00FB2864">
            <w:pPr>
              <w:pStyle w:val="af4"/>
              <w:rPr>
                <w:color w:val="auto"/>
                <w:lang w:eastAsia="zh-CN"/>
              </w:rPr>
            </w:pPr>
            <w:r>
              <w:rPr>
                <w:color w:val="auto"/>
              </w:rPr>
              <w:t>108</w:t>
            </w:r>
          </w:p>
        </w:tc>
        <w:tc>
          <w:tcPr>
            <w:tcW w:w="1413" w:type="dxa"/>
            <w:shd w:val="clear" w:color="auto" w:fill="auto"/>
            <w:vAlign w:val="center"/>
          </w:tcPr>
          <w:p w14:paraId="5E317C25" w14:textId="77777777" w:rsidR="0075791A" w:rsidRDefault="0075791A">
            <w:pPr>
              <w:pStyle w:val="af4"/>
              <w:rPr>
                <w:color w:val="auto"/>
                <w:lang w:eastAsia="zh-CN"/>
              </w:rPr>
            </w:pPr>
          </w:p>
        </w:tc>
      </w:tr>
      <w:tr w:rsidR="0075791A" w14:paraId="1A7B48CF" w14:textId="77777777">
        <w:trPr>
          <w:trHeight w:val="387"/>
          <w:jc w:val="center"/>
        </w:trPr>
        <w:tc>
          <w:tcPr>
            <w:tcW w:w="990" w:type="dxa"/>
            <w:vAlign w:val="center"/>
          </w:tcPr>
          <w:p w14:paraId="31D39329" w14:textId="77777777" w:rsidR="0075791A" w:rsidRDefault="00FB2864">
            <w:pPr>
              <w:pStyle w:val="af4"/>
              <w:rPr>
                <w:color w:val="auto"/>
                <w:lang w:eastAsia="zh-CN"/>
              </w:rPr>
            </w:pPr>
            <w:r>
              <w:rPr>
                <w:rFonts w:hint="eastAsia"/>
                <w:color w:val="auto"/>
                <w:lang w:eastAsia="zh-CN"/>
              </w:rPr>
              <w:t>5</w:t>
            </w:r>
          </w:p>
        </w:tc>
        <w:tc>
          <w:tcPr>
            <w:tcW w:w="2246" w:type="dxa"/>
            <w:shd w:val="clear" w:color="auto" w:fill="auto"/>
            <w:vAlign w:val="center"/>
          </w:tcPr>
          <w:p w14:paraId="1CC14F08" w14:textId="77777777" w:rsidR="0075791A" w:rsidRDefault="00FB2864">
            <w:pPr>
              <w:pStyle w:val="af4"/>
              <w:rPr>
                <w:color w:val="auto"/>
                <w:lang w:eastAsia="zh-CN"/>
              </w:rPr>
            </w:pPr>
            <w:r>
              <w:rPr>
                <w:rFonts w:hint="eastAsia"/>
                <w:color w:val="auto"/>
                <w:lang w:eastAsia="zh-CN"/>
              </w:rPr>
              <w:t>水陆两用</w:t>
            </w:r>
            <w:r>
              <w:rPr>
                <w:rFonts w:hint="eastAsia"/>
                <w:color w:val="auto"/>
              </w:rPr>
              <w:t>挖掘机</w:t>
            </w:r>
          </w:p>
        </w:tc>
        <w:tc>
          <w:tcPr>
            <w:tcW w:w="1701" w:type="dxa"/>
            <w:shd w:val="clear" w:color="auto" w:fill="auto"/>
            <w:vAlign w:val="center"/>
          </w:tcPr>
          <w:p w14:paraId="3F01B628" w14:textId="77777777" w:rsidR="0075791A" w:rsidRDefault="00FB2864">
            <w:pPr>
              <w:pStyle w:val="af4"/>
              <w:rPr>
                <w:color w:val="auto"/>
                <w:lang w:eastAsia="zh-CN"/>
              </w:rPr>
            </w:pPr>
            <w:r>
              <w:rPr>
                <w:rFonts w:hint="eastAsia"/>
                <w:color w:val="auto"/>
              </w:rPr>
              <w:t>R225LVS</w:t>
            </w:r>
          </w:p>
        </w:tc>
        <w:tc>
          <w:tcPr>
            <w:tcW w:w="850" w:type="dxa"/>
            <w:shd w:val="clear" w:color="auto" w:fill="auto"/>
            <w:vAlign w:val="center"/>
          </w:tcPr>
          <w:p w14:paraId="3FB5E49D" w14:textId="77777777" w:rsidR="0075791A" w:rsidRDefault="00FB2864">
            <w:pPr>
              <w:pStyle w:val="af4"/>
              <w:rPr>
                <w:color w:val="auto"/>
                <w:lang w:eastAsia="zh-CN"/>
              </w:rPr>
            </w:pPr>
            <w:r>
              <w:rPr>
                <w:rFonts w:hint="eastAsia"/>
                <w:color w:val="auto"/>
                <w:lang w:eastAsia="zh-CN"/>
              </w:rPr>
              <w:t>2</w:t>
            </w:r>
            <w:r>
              <w:rPr>
                <w:rFonts w:hint="eastAsia"/>
                <w:color w:val="auto"/>
                <w:lang w:eastAsia="zh-CN"/>
              </w:rPr>
              <w:t>台</w:t>
            </w:r>
          </w:p>
        </w:tc>
        <w:tc>
          <w:tcPr>
            <w:tcW w:w="709" w:type="dxa"/>
            <w:shd w:val="clear" w:color="auto" w:fill="auto"/>
            <w:vAlign w:val="center"/>
          </w:tcPr>
          <w:p w14:paraId="40102AD6" w14:textId="77777777" w:rsidR="0075791A" w:rsidRDefault="00FB2864">
            <w:pPr>
              <w:pStyle w:val="af4"/>
              <w:rPr>
                <w:color w:val="auto"/>
                <w:lang w:eastAsia="zh-CN"/>
              </w:rPr>
            </w:pPr>
            <w:r>
              <w:rPr>
                <w:rFonts w:hint="eastAsia"/>
                <w:color w:val="auto"/>
              </w:rPr>
              <w:t>徐州</w:t>
            </w:r>
          </w:p>
        </w:tc>
        <w:tc>
          <w:tcPr>
            <w:tcW w:w="1134" w:type="dxa"/>
            <w:shd w:val="clear" w:color="auto" w:fill="auto"/>
            <w:vAlign w:val="center"/>
          </w:tcPr>
          <w:p w14:paraId="47481860" w14:textId="77777777" w:rsidR="0075791A" w:rsidRDefault="00FB2864">
            <w:pPr>
              <w:pStyle w:val="af4"/>
              <w:rPr>
                <w:color w:val="auto"/>
                <w:lang w:eastAsia="zh-CN"/>
              </w:rPr>
            </w:pPr>
            <w:r>
              <w:rPr>
                <w:color w:val="auto"/>
              </w:rPr>
              <w:t>108</w:t>
            </w:r>
          </w:p>
        </w:tc>
        <w:tc>
          <w:tcPr>
            <w:tcW w:w="1413" w:type="dxa"/>
            <w:shd w:val="clear" w:color="auto" w:fill="auto"/>
            <w:vAlign w:val="center"/>
          </w:tcPr>
          <w:p w14:paraId="33DC0367" w14:textId="77777777" w:rsidR="0075791A" w:rsidRDefault="0075791A">
            <w:pPr>
              <w:pStyle w:val="af4"/>
              <w:rPr>
                <w:color w:val="auto"/>
                <w:lang w:eastAsia="zh-CN"/>
              </w:rPr>
            </w:pPr>
          </w:p>
        </w:tc>
      </w:tr>
      <w:tr w:rsidR="0075791A" w14:paraId="60D7DE94" w14:textId="77777777">
        <w:trPr>
          <w:trHeight w:val="387"/>
          <w:jc w:val="center"/>
        </w:trPr>
        <w:tc>
          <w:tcPr>
            <w:tcW w:w="990" w:type="dxa"/>
            <w:vAlign w:val="center"/>
          </w:tcPr>
          <w:p w14:paraId="06A4DE22" w14:textId="77777777" w:rsidR="0075791A" w:rsidRDefault="00FB2864">
            <w:pPr>
              <w:pStyle w:val="af4"/>
              <w:rPr>
                <w:color w:val="auto"/>
                <w:lang w:eastAsia="zh-CN"/>
              </w:rPr>
            </w:pPr>
            <w:r>
              <w:rPr>
                <w:rFonts w:hint="eastAsia"/>
                <w:color w:val="auto"/>
                <w:lang w:eastAsia="zh-CN"/>
              </w:rPr>
              <w:lastRenderedPageBreak/>
              <w:t>6</w:t>
            </w:r>
          </w:p>
        </w:tc>
        <w:tc>
          <w:tcPr>
            <w:tcW w:w="2246" w:type="dxa"/>
            <w:shd w:val="clear" w:color="auto" w:fill="auto"/>
            <w:vAlign w:val="center"/>
          </w:tcPr>
          <w:p w14:paraId="7DEA62EA" w14:textId="77777777" w:rsidR="0075791A" w:rsidRDefault="00FB2864">
            <w:pPr>
              <w:pStyle w:val="af4"/>
              <w:rPr>
                <w:color w:val="auto"/>
                <w:lang w:eastAsia="zh-CN"/>
              </w:rPr>
            </w:pPr>
            <w:r>
              <w:rPr>
                <w:rFonts w:hint="eastAsia"/>
                <w:color w:val="auto"/>
                <w:lang w:eastAsia="zh-CN"/>
              </w:rPr>
              <w:t>锚</w:t>
            </w:r>
            <w:r>
              <w:rPr>
                <w:rFonts w:hint="eastAsia"/>
                <w:color w:val="auto"/>
                <w:lang w:eastAsia="zh-CN"/>
              </w:rPr>
              <w:t>(</w:t>
            </w:r>
            <w:r>
              <w:rPr>
                <w:rFonts w:hint="eastAsia"/>
                <w:color w:val="auto"/>
                <w:lang w:eastAsia="zh-CN"/>
              </w:rPr>
              <w:t>机</w:t>
            </w:r>
            <w:r>
              <w:rPr>
                <w:rFonts w:hint="eastAsia"/>
                <w:color w:val="auto"/>
                <w:lang w:eastAsia="zh-CN"/>
              </w:rPr>
              <w:t>)</w:t>
            </w:r>
            <w:r>
              <w:rPr>
                <w:rFonts w:hint="eastAsia"/>
                <w:color w:val="auto"/>
                <w:lang w:eastAsia="zh-CN"/>
              </w:rPr>
              <w:t>艇</w:t>
            </w:r>
          </w:p>
        </w:tc>
        <w:tc>
          <w:tcPr>
            <w:tcW w:w="1701" w:type="dxa"/>
            <w:shd w:val="clear" w:color="auto" w:fill="auto"/>
            <w:vAlign w:val="center"/>
          </w:tcPr>
          <w:p w14:paraId="23E19D6D" w14:textId="77777777" w:rsidR="0075791A" w:rsidRDefault="00FB2864">
            <w:pPr>
              <w:pStyle w:val="af4"/>
              <w:rPr>
                <w:color w:val="auto"/>
                <w:lang w:eastAsia="zh-CN"/>
              </w:rPr>
            </w:pPr>
            <w:r>
              <w:rPr>
                <w:rFonts w:hint="eastAsia"/>
                <w:color w:val="auto"/>
                <w:lang w:eastAsia="zh-CN"/>
              </w:rPr>
              <w:t>/</w:t>
            </w:r>
          </w:p>
        </w:tc>
        <w:tc>
          <w:tcPr>
            <w:tcW w:w="850" w:type="dxa"/>
            <w:shd w:val="clear" w:color="auto" w:fill="auto"/>
            <w:vAlign w:val="center"/>
          </w:tcPr>
          <w:p w14:paraId="21612029" w14:textId="77777777" w:rsidR="0075791A" w:rsidRDefault="00FB2864">
            <w:pPr>
              <w:pStyle w:val="af4"/>
              <w:rPr>
                <w:color w:val="auto"/>
                <w:lang w:eastAsia="zh-CN"/>
              </w:rPr>
            </w:pPr>
            <w:r>
              <w:rPr>
                <w:rFonts w:hint="eastAsia"/>
                <w:color w:val="auto"/>
                <w:lang w:eastAsia="zh-CN"/>
              </w:rPr>
              <w:t>1</w:t>
            </w:r>
            <w:r>
              <w:rPr>
                <w:rFonts w:hint="eastAsia"/>
                <w:color w:val="auto"/>
                <w:lang w:eastAsia="zh-CN"/>
              </w:rPr>
              <w:t>艘</w:t>
            </w:r>
          </w:p>
        </w:tc>
        <w:tc>
          <w:tcPr>
            <w:tcW w:w="709" w:type="dxa"/>
            <w:shd w:val="clear" w:color="auto" w:fill="auto"/>
            <w:vAlign w:val="center"/>
          </w:tcPr>
          <w:p w14:paraId="261B9C43" w14:textId="77777777" w:rsidR="0075791A" w:rsidRDefault="00FB2864">
            <w:pPr>
              <w:pStyle w:val="af4"/>
              <w:rPr>
                <w:color w:val="auto"/>
                <w:lang w:eastAsia="zh-CN"/>
              </w:rPr>
            </w:pPr>
            <w:r>
              <w:rPr>
                <w:rFonts w:hint="eastAsia"/>
                <w:color w:val="auto"/>
                <w:lang w:eastAsia="zh-CN"/>
              </w:rPr>
              <w:t>/</w:t>
            </w:r>
          </w:p>
        </w:tc>
        <w:tc>
          <w:tcPr>
            <w:tcW w:w="1134" w:type="dxa"/>
            <w:shd w:val="clear" w:color="auto" w:fill="auto"/>
            <w:vAlign w:val="center"/>
          </w:tcPr>
          <w:p w14:paraId="0C46883D" w14:textId="77777777" w:rsidR="0075791A" w:rsidRDefault="00FB2864">
            <w:pPr>
              <w:pStyle w:val="af4"/>
              <w:rPr>
                <w:color w:val="auto"/>
                <w:lang w:eastAsia="zh-CN"/>
              </w:rPr>
            </w:pPr>
            <w:r>
              <w:rPr>
                <w:rFonts w:hint="eastAsia"/>
                <w:color w:val="auto"/>
                <w:lang w:eastAsia="zh-CN"/>
              </w:rPr>
              <w:t>175</w:t>
            </w:r>
          </w:p>
        </w:tc>
        <w:tc>
          <w:tcPr>
            <w:tcW w:w="1413" w:type="dxa"/>
            <w:shd w:val="clear" w:color="auto" w:fill="auto"/>
            <w:vAlign w:val="center"/>
          </w:tcPr>
          <w:p w14:paraId="08E55418" w14:textId="77777777" w:rsidR="0075791A" w:rsidRDefault="0075791A">
            <w:pPr>
              <w:pStyle w:val="af4"/>
              <w:rPr>
                <w:color w:val="auto"/>
                <w:lang w:eastAsia="zh-CN"/>
              </w:rPr>
            </w:pPr>
          </w:p>
        </w:tc>
      </w:tr>
      <w:tr w:rsidR="0075791A" w14:paraId="38195924" w14:textId="77777777">
        <w:trPr>
          <w:trHeight w:val="387"/>
          <w:jc w:val="center"/>
        </w:trPr>
        <w:tc>
          <w:tcPr>
            <w:tcW w:w="9043" w:type="dxa"/>
            <w:gridSpan w:val="7"/>
            <w:vAlign w:val="center"/>
          </w:tcPr>
          <w:p w14:paraId="5482C701" w14:textId="77777777" w:rsidR="0075791A" w:rsidRDefault="00FB2864">
            <w:pPr>
              <w:pStyle w:val="af4"/>
              <w:rPr>
                <w:color w:val="auto"/>
                <w:lang w:eastAsia="zh-CN"/>
              </w:rPr>
            </w:pPr>
            <w:r>
              <w:rPr>
                <w:rFonts w:hint="eastAsia"/>
                <w:color w:val="auto"/>
                <w:lang w:eastAsia="zh-CN"/>
              </w:rPr>
              <w:t>工器具</w:t>
            </w:r>
          </w:p>
        </w:tc>
      </w:tr>
      <w:tr w:rsidR="0075791A" w14:paraId="706AE2F4" w14:textId="77777777">
        <w:trPr>
          <w:trHeight w:val="387"/>
          <w:jc w:val="center"/>
        </w:trPr>
        <w:tc>
          <w:tcPr>
            <w:tcW w:w="990" w:type="dxa"/>
            <w:shd w:val="clear" w:color="auto" w:fill="auto"/>
            <w:vAlign w:val="center"/>
          </w:tcPr>
          <w:p w14:paraId="3F7D8382" w14:textId="77777777" w:rsidR="0075791A" w:rsidRDefault="00FB2864">
            <w:pPr>
              <w:pStyle w:val="af4"/>
              <w:rPr>
                <w:color w:val="auto"/>
                <w:lang w:eastAsia="zh-CN"/>
              </w:rPr>
            </w:pPr>
            <w:r>
              <w:rPr>
                <w:rFonts w:hint="eastAsia"/>
                <w:color w:val="auto"/>
                <w:lang w:eastAsia="zh-CN"/>
              </w:rPr>
              <w:t>7</w:t>
            </w:r>
          </w:p>
        </w:tc>
        <w:tc>
          <w:tcPr>
            <w:tcW w:w="2246" w:type="dxa"/>
            <w:shd w:val="clear" w:color="auto" w:fill="auto"/>
            <w:vAlign w:val="center"/>
          </w:tcPr>
          <w:p w14:paraId="4D2AEC5D" w14:textId="77777777" w:rsidR="0075791A" w:rsidRDefault="00FB2864">
            <w:pPr>
              <w:pStyle w:val="af4"/>
              <w:rPr>
                <w:color w:val="auto"/>
                <w:lang w:eastAsia="zh-CN"/>
              </w:rPr>
            </w:pPr>
            <w:r>
              <w:rPr>
                <w:rFonts w:hint="eastAsia"/>
                <w:color w:val="auto"/>
              </w:rPr>
              <w:t>水泵</w:t>
            </w:r>
          </w:p>
        </w:tc>
        <w:tc>
          <w:tcPr>
            <w:tcW w:w="1701" w:type="dxa"/>
            <w:shd w:val="clear" w:color="auto" w:fill="auto"/>
            <w:vAlign w:val="center"/>
          </w:tcPr>
          <w:p w14:paraId="02BA9956" w14:textId="77777777" w:rsidR="0075791A" w:rsidRDefault="0075791A">
            <w:pPr>
              <w:pStyle w:val="af4"/>
              <w:rPr>
                <w:color w:val="auto"/>
                <w:lang w:eastAsia="zh-CN"/>
              </w:rPr>
            </w:pPr>
          </w:p>
        </w:tc>
        <w:tc>
          <w:tcPr>
            <w:tcW w:w="850" w:type="dxa"/>
            <w:shd w:val="clear" w:color="auto" w:fill="auto"/>
            <w:vAlign w:val="center"/>
          </w:tcPr>
          <w:p w14:paraId="4B991AC9" w14:textId="77777777" w:rsidR="0075791A" w:rsidRDefault="00FB2864">
            <w:pPr>
              <w:pStyle w:val="af4"/>
              <w:rPr>
                <w:color w:val="auto"/>
                <w:lang w:eastAsia="zh-CN"/>
              </w:rPr>
            </w:pPr>
            <w:r>
              <w:rPr>
                <w:rFonts w:hint="eastAsia"/>
                <w:color w:val="auto"/>
                <w:lang w:eastAsia="zh-CN"/>
              </w:rPr>
              <w:t>2</w:t>
            </w:r>
            <w:r>
              <w:rPr>
                <w:rFonts w:hint="eastAsia"/>
                <w:color w:val="auto"/>
                <w:lang w:eastAsia="zh-CN"/>
              </w:rPr>
              <w:t>台</w:t>
            </w:r>
          </w:p>
        </w:tc>
        <w:tc>
          <w:tcPr>
            <w:tcW w:w="709" w:type="dxa"/>
            <w:shd w:val="clear" w:color="auto" w:fill="auto"/>
            <w:vAlign w:val="center"/>
          </w:tcPr>
          <w:p w14:paraId="4BA560BF" w14:textId="77777777" w:rsidR="0075791A" w:rsidRDefault="00FB2864">
            <w:pPr>
              <w:pStyle w:val="af4"/>
              <w:rPr>
                <w:color w:val="auto"/>
                <w:lang w:eastAsia="zh-CN"/>
              </w:rPr>
            </w:pPr>
            <w:r>
              <w:rPr>
                <w:rFonts w:hint="eastAsia"/>
                <w:color w:val="auto"/>
              </w:rPr>
              <w:t>湖南</w:t>
            </w:r>
          </w:p>
        </w:tc>
        <w:tc>
          <w:tcPr>
            <w:tcW w:w="1134" w:type="dxa"/>
            <w:shd w:val="clear" w:color="auto" w:fill="auto"/>
            <w:vAlign w:val="center"/>
          </w:tcPr>
          <w:p w14:paraId="227D540F" w14:textId="77777777" w:rsidR="0075791A" w:rsidRDefault="00FB2864">
            <w:pPr>
              <w:pStyle w:val="af4"/>
              <w:rPr>
                <w:color w:val="auto"/>
                <w:lang w:eastAsia="zh-CN"/>
              </w:rPr>
            </w:pPr>
            <w:r>
              <w:rPr>
                <w:color w:val="auto"/>
              </w:rPr>
              <w:t>4</w:t>
            </w:r>
          </w:p>
        </w:tc>
        <w:tc>
          <w:tcPr>
            <w:tcW w:w="1413" w:type="dxa"/>
            <w:shd w:val="clear" w:color="auto" w:fill="auto"/>
            <w:vAlign w:val="center"/>
          </w:tcPr>
          <w:p w14:paraId="3D0E80AB" w14:textId="77777777" w:rsidR="0075791A" w:rsidRDefault="0075791A">
            <w:pPr>
              <w:pStyle w:val="af4"/>
              <w:rPr>
                <w:color w:val="auto"/>
                <w:lang w:eastAsia="zh-CN"/>
              </w:rPr>
            </w:pPr>
          </w:p>
        </w:tc>
      </w:tr>
      <w:tr w:rsidR="0075791A" w14:paraId="586CB45B" w14:textId="77777777">
        <w:trPr>
          <w:trHeight w:val="387"/>
          <w:jc w:val="center"/>
        </w:trPr>
        <w:tc>
          <w:tcPr>
            <w:tcW w:w="990" w:type="dxa"/>
            <w:shd w:val="clear" w:color="auto" w:fill="auto"/>
            <w:vAlign w:val="center"/>
          </w:tcPr>
          <w:p w14:paraId="4F91ABBE" w14:textId="77777777" w:rsidR="0075791A" w:rsidRDefault="00FB2864">
            <w:pPr>
              <w:pStyle w:val="af4"/>
              <w:rPr>
                <w:color w:val="auto"/>
                <w:lang w:eastAsia="zh-CN"/>
              </w:rPr>
            </w:pPr>
            <w:r>
              <w:rPr>
                <w:rFonts w:hint="eastAsia"/>
                <w:color w:val="auto"/>
                <w:lang w:eastAsia="zh-CN"/>
              </w:rPr>
              <w:t>8</w:t>
            </w:r>
          </w:p>
        </w:tc>
        <w:tc>
          <w:tcPr>
            <w:tcW w:w="2246" w:type="dxa"/>
            <w:shd w:val="clear" w:color="auto" w:fill="auto"/>
            <w:vAlign w:val="center"/>
          </w:tcPr>
          <w:p w14:paraId="227670AA" w14:textId="77777777" w:rsidR="0075791A" w:rsidRDefault="00FB2864">
            <w:pPr>
              <w:pStyle w:val="af4"/>
              <w:rPr>
                <w:color w:val="auto"/>
                <w:lang w:eastAsia="zh-CN"/>
              </w:rPr>
            </w:pPr>
            <w:r>
              <w:rPr>
                <w:rFonts w:hint="eastAsia"/>
                <w:color w:val="auto"/>
                <w:lang w:eastAsia="zh-CN"/>
              </w:rPr>
              <w:t>铁锹</w:t>
            </w:r>
          </w:p>
        </w:tc>
        <w:tc>
          <w:tcPr>
            <w:tcW w:w="1701" w:type="dxa"/>
            <w:shd w:val="clear" w:color="auto" w:fill="auto"/>
            <w:vAlign w:val="center"/>
          </w:tcPr>
          <w:p w14:paraId="34CCFF07" w14:textId="77777777" w:rsidR="0075791A" w:rsidRDefault="00FB2864">
            <w:pPr>
              <w:pStyle w:val="af4"/>
              <w:rPr>
                <w:color w:val="auto"/>
                <w:lang w:eastAsia="zh-CN"/>
              </w:rPr>
            </w:pPr>
            <w:r>
              <w:rPr>
                <w:rFonts w:hint="eastAsia"/>
                <w:color w:val="auto"/>
                <w:lang w:eastAsia="zh-CN"/>
              </w:rPr>
              <w:t>/</w:t>
            </w:r>
          </w:p>
        </w:tc>
        <w:tc>
          <w:tcPr>
            <w:tcW w:w="850" w:type="dxa"/>
            <w:shd w:val="clear" w:color="auto" w:fill="auto"/>
            <w:vAlign w:val="center"/>
          </w:tcPr>
          <w:p w14:paraId="37607E25" w14:textId="77777777" w:rsidR="0075791A" w:rsidRDefault="00FB2864">
            <w:pPr>
              <w:pStyle w:val="af4"/>
              <w:rPr>
                <w:color w:val="auto"/>
                <w:lang w:eastAsia="zh-CN"/>
              </w:rPr>
            </w:pPr>
            <w:r>
              <w:rPr>
                <w:rFonts w:hint="eastAsia"/>
                <w:color w:val="auto"/>
                <w:lang w:eastAsia="zh-CN"/>
              </w:rPr>
              <w:t>8</w:t>
            </w:r>
            <w:r>
              <w:rPr>
                <w:rFonts w:hint="eastAsia"/>
                <w:color w:val="auto"/>
                <w:lang w:eastAsia="zh-CN"/>
              </w:rPr>
              <w:t>把</w:t>
            </w:r>
          </w:p>
        </w:tc>
        <w:tc>
          <w:tcPr>
            <w:tcW w:w="709" w:type="dxa"/>
            <w:shd w:val="clear" w:color="auto" w:fill="auto"/>
            <w:vAlign w:val="center"/>
          </w:tcPr>
          <w:p w14:paraId="0BD419AD" w14:textId="77777777" w:rsidR="0075791A" w:rsidRDefault="00FB2864">
            <w:pPr>
              <w:pStyle w:val="af4"/>
              <w:rPr>
                <w:color w:val="auto"/>
                <w:lang w:eastAsia="zh-CN"/>
              </w:rPr>
            </w:pPr>
            <w:r>
              <w:rPr>
                <w:rFonts w:hint="eastAsia"/>
                <w:color w:val="auto"/>
                <w:lang w:eastAsia="zh-CN"/>
              </w:rPr>
              <w:t>/</w:t>
            </w:r>
          </w:p>
        </w:tc>
        <w:tc>
          <w:tcPr>
            <w:tcW w:w="1134" w:type="dxa"/>
            <w:shd w:val="clear" w:color="auto" w:fill="auto"/>
            <w:vAlign w:val="center"/>
          </w:tcPr>
          <w:p w14:paraId="62E9B938" w14:textId="77777777" w:rsidR="0075791A" w:rsidRDefault="00FB2864">
            <w:pPr>
              <w:pStyle w:val="af4"/>
              <w:rPr>
                <w:color w:val="auto"/>
                <w:lang w:eastAsia="zh-CN"/>
              </w:rPr>
            </w:pPr>
            <w:r>
              <w:rPr>
                <w:rFonts w:hint="eastAsia"/>
                <w:color w:val="auto"/>
                <w:lang w:eastAsia="zh-CN"/>
              </w:rPr>
              <w:t>/</w:t>
            </w:r>
          </w:p>
        </w:tc>
        <w:tc>
          <w:tcPr>
            <w:tcW w:w="1413" w:type="dxa"/>
            <w:shd w:val="clear" w:color="auto" w:fill="auto"/>
            <w:vAlign w:val="center"/>
          </w:tcPr>
          <w:p w14:paraId="3B737C1A" w14:textId="77777777" w:rsidR="0075791A" w:rsidRDefault="0075791A">
            <w:pPr>
              <w:pStyle w:val="af4"/>
              <w:rPr>
                <w:color w:val="auto"/>
                <w:lang w:eastAsia="zh-CN"/>
              </w:rPr>
            </w:pPr>
          </w:p>
        </w:tc>
      </w:tr>
      <w:tr w:rsidR="0075791A" w14:paraId="3A528733" w14:textId="77777777">
        <w:trPr>
          <w:trHeight w:val="387"/>
          <w:jc w:val="center"/>
        </w:trPr>
        <w:tc>
          <w:tcPr>
            <w:tcW w:w="990" w:type="dxa"/>
            <w:shd w:val="clear" w:color="auto" w:fill="auto"/>
            <w:vAlign w:val="center"/>
          </w:tcPr>
          <w:p w14:paraId="5D4FE8C3" w14:textId="77777777" w:rsidR="0075791A" w:rsidRDefault="00FB2864">
            <w:pPr>
              <w:pStyle w:val="af4"/>
              <w:rPr>
                <w:color w:val="auto"/>
                <w:lang w:eastAsia="zh-CN"/>
              </w:rPr>
            </w:pPr>
            <w:r>
              <w:rPr>
                <w:rFonts w:hint="eastAsia"/>
                <w:color w:val="auto"/>
                <w:lang w:eastAsia="zh-CN"/>
              </w:rPr>
              <w:t>9</w:t>
            </w:r>
          </w:p>
        </w:tc>
        <w:tc>
          <w:tcPr>
            <w:tcW w:w="2246" w:type="dxa"/>
            <w:shd w:val="clear" w:color="auto" w:fill="auto"/>
            <w:vAlign w:val="center"/>
          </w:tcPr>
          <w:p w14:paraId="5DA17BA5" w14:textId="77777777" w:rsidR="0075791A" w:rsidRDefault="00FB2864">
            <w:pPr>
              <w:pStyle w:val="af4"/>
              <w:rPr>
                <w:color w:val="auto"/>
                <w:lang w:eastAsia="zh-CN"/>
              </w:rPr>
            </w:pPr>
            <w:r>
              <w:rPr>
                <w:rFonts w:hint="eastAsia"/>
                <w:color w:val="auto"/>
              </w:rPr>
              <w:t>全站仪</w:t>
            </w:r>
          </w:p>
        </w:tc>
        <w:tc>
          <w:tcPr>
            <w:tcW w:w="1701" w:type="dxa"/>
            <w:shd w:val="clear" w:color="auto" w:fill="auto"/>
            <w:vAlign w:val="center"/>
          </w:tcPr>
          <w:p w14:paraId="17115DFB" w14:textId="77777777" w:rsidR="0075791A" w:rsidRDefault="00FB2864">
            <w:pPr>
              <w:pStyle w:val="af4"/>
              <w:rPr>
                <w:color w:val="auto"/>
                <w:lang w:eastAsia="zh-CN"/>
              </w:rPr>
            </w:pPr>
            <w:r>
              <w:rPr>
                <w:color w:val="auto"/>
              </w:rPr>
              <w:t>KTS-442RLC</w:t>
            </w:r>
          </w:p>
        </w:tc>
        <w:tc>
          <w:tcPr>
            <w:tcW w:w="850" w:type="dxa"/>
            <w:shd w:val="clear" w:color="auto" w:fill="auto"/>
            <w:vAlign w:val="center"/>
          </w:tcPr>
          <w:p w14:paraId="104F3563" w14:textId="77777777" w:rsidR="0075791A" w:rsidRDefault="00FB2864">
            <w:pPr>
              <w:pStyle w:val="af4"/>
              <w:rPr>
                <w:color w:val="auto"/>
                <w:lang w:eastAsia="zh-CN"/>
              </w:rPr>
            </w:pPr>
            <w:r>
              <w:rPr>
                <w:color w:val="auto"/>
              </w:rPr>
              <w:t>1</w:t>
            </w:r>
            <w:r>
              <w:rPr>
                <w:rFonts w:hint="eastAsia"/>
                <w:color w:val="auto"/>
                <w:lang w:eastAsia="zh-CN"/>
              </w:rPr>
              <w:t>台</w:t>
            </w:r>
          </w:p>
        </w:tc>
        <w:tc>
          <w:tcPr>
            <w:tcW w:w="709" w:type="dxa"/>
            <w:shd w:val="clear" w:color="auto" w:fill="auto"/>
            <w:vAlign w:val="center"/>
          </w:tcPr>
          <w:p w14:paraId="49BFCA37" w14:textId="77777777" w:rsidR="0075791A" w:rsidRDefault="00FB2864">
            <w:pPr>
              <w:pStyle w:val="af4"/>
              <w:rPr>
                <w:color w:val="auto"/>
                <w:lang w:eastAsia="zh-CN"/>
              </w:rPr>
            </w:pPr>
            <w:r>
              <w:rPr>
                <w:rFonts w:hint="eastAsia"/>
                <w:color w:val="auto"/>
              </w:rPr>
              <w:t>北京</w:t>
            </w:r>
          </w:p>
        </w:tc>
        <w:tc>
          <w:tcPr>
            <w:tcW w:w="1134" w:type="dxa"/>
            <w:shd w:val="clear" w:color="auto" w:fill="auto"/>
            <w:vAlign w:val="center"/>
          </w:tcPr>
          <w:p w14:paraId="5DBD831C" w14:textId="77777777" w:rsidR="0075791A" w:rsidRDefault="0075791A">
            <w:pPr>
              <w:pStyle w:val="af4"/>
              <w:rPr>
                <w:color w:val="auto"/>
                <w:lang w:eastAsia="zh-CN"/>
              </w:rPr>
            </w:pPr>
          </w:p>
        </w:tc>
        <w:tc>
          <w:tcPr>
            <w:tcW w:w="1413" w:type="dxa"/>
            <w:shd w:val="clear" w:color="auto" w:fill="auto"/>
            <w:vAlign w:val="center"/>
          </w:tcPr>
          <w:p w14:paraId="4A5BAEED" w14:textId="77777777" w:rsidR="0075791A" w:rsidRDefault="0075791A">
            <w:pPr>
              <w:pStyle w:val="af4"/>
              <w:rPr>
                <w:color w:val="auto"/>
                <w:lang w:eastAsia="zh-CN"/>
              </w:rPr>
            </w:pPr>
          </w:p>
        </w:tc>
      </w:tr>
      <w:tr w:rsidR="0075791A" w14:paraId="2A19B3AC" w14:textId="77777777">
        <w:trPr>
          <w:trHeight w:val="387"/>
          <w:jc w:val="center"/>
        </w:trPr>
        <w:tc>
          <w:tcPr>
            <w:tcW w:w="990" w:type="dxa"/>
            <w:shd w:val="clear" w:color="auto" w:fill="auto"/>
            <w:vAlign w:val="center"/>
          </w:tcPr>
          <w:p w14:paraId="0B1985D9" w14:textId="77777777" w:rsidR="0075791A" w:rsidRDefault="00FB2864">
            <w:pPr>
              <w:pStyle w:val="af4"/>
              <w:rPr>
                <w:color w:val="auto"/>
                <w:lang w:eastAsia="zh-CN"/>
              </w:rPr>
            </w:pPr>
            <w:r>
              <w:rPr>
                <w:rFonts w:hint="eastAsia"/>
                <w:color w:val="auto"/>
                <w:lang w:eastAsia="zh-CN"/>
              </w:rPr>
              <w:t>10</w:t>
            </w:r>
          </w:p>
        </w:tc>
        <w:tc>
          <w:tcPr>
            <w:tcW w:w="2246" w:type="dxa"/>
            <w:shd w:val="clear" w:color="auto" w:fill="auto"/>
            <w:vAlign w:val="center"/>
          </w:tcPr>
          <w:p w14:paraId="6D3092E5" w14:textId="77777777" w:rsidR="0075791A" w:rsidRDefault="00FB2864">
            <w:pPr>
              <w:pStyle w:val="af4"/>
              <w:rPr>
                <w:color w:val="auto"/>
                <w:lang w:eastAsia="zh-CN"/>
              </w:rPr>
            </w:pPr>
            <w:r>
              <w:rPr>
                <w:rFonts w:hint="eastAsia"/>
                <w:color w:val="auto"/>
              </w:rPr>
              <w:t>水准仪</w:t>
            </w:r>
          </w:p>
        </w:tc>
        <w:tc>
          <w:tcPr>
            <w:tcW w:w="1701" w:type="dxa"/>
            <w:shd w:val="clear" w:color="auto" w:fill="auto"/>
            <w:vAlign w:val="center"/>
          </w:tcPr>
          <w:p w14:paraId="7B805CD0" w14:textId="77777777" w:rsidR="0075791A" w:rsidRDefault="00FB2864">
            <w:pPr>
              <w:pStyle w:val="af4"/>
              <w:rPr>
                <w:color w:val="auto"/>
                <w:lang w:eastAsia="zh-CN"/>
              </w:rPr>
            </w:pPr>
            <w:r>
              <w:rPr>
                <w:color w:val="auto"/>
              </w:rPr>
              <w:t>DS-32</w:t>
            </w:r>
          </w:p>
        </w:tc>
        <w:tc>
          <w:tcPr>
            <w:tcW w:w="850" w:type="dxa"/>
            <w:shd w:val="clear" w:color="auto" w:fill="auto"/>
            <w:vAlign w:val="center"/>
          </w:tcPr>
          <w:p w14:paraId="0675A10F" w14:textId="77777777" w:rsidR="0075791A" w:rsidRDefault="00FB2864">
            <w:pPr>
              <w:pStyle w:val="af4"/>
              <w:rPr>
                <w:color w:val="auto"/>
                <w:lang w:eastAsia="zh-CN"/>
              </w:rPr>
            </w:pPr>
            <w:r>
              <w:rPr>
                <w:color w:val="auto"/>
              </w:rPr>
              <w:t>3</w:t>
            </w:r>
            <w:r>
              <w:rPr>
                <w:rFonts w:hint="eastAsia"/>
                <w:color w:val="auto"/>
                <w:lang w:eastAsia="zh-CN"/>
              </w:rPr>
              <w:t>台</w:t>
            </w:r>
          </w:p>
        </w:tc>
        <w:tc>
          <w:tcPr>
            <w:tcW w:w="709" w:type="dxa"/>
            <w:shd w:val="clear" w:color="auto" w:fill="auto"/>
            <w:vAlign w:val="center"/>
          </w:tcPr>
          <w:p w14:paraId="69B07BE9" w14:textId="77777777" w:rsidR="0075791A" w:rsidRDefault="00FB2864">
            <w:pPr>
              <w:pStyle w:val="af4"/>
              <w:rPr>
                <w:color w:val="auto"/>
                <w:lang w:eastAsia="zh-CN"/>
              </w:rPr>
            </w:pPr>
            <w:r>
              <w:rPr>
                <w:rFonts w:hint="eastAsia"/>
                <w:color w:val="auto"/>
              </w:rPr>
              <w:t>天津</w:t>
            </w:r>
          </w:p>
        </w:tc>
        <w:tc>
          <w:tcPr>
            <w:tcW w:w="1134" w:type="dxa"/>
            <w:shd w:val="clear" w:color="auto" w:fill="auto"/>
            <w:vAlign w:val="center"/>
          </w:tcPr>
          <w:p w14:paraId="328E9414" w14:textId="77777777" w:rsidR="0075791A" w:rsidRDefault="0075791A">
            <w:pPr>
              <w:pStyle w:val="af4"/>
              <w:rPr>
                <w:color w:val="auto"/>
                <w:lang w:eastAsia="zh-CN"/>
              </w:rPr>
            </w:pPr>
          </w:p>
        </w:tc>
        <w:tc>
          <w:tcPr>
            <w:tcW w:w="1413" w:type="dxa"/>
            <w:shd w:val="clear" w:color="auto" w:fill="auto"/>
            <w:vAlign w:val="center"/>
          </w:tcPr>
          <w:p w14:paraId="22D39577" w14:textId="77777777" w:rsidR="0075791A" w:rsidRDefault="0075791A">
            <w:pPr>
              <w:pStyle w:val="af4"/>
              <w:rPr>
                <w:color w:val="auto"/>
                <w:lang w:eastAsia="zh-CN"/>
              </w:rPr>
            </w:pPr>
          </w:p>
        </w:tc>
      </w:tr>
      <w:tr w:rsidR="0075791A" w14:paraId="228F9A72" w14:textId="77777777">
        <w:trPr>
          <w:trHeight w:val="387"/>
          <w:jc w:val="center"/>
        </w:trPr>
        <w:tc>
          <w:tcPr>
            <w:tcW w:w="990" w:type="dxa"/>
            <w:shd w:val="clear" w:color="auto" w:fill="auto"/>
            <w:vAlign w:val="center"/>
          </w:tcPr>
          <w:p w14:paraId="370EA53A" w14:textId="77777777" w:rsidR="0075791A" w:rsidRDefault="00FB2864">
            <w:pPr>
              <w:pStyle w:val="af4"/>
              <w:rPr>
                <w:color w:val="auto"/>
                <w:lang w:eastAsia="zh-CN"/>
              </w:rPr>
            </w:pPr>
            <w:r>
              <w:rPr>
                <w:rFonts w:hint="eastAsia"/>
                <w:color w:val="auto"/>
                <w:lang w:eastAsia="zh-CN"/>
              </w:rPr>
              <w:t>11</w:t>
            </w:r>
          </w:p>
        </w:tc>
        <w:tc>
          <w:tcPr>
            <w:tcW w:w="2246" w:type="dxa"/>
            <w:shd w:val="clear" w:color="auto" w:fill="auto"/>
            <w:vAlign w:val="center"/>
          </w:tcPr>
          <w:p w14:paraId="47E57072" w14:textId="77777777" w:rsidR="0075791A" w:rsidRDefault="00FB2864">
            <w:pPr>
              <w:pStyle w:val="af4"/>
              <w:rPr>
                <w:color w:val="auto"/>
                <w:lang w:eastAsia="zh-CN"/>
              </w:rPr>
            </w:pPr>
            <w:r>
              <w:rPr>
                <w:rFonts w:hint="eastAsia"/>
                <w:color w:val="auto"/>
                <w:lang w:eastAsia="zh-CN"/>
              </w:rPr>
              <w:t>固定式照明灯</w:t>
            </w:r>
          </w:p>
        </w:tc>
        <w:tc>
          <w:tcPr>
            <w:tcW w:w="1701" w:type="dxa"/>
            <w:shd w:val="clear" w:color="auto" w:fill="auto"/>
            <w:vAlign w:val="center"/>
          </w:tcPr>
          <w:p w14:paraId="48179F1A" w14:textId="77777777" w:rsidR="0075791A" w:rsidRDefault="0075791A">
            <w:pPr>
              <w:pStyle w:val="af4"/>
              <w:rPr>
                <w:color w:val="auto"/>
                <w:lang w:eastAsia="zh-CN"/>
              </w:rPr>
            </w:pPr>
          </w:p>
        </w:tc>
        <w:tc>
          <w:tcPr>
            <w:tcW w:w="850" w:type="dxa"/>
            <w:shd w:val="clear" w:color="auto" w:fill="auto"/>
            <w:vAlign w:val="center"/>
          </w:tcPr>
          <w:p w14:paraId="4D3F928B" w14:textId="77777777" w:rsidR="0075791A" w:rsidRDefault="0075791A">
            <w:pPr>
              <w:pStyle w:val="af4"/>
              <w:rPr>
                <w:color w:val="auto"/>
                <w:lang w:eastAsia="zh-CN"/>
              </w:rPr>
            </w:pPr>
          </w:p>
        </w:tc>
        <w:tc>
          <w:tcPr>
            <w:tcW w:w="709" w:type="dxa"/>
            <w:shd w:val="clear" w:color="auto" w:fill="auto"/>
            <w:vAlign w:val="center"/>
          </w:tcPr>
          <w:p w14:paraId="1AE5C021" w14:textId="77777777" w:rsidR="0075791A" w:rsidRDefault="0075791A">
            <w:pPr>
              <w:pStyle w:val="af4"/>
              <w:rPr>
                <w:color w:val="auto"/>
                <w:lang w:eastAsia="zh-CN"/>
              </w:rPr>
            </w:pPr>
          </w:p>
        </w:tc>
        <w:tc>
          <w:tcPr>
            <w:tcW w:w="1134" w:type="dxa"/>
            <w:shd w:val="clear" w:color="auto" w:fill="auto"/>
            <w:vAlign w:val="center"/>
          </w:tcPr>
          <w:p w14:paraId="7B087F76" w14:textId="77777777" w:rsidR="0075791A" w:rsidRDefault="0075791A">
            <w:pPr>
              <w:pStyle w:val="af4"/>
              <w:rPr>
                <w:color w:val="auto"/>
                <w:lang w:eastAsia="zh-CN"/>
              </w:rPr>
            </w:pPr>
          </w:p>
        </w:tc>
        <w:tc>
          <w:tcPr>
            <w:tcW w:w="1413" w:type="dxa"/>
            <w:shd w:val="clear" w:color="auto" w:fill="auto"/>
            <w:vAlign w:val="center"/>
          </w:tcPr>
          <w:p w14:paraId="100ECB08" w14:textId="77777777" w:rsidR="0075791A" w:rsidRDefault="0075791A">
            <w:pPr>
              <w:pStyle w:val="af4"/>
              <w:rPr>
                <w:color w:val="auto"/>
                <w:lang w:eastAsia="zh-CN"/>
              </w:rPr>
            </w:pPr>
          </w:p>
        </w:tc>
      </w:tr>
      <w:tr w:rsidR="0075791A" w14:paraId="250A82DA" w14:textId="77777777">
        <w:trPr>
          <w:trHeight w:val="387"/>
          <w:jc w:val="center"/>
        </w:trPr>
        <w:tc>
          <w:tcPr>
            <w:tcW w:w="990" w:type="dxa"/>
            <w:shd w:val="clear" w:color="auto" w:fill="auto"/>
            <w:vAlign w:val="center"/>
          </w:tcPr>
          <w:p w14:paraId="7A24C527" w14:textId="77777777" w:rsidR="0075791A" w:rsidRDefault="00FB2864">
            <w:pPr>
              <w:pStyle w:val="af4"/>
              <w:rPr>
                <w:color w:val="auto"/>
                <w:lang w:eastAsia="zh-CN"/>
              </w:rPr>
            </w:pPr>
            <w:r>
              <w:rPr>
                <w:rFonts w:hint="eastAsia"/>
                <w:color w:val="auto"/>
                <w:lang w:eastAsia="zh-CN"/>
              </w:rPr>
              <w:t>12</w:t>
            </w:r>
          </w:p>
        </w:tc>
        <w:tc>
          <w:tcPr>
            <w:tcW w:w="2246" w:type="dxa"/>
            <w:shd w:val="clear" w:color="auto" w:fill="auto"/>
            <w:vAlign w:val="center"/>
          </w:tcPr>
          <w:p w14:paraId="6FAC5CC8" w14:textId="77777777" w:rsidR="0075791A" w:rsidRDefault="00FB2864">
            <w:pPr>
              <w:pStyle w:val="af4"/>
              <w:rPr>
                <w:color w:val="auto"/>
                <w:lang w:eastAsia="zh-CN"/>
              </w:rPr>
            </w:pPr>
            <w:r>
              <w:rPr>
                <w:rFonts w:hint="eastAsia"/>
                <w:color w:val="auto"/>
                <w:lang w:eastAsia="zh-CN"/>
              </w:rPr>
              <w:t>头戴式照明灯</w:t>
            </w:r>
          </w:p>
        </w:tc>
        <w:tc>
          <w:tcPr>
            <w:tcW w:w="1701" w:type="dxa"/>
            <w:shd w:val="clear" w:color="auto" w:fill="auto"/>
            <w:vAlign w:val="center"/>
          </w:tcPr>
          <w:p w14:paraId="427048FC" w14:textId="77777777" w:rsidR="0075791A" w:rsidRDefault="0075791A">
            <w:pPr>
              <w:pStyle w:val="af4"/>
              <w:rPr>
                <w:color w:val="auto"/>
                <w:lang w:eastAsia="zh-CN"/>
              </w:rPr>
            </w:pPr>
          </w:p>
        </w:tc>
        <w:tc>
          <w:tcPr>
            <w:tcW w:w="850" w:type="dxa"/>
            <w:shd w:val="clear" w:color="auto" w:fill="auto"/>
            <w:vAlign w:val="center"/>
          </w:tcPr>
          <w:p w14:paraId="68ACCDC7" w14:textId="77777777" w:rsidR="0075791A" w:rsidRDefault="0075791A">
            <w:pPr>
              <w:pStyle w:val="af4"/>
              <w:rPr>
                <w:color w:val="auto"/>
                <w:lang w:eastAsia="zh-CN"/>
              </w:rPr>
            </w:pPr>
          </w:p>
        </w:tc>
        <w:tc>
          <w:tcPr>
            <w:tcW w:w="709" w:type="dxa"/>
            <w:shd w:val="clear" w:color="auto" w:fill="auto"/>
            <w:vAlign w:val="center"/>
          </w:tcPr>
          <w:p w14:paraId="485F2A27" w14:textId="77777777" w:rsidR="0075791A" w:rsidRDefault="0075791A">
            <w:pPr>
              <w:pStyle w:val="af4"/>
              <w:rPr>
                <w:color w:val="auto"/>
                <w:lang w:eastAsia="zh-CN"/>
              </w:rPr>
            </w:pPr>
          </w:p>
        </w:tc>
        <w:tc>
          <w:tcPr>
            <w:tcW w:w="1134" w:type="dxa"/>
            <w:shd w:val="clear" w:color="auto" w:fill="auto"/>
            <w:vAlign w:val="center"/>
          </w:tcPr>
          <w:p w14:paraId="05E0F25D" w14:textId="77777777" w:rsidR="0075791A" w:rsidRDefault="0075791A">
            <w:pPr>
              <w:pStyle w:val="af4"/>
              <w:rPr>
                <w:color w:val="auto"/>
                <w:lang w:eastAsia="zh-CN"/>
              </w:rPr>
            </w:pPr>
          </w:p>
        </w:tc>
        <w:tc>
          <w:tcPr>
            <w:tcW w:w="1413" w:type="dxa"/>
            <w:shd w:val="clear" w:color="auto" w:fill="auto"/>
            <w:vAlign w:val="center"/>
          </w:tcPr>
          <w:p w14:paraId="21BE853F" w14:textId="77777777" w:rsidR="0075791A" w:rsidRDefault="0075791A">
            <w:pPr>
              <w:pStyle w:val="af4"/>
              <w:rPr>
                <w:color w:val="auto"/>
                <w:lang w:eastAsia="zh-CN"/>
              </w:rPr>
            </w:pPr>
          </w:p>
        </w:tc>
      </w:tr>
      <w:tr w:rsidR="0075791A" w14:paraId="3E4B9F86" w14:textId="77777777">
        <w:trPr>
          <w:trHeight w:val="387"/>
          <w:jc w:val="center"/>
        </w:trPr>
        <w:tc>
          <w:tcPr>
            <w:tcW w:w="990" w:type="dxa"/>
            <w:shd w:val="clear" w:color="auto" w:fill="auto"/>
            <w:vAlign w:val="center"/>
          </w:tcPr>
          <w:p w14:paraId="1F4AAB2E" w14:textId="77777777" w:rsidR="0075791A" w:rsidRDefault="00FB2864">
            <w:pPr>
              <w:pStyle w:val="af4"/>
              <w:rPr>
                <w:color w:val="auto"/>
                <w:lang w:eastAsia="zh-CN"/>
              </w:rPr>
            </w:pPr>
            <w:r>
              <w:rPr>
                <w:rFonts w:hint="eastAsia"/>
                <w:color w:val="auto"/>
                <w:lang w:eastAsia="zh-CN"/>
              </w:rPr>
              <w:t>13</w:t>
            </w:r>
          </w:p>
        </w:tc>
        <w:tc>
          <w:tcPr>
            <w:tcW w:w="2246" w:type="dxa"/>
            <w:shd w:val="clear" w:color="auto" w:fill="auto"/>
            <w:vAlign w:val="center"/>
          </w:tcPr>
          <w:p w14:paraId="0E95D037" w14:textId="77777777" w:rsidR="0075791A" w:rsidRDefault="00FB2864">
            <w:pPr>
              <w:pStyle w:val="af4"/>
              <w:rPr>
                <w:color w:val="auto"/>
                <w:lang w:eastAsia="zh-CN"/>
              </w:rPr>
            </w:pPr>
            <w:r>
              <w:rPr>
                <w:rFonts w:hint="eastAsia"/>
                <w:color w:val="auto"/>
                <w:lang w:eastAsia="zh-CN"/>
              </w:rPr>
              <w:t>RTK</w:t>
            </w:r>
            <w:r>
              <w:rPr>
                <w:rFonts w:hint="eastAsia"/>
                <w:color w:val="auto"/>
                <w:lang w:eastAsia="zh-CN"/>
              </w:rPr>
              <w:t>测量仪</w:t>
            </w:r>
          </w:p>
        </w:tc>
        <w:tc>
          <w:tcPr>
            <w:tcW w:w="1701" w:type="dxa"/>
            <w:shd w:val="clear" w:color="auto" w:fill="auto"/>
            <w:vAlign w:val="center"/>
          </w:tcPr>
          <w:p w14:paraId="246192EB" w14:textId="77777777" w:rsidR="0075791A" w:rsidRDefault="00FB2864">
            <w:pPr>
              <w:pStyle w:val="af4"/>
              <w:rPr>
                <w:color w:val="auto"/>
                <w:lang w:eastAsia="zh-CN"/>
              </w:rPr>
            </w:pPr>
            <w:r>
              <w:rPr>
                <w:rFonts w:hint="eastAsia"/>
                <w:color w:val="auto"/>
                <w:lang w:eastAsia="zh-CN"/>
              </w:rPr>
              <w:t>/</w:t>
            </w:r>
          </w:p>
        </w:tc>
        <w:tc>
          <w:tcPr>
            <w:tcW w:w="850" w:type="dxa"/>
            <w:shd w:val="clear" w:color="auto" w:fill="auto"/>
            <w:vAlign w:val="center"/>
          </w:tcPr>
          <w:p w14:paraId="4E4DF90B" w14:textId="77777777" w:rsidR="0075791A" w:rsidRDefault="00FB2864">
            <w:pPr>
              <w:pStyle w:val="af4"/>
              <w:rPr>
                <w:color w:val="auto"/>
                <w:lang w:eastAsia="zh-CN"/>
              </w:rPr>
            </w:pPr>
            <w:r>
              <w:rPr>
                <w:rFonts w:hint="eastAsia"/>
                <w:color w:val="auto"/>
                <w:lang w:eastAsia="zh-CN"/>
              </w:rPr>
              <w:t>2</w:t>
            </w:r>
            <w:r>
              <w:rPr>
                <w:rFonts w:hint="eastAsia"/>
                <w:color w:val="auto"/>
                <w:lang w:eastAsia="zh-CN"/>
              </w:rPr>
              <w:t>台</w:t>
            </w:r>
          </w:p>
        </w:tc>
        <w:tc>
          <w:tcPr>
            <w:tcW w:w="709" w:type="dxa"/>
            <w:shd w:val="clear" w:color="auto" w:fill="auto"/>
            <w:vAlign w:val="center"/>
          </w:tcPr>
          <w:p w14:paraId="2057F344" w14:textId="77777777" w:rsidR="0075791A" w:rsidRDefault="00FB2864">
            <w:pPr>
              <w:pStyle w:val="af4"/>
              <w:rPr>
                <w:color w:val="auto"/>
                <w:lang w:eastAsia="zh-CN"/>
              </w:rPr>
            </w:pPr>
            <w:r>
              <w:rPr>
                <w:rFonts w:hint="eastAsia"/>
                <w:color w:val="auto"/>
                <w:lang w:eastAsia="zh-CN"/>
              </w:rPr>
              <w:t>/</w:t>
            </w:r>
          </w:p>
        </w:tc>
        <w:tc>
          <w:tcPr>
            <w:tcW w:w="1134" w:type="dxa"/>
            <w:shd w:val="clear" w:color="auto" w:fill="auto"/>
            <w:vAlign w:val="center"/>
          </w:tcPr>
          <w:p w14:paraId="691C2A21" w14:textId="77777777" w:rsidR="0075791A" w:rsidRDefault="00FB2864">
            <w:pPr>
              <w:pStyle w:val="af4"/>
              <w:rPr>
                <w:color w:val="auto"/>
                <w:lang w:eastAsia="zh-CN"/>
              </w:rPr>
            </w:pPr>
            <w:r>
              <w:rPr>
                <w:rFonts w:hint="eastAsia"/>
                <w:color w:val="auto"/>
                <w:lang w:eastAsia="zh-CN"/>
              </w:rPr>
              <w:t>/</w:t>
            </w:r>
          </w:p>
        </w:tc>
        <w:tc>
          <w:tcPr>
            <w:tcW w:w="1413" w:type="dxa"/>
            <w:shd w:val="clear" w:color="auto" w:fill="auto"/>
            <w:vAlign w:val="center"/>
          </w:tcPr>
          <w:p w14:paraId="78891731" w14:textId="77777777" w:rsidR="0075791A" w:rsidRDefault="0075791A">
            <w:pPr>
              <w:pStyle w:val="af4"/>
              <w:rPr>
                <w:color w:val="auto"/>
                <w:lang w:eastAsia="zh-CN"/>
              </w:rPr>
            </w:pPr>
          </w:p>
        </w:tc>
      </w:tr>
      <w:tr w:rsidR="0075791A" w14:paraId="728AFF5A" w14:textId="77777777">
        <w:trPr>
          <w:trHeight w:val="387"/>
          <w:jc w:val="center"/>
        </w:trPr>
        <w:tc>
          <w:tcPr>
            <w:tcW w:w="990" w:type="dxa"/>
            <w:shd w:val="clear" w:color="auto" w:fill="auto"/>
            <w:vAlign w:val="center"/>
          </w:tcPr>
          <w:p w14:paraId="7633A0BB" w14:textId="77777777" w:rsidR="0075791A" w:rsidRDefault="00FB2864">
            <w:pPr>
              <w:pStyle w:val="af4"/>
              <w:rPr>
                <w:color w:val="auto"/>
                <w:lang w:eastAsia="zh-CN"/>
              </w:rPr>
            </w:pPr>
            <w:r>
              <w:rPr>
                <w:rFonts w:hint="eastAsia"/>
                <w:color w:val="auto"/>
                <w:lang w:eastAsia="zh-CN"/>
              </w:rPr>
              <w:t>14</w:t>
            </w:r>
          </w:p>
        </w:tc>
        <w:tc>
          <w:tcPr>
            <w:tcW w:w="2246" w:type="dxa"/>
            <w:shd w:val="clear" w:color="auto" w:fill="auto"/>
            <w:vAlign w:val="center"/>
          </w:tcPr>
          <w:p w14:paraId="35AA29F5" w14:textId="77777777" w:rsidR="0075791A" w:rsidRDefault="00FB2864">
            <w:pPr>
              <w:pStyle w:val="af4"/>
              <w:rPr>
                <w:color w:val="auto"/>
                <w:lang w:eastAsia="zh-CN"/>
              </w:rPr>
            </w:pPr>
            <w:r>
              <w:rPr>
                <w:rFonts w:hint="eastAsia"/>
                <w:color w:val="auto"/>
                <w:lang w:eastAsia="zh-CN"/>
              </w:rPr>
              <w:t>防污帘</w:t>
            </w:r>
          </w:p>
        </w:tc>
        <w:tc>
          <w:tcPr>
            <w:tcW w:w="1701" w:type="dxa"/>
            <w:shd w:val="clear" w:color="auto" w:fill="auto"/>
            <w:vAlign w:val="center"/>
          </w:tcPr>
          <w:p w14:paraId="5C1877F1" w14:textId="77777777" w:rsidR="0075791A" w:rsidRDefault="00FB2864">
            <w:pPr>
              <w:pStyle w:val="af4"/>
              <w:rPr>
                <w:color w:val="auto"/>
                <w:lang w:eastAsia="zh-CN"/>
              </w:rPr>
            </w:pPr>
            <w:r>
              <w:rPr>
                <w:rFonts w:hint="eastAsia"/>
                <w:color w:val="auto"/>
                <w:lang w:eastAsia="zh-CN"/>
              </w:rPr>
              <w:t>克重≥</w:t>
            </w:r>
            <w:r>
              <w:rPr>
                <w:rFonts w:hint="eastAsia"/>
                <w:color w:val="auto"/>
                <w:lang w:eastAsia="zh-CN"/>
              </w:rPr>
              <w:t>200g/</w:t>
            </w:r>
            <w:r>
              <w:rPr>
                <w:rFonts w:hint="eastAsia"/>
                <w:color w:val="auto"/>
                <w:lang w:eastAsia="zh-CN"/>
              </w:rPr>
              <w:t>㎡</w:t>
            </w:r>
          </w:p>
        </w:tc>
        <w:tc>
          <w:tcPr>
            <w:tcW w:w="850" w:type="dxa"/>
            <w:shd w:val="clear" w:color="auto" w:fill="auto"/>
            <w:vAlign w:val="center"/>
          </w:tcPr>
          <w:p w14:paraId="31BE2D85" w14:textId="77777777" w:rsidR="0075791A" w:rsidRDefault="00FB2864">
            <w:pPr>
              <w:pStyle w:val="af4"/>
              <w:rPr>
                <w:color w:val="auto"/>
                <w:lang w:eastAsia="zh-CN"/>
              </w:rPr>
            </w:pPr>
            <w:r>
              <w:rPr>
                <w:rFonts w:hint="eastAsia"/>
                <w:color w:val="auto"/>
                <w:lang w:eastAsia="zh-CN"/>
              </w:rPr>
              <w:t>3.6km</w:t>
            </w:r>
          </w:p>
        </w:tc>
        <w:tc>
          <w:tcPr>
            <w:tcW w:w="709" w:type="dxa"/>
            <w:shd w:val="clear" w:color="auto" w:fill="auto"/>
            <w:vAlign w:val="center"/>
          </w:tcPr>
          <w:p w14:paraId="67E52067" w14:textId="77777777" w:rsidR="0075791A" w:rsidRDefault="00FB2864">
            <w:pPr>
              <w:pStyle w:val="af4"/>
              <w:rPr>
                <w:color w:val="auto"/>
                <w:lang w:eastAsia="zh-CN"/>
              </w:rPr>
            </w:pPr>
            <w:r>
              <w:rPr>
                <w:rFonts w:hint="eastAsia"/>
                <w:color w:val="auto"/>
                <w:lang w:eastAsia="zh-CN"/>
              </w:rPr>
              <w:t>/</w:t>
            </w:r>
          </w:p>
        </w:tc>
        <w:tc>
          <w:tcPr>
            <w:tcW w:w="1134" w:type="dxa"/>
            <w:shd w:val="clear" w:color="auto" w:fill="auto"/>
            <w:vAlign w:val="center"/>
          </w:tcPr>
          <w:p w14:paraId="5C190E7F" w14:textId="77777777" w:rsidR="0075791A" w:rsidRDefault="00FB2864">
            <w:pPr>
              <w:pStyle w:val="af4"/>
              <w:rPr>
                <w:color w:val="auto"/>
                <w:lang w:eastAsia="zh-CN"/>
              </w:rPr>
            </w:pPr>
            <w:r>
              <w:rPr>
                <w:rFonts w:hint="eastAsia"/>
                <w:color w:val="auto"/>
                <w:lang w:eastAsia="zh-CN"/>
              </w:rPr>
              <w:t>/</w:t>
            </w:r>
          </w:p>
        </w:tc>
        <w:tc>
          <w:tcPr>
            <w:tcW w:w="1413" w:type="dxa"/>
            <w:shd w:val="clear" w:color="auto" w:fill="auto"/>
            <w:vAlign w:val="center"/>
          </w:tcPr>
          <w:p w14:paraId="484DFA60" w14:textId="77777777" w:rsidR="0075791A" w:rsidRDefault="0075791A">
            <w:pPr>
              <w:pStyle w:val="af4"/>
              <w:rPr>
                <w:color w:val="auto"/>
                <w:lang w:eastAsia="zh-CN"/>
              </w:rPr>
            </w:pPr>
          </w:p>
        </w:tc>
      </w:tr>
    </w:tbl>
    <w:p w14:paraId="59730EAA" w14:textId="77777777" w:rsidR="0075791A" w:rsidRDefault="0075791A">
      <w:pPr>
        <w:spacing w:line="360" w:lineRule="auto"/>
        <w:jc w:val="both"/>
        <w:rPr>
          <w:rFonts w:ascii="Times New Roman" w:eastAsia="宋体" w:hAnsi="Times New Roman" w:cs="宋体"/>
          <w:color w:val="auto"/>
          <w:sz w:val="24"/>
          <w:szCs w:val="24"/>
          <w:lang w:eastAsia="zh-CN"/>
        </w:rPr>
      </w:pPr>
    </w:p>
    <w:bookmarkEnd w:id="69"/>
    <w:p w14:paraId="2E066A0C"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r>
        <w:rPr>
          <w:rFonts w:ascii="Times New Roman" w:eastAsia="Times New Roman" w:hAnsi="Times New Roman" w:cs="Times New Roman" w:hint="eastAsia"/>
          <w:b/>
          <w:bCs/>
          <w:color w:val="auto"/>
          <w:spacing w:val="-3"/>
          <w:sz w:val="28"/>
          <w:szCs w:val="28"/>
          <w:lang w:eastAsia="zh-CN"/>
        </w:rPr>
        <w:t>2.3.3 土石方平衡</w:t>
      </w:r>
    </w:p>
    <w:p w14:paraId="471F237A" w14:textId="77777777" w:rsidR="0075791A" w:rsidRDefault="00FB2864">
      <w:pPr>
        <w:pStyle w:val="a5"/>
        <w:spacing w:line="360" w:lineRule="auto"/>
        <w:ind w:firstLineChars="200" w:firstLine="476"/>
        <w:jc w:val="both"/>
        <w:rPr>
          <w:rFonts w:ascii="Times New Roman" w:eastAsia="宋体" w:hAnsi="Times New Roman" w:cs="宋体"/>
          <w:color w:val="auto"/>
          <w:sz w:val="24"/>
          <w:szCs w:val="24"/>
          <w:lang w:eastAsia="zh-CN"/>
        </w:rPr>
      </w:pPr>
      <w:r>
        <w:rPr>
          <w:rFonts w:ascii="Times New Roman" w:eastAsia="宋体" w:hAnsi="Times New Roman" w:cs="宋体"/>
          <w:color w:val="auto"/>
          <w:spacing w:val="-2"/>
          <w:sz w:val="24"/>
          <w:szCs w:val="24"/>
          <w:lang w:eastAsia="zh-CN"/>
        </w:rPr>
        <w:t>铁炉港红树林湿地保护修复项目</w:t>
      </w:r>
      <w:r>
        <w:rPr>
          <w:rFonts w:ascii="Times New Roman" w:eastAsia="宋体" w:hAnsi="Times New Roman" w:cs="宋体" w:hint="eastAsia"/>
          <w:color w:val="auto"/>
          <w:spacing w:val="-2"/>
          <w:sz w:val="24"/>
          <w:szCs w:val="24"/>
          <w:lang w:eastAsia="zh-CN"/>
        </w:rPr>
        <w:t>二期微地形改造、清淤疏浚</w:t>
      </w:r>
      <w:r>
        <w:rPr>
          <w:rFonts w:ascii="Times New Roman" w:eastAsia="宋体" w:hAnsi="Times New Roman" w:cs="宋体"/>
          <w:color w:val="auto"/>
          <w:sz w:val="24"/>
          <w:szCs w:val="24"/>
          <w:lang w:eastAsia="zh-CN"/>
        </w:rPr>
        <w:t>建设过程中的土石方来源主要包括：水系连通、微地形改造。项目中可利用的挖方主要是水系连通、场地平整产生的土方</w:t>
      </w:r>
      <w:r>
        <w:rPr>
          <w:rFonts w:ascii="Times New Roman" w:eastAsia="宋体" w:hAnsi="Times New Roman" w:cs="宋体" w:hint="eastAsia"/>
          <w:color w:val="auto"/>
          <w:sz w:val="24"/>
          <w:szCs w:val="24"/>
          <w:lang w:eastAsia="zh-CN"/>
        </w:rPr>
        <w:t>。</w:t>
      </w:r>
    </w:p>
    <w:p w14:paraId="10A0E65A" w14:textId="77777777" w:rsidR="0075791A" w:rsidRDefault="00FB2864">
      <w:pPr>
        <w:pStyle w:val="a5"/>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本项目疏浚活动位于核心区的分区六区域，为了推动疏浚活动施工进度，并利用疏浚活动清理的泥沙运用至现场施工区所缺土方，计划从分区六的疏浚区域清理</w:t>
      </w:r>
      <w:r>
        <w:rPr>
          <w:rFonts w:ascii="Times New Roman" w:eastAsia="宋体" w:hAnsi="Times New Roman" w:cs="宋体" w:hint="eastAsia"/>
          <w:color w:val="auto"/>
          <w:spacing w:val="-2"/>
          <w:sz w:val="24"/>
          <w:szCs w:val="24"/>
          <w:lang w:eastAsia="zh-CN"/>
        </w:rPr>
        <w:t>86000m</w:t>
      </w:r>
      <w:r>
        <w:rPr>
          <w:rFonts w:ascii="Times New Roman" w:eastAsia="宋体" w:hAnsi="Times New Roman" w:cs="宋体" w:hint="eastAsia"/>
          <w:color w:val="auto"/>
          <w:spacing w:val="-2"/>
          <w:sz w:val="24"/>
          <w:szCs w:val="24"/>
          <w:lang w:eastAsia="zh-CN"/>
        </w:rPr>
        <w:t>³淤土，用于施工现场分区一、分区七进行土方平衡工作。</w:t>
      </w:r>
    </w:p>
    <w:p w14:paraId="07B1B4CF" w14:textId="77777777" w:rsidR="0075791A" w:rsidRDefault="00FB2864">
      <w:pPr>
        <w:pStyle w:val="a5"/>
        <w:jc w:val="center"/>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表</w:t>
      </w:r>
      <w:r>
        <w:rPr>
          <w:rFonts w:ascii="Times New Roman" w:eastAsia="宋体" w:hAnsi="Times New Roman" w:cs="宋体" w:hint="eastAsia"/>
          <w:color w:val="auto"/>
          <w:sz w:val="24"/>
          <w:szCs w:val="24"/>
          <w:lang w:eastAsia="zh-CN"/>
        </w:rPr>
        <w:t xml:space="preserve">2.3.3-1 </w:t>
      </w:r>
      <w:r>
        <w:rPr>
          <w:rFonts w:ascii="Times New Roman" w:eastAsia="宋体" w:hAnsi="Times New Roman" w:cs="宋体" w:hint="eastAsia"/>
          <w:color w:val="auto"/>
          <w:sz w:val="24"/>
          <w:szCs w:val="24"/>
          <w:lang w:eastAsia="zh-CN"/>
        </w:rPr>
        <w:t>各区缺土量</w:t>
      </w:r>
    </w:p>
    <w:tbl>
      <w:tblPr>
        <w:tblW w:w="5144" w:type="pct"/>
        <w:jc w:val="center"/>
        <w:tblBorders>
          <w:top w:val="double" w:sz="4" w:space="0" w:color="auto"/>
          <w:left w:val="double" w:sz="4" w:space="0" w:color="auto"/>
          <w:bottom w:val="double" w:sz="4" w:space="0" w:color="auto"/>
          <w:right w:val="double" w:sz="4" w:space="0" w:color="auto"/>
          <w:insideH w:val="single" w:sz="4" w:space="0" w:color="3737FF"/>
          <w:insideV w:val="single" w:sz="4" w:space="0" w:color="3737FF"/>
        </w:tblBorders>
        <w:tblLayout w:type="fixed"/>
        <w:tblLook w:val="04A0" w:firstRow="1" w:lastRow="0" w:firstColumn="1" w:lastColumn="0" w:noHBand="0" w:noVBand="1"/>
      </w:tblPr>
      <w:tblGrid>
        <w:gridCol w:w="1574"/>
        <w:gridCol w:w="1119"/>
        <w:gridCol w:w="970"/>
        <w:gridCol w:w="984"/>
        <w:gridCol w:w="1019"/>
        <w:gridCol w:w="955"/>
        <w:gridCol w:w="983"/>
        <w:gridCol w:w="1108"/>
        <w:gridCol w:w="906"/>
      </w:tblGrid>
      <w:tr w:rsidR="0075791A" w14:paraId="7A996996" w14:textId="77777777">
        <w:trPr>
          <w:trHeight w:val="462"/>
          <w:tblHeader/>
          <w:jc w:val="center"/>
        </w:trPr>
        <w:tc>
          <w:tcPr>
            <w:tcW w:w="818" w:type="pct"/>
            <w:tcBorders>
              <w:tl2br w:val="nil"/>
              <w:tr2bl w:val="nil"/>
            </w:tcBorders>
            <w:shd w:val="clear" w:color="auto" w:fill="CCECFF"/>
            <w:vAlign w:val="center"/>
          </w:tcPr>
          <w:p w14:paraId="47721FD2" w14:textId="77777777" w:rsidR="0075791A" w:rsidRDefault="00FB2864">
            <w:pPr>
              <w:pStyle w:val="af4"/>
              <w:rPr>
                <w:color w:val="auto"/>
                <w:lang w:eastAsia="zh-CN"/>
              </w:rPr>
            </w:pPr>
            <w:r>
              <w:rPr>
                <w:rFonts w:hint="eastAsia"/>
                <w:color w:val="auto"/>
                <w:lang w:eastAsia="zh-CN"/>
              </w:rPr>
              <w:t>分区</w:t>
            </w:r>
          </w:p>
        </w:tc>
        <w:tc>
          <w:tcPr>
            <w:tcW w:w="581" w:type="pct"/>
            <w:tcBorders>
              <w:tl2br w:val="nil"/>
              <w:tr2bl w:val="nil"/>
            </w:tcBorders>
            <w:shd w:val="clear" w:color="auto" w:fill="CCECFF"/>
            <w:vAlign w:val="center"/>
          </w:tcPr>
          <w:p w14:paraId="003BA518" w14:textId="77777777" w:rsidR="0075791A" w:rsidRDefault="00FB2864">
            <w:pPr>
              <w:pStyle w:val="af4"/>
              <w:rPr>
                <w:color w:val="auto"/>
                <w:lang w:eastAsia="zh-CN"/>
              </w:rPr>
            </w:pPr>
            <w:r>
              <w:rPr>
                <w:rFonts w:hint="eastAsia"/>
                <w:color w:val="auto"/>
                <w:lang w:eastAsia="zh-CN"/>
              </w:rPr>
              <w:t>一</w:t>
            </w:r>
          </w:p>
        </w:tc>
        <w:tc>
          <w:tcPr>
            <w:tcW w:w="504" w:type="pct"/>
            <w:tcBorders>
              <w:tl2br w:val="nil"/>
              <w:tr2bl w:val="nil"/>
            </w:tcBorders>
            <w:shd w:val="clear" w:color="auto" w:fill="CCECFF"/>
            <w:vAlign w:val="center"/>
          </w:tcPr>
          <w:p w14:paraId="0B39291E" w14:textId="77777777" w:rsidR="0075791A" w:rsidRDefault="00FB2864">
            <w:pPr>
              <w:pStyle w:val="af4"/>
              <w:rPr>
                <w:color w:val="auto"/>
                <w:lang w:eastAsia="zh-CN"/>
              </w:rPr>
            </w:pPr>
            <w:r>
              <w:rPr>
                <w:rFonts w:hint="eastAsia"/>
                <w:color w:val="auto"/>
                <w:lang w:eastAsia="zh-CN"/>
              </w:rPr>
              <w:t>二</w:t>
            </w:r>
          </w:p>
        </w:tc>
        <w:tc>
          <w:tcPr>
            <w:tcW w:w="511" w:type="pct"/>
            <w:tcBorders>
              <w:tl2br w:val="nil"/>
              <w:tr2bl w:val="nil"/>
            </w:tcBorders>
            <w:shd w:val="clear" w:color="auto" w:fill="CCECFF"/>
            <w:vAlign w:val="center"/>
          </w:tcPr>
          <w:p w14:paraId="2AEB1B80" w14:textId="77777777" w:rsidR="0075791A" w:rsidRDefault="00FB2864">
            <w:pPr>
              <w:pStyle w:val="af4"/>
              <w:rPr>
                <w:color w:val="auto"/>
                <w:lang w:eastAsia="zh-CN"/>
              </w:rPr>
            </w:pPr>
            <w:r>
              <w:rPr>
                <w:rFonts w:hint="eastAsia"/>
                <w:color w:val="auto"/>
                <w:lang w:eastAsia="zh-CN"/>
              </w:rPr>
              <w:t>三</w:t>
            </w:r>
          </w:p>
        </w:tc>
        <w:tc>
          <w:tcPr>
            <w:tcW w:w="529" w:type="pct"/>
            <w:tcBorders>
              <w:tl2br w:val="nil"/>
              <w:tr2bl w:val="nil"/>
            </w:tcBorders>
            <w:shd w:val="clear" w:color="auto" w:fill="CCECFF"/>
            <w:vAlign w:val="center"/>
          </w:tcPr>
          <w:p w14:paraId="188AB6D0" w14:textId="77777777" w:rsidR="0075791A" w:rsidRDefault="00FB2864">
            <w:pPr>
              <w:pStyle w:val="af4"/>
              <w:rPr>
                <w:color w:val="auto"/>
                <w:lang w:eastAsia="zh-CN"/>
              </w:rPr>
            </w:pPr>
            <w:r>
              <w:rPr>
                <w:rFonts w:hint="eastAsia"/>
                <w:color w:val="auto"/>
                <w:lang w:eastAsia="zh-CN"/>
              </w:rPr>
              <w:t>四</w:t>
            </w:r>
          </w:p>
        </w:tc>
        <w:tc>
          <w:tcPr>
            <w:tcW w:w="496" w:type="pct"/>
            <w:tcBorders>
              <w:tl2br w:val="nil"/>
              <w:tr2bl w:val="nil"/>
            </w:tcBorders>
            <w:shd w:val="clear" w:color="auto" w:fill="CCECFF"/>
            <w:vAlign w:val="center"/>
          </w:tcPr>
          <w:p w14:paraId="1C94126F" w14:textId="77777777" w:rsidR="0075791A" w:rsidRDefault="00FB2864">
            <w:pPr>
              <w:pStyle w:val="af4"/>
              <w:rPr>
                <w:color w:val="auto"/>
                <w:lang w:eastAsia="zh-CN"/>
              </w:rPr>
            </w:pPr>
            <w:r>
              <w:rPr>
                <w:rFonts w:hint="eastAsia"/>
                <w:color w:val="auto"/>
                <w:lang w:eastAsia="zh-CN"/>
              </w:rPr>
              <w:t>五</w:t>
            </w:r>
          </w:p>
        </w:tc>
        <w:tc>
          <w:tcPr>
            <w:tcW w:w="510" w:type="pct"/>
            <w:tcBorders>
              <w:tl2br w:val="nil"/>
              <w:tr2bl w:val="nil"/>
            </w:tcBorders>
            <w:shd w:val="clear" w:color="auto" w:fill="CCECFF"/>
            <w:vAlign w:val="center"/>
          </w:tcPr>
          <w:p w14:paraId="7793E561" w14:textId="77777777" w:rsidR="0075791A" w:rsidRDefault="00FB2864">
            <w:pPr>
              <w:pStyle w:val="af4"/>
              <w:rPr>
                <w:color w:val="auto"/>
                <w:lang w:eastAsia="zh-CN"/>
              </w:rPr>
            </w:pPr>
            <w:r>
              <w:rPr>
                <w:rFonts w:hint="eastAsia"/>
                <w:color w:val="auto"/>
                <w:lang w:eastAsia="zh-CN"/>
              </w:rPr>
              <w:t>六</w:t>
            </w:r>
          </w:p>
        </w:tc>
        <w:tc>
          <w:tcPr>
            <w:tcW w:w="575" w:type="pct"/>
            <w:tcBorders>
              <w:tl2br w:val="nil"/>
              <w:tr2bl w:val="nil"/>
            </w:tcBorders>
            <w:shd w:val="clear" w:color="auto" w:fill="CCECFF"/>
            <w:vAlign w:val="center"/>
          </w:tcPr>
          <w:p w14:paraId="7FD3B382" w14:textId="77777777" w:rsidR="0075791A" w:rsidRDefault="00FB2864">
            <w:pPr>
              <w:pStyle w:val="af4"/>
              <w:rPr>
                <w:color w:val="auto"/>
                <w:lang w:eastAsia="zh-CN"/>
              </w:rPr>
            </w:pPr>
            <w:r>
              <w:rPr>
                <w:rFonts w:hint="eastAsia"/>
                <w:color w:val="auto"/>
                <w:lang w:eastAsia="zh-CN"/>
              </w:rPr>
              <w:t>七</w:t>
            </w:r>
          </w:p>
        </w:tc>
        <w:tc>
          <w:tcPr>
            <w:tcW w:w="470" w:type="pct"/>
            <w:tcBorders>
              <w:tl2br w:val="nil"/>
              <w:tr2bl w:val="nil"/>
            </w:tcBorders>
            <w:shd w:val="clear" w:color="auto" w:fill="CCECFF"/>
            <w:vAlign w:val="center"/>
          </w:tcPr>
          <w:p w14:paraId="779A6ECB" w14:textId="77777777" w:rsidR="0075791A" w:rsidRDefault="00FB2864">
            <w:pPr>
              <w:pStyle w:val="af4"/>
              <w:rPr>
                <w:color w:val="auto"/>
                <w:lang w:eastAsia="zh-CN"/>
              </w:rPr>
            </w:pPr>
            <w:r>
              <w:rPr>
                <w:rFonts w:hint="eastAsia"/>
                <w:color w:val="auto"/>
                <w:lang w:eastAsia="zh-CN"/>
              </w:rPr>
              <w:t>八</w:t>
            </w:r>
          </w:p>
        </w:tc>
      </w:tr>
      <w:tr w:rsidR="0075791A" w14:paraId="37308057" w14:textId="77777777">
        <w:trPr>
          <w:trHeight w:val="397"/>
          <w:jc w:val="center"/>
        </w:trPr>
        <w:tc>
          <w:tcPr>
            <w:tcW w:w="818" w:type="pct"/>
            <w:tcBorders>
              <w:tl2br w:val="nil"/>
              <w:tr2bl w:val="nil"/>
            </w:tcBorders>
            <w:vAlign w:val="center"/>
          </w:tcPr>
          <w:p w14:paraId="6A74ABD5" w14:textId="77777777" w:rsidR="0075791A" w:rsidRDefault="00FB2864">
            <w:pPr>
              <w:pStyle w:val="af4"/>
              <w:rPr>
                <w:color w:val="auto"/>
                <w:lang w:eastAsia="zh-CN"/>
              </w:rPr>
            </w:pPr>
            <w:r>
              <w:rPr>
                <w:rFonts w:hint="eastAsia"/>
                <w:color w:val="auto"/>
                <w:lang w:eastAsia="zh-CN"/>
              </w:rPr>
              <w:t>缺方量</w:t>
            </w:r>
          </w:p>
          <w:p w14:paraId="18F0EC76" w14:textId="77777777" w:rsidR="0075791A" w:rsidRDefault="00FB2864">
            <w:pPr>
              <w:pStyle w:val="af3"/>
              <w:ind w:firstLineChars="0" w:firstLine="0"/>
              <w:rPr>
                <w:color w:val="auto"/>
                <w:lang w:eastAsia="zh-CN"/>
              </w:rPr>
            </w:pPr>
            <w:r>
              <w:rPr>
                <w:rFonts w:hint="eastAsia"/>
                <w:color w:val="auto"/>
                <w:lang w:eastAsia="zh-CN"/>
              </w:rPr>
              <w:t>（单位：</w:t>
            </w:r>
            <w:r>
              <w:rPr>
                <w:rFonts w:hint="eastAsia"/>
                <w:color w:val="auto"/>
                <w:lang w:eastAsia="zh-CN"/>
              </w:rPr>
              <w:t>m</w:t>
            </w:r>
            <w:r>
              <w:rPr>
                <w:rFonts w:hint="eastAsia"/>
                <w:color w:val="auto"/>
                <w:lang w:eastAsia="zh-CN"/>
              </w:rPr>
              <w:t>³）</w:t>
            </w:r>
          </w:p>
        </w:tc>
        <w:tc>
          <w:tcPr>
            <w:tcW w:w="581" w:type="pct"/>
            <w:tcBorders>
              <w:tl2br w:val="nil"/>
              <w:tr2bl w:val="nil"/>
            </w:tcBorders>
            <w:vAlign w:val="center"/>
          </w:tcPr>
          <w:p w14:paraId="6DAC3BCA" w14:textId="77777777" w:rsidR="0075791A" w:rsidRDefault="00FB2864">
            <w:pPr>
              <w:pStyle w:val="af4"/>
              <w:rPr>
                <w:color w:val="auto"/>
                <w:lang w:eastAsia="zh-CN"/>
              </w:rPr>
            </w:pPr>
            <w:r>
              <w:rPr>
                <w:rFonts w:hint="eastAsia"/>
                <w:color w:val="auto"/>
                <w:lang w:eastAsia="zh-CN"/>
              </w:rPr>
              <w:t>76314.86</w:t>
            </w:r>
          </w:p>
        </w:tc>
        <w:tc>
          <w:tcPr>
            <w:tcW w:w="504" w:type="pct"/>
            <w:tcBorders>
              <w:tl2br w:val="nil"/>
              <w:tr2bl w:val="nil"/>
            </w:tcBorders>
            <w:vAlign w:val="center"/>
          </w:tcPr>
          <w:p w14:paraId="037E94D2" w14:textId="77777777" w:rsidR="0075791A" w:rsidRDefault="00FB2864">
            <w:pPr>
              <w:pStyle w:val="af4"/>
              <w:rPr>
                <w:color w:val="auto"/>
                <w:lang w:eastAsia="zh-CN"/>
              </w:rPr>
            </w:pPr>
            <w:r>
              <w:rPr>
                <w:rFonts w:hint="eastAsia"/>
                <w:color w:val="auto"/>
                <w:lang w:eastAsia="zh-CN"/>
              </w:rPr>
              <w:t>0</w:t>
            </w:r>
          </w:p>
        </w:tc>
        <w:tc>
          <w:tcPr>
            <w:tcW w:w="511" w:type="pct"/>
            <w:tcBorders>
              <w:tl2br w:val="nil"/>
              <w:tr2bl w:val="nil"/>
            </w:tcBorders>
            <w:vAlign w:val="center"/>
          </w:tcPr>
          <w:p w14:paraId="2A1FE713" w14:textId="77777777" w:rsidR="0075791A" w:rsidRDefault="00FB2864">
            <w:pPr>
              <w:pStyle w:val="af4"/>
              <w:rPr>
                <w:color w:val="auto"/>
                <w:lang w:eastAsia="zh-CN"/>
              </w:rPr>
            </w:pPr>
            <w:r>
              <w:rPr>
                <w:rFonts w:hint="eastAsia"/>
                <w:color w:val="auto"/>
                <w:lang w:eastAsia="zh-CN"/>
              </w:rPr>
              <w:t>0</w:t>
            </w:r>
          </w:p>
        </w:tc>
        <w:tc>
          <w:tcPr>
            <w:tcW w:w="529" w:type="pct"/>
            <w:tcBorders>
              <w:tl2br w:val="nil"/>
              <w:tr2bl w:val="nil"/>
            </w:tcBorders>
            <w:vAlign w:val="center"/>
          </w:tcPr>
          <w:p w14:paraId="24F092E1" w14:textId="77777777" w:rsidR="0075791A" w:rsidRDefault="00FB2864">
            <w:pPr>
              <w:pStyle w:val="af4"/>
              <w:rPr>
                <w:color w:val="auto"/>
                <w:lang w:eastAsia="zh-CN"/>
              </w:rPr>
            </w:pPr>
            <w:r>
              <w:rPr>
                <w:rFonts w:hint="eastAsia"/>
                <w:color w:val="auto"/>
                <w:lang w:eastAsia="zh-CN"/>
              </w:rPr>
              <w:t>0</w:t>
            </w:r>
          </w:p>
        </w:tc>
        <w:tc>
          <w:tcPr>
            <w:tcW w:w="496" w:type="pct"/>
            <w:tcBorders>
              <w:tl2br w:val="nil"/>
              <w:tr2bl w:val="nil"/>
            </w:tcBorders>
            <w:vAlign w:val="center"/>
          </w:tcPr>
          <w:p w14:paraId="3C3F8673" w14:textId="77777777" w:rsidR="0075791A" w:rsidRDefault="00FB2864">
            <w:pPr>
              <w:pStyle w:val="af4"/>
              <w:rPr>
                <w:color w:val="auto"/>
                <w:lang w:eastAsia="zh-CN"/>
              </w:rPr>
            </w:pPr>
            <w:r>
              <w:rPr>
                <w:rFonts w:hint="eastAsia"/>
                <w:color w:val="auto"/>
                <w:lang w:eastAsia="zh-CN"/>
              </w:rPr>
              <w:t>0</w:t>
            </w:r>
          </w:p>
        </w:tc>
        <w:tc>
          <w:tcPr>
            <w:tcW w:w="510" w:type="pct"/>
            <w:tcBorders>
              <w:tl2br w:val="nil"/>
              <w:tr2bl w:val="nil"/>
            </w:tcBorders>
            <w:vAlign w:val="center"/>
          </w:tcPr>
          <w:p w14:paraId="6C15B2E8" w14:textId="77777777" w:rsidR="0075791A" w:rsidRDefault="00FB2864">
            <w:pPr>
              <w:pStyle w:val="af4"/>
              <w:rPr>
                <w:color w:val="auto"/>
                <w:lang w:eastAsia="zh-CN"/>
              </w:rPr>
            </w:pPr>
            <w:r>
              <w:rPr>
                <w:rFonts w:hint="eastAsia"/>
                <w:color w:val="auto"/>
                <w:lang w:eastAsia="zh-CN"/>
              </w:rPr>
              <w:t>0</w:t>
            </w:r>
          </w:p>
        </w:tc>
        <w:tc>
          <w:tcPr>
            <w:tcW w:w="575" w:type="pct"/>
            <w:tcBorders>
              <w:tl2br w:val="nil"/>
              <w:tr2bl w:val="nil"/>
            </w:tcBorders>
            <w:vAlign w:val="center"/>
          </w:tcPr>
          <w:p w14:paraId="177D52EA" w14:textId="77777777" w:rsidR="0075791A" w:rsidRDefault="00FB2864">
            <w:pPr>
              <w:pStyle w:val="af4"/>
              <w:rPr>
                <w:color w:val="auto"/>
                <w:lang w:eastAsia="zh-CN"/>
              </w:rPr>
            </w:pPr>
            <w:r>
              <w:rPr>
                <w:rFonts w:hint="eastAsia"/>
                <w:color w:val="auto"/>
                <w:lang w:eastAsia="zh-CN"/>
              </w:rPr>
              <w:t>9685</w:t>
            </w:r>
            <w:r>
              <w:rPr>
                <w:rFonts w:cs="Arial" w:hint="eastAsia"/>
                <w:color w:val="auto"/>
                <w:sz w:val="24"/>
                <w:szCs w:val="24"/>
                <w:lang w:eastAsia="zh-CN"/>
              </w:rPr>
              <w:t>.14</w:t>
            </w:r>
          </w:p>
        </w:tc>
        <w:tc>
          <w:tcPr>
            <w:tcW w:w="470" w:type="pct"/>
            <w:tcBorders>
              <w:tl2br w:val="nil"/>
              <w:tr2bl w:val="nil"/>
            </w:tcBorders>
            <w:vAlign w:val="center"/>
          </w:tcPr>
          <w:p w14:paraId="3DE28C63" w14:textId="77777777" w:rsidR="0075791A" w:rsidRDefault="00FB2864">
            <w:pPr>
              <w:pStyle w:val="af4"/>
              <w:rPr>
                <w:color w:val="auto"/>
                <w:lang w:eastAsia="zh-CN"/>
              </w:rPr>
            </w:pPr>
            <w:r>
              <w:rPr>
                <w:rFonts w:hint="eastAsia"/>
                <w:color w:val="auto"/>
                <w:lang w:eastAsia="zh-CN"/>
              </w:rPr>
              <w:t>0</w:t>
            </w:r>
          </w:p>
        </w:tc>
      </w:tr>
    </w:tbl>
    <w:p w14:paraId="5AB8634B" w14:textId="77777777" w:rsidR="0075791A" w:rsidRDefault="0075791A">
      <w:pPr>
        <w:pStyle w:val="a5"/>
        <w:spacing w:line="360" w:lineRule="auto"/>
        <w:ind w:firstLineChars="200" w:firstLine="480"/>
        <w:jc w:val="both"/>
        <w:rPr>
          <w:rFonts w:ascii="Times New Roman" w:eastAsia="宋体" w:hAnsi="Times New Roman" w:cs="宋体"/>
          <w:color w:val="auto"/>
          <w:sz w:val="24"/>
          <w:szCs w:val="24"/>
          <w:lang w:eastAsia="zh-CN"/>
        </w:rPr>
      </w:pPr>
    </w:p>
    <w:p w14:paraId="6EC61E58"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72" w:name="_Toc25575"/>
      <w:r>
        <w:rPr>
          <w:rFonts w:ascii="Times New Roman" w:eastAsia="Times New Roman" w:hAnsi="Times New Roman" w:cs="Times New Roman" w:hint="eastAsia"/>
          <w:b/>
          <w:bCs/>
          <w:color w:val="auto"/>
          <w:spacing w:val="-3"/>
          <w:sz w:val="28"/>
          <w:szCs w:val="28"/>
          <w:lang w:eastAsia="zh-CN"/>
        </w:rPr>
        <w:t>2.3.4施工进度</w:t>
      </w:r>
      <w:bookmarkEnd w:id="72"/>
    </w:p>
    <w:p w14:paraId="4186F79A"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为了科学组织项目实施中各阶段工作，合理安排建设资金，保证项目按计划完成，发挥项目建设投资效益，根据本项目的建设规模及实际情况，</w:t>
      </w:r>
      <w:r>
        <w:rPr>
          <w:rFonts w:ascii="Times New Roman" w:eastAsia="宋体" w:hAnsi="Times New Roman" w:cs="宋体" w:hint="eastAsia"/>
          <w:color w:val="auto"/>
          <w:sz w:val="24"/>
          <w:szCs w:val="24"/>
          <w:lang w:eastAsia="zh-CN"/>
        </w:rPr>
        <w:t>清淤疏浚工程</w:t>
      </w:r>
      <w:r>
        <w:rPr>
          <w:rFonts w:ascii="Times New Roman" w:eastAsia="宋体" w:hAnsi="Times New Roman" w:cs="宋体"/>
          <w:color w:val="auto"/>
          <w:sz w:val="24"/>
          <w:szCs w:val="24"/>
          <w:lang w:eastAsia="zh-CN"/>
        </w:rPr>
        <w:t>实施期拟</w:t>
      </w:r>
      <w:r>
        <w:rPr>
          <w:rFonts w:ascii="Times New Roman" w:eastAsia="宋体" w:hAnsi="Times New Roman" w:cs="宋体" w:hint="eastAsia"/>
          <w:color w:val="auto"/>
          <w:sz w:val="24"/>
          <w:szCs w:val="24"/>
          <w:lang w:eastAsia="zh-CN"/>
        </w:rPr>
        <w:t>计划</w:t>
      </w:r>
      <w:r>
        <w:rPr>
          <w:rFonts w:ascii="Times New Roman" w:eastAsia="宋体" w:hAnsi="Times New Roman" w:cs="宋体"/>
          <w:color w:val="auto"/>
          <w:sz w:val="24"/>
          <w:szCs w:val="24"/>
          <w:lang w:eastAsia="zh-CN"/>
        </w:rPr>
        <w:t>为</w:t>
      </w:r>
      <w:r>
        <w:rPr>
          <w:rFonts w:ascii="Times New Roman" w:eastAsia="宋体" w:hAnsi="Times New Roman" w:cs="宋体" w:hint="eastAsia"/>
          <w:color w:val="auto"/>
          <w:sz w:val="24"/>
          <w:szCs w:val="24"/>
          <w:lang w:eastAsia="zh-CN"/>
        </w:rPr>
        <w:t>2</w:t>
      </w:r>
      <w:r>
        <w:rPr>
          <w:rFonts w:ascii="Times New Roman" w:eastAsia="宋体" w:hAnsi="Times New Roman" w:cs="宋体"/>
          <w:color w:val="auto"/>
          <w:sz w:val="24"/>
          <w:szCs w:val="24"/>
          <w:lang w:eastAsia="zh-CN"/>
        </w:rPr>
        <w:t>个月。</w:t>
      </w:r>
    </w:p>
    <w:p w14:paraId="71D59C7E" w14:textId="77777777" w:rsidR="0075791A" w:rsidRDefault="00FB2864">
      <w:pPr>
        <w:ind w:firstLineChars="200" w:firstLine="480"/>
        <w:jc w:val="center"/>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表</w:t>
      </w:r>
      <w:r>
        <w:rPr>
          <w:rFonts w:ascii="Times New Roman" w:eastAsia="宋体" w:hAnsi="Times New Roman" w:cs="宋体" w:hint="eastAsia"/>
          <w:color w:val="auto"/>
          <w:sz w:val="24"/>
          <w:szCs w:val="24"/>
          <w:lang w:eastAsia="zh-CN"/>
        </w:rPr>
        <w:t>2.3.4-1</w:t>
      </w:r>
      <w:r>
        <w:rPr>
          <w:rFonts w:ascii="Times New Roman" w:eastAsia="宋体" w:hAnsi="Times New Roman" w:cs="宋体" w:hint="eastAsia"/>
          <w:color w:val="auto"/>
          <w:sz w:val="24"/>
          <w:szCs w:val="24"/>
          <w:lang w:eastAsia="zh-CN"/>
        </w:rPr>
        <w:t>本项目施工进度表</w:t>
      </w:r>
    </w:p>
    <w:tbl>
      <w:tblPr>
        <w:tblW w:w="7937" w:type="dxa"/>
        <w:jc w:val="center"/>
        <w:tblLook w:val="04A0" w:firstRow="1" w:lastRow="0" w:firstColumn="1" w:lastColumn="0" w:noHBand="0" w:noVBand="1"/>
      </w:tblPr>
      <w:tblGrid>
        <w:gridCol w:w="1469"/>
        <w:gridCol w:w="4468"/>
        <w:gridCol w:w="2000"/>
      </w:tblGrid>
      <w:tr w:rsidR="0075791A" w14:paraId="79CED50F" w14:textId="77777777">
        <w:trPr>
          <w:trHeight w:val="762"/>
          <w:jc w:val="center"/>
        </w:trPr>
        <w:tc>
          <w:tcPr>
            <w:tcW w:w="14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E18DE7" w14:textId="77777777" w:rsidR="0075791A" w:rsidRDefault="00FB2864">
            <w:pPr>
              <w:jc w:val="center"/>
              <w:textAlignment w:val="center"/>
              <w:rPr>
                <w:rFonts w:ascii="宋体" w:eastAsia="宋体" w:hAnsi="宋体" w:cs="宋体"/>
                <w:color w:val="auto"/>
                <w:sz w:val="24"/>
                <w:szCs w:val="24"/>
              </w:rPr>
            </w:pPr>
            <w:r>
              <w:rPr>
                <w:rFonts w:ascii="宋体" w:eastAsia="宋体" w:hAnsi="宋体" w:cs="宋体"/>
                <w:color w:val="auto"/>
                <w:sz w:val="24"/>
                <w:szCs w:val="24"/>
                <w:lang w:eastAsia="zh-CN" w:bidi="ar"/>
              </w:rPr>
              <w:t>施工阶段</w:t>
            </w:r>
          </w:p>
        </w:tc>
        <w:tc>
          <w:tcPr>
            <w:tcW w:w="44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0DA1C6" w14:textId="77777777" w:rsidR="0075791A" w:rsidRDefault="00FB2864">
            <w:pPr>
              <w:jc w:val="center"/>
              <w:textAlignment w:val="center"/>
              <w:rPr>
                <w:rFonts w:ascii="宋体" w:eastAsia="宋体" w:hAnsi="宋体" w:cs="宋体"/>
                <w:color w:val="auto"/>
                <w:sz w:val="24"/>
                <w:szCs w:val="24"/>
              </w:rPr>
            </w:pPr>
            <w:r>
              <w:rPr>
                <w:rFonts w:ascii="宋体" w:eastAsia="宋体" w:hAnsi="宋体" w:cs="宋体" w:hint="eastAsia"/>
                <w:color w:val="auto"/>
                <w:sz w:val="24"/>
                <w:szCs w:val="24"/>
                <w:lang w:eastAsia="zh-CN" w:bidi="ar"/>
              </w:rPr>
              <w:t>所需</w:t>
            </w:r>
            <w:r>
              <w:rPr>
                <w:rFonts w:ascii="宋体" w:eastAsia="宋体" w:hAnsi="宋体" w:cs="宋体"/>
                <w:color w:val="auto"/>
                <w:sz w:val="24"/>
                <w:szCs w:val="24"/>
                <w:lang w:eastAsia="zh-CN" w:bidi="ar"/>
              </w:rPr>
              <w:t>时间</w:t>
            </w:r>
          </w:p>
        </w:tc>
        <w:tc>
          <w:tcPr>
            <w:tcW w:w="20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03EE03" w14:textId="77777777" w:rsidR="0075791A" w:rsidRDefault="00FB2864">
            <w:pPr>
              <w:jc w:val="center"/>
              <w:textAlignment w:val="center"/>
              <w:rPr>
                <w:rFonts w:ascii="宋体" w:eastAsia="宋体" w:hAnsi="宋体" w:cs="宋体"/>
                <w:color w:val="auto"/>
                <w:sz w:val="24"/>
                <w:szCs w:val="24"/>
              </w:rPr>
            </w:pPr>
            <w:r>
              <w:rPr>
                <w:rFonts w:ascii="宋体" w:eastAsia="宋体" w:hAnsi="宋体" w:cs="宋体"/>
                <w:color w:val="auto"/>
                <w:sz w:val="24"/>
                <w:szCs w:val="24"/>
                <w:lang w:eastAsia="zh-CN" w:bidi="ar"/>
              </w:rPr>
              <w:t>备注</w:t>
            </w:r>
          </w:p>
        </w:tc>
      </w:tr>
      <w:tr w:rsidR="0075791A" w14:paraId="2B5ACC73" w14:textId="77777777">
        <w:trPr>
          <w:trHeight w:val="617"/>
          <w:jc w:val="center"/>
        </w:trPr>
        <w:tc>
          <w:tcPr>
            <w:tcW w:w="14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D096D7" w14:textId="77777777" w:rsidR="0075791A" w:rsidRDefault="00FB2864">
            <w:pPr>
              <w:jc w:val="center"/>
              <w:textAlignment w:val="center"/>
              <w:rPr>
                <w:rFonts w:ascii="宋体" w:eastAsia="宋体" w:hAnsi="宋体" w:cs="宋体"/>
                <w:color w:val="auto"/>
                <w:sz w:val="24"/>
                <w:szCs w:val="24"/>
              </w:rPr>
            </w:pPr>
            <w:r>
              <w:rPr>
                <w:rFonts w:ascii="宋体" w:eastAsia="宋体" w:hAnsi="宋体" w:cs="宋体"/>
                <w:color w:val="auto"/>
                <w:sz w:val="24"/>
                <w:szCs w:val="24"/>
                <w:lang w:eastAsia="zh-CN" w:bidi="ar"/>
              </w:rPr>
              <w:t>围堰施工</w:t>
            </w:r>
          </w:p>
        </w:tc>
        <w:tc>
          <w:tcPr>
            <w:tcW w:w="44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376947" w14:textId="77777777" w:rsidR="0075791A" w:rsidRDefault="00FB2864">
            <w:pPr>
              <w:jc w:val="center"/>
              <w:textAlignment w:val="center"/>
              <w:rPr>
                <w:rFonts w:ascii="ArialMT" w:eastAsia="ArialMT" w:hAnsi="ArialMT" w:cs="ArialMT"/>
                <w:color w:val="auto"/>
                <w:sz w:val="24"/>
                <w:szCs w:val="24"/>
              </w:rPr>
            </w:pPr>
            <w:r>
              <w:rPr>
                <w:rFonts w:ascii="ArialMT" w:eastAsia="ArialMT" w:hAnsi="ArialMT" w:cs="ArialMT" w:hint="eastAsia"/>
                <w:color w:val="auto"/>
                <w:sz w:val="24"/>
                <w:szCs w:val="24"/>
                <w:lang w:eastAsia="zh-CN" w:bidi="ar"/>
              </w:rPr>
              <w:t>30</w:t>
            </w:r>
            <w:r>
              <w:rPr>
                <w:rFonts w:ascii="ArialMT" w:eastAsia="ArialMT" w:hAnsi="ArialMT" w:cs="ArialMT" w:hint="eastAsia"/>
                <w:color w:val="auto"/>
                <w:sz w:val="24"/>
                <w:szCs w:val="24"/>
                <w:lang w:eastAsia="zh-CN" w:bidi="ar"/>
              </w:rPr>
              <w:t>天</w:t>
            </w:r>
          </w:p>
        </w:tc>
        <w:tc>
          <w:tcPr>
            <w:tcW w:w="200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FCECB52" w14:textId="77777777" w:rsidR="0075791A" w:rsidRDefault="00FB2864">
            <w:pPr>
              <w:jc w:val="center"/>
              <w:textAlignment w:val="center"/>
              <w:rPr>
                <w:rFonts w:ascii="宋体" w:eastAsia="宋体" w:hAnsi="宋体" w:cs="宋体"/>
                <w:color w:val="auto"/>
                <w:sz w:val="24"/>
                <w:szCs w:val="24"/>
                <w:lang w:eastAsia="zh-CN"/>
              </w:rPr>
            </w:pPr>
            <w:r>
              <w:rPr>
                <w:rFonts w:ascii="宋体" w:eastAsia="宋体" w:hAnsi="宋体" w:cs="宋体"/>
                <w:color w:val="auto"/>
                <w:sz w:val="24"/>
                <w:szCs w:val="24"/>
                <w:lang w:eastAsia="zh-CN" w:bidi="ar"/>
              </w:rPr>
              <w:t>具体施工时间以现场实际施</w:t>
            </w:r>
            <w:r>
              <w:rPr>
                <w:rFonts w:ascii="宋体" w:eastAsia="宋体" w:hAnsi="宋体" w:cs="宋体"/>
                <w:color w:val="auto"/>
                <w:sz w:val="24"/>
                <w:szCs w:val="24"/>
                <w:lang w:eastAsia="zh-CN" w:bidi="ar"/>
              </w:rPr>
              <w:br/>
            </w:r>
            <w:r>
              <w:rPr>
                <w:rFonts w:ascii="宋体" w:eastAsia="宋体" w:hAnsi="宋体" w:cs="宋体"/>
                <w:color w:val="auto"/>
                <w:sz w:val="24"/>
                <w:szCs w:val="24"/>
                <w:lang w:eastAsia="zh-CN" w:bidi="ar"/>
              </w:rPr>
              <w:t>工时间为准</w:t>
            </w:r>
          </w:p>
        </w:tc>
      </w:tr>
      <w:tr w:rsidR="0075791A" w14:paraId="295D15EB" w14:textId="77777777">
        <w:trPr>
          <w:trHeight w:val="638"/>
          <w:jc w:val="center"/>
        </w:trPr>
        <w:tc>
          <w:tcPr>
            <w:tcW w:w="14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623271" w14:textId="77777777" w:rsidR="0075791A" w:rsidRDefault="00FB2864">
            <w:pPr>
              <w:jc w:val="center"/>
              <w:textAlignment w:val="center"/>
              <w:rPr>
                <w:rFonts w:ascii="宋体" w:eastAsia="宋体" w:hAnsi="宋体" w:cs="宋体"/>
                <w:color w:val="auto"/>
                <w:sz w:val="24"/>
                <w:szCs w:val="24"/>
              </w:rPr>
            </w:pPr>
            <w:r>
              <w:rPr>
                <w:rFonts w:ascii="宋体" w:eastAsia="宋体" w:hAnsi="宋体" w:cs="宋体"/>
                <w:color w:val="auto"/>
                <w:sz w:val="24"/>
                <w:szCs w:val="24"/>
                <w:lang w:eastAsia="zh-CN" w:bidi="ar"/>
              </w:rPr>
              <w:t>疏浚与土方回填</w:t>
            </w:r>
          </w:p>
        </w:tc>
        <w:tc>
          <w:tcPr>
            <w:tcW w:w="44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35EAA6" w14:textId="77777777" w:rsidR="0075791A" w:rsidRDefault="00FB2864">
            <w:pPr>
              <w:jc w:val="center"/>
              <w:textAlignment w:val="center"/>
              <w:rPr>
                <w:rFonts w:ascii="ArialMT" w:eastAsia="ArialMT" w:hAnsi="ArialMT" w:cs="ArialMT"/>
                <w:color w:val="auto"/>
                <w:sz w:val="24"/>
                <w:szCs w:val="24"/>
              </w:rPr>
            </w:pPr>
            <w:r>
              <w:rPr>
                <w:rFonts w:ascii="ArialMT" w:eastAsia="ArialMT" w:hAnsi="ArialMT" w:cs="ArialMT" w:hint="eastAsia"/>
                <w:color w:val="auto"/>
                <w:sz w:val="24"/>
                <w:szCs w:val="24"/>
                <w:lang w:eastAsia="zh-CN" w:bidi="ar"/>
              </w:rPr>
              <w:t>50</w:t>
            </w:r>
            <w:r>
              <w:rPr>
                <w:rFonts w:ascii="ArialMT" w:eastAsia="ArialMT" w:hAnsi="ArialMT" w:cs="ArialMT" w:hint="eastAsia"/>
                <w:color w:val="auto"/>
                <w:sz w:val="24"/>
                <w:szCs w:val="24"/>
                <w:lang w:eastAsia="zh-CN" w:bidi="ar"/>
              </w:rPr>
              <w:t>天</w:t>
            </w:r>
          </w:p>
        </w:tc>
        <w:tc>
          <w:tcPr>
            <w:tcW w:w="20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677B4BA" w14:textId="77777777" w:rsidR="0075791A" w:rsidRDefault="0075791A">
            <w:pPr>
              <w:jc w:val="center"/>
              <w:rPr>
                <w:rFonts w:ascii="宋体" w:eastAsia="宋体" w:hAnsi="宋体" w:cs="宋体"/>
                <w:color w:val="auto"/>
                <w:sz w:val="24"/>
                <w:szCs w:val="24"/>
              </w:rPr>
            </w:pPr>
          </w:p>
        </w:tc>
      </w:tr>
    </w:tbl>
    <w:p w14:paraId="731EA3BF" w14:textId="77777777" w:rsidR="0075791A" w:rsidRDefault="0075791A">
      <w:pPr>
        <w:spacing w:line="360" w:lineRule="auto"/>
        <w:jc w:val="both"/>
        <w:rPr>
          <w:rFonts w:ascii="Times New Roman" w:eastAsia="宋体" w:hAnsi="Times New Roman" w:cs="宋体"/>
          <w:color w:val="auto"/>
          <w:sz w:val="24"/>
          <w:szCs w:val="24"/>
          <w:lang w:eastAsia="zh-CN"/>
        </w:rPr>
        <w:sectPr w:rsidR="0075791A">
          <w:pgSz w:w="11906" w:h="16839"/>
          <w:pgMar w:top="1018" w:right="1356" w:bottom="1134" w:left="1417" w:header="746" w:footer="972" w:gutter="0"/>
          <w:cols w:space="720"/>
        </w:sectPr>
      </w:pPr>
    </w:p>
    <w:p w14:paraId="797CCC3F" w14:textId="77777777" w:rsidR="0075791A" w:rsidRDefault="00FB2864">
      <w:pPr>
        <w:spacing w:line="360" w:lineRule="auto"/>
        <w:outlineLvl w:val="1"/>
        <w:rPr>
          <w:rFonts w:ascii="Times New Roman" w:eastAsia="Times New Roman" w:hAnsi="Times New Roman" w:cs="Times New Roman"/>
          <w:b/>
          <w:bCs/>
          <w:color w:val="auto"/>
          <w:spacing w:val="-6"/>
          <w:sz w:val="30"/>
          <w:szCs w:val="30"/>
        </w:rPr>
      </w:pPr>
      <w:bookmarkStart w:id="73" w:name="bookmark19"/>
      <w:bookmarkStart w:id="74" w:name="bookmark20"/>
      <w:bookmarkStart w:id="75" w:name="_Toc32722"/>
      <w:bookmarkStart w:id="76" w:name="_Toc11177"/>
      <w:bookmarkStart w:id="77" w:name="_Toc23587"/>
      <w:bookmarkEnd w:id="73"/>
      <w:bookmarkEnd w:id="74"/>
      <w:r>
        <w:rPr>
          <w:rFonts w:ascii="Times New Roman" w:eastAsia="宋体" w:hAnsi="Times New Roman" w:cs="Times New Roman" w:hint="eastAsia"/>
          <w:b/>
          <w:bCs/>
          <w:color w:val="auto"/>
          <w:spacing w:val="-6"/>
          <w:sz w:val="30"/>
          <w:szCs w:val="30"/>
          <w:lang w:eastAsia="zh-CN"/>
        </w:rPr>
        <w:lastRenderedPageBreak/>
        <w:t>2.4</w:t>
      </w:r>
      <w:r>
        <w:rPr>
          <w:rFonts w:ascii="Times New Roman" w:eastAsia="Times New Roman" w:hAnsi="Times New Roman" w:cs="Times New Roman"/>
          <w:b/>
          <w:bCs/>
          <w:color w:val="auto"/>
          <w:spacing w:val="-6"/>
          <w:sz w:val="30"/>
          <w:szCs w:val="30"/>
        </w:rPr>
        <w:t>项目用海需求</w:t>
      </w:r>
      <w:bookmarkEnd w:id="75"/>
      <w:bookmarkEnd w:id="76"/>
      <w:bookmarkEnd w:id="77"/>
    </w:p>
    <w:p w14:paraId="43B48273"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bookmarkStart w:id="78" w:name="_Toc4159"/>
      <w:r>
        <w:rPr>
          <w:rFonts w:ascii="Times New Roman" w:eastAsia="宋体" w:hAnsi="Times New Roman" w:cs="宋体" w:hint="eastAsia"/>
          <w:b/>
          <w:bCs/>
          <w:color w:val="auto"/>
          <w:sz w:val="24"/>
          <w:szCs w:val="24"/>
          <w:lang w:eastAsia="zh-CN"/>
        </w:rPr>
        <w:t>1.</w:t>
      </w:r>
      <w:r>
        <w:rPr>
          <w:rFonts w:ascii="Times New Roman" w:eastAsia="宋体" w:hAnsi="Times New Roman" w:cs="宋体" w:hint="eastAsia"/>
          <w:b/>
          <w:bCs/>
          <w:color w:val="auto"/>
          <w:sz w:val="24"/>
          <w:szCs w:val="24"/>
          <w:lang w:eastAsia="zh-CN"/>
        </w:rPr>
        <w:t>项目用海内容界定</w:t>
      </w:r>
      <w:bookmarkEnd w:id="78"/>
    </w:p>
    <w:p w14:paraId="7EFD4F77"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根据</w:t>
      </w:r>
      <w:r>
        <w:rPr>
          <w:rFonts w:ascii="Times New Roman" w:eastAsia="宋体" w:hAnsi="Times New Roman" w:cs="宋体" w:hint="eastAsia"/>
          <w:color w:val="auto"/>
          <w:sz w:val="24"/>
          <w:szCs w:val="24"/>
          <w:lang w:eastAsia="zh-CN"/>
        </w:rPr>
        <w:t>2021</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12</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8</w:t>
      </w:r>
      <w:r>
        <w:rPr>
          <w:rFonts w:ascii="Times New Roman" w:eastAsia="宋体" w:hAnsi="Times New Roman" w:cs="宋体" w:hint="eastAsia"/>
          <w:color w:val="auto"/>
          <w:sz w:val="24"/>
          <w:szCs w:val="24"/>
          <w:lang w:eastAsia="zh-CN"/>
        </w:rPr>
        <w:t>日《海南省自然资源和规划厅关于印发海南省海岸线修测成果的通知》，海南省修测海岸线成果经省政府批准同意，予以印发。经项目红线与修测海岸线叠置，本项目清淤疏浚区全部位于修测海岸线向海侧，面积约为</w:t>
      </w:r>
      <w:r>
        <w:rPr>
          <w:rFonts w:ascii="Times New Roman" w:eastAsia="宋体" w:hAnsi="Times New Roman" w:cs="宋体" w:hint="eastAsia"/>
          <w:color w:val="auto"/>
          <w:spacing w:val="-2"/>
          <w:sz w:val="24"/>
          <w:szCs w:val="24"/>
          <w:lang w:eastAsia="zh-CN"/>
        </w:rPr>
        <w:t>14.8672</w:t>
      </w:r>
      <w:r>
        <w:rPr>
          <w:rFonts w:ascii="Times New Roman" w:eastAsia="宋体" w:hAnsi="Times New Roman" w:cs="宋体" w:hint="eastAsia"/>
          <w:color w:val="auto"/>
          <w:spacing w:val="-2"/>
          <w:sz w:val="24"/>
          <w:szCs w:val="24"/>
          <w:lang w:eastAsia="zh-CN"/>
        </w:rPr>
        <w:t>公顷，透水构筑物用海</w:t>
      </w:r>
      <w:r>
        <w:rPr>
          <w:rFonts w:ascii="Times New Roman" w:eastAsia="宋体" w:hAnsi="Times New Roman" w:cs="宋体" w:hint="eastAsia"/>
          <w:color w:val="auto"/>
          <w:spacing w:val="-2"/>
          <w:sz w:val="24"/>
          <w:szCs w:val="24"/>
          <w:lang w:eastAsia="zh-CN"/>
        </w:rPr>
        <w:t>0.3793</w:t>
      </w:r>
      <w:r>
        <w:rPr>
          <w:rFonts w:ascii="Times New Roman" w:eastAsia="宋体" w:hAnsi="Times New Roman" w:cs="宋体" w:hint="eastAsia"/>
          <w:color w:val="auto"/>
          <w:spacing w:val="-2"/>
          <w:sz w:val="24"/>
          <w:szCs w:val="24"/>
          <w:lang w:eastAsia="zh-CN"/>
        </w:rPr>
        <w:t>公顷，共申请用海</w:t>
      </w:r>
      <w:r>
        <w:rPr>
          <w:rFonts w:ascii="Times New Roman" w:hAnsi="Times New Roman" w:cs="宋体" w:hint="eastAsia"/>
          <w:color w:val="auto"/>
          <w:spacing w:val="-8"/>
          <w:sz w:val="24"/>
          <w:szCs w:val="24"/>
          <w:lang w:eastAsia="zh-CN"/>
        </w:rPr>
        <w:t>15.2465</w:t>
      </w:r>
      <w:r>
        <w:rPr>
          <w:rFonts w:ascii="Times New Roman" w:hAnsi="Times New Roman" w:cs="宋体" w:hint="eastAsia"/>
          <w:color w:val="auto"/>
          <w:spacing w:val="-8"/>
          <w:sz w:val="24"/>
          <w:szCs w:val="24"/>
          <w:lang w:eastAsia="zh-CN"/>
        </w:rPr>
        <w:t>公顷</w:t>
      </w:r>
      <w:r>
        <w:rPr>
          <w:rFonts w:ascii="Times New Roman" w:eastAsia="宋体" w:hAnsi="Times New Roman" w:cs="宋体" w:hint="eastAsia"/>
          <w:color w:val="auto"/>
          <w:sz w:val="24"/>
          <w:szCs w:val="24"/>
          <w:lang w:eastAsia="zh-CN"/>
        </w:rPr>
        <w:t>。</w:t>
      </w:r>
    </w:p>
    <w:p w14:paraId="56DE725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根据《自然资源部办公厅关于加强国土空间生态修复项目规范实施和监督管理的通知》（自然资办发</w:t>
      </w:r>
      <w:r>
        <w:rPr>
          <w:rFonts w:ascii="Times New Roman" w:eastAsia="宋体" w:hAnsi="Times New Roman" w:cs="宋体" w:hint="eastAsia"/>
          <w:color w:val="auto"/>
          <w:sz w:val="24"/>
          <w:szCs w:val="24"/>
          <w:lang w:eastAsia="zh-CN"/>
        </w:rPr>
        <w:t>[2023]10</w:t>
      </w:r>
      <w:r>
        <w:rPr>
          <w:rFonts w:ascii="Times New Roman" w:eastAsia="宋体" w:hAnsi="Times New Roman" w:cs="宋体" w:hint="eastAsia"/>
          <w:color w:val="auto"/>
          <w:sz w:val="24"/>
          <w:szCs w:val="24"/>
          <w:lang w:eastAsia="zh-CN"/>
        </w:rPr>
        <w:t>号）“海洋生态保护修复项目中的海堤（含镇压层）、突堤、离岸堤（含潜堤）、栈桥、围堰（含临时围堰）等构筑物建设，人</w:t>
      </w:r>
      <w:r>
        <w:rPr>
          <w:rFonts w:ascii="Times New Roman" w:eastAsia="宋体" w:hAnsi="Times New Roman" w:cs="宋体" w:hint="eastAsia"/>
          <w:color w:val="auto"/>
          <w:sz w:val="24"/>
          <w:szCs w:val="24"/>
          <w:lang w:eastAsia="zh-CN"/>
        </w:rPr>
        <w:t>工鱼礁、牡蛎附着礁等礁体投放、清淤疏浚及其他涉及持续使用特定海域的排他性工程措施用海，在实施前应当依法依规办理海域使用审批手续或临时海域使用手续；……，需要种植植被、互花米草清理、进行沙滩人工补沙等无构筑物、建筑物或设施建设的排他性用海活动，以及拆除养殖池、构筑物等不足三个月的临时施工行为工程措施，依法依规无需办理用海使用审批手续、临时海域使用手续或无居民海岛开发利用审批手续”，结合项目建设内容，经对照分析，本项目需申请用海面积</w:t>
      </w:r>
      <w:r>
        <w:rPr>
          <w:rFonts w:ascii="Times New Roman" w:hAnsi="Times New Roman" w:cs="宋体" w:hint="eastAsia"/>
          <w:color w:val="auto"/>
          <w:spacing w:val="-8"/>
          <w:sz w:val="24"/>
          <w:szCs w:val="24"/>
          <w:lang w:eastAsia="zh-CN"/>
        </w:rPr>
        <w:t>15.2465</w:t>
      </w:r>
      <w:r>
        <w:rPr>
          <w:rFonts w:ascii="Times New Roman" w:eastAsia="宋体" w:hAnsi="Times New Roman" w:cs="宋体" w:hint="eastAsia"/>
          <w:color w:val="auto"/>
          <w:sz w:val="24"/>
          <w:szCs w:val="24"/>
          <w:lang w:eastAsia="zh-CN"/>
        </w:rPr>
        <w:t>公顷。</w:t>
      </w:r>
    </w:p>
    <w:p w14:paraId="2ED4E226"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bookmarkStart w:id="79" w:name="_Toc28635"/>
      <w:r>
        <w:rPr>
          <w:rFonts w:ascii="Times New Roman" w:eastAsia="宋体" w:hAnsi="Times New Roman" w:cs="宋体" w:hint="eastAsia"/>
          <w:b/>
          <w:bCs/>
          <w:color w:val="auto"/>
          <w:sz w:val="24"/>
          <w:szCs w:val="24"/>
          <w:lang w:eastAsia="zh-CN"/>
        </w:rPr>
        <w:t>2.</w:t>
      </w:r>
      <w:r>
        <w:rPr>
          <w:rFonts w:ascii="Times New Roman" w:eastAsia="宋体" w:hAnsi="Times New Roman" w:cs="宋体" w:hint="eastAsia"/>
          <w:b/>
          <w:bCs/>
          <w:color w:val="auto"/>
          <w:sz w:val="24"/>
          <w:szCs w:val="24"/>
          <w:lang w:eastAsia="zh-CN"/>
        </w:rPr>
        <w:t>项目申请用海情况</w:t>
      </w:r>
      <w:bookmarkEnd w:id="79"/>
    </w:p>
    <w:p w14:paraId="37F49948"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根据本项目申请用海内容以及《国土空间</w:t>
      </w:r>
      <w:r>
        <w:rPr>
          <w:rFonts w:ascii="Times New Roman" w:eastAsia="宋体" w:hAnsi="Times New Roman" w:cs="宋体" w:hint="eastAsia"/>
          <w:color w:val="auto"/>
          <w:sz w:val="24"/>
          <w:szCs w:val="24"/>
          <w:lang w:eastAsia="zh-CN"/>
        </w:rPr>
        <w:t>调查、规划、用途管制用地用海分类指南》，界定本项目用海类型为特殊用海中的</w:t>
      </w:r>
      <w:r>
        <w:rPr>
          <w:rFonts w:ascii="Times New Roman" w:eastAsia="宋体" w:hAnsi="Times New Roman" w:cs="宋体"/>
          <w:color w:val="auto"/>
          <w:sz w:val="24"/>
          <w:szCs w:val="24"/>
          <w:lang w:eastAsia="zh-CN"/>
        </w:rPr>
        <w:t>海洋保护修复及海岸防护工程用海</w:t>
      </w:r>
      <w:r>
        <w:rPr>
          <w:rFonts w:ascii="Times New Roman" w:eastAsia="宋体" w:hAnsi="Times New Roman" w:cs="宋体" w:hint="eastAsia"/>
          <w:color w:val="auto"/>
          <w:sz w:val="24"/>
          <w:szCs w:val="24"/>
          <w:lang w:eastAsia="zh-CN"/>
        </w:rPr>
        <w:t>；根据《海域使用分类》界定本项目用海方式为开放式（一级方式）的专用航道、锚地及其他开放式（二级方式）；构筑物（一级方式）的透水构筑物（二级方式）。清淤区用海方式为专用航道、锚地及其他开放式，用海面积为</w:t>
      </w:r>
      <w:r>
        <w:rPr>
          <w:rFonts w:ascii="Times New Roman" w:eastAsia="宋体" w:hAnsi="Times New Roman" w:cs="宋体" w:hint="eastAsia"/>
          <w:color w:val="auto"/>
          <w:sz w:val="24"/>
          <w:szCs w:val="24"/>
          <w:lang w:eastAsia="zh-CN"/>
        </w:rPr>
        <w:t>14.8672</w:t>
      </w:r>
      <w:r>
        <w:rPr>
          <w:rFonts w:ascii="Times New Roman" w:eastAsia="宋体" w:hAnsi="Times New Roman" w:cs="宋体" w:hint="eastAsia"/>
          <w:color w:val="auto"/>
          <w:sz w:val="24"/>
          <w:szCs w:val="24"/>
          <w:lang w:eastAsia="zh-CN"/>
        </w:rPr>
        <w:t>公顷，占用岸线</w:t>
      </w:r>
      <w:r>
        <w:rPr>
          <w:rFonts w:ascii="Times New Roman" w:eastAsia="宋体" w:hAnsi="Times New Roman" w:cs="宋体" w:hint="eastAsia"/>
          <w:color w:val="auto"/>
          <w:sz w:val="24"/>
          <w:szCs w:val="24"/>
          <w:lang w:eastAsia="zh-CN"/>
        </w:rPr>
        <w:t>0m</w:t>
      </w:r>
      <w:r>
        <w:rPr>
          <w:rFonts w:ascii="Times New Roman" w:eastAsia="宋体" w:hAnsi="Times New Roman" w:cs="宋体" w:hint="eastAsia"/>
          <w:color w:val="auto"/>
          <w:sz w:val="24"/>
          <w:szCs w:val="24"/>
          <w:lang w:eastAsia="zh-CN"/>
        </w:rPr>
        <w:t>；巡护设施和保护管理设施用海方式为透水构筑物，用海面积为</w:t>
      </w:r>
      <w:r>
        <w:rPr>
          <w:rFonts w:ascii="Times New Roman" w:eastAsia="宋体" w:hAnsi="Times New Roman" w:cs="宋体" w:hint="eastAsia"/>
          <w:color w:val="auto"/>
          <w:sz w:val="24"/>
          <w:szCs w:val="24"/>
          <w:lang w:eastAsia="zh-CN"/>
        </w:rPr>
        <w:t>0.3793</w:t>
      </w:r>
      <w:r>
        <w:rPr>
          <w:rFonts w:ascii="Times New Roman" w:eastAsia="宋体" w:hAnsi="Times New Roman" w:cs="宋体" w:hint="eastAsia"/>
          <w:color w:val="auto"/>
          <w:sz w:val="24"/>
          <w:szCs w:val="24"/>
          <w:lang w:eastAsia="zh-CN"/>
        </w:rPr>
        <w:t>公顷，安全防护接人工岸线</w:t>
      </w:r>
      <w:r>
        <w:rPr>
          <w:rFonts w:ascii="Times New Roman" w:eastAsia="宋体" w:hAnsi="Times New Roman" w:cs="宋体" w:hint="eastAsia"/>
          <w:color w:val="auto"/>
          <w:sz w:val="24"/>
          <w:szCs w:val="24"/>
          <w:lang w:eastAsia="zh-CN"/>
        </w:rPr>
        <w:t>42m</w:t>
      </w:r>
      <w:r>
        <w:rPr>
          <w:rFonts w:ascii="Times New Roman" w:eastAsia="宋体" w:hAnsi="Times New Roman" w:cs="宋体" w:hint="eastAsia"/>
          <w:color w:val="auto"/>
          <w:sz w:val="24"/>
          <w:szCs w:val="24"/>
          <w:lang w:eastAsia="zh-CN"/>
        </w:rPr>
        <w:t>，巡护设施未接海岸线。</w:t>
      </w:r>
    </w:p>
    <w:p w14:paraId="3DA931F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根据《中华人民共和国海域使用管理法》的规定：“海域使用权</w:t>
      </w:r>
      <w:r>
        <w:rPr>
          <w:rFonts w:ascii="Times New Roman" w:eastAsia="宋体" w:hAnsi="Times New Roman" w:cs="宋体" w:hint="eastAsia"/>
          <w:color w:val="auto"/>
          <w:sz w:val="24"/>
          <w:szCs w:val="24"/>
          <w:lang w:eastAsia="zh-CN"/>
        </w:rPr>
        <w:t>最高期限按照下列用途确定：“（</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）养殖用海十五年；（</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）拆船用海二十年；（</w:t>
      </w: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）旅游娱乐用海二十五年；（</w:t>
      </w: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）盐业、矿业用海三十年；（</w:t>
      </w:r>
      <w:r>
        <w:rPr>
          <w:rFonts w:ascii="Times New Roman" w:eastAsia="宋体" w:hAnsi="Times New Roman" w:cs="宋体" w:hint="eastAsia"/>
          <w:color w:val="auto"/>
          <w:sz w:val="24"/>
          <w:szCs w:val="24"/>
          <w:lang w:eastAsia="zh-CN"/>
        </w:rPr>
        <w:t>5</w:t>
      </w:r>
      <w:r>
        <w:rPr>
          <w:rFonts w:ascii="Times New Roman" w:eastAsia="宋体" w:hAnsi="Times New Roman" w:cs="宋体" w:hint="eastAsia"/>
          <w:color w:val="auto"/>
          <w:sz w:val="24"/>
          <w:szCs w:val="24"/>
          <w:lang w:eastAsia="zh-CN"/>
        </w:rPr>
        <w:t>）公益事业用海四十年；（</w:t>
      </w: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）港口、修造船厂等建设工程用海五十年。”</w:t>
      </w:r>
    </w:p>
    <w:p w14:paraId="1EEE2C78"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本项目为红树林湿地保护修复的公益性项目，依据《中华人民共和国海域使用管理法》中海域使用权最高期限的规定，公益事业用海期限为</w:t>
      </w:r>
      <w:r>
        <w:rPr>
          <w:rFonts w:ascii="Times New Roman" w:eastAsia="宋体" w:hAnsi="Times New Roman" w:cs="宋体" w:hint="eastAsia"/>
          <w:color w:val="auto"/>
          <w:sz w:val="24"/>
          <w:szCs w:val="24"/>
          <w:lang w:eastAsia="zh-CN"/>
        </w:rPr>
        <w:t>40</w:t>
      </w:r>
      <w:r>
        <w:rPr>
          <w:rFonts w:ascii="Times New Roman" w:eastAsia="宋体" w:hAnsi="Times New Roman" w:cs="宋体" w:hint="eastAsia"/>
          <w:color w:val="auto"/>
          <w:sz w:val="24"/>
          <w:szCs w:val="24"/>
          <w:lang w:eastAsia="zh-CN"/>
        </w:rPr>
        <w:t>年。清淤区施工工期为</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个月，考虑施工前准备、天气影响等因素，拟申请用海期限</w:t>
      </w: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个月；建设内容中</w:t>
      </w:r>
      <w:r>
        <w:rPr>
          <w:rFonts w:ascii="Times New Roman" w:eastAsia="宋体" w:hAnsi="Times New Roman" w:cs="宋体"/>
          <w:color w:val="auto"/>
          <w:sz w:val="24"/>
          <w:szCs w:val="24"/>
          <w:lang w:eastAsia="zh-CN"/>
        </w:rPr>
        <w:t>保护管理</w:t>
      </w:r>
      <w:r>
        <w:rPr>
          <w:rFonts w:ascii="Times New Roman" w:eastAsia="宋体" w:hAnsi="Times New Roman" w:cs="宋体"/>
          <w:color w:val="auto"/>
          <w:sz w:val="24"/>
          <w:szCs w:val="24"/>
          <w:lang w:eastAsia="zh-CN"/>
        </w:rPr>
        <w:lastRenderedPageBreak/>
        <w:t>站</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保护管理点</w:t>
      </w:r>
      <w:r>
        <w:rPr>
          <w:rFonts w:ascii="Times New Roman" w:eastAsia="宋体" w:hAnsi="Times New Roman" w:cs="宋体" w:hint="eastAsia"/>
          <w:color w:val="auto"/>
          <w:sz w:val="24"/>
          <w:szCs w:val="24"/>
          <w:lang w:eastAsia="zh-CN"/>
        </w:rPr>
        <w:t>设计使用年项为</w:t>
      </w:r>
      <w:r>
        <w:rPr>
          <w:rFonts w:ascii="Times New Roman" w:eastAsia="宋体" w:hAnsi="Times New Roman" w:cs="宋体" w:hint="eastAsia"/>
          <w:color w:val="auto"/>
          <w:sz w:val="24"/>
          <w:szCs w:val="24"/>
          <w:lang w:eastAsia="zh-CN"/>
        </w:rPr>
        <w:t>50</w:t>
      </w:r>
      <w:r>
        <w:rPr>
          <w:rFonts w:ascii="Times New Roman" w:eastAsia="宋体" w:hAnsi="Times New Roman" w:cs="宋体" w:hint="eastAsia"/>
          <w:color w:val="auto"/>
          <w:sz w:val="24"/>
          <w:szCs w:val="24"/>
          <w:lang w:eastAsia="zh-CN"/>
        </w:rPr>
        <w:t>年；巡护栈道、巡护便道设计年限为</w:t>
      </w:r>
      <w:r>
        <w:rPr>
          <w:rFonts w:ascii="Times New Roman" w:eastAsia="宋体" w:hAnsi="Times New Roman" w:cs="宋体" w:hint="eastAsia"/>
          <w:color w:val="auto"/>
          <w:sz w:val="24"/>
          <w:szCs w:val="24"/>
          <w:lang w:eastAsia="zh-CN"/>
        </w:rPr>
        <w:t>50</w:t>
      </w:r>
      <w:r>
        <w:rPr>
          <w:rFonts w:ascii="Times New Roman" w:eastAsia="宋体" w:hAnsi="Times New Roman" w:cs="宋体" w:hint="eastAsia"/>
          <w:color w:val="auto"/>
          <w:sz w:val="24"/>
          <w:szCs w:val="24"/>
          <w:lang w:eastAsia="zh-CN"/>
        </w:rPr>
        <w:t>年。从项目主要功能</w:t>
      </w:r>
      <w:r>
        <w:rPr>
          <w:rFonts w:ascii="Times New Roman" w:eastAsia="宋体" w:hAnsi="Times New Roman" w:cs="宋体" w:hint="eastAsia"/>
          <w:color w:val="auto"/>
          <w:sz w:val="24"/>
          <w:szCs w:val="24"/>
          <w:lang w:eastAsia="zh-CN"/>
        </w:rPr>
        <w:t>以及构筑物设计周期等角度出发，建议项目构筑物申请用海年限为</w:t>
      </w:r>
      <w:r>
        <w:rPr>
          <w:rFonts w:ascii="Times New Roman" w:eastAsia="宋体" w:hAnsi="Times New Roman" w:cs="宋体" w:hint="eastAsia"/>
          <w:color w:val="auto"/>
          <w:sz w:val="24"/>
          <w:szCs w:val="24"/>
          <w:lang w:eastAsia="zh-CN"/>
        </w:rPr>
        <w:t>40</w:t>
      </w:r>
      <w:r>
        <w:rPr>
          <w:rFonts w:ascii="Times New Roman" w:eastAsia="宋体" w:hAnsi="Times New Roman" w:cs="宋体" w:hint="eastAsia"/>
          <w:color w:val="auto"/>
          <w:sz w:val="24"/>
          <w:szCs w:val="24"/>
          <w:lang w:eastAsia="zh-CN"/>
        </w:rPr>
        <w:t>年。</w:t>
      </w:r>
    </w:p>
    <w:p w14:paraId="322CAE5E"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因此，本项目用海为公益性用海，清淤区申请用海期限为</w:t>
      </w: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个月，透水构筑物申请用海</w:t>
      </w:r>
      <w:r>
        <w:rPr>
          <w:rFonts w:ascii="Times New Roman" w:eastAsia="宋体" w:hAnsi="Times New Roman" w:cs="宋体" w:hint="eastAsia"/>
          <w:color w:val="auto"/>
          <w:sz w:val="24"/>
          <w:szCs w:val="24"/>
          <w:lang w:eastAsia="zh-CN"/>
        </w:rPr>
        <w:t>40</w:t>
      </w:r>
      <w:r>
        <w:rPr>
          <w:rFonts w:ascii="Times New Roman" w:eastAsia="宋体" w:hAnsi="Times New Roman" w:cs="宋体" w:hint="eastAsia"/>
          <w:color w:val="auto"/>
          <w:sz w:val="24"/>
          <w:szCs w:val="24"/>
          <w:lang w:eastAsia="zh-CN"/>
        </w:rPr>
        <w:t>年。</w:t>
      </w:r>
    </w:p>
    <w:p w14:paraId="772A1D8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本项目拟申请用海宗海图件见附图</w:t>
      </w:r>
      <w:r>
        <w:rPr>
          <w:rFonts w:ascii="Times New Roman" w:eastAsia="宋体" w:hAnsi="Times New Roman" w:cs="宋体" w:hint="eastAsia"/>
          <w:color w:val="auto"/>
          <w:sz w:val="24"/>
          <w:szCs w:val="24"/>
          <w:lang w:eastAsia="zh-CN"/>
        </w:rPr>
        <w:t>6~11</w:t>
      </w:r>
      <w:r>
        <w:rPr>
          <w:rFonts w:ascii="Times New Roman" w:eastAsia="宋体" w:hAnsi="Times New Roman" w:cs="宋体" w:hint="eastAsia"/>
          <w:color w:val="auto"/>
          <w:sz w:val="24"/>
          <w:szCs w:val="24"/>
          <w:lang w:eastAsia="zh-CN"/>
        </w:rPr>
        <w:t>。</w:t>
      </w:r>
    </w:p>
    <w:p w14:paraId="25BB5B33"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80" w:name="bookmark21"/>
      <w:bookmarkStart w:id="81" w:name="bookmark22"/>
      <w:bookmarkStart w:id="82" w:name="_Toc31959"/>
      <w:bookmarkStart w:id="83" w:name="_Toc9758"/>
      <w:bookmarkStart w:id="84" w:name="_Toc30258"/>
      <w:bookmarkEnd w:id="80"/>
      <w:bookmarkEnd w:id="81"/>
      <w:r>
        <w:rPr>
          <w:rFonts w:ascii="Times New Roman" w:eastAsia="宋体" w:hAnsi="Times New Roman" w:cs="Times New Roman" w:hint="eastAsia"/>
          <w:b/>
          <w:bCs/>
          <w:color w:val="auto"/>
          <w:spacing w:val="-6"/>
          <w:sz w:val="30"/>
          <w:szCs w:val="30"/>
          <w:lang w:eastAsia="zh-CN"/>
        </w:rPr>
        <w:t>2.5</w:t>
      </w:r>
      <w:r>
        <w:rPr>
          <w:rFonts w:ascii="Times New Roman" w:eastAsia="Times New Roman" w:hAnsi="Times New Roman" w:cs="Times New Roman"/>
          <w:b/>
          <w:bCs/>
          <w:color w:val="auto"/>
          <w:spacing w:val="-6"/>
          <w:sz w:val="30"/>
          <w:szCs w:val="30"/>
          <w:lang w:eastAsia="zh-CN"/>
        </w:rPr>
        <w:t>项目用海必要性</w:t>
      </w:r>
      <w:bookmarkEnd w:id="82"/>
      <w:bookmarkEnd w:id="83"/>
      <w:bookmarkEnd w:id="84"/>
    </w:p>
    <w:p w14:paraId="1FA66BF3"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85" w:name="_Toc19584"/>
      <w:r>
        <w:rPr>
          <w:rFonts w:ascii="Times New Roman" w:eastAsia="Times New Roman" w:hAnsi="Times New Roman" w:cs="Times New Roman" w:hint="eastAsia"/>
          <w:b/>
          <w:bCs/>
          <w:color w:val="auto"/>
          <w:spacing w:val="-3"/>
          <w:sz w:val="28"/>
          <w:szCs w:val="28"/>
          <w:lang w:eastAsia="zh-CN"/>
        </w:rPr>
        <w:t>2.5.1项目建设的必要性</w:t>
      </w:r>
      <w:bookmarkEnd w:id="85"/>
    </w:p>
    <w:p w14:paraId="4E881A80"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1</w:t>
      </w:r>
      <w:r>
        <w:rPr>
          <w:rFonts w:ascii="Times New Roman" w:eastAsia="宋体" w:hAnsi="Times New Roman" w:cs="宋体" w:hint="eastAsia"/>
          <w:b/>
          <w:bCs/>
          <w:color w:val="auto"/>
          <w:sz w:val="24"/>
          <w:szCs w:val="24"/>
          <w:lang w:eastAsia="zh-CN"/>
        </w:rPr>
        <w:t>）本项目建设是推进生态文明建设与海洋强国建设的需要</w:t>
      </w:r>
    </w:p>
    <w:p w14:paraId="566D7671"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党的二十大报告提出了“发展海洋经济，保护海洋生态环境，加快建设海洋强国”的重大国家战略。报告强调，要推进美丽中国建设，坚持山水林田湖草沙一体化保护和系统治理，统筹产业结构调整、污染治理、生态保护、应对气候变化，协间推进降碳、减污、扩绿、增长，推进生态优先、节约集约、绿色低碳发展。为深入落实党的二十大精神，</w:t>
      </w:r>
      <w:r>
        <w:rPr>
          <w:rFonts w:ascii="Times New Roman" w:eastAsia="宋体" w:hAnsi="Times New Roman" w:cs="宋体" w:hint="eastAsia"/>
          <w:color w:val="auto"/>
          <w:sz w:val="24"/>
          <w:szCs w:val="24"/>
          <w:lang w:eastAsia="zh-CN"/>
        </w:rPr>
        <w:t>2023</w:t>
      </w:r>
      <w:r>
        <w:rPr>
          <w:rFonts w:ascii="Times New Roman" w:eastAsia="宋体" w:hAnsi="Times New Roman" w:cs="宋体" w:hint="eastAsia"/>
          <w:color w:val="auto"/>
          <w:sz w:val="24"/>
          <w:szCs w:val="24"/>
          <w:lang w:eastAsia="zh-CN"/>
        </w:rPr>
        <w:t>年，第三批山水林田湖草沙一体化保护和修复工程继续重点支持“三区四带”重点生态地区开展山水林田湖草沙一体化保护和系统治理，突出国家重大战略的生态支撑，着力提升生态系统多样性、稳定性和持续性。在“十四五</w:t>
      </w:r>
      <w:r>
        <w:rPr>
          <w:rFonts w:ascii="Times New Roman" w:eastAsia="宋体" w:hAnsi="Times New Roman" w:cs="宋体" w:hint="eastAsia"/>
          <w:color w:val="auto"/>
          <w:sz w:val="24"/>
          <w:szCs w:val="24"/>
          <w:lang w:eastAsia="zh-CN"/>
        </w:rPr>
        <w:t>”期间，海南省致力于推进海洋生态环境治理体系和治理能力现代化，加强海南省海洋生态文明建设，推动形成陆海资源、产业、空间互动协调发展新格局，加快建设海洋强省。</w:t>
      </w:r>
    </w:p>
    <w:p w14:paraId="4065B401"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2022</w:t>
      </w:r>
      <w:r>
        <w:rPr>
          <w:rFonts w:ascii="Times New Roman" w:eastAsia="宋体" w:hAnsi="Times New Roman" w:cs="宋体" w:hint="eastAsia"/>
          <w:color w:val="auto"/>
          <w:sz w:val="24"/>
          <w:szCs w:val="24"/>
          <w:lang w:eastAsia="zh-CN"/>
        </w:rPr>
        <w:t>年，生态环境部与国家发展改革委、自然资源部等共同印发了《“十四五</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海洋生态环境保护规划》和《重点海域综合治理攻坚战行动方案》，明确提出锚定</w:t>
      </w:r>
      <w:r>
        <w:rPr>
          <w:rFonts w:ascii="Times New Roman" w:eastAsia="宋体" w:hAnsi="Times New Roman" w:cs="宋体" w:hint="eastAsia"/>
          <w:color w:val="auto"/>
          <w:sz w:val="24"/>
          <w:szCs w:val="24"/>
          <w:lang w:eastAsia="zh-CN"/>
        </w:rPr>
        <w:t>2035</w:t>
      </w:r>
      <w:r>
        <w:rPr>
          <w:rFonts w:ascii="Times New Roman" w:eastAsia="宋体" w:hAnsi="Times New Roman" w:cs="宋体" w:hint="eastAsia"/>
          <w:color w:val="auto"/>
          <w:sz w:val="24"/>
          <w:szCs w:val="24"/>
          <w:lang w:eastAsia="zh-CN"/>
        </w:rPr>
        <w:t>年远景目标，以海洋生态环境持续改善为核心，聚焦建设“美丽海湾”的主线，统筹污染治理、生态保护、应对气候变化，着力推动海洋生态环境保护从以污染治理为主转变为海洋环境和生物生态协同治理，从单一要素质量改善转变为海湾生态环境质量整体改善</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从主要关注指标变化转变为更加注重人民群众获得感和幸福感，以高水平保护海洋生态环境促进沿海地区经济高质量发展。海南省“十四五”海</w:t>
      </w:r>
      <w:r>
        <w:rPr>
          <w:rFonts w:ascii="Times New Roman" w:eastAsia="宋体" w:hAnsi="Times New Roman" w:cs="宋体" w:hint="eastAsia"/>
          <w:color w:val="auto"/>
          <w:sz w:val="24"/>
          <w:szCs w:val="24"/>
          <w:lang w:eastAsia="zh-CN"/>
        </w:rPr>
        <w:t>洋生态环境保护规划要求全省共建设</w:t>
      </w:r>
      <w:r>
        <w:rPr>
          <w:rFonts w:ascii="Times New Roman" w:eastAsia="宋体" w:hAnsi="Times New Roman" w:cs="宋体" w:hint="eastAsia"/>
          <w:color w:val="auto"/>
          <w:sz w:val="24"/>
          <w:szCs w:val="24"/>
          <w:lang w:eastAsia="zh-CN"/>
        </w:rPr>
        <w:t>19</w:t>
      </w:r>
      <w:r>
        <w:rPr>
          <w:rFonts w:ascii="Times New Roman" w:eastAsia="宋体" w:hAnsi="Times New Roman" w:cs="宋体" w:hint="eastAsia"/>
          <w:color w:val="auto"/>
          <w:sz w:val="24"/>
          <w:szCs w:val="24"/>
          <w:lang w:eastAsia="zh-CN"/>
        </w:rPr>
        <w:t>个“美丽海湾”。三亚市实施湾长制，推行“一湾一策”精准治理，在三亚湾、海棠湾等海湾开展“美丽海湾”先行示范区创建，目标是到</w:t>
      </w:r>
      <w:r>
        <w:rPr>
          <w:rFonts w:ascii="Times New Roman" w:eastAsia="宋体" w:hAnsi="Times New Roman" w:cs="宋体" w:hint="eastAsia"/>
          <w:color w:val="auto"/>
          <w:sz w:val="24"/>
          <w:szCs w:val="24"/>
          <w:lang w:eastAsia="zh-CN"/>
        </w:rPr>
        <w:t>2025</w:t>
      </w:r>
      <w:r>
        <w:rPr>
          <w:rFonts w:ascii="Times New Roman" w:eastAsia="宋体" w:hAnsi="Times New Roman" w:cs="宋体" w:hint="eastAsia"/>
          <w:color w:val="auto"/>
          <w:sz w:val="24"/>
          <w:szCs w:val="24"/>
          <w:lang w:eastAsia="zh-CN"/>
        </w:rPr>
        <w:t>年，美丽海湾建设走在全国前列，形成美丽海湾建设、评估和宣传的长效管理机制。铁炉港位于海棠湾南侧，是“美丽海湾</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的重要组成部分。通过对潟湖水动力较弱产生淤泥沉积的地方进行水系连通，</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hint="eastAsia"/>
          <w:color w:val="auto"/>
          <w:sz w:val="24"/>
          <w:szCs w:val="24"/>
          <w:lang w:eastAsia="zh-CN"/>
        </w:rPr>
        <w:t>使生境更适宜于红树林生长，可以有效助力海棠湾成为一个“美丽海湾”。</w:t>
      </w:r>
    </w:p>
    <w:p w14:paraId="18B753DF"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2</w:t>
      </w:r>
      <w:r>
        <w:rPr>
          <w:rFonts w:ascii="Times New Roman" w:eastAsia="宋体" w:hAnsi="Times New Roman" w:cs="宋体" w:hint="eastAsia"/>
          <w:b/>
          <w:bCs/>
          <w:color w:val="auto"/>
          <w:sz w:val="24"/>
          <w:szCs w:val="24"/>
          <w:lang w:eastAsia="zh-CN"/>
        </w:rPr>
        <w:t>）是山水林田湖草沙一体化保护和修复工程的重要部分</w:t>
      </w:r>
      <w:r>
        <w:rPr>
          <w:rFonts w:ascii="Times New Roman" w:eastAsia="宋体" w:hAnsi="Times New Roman" w:cs="宋体" w:hint="eastAsia"/>
          <w:b/>
          <w:bCs/>
          <w:color w:val="auto"/>
          <w:sz w:val="24"/>
          <w:szCs w:val="24"/>
          <w:lang w:eastAsia="zh-CN"/>
        </w:rPr>
        <w:t xml:space="preserve"> </w:t>
      </w:r>
    </w:p>
    <w:p w14:paraId="4C194CC1"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lastRenderedPageBreak/>
        <w:t>铁炉港湿地保护修复项目是海南南部典型热带区</w:t>
      </w:r>
      <w:r>
        <w:rPr>
          <w:rFonts w:ascii="Times New Roman" w:eastAsia="宋体" w:hAnsi="Times New Roman" w:cs="宋体" w:hint="eastAsia"/>
          <w:color w:val="auto"/>
          <w:sz w:val="24"/>
          <w:szCs w:val="24"/>
          <w:lang w:eastAsia="zh-CN"/>
        </w:rPr>
        <w:t>域山水林田湖草沙一体化保护和修复工程之三十二号子工程，属海岸带生态保护修复单元中的重要物种栖息地和生物安全防治工程。通过开展红树林湿地生态系统保护修复工程，坚持自然恢复为主、人工修复为辅的原则，统筹协调五大关系，进一步改善和修复三亚市热带典型海洋生态系统，提升生态系统质量和稳定性，遏制生态环境恶化，修复生态系统结构和功能，保护修复区域生物多样性。</w:t>
      </w:r>
      <w:r>
        <w:rPr>
          <w:rFonts w:ascii="Times New Roman" w:eastAsia="宋体" w:hAnsi="Times New Roman" w:cs="宋体" w:hint="eastAsia"/>
          <w:color w:val="auto"/>
          <w:sz w:val="24"/>
          <w:szCs w:val="24"/>
          <w:lang w:eastAsia="zh-CN"/>
        </w:rPr>
        <w:t xml:space="preserve"> </w:t>
      </w:r>
    </w:p>
    <w:p w14:paraId="01A2718B" w14:textId="77777777" w:rsidR="0075791A" w:rsidRDefault="00FB2864">
      <w:pPr>
        <w:spacing w:line="360" w:lineRule="auto"/>
        <w:ind w:firstLineChars="200" w:firstLine="476"/>
        <w:jc w:val="both"/>
        <w:rPr>
          <w:rFonts w:ascii="Times New Roman" w:eastAsia="宋体" w:hAnsi="Times New Roman" w:cs="宋体"/>
          <w:color w:val="auto"/>
          <w:sz w:val="24"/>
          <w:szCs w:val="24"/>
          <w:lang w:eastAsia="zh-CN"/>
        </w:rPr>
      </w:pPr>
      <w:r>
        <w:rPr>
          <w:rFonts w:ascii="Times New Roman" w:eastAsia="宋体" w:hAnsi="Times New Roman" w:cs="宋体"/>
          <w:color w:val="auto"/>
          <w:spacing w:val="-2"/>
          <w:sz w:val="24"/>
          <w:szCs w:val="24"/>
          <w:lang w:eastAsia="zh-CN"/>
        </w:rPr>
        <w:t>水系连通与生境改造清淤</w:t>
      </w:r>
      <w:r>
        <w:rPr>
          <w:rFonts w:ascii="Times New Roman" w:eastAsia="宋体" w:hAnsi="Times New Roman" w:cs="宋体"/>
          <w:color w:val="auto"/>
          <w:spacing w:val="-2"/>
          <w:sz w:val="24"/>
          <w:szCs w:val="24"/>
          <w:lang w:eastAsia="zh-CN"/>
        </w:rPr>
        <w:t>9.6</w:t>
      </w:r>
      <w:r>
        <w:rPr>
          <w:rFonts w:ascii="Times New Roman" w:eastAsia="宋体" w:hAnsi="Times New Roman" w:cs="宋体" w:hint="eastAsia"/>
          <w:color w:val="auto"/>
          <w:spacing w:val="-2"/>
          <w:sz w:val="24"/>
          <w:szCs w:val="24"/>
          <w:lang w:eastAsia="zh-CN"/>
        </w:rPr>
        <w:t>万</w:t>
      </w:r>
      <w:r>
        <w:rPr>
          <w:rFonts w:ascii="Times New Roman" w:eastAsia="宋体" w:hAnsi="Times New Roman" w:cs="宋体"/>
          <w:color w:val="auto"/>
          <w:spacing w:val="-2"/>
          <w:sz w:val="24"/>
          <w:szCs w:val="24"/>
          <w:lang w:eastAsia="zh-CN"/>
        </w:rPr>
        <w:t>m</w:t>
      </w:r>
      <w:r>
        <w:rPr>
          <w:rFonts w:ascii="Times New Roman" w:eastAsia="宋体" w:hAnsi="Times New Roman" w:cs="宋体" w:hint="eastAsia"/>
          <w:color w:val="auto"/>
          <w:spacing w:val="-2"/>
          <w:sz w:val="24"/>
          <w:szCs w:val="24"/>
          <w:vertAlign w:val="superscript"/>
          <w:lang w:eastAsia="zh-CN"/>
        </w:rPr>
        <w:t>3</w:t>
      </w:r>
      <w:r>
        <w:rPr>
          <w:rFonts w:ascii="Times New Roman" w:eastAsia="宋体" w:hAnsi="Times New Roman" w:cs="宋体" w:hint="eastAsia"/>
          <w:color w:val="auto"/>
          <w:spacing w:val="-2"/>
          <w:sz w:val="24"/>
          <w:szCs w:val="24"/>
          <w:lang w:eastAsia="zh-CN"/>
        </w:rPr>
        <w:t>，其中本项目清淤</w:t>
      </w:r>
      <w:r>
        <w:rPr>
          <w:rFonts w:ascii="Times New Roman" w:eastAsia="宋体" w:hAnsi="Times New Roman" w:cs="宋体" w:hint="eastAsia"/>
          <w:color w:val="auto"/>
          <w:spacing w:val="-2"/>
          <w:sz w:val="24"/>
          <w:szCs w:val="24"/>
          <w:lang w:eastAsia="zh-CN"/>
        </w:rPr>
        <w:t>8.6</w:t>
      </w:r>
      <w:r>
        <w:rPr>
          <w:rFonts w:ascii="Times New Roman" w:eastAsia="宋体" w:hAnsi="Times New Roman" w:cs="宋体" w:hint="eastAsia"/>
          <w:color w:val="auto"/>
          <w:spacing w:val="-2"/>
          <w:sz w:val="24"/>
          <w:szCs w:val="24"/>
          <w:lang w:eastAsia="zh-CN"/>
        </w:rPr>
        <w:t>万</w:t>
      </w:r>
      <w:r>
        <w:rPr>
          <w:rFonts w:ascii="Times New Roman" w:eastAsia="宋体" w:hAnsi="Times New Roman" w:cs="宋体"/>
          <w:color w:val="auto"/>
          <w:spacing w:val="-2"/>
          <w:sz w:val="24"/>
          <w:szCs w:val="24"/>
          <w:lang w:eastAsia="zh-CN"/>
        </w:rPr>
        <w:t>m</w:t>
      </w:r>
      <w:r>
        <w:rPr>
          <w:rFonts w:ascii="Times New Roman" w:eastAsia="宋体" w:hAnsi="Times New Roman" w:cs="宋体" w:hint="eastAsia"/>
          <w:color w:val="auto"/>
          <w:spacing w:val="-2"/>
          <w:sz w:val="24"/>
          <w:szCs w:val="24"/>
          <w:vertAlign w:val="superscript"/>
          <w:lang w:eastAsia="zh-CN"/>
        </w:rPr>
        <w:t>3</w:t>
      </w:r>
      <w:r>
        <w:rPr>
          <w:rFonts w:ascii="Times New Roman" w:eastAsia="宋体" w:hAnsi="Times New Roman" w:cs="宋体" w:hint="eastAsia"/>
          <w:color w:val="auto"/>
          <w:spacing w:val="-2"/>
          <w:sz w:val="24"/>
          <w:szCs w:val="24"/>
          <w:lang w:eastAsia="zh-CN"/>
        </w:rPr>
        <w:t>，是</w:t>
      </w:r>
      <w:r>
        <w:rPr>
          <w:rFonts w:ascii="Times New Roman" w:eastAsia="宋体" w:hAnsi="Times New Roman" w:cs="宋体"/>
          <w:color w:val="auto"/>
          <w:spacing w:val="-2"/>
          <w:sz w:val="24"/>
          <w:szCs w:val="24"/>
          <w:lang w:eastAsia="zh-CN"/>
        </w:rPr>
        <w:t>滨海生物多样性提升工程</w:t>
      </w:r>
      <w:r>
        <w:rPr>
          <w:rFonts w:ascii="Times New Roman" w:eastAsia="宋体" w:hAnsi="Times New Roman" w:cs="宋体" w:hint="eastAsia"/>
          <w:color w:val="auto"/>
          <w:spacing w:val="-2"/>
          <w:sz w:val="24"/>
          <w:szCs w:val="24"/>
          <w:lang w:eastAsia="zh-CN"/>
        </w:rPr>
        <w:t>的重要工程内容之一，</w:t>
      </w:r>
      <w:r>
        <w:rPr>
          <w:rFonts w:ascii="Times New Roman" w:eastAsia="宋体" w:hAnsi="Times New Roman" w:cs="宋体" w:hint="eastAsia"/>
          <w:color w:val="auto"/>
          <w:sz w:val="24"/>
          <w:szCs w:val="24"/>
          <w:lang w:eastAsia="zh-CN"/>
        </w:rPr>
        <w:t>同时也是“山水项目”考核指标值之一，本项目的建设是海南南部典型热带区域山水林田湖草沙一体化保护和修复工程的重要内容。</w:t>
      </w:r>
    </w:p>
    <w:p w14:paraId="4FEA8469"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3</w:t>
      </w:r>
      <w:r>
        <w:rPr>
          <w:rFonts w:ascii="Times New Roman" w:eastAsia="宋体" w:hAnsi="Times New Roman" w:cs="宋体" w:hint="eastAsia"/>
          <w:b/>
          <w:bCs/>
          <w:color w:val="auto"/>
          <w:sz w:val="24"/>
          <w:szCs w:val="24"/>
          <w:lang w:eastAsia="zh-CN"/>
        </w:rPr>
        <w:t>）是优化生态环境、提升防灾减灾功能的需求</w:t>
      </w:r>
    </w:p>
    <w:p w14:paraId="72E6A2B5" w14:textId="77777777" w:rsidR="0075791A" w:rsidRDefault="00FB2864">
      <w:pPr>
        <w:spacing w:line="360" w:lineRule="auto"/>
        <w:ind w:firstLineChars="200" w:firstLine="476"/>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pacing w:val="-2"/>
          <w:sz w:val="24"/>
          <w:szCs w:val="24"/>
          <w:lang w:eastAsia="zh-CN"/>
        </w:rPr>
        <w:t>铁炉港部分河口与水动力较弱区域浅滩不断发育，南边海水域河道淤积较严</w:t>
      </w:r>
      <w:r>
        <w:rPr>
          <w:rFonts w:ascii="Times New Roman" w:eastAsia="宋体" w:hAnsi="Times New Roman" w:cs="宋体" w:hint="eastAsia"/>
          <w:color w:val="auto"/>
          <w:spacing w:val="-2"/>
          <w:sz w:val="24"/>
          <w:szCs w:val="24"/>
          <w:lang w:eastAsia="zh-CN"/>
        </w:rPr>
        <w:t xml:space="preserve"> </w:t>
      </w:r>
      <w:r>
        <w:rPr>
          <w:rFonts w:ascii="Times New Roman" w:eastAsia="宋体" w:hAnsi="Times New Roman" w:cs="宋体" w:hint="eastAsia"/>
          <w:color w:val="auto"/>
          <w:spacing w:val="-2"/>
          <w:sz w:val="24"/>
          <w:szCs w:val="24"/>
          <w:lang w:eastAsia="zh-CN"/>
        </w:rPr>
        <w:t>重，导致潮汐通道内水流不畅，降低了潟湖水体与外海水体的交换能力，影响红树林的生长。因此，通过对潟湖水动力较弱产生淤泥沉积的地方进行水系连通，</w:t>
      </w:r>
      <w:r>
        <w:rPr>
          <w:rFonts w:ascii="Times New Roman" w:eastAsia="宋体" w:hAnsi="Times New Roman" w:cs="宋体" w:hint="eastAsia"/>
          <w:color w:val="auto"/>
          <w:spacing w:val="-2"/>
          <w:sz w:val="24"/>
          <w:szCs w:val="24"/>
          <w:lang w:eastAsia="zh-CN"/>
        </w:rPr>
        <w:t xml:space="preserve"> </w:t>
      </w:r>
      <w:r>
        <w:rPr>
          <w:rFonts w:ascii="Times New Roman" w:eastAsia="宋体" w:hAnsi="Times New Roman" w:cs="宋体" w:hint="eastAsia"/>
          <w:color w:val="auto"/>
          <w:spacing w:val="-2"/>
          <w:sz w:val="24"/>
          <w:szCs w:val="24"/>
          <w:lang w:eastAsia="zh-CN"/>
        </w:rPr>
        <w:t>使生境更适宜于红树林生长，</w:t>
      </w:r>
      <w:r>
        <w:rPr>
          <w:rFonts w:ascii="Times New Roman" w:eastAsia="宋体" w:hAnsi="Times New Roman" w:cs="宋体" w:hint="eastAsia"/>
          <w:color w:val="auto"/>
          <w:sz w:val="24"/>
          <w:szCs w:val="24"/>
          <w:lang w:val="zh-CN" w:eastAsia="zh-CN"/>
        </w:rPr>
        <w:t>另一方面通过湿地的建设提升河口区纳潮排涝能力，进一步提升防灾减灾能力。</w:t>
      </w:r>
    </w:p>
    <w:p w14:paraId="14FCFB02"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4</w:t>
      </w:r>
      <w:r>
        <w:rPr>
          <w:rFonts w:ascii="Times New Roman" w:eastAsia="宋体" w:hAnsi="Times New Roman" w:cs="宋体" w:hint="eastAsia"/>
          <w:b/>
          <w:bCs/>
          <w:color w:val="auto"/>
          <w:sz w:val="24"/>
          <w:szCs w:val="24"/>
          <w:lang w:eastAsia="zh-CN"/>
        </w:rPr>
        <w:t>）项目与《海南省海洋主体功能区规划（</w:t>
      </w:r>
      <w:r>
        <w:rPr>
          <w:rFonts w:ascii="Times New Roman" w:eastAsia="宋体" w:hAnsi="Times New Roman" w:cs="宋体" w:hint="eastAsia"/>
          <w:b/>
          <w:bCs/>
          <w:color w:val="auto"/>
          <w:sz w:val="24"/>
          <w:szCs w:val="24"/>
          <w:lang w:eastAsia="zh-CN"/>
        </w:rPr>
        <w:t>2010</w:t>
      </w:r>
      <w:r>
        <w:rPr>
          <w:rFonts w:ascii="Times New Roman" w:eastAsia="宋体" w:hAnsi="Times New Roman" w:cs="宋体" w:hint="eastAsia"/>
          <w:b/>
          <w:bCs/>
          <w:color w:val="auto"/>
          <w:sz w:val="24"/>
          <w:szCs w:val="24"/>
          <w:lang w:eastAsia="zh-CN"/>
        </w:rPr>
        <w:t>年修编）》的符合性分析</w:t>
      </w:r>
      <w:r>
        <w:rPr>
          <w:rFonts w:ascii="Times New Roman" w:eastAsia="宋体" w:hAnsi="Times New Roman" w:cs="宋体" w:hint="eastAsia"/>
          <w:b/>
          <w:bCs/>
          <w:color w:val="auto"/>
          <w:sz w:val="24"/>
          <w:szCs w:val="24"/>
          <w:lang w:eastAsia="zh-CN"/>
        </w:rPr>
        <w:t xml:space="preserve"> </w:t>
      </w:r>
    </w:p>
    <w:p w14:paraId="48363BF1"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为适应国际旅游岛建设发展和生态省建设需要，协调近岸海域环境保护与沿海经济社会发展，科学实施近岸海域环境保护，</w:t>
      </w:r>
      <w:r>
        <w:rPr>
          <w:rFonts w:ascii="Times New Roman" w:eastAsia="宋体" w:hAnsi="Times New Roman" w:cs="宋体" w:hint="eastAsia"/>
          <w:color w:val="auto"/>
          <w:sz w:val="24"/>
          <w:szCs w:val="24"/>
          <w:lang w:eastAsia="zh-CN"/>
        </w:rPr>
        <w:t>2010</w:t>
      </w:r>
      <w:r>
        <w:rPr>
          <w:rFonts w:ascii="Times New Roman" w:eastAsia="宋体" w:hAnsi="Times New Roman" w:cs="宋体" w:hint="eastAsia"/>
          <w:color w:val="auto"/>
          <w:sz w:val="24"/>
          <w:szCs w:val="24"/>
          <w:lang w:eastAsia="zh-CN"/>
        </w:rPr>
        <w:t>年，海南省国土环境资源厅组织开展《海南省近岸海域环境功能区划》修编工作，区划的目的主要是，确定近岸海域环境功能区水质保护目标，并建立近岸海域环境功能区管理措施体系和保障措施体系，使近岸海域环境功能区划能适应社会经济发展需求，满足海南国际旅游岛建设和全国生态文明示范区建设需要，推进我省近岸海域污染防治和环境保护，促进近岸海</w:t>
      </w:r>
      <w:r>
        <w:rPr>
          <w:rFonts w:ascii="Times New Roman" w:eastAsia="宋体" w:hAnsi="Times New Roman" w:cs="宋体" w:hint="eastAsia"/>
          <w:color w:val="auto"/>
          <w:sz w:val="24"/>
          <w:szCs w:val="24"/>
          <w:lang w:eastAsia="zh-CN"/>
        </w:rPr>
        <w:t>域的可持续发展。</w:t>
      </w:r>
    </w:p>
    <w:p w14:paraId="63A6599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根据区划，本项目位于铁炉港红树林自然保护区（</w:t>
      </w:r>
      <w:r>
        <w:rPr>
          <w:rFonts w:ascii="Times New Roman" w:eastAsia="宋体" w:hAnsi="Times New Roman" w:cs="宋体" w:hint="eastAsia"/>
          <w:color w:val="auto"/>
          <w:sz w:val="24"/>
          <w:szCs w:val="24"/>
          <w:lang w:eastAsia="zh-CN"/>
        </w:rPr>
        <w:t>HN009A</w:t>
      </w:r>
      <w:r>
        <w:rPr>
          <w:rFonts w:ascii="Times New Roman" w:eastAsia="宋体" w:hAnsi="Times New Roman" w:cs="宋体"/>
          <w:color w:val="auto"/>
          <w:sz w:val="24"/>
          <w:szCs w:val="24"/>
          <w:lang w:eastAsia="zh-CN"/>
        </w:rPr>
        <w:t>Ⅱ</w:t>
      </w:r>
      <w:r>
        <w:rPr>
          <w:rFonts w:ascii="Times New Roman" w:eastAsia="宋体" w:hAnsi="Times New Roman" w:cs="宋体" w:hint="eastAsia"/>
          <w:color w:val="auto"/>
          <w:sz w:val="24"/>
          <w:szCs w:val="24"/>
          <w:lang w:eastAsia="zh-CN"/>
        </w:rPr>
        <w:t>），位于三亚铁炉港和龙江港，总面积</w:t>
      </w:r>
      <w:r>
        <w:rPr>
          <w:rFonts w:ascii="Times New Roman" w:eastAsia="宋体" w:hAnsi="Times New Roman" w:cs="宋体" w:hint="eastAsia"/>
          <w:color w:val="auto"/>
          <w:sz w:val="24"/>
          <w:szCs w:val="24"/>
          <w:lang w:eastAsia="zh-CN"/>
        </w:rPr>
        <w:t>0.70</w:t>
      </w:r>
      <w:r>
        <w:rPr>
          <w:rFonts w:ascii="Times New Roman" w:eastAsia="宋体" w:hAnsi="Times New Roman" w:cs="宋体" w:hint="eastAsia"/>
          <w:color w:val="auto"/>
          <w:sz w:val="24"/>
          <w:szCs w:val="24"/>
          <w:lang w:eastAsia="zh-CN"/>
        </w:rPr>
        <w:t>平方公里，主导功能为红树林保护，执行二类海水水质保护目标，详见图</w:t>
      </w:r>
      <w:r>
        <w:rPr>
          <w:rFonts w:ascii="Times New Roman" w:eastAsia="宋体" w:hAnsi="Times New Roman" w:cs="宋体" w:hint="eastAsia"/>
          <w:color w:val="auto"/>
          <w:sz w:val="24"/>
          <w:szCs w:val="24"/>
          <w:lang w:eastAsia="zh-CN"/>
        </w:rPr>
        <w:t>2.5.1-1</w:t>
      </w:r>
      <w:r>
        <w:rPr>
          <w:rFonts w:ascii="Times New Roman" w:eastAsia="宋体" w:hAnsi="Times New Roman" w:cs="宋体" w:hint="eastAsia"/>
          <w:color w:val="auto"/>
          <w:sz w:val="24"/>
          <w:szCs w:val="24"/>
          <w:lang w:eastAsia="zh-CN"/>
        </w:rPr>
        <w:t>。本项目通过清淤工程促进水系连通，实现红树林湿地生态系统的修复与重建，改善铁炉港的冲淤环境，提高水体的自净能力，提升铁炉港水体交换能力，促进红树林系统保护和修复。项目施工期间，采用防污帘的施工方式，利用防污帘与珊瑚礁分布区域隔离，尽可能减少清淤产生的泥沙悬浮。</w:t>
      </w:r>
    </w:p>
    <w:p w14:paraId="7FC7521C"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综上，本项目实施对海域环境水质环境影响较小，海域水质能满足相应环境功能区的要求。因此，项目建设符合《海南省近岸海域环境功能区划（</w:t>
      </w:r>
      <w:r>
        <w:rPr>
          <w:rFonts w:ascii="Times New Roman" w:eastAsia="宋体" w:hAnsi="Times New Roman" w:cs="宋体" w:hint="eastAsia"/>
          <w:color w:val="auto"/>
          <w:sz w:val="24"/>
          <w:szCs w:val="24"/>
          <w:lang w:eastAsia="zh-CN"/>
        </w:rPr>
        <w:t>2010</w:t>
      </w:r>
      <w:r>
        <w:rPr>
          <w:rFonts w:ascii="Times New Roman" w:eastAsia="宋体" w:hAnsi="Times New Roman" w:cs="宋体" w:hint="eastAsia"/>
          <w:color w:val="auto"/>
          <w:sz w:val="24"/>
          <w:szCs w:val="24"/>
          <w:lang w:eastAsia="zh-CN"/>
        </w:rPr>
        <w:t>年修编）》。</w:t>
      </w:r>
    </w:p>
    <w:p w14:paraId="1CA60A17" w14:textId="77777777" w:rsidR="0075791A" w:rsidRDefault="00FB2864">
      <w:pPr>
        <w:spacing w:line="360" w:lineRule="auto"/>
        <w:jc w:val="center"/>
        <w:rPr>
          <w:color w:val="auto"/>
          <w:lang w:eastAsia="zh-CN"/>
        </w:rPr>
      </w:pPr>
      <w:r>
        <w:rPr>
          <w:rFonts w:hint="eastAsia"/>
          <w:noProof/>
          <w:color w:val="auto"/>
          <w:lang w:eastAsia="zh-CN"/>
        </w:rPr>
        <w:lastRenderedPageBreak/>
        <w:drawing>
          <wp:inline distT="0" distB="0" distL="114300" distR="114300" wp14:anchorId="080DB3F2" wp14:editId="10BD0EE1">
            <wp:extent cx="4356735" cy="3041015"/>
            <wp:effectExtent l="0" t="0" r="1905" b="6985"/>
            <wp:docPr id="94" name="图片 9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图片1"/>
                    <pic:cNvPicPr>
                      <a:picLocks noChangeAspect="1"/>
                    </pic:cNvPicPr>
                  </pic:nvPicPr>
                  <pic:blipFill>
                    <a:blip r:embed="rId34"/>
                    <a:stretch>
                      <a:fillRect/>
                    </a:stretch>
                  </pic:blipFill>
                  <pic:spPr>
                    <a:xfrm>
                      <a:off x="0" y="0"/>
                      <a:ext cx="4356735" cy="3041015"/>
                    </a:xfrm>
                    <a:prstGeom prst="rect">
                      <a:avLst/>
                    </a:prstGeom>
                  </pic:spPr>
                </pic:pic>
              </a:graphicData>
            </a:graphic>
          </wp:inline>
        </w:drawing>
      </w:r>
    </w:p>
    <w:p w14:paraId="28DDC908" w14:textId="77777777" w:rsidR="0075791A" w:rsidRDefault="00FB2864">
      <w:pPr>
        <w:spacing w:line="360" w:lineRule="auto"/>
        <w:ind w:firstLineChars="200" w:firstLine="420"/>
        <w:jc w:val="center"/>
        <w:rPr>
          <w:rFonts w:ascii="Times New Roman" w:eastAsia="宋体" w:hAnsi="Times New Roman"/>
          <w:color w:val="auto"/>
          <w:lang w:eastAsia="zh-CN"/>
        </w:rPr>
      </w:pPr>
      <w:r>
        <w:rPr>
          <w:rFonts w:hint="eastAsia"/>
          <w:color w:val="auto"/>
          <w:lang w:eastAsia="zh-CN"/>
        </w:rPr>
        <w:t>图</w:t>
      </w:r>
      <w:r>
        <w:rPr>
          <w:rFonts w:ascii="Times New Roman" w:eastAsia="宋体" w:hAnsi="Times New Roman" w:hint="eastAsia"/>
          <w:color w:val="auto"/>
          <w:lang w:eastAsia="zh-CN"/>
        </w:rPr>
        <w:t>2.5.1</w:t>
      </w:r>
      <w:r>
        <w:rPr>
          <w:rFonts w:ascii="Times New Roman" w:eastAsia="宋体" w:hAnsi="Times New Roman"/>
          <w:color w:val="auto"/>
          <w:lang w:eastAsia="zh-CN"/>
        </w:rPr>
        <w:t>-</w:t>
      </w:r>
      <w:r>
        <w:rPr>
          <w:rFonts w:hint="eastAsia"/>
          <w:color w:val="auto"/>
          <w:lang w:eastAsia="zh-CN"/>
        </w:rPr>
        <w:t>1</w:t>
      </w:r>
      <w:r>
        <w:rPr>
          <w:rFonts w:ascii="Times New Roman" w:eastAsia="宋体" w:hAnsi="Times New Roman"/>
          <w:color w:val="auto"/>
          <w:lang w:eastAsia="zh-CN"/>
        </w:rPr>
        <w:t xml:space="preserve"> </w:t>
      </w:r>
      <w:r>
        <w:rPr>
          <w:rFonts w:hint="eastAsia"/>
          <w:color w:val="auto"/>
          <w:lang w:eastAsia="zh-CN"/>
        </w:rPr>
        <w:t>海南省近岸海域环境功能区划</w:t>
      </w:r>
      <w:r>
        <w:rPr>
          <w:rFonts w:ascii="Times New Roman" w:eastAsia="宋体" w:hAnsi="Times New Roman"/>
          <w:color w:val="auto"/>
          <w:lang w:eastAsia="zh-CN"/>
        </w:rPr>
        <w:t>图</w:t>
      </w:r>
    </w:p>
    <w:p w14:paraId="5F7605FB" w14:textId="77777777" w:rsidR="0075791A" w:rsidRDefault="0075791A">
      <w:pPr>
        <w:spacing w:line="360" w:lineRule="auto"/>
        <w:ind w:firstLineChars="200" w:firstLine="480"/>
        <w:jc w:val="both"/>
        <w:rPr>
          <w:rFonts w:ascii="Times New Roman" w:eastAsia="宋体" w:hAnsi="Times New Roman" w:cs="宋体"/>
          <w:color w:val="auto"/>
          <w:sz w:val="24"/>
          <w:szCs w:val="24"/>
          <w:lang w:eastAsia="zh-CN"/>
        </w:rPr>
      </w:pPr>
    </w:p>
    <w:p w14:paraId="4DD0525D"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5</w:t>
      </w:r>
      <w:r>
        <w:rPr>
          <w:rFonts w:ascii="Times New Roman" w:eastAsia="宋体" w:hAnsi="Times New Roman" w:cs="宋体" w:hint="eastAsia"/>
          <w:b/>
          <w:bCs/>
          <w:color w:val="auto"/>
          <w:sz w:val="24"/>
          <w:szCs w:val="24"/>
          <w:lang w:eastAsia="zh-CN"/>
        </w:rPr>
        <w:t>）项目与《海岸带生态保护和修复重大工程建设规划（</w:t>
      </w:r>
      <w:r>
        <w:rPr>
          <w:rFonts w:ascii="Times New Roman" w:eastAsia="宋体" w:hAnsi="Times New Roman" w:cs="宋体" w:hint="eastAsia"/>
          <w:b/>
          <w:bCs/>
          <w:color w:val="auto"/>
          <w:sz w:val="24"/>
          <w:szCs w:val="24"/>
          <w:lang w:eastAsia="zh-CN"/>
        </w:rPr>
        <w:t>2021</w:t>
      </w: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2035</w:t>
      </w:r>
      <w:r>
        <w:rPr>
          <w:rFonts w:ascii="Times New Roman" w:eastAsia="宋体" w:hAnsi="Times New Roman" w:cs="宋体" w:hint="eastAsia"/>
          <w:b/>
          <w:bCs/>
          <w:color w:val="auto"/>
          <w:sz w:val="24"/>
          <w:szCs w:val="24"/>
          <w:lang w:eastAsia="zh-CN"/>
        </w:rPr>
        <w:t>年）》的相符性分析</w:t>
      </w:r>
    </w:p>
    <w:p w14:paraId="4BF48E01"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《海岸带生态保护和修复重大工程建设规划（</w:t>
      </w:r>
      <w:r>
        <w:rPr>
          <w:rFonts w:ascii="Times New Roman" w:eastAsia="宋体" w:hAnsi="Times New Roman" w:cs="宋体" w:hint="eastAsia"/>
          <w:color w:val="auto"/>
          <w:sz w:val="24"/>
          <w:szCs w:val="24"/>
          <w:lang w:eastAsia="zh-CN"/>
        </w:rPr>
        <w:t>2021</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2035</w:t>
      </w:r>
      <w:r>
        <w:rPr>
          <w:rFonts w:ascii="Times New Roman" w:eastAsia="宋体" w:hAnsi="Times New Roman" w:cs="宋体" w:hint="eastAsia"/>
          <w:color w:val="auto"/>
          <w:sz w:val="24"/>
          <w:szCs w:val="24"/>
          <w:lang w:eastAsia="zh-CN"/>
        </w:rPr>
        <w:t>年）》要求对“美丽海湾”的保护与建设要取得积极成效，三亚市积极落实以上国家战略规划，在三亚湾、海棠湾等海湾开展“美丽海湾”先行示范区创建，目标到</w:t>
      </w:r>
      <w:r>
        <w:rPr>
          <w:rFonts w:ascii="Times New Roman" w:eastAsia="宋体" w:hAnsi="Times New Roman" w:cs="宋体" w:hint="eastAsia"/>
          <w:color w:val="auto"/>
          <w:sz w:val="24"/>
          <w:szCs w:val="24"/>
          <w:lang w:eastAsia="zh-CN"/>
        </w:rPr>
        <w:t>2025</w:t>
      </w:r>
      <w:r>
        <w:rPr>
          <w:rFonts w:ascii="Times New Roman" w:eastAsia="宋体" w:hAnsi="Times New Roman" w:cs="宋体" w:hint="eastAsia"/>
          <w:color w:val="auto"/>
          <w:sz w:val="24"/>
          <w:szCs w:val="24"/>
          <w:lang w:eastAsia="zh-CN"/>
        </w:rPr>
        <w:t>年，美丽海湾建设走在全国前列，形成美丽海湾建设、评估、宣传长效管理机制。铁炉港位于海棠湾南侧，是美丽海湾重要组成部分。本项目是海南南部典型热带区域山水林田湖草沙一体化保护和修复工程之三十二子项目，属海岸带生态保护修复单元中的重要物种栖息地和生物安全防治工程，该单元总体目标为入海水体提供最后一道稳定净化</w:t>
      </w:r>
      <w:r>
        <w:rPr>
          <w:rFonts w:ascii="Times New Roman" w:eastAsia="宋体" w:hAnsi="Times New Roman" w:cs="宋体" w:hint="eastAsia"/>
          <w:color w:val="auto"/>
          <w:sz w:val="24"/>
          <w:szCs w:val="24"/>
          <w:lang w:eastAsia="zh-CN"/>
        </w:rPr>
        <w:t>屏障，为海岸旅游经济提供优质生态环境，实现陆海统筹、综合修复。因此与《海岸带生态保护和修复重大工程建设规划（</w:t>
      </w:r>
      <w:r>
        <w:rPr>
          <w:rFonts w:ascii="Times New Roman" w:eastAsia="宋体" w:hAnsi="Times New Roman" w:cs="宋体" w:hint="eastAsia"/>
          <w:color w:val="auto"/>
          <w:sz w:val="24"/>
          <w:szCs w:val="24"/>
          <w:lang w:eastAsia="zh-CN"/>
        </w:rPr>
        <w:t>2021</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2035</w:t>
      </w:r>
      <w:r>
        <w:rPr>
          <w:rFonts w:ascii="Times New Roman" w:eastAsia="宋体" w:hAnsi="Times New Roman" w:cs="宋体" w:hint="eastAsia"/>
          <w:color w:val="auto"/>
          <w:sz w:val="24"/>
          <w:szCs w:val="24"/>
          <w:lang w:eastAsia="zh-CN"/>
        </w:rPr>
        <w:t>年）》是相符的。</w:t>
      </w:r>
    </w:p>
    <w:p w14:paraId="7FF89C7E"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6</w:t>
      </w:r>
      <w:r>
        <w:rPr>
          <w:rFonts w:ascii="Times New Roman" w:eastAsia="宋体" w:hAnsi="Times New Roman" w:cs="宋体" w:hint="eastAsia"/>
          <w:b/>
          <w:bCs/>
          <w:color w:val="auto"/>
          <w:sz w:val="24"/>
          <w:szCs w:val="24"/>
          <w:lang w:eastAsia="zh-CN"/>
        </w:rPr>
        <w:t>）项目与《海南自由贸易港鼓励类产业目录（</w:t>
      </w:r>
      <w:r>
        <w:rPr>
          <w:rFonts w:ascii="Times New Roman" w:eastAsia="宋体" w:hAnsi="Times New Roman" w:cs="宋体" w:hint="eastAsia"/>
          <w:b/>
          <w:bCs/>
          <w:color w:val="auto"/>
          <w:sz w:val="24"/>
          <w:szCs w:val="24"/>
          <w:lang w:eastAsia="zh-CN"/>
        </w:rPr>
        <w:t>2024</w:t>
      </w:r>
      <w:r>
        <w:rPr>
          <w:rFonts w:ascii="Times New Roman" w:eastAsia="宋体" w:hAnsi="Times New Roman" w:cs="宋体" w:hint="eastAsia"/>
          <w:b/>
          <w:bCs/>
          <w:color w:val="auto"/>
          <w:sz w:val="24"/>
          <w:szCs w:val="24"/>
          <w:lang w:eastAsia="zh-CN"/>
        </w:rPr>
        <w:t>年本）》的相符性分析</w:t>
      </w:r>
    </w:p>
    <w:p w14:paraId="7F988FB2"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铁炉港红树林湿地保护项目</w:t>
      </w:r>
      <w:r>
        <w:rPr>
          <w:rFonts w:ascii="Times New Roman" w:eastAsia="宋体" w:hAnsi="Times New Roman" w:cs="宋体" w:hint="eastAsia"/>
          <w:color w:val="auto"/>
          <w:sz w:val="24"/>
          <w:szCs w:val="24"/>
          <w:lang w:eastAsia="zh-CN"/>
        </w:rPr>
        <w:t>是海南南部典型热带区域山水林田湖草沙一体化保护和修复工程之三十二号子工程</w:t>
      </w:r>
      <w:r>
        <w:rPr>
          <w:rFonts w:ascii="Times New Roman" w:eastAsia="宋体" w:hAnsi="Times New Roman" w:cs="宋体" w:hint="eastAsia"/>
          <w:color w:val="auto"/>
          <w:sz w:val="24"/>
          <w:szCs w:val="24"/>
          <w:lang w:eastAsia="zh-CN"/>
        </w:rPr>
        <w:t>，建设内容包括外来物种拉关木伐除、红树林生态修复、底泥清淤、微地形改造、海草床修复、鸟类栖息地营造、生态监测等。本项目为清淤工程，属于《海南自由贸易港鼓励类产业目录（</w:t>
      </w:r>
      <w:r>
        <w:rPr>
          <w:rFonts w:ascii="Times New Roman" w:eastAsia="宋体" w:hAnsi="Times New Roman" w:cs="宋体" w:hint="eastAsia"/>
          <w:color w:val="auto"/>
          <w:sz w:val="24"/>
          <w:szCs w:val="24"/>
          <w:lang w:eastAsia="zh-CN"/>
        </w:rPr>
        <w:t>2024</w:t>
      </w:r>
      <w:r>
        <w:rPr>
          <w:rFonts w:ascii="Times New Roman" w:eastAsia="宋体" w:hAnsi="Times New Roman" w:cs="宋体" w:hint="eastAsia"/>
          <w:color w:val="auto"/>
          <w:sz w:val="24"/>
          <w:szCs w:val="24"/>
          <w:lang w:eastAsia="zh-CN"/>
        </w:rPr>
        <w:t>年本）》“鼓励类”中“（</w:t>
      </w:r>
      <w:r>
        <w:rPr>
          <w:rFonts w:ascii="Times New Roman" w:eastAsia="宋体" w:hAnsi="Times New Roman" w:cs="宋体" w:hint="eastAsia"/>
          <w:color w:val="auto"/>
          <w:sz w:val="24"/>
          <w:szCs w:val="24"/>
          <w:lang w:eastAsia="zh-CN"/>
        </w:rPr>
        <w:t>十一）水利、环境和公共设施管理业项中第</w:t>
      </w:r>
      <w:r>
        <w:rPr>
          <w:rFonts w:ascii="Times New Roman" w:eastAsia="宋体" w:hAnsi="Times New Roman" w:cs="宋体"/>
          <w:color w:val="auto"/>
          <w:sz w:val="24"/>
          <w:szCs w:val="24"/>
          <w:lang w:eastAsia="zh-CN"/>
        </w:rPr>
        <w:t>145</w:t>
      </w:r>
      <w:r>
        <w:rPr>
          <w:rFonts w:ascii="Times New Roman" w:eastAsia="宋体" w:hAnsi="Times New Roman" w:cs="宋体" w:hint="eastAsia"/>
          <w:color w:val="auto"/>
          <w:sz w:val="24"/>
          <w:szCs w:val="24"/>
          <w:lang w:eastAsia="zh-CN"/>
        </w:rPr>
        <w:t>项</w:t>
      </w:r>
      <w:r>
        <w:rPr>
          <w:rFonts w:ascii="Times New Roman" w:eastAsia="宋体" w:hAnsi="Times New Roman" w:cs="宋体"/>
          <w:color w:val="auto"/>
          <w:sz w:val="24"/>
          <w:szCs w:val="24"/>
          <w:lang w:eastAsia="zh-CN"/>
        </w:rPr>
        <w:t>海洋环境治理、生态修复及生态示范工程建设</w:t>
      </w:r>
      <w:r>
        <w:rPr>
          <w:rFonts w:ascii="Times New Roman" w:eastAsia="宋体" w:hAnsi="Times New Roman" w:cs="宋体" w:hint="eastAsia"/>
          <w:color w:val="auto"/>
          <w:sz w:val="24"/>
          <w:szCs w:val="24"/>
          <w:lang w:eastAsia="zh-CN"/>
        </w:rPr>
        <w:t>”项目建设符合海南省产业政策的要求。</w:t>
      </w:r>
    </w:p>
    <w:p w14:paraId="1ACD9EAC"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7</w:t>
      </w:r>
      <w:r>
        <w:rPr>
          <w:rFonts w:ascii="Times New Roman" w:eastAsia="宋体" w:hAnsi="Times New Roman" w:cs="宋体" w:hint="eastAsia"/>
          <w:b/>
          <w:bCs/>
          <w:color w:val="auto"/>
          <w:sz w:val="24"/>
          <w:szCs w:val="24"/>
          <w:lang w:eastAsia="zh-CN"/>
        </w:rPr>
        <w:t>）项目与《产业结构调整指导目录（</w:t>
      </w:r>
      <w:r>
        <w:rPr>
          <w:rFonts w:ascii="Times New Roman" w:eastAsia="宋体" w:hAnsi="Times New Roman" w:cs="宋体" w:hint="eastAsia"/>
          <w:b/>
          <w:bCs/>
          <w:color w:val="auto"/>
          <w:sz w:val="24"/>
          <w:szCs w:val="24"/>
          <w:lang w:eastAsia="zh-CN"/>
        </w:rPr>
        <w:t>2024</w:t>
      </w:r>
      <w:r>
        <w:rPr>
          <w:rFonts w:ascii="Times New Roman" w:eastAsia="宋体" w:hAnsi="Times New Roman" w:cs="宋体" w:hint="eastAsia"/>
          <w:b/>
          <w:bCs/>
          <w:color w:val="auto"/>
          <w:sz w:val="24"/>
          <w:szCs w:val="24"/>
          <w:lang w:eastAsia="zh-CN"/>
        </w:rPr>
        <w:t>年本）》的相符性分析</w:t>
      </w:r>
    </w:p>
    <w:p w14:paraId="5D4CDB77"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lastRenderedPageBreak/>
        <w:t>铁炉港红树林湿地保护项目</w:t>
      </w:r>
      <w:r>
        <w:rPr>
          <w:rFonts w:ascii="Times New Roman" w:eastAsia="宋体" w:hAnsi="Times New Roman" w:cs="宋体" w:hint="eastAsia"/>
          <w:color w:val="auto"/>
          <w:sz w:val="24"/>
          <w:szCs w:val="24"/>
          <w:lang w:eastAsia="zh-CN"/>
        </w:rPr>
        <w:t>是海南南部典型热带区域山水林田湖草沙一体化保护和修复工程之三十二号子工程</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建设内容包括外来物种拉关木伐除、红树林生态修复、底泥</w:t>
      </w:r>
      <w:r>
        <w:rPr>
          <w:rFonts w:ascii="Times New Roman" w:eastAsia="宋体" w:hAnsi="Times New Roman" w:cs="宋体" w:hint="eastAsia"/>
          <w:color w:val="auto"/>
          <w:sz w:val="24"/>
          <w:szCs w:val="24"/>
          <w:lang w:eastAsia="zh-CN"/>
        </w:rPr>
        <w:t>清淤</w:t>
      </w:r>
      <w:r>
        <w:rPr>
          <w:rFonts w:ascii="Times New Roman" w:eastAsia="宋体" w:hAnsi="Times New Roman" w:cs="宋体"/>
          <w:color w:val="auto"/>
          <w:sz w:val="24"/>
          <w:szCs w:val="24"/>
          <w:lang w:eastAsia="zh-CN"/>
        </w:rPr>
        <w:t>、微地形改造、鸟类栖息地营造、生态监测等</w:t>
      </w:r>
      <w:r>
        <w:rPr>
          <w:rFonts w:ascii="Times New Roman" w:eastAsia="宋体" w:hAnsi="Times New Roman" w:cs="宋体" w:hint="eastAsia"/>
          <w:color w:val="auto"/>
          <w:sz w:val="24"/>
          <w:szCs w:val="24"/>
          <w:lang w:eastAsia="zh-CN"/>
        </w:rPr>
        <w:t>。本项目为清淤工程，</w:t>
      </w:r>
      <w:r>
        <w:rPr>
          <w:rFonts w:ascii="Times New Roman" w:eastAsia="宋体" w:hAnsi="Times New Roman" w:cs="宋体"/>
          <w:color w:val="auto"/>
          <w:sz w:val="24"/>
          <w:szCs w:val="24"/>
          <w:lang w:eastAsia="zh-CN"/>
        </w:rPr>
        <w:t>属于《产业结构调整指导目录（</w:t>
      </w:r>
      <w:r>
        <w:rPr>
          <w:rFonts w:ascii="Times New Roman" w:eastAsia="宋体" w:hAnsi="Times New Roman" w:cs="宋体"/>
          <w:color w:val="auto"/>
          <w:sz w:val="24"/>
          <w:szCs w:val="24"/>
          <w:lang w:eastAsia="zh-CN"/>
        </w:rPr>
        <w:t>2024</w:t>
      </w:r>
      <w:r>
        <w:rPr>
          <w:rFonts w:ascii="Times New Roman" w:eastAsia="宋体" w:hAnsi="Times New Roman" w:cs="宋体"/>
          <w:color w:val="auto"/>
          <w:sz w:val="24"/>
          <w:szCs w:val="24"/>
          <w:lang w:eastAsia="zh-CN"/>
        </w:rPr>
        <w:t>年本）》</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鼓励类</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中</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一、农林牧渔业项中第</w:t>
      </w:r>
      <w:r>
        <w:rPr>
          <w:rFonts w:ascii="Times New Roman" w:eastAsia="宋体" w:hAnsi="Times New Roman" w:cs="宋体"/>
          <w:color w:val="auto"/>
          <w:sz w:val="24"/>
          <w:szCs w:val="24"/>
          <w:lang w:eastAsia="zh-CN"/>
        </w:rPr>
        <w:t>23</w:t>
      </w:r>
      <w:r>
        <w:rPr>
          <w:rFonts w:ascii="Times New Roman" w:eastAsia="宋体" w:hAnsi="Times New Roman" w:cs="宋体"/>
          <w:color w:val="auto"/>
          <w:sz w:val="24"/>
          <w:szCs w:val="24"/>
          <w:lang w:eastAsia="zh-CN"/>
        </w:rPr>
        <w:t>项重要生态系统保护和修复中的山水林田湖草沙系统治理</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，项目建设符合国家产业政策的要求。</w:t>
      </w:r>
    </w:p>
    <w:p w14:paraId="688C39CC"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综上所述，本项目主要从满足国家战略和区域发展需要，保障国家和地区生态安全、改善区域生态环境质量，提高防灾减灾能力等角度进行考虑，本项目建设十分必要的。</w:t>
      </w:r>
    </w:p>
    <w:p w14:paraId="66923195"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86" w:name="_Toc25739"/>
      <w:r>
        <w:rPr>
          <w:rFonts w:ascii="Times New Roman" w:eastAsia="Times New Roman" w:hAnsi="Times New Roman" w:cs="Times New Roman" w:hint="eastAsia"/>
          <w:b/>
          <w:bCs/>
          <w:color w:val="auto"/>
          <w:spacing w:val="-3"/>
          <w:sz w:val="28"/>
          <w:szCs w:val="28"/>
          <w:lang w:eastAsia="zh-CN"/>
        </w:rPr>
        <w:t>2.5.2项目用海的必要性</w:t>
      </w:r>
      <w:bookmarkEnd w:id="86"/>
    </w:p>
    <w:p w14:paraId="1184FF3E"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铁炉港红树林湿地保护修复项目是海南南部典型热带区域山水林田湖草沙一体化保护和修复工程之三十二子项目</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属海岸带生态保护修复单元中的重要物种栖息地和生物安全防治工程，该单元总体目标为入海水体提供最后一道稳定净化屏障，为海岸旅游经济提供优质生态环境，实现陆海统筹、综合修复。</w:t>
      </w:r>
    </w:p>
    <w:p w14:paraId="3640A665"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铁炉港</w:t>
      </w:r>
      <w:r>
        <w:rPr>
          <w:rFonts w:ascii="Times New Roman" w:eastAsia="宋体" w:hAnsi="Times New Roman" w:cs="宋体" w:hint="eastAsia"/>
          <w:color w:val="auto"/>
          <w:sz w:val="24"/>
          <w:szCs w:val="24"/>
          <w:lang w:eastAsia="zh-CN"/>
        </w:rPr>
        <w:t>潟湖沿岸生态防护能力不足，上游来水携带泥沙、污染物直接进入潟湖，污染潟湖水质。河口附近缺少调蓄空间，淡水直接快速进入潟湖，不能充分发挥其调控红树林种植区盐度的作用。可</w:t>
      </w:r>
      <w:r>
        <w:rPr>
          <w:rFonts w:ascii="Times New Roman" w:eastAsia="宋体" w:hAnsi="Times New Roman" w:cs="宋体" w:hint="eastAsia"/>
          <w:color w:val="auto"/>
          <w:sz w:val="24"/>
          <w:szCs w:val="24"/>
          <w:lang w:val="zh-CN" w:eastAsia="zh-CN"/>
        </w:rPr>
        <w:t>通过现状废弃鱼塘、塘梗梳理和局部地形调整，结合生态填料铺设和植物种植构建生态调蓄净化湿地，将淡水引导进入红树林湿地空间，可以为底质贫乏的红树林生长区提供营养元素，通过填料</w:t>
      </w:r>
      <w:r>
        <w:rPr>
          <w:rFonts w:ascii="Times New Roman" w:eastAsia="宋体" w:hAnsi="Times New Roman" w:cs="宋体" w:hint="eastAsia"/>
          <w:color w:val="auto"/>
          <w:sz w:val="24"/>
          <w:szCs w:val="24"/>
          <w:lang w:val="zh-CN" w:eastAsia="zh-CN"/>
        </w:rPr>
        <w:t>的作用和红树林、水生植物吸收也可以净化上游河道来水，减少进入潟湖的染物含量。同时湿地的建设可以为一部分来自上游的淡水提供调蓄空间，避免全部淡水快速直排，提升上游淡水调控滨海盐度的能力。另一方面通过湿地的建设提升河口区纳潮排涝能力，进一步提升防灾减灾能力。</w:t>
      </w:r>
      <w:r>
        <w:rPr>
          <w:rFonts w:ascii="Times New Roman" w:eastAsia="宋体" w:hAnsi="Times New Roman" w:cs="宋体" w:hint="eastAsia"/>
          <w:color w:val="auto"/>
          <w:spacing w:val="-2"/>
          <w:sz w:val="24"/>
          <w:szCs w:val="24"/>
          <w:lang w:eastAsia="zh-CN"/>
        </w:rPr>
        <w:t>铁炉港潟湖内水动力不足，淤积严重，降低了水体交换能力，影响红树林的生长环境，因此需要对淤积区进行清淤。</w:t>
      </w:r>
    </w:p>
    <w:p w14:paraId="693C455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w:t>
      </w:r>
      <w:r>
        <w:rPr>
          <w:rFonts w:ascii="Times New Roman" w:eastAsia="宋体" w:hAnsi="Times New Roman" w:cs="宋体"/>
          <w:color w:val="auto"/>
          <w:spacing w:val="-2"/>
          <w:sz w:val="24"/>
          <w:szCs w:val="24"/>
          <w:lang w:eastAsia="zh-CN"/>
        </w:rPr>
        <w:t>《铁炉港红树林湿地保护修复项目初步设计（第一册：设计说明）》</w:t>
      </w:r>
      <w:r>
        <w:rPr>
          <w:rFonts w:ascii="Times New Roman" w:eastAsia="宋体" w:hAnsi="Times New Roman" w:cs="宋体" w:hint="eastAsia"/>
          <w:color w:val="auto"/>
          <w:spacing w:val="-2"/>
          <w:sz w:val="24"/>
          <w:szCs w:val="24"/>
          <w:lang w:eastAsia="zh-CN"/>
        </w:rPr>
        <w:t>，本项目建设内容包括生态安全屏障构建工程、红树林资源保护与蓝碳增汇工程、滨海生物多样性提升</w:t>
      </w:r>
      <w:r>
        <w:rPr>
          <w:rFonts w:ascii="Times New Roman" w:eastAsia="宋体" w:hAnsi="Times New Roman" w:cs="宋体" w:hint="eastAsia"/>
          <w:color w:val="auto"/>
          <w:spacing w:val="-2"/>
          <w:sz w:val="24"/>
          <w:szCs w:val="24"/>
          <w:lang w:eastAsia="zh-CN"/>
        </w:rPr>
        <w:t>工程、智慧监测与生态评估工程四大体系，同时依据《自然资源部办公厅关于加强国土空间生态修复项目规范实施和监督管理的通知》（自然资办发</w:t>
      </w:r>
      <w:r>
        <w:rPr>
          <w:rFonts w:ascii="Times New Roman" w:eastAsia="宋体" w:hAnsi="Times New Roman" w:cs="宋体" w:hint="eastAsia"/>
          <w:color w:val="auto"/>
          <w:spacing w:val="-2"/>
          <w:sz w:val="24"/>
          <w:szCs w:val="24"/>
          <w:lang w:eastAsia="zh-CN"/>
        </w:rPr>
        <w:t>[2023]10</w:t>
      </w:r>
      <w:r>
        <w:rPr>
          <w:rFonts w:ascii="Times New Roman" w:eastAsia="宋体" w:hAnsi="Times New Roman" w:cs="宋体" w:hint="eastAsia"/>
          <w:color w:val="auto"/>
          <w:spacing w:val="-2"/>
          <w:sz w:val="24"/>
          <w:szCs w:val="24"/>
          <w:lang w:eastAsia="zh-CN"/>
        </w:rPr>
        <w:t>号）“海洋生态保护修复项目中的海堤（含镇压层）、突堤、离岸堤（含潜堤）、栈桥、围堰（含临时围堰）</w:t>
      </w:r>
      <w:r>
        <w:rPr>
          <w:rFonts w:ascii="Times New Roman" w:eastAsia="宋体" w:hAnsi="Times New Roman" w:cs="宋体" w:hint="eastAsia"/>
          <w:color w:val="auto"/>
          <w:spacing w:val="-2"/>
          <w:sz w:val="24"/>
          <w:szCs w:val="24"/>
          <w:lang w:eastAsia="zh-CN"/>
        </w:rPr>
        <w:t>等</w:t>
      </w:r>
      <w:r>
        <w:rPr>
          <w:rFonts w:ascii="Times New Roman" w:eastAsia="宋体" w:hAnsi="Times New Roman" w:cs="宋体" w:hint="eastAsia"/>
          <w:b/>
          <w:bCs/>
          <w:color w:val="auto"/>
          <w:spacing w:val="-2"/>
          <w:sz w:val="24"/>
          <w:szCs w:val="24"/>
          <w:lang w:eastAsia="zh-CN"/>
        </w:rPr>
        <w:t>构筑物建设</w:t>
      </w:r>
      <w:r>
        <w:rPr>
          <w:rFonts w:ascii="Times New Roman" w:eastAsia="宋体" w:hAnsi="Times New Roman" w:cs="宋体" w:hint="eastAsia"/>
          <w:color w:val="auto"/>
          <w:spacing w:val="-2"/>
          <w:sz w:val="24"/>
          <w:szCs w:val="24"/>
          <w:lang w:eastAsia="zh-CN"/>
        </w:rPr>
        <w:t>，人工鱼礁、牡蛎附着礁等礁体投放、</w:t>
      </w:r>
      <w:r>
        <w:rPr>
          <w:rFonts w:ascii="Times New Roman" w:eastAsia="宋体" w:hAnsi="Times New Roman" w:cs="宋体" w:hint="eastAsia"/>
          <w:b/>
          <w:bCs/>
          <w:color w:val="auto"/>
          <w:spacing w:val="-2"/>
          <w:sz w:val="24"/>
          <w:szCs w:val="24"/>
          <w:lang w:eastAsia="zh-CN"/>
        </w:rPr>
        <w:t>清淤疏浚</w:t>
      </w:r>
      <w:r>
        <w:rPr>
          <w:rFonts w:ascii="Times New Roman" w:eastAsia="宋体" w:hAnsi="Times New Roman" w:cs="宋体" w:hint="eastAsia"/>
          <w:color w:val="auto"/>
          <w:spacing w:val="-2"/>
          <w:sz w:val="24"/>
          <w:szCs w:val="24"/>
          <w:lang w:eastAsia="zh-CN"/>
        </w:rPr>
        <w:t>及其他涉及持续使用特定海域的排他性工程措施用海，在实施前应当依法依规办理海域使用审批手续或临时海域使用手续，叠加</w:t>
      </w:r>
      <w:r>
        <w:rPr>
          <w:rFonts w:ascii="Times New Roman" w:eastAsia="宋体" w:hAnsi="Times New Roman" w:cs="宋体" w:hint="eastAsia"/>
          <w:color w:val="auto"/>
          <w:spacing w:val="-2"/>
          <w:sz w:val="24"/>
          <w:szCs w:val="24"/>
          <w:lang w:eastAsia="zh-CN"/>
        </w:rPr>
        <w:t>2019</w:t>
      </w:r>
      <w:r>
        <w:rPr>
          <w:rFonts w:ascii="Times New Roman" w:eastAsia="宋体" w:hAnsi="Times New Roman" w:cs="宋体" w:hint="eastAsia"/>
          <w:color w:val="auto"/>
          <w:spacing w:val="-2"/>
          <w:sz w:val="24"/>
          <w:szCs w:val="24"/>
          <w:lang w:eastAsia="zh-CN"/>
        </w:rPr>
        <w:t>海南省修测海岸线，本项目清淤工程全部位于海域，</w:t>
      </w:r>
      <w:r>
        <w:rPr>
          <w:rFonts w:ascii="Times New Roman" w:eastAsia="宋体" w:hAnsi="Times New Roman" w:cs="宋体" w:hint="eastAsia"/>
          <w:color w:val="auto"/>
          <w:spacing w:val="-2"/>
          <w:sz w:val="24"/>
          <w:szCs w:val="24"/>
          <w:lang w:eastAsia="zh-CN"/>
        </w:rPr>
        <w:lastRenderedPageBreak/>
        <w:t>用海面积</w:t>
      </w:r>
      <w:r>
        <w:rPr>
          <w:rFonts w:ascii="Times New Roman" w:eastAsia="宋体" w:hAnsi="Times New Roman" w:cs="宋体" w:hint="eastAsia"/>
          <w:color w:val="auto"/>
          <w:spacing w:val="-2"/>
          <w:sz w:val="24"/>
          <w:szCs w:val="24"/>
          <w:lang w:eastAsia="zh-CN"/>
        </w:rPr>
        <w:t>14.8672</w:t>
      </w:r>
      <w:r>
        <w:rPr>
          <w:rFonts w:ascii="Times New Roman" w:eastAsia="宋体" w:hAnsi="Times New Roman" w:cs="宋体" w:hint="eastAsia"/>
          <w:color w:val="auto"/>
          <w:spacing w:val="-2"/>
          <w:sz w:val="24"/>
          <w:szCs w:val="24"/>
          <w:lang w:eastAsia="zh-CN"/>
        </w:rPr>
        <w:t>公顷，不占用海岸线；新增巡护设施、管理设施用海面积</w:t>
      </w:r>
      <w:r>
        <w:rPr>
          <w:rFonts w:ascii="Times New Roman" w:eastAsia="宋体" w:hAnsi="Times New Roman" w:cs="宋体" w:hint="eastAsia"/>
          <w:color w:val="auto"/>
          <w:spacing w:val="-2"/>
          <w:sz w:val="24"/>
          <w:szCs w:val="24"/>
          <w:lang w:eastAsia="zh-CN"/>
        </w:rPr>
        <w:t>0.3793</w:t>
      </w:r>
      <w:r>
        <w:rPr>
          <w:rFonts w:ascii="Times New Roman" w:eastAsia="宋体" w:hAnsi="Times New Roman" w:cs="宋体" w:hint="eastAsia"/>
          <w:color w:val="auto"/>
          <w:spacing w:val="-2"/>
          <w:sz w:val="24"/>
          <w:szCs w:val="24"/>
          <w:lang w:eastAsia="zh-CN"/>
        </w:rPr>
        <w:t>公顷，占用岸线</w:t>
      </w:r>
      <w:r>
        <w:rPr>
          <w:rFonts w:ascii="Times New Roman" w:eastAsia="宋体" w:hAnsi="Times New Roman" w:cs="宋体" w:hint="eastAsia"/>
          <w:color w:val="auto"/>
          <w:spacing w:val="-2"/>
          <w:sz w:val="24"/>
          <w:szCs w:val="24"/>
          <w:lang w:eastAsia="zh-CN"/>
        </w:rPr>
        <w:t>0m</w:t>
      </w:r>
      <w:r>
        <w:rPr>
          <w:rFonts w:ascii="Times New Roman" w:eastAsia="宋体" w:hAnsi="Times New Roman" w:cs="宋体" w:hint="eastAsia"/>
          <w:color w:val="auto"/>
          <w:spacing w:val="-2"/>
          <w:sz w:val="24"/>
          <w:szCs w:val="24"/>
          <w:lang w:eastAsia="zh-CN"/>
        </w:rPr>
        <w:t>。</w:t>
      </w:r>
    </w:p>
    <w:p w14:paraId="483DBE00"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综述所诉述，本项目建设是必要的，用海也是必要的。</w:t>
      </w:r>
    </w:p>
    <w:p w14:paraId="03AEEF34" w14:textId="77777777" w:rsidR="0075791A" w:rsidRDefault="0075791A">
      <w:pPr>
        <w:rPr>
          <w:rFonts w:ascii="Times New Roman" w:hAnsi="Times New Roman"/>
          <w:color w:val="auto"/>
          <w:lang w:eastAsia="zh-CN"/>
        </w:rPr>
        <w:sectPr w:rsidR="0075791A">
          <w:footerReference w:type="default" r:id="rId35"/>
          <w:pgSz w:w="11906" w:h="16839"/>
          <w:pgMar w:top="1018" w:right="1337" w:bottom="1134" w:left="1417" w:header="746" w:footer="972" w:gutter="0"/>
          <w:cols w:space="720"/>
        </w:sectPr>
      </w:pPr>
    </w:p>
    <w:p w14:paraId="691B5243" w14:textId="77777777" w:rsidR="0075791A" w:rsidRDefault="00FB2864">
      <w:pPr>
        <w:spacing w:line="360" w:lineRule="auto"/>
        <w:outlineLvl w:val="0"/>
        <w:rPr>
          <w:rFonts w:ascii="Times New Roman" w:eastAsia="宋体" w:hAnsi="Times New Roman" w:cs="Times New Roman"/>
          <w:b/>
          <w:bCs/>
          <w:color w:val="auto"/>
          <w:spacing w:val="-5"/>
          <w:sz w:val="32"/>
          <w:szCs w:val="32"/>
          <w:lang w:eastAsia="zh-CN"/>
        </w:rPr>
      </w:pPr>
      <w:bookmarkStart w:id="87" w:name="bookmark23"/>
      <w:bookmarkStart w:id="88" w:name="bookmark24"/>
      <w:bookmarkStart w:id="89" w:name="_Toc1731"/>
      <w:bookmarkStart w:id="90" w:name="_Toc24838"/>
      <w:bookmarkStart w:id="91" w:name="_Toc6413"/>
      <w:bookmarkEnd w:id="87"/>
      <w:bookmarkEnd w:id="88"/>
      <w:r>
        <w:rPr>
          <w:rFonts w:ascii="Times New Roman" w:eastAsia="宋体" w:hAnsi="Times New Roman" w:cs="Times New Roman" w:hint="eastAsia"/>
          <w:b/>
          <w:bCs/>
          <w:color w:val="auto"/>
          <w:spacing w:val="-5"/>
          <w:sz w:val="32"/>
          <w:szCs w:val="32"/>
          <w:lang w:eastAsia="zh-CN"/>
        </w:rPr>
        <w:lastRenderedPageBreak/>
        <w:t>3</w:t>
      </w:r>
      <w:r>
        <w:rPr>
          <w:rFonts w:ascii="Times New Roman" w:eastAsia="宋体" w:hAnsi="Times New Roman" w:cs="Times New Roman" w:hint="eastAsia"/>
          <w:b/>
          <w:bCs/>
          <w:color w:val="auto"/>
          <w:spacing w:val="-5"/>
          <w:sz w:val="32"/>
          <w:szCs w:val="32"/>
          <w:lang w:eastAsia="zh-CN"/>
        </w:rPr>
        <w:t>项目所在海域概况</w:t>
      </w:r>
      <w:bookmarkEnd w:id="89"/>
      <w:bookmarkEnd w:id="90"/>
      <w:bookmarkEnd w:id="91"/>
    </w:p>
    <w:p w14:paraId="582FD344"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92" w:name="bookmark26"/>
      <w:bookmarkStart w:id="93" w:name="bookmark25"/>
      <w:bookmarkStart w:id="94" w:name="_Toc32065"/>
      <w:bookmarkStart w:id="95" w:name="_Toc19102"/>
      <w:bookmarkStart w:id="96" w:name="_Toc25192"/>
      <w:bookmarkEnd w:id="92"/>
      <w:bookmarkEnd w:id="93"/>
      <w:r>
        <w:rPr>
          <w:rFonts w:ascii="Times New Roman" w:eastAsia="宋体" w:hAnsi="Times New Roman" w:cs="Times New Roman" w:hint="eastAsia"/>
          <w:b/>
          <w:bCs/>
          <w:color w:val="auto"/>
          <w:spacing w:val="-6"/>
          <w:sz w:val="30"/>
          <w:szCs w:val="30"/>
          <w:lang w:eastAsia="zh-CN"/>
        </w:rPr>
        <w:t>3</w:t>
      </w:r>
      <w:r>
        <w:rPr>
          <w:rFonts w:ascii="Times New Roman" w:eastAsia="Times New Roman" w:hAnsi="Times New Roman" w:cs="Times New Roman"/>
          <w:b/>
          <w:bCs/>
          <w:color w:val="auto"/>
          <w:spacing w:val="-6"/>
          <w:sz w:val="30"/>
          <w:szCs w:val="30"/>
          <w:lang w:eastAsia="zh-CN"/>
        </w:rPr>
        <w:t>.1海洋资源概况</w:t>
      </w:r>
      <w:bookmarkEnd w:id="94"/>
      <w:bookmarkEnd w:id="95"/>
      <w:bookmarkEnd w:id="96"/>
    </w:p>
    <w:p w14:paraId="3DC8CC5E"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97" w:name="_Toc28106"/>
      <w:r>
        <w:rPr>
          <w:rFonts w:ascii="Times New Roman" w:eastAsia="Times New Roman" w:hAnsi="Times New Roman" w:cs="Times New Roman" w:hint="eastAsia"/>
          <w:b/>
          <w:bCs/>
          <w:color w:val="auto"/>
          <w:spacing w:val="-3"/>
          <w:sz w:val="28"/>
          <w:szCs w:val="28"/>
          <w:lang w:eastAsia="zh-CN"/>
        </w:rPr>
        <w:t>3.1.1海岸线资源</w:t>
      </w:r>
      <w:bookmarkEnd w:id="97"/>
    </w:p>
    <w:p w14:paraId="5B5504DE"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本项目论证范围内岸线长度约</w:t>
      </w:r>
      <w:r>
        <w:rPr>
          <w:rFonts w:ascii="Times New Roman" w:eastAsia="宋体" w:hAnsi="Times New Roman" w:cs="宋体" w:hint="eastAsia"/>
          <w:color w:val="auto"/>
          <w:spacing w:val="-2"/>
          <w:sz w:val="24"/>
          <w:szCs w:val="24"/>
          <w:lang w:eastAsia="zh-CN"/>
        </w:rPr>
        <w:t>129.7km</w:t>
      </w:r>
      <w:r>
        <w:rPr>
          <w:rFonts w:ascii="Times New Roman" w:eastAsia="宋体" w:hAnsi="Times New Roman" w:cs="宋体" w:hint="eastAsia"/>
          <w:color w:val="auto"/>
          <w:spacing w:val="-2"/>
          <w:sz w:val="24"/>
          <w:szCs w:val="24"/>
          <w:lang w:eastAsia="zh-CN"/>
        </w:rPr>
        <w:t>（陵水县第三岭至三亚市锦母角段），岸线资源包括人工岸线、自然岸线和其他岸线。人工岸线主要有围海、构筑物和填海造地岸线；自然岸线包括砂质岸线、基岩岸线、生物岸线和泥质岸线；其他岸线为河口岸线。人工岸线长度</w:t>
      </w:r>
      <w:r>
        <w:rPr>
          <w:rFonts w:ascii="Times New Roman" w:eastAsia="宋体" w:hAnsi="Times New Roman" w:cs="宋体" w:hint="eastAsia"/>
          <w:color w:val="auto"/>
          <w:spacing w:val="-2"/>
          <w:sz w:val="24"/>
          <w:szCs w:val="24"/>
          <w:lang w:eastAsia="zh-CN"/>
        </w:rPr>
        <w:t>37.7km</w:t>
      </w:r>
      <w:r>
        <w:rPr>
          <w:rFonts w:ascii="Times New Roman" w:eastAsia="宋体" w:hAnsi="Times New Roman" w:cs="宋体" w:hint="eastAsia"/>
          <w:color w:val="auto"/>
          <w:spacing w:val="-2"/>
          <w:sz w:val="24"/>
          <w:szCs w:val="24"/>
          <w:lang w:eastAsia="zh-CN"/>
        </w:rPr>
        <w:t>，其中，围海岸线长度约</w:t>
      </w:r>
      <w:r>
        <w:rPr>
          <w:rFonts w:ascii="Times New Roman" w:eastAsia="宋体" w:hAnsi="Times New Roman" w:cs="宋体" w:hint="eastAsia"/>
          <w:color w:val="auto"/>
          <w:spacing w:val="-2"/>
          <w:sz w:val="24"/>
          <w:szCs w:val="24"/>
          <w:lang w:eastAsia="zh-CN"/>
        </w:rPr>
        <w:t>18.2km</w:t>
      </w:r>
      <w:r>
        <w:rPr>
          <w:rFonts w:ascii="Times New Roman" w:eastAsia="宋体" w:hAnsi="Times New Roman" w:cs="宋体" w:hint="eastAsia"/>
          <w:color w:val="auto"/>
          <w:spacing w:val="-2"/>
          <w:sz w:val="24"/>
          <w:szCs w:val="24"/>
          <w:lang w:eastAsia="zh-CN"/>
        </w:rPr>
        <w:t>、构筑物岸线长度约</w:t>
      </w:r>
      <w:r>
        <w:rPr>
          <w:rFonts w:ascii="Times New Roman" w:eastAsia="宋体" w:hAnsi="Times New Roman" w:cs="宋体" w:hint="eastAsia"/>
          <w:color w:val="auto"/>
          <w:spacing w:val="-2"/>
          <w:sz w:val="24"/>
          <w:szCs w:val="24"/>
          <w:lang w:eastAsia="zh-CN"/>
        </w:rPr>
        <w:t>14.8km</w:t>
      </w:r>
      <w:r>
        <w:rPr>
          <w:rFonts w:ascii="Times New Roman" w:eastAsia="宋体" w:hAnsi="Times New Roman" w:cs="宋体" w:hint="eastAsia"/>
          <w:color w:val="auto"/>
          <w:spacing w:val="-2"/>
          <w:sz w:val="24"/>
          <w:szCs w:val="24"/>
          <w:lang w:eastAsia="zh-CN"/>
        </w:rPr>
        <w:t>，填海造地岸线长度约</w:t>
      </w:r>
      <w:r>
        <w:rPr>
          <w:rFonts w:ascii="Times New Roman" w:eastAsia="宋体" w:hAnsi="Times New Roman" w:cs="宋体" w:hint="eastAsia"/>
          <w:color w:val="auto"/>
          <w:spacing w:val="-2"/>
          <w:sz w:val="24"/>
          <w:szCs w:val="24"/>
          <w:lang w:eastAsia="zh-CN"/>
        </w:rPr>
        <w:t>4.7km</w:t>
      </w:r>
      <w:r>
        <w:rPr>
          <w:rFonts w:ascii="Times New Roman" w:eastAsia="宋体" w:hAnsi="Times New Roman" w:cs="宋体" w:hint="eastAsia"/>
          <w:color w:val="auto"/>
          <w:spacing w:val="-2"/>
          <w:sz w:val="24"/>
          <w:szCs w:val="24"/>
          <w:lang w:eastAsia="zh-CN"/>
        </w:rPr>
        <w:t>，人工岸线主要分布在铁炉港岸段。自然岸线长度为</w:t>
      </w:r>
      <w:r>
        <w:rPr>
          <w:rFonts w:ascii="Times New Roman" w:eastAsia="宋体" w:hAnsi="Times New Roman" w:cs="宋体" w:hint="eastAsia"/>
          <w:color w:val="auto"/>
          <w:spacing w:val="-2"/>
          <w:sz w:val="24"/>
          <w:szCs w:val="24"/>
          <w:lang w:eastAsia="zh-CN"/>
        </w:rPr>
        <w:t>91.4km</w:t>
      </w:r>
      <w:r>
        <w:rPr>
          <w:rFonts w:ascii="Times New Roman" w:eastAsia="宋体" w:hAnsi="Times New Roman" w:cs="宋体" w:hint="eastAsia"/>
          <w:color w:val="auto"/>
          <w:spacing w:val="-2"/>
          <w:sz w:val="24"/>
          <w:szCs w:val="24"/>
          <w:lang w:eastAsia="zh-CN"/>
        </w:rPr>
        <w:t>，其中，砂质岸线长度约</w:t>
      </w:r>
      <w:r>
        <w:rPr>
          <w:rFonts w:ascii="Times New Roman" w:eastAsia="宋体" w:hAnsi="Times New Roman" w:cs="宋体" w:hint="eastAsia"/>
          <w:color w:val="auto"/>
          <w:spacing w:val="-2"/>
          <w:sz w:val="24"/>
          <w:szCs w:val="24"/>
          <w:lang w:eastAsia="zh-CN"/>
        </w:rPr>
        <w:t>41.7km</w:t>
      </w:r>
      <w:r>
        <w:rPr>
          <w:rFonts w:ascii="Times New Roman" w:eastAsia="宋体" w:hAnsi="Times New Roman" w:cs="宋体" w:hint="eastAsia"/>
          <w:color w:val="auto"/>
          <w:spacing w:val="-2"/>
          <w:sz w:val="24"/>
          <w:szCs w:val="24"/>
          <w:lang w:eastAsia="zh-CN"/>
        </w:rPr>
        <w:t>、基岩岸线长度约</w:t>
      </w:r>
      <w:r>
        <w:rPr>
          <w:rFonts w:ascii="Times New Roman" w:eastAsia="宋体" w:hAnsi="Times New Roman" w:cs="宋体" w:hint="eastAsia"/>
          <w:color w:val="auto"/>
          <w:spacing w:val="-2"/>
          <w:sz w:val="24"/>
          <w:szCs w:val="24"/>
          <w:lang w:eastAsia="zh-CN"/>
        </w:rPr>
        <w:t>37.6km</w:t>
      </w:r>
      <w:r>
        <w:rPr>
          <w:rFonts w:ascii="Times New Roman" w:eastAsia="宋体" w:hAnsi="Times New Roman" w:cs="宋体" w:hint="eastAsia"/>
          <w:color w:val="auto"/>
          <w:spacing w:val="-2"/>
          <w:sz w:val="24"/>
          <w:szCs w:val="24"/>
          <w:lang w:eastAsia="zh-CN"/>
        </w:rPr>
        <w:t>、生物岸线长度约</w:t>
      </w:r>
      <w:r>
        <w:rPr>
          <w:rFonts w:ascii="Times New Roman" w:eastAsia="宋体" w:hAnsi="Times New Roman" w:cs="宋体" w:hint="eastAsia"/>
          <w:color w:val="auto"/>
          <w:spacing w:val="-2"/>
          <w:sz w:val="24"/>
          <w:szCs w:val="24"/>
          <w:lang w:eastAsia="zh-CN"/>
        </w:rPr>
        <w:t>7.4km</w:t>
      </w:r>
      <w:r>
        <w:rPr>
          <w:rFonts w:ascii="Times New Roman" w:eastAsia="宋体" w:hAnsi="Times New Roman" w:cs="宋体" w:hint="eastAsia"/>
          <w:color w:val="auto"/>
          <w:spacing w:val="-2"/>
          <w:sz w:val="24"/>
          <w:szCs w:val="24"/>
          <w:lang w:eastAsia="zh-CN"/>
        </w:rPr>
        <w:t>，泥质岸线长度约</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.7km</w:t>
      </w:r>
      <w:r>
        <w:rPr>
          <w:rFonts w:ascii="Times New Roman" w:eastAsia="宋体" w:hAnsi="Times New Roman" w:cs="宋体" w:hint="eastAsia"/>
          <w:color w:val="auto"/>
          <w:spacing w:val="-2"/>
          <w:sz w:val="24"/>
          <w:szCs w:val="24"/>
          <w:lang w:eastAsia="zh-CN"/>
        </w:rPr>
        <w:t>，自然岸段主要分布在海棠湾至亚龙湾东口（不含铁炉港）、亚龙湾至锦母角岸段。其他岸线（河口岸线）长度为</w:t>
      </w:r>
      <w:r>
        <w:rPr>
          <w:rFonts w:ascii="Times New Roman" w:eastAsia="宋体" w:hAnsi="Times New Roman" w:cs="宋体" w:hint="eastAsia"/>
          <w:color w:val="auto"/>
          <w:spacing w:val="-2"/>
          <w:sz w:val="24"/>
          <w:szCs w:val="24"/>
          <w:lang w:eastAsia="zh-CN"/>
        </w:rPr>
        <w:t>0.6km</w:t>
      </w:r>
      <w:r>
        <w:rPr>
          <w:rFonts w:ascii="Times New Roman" w:eastAsia="宋体" w:hAnsi="Times New Roman" w:cs="宋体" w:hint="eastAsia"/>
          <w:color w:val="auto"/>
          <w:spacing w:val="-2"/>
          <w:sz w:val="24"/>
          <w:szCs w:val="24"/>
          <w:lang w:eastAsia="zh-CN"/>
        </w:rPr>
        <w:t>，位于英州河口、藤桥河口、铁炉港内。从海岸线利用类型看，论证范围内海岸线利用类型以渔业岸线、特殊岸线、未利用岸线及其他岸线为主。论证范围内岸线类型分布见图</w:t>
      </w:r>
      <w:r>
        <w:rPr>
          <w:rFonts w:ascii="Times New Roman" w:eastAsia="宋体" w:hAnsi="Times New Roman" w:cs="宋体" w:hint="eastAsia"/>
          <w:color w:val="auto"/>
          <w:spacing w:val="-2"/>
          <w:sz w:val="24"/>
          <w:szCs w:val="24"/>
          <w:lang w:eastAsia="zh-CN"/>
        </w:rPr>
        <w:t>3.1.1-1~</w:t>
      </w:r>
      <w:r>
        <w:rPr>
          <w:rFonts w:ascii="Times New Roman" w:eastAsia="宋体" w:hAnsi="Times New Roman" w:cs="宋体" w:hint="eastAsia"/>
          <w:color w:val="auto"/>
          <w:spacing w:val="-2"/>
          <w:sz w:val="24"/>
          <w:szCs w:val="24"/>
          <w:lang w:eastAsia="zh-CN"/>
        </w:rPr>
        <w:t>图</w:t>
      </w:r>
      <w:r>
        <w:rPr>
          <w:rFonts w:ascii="Times New Roman" w:eastAsia="宋体" w:hAnsi="Times New Roman" w:cs="宋体" w:hint="eastAsia"/>
          <w:color w:val="auto"/>
          <w:spacing w:val="-2"/>
          <w:sz w:val="24"/>
          <w:szCs w:val="24"/>
          <w:lang w:eastAsia="zh-CN"/>
        </w:rPr>
        <w:t>3.1.1-2</w:t>
      </w:r>
      <w:r>
        <w:rPr>
          <w:rFonts w:ascii="Times New Roman" w:eastAsia="宋体" w:hAnsi="Times New Roman" w:cs="宋体" w:hint="eastAsia"/>
          <w:color w:val="auto"/>
          <w:spacing w:val="-2"/>
          <w:sz w:val="24"/>
          <w:szCs w:val="24"/>
          <w:lang w:eastAsia="zh-CN"/>
        </w:rPr>
        <w:t>、铁炉港内岸线类型分布见图</w:t>
      </w:r>
      <w:r>
        <w:rPr>
          <w:rFonts w:ascii="Times New Roman" w:eastAsia="宋体" w:hAnsi="Times New Roman" w:cs="宋体" w:hint="eastAsia"/>
          <w:color w:val="auto"/>
          <w:spacing w:val="-2"/>
          <w:sz w:val="24"/>
          <w:szCs w:val="24"/>
          <w:lang w:eastAsia="zh-CN"/>
        </w:rPr>
        <w:t>3.1.1-3</w:t>
      </w:r>
      <w:r>
        <w:rPr>
          <w:rFonts w:ascii="Times New Roman" w:eastAsia="宋体" w:hAnsi="Times New Roman" w:cs="宋体" w:hint="eastAsia"/>
          <w:color w:val="auto"/>
          <w:spacing w:val="-2"/>
          <w:sz w:val="24"/>
          <w:szCs w:val="24"/>
          <w:lang w:eastAsia="zh-CN"/>
        </w:rPr>
        <w:t>。</w:t>
      </w:r>
    </w:p>
    <w:p w14:paraId="67A8A6DE" w14:textId="77777777" w:rsidR="0075791A" w:rsidRDefault="0075791A">
      <w:pPr>
        <w:jc w:val="center"/>
        <w:rPr>
          <w:rFonts w:ascii="Times New Roman" w:eastAsia="宋体" w:hAnsi="Times New Roman" w:cs="宋体"/>
          <w:color w:val="auto"/>
          <w:spacing w:val="-4"/>
          <w:sz w:val="24"/>
          <w:szCs w:val="24"/>
          <w:lang w:eastAsia="zh-CN"/>
        </w:rPr>
      </w:pPr>
    </w:p>
    <w:p w14:paraId="4C1673E8" w14:textId="77777777" w:rsidR="0075791A" w:rsidRDefault="00FB2864">
      <w:pPr>
        <w:jc w:val="center"/>
        <w:rPr>
          <w:rFonts w:ascii="Times New Roman" w:eastAsia="宋体" w:hAnsi="Times New Roman" w:cs="宋体"/>
          <w:color w:val="auto"/>
          <w:spacing w:val="-4"/>
          <w:sz w:val="24"/>
          <w:szCs w:val="24"/>
          <w:lang w:eastAsia="zh-CN"/>
        </w:rPr>
      </w:pPr>
      <w:r>
        <w:rPr>
          <w:rFonts w:ascii="Times New Roman" w:eastAsia="宋体" w:hAnsi="Times New Roman" w:cs="宋体"/>
          <w:color w:val="auto"/>
          <w:spacing w:val="-4"/>
          <w:sz w:val="24"/>
          <w:szCs w:val="24"/>
          <w:lang w:eastAsia="zh-CN"/>
        </w:rPr>
        <w:t>图</w:t>
      </w:r>
      <w:r>
        <w:rPr>
          <w:rFonts w:ascii="Times New Roman" w:eastAsia="宋体" w:hAnsi="Times New Roman" w:cs="宋体" w:hint="eastAsia"/>
          <w:color w:val="auto"/>
          <w:spacing w:val="-4"/>
          <w:sz w:val="24"/>
          <w:szCs w:val="24"/>
          <w:lang w:eastAsia="zh-CN"/>
        </w:rPr>
        <w:t>3</w:t>
      </w:r>
      <w:r>
        <w:rPr>
          <w:rFonts w:ascii="Times New Roman" w:eastAsia="宋体" w:hAnsi="Times New Roman" w:cs="宋体"/>
          <w:color w:val="auto"/>
          <w:spacing w:val="-4"/>
          <w:sz w:val="24"/>
          <w:szCs w:val="24"/>
          <w:lang w:eastAsia="zh-CN"/>
        </w:rPr>
        <w:t>.1.1-1</w:t>
      </w:r>
      <w:r>
        <w:rPr>
          <w:rFonts w:ascii="Times New Roman" w:eastAsia="宋体" w:hAnsi="Times New Roman" w:cs="宋体"/>
          <w:color w:val="auto"/>
          <w:spacing w:val="-4"/>
          <w:sz w:val="24"/>
          <w:szCs w:val="24"/>
          <w:lang w:eastAsia="zh-CN"/>
        </w:rPr>
        <w:t>论证范围内沿岸岸线类型分布</w:t>
      </w:r>
    </w:p>
    <w:p w14:paraId="14695C48" w14:textId="77777777" w:rsidR="0075791A" w:rsidRDefault="0075791A">
      <w:pPr>
        <w:jc w:val="center"/>
        <w:rPr>
          <w:rFonts w:ascii="Times New Roman" w:eastAsia="宋体" w:hAnsi="Times New Roman" w:cs="宋体"/>
          <w:color w:val="auto"/>
          <w:spacing w:val="-4"/>
          <w:sz w:val="24"/>
          <w:szCs w:val="24"/>
          <w:lang w:eastAsia="zh-CN"/>
        </w:rPr>
      </w:pPr>
    </w:p>
    <w:p w14:paraId="2905F732"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color w:val="auto"/>
          <w:spacing w:val="-4"/>
          <w:sz w:val="24"/>
          <w:szCs w:val="24"/>
          <w:lang w:eastAsia="zh-CN"/>
        </w:rPr>
        <w:t>图</w:t>
      </w:r>
      <w:r>
        <w:rPr>
          <w:rFonts w:ascii="Times New Roman" w:eastAsia="宋体" w:hAnsi="Times New Roman" w:cs="宋体" w:hint="eastAsia"/>
          <w:color w:val="auto"/>
          <w:spacing w:val="-4"/>
          <w:sz w:val="24"/>
          <w:szCs w:val="24"/>
          <w:lang w:eastAsia="zh-CN"/>
        </w:rPr>
        <w:t>3</w:t>
      </w:r>
      <w:r>
        <w:rPr>
          <w:rFonts w:ascii="Times New Roman" w:eastAsia="宋体" w:hAnsi="Times New Roman" w:cs="宋体"/>
          <w:color w:val="auto"/>
          <w:spacing w:val="-4"/>
          <w:sz w:val="24"/>
          <w:szCs w:val="24"/>
          <w:lang w:eastAsia="zh-CN"/>
        </w:rPr>
        <w:t>.1.1-</w:t>
      </w:r>
      <w:r>
        <w:rPr>
          <w:rFonts w:ascii="Times New Roman" w:eastAsia="宋体" w:hAnsi="Times New Roman" w:cs="宋体" w:hint="eastAsia"/>
          <w:color w:val="auto"/>
          <w:spacing w:val="-4"/>
          <w:sz w:val="24"/>
          <w:szCs w:val="24"/>
          <w:lang w:eastAsia="zh-CN"/>
        </w:rPr>
        <w:t>2</w:t>
      </w:r>
      <w:r>
        <w:rPr>
          <w:rFonts w:ascii="Times New Roman" w:eastAsia="宋体" w:hAnsi="Times New Roman" w:cs="宋体"/>
          <w:color w:val="auto"/>
          <w:spacing w:val="-4"/>
          <w:sz w:val="24"/>
          <w:szCs w:val="24"/>
          <w:lang w:eastAsia="zh-CN"/>
        </w:rPr>
        <w:t>论证范围内海岸线利用类型分布图</w:t>
      </w:r>
    </w:p>
    <w:p w14:paraId="64E9061D" w14:textId="77777777" w:rsidR="0075791A" w:rsidRDefault="0075791A">
      <w:pPr>
        <w:jc w:val="center"/>
        <w:rPr>
          <w:rFonts w:ascii="Times New Roman" w:eastAsia="宋体" w:hAnsi="Times New Roman" w:cs="宋体"/>
          <w:color w:val="auto"/>
          <w:spacing w:val="-4"/>
          <w:sz w:val="24"/>
          <w:szCs w:val="24"/>
          <w:lang w:eastAsia="zh-CN"/>
        </w:rPr>
      </w:pPr>
    </w:p>
    <w:p w14:paraId="5A9C7547"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color w:val="auto"/>
          <w:spacing w:val="-4"/>
          <w:sz w:val="24"/>
          <w:szCs w:val="24"/>
          <w:lang w:eastAsia="zh-CN"/>
        </w:rPr>
        <w:t>图</w:t>
      </w:r>
      <w:r>
        <w:rPr>
          <w:rFonts w:ascii="Times New Roman" w:eastAsia="宋体" w:hAnsi="Times New Roman" w:cs="宋体" w:hint="eastAsia"/>
          <w:color w:val="auto"/>
          <w:spacing w:val="-4"/>
          <w:sz w:val="24"/>
          <w:szCs w:val="24"/>
          <w:lang w:eastAsia="zh-CN"/>
        </w:rPr>
        <w:t>3</w:t>
      </w:r>
      <w:r>
        <w:rPr>
          <w:rFonts w:ascii="Times New Roman" w:eastAsia="宋体" w:hAnsi="Times New Roman" w:cs="宋体"/>
          <w:color w:val="auto"/>
          <w:spacing w:val="-4"/>
          <w:sz w:val="24"/>
          <w:szCs w:val="24"/>
          <w:lang w:eastAsia="zh-CN"/>
        </w:rPr>
        <w:t>.1.1-</w:t>
      </w:r>
      <w:r>
        <w:rPr>
          <w:rFonts w:ascii="Times New Roman" w:eastAsia="宋体" w:hAnsi="Times New Roman" w:cs="宋体" w:hint="eastAsia"/>
          <w:color w:val="auto"/>
          <w:spacing w:val="-4"/>
          <w:sz w:val="24"/>
          <w:szCs w:val="24"/>
          <w:lang w:eastAsia="zh-CN"/>
        </w:rPr>
        <w:t>3</w:t>
      </w:r>
      <w:r>
        <w:rPr>
          <w:rFonts w:ascii="Times New Roman" w:eastAsia="宋体" w:hAnsi="Times New Roman" w:cs="宋体" w:hint="eastAsia"/>
          <w:color w:val="auto"/>
          <w:spacing w:val="-4"/>
          <w:sz w:val="24"/>
          <w:szCs w:val="24"/>
          <w:lang w:eastAsia="zh-CN"/>
        </w:rPr>
        <w:t>铁炉港内</w:t>
      </w:r>
      <w:r>
        <w:rPr>
          <w:rFonts w:ascii="Times New Roman" w:eastAsia="宋体" w:hAnsi="Times New Roman" w:cs="宋体"/>
          <w:color w:val="auto"/>
          <w:spacing w:val="-4"/>
          <w:sz w:val="24"/>
          <w:szCs w:val="24"/>
          <w:lang w:eastAsia="zh-CN"/>
        </w:rPr>
        <w:t>沿岸岸线类型分布</w:t>
      </w:r>
    </w:p>
    <w:p w14:paraId="3F4C1077" w14:textId="77777777" w:rsidR="0075791A" w:rsidRDefault="0075791A">
      <w:pPr>
        <w:jc w:val="center"/>
        <w:rPr>
          <w:rFonts w:ascii="Times New Roman" w:eastAsia="宋体" w:hAnsi="Times New Roman" w:cs="宋体"/>
          <w:color w:val="auto"/>
          <w:spacing w:val="-4"/>
          <w:sz w:val="24"/>
          <w:szCs w:val="24"/>
          <w:lang w:eastAsia="zh-CN"/>
        </w:rPr>
      </w:pPr>
    </w:p>
    <w:p w14:paraId="64207FBE"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98" w:name="_Toc7634"/>
      <w:r>
        <w:rPr>
          <w:rFonts w:ascii="Times New Roman" w:eastAsia="Times New Roman" w:hAnsi="Times New Roman" w:cs="Times New Roman" w:hint="eastAsia"/>
          <w:b/>
          <w:bCs/>
          <w:color w:val="auto"/>
          <w:spacing w:val="-3"/>
          <w:sz w:val="28"/>
          <w:szCs w:val="28"/>
          <w:lang w:eastAsia="zh-CN"/>
        </w:rPr>
        <w:t>3.1.2滩涂资源</w:t>
      </w:r>
      <w:bookmarkEnd w:id="98"/>
    </w:p>
    <w:p w14:paraId="4DD1860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滩涂是海岸带平均高潮线与理论基准面零点之间的潮间带，又称海涂。根据滩涂的物质组成成分，可分为岩质滩涂、沙质滩涂和泥质滩涂。本项目论证范围内的滩涂资源类型均有分布，后海湾、海棠湾、亚龙湾岸段主要为沙质滩涂，铁炉港内主要为泥质滩涂，铁炉港口门南至竹秧口间岭、瑞吉酒店至锦母角为基岩岸线岸段，主要为岩质滩涂。本项目用海范围内主要为泥质滩涂资源，具体见照片</w:t>
      </w:r>
      <w:r>
        <w:rPr>
          <w:rFonts w:ascii="Times New Roman" w:eastAsia="宋体" w:hAnsi="Times New Roman" w:cs="宋体" w:hint="eastAsia"/>
          <w:color w:val="auto"/>
          <w:spacing w:val="-2"/>
          <w:sz w:val="24"/>
          <w:szCs w:val="24"/>
          <w:lang w:eastAsia="zh-CN"/>
        </w:rPr>
        <w:t>3.1.2-1~3.1.2-5</w:t>
      </w:r>
      <w:r>
        <w:rPr>
          <w:rFonts w:ascii="Times New Roman" w:eastAsia="宋体" w:hAnsi="Times New Roman" w:cs="宋体" w:hint="eastAsia"/>
          <w:color w:val="auto"/>
          <w:spacing w:val="-2"/>
          <w:sz w:val="24"/>
          <w:szCs w:val="24"/>
          <w:lang w:eastAsia="zh-CN"/>
        </w:rPr>
        <w:t>。</w:t>
      </w:r>
    </w:p>
    <w:p w14:paraId="7A105505" w14:textId="77777777" w:rsidR="0075791A" w:rsidRDefault="00FB2864">
      <w:pPr>
        <w:jc w:val="center"/>
        <w:rPr>
          <w:rFonts w:ascii="Times New Roman" w:eastAsia="宋体" w:hAnsi="Times New Roman" w:cs="宋体"/>
          <w:color w:val="auto"/>
          <w:spacing w:val="-2"/>
          <w:sz w:val="24"/>
          <w:szCs w:val="24"/>
          <w:lang w:eastAsia="zh-CN"/>
        </w:rPr>
      </w:pPr>
      <w:r>
        <w:rPr>
          <w:noProof/>
          <w:color w:val="auto"/>
        </w:rPr>
        <w:lastRenderedPageBreak/>
        <w:drawing>
          <wp:inline distT="0" distB="0" distL="114300" distR="114300" wp14:anchorId="3FF0778C" wp14:editId="07271D57">
            <wp:extent cx="4500245" cy="3375660"/>
            <wp:effectExtent l="0" t="0" r="10795" b="7620"/>
            <wp:docPr id="27"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2"/>
                    <pic:cNvPicPr>
                      <a:picLocks noChangeAspect="1"/>
                    </pic:cNvPicPr>
                  </pic:nvPicPr>
                  <pic:blipFill>
                    <a:blip r:embed="rId36"/>
                    <a:stretch>
                      <a:fillRect/>
                    </a:stretch>
                  </pic:blipFill>
                  <pic:spPr>
                    <a:xfrm>
                      <a:off x="0" y="0"/>
                      <a:ext cx="4500245" cy="3375660"/>
                    </a:xfrm>
                    <a:prstGeom prst="rect">
                      <a:avLst/>
                    </a:prstGeom>
                    <a:noFill/>
                    <a:ln>
                      <a:noFill/>
                    </a:ln>
                  </pic:spPr>
                </pic:pic>
              </a:graphicData>
            </a:graphic>
          </wp:inline>
        </w:drawing>
      </w:r>
    </w:p>
    <w:p w14:paraId="5F9A98C6" w14:textId="77777777" w:rsidR="0075791A" w:rsidRDefault="00FB2864">
      <w:pPr>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照片</w:t>
      </w:r>
      <w:r>
        <w:rPr>
          <w:rFonts w:ascii="Times New Roman" w:eastAsia="宋体" w:hAnsi="Times New Roman" w:cs="宋体" w:hint="eastAsia"/>
          <w:color w:val="auto"/>
          <w:spacing w:val="-2"/>
          <w:sz w:val="24"/>
          <w:szCs w:val="24"/>
          <w:lang w:eastAsia="zh-CN"/>
        </w:rPr>
        <w:t>3.1.2-1</w:t>
      </w:r>
      <w:r>
        <w:rPr>
          <w:rFonts w:ascii="Times New Roman" w:eastAsia="宋体" w:hAnsi="Times New Roman" w:cs="宋体" w:hint="eastAsia"/>
          <w:color w:val="auto"/>
          <w:spacing w:val="-4"/>
          <w:sz w:val="24"/>
          <w:szCs w:val="24"/>
          <w:lang w:eastAsia="zh-CN"/>
        </w:rPr>
        <w:t>铁炉港内滩涂资源（拍摄人：严瑨之</w:t>
      </w:r>
      <w:r>
        <w:rPr>
          <w:rFonts w:ascii="Times New Roman" w:eastAsia="宋体" w:hAnsi="Times New Roman" w:cs="宋体" w:hint="eastAsia"/>
          <w:color w:val="auto"/>
          <w:spacing w:val="-4"/>
          <w:sz w:val="24"/>
          <w:szCs w:val="24"/>
          <w:lang w:eastAsia="zh-CN"/>
        </w:rPr>
        <w:t xml:space="preserve"> </w:t>
      </w:r>
      <w:r>
        <w:rPr>
          <w:rFonts w:ascii="Times New Roman" w:eastAsia="宋体" w:hAnsi="Times New Roman" w:cs="宋体" w:hint="eastAsia"/>
          <w:color w:val="auto"/>
          <w:spacing w:val="-4"/>
          <w:sz w:val="24"/>
          <w:szCs w:val="24"/>
          <w:lang w:eastAsia="zh-CN"/>
        </w:rPr>
        <w:t>拍摄日期：</w:t>
      </w:r>
      <w:r>
        <w:rPr>
          <w:rFonts w:ascii="Times New Roman" w:eastAsia="宋体" w:hAnsi="Times New Roman" w:cs="宋体" w:hint="eastAsia"/>
          <w:color w:val="auto"/>
          <w:spacing w:val="-4"/>
          <w:sz w:val="24"/>
          <w:szCs w:val="24"/>
          <w:lang w:eastAsia="zh-CN"/>
        </w:rPr>
        <w:t>2025.02.18</w:t>
      </w:r>
      <w:r>
        <w:rPr>
          <w:rFonts w:ascii="Times New Roman" w:eastAsia="宋体" w:hAnsi="Times New Roman" w:cs="宋体" w:hint="eastAsia"/>
          <w:color w:val="auto"/>
          <w:spacing w:val="-4"/>
          <w:sz w:val="24"/>
          <w:szCs w:val="24"/>
          <w:lang w:eastAsia="zh-CN"/>
        </w:rPr>
        <w:t>）</w:t>
      </w:r>
    </w:p>
    <w:p w14:paraId="48E3DCCA" w14:textId="77777777" w:rsidR="0075791A" w:rsidRDefault="00FB2864">
      <w:pPr>
        <w:jc w:val="center"/>
        <w:rPr>
          <w:color w:val="auto"/>
        </w:rPr>
      </w:pPr>
      <w:r>
        <w:rPr>
          <w:noProof/>
          <w:color w:val="auto"/>
        </w:rPr>
        <w:drawing>
          <wp:inline distT="0" distB="0" distL="114300" distR="114300" wp14:anchorId="029D402A" wp14:editId="65B34F84">
            <wp:extent cx="4500245" cy="3375025"/>
            <wp:effectExtent l="0" t="0" r="10795" b="8255"/>
            <wp:docPr id="28"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3"/>
                    <pic:cNvPicPr>
                      <a:picLocks noChangeAspect="1"/>
                    </pic:cNvPicPr>
                  </pic:nvPicPr>
                  <pic:blipFill>
                    <a:blip r:embed="rId37"/>
                    <a:stretch>
                      <a:fillRect/>
                    </a:stretch>
                  </pic:blipFill>
                  <pic:spPr>
                    <a:xfrm>
                      <a:off x="0" y="0"/>
                      <a:ext cx="4500245" cy="3375025"/>
                    </a:xfrm>
                    <a:prstGeom prst="rect">
                      <a:avLst/>
                    </a:prstGeom>
                    <a:noFill/>
                    <a:ln>
                      <a:noFill/>
                    </a:ln>
                  </pic:spPr>
                </pic:pic>
              </a:graphicData>
            </a:graphic>
          </wp:inline>
        </w:drawing>
      </w:r>
    </w:p>
    <w:p w14:paraId="689A0AB2" w14:textId="77777777" w:rsidR="0075791A" w:rsidRDefault="00FB2864">
      <w:pPr>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照片</w:t>
      </w:r>
      <w:r>
        <w:rPr>
          <w:rFonts w:ascii="Times New Roman" w:eastAsia="宋体" w:hAnsi="Times New Roman" w:cs="宋体" w:hint="eastAsia"/>
          <w:color w:val="auto"/>
          <w:spacing w:val="-2"/>
          <w:sz w:val="24"/>
          <w:szCs w:val="24"/>
          <w:lang w:eastAsia="zh-CN"/>
        </w:rPr>
        <w:t>3.1.2-2</w:t>
      </w:r>
      <w:r>
        <w:rPr>
          <w:rFonts w:ascii="Times New Roman" w:eastAsia="宋体" w:hAnsi="Times New Roman" w:cs="宋体" w:hint="eastAsia"/>
          <w:color w:val="auto"/>
          <w:spacing w:val="-4"/>
          <w:sz w:val="24"/>
          <w:szCs w:val="24"/>
          <w:lang w:eastAsia="zh-CN"/>
        </w:rPr>
        <w:t>铁炉港内滩涂资源（拍摄人：严瑨之</w:t>
      </w:r>
      <w:r>
        <w:rPr>
          <w:rFonts w:ascii="Times New Roman" w:eastAsia="宋体" w:hAnsi="Times New Roman" w:cs="宋体" w:hint="eastAsia"/>
          <w:color w:val="auto"/>
          <w:spacing w:val="-4"/>
          <w:sz w:val="24"/>
          <w:szCs w:val="24"/>
          <w:lang w:eastAsia="zh-CN"/>
        </w:rPr>
        <w:t xml:space="preserve"> </w:t>
      </w:r>
      <w:r>
        <w:rPr>
          <w:rFonts w:ascii="Times New Roman" w:eastAsia="宋体" w:hAnsi="Times New Roman" w:cs="宋体" w:hint="eastAsia"/>
          <w:color w:val="auto"/>
          <w:spacing w:val="-4"/>
          <w:sz w:val="24"/>
          <w:szCs w:val="24"/>
          <w:lang w:eastAsia="zh-CN"/>
        </w:rPr>
        <w:t>拍摄日期：</w:t>
      </w:r>
      <w:r>
        <w:rPr>
          <w:rFonts w:ascii="Times New Roman" w:eastAsia="宋体" w:hAnsi="Times New Roman" w:cs="宋体" w:hint="eastAsia"/>
          <w:color w:val="auto"/>
          <w:spacing w:val="-4"/>
          <w:sz w:val="24"/>
          <w:szCs w:val="24"/>
          <w:lang w:eastAsia="zh-CN"/>
        </w:rPr>
        <w:t>2025.02.18</w:t>
      </w:r>
      <w:r>
        <w:rPr>
          <w:rFonts w:ascii="Times New Roman" w:eastAsia="宋体" w:hAnsi="Times New Roman" w:cs="宋体" w:hint="eastAsia"/>
          <w:color w:val="auto"/>
          <w:spacing w:val="-4"/>
          <w:sz w:val="24"/>
          <w:szCs w:val="24"/>
          <w:lang w:eastAsia="zh-CN"/>
        </w:rPr>
        <w:t>）</w:t>
      </w:r>
    </w:p>
    <w:p w14:paraId="78993C48"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noProof/>
          <w:color w:val="auto"/>
        </w:rPr>
        <w:lastRenderedPageBreak/>
        <w:drawing>
          <wp:inline distT="0" distB="0" distL="114300" distR="114300" wp14:anchorId="2AFE6701" wp14:editId="7CC258FE">
            <wp:extent cx="4500245" cy="3375025"/>
            <wp:effectExtent l="0" t="0" r="10795" b="8255"/>
            <wp:docPr id="29"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4"/>
                    <pic:cNvPicPr>
                      <a:picLocks noChangeAspect="1"/>
                    </pic:cNvPicPr>
                  </pic:nvPicPr>
                  <pic:blipFill>
                    <a:blip r:embed="rId38"/>
                    <a:stretch>
                      <a:fillRect/>
                    </a:stretch>
                  </pic:blipFill>
                  <pic:spPr>
                    <a:xfrm>
                      <a:off x="0" y="0"/>
                      <a:ext cx="4500245" cy="3375025"/>
                    </a:xfrm>
                    <a:prstGeom prst="rect">
                      <a:avLst/>
                    </a:prstGeom>
                    <a:noFill/>
                    <a:ln>
                      <a:noFill/>
                    </a:ln>
                  </pic:spPr>
                </pic:pic>
              </a:graphicData>
            </a:graphic>
          </wp:inline>
        </w:drawing>
      </w:r>
    </w:p>
    <w:p w14:paraId="29AA8C65"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照片</w:t>
      </w:r>
      <w:r>
        <w:rPr>
          <w:rFonts w:ascii="Times New Roman" w:eastAsia="宋体" w:hAnsi="Times New Roman" w:cs="宋体" w:hint="eastAsia"/>
          <w:color w:val="auto"/>
          <w:spacing w:val="-2"/>
          <w:sz w:val="24"/>
          <w:szCs w:val="24"/>
          <w:lang w:eastAsia="zh-CN"/>
        </w:rPr>
        <w:t>3.1.2-3</w:t>
      </w:r>
      <w:r>
        <w:rPr>
          <w:rFonts w:ascii="Times New Roman" w:eastAsia="宋体" w:hAnsi="Times New Roman" w:cs="宋体" w:hint="eastAsia"/>
          <w:color w:val="auto"/>
          <w:spacing w:val="-4"/>
          <w:sz w:val="24"/>
          <w:szCs w:val="24"/>
          <w:lang w:eastAsia="zh-CN"/>
        </w:rPr>
        <w:t>铁炉港内滩涂资源（拍摄人：严瑨之</w:t>
      </w:r>
      <w:r>
        <w:rPr>
          <w:rFonts w:ascii="Times New Roman" w:eastAsia="宋体" w:hAnsi="Times New Roman" w:cs="宋体" w:hint="eastAsia"/>
          <w:color w:val="auto"/>
          <w:spacing w:val="-4"/>
          <w:sz w:val="24"/>
          <w:szCs w:val="24"/>
          <w:lang w:eastAsia="zh-CN"/>
        </w:rPr>
        <w:t xml:space="preserve"> </w:t>
      </w:r>
      <w:r>
        <w:rPr>
          <w:rFonts w:ascii="Times New Roman" w:eastAsia="宋体" w:hAnsi="Times New Roman" w:cs="宋体" w:hint="eastAsia"/>
          <w:color w:val="auto"/>
          <w:spacing w:val="-4"/>
          <w:sz w:val="24"/>
          <w:szCs w:val="24"/>
          <w:lang w:eastAsia="zh-CN"/>
        </w:rPr>
        <w:t>拍摄日期：</w:t>
      </w:r>
      <w:r>
        <w:rPr>
          <w:rFonts w:ascii="Times New Roman" w:eastAsia="宋体" w:hAnsi="Times New Roman" w:cs="宋体" w:hint="eastAsia"/>
          <w:color w:val="auto"/>
          <w:spacing w:val="-4"/>
          <w:sz w:val="24"/>
          <w:szCs w:val="24"/>
          <w:lang w:eastAsia="zh-CN"/>
        </w:rPr>
        <w:t>2025.02.18</w:t>
      </w:r>
      <w:r>
        <w:rPr>
          <w:rFonts w:ascii="Times New Roman" w:eastAsia="宋体" w:hAnsi="Times New Roman" w:cs="宋体" w:hint="eastAsia"/>
          <w:color w:val="auto"/>
          <w:spacing w:val="-4"/>
          <w:sz w:val="24"/>
          <w:szCs w:val="24"/>
          <w:lang w:eastAsia="zh-CN"/>
        </w:rPr>
        <w:t>）</w:t>
      </w:r>
    </w:p>
    <w:p w14:paraId="0ED8CA72"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noProof/>
          <w:color w:val="auto"/>
        </w:rPr>
        <w:drawing>
          <wp:inline distT="0" distB="0" distL="114300" distR="114300" wp14:anchorId="46DCFAFD" wp14:editId="26959959">
            <wp:extent cx="4500245" cy="3375025"/>
            <wp:effectExtent l="0" t="0" r="10795" b="8255"/>
            <wp:docPr id="30"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5"/>
                    <pic:cNvPicPr>
                      <a:picLocks noChangeAspect="1"/>
                    </pic:cNvPicPr>
                  </pic:nvPicPr>
                  <pic:blipFill>
                    <a:blip r:embed="rId39"/>
                    <a:stretch>
                      <a:fillRect/>
                    </a:stretch>
                  </pic:blipFill>
                  <pic:spPr>
                    <a:xfrm>
                      <a:off x="0" y="0"/>
                      <a:ext cx="4500245" cy="3375025"/>
                    </a:xfrm>
                    <a:prstGeom prst="rect">
                      <a:avLst/>
                    </a:prstGeom>
                    <a:noFill/>
                    <a:ln>
                      <a:noFill/>
                    </a:ln>
                  </pic:spPr>
                </pic:pic>
              </a:graphicData>
            </a:graphic>
          </wp:inline>
        </w:drawing>
      </w:r>
    </w:p>
    <w:p w14:paraId="2DDB4365"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照片</w:t>
      </w:r>
      <w:r>
        <w:rPr>
          <w:rFonts w:ascii="Times New Roman" w:eastAsia="宋体" w:hAnsi="Times New Roman" w:cs="宋体" w:hint="eastAsia"/>
          <w:color w:val="auto"/>
          <w:spacing w:val="-2"/>
          <w:sz w:val="24"/>
          <w:szCs w:val="24"/>
          <w:lang w:eastAsia="zh-CN"/>
        </w:rPr>
        <w:t>3.1.2-4</w:t>
      </w:r>
      <w:r>
        <w:rPr>
          <w:rFonts w:ascii="Times New Roman" w:eastAsia="宋体" w:hAnsi="Times New Roman" w:cs="宋体" w:hint="eastAsia"/>
          <w:color w:val="auto"/>
          <w:spacing w:val="-4"/>
          <w:sz w:val="24"/>
          <w:szCs w:val="24"/>
          <w:lang w:eastAsia="zh-CN"/>
        </w:rPr>
        <w:t>铁炉港内滩涂资源（拍摄人：严瑨之</w:t>
      </w:r>
      <w:r>
        <w:rPr>
          <w:rFonts w:ascii="Times New Roman" w:eastAsia="宋体" w:hAnsi="Times New Roman" w:cs="宋体" w:hint="eastAsia"/>
          <w:color w:val="auto"/>
          <w:spacing w:val="-4"/>
          <w:sz w:val="24"/>
          <w:szCs w:val="24"/>
          <w:lang w:eastAsia="zh-CN"/>
        </w:rPr>
        <w:t xml:space="preserve"> </w:t>
      </w:r>
      <w:r>
        <w:rPr>
          <w:rFonts w:ascii="Times New Roman" w:eastAsia="宋体" w:hAnsi="Times New Roman" w:cs="宋体" w:hint="eastAsia"/>
          <w:color w:val="auto"/>
          <w:spacing w:val="-4"/>
          <w:sz w:val="24"/>
          <w:szCs w:val="24"/>
          <w:lang w:eastAsia="zh-CN"/>
        </w:rPr>
        <w:t>拍摄日期：</w:t>
      </w:r>
      <w:r>
        <w:rPr>
          <w:rFonts w:ascii="Times New Roman" w:eastAsia="宋体" w:hAnsi="Times New Roman" w:cs="宋体" w:hint="eastAsia"/>
          <w:color w:val="auto"/>
          <w:spacing w:val="-4"/>
          <w:sz w:val="24"/>
          <w:szCs w:val="24"/>
          <w:lang w:eastAsia="zh-CN"/>
        </w:rPr>
        <w:t>2025.02.18</w:t>
      </w:r>
      <w:r>
        <w:rPr>
          <w:rFonts w:ascii="Times New Roman" w:eastAsia="宋体" w:hAnsi="Times New Roman" w:cs="宋体" w:hint="eastAsia"/>
          <w:color w:val="auto"/>
          <w:spacing w:val="-4"/>
          <w:sz w:val="24"/>
          <w:szCs w:val="24"/>
          <w:lang w:eastAsia="zh-CN"/>
        </w:rPr>
        <w:t>）</w:t>
      </w:r>
    </w:p>
    <w:p w14:paraId="4FB53436" w14:textId="77777777" w:rsidR="0075791A" w:rsidRDefault="00FB2864">
      <w:pPr>
        <w:spacing w:line="360" w:lineRule="auto"/>
        <w:ind w:firstLineChars="200" w:firstLine="420"/>
        <w:jc w:val="center"/>
        <w:rPr>
          <w:color w:val="auto"/>
          <w:lang w:eastAsia="zh-CN"/>
        </w:rPr>
      </w:pPr>
      <w:r>
        <w:rPr>
          <w:rFonts w:hint="eastAsia"/>
          <w:noProof/>
          <w:color w:val="auto"/>
          <w:lang w:eastAsia="zh-CN"/>
        </w:rPr>
        <w:lastRenderedPageBreak/>
        <w:drawing>
          <wp:inline distT="0" distB="0" distL="114300" distR="114300" wp14:anchorId="5428B237" wp14:editId="3849BB60">
            <wp:extent cx="4507230" cy="3376930"/>
            <wp:effectExtent l="0" t="0" r="3810" b="6350"/>
            <wp:docPr id="179" name="图片 179" descr="DJI_20250104121216_0004_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DJI_20250104121216_0004_V"/>
                    <pic:cNvPicPr>
                      <a:picLocks noChangeAspect="1"/>
                    </pic:cNvPicPr>
                  </pic:nvPicPr>
                  <pic:blipFill>
                    <a:blip r:embed="rId40"/>
                    <a:stretch>
                      <a:fillRect/>
                    </a:stretch>
                  </pic:blipFill>
                  <pic:spPr>
                    <a:xfrm>
                      <a:off x="0" y="0"/>
                      <a:ext cx="4507230" cy="3376930"/>
                    </a:xfrm>
                    <a:prstGeom prst="rect">
                      <a:avLst/>
                    </a:prstGeom>
                  </pic:spPr>
                </pic:pic>
              </a:graphicData>
            </a:graphic>
          </wp:inline>
        </w:drawing>
      </w:r>
    </w:p>
    <w:p w14:paraId="75A0D022"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3.1.2-5</w:t>
      </w:r>
      <w:r>
        <w:rPr>
          <w:rFonts w:ascii="Times New Roman" w:eastAsia="宋体" w:hAnsi="Times New Roman" w:cs="宋体" w:hint="eastAsia"/>
          <w:color w:val="auto"/>
          <w:spacing w:val="-4"/>
          <w:sz w:val="24"/>
          <w:szCs w:val="24"/>
          <w:lang w:eastAsia="zh-CN"/>
        </w:rPr>
        <w:t>拟疏浚区现状照片（拍摄人：黄亮拍摄日期：</w:t>
      </w:r>
      <w:r>
        <w:rPr>
          <w:rFonts w:ascii="Times New Roman" w:eastAsia="宋体" w:hAnsi="Times New Roman" w:cs="宋体" w:hint="eastAsia"/>
          <w:color w:val="auto"/>
          <w:spacing w:val="-4"/>
          <w:sz w:val="24"/>
          <w:szCs w:val="24"/>
          <w:lang w:eastAsia="zh-CN"/>
        </w:rPr>
        <w:t>2025.01.04</w:t>
      </w:r>
      <w:r>
        <w:rPr>
          <w:rFonts w:ascii="Times New Roman" w:eastAsia="宋体" w:hAnsi="Times New Roman" w:cs="宋体" w:hint="eastAsia"/>
          <w:color w:val="auto"/>
          <w:spacing w:val="-4"/>
          <w:sz w:val="24"/>
          <w:szCs w:val="24"/>
          <w:lang w:eastAsia="zh-CN"/>
        </w:rPr>
        <w:t>）</w:t>
      </w:r>
    </w:p>
    <w:p w14:paraId="355DA45C" w14:textId="77777777" w:rsidR="0075791A" w:rsidRDefault="0075791A">
      <w:pPr>
        <w:spacing w:line="360" w:lineRule="auto"/>
        <w:ind w:firstLineChars="200" w:firstLine="420"/>
        <w:jc w:val="center"/>
        <w:rPr>
          <w:color w:val="auto"/>
          <w:lang w:eastAsia="zh-CN"/>
        </w:rPr>
      </w:pPr>
    </w:p>
    <w:p w14:paraId="64772893"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99" w:name="_Toc20412"/>
      <w:r>
        <w:rPr>
          <w:rFonts w:ascii="Times New Roman" w:eastAsia="Times New Roman" w:hAnsi="Times New Roman" w:cs="Times New Roman" w:hint="eastAsia"/>
          <w:b/>
          <w:bCs/>
          <w:color w:val="auto"/>
          <w:spacing w:val="-3"/>
          <w:sz w:val="28"/>
          <w:szCs w:val="28"/>
          <w:lang w:eastAsia="zh-CN"/>
        </w:rPr>
        <w:t>3.1.3海岛资源</w:t>
      </w:r>
      <w:bookmarkEnd w:id="99"/>
    </w:p>
    <w:p w14:paraId="4A5C705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本项目论证范围内的海岛资源主要有</w:t>
      </w:r>
      <w:r>
        <w:rPr>
          <w:rFonts w:ascii="Times New Roman" w:eastAsia="宋体" w:hAnsi="Times New Roman" w:cs="宋体" w:hint="eastAsia"/>
          <w:color w:val="auto"/>
          <w:spacing w:val="-2"/>
          <w:sz w:val="24"/>
          <w:szCs w:val="24"/>
          <w:lang w:eastAsia="zh-CN"/>
        </w:rPr>
        <w:t>25</w:t>
      </w:r>
      <w:r>
        <w:rPr>
          <w:rFonts w:ascii="Times New Roman" w:eastAsia="宋体" w:hAnsi="Times New Roman" w:cs="宋体" w:hint="eastAsia"/>
          <w:color w:val="auto"/>
          <w:spacing w:val="-2"/>
          <w:sz w:val="24"/>
          <w:szCs w:val="24"/>
          <w:lang w:eastAsia="zh-CN"/>
        </w:rPr>
        <w:t>个无居民海岛，分别为陵水县域内的墩边石、墩仔高排、墩仔岛；三亚市域内的藤沙岛、单寮、三牙门、高岛、石头公岛、蜈支洲岛、情人岛、仙石岛、姊妹石、姊妹石北岛、仙女岛、后海仔岛、后海龟岛、真帆石、牛车仔岛和沙湾岛、西排仔岛、野薯岛、东洲、西洲、东排仔岛、西排仔岛、锦母石，主要分布在陵水赤岭、藤桥河口、蜈支洲岛周边、后海岭及牛车湾、亚龙湾附近海域，海岛分布见图</w:t>
      </w:r>
      <w:r>
        <w:rPr>
          <w:rFonts w:ascii="Times New Roman" w:eastAsia="宋体" w:hAnsi="Times New Roman" w:cs="宋体" w:hint="eastAsia"/>
          <w:color w:val="auto"/>
          <w:spacing w:val="-2"/>
          <w:sz w:val="24"/>
          <w:szCs w:val="24"/>
          <w:lang w:eastAsia="zh-CN"/>
        </w:rPr>
        <w:t>3.1.3-1</w:t>
      </w:r>
      <w:r>
        <w:rPr>
          <w:rFonts w:ascii="Times New Roman" w:eastAsia="宋体" w:hAnsi="Times New Roman" w:cs="宋体" w:hint="eastAsia"/>
          <w:color w:val="auto"/>
          <w:spacing w:val="-2"/>
          <w:sz w:val="24"/>
          <w:szCs w:val="24"/>
          <w:lang w:eastAsia="zh-CN"/>
        </w:rPr>
        <w:t>。</w:t>
      </w:r>
    </w:p>
    <w:p w14:paraId="574F54E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距离本项目较近的分别有真帆石和牛车仔岛，均为基岩岛，无植被生长。其中真帆石距离本项目约为</w:t>
      </w:r>
      <w:r>
        <w:rPr>
          <w:rFonts w:ascii="Times New Roman" w:eastAsia="宋体" w:hAnsi="Times New Roman" w:cs="宋体" w:hint="eastAsia"/>
          <w:color w:val="auto"/>
          <w:spacing w:val="-2"/>
          <w:sz w:val="24"/>
          <w:szCs w:val="24"/>
          <w:lang w:eastAsia="zh-CN"/>
        </w:rPr>
        <w:t>2.6km</w:t>
      </w:r>
      <w:r>
        <w:rPr>
          <w:rFonts w:ascii="Times New Roman" w:eastAsia="宋体" w:hAnsi="Times New Roman" w:cs="宋体" w:hint="eastAsia"/>
          <w:color w:val="auto"/>
          <w:spacing w:val="-2"/>
          <w:sz w:val="24"/>
          <w:szCs w:val="24"/>
          <w:lang w:eastAsia="zh-CN"/>
        </w:rPr>
        <w:t>，牛车</w:t>
      </w:r>
      <w:r>
        <w:rPr>
          <w:rFonts w:ascii="Times New Roman" w:eastAsia="宋体" w:hAnsi="Times New Roman" w:cs="宋体" w:hint="eastAsia"/>
          <w:color w:val="auto"/>
          <w:spacing w:val="-2"/>
          <w:sz w:val="24"/>
          <w:szCs w:val="24"/>
          <w:lang w:eastAsia="zh-CN"/>
        </w:rPr>
        <w:t>仔岛距离本项目约为</w:t>
      </w:r>
      <w:r>
        <w:rPr>
          <w:rFonts w:ascii="Times New Roman" w:eastAsia="宋体" w:hAnsi="Times New Roman" w:cs="宋体" w:hint="eastAsia"/>
          <w:color w:val="auto"/>
          <w:spacing w:val="-2"/>
          <w:sz w:val="24"/>
          <w:szCs w:val="24"/>
          <w:lang w:eastAsia="zh-CN"/>
        </w:rPr>
        <w:t>5.1km</w:t>
      </w:r>
      <w:r>
        <w:rPr>
          <w:rFonts w:ascii="Times New Roman" w:eastAsia="宋体" w:hAnsi="Times New Roman" w:cs="宋体" w:hint="eastAsia"/>
          <w:color w:val="auto"/>
          <w:spacing w:val="-2"/>
          <w:sz w:val="24"/>
          <w:szCs w:val="24"/>
          <w:lang w:eastAsia="zh-CN"/>
        </w:rPr>
        <w:t>。</w:t>
      </w:r>
    </w:p>
    <w:p w14:paraId="1979402B" w14:textId="77777777" w:rsidR="0075791A" w:rsidRDefault="0075791A">
      <w:pPr>
        <w:spacing w:line="360" w:lineRule="auto"/>
        <w:jc w:val="center"/>
        <w:rPr>
          <w:rFonts w:ascii="Times New Roman" w:eastAsia="宋体" w:hAnsi="Times New Roman" w:cs="宋体"/>
          <w:color w:val="auto"/>
          <w:spacing w:val="-4"/>
          <w:sz w:val="24"/>
          <w:szCs w:val="24"/>
          <w:lang w:eastAsia="zh-CN"/>
        </w:rPr>
      </w:pPr>
    </w:p>
    <w:p w14:paraId="5B9F7D13"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3.1.3-1</w:t>
      </w:r>
      <w:r>
        <w:rPr>
          <w:rFonts w:ascii="Times New Roman" w:eastAsia="宋体" w:hAnsi="Times New Roman" w:cs="宋体" w:hint="eastAsia"/>
          <w:color w:val="auto"/>
          <w:spacing w:val="-4"/>
          <w:sz w:val="24"/>
          <w:szCs w:val="24"/>
          <w:lang w:eastAsia="zh-CN"/>
        </w:rPr>
        <w:t>项目论证范围内海岛分布</w:t>
      </w:r>
    </w:p>
    <w:p w14:paraId="108E185F"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100" w:name="_Toc24362"/>
      <w:r>
        <w:rPr>
          <w:rFonts w:ascii="Times New Roman" w:eastAsia="Times New Roman" w:hAnsi="Times New Roman" w:cs="Times New Roman" w:hint="eastAsia"/>
          <w:b/>
          <w:bCs/>
          <w:color w:val="auto"/>
          <w:spacing w:val="-3"/>
          <w:sz w:val="28"/>
          <w:szCs w:val="28"/>
          <w:lang w:eastAsia="zh-CN"/>
        </w:rPr>
        <w:t>3.1.4港口资源</w:t>
      </w:r>
      <w:bookmarkEnd w:id="100"/>
    </w:p>
    <w:p w14:paraId="3649BF84" w14:textId="77777777" w:rsidR="0075791A" w:rsidRDefault="00FB2864">
      <w:pPr>
        <w:spacing w:line="360" w:lineRule="auto"/>
        <w:ind w:firstLineChars="200" w:firstLine="476"/>
        <w:jc w:val="both"/>
        <w:rPr>
          <w:rFonts w:ascii="宋体" w:eastAsia="宋体" w:hAnsi="宋体" w:cs="宋体"/>
          <w:color w:val="auto"/>
          <w:sz w:val="24"/>
          <w:szCs w:val="24"/>
          <w:lang w:eastAsia="zh-CN"/>
        </w:rPr>
      </w:pPr>
      <w:r>
        <w:rPr>
          <w:rFonts w:ascii="Times New Roman" w:eastAsia="宋体" w:hAnsi="Times New Roman" w:cs="宋体" w:hint="eastAsia"/>
          <w:color w:val="auto"/>
          <w:spacing w:val="-2"/>
          <w:sz w:val="24"/>
          <w:szCs w:val="24"/>
          <w:lang w:eastAsia="zh-CN"/>
        </w:rPr>
        <w:t>1.</w:t>
      </w:r>
      <w:r>
        <w:rPr>
          <w:rFonts w:ascii="宋体" w:eastAsia="宋体" w:hAnsi="宋体" w:cs="宋体"/>
          <w:color w:val="auto"/>
          <w:sz w:val="24"/>
          <w:szCs w:val="24"/>
          <w:lang w:eastAsia="zh-CN"/>
        </w:rPr>
        <w:t>赤岭渔港</w:t>
      </w:r>
    </w:p>
    <w:p w14:paraId="4644FDF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赤岭渔港位于陵水县英州镇赤岭西侧海湾内，南邻土福湾度假旅游区，北邻清水湾度假区，是陵水县的三大渔港之一。根据《海南省陵水县渔港经济区建设规划（</w:t>
      </w:r>
      <w:r>
        <w:rPr>
          <w:rFonts w:ascii="Times New Roman" w:eastAsia="宋体" w:hAnsi="Times New Roman" w:cs="宋体" w:hint="eastAsia"/>
          <w:color w:val="auto"/>
          <w:spacing w:val="-2"/>
          <w:sz w:val="24"/>
          <w:szCs w:val="24"/>
          <w:lang w:eastAsia="zh-CN"/>
        </w:rPr>
        <w:t>2023-2030</w:t>
      </w:r>
      <w:r>
        <w:rPr>
          <w:rFonts w:ascii="Times New Roman" w:eastAsia="宋体" w:hAnsi="Times New Roman" w:cs="宋体" w:hint="eastAsia"/>
          <w:color w:val="auto"/>
          <w:spacing w:val="-2"/>
          <w:sz w:val="24"/>
          <w:szCs w:val="24"/>
          <w:lang w:eastAsia="zh-CN"/>
        </w:rPr>
        <w:t>年）》，赤岭渔港升级改造项目拟建南防波堤</w:t>
      </w:r>
      <w:r>
        <w:rPr>
          <w:rFonts w:ascii="Times New Roman" w:eastAsia="宋体" w:hAnsi="Times New Roman" w:cs="宋体" w:hint="eastAsia"/>
          <w:color w:val="auto"/>
          <w:spacing w:val="-2"/>
          <w:sz w:val="24"/>
          <w:szCs w:val="24"/>
          <w:lang w:eastAsia="zh-CN"/>
        </w:rPr>
        <w:t>893m</w:t>
      </w:r>
      <w:r>
        <w:rPr>
          <w:rFonts w:ascii="Times New Roman" w:eastAsia="宋体" w:hAnsi="Times New Roman" w:cs="宋体" w:hint="eastAsia"/>
          <w:color w:val="auto"/>
          <w:spacing w:val="-2"/>
          <w:sz w:val="24"/>
          <w:szCs w:val="24"/>
          <w:lang w:eastAsia="zh-CN"/>
        </w:rPr>
        <w:t>、北防波堤</w:t>
      </w:r>
      <w:r>
        <w:rPr>
          <w:rFonts w:ascii="Times New Roman" w:eastAsia="宋体" w:hAnsi="Times New Roman" w:cs="宋体" w:hint="eastAsia"/>
          <w:color w:val="auto"/>
          <w:spacing w:val="-2"/>
          <w:sz w:val="24"/>
          <w:szCs w:val="24"/>
          <w:lang w:eastAsia="zh-CN"/>
        </w:rPr>
        <w:t>300m</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3000</w:t>
      </w:r>
      <w:r>
        <w:rPr>
          <w:rFonts w:ascii="Times New Roman" w:eastAsia="宋体" w:hAnsi="Times New Roman" w:cs="宋体" w:hint="eastAsia"/>
          <w:color w:val="auto"/>
          <w:spacing w:val="-2"/>
          <w:sz w:val="24"/>
          <w:szCs w:val="24"/>
          <w:lang w:eastAsia="zh-CN"/>
        </w:rPr>
        <w:t>吨级远洋渔业码头</w:t>
      </w:r>
      <w:r>
        <w:rPr>
          <w:rFonts w:ascii="Times New Roman" w:eastAsia="宋体" w:hAnsi="Times New Roman" w:cs="宋体" w:hint="eastAsia"/>
          <w:color w:val="auto"/>
          <w:spacing w:val="-2"/>
          <w:sz w:val="24"/>
          <w:szCs w:val="24"/>
          <w:lang w:eastAsia="zh-CN"/>
        </w:rPr>
        <w:t>200m</w:t>
      </w:r>
      <w:r>
        <w:rPr>
          <w:rFonts w:ascii="Times New Roman" w:eastAsia="宋体" w:hAnsi="Times New Roman" w:cs="宋体" w:hint="eastAsia"/>
          <w:color w:val="auto"/>
          <w:spacing w:val="-2"/>
          <w:sz w:val="24"/>
          <w:szCs w:val="24"/>
          <w:lang w:eastAsia="zh-CN"/>
        </w:rPr>
        <w:t>，形成港池面积</w:t>
      </w:r>
      <w:r>
        <w:rPr>
          <w:rFonts w:ascii="Times New Roman" w:eastAsia="宋体" w:hAnsi="Times New Roman" w:cs="宋体" w:hint="eastAsia"/>
          <w:color w:val="auto"/>
          <w:spacing w:val="-2"/>
          <w:sz w:val="24"/>
          <w:szCs w:val="24"/>
          <w:lang w:eastAsia="zh-CN"/>
        </w:rPr>
        <w:t>17.2336</w:t>
      </w:r>
      <w:r>
        <w:rPr>
          <w:rFonts w:ascii="Times New Roman" w:eastAsia="宋体" w:hAnsi="Times New Roman" w:cs="宋体" w:hint="eastAsia"/>
          <w:color w:val="auto"/>
          <w:spacing w:val="-2"/>
          <w:sz w:val="24"/>
          <w:szCs w:val="24"/>
          <w:lang w:eastAsia="zh-CN"/>
        </w:rPr>
        <w:t>公顷，并进行港池航道疏浚；在海岸线东侧英</w:t>
      </w:r>
      <w:r>
        <w:rPr>
          <w:rFonts w:ascii="Times New Roman" w:eastAsia="宋体" w:hAnsi="Times New Roman" w:cs="宋体" w:hint="eastAsia"/>
          <w:color w:val="auto"/>
          <w:spacing w:val="-2"/>
          <w:sz w:val="24"/>
          <w:szCs w:val="24"/>
          <w:lang w:eastAsia="zh-CN"/>
        </w:rPr>
        <w:lastRenderedPageBreak/>
        <w:t>州河岸建设渔业码头</w:t>
      </w:r>
      <w:r>
        <w:rPr>
          <w:rFonts w:ascii="Times New Roman" w:eastAsia="宋体" w:hAnsi="Times New Roman" w:cs="宋体" w:hint="eastAsia"/>
          <w:color w:val="auto"/>
          <w:spacing w:val="-2"/>
          <w:sz w:val="24"/>
          <w:szCs w:val="24"/>
          <w:lang w:eastAsia="zh-CN"/>
        </w:rPr>
        <w:t>600m</w:t>
      </w:r>
      <w:r>
        <w:rPr>
          <w:rFonts w:ascii="Times New Roman" w:eastAsia="宋体" w:hAnsi="Times New Roman" w:cs="宋体" w:hint="eastAsia"/>
          <w:color w:val="auto"/>
          <w:spacing w:val="-2"/>
          <w:sz w:val="24"/>
          <w:szCs w:val="24"/>
          <w:lang w:eastAsia="zh-CN"/>
        </w:rPr>
        <w:t>、护岸</w:t>
      </w:r>
      <w:r>
        <w:rPr>
          <w:rFonts w:ascii="Times New Roman" w:eastAsia="宋体" w:hAnsi="Times New Roman" w:cs="宋体" w:hint="eastAsia"/>
          <w:color w:val="auto"/>
          <w:spacing w:val="-2"/>
          <w:sz w:val="24"/>
          <w:szCs w:val="24"/>
          <w:lang w:eastAsia="zh-CN"/>
        </w:rPr>
        <w:t>415m</w:t>
      </w:r>
      <w:r>
        <w:rPr>
          <w:rFonts w:ascii="Times New Roman" w:eastAsia="宋体" w:hAnsi="Times New Roman" w:cs="宋体" w:hint="eastAsia"/>
          <w:color w:val="auto"/>
          <w:spacing w:val="-2"/>
          <w:sz w:val="24"/>
          <w:szCs w:val="24"/>
          <w:lang w:eastAsia="zh-CN"/>
        </w:rPr>
        <w:t>。同时在后方陆域建设港区道路、渔港综</w:t>
      </w:r>
      <w:r>
        <w:rPr>
          <w:rFonts w:ascii="Times New Roman" w:eastAsia="宋体" w:hAnsi="Times New Roman" w:cs="宋体" w:hint="eastAsia"/>
          <w:color w:val="auto"/>
          <w:spacing w:val="-2"/>
          <w:sz w:val="24"/>
          <w:szCs w:val="24"/>
          <w:lang w:eastAsia="zh-CN"/>
        </w:rPr>
        <w:t>合管理中心、港区水电设施等公益性配套设施；及建设水产品交易市场、冷藏加工区、制冰储冰、物资补给等经营性配套设施。项目总投资</w:t>
      </w:r>
      <w:r>
        <w:rPr>
          <w:rFonts w:ascii="Times New Roman" w:eastAsia="宋体" w:hAnsi="Times New Roman" w:cs="宋体" w:hint="eastAsia"/>
          <w:color w:val="auto"/>
          <w:spacing w:val="-2"/>
          <w:sz w:val="24"/>
          <w:szCs w:val="24"/>
          <w:lang w:eastAsia="zh-CN"/>
        </w:rPr>
        <w:t>30453.19</w:t>
      </w:r>
      <w:r>
        <w:rPr>
          <w:rFonts w:ascii="Times New Roman" w:eastAsia="宋体" w:hAnsi="Times New Roman" w:cs="宋体" w:hint="eastAsia"/>
          <w:color w:val="auto"/>
          <w:spacing w:val="-2"/>
          <w:sz w:val="24"/>
          <w:szCs w:val="24"/>
          <w:lang w:eastAsia="zh-CN"/>
        </w:rPr>
        <w:t>万元，建设年限为</w:t>
      </w:r>
      <w:r>
        <w:rPr>
          <w:rFonts w:ascii="Times New Roman" w:eastAsia="宋体" w:hAnsi="Times New Roman" w:cs="宋体" w:hint="eastAsia"/>
          <w:color w:val="auto"/>
          <w:spacing w:val="-2"/>
          <w:sz w:val="24"/>
          <w:szCs w:val="24"/>
          <w:lang w:eastAsia="zh-CN"/>
        </w:rPr>
        <w:t>2024</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2026</w:t>
      </w:r>
      <w:r>
        <w:rPr>
          <w:rFonts w:ascii="Times New Roman" w:eastAsia="宋体" w:hAnsi="Times New Roman" w:cs="宋体" w:hint="eastAsia"/>
          <w:color w:val="auto"/>
          <w:spacing w:val="-2"/>
          <w:sz w:val="24"/>
          <w:szCs w:val="24"/>
          <w:lang w:eastAsia="zh-CN"/>
        </w:rPr>
        <w:t>年，其中中央奖补资金</w:t>
      </w:r>
      <w:r>
        <w:rPr>
          <w:rFonts w:ascii="Times New Roman" w:eastAsia="宋体" w:hAnsi="Times New Roman" w:cs="宋体" w:hint="eastAsia"/>
          <w:color w:val="auto"/>
          <w:spacing w:val="-2"/>
          <w:sz w:val="24"/>
          <w:szCs w:val="24"/>
          <w:lang w:eastAsia="zh-CN"/>
        </w:rPr>
        <w:t>7000</w:t>
      </w:r>
      <w:r>
        <w:rPr>
          <w:rFonts w:ascii="Times New Roman" w:eastAsia="宋体" w:hAnsi="Times New Roman" w:cs="宋体" w:hint="eastAsia"/>
          <w:color w:val="auto"/>
          <w:spacing w:val="-2"/>
          <w:sz w:val="24"/>
          <w:szCs w:val="24"/>
          <w:lang w:eastAsia="zh-CN"/>
        </w:rPr>
        <w:t>万元，省级预算资金</w:t>
      </w:r>
      <w:r>
        <w:rPr>
          <w:rFonts w:ascii="Times New Roman" w:eastAsia="宋体" w:hAnsi="Times New Roman" w:cs="宋体" w:hint="eastAsia"/>
          <w:color w:val="auto"/>
          <w:spacing w:val="-2"/>
          <w:sz w:val="24"/>
          <w:szCs w:val="24"/>
          <w:lang w:eastAsia="zh-CN"/>
        </w:rPr>
        <w:t>8000</w:t>
      </w:r>
      <w:r>
        <w:rPr>
          <w:rFonts w:ascii="Times New Roman" w:eastAsia="宋体" w:hAnsi="Times New Roman" w:cs="宋体" w:hint="eastAsia"/>
          <w:color w:val="auto"/>
          <w:spacing w:val="-2"/>
          <w:sz w:val="24"/>
          <w:szCs w:val="24"/>
          <w:lang w:eastAsia="zh-CN"/>
        </w:rPr>
        <w:t>万元，地方专项债券资金或企业投资</w:t>
      </w:r>
      <w:r>
        <w:rPr>
          <w:rFonts w:ascii="Times New Roman" w:eastAsia="宋体" w:hAnsi="Times New Roman" w:cs="宋体" w:hint="eastAsia"/>
          <w:color w:val="auto"/>
          <w:spacing w:val="-2"/>
          <w:sz w:val="24"/>
          <w:szCs w:val="24"/>
          <w:lang w:eastAsia="zh-CN"/>
        </w:rPr>
        <w:t>15000</w:t>
      </w:r>
      <w:r>
        <w:rPr>
          <w:rFonts w:ascii="Times New Roman" w:eastAsia="宋体" w:hAnsi="Times New Roman" w:cs="宋体" w:hint="eastAsia"/>
          <w:color w:val="auto"/>
          <w:spacing w:val="-2"/>
          <w:sz w:val="24"/>
          <w:szCs w:val="24"/>
          <w:lang w:eastAsia="zh-CN"/>
        </w:rPr>
        <w:t>万元，地方财政配套</w:t>
      </w:r>
      <w:r>
        <w:rPr>
          <w:rFonts w:ascii="Times New Roman" w:eastAsia="宋体" w:hAnsi="Times New Roman" w:cs="宋体" w:hint="eastAsia"/>
          <w:color w:val="auto"/>
          <w:spacing w:val="-2"/>
          <w:sz w:val="24"/>
          <w:szCs w:val="24"/>
          <w:lang w:eastAsia="zh-CN"/>
        </w:rPr>
        <w:t>453.19</w:t>
      </w:r>
      <w:r>
        <w:rPr>
          <w:rFonts w:ascii="Times New Roman" w:eastAsia="宋体" w:hAnsi="Times New Roman" w:cs="宋体" w:hint="eastAsia"/>
          <w:color w:val="auto"/>
          <w:spacing w:val="-2"/>
          <w:sz w:val="24"/>
          <w:szCs w:val="24"/>
          <w:lang w:eastAsia="zh-CN"/>
        </w:rPr>
        <w:t>万元。目前，正在升级改造施工中。</w:t>
      </w:r>
    </w:p>
    <w:p w14:paraId="5FD01D2F" w14:textId="77777777" w:rsidR="0075791A" w:rsidRDefault="00FB2864">
      <w:pPr>
        <w:spacing w:line="360" w:lineRule="auto"/>
        <w:ind w:firstLineChars="200" w:firstLine="420"/>
        <w:jc w:val="center"/>
        <w:rPr>
          <w:color w:val="auto"/>
        </w:rPr>
      </w:pPr>
      <w:r>
        <w:rPr>
          <w:noProof/>
          <w:color w:val="auto"/>
        </w:rPr>
        <w:drawing>
          <wp:inline distT="0" distB="0" distL="114300" distR="114300" wp14:anchorId="7FA63214" wp14:editId="25DC3229">
            <wp:extent cx="5039995" cy="3595370"/>
            <wp:effectExtent l="0" t="0" r="4445" b="1270"/>
            <wp:docPr id="14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03"/>
                    <pic:cNvPicPr>
                      <a:picLocks noChangeAspect="1"/>
                    </pic:cNvPicPr>
                  </pic:nvPicPr>
                  <pic:blipFill>
                    <a:blip r:embed="rId41"/>
                    <a:stretch>
                      <a:fillRect/>
                    </a:stretch>
                  </pic:blipFill>
                  <pic:spPr>
                    <a:xfrm>
                      <a:off x="0" y="0"/>
                      <a:ext cx="5039995" cy="3595370"/>
                    </a:xfrm>
                    <a:prstGeom prst="rect">
                      <a:avLst/>
                    </a:prstGeom>
                    <a:noFill/>
                    <a:ln>
                      <a:noFill/>
                    </a:ln>
                  </pic:spPr>
                </pic:pic>
              </a:graphicData>
            </a:graphic>
          </wp:inline>
        </w:drawing>
      </w:r>
    </w:p>
    <w:p w14:paraId="4DFC8B36" w14:textId="77777777" w:rsidR="0075791A" w:rsidRDefault="00FB2864">
      <w:pPr>
        <w:spacing w:line="360" w:lineRule="auto"/>
        <w:ind w:firstLineChars="200" w:firstLine="472"/>
        <w:jc w:val="center"/>
        <w:rPr>
          <w:color w:val="auto"/>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 xml:space="preserve">3.1.4-1 </w:t>
      </w:r>
      <w:r>
        <w:rPr>
          <w:rFonts w:ascii="宋体" w:eastAsia="宋体" w:hAnsi="宋体" w:cs="宋体"/>
          <w:color w:val="auto"/>
          <w:sz w:val="24"/>
          <w:szCs w:val="24"/>
          <w:lang w:eastAsia="zh-CN"/>
        </w:rPr>
        <w:t>赤岭渔港平面布置图</w:t>
      </w:r>
    </w:p>
    <w:p w14:paraId="6C75691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后海渔业码头</w:t>
      </w:r>
    </w:p>
    <w:p w14:paraId="6F4E56D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后海渔业码头（又称“后海市场码头”，当地人也称“灯塔码头”）位于三亚海棠湾后海村，现仅有</w:t>
      </w:r>
      <w:r>
        <w:rPr>
          <w:rFonts w:ascii="Times New Roman" w:eastAsia="宋体" w:hAnsi="Times New Roman" w:cs="宋体"/>
          <w:color w:val="auto"/>
          <w:spacing w:val="-2"/>
          <w:sz w:val="24"/>
          <w:szCs w:val="24"/>
          <w:lang w:eastAsia="zh-CN"/>
        </w:rPr>
        <w:t>280m</w:t>
      </w:r>
      <w:r>
        <w:rPr>
          <w:rFonts w:ascii="Times New Roman" w:eastAsia="宋体" w:hAnsi="Times New Roman" w:cs="宋体" w:hint="eastAsia"/>
          <w:color w:val="auto"/>
          <w:spacing w:val="-2"/>
          <w:sz w:val="24"/>
          <w:szCs w:val="24"/>
          <w:lang w:eastAsia="zh-CN"/>
        </w:rPr>
        <w:t>防波堤，渔业码头泊位</w:t>
      </w:r>
      <w:r>
        <w:rPr>
          <w:rFonts w:ascii="Times New Roman" w:eastAsia="宋体" w:hAnsi="Times New Roman" w:cs="宋体"/>
          <w:color w:val="auto"/>
          <w:spacing w:val="-2"/>
          <w:sz w:val="24"/>
          <w:szCs w:val="24"/>
          <w:lang w:eastAsia="zh-CN"/>
        </w:rPr>
        <w:t>50m</w:t>
      </w:r>
      <w:r>
        <w:rPr>
          <w:rFonts w:ascii="Times New Roman" w:eastAsia="宋体" w:hAnsi="Times New Roman" w:cs="宋体" w:hint="eastAsia"/>
          <w:color w:val="auto"/>
          <w:spacing w:val="-2"/>
          <w:sz w:val="24"/>
          <w:szCs w:val="24"/>
          <w:lang w:eastAsia="zh-CN"/>
        </w:rPr>
        <w:t>，配有简易的制冰储冰设施，供后海村渔船停靠锚泊，缺乏陆域配套。</w:t>
      </w:r>
    </w:p>
    <w:p w14:paraId="2B66B074" w14:textId="77777777" w:rsidR="0075791A" w:rsidRDefault="00FB2864">
      <w:pPr>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noProof/>
          <w:color w:val="auto"/>
          <w:spacing w:val="-4"/>
          <w:sz w:val="24"/>
          <w:szCs w:val="24"/>
          <w:lang w:eastAsia="zh-CN"/>
        </w:rPr>
        <w:lastRenderedPageBreak/>
        <w:drawing>
          <wp:inline distT="0" distB="0" distL="114300" distR="114300" wp14:anchorId="0B7D2358" wp14:editId="5AC18F47">
            <wp:extent cx="5090795" cy="2664460"/>
            <wp:effectExtent l="0" t="0" r="14605" b="254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42"/>
                    <a:stretch>
                      <a:fillRect/>
                    </a:stretch>
                  </pic:blipFill>
                  <pic:spPr>
                    <a:xfrm>
                      <a:off x="0" y="0"/>
                      <a:ext cx="5090795" cy="2664460"/>
                    </a:xfrm>
                    <a:prstGeom prst="rect">
                      <a:avLst/>
                    </a:prstGeom>
                    <a:noFill/>
                    <a:ln>
                      <a:noFill/>
                    </a:ln>
                  </pic:spPr>
                </pic:pic>
              </a:graphicData>
            </a:graphic>
          </wp:inline>
        </w:drawing>
      </w:r>
    </w:p>
    <w:p w14:paraId="1D8C2217"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3.1.4-2</w:t>
      </w:r>
      <w:r>
        <w:rPr>
          <w:rFonts w:ascii="Times New Roman" w:eastAsia="宋体" w:hAnsi="Times New Roman" w:cs="宋体" w:hint="eastAsia"/>
          <w:color w:val="auto"/>
          <w:spacing w:val="-4"/>
          <w:sz w:val="24"/>
          <w:szCs w:val="24"/>
          <w:lang w:eastAsia="zh-CN"/>
        </w:rPr>
        <w:t>后海渔港现状环境示意图</w:t>
      </w:r>
    </w:p>
    <w:p w14:paraId="24049EEE"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蜈支洲岛旅游基地码头</w:t>
      </w:r>
    </w:p>
    <w:p w14:paraId="6051CA61"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三亚蜈支洲岛旅游区基地码头项目包括基地码头工程中的码头、港池以及基地码头工程西侧的海底管道（汽油管、柴油管、水管及电缆）、加油栈桥和加油浮趸。码头为</w:t>
      </w:r>
      <w:r>
        <w:rPr>
          <w:rFonts w:ascii="Times New Roman" w:eastAsia="宋体" w:hAnsi="Times New Roman" w:cs="宋体"/>
          <w:color w:val="auto"/>
          <w:spacing w:val="-2"/>
          <w:sz w:val="24"/>
          <w:szCs w:val="24"/>
          <w:lang w:eastAsia="zh-CN"/>
        </w:rPr>
        <w:t>T</w:t>
      </w:r>
      <w:r>
        <w:rPr>
          <w:rFonts w:ascii="Times New Roman" w:eastAsia="宋体" w:hAnsi="Times New Roman" w:cs="宋体" w:hint="eastAsia"/>
          <w:color w:val="auto"/>
          <w:spacing w:val="-2"/>
          <w:sz w:val="24"/>
          <w:szCs w:val="24"/>
          <w:lang w:eastAsia="zh-CN"/>
        </w:rPr>
        <w:t>型，引桥伸至自然水深，长取</w:t>
      </w:r>
      <w:r>
        <w:rPr>
          <w:rFonts w:ascii="Times New Roman" w:eastAsia="宋体" w:hAnsi="Times New Roman" w:cs="宋体"/>
          <w:color w:val="auto"/>
          <w:spacing w:val="-2"/>
          <w:sz w:val="24"/>
          <w:szCs w:val="24"/>
          <w:lang w:eastAsia="zh-CN"/>
        </w:rPr>
        <w:t>95m</w:t>
      </w:r>
      <w:r>
        <w:rPr>
          <w:rFonts w:ascii="Times New Roman" w:eastAsia="宋体" w:hAnsi="Times New Roman" w:cs="宋体" w:hint="eastAsia"/>
          <w:color w:val="auto"/>
          <w:spacing w:val="-2"/>
          <w:sz w:val="24"/>
          <w:szCs w:val="24"/>
          <w:lang w:eastAsia="zh-CN"/>
        </w:rPr>
        <w:t>，由于旅客较多，引桥宽度考虑人员分流，宽取</w:t>
      </w:r>
      <w:r>
        <w:rPr>
          <w:rFonts w:ascii="Times New Roman" w:eastAsia="宋体" w:hAnsi="Times New Roman" w:cs="宋体"/>
          <w:color w:val="auto"/>
          <w:spacing w:val="-2"/>
          <w:sz w:val="24"/>
          <w:szCs w:val="24"/>
          <w:lang w:eastAsia="zh-CN"/>
        </w:rPr>
        <w:t>12m</w:t>
      </w:r>
      <w:r>
        <w:rPr>
          <w:rFonts w:ascii="Times New Roman" w:eastAsia="宋体" w:hAnsi="Times New Roman" w:cs="宋体" w:hint="eastAsia"/>
          <w:color w:val="auto"/>
          <w:spacing w:val="-2"/>
          <w:sz w:val="24"/>
          <w:szCs w:val="24"/>
          <w:lang w:eastAsia="zh-CN"/>
        </w:rPr>
        <w:t>；码头平台长</w:t>
      </w:r>
      <w:r>
        <w:rPr>
          <w:rFonts w:ascii="Times New Roman" w:eastAsia="宋体" w:hAnsi="Times New Roman" w:cs="宋体"/>
          <w:color w:val="auto"/>
          <w:spacing w:val="-2"/>
          <w:sz w:val="24"/>
          <w:szCs w:val="24"/>
          <w:lang w:eastAsia="zh-CN"/>
        </w:rPr>
        <w:t>75m</w:t>
      </w:r>
      <w:r>
        <w:rPr>
          <w:rFonts w:ascii="Times New Roman" w:eastAsia="宋体" w:hAnsi="Times New Roman" w:cs="宋体" w:hint="eastAsia"/>
          <w:color w:val="auto"/>
          <w:spacing w:val="-2"/>
          <w:sz w:val="24"/>
          <w:szCs w:val="24"/>
          <w:lang w:eastAsia="zh-CN"/>
        </w:rPr>
        <w:t>、宽</w:t>
      </w:r>
      <w:r>
        <w:rPr>
          <w:rFonts w:ascii="Times New Roman" w:eastAsia="宋体" w:hAnsi="Times New Roman" w:cs="宋体"/>
          <w:color w:val="auto"/>
          <w:spacing w:val="-2"/>
          <w:sz w:val="24"/>
          <w:szCs w:val="24"/>
          <w:lang w:eastAsia="zh-CN"/>
        </w:rPr>
        <w:t>10m</w:t>
      </w:r>
      <w:r>
        <w:rPr>
          <w:rFonts w:ascii="Times New Roman" w:eastAsia="宋体" w:hAnsi="Times New Roman" w:cs="宋体" w:hint="eastAsia"/>
          <w:color w:val="auto"/>
          <w:spacing w:val="-2"/>
          <w:sz w:val="24"/>
          <w:szCs w:val="24"/>
          <w:lang w:eastAsia="zh-CN"/>
        </w:rPr>
        <w:t>，引桥与码头平台相交处布置一处面积为</w:t>
      </w:r>
      <w:r>
        <w:rPr>
          <w:rFonts w:ascii="Times New Roman" w:eastAsia="宋体" w:hAnsi="Times New Roman" w:cs="宋体"/>
          <w:color w:val="auto"/>
          <w:spacing w:val="-2"/>
          <w:sz w:val="24"/>
          <w:szCs w:val="24"/>
          <w:lang w:eastAsia="zh-CN"/>
        </w:rPr>
        <w:t>100m2</w:t>
      </w:r>
      <w:r>
        <w:rPr>
          <w:rFonts w:ascii="Times New Roman" w:eastAsia="宋体" w:hAnsi="Times New Roman" w:cs="宋体" w:hint="eastAsia"/>
          <w:color w:val="auto"/>
          <w:spacing w:val="-2"/>
          <w:sz w:val="24"/>
          <w:szCs w:val="24"/>
          <w:lang w:eastAsia="zh-CN"/>
        </w:rPr>
        <w:t>的调度室。引桥水域布置</w:t>
      </w:r>
      <w:r>
        <w:rPr>
          <w:rFonts w:ascii="Times New Roman" w:eastAsia="宋体" w:hAnsi="Times New Roman" w:cs="宋体"/>
          <w:color w:val="auto"/>
          <w:spacing w:val="-2"/>
          <w:sz w:val="24"/>
          <w:szCs w:val="24"/>
          <w:lang w:eastAsia="zh-CN"/>
        </w:rPr>
        <w:t>2</w:t>
      </w:r>
      <w:r>
        <w:rPr>
          <w:rFonts w:ascii="Times New Roman" w:eastAsia="宋体" w:hAnsi="Times New Roman" w:cs="宋体" w:hint="eastAsia"/>
          <w:color w:val="auto"/>
          <w:spacing w:val="-2"/>
          <w:sz w:val="24"/>
          <w:szCs w:val="24"/>
          <w:lang w:eastAsia="zh-CN"/>
        </w:rPr>
        <w:t>个浮趸，两浮趸丁靠布置，间距为</w:t>
      </w:r>
      <w:r>
        <w:rPr>
          <w:rFonts w:ascii="Times New Roman" w:eastAsia="宋体" w:hAnsi="Times New Roman" w:cs="宋体"/>
          <w:color w:val="auto"/>
          <w:spacing w:val="-2"/>
          <w:sz w:val="24"/>
          <w:szCs w:val="24"/>
          <w:lang w:eastAsia="zh-CN"/>
        </w:rPr>
        <w:t>61m</w:t>
      </w:r>
      <w:r>
        <w:rPr>
          <w:rFonts w:ascii="Times New Roman" w:eastAsia="宋体" w:hAnsi="Times New Roman" w:cs="宋体" w:hint="eastAsia"/>
          <w:color w:val="auto"/>
          <w:spacing w:val="-2"/>
          <w:sz w:val="24"/>
          <w:szCs w:val="24"/>
          <w:lang w:eastAsia="zh-CN"/>
        </w:rPr>
        <w:t>，通过两活动钢引桥与码头平台连接，浮趸采用定位桩定位。趸船两侧停靠</w:t>
      </w:r>
      <w:r>
        <w:rPr>
          <w:rFonts w:ascii="Times New Roman" w:eastAsia="宋体" w:hAnsi="Times New Roman" w:cs="宋体"/>
          <w:color w:val="auto"/>
          <w:spacing w:val="-2"/>
          <w:sz w:val="24"/>
          <w:szCs w:val="24"/>
          <w:lang w:eastAsia="zh-CN"/>
        </w:rPr>
        <w:t>24m</w:t>
      </w:r>
      <w:r>
        <w:rPr>
          <w:rFonts w:ascii="Times New Roman" w:eastAsia="宋体" w:hAnsi="Times New Roman" w:cs="宋体" w:hint="eastAsia"/>
          <w:color w:val="auto"/>
          <w:spacing w:val="-2"/>
          <w:sz w:val="24"/>
          <w:szCs w:val="24"/>
          <w:lang w:eastAsia="zh-CN"/>
        </w:rPr>
        <w:t>长客船，西侧趸船外侧兼靠</w:t>
      </w:r>
      <w:r>
        <w:rPr>
          <w:rFonts w:ascii="Times New Roman" w:eastAsia="宋体" w:hAnsi="Times New Roman" w:cs="宋体"/>
          <w:color w:val="auto"/>
          <w:spacing w:val="-2"/>
          <w:sz w:val="24"/>
          <w:szCs w:val="24"/>
          <w:lang w:eastAsia="zh-CN"/>
        </w:rPr>
        <w:t>12m</w:t>
      </w:r>
      <w:r>
        <w:rPr>
          <w:rFonts w:ascii="Times New Roman" w:eastAsia="宋体" w:hAnsi="Times New Roman" w:cs="宋体" w:hint="eastAsia"/>
          <w:color w:val="auto"/>
          <w:spacing w:val="-2"/>
          <w:sz w:val="24"/>
          <w:szCs w:val="24"/>
          <w:lang w:eastAsia="zh-CN"/>
        </w:rPr>
        <w:t>客船，东侧浮趸外侧兼靠</w:t>
      </w:r>
      <w:r>
        <w:rPr>
          <w:rFonts w:ascii="Times New Roman" w:eastAsia="宋体" w:hAnsi="Times New Roman" w:cs="宋体"/>
          <w:color w:val="auto"/>
          <w:spacing w:val="-2"/>
          <w:sz w:val="24"/>
          <w:szCs w:val="24"/>
          <w:lang w:eastAsia="zh-CN"/>
        </w:rPr>
        <w:t>40m</w:t>
      </w:r>
      <w:r>
        <w:rPr>
          <w:rFonts w:ascii="Times New Roman" w:eastAsia="宋体" w:hAnsi="Times New Roman" w:cs="宋体" w:hint="eastAsia"/>
          <w:color w:val="auto"/>
          <w:spacing w:val="-2"/>
          <w:sz w:val="24"/>
          <w:szCs w:val="24"/>
          <w:lang w:eastAsia="zh-CN"/>
        </w:rPr>
        <w:t>长客船和</w:t>
      </w:r>
      <w:r>
        <w:rPr>
          <w:rFonts w:ascii="Times New Roman" w:eastAsia="宋体" w:hAnsi="Times New Roman" w:cs="宋体"/>
          <w:color w:val="auto"/>
          <w:spacing w:val="-2"/>
          <w:sz w:val="24"/>
          <w:szCs w:val="24"/>
          <w:lang w:eastAsia="zh-CN"/>
        </w:rPr>
        <w:t>20.1m</w:t>
      </w:r>
      <w:r>
        <w:rPr>
          <w:rFonts w:ascii="Times New Roman" w:eastAsia="宋体" w:hAnsi="Times New Roman" w:cs="宋体" w:hint="eastAsia"/>
          <w:color w:val="auto"/>
          <w:spacing w:val="-2"/>
          <w:sz w:val="24"/>
          <w:szCs w:val="24"/>
          <w:lang w:eastAsia="zh-CN"/>
        </w:rPr>
        <w:t>水上巴士。加油站桥和</w:t>
      </w:r>
      <w:r>
        <w:rPr>
          <w:rFonts w:ascii="Times New Roman" w:eastAsia="宋体" w:hAnsi="Times New Roman" w:cs="宋体"/>
          <w:color w:val="auto"/>
          <w:spacing w:val="-2"/>
          <w:sz w:val="24"/>
          <w:szCs w:val="24"/>
          <w:lang w:eastAsia="zh-CN"/>
        </w:rPr>
        <w:t>T</w:t>
      </w:r>
      <w:r>
        <w:rPr>
          <w:rFonts w:ascii="Times New Roman" w:eastAsia="宋体" w:hAnsi="Times New Roman" w:cs="宋体" w:hint="eastAsia"/>
          <w:color w:val="auto"/>
          <w:spacing w:val="-2"/>
          <w:sz w:val="24"/>
          <w:szCs w:val="24"/>
          <w:lang w:eastAsia="zh-CN"/>
        </w:rPr>
        <w:t>型栈桥之间停放</w:t>
      </w:r>
      <w:r>
        <w:rPr>
          <w:rFonts w:ascii="Times New Roman" w:eastAsia="宋体" w:hAnsi="Times New Roman" w:cs="宋体"/>
          <w:color w:val="auto"/>
          <w:spacing w:val="-2"/>
          <w:sz w:val="24"/>
          <w:szCs w:val="24"/>
          <w:lang w:eastAsia="zh-CN"/>
        </w:rPr>
        <w:t>24m</w:t>
      </w:r>
      <w:r>
        <w:rPr>
          <w:rFonts w:ascii="Times New Roman" w:eastAsia="宋体" w:hAnsi="Times New Roman" w:cs="宋体" w:hint="eastAsia"/>
          <w:color w:val="auto"/>
          <w:spacing w:val="-2"/>
          <w:sz w:val="24"/>
          <w:szCs w:val="24"/>
          <w:lang w:eastAsia="zh-CN"/>
        </w:rPr>
        <w:t>长客船、</w:t>
      </w:r>
      <w:r>
        <w:rPr>
          <w:rFonts w:ascii="Times New Roman" w:eastAsia="宋体" w:hAnsi="Times New Roman" w:cs="宋体"/>
          <w:color w:val="auto"/>
          <w:spacing w:val="-2"/>
          <w:sz w:val="24"/>
          <w:szCs w:val="24"/>
          <w:lang w:eastAsia="zh-CN"/>
        </w:rPr>
        <w:t>40m</w:t>
      </w:r>
      <w:r>
        <w:rPr>
          <w:rFonts w:ascii="Times New Roman" w:eastAsia="宋体" w:hAnsi="Times New Roman" w:cs="宋体" w:hint="eastAsia"/>
          <w:color w:val="auto"/>
          <w:spacing w:val="-2"/>
          <w:sz w:val="24"/>
          <w:szCs w:val="24"/>
          <w:lang w:eastAsia="zh-CN"/>
        </w:rPr>
        <w:t>长客船和</w:t>
      </w:r>
      <w:r>
        <w:rPr>
          <w:rFonts w:ascii="Times New Roman" w:eastAsia="宋体" w:hAnsi="Times New Roman" w:cs="宋体"/>
          <w:color w:val="auto"/>
          <w:spacing w:val="-2"/>
          <w:sz w:val="24"/>
          <w:szCs w:val="24"/>
          <w:lang w:eastAsia="zh-CN"/>
        </w:rPr>
        <w:t>12m</w:t>
      </w:r>
      <w:r>
        <w:rPr>
          <w:rFonts w:ascii="Times New Roman" w:eastAsia="宋体" w:hAnsi="Times New Roman" w:cs="宋体" w:hint="eastAsia"/>
          <w:color w:val="auto"/>
          <w:spacing w:val="-2"/>
          <w:sz w:val="24"/>
          <w:szCs w:val="24"/>
          <w:lang w:eastAsia="zh-CN"/>
        </w:rPr>
        <w:t>长客船，</w:t>
      </w:r>
      <w:r>
        <w:rPr>
          <w:rFonts w:ascii="Times New Roman" w:eastAsia="宋体" w:hAnsi="Times New Roman" w:cs="宋体"/>
          <w:color w:val="auto"/>
          <w:spacing w:val="-2"/>
          <w:sz w:val="24"/>
          <w:szCs w:val="24"/>
          <w:lang w:eastAsia="zh-CN"/>
        </w:rPr>
        <w:t>T</w:t>
      </w:r>
      <w:r>
        <w:rPr>
          <w:rFonts w:ascii="Times New Roman" w:eastAsia="宋体" w:hAnsi="Times New Roman" w:cs="宋体" w:hint="eastAsia"/>
          <w:color w:val="auto"/>
          <w:spacing w:val="-2"/>
          <w:sz w:val="24"/>
          <w:szCs w:val="24"/>
          <w:lang w:eastAsia="zh-CN"/>
        </w:rPr>
        <w:t>型栈桥和防波堤之间停放</w:t>
      </w:r>
      <w:r>
        <w:rPr>
          <w:rFonts w:ascii="Times New Roman" w:eastAsia="宋体" w:hAnsi="Times New Roman" w:cs="宋体"/>
          <w:color w:val="auto"/>
          <w:spacing w:val="-2"/>
          <w:sz w:val="24"/>
          <w:szCs w:val="24"/>
          <w:lang w:eastAsia="zh-CN"/>
        </w:rPr>
        <w:t>12m</w:t>
      </w:r>
      <w:r>
        <w:rPr>
          <w:rFonts w:ascii="Times New Roman" w:eastAsia="宋体" w:hAnsi="Times New Roman" w:cs="宋体" w:hint="eastAsia"/>
          <w:color w:val="auto"/>
          <w:spacing w:val="-2"/>
          <w:sz w:val="24"/>
          <w:szCs w:val="24"/>
          <w:lang w:eastAsia="zh-CN"/>
        </w:rPr>
        <w:t>客船、</w:t>
      </w:r>
      <w:r>
        <w:rPr>
          <w:rFonts w:ascii="Times New Roman" w:eastAsia="宋体" w:hAnsi="Times New Roman" w:cs="宋体"/>
          <w:color w:val="auto"/>
          <w:spacing w:val="-2"/>
          <w:sz w:val="24"/>
          <w:szCs w:val="24"/>
          <w:lang w:eastAsia="zh-CN"/>
        </w:rPr>
        <w:t>40m</w:t>
      </w:r>
      <w:r>
        <w:rPr>
          <w:rFonts w:ascii="Times New Roman" w:eastAsia="宋体" w:hAnsi="Times New Roman" w:cs="宋体" w:hint="eastAsia"/>
          <w:color w:val="auto"/>
          <w:spacing w:val="-2"/>
          <w:sz w:val="24"/>
          <w:szCs w:val="24"/>
          <w:lang w:eastAsia="zh-CN"/>
        </w:rPr>
        <w:t>长客船和</w:t>
      </w:r>
      <w:r>
        <w:rPr>
          <w:rFonts w:ascii="Times New Roman" w:eastAsia="宋体" w:hAnsi="Times New Roman" w:cs="宋体"/>
          <w:color w:val="auto"/>
          <w:spacing w:val="-2"/>
          <w:sz w:val="24"/>
          <w:szCs w:val="24"/>
          <w:lang w:eastAsia="zh-CN"/>
        </w:rPr>
        <w:t>20.1m</w:t>
      </w:r>
      <w:r>
        <w:rPr>
          <w:rFonts w:ascii="Times New Roman" w:eastAsia="宋体" w:hAnsi="Times New Roman" w:cs="宋体" w:hint="eastAsia"/>
          <w:color w:val="auto"/>
          <w:spacing w:val="-2"/>
          <w:sz w:val="24"/>
          <w:szCs w:val="24"/>
          <w:lang w:eastAsia="zh-CN"/>
        </w:rPr>
        <w:t>水上巴士。</w:t>
      </w:r>
    </w:p>
    <w:p w14:paraId="3CCDD4BD"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基地码头西侧为加油栈桥，主要包括加油浮趸、加油栈桥以及海底管道。加油管线从油库油罐区埋地输出管线至栈桥头端（输出端设有阀门），再从桥头端</w:t>
      </w:r>
      <w:r>
        <w:rPr>
          <w:rFonts w:ascii="Times New Roman" w:eastAsia="宋体" w:hAnsi="Times New Roman" w:cs="宋体" w:hint="eastAsia"/>
          <w:color w:val="auto"/>
          <w:spacing w:val="-2"/>
          <w:sz w:val="24"/>
          <w:szCs w:val="24"/>
          <w:lang w:eastAsia="zh-CN"/>
        </w:rPr>
        <w:t>90</w:t>
      </w:r>
      <w:r>
        <w:rPr>
          <w:rFonts w:ascii="Times New Roman" w:eastAsia="宋体" w:hAnsi="Times New Roman" w:cs="宋体" w:hint="eastAsia"/>
          <w:color w:val="auto"/>
          <w:spacing w:val="-2"/>
          <w:sz w:val="24"/>
          <w:szCs w:val="24"/>
          <w:lang w:eastAsia="zh-CN"/>
        </w:rPr>
        <w:t>°弯头连接至栈桥上（露天）延伸到桥尾（桥头段设有阀门），最后从桥尾端采用高压软管连接至加油浮趸，终端各安装一把加油枪（桥尾端设有阀门）。</w:t>
      </w:r>
    </w:p>
    <w:p w14:paraId="3F6726E9"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noProof/>
          <w:color w:val="auto"/>
          <w:spacing w:val="-4"/>
          <w:sz w:val="24"/>
          <w:szCs w:val="24"/>
          <w:lang w:eastAsia="zh-CN"/>
        </w:rPr>
        <w:lastRenderedPageBreak/>
        <w:drawing>
          <wp:inline distT="0" distB="0" distL="114300" distR="114300" wp14:anchorId="4EA28C5B" wp14:editId="4CEF58AC">
            <wp:extent cx="4984115" cy="3074670"/>
            <wp:effectExtent l="0" t="0" r="14605" b="3810"/>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43"/>
                    <a:stretch>
                      <a:fillRect/>
                    </a:stretch>
                  </pic:blipFill>
                  <pic:spPr>
                    <a:xfrm>
                      <a:off x="0" y="0"/>
                      <a:ext cx="4984115" cy="3074670"/>
                    </a:xfrm>
                    <a:prstGeom prst="rect">
                      <a:avLst/>
                    </a:prstGeom>
                    <a:noFill/>
                    <a:ln>
                      <a:noFill/>
                    </a:ln>
                  </pic:spPr>
                </pic:pic>
              </a:graphicData>
            </a:graphic>
          </wp:inline>
        </w:drawing>
      </w:r>
    </w:p>
    <w:p w14:paraId="734C80B9"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3.1.4-3</w:t>
      </w:r>
      <w:r>
        <w:rPr>
          <w:rFonts w:ascii="Times New Roman" w:eastAsia="宋体" w:hAnsi="Times New Roman" w:cs="宋体" w:hint="eastAsia"/>
          <w:color w:val="auto"/>
          <w:spacing w:val="-4"/>
          <w:sz w:val="24"/>
          <w:szCs w:val="24"/>
          <w:lang w:eastAsia="zh-CN"/>
        </w:rPr>
        <w:t>蜈支洲岛旅游区基地码头现状环境示意图</w:t>
      </w:r>
    </w:p>
    <w:p w14:paraId="58F32F5E"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后海渔港</w:t>
      </w:r>
    </w:p>
    <w:p w14:paraId="046D143A" w14:textId="77777777" w:rsidR="0075791A" w:rsidRDefault="00FB2864">
      <w:pPr>
        <w:spacing w:line="360" w:lineRule="auto"/>
        <w:ind w:firstLineChars="200" w:firstLine="476"/>
        <w:jc w:val="both"/>
        <w:rPr>
          <w:rFonts w:ascii="宋体" w:eastAsia="宋体" w:hAnsi="宋体" w:cs="宋体"/>
          <w:color w:val="auto"/>
          <w:sz w:val="24"/>
          <w:szCs w:val="24"/>
          <w:lang w:eastAsia="zh-CN"/>
        </w:rPr>
      </w:pPr>
      <w:r>
        <w:rPr>
          <w:rFonts w:ascii="Times New Roman" w:eastAsia="宋体" w:hAnsi="Times New Roman" w:cs="宋体" w:hint="eastAsia"/>
          <w:color w:val="auto"/>
          <w:spacing w:val="-2"/>
          <w:sz w:val="24"/>
          <w:szCs w:val="24"/>
          <w:lang w:eastAsia="zh-CN"/>
        </w:rPr>
        <w:t>后海渔港位于铁炉港口门北侧，</w:t>
      </w:r>
      <w:r>
        <w:rPr>
          <w:rFonts w:ascii="宋体" w:eastAsia="宋体" w:hAnsi="宋体" w:cs="宋体" w:hint="eastAsia"/>
          <w:color w:val="auto"/>
          <w:sz w:val="24"/>
          <w:szCs w:val="24"/>
          <w:lang w:eastAsia="zh-CN"/>
        </w:rPr>
        <w:t>主要为当地小型渔船、游艇停靠。目前有小型码头以及离岸的趸船游艇浮码头，便于游客上下船。</w:t>
      </w:r>
    </w:p>
    <w:p w14:paraId="67AD97D6" w14:textId="77777777" w:rsidR="0075791A" w:rsidRDefault="0075791A">
      <w:pPr>
        <w:spacing w:line="360" w:lineRule="auto"/>
        <w:jc w:val="center"/>
        <w:rPr>
          <w:rFonts w:ascii="宋体" w:eastAsia="宋体" w:hAnsi="宋体" w:cs="宋体"/>
          <w:color w:val="auto"/>
          <w:sz w:val="24"/>
          <w:szCs w:val="24"/>
          <w:lang w:eastAsia="zh-CN"/>
        </w:rPr>
      </w:pPr>
    </w:p>
    <w:p w14:paraId="09A6D160"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3.1.4-4</w:t>
      </w:r>
      <w:r>
        <w:rPr>
          <w:rFonts w:ascii="Times New Roman" w:eastAsia="宋体" w:hAnsi="Times New Roman" w:cs="宋体" w:hint="eastAsia"/>
          <w:color w:val="auto"/>
          <w:spacing w:val="-4"/>
          <w:sz w:val="24"/>
          <w:szCs w:val="24"/>
          <w:lang w:eastAsia="zh-CN"/>
        </w:rPr>
        <w:t>后海渔港现状环境示意图（拍摄人：黄亮拍摄日期：</w:t>
      </w:r>
      <w:r>
        <w:rPr>
          <w:rFonts w:ascii="Times New Roman" w:eastAsia="宋体" w:hAnsi="Times New Roman" w:cs="宋体" w:hint="eastAsia"/>
          <w:color w:val="auto"/>
          <w:spacing w:val="-4"/>
          <w:sz w:val="24"/>
          <w:szCs w:val="24"/>
          <w:lang w:eastAsia="zh-CN"/>
        </w:rPr>
        <w:t>2025.01.04</w:t>
      </w:r>
      <w:r>
        <w:rPr>
          <w:rFonts w:ascii="Times New Roman" w:eastAsia="宋体" w:hAnsi="Times New Roman" w:cs="宋体" w:hint="eastAsia"/>
          <w:color w:val="auto"/>
          <w:spacing w:val="-4"/>
          <w:sz w:val="24"/>
          <w:szCs w:val="24"/>
          <w:lang w:eastAsia="zh-CN"/>
        </w:rPr>
        <w:t>）</w:t>
      </w:r>
    </w:p>
    <w:p w14:paraId="5FBB012D" w14:textId="77777777" w:rsidR="0075791A" w:rsidRDefault="0075791A">
      <w:pPr>
        <w:spacing w:line="360" w:lineRule="auto"/>
        <w:jc w:val="center"/>
        <w:rPr>
          <w:rFonts w:ascii="Times New Roman" w:eastAsia="宋体" w:hAnsi="Times New Roman" w:cs="宋体"/>
          <w:color w:val="auto"/>
          <w:spacing w:val="-4"/>
          <w:sz w:val="24"/>
          <w:szCs w:val="24"/>
          <w:lang w:eastAsia="zh-CN"/>
        </w:rPr>
      </w:pPr>
    </w:p>
    <w:p w14:paraId="2429091F"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3.1.4-5</w:t>
      </w:r>
      <w:r>
        <w:rPr>
          <w:rFonts w:ascii="Times New Roman" w:eastAsia="宋体" w:hAnsi="Times New Roman" w:cs="宋体" w:hint="eastAsia"/>
          <w:color w:val="auto"/>
          <w:spacing w:val="-4"/>
          <w:sz w:val="24"/>
          <w:szCs w:val="24"/>
          <w:lang w:eastAsia="zh-CN"/>
        </w:rPr>
        <w:t>后海渔港现状环境</w:t>
      </w:r>
    </w:p>
    <w:p w14:paraId="554FA1B5"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101" w:name="_Toc16330"/>
      <w:r>
        <w:rPr>
          <w:rFonts w:ascii="Times New Roman" w:eastAsia="Times New Roman" w:hAnsi="Times New Roman" w:cs="Times New Roman" w:hint="eastAsia"/>
          <w:b/>
          <w:bCs/>
          <w:color w:val="auto"/>
          <w:spacing w:val="-3"/>
          <w:sz w:val="28"/>
          <w:szCs w:val="28"/>
          <w:lang w:eastAsia="zh-CN"/>
        </w:rPr>
        <w:t>3.1.5渔业资源</w:t>
      </w:r>
      <w:bookmarkEnd w:id="101"/>
    </w:p>
    <w:p w14:paraId="6AFB867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w:t>
      </w:r>
      <w:r>
        <w:rPr>
          <w:rFonts w:ascii="Times New Roman" w:eastAsia="宋体" w:hAnsi="Times New Roman" w:cs="宋体" w:hint="eastAsia"/>
          <w:color w:val="auto"/>
          <w:spacing w:val="-2"/>
          <w:sz w:val="24"/>
          <w:szCs w:val="24"/>
          <w:lang w:eastAsia="zh-CN"/>
        </w:rPr>
        <w:t>2024</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月调查结果，共调查到鱼类</w:t>
      </w:r>
      <w:r>
        <w:rPr>
          <w:rFonts w:ascii="Times New Roman" w:eastAsia="宋体" w:hAnsi="Times New Roman" w:cs="宋体" w:hint="eastAsia"/>
          <w:color w:val="auto"/>
          <w:spacing w:val="-2"/>
          <w:sz w:val="24"/>
          <w:szCs w:val="24"/>
          <w:lang w:eastAsia="zh-CN"/>
        </w:rPr>
        <w:t>16</w:t>
      </w:r>
      <w:r>
        <w:rPr>
          <w:rFonts w:ascii="Times New Roman" w:eastAsia="宋体" w:hAnsi="Times New Roman" w:cs="宋体" w:hint="eastAsia"/>
          <w:color w:val="auto"/>
          <w:spacing w:val="-2"/>
          <w:sz w:val="24"/>
          <w:szCs w:val="24"/>
          <w:lang w:eastAsia="zh-CN"/>
        </w:rPr>
        <w:t>科</w:t>
      </w:r>
      <w:r>
        <w:rPr>
          <w:rFonts w:ascii="Times New Roman" w:eastAsia="宋体" w:hAnsi="Times New Roman" w:cs="宋体" w:hint="eastAsia"/>
          <w:color w:val="auto"/>
          <w:spacing w:val="-2"/>
          <w:sz w:val="24"/>
          <w:szCs w:val="24"/>
          <w:lang w:eastAsia="zh-CN"/>
        </w:rPr>
        <w:t>23</w:t>
      </w:r>
      <w:r>
        <w:rPr>
          <w:rFonts w:ascii="Times New Roman" w:eastAsia="宋体" w:hAnsi="Times New Roman" w:cs="宋体" w:hint="eastAsia"/>
          <w:color w:val="auto"/>
          <w:spacing w:val="-2"/>
          <w:sz w:val="24"/>
          <w:szCs w:val="24"/>
          <w:lang w:eastAsia="zh-CN"/>
        </w:rPr>
        <w:t>属</w:t>
      </w:r>
      <w:r>
        <w:rPr>
          <w:rFonts w:ascii="Times New Roman" w:eastAsia="宋体" w:hAnsi="Times New Roman" w:cs="宋体" w:hint="eastAsia"/>
          <w:color w:val="auto"/>
          <w:spacing w:val="-2"/>
          <w:sz w:val="24"/>
          <w:szCs w:val="24"/>
          <w:lang w:eastAsia="zh-CN"/>
        </w:rPr>
        <w:t>26</w:t>
      </w:r>
      <w:r>
        <w:rPr>
          <w:rFonts w:ascii="Times New Roman" w:eastAsia="宋体" w:hAnsi="Times New Roman" w:cs="宋体" w:hint="eastAsia"/>
          <w:color w:val="auto"/>
          <w:spacing w:val="-2"/>
          <w:sz w:val="24"/>
          <w:szCs w:val="24"/>
          <w:lang w:eastAsia="zh-CN"/>
        </w:rPr>
        <w:t>种，尼罗罗非鱼、钉公鱼、花身副丽鱼、眶刺双边鱼、星斑篮子鱼、五带豆娘鱼、罗非鱼、黑棘鲷为主要优势物种。</w:t>
      </w:r>
    </w:p>
    <w:p w14:paraId="4E62DB7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各站位鱼类捕获密度范围为</w:t>
      </w:r>
      <w:r>
        <w:rPr>
          <w:rFonts w:ascii="Times New Roman" w:eastAsia="宋体" w:hAnsi="Times New Roman" w:cs="宋体" w:hint="eastAsia"/>
          <w:color w:val="auto"/>
          <w:spacing w:val="-2"/>
          <w:sz w:val="24"/>
          <w:szCs w:val="24"/>
          <w:lang w:eastAsia="zh-CN"/>
        </w:rPr>
        <w:t>28~100ind./</w:t>
      </w:r>
      <w:r>
        <w:rPr>
          <w:rFonts w:ascii="Times New Roman" w:eastAsia="宋体" w:hAnsi="Times New Roman" w:cs="宋体" w:hint="eastAsia"/>
          <w:color w:val="auto"/>
          <w:spacing w:val="-2"/>
          <w:sz w:val="24"/>
          <w:szCs w:val="24"/>
          <w:lang w:eastAsia="zh-CN"/>
        </w:rPr>
        <w:t>网</w:t>
      </w:r>
      <w:r>
        <w:rPr>
          <w:rFonts w:ascii="Times New Roman" w:eastAsia="宋体" w:hAnsi="Times New Roman" w:cs="宋体" w:hint="eastAsia"/>
          <w:color w:val="auto"/>
          <w:spacing w:val="-2"/>
          <w:sz w:val="24"/>
          <w:szCs w:val="24"/>
          <w:lang w:eastAsia="zh-CN"/>
        </w:rPr>
        <w:t>.h</w:t>
      </w:r>
      <w:r>
        <w:rPr>
          <w:rFonts w:ascii="Times New Roman" w:eastAsia="宋体" w:hAnsi="Times New Roman" w:cs="宋体" w:hint="eastAsia"/>
          <w:color w:val="auto"/>
          <w:spacing w:val="-2"/>
          <w:sz w:val="24"/>
          <w:szCs w:val="24"/>
          <w:lang w:eastAsia="zh-CN"/>
        </w:rPr>
        <w:t>，平均值为</w:t>
      </w:r>
      <w:r>
        <w:rPr>
          <w:rFonts w:ascii="Times New Roman" w:eastAsia="宋体" w:hAnsi="Times New Roman" w:cs="宋体" w:hint="eastAsia"/>
          <w:color w:val="auto"/>
          <w:spacing w:val="-2"/>
          <w:sz w:val="24"/>
          <w:szCs w:val="24"/>
          <w:lang w:eastAsia="zh-CN"/>
        </w:rPr>
        <w:t>58ind./</w:t>
      </w:r>
      <w:r>
        <w:rPr>
          <w:rFonts w:ascii="Times New Roman" w:eastAsia="宋体" w:hAnsi="Times New Roman" w:cs="宋体" w:hint="eastAsia"/>
          <w:color w:val="auto"/>
          <w:spacing w:val="-2"/>
          <w:sz w:val="24"/>
          <w:szCs w:val="24"/>
          <w:lang w:eastAsia="zh-CN"/>
        </w:rPr>
        <w:t>网</w:t>
      </w:r>
      <w:r>
        <w:rPr>
          <w:rFonts w:ascii="Times New Roman" w:eastAsia="宋体" w:hAnsi="Times New Roman" w:cs="宋体" w:hint="eastAsia"/>
          <w:color w:val="auto"/>
          <w:spacing w:val="-2"/>
          <w:sz w:val="24"/>
          <w:szCs w:val="24"/>
          <w:lang w:eastAsia="zh-CN"/>
        </w:rPr>
        <w:t>.h</w:t>
      </w:r>
      <w:r>
        <w:rPr>
          <w:rFonts w:ascii="Times New Roman" w:eastAsia="宋体" w:hAnsi="Times New Roman" w:cs="宋体" w:hint="eastAsia"/>
          <w:color w:val="auto"/>
          <w:spacing w:val="-2"/>
          <w:sz w:val="24"/>
          <w:szCs w:val="24"/>
          <w:lang w:eastAsia="zh-CN"/>
        </w:rPr>
        <w:t>；渔获生物量范围为</w:t>
      </w:r>
      <w:r>
        <w:rPr>
          <w:rFonts w:ascii="Times New Roman" w:eastAsia="宋体" w:hAnsi="Times New Roman" w:cs="宋体" w:hint="eastAsia"/>
          <w:color w:val="auto"/>
          <w:spacing w:val="-2"/>
          <w:sz w:val="24"/>
          <w:szCs w:val="24"/>
          <w:lang w:eastAsia="zh-CN"/>
        </w:rPr>
        <w:t>630.40~5773.88g/</w:t>
      </w:r>
      <w:r>
        <w:rPr>
          <w:rFonts w:ascii="Times New Roman" w:eastAsia="宋体" w:hAnsi="Times New Roman" w:cs="宋体" w:hint="eastAsia"/>
          <w:color w:val="auto"/>
          <w:spacing w:val="-2"/>
          <w:sz w:val="24"/>
          <w:szCs w:val="24"/>
          <w:lang w:eastAsia="zh-CN"/>
        </w:rPr>
        <w:t>网</w:t>
      </w:r>
      <w:r>
        <w:rPr>
          <w:rFonts w:ascii="Times New Roman" w:eastAsia="宋体" w:hAnsi="Times New Roman" w:cs="宋体" w:hint="eastAsia"/>
          <w:color w:val="auto"/>
          <w:spacing w:val="-2"/>
          <w:sz w:val="24"/>
          <w:szCs w:val="24"/>
          <w:lang w:eastAsia="zh-CN"/>
        </w:rPr>
        <w:t>.h</w:t>
      </w:r>
      <w:r>
        <w:rPr>
          <w:rFonts w:ascii="Times New Roman" w:eastAsia="宋体" w:hAnsi="Times New Roman" w:cs="宋体" w:hint="eastAsia"/>
          <w:color w:val="auto"/>
          <w:spacing w:val="-2"/>
          <w:sz w:val="24"/>
          <w:szCs w:val="24"/>
          <w:lang w:eastAsia="zh-CN"/>
        </w:rPr>
        <w:t>，平均值为</w:t>
      </w:r>
      <w:r>
        <w:rPr>
          <w:rFonts w:ascii="Times New Roman" w:eastAsia="宋体" w:hAnsi="Times New Roman" w:cs="宋体" w:hint="eastAsia"/>
          <w:color w:val="auto"/>
          <w:spacing w:val="-2"/>
          <w:sz w:val="24"/>
          <w:szCs w:val="24"/>
          <w:lang w:eastAsia="zh-CN"/>
        </w:rPr>
        <w:t>2573.64g/</w:t>
      </w:r>
      <w:r>
        <w:rPr>
          <w:rFonts w:ascii="Times New Roman" w:eastAsia="宋体" w:hAnsi="Times New Roman" w:cs="宋体" w:hint="eastAsia"/>
          <w:color w:val="auto"/>
          <w:spacing w:val="-2"/>
          <w:sz w:val="24"/>
          <w:szCs w:val="24"/>
          <w:lang w:eastAsia="zh-CN"/>
        </w:rPr>
        <w:t>网</w:t>
      </w:r>
      <w:r>
        <w:rPr>
          <w:rFonts w:ascii="Times New Roman" w:eastAsia="宋体" w:hAnsi="Times New Roman" w:cs="宋体" w:hint="eastAsia"/>
          <w:color w:val="auto"/>
          <w:spacing w:val="-2"/>
          <w:sz w:val="24"/>
          <w:szCs w:val="24"/>
          <w:lang w:eastAsia="zh-CN"/>
        </w:rPr>
        <w:t>.h</w:t>
      </w:r>
      <w:r>
        <w:rPr>
          <w:rFonts w:ascii="Times New Roman" w:eastAsia="宋体" w:hAnsi="Times New Roman" w:cs="宋体" w:hint="eastAsia"/>
          <w:color w:val="auto"/>
          <w:spacing w:val="-2"/>
          <w:sz w:val="24"/>
          <w:szCs w:val="24"/>
          <w:lang w:eastAsia="zh-CN"/>
        </w:rPr>
        <w:t>。多样性分析结果表明，各站位鱼类多样性指数范围为</w:t>
      </w:r>
      <w:r>
        <w:rPr>
          <w:rFonts w:ascii="Times New Roman" w:eastAsia="宋体" w:hAnsi="Times New Roman" w:cs="宋体" w:hint="eastAsia"/>
          <w:color w:val="auto"/>
          <w:spacing w:val="-2"/>
          <w:sz w:val="24"/>
          <w:szCs w:val="24"/>
          <w:lang w:eastAsia="zh-CN"/>
        </w:rPr>
        <w:t>0.29~2.52</w:t>
      </w:r>
      <w:r>
        <w:rPr>
          <w:rFonts w:ascii="Times New Roman" w:eastAsia="宋体" w:hAnsi="Times New Roman" w:cs="宋体" w:hint="eastAsia"/>
          <w:color w:val="auto"/>
          <w:spacing w:val="-2"/>
          <w:sz w:val="24"/>
          <w:szCs w:val="24"/>
          <w:lang w:eastAsia="zh-CN"/>
        </w:rPr>
        <w:t>，平均值为</w:t>
      </w:r>
      <w:r>
        <w:rPr>
          <w:rFonts w:ascii="Times New Roman" w:eastAsia="宋体" w:hAnsi="Times New Roman" w:cs="宋体" w:hint="eastAsia"/>
          <w:color w:val="auto"/>
          <w:spacing w:val="-2"/>
          <w:sz w:val="24"/>
          <w:szCs w:val="24"/>
          <w:lang w:eastAsia="zh-CN"/>
        </w:rPr>
        <w:t>1.47</w:t>
      </w:r>
      <w:r>
        <w:rPr>
          <w:rFonts w:ascii="Times New Roman" w:eastAsia="宋体" w:hAnsi="Times New Roman" w:cs="宋体" w:hint="eastAsia"/>
          <w:color w:val="auto"/>
          <w:spacing w:val="-2"/>
          <w:sz w:val="24"/>
          <w:szCs w:val="24"/>
          <w:lang w:eastAsia="zh-CN"/>
        </w:rPr>
        <w:t>；各站位鱼类丰富度指数范围为</w:t>
      </w:r>
      <w:r>
        <w:rPr>
          <w:rFonts w:ascii="Times New Roman" w:eastAsia="宋体" w:hAnsi="Times New Roman" w:cs="宋体" w:hint="eastAsia"/>
          <w:color w:val="auto"/>
          <w:spacing w:val="-2"/>
          <w:sz w:val="24"/>
          <w:szCs w:val="24"/>
          <w:lang w:eastAsia="zh-CN"/>
        </w:rPr>
        <w:t>0.23~1.77</w:t>
      </w:r>
      <w:r>
        <w:rPr>
          <w:rFonts w:ascii="Times New Roman" w:eastAsia="宋体" w:hAnsi="Times New Roman" w:cs="宋体" w:hint="eastAsia"/>
          <w:color w:val="auto"/>
          <w:spacing w:val="-2"/>
          <w:sz w:val="24"/>
          <w:szCs w:val="24"/>
          <w:lang w:eastAsia="zh-CN"/>
        </w:rPr>
        <w:t>，平均值为</w:t>
      </w:r>
      <w:r>
        <w:rPr>
          <w:rFonts w:ascii="Times New Roman" w:eastAsia="宋体" w:hAnsi="Times New Roman" w:cs="宋体" w:hint="eastAsia"/>
          <w:color w:val="auto"/>
          <w:spacing w:val="-2"/>
          <w:sz w:val="24"/>
          <w:szCs w:val="24"/>
          <w:lang w:eastAsia="zh-CN"/>
        </w:rPr>
        <w:t>0.82</w:t>
      </w:r>
      <w:r>
        <w:rPr>
          <w:rFonts w:ascii="Times New Roman" w:eastAsia="宋体" w:hAnsi="Times New Roman" w:cs="宋体" w:hint="eastAsia"/>
          <w:color w:val="auto"/>
          <w:spacing w:val="-2"/>
          <w:sz w:val="24"/>
          <w:szCs w:val="24"/>
          <w:lang w:eastAsia="zh-CN"/>
        </w:rPr>
        <w:t>；各站位鱼类均匀度指数范围为</w:t>
      </w:r>
      <w:r>
        <w:rPr>
          <w:rFonts w:ascii="Times New Roman" w:eastAsia="宋体" w:hAnsi="Times New Roman" w:cs="宋体" w:hint="eastAsia"/>
          <w:color w:val="auto"/>
          <w:spacing w:val="-2"/>
          <w:sz w:val="24"/>
          <w:szCs w:val="24"/>
          <w:lang w:eastAsia="zh-CN"/>
        </w:rPr>
        <w:t>0.</w:t>
      </w:r>
      <w:r>
        <w:rPr>
          <w:rFonts w:ascii="Times New Roman" w:eastAsia="宋体" w:hAnsi="Times New Roman" w:cs="宋体" w:hint="eastAsia"/>
          <w:color w:val="auto"/>
          <w:spacing w:val="-2"/>
          <w:sz w:val="24"/>
          <w:szCs w:val="24"/>
          <w:lang w:eastAsia="zh-CN"/>
        </w:rPr>
        <w:t>29~0.99</w:t>
      </w:r>
      <w:r>
        <w:rPr>
          <w:rFonts w:ascii="Times New Roman" w:eastAsia="宋体" w:hAnsi="Times New Roman" w:cs="宋体" w:hint="eastAsia"/>
          <w:color w:val="auto"/>
          <w:spacing w:val="-2"/>
          <w:sz w:val="24"/>
          <w:szCs w:val="24"/>
          <w:lang w:eastAsia="zh-CN"/>
        </w:rPr>
        <w:t>，平均值为</w:t>
      </w:r>
      <w:r>
        <w:rPr>
          <w:rFonts w:ascii="Times New Roman" w:eastAsia="宋体" w:hAnsi="Times New Roman" w:cs="宋体" w:hint="eastAsia"/>
          <w:color w:val="auto"/>
          <w:spacing w:val="-2"/>
          <w:sz w:val="24"/>
          <w:szCs w:val="24"/>
          <w:lang w:eastAsia="zh-CN"/>
        </w:rPr>
        <w:t>0.74</w:t>
      </w:r>
      <w:r>
        <w:rPr>
          <w:rFonts w:ascii="Times New Roman" w:eastAsia="宋体" w:hAnsi="Times New Roman" w:cs="宋体" w:hint="eastAsia"/>
          <w:color w:val="auto"/>
          <w:spacing w:val="-2"/>
          <w:sz w:val="24"/>
          <w:szCs w:val="24"/>
          <w:lang w:eastAsia="zh-CN"/>
        </w:rPr>
        <w:t>。</w:t>
      </w:r>
    </w:p>
    <w:p w14:paraId="418A9330"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本次调查采用流刺网捕获鱼类，未能捕获鱼卵及仔鱼，鱼卵及仔鱼数据主要来自浮游动物的样品。结果表明，在</w:t>
      </w:r>
      <w:r>
        <w:rPr>
          <w:rFonts w:ascii="Times New Roman" w:eastAsia="宋体" w:hAnsi="Times New Roman" w:cs="宋体" w:hint="eastAsia"/>
          <w:color w:val="auto"/>
          <w:spacing w:val="-2"/>
          <w:sz w:val="24"/>
          <w:szCs w:val="24"/>
          <w:lang w:eastAsia="zh-CN"/>
        </w:rPr>
        <w:t>S3</w:t>
      </w:r>
      <w:r>
        <w:rPr>
          <w:rFonts w:ascii="Times New Roman" w:eastAsia="宋体" w:hAnsi="Times New Roman" w:cs="宋体" w:hint="eastAsia"/>
          <w:color w:val="auto"/>
          <w:spacing w:val="-2"/>
          <w:sz w:val="24"/>
          <w:szCs w:val="24"/>
          <w:lang w:eastAsia="zh-CN"/>
        </w:rPr>
        <w:t>及</w:t>
      </w:r>
      <w:r>
        <w:rPr>
          <w:rFonts w:ascii="Times New Roman" w:eastAsia="宋体" w:hAnsi="Times New Roman" w:cs="宋体" w:hint="eastAsia"/>
          <w:color w:val="auto"/>
          <w:spacing w:val="-2"/>
          <w:sz w:val="24"/>
          <w:szCs w:val="24"/>
          <w:lang w:eastAsia="zh-CN"/>
        </w:rPr>
        <w:t>S4</w:t>
      </w:r>
      <w:r>
        <w:rPr>
          <w:rFonts w:ascii="Times New Roman" w:eastAsia="宋体" w:hAnsi="Times New Roman" w:cs="宋体" w:hint="eastAsia"/>
          <w:color w:val="auto"/>
          <w:spacing w:val="-2"/>
          <w:sz w:val="24"/>
          <w:szCs w:val="24"/>
          <w:lang w:eastAsia="zh-CN"/>
        </w:rPr>
        <w:t>站位调查到鱼卵，鱼卵丰度均为为</w:t>
      </w:r>
      <w:r>
        <w:rPr>
          <w:rFonts w:ascii="Times New Roman" w:eastAsia="宋体" w:hAnsi="Times New Roman" w:cs="宋体" w:hint="eastAsia"/>
          <w:color w:val="auto"/>
          <w:spacing w:val="-2"/>
          <w:sz w:val="24"/>
          <w:szCs w:val="24"/>
          <w:lang w:eastAsia="zh-CN"/>
        </w:rPr>
        <w:t>0.10ind/m3</w:t>
      </w:r>
      <w:r>
        <w:rPr>
          <w:rFonts w:ascii="Times New Roman" w:eastAsia="宋体" w:hAnsi="Times New Roman" w:cs="宋体" w:hint="eastAsia"/>
          <w:color w:val="auto"/>
          <w:spacing w:val="-2"/>
          <w:sz w:val="24"/>
          <w:szCs w:val="24"/>
          <w:lang w:eastAsia="zh-CN"/>
        </w:rPr>
        <w:t>；在</w:t>
      </w:r>
      <w:r>
        <w:rPr>
          <w:rFonts w:ascii="Times New Roman" w:eastAsia="宋体" w:hAnsi="Times New Roman" w:cs="宋体" w:hint="eastAsia"/>
          <w:color w:val="auto"/>
          <w:spacing w:val="-2"/>
          <w:sz w:val="24"/>
          <w:szCs w:val="24"/>
          <w:lang w:eastAsia="zh-CN"/>
        </w:rPr>
        <w:t>S1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S2</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S4</w:t>
      </w:r>
      <w:r>
        <w:rPr>
          <w:rFonts w:ascii="Times New Roman" w:eastAsia="宋体" w:hAnsi="Times New Roman" w:cs="宋体" w:hint="eastAsia"/>
          <w:color w:val="auto"/>
          <w:spacing w:val="-2"/>
          <w:sz w:val="24"/>
          <w:szCs w:val="24"/>
          <w:lang w:eastAsia="zh-CN"/>
        </w:rPr>
        <w:t>及</w:t>
      </w:r>
      <w:r>
        <w:rPr>
          <w:rFonts w:ascii="Times New Roman" w:eastAsia="宋体" w:hAnsi="Times New Roman" w:cs="宋体" w:hint="eastAsia"/>
          <w:color w:val="auto"/>
          <w:spacing w:val="-2"/>
          <w:sz w:val="24"/>
          <w:szCs w:val="24"/>
          <w:lang w:eastAsia="zh-CN"/>
        </w:rPr>
        <w:t>S7</w:t>
      </w:r>
      <w:r>
        <w:rPr>
          <w:rFonts w:ascii="Times New Roman" w:eastAsia="宋体" w:hAnsi="Times New Roman" w:cs="宋体" w:hint="eastAsia"/>
          <w:color w:val="auto"/>
          <w:spacing w:val="-2"/>
          <w:sz w:val="24"/>
          <w:szCs w:val="24"/>
          <w:lang w:eastAsia="zh-CN"/>
        </w:rPr>
        <w:t>站位调查到仔鱼，仔鱼丰度分别为</w:t>
      </w:r>
      <w:r>
        <w:rPr>
          <w:rFonts w:ascii="Times New Roman" w:eastAsia="宋体" w:hAnsi="Times New Roman" w:cs="宋体" w:hint="eastAsia"/>
          <w:color w:val="auto"/>
          <w:spacing w:val="-2"/>
          <w:sz w:val="24"/>
          <w:szCs w:val="24"/>
          <w:lang w:eastAsia="zh-CN"/>
        </w:rPr>
        <w:t>0.20</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0.10</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0.10</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0.33ind/m3</w:t>
      </w:r>
      <w:r>
        <w:rPr>
          <w:rFonts w:ascii="Times New Roman" w:eastAsia="宋体" w:hAnsi="Times New Roman" w:cs="宋体" w:hint="eastAsia"/>
          <w:color w:val="auto"/>
          <w:spacing w:val="-2"/>
          <w:sz w:val="24"/>
          <w:szCs w:val="24"/>
          <w:lang w:eastAsia="zh-CN"/>
        </w:rPr>
        <w:t>。调查到鱼卵及仔鱼均不是区域优势物种。</w:t>
      </w:r>
    </w:p>
    <w:p w14:paraId="7C3D774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本次调查，在铁炉港及龙江河水域均未调查到珍惜濒危底栖动物、鱼类等物种。</w:t>
      </w:r>
    </w:p>
    <w:p w14:paraId="5D1676CC"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102" w:name="_Toc13791"/>
      <w:r>
        <w:rPr>
          <w:rFonts w:ascii="Times New Roman" w:eastAsia="Times New Roman" w:hAnsi="Times New Roman" w:cs="Times New Roman" w:hint="eastAsia"/>
          <w:b/>
          <w:bCs/>
          <w:color w:val="auto"/>
          <w:spacing w:val="-3"/>
          <w:sz w:val="28"/>
          <w:szCs w:val="28"/>
          <w:lang w:eastAsia="zh-CN"/>
        </w:rPr>
        <w:lastRenderedPageBreak/>
        <w:t>3.1.6旅游资源</w:t>
      </w:r>
      <w:bookmarkEnd w:id="102"/>
    </w:p>
    <w:p w14:paraId="41D8685F"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本项目论证范围的旅游资源主要是三亚海棠湾国家海岸休闲园区、三亚蜈支洲岛旅游区和三亚热带海滨风景名胜区</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亚龙湾景区，旅游资源较为丰富，其分布见图</w:t>
      </w:r>
      <w:r>
        <w:rPr>
          <w:rFonts w:ascii="Times New Roman" w:eastAsia="宋体" w:hAnsi="Times New Roman" w:cs="宋体" w:hint="eastAsia"/>
          <w:color w:val="auto"/>
          <w:spacing w:val="-2"/>
          <w:sz w:val="24"/>
          <w:szCs w:val="24"/>
          <w:lang w:eastAsia="zh-CN"/>
        </w:rPr>
        <w:t>3.1.6-1</w:t>
      </w:r>
      <w:r>
        <w:rPr>
          <w:rFonts w:ascii="Times New Roman" w:eastAsia="宋体" w:hAnsi="Times New Roman" w:cs="宋体" w:hint="eastAsia"/>
          <w:color w:val="auto"/>
          <w:spacing w:val="-2"/>
          <w:sz w:val="24"/>
          <w:szCs w:val="24"/>
          <w:lang w:eastAsia="zh-CN"/>
        </w:rPr>
        <w:t>。</w:t>
      </w:r>
    </w:p>
    <w:p w14:paraId="2628CC72"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三亚海棠湾国家海岸休闲园区定位为“国家海岸”主题概念，海棠湾国家海岸旅游度假区以生态资源的保护和利用为出发点，基于优美环境资源和新的开发模式，形成拥有独特景观和新型旅游产品的公共旅游观光胜地及高端滨海旅游度假区。根据《三亚海棠湾国家海岸休闲园区控制性详细规划（修编）》，三亚海棠湾国家海岸休闲园区范围东至滨海（含蜈支洲岛），南至亚龙岭，西至东线高速公路</w:t>
      </w:r>
      <w:r>
        <w:rPr>
          <w:rFonts w:ascii="Times New Roman" w:eastAsia="宋体" w:hAnsi="Times New Roman" w:cs="宋体" w:hint="eastAsia"/>
          <w:color w:val="auto"/>
          <w:spacing w:val="-2"/>
          <w:sz w:val="24"/>
          <w:szCs w:val="24"/>
          <w:lang w:eastAsia="zh-CN"/>
        </w:rPr>
        <w:t>（含南田片区），北至龙楼岭，面积共</w:t>
      </w:r>
      <w:r>
        <w:rPr>
          <w:rFonts w:ascii="Times New Roman" w:eastAsia="宋体" w:hAnsi="Times New Roman" w:cs="宋体" w:hint="eastAsia"/>
          <w:color w:val="auto"/>
          <w:spacing w:val="-2"/>
          <w:sz w:val="24"/>
          <w:szCs w:val="24"/>
          <w:lang w:eastAsia="zh-CN"/>
        </w:rPr>
        <w:t>112.72km</w:t>
      </w:r>
      <w:r>
        <w:rPr>
          <w:rFonts w:ascii="Times New Roman" w:eastAsia="宋体" w:hAnsi="Times New Roman" w:cs="宋体" w:hint="eastAsia"/>
          <w:color w:val="auto"/>
          <w:spacing w:val="-2"/>
          <w:sz w:val="24"/>
          <w:szCs w:val="24"/>
          <w:vertAlign w:val="superscript"/>
          <w:lang w:eastAsia="zh-CN"/>
        </w:rPr>
        <w:t>2</w:t>
      </w:r>
      <w:r>
        <w:rPr>
          <w:rFonts w:ascii="Times New Roman" w:eastAsia="宋体" w:hAnsi="Times New Roman" w:cs="宋体" w:hint="eastAsia"/>
          <w:color w:val="auto"/>
          <w:spacing w:val="-2"/>
          <w:sz w:val="24"/>
          <w:szCs w:val="24"/>
          <w:lang w:eastAsia="zh-CN"/>
        </w:rPr>
        <w:t>。三大核心职能包括国际化的一站式旅游目的地、立足南海面向国际的旅游消费中心和立足三亚辐射南部省域的区域性服务中心。</w:t>
      </w:r>
    </w:p>
    <w:p w14:paraId="0637F348"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三亚蜈支洲岛旅游区位于中国海南省三亚市海棠湾，是国内首座集海上娱乐、特色潜水、高端酒店、美食餐饮与休闲观光于一身的海岛旅游度假胜地。蜈支洲岛拥有得天独厚的自然条件，引进国际先进的海上娱乐设备，打造一站式全方位的海岛旅游新标杆。具有潜水、拖伞、摩托艇、动感飞艇、海天飞舞等系列高端海上旅游娱乐产品。蜈支洲岛还建有海南首个海洋牧场，目前已成为示范性</w:t>
      </w:r>
      <w:r>
        <w:rPr>
          <w:rFonts w:ascii="Times New Roman" w:eastAsia="宋体" w:hAnsi="Times New Roman" w:cs="宋体" w:hint="eastAsia"/>
          <w:color w:val="auto"/>
          <w:spacing w:val="-2"/>
          <w:sz w:val="24"/>
          <w:szCs w:val="24"/>
          <w:lang w:eastAsia="zh-CN"/>
        </w:rPr>
        <w:t>海洋牧场。</w:t>
      </w:r>
    </w:p>
    <w:p w14:paraId="2B7CB7AC" w14:textId="77777777" w:rsidR="0075791A" w:rsidRDefault="00FB2864">
      <w:pPr>
        <w:spacing w:line="360" w:lineRule="auto"/>
        <w:ind w:firstLineChars="200" w:firstLine="480"/>
        <w:jc w:val="both"/>
        <w:rPr>
          <w:rFonts w:ascii="Times New Roman" w:eastAsia="宋体" w:hAnsi="Times New Roman" w:cs="宋体"/>
          <w:color w:val="auto"/>
          <w:spacing w:val="-2"/>
          <w:sz w:val="24"/>
          <w:szCs w:val="24"/>
          <w:lang w:eastAsia="zh-CN"/>
        </w:rPr>
      </w:pPr>
      <w:r>
        <w:rPr>
          <w:rFonts w:ascii="宋体" w:eastAsia="宋体" w:hAnsi="宋体" w:cs="宋体"/>
          <w:color w:val="auto"/>
          <w:sz w:val="24"/>
          <w:szCs w:val="24"/>
          <w:lang w:eastAsia="zh-CN"/>
        </w:rPr>
        <w:t>亚龙湾国家旅游度假区是国务院于</w:t>
      </w:r>
      <w:r>
        <w:rPr>
          <w:rFonts w:ascii="宋体" w:eastAsia="宋体" w:hAnsi="宋体" w:cs="宋体"/>
          <w:color w:val="auto"/>
          <w:sz w:val="24"/>
          <w:szCs w:val="24"/>
          <w:lang w:eastAsia="zh-CN"/>
        </w:rPr>
        <w:t>1992</w:t>
      </w:r>
      <w:r>
        <w:rPr>
          <w:rFonts w:ascii="宋体" w:eastAsia="宋体" w:hAnsi="宋体" w:cs="宋体"/>
          <w:color w:val="auto"/>
          <w:sz w:val="24"/>
          <w:szCs w:val="24"/>
          <w:lang w:eastAsia="zh-CN"/>
        </w:rPr>
        <w:t>年</w:t>
      </w:r>
      <w:r>
        <w:rPr>
          <w:rFonts w:ascii="宋体" w:eastAsia="宋体" w:hAnsi="宋体" w:cs="宋体"/>
          <w:color w:val="auto"/>
          <w:sz w:val="24"/>
          <w:szCs w:val="24"/>
          <w:lang w:eastAsia="zh-CN"/>
        </w:rPr>
        <w:t>10</w:t>
      </w:r>
      <w:r>
        <w:rPr>
          <w:rFonts w:ascii="宋体" w:eastAsia="宋体" w:hAnsi="宋体" w:cs="宋体"/>
          <w:color w:val="auto"/>
          <w:sz w:val="24"/>
          <w:szCs w:val="24"/>
          <w:lang w:eastAsia="zh-CN"/>
        </w:rPr>
        <w:t>月批准设立的，规划建设目标是国际一流旅游度假区，规划用地规模</w:t>
      </w:r>
      <w:r>
        <w:rPr>
          <w:rFonts w:ascii="宋体" w:eastAsia="宋体" w:hAnsi="宋体" w:cs="宋体"/>
          <w:color w:val="auto"/>
          <w:sz w:val="24"/>
          <w:szCs w:val="24"/>
          <w:lang w:eastAsia="zh-CN"/>
        </w:rPr>
        <w:t>18.6</w:t>
      </w:r>
      <w:r>
        <w:rPr>
          <w:rFonts w:ascii="宋体" w:eastAsia="宋体" w:hAnsi="宋体" w:cs="宋体"/>
          <w:color w:val="auto"/>
          <w:sz w:val="24"/>
          <w:szCs w:val="24"/>
          <w:lang w:eastAsia="zh-CN"/>
        </w:rPr>
        <w:t>平方公里，规划总人口规模为</w:t>
      </w:r>
      <w:r>
        <w:rPr>
          <w:rFonts w:ascii="宋体" w:eastAsia="宋体" w:hAnsi="宋体" w:cs="宋体"/>
          <w:color w:val="auto"/>
          <w:sz w:val="24"/>
          <w:szCs w:val="24"/>
          <w:lang w:eastAsia="zh-CN"/>
        </w:rPr>
        <w:t>4.5</w:t>
      </w:r>
      <w:r>
        <w:rPr>
          <w:rFonts w:ascii="宋体" w:eastAsia="宋体" w:hAnsi="宋体" w:cs="宋体"/>
          <w:color w:val="auto"/>
          <w:sz w:val="24"/>
          <w:szCs w:val="24"/>
          <w:lang w:eastAsia="zh-CN"/>
        </w:rPr>
        <w:t>万人（含六盘、博后两个村委会）。</w:t>
      </w:r>
      <w:r>
        <w:rPr>
          <w:rFonts w:ascii="宋体" w:eastAsia="宋体" w:hAnsi="宋体" w:cs="宋体"/>
          <w:color w:val="auto"/>
          <w:sz w:val="24"/>
          <w:szCs w:val="24"/>
          <w:lang w:eastAsia="zh-CN"/>
        </w:rPr>
        <w:t>2018</w:t>
      </w:r>
      <w:r>
        <w:rPr>
          <w:rFonts w:ascii="宋体" w:eastAsia="宋体" w:hAnsi="宋体" w:cs="宋体"/>
          <w:color w:val="auto"/>
          <w:sz w:val="24"/>
          <w:szCs w:val="24"/>
          <w:lang w:eastAsia="zh-CN"/>
        </w:rPr>
        <w:t>年</w:t>
      </w:r>
      <w:r>
        <w:rPr>
          <w:rFonts w:ascii="宋体" w:eastAsia="宋体" w:hAnsi="宋体" w:cs="宋体"/>
          <w:color w:val="auto"/>
          <w:sz w:val="24"/>
          <w:szCs w:val="24"/>
          <w:lang w:eastAsia="zh-CN"/>
        </w:rPr>
        <w:t>1</w:t>
      </w:r>
      <w:r>
        <w:rPr>
          <w:rFonts w:ascii="宋体" w:eastAsia="宋体" w:hAnsi="宋体" w:cs="宋体"/>
          <w:color w:val="auto"/>
          <w:sz w:val="24"/>
          <w:szCs w:val="24"/>
          <w:lang w:eastAsia="zh-CN"/>
        </w:rPr>
        <w:t>月</w:t>
      </w:r>
      <w:r>
        <w:rPr>
          <w:rFonts w:ascii="宋体" w:eastAsia="宋体" w:hAnsi="宋体" w:cs="宋体"/>
          <w:color w:val="auto"/>
          <w:sz w:val="24"/>
          <w:szCs w:val="24"/>
          <w:lang w:eastAsia="zh-CN"/>
        </w:rPr>
        <w:t>9</w:t>
      </w:r>
      <w:r>
        <w:rPr>
          <w:rFonts w:ascii="宋体" w:eastAsia="宋体" w:hAnsi="宋体" w:cs="宋体"/>
          <w:color w:val="auto"/>
          <w:sz w:val="24"/>
          <w:szCs w:val="24"/>
          <w:lang w:eastAsia="zh-CN"/>
        </w:rPr>
        <w:t>日，亚龙湾正式获评国家级旅游度假区，成为全国独一无二的具有热带风情的国家级旅游度假区。亚龙湾拥有</w:t>
      </w:r>
      <w:r>
        <w:rPr>
          <w:rFonts w:ascii="宋体" w:eastAsia="宋体" w:hAnsi="宋体" w:cs="宋体"/>
          <w:color w:val="auto"/>
          <w:sz w:val="24"/>
          <w:szCs w:val="24"/>
          <w:lang w:eastAsia="zh-CN"/>
        </w:rPr>
        <w:t>7.5</w:t>
      </w:r>
      <w:r>
        <w:rPr>
          <w:rFonts w:ascii="宋体" w:eastAsia="宋体" w:hAnsi="宋体" w:cs="宋体"/>
          <w:color w:val="auto"/>
          <w:sz w:val="24"/>
          <w:szCs w:val="24"/>
          <w:lang w:eastAsia="zh-CN"/>
        </w:rPr>
        <w:t>公里长的海湾，生态环境系统由山体、海域、沙滩、红树林等多种要素构成，地理位置得天独厚。</w:t>
      </w:r>
    </w:p>
    <w:p w14:paraId="6A9F02E5" w14:textId="77777777" w:rsidR="0075791A" w:rsidRDefault="0075791A">
      <w:pPr>
        <w:jc w:val="center"/>
        <w:rPr>
          <w:rFonts w:ascii="Times New Roman" w:eastAsia="宋体" w:hAnsi="Times New Roman" w:cs="宋体"/>
          <w:color w:val="auto"/>
          <w:spacing w:val="-4"/>
          <w:sz w:val="24"/>
          <w:szCs w:val="24"/>
          <w:lang w:eastAsia="zh-CN"/>
        </w:rPr>
      </w:pPr>
    </w:p>
    <w:p w14:paraId="713EFAFB"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3.1.6-1</w:t>
      </w:r>
      <w:r>
        <w:rPr>
          <w:rFonts w:ascii="Times New Roman" w:eastAsia="宋体" w:hAnsi="Times New Roman" w:cs="宋体" w:hint="eastAsia"/>
          <w:color w:val="auto"/>
          <w:spacing w:val="-4"/>
          <w:sz w:val="24"/>
          <w:szCs w:val="24"/>
          <w:lang w:eastAsia="zh-CN"/>
        </w:rPr>
        <w:t>本项目论证范围的旅游资源分布示意图</w:t>
      </w:r>
    </w:p>
    <w:p w14:paraId="182F6FB0"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r>
        <w:rPr>
          <w:rFonts w:ascii="Times New Roman" w:eastAsia="Times New Roman" w:hAnsi="Times New Roman" w:cs="Times New Roman" w:hint="eastAsia"/>
          <w:b/>
          <w:bCs/>
          <w:color w:val="auto"/>
          <w:spacing w:val="-3"/>
          <w:sz w:val="28"/>
          <w:szCs w:val="28"/>
          <w:lang w:eastAsia="zh-CN"/>
        </w:rPr>
        <w:t>3.1.7 海洋生态资源</w:t>
      </w:r>
    </w:p>
    <w:p w14:paraId="6EDC7A31"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红树林资源</w:t>
      </w:r>
    </w:p>
    <w:p w14:paraId="1B48A00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参照《中国植被》</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吴征镒，</w:t>
      </w:r>
      <w:r>
        <w:rPr>
          <w:rFonts w:ascii="Times New Roman" w:eastAsia="宋体" w:hAnsi="Times New Roman" w:cs="宋体" w:hint="eastAsia"/>
          <w:color w:val="auto"/>
          <w:spacing w:val="-2"/>
          <w:sz w:val="24"/>
          <w:szCs w:val="24"/>
          <w:lang w:eastAsia="zh-CN"/>
        </w:rPr>
        <w:t>1980)</w:t>
      </w:r>
      <w:r>
        <w:rPr>
          <w:rFonts w:ascii="Times New Roman" w:eastAsia="宋体" w:hAnsi="Times New Roman" w:cs="宋体" w:hint="eastAsia"/>
          <w:color w:val="auto"/>
          <w:spacing w:val="-2"/>
          <w:sz w:val="24"/>
          <w:szCs w:val="24"/>
          <w:lang w:eastAsia="zh-CN"/>
        </w:rPr>
        <w:t>，中华人民共和国植被图（</w:t>
      </w:r>
      <w:r>
        <w:rPr>
          <w:rFonts w:ascii="Times New Roman" w:eastAsia="宋体" w:hAnsi="Times New Roman" w:cs="宋体" w:hint="eastAsia"/>
          <w:color w:val="auto"/>
          <w:spacing w:val="-2"/>
          <w:sz w:val="24"/>
          <w:szCs w:val="24"/>
          <w:lang w:eastAsia="zh-CN"/>
        </w:rPr>
        <w:t>1:1000000</w:t>
      </w:r>
      <w:r>
        <w:rPr>
          <w:rFonts w:ascii="Times New Roman" w:eastAsia="宋体" w:hAnsi="Times New Roman" w:cs="宋体" w:hint="eastAsia"/>
          <w:color w:val="auto"/>
          <w:spacing w:val="-2"/>
          <w:sz w:val="24"/>
          <w:szCs w:val="24"/>
          <w:lang w:eastAsia="zh-CN"/>
        </w:rPr>
        <w:t>）（中国科学院中国植被图编辑委员会，</w:t>
      </w:r>
      <w:r>
        <w:rPr>
          <w:rFonts w:ascii="Times New Roman" w:eastAsia="宋体" w:hAnsi="Times New Roman" w:cs="宋体" w:hint="eastAsia"/>
          <w:color w:val="auto"/>
          <w:spacing w:val="-2"/>
          <w:sz w:val="24"/>
          <w:szCs w:val="24"/>
          <w:lang w:eastAsia="zh-CN"/>
        </w:rPr>
        <w:t>2007</w:t>
      </w:r>
      <w:r>
        <w:rPr>
          <w:rFonts w:ascii="Times New Roman" w:eastAsia="宋体" w:hAnsi="Times New Roman" w:cs="宋体" w:hint="eastAsia"/>
          <w:color w:val="auto"/>
          <w:spacing w:val="-2"/>
          <w:sz w:val="24"/>
          <w:szCs w:val="24"/>
          <w:lang w:eastAsia="zh-CN"/>
        </w:rPr>
        <w:t>）与《中国被及其地理格局》（中国科学院中国植被图编辑委员会，</w:t>
      </w:r>
      <w:r>
        <w:rPr>
          <w:rFonts w:ascii="Times New Roman" w:eastAsia="宋体" w:hAnsi="Times New Roman" w:cs="宋体" w:hint="eastAsia"/>
          <w:color w:val="auto"/>
          <w:spacing w:val="-2"/>
          <w:sz w:val="24"/>
          <w:szCs w:val="24"/>
          <w:lang w:eastAsia="zh-CN"/>
        </w:rPr>
        <w:t>2007</w:t>
      </w:r>
      <w:r>
        <w:rPr>
          <w:rFonts w:ascii="Times New Roman" w:eastAsia="宋体" w:hAnsi="Times New Roman" w:cs="宋体" w:hint="eastAsia"/>
          <w:color w:val="auto"/>
          <w:spacing w:val="-2"/>
          <w:sz w:val="24"/>
          <w:szCs w:val="24"/>
          <w:lang w:eastAsia="zh-CN"/>
        </w:rPr>
        <w:t>）进行分类，铁炉港保护区的被型以红树林为主，少量为城市公园植被，可划分为</w:t>
      </w:r>
      <w:r>
        <w:rPr>
          <w:rFonts w:ascii="Times New Roman" w:eastAsia="宋体" w:hAnsi="Times New Roman" w:cs="宋体" w:hint="eastAsia"/>
          <w:color w:val="auto"/>
          <w:spacing w:val="-2"/>
          <w:sz w:val="24"/>
          <w:szCs w:val="24"/>
          <w:lang w:eastAsia="zh-CN"/>
        </w:rPr>
        <w:t>6</w:t>
      </w:r>
      <w:r>
        <w:rPr>
          <w:rFonts w:ascii="Times New Roman" w:eastAsia="宋体" w:hAnsi="Times New Roman" w:cs="宋体" w:hint="eastAsia"/>
          <w:color w:val="auto"/>
          <w:spacing w:val="-2"/>
          <w:sz w:val="24"/>
          <w:szCs w:val="24"/>
          <w:lang w:eastAsia="zh-CN"/>
        </w:rPr>
        <w:t>个群系，</w:t>
      </w:r>
      <w:r>
        <w:rPr>
          <w:rFonts w:ascii="Times New Roman" w:eastAsia="宋体" w:hAnsi="Times New Roman" w:cs="宋体" w:hint="eastAsia"/>
          <w:color w:val="auto"/>
          <w:spacing w:val="-2"/>
          <w:sz w:val="24"/>
          <w:szCs w:val="24"/>
          <w:lang w:eastAsia="zh-CN"/>
        </w:rPr>
        <w:t>12</w:t>
      </w:r>
      <w:r>
        <w:rPr>
          <w:rFonts w:ascii="Times New Roman" w:eastAsia="宋体" w:hAnsi="Times New Roman" w:cs="宋体" w:hint="eastAsia"/>
          <w:color w:val="auto"/>
          <w:spacing w:val="-2"/>
          <w:sz w:val="24"/>
          <w:szCs w:val="24"/>
          <w:lang w:eastAsia="zh-CN"/>
        </w:rPr>
        <w:t>个群丛类型，其中红树林有白骨壤群系、海桑群系、红树群系、木榄群系</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种，涉及红树林群丛类型较多主要群丛类型分布不一，保护区以正红树群丛、白骨壤群丛、木榄</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角果木</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榄李群丛为主，另新种植红树群丛主要为木榄、角果木、榄李群丛。</w:t>
      </w:r>
    </w:p>
    <w:p w14:paraId="4C306B63"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lastRenderedPageBreak/>
        <w:t>根据</w:t>
      </w:r>
      <w:r>
        <w:rPr>
          <w:rFonts w:ascii="Times New Roman" w:eastAsia="宋体" w:hAnsi="Times New Roman" w:cs="宋体" w:hint="eastAsia"/>
          <w:color w:val="auto"/>
          <w:spacing w:val="-2"/>
          <w:sz w:val="24"/>
          <w:szCs w:val="24"/>
          <w:lang w:eastAsia="zh-CN"/>
        </w:rPr>
        <w:t>2022</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国家林业和草原局中南调查规划院在铁炉港红树林调查，保护区内共有红树植物</w:t>
      </w:r>
      <w:r>
        <w:rPr>
          <w:rFonts w:ascii="Times New Roman" w:eastAsia="宋体" w:hAnsi="Times New Roman" w:cs="宋体" w:hint="eastAsia"/>
          <w:color w:val="auto"/>
          <w:spacing w:val="-2"/>
          <w:sz w:val="24"/>
          <w:szCs w:val="24"/>
          <w:lang w:eastAsia="zh-CN"/>
        </w:rPr>
        <w:t>17</w:t>
      </w:r>
      <w:r>
        <w:rPr>
          <w:rFonts w:ascii="Times New Roman" w:eastAsia="宋体" w:hAnsi="Times New Roman" w:cs="宋体" w:hint="eastAsia"/>
          <w:color w:val="auto"/>
          <w:spacing w:val="-2"/>
          <w:sz w:val="24"/>
          <w:szCs w:val="24"/>
          <w:lang w:eastAsia="zh-CN"/>
        </w:rPr>
        <w:t>科</w:t>
      </w:r>
      <w:r>
        <w:rPr>
          <w:rFonts w:ascii="Times New Roman" w:eastAsia="宋体" w:hAnsi="Times New Roman" w:cs="宋体" w:hint="eastAsia"/>
          <w:color w:val="auto"/>
          <w:spacing w:val="-2"/>
          <w:sz w:val="24"/>
          <w:szCs w:val="24"/>
          <w:lang w:eastAsia="zh-CN"/>
        </w:rPr>
        <w:t>26</w:t>
      </w:r>
      <w:r>
        <w:rPr>
          <w:rFonts w:ascii="Times New Roman" w:eastAsia="宋体" w:hAnsi="Times New Roman" w:cs="宋体" w:hint="eastAsia"/>
          <w:color w:val="auto"/>
          <w:spacing w:val="-2"/>
          <w:sz w:val="24"/>
          <w:szCs w:val="24"/>
          <w:lang w:eastAsia="zh-CN"/>
        </w:rPr>
        <w:t>种，其中天然分布</w:t>
      </w:r>
      <w:r>
        <w:rPr>
          <w:rFonts w:ascii="Times New Roman" w:eastAsia="宋体" w:hAnsi="Times New Roman" w:cs="宋体" w:hint="eastAsia"/>
          <w:color w:val="auto"/>
          <w:spacing w:val="-2"/>
          <w:sz w:val="24"/>
          <w:szCs w:val="24"/>
          <w:lang w:eastAsia="zh-CN"/>
        </w:rPr>
        <w:t>17</w:t>
      </w:r>
      <w:r>
        <w:rPr>
          <w:rFonts w:ascii="Times New Roman" w:eastAsia="宋体" w:hAnsi="Times New Roman" w:cs="宋体" w:hint="eastAsia"/>
          <w:color w:val="auto"/>
          <w:spacing w:val="-2"/>
          <w:sz w:val="24"/>
          <w:szCs w:val="24"/>
          <w:lang w:eastAsia="zh-CN"/>
        </w:rPr>
        <w:t>科</w:t>
      </w:r>
      <w:r>
        <w:rPr>
          <w:rFonts w:ascii="Times New Roman" w:eastAsia="宋体" w:hAnsi="Times New Roman" w:cs="宋体" w:hint="eastAsia"/>
          <w:color w:val="auto"/>
          <w:spacing w:val="-2"/>
          <w:sz w:val="24"/>
          <w:szCs w:val="24"/>
          <w:lang w:eastAsia="zh-CN"/>
        </w:rPr>
        <w:t>24</w:t>
      </w:r>
      <w:r>
        <w:rPr>
          <w:rFonts w:ascii="Times New Roman" w:eastAsia="宋体" w:hAnsi="Times New Roman" w:cs="宋体" w:hint="eastAsia"/>
          <w:color w:val="auto"/>
          <w:spacing w:val="-2"/>
          <w:sz w:val="24"/>
          <w:szCs w:val="24"/>
          <w:lang w:eastAsia="zh-CN"/>
        </w:rPr>
        <w:t>种，引种栽培</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科</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种。原生红树植物</w:t>
      </w:r>
      <w:r>
        <w:rPr>
          <w:rFonts w:ascii="Times New Roman" w:eastAsia="宋体" w:hAnsi="Times New Roman" w:cs="宋体" w:hint="eastAsia"/>
          <w:color w:val="auto"/>
          <w:spacing w:val="-2"/>
          <w:sz w:val="24"/>
          <w:szCs w:val="24"/>
          <w:lang w:eastAsia="zh-CN"/>
        </w:rPr>
        <w:t>24</w:t>
      </w:r>
      <w:r>
        <w:rPr>
          <w:rFonts w:ascii="Times New Roman" w:eastAsia="宋体" w:hAnsi="Times New Roman" w:cs="宋体" w:hint="eastAsia"/>
          <w:color w:val="auto"/>
          <w:spacing w:val="-2"/>
          <w:sz w:val="24"/>
          <w:szCs w:val="24"/>
          <w:lang w:eastAsia="zh-CN"/>
        </w:rPr>
        <w:t>种中真红树植物</w:t>
      </w:r>
      <w:r>
        <w:rPr>
          <w:rFonts w:ascii="Times New Roman" w:eastAsia="宋体" w:hAnsi="Times New Roman" w:cs="宋体" w:hint="eastAsia"/>
          <w:color w:val="auto"/>
          <w:spacing w:val="-2"/>
          <w:sz w:val="24"/>
          <w:szCs w:val="24"/>
          <w:lang w:eastAsia="zh-CN"/>
        </w:rPr>
        <w:t>15</w:t>
      </w:r>
      <w:r>
        <w:rPr>
          <w:rFonts w:ascii="Times New Roman" w:eastAsia="宋体" w:hAnsi="Times New Roman" w:cs="宋体" w:hint="eastAsia"/>
          <w:color w:val="auto"/>
          <w:spacing w:val="-2"/>
          <w:sz w:val="24"/>
          <w:szCs w:val="24"/>
          <w:lang w:eastAsia="zh-CN"/>
        </w:rPr>
        <w:t>种、半红树植物</w:t>
      </w:r>
      <w:r>
        <w:rPr>
          <w:rFonts w:ascii="Times New Roman" w:eastAsia="宋体" w:hAnsi="Times New Roman" w:cs="宋体" w:hint="eastAsia"/>
          <w:color w:val="auto"/>
          <w:spacing w:val="-2"/>
          <w:sz w:val="24"/>
          <w:szCs w:val="24"/>
          <w:lang w:eastAsia="zh-CN"/>
        </w:rPr>
        <w:t>9</w:t>
      </w:r>
      <w:r>
        <w:rPr>
          <w:rFonts w:ascii="Times New Roman" w:eastAsia="宋体" w:hAnsi="Times New Roman" w:cs="宋体" w:hint="eastAsia"/>
          <w:color w:val="auto"/>
          <w:spacing w:val="-2"/>
          <w:sz w:val="24"/>
          <w:szCs w:val="24"/>
          <w:lang w:eastAsia="zh-CN"/>
        </w:rPr>
        <w:t>种，占中国红树植物总数的</w:t>
      </w:r>
      <w:r>
        <w:rPr>
          <w:rFonts w:ascii="Times New Roman" w:eastAsia="宋体" w:hAnsi="Times New Roman" w:cs="宋体" w:hint="eastAsia"/>
          <w:color w:val="auto"/>
          <w:spacing w:val="-2"/>
          <w:sz w:val="24"/>
          <w:szCs w:val="24"/>
          <w:lang w:eastAsia="zh-CN"/>
        </w:rPr>
        <w:t>66.67%</w:t>
      </w:r>
      <w:r>
        <w:rPr>
          <w:rFonts w:ascii="Times New Roman" w:eastAsia="宋体" w:hAnsi="Times New Roman" w:cs="宋体" w:hint="eastAsia"/>
          <w:color w:val="auto"/>
          <w:spacing w:val="-2"/>
          <w:sz w:val="24"/>
          <w:szCs w:val="24"/>
          <w:lang w:eastAsia="zh-CN"/>
        </w:rPr>
        <w:t>。国家</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级重点保护野生植物</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种，红榄季（</w:t>
      </w:r>
      <w:r>
        <w:rPr>
          <w:rFonts w:ascii="Times New Roman" w:eastAsia="宋体" w:hAnsi="Times New Roman" w:cs="宋体" w:hint="eastAsia"/>
          <w:color w:val="auto"/>
          <w:spacing w:val="-2"/>
          <w:sz w:val="24"/>
          <w:szCs w:val="24"/>
          <w:lang w:eastAsia="zh-CN"/>
        </w:rPr>
        <w:t>Lumniteralittorea</w:t>
      </w:r>
      <w:r>
        <w:rPr>
          <w:rFonts w:ascii="Times New Roman" w:eastAsia="宋体" w:hAnsi="Times New Roman" w:cs="宋体" w:hint="eastAsia"/>
          <w:color w:val="auto"/>
          <w:spacing w:val="-2"/>
          <w:sz w:val="24"/>
          <w:szCs w:val="24"/>
          <w:lang w:eastAsia="zh-CN"/>
        </w:rPr>
        <w:t>），国家Ⅱ级重点保护野生植物</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种，木果棟（</w:t>
      </w:r>
      <w:r>
        <w:rPr>
          <w:rFonts w:ascii="Times New Roman" w:eastAsia="宋体" w:hAnsi="Times New Roman" w:cs="宋体" w:hint="eastAsia"/>
          <w:color w:val="auto"/>
          <w:spacing w:val="-2"/>
          <w:sz w:val="24"/>
          <w:szCs w:val="24"/>
          <w:lang w:eastAsia="zh-CN"/>
        </w:rPr>
        <w:t>Xylocarpusgranatum</w:t>
      </w:r>
      <w:r>
        <w:rPr>
          <w:rFonts w:ascii="Times New Roman" w:eastAsia="宋体" w:hAnsi="Times New Roman" w:cs="宋体" w:hint="eastAsia"/>
          <w:color w:val="auto"/>
          <w:spacing w:val="-2"/>
          <w:sz w:val="24"/>
          <w:szCs w:val="24"/>
          <w:lang w:eastAsia="zh-CN"/>
        </w:rPr>
        <w:t>）。海南省重点保护植物</w:t>
      </w:r>
      <w:r>
        <w:rPr>
          <w:rFonts w:ascii="Times New Roman" w:eastAsia="宋体" w:hAnsi="Times New Roman" w:cs="宋体" w:hint="eastAsia"/>
          <w:color w:val="auto"/>
          <w:spacing w:val="-2"/>
          <w:sz w:val="24"/>
          <w:szCs w:val="24"/>
          <w:lang w:eastAsia="zh-CN"/>
        </w:rPr>
        <w:t>16</w:t>
      </w:r>
      <w:r>
        <w:rPr>
          <w:rFonts w:ascii="Times New Roman" w:eastAsia="宋体" w:hAnsi="Times New Roman" w:cs="宋体" w:hint="eastAsia"/>
          <w:color w:val="auto"/>
          <w:spacing w:val="-2"/>
          <w:sz w:val="24"/>
          <w:szCs w:val="24"/>
          <w:lang w:eastAsia="zh-CN"/>
        </w:rPr>
        <w:t>种，分别为瓶花木（</w:t>
      </w:r>
      <w:r>
        <w:rPr>
          <w:rFonts w:ascii="Times New Roman" w:eastAsia="宋体" w:hAnsi="Times New Roman" w:cs="宋体" w:hint="eastAsia"/>
          <w:color w:val="auto"/>
          <w:spacing w:val="-2"/>
          <w:sz w:val="24"/>
          <w:szCs w:val="24"/>
          <w:lang w:eastAsia="zh-CN"/>
        </w:rPr>
        <w:t>Scyphiphorahydrophyllacea</w:t>
      </w:r>
      <w:r>
        <w:rPr>
          <w:rFonts w:ascii="Times New Roman" w:eastAsia="宋体" w:hAnsi="Times New Roman" w:cs="宋体" w:hint="eastAsia"/>
          <w:color w:val="auto"/>
          <w:spacing w:val="-2"/>
          <w:sz w:val="24"/>
          <w:szCs w:val="24"/>
          <w:lang w:eastAsia="zh-CN"/>
        </w:rPr>
        <w:t>）、正红树（</w:t>
      </w:r>
      <w:r>
        <w:rPr>
          <w:rFonts w:ascii="Times New Roman" w:eastAsia="宋体" w:hAnsi="Times New Roman" w:cs="宋体" w:hint="eastAsia"/>
          <w:color w:val="auto"/>
          <w:spacing w:val="-2"/>
          <w:sz w:val="24"/>
          <w:szCs w:val="24"/>
          <w:lang w:eastAsia="zh-CN"/>
        </w:rPr>
        <w:t>Rhizophoraapiculata)</w:t>
      </w:r>
      <w:r>
        <w:rPr>
          <w:rFonts w:ascii="Times New Roman" w:eastAsia="宋体" w:hAnsi="Times New Roman" w:cs="宋体" w:hint="eastAsia"/>
          <w:color w:val="auto"/>
          <w:spacing w:val="-2"/>
          <w:sz w:val="24"/>
          <w:szCs w:val="24"/>
          <w:lang w:eastAsia="zh-CN"/>
        </w:rPr>
        <w:t>、海莲（</w:t>
      </w:r>
      <w:r>
        <w:rPr>
          <w:rFonts w:ascii="Times New Roman" w:eastAsia="宋体" w:hAnsi="Times New Roman" w:cs="宋体" w:hint="eastAsia"/>
          <w:color w:val="auto"/>
          <w:spacing w:val="-2"/>
          <w:sz w:val="24"/>
          <w:szCs w:val="24"/>
          <w:lang w:eastAsia="zh-CN"/>
        </w:rPr>
        <w:t>Bruguierasexangula</w:t>
      </w:r>
      <w:r>
        <w:rPr>
          <w:rFonts w:ascii="Times New Roman" w:eastAsia="宋体" w:hAnsi="Times New Roman" w:cs="宋体" w:hint="eastAsia"/>
          <w:color w:val="auto"/>
          <w:spacing w:val="-2"/>
          <w:sz w:val="24"/>
          <w:szCs w:val="24"/>
          <w:lang w:eastAsia="zh-CN"/>
        </w:rPr>
        <w:t>）、木榄</w:t>
      </w:r>
      <w:r>
        <w:rPr>
          <w:rFonts w:ascii="Times New Roman" w:eastAsia="宋体" w:hAnsi="Times New Roman" w:cs="宋体" w:hint="eastAsia"/>
          <w:color w:val="auto"/>
          <w:spacing w:val="-2"/>
          <w:sz w:val="24"/>
          <w:szCs w:val="24"/>
          <w:lang w:eastAsia="zh-CN"/>
        </w:rPr>
        <w:t>(Bruguieragymnorrhiza</w:t>
      </w:r>
      <w:r>
        <w:rPr>
          <w:rFonts w:ascii="Times New Roman" w:eastAsia="宋体" w:hAnsi="Times New Roman" w:cs="宋体" w:hint="eastAsia"/>
          <w:color w:val="auto"/>
          <w:spacing w:val="-2"/>
          <w:sz w:val="24"/>
          <w:szCs w:val="24"/>
          <w:lang w:eastAsia="zh-CN"/>
        </w:rPr>
        <w:t>）等。此外，自然保护区的外来植物共计</w:t>
      </w:r>
      <w:r>
        <w:rPr>
          <w:rFonts w:ascii="Times New Roman" w:eastAsia="宋体" w:hAnsi="Times New Roman" w:cs="宋体" w:hint="eastAsia"/>
          <w:color w:val="auto"/>
          <w:spacing w:val="-2"/>
          <w:sz w:val="24"/>
          <w:szCs w:val="24"/>
          <w:lang w:eastAsia="zh-CN"/>
        </w:rPr>
        <w:t>46</w:t>
      </w:r>
      <w:r>
        <w:rPr>
          <w:rFonts w:ascii="Times New Roman" w:eastAsia="宋体" w:hAnsi="Times New Roman" w:cs="宋体" w:hint="eastAsia"/>
          <w:color w:val="auto"/>
          <w:spacing w:val="-2"/>
          <w:sz w:val="24"/>
          <w:szCs w:val="24"/>
          <w:lang w:eastAsia="zh-CN"/>
        </w:rPr>
        <w:t>种，其中栽培植物或逸为野生的共</w:t>
      </w:r>
      <w:r>
        <w:rPr>
          <w:rFonts w:ascii="Times New Roman" w:eastAsia="宋体" w:hAnsi="Times New Roman" w:cs="宋体" w:hint="eastAsia"/>
          <w:color w:val="auto"/>
          <w:spacing w:val="-2"/>
          <w:sz w:val="24"/>
          <w:szCs w:val="24"/>
          <w:lang w:eastAsia="zh-CN"/>
        </w:rPr>
        <w:t>38</w:t>
      </w:r>
      <w:r>
        <w:rPr>
          <w:rFonts w:ascii="Times New Roman" w:eastAsia="宋体" w:hAnsi="Times New Roman" w:cs="宋体" w:hint="eastAsia"/>
          <w:color w:val="auto"/>
          <w:spacing w:val="-2"/>
          <w:sz w:val="24"/>
          <w:szCs w:val="24"/>
          <w:lang w:eastAsia="zh-CN"/>
        </w:rPr>
        <w:t>种，入侵植物</w:t>
      </w:r>
      <w:r>
        <w:rPr>
          <w:rFonts w:ascii="Times New Roman" w:eastAsia="宋体" w:hAnsi="Times New Roman" w:cs="宋体" w:hint="eastAsia"/>
          <w:color w:val="auto"/>
          <w:spacing w:val="-2"/>
          <w:sz w:val="24"/>
          <w:szCs w:val="24"/>
          <w:lang w:eastAsia="zh-CN"/>
        </w:rPr>
        <w:t>8</w:t>
      </w:r>
      <w:r>
        <w:rPr>
          <w:rFonts w:ascii="Times New Roman" w:eastAsia="宋体" w:hAnsi="Times New Roman" w:cs="宋体" w:hint="eastAsia"/>
          <w:color w:val="auto"/>
          <w:spacing w:val="-2"/>
          <w:sz w:val="24"/>
          <w:szCs w:val="24"/>
          <w:lang w:eastAsia="zh-CN"/>
        </w:rPr>
        <w:t>种。入侵植物分布上占据潮间带至调查的上界，尤其在城镇、村庄附近、垦耕地、养鱼场等人为干扰较多的地方最多。基本上形成入侵植物的单优群丛。栽培植物中有红树植物</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种，分别为拉关木（</w:t>
      </w:r>
      <w:r>
        <w:rPr>
          <w:rFonts w:ascii="Times New Roman" w:eastAsia="宋体" w:hAnsi="Times New Roman" w:cs="宋体" w:hint="eastAsia"/>
          <w:color w:val="auto"/>
          <w:spacing w:val="-2"/>
          <w:sz w:val="24"/>
          <w:szCs w:val="24"/>
          <w:lang w:eastAsia="zh-CN"/>
        </w:rPr>
        <w:t>Lagunculariaracemosa</w:t>
      </w:r>
      <w:r>
        <w:rPr>
          <w:rFonts w:ascii="Times New Roman" w:eastAsia="宋体" w:hAnsi="Times New Roman" w:cs="宋体" w:hint="eastAsia"/>
          <w:color w:val="auto"/>
          <w:spacing w:val="-2"/>
          <w:sz w:val="24"/>
          <w:szCs w:val="24"/>
          <w:lang w:eastAsia="zh-CN"/>
        </w:rPr>
        <w:t>）、无瓣海桑（</w:t>
      </w:r>
      <w:r>
        <w:rPr>
          <w:rFonts w:ascii="Times New Roman" w:eastAsia="宋体" w:hAnsi="Times New Roman" w:cs="宋体" w:hint="eastAsia"/>
          <w:color w:val="auto"/>
          <w:spacing w:val="-2"/>
          <w:sz w:val="24"/>
          <w:szCs w:val="24"/>
          <w:lang w:eastAsia="zh-CN"/>
        </w:rPr>
        <w:t>Sonneratiaapetala</w:t>
      </w:r>
      <w:r>
        <w:rPr>
          <w:rFonts w:ascii="Times New Roman" w:eastAsia="宋体" w:hAnsi="Times New Roman" w:cs="宋体" w:hint="eastAsia"/>
          <w:color w:val="auto"/>
          <w:spacing w:val="-2"/>
          <w:sz w:val="24"/>
          <w:szCs w:val="24"/>
          <w:lang w:eastAsia="zh-CN"/>
        </w:rPr>
        <w:t>）。</w:t>
      </w:r>
    </w:p>
    <w:p w14:paraId="789480F0" w14:textId="77777777" w:rsidR="0075791A" w:rsidRDefault="00FB2864">
      <w:pPr>
        <w:jc w:val="center"/>
        <w:rPr>
          <w:rFonts w:ascii="Times New Roman" w:eastAsia="宋体" w:hAnsi="Times New Roman" w:cs="宋体"/>
          <w:color w:val="auto"/>
          <w:spacing w:val="-4"/>
          <w:sz w:val="24"/>
          <w:szCs w:val="24"/>
          <w:lang w:eastAsia="zh-CN"/>
        </w:rPr>
      </w:pPr>
      <w:r>
        <w:rPr>
          <w:noProof/>
          <w:color w:val="auto"/>
        </w:rPr>
        <w:drawing>
          <wp:inline distT="0" distB="0" distL="114300" distR="114300" wp14:anchorId="1529A19E" wp14:editId="7929E9C9">
            <wp:extent cx="5795645" cy="3966210"/>
            <wp:effectExtent l="0" t="0" r="0" b="0"/>
            <wp:docPr id="16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01"/>
                    <pic:cNvPicPr>
                      <a:picLocks noChangeAspect="1"/>
                    </pic:cNvPicPr>
                  </pic:nvPicPr>
                  <pic:blipFill>
                    <a:blip r:embed="rId44"/>
                    <a:srcRect b="3133"/>
                    <a:stretch>
                      <a:fillRect/>
                    </a:stretch>
                  </pic:blipFill>
                  <pic:spPr>
                    <a:xfrm>
                      <a:off x="0" y="0"/>
                      <a:ext cx="5795645" cy="3966210"/>
                    </a:xfrm>
                    <a:prstGeom prst="rect">
                      <a:avLst/>
                    </a:prstGeom>
                    <a:noFill/>
                    <a:ln>
                      <a:noFill/>
                    </a:ln>
                  </pic:spPr>
                </pic:pic>
              </a:graphicData>
            </a:graphic>
          </wp:inline>
        </w:drawing>
      </w:r>
    </w:p>
    <w:p w14:paraId="74237E6E"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 xml:space="preserve">3.1.7-1 </w:t>
      </w:r>
      <w:r>
        <w:rPr>
          <w:rFonts w:ascii="Times New Roman" w:eastAsia="宋体" w:hAnsi="Times New Roman" w:cs="宋体" w:hint="eastAsia"/>
          <w:color w:val="auto"/>
          <w:spacing w:val="-4"/>
          <w:sz w:val="24"/>
          <w:szCs w:val="24"/>
          <w:lang w:eastAsia="zh-CN"/>
        </w:rPr>
        <w:t>铁炉港红树林保护区红树林群落分布图</w:t>
      </w:r>
    </w:p>
    <w:p w14:paraId="10B63CE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珊瑚资源</w:t>
      </w:r>
    </w:p>
    <w:p w14:paraId="3A4BE00F" w14:textId="77777777" w:rsidR="0075791A" w:rsidRDefault="00FB2864">
      <w:pPr>
        <w:pStyle w:val="TableText"/>
        <w:spacing w:line="360" w:lineRule="auto"/>
        <w:ind w:firstLine="420"/>
        <w:jc w:val="both"/>
        <w:rPr>
          <w:rFonts w:ascii="Times New Roman" w:hAnsi="Times New Roman"/>
          <w:color w:val="auto"/>
          <w:spacing w:val="-2"/>
          <w:lang w:eastAsia="zh-CN"/>
        </w:rPr>
      </w:pPr>
      <w:r>
        <w:rPr>
          <w:rFonts w:ascii="Times New Roman" w:hAnsi="Times New Roman" w:hint="eastAsia"/>
          <w:color w:val="auto"/>
          <w:spacing w:val="-2"/>
          <w:lang w:eastAsia="zh-CN"/>
        </w:rPr>
        <w:t>后海湾附近海域硬珊瑚覆盖度为</w:t>
      </w:r>
      <w:r>
        <w:rPr>
          <w:rFonts w:ascii="Times New Roman" w:hAnsi="Times New Roman" w:hint="eastAsia"/>
          <w:color w:val="auto"/>
          <w:spacing w:val="-2"/>
          <w:lang w:eastAsia="zh-CN"/>
        </w:rPr>
        <w:t>0.00%</w:t>
      </w:r>
      <w:r>
        <w:rPr>
          <w:rFonts w:ascii="Times New Roman" w:hAnsi="Times New Roman" w:hint="eastAsia"/>
          <w:color w:val="auto"/>
          <w:spacing w:val="-2"/>
          <w:lang w:eastAsia="zh-CN"/>
        </w:rPr>
        <w:t>～</w:t>
      </w:r>
      <w:r>
        <w:rPr>
          <w:rFonts w:ascii="Times New Roman" w:hAnsi="Times New Roman" w:hint="eastAsia"/>
          <w:color w:val="auto"/>
          <w:spacing w:val="-2"/>
          <w:lang w:eastAsia="zh-CN"/>
        </w:rPr>
        <w:t>52.40%</w:t>
      </w:r>
      <w:r>
        <w:rPr>
          <w:rFonts w:ascii="Times New Roman" w:hAnsi="Times New Roman" w:hint="eastAsia"/>
          <w:color w:val="auto"/>
          <w:spacing w:val="-2"/>
          <w:lang w:eastAsia="zh-CN"/>
        </w:rPr>
        <w:t>，平均覆盖度为</w:t>
      </w:r>
      <w:r>
        <w:rPr>
          <w:rFonts w:ascii="Times New Roman" w:hAnsi="Times New Roman" w:hint="eastAsia"/>
          <w:color w:val="auto"/>
          <w:spacing w:val="-2"/>
          <w:lang w:eastAsia="zh-CN"/>
        </w:rPr>
        <w:t>18.12%</w:t>
      </w:r>
      <w:r>
        <w:rPr>
          <w:rFonts w:ascii="Times New Roman" w:hAnsi="Times New Roman" w:hint="eastAsia"/>
          <w:color w:val="auto"/>
          <w:spacing w:val="-2"/>
          <w:lang w:eastAsia="zh-CN"/>
        </w:rPr>
        <w:t>；平均软珊瑚覆盖度为</w:t>
      </w:r>
      <w:r>
        <w:rPr>
          <w:rFonts w:ascii="Times New Roman" w:hAnsi="Times New Roman" w:hint="eastAsia"/>
          <w:color w:val="auto"/>
          <w:spacing w:val="-2"/>
          <w:lang w:eastAsia="zh-CN"/>
        </w:rPr>
        <w:t xml:space="preserve"> 2.35%</w:t>
      </w:r>
      <w:r>
        <w:rPr>
          <w:rFonts w:ascii="Times New Roman" w:hAnsi="Times New Roman" w:hint="eastAsia"/>
          <w:color w:val="auto"/>
          <w:spacing w:val="-2"/>
          <w:lang w:eastAsia="zh-CN"/>
        </w:rPr>
        <w:t>，平均死珊瑚覆盖度为</w:t>
      </w:r>
      <w:r>
        <w:rPr>
          <w:rFonts w:ascii="Times New Roman" w:hAnsi="Times New Roman" w:hint="eastAsia"/>
          <w:color w:val="auto"/>
          <w:spacing w:val="-2"/>
          <w:lang w:eastAsia="zh-CN"/>
        </w:rPr>
        <w:t xml:space="preserve"> 0.01%</w:t>
      </w:r>
      <w:r>
        <w:rPr>
          <w:rFonts w:ascii="Times New Roman" w:hAnsi="Times New Roman" w:hint="eastAsia"/>
          <w:color w:val="auto"/>
          <w:spacing w:val="-2"/>
          <w:lang w:eastAsia="zh-CN"/>
        </w:rPr>
        <w:t>。调查共记录鉴定硬珊瑚</w:t>
      </w:r>
      <w:r>
        <w:rPr>
          <w:rFonts w:ascii="Times New Roman" w:hAnsi="Times New Roman" w:hint="eastAsia"/>
          <w:color w:val="auto"/>
          <w:spacing w:val="-2"/>
          <w:lang w:eastAsia="zh-CN"/>
        </w:rPr>
        <w:t xml:space="preserve"> 14 </w:t>
      </w:r>
      <w:r>
        <w:rPr>
          <w:rFonts w:ascii="Times New Roman" w:hAnsi="Times New Roman" w:hint="eastAsia"/>
          <w:color w:val="auto"/>
          <w:spacing w:val="-2"/>
          <w:lang w:eastAsia="zh-CN"/>
        </w:rPr>
        <w:t>科</w:t>
      </w:r>
      <w:r>
        <w:rPr>
          <w:rFonts w:ascii="Times New Roman" w:hAnsi="Times New Roman" w:hint="eastAsia"/>
          <w:color w:val="auto"/>
          <w:spacing w:val="-2"/>
          <w:lang w:eastAsia="zh-CN"/>
        </w:rPr>
        <w:t xml:space="preserve"> 36 </w:t>
      </w:r>
      <w:r>
        <w:rPr>
          <w:rFonts w:ascii="Times New Roman" w:hAnsi="Times New Roman" w:hint="eastAsia"/>
          <w:color w:val="auto"/>
          <w:spacing w:val="-2"/>
          <w:lang w:eastAsia="zh-CN"/>
        </w:rPr>
        <w:t>属</w:t>
      </w:r>
      <w:r>
        <w:rPr>
          <w:rFonts w:ascii="Times New Roman" w:hAnsi="Times New Roman" w:hint="eastAsia"/>
          <w:color w:val="auto"/>
          <w:spacing w:val="-2"/>
          <w:lang w:eastAsia="zh-CN"/>
        </w:rPr>
        <w:t xml:space="preserve"> 69 </w:t>
      </w:r>
      <w:r>
        <w:rPr>
          <w:rFonts w:ascii="Times New Roman" w:hAnsi="Times New Roman" w:hint="eastAsia"/>
          <w:color w:val="auto"/>
          <w:spacing w:val="-2"/>
          <w:lang w:eastAsia="zh-CN"/>
        </w:rPr>
        <w:t>种。优</w:t>
      </w:r>
      <w:r>
        <w:rPr>
          <w:rFonts w:ascii="Times New Roman" w:hAnsi="Times New Roman" w:hint="eastAsia"/>
          <w:color w:val="auto"/>
          <w:spacing w:val="-2"/>
          <w:lang w:eastAsia="zh-CN"/>
        </w:rPr>
        <w:t xml:space="preserve"> </w:t>
      </w:r>
      <w:r>
        <w:rPr>
          <w:rFonts w:ascii="Times New Roman" w:hAnsi="Times New Roman" w:hint="eastAsia"/>
          <w:color w:val="auto"/>
          <w:spacing w:val="-2"/>
          <w:lang w:eastAsia="zh-CN"/>
        </w:rPr>
        <w:t>势种类分别为橙黄滨珊瑚、秘密角蜂巢珊瑚等。调查共记录鉴定软珊瑚</w:t>
      </w:r>
      <w:r>
        <w:rPr>
          <w:rFonts w:ascii="Times New Roman" w:hAnsi="Times New Roman" w:hint="eastAsia"/>
          <w:color w:val="auto"/>
          <w:spacing w:val="-2"/>
          <w:lang w:eastAsia="zh-CN"/>
        </w:rPr>
        <w:t xml:space="preserve"> 9 </w:t>
      </w:r>
      <w:r>
        <w:rPr>
          <w:rFonts w:ascii="Times New Roman" w:hAnsi="Times New Roman" w:hint="eastAsia"/>
          <w:color w:val="auto"/>
          <w:spacing w:val="-2"/>
          <w:lang w:eastAsia="zh-CN"/>
        </w:rPr>
        <w:t>种。后海湾附近海域</w:t>
      </w:r>
      <w:r>
        <w:rPr>
          <w:rFonts w:ascii="Times New Roman" w:hAnsi="Times New Roman" w:hint="eastAsia"/>
          <w:color w:val="auto"/>
          <w:spacing w:val="-2"/>
          <w:lang w:eastAsia="zh-CN"/>
        </w:rPr>
        <w:t xml:space="preserve"> </w:t>
      </w:r>
      <w:r>
        <w:rPr>
          <w:rFonts w:ascii="Times New Roman" w:hAnsi="Times New Roman" w:hint="eastAsia"/>
          <w:color w:val="auto"/>
          <w:spacing w:val="-2"/>
          <w:lang w:eastAsia="zh-CN"/>
        </w:rPr>
        <w:t>硬珊瑚平均补充量为</w:t>
      </w:r>
      <w:r>
        <w:rPr>
          <w:rFonts w:ascii="Times New Roman" w:hAnsi="Times New Roman" w:hint="eastAsia"/>
          <w:color w:val="auto"/>
          <w:spacing w:val="-2"/>
          <w:lang w:eastAsia="zh-CN"/>
        </w:rPr>
        <w:t xml:space="preserve"> 0.01ind/m</w:t>
      </w:r>
      <w:r>
        <w:rPr>
          <w:rFonts w:ascii="Times New Roman" w:hAnsi="Times New Roman" w:hint="eastAsia"/>
          <w:color w:val="auto"/>
          <w:spacing w:val="-2"/>
          <w:vertAlign w:val="superscript"/>
          <w:lang w:eastAsia="zh-CN"/>
        </w:rPr>
        <w:t>2</w:t>
      </w:r>
      <w:r>
        <w:rPr>
          <w:rFonts w:ascii="Times New Roman" w:hAnsi="Times New Roman" w:hint="eastAsia"/>
          <w:color w:val="auto"/>
          <w:spacing w:val="-2"/>
          <w:lang w:eastAsia="zh-CN"/>
        </w:rPr>
        <w:t>。调查共记录鉴定大型藻类</w:t>
      </w:r>
      <w:r>
        <w:rPr>
          <w:rFonts w:ascii="Times New Roman" w:hAnsi="Times New Roman" w:hint="eastAsia"/>
          <w:color w:val="auto"/>
          <w:spacing w:val="-2"/>
          <w:lang w:eastAsia="zh-CN"/>
        </w:rPr>
        <w:t xml:space="preserve"> 9 </w:t>
      </w:r>
      <w:r>
        <w:rPr>
          <w:rFonts w:ascii="Times New Roman" w:hAnsi="Times New Roman" w:hint="eastAsia"/>
          <w:color w:val="auto"/>
          <w:spacing w:val="-2"/>
          <w:lang w:eastAsia="zh-CN"/>
        </w:rPr>
        <w:t>种，平均覆</w:t>
      </w:r>
      <w:r>
        <w:rPr>
          <w:rFonts w:ascii="Times New Roman" w:hAnsi="Times New Roman" w:hint="eastAsia"/>
          <w:color w:val="auto"/>
          <w:spacing w:val="-2"/>
          <w:lang w:eastAsia="zh-CN"/>
        </w:rPr>
        <w:lastRenderedPageBreak/>
        <w:t>盖度为</w:t>
      </w:r>
      <w:r>
        <w:rPr>
          <w:rFonts w:ascii="Times New Roman" w:hAnsi="Times New Roman" w:hint="eastAsia"/>
          <w:color w:val="auto"/>
          <w:spacing w:val="-2"/>
          <w:lang w:eastAsia="zh-CN"/>
        </w:rPr>
        <w:t xml:space="preserve"> 3.88%</w:t>
      </w:r>
      <w:r>
        <w:rPr>
          <w:rFonts w:ascii="Times New Roman" w:hAnsi="Times New Roman" w:hint="eastAsia"/>
          <w:color w:val="auto"/>
          <w:spacing w:val="-2"/>
          <w:lang w:eastAsia="zh-CN"/>
        </w:rPr>
        <w:t>。鉴定大型底栖</w:t>
      </w:r>
      <w:r>
        <w:rPr>
          <w:rFonts w:ascii="Times New Roman" w:hAnsi="Times New Roman" w:hint="eastAsia"/>
          <w:color w:val="auto"/>
          <w:spacing w:val="-2"/>
          <w:lang w:eastAsia="zh-CN"/>
        </w:rPr>
        <w:t xml:space="preserve"> 33 </w:t>
      </w:r>
      <w:r>
        <w:rPr>
          <w:rFonts w:ascii="Times New Roman" w:hAnsi="Times New Roman" w:hint="eastAsia"/>
          <w:color w:val="auto"/>
          <w:spacing w:val="-2"/>
          <w:lang w:eastAsia="zh-CN"/>
        </w:rPr>
        <w:t>种。平均珊瑚死亡率为</w:t>
      </w:r>
      <w:r>
        <w:rPr>
          <w:rFonts w:ascii="Times New Roman" w:hAnsi="Times New Roman" w:hint="eastAsia"/>
          <w:color w:val="auto"/>
          <w:spacing w:val="-2"/>
          <w:lang w:eastAsia="zh-CN"/>
        </w:rPr>
        <w:t xml:space="preserve"> 0.01%</w:t>
      </w:r>
      <w:r>
        <w:rPr>
          <w:rFonts w:ascii="Times New Roman" w:hAnsi="Times New Roman" w:hint="eastAsia"/>
          <w:color w:val="auto"/>
          <w:spacing w:val="-2"/>
          <w:lang w:eastAsia="zh-CN"/>
        </w:rPr>
        <w:t>。调查共记录鉴定珊瑚礁鱼类</w:t>
      </w:r>
      <w:r>
        <w:rPr>
          <w:rFonts w:ascii="Times New Roman" w:hAnsi="Times New Roman" w:hint="eastAsia"/>
          <w:color w:val="auto"/>
          <w:spacing w:val="-2"/>
          <w:lang w:eastAsia="zh-CN"/>
        </w:rPr>
        <w:t xml:space="preserve"> 15 </w:t>
      </w:r>
      <w:r>
        <w:rPr>
          <w:rFonts w:ascii="Times New Roman" w:hAnsi="Times New Roman" w:hint="eastAsia"/>
          <w:color w:val="auto"/>
          <w:spacing w:val="-2"/>
          <w:lang w:eastAsia="zh-CN"/>
        </w:rPr>
        <w:t>种。</w:t>
      </w:r>
    </w:p>
    <w:p w14:paraId="0BDF6D61" w14:textId="77777777" w:rsidR="0075791A" w:rsidRDefault="00FB2864">
      <w:pPr>
        <w:jc w:val="center"/>
        <w:rPr>
          <w:rFonts w:ascii="Times New Roman" w:eastAsia="宋体" w:hAnsi="Times New Roman" w:cs="宋体"/>
          <w:color w:val="auto"/>
          <w:sz w:val="24"/>
          <w:szCs w:val="24"/>
          <w:lang w:eastAsia="zh-CN"/>
        </w:rPr>
      </w:pPr>
      <w:r>
        <w:rPr>
          <w:rFonts w:ascii="Times New Roman" w:eastAsia="宋体" w:hAnsi="Times New Roman" w:cs="宋体"/>
          <w:noProof/>
          <w:color w:val="auto"/>
          <w:sz w:val="24"/>
          <w:szCs w:val="24"/>
          <w:lang w:eastAsia="zh-CN"/>
        </w:rPr>
        <w:drawing>
          <wp:inline distT="0" distB="0" distL="114300" distR="114300" wp14:anchorId="57FAB77C" wp14:editId="485DE670">
            <wp:extent cx="4613910" cy="3312160"/>
            <wp:effectExtent l="0" t="0" r="3810" b="10160"/>
            <wp:docPr id="162" name="图片 162" descr="论证范围内珊瑚礁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论证范围内珊瑚礁分布"/>
                    <pic:cNvPicPr>
                      <a:picLocks noChangeAspect="1"/>
                    </pic:cNvPicPr>
                  </pic:nvPicPr>
                  <pic:blipFill>
                    <a:blip r:embed="rId45"/>
                    <a:srcRect l="4030" t="2820" r="4999" b="4798"/>
                    <a:stretch>
                      <a:fillRect/>
                    </a:stretch>
                  </pic:blipFill>
                  <pic:spPr>
                    <a:xfrm>
                      <a:off x="0" y="0"/>
                      <a:ext cx="4613910" cy="3312160"/>
                    </a:xfrm>
                    <a:prstGeom prst="rect">
                      <a:avLst/>
                    </a:prstGeom>
                  </pic:spPr>
                </pic:pic>
              </a:graphicData>
            </a:graphic>
          </wp:inline>
        </w:drawing>
      </w:r>
    </w:p>
    <w:p w14:paraId="1573D21F" w14:textId="77777777" w:rsidR="0075791A" w:rsidRDefault="00FB2864">
      <w:pPr>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3.1.7-2</w:t>
      </w:r>
      <w:r>
        <w:rPr>
          <w:rFonts w:ascii="Times New Roman" w:eastAsia="宋体" w:hAnsi="Times New Roman" w:cs="宋体" w:hint="eastAsia"/>
          <w:color w:val="auto"/>
          <w:spacing w:val="-4"/>
          <w:sz w:val="24"/>
          <w:szCs w:val="24"/>
          <w:lang w:eastAsia="zh-CN"/>
        </w:rPr>
        <w:t>造醮石珊瑚分布</w:t>
      </w:r>
    </w:p>
    <w:p w14:paraId="1750A55D"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海草资源</w:t>
      </w:r>
    </w:p>
    <w:p w14:paraId="0BE499CF" w14:textId="77777777" w:rsidR="0075791A" w:rsidRDefault="00FB2864">
      <w:pPr>
        <w:pStyle w:val="TableText"/>
        <w:spacing w:line="360" w:lineRule="auto"/>
        <w:ind w:firstLineChars="200" w:firstLine="478"/>
        <w:jc w:val="both"/>
        <w:rPr>
          <w:rFonts w:ascii="Times New Roman" w:hAnsi="Times New Roman"/>
          <w:color w:val="auto"/>
          <w:lang w:eastAsia="zh-CN"/>
        </w:rPr>
      </w:pPr>
      <w:r>
        <w:rPr>
          <w:rFonts w:ascii="Times New Roman" w:hAnsi="Times New Roman" w:hint="eastAsia"/>
          <w:color w:val="auto"/>
          <w:spacing w:val="-1"/>
          <w:lang w:eastAsia="zh-CN"/>
        </w:rPr>
        <w:t>根据历史调查，</w:t>
      </w:r>
      <w:r>
        <w:rPr>
          <w:rFonts w:ascii="Times New Roman" w:hAnsi="Times New Roman"/>
          <w:color w:val="auto"/>
          <w:spacing w:val="-1"/>
          <w:lang w:eastAsia="zh-CN"/>
        </w:rPr>
        <w:t>海草主要分布在藤海社区后海渔港东侧和铁炉港内</w:t>
      </w:r>
      <w:r>
        <w:rPr>
          <w:rFonts w:ascii="Times New Roman" w:hAnsi="Times New Roman" w:hint="eastAsia"/>
          <w:color w:val="auto"/>
          <w:spacing w:val="-1"/>
          <w:lang w:eastAsia="zh-CN"/>
        </w:rPr>
        <w:t>，</w:t>
      </w:r>
      <w:r>
        <w:rPr>
          <w:rFonts w:ascii="Times New Roman" w:hAnsi="Times New Roman" w:hint="eastAsia"/>
          <w:color w:val="auto"/>
          <w:spacing w:val="-1"/>
          <w:lang w:eastAsia="zh-CN"/>
        </w:rPr>
        <w:t>如</w:t>
      </w:r>
      <w:r>
        <w:rPr>
          <w:rFonts w:ascii="Times New Roman" w:hAnsi="Times New Roman"/>
          <w:color w:val="auto"/>
          <w:spacing w:val="-1"/>
          <w:lang w:eastAsia="zh-CN"/>
        </w:rPr>
        <w:t>根据陈石泉等</w:t>
      </w:r>
      <w:r>
        <w:rPr>
          <w:rFonts w:ascii="Times New Roman" w:hAnsi="Times New Roman"/>
          <w:color w:val="auto"/>
          <w:spacing w:val="-23"/>
          <w:lang w:eastAsia="zh-CN"/>
        </w:rPr>
        <w:t xml:space="preserve"> </w:t>
      </w:r>
      <w:r>
        <w:rPr>
          <w:rFonts w:ascii="Times New Roman" w:hAnsi="Times New Roman"/>
          <w:color w:val="auto"/>
          <w:spacing w:val="-1"/>
          <w:lang w:eastAsia="zh-CN"/>
        </w:rPr>
        <w:t>2014</w:t>
      </w:r>
      <w:r>
        <w:rPr>
          <w:rFonts w:ascii="Times New Roman" w:hAnsi="Times New Roman"/>
          <w:color w:val="auto"/>
          <w:spacing w:val="-35"/>
          <w:lang w:eastAsia="zh-CN"/>
        </w:rPr>
        <w:t xml:space="preserve"> </w:t>
      </w:r>
      <w:r>
        <w:rPr>
          <w:rFonts w:ascii="Times New Roman" w:hAnsi="Times New Roman"/>
          <w:color w:val="auto"/>
          <w:spacing w:val="-1"/>
          <w:lang w:eastAsia="zh-CN"/>
        </w:rPr>
        <w:t>年对海南岛南部海草资源的现状调</w:t>
      </w:r>
      <w:r>
        <w:rPr>
          <w:rFonts w:ascii="Times New Roman" w:hAnsi="Times New Roman"/>
          <w:color w:val="auto"/>
          <w:spacing w:val="-2"/>
          <w:lang w:eastAsia="zh-CN"/>
        </w:rPr>
        <w:t>查分析，铁炉港潟湖内</w:t>
      </w:r>
      <w:r>
        <w:rPr>
          <w:rFonts w:ascii="Times New Roman" w:hAnsi="Times New Roman"/>
          <w:color w:val="auto"/>
          <w:spacing w:val="-32"/>
          <w:lang w:eastAsia="zh-CN"/>
        </w:rPr>
        <w:t xml:space="preserve"> </w:t>
      </w:r>
      <w:r>
        <w:rPr>
          <w:rFonts w:ascii="Times New Roman" w:hAnsi="Times New Roman"/>
          <w:color w:val="auto"/>
          <w:spacing w:val="-2"/>
          <w:lang w:eastAsia="zh-CN"/>
        </w:rPr>
        <w:t>2014</w:t>
      </w:r>
      <w:r>
        <w:rPr>
          <w:rFonts w:ascii="Times New Roman" w:hAnsi="Times New Roman"/>
          <w:color w:val="auto"/>
          <w:lang w:eastAsia="zh-CN"/>
        </w:rPr>
        <w:t xml:space="preserve"> </w:t>
      </w:r>
      <w:r>
        <w:rPr>
          <w:rFonts w:ascii="Times New Roman" w:hAnsi="Times New Roman"/>
          <w:color w:val="auto"/>
          <w:spacing w:val="-1"/>
          <w:lang w:eastAsia="zh-CN"/>
        </w:rPr>
        <w:t>年海草分布面积只有</w:t>
      </w:r>
      <w:r>
        <w:rPr>
          <w:rFonts w:ascii="Times New Roman" w:hAnsi="Times New Roman"/>
          <w:color w:val="auto"/>
          <w:spacing w:val="-26"/>
          <w:lang w:eastAsia="zh-CN"/>
        </w:rPr>
        <w:t xml:space="preserve"> </w:t>
      </w:r>
      <w:r>
        <w:rPr>
          <w:rFonts w:ascii="Times New Roman" w:hAnsi="Times New Roman"/>
          <w:color w:val="auto"/>
          <w:spacing w:val="-1"/>
          <w:lang w:eastAsia="zh-CN"/>
        </w:rPr>
        <w:t>0.04km</w:t>
      </w:r>
      <w:r>
        <w:rPr>
          <w:rFonts w:ascii="Times New Roman" w:hAnsi="Times New Roman" w:hint="eastAsia"/>
          <w:color w:val="auto"/>
          <w:spacing w:val="-1"/>
          <w:vertAlign w:val="superscript"/>
          <w:lang w:eastAsia="zh-CN"/>
        </w:rPr>
        <w:t>2</w:t>
      </w:r>
      <w:r>
        <w:rPr>
          <w:rFonts w:ascii="Times New Roman" w:hAnsi="Times New Roman"/>
          <w:color w:val="auto"/>
          <w:spacing w:val="-1"/>
          <w:lang w:eastAsia="zh-CN"/>
        </w:rPr>
        <w:t>，覆盖度为</w:t>
      </w:r>
      <w:r>
        <w:rPr>
          <w:rFonts w:ascii="Times New Roman" w:hAnsi="Times New Roman"/>
          <w:color w:val="auto"/>
          <w:spacing w:val="-1"/>
          <w:lang w:eastAsia="zh-CN"/>
        </w:rPr>
        <w:t xml:space="preserve"> 5.00%</w:t>
      </w:r>
      <w:r>
        <w:rPr>
          <w:rFonts w:ascii="Times New Roman" w:hAnsi="Times New Roman"/>
          <w:color w:val="auto"/>
          <w:spacing w:val="-1"/>
          <w:lang w:eastAsia="zh-CN"/>
        </w:rPr>
        <w:t>，主</w:t>
      </w:r>
      <w:r>
        <w:rPr>
          <w:rFonts w:ascii="Times New Roman" w:hAnsi="Times New Roman"/>
          <w:color w:val="auto"/>
          <w:spacing w:val="-2"/>
          <w:lang w:eastAsia="zh-CN"/>
        </w:rPr>
        <w:t>要分布有喜盐草和海菖蒲，喜盐草</w:t>
      </w:r>
      <w:r>
        <w:rPr>
          <w:rFonts w:ascii="Times New Roman" w:hAnsi="Times New Roman"/>
          <w:color w:val="auto"/>
          <w:lang w:eastAsia="zh-CN"/>
        </w:rPr>
        <w:t xml:space="preserve"> </w:t>
      </w:r>
      <w:r>
        <w:rPr>
          <w:rFonts w:ascii="Times New Roman" w:hAnsi="Times New Roman"/>
          <w:color w:val="auto"/>
          <w:spacing w:val="2"/>
          <w:lang w:eastAsia="zh-CN"/>
        </w:rPr>
        <w:t>分布面积较小，成斑块状或零星分布，海菖蒲零星分布。后海</w:t>
      </w:r>
      <w:r>
        <w:rPr>
          <w:rFonts w:ascii="Times New Roman" w:hAnsi="Times New Roman"/>
          <w:color w:val="auto"/>
          <w:spacing w:val="2"/>
          <w:lang w:eastAsia="zh-CN"/>
        </w:rPr>
        <w:t xml:space="preserve"> 2014 </w:t>
      </w:r>
      <w:r>
        <w:rPr>
          <w:rFonts w:ascii="Times New Roman" w:hAnsi="Times New Roman"/>
          <w:color w:val="auto"/>
          <w:spacing w:val="2"/>
          <w:lang w:eastAsia="zh-CN"/>
        </w:rPr>
        <w:t>年海草分布面积</w:t>
      </w:r>
      <w:r>
        <w:rPr>
          <w:rFonts w:ascii="Times New Roman" w:hAnsi="Times New Roman"/>
          <w:color w:val="auto"/>
          <w:spacing w:val="13"/>
          <w:lang w:eastAsia="zh-CN"/>
        </w:rPr>
        <w:t xml:space="preserve"> </w:t>
      </w:r>
      <w:r>
        <w:rPr>
          <w:rFonts w:ascii="Times New Roman" w:hAnsi="Times New Roman"/>
          <w:color w:val="auto"/>
          <w:spacing w:val="-1"/>
          <w:lang w:eastAsia="zh-CN"/>
        </w:rPr>
        <w:t>0.06km</w:t>
      </w:r>
      <w:r>
        <w:rPr>
          <w:rFonts w:ascii="Times New Roman" w:hAnsi="Times New Roman" w:hint="eastAsia"/>
          <w:color w:val="auto"/>
          <w:spacing w:val="-1"/>
          <w:vertAlign w:val="superscript"/>
          <w:lang w:eastAsia="zh-CN"/>
        </w:rPr>
        <w:t>2</w:t>
      </w:r>
      <w:r>
        <w:rPr>
          <w:rFonts w:ascii="Times New Roman" w:hAnsi="Times New Roman"/>
          <w:color w:val="auto"/>
          <w:spacing w:val="-1"/>
          <w:lang w:eastAsia="zh-CN"/>
        </w:rPr>
        <w:t>，覆盖度为</w:t>
      </w:r>
      <w:r>
        <w:rPr>
          <w:rFonts w:ascii="Times New Roman" w:hAnsi="Times New Roman"/>
          <w:color w:val="auto"/>
          <w:spacing w:val="-48"/>
          <w:lang w:eastAsia="zh-CN"/>
        </w:rPr>
        <w:t xml:space="preserve"> </w:t>
      </w:r>
      <w:r>
        <w:rPr>
          <w:rFonts w:ascii="Times New Roman" w:hAnsi="Times New Roman"/>
          <w:color w:val="auto"/>
          <w:spacing w:val="-1"/>
          <w:lang w:eastAsia="zh-CN"/>
        </w:rPr>
        <w:t>62.25%</w:t>
      </w:r>
      <w:r>
        <w:rPr>
          <w:rFonts w:ascii="Times New Roman" w:hAnsi="Times New Roman"/>
          <w:color w:val="auto"/>
          <w:spacing w:val="-1"/>
          <w:lang w:eastAsia="zh-CN"/>
        </w:rPr>
        <w:t>，主要分布为</w:t>
      </w:r>
      <w:r>
        <w:rPr>
          <w:rFonts w:ascii="Times New Roman" w:hAnsi="Times New Roman"/>
          <w:color w:val="auto"/>
          <w:spacing w:val="-2"/>
          <w:lang w:eastAsia="zh-CN"/>
        </w:rPr>
        <w:t>海神草和泰莱草，海神草分布于湾内侧，长势很好，呈片状分布，泰莱草分布于湾外侧，呈斑块状分布。</w:t>
      </w:r>
    </w:p>
    <w:p w14:paraId="5BED5671"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2024</w:t>
      </w:r>
      <w:r>
        <w:rPr>
          <w:rFonts w:ascii="Times New Roman" w:hAnsi="Times New Roman" w:hint="eastAsia"/>
          <w:color w:val="auto"/>
          <w:lang w:eastAsia="zh-CN"/>
        </w:rPr>
        <w:t>年</w:t>
      </w:r>
      <w:r>
        <w:rPr>
          <w:rFonts w:ascii="Times New Roman" w:hAnsi="Times New Roman" w:hint="eastAsia"/>
          <w:color w:val="auto"/>
          <w:lang w:eastAsia="zh-CN"/>
        </w:rPr>
        <w:t>8</w:t>
      </w:r>
      <w:r>
        <w:rPr>
          <w:rFonts w:ascii="Times New Roman" w:hAnsi="Times New Roman" w:hint="eastAsia"/>
          <w:color w:val="auto"/>
          <w:lang w:eastAsia="zh-CN"/>
        </w:rPr>
        <w:t>月</w:t>
      </w:r>
      <w:r>
        <w:rPr>
          <w:rFonts w:ascii="Times New Roman" w:hAnsi="Times New Roman" w:hint="eastAsia"/>
          <w:color w:val="auto"/>
          <w:lang w:eastAsia="zh-CN"/>
        </w:rPr>
        <w:t>14</w:t>
      </w:r>
      <w:r>
        <w:rPr>
          <w:rFonts w:ascii="Times New Roman" w:hAnsi="Times New Roman" w:hint="eastAsia"/>
          <w:color w:val="auto"/>
          <w:lang w:eastAsia="zh-CN"/>
        </w:rPr>
        <w:t>日，自然资源部南海生态中心在铁炉港附近海域进行海草分布进行了</w:t>
      </w:r>
      <w:r>
        <w:rPr>
          <w:rFonts w:ascii="Times New Roman" w:hAnsi="Times New Roman" w:hint="eastAsia"/>
          <w:color w:val="auto"/>
          <w:lang w:eastAsia="zh-CN"/>
        </w:rPr>
        <w:t>摸排</w:t>
      </w:r>
      <w:r>
        <w:rPr>
          <w:rFonts w:ascii="Times New Roman" w:hAnsi="Times New Roman" w:hint="eastAsia"/>
          <w:color w:val="auto"/>
          <w:lang w:eastAsia="zh-CN"/>
        </w:rPr>
        <w:t>调查。</w:t>
      </w:r>
      <w:r>
        <w:rPr>
          <w:rFonts w:ascii="Times New Roman" w:hAnsi="Times New Roman" w:hint="eastAsia"/>
          <w:color w:val="auto"/>
          <w:lang w:eastAsia="zh-CN"/>
        </w:rPr>
        <w:t>通过摸排，铁炉港内包括海草历史分布区已无海草分布，仅在</w:t>
      </w:r>
      <w:r>
        <w:rPr>
          <w:rFonts w:ascii="Times New Roman" w:hAnsi="Times New Roman"/>
          <w:color w:val="auto"/>
          <w:spacing w:val="-6"/>
          <w:lang w:eastAsia="zh-CN"/>
        </w:rPr>
        <w:t>后海岭西</w:t>
      </w:r>
      <w:r>
        <w:rPr>
          <w:rFonts w:ascii="Times New Roman" w:hAnsi="Times New Roman"/>
          <w:color w:val="auto"/>
          <w:spacing w:val="-4"/>
          <w:lang w:eastAsia="zh-CN"/>
        </w:rPr>
        <w:t>北侧海域</w:t>
      </w:r>
      <w:r>
        <w:rPr>
          <w:rFonts w:ascii="Times New Roman" w:hAnsi="Times New Roman" w:hint="eastAsia"/>
          <w:color w:val="auto"/>
          <w:spacing w:val="-4"/>
          <w:lang w:eastAsia="zh-CN"/>
        </w:rPr>
        <w:t>分布有海草。通过现场调查，后海海草分布面积约为</w:t>
      </w:r>
      <w:r>
        <w:rPr>
          <w:rFonts w:ascii="Times New Roman" w:hAnsi="Times New Roman" w:hint="eastAsia"/>
          <w:color w:val="auto"/>
          <w:spacing w:val="-4"/>
          <w:lang w:eastAsia="zh-CN"/>
        </w:rPr>
        <w:t>3.38</w:t>
      </w:r>
      <w:r>
        <w:rPr>
          <w:rFonts w:ascii="Times New Roman" w:hAnsi="Times New Roman" w:hint="eastAsia"/>
          <w:color w:val="auto"/>
          <w:spacing w:val="-4"/>
          <w:lang w:eastAsia="zh-CN"/>
        </w:rPr>
        <w:t>公顷，海草种类为</w:t>
      </w:r>
      <w:r>
        <w:rPr>
          <w:rFonts w:ascii="Times New Roman" w:hAnsi="Times New Roman"/>
          <w:color w:val="auto"/>
          <w:lang w:eastAsia="zh-CN"/>
        </w:rPr>
        <w:t>圆叶丝粉草（</w:t>
      </w:r>
      <w:r>
        <w:rPr>
          <w:rFonts w:ascii="Times New Roman" w:hAnsi="Times New Roman"/>
          <w:color w:val="auto"/>
          <w:lang w:eastAsia="zh-CN"/>
        </w:rPr>
        <w:t>Cymodocearotunda</w:t>
      </w:r>
      <w:r>
        <w:rPr>
          <w:rFonts w:ascii="Times New Roman" w:hAnsi="Times New Roman"/>
          <w:color w:val="auto"/>
          <w:lang w:eastAsia="zh-CN"/>
        </w:rPr>
        <w:t>）和泰来草（</w:t>
      </w:r>
      <w:r>
        <w:rPr>
          <w:rFonts w:ascii="Times New Roman" w:hAnsi="Times New Roman"/>
          <w:color w:val="auto"/>
          <w:lang w:eastAsia="zh-CN"/>
        </w:rPr>
        <w:t>Thalassiahemprichii</w:t>
      </w:r>
      <w:r>
        <w:rPr>
          <w:rFonts w:ascii="Times New Roman" w:hAnsi="Times New Roman"/>
          <w:color w:val="auto"/>
          <w:lang w:eastAsia="zh-CN"/>
        </w:rPr>
        <w:t>）</w:t>
      </w:r>
      <w:r>
        <w:rPr>
          <w:rFonts w:ascii="Times New Roman" w:hAnsi="Times New Roman" w:hint="eastAsia"/>
          <w:color w:val="auto"/>
          <w:lang w:eastAsia="zh-CN"/>
        </w:rPr>
        <w:t>。</w:t>
      </w:r>
    </w:p>
    <w:p w14:paraId="3B1A0864" w14:textId="77777777" w:rsidR="0075791A" w:rsidRDefault="0075791A">
      <w:pPr>
        <w:jc w:val="center"/>
        <w:rPr>
          <w:rFonts w:ascii="Times New Roman" w:eastAsia="宋体" w:hAnsi="Times New Roman" w:cs="宋体"/>
          <w:color w:val="auto"/>
          <w:spacing w:val="-4"/>
          <w:sz w:val="24"/>
          <w:szCs w:val="24"/>
          <w:lang w:eastAsia="zh-CN"/>
        </w:rPr>
      </w:pPr>
    </w:p>
    <w:p w14:paraId="70C0A7E9" w14:textId="77777777" w:rsidR="0075791A" w:rsidRDefault="00FB2864">
      <w:pPr>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3.1.7-3</w:t>
      </w:r>
      <w:r>
        <w:rPr>
          <w:rFonts w:ascii="Times New Roman" w:eastAsia="宋体" w:hAnsi="Times New Roman" w:cs="宋体" w:hint="eastAsia"/>
          <w:color w:val="auto"/>
          <w:spacing w:val="-4"/>
          <w:sz w:val="24"/>
          <w:szCs w:val="24"/>
          <w:lang w:eastAsia="zh-CN"/>
        </w:rPr>
        <w:t>海草床分布图（</w:t>
      </w:r>
      <w:r>
        <w:rPr>
          <w:rFonts w:ascii="Times New Roman" w:eastAsia="宋体" w:hAnsi="Times New Roman" w:cs="宋体" w:hint="eastAsia"/>
          <w:color w:val="auto"/>
          <w:spacing w:val="-4"/>
          <w:sz w:val="24"/>
          <w:szCs w:val="24"/>
          <w:lang w:eastAsia="zh-CN"/>
        </w:rPr>
        <w:t>2024</w:t>
      </w:r>
      <w:r>
        <w:rPr>
          <w:rFonts w:ascii="Times New Roman" w:eastAsia="宋体" w:hAnsi="Times New Roman" w:cs="宋体" w:hint="eastAsia"/>
          <w:color w:val="auto"/>
          <w:spacing w:val="-4"/>
          <w:sz w:val="24"/>
          <w:szCs w:val="24"/>
          <w:lang w:eastAsia="zh-CN"/>
        </w:rPr>
        <w:t>年</w:t>
      </w:r>
      <w:r>
        <w:rPr>
          <w:rFonts w:ascii="Times New Roman" w:eastAsia="宋体" w:hAnsi="Times New Roman" w:cs="宋体" w:hint="eastAsia"/>
          <w:color w:val="auto"/>
          <w:spacing w:val="-4"/>
          <w:sz w:val="24"/>
          <w:szCs w:val="24"/>
          <w:lang w:eastAsia="zh-CN"/>
        </w:rPr>
        <w:t>8</w:t>
      </w:r>
      <w:r>
        <w:rPr>
          <w:rFonts w:ascii="Times New Roman" w:eastAsia="宋体" w:hAnsi="Times New Roman" w:cs="宋体" w:hint="eastAsia"/>
          <w:color w:val="auto"/>
          <w:spacing w:val="-4"/>
          <w:sz w:val="24"/>
          <w:szCs w:val="24"/>
          <w:lang w:eastAsia="zh-CN"/>
        </w:rPr>
        <w:t>月）</w:t>
      </w:r>
    </w:p>
    <w:p w14:paraId="29F68FB4" w14:textId="77777777" w:rsidR="0075791A" w:rsidRDefault="0075791A">
      <w:pPr>
        <w:spacing w:line="360" w:lineRule="auto"/>
        <w:ind w:firstLineChars="200" w:firstLine="476"/>
        <w:jc w:val="both"/>
        <w:rPr>
          <w:rFonts w:ascii="Times New Roman" w:eastAsia="宋体" w:hAnsi="Times New Roman" w:cs="宋体"/>
          <w:color w:val="auto"/>
          <w:spacing w:val="-2"/>
          <w:sz w:val="24"/>
          <w:szCs w:val="24"/>
          <w:lang w:eastAsia="zh-CN"/>
        </w:rPr>
      </w:pPr>
    </w:p>
    <w:p w14:paraId="72F3C22E"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103" w:name="bookmark28"/>
      <w:bookmarkStart w:id="104" w:name="bookmark27"/>
      <w:bookmarkStart w:id="105" w:name="_Toc32181"/>
      <w:bookmarkStart w:id="106" w:name="_Toc5069"/>
      <w:bookmarkStart w:id="107" w:name="_Toc8595"/>
      <w:bookmarkEnd w:id="103"/>
      <w:bookmarkEnd w:id="104"/>
      <w:r>
        <w:rPr>
          <w:rFonts w:ascii="Times New Roman" w:eastAsia="宋体" w:hAnsi="Times New Roman" w:cs="Times New Roman" w:hint="eastAsia"/>
          <w:b/>
          <w:bCs/>
          <w:color w:val="auto"/>
          <w:spacing w:val="-6"/>
          <w:sz w:val="30"/>
          <w:szCs w:val="30"/>
          <w:lang w:eastAsia="zh-CN"/>
        </w:rPr>
        <w:t>3.</w:t>
      </w:r>
      <w:r>
        <w:rPr>
          <w:rFonts w:ascii="Times New Roman" w:eastAsia="Times New Roman" w:hAnsi="Times New Roman" w:cs="Times New Roman"/>
          <w:b/>
          <w:bCs/>
          <w:color w:val="auto"/>
          <w:spacing w:val="-6"/>
          <w:sz w:val="30"/>
          <w:szCs w:val="30"/>
          <w:lang w:eastAsia="zh-CN"/>
        </w:rPr>
        <w:t>2海洋生态概况</w:t>
      </w:r>
      <w:bookmarkEnd w:id="105"/>
      <w:bookmarkEnd w:id="106"/>
      <w:bookmarkEnd w:id="107"/>
    </w:p>
    <w:p w14:paraId="0C6D5E18"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108" w:name="_Toc4645"/>
      <w:r>
        <w:rPr>
          <w:rFonts w:ascii="Times New Roman" w:eastAsia="Times New Roman" w:hAnsi="Times New Roman" w:cs="Times New Roman" w:hint="eastAsia"/>
          <w:b/>
          <w:bCs/>
          <w:color w:val="auto"/>
          <w:spacing w:val="-3"/>
          <w:sz w:val="28"/>
          <w:szCs w:val="28"/>
          <w:lang w:eastAsia="zh-CN"/>
        </w:rPr>
        <w:t>3.2.1区域气候与气象</w:t>
      </w:r>
      <w:bookmarkEnd w:id="108"/>
    </w:p>
    <w:p w14:paraId="5ABF6A1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三亚地处海南岛南部沿海，属热带季风海洋性气候。基本特征为：四季不分明，夏无酷热，冬无严寒，</w:t>
      </w:r>
      <w:r>
        <w:rPr>
          <w:rFonts w:ascii="Times New Roman" w:eastAsia="宋体" w:hAnsi="Times New Roman" w:cs="宋体" w:hint="eastAsia"/>
          <w:color w:val="auto"/>
          <w:spacing w:val="-2"/>
          <w:sz w:val="24"/>
          <w:szCs w:val="24"/>
          <w:lang w:eastAsia="zh-CN"/>
        </w:rPr>
        <w:t>37</w:t>
      </w:r>
      <w:r>
        <w:rPr>
          <w:rFonts w:ascii="Times New Roman" w:eastAsia="宋体" w:hAnsi="Times New Roman" w:cs="宋体" w:hint="eastAsia"/>
          <w:color w:val="auto"/>
          <w:spacing w:val="-2"/>
          <w:sz w:val="24"/>
          <w:szCs w:val="24"/>
          <w:lang w:eastAsia="zh-CN"/>
        </w:rPr>
        <w:t>℃以上酷暑天气极少出现，终年温暖，四季常青，气温年较差小，</w:t>
      </w:r>
      <w:r>
        <w:rPr>
          <w:rFonts w:ascii="Times New Roman" w:eastAsia="宋体" w:hAnsi="Times New Roman" w:cs="宋体" w:hint="eastAsia"/>
          <w:color w:val="auto"/>
          <w:spacing w:val="-2"/>
          <w:sz w:val="24"/>
          <w:szCs w:val="24"/>
          <w:lang w:eastAsia="zh-CN"/>
        </w:rPr>
        <w:lastRenderedPageBreak/>
        <w:t>年平均气温高；干季、雨季明显，冬春干旱，夏秋多雨，多热带气旋；光、热、水资源丰富。</w:t>
      </w:r>
    </w:p>
    <w:p w14:paraId="7C5647CD"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本报告气温、降水、风况、湿度等资料均采用三亚市气象站自建站</w:t>
      </w:r>
      <w:r>
        <w:rPr>
          <w:rFonts w:ascii="Times New Roman" w:eastAsia="宋体" w:hAnsi="Times New Roman" w:cs="宋体" w:hint="eastAsia"/>
          <w:color w:val="auto"/>
          <w:spacing w:val="-2"/>
          <w:sz w:val="24"/>
          <w:szCs w:val="24"/>
          <w:lang w:eastAsia="zh-CN"/>
        </w:rPr>
        <w:t>1959</w:t>
      </w:r>
      <w:r>
        <w:rPr>
          <w:rFonts w:ascii="Times New Roman" w:eastAsia="宋体" w:hAnsi="Times New Roman" w:cs="宋体" w:hint="eastAsia"/>
          <w:color w:val="auto"/>
          <w:spacing w:val="-2"/>
          <w:sz w:val="24"/>
          <w:szCs w:val="24"/>
          <w:lang w:eastAsia="zh-CN"/>
        </w:rPr>
        <w:t>年至</w:t>
      </w:r>
      <w:r>
        <w:rPr>
          <w:rFonts w:ascii="Times New Roman" w:eastAsia="宋体" w:hAnsi="Times New Roman" w:cs="宋体" w:hint="eastAsia"/>
          <w:color w:val="auto"/>
          <w:spacing w:val="-2"/>
          <w:sz w:val="24"/>
          <w:szCs w:val="24"/>
          <w:lang w:eastAsia="zh-CN"/>
        </w:rPr>
        <w:t>2019</w:t>
      </w:r>
      <w:r>
        <w:rPr>
          <w:rFonts w:ascii="Times New Roman" w:eastAsia="宋体" w:hAnsi="Times New Roman" w:cs="宋体" w:hint="eastAsia"/>
          <w:color w:val="auto"/>
          <w:spacing w:val="-2"/>
          <w:sz w:val="24"/>
          <w:szCs w:val="24"/>
          <w:lang w:eastAsia="zh-CN"/>
        </w:rPr>
        <w:t>的观测资料进行统计。由于三亚市气象站于</w:t>
      </w:r>
      <w:r>
        <w:rPr>
          <w:rFonts w:ascii="Times New Roman" w:eastAsia="宋体" w:hAnsi="Times New Roman" w:cs="宋体" w:hint="eastAsia"/>
          <w:color w:val="auto"/>
          <w:spacing w:val="-2"/>
          <w:sz w:val="24"/>
          <w:szCs w:val="24"/>
          <w:lang w:eastAsia="zh-CN"/>
        </w:rPr>
        <w:t>2009</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月</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日从三亚市区榕根坡迁至吉阳镇六道岭山顶，故对三亚气象站自</w:t>
      </w:r>
      <w:r>
        <w:rPr>
          <w:rFonts w:ascii="Times New Roman" w:eastAsia="宋体" w:hAnsi="Times New Roman" w:cs="宋体" w:hint="eastAsia"/>
          <w:color w:val="auto"/>
          <w:spacing w:val="-2"/>
          <w:sz w:val="24"/>
          <w:szCs w:val="24"/>
          <w:lang w:eastAsia="zh-CN"/>
        </w:rPr>
        <w:t>1959</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2008</w:t>
      </w:r>
      <w:r>
        <w:rPr>
          <w:rFonts w:ascii="Times New Roman" w:eastAsia="宋体" w:hAnsi="Times New Roman" w:cs="宋体" w:hint="eastAsia"/>
          <w:color w:val="auto"/>
          <w:spacing w:val="-2"/>
          <w:sz w:val="24"/>
          <w:szCs w:val="24"/>
          <w:lang w:eastAsia="zh-CN"/>
        </w:rPr>
        <w:t>年和</w:t>
      </w:r>
      <w:r>
        <w:rPr>
          <w:rFonts w:ascii="Times New Roman" w:eastAsia="宋体" w:hAnsi="Times New Roman" w:cs="宋体" w:hint="eastAsia"/>
          <w:color w:val="auto"/>
          <w:spacing w:val="-2"/>
          <w:sz w:val="24"/>
          <w:szCs w:val="24"/>
          <w:lang w:eastAsia="zh-CN"/>
        </w:rPr>
        <w:t>2009</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2019</w:t>
      </w:r>
      <w:r>
        <w:rPr>
          <w:rFonts w:ascii="Times New Roman" w:eastAsia="宋体" w:hAnsi="Times New Roman" w:cs="宋体" w:hint="eastAsia"/>
          <w:color w:val="auto"/>
          <w:spacing w:val="-2"/>
          <w:sz w:val="24"/>
          <w:szCs w:val="24"/>
          <w:lang w:eastAsia="zh-CN"/>
        </w:rPr>
        <w:t>年的气象数据分别统计。项目所在区域的气象情况</w:t>
      </w:r>
      <w:r>
        <w:rPr>
          <w:rFonts w:ascii="Times New Roman" w:eastAsia="宋体" w:hAnsi="Times New Roman" w:cs="宋体" w:hint="eastAsia"/>
          <w:color w:val="auto"/>
          <w:spacing w:val="-2"/>
          <w:sz w:val="24"/>
          <w:szCs w:val="24"/>
          <w:lang w:eastAsia="zh-CN"/>
        </w:rPr>
        <w:t>简述如下：</w:t>
      </w:r>
    </w:p>
    <w:p w14:paraId="150D73F1"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bookmarkStart w:id="109" w:name="_Toc26231"/>
      <w:bookmarkStart w:id="110" w:name="_Toc4919"/>
      <w:bookmarkStart w:id="111" w:name="_Toc5287"/>
      <w:bookmarkStart w:id="112" w:name="_Toc31418"/>
      <w:bookmarkStart w:id="113" w:name="_Toc24758"/>
      <w:bookmarkStart w:id="114" w:name="_Toc31263"/>
      <w:bookmarkStart w:id="115" w:name="_Toc6643"/>
      <w:r>
        <w:rPr>
          <w:rFonts w:ascii="Times New Roman" w:eastAsia="宋体" w:hAnsi="Times New Roman" w:cs="宋体" w:hint="eastAsia"/>
          <w:color w:val="auto"/>
          <w:spacing w:val="-2"/>
          <w:sz w:val="24"/>
          <w:szCs w:val="24"/>
          <w:lang w:eastAsia="zh-CN"/>
        </w:rPr>
        <w:t>1.1959</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2008</w:t>
      </w:r>
      <w:r>
        <w:rPr>
          <w:rFonts w:ascii="Times New Roman" w:eastAsia="宋体" w:hAnsi="Times New Roman" w:cs="宋体" w:hint="eastAsia"/>
          <w:color w:val="auto"/>
          <w:spacing w:val="-2"/>
          <w:sz w:val="24"/>
          <w:szCs w:val="24"/>
          <w:lang w:eastAsia="zh-CN"/>
        </w:rPr>
        <w:t>年气</w:t>
      </w:r>
      <w:bookmarkEnd w:id="109"/>
      <w:bookmarkEnd w:id="110"/>
      <w:bookmarkEnd w:id="111"/>
      <w:bookmarkEnd w:id="112"/>
      <w:bookmarkEnd w:id="113"/>
      <w:bookmarkEnd w:id="114"/>
      <w:bookmarkEnd w:id="115"/>
      <w:r>
        <w:rPr>
          <w:rFonts w:ascii="Times New Roman" w:eastAsia="宋体" w:hAnsi="Times New Roman" w:cs="宋体" w:hint="eastAsia"/>
          <w:color w:val="auto"/>
          <w:spacing w:val="-2"/>
          <w:sz w:val="24"/>
          <w:szCs w:val="24"/>
          <w:lang w:eastAsia="zh-CN"/>
        </w:rPr>
        <w:t>象资料</w:t>
      </w:r>
    </w:p>
    <w:p w14:paraId="4025B0C1"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）气温</w:t>
      </w:r>
    </w:p>
    <w:p w14:paraId="00FAAB8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年平均气温为</w:t>
      </w:r>
      <w:r>
        <w:rPr>
          <w:rFonts w:ascii="Times New Roman" w:eastAsia="宋体" w:hAnsi="Times New Roman" w:cs="宋体" w:hint="eastAsia"/>
          <w:color w:val="auto"/>
          <w:spacing w:val="-2"/>
          <w:sz w:val="24"/>
          <w:szCs w:val="24"/>
          <w:lang w:eastAsia="zh-CN"/>
        </w:rPr>
        <w:t>25.8</w:t>
      </w:r>
      <w:r>
        <w:rPr>
          <w:rFonts w:ascii="Times New Roman" w:eastAsia="宋体" w:hAnsi="Times New Roman" w:cs="宋体" w:hint="eastAsia"/>
          <w:color w:val="auto"/>
          <w:spacing w:val="-2"/>
          <w:sz w:val="24"/>
          <w:szCs w:val="24"/>
          <w:lang w:eastAsia="zh-CN"/>
        </w:rPr>
        <w:t>℃，各月平均气温都在</w:t>
      </w:r>
      <w:r>
        <w:rPr>
          <w:rFonts w:ascii="Times New Roman" w:eastAsia="宋体" w:hAnsi="Times New Roman" w:cs="宋体" w:hint="eastAsia"/>
          <w:color w:val="auto"/>
          <w:spacing w:val="-2"/>
          <w:sz w:val="24"/>
          <w:szCs w:val="24"/>
          <w:lang w:eastAsia="zh-CN"/>
        </w:rPr>
        <w:t>21</w:t>
      </w:r>
      <w:r>
        <w:rPr>
          <w:rFonts w:ascii="Times New Roman" w:eastAsia="宋体" w:hAnsi="Times New Roman" w:cs="宋体" w:hint="eastAsia"/>
          <w:color w:val="auto"/>
          <w:spacing w:val="-2"/>
          <w:sz w:val="24"/>
          <w:szCs w:val="24"/>
          <w:lang w:eastAsia="zh-CN"/>
        </w:rPr>
        <w:t>℃以上，</w:t>
      </w:r>
      <w:r>
        <w:rPr>
          <w:rFonts w:ascii="Times New Roman" w:eastAsia="宋体" w:hAnsi="Times New Roman" w:cs="宋体" w:hint="eastAsia"/>
          <w:color w:val="auto"/>
          <w:spacing w:val="-2"/>
          <w:sz w:val="24"/>
          <w:szCs w:val="24"/>
          <w:lang w:eastAsia="zh-CN"/>
        </w:rPr>
        <w:t>5~8</w:t>
      </w:r>
      <w:r>
        <w:rPr>
          <w:rFonts w:ascii="Times New Roman" w:eastAsia="宋体" w:hAnsi="Times New Roman" w:cs="宋体" w:hint="eastAsia"/>
          <w:color w:val="auto"/>
          <w:spacing w:val="-2"/>
          <w:sz w:val="24"/>
          <w:szCs w:val="24"/>
          <w:lang w:eastAsia="zh-CN"/>
        </w:rPr>
        <w:t>月份较高，平均气温均达到</w:t>
      </w:r>
      <w:r>
        <w:rPr>
          <w:rFonts w:ascii="Times New Roman" w:eastAsia="宋体" w:hAnsi="Times New Roman" w:cs="宋体" w:hint="eastAsia"/>
          <w:color w:val="auto"/>
          <w:spacing w:val="-2"/>
          <w:sz w:val="24"/>
          <w:szCs w:val="24"/>
          <w:lang w:eastAsia="zh-CN"/>
        </w:rPr>
        <w:t>28</w:t>
      </w:r>
      <w:r>
        <w:rPr>
          <w:rFonts w:ascii="Times New Roman" w:eastAsia="宋体" w:hAnsi="Times New Roman" w:cs="宋体" w:hint="eastAsia"/>
          <w:color w:val="auto"/>
          <w:spacing w:val="-2"/>
          <w:sz w:val="24"/>
          <w:szCs w:val="24"/>
          <w:lang w:eastAsia="zh-CN"/>
        </w:rPr>
        <w:t>℃以上，</w:t>
      </w:r>
      <w:r>
        <w:rPr>
          <w:rFonts w:ascii="Times New Roman" w:eastAsia="宋体" w:hAnsi="Times New Roman" w:cs="宋体" w:hint="eastAsia"/>
          <w:color w:val="auto"/>
          <w:spacing w:val="-2"/>
          <w:sz w:val="24"/>
          <w:szCs w:val="24"/>
          <w:lang w:eastAsia="zh-CN"/>
        </w:rPr>
        <w:t>12</w:t>
      </w:r>
      <w:r>
        <w:rPr>
          <w:rFonts w:ascii="Times New Roman" w:eastAsia="宋体" w:hAnsi="Times New Roman" w:cs="宋体" w:hint="eastAsia"/>
          <w:color w:val="auto"/>
          <w:spacing w:val="-2"/>
          <w:sz w:val="24"/>
          <w:szCs w:val="24"/>
          <w:lang w:eastAsia="zh-CN"/>
        </w:rPr>
        <w:t>月至翌年</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月份较低，均不到</w:t>
      </w:r>
      <w:r>
        <w:rPr>
          <w:rFonts w:ascii="Times New Roman" w:eastAsia="宋体" w:hAnsi="Times New Roman" w:cs="宋体" w:hint="eastAsia"/>
          <w:color w:val="auto"/>
          <w:spacing w:val="-2"/>
          <w:sz w:val="24"/>
          <w:szCs w:val="24"/>
          <w:lang w:eastAsia="zh-CN"/>
        </w:rPr>
        <w:t>23.0</w:t>
      </w:r>
      <w:r>
        <w:rPr>
          <w:rFonts w:ascii="Times New Roman" w:eastAsia="宋体" w:hAnsi="Times New Roman" w:cs="宋体" w:hint="eastAsia"/>
          <w:color w:val="auto"/>
          <w:spacing w:val="-2"/>
          <w:sz w:val="24"/>
          <w:szCs w:val="24"/>
          <w:lang w:eastAsia="zh-CN"/>
        </w:rPr>
        <w:t>℃。本区极端最高气温为</w:t>
      </w:r>
      <w:r>
        <w:rPr>
          <w:rFonts w:ascii="Times New Roman" w:eastAsia="宋体" w:hAnsi="Times New Roman" w:cs="宋体" w:hint="eastAsia"/>
          <w:color w:val="auto"/>
          <w:spacing w:val="-2"/>
          <w:sz w:val="24"/>
          <w:szCs w:val="24"/>
          <w:lang w:eastAsia="zh-CN"/>
        </w:rPr>
        <w:t>35.9</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1991</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6</w:t>
      </w:r>
      <w:r>
        <w:rPr>
          <w:rFonts w:ascii="Times New Roman" w:eastAsia="宋体" w:hAnsi="Times New Roman" w:cs="宋体" w:hint="eastAsia"/>
          <w:color w:val="auto"/>
          <w:spacing w:val="-2"/>
          <w:sz w:val="24"/>
          <w:szCs w:val="24"/>
          <w:lang w:eastAsia="zh-CN"/>
        </w:rPr>
        <w:t>月</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日），极端最低气温为</w:t>
      </w:r>
      <w:r>
        <w:rPr>
          <w:rFonts w:ascii="Times New Roman" w:eastAsia="宋体" w:hAnsi="Times New Roman" w:cs="宋体" w:hint="eastAsia"/>
          <w:color w:val="auto"/>
          <w:spacing w:val="-2"/>
          <w:sz w:val="24"/>
          <w:szCs w:val="24"/>
          <w:lang w:eastAsia="zh-CN"/>
        </w:rPr>
        <w:t>5.1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1974</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月</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日）。各月平均气温分布见表</w:t>
      </w:r>
      <w:r>
        <w:rPr>
          <w:rFonts w:ascii="Times New Roman" w:eastAsia="宋体" w:hAnsi="Times New Roman" w:cs="宋体" w:hint="eastAsia"/>
          <w:color w:val="auto"/>
          <w:spacing w:val="-2"/>
          <w:sz w:val="24"/>
          <w:szCs w:val="24"/>
          <w:lang w:eastAsia="zh-CN"/>
        </w:rPr>
        <w:t>3.2.1-1</w:t>
      </w:r>
      <w:r>
        <w:rPr>
          <w:rFonts w:ascii="Times New Roman" w:eastAsia="宋体" w:hAnsi="Times New Roman" w:cs="宋体" w:hint="eastAsia"/>
          <w:color w:val="auto"/>
          <w:spacing w:val="-2"/>
          <w:sz w:val="24"/>
          <w:szCs w:val="24"/>
          <w:lang w:eastAsia="zh-CN"/>
        </w:rPr>
        <w:t>。</w:t>
      </w:r>
    </w:p>
    <w:p w14:paraId="2B93954A" w14:textId="77777777" w:rsidR="0075791A" w:rsidRDefault="0075791A">
      <w:pPr>
        <w:ind w:firstLineChars="200" w:firstLine="480"/>
        <w:jc w:val="center"/>
        <w:rPr>
          <w:rFonts w:ascii="Times New Roman" w:hAnsi="Times New Roman"/>
          <w:color w:val="auto"/>
          <w:sz w:val="24"/>
          <w:szCs w:val="24"/>
          <w:lang w:eastAsia="zh-CN" w:bidi="ar"/>
        </w:rPr>
      </w:pPr>
    </w:p>
    <w:p w14:paraId="57D30EA6" w14:textId="77777777" w:rsidR="0075791A" w:rsidRDefault="00FB2864">
      <w:pPr>
        <w:ind w:firstLineChars="200" w:firstLine="480"/>
        <w:jc w:val="center"/>
        <w:rPr>
          <w:rFonts w:ascii="Times New Roman" w:hAnsi="Times New Roman"/>
          <w:color w:val="auto"/>
          <w:sz w:val="24"/>
          <w:szCs w:val="24"/>
          <w:lang w:eastAsia="zh-CN" w:bidi="ar"/>
        </w:rPr>
      </w:pPr>
      <w:r>
        <w:rPr>
          <w:rFonts w:ascii="Times New Roman" w:hAnsi="Times New Roman"/>
          <w:color w:val="auto"/>
          <w:sz w:val="24"/>
          <w:szCs w:val="24"/>
          <w:lang w:eastAsia="zh-CN" w:bidi="ar"/>
        </w:rPr>
        <w:t>表</w:t>
      </w:r>
      <w:r>
        <w:rPr>
          <w:rFonts w:ascii="Times New Roman" w:eastAsia="宋体" w:hAnsi="Times New Roman" w:hint="eastAsia"/>
          <w:color w:val="auto"/>
          <w:sz w:val="24"/>
          <w:szCs w:val="24"/>
          <w:lang w:eastAsia="zh-CN" w:bidi="ar"/>
        </w:rPr>
        <w:t>3.2.</w:t>
      </w:r>
      <w:r>
        <w:rPr>
          <w:rFonts w:ascii="Times New Roman" w:hAnsi="Times New Roman"/>
          <w:color w:val="auto"/>
          <w:sz w:val="24"/>
          <w:szCs w:val="24"/>
          <w:lang w:eastAsia="zh-CN" w:bidi="ar"/>
        </w:rPr>
        <w:t>1-1</w:t>
      </w:r>
      <w:r>
        <w:rPr>
          <w:rFonts w:ascii="Times New Roman" w:hAnsi="Times New Roman"/>
          <w:color w:val="auto"/>
          <w:sz w:val="24"/>
          <w:szCs w:val="24"/>
          <w:lang w:eastAsia="zh-CN" w:bidi="ar"/>
        </w:rPr>
        <w:t>各月平均气温（单位：</w:t>
      </w:r>
      <w:r>
        <w:rPr>
          <w:rFonts w:ascii="Times New Roman" w:hAnsi="Times New Roman"/>
          <w:color w:val="auto"/>
          <w:sz w:val="24"/>
          <w:szCs w:val="24"/>
          <w:lang w:eastAsia="zh-CN" w:bidi="ar"/>
        </w:rPr>
        <w:t>℃</w:t>
      </w:r>
      <w:r>
        <w:rPr>
          <w:rFonts w:ascii="Times New Roman" w:hAnsi="Times New Roman"/>
          <w:color w:val="auto"/>
          <w:sz w:val="24"/>
          <w:szCs w:val="24"/>
          <w:lang w:eastAsia="zh-CN" w:bidi="ar"/>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8"/>
        <w:gridCol w:w="538"/>
        <w:gridCol w:w="585"/>
        <w:gridCol w:w="555"/>
        <w:gridCol w:w="555"/>
        <w:gridCol w:w="570"/>
        <w:gridCol w:w="555"/>
        <w:gridCol w:w="585"/>
        <w:gridCol w:w="585"/>
        <w:gridCol w:w="585"/>
        <w:gridCol w:w="570"/>
        <w:gridCol w:w="600"/>
        <w:gridCol w:w="570"/>
        <w:gridCol w:w="585"/>
      </w:tblGrid>
      <w:tr w:rsidR="0075791A" w14:paraId="4B657CAF" w14:textId="77777777">
        <w:trPr>
          <w:jc w:val="center"/>
        </w:trPr>
        <w:tc>
          <w:tcPr>
            <w:tcW w:w="608" w:type="dxa"/>
            <w:vAlign w:val="center"/>
          </w:tcPr>
          <w:p w14:paraId="56E5E8AF"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月份</w:t>
            </w:r>
          </w:p>
        </w:tc>
        <w:tc>
          <w:tcPr>
            <w:tcW w:w="538" w:type="dxa"/>
            <w:vAlign w:val="center"/>
          </w:tcPr>
          <w:p w14:paraId="4D1C52CC" w14:textId="77777777" w:rsidR="0075791A" w:rsidRDefault="00FB2864">
            <w:pPr>
              <w:spacing w:line="360" w:lineRule="auto"/>
              <w:jc w:val="center"/>
              <w:rPr>
                <w:rFonts w:ascii="Times New Roman" w:hAnsi="Times New Roman"/>
                <w:b/>
                <w:bCs/>
                <w:color w:val="auto"/>
                <w:sz w:val="18"/>
                <w:szCs w:val="18"/>
                <w:lang w:bidi="ar"/>
              </w:rPr>
            </w:pPr>
            <w:r>
              <w:rPr>
                <w:rFonts w:ascii="Times New Roman" w:hAnsi="Times New Roman"/>
                <w:b/>
                <w:bCs/>
                <w:color w:val="auto"/>
                <w:sz w:val="18"/>
                <w:szCs w:val="18"/>
                <w:lang w:bidi="ar"/>
              </w:rPr>
              <w:t>1</w:t>
            </w:r>
          </w:p>
        </w:tc>
        <w:tc>
          <w:tcPr>
            <w:tcW w:w="585" w:type="dxa"/>
            <w:vAlign w:val="center"/>
          </w:tcPr>
          <w:p w14:paraId="52A1320D" w14:textId="77777777" w:rsidR="0075791A" w:rsidRDefault="00FB2864">
            <w:pPr>
              <w:spacing w:line="360" w:lineRule="auto"/>
              <w:jc w:val="center"/>
              <w:rPr>
                <w:rFonts w:ascii="Times New Roman" w:hAnsi="Times New Roman"/>
                <w:b/>
                <w:bCs/>
                <w:color w:val="auto"/>
                <w:sz w:val="18"/>
                <w:szCs w:val="18"/>
                <w:lang w:bidi="ar"/>
              </w:rPr>
            </w:pPr>
            <w:r>
              <w:rPr>
                <w:rFonts w:ascii="Times New Roman" w:hAnsi="Times New Roman"/>
                <w:b/>
                <w:bCs/>
                <w:color w:val="auto"/>
                <w:sz w:val="18"/>
                <w:szCs w:val="18"/>
                <w:lang w:bidi="ar"/>
              </w:rPr>
              <w:t>2</w:t>
            </w:r>
          </w:p>
        </w:tc>
        <w:tc>
          <w:tcPr>
            <w:tcW w:w="555" w:type="dxa"/>
            <w:vAlign w:val="center"/>
          </w:tcPr>
          <w:p w14:paraId="0D0A03AD" w14:textId="77777777" w:rsidR="0075791A" w:rsidRDefault="00FB2864">
            <w:pPr>
              <w:spacing w:line="360" w:lineRule="auto"/>
              <w:jc w:val="center"/>
              <w:rPr>
                <w:rFonts w:ascii="Times New Roman" w:hAnsi="Times New Roman"/>
                <w:b/>
                <w:bCs/>
                <w:color w:val="auto"/>
                <w:sz w:val="18"/>
                <w:szCs w:val="18"/>
                <w:lang w:bidi="ar"/>
              </w:rPr>
            </w:pPr>
            <w:r>
              <w:rPr>
                <w:rFonts w:ascii="Times New Roman" w:hAnsi="Times New Roman"/>
                <w:b/>
                <w:bCs/>
                <w:color w:val="auto"/>
                <w:sz w:val="18"/>
                <w:szCs w:val="18"/>
                <w:lang w:bidi="ar"/>
              </w:rPr>
              <w:t>3</w:t>
            </w:r>
          </w:p>
        </w:tc>
        <w:tc>
          <w:tcPr>
            <w:tcW w:w="555" w:type="dxa"/>
            <w:vAlign w:val="center"/>
          </w:tcPr>
          <w:p w14:paraId="543BCD5A" w14:textId="77777777" w:rsidR="0075791A" w:rsidRDefault="00FB2864">
            <w:pPr>
              <w:spacing w:line="360" w:lineRule="auto"/>
              <w:jc w:val="center"/>
              <w:rPr>
                <w:rFonts w:ascii="Times New Roman" w:hAnsi="Times New Roman"/>
                <w:b/>
                <w:bCs/>
                <w:color w:val="auto"/>
                <w:sz w:val="18"/>
                <w:szCs w:val="18"/>
                <w:lang w:bidi="ar"/>
              </w:rPr>
            </w:pPr>
            <w:r>
              <w:rPr>
                <w:rFonts w:ascii="Times New Roman" w:hAnsi="Times New Roman"/>
                <w:b/>
                <w:bCs/>
                <w:color w:val="auto"/>
                <w:sz w:val="18"/>
                <w:szCs w:val="18"/>
                <w:lang w:bidi="ar"/>
              </w:rPr>
              <w:t>4</w:t>
            </w:r>
          </w:p>
        </w:tc>
        <w:tc>
          <w:tcPr>
            <w:tcW w:w="570" w:type="dxa"/>
            <w:vAlign w:val="center"/>
          </w:tcPr>
          <w:p w14:paraId="1541D6CE" w14:textId="77777777" w:rsidR="0075791A" w:rsidRDefault="00FB2864">
            <w:pPr>
              <w:spacing w:line="360" w:lineRule="auto"/>
              <w:jc w:val="center"/>
              <w:rPr>
                <w:rFonts w:ascii="Times New Roman" w:hAnsi="Times New Roman"/>
                <w:b/>
                <w:bCs/>
                <w:color w:val="auto"/>
                <w:sz w:val="18"/>
                <w:szCs w:val="18"/>
                <w:lang w:bidi="ar"/>
              </w:rPr>
            </w:pPr>
            <w:r>
              <w:rPr>
                <w:rFonts w:ascii="Times New Roman" w:hAnsi="Times New Roman"/>
                <w:b/>
                <w:bCs/>
                <w:color w:val="auto"/>
                <w:sz w:val="18"/>
                <w:szCs w:val="18"/>
                <w:lang w:bidi="ar"/>
              </w:rPr>
              <w:t>5</w:t>
            </w:r>
          </w:p>
        </w:tc>
        <w:tc>
          <w:tcPr>
            <w:tcW w:w="555" w:type="dxa"/>
            <w:vAlign w:val="center"/>
          </w:tcPr>
          <w:p w14:paraId="19DA5FE6" w14:textId="77777777" w:rsidR="0075791A" w:rsidRDefault="00FB2864">
            <w:pPr>
              <w:spacing w:line="360" w:lineRule="auto"/>
              <w:jc w:val="center"/>
              <w:rPr>
                <w:rFonts w:ascii="Times New Roman" w:hAnsi="Times New Roman"/>
                <w:b/>
                <w:bCs/>
                <w:color w:val="auto"/>
                <w:sz w:val="18"/>
                <w:szCs w:val="18"/>
                <w:lang w:bidi="ar"/>
              </w:rPr>
            </w:pPr>
            <w:r>
              <w:rPr>
                <w:rFonts w:ascii="Times New Roman" w:hAnsi="Times New Roman"/>
                <w:b/>
                <w:bCs/>
                <w:color w:val="auto"/>
                <w:sz w:val="18"/>
                <w:szCs w:val="18"/>
                <w:lang w:bidi="ar"/>
              </w:rPr>
              <w:t>6</w:t>
            </w:r>
          </w:p>
        </w:tc>
        <w:tc>
          <w:tcPr>
            <w:tcW w:w="585" w:type="dxa"/>
            <w:vAlign w:val="center"/>
          </w:tcPr>
          <w:p w14:paraId="699DC3D5" w14:textId="77777777" w:rsidR="0075791A" w:rsidRDefault="00FB2864">
            <w:pPr>
              <w:spacing w:line="360" w:lineRule="auto"/>
              <w:jc w:val="center"/>
              <w:rPr>
                <w:rFonts w:ascii="Times New Roman" w:hAnsi="Times New Roman"/>
                <w:b/>
                <w:bCs/>
                <w:color w:val="auto"/>
                <w:sz w:val="18"/>
                <w:szCs w:val="18"/>
                <w:lang w:bidi="ar"/>
              </w:rPr>
            </w:pPr>
            <w:r>
              <w:rPr>
                <w:rFonts w:ascii="Times New Roman" w:hAnsi="Times New Roman"/>
                <w:b/>
                <w:bCs/>
                <w:color w:val="auto"/>
                <w:sz w:val="18"/>
                <w:szCs w:val="18"/>
                <w:lang w:bidi="ar"/>
              </w:rPr>
              <w:t>7</w:t>
            </w:r>
          </w:p>
        </w:tc>
        <w:tc>
          <w:tcPr>
            <w:tcW w:w="585" w:type="dxa"/>
            <w:vAlign w:val="center"/>
          </w:tcPr>
          <w:p w14:paraId="646EB4F1" w14:textId="77777777" w:rsidR="0075791A" w:rsidRDefault="00FB2864">
            <w:pPr>
              <w:spacing w:line="360" w:lineRule="auto"/>
              <w:jc w:val="center"/>
              <w:rPr>
                <w:rFonts w:ascii="Times New Roman" w:hAnsi="Times New Roman"/>
                <w:b/>
                <w:bCs/>
                <w:color w:val="auto"/>
                <w:sz w:val="18"/>
                <w:szCs w:val="18"/>
                <w:lang w:bidi="ar"/>
              </w:rPr>
            </w:pPr>
            <w:r>
              <w:rPr>
                <w:rFonts w:ascii="Times New Roman" w:hAnsi="Times New Roman"/>
                <w:b/>
                <w:bCs/>
                <w:color w:val="auto"/>
                <w:sz w:val="18"/>
                <w:szCs w:val="18"/>
                <w:lang w:bidi="ar"/>
              </w:rPr>
              <w:t>8</w:t>
            </w:r>
          </w:p>
        </w:tc>
        <w:tc>
          <w:tcPr>
            <w:tcW w:w="585" w:type="dxa"/>
            <w:vAlign w:val="center"/>
          </w:tcPr>
          <w:p w14:paraId="06207758" w14:textId="77777777" w:rsidR="0075791A" w:rsidRDefault="00FB2864">
            <w:pPr>
              <w:spacing w:line="360" w:lineRule="auto"/>
              <w:jc w:val="center"/>
              <w:rPr>
                <w:rFonts w:ascii="Times New Roman" w:hAnsi="Times New Roman"/>
                <w:b/>
                <w:bCs/>
                <w:color w:val="auto"/>
                <w:sz w:val="18"/>
                <w:szCs w:val="18"/>
                <w:lang w:bidi="ar"/>
              </w:rPr>
            </w:pPr>
            <w:r>
              <w:rPr>
                <w:rFonts w:ascii="Times New Roman" w:hAnsi="Times New Roman"/>
                <w:b/>
                <w:bCs/>
                <w:color w:val="auto"/>
                <w:sz w:val="18"/>
                <w:szCs w:val="18"/>
                <w:lang w:bidi="ar"/>
              </w:rPr>
              <w:t>9</w:t>
            </w:r>
          </w:p>
        </w:tc>
        <w:tc>
          <w:tcPr>
            <w:tcW w:w="570" w:type="dxa"/>
            <w:vAlign w:val="center"/>
          </w:tcPr>
          <w:p w14:paraId="268F0CC3" w14:textId="77777777" w:rsidR="0075791A" w:rsidRDefault="00FB2864">
            <w:pPr>
              <w:spacing w:line="360" w:lineRule="auto"/>
              <w:jc w:val="center"/>
              <w:rPr>
                <w:rFonts w:ascii="Times New Roman" w:hAnsi="Times New Roman"/>
                <w:b/>
                <w:bCs/>
                <w:color w:val="auto"/>
                <w:sz w:val="18"/>
                <w:szCs w:val="18"/>
                <w:lang w:bidi="ar"/>
              </w:rPr>
            </w:pPr>
            <w:r>
              <w:rPr>
                <w:rFonts w:ascii="Times New Roman" w:hAnsi="Times New Roman"/>
                <w:b/>
                <w:bCs/>
                <w:color w:val="auto"/>
                <w:sz w:val="18"/>
                <w:szCs w:val="18"/>
                <w:lang w:bidi="ar"/>
              </w:rPr>
              <w:t>10</w:t>
            </w:r>
          </w:p>
        </w:tc>
        <w:tc>
          <w:tcPr>
            <w:tcW w:w="600" w:type="dxa"/>
            <w:vAlign w:val="center"/>
          </w:tcPr>
          <w:p w14:paraId="58E96B9B" w14:textId="77777777" w:rsidR="0075791A" w:rsidRDefault="00FB2864">
            <w:pPr>
              <w:spacing w:line="360" w:lineRule="auto"/>
              <w:jc w:val="center"/>
              <w:rPr>
                <w:rFonts w:ascii="Times New Roman" w:hAnsi="Times New Roman"/>
                <w:b/>
                <w:bCs/>
                <w:color w:val="auto"/>
                <w:sz w:val="18"/>
                <w:szCs w:val="18"/>
                <w:lang w:bidi="ar"/>
              </w:rPr>
            </w:pPr>
            <w:r>
              <w:rPr>
                <w:rFonts w:ascii="Times New Roman" w:hAnsi="Times New Roman"/>
                <w:b/>
                <w:bCs/>
                <w:color w:val="auto"/>
                <w:sz w:val="18"/>
                <w:szCs w:val="18"/>
                <w:lang w:bidi="ar"/>
              </w:rPr>
              <w:t>11</w:t>
            </w:r>
          </w:p>
        </w:tc>
        <w:tc>
          <w:tcPr>
            <w:tcW w:w="570" w:type="dxa"/>
            <w:vAlign w:val="center"/>
          </w:tcPr>
          <w:p w14:paraId="0DD20030" w14:textId="77777777" w:rsidR="0075791A" w:rsidRDefault="00FB2864">
            <w:pPr>
              <w:spacing w:line="360" w:lineRule="auto"/>
              <w:jc w:val="center"/>
              <w:rPr>
                <w:rFonts w:ascii="Times New Roman" w:hAnsi="Times New Roman"/>
                <w:b/>
                <w:bCs/>
                <w:color w:val="auto"/>
                <w:sz w:val="18"/>
                <w:szCs w:val="18"/>
                <w:lang w:bidi="ar"/>
              </w:rPr>
            </w:pPr>
            <w:r>
              <w:rPr>
                <w:rFonts w:ascii="Times New Roman" w:hAnsi="Times New Roman"/>
                <w:b/>
                <w:bCs/>
                <w:color w:val="auto"/>
                <w:sz w:val="18"/>
                <w:szCs w:val="18"/>
                <w:lang w:bidi="ar"/>
              </w:rPr>
              <w:t>12</w:t>
            </w:r>
          </w:p>
        </w:tc>
        <w:tc>
          <w:tcPr>
            <w:tcW w:w="585" w:type="dxa"/>
            <w:vAlign w:val="center"/>
          </w:tcPr>
          <w:p w14:paraId="4C5DF3F9" w14:textId="77777777" w:rsidR="0075791A" w:rsidRDefault="00FB2864">
            <w:pPr>
              <w:spacing w:line="360" w:lineRule="auto"/>
              <w:jc w:val="center"/>
              <w:rPr>
                <w:rFonts w:ascii="Times New Roman" w:hAnsi="Times New Roman"/>
                <w:b/>
                <w:bCs/>
                <w:color w:val="auto"/>
                <w:sz w:val="18"/>
                <w:szCs w:val="18"/>
                <w:lang w:bidi="ar"/>
              </w:rPr>
            </w:pPr>
            <w:r>
              <w:rPr>
                <w:rFonts w:ascii="Times New Roman" w:hAnsi="Times New Roman"/>
                <w:b/>
                <w:bCs/>
                <w:color w:val="auto"/>
                <w:sz w:val="18"/>
                <w:szCs w:val="18"/>
                <w:lang w:bidi="ar"/>
              </w:rPr>
              <w:t>全年</w:t>
            </w:r>
          </w:p>
        </w:tc>
      </w:tr>
      <w:tr w:rsidR="0075791A" w14:paraId="00F37A9C" w14:textId="77777777">
        <w:trPr>
          <w:jc w:val="center"/>
        </w:trPr>
        <w:tc>
          <w:tcPr>
            <w:tcW w:w="608" w:type="dxa"/>
            <w:vAlign w:val="center"/>
          </w:tcPr>
          <w:p w14:paraId="0F6D2EA1"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平均气温</w:t>
            </w:r>
          </w:p>
        </w:tc>
        <w:tc>
          <w:tcPr>
            <w:tcW w:w="538" w:type="dxa"/>
            <w:vAlign w:val="center"/>
          </w:tcPr>
          <w:p w14:paraId="6AA27CED" w14:textId="77777777" w:rsidR="0075791A" w:rsidRDefault="00FB2864">
            <w:pPr>
              <w:spacing w:line="360" w:lineRule="auto"/>
              <w:jc w:val="center"/>
              <w:rPr>
                <w:rFonts w:ascii="Times New Roman" w:hAnsi="Times New Roman"/>
                <w:color w:val="auto"/>
                <w:sz w:val="18"/>
                <w:szCs w:val="18"/>
                <w:lang w:bidi="ar"/>
              </w:rPr>
            </w:pPr>
            <w:r>
              <w:rPr>
                <w:rFonts w:ascii="Times New Roman" w:hAnsi="Times New Roman"/>
                <w:color w:val="auto"/>
                <w:sz w:val="18"/>
                <w:szCs w:val="18"/>
                <w:lang w:bidi="ar"/>
              </w:rPr>
              <w:t>21.6</w:t>
            </w:r>
          </w:p>
        </w:tc>
        <w:tc>
          <w:tcPr>
            <w:tcW w:w="585" w:type="dxa"/>
            <w:vAlign w:val="center"/>
          </w:tcPr>
          <w:p w14:paraId="769F70E7" w14:textId="77777777" w:rsidR="0075791A" w:rsidRDefault="00FB2864">
            <w:pPr>
              <w:spacing w:line="360" w:lineRule="auto"/>
              <w:jc w:val="center"/>
              <w:rPr>
                <w:rFonts w:ascii="Times New Roman" w:hAnsi="Times New Roman"/>
                <w:color w:val="auto"/>
                <w:sz w:val="18"/>
                <w:szCs w:val="18"/>
                <w:lang w:bidi="ar"/>
              </w:rPr>
            </w:pPr>
            <w:r>
              <w:rPr>
                <w:rFonts w:ascii="Times New Roman" w:hAnsi="Times New Roman"/>
                <w:color w:val="auto"/>
                <w:sz w:val="18"/>
                <w:szCs w:val="18"/>
                <w:lang w:bidi="ar"/>
              </w:rPr>
              <w:t>22.5</w:t>
            </w:r>
          </w:p>
        </w:tc>
        <w:tc>
          <w:tcPr>
            <w:tcW w:w="555" w:type="dxa"/>
            <w:vAlign w:val="center"/>
          </w:tcPr>
          <w:p w14:paraId="5DBB41D5" w14:textId="77777777" w:rsidR="0075791A" w:rsidRDefault="00FB2864">
            <w:pPr>
              <w:spacing w:line="360" w:lineRule="auto"/>
              <w:jc w:val="center"/>
              <w:rPr>
                <w:rFonts w:ascii="Times New Roman" w:hAnsi="Times New Roman"/>
                <w:color w:val="auto"/>
                <w:sz w:val="18"/>
                <w:szCs w:val="18"/>
                <w:lang w:bidi="ar"/>
              </w:rPr>
            </w:pPr>
            <w:r>
              <w:rPr>
                <w:rFonts w:ascii="Times New Roman" w:hAnsi="Times New Roman"/>
                <w:color w:val="auto"/>
                <w:sz w:val="18"/>
                <w:szCs w:val="18"/>
                <w:lang w:bidi="ar"/>
              </w:rPr>
              <w:t>24.6</w:t>
            </w:r>
          </w:p>
        </w:tc>
        <w:tc>
          <w:tcPr>
            <w:tcW w:w="555" w:type="dxa"/>
            <w:vAlign w:val="center"/>
          </w:tcPr>
          <w:p w14:paraId="73D96237" w14:textId="77777777" w:rsidR="0075791A" w:rsidRDefault="00FB2864">
            <w:pPr>
              <w:spacing w:line="360" w:lineRule="auto"/>
              <w:jc w:val="center"/>
              <w:rPr>
                <w:rFonts w:ascii="Times New Roman" w:hAnsi="Times New Roman"/>
                <w:color w:val="auto"/>
                <w:sz w:val="18"/>
                <w:szCs w:val="18"/>
                <w:lang w:bidi="ar"/>
              </w:rPr>
            </w:pPr>
            <w:r>
              <w:rPr>
                <w:rFonts w:ascii="Times New Roman" w:hAnsi="Times New Roman"/>
                <w:color w:val="auto"/>
                <w:sz w:val="18"/>
                <w:szCs w:val="18"/>
                <w:lang w:bidi="ar"/>
              </w:rPr>
              <w:t>26.9</w:t>
            </w:r>
          </w:p>
        </w:tc>
        <w:tc>
          <w:tcPr>
            <w:tcW w:w="570" w:type="dxa"/>
            <w:vAlign w:val="center"/>
          </w:tcPr>
          <w:p w14:paraId="7599D003" w14:textId="77777777" w:rsidR="0075791A" w:rsidRDefault="00FB2864">
            <w:pPr>
              <w:spacing w:line="360" w:lineRule="auto"/>
              <w:jc w:val="center"/>
              <w:rPr>
                <w:rFonts w:ascii="Times New Roman" w:hAnsi="Times New Roman"/>
                <w:color w:val="auto"/>
                <w:sz w:val="18"/>
                <w:szCs w:val="18"/>
                <w:lang w:bidi="ar"/>
              </w:rPr>
            </w:pPr>
            <w:r>
              <w:rPr>
                <w:rFonts w:ascii="Times New Roman" w:hAnsi="Times New Roman"/>
                <w:color w:val="auto"/>
                <w:sz w:val="18"/>
                <w:szCs w:val="18"/>
                <w:lang w:bidi="ar"/>
              </w:rPr>
              <w:t>28.4</w:t>
            </w:r>
          </w:p>
        </w:tc>
        <w:tc>
          <w:tcPr>
            <w:tcW w:w="555" w:type="dxa"/>
            <w:vAlign w:val="center"/>
          </w:tcPr>
          <w:p w14:paraId="28CE02FF" w14:textId="77777777" w:rsidR="0075791A" w:rsidRDefault="00FB2864">
            <w:pPr>
              <w:spacing w:line="360" w:lineRule="auto"/>
              <w:jc w:val="center"/>
              <w:rPr>
                <w:rFonts w:ascii="Times New Roman" w:hAnsi="Times New Roman"/>
                <w:color w:val="auto"/>
                <w:sz w:val="18"/>
                <w:szCs w:val="18"/>
                <w:lang w:bidi="ar"/>
              </w:rPr>
            </w:pPr>
            <w:r>
              <w:rPr>
                <w:rFonts w:ascii="Times New Roman" w:hAnsi="Times New Roman"/>
                <w:color w:val="auto"/>
                <w:sz w:val="18"/>
                <w:szCs w:val="18"/>
                <w:lang w:bidi="ar"/>
              </w:rPr>
              <w:t>28.8</w:t>
            </w:r>
          </w:p>
        </w:tc>
        <w:tc>
          <w:tcPr>
            <w:tcW w:w="585" w:type="dxa"/>
            <w:vAlign w:val="center"/>
          </w:tcPr>
          <w:p w14:paraId="0255A684" w14:textId="77777777" w:rsidR="0075791A" w:rsidRDefault="00FB2864">
            <w:pPr>
              <w:spacing w:line="360" w:lineRule="auto"/>
              <w:jc w:val="center"/>
              <w:rPr>
                <w:rFonts w:ascii="Times New Roman" w:hAnsi="Times New Roman"/>
                <w:color w:val="auto"/>
                <w:sz w:val="18"/>
                <w:szCs w:val="18"/>
                <w:lang w:bidi="ar"/>
              </w:rPr>
            </w:pPr>
            <w:r>
              <w:rPr>
                <w:rFonts w:ascii="Times New Roman" w:hAnsi="Times New Roman"/>
                <w:color w:val="auto"/>
                <w:sz w:val="18"/>
                <w:szCs w:val="18"/>
                <w:lang w:bidi="ar"/>
              </w:rPr>
              <w:t>28.5</w:t>
            </w:r>
          </w:p>
        </w:tc>
        <w:tc>
          <w:tcPr>
            <w:tcW w:w="585" w:type="dxa"/>
            <w:vAlign w:val="center"/>
          </w:tcPr>
          <w:p w14:paraId="2AE1BA12" w14:textId="77777777" w:rsidR="0075791A" w:rsidRDefault="00FB2864">
            <w:pPr>
              <w:spacing w:line="360" w:lineRule="auto"/>
              <w:jc w:val="center"/>
              <w:rPr>
                <w:rFonts w:ascii="Times New Roman" w:hAnsi="Times New Roman"/>
                <w:color w:val="auto"/>
                <w:sz w:val="18"/>
                <w:szCs w:val="18"/>
                <w:lang w:bidi="ar"/>
              </w:rPr>
            </w:pPr>
            <w:r>
              <w:rPr>
                <w:rFonts w:ascii="Times New Roman" w:hAnsi="Times New Roman"/>
                <w:color w:val="auto"/>
                <w:sz w:val="18"/>
                <w:szCs w:val="18"/>
                <w:lang w:bidi="ar"/>
              </w:rPr>
              <w:t>28.1</w:t>
            </w:r>
          </w:p>
        </w:tc>
        <w:tc>
          <w:tcPr>
            <w:tcW w:w="585" w:type="dxa"/>
            <w:vAlign w:val="center"/>
          </w:tcPr>
          <w:p w14:paraId="30AC0D26" w14:textId="77777777" w:rsidR="0075791A" w:rsidRDefault="00FB2864">
            <w:pPr>
              <w:spacing w:line="360" w:lineRule="auto"/>
              <w:jc w:val="center"/>
              <w:rPr>
                <w:rFonts w:ascii="Times New Roman" w:hAnsi="Times New Roman"/>
                <w:color w:val="auto"/>
                <w:sz w:val="18"/>
                <w:szCs w:val="18"/>
                <w:lang w:bidi="ar"/>
              </w:rPr>
            </w:pPr>
            <w:r>
              <w:rPr>
                <w:rFonts w:ascii="Times New Roman" w:hAnsi="Times New Roman"/>
                <w:color w:val="auto"/>
                <w:sz w:val="18"/>
                <w:szCs w:val="18"/>
                <w:lang w:bidi="ar"/>
              </w:rPr>
              <w:t>27.5</w:t>
            </w:r>
          </w:p>
        </w:tc>
        <w:tc>
          <w:tcPr>
            <w:tcW w:w="570" w:type="dxa"/>
            <w:vAlign w:val="center"/>
          </w:tcPr>
          <w:p w14:paraId="538135A8" w14:textId="77777777" w:rsidR="0075791A" w:rsidRDefault="00FB2864">
            <w:pPr>
              <w:spacing w:line="360" w:lineRule="auto"/>
              <w:jc w:val="center"/>
              <w:rPr>
                <w:rFonts w:ascii="Times New Roman" w:hAnsi="Times New Roman"/>
                <w:color w:val="auto"/>
                <w:sz w:val="18"/>
                <w:szCs w:val="18"/>
                <w:lang w:bidi="ar"/>
              </w:rPr>
            </w:pPr>
            <w:r>
              <w:rPr>
                <w:rFonts w:ascii="Times New Roman" w:hAnsi="Times New Roman"/>
                <w:color w:val="auto"/>
                <w:sz w:val="18"/>
                <w:szCs w:val="18"/>
                <w:lang w:bidi="ar"/>
              </w:rPr>
              <w:t>26.4</w:t>
            </w:r>
          </w:p>
        </w:tc>
        <w:tc>
          <w:tcPr>
            <w:tcW w:w="600" w:type="dxa"/>
            <w:vAlign w:val="center"/>
          </w:tcPr>
          <w:p w14:paraId="1EF4597B" w14:textId="77777777" w:rsidR="0075791A" w:rsidRDefault="00FB2864">
            <w:pPr>
              <w:spacing w:line="360" w:lineRule="auto"/>
              <w:jc w:val="center"/>
              <w:rPr>
                <w:rFonts w:ascii="Times New Roman" w:hAnsi="Times New Roman"/>
                <w:color w:val="auto"/>
                <w:sz w:val="18"/>
                <w:szCs w:val="18"/>
                <w:lang w:bidi="ar"/>
              </w:rPr>
            </w:pPr>
            <w:r>
              <w:rPr>
                <w:rFonts w:ascii="Times New Roman" w:hAnsi="Times New Roman"/>
                <w:color w:val="auto"/>
                <w:sz w:val="18"/>
                <w:szCs w:val="18"/>
                <w:lang w:bidi="ar"/>
              </w:rPr>
              <w:t>24.3</w:t>
            </w:r>
          </w:p>
        </w:tc>
        <w:tc>
          <w:tcPr>
            <w:tcW w:w="570" w:type="dxa"/>
            <w:vAlign w:val="center"/>
          </w:tcPr>
          <w:p w14:paraId="1F19894B" w14:textId="77777777" w:rsidR="0075791A" w:rsidRDefault="00FB2864">
            <w:pPr>
              <w:spacing w:line="360" w:lineRule="auto"/>
              <w:jc w:val="center"/>
              <w:rPr>
                <w:rFonts w:ascii="Times New Roman" w:hAnsi="Times New Roman"/>
                <w:color w:val="auto"/>
                <w:sz w:val="18"/>
                <w:szCs w:val="18"/>
                <w:lang w:bidi="ar"/>
              </w:rPr>
            </w:pPr>
            <w:r>
              <w:rPr>
                <w:rFonts w:ascii="Times New Roman" w:hAnsi="Times New Roman"/>
                <w:color w:val="auto"/>
                <w:sz w:val="18"/>
                <w:szCs w:val="18"/>
                <w:lang w:bidi="ar"/>
              </w:rPr>
              <w:t>22.1</w:t>
            </w:r>
          </w:p>
        </w:tc>
        <w:tc>
          <w:tcPr>
            <w:tcW w:w="585" w:type="dxa"/>
            <w:vAlign w:val="center"/>
          </w:tcPr>
          <w:p w14:paraId="31B4D245" w14:textId="77777777" w:rsidR="0075791A" w:rsidRDefault="00FB2864">
            <w:pPr>
              <w:spacing w:line="360" w:lineRule="auto"/>
              <w:jc w:val="center"/>
              <w:rPr>
                <w:rFonts w:ascii="Times New Roman" w:hAnsi="Times New Roman"/>
                <w:color w:val="auto"/>
                <w:sz w:val="18"/>
                <w:szCs w:val="18"/>
                <w:lang w:bidi="ar"/>
              </w:rPr>
            </w:pPr>
            <w:r>
              <w:rPr>
                <w:rFonts w:ascii="Times New Roman" w:hAnsi="Times New Roman"/>
                <w:color w:val="auto"/>
                <w:sz w:val="18"/>
                <w:szCs w:val="18"/>
                <w:lang w:bidi="ar"/>
              </w:rPr>
              <w:t>25.8</w:t>
            </w:r>
          </w:p>
        </w:tc>
      </w:tr>
    </w:tbl>
    <w:p w14:paraId="17B36879" w14:textId="77777777" w:rsidR="0075791A" w:rsidRDefault="0075791A">
      <w:pPr>
        <w:spacing w:line="360" w:lineRule="auto"/>
        <w:ind w:firstLineChars="200" w:firstLine="476"/>
        <w:jc w:val="both"/>
        <w:rPr>
          <w:rFonts w:ascii="Times New Roman" w:eastAsia="宋体" w:hAnsi="Times New Roman" w:cs="宋体"/>
          <w:color w:val="auto"/>
          <w:spacing w:val="-2"/>
          <w:sz w:val="24"/>
          <w:szCs w:val="24"/>
          <w:lang w:eastAsia="zh-CN"/>
        </w:rPr>
      </w:pPr>
      <w:bookmarkStart w:id="116" w:name="_Toc26646"/>
      <w:bookmarkStart w:id="117" w:name="_Toc21778"/>
      <w:bookmarkStart w:id="118" w:name="_Toc29103"/>
      <w:bookmarkStart w:id="119" w:name="_Toc26281"/>
      <w:bookmarkStart w:id="120" w:name="_Toc15477"/>
      <w:bookmarkStart w:id="121" w:name="_Toc5467"/>
      <w:bookmarkStart w:id="122" w:name="_Toc12306"/>
    </w:p>
    <w:p w14:paraId="58BBAD78"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）降水</w:t>
      </w:r>
      <w:bookmarkEnd w:id="116"/>
      <w:bookmarkEnd w:id="117"/>
      <w:bookmarkEnd w:id="118"/>
      <w:bookmarkEnd w:id="119"/>
      <w:bookmarkEnd w:id="120"/>
      <w:bookmarkEnd w:id="121"/>
      <w:bookmarkEnd w:id="122"/>
    </w:p>
    <w:p w14:paraId="32FAACD3"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三亚地区年降水量丰富，各月均有降水，年平均降水量为</w:t>
      </w:r>
      <w:r>
        <w:rPr>
          <w:rFonts w:ascii="Times New Roman" w:eastAsia="宋体" w:hAnsi="Times New Roman" w:cs="宋体" w:hint="eastAsia"/>
          <w:color w:val="auto"/>
          <w:spacing w:val="-2"/>
          <w:sz w:val="24"/>
          <w:szCs w:val="24"/>
          <w:lang w:eastAsia="zh-CN"/>
        </w:rPr>
        <w:t>1392mm</w:t>
      </w:r>
      <w:r>
        <w:rPr>
          <w:rFonts w:ascii="Times New Roman" w:eastAsia="宋体" w:hAnsi="Times New Roman" w:cs="宋体" w:hint="eastAsia"/>
          <w:color w:val="auto"/>
          <w:spacing w:val="-2"/>
          <w:sz w:val="24"/>
          <w:szCs w:val="24"/>
          <w:lang w:eastAsia="zh-CN"/>
        </w:rPr>
        <w:t>，年平均降水日数为</w:t>
      </w:r>
      <w:r>
        <w:rPr>
          <w:rFonts w:ascii="Times New Roman" w:eastAsia="宋体" w:hAnsi="Times New Roman" w:cs="宋体" w:hint="eastAsia"/>
          <w:color w:val="auto"/>
          <w:spacing w:val="-2"/>
          <w:sz w:val="24"/>
          <w:szCs w:val="24"/>
          <w:lang w:eastAsia="zh-CN"/>
        </w:rPr>
        <w:t>113</w:t>
      </w:r>
      <w:r>
        <w:rPr>
          <w:rFonts w:ascii="Times New Roman" w:eastAsia="宋体" w:hAnsi="Times New Roman" w:cs="宋体" w:hint="eastAsia"/>
          <w:color w:val="auto"/>
          <w:spacing w:val="-2"/>
          <w:sz w:val="24"/>
          <w:szCs w:val="24"/>
          <w:lang w:eastAsia="zh-CN"/>
        </w:rPr>
        <w:t>天。有旱季和雨季之分，</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hint="eastAsia"/>
          <w:color w:val="auto"/>
          <w:spacing w:val="-2"/>
          <w:sz w:val="24"/>
          <w:szCs w:val="24"/>
          <w:lang w:eastAsia="zh-CN"/>
        </w:rPr>
        <w:t>月</w:t>
      </w:r>
      <w:r>
        <w:rPr>
          <w:rFonts w:ascii="Times New Roman" w:eastAsia="宋体" w:hAnsi="Times New Roman" w:cs="宋体" w:hint="eastAsia"/>
          <w:color w:val="auto"/>
          <w:spacing w:val="-2"/>
          <w:sz w:val="24"/>
          <w:szCs w:val="24"/>
          <w:lang w:eastAsia="zh-CN"/>
        </w:rPr>
        <w:t>~10</w:t>
      </w:r>
      <w:r>
        <w:rPr>
          <w:rFonts w:ascii="Times New Roman" w:eastAsia="宋体" w:hAnsi="Times New Roman" w:cs="宋体" w:hint="eastAsia"/>
          <w:color w:val="auto"/>
          <w:spacing w:val="-2"/>
          <w:sz w:val="24"/>
          <w:szCs w:val="24"/>
          <w:lang w:eastAsia="zh-CN"/>
        </w:rPr>
        <w:t>月为雨季，其间集中了全年</w:t>
      </w:r>
      <w:r>
        <w:rPr>
          <w:rFonts w:ascii="Times New Roman" w:eastAsia="宋体" w:hAnsi="Times New Roman" w:cs="宋体" w:hint="eastAsia"/>
          <w:color w:val="auto"/>
          <w:spacing w:val="-2"/>
          <w:sz w:val="24"/>
          <w:szCs w:val="24"/>
          <w:lang w:eastAsia="zh-CN"/>
        </w:rPr>
        <w:t>85%</w:t>
      </w:r>
      <w:r>
        <w:rPr>
          <w:rFonts w:ascii="Times New Roman" w:eastAsia="宋体" w:hAnsi="Times New Roman" w:cs="宋体" w:hint="eastAsia"/>
          <w:color w:val="auto"/>
          <w:spacing w:val="-2"/>
          <w:sz w:val="24"/>
          <w:szCs w:val="24"/>
          <w:lang w:eastAsia="zh-CN"/>
        </w:rPr>
        <w:t>以上的降水量和</w:t>
      </w:r>
      <w:r>
        <w:rPr>
          <w:rFonts w:ascii="Times New Roman" w:eastAsia="宋体" w:hAnsi="Times New Roman" w:cs="宋体" w:hint="eastAsia"/>
          <w:color w:val="auto"/>
          <w:spacing w:val="-2"/>
          <w:sz w:val="24"/>
          <w:szCs w:val="24"/>
          <w:lang w:eastAsia="zh-CN"/>
        </w:rPr>
        <w:t>75%</w:t>
      </w:r>
      <w:r>
        <w:rPr>
          <w:rFonts w:ascii="Times New Roman" w:eastAsia="宋体" w:hAnsi="Times New Roman" w:cs="宋体" w:hint="eastAsia"/>
          <w:color w:val="auto"/>
          <w:spacing w:val="-2"/>
          <w:sz w:val="24"/>
          <w:szCs w:val="24"/>
          <w:lang w:eastAsia="zh-CN"/>
        </w:rPr>
        <w:t>以上的降水日；</w:t>
      </w:r>
      <w:r>
        <w:rPr>
          <w:rFonts w:ascii="Times New Roman" w:eastAsia="宋体" w:hAnsi="Times New Roman" w:cs="宋体" w:hint="eastAsia"/>
          <w:color w:val="auto"/>
          <w:spacing w:val="-2"/>
          <w:sz w:val="24"/>
          <w:szCs w:val="24"/>
          <w:lang w:eastAsia="zh-CN"/>
        </w:rPr>
        <w:t>11</w:t>
      </w:r>
      <w:r>
        <w:rPr>
          <w:rFonts w:ascii="Times New Roman" w:eastAsia="宋体" w:hAnsi="Times New Roman" w:cs="宋体" w:hint="eastAsia"/>
          <w:color w:val="auto"/>
          <w:spacing w:val="-2"/>
          <w:sz w:val="24"/>
          <w:szCs w:val="24"/>
          <w:lang w:eastAsia="zh-CN"/>
        </w:rPr>
        <w:t>月至翌年</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月为旱季，降水量较少。年最大降水量为</w:t>
      </w:r>
      <w:r>
        <w:rPr>
          <w:rFonts w:ascii="Times New Roman" w:eastAsia="宋体" w:hAnsi="Times New Roman" w:cs="宋体" w:hint="eastAsia"/>
          <w:color w:val="auto"/>
          <w:spacing w:val="-2"/>
          <w:sz w:val="24"/>
          <w:szCs w:val="24"/>
          <w:lang w:eastAsia="zh-CN"/>
        </w:rPr>
        <w:t>1987.7mm</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1990</w:t>
      </w:r>
      <w:r>
        <w:rPr>
          <w:rFonts w:ascii="Times New Roman" w:eastAsia="宋体" w:hAnsi="Times New Roman" w:cs="宋体" w:hint="eastAsia"/>
          <w:color w:val="auto"/>
          <w:spacing w:val="-2"/>
          <w:sz w:val="24"/>
          <w:szCs w:val="24"/>
          <w:lang w:eastAsia="zh-CN"/>
        </w:rPr>
        <w:t>年），年最小降水量为</w:t>
      </w:r>
      <w:r>
        <w:rPr>
          <w:rFonts w:ascii="Times New Roman" w:eastAsia="宋体" w:hAnsi="Times New Roman" w:cs="宋体" w:hint="eastAsia"/>
          <w:color w:val="auto"/>
          <w:spacing w:val="-2"/>
          <w:sz w:val="24"/>
          <w:szCs w:val="24"/>
          <w:lang w:eastAsia="zh-CN"/>
        </w:rPr>
        <w:t>673.7mm</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1977</w:t>
      </w:r>
      <w:r>
        <w:rPr>
          <w:rFonts w:ascii="Times New Roman" w:eastAsia="宋体" w:hAnsi="Times New Roman" w:cs="宋体" w:hint="eastAsia"/>
          <w:color w:val="auto"/>
          <w:spacing w:val="-2"/>
          <w:sz w:val="24"/>
          <w:szCs w:val="24"/>
          <w:lang w:eastAsia="zh-CN"/>
        </w:rPr>
        <w:t>年），日最大降水量为</w:t>
      </w:r>
      <w:r>
        <w:rPr>
          <w:rFonts w:ascii="Times New Roman" w:eastAsia="宋体" w:hAnsi="Times New Roman" w:cs="宋体" w:hint="eastAsia"/>
          <w:color w:val="auto"/>
          <w:spacing w:val="-2"/>
          <w:sz w:val="24"/>
          <w:szCs w:val="24"/>
          <w:lang w:eastAsia="zh-CN"/>
        </w:rPr>
        <w:t>327.5mm</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1986</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hint="eastAsia"/>
          <w:color w:val="auto"/>
          <w:spacing w:val="-2"/>
          <w:sz w:val="24"/>
          <w:szCs w:val="24"/>
          <w:lang w:eastAsia="zh-CN"/>
        </w:rPr>
        <w:t>月</w:t>
      </w:r>
      <w:r>
        <w:rPr>
          <w:rFonts w:ascii="Times New Roman" w:eastAsia="宋体" w:hAnsi="Times New Roman" w:cs="宋体" w:hint="eastAsia"/>
          <w:color w:val="auto"/>
          <w:spacing w:val="-2"/>
          <w:sz w:val="24"/>
          <w:szCs w:val="24"/>
          <w:lang w:eastAsia="zh-CN"/>
        </w:rPr>
        <w:t>20</w:t>
      </w:r>
      <w:r>
        <w:rPr>
          <w:rFonts w:ascii="Times New Roman" w:eastAsia="宋体" w:hAnsi="Times New Roman" w:cs="宋体" w:hint="eastAsia"/>
          <w:color w:val="auto"/>
          <w:spacing w:val="-2"/>
          <w:sz w:val="24"/>
          <w:szCs w:val="24"/>
          <w:lang w:eastAsia="zh-CN"/>
        </w:rPr>
        <w:t>日），最长连续降水日数为</w:t>
      </w:r>
      <w:r>
        <w:rPr>
          <w:rFonts w:ascii="Times New Roman" w:eastAsia="宋体" w:hAnsi="Times New Roman" w:cs="宋体" w:hint="eastAsia"/>
          <w:color w:val="auto"/>
          <w:spacing w:val="-2"/>
          <w:sz w:val="24"/>
          <w:szCs w:val="24"/>
          <w:lang w:eastAsia="zh-CN"/>
        </w:rPr>
        <w:t>18</w:t>
      </w:r>
      <w:r>
        <w:rPr>
          <w:rFonts w:ascii="Times New Roman" w:eastAsia="宋体" w:hAnsi="Times New Roman" w:cs="宋体" w:hint="eastAsia"/>
          <w:color w:val="auto"/>
          <w:spacing w:val="-2"/>
          <w:sz w:val="24"/>
          <w:szCs w:val="24"/>
          <w:lang w:eastAsia="zh-CN"/>
        </w:rPr>
        <w:t>天，降水量</w:t>
      </w:r>
      <w:r>
        <w:rPr>
          <w:rFonts w:ascii="Times New Roman" w:eastAsia="宋体" w:hAnsi="Times New Roman" w:cs="宋体" w:hint="eastAsia"/>
          <w:color w:val="auto"/>
          <w:spacing w:val="-2"/>
          <w:sz w:val="24"/>
          <w:szCs w:val="24"/>
          <w:lang w:eastAsia="zh-CN"/>
        </w:rPr>
        <w:t>245.8mm</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1967</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9</w:t>
      </w:r>
      <w:r>
        <w:rPr>
          <w:rFonts w:ascii="Times New Roman" w:eastAsia="宋体" w:hAnsi="Times New Roman" w:cs="宋体" w:hint="eastAsia"/>
          <w:color w:val="auto"/>
          <w:spacing w:val="-2"/>
          <w:sz w:val="24"/>
          <w:szCs w:val="24"/>
          <w:lang w:eastAsia="zh-CN"/>
        </w:rPr>
        <w:t>月</w:t>
      </w:r>
      <w:r>
        <w:rPr>
          <w:rFonts w:ascii="Times New Roman" w:eastAsia="宋体" w:hAnsi="Times New Roman" w:cs="宋体" w:hint="eastAsia"/>
          <w:color w:val="auto"/>
          <w:spacing w:val="-2"/>
          <w:sz w:val="24"/>
          <w:szCs w:val="24"/>
          <w:lang w:eastAsia="zh-CN"/>
        </w:rPr>
        <w:t>13</w:t>
      </w:r>
      <w:r>
        <w:rPr>
          <w:rFonts w:ascii="Times New Roman" w:eastAsia="宋体" w:hAnsi="Times New Roman" w:cs="宋体" w:hint="eastAsia"/>
          <w:color w:val="auto"/>
          <w:spacing w:val="-2"/>
          <w:sz w:val="24"/>
          <w:szCs w:val="24"/>
          <w:lang w:eastAsia="zh-CN"/>
        </w:rPr>
        <w:t>日至</w:t>
      </w:r>
      <w:r>
        <w:rPr>
          <w:rFonts w:ascii="Times New Roman" w:eastAsia="宋体" w:hAnsi="Times New Roman" w:cs="宋体" w:hint="eastAsia"/>
          <w:color w:val="auto"/>
          <w:spacing w:val="-2"/>
          <w:sz w:val="24"/>
          <w:szCs w:val="24"/>
          <w:lang w:eastAsia="zh-CN"/>
        </w:rPr>
        <w:t>30</w:t>
      </w:r>
      <w:r>
        <w:rPr>
          <w:rFonts w:ascii="Times New Roman" w:eastAsia="宋体" w:hAnsi="Times New Roman" w:cs="宋体" w:hint="eastAsia"/>
          <w:color w:val="auto"/>
          <w:spacing w:val="-2"/>
          <w:sz w:val="24"/>
          <w:szCs w:val="24"/>
          <w:lang w:eastAsia="zh-CN"/>
        </w:rPr>
        <w:t>日）。各月降水量、降水日数、平均大雨和暴</w:t>
      </w:r>
      <w:r>
        <w:rPr>
          <w:rFonts w:ascii="Times New Roman" w:eastAsia="宋体" w:hAnsi="Times New Roman" w:cs="宋体" w:hint="eastAsia"/>
          <w:color w:val="auto"/>
          <w:spacing w:val="-2"/>
          <w:sz w:val="24"/>
          <w:szCs w:val="24"/>
          <w:lang w:eastAsia="zh-CN"/>
        </w:rPr>
        <w:t>雨日数分布见表</w:t>
      </w:r>
      <w:r>
        <w:rPr>
          <w:rFonts w:ascii="Times New Roman" w:eastAsia="宋体" w:hAnsi="Times New Roman" w:cs="宋体" w:hint="eastAsia"/>
          <w:color w:val="auto"/>
          <w:spacing w:val="-2"/>
          <w:sz w:val="24"/>
          <w:szCs w:val="24"/>
          <w:lang w:eastAsia="zh-CN"/>
        </w:rPr>
        <w:t>3.2.1-2</w:t>
      </w:r>
      <w:r>
        <w:rPr>
          <w:rFonts w:ascii="Times New Roman" w:eastAsia="宋体" w:hAnsi="Times New Roman" w:cs="宋体" w:hint="eastAsia"/>
          <w:color w:val="auto"/>
          <w:spacing w:val="-2"/>
          <w:sz w:val="24"/>
          <w:szCs w:val="24"/>
          <w:lang w:eastAsia="zh-CN"/>
        </w:rPr>
        <w:t>。</w:t>
      </w:r>
    </w:p>
    <w:p w14:paraId="55C4DCBD" w14:textId="77777777" w:rsidR="0075791A" w:rsidRDefault="00FB2864">
      <w:pPr>
        <w:ind w:firstLineChars="200" w:firstLine="480"/>
        <w:jc w:val="center"/>
        <w:rPr>
          <w:rFonts w:ascii="Times New Roman" w:hAnsi="Times New Roman"/>
          <w:color w:val="auto"/>
          <w:sz w:val="24"/>
          <w:szCs w:val="24"/>
          <w:lang w:eastAsia="zh-CN" w:bidi="ar"/>
        </w:rPr>
      </w:pPr>
      <w:r>
        <w:rPr>
          <w:rFonts w:ascii="Times New Roman" w:hAnsi="Times New Roman"/>
          <w:color w:val="auto"/>
          <w:sz w:val="24"/>
          <w:szCs w:val="24"/>
          <w:lang w:eastAsia="zh-CN" w:bidi="ar"/>
        </w:rPr>
        <w:t>表</w:t>
      </w:r>
      <w:r>
        <w:rPr>
          <w:rFonts w:ascii="Times New Roman" w:eastAsia="宋体" w:hAnsi="Times New Roman" w:hint="eastAsia"/>
          <w:color w:val="auto"/>
          <w:sz w:val="24"/>
          <w:szCs w:val="24"/>
          <w:lang w:eastAsia="zh-CN" w:bidi="ar"/>
        </w:rPr>
        <w:t>3.</w:t>
      </w:r>
      <w:r>
        <w:rPr>
          <w:rFonts w:ascii="Times New Roman" w:hAnsi="Times New Roman" w:hint="eastAsia"/>
          <w:color w:val="auto"/>
          <w:sz w:val="24"/>
          <w:szCs w:val="24"/>
          <w:lang w:eastAsia="zh-CN" w:bidi="ar"/>
        </w:rPr>
        <w:t>2.</w:t>
      </w:r>
      <w:r>
        <w:rPr>
          <w:rFonts w:ascii="Times New Roman" w:hAnsi="Times New Roman"/>
          <w:color w:val="auto"/>
          <w:sz w:val="24"/>
          <w:szCs w:val="24"/>
          <w:lang w:eastAsia="zh-CN" w:bidi="ar"/>
        </w:rPr>
        <w:t>1-2</w:t>
      </w:r>
      <w:r>
        <w:rPr>
          <w:rFonts w:ascii="Times New Roman" w:hAnsi="Times New Roman"/>
          <w:color w:val="auto"/>
          <w:sz w:val="24"/>
          <w:szCs w:val="24"/>
          <w:lang w:eastAsia="zh-CN" w:bidi="ar"/>
        </w:rPr>
        <w:t>各月降水量、降水日数、平均大雨和暴雨日数分布</w:t>
      </w:r>
    </w:p>
    <w:tbl>
      <w:tblPr>
        <w:tblW w:w="86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1"/>
        <w:gridCol w:w="449"/>
        <w:gridCol w:w="521"/>
        <w:gridCol w:w="521"/>
        <w:gridCol w:w="521"/>
        <w:gridCol w:w="608"/>
        <w:gridCol w:w="608"/>
        <w:gridCol w:w="608"/>
        <w:gridCol w:w="608"/>
        <w:gridCol w:w="608"/>
        <w:gridCol w:w="609"/>
        <w:gridCol w:w="522"/>
        <w:gridCol w:w="522"/>
        <w:gridCol w:w="645"/>
      </w:tblGrid>
      <w:tr w:rsidR="0075791A" w14:paraId="6CA70B8D" w14:textId="77777777">
        <w:trPr>
          <w:jc w:val="center"/>
        </w:trPr>
        <w:tc>
          <w:tcPr>
            <w:tcW w:w="1251" w:type="dxa"/>
            <w:tcMar>
              <w:top w:w="0" w:type="dxa"/>
              <w:left w:w="57" w:type="dxa"/>
              <w:bottom w:w="0" w:type="dxa"/>
              <w:right w:w="57" w:type="dxa"/>
            </w:tcMar>
            <w:vAlign w:val="center"/>
          </w:tcPr>
          <w:p w14:paraId="7C552070" w14:textId="77777777" w:rsidR="0075791A" w:rsidRDefault="00FB2864">
            <w:pPr>
              <w:jc w:val="center"/>
              <w:rPr>
                <w:rFonts w:ascii="Times New Roman" w:hAnsi="Times New Roman"/>
                <w:b/>
                <w:bCs/>
                <w:color w:val="auto"/>
                <w:sz w:val="16"/>
                <w:szCs w:val="16"/>
              </w:rPr>
            </w:pPr>
            <w:r>
              <w:rPr>
                <w:rFonts w:ascii="Times New Roman" w:hAnsi="Times New Roman"/>
                <w:b/>
                <w:bCs/>
                <w:color w:val="auto"/>
                <w:sz w:val="16"/>
                <w:szCs w:val="16"/>
              </w:rPr>
              <w:t>月份</w:t>
            </w:r>
          </w:p>
        </w:tc>
        <w:tc>
          <w:tcPr>
            <w:tcW w:w="449" w:type="dxa"/>
            <w:tcMar>
              <w:top w:w="0" w:type="dxa"/>
              <w:left w:w="57" w:type="dxa"/>
              <w:bottom w:w="0" w:type="dxa"/>
              <w:right w:w="57" w:type="dxa"/>
            </w:tcMar>
            <w:vAlign w:val="center"/>
          </w:tcPr>
          <w:p w14:paraId="68CA6A76" w14:textId="77777777" w:rsidR="0075791A" w:rsidRDefault="00FB2864">
            <w:pPr>
              <w:jc w:val="center"/>
              <w:rPr>
                <w:rFonts w:ascii="Times New Roman" w:hAnsi="Times New Roman"/>
                <w:b/>
                <w:bCs/>
                <w:color w:val="auto"/>
                <w:sz w:val="16"/>
                <w:szCs w:val="16"/>
              </w:rPr>
            </w:pPr>
            <w:r>
              <w:rPr>
                <w:rFonts w:ascii="Times New Roman" w:hAnsi="Times New Roman"/>
                <w:b/>
                <w:bCs/>
                <w:color w:val="auto"/>
                <w:sz w:val="16"/>
                <w:szCs w:val="16"/>
              </w:rPr>
              <w:t>1</w:t>
            </w:r>
          </w:p>
        </w:tc>
        <w:tc>
          <w:tcPr>
            <w:tcW w:w="521" w:type="dxa"/>
            <w:tcMar>
              <w:top w:w="0" w:type="dxa"/>
              <w:left w:w="57" w:type="dxa"/>
              <w:bottom w:w="0" w:type="dxa"/>
              <w:right w:w="57" w:type="dxa"/>
            </w:tcMar>
            <w:vAlign w:val="center"/>
          </w:tcPr>
          <w:p w14:paraId="386321C9" w14:textId="77777777" w:rsidR="0075791A" w:rsidRDefault="00FB2864">
            <w:pPr>
              <w:jc w:val="center"/>
              <w:rPr>
                <w:rFonts w:ascii="Times New Roman" w:hAnsi="Times New Roman"/>
                <w:b/>
                <w:bCs/>
                <w:color w:val="auto"/>
                <w:sz w:val="16"/>
                <w:szCs w:val="16"/>
              </w:rPr>
            </w:pPr>
            <w:r>
              <w:rPr>
                <w:rFonts w:ascii="Times New Roman" w:hAnsi="Times New Roman"/>
                <w:b/>
                <w:bCs/>
                <w:color w:val="auto"/>
                <w:sz w:val="16"/>
                <w:szCs w:val="16"/>
              </w:rPr>
              <w:t>2</w:t>
            </w:r>
          </w:p>
        </w:tc>
        <w:tc>
          <w:tcPr>
            <w:tcW w:w="521" w:type="dxa"/>
            <w:tcMar>
              <w:top w:w="0" w:type="dxa"/>
              <w:left w:w="57" w:type="dxa"/>
              <w:bottom w:w="0" w:type="dxa"/>
              <w:right w:w="57" w:type="dxa"/>
            </w:tcMar>
            <w:vAlign w:val="center"/>
          </w:tcPr>
          <w:p w14:paraId="4E13EB98" w14:textId="77777777" w:rsidR="0075791A" w:rsidRDefault="00FB2864">
            <w:pPr>
              <w:jc w:val="center"/>
              <w:rPr>
                <w:rFonts w:ascii="Times New Roman" w:hAnsi="Times New Roman"/>
                <w:b/>
                <w:bCs/>
                <w:color w:val="auto"/>
                <w:sz w:val="16"/>
                <w:szCs w:val="16"/>
              </w:rPr>
            </w:pPr>
            <w:r>
              <w:rPr>
                <w:rFonts w:ascii="Times New Roman" w:hAnsi="Times New Roman"/>
                <w:b/>
                <w:bCs/>
                <w:color w:val="auto"/>
                <w:sz w:val="16"/>
                <w:szCs w:val="16"/>
              </w:rPr>
              <w:t>3</w:t>
            </w:r>
          </w:p>
        </w:tc>
        <w:tc>
          <w:tcPr>
            <w:tcW w:w="521" w:type="dxa"/>
            <w:tcMar>
              <w:top w:w="0" w:type="dxa"/>
              <w:left w:w="57" w:type="dxa"/>
              <w:bottom w:w="0" w:type="dxa"/>
              <w:right w:w="57" w:type="dxa"/>
            </w:tcMar>
            <w:vAlign w:val="center"/>
          </w:tcPr>
          <w:p w14:paraId="6D41FC4F" w14:textId="77777777" w:rsidR="0075791A" w:rsidRDefault="00FB2864">
            <w:pPr>
              <w:jc w:val="center"/>
              <w:rPr>
                <w:rFonts w:ascii="Times New Roman" w:hAnsi="Times New Roman"/>
                <w:b/>
                <w:bCs/>
                <w:color w:val="auto"/>
                <w:sz w:val="16"/>
                <w:szCs w:val="16"/>
              </w:rPr>
            </w:pPr>
            <w:r>
              <w:rPr>
                <w:rFonts w:ascii="Times New Roman" w:hAnsi="Times New Roman"/>
                <w:b/>
                <w:bCs/>
                <w:color w:val="auto"/>
                <w:sz w:val="16"/>
                <w:szCs w:val="16"/>
              </w:rPr>
              <w:t>4</w:t>
            </w:r>
          </w:p>
        </w:tc>
        <w:tc>
          <w:tcPr>
            <w:tcW w:w="608" w:type="dxa"/>
            <w:tcMar>
              <w:top w:w="0" w:type="dxa"/>
              <w:left w:w="57" w:type="dxa"/>
              <w:bottom w:w="0" w:type="dxa"/>
              <w:right w:w="57" w:type="dxa"/>
            </w:tcMar>
            <w:vAlign w:val="center"/>
          </w:tcPr>
          <w:p w14:paraId="17795797" w14:textId="77777777" w:rsidR="0075791A" w:rsidRDefault="00FB2864">
            <w:pPr>
              <w:jc w:val="center"/>
              <w:rPr>
                <w:rFonts w:ascii="Times New Roman" w:hAnsi="Times New Roman"/>
                <w:b/>
                <w:bCs/>
                <w:color w:val="auto"/>
                <w:sz w:val="16"/>
                <w:szCs w:val="16"/>
              </w:rPr>
            </w:pPr>
            <w:r>
              <w:rPr>
                <w:rFonts w:ascii="Times New Roman" w:hAnsi="Times New Roman"/>
                <w:b/>
                <w:bCs/>
                <w:color w:val="auto"/>
                <w:sz w:val="16"/>
                <w:szCs w:val="16"/>
              </w:rPr>
              <w:t>5</w:t>
            </w:r>
          </w:p>
        </w:tc>
        <w:tc>
          <w:tcPr>
            <w:tcW w:w="608" w:type="dxa"/>
            <w:tcMar>
              <w:top w:w="0" w:type="dxa"/>
              <w:left w:w="57" w:type="dxa"/>
              <w:bottom w:w="0" w:type="dxa"/>
              <w:right w:w="57" w:type="dxa"/>
            </w:tcMar>
            <w:vAlign w:val="center"/>
          </w:tcPr>
          <w:p w14:paraId="2521FD1F" w14:textId="77777777" w:rsidR="0075791A" w:rsidRDefault="00FB2864">
            <w:pPr>
              <w:jc w:val="center"/>
              <w:rPr>
                <w:rFonts w:ascii="Times New Roman" w:hAnsi="Times New Roman"/>
                <w:b/>
                <w:bCs/>
                <w:color w:val="auto"/>
                <w:sz w:val="16"/>
                <w:szCs w:val="16"/>
              </w:rPr>
            </w:pPr>
            <w:r>
              <w:rPr>
                <w:rFonts w:ascii="Times New Roman" w:hAnsi="Times New Roman"/>
                <w:b/>
                <w:bCs/>
                <w:color w:val="auto"/>
                <w:sz w:val="16"/>
                <w:szCs w:val="16"/>
              </w:rPr>
              <w:t>6</w:t>
            </w:r>
          </w:p>
        </w:tc>
        <w:tc>
          <w:tcPr>
            <w:tcW w:w="608" w:type="dxa"/>
            <w:tcMar>
              <w:top w:w="0" w:type="dxa"/>
              <w:left w:w="57" w:type="dxa"/>
              <w:bottom w:w="0" w:type="dxa"/>
              <w:right w:w="57" w:type="dxa"/>
            </w:tcMar>
            <w:vAlign w:val="center"/>
          </w:tcPr>
          <w:p w14:paraId="23F849C2" w14:textId="77777777" w:rsidR="0075791A" w:rsidRDefault="00FB2864">
            <w:pPr>
              <w:jc w:val="center"/>
              <w:rPr>
                <w:rFonts w:ascii="Times New Roman" w:hAnsi="Times New Roman"/>
                <w:b/>
                <w:bCs/>
                <w:color w:val="auto"/>
                <w:sz w:val="16"/>
                <w:szCs w:val="16"/>
              </w:rPr>
            </w:pPr>
            <w:r>
              <w:rPr>
                <w:rFonts w:ascii="Times New Roman" w:hAnsi="Times New Roman"/>
                <w:b/>
                <w:bCs/>
                <w:color w:val="auto"/>
                <w:sz w:val="16"/>
                <w:szCs w:val="16"/>
              </w:rPr>
              <w:t>7</w:t>
            </w:r>
          </w:p>
        </w:tc>
        <w:tc>
          <w:tcPr>
            <w:tcW w:w="608" w:type="dxa"/>
            <w:tcMar>
              <w:top w:w="0" w:type="dxa"/>
              <w:left w:w="57" w:type="dxa"/>
              <w:bottom w:w="0" w:type="dxa"/>
              <w:right w:w="57" w:type="dxa"/>
            </w:tcMar>
            <w:vAlign w:val="center"/>
          </w:tcPr>
          <w:p w14:paraId="0732537F" w14:textId="77777777" w:rsidR="0075791A" w:rsidRDefault="00FB2864">
            <w:pPr>
              <w:jc w:val="center"/>
              <w:rPr>
                <w:rFonts w:ascii="Times New Roman" w:hAnsi="Times New Roman"/>
                <w:b/>
                <w:bCs/>
                <w:color w:val="auto"/>
                <w:sz w:val="16"/>
                <w:szCs w:val="16"/>
              </w:rPr>
            </w:pPr>
            <w:r>
              <w:rPr>
                <w:rFonts w:ascii="Times New Roman" w:hAnsi="Times New Roman"/>
                <w:b/>
                <w:bCs/>
                <w:color w:val="auto"/>
                <w:sz w:val="16"/>
                <w:szCs w:val="16"/>
              </w:rPr>
              <w:t>8</w:t>
            </w:r>
          </w:p>
        </w:tc>
        <w:tc>
          <w:tcPr>
            <w:tcW w:w="608" w:type="dxa"/>
            <w:tcMar>
              <w:top w:w="0" w:type="dxa"/>
              <w:left w:w="57" w:type="dxa"/>
              <w:bottom w:w="0" w:type="dxa"/>
              <w:right w:w="57" w:type="dxa"/>
            </w:tcMar>
            <w:vAlign w:val="center"/>
          </w:tcPr>
          <w:p w14:paraId="30B9F592" w14:textId="77777777" w:rsidR="0075791A" w:rsidRDefault="00FB2864">
            <w:pPr>
              <w:jc w:val="center"/>
              <w:rPr>
                <w:rFonts w:ascii="Times New Roman" w:hAnsi="Times New Roman"/>
                <w:b/>
                <w:bCs/>
                <w:color w:val="auto"/>
                <w:sz w:val="16"/>
                <w:szCs w:val="16"/>
              </w:rPr>
            </w:pPr>
            <w:r>
              <w:rPr>
                <w:rFonts w:ascii="Times New Roman" w:hAnsi="Times New Roman"/>
                <w:b/>
                <w:bCs/>
                <w:color w:val="auto"/>
                <w:sz w:val="16"/>
                <w:szCs w:val="16"/>
              </w:rPr>
              <w:t>9</w:t>
            </w:r>
          </w:p>
        </w:tc>
        <w:tc>
          <w:tcPr>
            <w:tcW w:w="609" w:type="dxa"/>
            <w:tcMar>
              <w:top w:w="0" w:type="dxa"/>
              <w:left w:w="57" w:type="dxa"/>
              <w:bottom w:w="0" w:type="dxa"/>
              <w:right w:w="57" w:type="dxa"/>
            </w:tcMar>
            <w:vAlign w:val="center"/>
          </w:tcPr>
          <w:p w14:paraId="690EB1FC" w14:textId="77777777" w:rsidR="0075791A" w:rsidRDefault="00FB2864">
            <w:pPr>
              <w:jc w:val="center"/>
              <w:rPr>
                <w:rFonts w:ascii="Times New Roman" w:hAnsi="Times New Roman"/>
                <w:b/>
                <w:bCs/>
                <w:color w:val="auto"/>
                <w:sz w:val="16"/>
                <w:szCs w:val="16"/>
              </w:rPr>
            </w:pPr>
            <w:r>
              <w:rPr>
                <w:rFonts w:ascii="Times New Roman" w:hAnsi="Times New Roman"/>
                <w:b/>
                <w:bCs/>
                <w:color w:val="auto"/>
                <w:sz w:val="16"/>
                <w:szCs w:val="16"/>
              </w:rPr>
              <w:t>10</w:t>
            </w:r>
          </w:p>
        </w:tc>
        <w:tc>
          <w:tcPr>
            <w:tcW w:w="522" w:type="dxa"/>
            <w:tcMar>
              <w:top w:w="0" w:type="dxa"/>
              <w:left w:w="57" w:type="dxa"/>
              <w:bottom w:w="0" w:type="dxa"/>
              <w:right w:w="57" w:type="dxa"/>
            </w:tcMar>
            <w:vAlign w:val="center"/>
          </w:tcPr>
          <w:p w14:paraId="73CF097A" w14:textId="77777777" w:rsidR="0075791A" w:rsidRDefault="00FB2864">
            <w:pPr>
              <w:jc w:val="center"/>
              <w:rPr>
                <w:rFonts w:ascii="Times New Roman" w:hAnsi="Times New Roman"/>
                <w:b/>
                <w:bCs/>
                <w:color w:val="auto"/>
                <w:sz w:val="16"/>
                <w:szCs w:val="16"/>
              </w:rPr>
            </w:pPr>
            <w:r>
              <w:rPr>
                <w:rFonts w:ascii="Times New Roman" w:hAnsi="Times New Roman"/>
                <w:b/>
                <w:bCs/>
                <w:color w:val="auto"/>
                <w:sz w:val="16"/>
                <w:szCs w:val="16"/>
              </w:rPr>
              <w:t>11</w:t>
            </w:r>
          </w:p>
        </w:tc>
        <w:tc>
          <w:tcPr>
            <w:tcW w:w="522" w:type="dxa"/>
            <w:tcMar>
              <w:top w:w="0" w:type="dxa"/>
              <w:left w:w="57" w:type="dxa"/>
              <w:bottom w:w="0" w:type="dxa"/>
              <w:right w:w="57" w:type="dxa"/>
            </w:tcMar>
            <w:vAlign w:val="center"/>
          </w:tcPr>
          <w:p w14:paraId="68AB93F7" w14:textId="77777777" w:rsidR="0075791A" w:rsidRDefault="00FB2864">
            <w:pPr>
              <w:jc w:val="center"/>
              <w:rPr>
                <w:rFonts w:ascii="Times New Roman" w:hAnsi="Times New Roman"/>
                <w:b/>
                <w:bCs/>
                <w:color w:val="auto"/>
                <w:sz w:val="16"/>
                <w:szCs w:val="16"/>
              </w:rPr>
            </w:pPr>
            <w:r>
              <w:rPr>
                <w:rFonts w:ascii="Times New Roman" w:hAnsi="Times New Roman"/>
                <w:b/>
                <w:bCs/>
                <w:color w:val="auto"/>
                <w:sz w:val="16"/>
                <w:szCs w:val="16"/>
              </w:rPr>
              <w:t>12</w:t>
            </w:r>
          </w:p>
        </w:tc>
        <w:tc>
          <w:tcPr>
            <w:tcW w:w="645" w:type="dxa"/>
            <w:tcMar>
              <w:top w:w="0" w:type="dxa"/>
              <w:left w:w="57" w:type="dxa"/>
              <w:bottom w:w="0" w:type="dxa"/>
              <w:right w:w="57" w:type="dxa"/>
            </w:tcMar>
            <w:vAlign w:val="center"/>
          </w:tcPr>
          <w:p w14:paraId="1958544F" w14:textId="77777777" w:rsidR="0075791A" w:rsidRDefault="00FB2864">
            <w:pPr>
              <w:jc w:val="center"/>
              <w:rPr>
                <w:rFonts w:ascii="Times New Roman" w:hAnsi="Times New Roman"/>
                <w:b/>
                <w:bCs/>
                <w:color w:val="auto"/>
                <w:sz w:val="16"/>
                <w:szCs w:val="16"/>
              </w:rPr>
            </w:pPr>
            <w:r>
              <w:rPr>
                <w:rFonts w:ascii="Times New Roman" w:hAnsi="Times New Roman"/>
                <w:b/>
                <w:bCs/>
                <w:color w:val="auto"/>
                <w:sz w:val="16"/>
                <w:szCs w:val="16"/>
              </w:rPr>
              <w:t>全年</w:t>
            </w:r>
          </w:p>
        </w:tc>
      </w:tr>
      <w:tr w:rsidR="0075791A" w14:paraId="11E73F87" w14:textId="77777777">
        <w:trPr>
          <w:jc w:val="center"/>
        </w:trPr>
        <w:tc>
          <w:tcPr>
            <w:tcW w:w="1251" w:type="dxa"/>
            <w:tcMar>
              <w:top w:w="0" w:type="dxa"/>
              <w:left w:w="57" w:type="dxa"/>
              <w:bottom w:w="0" w:type="dxa"/>
              <w:right w:w="57" w:type="dxa"/>
            </w:tcMar>
            <w:vAlign w:val="center"/>
          </w:tcPr>
          <w:p w14:paraId="5F730A8B"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降水量（</w:t>
            </w:r>
            <w:r>
              <w:rPr>
                <w:rFonts w:ascii="Times New Roman" w:hAnsi="Times New Roman"/>
                <w:color w:val="auto"/>
                <w:sz w:val="16"/>
                <w:szCs w:val="16"/>
              </w:rPr>
              <w:t>mm</w:t>
            </w:r>
            <w:r>
              <w:rPr>
                <w:rFonts w:ascii="Times New Roman" w:hAnsi="Times New Roman"/>
                <w:color w:val="auto"/>
                <w:sz w:val="16"/>
                <w:szCs w:val="16"/>
              </w:rPr>
              <w:t>）</w:t>
            </w:r>
          </w:p>
        </w:tc>
        <w:tc>
          <w:tcPr>
            <w:tcW w:w="449" w:type="dxa"/>
            <w:tcMar>
              <w:top w:w="0" w:type="dxa"/>
              <w:left w:w="57" w:type="dxa"/>
              <w:bottom w:w="0" w:type="dxa"/>
              <w:right w:w="57" w:type="dxa"/>
            </w:tcMar>
            <w:vAlign w:val="center"/>
          </w:tcPr>
          <w:p w14:paraId="5B686D1B"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8.0</w:t>
            </w:r>
          </w:p>
        </w:tc>
        <w:tc>
          <w:tcPr>
            <w:tcW w:w="521" w:type="dxa"/>
            <w:tcMar>
              <w:top w:w="0" w:type="dxa"/>
              <w:left w:w="57" w:type="dxa"/>
              <w:bottom w:w="0" w:type="dxa"/>
              <w:right w:w="57" w:type="dxa"/>
            </w:tcMar>
            <w:vAlign w:val="center"/>
          </w:tcPr>
          <w:p w14:paraId="502E9341"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12.8</w:t>
            </w:r>
          </w:p>
        </w:tc>
        <w:tc>
          <w:tcPr>
            <w:tcW w:w="521" w:type="dxa"/>
            <w:tcMar>
              <w:top w:w="0" w:type="dxa"/>
              <w:left w:w="57" w:type="dxa"/>
              <w:bottom w:w="0" w:type="dxa"/>
              <w:right w:w="57" w:type="dxa"/>
            </w:tcMar>
            <w:vAlign w:val="center"/>
          </w:tcPr>
          <w:p w14:paraId="25D3F46A"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19.2</w:t>
            </w:r>
          </w:p>
        </w:tc>
        <w:tc>
          <w:tcPr>
            <w:tcW w:w="521" w:type="dxa"/>
            <w:tcMar>
              <w:top w:w="0" w:type="dxa"/>
              <w:left w:w="57" w:type="dxa"/>
              <w:bottom w:w="0" w:type="dxa"/>
              <w:right w:w="57" w:type="dxa"/>
            </w:tcMar>
            <w:vAlign w:val="center"/>
          </w:tcPr>
          <w:p w14:paraId="4F544B24"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43.3</w:t>
            </w:r>
          </w:p>
        </w:tc>
        <w:tc>
          <w:tcPr>
            <w:tcW w:w="608" w:type="dxa"/>
            <w:tcMar>
              <w:top w:w="0" w:type="dxa"/>
              <w:left w:w="57" w:type="dxa"/>
              <w:bottom w:w="0" w:type="dxa"/>
              <w:right w:w="57" w:type="dxa"/>
            </w:tcMar>
            <w:vAlign w:val="center"/>
          </w:tcPr>
          <w:p w14:paraId="6FD38C9A"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142.3</w:t>
            </w:r>
          </w:p>
        </w:tc>
        <w:tc>
          <w:tcPr>
            <w:tcW w:w="608" w:type="dxa"/>
            <w:tcMar>
              <w:top w:w="0" w:type="dxa"/>
              <w:left w:w="57" w:type="dxa"/>
              <w:bottom w:w="0" w:type="dxa"/>
              <w:right w:w="57" w:type="dxa"/>
            </w:tcMar>
            <w:vAlign w:val="center"/>
          </w:tcPr>
          <w:p w14:paraId="21C5D8B2"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197.5</w:t>
            </w:r>
          </w:p>
        </w:tc>
        <w:tc>
          <w:tcPr>
            <w:tcW w:w="608" w:type="dxa"/>
            <w:tcMar>
              <w:top w:w="0" w:type="dxa"/>
              <w:left w:w="57" w:type="dxa"/>
              <w:bottom w:w="0" w:type="dxa"/>
              <w:right w:w="57" w:type="dxa"/>
            </w:tcMar>
            <w:vAlign w:val="center"/>
          </w:tcPr>
          <w:p w14:paraId="3E16FC1B"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192.6</w:t>
            </w:r>
          </w:p>
        </w:tc>
        <w:tc>
          <w:tcPr>
            <w:tcW w:w="608" w:type="dxa"/>
            <w:tcMar>
              <w:top w:w="0" w:type="dxa"/>
              <w:left w:w="57" w:type="dxa"/>
              <w:bottom w:w="0" w:type="dxa"/>
              <w:right w:w="57" w:type="dxa"/>
            </w:tcMar>
            <w:vAlign w:val="center"/>
          </w:tcPr>
          <w:p w14:paraId="12D270AD"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221.5</w:t>
            </w:r>
          </w:p>
        </w:tc>
        <w:tc>
          <w:tcPr>
            <w:tcW w:w="608" w:type="dxa"/>
            <w:tcMar>
              <w:top w:w="0" w:type="dxa"/>
              <w:left w:w="57" w:type="dxa"/>
              <w:bottom w:w="0" w:type="dxa"/>
              <w:right w:w="57" w:type="dxa"/>
            </w:tcMar>
            <w:vAlign w:val="center"/>
          </w:tcPr>
          <w:p w14:paraId="2E3960A9"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251.4</w:t>
            </w:r>
          </w:p>
        </w:tc>
        <w:tc>
          <w:tcPr>
            <w:tcW w:w="609" w:type="dxa"/>
            <w:tcMar>
              <w:top w:w="0" w:type="dxa"/>
              <w:left w:w="57" w:type="dxa"/>
              <w:bottom w:w="0" w:type="dxa"/>
              <w:right w:w="57" w:type="dxa"/>
            </w:tcMar>
            <w:vAlign w:val="center"/>
          </w:tcPr>
          <w:p w14:paraId="6A3DF5A1"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234.5</w:t>
            </w:r>
          </w:p>
        </w:tc>
        <w:tc>
          <w:tcPr>
            <w:tcW w:w="522" w:type="dxa"/>
            <w:tcMar>
              <w:top w:w="0" w:type="dxa"/>
              <w:left w:w="57" w:type="dxa"/>
              <w:bottom w:w="0" w:type="dxa"/>
              <w:right w:w="57" w:type="dxa"/>
            </w:tcMar>
            <w:vAlign w:val="center"/>
          </w:tcPr>
          <w:p w14:paraId="66051134"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58.2</w:t>
            </w:r>
          </w:p>
        </w:tc>
        <w:tc>
          <w:tcPr>
            <w:tcW w:w="522" w:type="dxa"/>
            <w:tcMar>
              <w:top w:w="0" w:type="dxa"/>
              <w:left w:w="57" w:type="dxa"/>
              <w:bottom w:w="0" w:type="dxa"/>
              <w:right w:w="57" w:type="dxa"/>
            </w:tcMar>
            <w:vAlign w:val="center"/>
          </w:tcPr>
          <w:p w14:paraId="6B71F16C"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10.7</w:t>
            </w:r>
          </w:p>
        </w:tc>
        <w:tc>
          <w:tcPr>
            <w:tcW w:w="645" w:type="dxa"/>
            <w:tcMar>
              <w:top w:w="0" w:type="dxa"/>
              <w:left w:w="57" w:type="dxa"/>
              <w:bottom w:w="0" w:type="dxa"/>
              <w:right w:w="57" w:type="dxa"/>
            </w:tcMar>
            <w:vAlign w:val="center"/>
          </w:tcPr>
          <w:p w14:paraId="0D47ADE7"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139.2</w:t>
            </w:r>
          </w:p>
        </w:tc>
      </w:tr>
      <w:tr w:rsidR="0075791A" w14:paraId="56C8F977" w14:textId="77777777">
        <w:trPr>
          <w:jc w:val="center"/>
        </w:trPr>
        <w:tc>
          <w:tcPr>
            <w:tcW w:w="1251" w:type="dxa"/>
            <w:tcMar>
              <w:top w:w="0" w:type="dxa"/>
              <w:left w:w="57" w:type="dxa"/>
              <w:bottom w:w="0" w:type="dxa"/>
              <w:right w:w="57" w:type="dxa"/>
            </w:tcMar>
            <w:vAlign w:val="center"/>
          </w:tcPr>
          <w:p w14:paraId="6F7CD1E4" w14:textId="77777777" w:rsidR="0075791A" w:rsidRDefault="00FB2864">
            <w:pPr>
              <w:jc w:val="center"/>
              <w:rPr>
                <w:rFonts w:ascii="Times New Roman" w:hAnsi="Times New Roman"/>
                <w:color w:val="auto"/>
                <w:sz w:val="16"/>
                <w:szCs w:val="16"/>
                <w:lang w:eastAsia="zh-CN"/>
              </w:rPr>
            </w:pPr>
            <w:r>
              <w:rPr>
                <w:rFonts w:ascii="Times New Roman" w:hAnsi="Times New Roman"/>
                <w:color w:val="auto"/>
                <w:sz w:val="16"/>
                <w:szCs w:val="16"/>
                <w:lang w:eastAsia="zh-CN"/>
              </w:rPr>
              <w:t>降水日数（天）（</w:t>
            </w:r>
            <w:r>
              <w:rPr>
                <w:rFonts w:ascii="Times New Roman" w:hAnsi="Times New Roman"/>
                <w:color w:val="auto"/>
                <w:sz w:val="16"/>
                <w:szCs w:val="16"/>
                <w:lang w:eastAsia="zh-CN"/>
              </w:rPr>
              <w:t>R≥0.1mm</w:t>
            </w:r>
            <w:r>
              <w:rPr>
                <w:rFonts w:ascii="Times New Roman" w:hAnsi="Times New Roman"/>
                <w:color w:val="auto"/>
                <w:sz w:val="16"/>
                <w:szCs w:val="16"/>
                <w:lang w:eastAsia="zh-CN"/>
              </w:rPr>
              <w:t>）</w:t>
            </w:r>
          </w:p>
        </w:tc>
        <w:tc>
          <w:tcPr>
            <w:tcW w:w="449" w:type="dxa"/>
            <w:tcMar>
              <w:top w:w="0" w:type="dxa"/>
              <w:left w:w="57" w:type="dxa"/>
              <w:bottom w:w="0" w:type="dxa"/>
              <w:right w:w="57" w:type="dxa"/>
            </w:tcMar>
            <w:vAlign w:val="center"/>
          </w:tcPr>
          <w:p w14:paraId="228D0C58"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3</w:t>
            </w:r>
          </w:p>
        </w:tc>
        <w:tc>
          <w:tcPr>
            <w:tcW w:w="521" w:type="dxa"/>
            <w:tcMar>
              <w:top w:w="0" w:type="dxa"/>
              <w:left w:w="57" w:type="dxa"/>
              <w:bottom w:w="0" w:type="dxa"/>
              <w:right w:w="57" w:type="dxa"/>
            </w:tcMar>
            <w:vAlign w:val="center"/>
          </w:tcPr>
          <w:p w14:paraId="181F50D5"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4</w:t>
            </w:r>
          </w:p>
        </w:tc>
        <w:tc>
          <w:tcPr>
            <w:tcW w:w="521" w:type="dxa"/>
            <w:tcMar>
              <w:top w:w="0" w:type="dxa"/>
              <w:left w:w="57" w:type="dxa"/>
              <w:bottom w:w="0" w:type="dxa"/>
              <w:right w:w="57" w:type="dxa"/>
            </w:tcMar>
            <w:vAlign w:val="center"/>
          </w:tcPr>
          <w:p w14:paraId="046CAC16"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4</w:t>
            </w:r>
          </w:p>
        </w:tc>
        <w:tc>
          <w:tcPr>
            <w:tcW w:w="521" w:type="dxa"/>
            <w:tcMar>
              <w:top w:w="0" w:type="dxa"/>
              <w:left w:w="57" w:type="dxa"/>
              <w:bottom w:w="0" w:type="dxa"/>
              <w:right w:w="57" w:type="dxa"/>
            </w:tcMar>
            <w:vAlign w:val="center"/>
          </w:tcPr>
          <w:p w14:paraId="58127E04"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6</w:t>
            </w:r>
          </w:p>
        </w:tc>
        <w:tc>
          <w:tcPr>
            <w:tcW w:w="608" w:type="dxa"/>
            <w:tcMar>
              <w:top w:w="0" w:type="dxa"/>
              <w:left w:w="57" w:type="dxa"/>
              <w:bottom w:w="0" w:type="dxa"/>
              <w:right w:w="57" w:type="dxa"/>
            </w:tcMar>
            <w:vAlign w:val="center"/>
          </w:tcPr>
          <w:p w14:paraId="587937DE"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10</w:t>
            </w:r>
          </w:p>
        </w:tc>
        <w:tc>
          <w:tcPr>
            <w:tcW w:w="608" w:type="dxa"/>
            <w:tcMar>
              <w:top w:w="0" w:type="dxa"/>
              <w:left w:w="57" w:type="dxa"/>
              <w:bottom w:w="0" w:type="dxa"/>
              <w:right w:w="57" w:type="dxa"/>
            </w:tcMar>
            <w:vAlign w:val="center"/>
          </w:tcPr>
          <w:p w14:paraId="3D612660"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14</w:t>
            </w:r>
          </w:p>
        </w:tc>
        <w:tc>
          <w:tcPr>
            <w:tcW w:w="608" w:type="dxa"/>
            <w:tcMar>
              <w:top w:w="0" w:type="dxa"/>
              <w:left w:w="57" w:type="dxa"/>
              <w:bottom w:w="0" w:type="dxa"/>
              <w:right w:w="57" w:type="dxa"/>
            </w:tcMar>
            <w:vAlign w:val="center"/>
          </w:tcPr>
          <w:p w14:paraId="530A0BD6"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14</w:t>
            </w:r>
          </w:p>
        </w:tc>
        <w:tc>
          <w:tcPr>
            <w:tcW w:w="608" w:type="dxa"/>
            <w:tcMar>
              <w:top w:w="0" w:type="dxa"/>
              <w:left w:w="57" w:type="dxa"/>
              <w:bottom w:w="0" w:type="dxa"/>
              <w:right w:w="57" w:type="dxa"/>
            </w:tcMar>
            <w:vAlign w:val="center"/>
          </w:tcPr>
          <w:p w14:paraId="4374FE36"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16</w:t>
            </w:r>
          </w:p>
        </w:tc>
        <w:tc>
          <w:tcPr>
            <w:tcW w:w="608" w:type="dxa"/>
            <w:tcMar>
              <w:top w:w="0" w:type="dxa"/>
              <w:left w:w="57" w:type="dxa"/>
              <w:bottom w:w="0" w:type="dxa"/>
              <w:right w:w="57" w:type="dxa"/>
            </w:tcMar>
            <w:vAlign w:val="center"/>
          </w:tcPr>
          <w:p w14:paraId="7A4945EA"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17</w:t>
            </w:r>
          </w:p>
        </w:tc>
        <w:tc>
          <w:tcPr>
            <w:tcW w:w="609" w:type="dxa"/>
            <w:tcMar>
              <w:top w:w="0" w:type="dxa"/>
              <w:left w:w="57" w:type="dxa"/>
              <w:bottom w:w="0" w:type="dxa"/>
              <w:right w:w="57" w:type="dxa"/>
            </w:tcMar>
            <w:vAlign w:val="center"/>
          </w:tcPr>
          <w:p w14:paraId="680C1C37"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14</w:t>
            </w:r>
          </w:p>
        </w:tc>
        <w:tc>
          <w:tcPr>
            <w:tcW w:w="522" w:type="dxa"/>
            <w:tcMar>
              <w:top w:w="0" w:type="dxa"/>
              <w:left w:w="57" w:type="dxa"/>
              <w:bottom w:w="0" w:type="dxa"/>
              <w:right w:w="57" w:type="dxa"/>
            </w:tcMar>
            <w:vAlign w:val="center"/>
          </w:tcPr>
          <w:p w14:paraId="33A34DB6"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7</w:t>
            </w:r>
          </w:p>
        </w:tc>
        <w:tc>
          <w:tcPr>
            <w:tcW w:w="522" w:type="dxa"/>
            <w:tcMar>
              <w:top w:w="0" w:type="dxa"/>
              <w:left w:w="57" w:type="dxa"/>
              <w:bottom w:w="0" w:type="dxa"/>
              <w:right w:w="57" w:type="dxa"/>
            </w:tcMar>
            <w:vAlign w:val="center"/>
          </w:tcPr>
          <w:p w14:paraId="1AE90FE4"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4</w:t>
            </w:r>
          </w:p>
        </w:tc>
        <w:tc>
          <w:tcPr>
            <w:tcW w:w="645" w:type="dxa"/>
            <w:tcMar>
              <w:top w:w="0" w:type="dxa"/>
              <w:left w:w="57" w:type="dxa"/>
              <w:bottom w:w="0" w:type="dxa"/>
              <w:right w:w="57" w:type="dxa"/>
            </w:tcMar>
            <w:vAlign w:val="center"/>
          </w:tcPr>
          <w:p w14:paraId="7A137052"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113</w:t>
            </w:r>
          </w:p>
        </w:tc>
      </w:tr>
      <w:tr w:rsidR="0075791A" w14:paraId="65B603D5" w14:textId="77777777">
        <w:trPr>
          <w:jc w:val="center"/>
        </w:trPr>
        <w:tc>
          <w:tcPr>
            <w:tcW w:w="1251" w:type="dxa"/>
            <w:tcMar>
              <w:top w:w="0" w:type="dxa"/>
              <w:left w:w="57" w:type="dxa"/>
              <w:bottom w:w="0" w:type="dxa"/>
              <w:right w:w="57" w:type="dxa"/>
            </w:tcMar>
            <w:vAlign w:val="center"/>
          </w:tcPr>
          <w:p w14:paraId="771737D9"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平均大雨（天）（</w:t>
            </w:r>
            <w:r>
              <w:rPr>
                <w:rFonts w:ascii="Times New Roman" w:hAnsi="Times New Roman"/>
                <w:color w:val="auto"/>
                <w:sz w:val="16"/>
                <w:szCs w:val="16"/>
              </w:rPr>
              <w:t>R≥25mm</w:t>
            </w:r>
            <w:r>
              <w:rPr>
                <w:rFonts w:ascii="Times New Roman" w:hAnsi="Times New Roman"/>
                <w:color w:val="auto"/>
                <w:sz w:val="16"/>
                <w:szCs w:val="16"/>
              </w:rPr>
              <w:t>）</w:t>
            </w:r>
          </w:p>
        </w:tc>
        <w:tc>
          <w:tcPr>
            <w:tcW w:w="449" w:type="dxa"/>
            <w:tcMar>
              <w:top w:w="0" w:type="dxa"/>
              <w:left w:w="57" w:type="dxa"/>
              <w:bottom w:w="0" w:type="dxa"/>
              <w:right w:w="57" w:type="dxa"/>
            </w:tcMar>
            <w:vAlign w:val="center"/>
          </w:tcPr>
          <w:p w14:paraId="50C67611"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0</w:t>
            </w:r>
          </w:p>
        </w:tc>
        <w:tc>
          <w:tcPr>
            <w:tcW w:w="521" w:type="dxa"/>
            <w:tcMar>
              <w:top w:w="0" w:type="dxa"/>
              <w:left w:w="57" w:type="dxa"/>
              <w:bottom w:w="0" w:type="dxa"/>
              <w:right w:w="57" w:type="dxa"/>
            </w:tcMar>
            <w:vAlign w:val="center"/>
          </w:tcPr>
          <w:p w14:paraId="68AC5C4A"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0</w:t>
            </w:r>
          </w:p>
        </w:tc>
        <w:tc>
          <w:tcPr>
            <w:tcW w:w="521" w:type="dxa"/>
            <w:tcMar>
              <w:top w:w="0" w:type="dxa"/>
              <w:left w:w="57" w:type="dxa"/>
              <w:bottom w:w="0" w:type="dxa"/>
              <w:right w:w="57" w:type="dxa"/>
            </w:tcMar>
            <w:vAlign w:val="center"/>
          </w:tcPr>
          <w:p w14:paraId="375D7539"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0</w:t>
            </w:r>
          </w:p>
        </w:tc>
        <w:tc>
          <w:tcPr>
            <w:tcW w:w="521" w:type="dxa"/>
            <w:tcMar>
              <w:top w:w="0" w:type="dxa"/>
              <w:left w:w="57" w:type="dxa"/>
              <w:bottom w:w="0" w:type="dxa"/>
              <w:right w:w="57" w:type="dxa"/>
            </w:tcMar>
            <w:vAlign w:val="center"/>
          </w:tcPr>
          <w:p w14:paraId="1766EC98"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0</w:t>
            </w:r>
          </w:p>
        </w:tc>
        <w:tc>
          <w:tcPr>
            <w:tcW w:w="608" w:type="dxa"/>
            <w:tcMar>
              <w:top w:w="0" w:type="dxa"/>
              <w:left w:w="57" w:type="dxa"/>
              <w:bottom w:w="0" w:type="dxa"/>
              <w:right w:w="57" w:type="dxa"/>
            </w:tcMar>
            <w:vAlign w:val="center"/>
          </w:tcPr>
          <w:p w14:paraId="628F315F"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2</w:t>
            </w:r>
          </w:p>
        </w:tc>
        <w:tc>
          <w:tcPr>
            <w:tcW w:w="608" w:type="dxa"/>
            <w:tcMar>
              <w:top w:w="0" w:type="dxa"/>
              <w:left w:w="57" w:type="dxa"/>
              <w:bottom w:w="0" w:type="dxa"/>
              <w:right w:w="57" w:type="dxa"/>
            </w:tcMar>
            <w:vAlign w:val="center"/>
          </w:tcPr>
          <w:p w14:paraId="2A660585"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2</w:t>
            </w:r>
          </w:p>
        </w:tc>
        <w:tc>
          <w:tcPr>
            <w:tcW w:w="608" w:type="dxa"/>
            <w:tcMar>
              <w:top w:w="0" w:type="dxa"/>
              <w:left w:w="57" w:type="dxa"/>
              <w:bottom w:w="0" w:type="dxa"/>
              <w:right w:w="57" w:type="dxa"/>
            </w:tcMar>
            <w:vAlign w:val="center"/>
          </w:tcPr>
          <w:p w14:paraId="26EE8A65"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2</w:t>
            </w:r>
          </w:p>
        </w:tc>
        <w:tc>
          <w:tcPr>
            <w:tcW w:w="608" w:type="dxa"/>
            <w:tcMar>
              <w:top w:w="0" w:type="dxa"/>
              <w:left w:w="57" w:type="dxa"/>
              <w:bottom w:w="0" w:type="dxa"/>
              <w:right w:w="57" w:type="dxa"/>
            </w:tcMar>
            <w:vAlign w:val="center"/>
          </w:tcPr>
          <w:p w14:paraId="28401EAF"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2</w:t>
            </w:r>
          </w:p>
        </w:tc>
        <w:tc>
          <w:tcPr>
            <w:tcW w:w="608" w:type="dxa"/>
            <w:tcMar>
              <w:top w:w="0" w:type="dxa"/>
              <w:left w:w="57" w:type="dxa"/>
              <w:bottom w:w="0" w:type="dxa"/>
              <w:right w:w="57" w:type="dxa"/>
            </w:tcMar>
            <w:vAlign w:val="center"/>
          </w:tcPr>
          <w:p w14:paraId="3EE5D8D2"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3</w:t>
            </w:r>
          </w:p>
        </w:tc>
        <w:tc>
          <w:tcPr>
            <w:tcW w:w="609" w:type="dxa"/>
            <w:tcMar>
              <w:top w:w="0" w:type="dxa"/>
              <w:left w:w="57" w:type="dxa"/>
              <w:bottom w:w="0" w:type="dxa"/>
              <w:right w:w="57" w:type="dxa"/>
            </w:tcMar>
            <w:vAlign w:val="center"/>
          </w:tcPr>
          <w:p w14:paraId="12BBC171"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3</w:t>
            </w:r>
          </w:p>
        </w:tc>
        <w:tc>
          <w:tcPr>
            <w:tcW w:w="522" w:type="dxa"/>
            <w:tcMar>
              <w:top w:w="0" w:type="dxa"/>
              <w:left w:w="57" w:type="dxa"/>
              <w:bottom w:w="0" w:type="dxa"/>
              <w:right w:w="57" w:type="dxa"/>
            </w:tcMar>
            <w:vAlign w:val="center"/>
          </w:tcPr>
          <w:p w14:paraId="47F8B4A9"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w:t>
            </w:r>
          </w:p>
        </w:tc>
        <w:tc>
          <w:tcPr>
            <w:tcW w:w="522" w:type="dxa"/>
            <w:tcMar>
              <w:top w:w="0" w:type="dxa"/>
              <w:left w:w="57" w:type="dxa"/>
              <w:bottom w:w="0" w:type="dxa"/>
              <w:right w:w="57" w:type="dxa"/>
            </w:tcMar>
            <w:vAlign w:val="center"/>
          </w:tcPr>
          <w:p w14:paraId="2B37A278"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0</w:t>
            </w:r>
          </w:p>
        </w:tc>
        <w:tc>
          <w:tcPr>
            <w:tcW w:w="645" w:type="dxa"/>
            <w:tcMar>
              <w:top w:w="0" w:type="dxa"/>
              <w:left w:w="57" w:type="dxa"/>
              <w:bottom w:w="0" w:type="dxa"/>
              <w:right w:w="57" w:type="dxa"/>
            </w:tcMar>
            <w:vAlign w:val="center"/>
          </w:tcPr>
          <w:p w14:paraId="10609EBA"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15</w:t>
            </w:r>
          </w:p>
        </w:tc>
      </w:tr>
      <w:tr w:rsidR="0075791A" w14:paraId="7FEE7537" w14:textId="77777777">
        <w:trPr>
          <w:jc w:val="center"/>
        </w:trPr>
        <w:tc>
          <w:tcPr>
            <w:tcW w:w="1251" w:type="dxa"/>
            <w:tcMar>
              <w:top w:w="0" w:type="dxa"/>
              <w:left w:w="57" w:type="dxa"/>
              <w:bottom w:w="0" w:type="dxa"/>
              <w:right w:w="57" w:type="dxa"/>
            </w:tcMar>
            <w:vAlign w:val="center"/>
          </w:tcPr>
          <w:p w14:paraId="12BE0069"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平均暴雨（天）（</w:t>
            </w:r>
            <w:r>
              <w:rPr>
                <w:rFonts w:ascii="Times New Roman" w:hAnsi="Times New Roman"/>
                <w:color w:val="auto"/>
                <w:sz w:val="16"/>
                <w:szCs w:val="16"/>
              </w:rPr>
              <w:t>R≥50mm</w:t>
            </w:r>
            <w:r>
              <w:rPr>
                <w:rFonts w:ascii="Times New Roman" w:hAnsi="Times New Roman"/>
                <w:color w:val="auto"/>
                <w:sz w:val="16"/>
                <w:szCs w:val="16"/>
              </w:rPr>
              <w:t>）</w:t>
            </w:r>
          </w:p>
        </w:tc>
        <w:tc>
          <w:tcPr>
            <w:tcW w:w="449" w:type="dxa"/>
            <w:tcMar>
              <w:top w:w="0" w:type="dxa"/>
              <w:left w:w="57" w:type="dxa"/>
              <w:bottom w:w="0" w:type="dxa"/>
              <w:right w:w="57" w:type="dxa"/>
            </w:tcMar>
            <w:vAlign w:val="center"/>
          </w:tcPr>
          <w:p w14:paraId="1E22838E"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0</w:t>
            </w:r>
          </w:p>
        </w:tc>
        <w:tc>
          <w:tcPr>
            <w:tcW w:w="521" w:type="dxa"/>
            <w:tcMar>
              <w:top w:w="0" w:type="dxa"/>
              <w:left w:w="57" w:type="dxa"/>
              <w:bottom w:w="0" w:type="dxa"/>
              <w:right w:w="57" w:type="dxa"/>
            </w:tcMar>
            <w:vAlign w:val="center"/>
          </w:tcPr>
          <w:p w14:paraId="2D1D9609"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0</w:t>
            </w:r>
          </w:p>
        </w:tc>
        <w:tc>
          <w:tcPr>
            <w:tcW w:w="521" w:type="dxa"/>
            <w:tcMar>
              <w:top w:w="0" w:type="dxa"/>
              <w:left w:w="57" w:type="dxa"/>
              <w:bottom w:w="0" w:type="dxa"/>
              <w:right w:w="57" w:type="dxa"/>
            </w:tcMar>
            <w:vAlign w:val="center"/>
          </w:tcPr>
          <w:p w14:paraId="63119AA1"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0</w:t>
            </w:r>
          </w:p>
        </w:tc>
        <w:tc>
          <w:tcPr>
            <w:tcW w:w="521" w:type="dxa"/>
            <w:tcMar>
              <w:top w:w="0" w:type="dxa"/>
              <w:left w:w="57" w:type="dxa"/>
              <w:bottom w:w="0" w:type="dxa"/>
              <w:right w:w="57" w:type="dxa"/>
            </w:tcMar>
            <w:vAlign w:val="center"/>
          </w:tcPr>
          <w:p w14:paraId="3565F7A4"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0</w:t>
            </w:r>
          </w:p>
        </w:tc>
        <w:tc>
          <w:tcPr>
            <w:tcW w:w="608" w:type="dxa"/>
            <w:tcMar>
              <w:top w:w="0" w:type="dxa"/>
              <w:left w:w="57" w:type="dxa"/>
              <w:bottom w:w="0" w:type="dxa"/>
              <w:right w:w="57" w:type="dxa"/>
            </w:tcMar>
            <w:vAlign w:val="center"/>
          </w:tcPr>
          <w:p w14:paraId="23DA30A9"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w:t>
            </w:r>
          </w:p>
        </w:tc>
        <w:tc>
          <w:tcPr>
            <w:tcW w:w="608" w:type="dxa"/>
            <w:tcMar>
              <w:top w:w="0" w:type="dxa"/>
              <w:left w:w="57" w:type="dxa"/>
              <w:bottom w:w="0" w:type="dxa"/>
              <w:right w:w="57" w:type="dxa"/>
            </w:tcMar>
            <w:vAlign w:val="center"/>
          </w:tcPr>
          <w:p w14:paraId="04899452"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w:t>
            </w:r>
          </w:p>
        </w:tc>
        <w:tc>
          <w:tcPr>
            <w:tcW w:w="608" w:type="dxa"/>
            <w:tcMar>
              <w:top w:w="0" w:type="dxa"/>
              <w:left w:w="57" w:type="dxa"/>
              <w:bottom w:w="0" w:type="dxa"/>
              <w:right w:w="57" w:type="dxa"/>
            </w:tcMar>
            <w:vAlign w:val="center"/>
          </w:tcPr>
          <w:p w14:paraId="2D0BC7DC"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w:t>
            </w:r>
          </w:p>
        </w:tc>
        <w:tc>
          <w:tcPr>
            <w:tcW w:w="608" w:type="dxa"/>
            <w:tcMar>
              <w:top w:w="0" w:type="dxa"/>
              <w:left w:w="57" w:type="dxa"/>
              <w:bottom w:w="0" w:type="dxa"/>
              <w:right w:w="57" w:type="dxa"/>
            </w:tcMar>
            <w:vAlign w:val="center"/>
          </w:tcPr>
          <w:p w14:paraId="37FF13FF"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w:t>
            </w:r>
          </w:p>
        </w:tc>
        <w:tc>
          <w:tcPr>
            <w:tcW w:w="608" w:type="dxa"/>
            <w:tcMar>
              <w:top w:w="0" w:type="dxa"/>
              <w:left w:w="57" w:type="dxa"/>
              <w:bottom w:w="0" w:type="dxa"/>
              <w:right w:w="57" w:type="dxa"/>
            </w:tcMar>
            <w:vAlign w:val="center"/>
          </w:tcPr>
          <w:p w14:paraId="4FAEE5A4"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w:t>
            </w:r>
          </w:p>
        </w:tc>
        <w:tc>
          <w:tcPr>
            <w:tcW w:w="609" w:type="dxa"/>
            <w:tcMar>
              <w:top w:w="0" w:type="dxa"/>
              <w:left w:w="57" w:type="dxa"/>
              <w:bottom w:w="0" w:type="dxa"/>
              <w:right w:w="57" w:type="dxa"/>
            </w:tcMar>
            <w:vAlign w:val="center"/>
          </w:tcPr>
          <w:p w14:paraId="03ACB3C7"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1</w:t>
            </w:r>
          </w:p>
        </w:tc>
        <w:tc>
          <w:tcPr>
            <w:tcW w:w="522" w:type="dxa"/>
            <w:tcMar>
              <w:top w:w="0" w:type="dxa"/>
              <w:left w:w="57" w:type="dxa"/>
              <w:bottom w:w="0" w:type="dxa"/>
              <w:right w:w="57" w:type="dxa"/>
            </w:tcMar>
            <w:vAlign w:val="center"/>
          </w:tcPr>
          <w:p w14:paraId="13797BB0"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0</w:t>
            </w:r>
          </w:p>
        </w:tc>
        <w:tc>
          <w:tcPr>
            <w:tcW w:w="522" w:type="dxa"/>
            <w:tcMar>
              <w:top w:w="0" w:type="dxa"/>
              <w:left w:w="57" w:type="dxa"/>
              <w:bottom w:w="0" w:type="dxa"/>
              <w:right w:w="57" w:type="dxa"/>
            </w:tcMar>
            <w:vAlign w:val="center"/>
          </w:tcPr>
          <w:p w14:paraId="368AD0BA"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0</w:t>
            </w:r>
          </w:p>
        </w:tc>
        <w:tc>
          <w:tcPr>
            <w:tcW w:w="645" w:type="dxa"/>
            <w:tcMar>
              <w:top w:w="0" w:type="dxa"/>
              <w:left w:w="57" w:type="dxa"/>
              <w:bottom w:w="0" w:type="dxa"/>
              <w:right w:w="57" w:type="dxa"/>
            </w:tcMar>
            <w:vAlign w:val="center"/>
          </w:tcPr>
          <w:p w14:paraId="0676357B" w14:textId="77777777" w:rsidR="0075791A" w:rsidRDefault="00FB2864">
            <w:pPr>
              <w:jc w:val="center"/>
              <w:rPr>
                <w:rFonts w:ascii="Times New Roman" w:hAnsi="Times New Roman"/>
                <w:color w:val="auto"/>
                <w:sz w:val="16"/>
                <w:szCs w:val="16"/>
              </w:rPr>
            </w:pPr>
            <w:r>
              <w:rPr>
                <w:rFonts w:ascii="Times New Roman" w:hAnsi="Times New Roman"/>
                <w:color w:val="auto"/>
                <w:sz w:val="16"/>
                <w:szCs w:val="16"/>
              </w:rPr>
              <w:t>6</w:t>
            </w:r>
          </w:p>
        </w:tc>
      </w:tr>
    </w:tbl>
    <w:p w14:paraId="7A13AE65" w14:textId="77777777" w:rsidR="0075791A" w:rsidRDefault="0075791A">
      <w:pPr>
        <w:spacing w:line="360" w:lineRule="auto"/>
        <w:ind w:firstLineChars="200" w:firstLine="476"/>
        <w:jc w:val="both"/>
        <w:rPr>
          <w:rFonts w:ascii="Times New Roman" w:eastAsia="宋体" w:hAnsi="Times New Roman" w:cs="宋体"/>
          <w:color w:val="auto"/>
          <w:spacing w:val="-2"/>
          <w:sz w:val="24"/>
          <w:szCs w:val="24"/>
          <w:lang w:eastAsia="zh-CN"/>
        </w:rPr>
      </w:pPr>
      <w:bookmarkStart w:id="123" w:name="_Toc28111"/>
      <w:bookmarkStart w:id="124" w:name="_Toc20388"/>
      <w:bookmarkStart w:id="125" w:name="_Toc19125"/>
      <w:bookmarkStart w:id="126" w:name="_Toc9861"/>
      <w:bookmarkStart w:id="127" w:name="_Toc26528"/>
      <w:bookmarkStart w:id="128" w:name="_Toc10058"/>
      <w:bookmarkStart w:id="129" w:name="_Toc23758"/>
    </w:p>
    <w:p w14:paraId="60165CC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）风况</w:t>
      </w:r>
      <w:bookmarkEnd w:id="123"/>
      <w:bookmarkEnd w:id="124"/>
      <w:bookmarkEnd w:id="125"/>
      <w:bookmarkEnd w:id="126"/>
      <w:bookmarkEnd w:id="127"/>
      <w:bookmarkEnd w:id="128"/>
      <w:bookmarkEnd w:id="129"/>
    </w:p>
    <w:p w14:paraId="54F29436"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三亚大风天气主要来源于冷空气和热带气旋，其中热带气旋引起的大风强度更大，三亚大于或等于</w:t>
      </w:r>
      <w:r>
        <w:rPr>
          <w:rFonts w:ascii="Times New Roman" w:eastAsia="宋体" w:hAnsi="Times New Roman" w:cs="宋体" w:hint="eastAsia"/>
          <w:color w:val="auto"/>
          <w:spacing w:val="-2"/>
          <w:sz w:val="24"/>
          <w:szCs w:val="24"/>
          <w:lang w:eastAsia="zh-CN"/>
        </w:rPr>
        <w:t>20m/s</w:t>
      </w:r>
      <w:r>
        <w:rPr>
          <w:rFonts w:ascii="Times New Roman" w:eastAsia="宋体" w:hAnsi="Times New Roman" w:cs="宋体" w:hint="eastAsia"/>
          <w:color w:val="auto"/>
          <w:spacing w:val="-2"/>
          <w:sz w:val="24"/>
          <w:szCs w:val="24"/>
          <w:lang w:eastAsia="zh-CN"/>
        </w:rPr>
        <w:t>的风速出现在</w:t>
      </w:r>
      <w:r>
        <w:rPr>
          <w:rFonts w:ascii="Times New Roman" w:eastAsia="宋体" w:hAnsi="Times New Roman" w:cs="宋体" w:hint="eastAsia"/>
          <w:color w:val="auto"/>
          <w:spacing w:val="-2"/>
          <w:sz w:val="24"/>
          <w:szCs w:val="24"/>
          <w:lang w:eastAsia="zh-CN"/>
        </w:rPr>
        <w:t>6~10</w:t>
      </w:r>
      <w:r>
        <w:rPr>
          <w:rFonts w:ascii="Times New Roman" w:eastAsia="宋体" w:hAnsi="Times New Roman" w:cs="宋体" w:hint="eastAsia"/>
          <w:color w:val="auto"/>
          <w:spacing w:val="-2"/>
          <w:sz w:val="24"/>
          <w:szCs w:val="24"/>
          <w:lang w:eastAsia="zh-CN"/>
        </w:rPr>
        <w:t>月，都是热带气旋所致，热带气旋引起的最大瞬时风速达</w:t>
      </w:r>
      <w:r>
        <w:rPr>
          <w:rFonts w:ascii="Times New Roman" w:eastAsia="宋体" w:hAnsi="Times New Roman" w:cs="宋体" w:hint="eastAsia"/>
          <w:color w:val="auto"/>
          <w:spacing w:val="-2"/>
          <w:sz w:val="24"/>
          <w:szCs w:val="24"/>
          <w:lang w:eastAsia="zh-CN"/>
        </w:rPr>
        <w:t>45m/s</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SW</w:t>
      </w:r>
      <w:r>
        <w:rPr>
          <w:rFonts w:ascii="Times New Roman" w:eastAsia="宋体" w:hAnsi="Times New Roman" w:cs="宋体" w:hint="eastAsia"/>
          <w:color w:val="auto"/>
          <w:spacing w:val="-2"/>
          <w:sz w:val="24"/>
          <w:szCs w:val="24"/>
          <w:lang w:eastAsia="zh-CN"/>
        </w:rPr>
        <w:t>），全年平均风速</w:t>
      </w:r>
      <w:r>
        <w:rPr>
          <w:rFonts w:ascii="Times New Roman" w:eastAsia="宋体" w:hAnsi="Times New Roman" w:cs="宋体" w:hint="eastAsia"/>
          <w:color w:val="auto"/>
          <w:spacing w:val="-2"/>
          <w:sz w:val="24"/>
          <w:szCs w:val="24"/>
          <w:lang w:eastAsia="zh-CN"/>
        </w:rPr>
        <w:t>2.5m/s</w:t>
      </w:r>
      <w:r>
        <w:rPr>
          <w:rFonts w:ascii="Times New Roman" w:eastAsia="宋体" w:hAnsi="Times New Roman" w:cs="宋体" w:hint="eastAsia"/>
          <w:color w:val="auto"/>
          <w:spacing w:val="-2"/>
          <w:sz w:val="24"/>
          <w:szCs w:val="24"/>
          <w:lang w:eastAsia="zh-CN"/>
        </w:rPr>
        <w:t>。三亚以</w:t>
      </w:r>
      <w:r>
        <w:rPr>
          <w:rFonts w:ascii="Times New Roman" w:eastAsia="宋体" w:hAnsi="Times New Roman" w:cs="宋体" w:hint="eastAsia"/>
          <w:color w:val="auto"/>
          <w:spacing w:val="-2"/>
          <w:sz w:val="24"/>
          <w:szCs w:val="24"/>
          <w:lang w:eastAsia="zh-CN"/>
        </w:rPr>
        <w:t>E</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NE</w:t>
      </w:r>
      <w:r>
        <w:rPr>
          <w:rFonts w:ascii="Times New Roman" w:eastAsia="宋体" w:hAnsi="Times New Roman" w:cs="宋体" w:hint="eastAsia"/>
          <w:color w:val="auto"/>
          <w:spacing w:val="-2"/>
          <w:sz w:val="24"/>
          <w:szCs w:val="24"/>
          <w:lang w:eastAsia="zh-CN"/>
        </w:rPr>
        <w:t>和</w:t>
      </w:r>
      <w:r>
        <w:rPr>
          <w:rFonts w:ascii="Times New Roman" w:eastAsia="宋体" w:hAnsi="Times New Roman" w:cs="宋体" w:hint="eastAsia"/>
          <w:color w:val="auto"/>
          <w:spacing w:val="-2"/>
          <w:sz w:val="24"/>
          <w:szCs w:val="24"/>
          <w:lang w:eastAsia="zh-CN"/>
        </w:rPr>
        <w:t>ENE</w:t>
      </w:r>
      <w:r>
        <w:rPr>
          <w:rFonts w:ascii="Times New Roman" w:eastAsia="宋体" w:hAnsi="Times New Roman" w:cs="宋体" w:hint="eastAsia"/>
          <w:color w:val="auto"/>
          <w:spacing w:val="-2"/>
          <w:sz w:val="24"/>
          <w:szCs w:val="24"/>
          <w:lang w:eastAsia="zh-CN"/>
        </w:rPr>
        <w:t>风向为最多，一</w:t>
      </w:r>
      <w:r>
        <w:rPr>
          <w:rFonts w:ascii="Times New Roman" w:eastAsia="宋体" w:hAnsi="Times New Roman" w:cs="宋体" w:hint="eastAsia"/>
          <w:color w:val="auto"/>
          <w:spacing w:val="-2"/>
          <w:sz w:val="24"/>
          <w:szCs w:val="24"/>
          <w:lang w:eastAsia="zh-CN"/>
        </w:rPr>
        <w:lastRenderedPageBreak/>
        <w:t>年内几乎有</w:t>
      </w:r>
      <w:r>
        <w:rPr>
          <w:rFonts w:ascii="Times New Roman" w:eastAsia="宋体" w:hAnsi="Times New Roman" w:cs="宋体" w:hint="eastAsia"/>
          <w:color w:val="auto"/>
          <w:spacing w:val="-2"/>
          <w:sz w:val="24"/>
          <w:szCs w:val="24"/>
          <w:lang w:eastAsia="zh-CN"/>
        </w:rPr>
        <w:t>8</w:t>
      </w:r>
      <w:r>
        <w:rPr>
          <w:rFonts w:ascii="Times New Roman" w:eastAsia="宋体" w:hAnsi="Times New Roman" w:cs="宋体" w:hint="eastAsia"/>
          <w:color w:val="auto"/>
          <w:spacing w:val="-2"/>
          <w:sz w:val="24"/>
          <w:szCs w:val="24"/>
          <w:lang w:eastAsia="zh-CN"/>
        </w:rPr>
        <w:t>个月的时间被上述风向控制，其余</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个月（</w:t>
      </w:r>
      <w:r>
        <w:rPr>
          <w:rFonts w:ascii="Times New Roman" w:eastAsia="宋体" w:hAnsi="Times New Roman" w:cs="宋体" w:hint="eastAsia"/>
          <w:color w:val="auto"/>
          <w:spacing w:val="-2"/>
          <w:sz w:val="24"/>
          <w:szCs w:val="24"/>
          <w:lang w:eastAsia="zh-CN"/>
        </w:rPr>
        <w:t>5~8</w:t>
      </w:r>
      <w:r>
        <w:rPr>
          <w:rFonts w:ascii="Times New Roman" w:eastAsia="宋体" w:hAnsi="Times New Roman" w:cs="宋体" w:hint="eastAsia"/>
          <w:color w:val="auto"/>
          <w:spacing w:val="-2"/>
          <w:sz w:val="24"/>
          <w:szCs w:val="24"/>
          <w:lang w:eastAsia="zh-CN"/>
        </w:rPr>
        <w:t>月）风向较乱，但以</w:t>
      </w:r>
      <w:r>
        <w:rPr>
          <w:rFonts w:ascii="Times New Roman" w:eastAsia="宋体" w:hAnsi="Times New Roman" w:cs="宋体" w:hint="eastAsia"/>
          <w:color w:val="auto"/>
          <w:spacing w:val="-2"/>
          <w:sz w:val="24"/>
          <w:szCs w:val="24"/>
          <w:lang w:eastAsia="zh-CN"/>
        </w:rPr>
        <w:t>W</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WSW</w:t>
      </w:r>
      <w:r>
        <w:rPr>
          <w:rFonts w:ascii="Times New Roman" w:eastAsia="宋体" w:hAnsi="Times New Roman" w:cs="宋体" w:hint="eastAsia"/>
          <w:color w:val="auto"/>
          <w:spacing w:val="-2"/>
          <w:sz w:val="24"/>
          <w:szCs w:val="24"/>
          <w:lang w:eastAsia="zh-CN"/>
        </w:rPr>
        <w:t>风向为主。风玫瑰图见图</w:t>
      </w:r>
      <w:r>
        <w:rPr>
          <w:rFonts w:ascii="Times New Roman" w:eastAsia="宋体" w:hAnsi="Times New Roman" w:cs="宋体" w:hint="eastAsia"/>
          <w:color w:val="auto"/>
          <w:spacing w:val="-2"/>
          <w:sz w:val="24"/>
          <w:szCs w:val="24"/>
          <w:lang w:eastAsia="zh-CN"/>
        </w:rPr>
        <w:t>3.2.1-1</w:t>
      </w:r>
      <w:r>
        <w:rPr>
          <w:rFonts w:ascii="Times New Roman" w:eastAsia="宋体" w:hAnsi="Times New Roman" w:cs="宋体" w:hint="eastAsia"/>
          <w:color w:val="auto"/>
          <w:spacing w:val="-2"/>
          <w:sz w:val="24"/>
          <w:szCs w:val="24"/>
          <w:lang w:eastAsia="zh-CN"/>
        </w:rPr>
        <w:t>，各向平均风速、最大风速及频率见表</w:t>
      </w:r>
      <w:r>
        <w:rPr>
          <w:rFonts w:ascii="Times New Roman" w:eastAsia="宋体" w:hAnsi="Times New Roman" w:cs="宋体" w:hint="eastAsia"/>
          <w:color w:val="auto"/>
          <w:spacing w:val="-2"/>
          <w:sz w:val="24"/>
          <w:szCs w:val="24"/>
          <w:lang w:eastAsia="zh-CN"/>
        </w:rPr>
        <w:t>3.2.1-3</w:t>
      </w:r>
      <w:r>
        <w:rPr>
          <w:rFonts w:ascii="Times New Roman" w:eastAsia="宋体" w:hAnsi="Times New Roman" w:cs="宋体" w:hint="eastAsia"/>
          <w:color w:val="auto"/>
          <w:spacing w:val="-2"/>
          <w:sz w:val="24"/>
          <w:szCs w:val="24"/>
          <w:lang w:eastAsia="zh-CN"/>
        </w:rPr>
        <w:t>，逐月平均风速见表</w:t>
      </w:r>
      <w:r>
        <w:rPr>
          <w:rFonts w:ascii="Times New Roman" w:eastAsia="宋体" w:hAnsi="Times New Roman" w:cs="宋体" w:hint="eastAsia"/>
          <w:color w:val="auto"/>
          <w:spacing w:val="-2"/>
          <w:sz w:val="24"/>
          <w:szCs w:val="24"/>
          <w:lang w:eastAsia="zh-CN"/>
        </w:rPr>
        <w:t>3.2.1-4</w:t>
      </w:r>
      <w:r>
        <w:rPr>
          <w:rFonts w:ascii="Times New Roman" w:eastAsia="宋体" w:hAnsi="Times New Roman" w:cs="宋体" w:hint="eastAsia"/>
          <w:color w:val="auto"/>
          <w:spacing w:val="-2"/>
          <w:sz w:val="24"/>
          <w:szCs w:val="24"/>
          <w:lang w:eastAsia="zh-CN"/>
        </w:rPr>
        <w:t>。</w:t>
      </w:r>
    </w:p>
    <w:p w14:paraId="792CCBDB" w14:textId="77777777" w:rsidR="0075791A" w:rsidRDefault="00FB2864">
      <w:pPr>
        <w:jc w:val="center"/>
        <w:rPr>
          <w:rFonts w:ascii="Times New Roman" w:hAnsi="Times New Roman"/>
          <w:color w:val="auto"/>
          <w:sz w:val="28"/>
          <w:szCs w:val="28"/>
          <w:lang w:bidi="ar"/>
        </w:rPr>
      </w:pPr>
      <w:r>
        <w:rPr>
          <w:rFonts w:ascii="Times New Roman" w:hAnsi="Times New Roman"/>
          <w:noProof/>
          <w:color w:val="auto"/>
          <w:sz w:val="28"/>
          <w:szCs w:val="28"/>
          <w:lang w:bidi="ar"/>
        </w:rPr>
        <w:drawing>
          <wp:inline distT="0" distB="0" distL="114300" distR="114300" wp14:anchorId="555E4116" wp14:editId="1BF3C023">
            <wp:extent cx="2371725" cy="2247900"/>
            <wp:effectExtent l="0" t="0" r="5715" b="7620"/>
            <wp:docPr id="164" name="图片 102" descr="1705499720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02" descr="1705499720553"/>
                    <pic:cNvPicPr>
                      <a:picLocks noChangeAspect="1"/>
                    </pic:cNvPicPr>
                  </pic:nvPicPr>
                  <pic:blipFill>
                    <a:blip r:embed="rId46"/>
                    <a:stretch>
                      <a:fillRect/>
                    </a:stretch>
                  </pic:blipFill>
                  <pic:spPr>
                    <a:xfrm>
                      <a:off x="0" y="0"/>
                      <a:ext cx="2371725" cy="2247900"/>
                    </a:xfrm>
                    <a:prstGeom prst="rect">
                      <a:avLst/>
                    </a:prstGeom>
                    <a:noFill/>
                    <a:ln>
                      <a:noFill/>
                    </a:ln>
                  </pic:spPr>
                </pic:pic>
              </a:graphicData>
            </a:graphic>
          </wp:inline>
        </w:drawing>
      </w:r>
    </w:p>
    <w:p w14:paraId="46959482" w14:textId="77777777" w:rsidR="0075791A" w:rsidRDefault="00FB2864">
      <w:pPr>
        <w:ind w:firstLineChars="200" w:firstLine="480"/>
        <w:jc w:val="center"/>
        <w:rPr>
          <w:rFonts w:ascii="Times New Roman" w:hAnsi="Times New Roman"/>
          <w:color w:val="auto"/>
          <w:sz w:val="24"/>
          <w:szCs w:val="24"/>
          <w:lang w:eastAsia="zh-CN" w:bidi="ar"/>
        </w:rPr>
      </w:pPr>
      <w:r>
        <w:rPr>
          <w:rFonts w:ascii="Times New Roman" w:hAnsi="Times New Roman"/>
          <w:color w:val="auto"/>
          <w:sz w:val="24"/>
          <w:szCs w:val="24"/>
          <w:lang w:eastAsia="zh-CN" w:bidi="ar"/>
        </w:rPr>
        <w:t>图</w:t>
      </w:r>
      <w:r>
        <w:rPr>
          <w:rFonts w:ascii="Times New Roman" w:eastAsia="宋体" w:hAnsi="Times New Roman" w:hint="eastAsia"/>
          <w:color w:val="auto"/>
          <w:sz w:val="24"/>
          <w:szCs w:val="24"/>
          <w:lang w:eastAsia="zh-CN" w:bidi="ar"/>
        </w:rPr>
        <w:t>3.</w:t>
      </w:r>
      <w:r>
        <w:rPr>
          <w:rFonts w:ascii="Times New Roman" w:hAnsi="Times New Roman" w:hint="eastAsia"/>
          <w:color w:val="auto"/>
          <w:sz w:val="24"/>
          <w:szCs w:val="24"/>
          <w:lang w:eastAsia="zh-CN" w:bidi="ar"/>
        </w:rPr>
        <w:t>2</w:t>
      </w:r>
      <w:r>
        <w:rPr>
          <w:rFonts w:ascii="Times New Roman" w:hAnsi="Times New Roman"/>
          <w:color w:val="auto"/>
          <w:sz w:val="24"/>
          <w:szCs w:val="24"/>
          <w:lang w:eastAsia="zh-CN" w:bidi="ar"/>
        </w:rPr>
        <w:t>.1-1</w:t>
      </w:r>
      <w:r>
        <w:rPr>
          <w:rFonts w:ascii="Times New Roman" w:hAnsi="Times New Roman"/>
          <w:color w:val="auto"/>
          <w:sz w:val="24"/>
          <w:szCs w:val="24"/>
          <w:lang w:eastAsia="zh-CN" w:bidi="ar"/>
        </w:rPr>
        <w:t>风玫瑰图</w:t>
      </w:r>
    </w:p>
    <w:p w14:paraId="736F141E" w14:textId="77777777" w:rsidR="0075791A" w:rsidRDefault="00FB2864">
      <w:pPr>
        <w:jc w:val="center"/>
        <w:rPr>
          <w:rFonts w:ascii="Times New Roman" w:hAnsi="Times New Roman"/>
          <w:color w:val="auto"/>
          <w:sz w:val="24"/>
          <w:szCs w:val="24"/>
          <w:lang w:eastAsia="zh-CN" w:bidi="ar"/>
        </w:rPr>
      </w:pPr>
      <w:r>
        <w:rPr>
          <w:rFonts w:ascii="Times New Roman" w:hAnsi="Times New Roman"/>
          <w:color w:val="auto"/>
          <w:sz w:val="24"/>
          <w:szCs w:val="24"/>
          <w:lang w:eastAsia="zh-CN" w:bidi="ar"/>
        </w:rPr>
        <w:t>表</w:t>
      </w:r>
      <w:r>
        <w:rPr>
          <w:rFonts w:ascii="Times New Roman" w:eastAsia="宋体" w:hAnsi="Times New Roman" w:hint="eastAsia"/>
          <w:color w:val="auto"/>
          <w:sz w:val="24"/>
          <w:szCs w:val="24"/>
          <w:lang w:eastAsia="zh-CN" w:bidi="ar"/>
        </w:rPr>
        <w:t>3.2</w:t>
      </w:r>
      <w:r>
        <w:rPr>
          <w:rFonts w:ascii="Times New Roman" w:hAnsi="Times New Roman"/>
          <w:color w:val="auto"/>
          <w:sz w:val="24"/>
          <w:szCs w:val="24"/>
          <w:lang w:eastAsia="zh-CN" w:bidi="ar"/>
        </w:rPr>
        <w:t>.1-3</w:t>
      </w:r>
      <w:r>
        <w:rPr>
          <w:rFonts w:ascii="Times New Roman" w:hAnsi="Times New Roman"/>
          <w:color w:val="auto"/>
          <w:sz w:val="24"/>
          <w:szCs w:val="24"/>
          <w:lang w:eastAsia="zh-CN" w:bidi="ar"/>
        </w:rPr>
        <w:t>各向平均风速、最大风速</w:t>
      </w:r>
      <w:r>
        <w:rPr>
          <w:rFonts w:ascii="Times New Roman" w:hAnsi="Times New Roman" w:hint="eastAsia"/>
          <w:color w:val="auto"/>
          <w:sz w:val="24"/>
          <w:szCs w:val="24"/>
          <w:lang w:eastAsia="zh-CN" w:bidi="ar"/>
        </w:rPr>
        <w:t>及</w:t>
      </w:r>
      <w:r>
        <w:rPr>
          <w:rFonts w:ascii="Times New Roman" w:hAnsi="Times New Roman"/>
          <w:color w:val="auto"/>
          <w:sz w:val="24"/>
          <w:szCs w:val="24"/>
          <w:lang w:eastAsia="zh-CN" w:bidi="ar"/>
        </w:rPr>
        <w:t>频率表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4"/>
        <w:gridCol w:w="2130"/>
        <w:gridCol w:w="2131"/>
        <w:gridCol w:w="1685"/>
      </w:tblGrid>
      <w:tr w:rsidR="0075791A" w14:paraId="01CF65FF" w14:textId="77777777">
        <w:trPr>
          <w:jc w:val="center"/>
        </w:trPr>
        <w:tc>
          <w:tcPr>
            <w:tcW w:w="1614" w:type="dxa"/>
          </w:tcPr>
          <w:p w14:paraId="0763BB63"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方位</w:t>
            </w:r>
          </w:p>
        </w:tc>
        <w:tc>
          <w:tcPr>
            <w:tcW w:w="2130" w:type="dxa"/>
          </w:tcPr>
          <w:p w14:paraId="18187B71"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最大风速（</w:t>
            </w:r>
            <w:r>
              <w:rPr>
                <w:rFonts w:ascii="Times New Roman" w:hAnsi="Times New Roman"/>
                <w:b/>
                <w:bCs/>
                <w:color w:val="auto"/>
                <w:lang w:bidi="ar"/>
              </w:rPr>
              <w:t>m/s</w:t>
            </w:r>
            <w:r>
              <w:rPr>
                <w:rFonts w:ascii="Times New Roman" w:hAnsi="Times New Roman"/>
                <w:b/>
                <w:bCs/>
                <w:color w:val="auto"/>
                <w:lang w:bidi="ar"/>
              </w:rPr>
              <w:t>）</w:t>
            </w:r>
          </w:p>
        </w:tc>
        <w:tc>
          <w:tcPr>
            <w:tcW w:w="2131" w:type="dxa"/>
          </w:tcPr>
          <w:p w14:paraId="7E44538C"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平均风速（</w:t>
            </w:r>
            <w:r>
              <w:rPr>
                <w:rFonts w:ascii="Times New Roman" w:hAnsi="Times New Roman"/>
                <w:b/>
                <w:bCs/>
                <w:color w:val="auto"/>
                <w:lang w:bidi="ar"/>
              </w:rPr>
              <w:t>m/s</w:t>
            </w:r>
            <w:r>
              <w:rPr>
                <w:rFonts w:ascii="Times New Roman" w:hAnsi="Times New Roman"/>
                <w:b/>
                <w:bCs/>
                <w:color w:val="auto"/>
                <w:lang w:bidi="ar"/>
              </w:rPr>
              <w:t>）</w:t>
            </w:r>
          </w:p>
        </w:tc>
        <w:tc>
          <w:tcPr>
            <w:tcW w:w="1685" w:type="dxa"/>
          </w:tcPr>
          <w:p w14:paraId="1E46163A"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频率（</w:t>
            </w:r>
            <w:r>
              <w:rPr>
                <w:rFonts w:ascii="Times New Roman" w:hAnsi="Times New Roman"/>
                <w:b/>
                <w:bCs/>
                <w:color w:val="auto"/>
                <w:lang w:bidi="ar"/>
              </w:rPr>
              <w:t>%</w:t>
            </w:r>
            <w:r>
              <w:rPr>
                <w:rFonts w:ascii="Times New Roman" w:hAnsi="Times New Roman"/>
                <w:b/>
                <w:bCs/>
                <w:color w:val="auto"/>
                <w:lang w:bidi="ar"/>
              </w:rPr>
              <w:t>）</w:t>
            </w:r>
          </w:p>
        </w:tc>
      </w:tr>
      <w:tr w:rsidR="0075791A" w14:paraId="10EB016E" w14:textId="77777777">
        <w:trPr>
          <w:jc w:val="center"/>
        </w:trPr>
        <w:tc>
          <w:tcPr>
            <w:tcW w:w="1614" w:type="dxa"/>
          </w:tcPr>
          <w:p w14:paraId="0C88A096"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N</w:t>
            </w:r>
          </w:p>
        </w:tc>
        <w:tc>
          <w:tcPr>
            <w:tcW w:w="2130" w:type="dxa"/>
          </w:tcPr>
          <w:p w14:paraId="70854FC4" w14:textId="77777777" w:rsidR="0075791A" w:rsidRDefault="00FB2864">
            <w:pPr>
              <w:jc w:val="center"/>
              <w:rPr>
                <w:rFonts w:ascii="Times New Roman" w:hAnsi="Times New Roman"/>
                <w:color w:val="auto"/>
                <w:lang w:bidi="ar"/>
              </w:rPr>
            </w:pPr>
            <w:r>
              <w:rPr>
                <w:rFonts w:ascii="Times New Roman" w:hAnsi="Times New Roman"/>
                <w:color w:val="auto"/>
                <w:lang w:bidi="ar"/>
              </w:rPr>
              <w:t>12.0</w:t>
            </w:r>
          </w:p>
        </w:tc>
        <w:tc>
          <w:tcPr>
            <w:tcW w:w="2131" w:type="dxa"/>
          </w:tcPr>
          <w:p w14:paraId="455208A8" w14:textId="77777777" w:rsidR="0075791A" w:rsidRDefault="00FB2864">
            <w:pPr>
              <w:jc w:val="center"/>
              <w:rPr>
                <w:rFonts w:ascii="Times New Roman" w:hAnsi="Times New Roman"/>
                <w:color w:val="auto"/>
                <w:lang w:bidi="ar"/>
              </w:rPr>
            </w:pPr>
            <w:r>
              <w:rPr>
                <w:rFonts w:ascii="Times New Roman" w:hAnsi="Times New Roman"/>
                <w:color w:val="auto"/>
                <w:lang w:bidi="ar"/>
              </w:rPr>
              <w:t>1.7</w:t>
            </w:r>
          </w:p>
        </w:tc>
        <w:tc>
          <w:tcPr>
            <w:tcW w:w="1685" w:type="dxa"/>
          </w:tcPr>
          <w:p w14:paraId="7722E653" w14:textId="77777777" w:rsidR="0075791A" w:rsidRDefault="00FB2864">
            <w:pPr>
              <w:jc w:val="center"/>
              <w:rPr>
                <w:rFonts w:ascii="Times New Roman" w:hAnsi="Times New Roman"/>
                <w:color w:val="auto"/>
                <w:lang w:bidi="ar"/>
              </w:rPr>
            </w:pPr>
            <w:r>
              <w:rPr>
                <w:rFonts w:ascii="Times New Roman" w:hAnsi="Times New Roman"/>
                <w:color w:val="auto"/>
                <w:lang w:bidi="ar"/>
              </w:rPr>
              <w:t>5.5</w:t>
            </w:r>
          </w:p>
        </w:tc>
      </w:tr>
      <w:tr w:rsidR="0075791A" w14:paraId="2EEEFA6B" w14:textId="77777777">
        <w:trPr>
          <w:jc w:val="center"/>
        </w:trPr>
        <w:tc>
          <w:tcPr>
            <w:tcW w:w="1614" w:type="dxa"/>
          </w:tcPr>
          <w:p w14:paraId="22A2956E"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NNE</w:t>
            </w:r>
          </w:p>
        </w:tc>
        <w:tc>
          <w:tcPr>
            <w:tcW w:w="2130" w:type="dxa"/>
          </w:tcPr>
          <w:p w14:paraId="524B66D7" w14:textId="77777777" w:rsidR="0075791A" w:rsidRDefault="00FB2864">
            <w:pPr>
              <w:jc w:val="center"/>
              <w:rPr>
                <w:rFonts w:ascii="Times New Roman" w:hAnsi="Times New Roman"/>
                <w:color w:val="auto"/>
                <w:lang w:bidi="ar"/>
              </w:rPr>
            </w:pPr>
            <w:r>
              <w:rPr>
                <w:rFonts w:ascii="Times New Roman" w:hAnsi="Times New Roman"/>
                <w:color w:val="auto"/>
                <w:lang w:bidi="ar"/>
              </w:rPr>
              <w:t>24.0</w:t>
            </w:r>
          </w:p>
        </w:tc>
        <w:tc>
          <w:tcPr>
            <w:tcW w:w="2131" w:type="dxa"/>
          </w:tcPr>
          <w:p w14:paraId="31B523B1" w14:textId="77777777" w:rsidR="0075791A" w:rsidRDefault="00FB2864">
            <w:pPr>
              <w:jc w:val="center"/>
              <w:rPr>
                <w:rFonts w:ascii="Times New Roman" w:hAnsi="Times New Roman"/>
                <w:color w:val="auto"/>
                <w:lang w:bidi="ar"/>
              </w:rPr>
            </w:pPr>
            <w:r>
              <w:rPr>
                <w:rFonts w:ascii="Times New Roman" w:hAnsi="Times New Roman"/>
                <w:color w:val="auto"/>
                <w:lang w:bidi="ar"/>
              </w:rPr>
              <w:t>2.2</w:t>
            </w:r>
          </w:p>
        </w:tc>
        <w:tc>
          <w:tcPr>
            <w:tcW w:w="1685" w:type="dxa"/>
          </w:tcPr>
          <w:p w14:paraId="0D27121F" w14:textId="77777777" w:rsidR="0075791A" w:rsidRDefault="00FB2864">
            <w:pPr>
              <w:jc w:val="center"/>
              <w:rPr>
                <w:rFonts w:ascii="Times New Roman" w:hAnsi="Times New Roman"/>
                <w:color w:val="auto"/>
                <w:lang w:bidi="ar"/>
              </w:rPr>
            </w:pPr>
            <w:r>
              <w:rPr>
                <w:rFonts w:ascii="Times New Roman" w:hAnsi="Times New Roman"/>
                <w:color w:val="auto"/>
                <w:lang w:bidi="ar"/>
              </w:rPr>
              <w:t>7.6</w:t>
            </w:r>
          </w:p>
        </w:tc>
      </w:tr>
      <w:tr w:rsidR="0075791A" w14:paraId="36B7406A" w14:textId="77777777">
        <w:trPr>
          <w:jc w:val="center"/>
        </w:trPr>
        <w:tc>
          <w:tcPr>
            <w:tcW w:w="1614" w:type="dxa"/>
          </w:tcPr>
          <w:p w14:paraId="21099578"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NE</w:t>
            </w:r>
          </w:p>
        </w:tc>
        <w:tc>
          <w:tcPr>
            <w:tcW w:w="2130" w:type="dxa"/>
          </w:tcPr>
          <w:p w14:paraId="07B7D1B9" w14:textId="77777777" w:rsidR="0075791A" w:rsidRDefault="00FB2864">
            <w:pPr>
              <w:jc w:val="center"/>
              <w:rPr>
                <w:rFonts w:ascii="Times New Roman" w:hAnsi="Times New Roman"/>
                <w:color w:val="auto"/>
                <w:lang w:bidi="ar"/>
              </w:rPr>
            </w:pPr>
            <w:r>
              <w:rPr>
                <w:rFonts w:ascii="Times New Roman" w:hAnsi="Times New Roman"/>
                <w:color w:val="auto"/>
                <w:lang w:bidi="ar"/>
              </w:rPr>
              <w:t>20.0</w:t>
            </w:r>
          </w:p>
        </w:tc>
        <w:tc>
          <w:tcPr>
            <w:tcW w:w="2131" w:type="dxa"/>
          </w:tcPr>
          <w:p w14:paraId="31F5515E" w14:textId="77777777" w:rsidR="0075791A" w:rsidRDefault="00FB2864">
            <w:pPr>
              <w:jc w:val="center"/>
              <w:rPr>
                <w:rFonts w:ascii="Times New Roman" w:hAnsi="Times New Roman"/>
                <w:color w:val="auto"/>
                <w:lang w:bidi="ar"/>
              </w:rPr>
            </w:pPr>
            <w:r>
              <w:rPr>
                <w:rFonts w:ascii="Times New Roman" w:hAnsi="Times New Roman"/>
                <w:color w:val="auto"/>
                <w:lang w:bidi="ar"/>
              </w:rPr>
              <w:t>3.1</w:t>
            </w:r>
          </w:p>
        </w:tc>
        <w:tc>
          <w:tcPr>
            <w:tcW w:w="1685" w:type="dxa"/>
          </w:tcPr>
          <w:p w14:paraId="2B3F4E9A" w14:textId="77777777" w:rsidR="0075791A" w:rsidRDefault="00FB2864">
            <w:pPr>
              <w:jc w:val="center"/>
              <w:rPr>
                <w:rFonts w:ascii="Times New Roman" w:hAnsi="Times New Roman"/>
                <w:color w:val="auto"/>
                <w:lang w:bidi="ar"/>
              </w:rPr>
            </w:pPr>
            <w:r>
              <w:rPr>
                <w:rFonts w:ascii="Times New Roman" w:hAnsi="Times New Roman"/>
                <w:color w:val="auto"/>
                <w:lang w:bidi="ar"/>
              </w:rPr>
              <w:t>13.6</w:t>
            </w:r>
          </w:p>
        </w:tc>
      </w:tr>
      <w:tr w:rsidR="0075791A" w14:paraId="7C718F4B" w14:textId="77777777">
        <w:trPr>
          <w:jc w:val="center"/>
        </w:trPr>
        <w:tc>
          <w:tcPr>
            <w:tcW w:w="1614" w:type="dxa"/>
          </w:tcPr>
          <w:p w14:paraId="2F2EED83"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ENE</w:t>
            </w:r>
          </w:p>
        </w:tc>
        <w:tc>
          <w:tcPr>
            <w:tcW w:w="2130" w:type="dxa"/>
          </w:tcPr>
          <w:p w14:paraId="365A8D9C" w14:textId="77777777" w:rsidR="0075791A" w:rsidRDefault="00FB2864">
            <w:pPr>
              <w:jc w:val="center"/>
              <w:rPr>
                <w:rFonts w:ascii="Times New Roman" w:hAnsi="Times New Roman"/>
                <w:color w:val="auto"/>
                <w:lang w:bidi="ar"/>
              </w:rPr>
            </w:pPr>
            <w:r>
              <w:rPr>
                <w:rFonts w:ascii="Times New Roman" w:hAnsi="Times New Roman"/>
                <w:color w:val="auto"/>
                <w:lang w:bidi="ar"/>
              </w:rPr>
              <w:t>18.0</w:t>
            </w:r>
          </w:p>
        </w:tc>
        <w:tc>
          <w:tcPr>
            <w:tcW w:w="2131" w:type="dxa"/>
          </w:tcPr>
          <w:p w14:paraId="4AF77D67" w14:textId="77777777" w:rsidR="0075791A" w:rsidRDefault="00FB2864">
            <w:pPr>
              <w:jc w:val="center"/>
              <w:rPr>
                <w:rFonts w:ascii="Times New Roman" w:hAnsi="Times New Roman"/>
                <w:color w:val="auto"/>
                <w:lang w:bidi="ar"/>
              </w:rPr>
            </w:pPr>
            <w:r>
              <w:rPr>
                <w:rFonts w:ascii="Times New Roman" w:hAnsi="Times New Roman"/>
                <w:color w:val="auto"/>
                <w:lang w:bidi="ar"/>
              </w:rPr>
              <w:t>3.4</w:t>
            </w:r>
          </w:p>
        </w:tc>
        <w:tc>
          <w:tcPr>
            <w:tcW w:w="1685" w:type="dxa"/>
          </w:tcPr>
          <w:p w14:paraId="1392A932" w14:textId="77777777" w:rsidR="0075791A" w:rsidRDefault="00FB2864">
            <w:pPr>
              <w:jc w:val="center"/>
              <w:rPr>
                <w:rFonts w:ascii="Times New Roman" w:hAnsi="Times New Roman"/>
                <w:color w:val="auto"/>
                <w:lang w:bidi="ar"/>
              </w:rPr>
            </w:pPr>
            <w:r>
              <w:rPr>
                <w:rFonts w:ascii="Times New Roman" w:hAnsi="Times New Roman"/>
                <w:color w:val="auto"/>
                <w:lang w:bidi="ar"/>
              </w:rPr>
              <w:t>10.8</w:t>
            </w:r>
          </w:p>
        </w:tc>
      </w:tr>
      <w:tr w:rsidR="0075791A" w14:paraId="4D773E00" w14:textId="77777777">
        <w:trPr>
          <w:jc w:val="center"/>
        </w:trPr>
        <w:tc>
          <w:tcPr>
            <w:tcW w:w="1614" w:type="dxa"/>
          </w:tcPr>
          <w:p w14:paraId="2B932FED"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E</w:t>
            </w:r>
          </w:p>
        </w:tc>
        <w:tc>
          <w:tcPr>
            <w:tcW w:w="2130" w:type="dxa"/>
          </w:tcPr>
          <w:p w14:paraId="48A25E5B" w14:textId="77777777" w:rsidR="0075791A" w:rsidRDefault="00FB2864">
            <w:pPr>
              <w:jc w:val="center"/>
              <w:rPr>
                <w:rFonts w:ascii="Times New Roman" w:hAnsi="Times New Roman"/>
                <w:color w:val="auto"/>
                <w:lang w:bidi="ar"/>
              </w:rPr>
            </w:pPr>
            <w:r>
              <w:rPr>
                <w:rFonts w:ascii="Times New Roman" w:hAnsi="Times New Roman"/>
                <w:color w:val="auto"/>
                <w:lang w:bidi="ar"/>
              </w:rPr>
              <w:t>23.0</w:t>
            </w:r>
          </w:p>
        </w:tc>
        <w:tc>
          <w:tcPr>
            <w:tcW w:w="2131" w:type="dxa"/>
          </w:tcPr>
          <w:p w14:paraId="180A98EF" w14:textId="77777777" w:rsidR="0075791A" w:rsidRDefault="00FB2864">
            <w:pPr>
              <w:jc w:val="center"/>
              <w:rPr>
                <w:rFonts w:ascii="Times New Roman" w:hAnsi="Times New Roman"/>
                <w:color w:val="auto"/>
                <w:lang w:bidi="ar"/>
              </w:rPr>
            </w:pPr>
            <w:r>
              <w:rPr>
                <w:rFonts w:ascii="Times New Roman" w:hAnsi="Times New Roman"/>
                <w:color w:val="auto"/>
                <w:lang w:bidi="ar"/>
              </w:rPr>
              <w:t>3.0</w:t>
            </w:r>
          </w:p>
        </w:tc>
        <w:tc>
          <w:tcPr>
            <w:tcW w:w="1685" w:type="dxa"/>
          </w:tcPr>
          <w:p w14:paraId="6999D46D" w14:textId="77777777" w:rsidR="0075791A" w:rsidRDefault="00FB2864">
            <w:pPr>
              <w:jc w:val="center"/>
              <w:rPr>
                <w:rFonts w:ascii="Times New Roman" w:hAnsi="Times New Roman"/>
                <w:color w:val="auto"/>
                <w:lang w:bidi="ar"/>
              </w:rPr>
            </w:pPr>
            <w:r>
              <w:rPr>
                <w:rFonts w:ascii="Times New Roman" w:hAnsi="Times New Roman"/>
                <w:color w:val="auto"/>
                <w:lang w:bidi="ar"/>
              </w:rPr>
              <w:t>13.2</w:t>
            </w:r>
          </w:p>
        </w:tc>
      </w:tr>
      <w:tr w:rsidR="0075791A" w14:paraId="417F613A" w14:textId="77777777">
        <w:trPr>
          <w:jc w:val="center"/>
        </w:trPr>
        <w:tc>
          <w:tcPr>
            <w:tcW w:w="1614" w:type="dxa"/>
          </w:tcPr>
          <w:p w14:paraId="72926F1F"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ESE</w:t>
            </w:r>
          </w:p>
        </w:tc>
        <w:tc>
          <w:tcPr>
            <w:tcW w:w="2130" w:type="dxa"/>
          </w:tcPr>
          <w:p w14:paraId="76BDF264" w14:textId="77777777" w:rsidR="0075791A" w:rsidRDefault="00FB2864">
            <w:pPr>
              <w:jc w:val="center"/>
              <w:rPr>
                <w:rFonts w:ascii="Times New Roman" w:hAnsi="Times New Roman"/>
                <w:color w:val="auto"/>
                <w:lang w:bidi="ar"/>
              </w:rPr>
            </w:pPr>
            <w:r>
              <w:rPr>
                <w:rFonts w:ascii="Times New Roman" w:hAnsi="Times New Roman"/>
                <w:color w:val="auto"/>
                <w:lang w:bidi="ar"/>
              </w:rPr>
              <w:t>17.0</w:t>
            </w:r>
          </w:p>
        </w:tc>
        <w:tc>
          <w:tcPr>
            <w:tcW w:w="2131" w:type="dxa"/>
          </w:tcPr>
          <w:p w14:paraId="7008E986" w14:textId="77777777" w:rsidR="0075791A" w:rsidRDefault="00FB2864">
            <w:pPr>
              <w:jc w:val="center"/>
              <w:rPr>
                <w:rFonts w:ascii="Times New Roman" w:hAnsi="Times New Roman"/>
                <w:color w:val="auto"/>
                <w:lang w:bidi="ar"/>
              </w:rPr>
            </w:pPr>
            <w:r>
              <w:rPr>
                <w:rFonts w:ascii="Times New Roman" w:hAnsi="Times New Roman"/>
                <w:color w:val="auto"/>
                <w:lang w:bidi="ar"/>
              </w:rPr>
              <w:t>3.1</w:t>
            </w:r>
          </w:p>
        </w:tc>
        <w:tc>
          <w:tcPr>
            <w:tcW w:w="1685" w:type="dxa"/>
          </w:tcPr>
          <w:p w14:paraId="20F3BBFB" w14:textId="77777777" w:rsidR="0075791A" w:rsidRDefault="00FB2864">
            <w:pPr>
              <w:jc w:val="center"/>
              <w:rPr>
                <w:rFonts w:ascii="Times New Roman" w:hAnsi="Times New Roman"/>
                <w:color w:val="auto"/>
                <w:lang w:bidi="ar"/>
              </w:rPr>
            </w:pPr>
            <w:r>
              <w:rPr>
                <w:rFonts w:ascii="Times New Roman" w:hAnsi="Times New Roman"/>
                <w:color w:val="auto"/>
                <w:lang w:bidi="ar"/>
              </w:rPr>
              <w:t>6.6</w:t>
            </w:r>
          </w:p>
        </w:tc>
      </w:tr>
      <w:tr w:rsidR="0075791A" w14:paraId="53BD168C" w14:textId="77777777">
        <w:trPr>
          <w:jc w:val="center"/>
        </w:trPr>
        <w:tc>
          <w:tcPr>
            <w:tcW w:w="1614" w:type="dxa"/>
          </w:tcPr>
          <w:p w14:paraId="4EC1CE21"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SE</w:t>
            </w:r>
          </w:p>
        </w:tc>
        <w:tc>
          <w:tcPr>
            <w:tcW w:w="2130" w:type="dxa"/>
          </w:tcPr>
          <w:p w14:paraId="7C0D9C94" w14:textId="77777777" w:rsidR="0075791A" w:rsidRDefault="00FB2864">
            <w:pPr>
              <w:jc w:val="center"/>
              <w:rPr>
                <w:rFonts w:ascii="Times New Roman" w:hAnsi="Times New Roman"/>
                <w:color w:val="auto"/>
                <w:lang w:bidi="ar"/>
              </w:rPr>
            </w:pPr>
            <w:r>
              <w:rPr>
                <w:rFonts w:ascii="Times New Roman" w:hAnsi="Times New Roman"/>
                <w:color w:val="auto"/>
                <w:lang w:bidi="ar"/>
              </w:rPr>
              <w:t>17.0</w:t>
            </w:r>
          </w:p>
        </w:tc>
        <w:tc>
          <w:tcPr>
            <w:tcW w:w="2131" w:type="dxa"/>
          </w:tcPr>
          <w:p w14:paraId="313CDCBE" w14:textId="77777777" w:rsidR="0075791A" w:rsidRDefault="00FB2864">
            <w:pPr>
              <w:jc w:val="center"/>
              <w:rPr>
                <w:rFonts w:ascii="Times New Roman" w:hAnsi="Times New Roman"/>
                <w:color w:val="auto"/>
                <w:lang w:bidi="ar"/>
              </w:rPr>
            </w:pPr>
            <w:r>
              <w:rPr>
                <w:rFonts w:ascii="Times New Roman" w:hAnsi="Times New Roman"/>
                <w:color w:val="auto"/>
                <w:lang w:bidi="ar"/>
              </w:rPr>
              <w:t>2.8</w:t>
            </w:r>
          </w:p>
        </w:tc>
        <w:tc>
          <w:tcPr>
            <w:tcW w:w="1685" w:type="dxa"/>
          </w:tcPr>
          <w:p w14:paraId="06ED2BFC" w14:textId="77777777" w:rsidR="0075791A" w:rsidRDefault="00FB2864">
            <w:pPr>
              <w:jc w:val="center"/>
              <w:rPr>
                <w:rFonts w:ascii="Times New Roman" w:hAnsi="Times New Roman"/>
                <w:color w:val="auto"/>
                <w:lang w:bidi="ar"/>
              </w:rPr>
            </w:pPr>
            <w:r>
              <w:rPr>
                <w:rFonts w:ascii="Times New Roman" w:hAnsi="Times New Roman"/>
                <w:color w:val="auto"/>
                <w:lang w:bidi="ar"/>
              </w:rPr>
              <w:t>6.6</w:t>
            </w:r>
          </w:p>
        </w:tc>
      </w:tr>
      <w:tr w:rsidR="0075791A" w14:paraId="387594E8" w14:textId="77777777">
        <w:trPr>
          <w:jc w:val="center"/>
        </w:trPr>
        <w:tc>
          <w:tcPr>
            <w:tcW w:w="1614" w:type="dxa"/>
          </w:tcPr>
          <w:p w14:paraId="1816D4F3"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SSE</w:t>
            </w:r>
          </w:p>
        </w:tc>
        <w:tc>
          <w:tcPr>
            <w:tcW w:w="2130" w:type="dxa"/>
          </w:tcPr>
          <w:p w14:paraId="3EF42AD2" w14:textId="77777777" w:rsidR="0075791A" w:rsidRDefault="00FB2864">
            <w:pPr>
              <w:jc w:val="center"/>
              <w:rPr>
                <w:rFonts w:ascii="Times New Roman" w:hAnsi="Times New Roman"/>
                <w:color w:val="auto"/>
                <w:lang w:bidi="ar"/>
              </w:rPr>
            </w:pPr>
            <w:r>
              <w:rPr>
                <w:rFonts w:ascii="Times New Roman" w:hAnsi="Times New Roman"/>
                <w:color w:val="auto"/>
                <w:lang w:bidi="ar"/>
              </w:rPr>
              <w:t>16.0</w:t>
            </w:r>
          </w:p>
        </w:tc>
        <w:tc>
          <w:tcPr>
            <w:tcW w:w="2131" w:type="dxa"/>
          </w:tcPr>
          <w:p w14:paraId="381B8B23" w14:textId="77777777" w:rsidR="0075791A" w:rsidRDefault="00FB2864">
            <w:pPr>
              <w:jc w:val="center"/>
              <w:rPr>
                <w:rFonts w:ascii="Times New Roman" w:hAnsi="Times New Roman"/>
                <w:color w:val="auto"/>
                <w:lang w:bidi="ar"/>
              </w:rPr>
            </w:pPr>
            <w:r>
              <w:rPr>
                <w:rFonts w:ascii="Times New Roman" w:hAnsi="Times New Roman"/>
                <w:color w:val="auto"/>
                <w:lang w:bidi="ar"/>
              </w:rPr>
              <w:t>3.2</w:t>
            </w:r>
          </w:p>
        </w:tc>
        <w:tc>
          <w:tcPr>
            <w:tcW w:w="1685" w:type="dxa"/>
          </w:tcPr>
          <w:p w14:paraId="13B5972F" w14:textId="77777777" w:rsidR="0075791A" w:rsidRDefault="00FB2864">
            <w:pPr>
              <w:jc w:val="center"/>
              <w:rPr>
                <w:rFonts w:ascii="Times New Roman" w:hAnsi="Times New Roman"/>
                <w:color w:val="auto"/>
                <w:lang w:bidi="ar"/>
              </w:rPr>
            </w:pPr>
            <w:r>
              <w:rPr>
                <w:rFonts w:ascii="Times New Roman" w:hAnsi="Times New Roman"/>
                <w:color w:val="auto"/>
                <w:lang w:bidi="ar"/>
              </w:rPr>
              <w:t>5.8</w:t>
            </w:r>
          </w:p>
        </w:tc>
      </w:tr>
      <w:tr w:rsidR="0075791A" w14:paraId="21107458" w14:textId="77777777">
        <w:trPr>
          <w:jc w:val="center"/>
        </w:trPr>
        <w:tc>
          <w:tcPr>
            <w:tcW w:w="1614" w:type="dxa"/>
          </w:tcPr>
          <w:p w14:paraId="11DE4FEA"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S</w:t>
            </w:r>
          </w:p>
        </w:tc>
        <w:tc>
          <w:tcPr>
            <w:tcW w:w="2130" w:type="dxa"/>
          </w:tcPr>
          <w:p w14:paraId="18AC905D" w14:textId="77777777" w:rsidR="0075791A" w:rsidRDefault="00FB2864">
            <w:pPr>
              <w:jc w:val="center"/>
              <w:rPr>
                <w:rFonts w:ascii="Times New Roman" w:hAnsi="Times New Roman"/>
                <w:color w:val="auto"/>
                <w:lang w:bidi="ar"/>
              </w:rPr>
            </w:pPr>
            <w:r>
              <w:rPr>
                <w:rFonts w:ascii="Times New Roman" w:hAnsi="Times New Roman"/>
                <w:color w:val="auto"/>
                <w:lang w:bidi="ar"/>
              </w:rPr>
              <w:t>14.0</w:t>
            </w:r>
          </w:p>
        </w:tc>
        <w:tc>
          <w:tcPr>
            <w:tcW w:w="2131" w:type="dxa"/>
          </w:tcPr>
          <w:p w14:paraId="2F2AF6C9" w14:textId="77777777" w:rsidR="0075791A" w:rsidRDefault="00FB2864">
            <w:pPr>
              <w:jc w:val="center"/>
              <w:rPr>
                <w:rFonts w:ascii="Times New Roman" w:hAnsi="Times New Roman"/>
                <w:color w:val="auto"/>
                <w:lang w:bidi="ar"/>
              </w:rPr>
            </w:pPr>
            <w:r>
              <w:rPr>
                <w:rFonts w:ascii="Times New Roman" w:hAnsi="Times New Roman"/>
                <w:color w:val="auto"/>
                <w:lang w:bidi="ar"/>
              </w:rPr>
              <w:t>3.3</w:t>
            </w:r>
          </w:p>
        </w:tc>
        <w:tc>
          <w:tcPr>
            <w:tcW w:w="1685" w:type="dxa"/>
          </w:tcPr>
          <w:p w14:paraId="1E4A3CF0" w14:textId="77777777" w:rsidR="0075791A" w:rsidRDefault="00FB2864">
            <w:pPr>
              <w:jc w:val="center"/>
              <w:rPr>
                <w:rFonts w:ascii="Times New Roman" w:hAnsi="Times New Roman"/>
                <w:color w:val="auto"/>
                <w:lang w:bidi="ar"/>
              </w:rPr>
            </w:pPr>
            <w:r>
              <w:rPr>
                <w:rFonts w:ascii="Times New Roman" w:hAnsi="Times New Roman"/>
                <w:color w:val="auto"/>
                <w:lang w:bidi="ar"/>
              </w:rPr>
              <w:t>4.4</w:t>
            </w:r>
          </w:p>
        </w:tc>
      </w:tr>
      <w:tr w:rsidR="0075791A" w14:paraId="1DEB6E29" w14:textId="77777777">
        <w:trPr>
          <w:jc w:val="center"/>
        </w:trPr>
        <w:tc>
          <w:tcPr>
            <w:tcW w:w="1614" w:type="dxa"/>
          </w:tcPr>
          <w:p w14:paraId="0F4C0D71"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SSW</w:t>
            </w:r>
          </w:p>
        </w:tc>
        <w:tc>
          <w:tcPr>
            <w:tcW w:w="2130" w:type="dxa"/>
          </w:tcPr>
          <w:p w14:paraId="73AC67BD" w14:textId="77777777" w:rsidR="0075791A" w:rsidRDefault="00FB2864">
            <w:pPr>
              <w:jc w:val="center"/>
              <w:rPr>
                <w:rFonts w:ascii="Times New Roman" w:hAnsi="Times New Roman"/>
                <w:color w:val="auto"/>
                <w:lang w:bidi="ar"/>
              </w:rPr>
            </w:pPr>
            <w:r>
              <w:rPr>
                <w:rFonts w:ascii="Times New Roman" w:hAnsi="Times New Roman"/>
                <w:color w:val="auto"/>
                <w:lang w:bidi="ar"/>
              </w:rPr>
              <w:t>19.0</w:t>
            </w:r>
          </w:p>
        </w:tc>
        <w:tc>
          <w:tcPr>
            <w:tcW w:w="2131" w:type="dxa"/>
          </w:tcPr>
          <w:p w14:paraId="3814A6A3" w14:textId="77777777" w:rsidR="0075791A" w:rsidRDefault="00FB2864">
            <w:pPr>
              <w:jc w:val="center"/>
              <w:rPr>
                <w:rFonts w:ascii="Times New Roman" w:hAnsi="Times New Roman"/>
                <w:color w:val="auto"/>
                <w:lang w:bidi="ar"/>
              </w:rPr>
            </w:pPr>
            <w:r>
              <w:rPr>
                <w:rFonts w:ascii="Times New Roman" w:hAnsi="Times New Roman"/>
                <w:color w:val="auto"/>
                <w:lang w:bidi="ar"/>
              </w:rPr>
              <w:t>2.9</w:t>
            </w:r>
          </w:p>
        </w:tc>
        <w:tc>
          <w:tcPr>
            <w:tcW w:w="1685" w:type="dxa"/>
          </w:tcPr>
          <w:p w14:paraId="0B498120" w14:textId="77777777" w:rsidR="0075791A" w:rsidRDefault="00FB2864">
            <w:pPr>
              <w:jc w:val="center"/>
              <w:rPr>
                <w:rFonts w:ascii="Times New Roman" w:hAnsi="Times New Roman"/>
                <w:color w:val="auto"/>
                <w:lang w:bidi="ar"/>
              </w:rPr>
            </w:pPr>
            <w:r>
              <w:rPr>
                <w:rFonts w:ascii="Times New Roman" w:hAnsi="Times New Roman"/>
                <w:color w:val="auto"/>
                <w:lang w:bidi="ar"/>
              </w:rPr>
              <w:t>0.9</w:t>
            </w:r>
          </w:p>
        </w:tc>
      </w:tr>
      <w:tr w:rsidR="0075791A" w14:paraId="20612150" w14:textId="77777777">
        <w:trPr>
          <w:jc w:val="center"/>
        </w:trPr>
        <w:tc>
          <w:tcPr>
            <w:tcW w:w="1614" w:type="dxa"/>
          </w:tcPr>
          <w:p w14:paraId="6BEDE3F2"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SW</w:t>
            </w:r>
          </w:p>
        </w:tc>
        <w:tc>
          <w:tcPr>
            <w:tcW w:w="2130" w:type="dxa"/>
          </w:tcPr>
          <w:p w14:paraId="204EBEF1" w14:textId="77777777" w:rsidR="0075791A" w:rsidRDefault="00FB2864">
            <w:pPr>
              <w:jc w:val="center"/>
              <w:rPr>
                <w:rFonts w:ascii="Times New Roman" w:hAnsi="Times New Roman"/>
                <w:color w:val="auto"/>
                <w:lang w:bidi="ar"/>
              </w:rPr>
            </w:pPr>
            <w:r>
              <w:rPr>
                <w:rFonts w:ascii="Times New Roman" w:hAnsi="Times New Roman"/>
                <w:color w:val="auto"/>
                <w:lang w:bidi="ar"/>
              </w:rPr>
              <w:t>20.0</w:t>
            </w:r>
          </w:p>
        </w:tc>
        <w:tc>
          <w:tcPr>
            <w:tcW w:w="2131" w:type="dxa"/>
          </w:tcPr>
          <w:p w14:paraId="07FFD921" w14:textId="77777777" w:rsidR="0075791A" w:rsidRDefault="00FB2864">
            <w:pPr>
              <w:jc w:val="center"/>
              <w:rPr>
                <w:rFonts w:ascii="Times New Roman" w:hAnsi="Times New Roman"/>
                <w:color w:val="auto"/>
                <w:lang w:bidi="ar"/>
              </w:rPr>
            </w:pPr>
            <w:r>
              <w:rPr>
                <w:rFonts w:ascii="Times New Roman" w:hAnsi="Times New Roman"/>
                <w:color w:val="auto"/>
                <w:lang w:bidi="ar"/>
              </w:rPr>
              <w:t>3.2</w:t>
            </w:r>
          </w:p>
        </w:tc>
        <w:tc>
          <w:tcPr>
            <w:tcW w:w="1685" w:type="dxa"/>
          </w:tcPr>
          <w:p w14:paraId="7D397597" w14:textId="77777777" w:rsidR="0075791A" w:rsidRDefault="00FB2864">
            <w:pPr>
              <w:jc w:val="center"/>
              <w:rPr>
                <w:rFonts w:ascii="Times New Roman" w:hAnsi="Times New Roman"/>
                <w:color w:val="auto"/>
                <w:lang w:bidi="ar"/>
              </w:rPr>
            </w:pPr>
            <w:r>
              <w:rPr>
                <w:rFonts w:ascii="Times New Roman" w:hAnsi="Times New Roman"/>
                <w:color w:val="auto"/>
                <w:lang w:bidi="ar"/>
              </w:rPr>
              <w:t>2.2</w:t>
            </w:r>
          </w:p>
        </w:tc>
      </w:tr>
      <w:tr w:rsidR="0075791A" w14:paraId="541FBB58" w14:textId="77777777">
        <w:trPr>
          <w:jc w:val="center"/>
        </w:trPr>
        <w:tc>
          <w:tcPr>
            <w:tcW w:w="1614" w:type="dxa"/>
          </w:tcPr>
          <w:p w14:paraId="4947AC7D"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WSW</w:t>
            </w:r>
          </w:p>
        </w:tc>
        <w:tc>
          <w:tcPr>
            <w:tcW w:w="2130" w:type="dxa"/>
          </w:tcPr>
          <w:p w14:paraId="5DB11A9D" w14:textId="77777777" w:rsidR="0075791A" w:rsidRDefault="00FB2864">
            <w:pPr>
              <w:jc w:val="center"/>
              <w:rPr>
                <w:rFonts w:ascii="Times New Roman" w:hAnsi="Times New Roman"/>
                <w:color w:val="auto"/>
                <w:lang w:bidi="ar"/>
              </w:rPr>
            </w:pPr>
            <w:r>
              <w:rPr>
                <w:rFonts w:ascii="Times New Roman" w:hAnsi="Times New Roman"/>
                <w:color w:val="auto"/>
                <w:lang w:bidi="ar"/>
              </w:rPr>
              <w:t>18.0</w:t>
            </w:r>
          </w:p>
        </w:tc>
        <w:tc>
          <w:tcPr>
            <w:tcW w:w="2131" w:type="dxa"/>
          </w:tcPr>
          <w:p w14:paraId="6E56E5C1" w14:textId="77777777" w:rsidR="0075791A" w:rsidRDefault="00FB2864">
            <w:pPr>
              <w:jc w:val="center"/>
              <w:rPr>
                <w:rFonts w:ascii="Times New Roman" w:hAnsi="Times New Roman"/>
                <w:color w:val="auto"/>
                <w:lang w:bidi="ar"/>
              </w:rPr>
            </w:pPr>
            <w:r>
              <w:rPr>
                <w:rFonts w:ascii="Times New Roman" w:hAnsi="Times New Roman"/>
                <w:color w:val="auto"/>
                <w:lang w:bidi="ar"/>
              </w:rPr>
              <w:t>3.5</w:t>
            </w:r>
          </w:p>
        </w:tc>
        <w:tc>
          <w:tcPr>
            <w:tcW w:w="1685" w:type="dxa"/>
          </w:tcPr>
          <w:p w14:paraId="16B90C76" w14:textId="77777777" w:rsidR="0075791A" w:rsidRDefault="00FB2864">
            <w:pPr>
              <w:jc w:val="center"/>
              <w:rPr>
                <w:rFonts w:ascii="Times New Roman" w:hAnsi="Times New Roman"/>
                <w:color w:val="auto"/>
                <w:lang w:bidi="ar"/>
              </w:rPr>
            </w:pPr>
            <w:r>
              <w:rPr>
                <w:rFonts w:ascii="Times New Roman" w:hAnsi="Times New Roman"/>
                <w:color w:val="auto"/>
                <w:lang w:bidi="ar"/>
              </w:rPr>
              <w:t>3.4</w:t>
            </w:r>
          </w:p>
        </w:tc>
      </w:tr>
      <w:tr w:rsidR="0075791A" w14:paraId="765D5836" w14:textId="77777777">
        <w:trPr>
          <w:jc w:val="center"/>
        </w:trPr>
        <w:tc>
          <w:tcPr>
            <w:tcW w:w="1614" w:type="dxa"/>
          </w:tcPr>
          <w:p w14:paraId="60630CD0"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W</w:t>
            </w:r>
          </w:p>
        </w:tc>
        <w:tc>
          <w:tcPr>
            <w:tcW w:w="2130" w:type="dxa"/>
          </w:tcPr>
          <w:p w14:paraId="52EF6C57" w14:textId="77777777" w:rsidR="0075791A" w:rsidRDefault="00FB2864">
            <w:pPr>
              <w:jc w:val="center"/>
              <w:rPr>
                <w:rFonts w:ascii="Times New Roman" w:hAnsi="Times New Roman"/>
                <w:color w:val="auto"/>
                <w:lang w:bidi="ar"/>
              </w:rPr>
            </w:pPr>
            <w:r>
              <w:rPr>
                <w:rFonts w:ascii="Times New Roman" w:hAnsi="Times New Roman"/>
                <w:color w:val="auto"/>
                <w:lang w:bidi="ar"/>
              </w:rPr>
              <w:t>20.0</w:t>
            </w:r>
          </w:p>
        </w:tc>
        <w:tc>
          <w:tcPr>
            <w:tcW w:w="2131" w:type="dxa"/>
          </w:tcPr>
          <w:p w14:paraId="461C2B35" w14:textId="77777777" w:rsidR="0075791A" w:rsidRDefault="00FB2864">
            <w:pPr>
              <w:jc w:val="center"/>
              <w:rPr>
                <w:rFonts w:ascii="Times New Roman" w:hAnsi="Times New Roman"/>
                <w:color w:val="auto"/>
                <w:lang w:bidi="ar"/>
              </w:rPr>
            </w:pPr>
            <w:r>
              <w:rPr>
                <w:rFonts w:ascii="Times New Roman" w:hAnsi="Times New Roman"/>
                <w:color w:val="auto"/>
                <w:lang w:bidi="ar"/>
              </w:rPr>
              <w:t>3.4</w:t>
            </w:r>
          </w:p>
        </w:tc>
        <w:tc>
          <w:tcPr>
            <w:tcW w:w="1685" w:type="dxa"/>
          </w:tcPr>
          <w:p w14:paraId="41B275C8" w14:textId="77777777" w:rsidR="0075791A" w:rsidRDefault="00FB2864">
            <w:pPr>
              <w:jc w:val="center"/>
              <w:rPr>
                <w:rFonts w:ascii="Times New Roman" w:hAnsi="Times New Roman"/>
                <w:color w:val="auto"/>
                <w:lang w:bidi="ar"/>
              </w:rPr>
            </w:pPr>
            <w:r>
              <w:rPr>
                <w:rFonts w:ascii="Times New Roman" w:hAnsi="Times New Roman"/>
                <w:color w:val="auto"/>
                <w:lang w:bidi="ar"/>
              </w:rPr>
              <w:t>3.2</w:t>
            </w:r>
          </w:p>
        </w:tc>
      </w:tr>
      <w:tr w:rsidR="0075791A" w14:paraId="3D22B6C7" w14:textId="77777777">
        <w:trPr>
          <w:jc w:val="center"/>
        </w:trPr>
        <w:tc>
          <w:tcPr>
            <w:tcW w:w="1614" w:type="dxa"/>
          </w:tcPr>
          <w:p w14:paraId="760E18A8"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WNW</w:t>
            </w:r>
          </w:p>
        </w:tc>
        <w:tc>
          <w:tcPr>
            <w:tcW w:w="2130" w:type="dxa"/>
          </w:tcPr>
          <w:p w14:paraId="15D4EDC7" w14:textId="77777777" w:rsidR="0075791A" w:rsidRDefault="00FB2864">
            <w:pPr>
              <w:jc w:val="center"/>
              <w:rPr>
                <w:rFonts w:ascii="Times New Roman" w:hAnsi="Times New Roman"/>
                <w:color w:val="auto"/>
                <w:lang w:bidi="ar"/>
              </w:rPr>
            </w:pPr>
            <w:r>
              <w:rPr>
                <w:rFonts w:ascii="Times New Roman" w:hAnsi="Times New Roman"/>
                <w:color w:val="auto"/>
                <w:lang w:bidi="ar"/>
              </w:rPr>
              <w:t>12.0</w:t>
            </w:r>
          </w:p>
        </w:tc>
        <w:tc>
          <w:tcPr>
            <w:tcW w:w="2131" w:type="dxa"/>
          </w:tcPr>
          <w:p w14:paraId="24B2B1CD" w14:textId="77777777" w:rsidR="0075791A" w:rsidRDefault="00FB2864">
            <w:pPr>
              <w:jc w:val="center"/>
              <w:rPr>
                <w:rFonts w:ascii="Times New Roman" w:hAnsi="Times New Roman"/>
                <w:color w:val="auto"/>
                <w:lang w:bidi="ar"/>
              </w:rPr>
            </w:pPr>
            <w:r>
              <w:rPr>
                <w:rFonts w:ascii="Times New Roman" w:hAnsi="Times New Roman"/>
                <w:color w:val="auto"/>
                <w:lang w:bidi="ar"/>
              </w:rPr>
              <w:t>3.0</w:t>
            </w:r>
          </w:p>
        </w:tc>
        <w:tc>
          <w:tcPr>
            <w:tcW w:w="1685" w:type="dxa"/>
          </w:tcPr>
          <w:p w14:paraId="765BDC63" w14:textId="77777777" w:rsidR="0075791A" w:rsidRDefault="00FB2864">
            <w:pPr>
              <w:jc w:val="center"/>
              <w:rPr>
                <w:rFonts w:ascii="Times New Roman" w:hAnsi="Times New Roman"/>
                <w:color w:val="auto"/>
                <w:lang w:bidi="ar"/>
              </w:rPr>
            </w:pPr>
            <w:r>
              <w:rPr>
                <w:rFonts w:ascii="Times New Roman" w:hAnsi="Times New Roman"/>
                <w:color w:val="auto"/>
                <w:lang w:bidi="ar"/>
              </w:rPr>
              <w:t>1.1</w:t>
            </w:r>
          </w:p>
        </w:tc>
      </w:tr>
      <w:tr w:rsidR="0075791A" w14:paraId="47D13C2F" w14:textId="77777777">
        <w:trPr>
          <w:jc w:val="center"/>
        </w:trPr>
        <w:tc>
          <w:tcPr>
            <w:tcW w:w="1614" w:type="dxa"/>
          </w:tcPr>
          <w:p w14:paraId="77CAD106"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NW</w:t>
            </w:r>
          </w:p>
        </w:tc>
        <w:tc>
          <w:tcPr>
            <w:tcW w:w="2130" w:type="dxa"/>
          </w:tcPr>
          <w:p w14:paraId="3AC1C020" w14:textId="77777777" w:rsidR="0075791A" w:rsidRDefault="00FB2864">
            <w:pPr>
              <w:jc w:val="center"/>
              <w:rPr>
                <w:rFonts w:ascii="Times New Roman" w:hAnsi="Times New Roman"/>
                <w:color w:val="auto"/>
                <w:lang w:bidi="ar"/>
              </w:rPr>
            </w:pPr>
            <w:r>
              <w:rPr>
                <w:rFonts w:ascii="Times New Roman" w:hAnsi="Times New Roman"/>
                <w:color w:val="auto"/>
                <w:lang w:bidi="ar"/>
              </w:rPr>
              <w:t>30.0</w:t>
            </w:r>
          </w:p>
        </w:tc>
        <w:tc>
          <w:tcPr>
            <w:tcW w:w="2131" w:type="dxa"/>
          </w:tcPr>
          <w:p w14:paraId="35F469A9" w14:textId="77777777" w:rsidR="0075791A" w:rsidRDefault="00FB2864">
            <w:pPr>
              <w:jc w:val="center"/>
              <w:rPr>
                <w:rFonts w:ascii="Times New Roman" w:hAnsi="Times New Roman"/>
                <w:color w:val="auto"/>
                <w:lang w:bidi="ar"/>
              </w:rPr>
            </w:pPr>
            <w:r>
              <w:rPr>
                <w:rFonts w:ascii="Times New Roman" w:hAnsi="Times New Roman"/>
                <w:color w:val="auto"/>
                <w:lang w:bidi="ar"/>
              </w:rPr>
              <w:t>2.0</w:t>
            </w:r>
          </w:p>
        </w:tc>
        <w:tc>
          <w:tcPr>
            <w:tcW w:w="1685" w:type="dxa"/>
          </w:tcPr>
          <w:p w14:paraId="7C8650A8" w14:textId="77777777" w:rsidR="0075791A" w:rsidRDefault="00FB2864">
            <w:pPr>
              <w:jc w:val="center"/>
              <w:rPr>
                <w:rFonts w:ascii="Times New Roman" w:hAnsi="Times New Roman"/>
                <w:color w:val="auto"/>
                <w:lang w:bidi="ar"/>
              </w:rPr>
            </w:pPr>
            <w:r>
              <w:rPr>
                <w:rFonts w:ascii="Times New Roman" w:hAnsi="Times New Roman"/>
                <w:color w:val="auto"/>
                <w:lang w:bidi="ar"/>
              </w:rPr>
              <w:t>1.0</w:t>
            </w:r>
          </w:p>
        </w:tc>
      </w:tr>
      <w:tr w:rsidR="0075791A" w14:paraId="6EDAE43A" w14:textId="77777777">
        <w:trPr>
          <w:jc w:val="center"/>
        </w:trPr>
        <w:tc>
          <w:tcPr>
            <w:tcW w:w="1614" w:type="dxa"/>
          </w:tcPr>
          <w:p w14:paraId="40FEBA5B"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NNW</w:t>
            </w:r>
          </w:p>
        </w:tc>
        <w:tc>
          <w:tcPr>
            <w:tcW w:w="2130" w:type="dxa"/>
          </w:tcPr>
          <w:p w14:paraId="07400263" w14:textId="77777777" w:rsidR="0075791A" w:rsidRDefault="00FB2864">
            <w:pPr>
              <w:jc w:val="center"/>
              <w:rPr>
                <w:rFonts w:ascii="Times New Roman" w:hAnsi="Times New Roman"/>
                <w:color w:val="auto"/>
                <w:lang w:bidi="ar"/>
              </w:rPr>
            </w:pPr>
            <w:r>
              <w:rPr>
                <w:rFonts w:ascii="Times New Roman" w:hAnsi="Times New Roman"/>
                <w:color w:val="auto"/>
                <w:lang w:bidi="ar"/>
              </w:rPr>
              <w:t>11.0</w:t>
            </w:r>
          </w:p>
        </w:tc>
        <w:tc>
          <w:tcPr>
            <w:tcW w:w="2131" w:type="dxa"/>
          </w:tcPr>
          <w:p w14:paraId="3DA854D3" w14:textId="77777777" w:rsidR="0075791A" w:rsidRDefault="00FB2864">
            <w:pPr>
              <w:jc w:val="center"/>
              <w:rPr>
                <w:rFonts w:ascii="Times New Roman" w:hAnsi="Times New Roman"/>
                <w:color w:val="auto"/>
                <w:lang w:bidi="ar"/>
              </w:rPr>
            </w:pPr>
            <w:r>
              <w:rPr>
                <w:rFonts w:ascii="Times New Roman" w:hAnsi="Times New Roman"/>
                <w:color w:val="auto"/>
                <w:lang w:bidi="ar"/>
              </w:rPr>
              <w:t>1.5</w:t>
            </w:r>
          </w:p>
        </w:tc>
        <w:tc>
          <w:tcPr>
            <w:tcW w:w="1685" w:type="dxa"/>
          </w:tcPr>
          <w:p w14:paraId="7DCAF9B7" w14:textId="77777777" w:rsidR="0075791A" w:rsidRDefault="00FB2864">
            <w:pPr>
              <w:jc w:val="center"/>
              <w:rPr>
                <w:rFonts w:ascii="Times New Roman" w:hAnsi="Times New Roman"/>
                <w:color w:val="auto"/>
                <w:lang w:bidi="ar"/>
              </w:rPr>
            </w:pPr>
            <w:r>
              <w:rPr>
                <w:rFonts w:ascii="Times New Roman" w:hAnsi="Times New Roman"/>
                <w:color w:val="auto"/>
                <w:lang w:bidi="ar"/>
              </w:rPr>
              <w:t>1.1</w:t>
            </w:r>
          </w:p>
        </w:tc>
      </w:tr>
    </w:tbl>
    <w:p w14:paraId="5E7283EC" w14:textId="77777777" w:rsidR="0075791A" w:rsidRDefault="0075791A">
      <w:pPr>
        <w:jc w:val="center"/>
        <w:rPr>
          <w:rFonts w:ascii="Times New Roman" w:hAnsi="Times New Roman"/>
          <w:b/>
          <w:bCs/>
          <w:color w:val="auto"/>
          <w:lang w:bidi="ar"/>
        </w:rPr>
      </w:pPr>
    </w:p>
    <w:p w14:paraId="6A3BE281" w14:textId="77777777" w:rsidR="0075791A" w:rsidRDefault="00FB2864">
      <w:pPr>
        <w:jc w:val="center"/>
        <w:rPr>
          <w:rFonts w:ascii="Times New Roman" w:hAnsi="Times New Roman"/>
          <w:color w:val="auto"/>
          <w:sz w:val="24"/>
          <w:szCs w:val="24"/>
          <w:lang w:eastAsia="zh-CN" w:bidi="ar"/>
        </w:rPr>
      </w:pPr>
      <w:r>
        <w:rPr>
          <w:rFonts w:ascii="Times New Roman" w:hAnsi="Times New Roman"/>
          <w:color w:val="auto"/>
          <w:sz w:val="24"/>
          <w:szCs w:val="24"/>
          <w:lang w:eastAsia="zh-CN" w:bidi="ar"/>
        </w:rPr>
        <w:t>表</w:t>
      </w:r>
      <w:r>
        <w:rPr>
          <w:rFonts w:ascii="Times New Roman" w:eastAsia="宋体" w:hAnsi="Times New Roman" w:hint="eastAsia"/>
          <w:color w:val="auto"/>
          <w:sz w:val="24"/>
          <w:szCs w:val="24"/>
          <w:lang w:eastAsia="zh-CN" w:bidi="ar"/>
        </w:rPr>
        <w:t>3.</w:t>
      </w:r>
      <w:r>
        <w:rPr>
          <w:rFonts w:ascii="Times New Roman" w:hAnsi="Times New Roman" w:hint="eastAsia"/>
          <w:color w:val="auto"/>
          <w:sz w:val="24"/>
          <w:szCs w:val="24"/>
          <w:lang w:eastAsia="zh-CN" w:bidi="ar"/>
        </w:rPr>
        <w:t>2.</w:t>
      </w:r>
      <w:r>
        <w:rPr>
          <w:rFonts w:ascii="Times New Roman" w:hAnsi="Times New Roman"/>
          <w:color w:val="auto"/>
          <w:sz w:val="24"/>
          <w:szCs w:val="24"/>
          <w:lang w:eastAsia="zh-CN" w:bidi="ar"/>
        </w:rPr>
        <w:t>1-4</w:t>
      </w:r>
      <w:r>
        <w:rPr>
          <w:rFonts w:ascii="Times New Roman" w:hAnsi="Times New Roman"/>
          <w:color w:val="auto"/>
          <w:sz w:val="24"/>
          <w:szCs w:val="24"/>
          <w:lang w:eastAsia="zh-CN" w:bidi="ar"/>
        </w:rPr>
        <w:t>各月平均风速（</w:t>
      </w:r>
      <w:r>
        <w:rPr>
          <w:rFonts w:ascii="Times New Roman" w:hAnsi="Times New Roman"/>
          <w:color w:val="auto"/>
          <w:sz w:val="24"/>
          <w:szCs w:val="24"/>
          <w:lang w:eastAsia="zh-CN" w:bidi="ar"/>
        </w:rPr>
        <w:t>m/s</w:t>
      </w:r>
      <w:r>
        <w:rPr>
          <w:rFonts w:ascii="Times New Roman" w:hAnsi="Times New Roman"/>
          <w:color w:val="auto"/>
          <w:sz w:val="24"/>
          <w:szCs w:val="24"/>
          <w:lang w:eastAsia="zh-CN" w:bidi="ar"/>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4"/>
        <w:gridCol w:w="538"/>
        <w:gridCol w:w="585"/>
        <w:gridCol w:w="555"/>
        <w:gridCol w:w="555"/>
        <w:gridCol w:w="570"/>
        <w:gridCol w:w="555"/>
        <w:gridCol w:w="585"/>
        <w:gridCol w:w="585"/>
        <w:gridCol w:w="585"/>
        <w:gridCol w:w="570"/>
        <w:gridCol w:w="600"/>
        <w:gridCol w:w="587"/>
        <w:gridCol w:w="651"/>
      </w:tblGrid>
      <w:tr w:rsidR="0075791A" w14:paraId="64198F3B" w14:textId="77777777">
        <w:trPr>
          <w:trHeight w:val="454"/>
          <w:jc w:val="center"/>
        </w:trPr>
        <w:tc>
          <w:tcPr>
            <w:tcW w:w="834" w:type="dxa"/>
            <w:vAlign w:val="center"/>
          </w:tcPr>
          <w:p w14:paraId="166D4CAD"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月份</w:t>
            </w:r>
          </w:p>
        </w:tc>
        <w:tc>
          <w:tcPr>
            <w:tcW w:w="538" w:type="dxa"/>
            <w:tcMar>
              <w:top w:w="0" w:type="dxa"/>
              <w:left w:w="57" w:type="dxa"/>
              <w:bottom w:w="0" w:type="dxa"/>
              <w:right w:w="57" w:type="dxa"/>
            </w:tcMar>
            <w:vAlign w:val="center"/>
          </w:tcPr>
          <w:p w14:paraId="7A234C34"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1</w:t>
            </w:r>
          </w:p>
        </w:tc>
        <w:tc>
          <w:tcPr>
            <w:tcW w:w="585" w:type="dxa"/>
            <w:tcMar>
              <w:top w:w="0" w:type="dxa"/>
              <w:left w:w="57" w:type="dxa"/>
              <w:bottom w:w="0" w:type="dxa"/>
              <w:right w:w="57" w:type="dxa"/>
            </w:tcMar>
            <w:vAlign w:val="center"/>
          </w:tcPr>
          <w:p w14:paraId="372F7268"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2</w:t>
            </w:r>
          </w:p>
        </w:tc>
        <w:tc>
          <w:tcPr>
            <w:tcW w:w="555" w:type="dxa"/>
            <w:tcMar>
              <w:top w:w="0" w:type="dxa"/>
              <w:left w:w="57" w:type="dxa"/>
              <w:bottom w:w="0" w:type="dxa"/>
              <w:right w:w="57" w:type="dxa"/>
            </w:tcMar>
            <w:vAlign w:val="center"/>
          </w:tcPr>
          <w:p w14:paraId="3244E203"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3</w:t>
            </w:r>
          </w:p>
        </w:tc>
        <w:tc>
          <w:tcPr>
            <w:tcW w:w="555" w:type="dxa"/>
            <w:tcMar>
              <w:top w:w="0" w:type="dxa"/>
              <w:left w:w="57" w:type="dxa"/>
              <w:bottom w:w="0" w:type="dxa"/>
              <w:right w:w="57" w:type="dxa"/>
            </w:tcMar>
            <w:vAlign w:val="center"/>
          </w:tcPr>
          <w:p w14:paraId="179F6BF4"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4</w:t>
            </w:r>
          </w:p>
        </w:tc>
        <w:tc>
          <w:tcPr>
            <w:tcW w:w="570" w:type="dxa"/>
            <w:tcMar>
              <w:top w:w="0" w:type="dxa"/>
              <w:left w:w="57" w:type="dxa"/>
              <w:bottom w:w="0" w:type="dxa"/>
              <w:right w:w="57" w:type="dxa"/>
            </w:tcMar>
            <w:vAlign w:val="center"/>
          </w:tcPr>
          <w:p w14:paraId="59FD2177"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5</w:t>
            </w:r>
          </w:p>
        </w:tc>
        <w:tc>
          <w:tcPr>
            <w:tcW w:w="555" w:type="dxa"/>
            <w:tcMar>
              <w:top w:w="0" w:type="dxa"/>
              <w:left w:w="57" w:type="dxa"/>
              <w:bottom w:w="0" w:type="dxa"/>
              <w:right w:w="57" w:type="dxa"/>
            </w:tcMar>
            <w:vAlign w:val="center"/>
          </w:tcPr>
          <w:p w14:paraId="5EF9CA6A"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6</w:t>
            </w:r>
          </w:p>
        </w:tc>
        <w:tc>
          <w:tcPr>
            <w:tcW w:w="585" w:type="dxa"/>
            <w:tcMar>
              <w:top w:w="0" w:type="dxa"/>
              <w:left w:w="57" w:type="dxa"/>
              <w:bottom w:w="0" w:type="dxa"/>
              <w:right w:w="57" w:type="dxa"/>
            </w:tcMar>
            <w:vAlign w:val="center"/>
          </w:tcPr>
          <w:p w14:paraId="2FD72BD6"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7</w:t>
            </w:r>
          </w:p>
        </w:tc>
        <w:tc>
          <w:tcPr>
            <w:tcW w:w="585" w:type="dxa"/>
            <w:tcMar>
              <w:top w:w="0" w:type="dxa"/>
              <w:left w:w="57" w:type="dxa"/>
              <w:bottom w:w="0" w:type="dxa"/>
              <w:right w:w="57" w:type="dxa"/>
            </w:tcMar>
            <w:vAlign w:val="center"/>
          </w:tcPr>
          <w:p w14:paraId="6CB976B9"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8</w:t>
            </w:r>
          </w:p>
        </w:tc>
        <w:tc>
          <w:tcPr>
            <w:tcW w:w="585" w:type="dxa"/>
            <w:tcMar>
              <w:top w:w="0" w:type="dxa"/>
              <w:left w:w="57" w:type="dxa"/>
              <w:bottom w:w="0" w:type="dxa"/>
              <w:right w:w="57" w:type="dxa"/>
            </w:tcMar>
            <w:vAlign w:val="center"/>
          </w:tcPr>
          <w:p w14:paraId="220C8A13"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9</w:t>
            </w:r>
          </w:p>
        </w:tc>
        <w:tc>
          <w:tcPr>
            <w:tcW w:w="570" w:type="dxa"/>
            <w:tcMar>
              <w:top w:w="0" w:type="dxa"/>
              <w:left w:w="57" w:type="dxa"/>
              <w:bottom w:w="0" w:type="dxa"/>
              <w:right w:w="57" w:type="dxa"/>
            </w:tcMar>
            <w:vAlign w:val="center"/>
          </w:tcPr>
          <w:p w14:paraId="5619BFE9"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10</w:t>
            </w:r>
          </w:p>
        </w:tc>
        <w:tc>
          <w:tcPr>
            <w:tcW w:w="600" w:type="dxa"/>
            <w:tcMar>
              <w:top w:w="0" w:type="dxa"/>
              <w:left w:w="57" w:type="dxa"/>
              <w:bottom w:w="0" w:type="dxa"/>
              <w:right w:w="57" w:type="dxa"/>
            </w:tcMar>
            <w:vAlign w:val="center"/>
          </w:tcPr>
          <w:p w14:paraId="34E432A6"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11</w:t>
            </w:r>
          </w:p>
        </w:tc>
        <w:tc>
          <w:tcPr>
            <w:tcW w:w="587" w:type="dxa"/>
            <w:tcMar>
              <w:top w:w="0" w:type="dxa"/>
              <w:left w:w="57" w:type="dxa"/>
              <w:bottom w:w="0" w:type="dxa"/>
              <w:right w:w="57" w:type="dxa"/>
            </w:tcMar>
            <w:vAlign w:val="center"/>
          </w:tcPr>
          <w:p w14:paraId="3177DE73"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12</w:t>
            </w:r>
          </w:p>
        </w:tc>
        <w:tc>
          <w:tcPr>
            <w:tcW w:w="651" w:type="dxa"/>
            <w:tcMar>
              <w:top w:w="0" w:type="dxa"/>
              <w:left w:w="57" w:type="dxa"/>
              <w:bottom w:w="0" w:type="dxa"/>
              <w:right w:w="57" w:type="dxa"/>
            </w:tcMar>
            <w:vAlign w:val="center"/>
          </w:tcPr>
          <w:p w14:paraId="5E9DBAF1" w14:textId="77777777" w:rsidR="0075791A" w:rsidRDefault="00FB2864">
            <w:pPr>
              <w:jc w:val="center"/>
              <w:rPr>
                <w:rFonts w:ascii="Times New Roman" w:hAnsi="Times New Roman"/>
                <w:b/>
                <w:bCs/>
                <w:color w:val="auto"/>
                <w:lang w:bidi="ar"/>
              </w:rPr>
            </w:pPr>
            <w:r>
              <w:rPr>
                <w:rFonts w:ascii="Times New Roman" w:hAnsi="Times New Roman"/>
                <w:b/>
                <w:bCs/>
                <w:color w:val="auto"/>
                <w:lang w:bidi="ar"/>
              </w:rPr>
              <w:t>全年</w:t>
            </w:r>
          </w:p>
        </w:tc>
      </w:tr>
      <w:tr w:rsidR="0075791A" w14:paraId="177C1C97" w14:textId="77777777">
        <w:trPr>
          <w:trHeight w:val="454"/>
          <w:jc w:val="center"/>
        </w:trPr>
        <w:tc>
          <w:tcPr>
            <w:tcW w:w="834" w:type="dxa"/>
            <w:vAlign w:val="center"/>
          </w:tcPr>
          <w:p w14:paraId="4398C8EA" w14:textId="77777777" w:rsidR="0075791A" w:rsidRDefault="00FB2864">
            <w:pPr>
              <w:jc w:val="center"/>
              <w:rPr>
                <w:rFonts w:ascii="Times New Roman" w:hAnsi="Times New Roman"/>
                <w:color w:val="auto"/>
                <w:lang w:bidi="ar"/>
              </w:rPr>
            </w:pPr>
            <w:r>
              <w:rPr>
                <w:rFonts w:ascii="Times New Roman" w:hAnsi="Times New Roman"/>
                <w:color w:val="auto"/>
                <w:lang w:bidi="ar"/>
              </w:rPr>
              <w:t>风速</w:t>
            </w:r>
          </w:p>
        </w:tc>
        <w:tc>
          <w:tcPr>
            <w:tcW w:w="538" w:type="dxa"/>
            <w:tcMar>
              <w:top w:w="0" w:type="dxa"/>
              <w:left w:w="57" w:type="dxa"/>
              <w:bottom w:w="0" w:type="dxa"/>
              <w:right w:w="57" w:type="dxa"/>
            </w:tcMar>
            <w:vAlign w:val="center"/>
          </w:tcPr>
          <w:p w14:paraId="576083DC" w14:textId="77777777" w:rsidR="0075791A" w:rsidRDefault="00FB2864">
            <w:pPr>
              <w:jc w:val="center"/>
              <w:rPr>
                <w:rFonts w:ascii="Times New Roman" w:hAnsi="Times New Roman"/>
                <w:color w:val="auto"/>
                <w:lang w:bidi="ar"/>
              </w:rPr>
            </w:pPr>
            <w:r>
              <w:rPr>
                <w:rFonts w:ascii="Times New Roman" w:hAnsi="Times New Roman"/>
                <w:color w:val="auto"/>
                <w:lang w:bidi="ar"/>
              </w:rPr>
              <w:t>2.6</w:t>
            </w:r>
          </w:p>
        </w:tc>
        <w:tc>
          <w:tcPr>
            <w:tcW w:w="585" w:type="dxa"/>
            <w:tcMar>
              <w:top w:w="0" w:type="dxa"/>
              <w:left w:w="57" w:type="dxa"/>
              <w:bottom w:w="0" w:type="dxa"/>
              <w:right w:w="57" w:type="dxa"/>
            </w:tcMar>
            <w:vAlign w:val="center"/>
          </w:tcPr>
          <w:p w14:paraId="2CAF7A5F" w14:textId="77777777" w:rsidR="0075791A" w:rsidRDefault="00FB2864">
            <w:pPr>
              <w:jc w:val="center"/>
              <w:rPr>
                <w:rFonts w:ascii="Times New Roman" w:hAnsi="Times New Roman"/>
                <w:color w:val="auto"/>
                <w:lang w:bidi="ar"/>
              </w:rPr>
            </w:pPr>
            <w:r>
              <w:rPr>
                <w:rFonts w:ascii="Times New Roman" w:hAnsi="Times New Roman"/>
                <w:color w:val="auto"/>
                <w:lang w:bidi="ar"/>
              </w:rPr>
              <w:t>2.7</w:t>
            </w:r>
          </w:p>
        </w:tc>
        <w:tc>
          <w:tcPr>
            <w:tcW w:w="555" w:type="dxa"/>
            <w:tcMar>
              <w:top w:w="0" w:type="dxa"/>
              <w:left w:w="57" w:type="dxa"/>
              <w:bottom w:w="0" w:type="dxa"/>
              <w:right w:w="57" w:type="dxa"/>
            </w:tcMar>
            <w:vAlign w:val="center"/>
          </w:tcPr>
          <w:p w14:paraId="62F6541E" w14:textId="77777777" w:rsidR="0075791A" w:rsidRDefault="00FB2864">
            <w:pPr>
              <w:jc w:val="center"/>
              <w:rPr>
                <w:rFonts w:ascii="Times New Roman" w:hAnsi="Times New Roman"/>
                <w:color w:val="auto"/>
                <w:lang w:bidi="ar"/>
              </w:rPr>
            </w:pPr>
            <w:r>
              <w:rPr>
                <w:rFonts w:ascii="Times New Roman" w:hAnsi="Times New Roman"/>
                <w:color w:val="auto"/>
                <w:lang w:bidi="ar"/>
              </w:rPr>
              <w:t>2.6</w:t>
            </w:r>
          </w:p>
        </w:tc>
        <w:tc>
          <w:tcPr>
            <w:tcW w:w="555" w:type="dxa"/>
            <w:tcMar>
              <w:top w:w="0" w:type="dxa"/>
              <w:left w:w="57" w:type="dxa"/>
              <w:bottom w:w="0" w:type="dxa"/>
              <w:right w:w="57" w:type="dxa"/>
            </w:tcMar>
            <w:vAlign w:val="center"/>
          </w:tcPr>
          <w:p w14:paraId="1F05F94A" w14:textId="77777777" w:rsidR="0075791A" w:rsidRDefault="00FB2864">
            <w:pPr>
              <w:jc w:val="center"/>
              <w:rPr>
                <w:rFonts w:ascii="Times New Roman" w:hAnsi="Times New Roman"/>
                <w:color w:val="auto"/>
                <w:lang w:bidi="ar"/>
              </w:rPr>
            </w:pPr>
            <w:r>
              <w:rPr>
                <w:rFonts w:ascii="Times New Roman" w:hAnsi="Times New Roman"/>
                <w:color w:val="auto"/>
                <w:lang w:bidi="ar"/>
              </w:rPr>
              <w:t>2.5</w:t>
            </w:r>
          </w:p>
        </w:tc>
        <w:tc>
          <w:tcPr>
            <w:tcW w:w="570" w:type="dxa"/>
            <w:tcMar>
              <w:top w:w="0" w:type="dxa"/>
              <w:left w:w="57" w:type="dxa"/>
              <w:bottom w:w="0" w:type="dxa"/>
              <w:right w:w="57" w:type="dxa"/>
            </w:tcMar>
            <w:vAlign w:val="center"/>
          </w:tcPr>
          <w:p w14:paraId="43393F0F" w14:textId="77777777" w:rsidR="0075791A" w:rsidRDefault="00FB2864">
            <w:pPr>
              <w:jc w:val="center"/>
              <w:rPr>
                <w:rFonts w:ascii="Times New Roman" w:hAnsi="Times New Roman"/>
                <w:color w:val="auto"/>
                <w:lang w:bidi="ar"/>
              </w:rPr>
            </w:pPr>
            <w:r>
              <w:rPr>
                <w:rFonts w:ascii="Times New Roman" w:hAnsi="Times New Roman"/>
                <w:color w:val="auto"/>
                <w:lang w:bidi="ar"/>
              </w:rPr>
              <w:t>2.3</w:t>
            </w:r>
          </w:p>
        </w:tc>
        <w:tc>
          <w:tcPr>
            <w:tcW w:w="555" w:type="dxa"/>
            <w:tcMar>
              <w:top w:w="0" w:type="dxa"/>
              <w:left w:w="57" w:type="dxa"/>
              <w:bottom w:w="0" w:type="dxa"/>
              <w:right w:w="57" w:type="dxa"/>
            </w:tcMar>
            <w:vAlign w:val="center"/>
          </w:tcPr>
          <w:p w14:paraId="0634FE9D" w14:textId="77777777" w:rsidR="0075791A" w:rsidRDefault="00FB2864">
            <w:pPr>
              <w:jc w:val="center"/>
              <w:rPr>
                <w:rFonts w:ascii="Times New Roman" w:hAnsi="Times New Roman"/>
                <w:color w:val="auto"/>
                <w:lang w:bidi="ar"/>
              </w:rPr>
            </w:pPr>
            <w:r>
              <w:rPr>
                <w:rFonts w:ascii="Times New Roman" w:hAnsi="Times New Roman"/>
                <w:color w:val="auto"/>
                <w:lang w:bidi="ar"/>
              </w:rPr>
              <w:t>2.2</w:t>
            </w:r>
          </w:p>
        </w:tc>
        <w:tc>
          <w:tcPr>
            <w:tcW w:w="585" w:type="dxa"/>
            <w:tcMar>
              <w:top w:w="0" w:type="dxa"/>
              <w:left w:w="57" w:type="dxa"/>
              <w:bottom w:w="0" w:type="dxa"/>
              <w:right w:w="57" w:type="dxa"/>
            </w:tcMar>
            <w:vAlign w:val="center"/>
          </w:tcPr>
          <w:p w14:paraId="3A18908C" w14:textId="77777777" w:rsidR="0075791A" w:rsidRDefault="00FB2864">
            <w:pPr>
              <w:jc w:val="center"/>
              <w:rPr>
                <w:rFonts w:ascii="Times New Roman" w:hAnsi="Times New Roman"/>
                <w:color w:val="auto"/>
                <w:lang w:bidi="ar"/>
              </w:rPr>
            </w:pPr>
            <w:r>
              <w:rPr>
                <w:rFonts w:ascii="Times New Roman" w:hAnsi="Times New Roman"/>
                <w:color w:val="auto"/>
                <w:lang w:bidi="ar"/>
              </w:rPr>
              <w:t>2.2</w:t>
            </w:r>
          </w:p>
        </w:tc>
        <w:tc>
          <w:tcPr>
            <w:tcW w:w="585" w:type="dxa"/>
            <w:tcMar>
              <w:top w:w="0" w:type="dxa"/>
              <w:left w:w="57" w:type="dxa"/>
              <w:bottom w:w="0" w:type="dxa"/>
              <w:right w:w="57" w:type="dxa"/>
            </w:tcMar>
            <w:vAlign w:val="center"/>
          </w:tcPr>
          <w:p w14:paraId="5B6E1796" w14:textId="77777777" w:rsidR="0075791A" w:rsidRDefault="00FB2864">
            <w:pPr>
              <w:jc w:val="center"/>
              <w:rPr>
                <w:rFonts w:ascii="Times New Roman" w:hAnsi="Times New Roman"/>
                <w:color w:val="auto"/>
                <w:lang w:bidi="ar"/>
              </w:rPr>
            </w:pPr>
            <w:r>
              <w:rPr>
                <w:rFonts w:ascii="Times New Roman" w:hAnsi="Times New Roman"/>
                <w:color w:val="auto"/>
                <w:lang w:bidi="ar"/>
              </w:rPr>
              <w:t>2.1</w:t>
            </w:r>
          </w:p>
        </w:tc>
        <w:tc>
          <w:tcPr>
            <w:tcW w:w="585" w:type="dxa"/>
            <w:tcMar>
              <w:top w:w="0" w:type="dxa"/>
              <w:left w:w="57" w:type="dxa"/>
              <w:bottom w:w="0" w:type="dxa"/>
              <w:right w:w="57" w:type="dxa"/>
            </w:tcMar>
            <w:vAlign w:val="center"/>
          </w:tcPr>
          <w:p w14:paraId="298BAF55" w14:textId="77777777" w:rsidR="0075791A" w:rsidRDefault="00FB2864">
            <w:pPr>
              <w:jc w:val="center"/>
              <w:rPr>
                <w:rFonts w:ascii="Times New Roman" w:hAnsi="Times New Roman"/>
                <w:color w:val="auto"/>
                <w:lang w:bidi="ar"/>
              </w:rPr>
            </w:pPr>
            <w:r>
              <w:rPr>
                <w:rFonts w:ascii="Times New Roman" w:hAnsi="Times New Roman"/>
                <w:color w:val="auto"/>
                <w:lang w:bidi="ar"/>
              </w:rPr>
              <w:t>2.3</w:t>
            </w:r>
          </w:p>
        </w:tc>
        <w:tc>
          <w:tcPr>
            <w:tcW w:w="570" w:type="dxa"/>
            <w:tcMar>
              <w:top w:w="0" w:type="dxa"/>
              <w:left w:w="57" w:type="dxa"/>
              <w:bottom w:w="0" w:type="dxa"/>
              <w:right w:w="57" w:type="dxa"/>
            </w:tcMar>
            <w:vAlign w:val="center"/>
          </w:tcPr>
          <w:p w14:paraId="6ED2218C" w14:textId="77777777" w:rsidR="0075791A" w:rsidRDefault="00FB2864">
            <w:pPr>
              <w:jc w:val="center"/>
              <w:rPr>
                <w:rFonts w:ascii="Times New Roman" w:hAnsi="Times New Roman"/>
                <w:color w:val="auto"/>
                <w:lang w:bidi="ar"/>
              </w:rPr>
            </w:pPr>
            <w:r>
              <w:rPr>
                <w:rFonts w:ascii="Times New Roman" w:hAnsi="Times New Roman"/>
                <w:color w:val="auto"/>
                <w:lang w:bidi="ar"/>
              </w:rPr>
              <w:t>2.9</w:t>
            </w:r>
          </w:p>
        </w:tc>
        <w:tc>
          <w:tcPr>
            <w:tcW w:w="600" w:type="dxa"/>
            <w:tcMar>
              <w:top w:w="0" w:type="dxa"/>
              <w:left w:w="57" w:type="dxa"/>
              <w:bottom w:w="0" w:type="dxa"/>
              <w:right w:w="57" w:type="dxa"/>
            </w:tcMar>
            <w:vAlign w:val="center"/>
          </w:tcPr>
          <w:p w14:paraId="0E5DF79E" w14:textId="77777777" w:rsidR="0075791A" w:rsidRDefault="00FB2864">
            <w:pPr>
              <w:jc w:val="center"/>
              <w:rPr>
                <w:rFonts w:ascii="Times New Roman" w:hAnsi="Times New Roman"/>
                <w:color w:val="auto"/>
                <w:lang w:bidi="ar"/>
              </w:rPr>
            </w:pPr>
            <w:r>
              <w:rPr>
                <w:rFonts w:ascii="Times New Roman" w:hAnsi="Times New Roman"/>
                <w:color w:val="auto"/>
                <w:lang w:bidi="ar"/>
              </w:rPr>
              <w:t>2.9</w:t>
            </w:r>
          </w:p>
        </w:tc>
        <w:tc>
          <w:tcPr>
            <w:tcW w:w="587" w:type="dxa"/>
            <w:tcMar>
              <w:top w:w="0" w:type="dxa"/>
              <w:left w:w="57" w:type="dxa"/>
              <w:bottom w:w="0" w:type="dxa"/>
              <w:right w:w="57" w:type="dxa"/>
            </w:tcMar>
            <w:vAlign w:val="center"/>
          </w:tcPr>
          <w:p w14:paraId="45F11056" w14:textId="77777777" w:rsidR="0075791A" w:rsidRDefault="00FB2864">
            <w:pPr>
              <w:jc w:val="center"/>
              <w:rPr>
                <w:rFonts w:ascii="Times New Roman" w:hAnsi="Times New Roman"/>
                <w:color w:val="auto"/>
                <w:lang w:bidi="ar"/>
              </w:rPr>
            </w:pPr>
            <w:r>
              <w:rPr>
                <w:rFonts w:ascii="Times New Roman" w:hAnsi="Times New Roman"/>
                <w:color w:val="auto"/>
                <w:lang w:bidi="ar"/>
              </w:rPr>
              <w:t>2.8</w:t>
            </w:r>
          </w:p>
        </w:tc>
        <w:tc>
          <w:tcPr>
            <w:tcW w:w="651" w:type="dxa"/>
            <w:tcMar>
              <w:top w:w="0" w:type="dxa"/>
              <w:left w:w="57" w:type="dxa"/>
              <w:bottom w:w="0" w:type="dxa"/>
              <w:right w:w="57" w:type="dxa"/>
            </w:tcMar>
            <w:vAlign w:val="center"/>
          </w:tcPr>
          <w:p w14:paraId="4C0C85F6" w14:textId="77777777" w:rsidR="0075791A" w:rsidRDefault="00FB2864">
            <w:pPr>
              <w:jc w:val="center"/>
              <w:rPr>
                <w:rFonts w:ascii="Times New Roman" w:hAnsi="Times New Roman"/>
                <w:color w:val="auto"/>
                <w:lang w:bidi="ar"/>
              </w:rPr>
            </w:pPr>
            <w:r>
              <w:rPr>
                <w:rFonts w:ascii="Times New Roman" w:hAnsi="Times New Roman"/>
                <w:color w:val="auto"/>
                <w:lang w:bidi="ar"/>
              </w:rPr>
              <w:t>2.5</w:t>
            </w:r>
          </w:p>
        </w:tc>
      </w:tr>
    </w:tbl>
    <w:p w14:paraId="0F6187C1" w14:textId="77777777" w:rsidR="0075791A" w:rsidRDefault="0075791A">
      <w:pPr>
        <w:rPr>
          <w:rFonts w:ascii="Times New Roman" w:hAnsi="Times New Roman"/>
          <w:color w:val="auto"/>
        </w:rPr>
      </w:pPr>
    </w:p>
    <w:p w14:paraId="2BA1A1C0"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bookmarkStart w:id="130" w:name="_Toc24584"/>
      <w:bookmarkStart w:id="131" w:name="_Toc4154"/>
      <w:bookmarkStart w:id="132" w:name="_Toc2472"/>
      <w:bookmarkStart w:id="133" w:name="_Toc22883"/>
      <w:bookmarkStart w:id="134" w:name="_Toc29799"/>
      <w:bookmarkStart w:id="135" w:name="_Toc28599"/>
      <w:bookmarkStart w:id="136" w:name="_Toc26421"/>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）相对湿度</w:t>
      </w:r>
      <w:bookmarkEnd w:id="130"/>
      <w:bookmarkEnd w:id="131"/>
      <w:bookmarkEnd w:id="132"/>
      <w:bookmarkEnd w:id="133"/>
      <w:bookmarkEnd w:id="134"/>
      <w:bookmarkEnd w:id="135"/>
      <w:bookmarkEnd w:id="136"/>
    </w:p>
    <w:p w14:paraId="72C703C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区域年平均相对湿度</w:t>
      </w:r>
      <w:r>
        <w:rPr>
          <w:rFonts w:ascii="Times New Roman" w:eastAsia="宋体" w:hAnsi="Times New Roman" w:cs="宋体" w:hint="eastAsia"/>
          <w:color w:val="auto"/>
          <w:spacing w:val="-2"/>
          <w:sz w:val="24"/>
          <w:szCs w:val="24"/>
          <w:lang w:eastAsia="zh-CN"/>
        </w:rPr>
        <w:t>78%</w:t>
      </w:r>
      <w:r>
        <w:rPr>
          <w:rFonts w:ascii="Times New Roman" w:eastAsia="宋体" w:hAnsi="Times New Roman" w:cs="宋体" w:hint="eastAsia"/>
          <w:color w:val="auto"/>
          <w:spacing w:val="-2"/>
          <w:sz w:val="24"/>
          <w:szCs w:val="24"/>
          <w:lang w:eastAsia="zh-CN"/>
        </w:rPr>
        <w:t>，全年各月相对湿度变化不大，其中</w:t>
      </w:r>
      <w:r>
        <w:rPr>
          <w:rFonts w:ascii="Times New Roman" w:eastAsia="宋体" w:hAnsi="Times New Roman" w:cs="宋体" w:hint="eastAsia"/>
          <w:color w:val="auto"/>
          <w:spacing w:val="-2"/>
          <w:sz w:val="24"/>
          <w:szCs w:val="24"/>
          <w:lang w:eastAsia="zh-CN"/>
        </w:rPr>
        <w:t>8</w:t>
      </w:r>
      <w:r>
        <w:rPr>
          <w:rFonts w:ascii="Times New Roman" w:eastAsia="宋体" w:hAnsi="Times New Roman" w:cs="宋体" w:hint="eastAsia"/>
          <w:color w:val="auto"/>
          <w:spacing w:val="-2"/>
          <w:sz w:val="24"/>
          <w:szCs w:val="24"/>
          <w:lang w:eastAsia="zh-CN"/>
        </w:rPr>
        <w:t>月份湿度最大，为</w:t>
      </w:r>
      <w:r>
        <w:rPr>
          <w:rFonts w:ascii="Times New Roman" w:eastAsia="宋体" w:hAnsi="Times New Roman" w:cs="宋体" w:hint="eastAsia"/>
          <w:color w:val="auto"/>
          <w:spacing w:val="-2"/>
          <w:sz w:val="24"/>
          <w:szCs w:val="24"/>
          <w:lang w:eastAsia="zh-CN"/>
        </w:rPr>
        <w:t>84%</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12</w:t>
      </w:r>
      <w:r>
        <w:rPr>
          <w:rFonts w:ascii="Times New Roman" w:eastAsia="宋体" w:hAnsi="Times New Roman" w:cs="宋体" w:hint="eastAsia"/>
          <w:color w:val="auto"/>
          <w:spacing w:val="-2"/>
          <w:sz w:val="24"/>
          <w:szCs w:val="24"/>
          <w:lang w:eastAsia="zh-CN"/>
        </w:rPr>
        <w:t>月份气候相对干燥，但也有</w:t>
      </w:r>
      <w:r>
        <w:rPr>
          <w:rFonts w:ascii="Times New Roman" w:eastAsia="宋体" w:hAnsi="Times New Roman" w:cs="宋体" w:hint="eastAsia"/>
          <w:color w:val="auto"/>
          <w:spacing w:val="-2"/>
          <w:sz w:val="24"/>
          <w:szCs w:val="24"/>
          <w:lang w:eastAsia="zh-CN"/>
        </w:rPr>
        <w:t>70%</w:t>
      </w:r>
      <w:r>
        <w:rPr>
          <w:rFonts w:ascii="Times New Roman" w:eastAsia="宋体" w:hAnsi="Times New Roman" w:cs="宋体" w:hint="eastAsia"/>
          <w:color w:val="auto"/>
          <w:spacing w:val="-2"/>
          <w:sz w:val="24"/>
          <w:szCs w:val="24"/>
          <w:lang w:eastAsia="zh-CN"/>
        </w:rPr>
        <w:t>。逐月平均相对湿度见表</w:t>
      </w:r>
      <w:r>
        <w:rPr>
          <w:rFonts w:ascii="Times New Roman" w:eastAsia="宋体" w:hAnsi="Times New Roman" w:cs="宋体" w:hint="eastAsia"/>
          <w:color w:val="auto"/>
          <w:spacing w:val="-2"/>
          <w:sz w:val="24"/>
          <w:szCs w:val="24"/>
          <w:lang w:eastAsia="zh-CN"/>
        </w:rPr>
        <w:t>3.2.1-5</w:t>
      </w:r>
      <w:r>
        <w:rPr>
          <w:rFonts w:ascii="Times New Roman" w:eastAsia="宋体" w:hAnsi="Times New Roman" w:cs="宋体" w:hint="eastAsia"/>
          <w:color w:val="auto"/>
          <w:spacing w:val="-2"/>
          <w:sz w:val="24"/>
          <w:szCs w:val="24"/>
          <w:lang w:eastAsia="zh-CN"/>
        </w:rPr>
        <w:t>。</w:t>
      </w:r>
    </w:p>
    <w:p w14:paraId="57E92955" w14:textId="77777777" w:rsidR="0075791A" w:rsidRDefault="00FB2864">
      <w:pPr>
        <w:ind w:firstLineChars="200" w:firstLine="480"/>
        <w:jc w:val="center"/>
        <w:rPr>
          <w:rFonts w:ascii="Times New Roman" w:hAnsi="Times New Roman"/>
          <w:color w:val="auto"/>
          <w:sz w:val="24"/>
          <w:szCs w:val="24"/>
          <w:lang w:eastAsia="zh-CN" w:bidi="ar"/>
        </w:rPr>
      </w:pPr>
      <w:r>
        <w:rPr>
          <w:rFonts w:ascii="Times New Roman" w:hAnsi="Times New Roman"/>
          <w:color w:val="auto"/>
          <w:sz w:val="24"/>
          <w:szCs w:val="24"/>
          <w:lang w:eastAsia="zh-CN" w:bidi="ar"/>
        </w:rPr>
        <w:t>表</w:t>
      </w:r>
      <w:r>
        <w:rPr>
          <w:rFonts w:ascii="Times New Roman" w:eastAsia="宋体" w:hAnsi="Times New Roman" w:hint="eastAsia"/>
          <w:color w:val="auto"/>
          <w:sz w:val="24"/>
          <w:szCs w:val="24"/>
          <w:lang w:eastAsia="zh-CN" w:bidi="ar"/>
        </w:rPr>
        <w:t>3.</w:t>
      </w:r>
      <w:r>
        <w:rPr>
          <w:rFonts w:ascii="Times New Roman" w:hAnsi="Times New Roman" w:hint="eastAsia"/>
          <w:color w:val="auto"/>
          <w:sz w:val="24"/>
          <w:szCs w:val="24"/>
          <w:lang w:eastAsia="zh-CN" w:bidi="ar"/>
        </w:rPr>
        <w:t>2.</w:t>
      </w:r>
      <w:r>
        <w:rPr>
          <w:rFonts w:ascii="Times New Roman" w:hAnsi="Times New Roman"/>
          <w:color w:val="auto"/>
          <w:sz w:val="24"/>
          <w:szCs w:val="24"/>
          <w:lang w:eastAsia="zh-CN" w:bidi="ar"/>
        </w:rPr>
        <w:t>1-5</w:t>
      </w:r>
      <w:r>
        <w:rPr>
          <w:rFonts w:ascii="Times New Roman" w:hAnsi="Times New Roman"/>
          <w:color w:val="auto"/>
          <w:sz w:val="24"/>
          <w:szCs w:val="24"/>
          <w:lang w:eastAsia="zh-CN" w:bidi="ar"/>
        </w:rPr>
        <w:t>各月平均相对湿度（</w:t>
      </w:r>
      <w:r>
        <w:rPr>
          <w:rFonts w:ascii="Times New Roman" w:hAnsi="Times New Roman"/>
          <w:color w:val="auto"/>
          <w:sz w:val="24"/>
          <w:szCs w:val="24"/>
          <w:lang w:eastAsia="zh-CN" w:bidi="ar"/>
        </w:rPr>
        <w:t>%</w:t>
      </w:r>
      <w:r>
        <w:rPr>
          <w:rFonts w:ascii="Times New Roman" w:hAnsi="Times New Roman"/>
          <w:color w:val="auto"/>
          <w:sz w:val="24"/>
          <w:szCs w:val="24"/>
          <w:lang w:eastAsia="zh-CN" w:bidi="ar"/>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8"/>
        <w:gridCol w:w="576"/>
        <w:gridCol w:w="540"/>
        <w:gridCol w:w="442"/>
        <w:gridCol w:w="555"/>
        <w:gridCol w:w="570"/>
        <w:gridCol w:w="555"/>
        <w:gridCol w:w="585"/>
        <w:gridCol w:w="585"/>
        <w:gridCol w:w="585"/>
        <w:gridCol w:w="570"/>
        <w:gridCol w:w="600"/>
        <w:gridCol w:w="570"/>
        <w:gridCol w:w="585"/>
      </w:tblGrid>
      <w:tr w:rsidR="0075791A" w14:paraId="02425388" w14:textId="77777777">
        <w:trPr>
          <w:trHeight w:val="510"/>
          <w:jc w:val="center"/>
        </w:trPr>
        <w:tc>
          <w:tcPr>
            <w:tcW w:w="728" w:type="dxa"/>
            <w:vAlign w:val="center"/>
          </w:tcPr>
          <w:p w14:paraId="26E390B3"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月份</w:t>
            </w:r>
          </w:p>
        </w:tc>
        <w:tc>
          <w:tcPr>
            <w:tcW w:w="576" w:type="dxa"/>
            <w:vAlign w:val="center"/>
          </w:tcPr>
          <w:p w14:paraId="0332EF4F"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1</w:t>
            </w:r>
          </w:p>
        </w:tc>
        <w:tc>
          <w:tcPr>
            <w:tcW w:w="540" w:type="dxa"/>
            <w:vAlign w:val="center"/>
          </w:tcPr>
          <w:p w14:paraId="541359BA"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2</w:t>
            </w:r>
          </w:p>
        </w:tc>
        <w:tc>
          <w:tcPr>
            <w:tcW w:w="442" w:type="dxa"/>
            <w:vAlign w:val="center"/>
          </w:tcPr>
          <w:p w14:paraId="05661EFA"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3</w:t>
            </w:r>
          </w:p>
        </w:tc>
        <w:tc>
          <w:tcPr>
            <w:tcW w:w="555" w:type="dxa"/>
            <w:vAlign w:val="center"/>
          </w:tcPr>
          <w:p w14:paraId="39BEFE3D"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4</w:t>
            </w:r>
          </w:p>
        </w:tc>
        <w:tc>
          <w:tcPr>
            <w:tcW w:w="570" w:type="dxa"/>
            <w:vAlign w:val="center"/>
          </w:tcPr>
          <w:p w14:paraId="6F2C4472"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5</w:t>
            </w:r>
          </w:p>
        </w:tc>
        <w:tc>
          <w:tcPr>
            <w:tcW w:w="555" w:type="dxa"/>
            <w:vAlign w:val="center"/>
          </w:tcPr>
          <w:p w14:paraId="104AC4E6"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6</w:t>
            </w:r>
          </w:p>
        </w:tc>
        <w:tc>
          <w:tcPr>
            <w:tcW w:w="585" w:type="dxa"/>
            <w:vAlign w:val="center"/>
          </w:tcPr>
          <w:p w14:paraId="1F706C38"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7</w:t>
            </w:r>
          </w:p>
        </w:tc>
        <w:tc>
          <w:tcPr>
            <w:tcW w:w="585" w:type="dxa"/>
            <w:vAlign w:val="center"/>
          </w:tcPr>
          <w:p w14:paraId="36F470D1"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8</w:t>
            </w:r>
          </w:p>
        </w:tc>
        <w:tc>
          <w:tcPr>
            <w:tcW w:w="585" w:type="dxa"/>
            <w:vAlign w:val="center"/>
          </w:tcPr>
          <w:p w14:paraId="5A98DEE9"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9</w:t>
            </w:r>
          </w:p>
        </w:tc>
        <w:tc>
          <w:tcPr>
            <w:tcW w:w="570" w:type="dxa"/>
            <w:vAlign w:val="center"/>
          </w:tcPr>
          <w:p w14:paraId="35AC7A72"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10</w:t>
            </w:r>
          </w:p>
        </w:tc>
        <w:tc>
          <w:tcPr>
            <w:tcW w:w="600" w:type="dxa"/>
            <w:vAlign w:val="center"/>
          </w:tcPr>
          <w:p w14:paraId="34E22D2C"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11</w:t>
            </w:r>
          </w:p>
        </w:tc>
        <w:tc>
          <w:tcPr>
            <w:tcW w:w="570" w:type="dxa"/>
            <w:vAlign w:val="center"/>
          </w:tcPr>
          <w:p w14:paraId="63EBCEF1"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12</w:t>
            </w:r>
          </w:p>
        </w:tc>
        <w:tc>
          <w:tcPr>
            <w:tcW w:w="585" w:type="dxa"/>
            <w:vAlign w:val="center"/>
          </w:tcPr>
          <w:p w14:paraId="686EEB36"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全年</w:t>
            </w:r>
          </w:p>
        </w:tc>
      </w:tr>
      <w:tr w:rsidR="0075791A" w14:paraId="1559038F" w14:textId="77777777">
        <w:trPr>
          <w:trHeight w:val="510"/>
          <w:jc w:val="center"/>
        </w:trPr>
        <w:tc>
          <w:tcPr>
            <w:tcW w:w="728" w:type="dxa"/>
            <w:vAlign w:val="center"/>
          </w:tcPr>
          <w:p w14:paraId="458B44E0"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相对湿度</w:t>
            </w:r>
          </w:p>
        </w:tc>
        <w:tc>
          <w:tcPr>
            <w:tcW w:w="576" w:type="dxa"/>
            <w:vAlign w:val="center"/>
          </w:tcPr>
          <w:p w14:paraId="0ADE0F43"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74</w:t>
            </w:r>
          </w:p>
        </w:tc>
        <w:tc>
          <w:tcPr>
            <w:tcW w:w="540" w:type="dxa"/>
            <w:vAlign w:val="center"/>
          </w:tcPr>
          <w:p w14:paraId="03FC2535"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76</w:t>
            </w:r>
          </w:p>
        </w:tc>
        <w:tc>
          <w:tcPr>
            <w:tcW w:w="442" w:type="dxa"/>
            <w:vAlign w:val="center"/>
          </w:tcPr>
          <w:p w14:paraId="7B2C07A4"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78</w:t>
            </w:r>
          </w:p>
        </w:tc>
        <w:tc>
          <w:tcPr>
            <w:tcW w:w="555" w:type="dxa"/>
            <w:vAlign w:val="center"/>
          </w:tcPr>
          <w:p w14:paraId="632E10EB"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79</w:t>
            </w:r>
          </w:p>
        </w:tc>
        <w:tc>
          <w:tcPr>
            <w:tcW w:w="570" w:type="dxa"/>
            <w:vAlign w:val="center"/>
          </w:tcPr>
          <w:p w14:paraId="794BE866"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80</w:t>
            </w:r>
          </w:p>
        </w:tc>
        <w:tc>
          <w:tcPr>
            <w:tcW w:w="555" w:type="dxa"/>
            <w:vAlign w:val="center"/>
          </w:tcPr>
          <w:p w14:paraId="701F99DF"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82</w:t>
            </w:r>
          </w:p>
        </w:tc>
        <w:tc>
          <w:tcPr>
            <w:tcW w:w="585" w:type="dxa"/>
            <w:vAlign w:val="center"/>
          </w:tcPr>
          <w:p w14:paraId="075EF3EE"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83</w:t>
            </w:r>
          </w:p>
        </w:tc>
        <w:tc>
          <w:tcPr>
            <w:tcW w:w="585" w:type="dxa"/>
            <w:vAlign w:val="center"/>
          </w:tcPr>
          <w:p w14:paraId="60C0A4EF"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84</w:t>
            </w:r>
          </w:p>
        </w:tc>
        <w:tc>
          <w:tcPr>
            <w:tcW w:w="585" w:type="dxa"/>
            <w:vAlign w:val="center"/>
          </w:tcPr>
          <w:p w14:paraId="59845CDC"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83</w:t>
            </w:r>
          </w:p>
        </w:tc>
        <w:tc>
          <w:tcPr>
            <w:tcW w:w="570" w:type="dxa"/>
            <w:vAlign w:val="center"/>
          </w:tcPr>
          <w:p w14:paraId="45EB3D50"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78</w:t>
            </w:r>
          </w:p>
        </w:tc>
        <w:tc>
          <w:tcPr>
            <w:tcW w:w="600" w:type="dxa"/>
            <w:vAlign w:val="center"/>
          </w:tcPr>
          <w:p w14:paraId="6C9BF449"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72</w:t>
            </w:r>
          </w:p>
        </w:tc>
        <w:tc>
          <w:tcPr>
            <w:tcW w:w="570" w:type="dxa"/>
            <w:vAlign w:val="center"/>
          </w:tcPr>
          <w:p w14:paraId="35F786A3"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70</w:t>
            </w:r>
          </w:p>
        </w:tc>
        <w:tc>
          <w:tcPr>
            <w:tcW w:w="585" w:type="dxa"/>
            <w:vAlign w:val="center"/>
          </w:tcPr>
          <w:p w14:paraId="73F4E744"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78</w:t>
            </w:r>
          </w:p>
        </w:tc>
      </w:tr>
    </w:tbl>
    <w:p w14:paraId="12EA2F23" w14:textId="77777777" w:rsidR="0075791A" w:rsidRDefault="0075791A">
      <w:pPr>
        <w:rPr>
          <w:rFonts w:ascii="Times New Roman" w:hAnsi="Times New Roman"/>
          <w:b/>
          <w:bCs/>
          <w:color w:val="auto"/>
          <w:sz w:val="28"/>
          <w:szCs w:val="28"/>
        </w:rPr>
      </w:pPr>
      <w:bookmarkStart w:id="137" w:name="_Toc1649"/>
      <w:bookmarkStart w:id="138" w:name="_Toc21819"/>
      <w:bookmarkStart w:id="139" w:name="_Toc4261"/>
      <w:bookmarkStart w:id="140" w:name="_Toc30887"/>
      <w:bookmarkStart w:id="141" w:name="_Toc9088"/>
      <w:bookmarkStart w:id="142" w:name="_Toc20433"/>
      <w:bookmarkStart w:id="143" w:name="_Toc3911"/>
    </w:p>
    <w:bookmarkEnd w:id="137"/>
    <w:bookmarkEnd w:id="138"/>
    <w:bookmarkEnd w:id="139"/>
    <w:bookmarkEnd w:id="140"/>
    <w:bookmarkEnd w:id="141"/>
    <w:bookmarkEnd w:id="142"/>
    <w:bookmarkEnd w:id="143"/>
    <w:p w14:paraId="3D1F0F4E"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2.2009-2019</w:t>
      </w:r>
      <w:r>
        <w:rPr>
          <w:rFonts w:ascii="Times New Roman" w:eastAsia="宋体" w:hAnsi="Times New Roman" w:cs="宋体" w:hint="eastAsia"/>
          <w:color w:val="auto"/>
          <w:spacing w:val="-2"/>
          <w:sz w:val="24"/>
          <w:szCs w:val="24"/>
          <w:lang w:eastAsia="zh-CN"/>
        </w:rPr>
        <w:t>年气象资料</w:t>
      </w:r>
    </w:p>
    <w:p w14:paraId="6B9B0903"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bookmarkStart w:id="144" w:name="_Toc25405"/>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）气温</w:t>
      </w:r>
    </w:p>
    <w:p w14:paraId="35B5A496"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气温年平均气温为</w:t>
      </w:r>
      <w:r>
        <w:rPr>
          <w:rFonts w:ascii="Times New Roman" w:eastAsia="宋体" w:hAnsi="Times New Roman" w:cs="宋体" w:hint="eastAsia"/>
          <w:color w:val="auto"/>
          <w:spacing w:val="-2"/>
          <w:sz w:val="24"/>
          <w:szCs w:val="24"/>
          <w:lang w:eastAsia="zh-CN"/>
        </w:rPr>
        <w:t>23.0</w:t>
      </w:r>
      <w:r>
        <w:rPr>
          <w:rFonts w:ascii="Times New Roman" w:eastAsia="宋体" w:hAnsi="Times New Roman" w:cs="宋体" w:hint="eastAsia"/>
          <w:color w:val="auto"/>
          <w:spacing w:val="-2"/>
          <w:sz w:val="24"/>
          <w:szCs w:val="24"/>
          <w:lang w:eastAsia="zh-CN"/>
        </w:rPr>
        <w:t>℃，各月平均气温都在</w:t>
      </w:r>
      <w:r>
        <w:rPr>
          <w:rFonts w:ascii="Times New Roman" w:eastAsia="宋体" w:hAnsi="Times New Roman" w:cs="宋体" w:hint="eastAsia"/>
          <w:color w:val="auto"/>
          <w:spacing w:val="-2"/>
          <w:sz w:val="24"/>
          <w:szCs w:val="24"/>
          <w:lang w:eastAsia="zh-CN"/>
        </w:rPr>
        <w:t>18</w:t>
      </w:r>
      <w:r>
        <w:rPr>
          <w:rFonts w:ascii="Times New Roman" w:eastAsia="宋体" w:hAnsi="Times New Roman" w:cs="宋体" w:hint="eastAsia"/>
          <w:color w:val="auto"/>
          <w:spacing w:val="-2"/>
          <w:sz w:val="24"/>
          <w:szCs w:val="24"/>
          <w:lang w:eastAsia="zh-CN"/>
        </w:rPr>
        <w:t>℃以上，</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9</w:t>
      </w:r>
      <w:r>
        <w:rPr>
          <w:rFonts w:ascii="Times New Roman" w:eastAsia="宋体" w:hAnsi="Times New Roman" w:cs="宋体" w:hint="eastAsia"/>
          <w:color w:val="auto"/>
          <w:spacing w:val="-2"/>
          <w:sz w:val="24"/>
          <w:szCs w:val="24"/>
          <w:lang w:eastAsia="zh-CN"/>
        </w:rPr>
        <w:t>月份较高，平均均气温均达到</w:t>
      </w:r>
      <w:r>
        <w:rPr>
          <w:rFonts w:ascii="Times New Roman" w:eastAsia="宋体" w:hAnsi="Times New Roman" w:cs="宋体" w:hint="eastAsia"/>
          <w:color w:val="auto"/>
          <w:spacing w:val="-2"/>
          <w:sz w:val="24"/>
          <w:szCs w:val="24"/>
          <w:lang w:eastAsia="zh-CN"/>
        </w:rPr>
        <w:t>25</w:t>
      </w:r>
      <w:r>
        <w:rPr>
          <w:rFonts w:ascii="Times New Roman" w:eastAsia="宋体" w:hAnsi="Times New Roman" w:cs="宋体" w:hint="eastAsia"/>
          <w:color w:val="auto"/>
          <w:spacing w:val="-2"/>
          <w:sz w:val="24"/>
          <w:szCs w:val="24"/>
          <w:lang w:eastAsia="zh-CN"/>
        </w:rPr>
        <w:t>℃以上，</w:t>
      </w:r>
      <w:r>
        <w:rPr>
          <w:rFonts w:ascii="Times New Roman" w:eastAsia="宋体" w:hAnsi="Times New Roman" w:cs="宋体" w:hint="eastAsia"/>
          <w:color w:val="auto"/>
          <w:spacing w:val="-2"/>
          <w:sz w:val="24"/>
          <w:szCs w:val="24"/>
          <w:lang w:eastAsia="zh-CN"/>
        </w:rPr>
        <w:t>12</w:t>
      </w:r>
      <w:r>
        <w:rPr>
          <w:rFonts w:ascii="Times New Roman" w:eastAsia="宋体" w:hAnsi="Times New Roman" w:cs="宋体" w:hint="eastAsia"/>
          <w:color w:val="auto"/>
          <w:spacing w:val="-2"/>
          <w:sz w:val="24"/>
          <w:szCs w:val="24"/>
          <w:lang w:eastAsia="zh-CN"/>
        </w:rPr>
        <w:t>月至翌年</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月份较低，均不到</w:t>
      </w:r>
      <w:r>
        <w:rPr>
          <w:rFonts w:ascii="Times New Roman" w:eastAsia="宋体" w:hAnsi="Times New Roman" w:cs="宋体" w:hint="eastAsia"/>
          <w:color w:val="auto"/>
          <w:spacing w:val="-2"/>
          <w:sz w:val="24"/>
          <w:szCs w:val="24"/>
          <w:lang w:eastAsia="zh-CN"/>
        </w:rPr>
        <w:t>20.0</w:t>
      </w:r>
      <w:r>
        <w:rPr>
          <w:rFonts w:ascii="Times New Roman" w:eastAsia="宋体" w:hAnsi="Times New Roman" w:cs="宋体" w:hint="eastAsia"/>
          <w:color w:val="auto"/>
          <w:spacing w:val="-2"/>
          <w:sz w:val="24"/>
          <w:szCs w:val="24"/>
          <w:lang w:eastAsia="zh-CN"/>
        </w:rPr>
        <w:t>℃。本区极端最高气温为</w:t>
      </w:r>
      <w:r>
        <w:rPr>
          <w:rFonts w:ascii="Times New Roman" w:eastAsia="宋体" w:hAnsi="Times New Roman" w:cs="宋体" w:hint="eastAsia"/>
          <w:color w:val="auto"/>
          <w:spacing w:val="-2"/>
          <w:sz w:val="24"/>
          <w:szCs w:val="24"/>
          <w:lang w:eastAsia="zh-CN"/>
        </w:rPr>
        <w:t>33.3</w:t>
      </w:r>
      <w:r>
        <w:rPr>
          <w:rFonts w:ascii="Times New Roman" w:eastAsia="宋体" w:hAnsi="Times New Roman" w:cs="宋体" w:hint="eastAsia"/>
          <w:color w:val="auto"/>
          <w:spacing w:val="-2"/>
          <w:sz w:val="24"/>
          <w:szCs w:val="24"/>
          <w:lang w:eastAsia="zh-CN"/>
        </w:rPr>
        <w:t>℃，极端最低气温为</w:t>
      </w:r>
      <w:r>
        <w:rPr>
          <w:rFonts w:ascii="Times New Roman" w:eastAsia="宋体" w:hAnsi="Times New Roman" w:cs="宋体" w:hint="eastAsia"/>
          <w:color w:val="auto"/>
          <w:spacing w:val="-2"/>
          <w:sz w:val="24"/>
          <w:szCs w:val="24"/>
          <w:lang w:eastAsia="zh-CN"/>
        </w:rPr>
        <w:t>5.6</w:t>
      </w:r>
      <w:r>
        <w:rPr>
          <w:rFonts w:ascii="Times New Roman" w:eastAsia="宋体" w:hAnsi="Times New Roman" w:cs="宋体" w:hint="eastAsia"/>
          <w:color w:val="auto"/>
          <w:spacing w:val="-2"/>
          <w:sz w:val="24"/>
          <w:szCs w:val="24"/>
          <w:lang w:eastAsia="zh-CN"/>
        </w:rPr>
        <w:t>℃。各月平均气温分布见表</w:t>
      </w:r>
      <w:r>
        <w:rPr>
          <w:rFonts w:ascii="Times New Roman" w:eastAsia="宋体" w:hAnsi="Times New Roman" w:cs="宋体" w:hint="eastAsia"/>
          <w:color w:val="auto"/>
          <w:spacing w:val="-2"/>
          <w:sz w:val="24"/>
          <w:szCs w:val="24"/>
          <w:lang w:eastAsia="zh-CN"/>
        </w:rPr>
        <w:t>3.2.1-6</w:t>
      </w:r>
      <w:r>
        <w:rPr>
          <w:rFonts w:ascii="Times New Roman" w:eastAsia="宋体" w:hAnsi="Times New Roman" w:cs="宋体" w:hint="eastAsia"/>
          <w:color w:val="auto"/>
          <w:spacing w:val="-2"/>
          <w:sz w:val="24"/>
          <w:szCs w:val="24"/>
          <w:lang w:eastAsia="zh-CN"/>
        </w:rPr>
        <w:t>。</w:t>
      </w:r>
    </w:p>
    <w:p w14:paraId="1477E8EF" w14:textId="77777777" w:rsidR="0075791A" w:rsidRDefault="00FB2864">
      <w:pPr>
        <w:ind w:firstLineChars="200" w:firstLine="480"/>
        <w:jc w:val="center"/>
        <w:rPr>
          <w:rFonts w:ascii="Times New Roman" w:hAnsi="Times New Roman"/>
          <w:color w:val="auto"/>
          <w:sz w:val="24"/>
          <w:szCs w:val="24"/>
          <w:lang w:eastAsia="zh-CN" w:bidi="ar"/>
        </w:rPr>
      </w:pPr>
      <w:r>
        <w:rPr>
          <w:rFonts w:ascii="Times New Roman" w:hAnsi="Times New Roman"/>
          <w:color w:val="auto"/>
          <w:sz w:val="24"/>
          <w:szCs w:val="24"/>
          <w:lang w:eastAsia="zh-CN" w:bidi="ar"/>
        </w:rPr>
        <w:t>表</w:t>
      </w:r>
      <w:r>
        <w:rPr>
          <w:rFonts w:ascii="Times New Roman" w:eastAsia="宋体" w:hAnsi="Times New Roman" w:hint="eastAsia"/>
          <w:color w:val="auto"/>
          <w:sz w:val="24"/>
          <w:szCs w:val="24"/>
          <w:lang w:eastAsia="zh-CN" w:bidi="ar"/>
        </w:rPr>
        <w:t>3.</w:t>
      </w:r>
      <w:r>
        <w:rPr>
          <w:rFonts w:ascii="Times New Roman" w:hAnsi="Times New Roman" w:hint="eastAsia"/>
          <w:color w:val="auto"/>
          <w:sz w:val="24"/>
          <w:szCs w:val="24"/>
          <w:lang w:eastAsia="zh-CN" w:bidi="ar"/>
        </w:rPr>
        <w:t>2.</w:t>
      </w:r>
      <w:r>
        <w:rPr>
          <w:rFonts w:ascii="Times New Roman" w:hAnsi="Times New Roman"/>
          <w:color w:val="auto"/>
          <w:sz w:val="24"/>
          <w:szCs w:val="24"/>
          <w:lang w:eastAsia="zh-CN" w:bidi="ar"/>
        </w:rPr>
        <w:t>1-</w:t>
      </w:r>
      <w:r>
        <w:rPr>
          <w:rFonts w:ascii="Times New Roman" w:hAnsi="Times New Roman" w:hint="eastAsia"/>
          <w:color w:val="auto"/>
          <w:sz w:val="24"/>
          <w:szCs w:val="24"/>
          <w:lang w:eastAsia="zh-CN" w:bidi="ar"/>
        </w:rPr>
        <w:t>6</w:t>
      </w:r>
      <w:r>
        <w:rPr>
          <w:rFonts w:ascii="Times New Roman" w:hAnsi="Times New Roman"/>
          <w:color w:val="auto"/>
          <w:sz w:val="24"/>
          <w:szCs w:val="24"/>
          <w:lang w:eastAsia="zh-CN" w:bidi="ar"/>
        </w:rPr>
        <w:t>各月平均气温（单位：</w:t>
      </w:r>
      <w:r>
        <w:rPr>
          <w:rFonts w:ascii="Times New Roman" w:hAnsi="Times New Roman"/>
          <w:color w:val="auto"/>
          <w:sz w:val="24"/>
          <w:szCs w:val="24"/>
          <w:lang w:eastAsia="zh-CN" w:bidi="ar"/>
        </w:rPr>
        <w:t>℃</w:t>
      </w:r>
      <w:r>
        <w:rPr>
          <w:rFonts w:ascii="Times New Roman" w:hAnsi="Times New Roman"/>
          <w:color w:val="auto"/>
          <w:sz w:val="24"/>
          <w:szCs w:val="24"/>
          <w:lang w:eastAsia="zh-CN" w:bidi="ar"/>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49"/>
        <w:gridCol w:w="585"/>
        <w:gridCol w:w="555"/>
        <w:gridCol w:w="555"/>
        <w:gridCol w:w="570"/>
        <w:gridCol w:w="555"/>
        <w:gridCol w:w="585"/>
        <w:gridCol w:w="585"/>
        <w:gridCol w:w="585"/>
        <w:gridCol w:w="570"/>
        <w:gridCol w:w="600"/>
        <w:gridCol w:w="576"/>
        <w:gridCol w:w="579"/>
      </w:tblGrid>
      <w:tr w:rsidR="0075791A" w14:paraId="0EAA150F" w14:textId="77777777">
        <w:trPr>
          <w:trHeight w:val="454"/>
          <w:jc w:val="center"/>
        </w:trPr>
        <w:tc>
          <w:tcPr>
            <w:tcW w:w="709" w:type="dxa"/>
            <w:vAlign w:val="center"/>
          </w:tcPr>
          <w:p w14:paraId="572FD584" w14:textId="77777777" w:rsidR="0075791A" w:rsidRDefault="00FB2864">
            <w:pPr>
              <w:jc w:val="center"/>
              <w:rPr>
                <w:rFonts w:ascii="Times New Roman" w:hAnsi="Times New Roman"/>
                <w:b/>
                <w:bCs/>
                <w:color w:val="auto"/>
                <w:sz w:val="16"/>
                <w:szCs w:val="16"/>
                <w:lang w:bidi="ar"/>
              </w:rPr>
            </w:pPr>
            <w:r>
              <w:rPr>
                <w:rFonts w:ascii="Times New Roman" w:hAnsi="Times New Roman"/>
                <w:b/>
                <w:bCs/>
                <w:color w:val="auto"/>
                <w:sz w:val="16"/>
                <w:szCs w:val="16"/>
                <w:lang w:bidi="ar"/>
              </w:rPr>
              <w:t>月份</w:t>
            </w:r>
          </w:p>
        </w:tc>
        <w:tc>
          <w:tcPr>
            <w:tcW w:w="549" w:type="dxa"/>
            <w:vAlign w:val="center"/>
          </w:tcPr>
          <w:p w14:paraId="611F07BC"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1</w:t>
            </w:r>
          </w:p>
        </w:tc>
        <w:tc>
          <w:tcPr>
            <w:tcW w:w="585" w:type="dxa"/>
            <w:vAlign w:val="center"/>
          </w:tcPr>
          <w:p w14:paraId="7E78AEE1"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2</w:t>
            </w:r>
          </w:p>
        </w:tc>
        <w:tc>
          <w:tcPr>
            <w:tcW w:w="555" w:type="dxa"/>
            <w:vAlign w:val="center"/>
          </w:tcPr>
          <w:p w14:paraId="76D9EA0B"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3</w:t>
            </w:r>
          </w:p>
        </w:tc>
        <w:tc>
          <w:tcPr>
            <w:tcW w:w="555" w:type="dxa"/>
            <w:vAlign w:val="center"/>
          </w:tcPr>
          <w:p w14:paraId="20F48F06"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4</w:t>
            </w:r>
          </w:p>
        </w:tc>
        <w:tc>
          <w:tcPr>
            <w:tcW w:w="570" w:type="dxa"/>
            <w:vAlign w:val="center"/>
          </w:tcPr>
          <w:p w14:paraId="611FA9BA"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5</w:t>
            </w:r>
          </w:p>
        </w:tc>
        <w:tc>
          <w:tcPr>
            <w:tcW w:w="555" w:type="dxa"/>
            <w:vAlign w:val="center"/>
          </w:tcPr>
          <w:p w14:paraId="16BF2887"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6</w:t>
            </w:r>
          </w:p>
        </w:tc>
        <w:tc>
          <w:tcPr>
            <w:tcW w:w="585" w:type="dxa"/>
            <w:vAlign w:val="center"/>
          </w:tcPr>
          <w:p w14:paraId="3E82825C"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7</w:t>
            </w:r>
          </w:p>
        </w:tc>
        <w:tc>
          <w:tcPr>
            <w:tcW w:w="585" w:type="dxa"/>
            <w:vAlign w:val="center"/>
          </w:tcPr>
          <w:p w14:paraId="2FCFC98E"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8</w:t>
            </w:r>
          </w:p>
        </w:tc>
        <w:tc>
          <w:tcPr>
            <w:tcW w:w="585" w:type="dxa"/>
            <w:vAlign w:val="center"/>
          </w:tcPr>
          <w:p w14:paraId="51742706"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9</w:t>
            </w:r>
          </w:p>
        </w:tc>
        <w:tc>
          <w:tcPr>
            <w:tcW w:w="570" w:type="dxa"/>
            <w:vAlign w:val="center"/>
          </w:tcPr>
          <w:p w14:paraId="7009F43B"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10</w:t>
            </w:r>
          </w:p>
        </w:tc>
        <w:tc>
          <w:tcPr>
            <w:tcW w:w="600" w:type="dxa"/>
            <w:vAlign w:val="center"/>
          </w:tcPr>
          <w:p w14:paraId="48EB8095"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11</w:t>
            </w:r>
          </w:p>
        </w:tc>
        <w:tc>
          <w:tcPr>
            <w:tcW w:w="576" w:type="dxa"/>
            <w:vAlign w:val="center"/>
          </w:tcPr>
          <w:p w14:paraId="0DB0A56E"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12</w:t>
            </w:r>
          </w:p>
        </w:tc>
        <w:tc>
          <w:tcPr>
            <w:tcW w:w="579" w:type="dxa"/>
            <w:vAlign w:val="center"/>
          </w:tcPr>
          <w:p w14:paraId="4CC72382" w14:textId="77777777" w:rsidR="0075791A" w:rsidRDefault="00FB2864">
            <w:pPr>
              <w:jc w:val="center"/>
              <w:rPr>
                <w:rFonts w:ascii="Times New Roman" w:hAnsi="Times New Roman"/>
                <w:b/>
                <w:bCs/>
                <w:color w:val="auto"/>
                <w:sz w:val="18"/>
                <w:szCs w:val="18"/>
                <w:lang w:bidi="ar"/>
              </w:rPr>
            </w:pPr>
            <w:r>
              <w:rPr>
                <w:rFonts w:ascii="Times New Roman" w:hAnsi="Times New Roman"/>
                <w:b/>
                <w:bCs/>
                <w:color w:val="auto"/>
                <w:sz w:val="18"/>
                <w:szCs w:val="18"/>
                <w:lang w:bidi="ar"/>
              </w:rPr>
              <w:t>全年</w:t>
            </w:r>
          </w:p>
        </w:tc>
      </w:tr>
      <w:tr w:rsidR="0075791A" w14:paraId="3B504F5A" w14:textId="77777777">
        <w:trPr>
          <w:trHeight w:val="454"/>
          <w:jc w:val="center"/>
        </w:trPr>
        <w:tc>
          <w:tcPr>
            <w:tcW w:w="709" w:type="dxa"/>
            <w:vAlign w:val="center"/>
          </w:tcPr>
          <w:p w14:paraId="2DF6AA54" w14:textId="77777777" w:rsidR="0075791A" w:rsidRDefault="00FB2864">
            <w:pPr>
              <w:jc w:val="center"/>
              <w:rPr>
                <w:rFonts w:ascii="Times New Roman" w:hAnsi="Times New Roman"/>
                <w:color w:val="auto"/>
                <w:sz w:val="16"/>
                <w:szCs w:val="16"/>
                <w:lang w:bidi="ar"/>
              </w:rPr>
            </w:pPr>
            <w:r>
              <w:rPr>
                <w:rFonts w:ascii="Times New Roman" w:hAnsi="Times New Roman"/>
                <w:color w:val="auto"/>
                <w:sz w:val="16"/>
                <w:szCs w:val="16"/>
                <w:lang w:bidi="ar"/>
              </w:rPr>
              <w:t>月平均</w:t>
            </w:r>
          </w:p>
        </w:tc>
        <w:tc>
          <w:tcPr>
            <w:tcW w:w="549" w:type="dxa"/>
            <w:vAlign w:val="center"/>
          </w:tcPr>
          <w:p w14:paraId="6AF13619"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18.3</w:t>
            </w:r>
          </w:p>
        </w:tc>
        <w:tc>
          <w:tcPr>
            <w:tcW w:w="585" w:type="dxa"/>
            <w:vAlign w:val="center"/>
          </w:tcPr>
          <w:p w14:paraId="42B55844"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19.4</w:t>
            </w:r>
          </w:p>
        </w:tc>
        <w:tc>
          <w:tcPr>
            <w:tcW w:w="555" w:type="dxa"/>
            <w:vAlign w:val="center"/>
          </w:tcPr>
          <w:p w14:paraId="4207F3DB"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21.2</w:t>
            </w:r>
          </w:p>
        </w:tc>
        <w:tc>
          <w:tcPr>
            <w:tcW w:w="555" w:type="dxa"/>
            <w:vAlign w:val="center"/>
          </w:tcPr>
          <w:p w14:paraId="4622F984"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23.5</w:t>
            </w:r>
          </w:p>
        </w:tc>
        <w:tc>
          <w:tcPr>
            <w:tcW w:w="570" w:type="dxa"/>
            <w:vAlign w:val="center"/>
          </w:tcPr>
          <w:p w14:paraId="46CB1871"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25.6</w:t>
            </w:r>
          </w:p>
        </w:tc>
        <w:tc>
          <w:tcPr>
            <w:tcW w:w="555" w:type="dxa"/>
            <w:vAlign w:val="center"/>
          </w:tcPr>
          <w:p w14:paraId="78757892"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26.3</w:t>
            </w:r>
          </w:p>
        </w:tc>
        <w:tc>
          <w:tcPr>
            <w:tcW w:w="585" w:type="dxa"/>
            <w:vAlign w:val="center"/>
          </w:tcPr>
          <w:p w14:paraId="4D9F6ADB"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25.7</w:t>
            </w:r>
          </w:p>
        </w:tc>
        <w:tc>
          <w:tcPr>
            <w:tcW w:w="585" w:type="dxa"/>
            <w:vAlign w:val="center"/>
          </w:tcPr>
          <w:p w14:paraId="77D32A19"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25.6</w:t>
            </w:r>
          </w:p>
        </w:tc>
        <w:tc>
          <w:tcPr>
            <w:tcW w:w="585" w:type="dxa"/>
            <w:vAlign w:val="center"/>
          </w:tcPr>
          <w:p w14:paraId="7B02F96A"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25.1</w:t>
            </w:r>
          </w:p>
        </w:tc>
        <w:tc>
          <w:tcPr>
            <w:tcW w:w="570" w:type="dxa"/>
            <w:vAlign w:val="center"/>
          </w:tcPr>
          <w:p w14:paraId="3C274CEC"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23.5</w:t>
            </w:r>
          </w:p>
        </w:tc>
        <w:tc>
          <w:tcPr>
            <w:tcW w:w="600" w:type="dxa"/>
            <w:vAlign w:val="center"/>
          </w:tcPr>
          <w:p w14:paraId="4ABEC57D"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22</w:t>
            </w:r>
          </w:p>
        </w:tc>
        <w:tc>
          <w:tcPr>
            <w:tcW w:w="576" w:type="dxa"/>
            <w:vAlign w:val="center"/>
          </w:tcPr>
          <w:p w14:paraId="13AB1864"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19.3</w:t>
            </w:r>
          </w:p>
        </w:tc>
        <w:tc>
          <w:tcPr>
            <w:tcW w:w="579" w:type="dxa"/>
            <w:vAlign w:val="center"/>
          </w:tcPr>
          <w:p w14:paraId="25D36ED9"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23.0</w:t>
            </w:r>
          </w:p>
        </w:tc>
      </w:tr>
      <w:tr w:rsidR="0075791A" w14:paraId="331AAD6B" w14:textId="77777777">
        <w:trPr>
          <w:trHeight w:val="454"/>
          <w:jc w:val="center"/>
        </w:trPr>
        <w:tc>
          <w:tcPr>
            <w:tcW w:w="709" w:type="dxa"/>
            <w:vAlign w:val="center"/>
          </w:tcPr>
          <w:p w14:paraId="13010557" w14:textId="77777777" w:rsidR="0075791A" w:rsidRDefault="00FB2864">
            <w:pPr>
              <w:jc w:val="center"/>
              <w:rPr>
                <w:rFonts w:ascii="Times New Roman" w:hAnsi="Times New Roman"/>
                <w:color w:val="auto"/>
                <w:sz w:val="16"/>
                <w:szCs w:val="16"/>
                <w:lang w:bidi="ar"/>
              </w:rPr>
            </w:pPr>
            <w:r>
              <w:rPr>
                <w:rFonts w:ascii="Times New Roman" w:hAnsi="Times New Roman"/>
                <w:color w:val="auto"/>
                <w:sz w:val="16"/>
                <w:szCs w:val="16"/>
                <w:lang w:bidi="ar"/>
              </w:rPr>
              <w:t>月极低</w:t>
            </w:r>
          </w:p>
        </w:tc>
        <w:tc>
          <w:tcPr>
            <w:tcW w:w="549" w:type="dxa"/>
            <w:vAlign w:val="center"/>
          </w:tcPr>
          <w:p w14:paraId="2936A5AF"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5.6</w:t>
            </w:r>
          </w:p>
        </w:tc>
        <w:tc>
          <w:tcPr>
            <w:tcW w:w="585" w:type="dxa"/>
            <w:vAlign w:val="center"/>
          </w:tcPr>
          <w:p w14:paraId="307F0490"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8.9</w:t>
            </w:r>
          </w:p>
        </w:tc>
        <w:tc>
          <w:tcPr>
            <w:tcW w:w="555" w:type="dxa"/>
            <w:vAlign w:val="center"/>
          </w:tcPr>
          <w:p w14:paraId="13DEE7ED"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10.9</w:t>
            </w:r>
          </w:p>
        </w:tc>
        <w:tc>
          <w:tcPr>
            <w:tcW w:w="555" w:type="dxa"/>
            <w:vAlign w:val="center"/>
          </w:tcPr>
          <w:p w14:paraId="697419E1"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15.6</w:t>
            </w:r>
          </w:p>
        </w:tc>
        <w:tc>
          <w:tcPr>
            <w:tcW w:w="570" w:type="dxa"/>
            <w:vAlign w:val="center"/>
          </w:tcPr>
          <w:p w14:paraId="2611C214"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19.5</w:t>
            </w:r>
          </w:p>
        </w:tc>
        <w:tc>
          <w:tcPr>
            <w:tcW w:w="555" w:type="dxa"/>
            <w:vAlign w:val="center"/>
          </w:tcPr>
          <w:p w14:paraId="124F3DFA"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21.3</w:t>
            </w:r>
          </w:p>
        </w:tc>
        <w:tc>
          <w:tcPr>
            <w:tcW w:w="585" w:type="dxa"/>
            <w:vAlign w:val="center"/>
          </w:tcPr>
          <w:p w14:paraId="050968F4"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20.1</w:t>
            </w:r>
          </w:p>
        </w:tc>
        <w:tc>
          <w:tcPr>
            <w:tcW w:w="585" w:type="dxa"/>
            <w:vAlign w:val="center"/>
          </w:tcPr>
          <w:p w14:paraId="550C16E8"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20.8</w:t>
            </w:r>
          </w:p>
        </w:tc>
        <w:tc>
          <w:tcPr>
            <w:tcW w:w="585" w:type="dxa"/>
            <w:vAlign w:val="center"/>
          </w:tcPr>
          <w:p w14:paraId="4BD799F2"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19.5</w:t>
            </w:r>
          </w:p>
        </w:tc>
        <w:tc>
          <w:tcPr>
            <w:tcW w:w="570" w:type="dxa"/>
            <w:vAlign w:val="center"/>
          </w:tcPr>
          <w:p w14:paraId="2939C6B0"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16</w:t>
            </w:r>
          </w:p>
        </w:tc>
        <w:tc>
          <w:tcPr>
            <w:tcW w:w="600" w:type="dxa"/>
            <w:vAlign w:val="center"/>
          </w:tcPr>
          <w:p w14:paraId="28880563"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12.3</w:t>
            </w:r>
          </w:p>
        </w:tc>
        <w:tc>
          <w:tcPr>
            <w:tcW w:w="576" w:type="dxa"/>
            <w:vAlign w:val="center"/>
          </w:tcPr>
          <w:p w14:paraId="05436A54"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9.2</w:t>
            </w:r>
          </w:p>
        </w:tc>
        <w:tc>
          <w:tcPr>
            <w:tcW w:w="579" w:type="dxa"/>
            <w:vAlign w:val="center"/>
          </w:tcPr>
          <w:p w14:paraId="0652D74F"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5.6</w:t>
            </w:r>
          </w:p>
        </w:tc>
      </w:tr>
      <w:tr w:rsidR="0075791A" w14:paraId="7FD3A8A2" w14:textId="77777777">
        <w:trPr>
          <w:trHeight w:val="454"/>
          <w:jc w:val="center"/>
        </w:trPr>
        <w:tc>
          <w:tcPr>
            <w:tcW w:w="709" w:type="dxa"/>
            <w:vAlign w:val="center"/>
          </w:tcPr>
          <w:p w14:paraId="217BB2CC" w14:textId="77777777" w:rsidR="0075791A" w:rsidRDefault="00FB2864">
            <w:pPr>
              <w:jc w:val="center"/>
              <w:rPr>
                <w:rFonts w:ascii="Times New Roman" w:hAnsi="Times New Roman"/>
                <w:color w:val="auto"/>
                <w:sz w:val="16"/>
                <w:szCs w:val="16"/>
                <w:lang w:bidi="ar"/>
              </w:rPr>
            </w:pPr>
            <w:r>
              <w:rPr>
                <w:rFonts w:ascii="Times New Roman" w:hAnsi="Times New Roman"/>
                <w:color w:val="auto"/>
                <w:sz w:val="16"/>
                <w:szCs w:val="16"/>
                <w:lang w:bidi="ar"/>
              </w:rPr>
              <w:t>月极高</w:t>
            </w:r>
          </w:p>
        </w:tc>
        <w:tc>
          <w:tcPr>
            <w:tcW w:w="549" w:type="dxa"/>
            <w:vAlign w:val="center"/>
          </w:tcPr>
          <w:p w14:paraId="2186F62E"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26.3</w:t>
            </w:r>
          </w:p>
        </w:tc>
        <w:tc>
          <w:tcPr>
            <w:tcW w:w="585" w:type="dxa"/>
            <w:vAlign w:val="center"/>
          </w:tcPr>
          <w:p w14:paraId="519F13C8"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27.4</w:t>
            </w:r>
          </w:p>
        </w:tc>
        <w:tc>
          <w:tcPr>
            <w:tcW w:w="555" w:type="dxa"/>
            <w:vAlign w:val="center"/>
          </w:tcPr>
          <w:p w14:paraId="5EC6CE06"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28.6</w:t>
            </w:r>
          </w:p>
        </w:tc>
        <w:tc>
          <w:tcPr>
            <w:tcW w:w="555" w:type="dxa"/>
            <w:vAlign w:val="center"/>
          </w:tcPr>
          <w:p w14:paraId="0BDAAB60"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31.1</w:t>
            </w:r>
          </w:p>
        </w:tc>
        <w:tc>
          <w:tcPr>
            <w:tcW w:w="570" w:type="dxa"/>
            <w:vAlign w:val="center"/>
          </w:tcPr>
          <w:p w14:paraId="5EED4AA1"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33.3</w:t>
            </w:r>
          </w:p>
        </w:tc>
        <w:tc>
          <w:tcPr>
            <w:tcW w:w="555" w:type="dxa"/>
            <w:vAlign w:val="center"/>
          </w:tcPr>
          <w:p w14:paraId="5054EAA3"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32.6</w:t>
            </w:r>
          </w:p>
        </w:tc>
        <w:tc>
          <w:tcPr>
            <w:tcW w:w="585" w:type="dxa"/>
            <w:vAlign w:val="center"/>
          </w:tcPr>
          <w:p w14:paraId="64BA5B7C"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33</w:t>
            </w:r>
          </w:p>
        </w:tc>
        <w:tc>
          <w:tcPr>
            <w:tcW w:w="585" w:type="dxa"/>
            <w:vAlign w:val="center"/>
          </w:tcPr>
          <w:p w14:paraId="5C548FF1"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31.5</w:t>
            </w:r>
          </w:p>
        </w:tc>
        <w:tc>
          <w:tcPr>
            <w:tcW w:w="585" w:type="dxa"/>
            <w:vAlign w:val="center"/>
          </w:tcPr>
          <w:p w14:paraId="3322FFF8"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31.1</w:t>
            </w:r>
          </w:p>
        </w:tc>
        <w:tc>
          <w:tcPr>
            <w:tcW w:w="570" w:type="dxa"/>
            <w:vAlign w:val="center"/>
          </w:tcPr>
          <w:p w14:paraId="60C2AAC1"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29.7</w:t>
            </w:r>
          </w:p>
        </w:tc>
        <w:tc>
          <w:tcPr>
            <w:tcW w:w="600" w:type="dxa"/>
            <w:vAlign w:val="center"/>
          </w:tcPr>
          <w:p w14:paraId="271D89E7"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29</w:t>
            </w:r>
          </w:p>
        </w:tc>
        <w:tc>
          <w:tcPr>
            <w:tcW w:w="576" w:type="dxa"/>
            <w:vAlign w:val="center"/>
          </w:tcPr>
          <w:p w14:paraId="334029F3"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26.8</w:t>
            </w:r>
          </w:p>
        </w:tc>
        <w:tc>
          <w:tcPr>
            <w:tcW w:w="579" w:type="dxa"/>
            <w:vAlign w:val="center"/>
          </w:tcPr>
          <w:p w14:paraId="3F96309C" w14:textId="77777777" w:rsidR="0075791A" w:rsidRDefault="00FB2864">
            <w:pPr>
              <w:jc w:val="center"/>
              <w:rPr>
                <w:rFonts w:ascii="Times New Roman" w:hAnsi="Times New Roman"/>
                <w:color w:val="auto"/>
                <w:sz w:val="18"/>
                <w:szCs w:val="18"/>
                <w:lang w:bidi="ar"/>
              </w:rPr>
            </w:pPr>
            <w:r>
              <w:rPr>
                <w:rFonts w:ascii="Times New Roman" w:hAnsi="Times New Roman"/>
                <w:color w:val="auto"/>
                <w:sz w:val="18"/>
                <w:szCs w:val="18"/>
                <w:lang w:bidi="ar"/>
              </w:rPr>
              <w:t>33.3</w:t>
            </w:r>
          </w:p>
        </w:tc>
      </w:tr>
    </w:tbl>
    <w:p w14:paraId="75F9587E" w14:textId="77777777" w:rsidR="0075791A" w:rsidRDefault="0075791A">
      <w:pPr>
        <w:pStyle w:val="a0"/>
        <w:ind w:firstLineChars="0" w:firstLine="0"/>
        <w:rPr>
          <w:b/>
          <w:bCs/>
          <w:color w:val="auto"/>
          <w:sz w:val="28"/>
          <w:szCs w:val="28"/>
        </w:rPr>
      </w:pPr>
    </w:p>
    <w:p w14:paraId="79C4CD8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）降水</w:t>
      </w:r>
    </w:p>
    <w:p w14:paraId="0E0DF30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①降水月变化</w:t>
      </w:r>
    </w:p>
    <w:p w14:paraId="48317A42"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统计</w:t>
      </w:r>
      <w:r>
        <w:rPr>
          <w:rFonts w:ascii="Times New Roman" w:eastAsia="宋体" w:hAnsi="Times New Roman" w:cs="宋体" w:hint="eastAsia"/>
          <w:color w:val="auto"/>
          <w:spacing w:val="-2"/>
          <w:sz w:val="24"/>
          <w:szCs w:val="24"/>
          <w:lang w:eastAsia="zh-CN"/>
        </w:rPr>
        <w:t>2009</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2014</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三亚迁站以来</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的降水量可知，月、季降水量差异性显著。月平均降水量为</w:t>
      </w:r>
      <w:r>
        <w:rPr>
          <w:rFonts w:ascii="Times New Roman" w:eastAsia="宋体" w:hAnsi="Times New Roman" w:cs="宋体" w:hint="eastAsia"/>
          <w:color w:val="auto"/>
          <w:spacing w:val="-2"/>
          <w:sz w:val="24"/>
          <w:szCs w:val="24"/>
          <w:lang w:eastAsia="zh-CN"/>
        </w:rPr>
        <w:t>159.1mm</w:t>
      </w:r>
      <w:r>
        <w:rPr>
          <w:rFonts w:ascii="Times New Roman" w:eastAsia="宋体" w:hAnsi="Times New Roman" w:cs="宋体" w:hint="eastAsia"/>
          <w:color w:val="auto"/>
          <w:spacing w:val="-2"/>
          <w:sz w:val="24"/>
          <w:szCs w:val="24"/>
          <w:lang w:eastAsia="zh-CN"/>
        </w:rPr>
        <w:t>，月平均降水量最高为</w:t>
      </w:r>
      <w:r>
        <w:rPr>
          <w:rFonts w:ascii="Times New Roman" w:eastAsia="宋体" w:hAnsi="Times New Roman" w:cs="宋体" w:hint="eastAsia"/>
          <w:color w:val="auto"/>
          <w:spacing w:val="-2"/>
          <w:sz w:val="24"/>
          <w:szCs w:val="24"/>
          <w:lang w:eastAsia="zh-CN"/>
        </w:rPr>
        <w:t>10</w:t>
      </w:r>
      <w:r>
        <w:rPr>
          <w:rFonts w:ascii="Times New Roman" w:eastAsia="宋体" w:hAnsi="Times New Roman" w:cs="宋体" w:hint="eastAsia"/>
          <w:color w:val="auto"/>
          <w:spacing w:val="-2"/>
          <w:sz w:val="24"/>
          <w:szCs w:val="24"/>
          <w:lang w:eastAsia="zh-CN"/>
        </w:rPr>
        <w:t>月份，降水量达到</w:t>
      </w:r>
      <w:r>
        <w:rPr>
          <w:rFonts w:ascii="Times New Roman" w:eastAsia="宋体" w:hAnsi="Times New Roman" w:cs="宋体" w:hint="eastAsia"/>
          <w:color w:val="auto"/>
          <w:spacing w:val="-2"/>
          <w:sz w:val="24"/>
          <w:szCs w:val="24"/>
          <w:lang w:eastAsia="zh-CN"/>
        </w:rPr>
        <w:t>395.7mm</w:t>
      </w:r>
      <w:r>
        <w:rPr>
          <w:rFonts w:ascii="Times New Roman" w:eastAsia="宋体" w:hAnsi="Times New Roman" w:cs="宋体" w:hint="eastAsia"/>
          <w:color w:val="auto"/>
          <w:spacing w:val="-2"/>
          <w:sz w:val="24"/>
          <w:szCs w:val="24"/>
          <w:lang w:eastAsia="zh-CN"/>
        </w:rPr>
        <w:t>，最低值出现在</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月份，仅为</w:t>
      </w:r>
      <w:r>
        <w:rPr>
          <w:rFonts w:ascii="Times New Roman" w:eastAsia="宋体" w:hAnsi="Times New Roman" w:cs="宋体" w:hint="eastAsia"/>
          <w:color w:val="auto"/>
          <w:spacing w:val="-2"/>
          <w:sz w:val="24"/>
          <w:szCs w:val="24"/>
          <w:lang w:eastAsia="zh-CN"/>
        </w:rPr>
        <w:t>6.9mm</w:t>
      </w:r>
      <w:r>
        <w:rPr>
          <w:rFonts w:ascii="Times New Roman" w:eastAsia="宋体" w:hAnsi="Times New Roman" w:cs="宋体" w:hint="eastAsia"/>
          <w:color w:val="auto"/>
          <w:spacing w:val="-2"/>
          <w:sz w:val="24"/>
          <w:szCs w:val="24"/>
          <w:lang w:eastAsia="zh-CN"/>
        </w:rPr>
        <w:t>。季降水量以秋夏季为最高，其中秋季总降水量达到</w:t>
      </w:r>
      <w:r>
        <w:rPr>
          <w:rFonts w:ascii="Times New Roman" w:eastAsia="宋体" w:hAnsi="Times New Roman" w:cs="宋体" w:hint="eastAsia"/>
          <w:color w:val="auto"/>
          <w:spacing w:val="-2"/>
          <w:sz w:val="24"/>
          <w:szCs w:val="24"/>
          <w:lang w:eastAsia="zh-CN"/>
        </w:rPr>
        <w:t>804.4mm</w:t>
      </w:r>
      <w:r>
        <w:rPr>
          <w:rFonts w:ascii="Times New Roman" w:eastAsia="宋体" w:hAnsi="Times New Roman" w:cs="宋体" w:hint="eastAsia"/>
          <w:color w:val="auto"/>
          <w:spacing w:val="-2"/>
          <w:sz w:val="24"/>
          <w:szCs w:val="24"/>
          <w:lang w:eastAsia="zh-CN"/>
        </w:rPr>
        <w:t>，占年总降水量的</w:t>
      </w:r>
      <w:r>
        <w:rPr>
          <w:rFonts w:ascii="Times New Roman" w:eastAsia="宋体" w:hAnsi="Times New Roman" w:cs="宋体" w:hint="eastAsia"/>
          <w:color w:val="auto"/>
          <w:spacing w:val="-2"/>
          <w:sz w:val="24"/>
          <w:szCs w:val="24"/>
          <w:lang w:eastAsia="zh-CN"/>
        </w:rPr>
        <w:t>45%</w:t>
      </w:r>
      <w:r>
        <w:rPr>
          <w:rFonts w:ascii="Times New Roman" w:eastAsia="宋体" w:hAnsi="Times New Roman" w:cs="宋体" w:hint="eastAsia"/>
          <w:color w:val="auto"/>
          <w:spacing w:val="-2"/>
          <w:sz w:val="24"/>
          <w:szCs w:val="24"/>
          <w:lang w:eastAsia="zh-CN"/>
        </w:rPr>
        <w:t>；夏季总降水为</w:t>
      </w:r>
      <w:r>
        <w:rPr>
          <w:rFonts w:ascii="Times New Roman" w:eastAsia="宋体" w:hAnsi="Times New Roman" w:cs="宋体" w:hint="eastAsia"/>
          <w:color w:val="auto"/>
          <w:spacing w:val="-2"/>
          <w:sz w:val="24"/>
          <w:szCs w:val="24"/>
          <w:lang w:eastAsia="zh-CN"/>
        </w:rPr>
        <w:t>717.5mm</w:t>
      </w:r>
      <w:r>
        <w:rPr>
          <w:rFonts w:ascii="Times New Roman" w:eastAsia="宋体" w:hAnsi="Times New Roman" w:cs="宋体" w:hint="eastAsia"/>
          <w:color w:val="auto"/>
          <w:spacing w:val="-2"/>
          <w:sz w:val="24"/>
          <w:szCs w:val="24"/>
          <w:lang w:eastAsia="zh-CN"/>
        </w:rPr>
        <w:t>，占年总降水的</w:t>
      </w:r>
      <w:r>
        <w:rPr>
          <w:rFonts w:ascii="Times New Roman" w:eastAsia="宋体" w:hAnsi="Times New Roman" w:cs="宋体" w:hint="eastAsia"/>
          <w:color w:val="auto"/>
          <w:spacing w:val="-2"/>
          <w:sz w:val="24"/>
          <w:szCs w:val="24"/>
          <w:lang w:eastAsia="zh-CN"/>
        </w:rPr>
        <w:t>40%</w:t>
      </w:r>
      <w:r>
        <w:rPr>
          <w:rFonts w:ascii="Times New Roman" w:eastAsia="宋体" w:hAnsi="Times New Roman" w:cs="宋体" w:hint="eastAsia"/>
          <w:color w:val="auto"/>
          <w:spacing w:val="-2"/>
          <w:sz w:val="24"/>
          <w:szCs w:val="24"/>
          <w:lang w:eastAsia="zh-CN"/>
        </w:rPr>
        <w:t>。冬春季节降水较少，其中冬季最少，为</w:t>
      </w:r>
      <w:r>
        <w:rPr>
          <w:rFonts w:ascii="Times New Roman" w:eastAsia="宋体" w:hAnsi="Times New Roman" w:cs="宋体" w:hint="eastAsia"/>
          <w:color w:val="auto"/>
          <w:spacing w:val="-2"/>
          <w:sz w:val="24"/>
          <w:szCs w:val="24"/>
          <w:lang w:eastAsia="zh-CN"/>
        </w:rPr>
        <w:t>49.2mm</w:t>
      </w:r>
      <w:r>
        <w:rPr>
          <w:rFonts w:ascii="Times New Roman" w:eastAsia="宋体" w:hAnsi="Times New Roman" w:cs="宋体" w:hint="eastAsia"/>
          <w:color w:val="auto"/>
          <w:spacing w:val="-2"/>
          <w:sz w:val="24"/>
          <w:szCs w:val="24"/>
          <w:lang w:eastAsia="zh-CN"/>
        </w:rPr>
        <w:t>，仅占全年总降水量的</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，春季降水量为</w:t>
      </w:r>
      <w:r>
        <w:rPr>
          <w:rFonts w:ascii="Times New Roman" w:eastAsia="宋体" w:hAnsi="Times New Roman" w:cs="宋体" w:hint="eastAsia"/>
          <w:color w:val="auto"/>
          <w:spacing w:val="-2"/>
          <w:sz w:val="24"/>
          <w:szCs w:val="24"/>
          <w:lang w:eastAsia="zh-CN"/>
        </w:rPr>
        <w:t>218.5mm</w:t>
      </w:r>
      <w:r>
        <w:rPr>
          <w:rFonts w:ascii="Times New Roman" w:eastAsia="宋体" w:hAnsi="Times New Roman" w:cs="宋体" w:hint="eastAsia"/>
          <w:color w:val="auto"/>
          <w:spacing w:val="-2"/>
          <w:sz w:val="24"/>
          <w:szCs w:val="24"/>
          <w:lang w:eastAsia="zh-CN"/>
        </w:rPr>
        <w:t>，占全年总降水量的</w:t>
      </w:r>
      <w:r>
        <w:rPr>
          <w:rFonts w:ascii="Times New Roman" w:eastAsia="宋体" w:hAnsi="Times New Roman" w:cs="宋体" w:hint="eastAsia"/>
          <w:color w:val="auto"/>
          <w:spacing w:val="-2"/>
          <w:sz w:val="24"/>
          <w:szCs w:val="24"/>
          <w:lang w:eastAsia="zh-CN"/>
        </w:rPr>
        <w:t>12%</w:t>
      </w:r>
      <w:r>
        <w:rPr>
          <w:rFonts w:ascii="Times New Roman" w:eastAsia="宋体" w:hAnsi="Times New Roman" w:cs="宋体" w:hint="eastAsia"/>
          <w:color w:val="auto"/>
          <w:spacing w:val="-2"/>
          <w:sz w:val="24"/>
          <w:szCs w:val="24"/>
          <w:lang w:eastAsia="zh-CN"/>
        </w:rPr>
        <w:t>。</w:t>
      </w:r>
    </w:p>
    <w:p w14:paraId="2D2C1596"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bookmarkStart w:id="145" w:name="_Toc19065"/>
      <w:bookmarkStart w:id="146" w:name="_Toc31947"/>
      <w:bookmarkStart w:id="147" w:name="_Toc4688"/>
      <w:bookmarkStart w:id="148" w:name="_Toc7385"/>
      <w:bookmarkStart w:id="149" w:name="_Toc7457"/>
      <w:bookmarkStart w:id="150" w:name="_Toc31508"/>
      <w:bookmarkStart w:id="151" w:name="_Toc9207"/>
      <w:bookmarkEnd w:id="144"/>
      <w:r>
        <w:rPr>
          <w:rFonts w:ascii="Times New Roman" w:eastAsia="宋体" w:hAnsi="Times New Roman" w:cs="宋体" w:hint="eastAsia"/>
          <w:color w:val="auto"/>
          <w:spacing w:val="-2"/>
          <w:sz w:val="24"/>
          <w:szCs w:val="24"/>
          <w:lang w:eastAsia="zh-CN"/>
        </w:rPr>
        <w:t>②降水</w:t>
      </w:r>
      <w:bookmarkEnd w:id="145"/>
      <w:bookmarkEnd w:id="146"/>
      <w:bookmarkEnd w:id="147"/>
      <w:bookmarkEnd w:id="148"/>
      <w:bookmarkEnd w:id="149"/>
      <w:bookmarkEnd w:id="150"/>
      <w:bookmarkEnd w:id="151"/>
      <w:r>
        <w:rPr>
          <w:rFonts w:ascii="Times New Roman" w:eastAsia="宋体" w:hAnsi="Times New Roman" w:cs="宋体" w:hint="eastAsia"/>
          <w:color w:val="auto"/>
          <w:spacing w:val="-2"/>
          <w:sz w:val="24"/>
          <w:szCs w:val="24"/>
          <w:lang w:eastAsia="zh-CN"/>
        </w:rPr>
        <w:t>年变化</w:t>
      </w:r>
    </w:p>
    <w:p w14:paraId="0F44ECA5"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统计</w:t>
      </w:r>
      <w:r>
        <w:rPr>
          <w:rFonts w:ascii="Times New Roman" w:eastAsia="宋体" w:hAnsi="Times New Roman" w:cs="宋体" w:hint="eastAsia"/>
          <w:color w:val="auto"/>
          <w:spacing w:val="-2"/>
          <w:sz w:val="24"/>
          <w:szCs w:val="24"/>
          <w:lang w:eastAsia="zh-CN"/>
        </w:rPr>
        <w:t>2009</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2014</w:t>
      </w:r>
      <w:r>
        <w:rPr>
          <w:rFonts w:ascii="Times New Roman" w:eastAsia="宋体" w:hAnsi="Times New Roman" w:cs="宋体" w:hint="eastAsia"/>
          <w:color w:val="auto"/>
          <w:spacing w:val="-2"/>
          <w:sz w:val="24"/>
          <w:szCs w:val="24"/>
          <w:lang w:eastAsia="zh-CN"/>
        </w:rPr>
        <w:t>年期间各年总降水量和年</w:t>
      </w:r>
      <w:r>
        <w:rPr>
          <w:rFonts w:ascii="Times New Roman" w:eastAsia="宋体" w:hAnsi="Times New Roman" w:cs="宋体" w:hint="eastAsia"/>
          <w:color w:val="auto"/>
          <w:spacing w:val="-2"/>
          <w:sz w:val="24"/>
          <w:szCs w:val="24"/>
          <w:lang w:eastAsia="zh-CN"/>
        </w:rPr>
        <w:t>大雨日数</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日雨量≥</w:t>
      </w:r>
      <w:r>
        <w:rPr>
          <w:rFonts w:ascii="Times New Roman" w:eastAsia="宋体" w:hAnsi="Times New Roman" w:cs="宋体" w:hint="eastAsia"/>
          <w:color w:val="auto"/>
          <w:spacing w:val="-2"/>
          <w:sz w:val="24"/>
          <w:szCs w:val="24"/>
          <w:lang w:eastAsia="zh-CN"/>
        </w:rPr>
        <w:t>25mm)</w:t>
      </w:r>
      <w:r>
        <w:rPr>
          <w:rFonts w:ascii="Times New Roman" w:eastAsia="宋体" w:hAnsi="Times New Roman" w:cs="宋体" w:hint="eastAsia"/>
          <w:color w:val="auto"/>
          <w:spacing w:val="-2"/>
          <w:sz w:val="24"/>
          <w:szCs w:val="24"/>
          <w:lang w:eastAsia="zh-CN"/>
        </w:rPr>
        <w:t>、暴雨日数</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日雨量≥</w:t>
      </w:r>
      <w:r>
        <w:rPr>
          <w:rFonts w:ascii="Times New Roman" w:eastAsia="宋体" w:hAnsi="Times New Roman" w:cs="宋体" w:hint="eastAsia"/>
          <w:color w:val="auto"/>
          <w:spacing w:val="-2"/>
          <w:sz w:val="24"/>
          <w:szCs w:val="24"/>
          <w:lang w:eastAsia="zh-CN"/>
        </w:rPr>
        <w:t>50mm)</w:t>
      </w:r>
      <w:r>
        <w:rPr>
          <w:rFonts w:ascii="Times New Roman" w:eastAsia="宋体" w:hAnsi="Times New Roman" w:cs="宋体" w:hint="eastAsia"/>
          <w:color w:val="auto"/>
          <w:spacing w:val="-2"/>
          <w:sz w:val="24"/>
          <w:szCs w:val="24"/>
          <w:lang w:eastAsia="zh-CN"/>
        </w:rPr>
        <w:t>、大暴雨日数</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日雨量≥</w:t>
      </w:r>
      <w:r>
        <w:rPr>
          <w:rFonts w:ascii="Times New Roman" w:eastAsia="宋体" w:hAnsi="Times New Roman" w:cs="宋体" w:hint="eastAsia"/>
          <w:color w:val="auto"/>
          <w:spacing w:val="-2"/>
          <w:sz w:val="24"/>
          <w:szCs w:val="24"/>
          <w:lang w:eastAsia="zh-CN"/>
        </w:rPr>
        <w:t>100mm)</w:t>
      </w:r>
      <w:r>
        <w:rPr>
          <w:rFonts w:ascii="Times New Roman" w:eastAsia="宋体" w:hAnsi="Times New Roman" w:cs="宋体" w:hint="eastAsia"/>
          <w:color w:val="auto"/>
          <w:spacing w:val="-2"/>
          <w:sz w:val="24"/>
          <w:szCs w:val="24"/>
          <w:lang w:eastAsia="zh-CN"/>
        </w:rPr>
        <w:t>可知，年平均降水量为</w:t>
      </w:r>
      <w:r>
        <w:rPr>
          <w:rFonts w:ascii="Times New Roman" w:eastAsia="宋体" w:hAnsi="Times New Roman" w:cs="宋体" w:hint="eastAsia"/>
          <w:color w:val="auto"/>
          <w:spacing w:val="-2"/>
          <w:sz w:val="24"/>
          <w:szCs w:val="24"/>
          <w:lang w:eastAsia="zh-CN"/>
        </w:rPr>
        <w:t>1789.5mm</w:t>
      </w:r>
      <w:r>
        <w:rPr>
          <w:rFonts w:ascii="Times New Roman" w:eastAsia="宋体" w:hAnsi="Times New Roman" w:cs="宋体" w:hint="eastAsia"/>
          <w:color w:val="auto"/>
          <w:spacing w:val="-2"/>
          <w:sz w:val="24"/>
          <w:szCs w:val="24"/>
          <w:lang w:eastAsia="zh-CN"/>
        </w:rPr>
        <w:t>，最大年总降水量为</w:t>
      </w:r>
      <w:r>
        <w:rPr>
          <w:rFonts w:ascii="Times New Roman" w:eastAsia="宋体" w:hAnsi="Times New Roman" w:cs="宋体" w:hint="eastAsia"/>
          <w:color w:val="auto"/>
          <w:spacing w:val="-2"/>
          <w:sz w:val="24"/>
          <w:szCs w:val="24"/>
          <w:lang w:eastAsia="zh-CN"/>
        </w:rPr>
        <w:t>2189.2(2010</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，最小年总降水量为</w:t>
      </w:r>
      <w:r>
        <w:rPr>
          <w:rFonts w:ascii="Times New Roman" w:eastAsia="宋体" w:hAnsi="Times New Roman" w:cs="宋体" w:hint="eastAsia"/>
          <w:color w:val="auto"/>
          <w:spacing w:val="-2"/>
          <w:sz w:val="24"/>
          <w:szCs w:val="24"/>
          <w:lang w:eastAsia="zh-CN"/>
        </w:rPr>
        <w:t>1110.2mm(2014</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，年份总降水量均超过</w:t>
      </w:r>
      <w:r>
        <w:rPr>
          <w:rFonts w:ascii="Times New Roman" w:eastAsia="宋体" w:hAnsi="Times New Roman" w:cs="宋体" w:hint="eastAsia"/>
          <w:color w:val="auto"/>
          <w:spacing w:val="-2"/>
          <w:sz w:val="24"/>
          <w:szCs w:val="24"/>
          <w:lang w:eastAsia="zh-CN"/>
        </w:rPr>
        <w:t>1000mm</w:t>
      </w:r>
      <w:r>
        <w:rPr>
          <w:rFonts w:ascii="Times New Roman" w:eastAsia="宋体" w:hAnsi="Times New Roman" w:cs="宋体" w:hint="eastAsia"/>
          <w:color w:val="auto"/>
          <w:spacing w:val="-2"/>
          <w:sz w:val="24"/>
          <w:szCs w:val="24"/>
          <w:lang w:eastAsia="zh-CN"/>
        </w:rPr>
        <w:t>。多年年平均雨日为</w:t>
      </w:r>
      <w:r>
        <w:rPr>
          <w:rFonts w:ascii="Times New Roman" w:eastAsia="宋体" w:hAnsi="Times New Roman" w:cs="宋体" w:hint="eastAsia"/>
          <w:color w:val="auto"/>
          <w:spacing w:val="-2"/>
          <w:sz w:val="24"/>
          <w:szCs w:val="24"/>
          <w:lang w:eastAsia="zh-CN"/>
        </w:rPr>
        <w:t>119</w:t>
      </w:r>
      <w:r>
        <w:rPr>
          <w:rFonts w:ascii="Times New Roman" w:eastAsia="宋体" w:hAnsi="Times New Roman" w:cs="宋体" w:hint="eastAsia"/>
          <w:color w:val="auto"/>
          <w:spacing w:val="-2"/>
          <w:sz w:val="24"/>
          <w:szCs w:val="24"/>
          <w:lang w:eastAsia="zh-CN"/>
        </w:rPr>
        <w:t>天，最多为</w:t>
      </w:r>
      <w:r>
        <w:rPr>
          <w:rFonts w:ascii="Times New Roman" w:eastAsia="宋体" w:hAnsi="Times New Roman" w:cs="宋体" w:hint="eastAsia"/>
          <w:color w:val="auto"/>
          <w:spacing w:val="-2"/>
          <w:sz w:val="24"/>
          <w:szCs w:val="24"/>
          <w:lang w:eastAsia="zh-CN"/>
        </w:rPr>
        <w:t>131</w:t>
      </w:r>
      <w:r>
        <w:rPr>
          <w:rFonts w:ascii="Times New Roman" w:eastAsia="宋体" w:hAnsi="Times New Roman" w:cs="宋体" w:hint="eastAsia"/>
          <w:color w:val="auto"/>
          <w:spacing w:val="-2"/>
          <w:sz w:val="24"/>
          <w:szCs w:val="24"/>
          <w:lang w:eastAsia="zh-CN"/>
        </w:rPr>
        <w:t>天</w:t>
      </w:r>
      <w:r>
        <w:rPr>
          <w:rFonts w:ascii="Times New Roman" w:eastAsia="宋体" w:hAnsi="Times New Roman" w:cs="宋体" w:hint="eastAsia"/>
          <w:color w:val="auto"/>
          <w:spacing w:val="-2"/>
          <w:sz w:val="24"/>
          <w:szCs w:val="24"/>
          <w:lang w:eastAsia="zh-CN"/>
        </w:rPr>
        <w:t>(2013</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；年平均大雨日数为</w:t>
      </w:r>
      <w:r>
        <w:rPr>
          <w:rFonts w:ascii="Times New Roman" w:eastAsia="宋体" w:hAnsi="Times New Roman" w:cs="宋体" w:hint="eastAsia"/>
          <w:color w:val="auto"/>
          <w:spacing w:val="-2"/>
          <w:sz w:val="24"/>
          <w:szCs w:val="24"/>
          <w:lang w:eastAsia="zh-CN"/>
        </w:rPr>
        <w:t>22.5</w:t>
      </w:r>
      <w:r>
        <w:rPr>
          <w:rFonts w:ascii="Times New Roman" w:eastAsia="宋体" w:hAnsi="Times New Roman" w:cs="宋体" w:hint="eastAsia"/>
          <w:color w:val="auto"/>
          <w:spacing w:val="-2"/>
          <w:sz w:val="24"/>
          <w:szCs w:val="24"/>
          <w:lang w:eastAsia="zh-CN"/>
        </w:rPr>
        <w:t>天，最多为</w:t>
      </w:r>
      <w:r>
        <w:rPr>
          <w:rFonts w:ascii="Times New Roman" w:eastAsia="宋体" w:hAnsi="Times New Roman" w:cs="宋体" w:hint="eastAsia"/>
          <w:color w:val="auto"/>
          <w:spacing w:val="-2"/>
          <w:sz w:val="24"/>
          <w:szCs w:val="24"/>
          <w:lang w:eastAsia="zh-CN"/>
        </w:rPr>
        <w:t>30</w:t>
      </w:r>
      <w:r>
        <w:rPr>
          <w:rFonts w:ascii="Times New Roman" w:eastAsia="宋体" w:hAnsi="Times New Roman" w:cs="宋体" w:hint="eastAsia"/>
          <w:color w:val="auto"/>
          <w:spacing w:val="-2"/>
          <w:sz w:val="24"/>
          <w:szCs w:val="24"/>
          <w:lang w:eastAsia="zh-CN"/>
        </w:rPr>
        <w:t>天</w:t>
      </w:r>
      <w:r>
        <w:rPr>
          <w:rFonts w:ascii="Times New Roman" w:eastAsia="宋体" w:hAnsi="Times New Roman" w:cs="宋体" w:hint="eastAsia"/>
          <w:color w:val="auto"/>
          <w:spacing w:val="-2"/>
          <w:sz w:val="24"/>
          <w:szCs w:val="24"/>
          <w:lang w:eastAsia="zh-CN"/>
        </w:rPr>
        <w:t>(2013</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；年平均暴雨日数为</w:t>
      </w:r>
      <w:r>
        <w:rPr>
          <w:rFonts w:ascii="Times New Roman" w:eastAsia="宋体" w:hAnsi="Times New Roman" w:cs="宋体" w:hint="eastAsia"/>
          <w:color w:val="auto"/>
          <w:spacing w:val="-2"/>
          <w:sz w:val="24"/>
          <w:szCs w:val="24"/>
          <w:lang w:eastAsia="zh-CN"/>
        </w:rPr>
        <w:t>8.5</w:t>
      </w:r>
      <w:r>
        <w:rPr>
          <w:rFonts w:ascii="Times New Roman" w:eastAsia="宋体" w:hAnsi="Times New Roman" w:cs="宋体" w:hint="eastAsia"/>
          <w:color w:val="auto"/>
          <w:spacing w:val="-2"/>
          <w:sz w:val="24"/>
          <w:szCs w:val="24"/>
          <w:lang w:eastAsia="zh-CN"/>
        </w:rPr>
        <w:t>天，最多为</w:t>
      </w:r>
      <w:r>
        <w:rPr>
          <w:rFonts w:ascii="Times New Roman" w:eastAsia="宋体" w:hAnsi="Times New Roman" w:cs="宋体" w:hint="eastAsia"/>
          <w:color w:val="auto"/>
          <w:spacing w:val="-2"/>
          <w:sz w:val="24"/>
          <w:szCs w:val="24"/>
          <w:lang w:eastAsia="zh-CN"/>
        </w:rPr>
        <w:t>14</w:t>
      </w:r>
      <w:r>
        <w:rPr>
          <w:rFonts w:ascii="Times New Roman" w:eastAsia="宋体" w:hAnsi="Times New Roman" w:cs="宋体" w:hint="eastAsia"/>
          <w:color w:val="auto"/>
          <w:spacing w:val="-2"/>
          <w:sz w:val="24"/>
          <w:szCs w:val="24"/>
          <w:lang w:eastAsia="zh-CN"/>
        </w:rPr>
        <w:t>天</w:t>
      </w:r>
      <w:r>
        <w:rPr>
          <w:rFonts w:ascii="Times New Roman" w:eastAsia="宋体" w:hAnsi="Times New Roman" w:cs="宋体" w:hint="eastAsia"/>
          <w:color w:val="auto"/>
          <w:spacing w:val="-2"/>
          <w:sz w:val="24"/>
          <w:szCs w:val="24"/>
          <w:lang w:eastAsia="zh-CN"/>
        </w:rPr>
        <w:t>(2010</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；年平均大暴雨日数为</w:t>
      </w:r>
      <w:r>
        <w:rPr>
          <w:rFonts w:ascii="Times New Roman" w:eastAsia="宋体" w:hAnsi="Times New Roman" w:cs="宋体" w:hint="eastAsia"/>
          <w:color w:val="auto"/>
          <w:spacing w:val="-2"/>
          <w:sz w:val="24"/>
          <w:szCs w:val="24"/>
          <w:lang w:eastAsia="zh-CN"/>
        </w:rPr>
        <w:t>2.3</w:t>
      </w:r>
      <w:r>
        <w:rPr>
          <w:rFonts w:ascii="Times New Roman" w:eastAsia="宋体" w:hAnsi="Times New Roman" w:cs="宋体" w:hint="eastAsia"/>
          <w:color w:val="auto"/>
          <w:spacing w:val="-2"/>
          <w:sz w:val="24"/>
          <w:szCs w:val="24"/>
          <w:lang w:eastAsia="zh-CN"/>
        </w:rPr>
        <w:t>天，最多为</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hint="eastAsia"/>
          <w:color w:val="auto"/>
          <w:spacing w:val="-2"/>
          <w:sz w:val="24"/>
          <w:szCs w:val="24"/>
          <w:lang w:eastAsia="zh-CN"/>
        </w:rPr>
        <w:t>天</w:t>
      </w:r>
      <w:r>
        <w:rPr>
          <w:rFonts w:ascii="Times New Roman" w:eastAsia="宋体" w:hAnsi="Times New Roman" w:cs="宋体" w:hint="eastAsia"/>
          <w:color w:val="auto"/>
          <w:spacing w:val="-2"/>
          <w:sz w:val="24"/>
          <w:szCs w:val="24"/>
          <w:lang w:eastAsia="zh-CN"/>
        </w:rPr>
        <w:t>(2012</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w:t>
      </w:r>
      <w:bookmarkStart w:id="152" w:name="_Toc27265"/>
      <w:bookmarkStart w:id="153" w:name="_Toc29339"/>
      <w:bookmarkStart w:id="154" w:name="_Toc8185"/>
      <w:bookmarkStart w:id="155" w:name="_Toc29560"/>
      <w:bookmarkStart w:id="156" w:name="_Toc17332"/>
      <w:bookmarkStart w:id="157" w:name="_Toc16294"/>
      <w:bookmarkStart w:id="158" w:name="_Toc4720"/>
    </w:p>
    <w:p w14:paraId="62371E8D"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）相对湿度</w:t>
      </w:r>
      <w:bookmarkEnd w:id="152"/>
      <w:bookmarkEnd w:id="153"/>
      <w:bookmarkEnd w:id="154"/>
      <w:bookmarkEnd w:id="155"/>
      <w:bookmarkEnd w:id="156"/>
      <w:bookmarkEnd w:id="157"/>
      <w:bookmarkEnd w:id="158"/>
    </w:p>
    <w:p w14:paraId="779BF24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①湿度月变化</w:t>
      </w:r>
    </w:p>
    <w:p w14:paraId="34AB16BE"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统计</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009</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2014</w:t>
      </w:r>
      <w:r>
        <w:rPr>
          <w:rFonts w:ascii="Times New Roman" w:eastAsia="宋体" w:hAnsi="Times New Roman" w:cs="宋体" w:hint="eastAsia"/>
          <w:color w:val="auto"/>
          <w:spacing w:val="-2"/>
          <w:sz w:val="24"/>
          <w:szCs w:val="24"/>
          <w:lang w:eastAsia="zh-CN"/>
        </w:rPr>
        <w:t>年月平均空气相对湿度，结果显示，月平空气气相对湿度每月都在</w:t>
      </w:r>
      <w:r>
        <w:rPr>
          <w:rFonts w:ascii="Times New Roman" w:eastAsia="宋体" w:hAnsi="Times New Roman" w:cs="宋体" w:hint="eastAsia"/>
          <w:color w:val="auto"/>
          <w:spacing w:val="-2"/>
          <w:sz w:val="24"/>
          <w:szCs w:val="24"/>
          <w:lang w:eastAsia="zh-CN"/>
        </w:rPr>
        <w:t>65%</w:t>
      </w:r>
      <w:r>
        <w:rPr>
          <w:rFonts w:ascii="Times New Roman" w:eastAsia="宋体" w:hAnsi="Times New Roman" w:cs="宋体" w:hint="eastAsia"/>
          <w:color w:val="auto"/>
          <w:spacing w:val="-2"/>
          <w:sz w:val="24"/>
          <w:szCs w:val="24"/>
          <w:lang w:eastAsia="zh-CN"/>
        </w:rPr>
        <w:t>以上，其中相对湿度的最低值出现在</w:t>
      </w:r>
      <w:r>
        <w:rPr>
          <w:rFonts w:ascii="Times New Roman" w:eastAsia="宋体" w:hAnsi="Times New Roman" w:cs="宋体" w:hint="eastAsia"/>
          <w:color w:val="auto"/>
          <w:spacing w:val="-2"/>
          <w:sz w:val="24"/>
          <w:szCs w:val="24"/>
          <w:lang w:eastAsia="zh-CN"/>
        </w:rPr>
        <w:t>12</w:t>
      </w:r>
      <w:r>
        <w:rPr>
          <w:rFonts w:ascii="Times New Roman" w:eastAsia="宋体" w:hAnsi="Times New Roman" w:cs="宋体" w:hint="eastAsia"/>
          <w:color w:val="auto"/>
          <w:spacing w:val="-2"/>
          <w:sz w:val="24"/>
          <w:szCs w:val="24"/>
          <w:lang w:eastAsia="zh-CN"/>
        </w:rPr>
        <w:t>月，为</w:t>
      </w:r>
      <w:r>
        <w:rPr>
          <w:rFonts w:ascii="Times New Roman" w:eastAsia="宋体" w:hAnsi="Times New Roman" w:cs="宋体" w:hint="eastAsia"/>
          <w:color w:val="auto"/>
          <w:spacing w:val="-2"/>
          <w:sz w:val="24"/>
          <w:szCs w:val="24"/>
          <w:lang w:eastAsia="zh-CN"/>
        </w:rPr>
        <w:t>67.7%</w:t>
      </w:r>
      <w:r>
        <w:rPr>
          <w:rFonts w:ascii="Times New Roman" w:eastAsia="宋体" w:hAnsi="Times New Roman" w:cs="宋体" w:hint="eastAsia"/>
          <w:color w:val="auto"/>
          <w:spacing w:val="-2"/>
          <w:sz w:val="24"/>
          <w:szCs w:val="24"/>
          <w:lang w:eastAsia="zh-CN"/>
        </w:rPr>
        <w:t>，最高月份为</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月，达到</w:t>
      </w:r>
      <w:r>
        <w:rPr>
          <w:rFonts w:ascii="Times New Roman" w:eastAsia="宋体" w:hAnsi="Times New Roman" w:cs="宋体" w:hint="eastAsia"/>
          <w:color w:val="auto"/>
          <w:spacing w:val="-2"/>
          <w:sz w:val="24"/>
          <w:szCs w:val="24"/>
          <w:lang w:eastAsia="zh-CN"/>
        </w:rPr>
        <w:t>92.8%</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lastRenderedPageBreak/>
        <w:t>相对湿度的季节变化来看，春季的相对湿度值最大，平均达到</w:t>
      </w:r>
      <w:r>
        <w:rPr>
          <w:rFonts w:ascii="Times New Roman" w:eastAsia="宋体" w:hAnsi="Times New Roman" w:cs="宋体" w:hint="eastAsia"/>
          <w:color w:val="auto"/>
          <w:spacing w:val="-2"/>
          <w:sz w:val="24"/>
          <w:szCs w:val="24"/>
          <w:lang w:eastAsia="zh-CN"/>
        </w:rPr>
        <w:t>91.7%</w:t>
      </w:r>
      <w:r>
        <w:rPr>
          <w:rFonts w:ascii="Times New Roman" w:eastAsia="宋体" w:hAnsi="Times New Roman" w:cs="宋体" w:hint="eastAsia"/>
          <w:color w:val="auto"/>
          <w:spacing w:val="-2"/>
          <w:sz w:val="24"/>
          <w:szCs w:val="24"/>
          <w:lang w:eastAsia="zh-CN"/>
        </w:rPr>
        <w:t>，秋季为最低，仅有</w:t>
      </w:r>
      <w:r>
        <w:rPr>
          <w:rFonts w:ascii="Times New Roman" w:eastAsia="宋体" w:hAnsi="Times New Roman" w:cs="宋体" w:hint="eastAsia"/>
          <w:color w:val="auto"/>
          <w:spacing w:val="-2"/>
          <w:sz w:val="24"/>
          <w:szCs w:val="24"/>
          <w:lang w:eastAsia="zh-CN"/>
        </w:rPr>
        <w:t>78.1%</w:t>
      </w:r>
      <w:r>
        <w:rPr>
          <w:rFonts w:ascii="Times New Roman" w:eastAsia="宋体" w:hAnsi="Times New Roman" w:cs="宋体" w:hint="eastAsia"/>
          <w:color w:val="auto"/>
          <w:spacing w:val="-2"/>
          <w:sz w:val="24"/>
          <w:szCs w:val="24"/>
          <w:lang w:eastAsia="zh-CN"/>
        </w:rPr>
        <w:t>。</w:t>
      </w:r>
    </w:p>
    <w:p w14:paraId="2294354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bookmarkStart w:id="159" w:name="_Toc32219"/>
      <w:bookmarkStart w:id="160" w:name="_Toc4519"/>
      <w:bookmarkStart w:id="161" w:name="_Toc30542"/>
      <w:bookmarkStart w:id="162" w:name="_Toc25197"/>
      <w:bookmarkStart w:id="163" w:name="_Toc3413"/>
      <w:bookmarkStart w:id="164" w:name="_Toc18484"/>
      <w:bookmarkStart w:id="165" w:name="_Toc14195"/>
      <w:r>
        <w:rPr>
          <w:rFonts w:ascii="Times New Roman" w:eastAsia="宋体" w:hAnsi="Times New Roman" w:cs="宋体" w:hint="eastAsia"/>
          <w:color w:val="auto"/>
          <w:spacing w:val="-2"/>
          <w:sz w:val="24"/>
          <w:szCs w:val="24"/>
          <w:lang w:eastAsia="zh-CN"/>
        </w:rPr>
        <w:t>②湿度年变化</w:t>
      </w:r>
    </w:p>
    <w:p w14:paraId="2ACD2F8D"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统计分析</w:t>
      </w:r>
      <w:r>
        <w:rPr>
          <w:rFonts w:ascii="Times New Roman" w:eastAsia="宋体" w:hAnsi="Times New Roman" w:cs="宋体" w:hint="eastAsia"/>
          <w:color w:val="auto"/>
          <w:spacing w:val="-2"/>
          <w:sz w:val="24"/>
          <w:szCs w:val="24"/>
          <w:lang w:eastAsia="zh-CN"/>
        </w:rPr>
        <w:t>2009</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2014</w:t>
      </w:r>
      <w:r>
        <w:rPr>
          <w:rFonts w:ascii="Times New Roman" w:eastAsia="宋体" w:hAnsi="Times New Roman" w:cs="宋体" w:hint="eastAsia"/>
          <w:color w:val="auto"/>
          <w:spacing w:val="-2"/>
          <w:sz w:val="24"/>
          <w:szCs w:val="24"/>
          <w:lang w:eastAsia="zh-CN"/>
        </w:rPr>
        <w:t>年近</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hint="eastAsia"/>
          <w:color w:val="auto"/>
          <w:spacing w:val="-2"/>
          <w:sz w:val="24"/>
          <w:szCs w:val="24"/>
          <w:lang w:eastAsia="zh-CN"/>
        </w:rPr>
        <w:t>年年平均空气相对湿度，年平均湿度为</w:t>
      </w:r>
      <w:r>
        <w:rPr>
          <w:rFonts w:ascii="Times New Roman" w:eastAsia="宋体" w:hAnsi="Times New Roman" w:cs="宋体" w:hint="eastAsia"/>
          <w:color w:val="auto"/>
          <w:spacing w:val="-2"/>
          <w:sz w:val="24"/>
          <w:szCs w:val="24"/>
          <w:lang w:eastAsia="zh-CN"/>
        </w:rPr>
        <w:t>85.2%</w:t>
      </w:r>
      <w:r>
        <w:rPr>
          <w:rFonts w:ascii="Times New Roman" w:eastAsia="宋体" w:hAnsi="Times New Roman" w:cs="宋体" w:hint="eastAsia"/>
          <w:color w:val="auto"/>
          <w:spacing w:val="-2"/>
          <w:sz w:val="24"/>
          <w:szCs w:val="24"/>
          <w:lang w:eastAsia="zh-CN"/>
        </w:rPr>
        <w:t>，发现近</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hint="eastAsia"/>
          <w:color w:val="auto"/>
          <w:spacing w:val="-2"/>
          <w:sz w:val="24"/>
          <w:szCs w:val="24"/>
          <w:lang w:eastAsia="zh-CN"/>
        </w:rPr>
        <w:t>年年平均都在</w:t>
      </w:r>
      <w:r>
        <w:rPr>
          <w:rFonts w:ascii="Times New Roman" w:eastAsia="宋体" w:hAnsi="Times New Roman" w:cs="宋体" w:hint="eastAsia"/>
          <w:color w:val="auto"/>
          <w:spacing w:val="-2"/>
          <w:sz w:val="24"/>
          <w:szCs w:val="24"/>
          <w:lang w:eastAsia="zh-CN"/>
        </w:rPr>
        <w:t>80%</w:t>
      </w:r>
      <w:r>
        <w:rPr>
          <w:rFonts w:ascii="Times New Roman" w:eastAsia="宋体" w:hAnsi="Times New Roman" w:cs="宋体" w:hint="eastAsia"/>
          <w:color w:val="auto"/>
          <w:spacing w:val="-2"/>
          <w:sz w:val="24"/>
          <w:szCs w:val="24"/>
          <w:lang w:eastAsia="zh-CN"/>
        </w:rPr>
        <w:t>以上，空气相对湿度较大，最高的为</w:t>
      </w:r>
      <w:r>
        <w:rPr>
          <w:rFonts w:ascii="Times New Roman" w:eastAsia="宋体" w:hAnsi="Times New Roman" w:cs="宋体" w:hint="eastAsia"/>
          <w:color w:val="auto"/>
          <w:spacing w:val="-2"/>
          <w:sz w:val="24"/>
          <w:szCs w:val="24"/>
          <w:lang w:eastAsia="zh-CN"/>
        </w:rPr>
        <w:t>2014</w:t>
      </w:r>
      <w:r>
        <w:rPr>
          <w:rFonts w:ascii="Times New Roman" w:eastAsia="宋体" w:hAnsi="Times New Roman" w:cs="宋体" w:hint="eastAsia"/>
          <w:color w:val="auto"/>
          <w:spacing w:val="-2"/>
          <w:sz w:val="24"/>
          <w:szCs w:val="24"/>
          <w:lang w:eastAsia="zh-CN"/>
        </w:rPr>
        <w:t>年的</w:t>
      </w:r>
      <w:r>
        <w:rPr>
          <w:rFonts w:ascii="Times New Roman" w:eastAsia="宋体" w:hAnsi="Times New Roman" w:cs="宋体" w:hint="eastAsia"/>
          <w:color w:val="auto"/>
          <w:spacing w:val="-2"/>
          <w:sz w:val="24"/>
          <w:szCs w:val="24"/>
          <w:lang w:eastAsia="zh-CN"/>
        </w:rPr>
        <w:t>87.3%</w:t>
      </w:r>
      <w:r>
        <w:rPr>
          <w:rFonts w:ascii="Times New Roman" w:eastAsia="宋体" w:hAnsi="Times New Roman" w:cs="宋体" w:hint="eastAsia"/>
          <w:color w:val="auto"/>
          <w:spacing w:val="-2"/>
          <w:sz w:val="24"/>
          <w:szCs w:val="24"/>
          <w:lang w:eastAsia="zh-CN"/>
        </w:rPr>
        <w:t>，这与海洋性季风气候特点相符。</w:t>
      </w:r>
    </w:p>
    <w:p w14:paraId="1CA5FBA2"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）风况</w:t>
      </w:r>
      <w:bookmarkEnd w:id="159"/>
      <w:bookmarkEnd w:id="160"/>
      <w:bookmarkEnd w:id="161"/>
      <w:bookmarkEnd w:id="162"/>
      <w:bookmarkEnd w:id="163"/>
      <w:bookmarkEnd w:id="164"/>
      <w:bookmarkEnd w:id="165"/>
    </w:p>
    <w:p w14:paraId="26B32D4D"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①风况月变化</w:t>
      </w:r>
    </w:p>
    <w:p w14:paraId="42DDA655"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统计</w:t>
      </w:r>
      <w:r>
        <w:rPr>
          <w:rFonts w:ascii="Times New Roman" w:eastAsia="宋体" w:hAnsi="Times New Roman" w:cs="宋体" w:hint="eastAsia"/>
          <w:color w:val="auto"/>
          <w:spacing w:val="-2"/>
          <w:sz w:val="24"/>
          <w:szCs w:val="24"/>
          <w:lang w:eastAsia="zh-CN"/>
        </w:rPr>
        <w:t>2009</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201</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年风速的月平均和季节变化，结果显示，年平均风速为</w:t>
      </w:r>
      <w:r>
        <w:rPr>
          <w:rFonts w:ascii="Times New Roman" w:eastAsia="宋体" w:hAnsi="Times New Roman" w:cs="宋体" w:hint="eastAsia"/>
          <w:color w:val="auto"/>
          <w:spacing w:val="-2"/>
          <w:sz w:val="24"/>
          <w:szCs w:val="24"/>
          <w:lang w:eastAsia="zh-CN"/>
        </w:rPr>
        <w:t>5.4m/s</w:t>
      </w:r>
      <w:r>
        <w:rPr>
          <w:rFonts w:ascii="Times New Roman" w:eastAsia="宋体" w:hAnsi="Times New Roman" w:cs="宋体" w:hint="eastAsia"/>
          <w:color w:val="auto"/>
          <w:spacing w:val="-2"/>
          <w:sz w:val="24"/>
          <w:szCs w:val="24"/>
          <w:lang w:eastAsia="zh-CN"/>
        </w:rPr>
        <w:t>，其中</w:t>
      </w:r>
      <w:r>
        <w:rPr>
          <w:rFonts w:ascii="Times New Roman" w:eastAsia="宋体" w:hAnsi="Times New Roman" w:cs="宋体" w:hint="eastAsia"/>
          <w:color w:val="auto"/>
          <w:spacing w:val="-2"/>
          <w:sz w:val="24"/>
          <w:szCs w:val="24"/>
          <w:lang w:eastAsia="zh-CN"/>
        </w:rPr>
        <w:t>10</w:t>
      </w:r>
      <w:r>
        <w:rPr>
          <w:rFonts w:ascii="Times New Roman" w:eastAsia="宋体" w:hAnsi="Times New Roman" w:cs="宋体" w:hint="eastAsia"/>
          <w:color w:val="auto"/>
          <w:spacing w:val="-2"/>
          <w:sz w:val="24"/>
          <w:szCs w:val="24"/>
          <w:lang w:eastAsia="zh-CN"/>
        </w:rPr>
        <w:t>月到翌年</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月风速较大，最大风速出现在</w:t>
      </w:r>
      <w:r>
        <w:rPr>
          <w:rFonts w:ascii="Times New Roman" w:eastAsia="宋体" w:hAnsi="Times New Roman" w:cs="宋体" w:hint="eastAsia"/>
          <w:color w:val="auto"/>
          <w:spacing w:val="-2"/>
          <w:sz w:val="24"/>
          <w:szCs w:val="24"/>
          <w:lang w:eastAsia="zh-CN"/>
        </w:rPr>
        <w:t>12</w:t>
      </w:r>
      <w:r>
        <w:rPr>
          <w:rFonts w:ascii="Times New Roman" w:eastAsia="宋体" w:hAnsi="Times New Roman" w:cs="宋体" w:hint="eastAsia"/>
          <w:color w:val="auto"/>
          <w:spacing w:val="-2"/>
          <w:sz w:val="24"/>
          <w:szCs w:val="24"/>
          <w:lang w:eastAsia="zh-CN"/>
        </w:rPr>
        <w:t>月，为</w:t>
      </w:r>
      <w:r>
        <w:rPr>
          <w:rFonts w:ascii="Times New Roman" w:eastAsia="宋体" w:hAnsi="Times New Roman" w:cs="宋体" w:hint="eastAsia"/>
          <w:color w:val="auto"/>
          <w:spacing w:val="-2"/>
          <w:sz w:val="24"/>
          <w:szCs w:val="24"/>
          <w:lang w:eastAsia="zh-CN"/>
        </w:rPr>
        <w:t>6.9m/s</w:t>
      </w:r>
      <w:r>
        <w:rPr>
          <w:rFonts w:ascii="Times New Roman" w:eastAsia="宋体" w:hAnsi="Times New Roman" w:cs="宋体" w:hint="eastAsia"/>
          <w:color w:val="auto"/>
          <w:spacing w:val="-2"/>
          <w:sz w:val="24"/>
          <w:szCs w:val="24"/>
          <w:lang w:eastAsia="zh-CN"/>
        </w:rPr>
        <w:t>，最小风速出现在</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hint="eastAsia"/>
          <w:color w:val="auto"/>
          <w:spacing w:val="-2"/>
          <w:sz w:val="24"/>
          <w:szCs w:val="24"/>
          <w:lang w:eastAsia="zh-CN"/>
        </w:rPr>
        <w:t>月份，为</w:t>
      </w:r>
      <w:r>
        <w:rPr>
          <w:rFonts w:ascii="Times New Roman" w:eastAsia="宋体" w:hAnsi="Times New Roman" w:cs="宋体" w:hint="eastAsia"/>
          <w:color w:val="auto"/>
          <w:spacing w:val="-2"/>
          <w:sz w:val="24"/>
          <w:szCs w:val="24"/>
          <w:lang w:eastAsia="zh-CN"/>
        </w:rPr>
        <w:t>4.0m/s</w:t>
      </w:r>
      <w:r>
        <w:rPr>
          <w:rFonts w:ascii="Times New Roman" w:eastAsia="宋体" w:hAnsi="Times New Roman" w:cs="宋体" w:hint="eastAsia"/>
          <w:color w:val="auto"/>
          <w:spacing w:val="-2"/>
          <w:sz w:val="24"/>
          <w:szCs w:val="24"/>
          <w:lang w:eastAsia="zh-CN"/>
        </w:rPr>
        <w:t>。在风速的季节变化中，秋冬季节风速相对较大，最大为冬季，平均风速为</w:t>
      </w:r>
      <w:r>
        <w:rPr>
          <w:rFonts w:ascii="Times New Roman" w:eastAsia="宋体" w:hAnsi="Times New Roman" w:cs="宋体" w:hint="eastAsia"/>
          <w:color w:val="auto"/>
          <w:spacing w:val="-2"/>
          <w:sz w:val="24"/>
          <w:szCs w:val="24"/>
          <w:lang w:eastAsia="zh-CN"/>
        </w:rPr>
        <w:t>6.5m/s</w:t>
      </w:r>
      <w:r>
        <w:rPr>
          <w:rFonts w:ascii="Times New Roman" w:eastAsia="宋体" w:hAnsi="Times New Roman" w:cs="宋体" w:hint="eastAsia"/>
          <w:color w:val="auto"/>
          <w:spacing w:val="-2"/>
          <w:sz w:val="24"/>
          <w:szCs w:val="24"/>
          <w:lang w:eastAsia="zh-CN"/>
        </w:rPr>
        <w:t>，而夏季的风速则最小，为</w:t>
      </w:r>
      <w:r>
        <w:rPr>
          <w:rFonts w:ascii="Times New Roman" w:eastAsia="宋体" w:hAnsi="Times New Roman" w:cs="宋体" w:hint="eastAsia"/>
          <w:color w:val="auto"/>
          <w:spacing w:val="-2"/>
          <w:sz w:val="24"/>
          <w:szCs w:val="24"/>
          <w:lang w:eastAsia="zh-CN"/>
        </w:rPr>
        <w:t>4.1m/s</w:t>
      </w:r>
      <w:r>
        <w:rPr>
          <w:rFonts w:ascii="Times New Roman" w:eastAsia="宋体" w:hAnsi="Times New Roman" w:cs="宋体" w:hint="eastAsia"/>
          <w:color w:val="auto"/>
          <w:spacing w:val="-2"/>
          <w:sz w:val="24"/>
          <w:szCs w:val="24"/>
          <w:lang w:eastAsia="zh-CN"/>
        </w:rPr>
        <w:t>。</w:t>
      </w:r>
    </w:p>
    <w:p w14:paraId="4C42F008"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②主导风向季节性变化</w:t>
      </w:r>
    </w:p>
    <w:p w14:paraId="3EFF44FD"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统计</w:t>
      </w:r>
      <w:r>
        <w:rPr>
          <w:rFonts w:ascii="Times New Roman" w:eastAsia="宋体" w:hAnsi="Times New Roman" w:cs="宋体" w:hint="eastAsia"/>
          <w:color w:val="auto"/>
          <w:spacing w:val="-2"/>
          <w:sz w:val="24"/>
          <w:szCs w:val="24"/>
          <w:lang w:eastAsia="zh-CN"/>
        </w:rPr>
        <w:t>2009</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2014</w:t>
      </w:r>
      <w:r>
        <w:rPr>
          <w:rFonts w:ascii="Times New Roman" w:eastAsia="宋体" w:hAnsi="Times New Roman" w:cs="宋体" w:hint="eastAsia"/>
          <w:color w:val="auto"/>
          <w:spacing w:val="-2"/>
          <w:sz w:val="24"/>
          <w:szCs w:val="24"/>
          <w:lang w:eastAsia="zh-CN"/>
        </w:rPr>
        <w:t>年逐日风向数据，春季以东风为主导，风向频率为</w:t>
      </w:r>
      <w:r>
        <w:rPr>
          <w:rFonts w:ascii="Times New Roman" w:eastAsia="宋体" w:hAnsi="Times New Roman" w:cs="宋体" w:hint="eastAsia"/>
          <w:color w:val="auto"/>
          <w:spacing w:val="-2"/>
          <w:sz w:val="24"/>
          <w:szCs w:val="24"/>
          <w:lang w:eastAsia="zh-CN"/>
        </w:rPr>
        <w:t>16.88%</w:t>
      </w:r>
      <w:r>
        <w:rPr>
          <w:rFonts w:ascii="Times New Roman" w:eastAsia="宋体" w:hAnsi="Times New Roman" w:cs="宋体" w:hint="eastAsia"/>
          <w:color w:val="auto"/>
          <w:spacing w:val="-2"/>
          <w:sz w:val="24"/>
          <w:szCs w:val="24"/>
          <w:lang w:eastAsia="zh-CN"/>
        </w:rPr>
        <w:t>，夏季以西南风为主，风向频率为</w:t>
      </w:r>
      <w:r>
        <w:rPr>
          <w:rFonts w:ascii="Times New Roman" w:eastAsia="宋体" w:hAnsi="Times New Roman" w:cs="宋体" w:hint="eastAsia"/>
          <w:color w:val="auto"/>
          <w:spacing w:val="-2"/>
          <w:sz w:val="24"/>
          <w:szCs w:val="24"/>
          <w:lang w:eastAsia="zh-CN"/>
        </w:rPr>
        <w:t>15.23%</w:t>
      </w:r>
      <w:r>
        <w:rPr>
          <w:rFonts w:ascii="Times New Roman" w:eastAsia="宋体" w:hAnsi="Times New Roman" w:cs="宋体" w:hint="eastAsia"/>
          <w:color w:val="auto"/>
          <w:spacing w:val="-2"/>
          <w:sz w:val="24"/>
          <w:szCs w:val="24"/>
          <w:lang w:eastAsia="zh-CN"/>
        </w:rPr>
        <w:t>，秋冬均以东北偏东风为主导风向，风向频率风别为</w:t>
      </w:r>
      <w:r>
        <w:rPr>
          <w:rFonts w:ascii="Times New Roman" w:eastAsia="宋体" w:hAnsi="Times New Roman" w:cs="宋体" w:hint="eastAsia"/>
          <w:color w:val="auto"/>
          <w:spacing w:val="-2"/>
          <w:sz w:val="24"/>
          <w:szCs w:val="24"/>
          <w:lang w:eastAsia="zh-CN"/>
        </w:rPr>
        <w:t>27.79%</w:t>
      </w:r>
      <w:r>
        <w:rPr>
          <w:rFonts w:ascii="Times New Roman" w:eastAsia="宋体" w:hAnsi="Times New Roman" w:cs="宋体" w:hint="eastAsia"/>
          <w:color w:val="auto"/>
          <w:spacing w:val="-2"/>
          <w:sz w:val="24"/>
          <w:szCs w:val="24"/>
          <w:lang w:eastAsia="zh-CN"/>
        </w:rPr>
        <w:t>和</w:t>
      </w:r>
      <w:r>
        <w:rPr>
          <w:rFonts w:ascii="Times New Roman" w:eastAsia="宋体" w:hAnsi="Times New Roman" w:cs="宋体" w:hint="eastAsia"/>
          <w:color w:val="auto"/>
          <w:spacing w:val="-2"/>
          <w:sz w:val="24"/>
          <w:szCs w:val="24"/>
          <w:lang w:eastAsia="zh-CN"/>
        </w:rPr>
        <w:t>29.36%</w:t>
      </w:r>
      <w:r>
        <w:rPr>
          <w:rFonts w:ascii="Times New Roman" w:eastAsia="宋体" w:hAnsi="Times New Roman" w:cs="宋体" w:hint="eastAsia"/>
          <w:color w:val="auto"/>
          <w:spacing w:val="-2"/>
          <w:sz w:val="24"/>
          <w:szCs w:val="24"/>
          <w:lang w:eastAsia="zh-CN"/>
        </w:rPr>
        <w:t>。全年风向主</w:t>
      </w:r>
      <w:r>
        <w:rPr>
          <w:rFonts w:ascii="Times New Roman" w:eastAsia="宋体" w:hAnsi="Times New Roman" w:cs="宋体" w:hint="eastAsia"/>
          <w:color w:val="auto"/>
          <w:spacing w:val="-2"/>
          <w:sz w:val="24"/>
          <w:szCs w:val="24"/>
          <w:lang w:eastAsia="zh-CN"/>
        </w:rPr>
        <w:t>要以东北偏东为主，频率为</w:t>
      </w:r>
      <w:r>
        <w:rPr>
          <w:rFonts w:ascii="Times New Roman" w:eastAsia="宋体" w:hAnsi="Times New Roman" w:cs="宋体" w:hint="eastAsia"/>
          <w:color w:val="auto"/>
          <w:spacing w:val="-2"/>
          <w:sz w:val="24"/>
          <w:szCs w:val="24"/>
          <w:lang w:eastAsia="zh-CN"/>
        </w:rPr>
        <w:t>18.36%</w:t>
      </w:r>
      <w:r>
        <w:rPr>
          <w:rFonts w:ascii="Times New Roman" w:eastAsia="宋体" w:hAnsi="Times New Roman" w:cs="宋体" w:hint="eastAsia"/>
          <w:color w:val="auto"/>
          <w:spacing w:val="-2"/>
          <w:sz w:val="24"/>
          <w:szCs w:val="24"/>
          <w:lang w:eastAsia="zh-CN"/>
        </w:rPr>
        <w:t>。</w:t>
      </w:r>
    </w:p>
    <w:p w14:paraId="62066ED5" w14:textId="77777777" w:rsidR="0075791A" w:rsidRDefault="0075791A">
      <w:pPr>
        <w:spacing w:line="43" w:lineRule="exact"/>
        <w:ind w:firstLine="2"/>
        <w:rPr>
          <w:rFonts w:ascii="Times New Roman" w:hAnsi="Times New Roman"/>
          <w:color w:val="auto"/>
          <w:lang w:eastAsia="zh-CN"/>
        </w:rPr>
      </w:pPr>
    </w:p>
    <w:p w14:paraId="2BD6C1D0"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166" w:name="_Toc4719"/>
      <w:r>
        <w:rPr>
          <w:rFonts w:ascii="Times New Roman" w:eastAsia="Times New Roman" w:hAnsi="Times New Roman" w:cs="Times New Roman" w:hint="eastAsia"/>
          <w:b/>
          <w:bCs/>
          <w:color w:val="auto"/>
          <w:spacing w:val="-3"/>
          <w:sz w:val="28"/>
          <w:szCs w:val="28"/>
          <w:lang w:eastAsia="zh-CN"/>
        </w:rPr>
        <w:t>3.2.2海洋水文动力</w:t>
      </w:r>
      <w:bookmarkEnd w:id="166"/>
    </w:p>
    <w:p w14:paraId="68D619A2" w14:textId="77777777" w:rsidR="0075791A" w:rsidRDefault="00FB2864">
      <w:pPr>
        <w:pStyle w:val="4"/>
        <w:spacing w:before="0" w:after="0" w:line="360" w:lineRule="auto"/>
        <w:rPr>
          <w:rFonts w:ascii="Times New Roman" w:hAnsi="Times New Roman"/>
          <w:color w:val="auto"/>
          <w:lang w:eastAsia="zh-CN"/>
        </w:rPr>
      </w:pPr>
      <w:hyperlink r:id="rId47" w:history="1">
        <w:r>
          <w:rPr>
            <w:rFonts w:ascii="Times New Roman" w:eastAsia="宋体" w:hAnsi="Times New Roman" w:hint="eastAsia"/>
            <w:color w:val="auto"/>
            <w:sz w:val="24"/>
            <w:szCs w:val="24"/>
            <w:lang w:eastAsia="zh-CN"/>
          </w:rPr>
          <w:t>3.</w:t>
        </w:r>
        <w:r>
          <w:rPr>
            <w:rFonts w:ascii="Times New Roman" w:eastAsia="宋体" w:hAnsi="Times New Roman"/>
            <w:color w:val="auto"/>
            <w:sz w:val="24"/>
            <w:szCs w:val="24"/>
            <w:lang w:eastAsia="zh-CN"/>
          </w:rPr>
          <w:t>2.2.</w:t>
        </w:r>
        <w:r>
          <w:rPr>
            <w:rFonts w:ascii="Times New Roman" w:eastAsia="宋体" w:hAnsi="Times New Roman" w:hint="eastAsia"/>
            <w:color w:val="auto"/>
            <w:sz w:val="24"/>
            <w:szCs w:val="24"/>
            <w:lang w:eastAsia="zh-CN"/>
          </w:rPr>
          <w:t>1</w:t>
        </w:r>
      </w:hyperlink>
      <w:r>
        <w:rPr>
          <w:rFonts w:ascii="Times New Roman" w:eastAsia="宋体" w:hAnsi="Times New Roman" w:hint="eastAsia"/>
          <w:color w:val="auto"/>
          <w:sz w:val="24"/>
          <w:szCs w:val="24"/>
          <w:lang w:eastAsia="zh-CN"/>
        </w:rPr>
        <w:t>海洋水文调查</w:t>
      </w:r>
    </w:p>
    <w:p w14:paraId="78A24A38"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2024</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10</w:t>
      </w:r>
      <w:r>
        <w:rPr>
          <w:rFonts w:ascii="Times New Roman" w:eastAsia="宋体" w:hAnsi="Times New Roman" w:cs="宋体" w:hint="eastAsia"/>
          <w:color w:val="auto"/>
          <w:spacing w:val="-2"/>
          <w:sz w:val="24"/>
          <w:szCs w:val="24"/>
          <w:lang w:eastAsia="zh-CN"/>
        </w:rPr>
        <w:t>月</w:t>
      </w:r>
      <w:r>
        <w:rPr>
          <w:rFonts w:ascii="Times New Roman" w:eastAsia="宋体" w:hAnsi="Times New Roman" w:cs="宋体" w:hint="eastAsia"/>
          <w:color w:val="auto"/>
          <w:spacing w:val="-2"/>
          <w:sz w:val="24"/>
          <w:szCs w:val="24"/>
          <w:lang w:eastAsia="zh-CN"/>
        </w:rPr>
        <w:t>09</w:t>
      </w:r>
      <w:r>
        <w:rPr>
          <w:rFonts w:ascii="Times New Roman" w:eastAsia="宋体" w:hAnsi="Times New Roman" w:cs="宋体" w:hint="eastAsia"/>
          <w:color w:val="auto"/>
          <w:spacing w:val="-2"/>
          <w:sz w:val="24"/>
          <w:szCs w:val="24"/>
          <w:lang w:eastAsia="zh-CN"/>
        </w:rPr>
        <w:t>日至</w:t>
      </w:r>
      <w:r>
        <w:rPr>
          <w:rFonts w:ascii="Times New Roman" w:eastAsia="宋体" w:hAnsi="Times New Roman" w:cs="宋体" w:hint="eastAsia"/>
          <w:color w:val="auto"/>
          <w:spacing w:val="-2"/>
          <w:sz w:val="24"/>
          <w:szCs w:val="24"/>
          <w:lang w:eastAsia="zh-CN"/>
        </w:rPr>
        <w:t>10</w:t>
      </w:r>
      <w:r>
        <w:rPr>
          <w:rFonts w:ascii="Times New Roman" w:eastAsia="宋体" w:hAnsi="Times New Roman" w:cs="宋体" w:hint="eastAsia"/>
          <w:color w:val="auto"/>
          <w:spacing w:val="-2"/>
          <w:sz w:val="24"/>
          <w:szCs w:val="24"/>
          <w:lang w:eastAsia="zh-CN"/>
        </w:rPr>
        <w:t>日（大潮），在铁炉港附近海域开展水文调查，水文调查要素主要包括：潮位、海流（流速、流向）、悬浮物，其中布设流速、流向、悬沙调查站位</w:t>
      </w:r>
      <w:r>
        <w:rPr>
          <w:rFonts w:ascii="Times New Roman" w:eastAsia="宋体" w:hAnsi="Times New Roman" w:cs="宋体" w:hint="eastAsia"/>
          <w:color w:val="auto"/>
          <w:spacing w:val="-2"/>
          <w:sz w:val="24"/>
          <w:szCs w:val="24"/>
          <w:lang w:eastAsia="zh-CN"/>
        </w:rPr>
        <w:t>6</w:t>
      </w:r>
      <w:r>
        <w:rPr>
          <w:rFonts w:ascii="Times New Roman" w:eastAsia="宋体" w:hAnsi="Times New Roman" w:cs="宋体" w:hint="eastAsia"/>
          <w:color w:val="auto"/>
          <w:spacing w:val="-2"/>
          <w:sz w:val="24"/>
          <w:szCs w:val="24"/>
          <w:lang w:eastAsia="zh-CN"/>
        </w:rPr>
        <w:t>个，潮位</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个，与海流观测同步。调查站位图及坐标见图</w:t>
      </w:r>
      <w:r>
        <w:rPr>
          <w:rFonts w:ascii="Times New Roman" w:eastAsia="宋体" w:hAnsi="Times New Roman" w:cs="宋体" w:hint="eastAsia"/>
          <w:color w:val="auto"/>
          <w:spacing w:val="-2"/>
          <w:sz w:val="24"/>
          <w:szCs w:val="24"/>
          <w:lang w:eastAsia="zh-CN"/>
        </w:rPr>
        <w:t>3.2.2-1</w:t>
      </w:r>
      <w:r>
        <w:rPr>
          <w:rFonts w:ascii="Times New Roman" w:eastAsia="宋体" w:hAnsi="Times New Roman" w:cs="宋体" w:hint="eastAsia"/>
          <w:color w:val="auto"/>
          <w:spacing w:val="-2"/>
          <w:sz w:val="24"/>
          <w:szCs w:val="24"/>
          <w:lang w:eastAsia="zh-CN"/>
        </w:rPr>
        <w:t>及表</w:t>
      </w:r>
      <w:r>
        <w:rPr>
          <w:rFonts w:ascii="Times New Roman" w:eastAsia="宋体" w:hAnsi="Times New Roman" w:cs="宋体" w:hint="eastAsia"/>
          <w:color w:val="auto"/>
          <w:spacing w:val="-2"/>
          <w:sz w:val="24"/>
          <w:szCs w:val="24"/>
          <w:lang w:eastAsia="zh-CN"/>
        </w:rPr>
        <w:t>3.2.2-1</w:t>
      </w:r>
      <w:r>
        <w:rPr>
          <w:rFonts w:ascii="Times New Roman" w:eastAsia="宋体" w:hAnsi="Times New Roman" w:cs="宋体" w:hint="eastAsia"/>
          <w:color w:val="auto"/>
          <w:spacing w:val="-2"/>
          <w:sz w:val="24"/>
          <w:szCs w:val="24"/>
          <w:lang w:eastAsia="zh-CN"/>
        </w:rPr>
        <w:t>。</w:t>
      </w:r>
    </w:p>
    <w:p w14:paraId="0506358B" w14:textId="77777777" w:rsidR="0075791A" w:rsidRDefault="00FB2864">
      <w:pPr>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表</w:t>
      </w:r>
      <w:r>
        <w:rPr>
          <w:rFonts w:ascii="Times New Roman" w:eastAsia="宋体" w:hAnsi="Times New Roman" w:cs="宋体" w:hint="eastAsia"/>
          <w:color w:val="auto"/>
          <w:spacing w:val="-4"/>
          <w:sz w:val="24"/>
          <w:szCs w:val="24"/>
          <w:lang w:eastAsia="zh-CN"/>
        </w:rPr>
        <w:t>3.2.2-1</w:t>
      </w:r>
      <w:r>
        <w:rPr>
          <w:rFonts w:ascii="Times New Roman" w:eastAsia="宋体" w:hAnsi="Times New Roman" w:cs="宋体" w:hint="eastAsia"/>
          <w:color w:val="auto"/>
          <w:spacing w:val="-4"/>
          <w:sz w:val="24"/>
          <w:szCs w:val="24"/>
          <w:lang w:eastAsia="zh-CN"/>
        </w:rPr>
        <w:t>水文观测站位表</w:t>
      </w:r>
    </w:p>
    <w:p w14:paraId="5A40B7E3" w14:textId="77777777" w:rsidR="0075791A" w:rsidRDefault="0075791A">
      <w:pPr>
        <w:spacing w:beforeLines="50" w:before="120"/>
        <w:jc w:val="center"/>
        <w:rPr>
          <w:rFonts w:ascii="Times New Roman" w:eastAsia="宋体" w:hAnsi="Times New Roman" w:cs="宋体"/>
          <w:color w:val="auto"/>
          <w:spacing w:val="-4"/>
          <w:sz w:val="24"/>
          <w:szCs w:val="24"/>
          <w:lang w:eastAsia="zh-CN"/>
        </w:rPr>
      </w:pPr>
    </w:p>
    <w:p w14:paraId="7FDB679D"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3.2.2-1</w:t>
      </w:r>
      <w:r>
        <w:rPr>
          <w:rFonts w:ascii="Times New Roman" w:eastAsia="宋体" w:hAnsi="Times New Roman" w:cs="宋体" w:hint="eastAsia"/>
          <w:color w:val="auto"/>
          <w:spacing w:val="-4"/>
          <w:sz w:val="24"/>
          <w:szCs w:val="24"/>
          <w:lang w:eastAsia="zh-CN"/>
        </w:rPr>
        <w:t>水文动力调查站位图</w:t>
      </w:r>
    </w:p>
    <w:p w14:paraId="1F22DE4F" w14:textId="77777777" w:rsidR="0075791A" w:rsidRDefault="00FB2864">
      <w:pPr>
        <w:spacing w:line="360" w:lineRule="auto"/>
        <w:outlineLvl w:val="3"/>
        <w:rPr>
          <w:rFonts w:ascii="Times New Roman" w:eastAsia="宋体" w:hAnsi="Times New Roman" w:cs="宋体"/>
          <w:color w:val="auto"/>
          <w:sz w:val="24"/>
          <w:szCs w:val="24"/>
          <w:lang w:eastAsia="zh-CN"/>
        </w:rPr>
      </w:pPr>
      <w:hyperlink r:id="rId48" w:history="1">
        <w:r>
          <w:rPr>
            <w:rFonts w:ascii="Times New Roman" w:eastAsia="宋体" w:hAnsi="Times New Roman" w:hint="eastAsia"/>
            <w:b/>
            <w:color w:val="auto"/>
            <w:sz w:val="24"/>
            <w:szCs w:val="24"/>
            <w:lang w:eastAsia="zh-CN"/>
          </w:rPr>
          <w:t>3.</w:t>
        </w:r>
        <w:r>
          <w:rPr>
            <w:rFonts w:ascii="Times New Roman" w:eastAsia="宋体" w:hAnsi="Times New Roman"/>
            <w:b/>
            <w:color w:val="auto"/>
            <w:sz w:val="24"/>
            <w:szCs w:val="24"/>
            <w:lang w:eastAsia="zh-CN"/>
          </w:rPr>
          <w:t>2.2.</w:t>
        </w:r>
        <w:r>
          <w:rPr>
            <w:rFonts w:ascii="Times New Roman" w:eastAsia="宋体" w:hAnsi="Times New Roman" w:hint="eastAsia"/>
            <w:b/>
            <w:color w:val="auto"/>
            <w:sz w:val="24"/>
            <w:szCs w:val="24"/>
            <w:lang w:eastAsia="zh-CN"/>
          </w:rPr>
          <w:t>2</w:t>
        </w:r>
      </w:hyperlink>
      <w:r>
        <w:rPr>
          <w:rFonts w:ascii="Times New Roman" w:eastAsia="宋体" w:hAnsi="Times New Roman"/>
          <w:b/>
          <w:color w:val="auto"/>
          <w:sz w:val="24"/>
          <w:szCs w:val="24"/>
          <w:lang w:eastAsia="zh-CN"/>
        </w:rPr>
        <w:t>潮汐特征</w:t>
      </w:r>
    </w:p>
    <w:p w14:paraId="17B7424F"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）潮高基准面</w:t>
      </w:r>
    </w:p>
    <w:p w14:paraId="6C77A0B8"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陵水固定验潮站位于陵水英州港，海棠湾北部，本次潮位观测，采用陵水站的潮位观测基准面，即国家</w:t>
      </w:r>
      <w:r>
        <w:rPr>
          <w:rFonts w:ascii="Times New Roman" w:eastAsia="宋体" w:hAnsi="Times New Roman" w:cs="宋体" w:hint="eastAsia"/>
          <w:color w:val="auto"/>
          <w:spacing w:val="-2"/>
          <w:sz w:val="24"/>
          <w:szCs w:val="24"/>
          <w:lang w:eastAsia="zh-CN"/>
        </w:rPr>
        <w:t>85</w:t>
      </w:r>
      <w:r>
        <w:rPr>
          <w:rFonts w:ascii="Times New Roman" w:eastAsia="宋体" w:hAnsi="Times New Roman" w:cs="宋体" w:hint="eastAsia"/>
          <w:color w:val="auto"/>
          <w:spacing w:val="-2"/>
          <w:sz w:val="24"/>
          <w:szCs w:val="24"/>
          <w:lang w:eastAsia="zh-CN"/>
        </w:rPr>
        <w:t>高程基准面。</w:t>
      </w:r>
    </w:p>
    <w:p w14:paraId="445DB2BF"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）实测潮位特征</w:t>
      </w:r>
    </w:p>
    <w:p w14:paraId="599F259F"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潮位观测期间，陵水站出现了一次高潮和一次低潮，最高潮位为</w:t>
      </w:r>
      <w:r>
        <w:rPr>
          <w:rFonts w:ascii="Times New Roman" w:eastAsia="宋体" w:hAnsi="Times New Roman" w:cs="宋体" w:hint="eastAsia"/>
          <w:color w:val="auto"/>
          <w:spacing w:val="-2"/>
          <w:sz w:val="24"/>
          <w:szCs w:val="24"/>
          <w:lang w:eastAsia="zh-CN"/>
        </w:rPr>
        <w:t>146cm</w:t>
      </w:r>
      <w:r>
        <w:rPr>
          <w:rFonts w:ascii="Times New Roman" w:eastAsia="宋体" w:hAnsi="Times New Roman" w:cs="宋体" w:hint="eastAsia"/>
          <w:color w:val="auto"/>
          <w:spacing w:val="-2"/>
          <w:sz w:val="24"/>
          <w:szCs w:val="24"/>
          <w:lang w:eastAsia="zh-CN"/>
        </w:rPr>
        <w:t>，发生在</w:t>
      </w:r>
      <w:r>
        <w:rPr>
          <w:rFonts w:ascii="Times New Roman" w:eastAsia="宋体" w:hAnsi="Times New Roman" w:cs="宋体" w:hint="eastAsia"/>
          <w:color w:val="auto"/>
          <w:spacing w:val="-2"/>
          <w:sz w:val="24"/>
          <w:szCs w:val="24"/>
          <w:lang w:eastAsia="zh-CN"/>
        </w:rPr>
        <w:t>10</w:t>
      </w:r>
      <w:r>
        <w:rPr>
          <w:rFonts w:ascii="Times New Roman" w:eastAsia="宋体" w:hAnsi="Times New Roman" w:cs="宋体" w:hint="eastAsia"/>
          <w:color w:val="auto"/>
          <w:spacing w:val="-2"/>
          <w:sz w:val="24"/>
          <w:szCs w:val="24"/>
          <w:lang w:eastAsia="zh-CN"/>
        </w:rPr>
        <w:t>月</w:t>
      </w:r>
      <w:r>
        <w:rPr>
          <w:rFonts w:ascii="Times New Roman" w:eastAsia="宋体" w:hAnsi="Times New Roman" w:cs="宋体" w:hint="eastAsia"/>
          <w:color w:val="auto"/>
          <w:spacing w:val="-2"/>
          <w:sz w:val="24"/>
          <w:szCs w:val="24"/>
          <w:lang w:eastAsia="zh-CN"/>
        </w:rPr>
        <w:t>10</w:t>
      </w:r>
      <w:r>
        <w:rPr>
          <w:rFonts w:ascii="Times New Roman" w:eastAsia="宋体" w:hAnsi="Times New Roman" w:cs="宋体" w:hint="eastAsia"/>
          <w:color w:val="auto"/>
          <w:spacing w:val="-2"/>
          <w:sz w:val="24"/>
          <w:szCs w:val="24"/>
          <w:lang w:eastAsia="zh-CN"/>
        </w:rPr>
        <w:t>日</w:t>
      </w:r>
      <w:r>
        <w:rPr>
          <w:rFonts w:ascii="Times New Roman" w:eastAsia="宋体" w:hAnsi="Times New Roman" w:cs="宋体" w:hint="eastAsia"/>
          <w:color w:val="auto"/>
          <w:spacing w:val="-2"/>
          <w:sz w:val="24"/>
          <w:szCs w:val="24"/>
          <w:lang w:eastAsia="zh-CN"/>
        </w:rPr>
        <w:t>02:00</w:t>
      </w:r>
      <w:r>
        <w:rPr>
          <w:rFonts w:ascii="Times New Roman" w:eastAsia="宋体" w:hAnsi="Times New Roman" w:cs="宋体" w:hint="eastAsia"/>
          <w:color w:val="auto"/>
          <w:spacing w:val="-2"/>
          <w:sz w:val="24"/>
          <w:szCs w:val="24"/>
          <w:lang w:eastAsia="zh-CN"/>
        </w:rPr>
        <w:t>；最低潮位为</w:t>
      </w:r>
      <w:r>
        <w:rPr>
          <w:rFonts w:ascii="Times New Roman" w:eastAsia="宋体" w:hAnsi="Times New Roman" w:cs="宋体" w:hint="eastAsia"/>
          <w:color w:val="auto"/>
          <w:spacing w:val="-2"/>
          <w:sz w:val="24"/>
          <w:szCs w:val="24"/>
          <w:lang w:eastAsia="zh-CN"/>
        </w:rPr>
        <w:t>22cm</w:t>
      </w:r>
      <w:r>
        <w:rPr>
          <w:rFonts w:ascii="Times New Roman" w:eastAsia="宋体" w:hAnsi="Times New Roman" w:cs="宋体" w:hint="eastAsia"/>
          <w:color w:val="auto"/>
          <w:spacing w:val="-2"/>
          <w:sz w:val="24"/>
          <w:szCs w:val="24"/>
          <w:lang w:eastAsia="zh-CN"/>
        </w:rPr>
        <w:t>，发生在</w:t>
      </w:r>
      <w:r>
        <w:rPr>
          <w:rFonts w:ascii="Times New Roman" w:eastAsia="宋体" w:hAnsi="Times New Roman" w:cs="宋体" w:hint="eastAsia"/>
          <w:color w:val="auto"/>
          <w:spacing w:val="-2"/>
          <w:sz w:val="24"/>
          <w:szCs w:val="24"/>
          <w:lang w:eastAsia="zh-CN"/>
        </w:rPr>
        <w:t>10</w:t>
      </w:r>
      <w:r>
        <w:rPr>
          <w:rFonts w:ascii="Times New Roman" w:eastAsia="宋体" w:hAnsi="Times New Roman" w:cs="宋体" w:hint="eastAsia"/>
          <w:color w:val="auto"/>
          <w:spacing w:val="-2"/>
          <w:sz w:val="24"/>
          <w:szCs w:val="24"/>
          <w:lang w:eastAsia="zh-CN"/>
        </w:rPr>
        <w:t>月</w:t>
      </w:r>
      <w:r>
        <w:rPr>
          <w:rFonts w:ascii="Times New Roman" w:eastAsia="宋体" w:hAnsi="Times New Roman" w:cs="宋体" w:hint="eastAsia"/>
          <w:color w:val="auto"/>
          <w:spacing w:val="-2"/>
          <w:sz w:val="24"/>
          <w:szCs w:val="24"/>
          <w:lang w:eastAsia="zh-CN"/>
        </w:rPr>
        <w:t>10</w:t>
      </w:r>
      <w:r>
        <w:rPr>
          <w:rFonts w:ascii="Times New Roman" w:eastAsia="宋体" w:hAnsi="Times New Roman" w:cs="宋体" w:hint="eastAsia"/>
          <w:color w:val="auto"/>
          <w:spacing w:val="-2"/>
          <w:sz w:val="24"/>
          <w:szCs w:val="24"/>
          <w:lang w:eastAsia="zh-CN"/>
        </w:rPr>
        <w:t>日</w:t>
      </w:r>
      <w:r>
        <w:rPr>
          <w:rFonts w:ascii="Times New Roman" w:eastAsia="宋体" w:hAnsi="Times New Roman" w:cs="宋体" w:hint="eastAsia"/>
          <w:color w:val="auto"/>
          <w:spacing w:val="-2"/>
          <w:sz w:val="24"/>
          <w:szCs w:val="24"/>
          <w:lang w:eastAsia="zh-CN"/>
        </w:rPr>
        <w:t>10:00</w:t>
      </w:r>
      <w:r>
        <w:rPr>
          <w:rFonts w:ascii="Times New Roman" w:eastAsia="宋体" w:hAnsi="Times New Roman" w:cs="宋体" w:hint="eastAsia"/>
          <w:color w:val="auto"/>
          <w:spacing w:val="-2"/>
          <w:sz w:val="24"/>
          <w:szCs w:val="24"/>
          <w:lang w:eastAsia="zh-CN"/>
        </w:rPr>
        <w:t>，最大潮差为</w:t>
      </w:r>
      <w:r>
        <w:rPr>
          <w:rFonts w:ascii="Times New Roman" w:eastAsia="宋体" w:hAnsi="Times New Roman" w:cs="宋体" w:hint="eastAsia"/>
          <w:color w:val="auto"/>
          <w:spacing w:val="-2"/>
          <w:sz w:val="24"/>
          <w:szCs w:val="24"/>
          <w:lang w:eastAsia="zh-CN"/>
        </w:rPr>
        <w:t>124cm</w:t>
      </w:r>
      <w:r>
        <w:rPr>
          <w:rFonts w:ascii="Times New Roman" w:eastAsia="宋体" w:hAnsi="Times New Roman" w:cs="宋体" w:hint="eastAsia"/>
          <w:color w:val="auto"/>
          <w:spacing w:val="-2"/>
          <w:sz w:val="24"/>
          <w:szCs w:val="24"/>
          <w:lang w:eastAsia="zh-CN"/>
        </w:rPr>
        <w:t>。</w:t>
      </w:r>
    </w:p>
    <w:p w14:paraId="4973359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lastRenderedPageBreak/>
        <w:t>为了更好的掌握该海域潮位特征，对比三亚固定潮位站同步潮位，三亚站潮汐特征与陵水站基本一致；高低潮潮位与陵水站基本一致，高潮时与陵水站一致，但低潮时晚于陵水站</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小时；涨潮期陵水站潮位高于三亚站，落潮时则相反。</w:t>
      </w:r>
    </w:p>
    <w:p w14:paraId="63DC43E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铁炉港内</w:t>
      </w:r>
      <w:r>
        <w:rPr>
          <w:rFonts w:ascii="Times New Roman" w:eastAsia="宋体" w:hAnsi="Times New Roman" w:cs="宋体" w:hint="eastAsia"/>
          <w:color w:val="auto"/>
          <w:spacing w:val="-2"/>
          <w:sz w:val="24"/>
          <w:szCs w:val="24"/>
          <w:lang w:eastAsia="zh-CN"/>
        </w:rPr>
        <w:t>L1</w:t>
      </w:r>
      <w:r>
        <w:rPr>
          <w:rFonts w:ascii="Times New Roman" w:eastAsia="宋体" w:hAnsi="Times New Roman" w:cs="宋体" w:hint="eastAsia"/>
          <w:color w:val="auto"/>
          <w:spacing w:val="-2"/>
          <w:sz w:val="24"/>
          <w:szCs w:val="24"/>
          <w:lang w:eastAsia="zh-CN"/>
        </w:rPr>
        <w:t>站潮位同时表现为一次一次高潮和一次低潮，高潮值略高于陵水站，高潮时与陵水站一致，但低潮值则高于陵水站，为</w:t>
      </w:r>
      <w:r>
        <w:rPr>
          <w:rFonts w:ascii="Times New Roman" w:eastAsia="宋体" w:hAnsi="Times New Roman" w:cs="宋体" w:hint="eastAsia"/>
          <w:color w:val="auto"/>
          <w:spacing w:val="-2"/>
          <w:sz w:val="24"/>
          <w:szCs w:val="24"/>
          <w:lang w:eastAsia="zh-CN"/>
        </w:rPr>
        <w:t>49cm</w:t>
      </w:r>
      <w:r>
        <w:rPr>
          <w:rFonts w:ascii="Times New Roman" w:eastAsia="宋体" w:hAnsi="Times New Roman" w:cs="宋体" w:hint="eastAsia"/>
          <w:color w:val="auto"/>
          <w:spacing w:val="-2"/>
          <w:sz w:val="24"/>
          <w:szCs w:val="24"/>
          <w:lang w:eastAsia="zh-CN"/>
        </w:rPr>
        <w:t>，且低潮时交陵水站延后</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小时。</w:t>
      </w:r>
    </w:p>
    <w:p w14:paraId="1426423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根据陵水站、三亚站长期潮位资料分析，陵水站、三亚站潮汐</w:t>
      </w:r>
      <w:r>
        <w:rPr>
          <w:rFonts w:ascii="Times New Roman" w:eastAsia="宋体" w:hAnsi="Times New Roman" w:cs="宋体" w:hint="eastAsia"/>
          <w:color w:val="auto"/>
          <w:spacing w:val="-2"/>
          <w:sz w:val="24"/>
          <w:szCs w:val="24"/>
          <w:lang w:eastAsia="zh-CN"/>
        </w:rPr>
        <w:t>R</w:t>
      </w:r>
      <w:r>
        <w:rPr>
          <w:rFonts w:ascii="Times New Roman" w:eastAsia="宋体" w:hAnsi="Times New Roman" w:cs="宋体" w:hint="eastAsia"/>
          <w:color w:val="auto"/>
          <w:spacing w:val="-2"/>
          <w:sz w:val="24"/>
          <w:szCs w:val="24"/>
          <w:lang w:eastAsia="zh-CN"/>
        </w:rPr>
        <w:t>值分别为</w:t>
      </w:r>
      <w:r>
        <w:rPr>
          <w:rFonts w:ascii="Times New Roman" w:eastAsia="宋体" w:hAnsi="Times New Roman" w:cs="宋体" w:hint="eastAsia"/>
          <w:color w:val="auto"/>
          <w:spacing w:val="-2"/>
          <w:sz w:val="24"/>
          <w:szCs w:val="24"/>
          <w:lang w:eastAsia="zh-CN"/>
        </w:rPr>
        <w:t>2.68</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3.30</w:t>
      </w:r>
      <w:r>
        <w:rPr>
          <w:rFonts w:ascii="Times New Roman" w:eastAsia="宋体" w:hAnsi="Times New Roman" w:cs="宋体" w:hint="eastAsia"/>
          <w:color w:val="auto"/>
          <w:spacing w:val="-2"/>
          <w:sz w:val="24"/>
          <w:szCs w:val="24"/>
          <w:lang w:eastAsia="zh-CN"/>
        </w:rPr>
        <w:t>，即该海域潮汐类型均为不正规全日潮。</w:t>
      </w:r>
    </w:p>
    <w:p w14:paraId="1AC752DC"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noProof/>
          <w:color w:val="auto"/>
          <w:spacing w:val="-4"/>
          <w:sz w:val="24"/>
          <w:szCs w:val="24"/>
          <w:lang w:eastAsia="zh-CN"/>
        </w:rPr>
        <w:drawing>
          <wp:inline distT="0" distB="0" distL="114300" distR="114300" wp14:anchorId="711EBBB4" wp14:editId="4313E30C">
            <wp:extent cx="5271135" cy="2892425"/>
            <wp:effectExtent l="0" t="0" r="1905" b="3175"/>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pic:cNvPicPr>
                      <a:picLocks noChangeAspect="1"/>
                    </pic:cNvPicPr>
                  </pic:nvPicPr>
                  <pic:blipFill>
                    <a:blip r:embed="rId49"/>
                    <a:stretch>
                      <a:fillRect/>
                    </a:stretch>
                  </pic:blipFill>
                  <pic:spPr>
                    <a:xfrm>
                      <a:off x="0" y="0"/>
                      <a:ext cx="5271135" cy="2892425"/>
                    </a:xfrm>
                    <a:prstGeom prst="rect">
                      <a:avLst/>
                    </a:prstGeom>
                    <a:noFill/>
                    <a:ln>
                      <a:noFill/>
                    </a:ln>
                  </pic:spPr>
                </pic:pic>
              </a:graphicData>
            </a:graphic>
          </wp:inline>
        </w:drawing>
      </w:r>
    </w:p>
    <w:p w14:paraId="6BC286B4"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3.2.2-2</w:t>
      </w:r>
      <w:r>
        <w:rPr>
          <w:rFonts w:ascii="Times New Roman" w:eastAsia="宋体" w:hAnsi="Times New Roman" w:cs="宋体" w:hint="eastAsia"/>
          <w:color w:val="auto"/>
          <w:spacing w:val="-4"/>
          <w:sz w:val="24"/>
          <w:szCs w:val="24"/>
          <w:lang w:eastAsia="zh-CN"/>
        </w:rPr>
        <w:t>验潮站实</w:t>
      </w:r>
      <w:r>
        <w:rPr>
          <w:rFonts w:ascii="Times New Roman" w:eastAsia="宋体" w:hAnsi="Times New Roman" w:cs="宋体" w:hint="eastAsia"/>
          <w:color w:val="auto"/>
          <w:spacing w:val="-4"/>
          <w:sz w:val="24"/>
          <w:szCs w:val="24"/>
          <w:lang w:eastAsia="zh-CN"/>
        </w:rPr>
        <w:t>测潮位图（</w:t>
      </w:r>
      <w:r>
        <w:rPr>
          <w:rFonts w:ascii="Times New Roman" w:eastAsia="宋体" w:hAnsi="Times New Roman" w:cs="宋体" w:hint="eastAsia"/>
          <w:color w:val="auto"/>
          <w:spacing w:val="-4"/>
          <w:sz w:val="24"/>
          <w:szCs w:val="24"/>
          <w:lang w:eastAsia="zh-CN"/>
        </w:rPr>
        <w:t>2024</w:t>
      </w:r>
      <w:r>
        <w:rPr>
          <w:rFonts w:ascii="Times New Roman" w:eastAsia="宋体" w:hAnsi="Times New Roman" w:cs="宋体" w:hint="eastAsia"/>
          <w:color w:val="auto"/>
          <w:spacing w:val="-4"/>
          <w:sz w:val="24"/>
          <w:szCs w:val="24"/>
          <w:lang w:eastAsia="zh-CN"/>
        </w:rPr>
        <w:t>年</w:t>
      </w:r>
      <w:r>
        <w:rPr>
          <w:rFonts w:ascii="Times New Roman" w:eastAsia="宋体" w:hAnsi="Times New Roman" w:cs="宋体" w:hint="eastAsia"/>
          <w:color w:val="auto"/>
          <w:spacing w:val="-4"/>
          <w:sz w:val="24"/>
          <w:szCs w:val="24"/>
          <w:lang w:eastAsia="zh-CN"/>
        </w:rPr>
        <w:t>10</w:t>
      </w:r>
      <w:r>
        <w:rPr>
          <w:rFonts w:ascii="Times New Roman" w:eastAsia="宋体" w:hAnsi="Times New Roman" w:cs="宋体" w:hint="eastAsia"/>
          <w:color w:val="auto"/>
          <w:spacing w:val="-4"/>
          <w:sz w:val="24"/>
          <w:szCs w:val="24"/>
          <w:lang w:eastAsia="zh-CN"/>
        </w:rPr>
        <w:t>月</w:t>
      </w:r>
      <w:r>
        <w:rPr>
          <w:rFonts w:ascii="Times New Roman" w:eastAsia="宋体" w:hAnsi="Times New Roman" w:cs="宋体" w:hint="eastAsia"/>
          <w:color w:val="auto"/>
          <w:spacing w:val="-4"/>
          <w:sz w:val="24"/>
          <w:szCs w:val="24"/>
          <w:lang w:eastAsia="zh-CN"/>
        </w:rPr>
        <w:t>9</w:t>
      </w:r>
      <w:r>
        <w:rPr>
          <w:rFonts w:ascii="Times New Roman" w:eastAsia="宋体" w:hAnsi="Times New Roman" w:cs="宋体" w:hint="eastAsia"/>
          <w:color w:val="auto"/>
          <w:spacing w:val="-4"/>
          <w:sz w:val="24"/>
          <w:szCs w:val="24"/>
          <w:lang w:eastAsia="zh-CN"/>
        </w:rPr>
        <w:t>日～</w:t>
      </w:r>
      <w:r>
        <w:rPr>
          <w:rFonts w:ascii="Times New Roman" w:eastAsia="宋体" w:hAnsi="Times New Roman" w:cs="宋体" w:hint="eastAsia"/>
          <w:color w:val="auto"/>
          <w:spacing w:val="-4"/>
          <w:sz w:val="24"/>
          <w:szCs w:val="24"/>
          <w:lang w:eastAsia="zh-CN"/>
        </w:rPr>
        <w:t>10</w:t>
      </w:r>
      <w:r>
        <w:rPr>
          <w:rFonts w:ascii="Times New Roman" w:eastAsia="宋体" w:hAnsi="Times New Roman" w:cs="宋体" w:hint="eastAsia"/>
          <w:color w:val="auto"/>
          <w:spacing w:val="-4"/>
          <w:sz w:val="24"/>
          <w:szCs w:val="24"/>
          <w:lang w:eastAsia="zh-CN"/>
        </w:rPr>
        <w:t>日，国家</w:t>
      </w:r>
      <w:r>
        <w:rPr>
          <w:rFonts w:ascii="Times New Roman" w:eastAsia="宋体" w:hAnsi="Times New Roman" w:cs="宋体" w:hint="eastAsia"/>
          <w:color w:val="auto"/>
          <w:spacing w:val="-4"/>
          <w:sz w:val="24"/>
          <w:szCs w:val="24"/>
          <w:lang w:eastAsia="zh-CN"/>
        </w:rPr>
        <w:t>85</w:t>
      </w:r>
      <w:r>
        <w:rPr>
          <w:rFonts w:ascii="Times New Roman" w:eastAsia="宋体" w:hAnsi="Times New Roman" w:cs="宋体" w:hint="eastAsia"/>
          <w:color w:val="auto"/>
          <w:spacing w:val="-4"/>
          <w:sz w:val="24"/>
          <w:szCs w:val="24"/>
          <w:lang w:eastAsia="zh-CN"/>
        </w:rPr>
        <w:t>基面）</w:t>
      </w:r>
    </w:p>
    <w:p w14:paraId="20B69DD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）三亚海棠湾海域潮汐统计特征</w:t>
      </w:r>
    </w:p>
    <w:p w14:paraId="18D294C8"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w:t>
      </w:r>
      <w:r>
        <w:rPr>
          <w:rFonts w:ascii="Times New Roman" w:eastAsia="宋体" w:hAnsi="Times New Roman" w:cs="宋体" w:hint="eastAsia"/>
          <w:color w:val="auto"/>
          <w:spacing w:val="-2"/>
          <w:sz w:val="24"/>
          <w:szCs w:val="24"/>
          <w:lang w:eastAsia="zh-CN"/>
        </w:rPr>
        <w:t>2024</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8</w:t>
      </w:r>
      <w:r>
        <w:rPr>
          <w:rFonts w:ascii="Times New Roman" w:eastAsia="宋体" w:hAnsi="Times New Roman" w:cs="宋体" w:hint="eastAsia"/>
          <w:color w:val="auto"/>
          <w:spacing w:val="-2"/>
          <w:sz w:val="24"/>
          <w:szCs w:val="24"/>
          <w:lang w:eastAsia="zh-CN"/>
        </w:rPr>
        <w:t>月</w:t>
      </w:r>
      <w:r>
        <w:rPr>
          <w:rFonts w:ascii="Times New Roman" w:eastAsia="宋体" w:hAnsi="Times New Roman" w:cs="宋体" w:hint="eastAsia"/>
          <w:color w:val="auto"/>
          <w:spacing w:val="-2"/>
          <w:sz w:val="24"/>
          <w:szCs w:val="24"/>
          <w:lang w:eastAsia="zh-CN"/>
        </w:rPr>
        <w:t>~12</w:t>
      </w:r>
      <w:r>
        <w:rPr>
          <w:rFonts w:ascii="Times New Roman" w:eastAsia="宋体" w:hAnsi="Times New Roman" w:cs="宋体" w:hint="eastAsia"/>
          <w:color w:val="auto"/>
          <w:spacing w:val="-2"/>
          <w:sz w:val="24"/>
          <w:szCs w:val="24"/>
          <w:lang w:eastAsia="zh-CN"/>
        </w:rPr>
        <w:t>月陵水固定验潮站潮汐观测资料统计分析，其潮位特征如下</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潮位基准面为</w:t>
      </w:r>
      <w:r>
        <w:rPr>
          <w:rFonts w:ascii="Times New Roman" w:eastAsia="宋体" w:hAnsi="Times New Roman" w:cs="宋体" w:hint="eastAsia"/>
          <w:color w:val="auto"/>
          <w:spacing w:val="-2"/>
          <w:sz w:val="24"/>
          <w:szCs w:val="24"/>
          <w:lang w:eastAsia="zh-CN"/>
        </w:rPr>
        <w:t>1985</w:t>
      </w:r>
      <w:r>
        <w:rPr>
          <w:rFonts w:ascii="Times New Roman" w:eastAsia="宋体" w:hAnsi="Times New Roman" w:cs="宋体" w:hint="eastAsia"/>
          <w:color w:val="auto"/>
          <w:spacing w:val="-2"/>
          <w:sz w:val="24"/>
          <w:szCs w:val="24"/>
          <w:lang w:eastAsia="zh-CN"/>
        </w:rPr>
        <w:t>高程基面</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w:t>
      </w:r>
    </w:p>
    <w:p w14:paraId="61A2754D"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平均海平面：</w:t>
      </w:r>
      <w:r>
        <w:rPr>
          <w:rFonts w:ascii="Times New Roman" w:eastAsia="宋体" w:hAnsi="Times New Roman" w:cs="宋体" w:hint="eastAsia"/>
          <w:color w:val="auto"/>
          <w:spacing w:val="-2"/>
          <w:sz w:val="24"/>
          <w:szCs w:val="24"/>
          <w:lang w:eastAsia="zh-CN"/>
        </w:rPr>
        <w:t>74cm</w:t>
      </w:r>
    </w:p>
    <w:p w14:paraId="307AF11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平均高潮位：</w:t>
      </w:r>
      <w:r>
        <w:rPr>
          <w:rFonts w:ascii="Times New Roman" w:eastAsia="宋体" w:hAnsi="Times New Roman" w:cs="宋体" w:hint="eastAsia"/>
          <w:color w:val="auto"/>
          <w:spacing w:val="-2"/>
          <w:sz w:val="24"/>
          <w:szCs w:val="24"/>
          <w:lang w:eastAsia="zh-CN"/>
        </w:rPr>
        <w:t>123cm</w:t>
      </w:r>
    </w:p>
    <w:p w14:paraId="77803C06"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平均低潮位：</w:t>
      </w:r>
      <w:r>
        <w:rPr>
          <w:rFonts w:ascii="Times New Roman" w:eastAsia="宋体" w:hAnsi="Times New Roman" w:cs="宋体" w:hint="eastAsia"/>
          <w:color w:val="auto"/>
          <w:spacing w:val="-2"/>
          <w:sz w:val="24"/>
          <w:szCs w:val="24"/>
          <w:lang w:eastAsia="zh-CN"/>
        </w:rPr>
        <w:t>27cm</w:t>
      </w:r>
    </w:p>
    <w:p w14:paraId="0D8B9A42"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highlight w:val="yellow"/>
          <w:lang w:eastAsia="zh-CN"/>
        </w:rPr>
      </w:pPr>
      <w:r>
        <w:rPr>
          <w:rFonts w:ascii="Times New Roman" w:eastAsia="宋体" w:hAnsi="Times New Roman" w:cs="宋体" w:hint="eastAsia"/>
          <w:color w:val="auto"/>
          <w:spacing w:val="-2"/>
          <w:sz w:val="24"/>
          <w:szCs w:val="24"/>
          <w:lang w:eastAsia="zh-CN"/>
        </w:rPr>
        <w:t>平均潮差：</w:t>
      </w:r>
      <w:r>
        <w:rPr>
          <w:rFonts w:ascii="Times New Roman" w:eastAsia="宋体" w:hAnsi="Times New Roman" w:cs="宋体" w:hint="eastAsia"/>
          <w:color w:val="auto"/>
          <w:spacing w:val="-2"/>
          <w:sz w:val="24"/>
          <w:szCs w:val="24"/>
          <w:lang w:eastAsia="zh-CN"/>
        </w:rPr>
        <w:t>28cm</w:t>
      </w:r>
    </w:p>
    <w:p w14:paraId="3FA994FE" w14:textId="77777777" w:rsidR="0075791A" w:rsidRDefault="00FB2864">
      <w:pPr>
        <w:spacing w:line="360" w:lineRule="auto"/>
        <w:outlineLvl w:val="3"/>
        <w:rPr>
          <w:rFonts w:ascii="Times New Roman" w:eastAsia="宋体" w:hAnsi="Times New Roman" w:cs="宋体"/>
          <w:color w:val="auto"/>
          <w:sz w:val="24"/>
          <w:szCs w:val="24"/>
          <w:lang w:eastAsia="zh-CN"/>
        </w:rPr>
      </w:pPr>
      <w:hyperlink r:id="rId50" w:history="1">
        <w:r>
          <w:rPr>
            <w:rFonts w:ascii="Times New Roman" w:eastAsia="宋体" w:hAnsi="Times New Roman" w:hint="eastAsia"/>
            <w:b/>
            <w:color w:val="auto"/>
            <w:sz w:val="24"/>
            <w:szCs w:val="24"/>
            <w:lang w:eastAsia="zh-CN"/>
          </w:rPr>
          <w:t>3.</w:t>
        </w:r>
        <w:r>
          <w:rPr>
            <w:rFonts w:ascii="Times New Roman" w:eastAsia="宋体" w:hAnsi="Times New Roman"/>
            <w:b/>
            <w:color w:val="auto"/>
            <w:sz w:val="24"/>
            <w:szCs w:val="24"/>
            <w:lang w:eastAsia="zh-CN"/>
          </w:rPr>
          <w:t>2.2.</w:t>
        </w:r>
        <w:r>
          <w:rPr>
            <w:rFonts w:ascii="Times New Roman" w:eastAsia="宋体" w:hAnsi="Times New Roman" w:hint="eastAsia"/>
            <w:b/>
            <w:color w:val="auto"/>
            <w:sz w:val="24"/>
            <w:szCs w:val="24"/>
            <w:lang w:eastAsia="zh-CN"/>
          </w:rPr>
          <w:t>3</w:t>
        </w:r>
      </w:hyperlink>
      <w:r>
        <w:rPr>
          <w:rFonts w:ascii="Times New Roman" w:eastAsia="宋体" w:hAnsi="Times New Roman"/>
          <w:b/>
          <w:color w:val="auto"/>
          <w:sz w:val="24"/>
          <w:szCs w:val="24"/>
          <w:lang w:eastAsia="zh-CN"/>
        </w:rPr>
        <w:t>实测海流统计分析</w:t>
      </w:r>
    </w:p>
    <w:p w14:paraId="67C5A4E5"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从海流的流态来看，铁炉港内各站海流表现为明显的往复流特征，各站各层海流流向一致，主导流向以</w:t>
      </w:r>
      <w:r>
        <w:rPr>
          <w:rFonts w:ascii="Times New Roman" w:eastAsia="宋体" w:hAnsi="Times New Roman" w:cs="宋体" w:hint="eastAsia"/>
          <w:color w:val="auto"/>
          <w:spacing w:val="-2"/>
          <w:sz w:val="24"/>
          <w:szCs w:val="24"/>
          <w:lang w:eastAsia="zh-CN"/>
        </w:rPr>
        <w:t>NW-SE</w:t>
      </w:r>
      <w:r>
        <w:rPr>
          <w:rFonts w:ascii="Times New Roman" w:eastAsia="宋体" w:hAnsi="Times New Roman" w:cs="宋体" w:hint="eastAsia"/>
          <w:color w:val="auto"/>
          <w:spacing w:val="-2"/>
          <w:sz w:val="24"/>
          <w:szCs w:val="24"/>
          <w:lang w:eastAsia="zh-CN"/>
        </w:rPr>
        <w:t>为主，即基本同岸线平行，这主要受地形影响，而港外</w:t>
      </w:r>
      <w:r>
        <w:rPr>
          <w:rFonts w:ascii="Times New Roman" w:eastAsia="宋体" w:hAnsi="Times New Roman" w:cs="宋体" w:hint="eastAsia"/>
          <w:color w:val="auto"/>
          <w:spacing w:val="-2"/>
          <w:sz w:val="24"/>
          <w:szCs w:val="24"/>
          <w:lang w:eastAsia="zh-CN"/>
        </w:rPr>
        <w:t>L5</w:t>
      </w:r>
      <w:r>
        <w:rPr>
          <w:rFonts w:ascii="Times New Roman" w:eastAsia="宋体" w:hAnsi="Times New Roman" w:cs="宋体" w:hint="eastAsia"/>
          <w:color w:val="auto"/>
          <w:spacing w:val="-2"/>
          <w:sz w:val="24"/>
          <w:szCs w:val="24"/>
          <w:lang w:eastAsia="zh-CN"/>
        </w:rPr>
        <w:t>为明显旋转流，而</w:t>
      </w:r>
      <w:r>
        <w:rPr>
          <w:rFonts w:ascii="Times New Roman" w:eastAsia="宋体" w:hAnsi="Times New Roman" w:cs="宋体" w:hint="eastAsia"/>
          <w:color w:val="auto"/>
          <w:spacing w:val="-2"/>
          <w:sz w:val="24"/>
          <w:szCs w:val="24"/>
          <w:lang w:eastAsia="zh-CN"/>
        </w:rPr>
        <w:t>L6</w:t>
      </w:r>
      <w:r>
        <w:rPr>
          <w:rFonts w:ascii="Times New Roman" w:eastAsia="宋体" w:hAnsi="Times New Roman" w:cs="宋体" w:hint="eastAsia"/>
          <w:color w:val="auto"/>
          <w:spacing w:val="-2"/>
          <w:sz w:val="24"/>
          <w:szCs w:val="24"/>
          <w:lang w:eastAsia="zh-CN"/>
        </w:rPr>
        <w:t>受岬角地形影响，海流主要表现为往复流，但以南向流为主，见图</w:t>
      </w:r>
      <w:r>
        <w:rPr>
          <w:rFonts w:ascii="Times New Roman" w:eastAsia="宋体" w:hAnsi="Times New Roman" w:cs="宋体" w:hint="eastAsia"/>
          <w:color w:val="auto"/>
          <w:spacing w:val="-4"/>
          <w:sz w:val="24"/>
          <w:szCs w:val="24"/>
          <w:lang w:eastAsia="zh-CN"/>
        </w:rPr>
        <w:t>3.2.2-3</w:t>
      </w:r>
      <w:r>
        <w:rPr>
          <w:rFonts w:ascii="Times New Roman" w:eastAsia="宋体" w:hAnsi="Times New Roman" w:cs="宋体" w:hint="eastAsia"/>
          <w:color w:val="auto"/>
          <w:spacing w:val="-2"/>
          <w:sz w:val="24"/>
          <w:szCs w:val="24"/>
          <w:lang w:eastAsia="zh-CN"/>
        </w:rPr>
        <w:t>。涨潮时，潮水涌入铁炉港内，流向沿海岸线，以西北、北向流为主；落潮时，潮水流出铁炉港，落潮流以东南、南向流为主，各站在不同层流向均较一致，转流时刻</w:t>
      </w:r>
      <w:r>
        <w:rPr>
          <w:rFonts w:ascii="Times New Roman" w:eastAsia="宋体" w:hAnsi="Times New Roman" w:cs="宋体" w:hint="eastAsia"/>
          <w:color w:val="auto"/>
          <w:spacing w:val="-2"/>
          <w:sz w:val="24"/>
          <w:szCs w:val="24"/>
          <w:lang w:eastAsia="zh-CN"/>
        </w:rPr>
        <w:lastRenderedPageBreak/>
        <w:t>也一致，具体见图</w:t>
      </w:r>
      <w:r>
        <w:rPr>
          <w:rFonts w:ascii="Times New Roman" w:eastAsia="宋体" w:hAnsi="Times New Roman" w:cs="宋体" w:hint="eastAsia"/>
          <w:color w:val="auto"/>
          <w:spacing w:val="-4"/>
          <w:sz w:val="24"/>
          <w:szCs w:val="24"/>
          <w:lang w:eastAsia="zh-CN"/>
        </w:rPr>
        <w:t>3.2.2-4</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图</w:t>
      </w:r>
      <w:r>
        <w:rPr>
          <w:rFonts w:ascii="Times New Roman" w:eastAsia="宋体" w:hAnsi="Times New Roman" w:cs="宋体" w:hint="eastAsia"/>
          <w:color w:val="auto"/>
          <w:spacing w:val="-4"/>
          <w:sz w:val="24"/>
          <w:szCs w:val="24"/>
          <w:lang w:eastAsia="zh-CN"/>
        </w:rPr>
        <w:t>3.2.2-9</w:t>
      </w:r>
      <w:r>
        <w:rPr>
          <w:rFonts w:ascii="Times New Roman" w:eastAsia="宋体" w:hAnsi="Times New Roman" w:cs="宋体" w:hint="eastAsia"/>
          <w:color w:val="auto"/>
          <w:spacing w:val="-2"/>
          <w:sz w:val="24"/>
          <w:szCs w:val="24"/>
          <w:lang w:eastAsia="zh-CN"/>
        </w:rPr>
        <w:t>。大潮期，各站实测海流在</w:t>
      </w:r>
      <w:r>
        <w:rPr>
          <w:rFonts w:ascii="Times New Roman" w:eastAsia="宋体" w:hAnsi="Times New Roman" w:cs="宋体" w:hint="eastAsia"/>
          <w:color w:val="auto"/>
          <w:spacing w:val="-2"/>
          <w:sz w:val="24"/>
          <w:szCs w:val="24"/>
          <w:lang w:eastAsia="zh-CN"/>
        </w:rPr>
        <w:t>26</w:t>
      </w:r>
      <w:r>
        <w:rPr>
          <w:rFonts w:ascii="Times New Roman" w:eastAsia="宋体" w:hAnsi="Times New Roman" w:cs="宋体" w:hint="eastAsia"/>
          <w:color w:val="auto"/>
          <w:spacing w:val="-2"/>
          <w:sz w:val="24"/>
          <w:szCs w:val="24"/>
          <w:lang w:eastAsia="zh-CN"/>
        </w:rPr>
        <w:t>小时观测期间转流</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次，在一个太阴日内转流</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次，</w:t>
      </w:r>
      <w:r>
        <w:rPr>
          <w:rFonts w:ascii="Times New Roman" w:eastAsia="宋体" w:hAnsi="Times New Roman" w:cs="宋体" w:hint="eastAsia"/>
          <w:color w:val="auto"/>
          <w:spacing w:val="-2"/>
          <w:sz w:val="24"/>
          <w:szCs w:val="24"/>
          <w:lang w:eastAsia="zh-CN"/>
        </w:rPr>
        <w:t>各站在不同层转流时刻较为一致。</w:t>
      </w:r>
    </w:p>
    <w:p w14:paraId="2453D01E" w14:textId="77777777" w:rsidR="0075791A" w:rsidRDefault="00FB2864">
      <w:pPr>
        <w:pStyle w:val="a0"/>
        <w:kinsoku/>
        <w:autoSpaceDE/>
        <w:autoSpaceDN/>
        <w:ind w:firstLineChars="0" w:firstLine="0"/>
        <w:jc w:val="center"/>
        <w:textAlignment w:val="auto"/>
        <w:rPr>
          <w:rFonts w:ascii="Times New Roman" w:eastAsia="宋体" w:hAnsi="Times New Roman"/>
          <w:color w:val="auto"/>
          <w:lang w:eastAsia="zh-CN"/>
        </w:rPr>
      </w:pPr>
      <w:r>
        <w:rPr>
          <w:rFonts w:ascii="Times New Roman" w:eastAsia="宋体" w:hAnsi="Times New Roman" w:hint="eastAsia"/>
          <w:noProof/>
          <w:color w:val="auto"/>
          <w:lang w:eastAsia="zh-CN"/>
        </w:rPr>
        <w:drawing>
          <wp:inline distT="0" distB="0" distL="114300" distR="114300" wp14:anchorId="6CFA2A89" wp14:editId="543EA82E">
            <wp:extent cx="4507230" cy="3324225"/>
            <wp:effectExtent l="0" t="0" r="3810" b="13335"/>
            <wp:docPr id="49" name="图片 5" descr="7insu1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 descr="7insu1秋"/>
                    <pic:cNvPicPr>
                      <a:picLocks noChangeAspect="1"/>
                    </pic:cNvPicPr>
                  </pic:nvPicPr>
                  <pic:blipFill>
                    <a:blip r:embed="rId51"/>
                    <a:srcRect l="5807" t="10022" r="8664" b="5894"/>
                    <a:stretch>
                      <a:fillRect/>
                    </a:stretch>
                  </pic:blipFill>
                  <pic:spPr>
                    <a:xfrm>
                      <a:off x="0" y="0"/>
                      <a:ext cx="4507230" cy="3324225"/>
                    </a:xfrm>
                    <a:prstGeom prst="rect">
                      <a:avLst/>
                    </a:prstGeom>
                    <a:noFill/>
                    <a:ln>
                      <a:noFill/>
                    </a:ln>
                  </pic:spPr>
                </pic:pic>
              </a:graphicData>
            </a:graphic>
          </wp:inline>
        </w:drawing>
      </w:r>
    </w:p>
    <w:p w14:paraId="3E63CA18" w14:textId="77777777" w:rsidR="0075791A" w:rsidRDefault="00FB2864">
      <w:pPr>
        <w:widowControl w:val="0"/>
        <w:kinsoku/>
        <w:autoSpaceDE/>
        <w:autoSpaceDN/>
        <w:spacing w:line="360" w:lineRule="auto"/>
        <w:jc w:val="center"/>
        <w:textAlignment w:val="auto"/>
        <w:rPr>
          <w:rFonts w:ascii="Times New Roman" w:hAnsi="Times New Roman"/>
          <w:color w:val="auto"/>
          <w:sz w:val="24"/>
          <w:szCs w:val="24"/>
          <w:lang w:eastAsia="zh-CN"/>
        </w:rPr>
      </w:pPr>
      <w:r>
        <w:rPr>
          <w:rFonts w:ascii="Times New Roman" w:eastAsia="宋体" w:hAnsi="Times New Roman" w:cs="黑体" w:hint="eastAsia"/>
          <w:color w:val="auto"/>
          <w:sz w:val="24"/>
          <w:szCs w:val="24"/>
          <w:lang w:eastAsia="zh-CN"/>
        </w:rPr>
        <w:t>图</w:t>
      </w:r>
      <w:r>
        <w:rPr>
          <w:rFonts w:ascii="Times New Roman" w:eastAsia="宋体" w:hAnsi="Times New Roman" w:cs="宋体" w:hint="eastAsia"/>
          <w:color w:val="auto"/>
          <w:spacing w:val="-4"/>
          <w:sz w:val="24"/>
          <w:szCs w:val="24"/>
          <w:lang w:eastAsia="zh-CN"/>
        </w:rPr>
        <w:t>3.2.2-3</w:t>
      </w:r>
      <w:r>
        <w:rPr>
          <w:rFonts w:ascii="Times New Roman" w:hAnsi="Times New Roman"/>
          <w:color w:val="auto"/>
          <w:sz w:val="24"/>
          <w:szCs w:val="24"/>
          <w:lang w:eastAsia="zh-CN"/>
        </w:rPr>
        <w:t>各站</w:t>
      </w:r>
      <w:r>
        <w:rPr>
          <w:rFonts w:ascii="Times New Roman" w:hAnsi="Times New Roman" w:hint="eastAsia"/>
          <w:color w:val="auto"/>
          <w:sz w:val="24"/>
          <w:szCs w:val="24"/>
          <w:lang w:eastAsia="zh-CN"/>
        </w:rPr>
        <w:t>大潮</w:t>
      </w:r>
      <w:r>
        <w:rPr>
          <w:rFonts w:ascii="Times New Roman" w:hAnsi="Times New Roman" w:hint="eastAsia"/>
          <w:color w:val="auto"/>
          <w:sz w:val="24"/>
          <w:szCs w:val="24"/>
          <w:lang w:eastAsia="zh-CN"/>
        </w:rPr>
        <w:t>垂向平均</w:t>
      </w:r>
      <w:r>
        <w:rPr>
          <w:rFonts w:ascii="Times New Roman" w:hAnsi="Times New Roman" w:hint="eastAsia"/>
          <w:color w:val="auto"/>
          <w:sz w:val="24"/>
          <w:szCs w:val="24"/>
          <w:lang w:eastAsia="zh-CN"/>
        </w:rPr>
        <w:t>海流玫瑰图</w:t>
      </w:r>
      <w:r>
        <w:rPr>
          <w:rFonts w:ascii="Times New Roman" w:hAnsi="Times New Roman" w:hint="eastAsia"/>
          <w:color w:val="auto"/>
          <w:sz w:val="24"/>
          <w:szCs w:val="24"/>
          <w:lang w:eastAsia="zh-CN"/>
        </w:rPr>
        <w:t>（</w:t>
      </w:r>
      <w:r>
        <w:rPr>
          <w:rFonts w:ascii="Times New Roman" w:hAnsi="Times New Roman"/>
          <w:color w:val="auto"/>
          <w:sz w:val="24"/>
          <w:szCs w:val="24"/>
          <w:lang w:eastAsia="zh-CN"/>
        </w:rPr>
        <w:t>20</w:t>
      </w:r>
      <w:r>
        <w:rPr>
          <w:rFonts w:ascii="Times New Roman" w:hAnsi="Times New Roman" w:hint="eastAsia"/>
          <w:color w:val="auto"/>
          <w:sz w:val="24"/>
          <w:szCs w:val="24"/>
          <w:lang w:eastAsia="zh-CN"/>
        </w:rPr>
        <w:t>2</w:t>
      </w:r>
      <w:r>
        <w:rPr>
          <w:rFonts w:ascii="Times New Roman" w:hAnsi="Times New Roman" w:hint="eastAsia"/>
          <w:color w:val="auto"/>
          <w:sz w:val="24"/>
          <w:szCs w:val="24"/>
          <w:lang w:eastAsia="zh-CN"/>
        </w:rPr>
        <w:t>4</w:t>
      </w:r>
      <w:r>
        <w:rPr>
          <w:rFonts w:ascii="Times New Roman" w:hAnsi="Times New Roman"/>
          <w:color w:val="auto"/>
          <w:sz w:val="24"/>
          <w:szCs w:val="24"/>
          <w:lang w:eastAsia="zh-CN"/>
        </w:rPr>
        <w:t>年</w:t>
      </w:r>
      <w:r>
        <w:rPr>
          <w:rFonts w:ascii="Times New Roman" w:hAnsi="Times New Roman" w:hint="eastAsia"/>
          <w:color w:val="auto"/>
          <w:sz w:val="24"/>
          <w:szCs w:val="24"/>
          <w:lang w:eastAsia="zh-CN"/>
        </w:rPr>
        <w:t>10</w:t>
      </w:r>
      <w:r>
        <w:rPr>
          <w:rFonts w:ascii="Times New Roman" w:hAnsi="Times New Roman"/>
          <w:color w:val="auto"/>
          <w:sz w:val="24"/>
          <w:szCs w:val="24"/>
          <w:lang w:eastAsia="zh-CN"/>
        </w:rPr>
        <w:t>月</w:t>
      </w:r>
      <w:r>
        <w:rPr>
          <w:rFonts w:ascii="Times New Roman" w:hAnsi="Times New Roman" w:hint="eastAsia"/>
          <w:color w:val="auto"/>
          <w:sz w:val="24"/>
          <w:szCs w:val="24"/>
          <w:lang w:eastAsia="zh-CN"/>
        </w:rPr>
        <w:t>09</w:t>
      </w:r>
      <w:r>
        <w:rPr>
          <w:rFonts w:ascii="Times New Roman" w:hAnsi="Times New Roman"/>
          <w:color w:val="auto"/>
          <w:sz w:val="24"/>
          <w:szCs w:val="24"/>
          <w:lang w:eastAsia="zh-CN"/>
        </w:rPr>
        <w:t>～</w:t>
      </w:r>
      <w:r>
        <w:rPr>
          <w:rFonts w:ascii="Times New Roman" w:hAnsi="Times New Roman" w:hint="eastAsia"/>
          <w:color w:val="auto"/>
          <w:sz w:val="24"/>
          <w:szCs w:val="24"/>
          <w:lang w:eastAsia="zh-CN"/>
        </w:rPr>
        <w:t>10</w:t>
      </w:r>
      <w:r>
        <w:rPr>
          <w:rFonts w:ascii="Times New Roman" w:hAnsi="Times New Roman"/>
          <w:color w:val="auto"/>
          <w:sz w:val="24"/>
          <w:szCs w:val="24"/>
          <w:lang w:eastAsia="zh-CN"/>
        </w:rPr>
        <w:t>日</w:t>
      </w:r>
      <w:r>
        <w:rPr>
          <w:rFonts w:ascii="Times New Roman" w:hAnsi="Times New Roman" w:hint="eastAsia"/>
          <w:color w:val="auto"/>
          <w:sz w:val="24"/>
          <w:szCs w:val="24"/>
          <w:lang w:eastAsia="zh-CN"/>
        </w:rPr>
        <w:t>）</w:t>
      </w:r>
    </w:p>
    <w:p w14:paraId="154CC13B" w14:textId="77777777" w:rsidR="0075791A" w:rsidRDefault="00FB2864">
      <w:pPr>
        <w:pStyle w:val="22"/>
        <w:adjustRightInd w:val="0"/>
        <w:snapToGrid w:val="0"/>
        <w:spacing w:line="240" w:lineRule="auto"/>
        <w:ind w:firstLine="0"/>
        <w:jc w:val="center"/>
      </w:pPr>
      <w:r>
        <w:rPr>
          <w:rFonts w:hint="eastAsia"/>
          <w:noProof/>
        </w:rPr>
        <w:drawing>
          <wp:inline distT="0" distB="0" distL="114300" distR="114300" wp14:anchorId="02C6C175" wp14:editId="1DF869B1">
            <wp:extent cx="5269865" cy="3953510"/>
            <wp:effectExtent l="0" t="0" r="3175" b="8890"/>
            <wp:docPr id="51" name="图片 6" descr="秋timeserious_insu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descr="秋timeserious_insu_1"/>
                    <pic:cNvPicPr>
                      <a:picLocks noChangeAspect="1"/>
                    </pic:cNvPicPr>
                  </pic:nvPicPr>
                  <pic:blipFill>
                    <a:blip r:embed="rId52"/>
                    <a:stretch>
                      <a:fillRect/>
                    </a:stretch>
                  </pic:blipFill>
                  <pic:spPr>
                    <a:xfrm>
                      <a:off x="0" y="0"/>
                      <a:ext cx="5269865" cy="3953510"/>
                    </a:xfrm>
                    <a:prstGeom prst="rect">
                      <a:avLst/>
                    </a:prstGeom>
                    <a:noFill/>
                    <a:ln>
                      <a:noFill/>
                    </a:ln>
                  </pic:spPr>
                </pic:pic>
              </a:graphicData>
            </a:graphic>
          </wp:inline>
        </w:drawing>
      </w:r>
    </w:p>
    <w:p w14:paraId="3C9DA4FD" w14:textId="77777777" w:rsidR="0075791A" w:rsidRDefault="00FB2864">
      <w:pPr>
        <w:pStyle w:val="22"/>
        <w:adjustRightInd w:val="0"/>
        <w:snapToGrid w:val="0"/>
        <w:spacing w:line="240" w:lineRule="auto"/>
        <w:ind w:firstLine="0"/>
        <w:jc w:val="center"/>
      </w:pPr>
      <w:r>
        <w:rPr>
          <w:rFonts w:hint="eastAsia"/>
        </w:rPr>
        <w:t>图</w:t>
      </w:r>
      <w:r>
        <w:rPr>
          <w:rFonts w:cs="宋体" w:hint="eastAsia"/>
          <w:spacing w:val="-4"/>
        </w:rPr>
        <w:t>3.</w:t>
      </w:r>
      <w:r>
        <w:rPr>
          <w:rFonts w:cs="宋体" w:hint="eastAsia"/>
          <w:spacing w:val="-4"/>
        </w:rPr>
        <w:t>2.2-</w:t>
      </w:r>
      <w:r>
        <w:rPr>
          <w:rFonts w:cs="宋体" w:hint="eastAsia"/>
          <w:spacing w:val="-4"/>
        </w:rPr>
        <w:t>4</w:t>
      </w:r>
      <w:r>
        <w:rPr>
          <w:rFonts w:hint="eastAsia"/>
        </w:rPr>
        <w:t>大潮</w:t>
      </w:r>
      <w:r>
        <w:t>期</w:t>
      </w:r>
      <w:r>
        <w:rPr>
          <w:rFonts w:hint="eastAsia"/>
        </w:rPr>
        <w:t>L</w:t>
      </w:r>
      <w:r>
        <w:rPr>
          <w:rFonts w:hint="eastAsia"/>
        </w:rPr>
        <w:t>1</w:t>
      </w:r>
      <w:r>
        <w:t>站</w:t>
      </w:r>
      <w:r>
        <w:rPr>
          <w:rFonts w:hint="eastAsia"/>
        </w:rPr>
        <w:t>海流过程矢量图</w:t>
      </w:r>
    </w:p>
    <w:p w14:paraId="06CF4C5D" w14:textId="77777777" w:rsidR="0075791A" w:rsidRDefault="00FB2864">
      <w:pPr>
        <w:pStyle w:val="22"/>
        <w:adjustRightInd w:val="0"/>
        <w:snapToGrid w:val="0"/>
        <w:spacing w:line="240" w:lineRule="auto"/>
        <w:ind w:firstLine="0"/>
        <w:jc w:val="center"/>
      </w:pPr>
      <w:r>
        <w:rPr>
          <w:rFonts w:hint="eastAsia"/>
          <w:noProof/>
        </w:rPr>
        <w:lastRenderedPageBreak/>
        <w:drawing>
          <wp:inline distT="0" distB="0" distL="114300" distR="114300" wp14:anchorId="5DFB6A04" wp14:editId="111F0D92">
            <wp:extent cx="5269865" cy="3953510"/>
            <wp:effectExtent l="0" t="0" r="3175" b="8890"/>
            <wp:docPr id="54" name="图片 7" descr="秋timeserious_insu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descr="秋timeserious_insu_2"/>
                    <pic:cNvPicPr>
                      <a:picLocks noChangeAspect="1"/>
                    </pic:cNvPicPr>
                  </pic:nvPicPr>
                  <pic:blipFill>
                    <a:blip r:embed="rId53"/>
                    <a:stretch>
                      <a:fillRect/>
                    </a:stretch>
                  </pic:blipFill>
                  <pic:spPr>
                    <a:xfrm>
                      <a:off x="0" y="0"/>
                      <a:ext cx="5269865" cy="3953510"/>
                    </a:xfrm>
                    <a:prstGeom prst="rect">
                      <a:avLst/>
                    </a:prstGeom>
                    <a:noFill/>
                    <a:ln>
                      <a:noFill/>
                    </a:ln>
                  </pic:spPr>
                </pic:pic>
              </a:graphicData>
            </a:graphic>
          </wp:inline>
        </w:drawing>
      </w:r>
    </w:p>
    <w:p w14:paraId="59B14614" w14:textId="77777777" w:rsidR="0075791A" w:rsidRDefault="00FB2864">
      <w:pPr>
        <w:pStyle w:val="22"/>
        <w:adjustRightInd w:val="0"/>
        <w:snapToGrid w:val="0"/>
        <w:spacing w:line="240" w:lineRule="auto"/>
        <w:ind w:firstLine="0"/>
        <w:jc w:val="center"/>
      </w:pPr>
      <w:r>
        <w:rPr>
          <w:rFonts w:hint="eastAsia"/>
        </w:rPr>
        <w:t>图</w:t>
      </w:r>
      <w:r>
        <w:rPr>
          <w:rFonts w:cs="宋体" w:hint="eastAsia"/>
          <w:spacing w:val="-4"/>
        </w:rPr>
        <w:t>3.</w:t>
      </w:r>
      <w:r>
        <w:rPr>
          <w:rFonts w:cs="宋体" w:hint="eastAsia"/>
          <w:spacing w:val="-4"/>
        </w:rPr>
        <w:t>2.2-</w:t>
      </w:r>
      <w:r>
        <w:rPr>
          <w:rFonts w:cs="宋体" w:hint="eastAsia"/>
          <w:spacing w:val="-4"/>
        </w:rPr>
        <w:t>5</w:t>
      </w:r>
      <w:r>
        <w:rPr>
          <w:rFonts w:hint="eastAsia"/>
        </w:rPr>
        <w:t>大潮</w:t>
      </w:r>
      <w:r>
        <w:t>期</w:t>
      </w:r>
      <w:r>
        <w:rPr>
          <w:rFonts w:hint="eastAsia"/>
        </w:rPr>
        <w:t>L</w:t>
      </w:r>
      <w:r>
        <w:rPr>
          <w:rFonts w:hint="eastAsia"/>
        </w:rPr>
        <w:t>2</w:t>
      </w:r>
      <w:r>
        <w:t>站</w:t>
      </w:r>
      <w:r>
        <w:rPr>
          <w:rFonts w:hint="eastAsia"/>
        </w:rPr>
        <w:t>海流过程矢量图</w:t>
      </w:r>
    </w:p>
    <w:p w14:paraId="00DA533F" w14:textId="77777777" w:rsidR="0075791A" w:rsidRDefault="00FB2864">
      <w:pPr>
        <w:pStyle w:val="21"/>
        <w:widowControl w:val="0"/>
        <w:kinsoku/>
        <w:autoSpaceDE/>
        <w:autoSpaceDN/>
        <w:spacing w:after="0"/>
        <w:ind w:leftChars="0" w:left="0" w:firstLineChars="0" w:firstLine="0"/>
        <w:jc w:val="center"/>
        <w:textAlignment w:val="auto"/>
        <w:rPr>
          <w:rFonts w:ascii="Times New Roman" w:hAnsi="Times New Roman"/>
          <w:color w:val="auto"/>
          <w:lang w:eastAsia="zh-CN"/>
        </w:rPr>
      </w:pPr>
      <w:r>
        <w:rPr>
          <w:rFonts w:ascii="Times New Roman" w:hAnsi="Times New Roman"/>
          <w:noProof/>
          <w:color w:val="auto"/>
          <w:lang w:eastAsia="zh-CN"/>
        </w:rPr>
        <w:drawing>
          <wp:inline distT="0" distB="0" distL="114300" distR="114300" wp14:anchorId="6F586604" wp14:editId="2D4E8856">
            <wp:extent cx="5269865" cy="3953510"/>
            <wp:effectExtent l="0" t="0" r="3175" b="8890"/>
            <wp:docPr id="52" name="图片 8" descr="秋timeserious_insu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descr="秋timeserious_insu_3"/>
                    <pic:cNvPicPr>
                      <a:picLocks noChangeAspect="1"/>
                    </pic:cNvPicPr>
                  </pic:nvPicPr>
                  <pic:blipFill>
                    <a:blip r:embed="rId54"/>
                    <a:stretch>
                      <a:fillRect/>
                    </a:stretch>
                  </pic:blipFill>
                  <pic:spPr>
                    <a:xfrm>
                      <a:off x="0" y="0"/>
                      <a:ext cx="5269865" cy="3953510"/>
                    </a:xfrm>
                    <a:prstGeom prst="rect">
                      <a:avLst/>
                    </a:prstGeom>
                    <a:noFill/>
                    <a:ln>
                      <a:noFill/>
                    </a:ln>
                  </pic:spPr>
                </pic:pic>
              </a:graphicData>
            </a:graphic>
          </wp:inline>
        </w:drawing>
      </w:r>
    </w:p>
    <w:p w14:paraId="52B85387" w14:textId="77777777" w:rsidR="0075791A" w:rsidRDefault="00FB2864">
      <w:pPr>
        <w:pStyle w:val="22"/>
        <w:adjustRightInd w:val="0"/>
        <w:snapToGrid w:val="0"/>
        <w:spacing w:line="240" w:lineRule="auto"/>
        <w:ind w:firstLine="0"/>
        <w:jc w:val="center"/>
      </w:pPr>
      <w:r>
        <w:rPr>
          <w:rFonts w:hint="eastAsia"/>
        </w:rPr>
        <w:t>图</w:t>
      </w:r>
      <w:r>
        <w:rPr>
          <w:rFonts w:cs="宋体" w:hint="eastAsia"/>
          <w:spacing w:val="-4"/>
        </w:rPr>
        <w:t>3.</w:t>
      </w:r>
      <w:r>
        <w:rPr>
          <w:rFonts w:cs="宋体" w:hint="eastAsia"/>
          <w:spacing w:val="-4"/>
        </w:rPr>
        <w:t>2.2-</w:t>
      </w:r>
      <w:r>
        <w:rPr>
          <w:rFonts w:cs="宋体" w:hint="eastAsia"/>
          <w:spacing w:val="-4"/>
        </w:rPr>
        <w:t>6</w:t>
      </w:r>
      <w:r>
        <w:rPr>
          <w:rFonts w:hint="eastAsia"/>
        </w:rPr>
        <w:t>大潮</w:t>
      </w:r>
      <w:r>
        <w:t>期</w:t>
      </w:r>
      <w:r>
        <w:rPr>
          <w:rFonts w:hint="eastAsia"/>
        </w:rPr>
        <w:t>L</w:t>
      </w:r>
      <w:r>
        <w:rPr>
          <w:rFonts w:hint="eastAsia"/>
        </w:rPr>
        <w:t>3</w:t>
      </w:r>
      <w:r>
        <w:t>站</w:t>
      </w:r>
      <w:r>
        <w:rPr>
          <w:rFonts w:hint="eastAsia"/>
        </w:rPr>
        <w:t>海流过程矢量图</w:t>
      </w:r>
    </w:p>
    <w:p w14:paraId="0469525E" w14:textId="77777777" w:rsidR="0075791A" w:rsidRDefault="00FB2864">
      <w:pPr>
        <w:pStyle w:val="21"/>
        <w:widowControl w:val="0"/>
        <w:kinsoku/>
        <w:autoSpaceDE/>
        <w:autoSpaceDN/>
        <w:spacing w:after="0"/>
        <w:ind w:leftChars="0" w:left="0" w:firstLineChars="0" w:firstLine="0"/>
        <w:jc w:val="center"/>
        <w:textAlignment w:val="auto"/>
        <w:rPr>
          <w:rFonts w:ascii="Times New Roman" w:hAnsi="Times New Roman"/>
          <w:color w:val="auto"/>
          <w:lang w:eastAsia="zh-CN"/>
        </w:rPr>
      </w:pPr>
      <w:r>
        <w:rPr>
          <w:rFonts w:ascii="Times New Roman" w:hAnsi="Times New Roman"/>
          <w:noProof/>
          <w:color w:val="auto"/>
          <w:lang w:eastAsia="zh-CN"/>
        </w:rPr>
        <w:lastRenderedPageBreak/>
        <w:drawing>
          <wp:inline distT="0" distB="0" distL="114300" distR="114300" wp14:anchorId="38D11FD6" wp14:editId="49BF315A">
            <wp:extent cx="5269865" cy="3953510"/>
            <wp:effectExtent l="0" t="0" r="3175" b="8890"/>
            <wp:docPr id="55" name="图片 9" descr="秋timeserious_insu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descr="秋timeserious_insu_4"/>
                    <pic:cNvPicPr>
                      <a:picLocks noChangeAspect="1"/>
                    </pic:cNvPicPr>
                  </pic:nvPicPr>
                  <pic:blipFill>
                    <a:blip r:embed="rId55"/>
                    <a:stretch>
                      <a:fillRect/>
                    </a:stretch>
                  </pic:blipFill>
                  <pic:spPr>
                    <a:xfrm>
                      <a:off x="0" y="0"/>
                      <a:ext cx="5269865" cy="3953510"/>
                    </a:xfrm>
                    <a:prstGeom prst="rect">
                      <a:avLst/>
                    </a:prstGeom>
                    <a:noFill/>
                    <a:ln>
                      <a:noFill/>
                    </a:ln>
                  </pic:spPr>
                </pic:pic>
              </a:graphicData>
            </a:graphic>
          </wp:inline>
        </w:drawing>
      </w:r>
    </w:p>
    <w:p w14:paraId="57898370" w14:textId="77777777" w:rsidR="0075791A" w:rsidRDefault="00FB2864">
      <w:pPr>
        <w:pStyle w:val="22"/>
        <w:adjustRightInd w:val="0"/>
        <w:snapToGrid w:val="0"/>
        <w:spacing w:line="240" w:lineRule="auto"/>
        <w:ind w:firstLine="0"/>
        <w:jc w:val="center"/>
      </w:pPr>
      <w:r>
        <w:rPr>
          <w:rFonts w:hint="eastAsia"/>
        </w:rPr>
        <w:t>图</w:t>
      </w:r>
      <w:r>
        <w:rPr>
          <w:rFonts w:cs="宋体" w:hint="eastAsia"/>
          <w:spacing w:val="-4"/>
        </w:rPr>
        <w:t>3.</w:t>
      </w:r>
      <w:r>
        <w:rPr>
          <w:rFonts w:cs="宋体" w:hint="eastAsia"/>
          <w:spacing w:val="-4"/>
        </w:rPr>
        <w:t>2.2-</w:t>
      </w:r>
      <w:r>
        <w:rPr>
          <w:rFonts w:cs="宋体" w:hint="eastAsia"/>
          <w:spacing w:val="-4"/>
        </w:rPr>
        <w:t>7</w:t>
      </w:r>
      <w:r>
        <w:rPr>
          <w:rFonts w:hint="eastAsia"/>
        </w:rPr>
        <w:t>大潮</w:t>
      </w:r>
      <w:r>
        <w:t>期</w:t>
      </w:r>
      <w:r>
        <w:rPr>
          <w:rFonts w:hint="eastAsia"/>
        </w:rPr>
        <w:t>L</w:t>
      </w:r>
      <w:r>
        <w:rPr>
          <w:rFonts w:hint="eastAsia"/>
        </w:rPr>
        <w:t>4</w:t>
      </w:r>
      <w:r>
        <w:t>站</w:t>
      </w:r>
      <w:r>
        <w:rPr>
          <w:rFonts w:hint="eastAsia"/>
        </w:rPr>
        <w:t>海流过程矢量图</w:t>
      </w:r>
    </w:p>
    <w:p w14:paraId="51844EBB" w14:textId="77777777" w:rsidR="0075791A" w:rsidRDefault="00FB2864">
      <w:pPr>
        <w:pStyle w:val="21"/>
        <w:widowControl w:val="0"/>
        <w:kinsoku/>
        <w:autoSpaceDE/>
        <w:autoSpaceDN/>
        <w:spacing w:after="0"/>
        <w:ind w:leftChars="0" w:left="0" w:firstLineChars="0" w:firstLine="0"/>
        <w:jc w:val="center"/>
        <w:textAlignment w:val="auto"/>
        <w:rPr>
          <w:rFonts w:ascii="Times New Roman" w:hAnsi="Times New Roman"/>
          <w:color w:val="auto"/>
          <w:lang w:eastAsia="zh-CN"/>
        </w:rPr>
      </w:pPr>
      <w:r>
        <w:rPr>
          <w:rFonts w:ascii="Times New Roman" w:hAnsi="Times New Roman"/>
          <w:noProof/>
          <w:color w:val="auto"/>
          <w:lang w:eastAsia="zh-CN"/>
        </w:rPr>
        <w:drawing>
          <wp:inline distT="0" distB="0" distL="114300" distR="114300" wp14:anchorId="46D53704" wp14:editId="7CAC6ED0">
            <wp:extent cx="5269865" cy="3953510"/>
            <wp:effectExtent l="0" t="0" r="3175" b="8890"/>
            <wp:docPr id="53" name="图片 10" descr="秋timeserious_insu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descr="秋timeserious_insu_5"/>
                    <pic:cNvPicPr>
                      <a:picLocks noChangeAspect="1"/>
                    </pic:cNvPicPr>
                  </pic:nvPicPr>
                  <pic:blipFill>
                    <a:blip r:embed="rId56"/>
                    <a:stretch>
                      <a:fillRect/>
                    </a:stretch>
                  </pic:blipFill>
                  <pic:spPr>
                    <a:xfrm>
                      <a:off x="0" y="0"/>
                      <a:ext cx="5269865" cy="3953510"/>
                    </a:xfrm>
                    <a:prstGeom prst="rect">
                      <a:avLst/>
                    </a:prstGeom>
                    <a:noFill/>
                    <a:ln>
                      <a:noFill/>
                    </a:ln>
                  </pic:spPr>
                </pic:pic>
              </a:graphicData>
            </a:graphic>
          </wp:inline>
        </w:drawing>
      </w:r>
    </w:p>
    <w:p w14:paraId="5BCD3D1D" w14:textId="77777777" w:rsidR="0075791A" w:rsidRDefault="00FB2864">
      <w:pPr>
        <w:pStyle w:val="22"/>
        <w:adjustRightInd w:val="0"/>
        <w:snapToGrid w:val="0"/>
        <w:spacing w:line="240" w:lineRule="auto"/>
        <w:ind w:firstLine="0"/>
        <w:jc w:val="center"/>
      </w:pPr>
      <w:r>
        <w:rPr>
          <w:rFonts w:hint="eastAsia"/>
        </w:rPr>
        <w:t>图</w:t>
      </w:r>
      <w:r>
        <w:rPr>
          <w:rFonts w:cs="宋体" w:hint="eastAsia"/>
          <w:spacing w:val="-4"/>
        </w:rPr>
        <w:t>3.</w:t>
      </w:r>
      <w:r>
        <w:rPr>
          <w:rFonts w:cs="宋体" w:hint="eastAsia"/>
          <w:spacing w:val="-4"/>
        </w:rPr>
        <w:t>2.2-</w:t>
      </w:r>
      <w:r>
        <w:rPr>
          <w:rFonts w:cs="宋体" w:hint="eastAsia"/>
          <w:spacing w:val="-4"/>
        </w:rPr>
        <w:t>8</w:t>
      </w:r>
      <w:r>
        <w:rPr>
          <w:rFonts w:hint="eastAsia"/>
        </w:rPr>
        <w:t>大潮</w:t>
      </w:r>
      <w:r>
        <w:t>期</w:t>
      </w:r>
      <w:r>
        <w:rPr>
          <w:rFonts w:hint="eastAsia"/>
        </w:rPr>
        <w:t>L</w:t>
      </w:r>
      <w:r>
        <w:rPr>
          <w:rFonts w:hint="eastAsia"/>
        </w:rPr>
        <w:t>5</w:t>
      </w:r>
      <w:r>
        <w:t>站</w:t>
      </w:r>
      <w:r>
        <w:rPr>
          <w:rFonts w:hint="eastAsia"/>
        </w:rPr>
        <w:t>海流过程矢量图</w:t>
      </w:r>
    </w:p>
    <w:p w14:paraId="6BAE71ED" w14:textId="77777777" w:rsidR="0075791A" w:rsidRDefault="00FB2864">
      <w:pPr>
        <w:pStyle w:val="21"/>
        <w:widowControl w:val="0"/>
        <w:kinsoku/>
        <w:autoSpaceDE/>
        <w:autoSpaceDN/>
        <w:spacing w:after="0"/>
        <w:ind w:leftChars="0" w:left="0" w:firstLineChars="0" w:firstLine="0"/>
        <w:jc w:val="center"/>
        <w:textAlignment w:val="auto"/>
        <w:rPr>
          <w:rFonts w:ascii="Times New Roman" w:hAnsi="Times New Roman"/>
          <w:color w:val="auto"/>
          <w:lang w:eastAsia="zh-CN"/>
        </w:rPr>
      </w:pPr>
      <w:r>
        <w:rPr>
          <w:rFonts w:ascii="Times New Roman" w:hAnsi="Times New Roman"/>
          <w:noProof/>
          <w:color w:val="auto"/>
          <w:lang w:eastAsia="zh-CN"/>
        </w:rPr>
        <w:lastRenderedPageBreak/>
        <w:drawing>
          <wp:inline distT="0" distB="0" distL="114300" distR="114300" wp14:anchorId="7E242402" wp14:editId="4B866A12">
            <wp:extent cx="5269865" cy="3953510"/>
            <wp:effectExtent l="0" t="0" r="3175" b="8890"/>
            <wp:docPr id="50" name="图片 11" descr="秋timeserious_insu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 descr="秋timeserious_insu_6"/>
                    <pic:cNvPicPr>
                      <a:picLocks noChangeAspect="1"/>
                    </pic:cNvPicPr>
                  </pic:nvPicPr>
                  <pic:blipFill>
                    <a:blip r:embed="rId57"/>
                    <a:stretch>
                      <a:fillRect/>
                    </a:stretch>
                  </pic:blipFill>
                  <pic:spPr>
                    <a:xfrm>
                      <a:off x="0" y="0"/>
                      <a:ext cx="5269865" cy="3953510"/>
                    </a:xfrm>
                    <a:prstGeom prst="rect">
                      <a:avLst/>
                    </a:prstGeom>
                    <a:noFill/>
                    <a:ln>
                      <a:noFill/>
                    </a:ln>
                  </pic:spPr>
                </pic:pic>
              </a:graphicData>
            </a:graphic>
          </wp:inline>
        </w:drawing>
      </w:r>
    </w:p>
    <w:p w14:paraId="1E557C9F" w14:textId="77777777" w:rsidR="0075791A" w:rsidRDefault="00FB2864">
      <w:pPr>
        <w:pStyle w:val="22"/>
        <w:adjustRightInd w:val="0"/>
        <w:snapToGrid w:val="0"/>
        <w:spacing w:line="240" w:lineRule="auto"/>
        <w:ind w:firstLine="0"/>
        <w:jc w:val="center"/>
      </w:pPr>
      <w:r>
        <w:rPr>
          <w:rFonts w:hint="eastAsia"/>
        </w:rPr>
        <w:t>图</w:t>
      </w:r>
      <w:r>
        <w:rPr>
          <w:rFonts w:cs="宋体" w:hint="eastAsia"/>
          <w:spacing w:val="-4"/>
        </w:rPr>
        <w:t>3.</w:t>
      </w:r>
      <w:r>
        <w:rPr>
          <w:rFonts w:cs="宋体" w:hint="eastAsia"/>
          <w:spacing w:val="-4"/>
        </w:rPr>
        <w:t>2.2-</w:t>
      </w:r>
      <w:r>
        <w:rPr>
          <w:rFonts w:cs="宋体" w:hint="eastAsia"/>
          <w:spacing w:val="-4"/>
        </w:rPr>
        <w:t>9</w:t>
      </w:r>
      <w:r>
        <w:rPr>
          <w:rFonts w:hint="eastAsia"/>
        </w:rPr>
        <w:t>大潮</w:t>
      </w:r>
      <w:r>
        <w:t>期</w:t>
      </w:r>
      <w:r>
        <w:rPr>
          <w:rFonts w:hint="eastAsia"/>
        </w:rPr>
        <w:t>L</w:t>
      </w:r>
      <w:r>
        <w:rPr>
          <w:rFonts w:hint="eastAsia"/>
        </w:rPr>
        <w:t>6</w:t>
      </w:r>
      <w:r>
        <w:t>站</w:t>
      </w:r>
      <w:r>
        <w:rPr>
          <w:rFonts w:hint="eastAsia"/>
        </w:rPr>
        <w:t>海流过程矢量图</w:t>
      </w:r>
    </w:p>
    <w:p w14:paraId="509AAC6A" w14:textId="77777777" w:rsidR="0075791A" w:rsidRDefault="0075791A">
      <w:pPr>
        <w:spacing w:before="179" w:line="313" w:lineRule="auto"/>
        <w:ind w:left="32" w:right="19" w:firstLine="472"/>
        <w:rPr>
          <w:rFonts w:ascii="Times New Roman" w:eastAsia="宋体" w:hAnsi="Times New Roman" w:cs="仿宋"/>
          <w:color w:val="auto"/>
          <w:sz w:val="24"/>
          <w:szCs w:val="24"/>
          <w:lang w:eastAsia="zh-CN"/>
        </w:rPr>
      </w:pPr>
    </w:p>
    <w:p w14:paraId="58D53161" w14:textId="77777777" w:rsidR="0075791A" w:rsidRDefault="00FB2864">
      <w:pPr>
        <w:widowControl w:val="0"/>
        <w:kinsoku/>
        <w:autoSpaceDE/>
        <w:autoSpaceDN/>
        <w:spacing w:line="360" w:lineRule="auto"/>
        <w:ind w:firstLineChars="200" w:firstLine="480"/>
        <w:textAlignment w:val="auto"/>
        <w:rPr>
          <w:rFonts w:ascii="Times New Roman" w:eastAsia="宋体" w:hAnsi="Times New Roman" w:cs="仿宋"/>
          <w:color w:val="auto"/>
          <w:sz w:val="24"/>
          <w:szCs w:val="24"/>
          <w:lang w:eastAsia="zh-CN"/>
        </w:rPr>
      </w:pPr>
      <w:r>
        <w:rPr>
          <w:rFonts w:ascii="Times New Roman" w:eastAsia="宋体" w:hAnsi="Times New Roman" w:cs="仿宋" w:hint="eastAsia"/>
          <w:color w:val="auto"/>
          <w:sz w:val="24"/>
          <w:szCs w:val="24"/>
          <w:lang w:eastAsia="zh-CN"/>
        </w:rPr>
        <w:t>从流速来看，</w:t>
      </w:r>
      <w:r>
        <w:rPr>
          <w:rFonts w:ascii="Times New Roman" w:eastAsia="宋体" w:hAnsi="Times New Roman" w:cs="仿宋" w:hint="eastAsia"/>
          <w:color w:val="auto"/>
          <w:sz w:val="24"/>
          <w:szCs w:val="24"/>
          <w:lang w:eastAsia="zh-CN"/>
        </w:rPr>
        <w:t>大</w:t>
      </w:r>
      <w:r>
        <w:rPr>
          <w:rFonts w:ascii="Times New Roman" w:eastAsia="宋体" w:hAnsi="Times New Roman" w:cs="仿宋" w:hint="eastAsia"/>
          <w:color w:val="auto"/>
          <w:sz w:val="24"/>
          <w:szCs w:val="24"/>
          <w:lang w:eastAsia="zh-CN"/>
        </w:rPr>
        <w:t>潮期的最大涨潮流速为</w:t>
      </w:r>
      <w:r>
        <w:rPr>
          <w:rFonts w:ascii="Times New Roman" w:eastAsia="宋体" w:hAnsi="Times New Roman" w:cs="仿宋" w:hint="eastAsia"/>
          <w:color w:val="auto"/>
          <w:sz w:val="24"/>
          <w:szCs w:val="24"/>
          <w:lang w:eastAsia="zh-CN"/>
        </w:rPr>
        <w:t>64.2c</w:t>
      </w:r>
      <w:r>
        <w:rPr>
          <w:rFonts w:ascii="Times New Roman" w:eastAsia="宋体" w:hAnsi="Times New Roman" w:cs="仿宋" w:hint="eastAsia"/>
          <w:color w:val="auto"/>
          <w:sz w:val="24"/>
          <w:szCs w:val="24"/>
          <w:lang w:eastAsia="zh-CN"/>
        </w:rPr>
        <w:t>m/s</w:t>
      </w:r>
      <w:r>
        <w:rPr>
          <w:rFonts w:ascii="Times New Roman" w:eastAsia="宋体" w:hAnsi="Times New Roman" w:cs="仿宋" w:hint="eastAsia"/>
          <w:color w:val="auto"/>
          <w:sz w:val="24"/>
          <w:szCs w:val="24"/>
          <w:lang w:eastAsia="zh-CN"/>
        </w:rPr>
        <w:t>，流向为</w:t>
      </w:r>
      <w:r>
        <w:rPr>
          <w:rFonts w:ascii="Times New Roman" w:eastAsia="宋体" w:hAnsi="Times New Roman" w:cs="仿宋" w:hint="eastAsia"/>
          <w:color w:val="auto"/>
          <w:sz w:val="24"/>
          <w:szCs w:val="24"/>
          <w:lang w:eastAsia="zh-CN"/>
        </w:rPr>
        <w:t>316</w:t>
      </w:r>
      <w:r>
        <w:rPr>
          <w:rFonts w:ascii="Times New Roman" w:eastAsia="宋体" w:hAnsi="Times New Roman" w:cs="仿宋" w:hint="eastAsia"/>
          <w:color w:val="auto"/>
          <w:sz w:val="24"/>
          <w:szCs w:val="24"/>
          <w:lang w:eastAsia="zh-CN"/>
        </w:rPr>
        <w:t>°</w:t>
      </w:r>
      <w:r>
        <w:rPr>
          <w:rFonts w:ascii="Times New Roman" w:eastAsia="宋体" w:hAnsi="Times New Roman" w:cs="仿宋" w:hint="eastAsia"/>
          <w:color w:val="auto"/>
          <w:sz w:val="24"/>
          <w:szCs w:val="24"/>
          <w:lang w:eastAsia="zh-CN"/>
        </w:rPr>
        <w:t>，</w:t>
      </w:r>
      <w:r>
        <w:rPr>
          <w:rFonts w:ascii="Times New Roman" w:eastAsia="宋体" w:hAnsi="Times New Roman" w:cs="仿宋" w:hint="eastAsia"/>
          <w:color w:val="auto"/>
          <w:sz w:val="24"/>
          <w:szCs w:val="24"/>
          <w:lang w:eastAsia="zh-CN"/>
        </w:rPr>
        <w:t>出现在</w:t>
      </w:r>
      <w:r>
        <w:rPr>
          <w:rFonts w:ascii="Times New Roman" w:eastAsia="宋体" w:hAnsi="Times New Roman" w:cs="仿宋" w:hint="eastAsia"/>
          <w:color w:val="auto"/>
          <w:sz w:val="24"/>
          <w:szCs w:val="24"/>
          <w:lang w:eastAsia="zh-CN"/>
        </w:rPr>
        <w:t>L4</w:t>
      </w:r>
      <w:r>
        <w:rPr>
          <w:rFonts w:ascii="Times New Roman" w:eastAsia="宋体" w:hAnsi="Times New Roman" w:cs="仿宋" w:hint="eastAsia"/>
          <w:color w:val="auto"/>
          <w:sz w:val="24"/>
          <w:szCs w:val="24"/>
          <w:lang w:eastAsia="zh-CN"/>
        </w:rPr>
        <w:t>站</w:t>
      </w:r>
      <w:r>
        <w:rPr>
          <w:rFonts w:ascii="Times New Roman" w:eastAsia="宋体" w:hAnsi="Times New Roman" w:cs="仿宋" w:hint="eastAsia"/>
          <w:color w:val="auto"/>
          <w:sz w:val="24"/>
          <w:szCs w:val="24"/>
          <w:lang w:eastAsia="zh-CN"/>
        </w:rPr>
        <w:t>0.2H</w:t>
      </w:r>
      <w:r>
        <w:rPr>
          <w:rFonts w:ascii="Times New Roman" w:eastAsia="宋体" w:hAnsi="Times New Roman" w:cs="仿宋" w:hint="eastAsia"/>
          <w:color w:val="auto"/>
          <w:sz w:val="24"/>
          <w:szCs w:val="24"/>
          <w:lang w:eastAsia="zh-CN"/>
        </w:rPr>
        <w:t>层，最大涨潮平均流速为</w:t>
      </w:r>
      <w:r>
        <w:rPr>
          <w:rFonts w:ascii="Times New Roman" w:eastAsia="宋体" w:hAnsi="Times New Roman" w:cs="仿宋" w:hint="eastAsia"/>
          <w:color w:val="auto"/>
          <w:sz w:val="24"/>
          <w:szCs w:val="24"/>
          <w:lang w:eastAsia="zh-CN"/>
        </w:rPr>
        <w:t>30.1c</w:t>
      </w:r>
      <w:r>
        <w:rPr>
          <w:rFonts w:ascii="Times New Roman" w:eastAsia="宋体" w:hAnsi="Times New Roman" w:cs="仿宋" w:hint="eastAsia"/>
          <w:color w:val="auto"/>
          <w:sz w:val="24"/>
          <w:szCs w:val="24"/>
          <w:lang w:eastAsia="zh-CN"/>
        </w:rPr>
        <w:t>m/s</w:t>
      </w:r>
      <w:r>
        <w:rPr>
          <w:rFonts w:ascii="Times New Roman" w:eastAsia="宋体" w:hAnsi="Times New Roman" w:cs="仿宋" w:hint="eastAsia"/>
          <w:color w:val="auto"/>
          <w:sz w:val="24"/>
          <w:szCs w:val="24"/>
          <w:lang w:eastAsia="zh-CN"/>
        </w:rPr>
        <w:t>，流向为</w:t>
      </w:r>
      <w:r>
        <w:rPr>
          <w:rFonts w:ascii="Times New Roman" w:eastAsia="宋体" w:hAnsi="Times New Roman" w:cs="仿宋" w:hint="eastAsia"/>
          <w:color w:val="auto"/>
          <w:sz w:val="24"/>
          <w:szCs w:val="24"/>
          <w:lang w:eastAsia="zh-CN"/>
        </w:rPr>
        <w:t>309</w:t>
      </w:r>
      <w:r>
        <w:rPr>
          <w:rFonts w:ascii="Times New Roman" w:eastAsia="宋体" w:hAnsi="Times New Roman" w:cs="仿宋" w:hint="eastAsia"/>
          <w:color w:val="auto"/>
          <w:sz w:val="24"/>
          <w:szCs w:val="24"/>
          <w:lang w:eastAsia="zh-CN"/>
        </w:rPr>
        <w:t>°</w:t>
      </w:r>
      <w:r>
        <w:rPr>
          <w:rFonts w:ascii="Times New Roman" w:eastAsia="宋体" w:hAnsi="Times New Roman" w:cs="仿宋" w:hint="eastAsia"/>
          <w:color w:val="auto"/>
          <w:sz w:val="24"/>
          <w:szCs w:val="24"/>
          <w:lang w:eastAsia="zh-CN"/>
        </w:rPr>
        <w:t>，</w:t>
      </w:r>
      <w:r>
        <w:rPr>
          <w:rFonts w:ascii="Times New Roman" w:eastAsia="宋体" w:hAnsi="Times New Roman" w:cs="仿宋" w:hint="eastAsia"/>
          <w:color w:val="auto"/>
          <w:sz w:val="24"/>
          <w:szCs w:val="24"/>
          <w:lang w:eastAsia="zh-CN"/>
        </w:rPr>
        <w:t>出现在</w:t>
      </w:r>
      <w:r>
        <w:rPr>
          <w:rFonts w:ascii="Times New Roman" w:eastAsia="宋体" w:hAnsi="Times New Roman" w:cs="仿宋" w:hint="eastAsia"/>
          <w:color w:val="auto"/>
          <w:sz w:val="24"/>
          <w:szCs w:val="24"/>
          <w:lang w:eastAsia="zh-CN"/>
        </w:rPr>
        <w:t>L4</w:t>
      </w:r>
      <w:r>
        <w:rPr>
          <w:rFonts w:ascii="Times New Roman" w:eastAsia="宋体" w:hAnsi="Times New Roman" w:cs="仿宋" w:hint="eastAsia"/>
          <w:color w:val="auto"/>
          <w:sz w:val="24"/>
          <w:szCs w:val="24"/>
          <w:lang w:eastAsia="zh-CN"/>
        </w:rPr>
        <w:t>站</w:t>
      </w:r>
      <w:r>
        <w:rPr>
          <w:rFonts w:ascii="Times New Roman" w:eastAsia="宋体" w:hAnsi="Times New Roman" w:cs="仿宋" w:hint="eastAsia"/>
          <w:color w:val="auto"/>
          <w:sz w:val="24"/>
          <w:szCs w:val="24"/>
          <w:lang w:eastAsia="zh-CN"/>
        </w:rPr>
        <w:t>0.2H</w:t>
      </w:r>
      <w:r>
        <w:rPr>
          <w:rFonts w:ascii="Times New Roman" w:eastAsia="宋体" w:hAnsi="Times New Roman" w:cs="仿宋" w:hint="eastAsia"/>
          <w:color w:val="auto"/>
          <w:sz w:val="24"/>
          <w:szCs w:val="24"/>
          <w:lang w:eastAsia="zh-CN"/>
        </w:rPr>
        <w:t>层；最大落潮流速为</w:t>
      </w:r>
      <w:r>
        <w:rPr>
          <w:rFonts w:ascii="Times New Roman" w:eastAsia="宋体" w:hAnsi="Times New Roman" w:cs="Times New Roman" w:hint="eastAsia"/>
          <w:color w:val="auto"/>
          <w:lang w:eastAsia="zh-CN"/>
        </w:rPr>
        <w:t>77.5c</w:t>
      </w:r>
      <w:r>
        <w:rPr>
          <w:rFonts w:ascii="Times New Roman" w:eastAsia="宋体" w:hAnsi="Times New Roman" w:cs="仿宋" w:hint="eastAsia"/>
          <w:color w:val="auto"/>
          <w:sz w:val="24"/>
          <w:szCs w:val="24"/>
          <w:lang w:eastAsia="zh-CN"/>
        </w:rPr>
        <w:t>m/s</w:t>
      </w:r>
      <w:r>
        <w:rPr>
          <w:rFonts w:ascii="Times New Roman" w:eastAsia="宋体" w:hAnsi="Times New Roman" w:cs="仿宋" w:hint="eastAsia"/>
          <w:color w:val="auto"/>
          <w:sz w:val="24"/>
          <w:szCs w:val="24"/>
          <w:lang w:eastAsia="zh-CN"/>
        </w:rPr>
        <w:t>，流向为</w:t>
      </w:r>
      <w:r>
        <w:rPr>
          <w:rFonts w:ascii="Times New Roman" w:eastAsia="宋体" w:hAnsi="Times New Roman" w:cs="仿宋" w:hint="eastAsia"/>
          <w:color w:val="auto"/>
          <w:sz w:val="24"/>
          <w:szCs w:val="24"/>
          <w:lang w:eastAsia="zh-CN"/>
        </w:rPr>
        <w:t>119</w:t>
      </w:r>
      <w:r>
        <w:rPr>
          <w:rFonts w:ascii="Times New Roman" w:eastAsia="宋体" w:hAnsi="Times New Roman" w:cs="仿宋" w:hint="eastAsia"/>
          <w:color w:val="auto"/>
          <w:sz w:val="24"/>
          <w:szCs w:val="24"/>
          <w:lang w:eastAsia="zh-CN"/>
        </w:rPr>
        <w:t>°</w:t>
      </w:r>
      <w:r>
        <w:rPr>
          <w:rFonts w:ascii="Times New Roman" w:eastAsia="宋体" w:hAnsi="Times New Roman" w:cs="仿宋" w:hint="eastAsia"/>
          <w:color w:val="auto"/>
          <w:sz w:val="24"/>
          <w:szCs w:val="24"/>
          <w:lang w:eastAsia="zh-CN"/>
        </w:rPr>
        <w:t>，</w:t>
      </w:r>
      <w:r>
        <w:rPr>
          <w:rFonts w:ascii="Times New Roman" w:eastAsia="宋体" w:hAnsi="Times New Roman" w:cs="仿宋" w:hint="eastAsia"/>
          <w:color w:val="auto"/>
          <w:sz w:val="24"/>
          <w:szCs w:val="24"/>
          <w:lang w:eastAsia="zh-CN"/>
        </w:rPr>
        <w:t>出现在</w:t>
      </w:r>
      <w:r>
        <w:rPr>
          <w:rFonts w:ascii="Times New Roman" w:eastAsia="宋体" w:hAnsi="Times New Roman" w:cs="仿宋" w:hint="eastAsia"/>
          <w:color w:val="auto"/>
          <w:sz w:val="24"/>
          <w:szCs w:val="24"/>
          <w:lang w:eastAsia="zh-CN"/>
        </w:rPr>
        <w:t>L4</w:t>
      </w:r>
      <w:r>
        <w:rPr>
          <w:rFonts w:ascii="Times New Roman" w:eastAsia="宋体" w:hAnsi="Times New Roman" w:cs="仿宋" w:hint="eastAsia"/>
          <w:color w:val="auto"/>
          <w:sz w:val="24"/>
          <w:szCs w:val="24"/>
          <w:lang w:eastAsia="zh-CN"/>
        </w:rPr>
        <w:t>站</w:t>
      </w:r>
      <w:r>
        <w:rPr>
          <w:rFonts w:ascii="Times New Roman" w:eastAsia="宋体" w:hAnsi="Times New Roman" w:cs="仿宋" w:hint="eastAsia"/>
          <w:color w:val="auto"/>
          <w:sz w:val="24"/>
          <w:szCs w:val="24"/>
          <w:lang w:eastAsia="zh-CN"/>
        </w:rPr>
        <w:t>0.6H</w:t>
      </w:r>
      <w:r>
        <w:rPr>
          <w:rFonts w:ascii="Times New Roman" w:eastAsia="宋体" w:hAnsi="Times New Roman" w:cs="仿宋" w:hint="eastAsia"/>
          <w:color w:val="auto"/>
          <w:sz w:val="24"/>
          <w:szCs w:val="24"/>
          <w:lang w:eastAsia="zh-CN"/>
        </w:rPr>
        <w:t>层，最大落潮平均流速为</w:t>
      </w:r>
      <w:r>
        <w:rPr>
          <w:rFonts w:ascii="Times New Roman" w:eastAsia="宋体" w:hAnsi="Times New Roman" w:cs="仿宋" w:hint="eastAsia"/>
          <w:color w:val="auto"/>
          <w:sz w:val="24"/>
          <w:szCs w:val="24"/>
          <w:lang w:eastAsia="zh-CN"/>
        </w:rPr>
        <w:t>42.1c</w:t>
      </w:r>
      <w:r>
        <w:rPr>
          <w:rFonts w:ascii="Times New Roman" w:eastAsia="宋体" w:hAnsi="Times New Roman" w:cs="仿宋" w:hint="eastAsia"/>
          <w:color w:val="auto"/>
          <w:sz w:val="24"/>
          <w:szCs w:val="24"/>
          <w:lang w:eastAsia="zh-CN"/>
        </w:rPr>
        <w:t>m/s</w:t>
      </w:r>
      <w:r>
        <w:rPr>
          <w:rFonts w:ascii="Times New Roman" w:eastAsia="宋体" w:hAnsi="Times New Roman" w:cs="仿宋" w:hint="eastAsia"/>
          <w:color w:val="auto"/>
          <w:sz w:val="24"/>
          <w:szCs w:val="24"/>
          <w:lang w:eastAsia="zh-CN"/>
        </w:rPr>
        <w:t>，</w:t>
      </w:r>
      <w:r>
        <w:rPr>
          <w:rFonts w:ascii="Times New Roman" w:eastAsia="宋体" w:hAnsi="Times New Roman" w:cs="仿宋" w:hint="eastAsia"/>
          <w:color w:val="auto"/>
          <w:sz w:val="24"/>
          <w:szCs w:val="24"/>
          <w:lang w:eastAsia="zh-CN"/>
        </w:rPr>
        <w:t>流向为</w:t>
      </w:r>
      <w:r>
        <w:rPr>
          <w:rFonts w:ascii="Times New Roman" w:eastAsia="宋体" w:hAnsi="Times New Roman" w:cs="仿宋" w:hint="eastAsia"/>
          <w:color w:val="auto"/>
          <w:sz w:val="24"/>
          <w:szCs w:val="24"/>
          <w:lang w:eastAsia="zh-CN"/>
        </w:rPr>
        <w:t>120</w:t>
      </w:r>
      <w:r>
        <w:rPr>
          <w:rFonts w:ascii="Times New Roman" w:eastAsia="宋体" w:hAnsi="Times New Roman" w:cs="仿宋" w:hint="eastAsia"/>
          <w:color w:val="auto"/>
          <w:sz w:val="24"/>
          <w:szCs w:val="24"/>
          <w:lang w:eastAsia="zh-CN"/>
        </w:rPr>
        <w:t>°，</w:t>
      </w:r>
      <w:r>
        <w:rPr>
          <w:rFonts w:ascii="Times New Roman" w:eastAsia="宋体" w:hAnsi="Times New Roman" w:cs="仿宋" w:hint="eastAsia"/>
          <w:color w:val="auto"/>
          <w:sz w:val="24"/>
          <w:szCs w:val="24"/>
          <w:lang w:eastAsia="zh-CN"/>
        </w:rPr>
        <w:t>出现在</w:t>
      </w:r>
      <w:r>
        <w:rPr>
          <w:rFonts w:ascii="Times New Roman" w:eastAsia="宋体" w:hAnsi="Times New Roman" w:cs="仿宋" w:hint="eastAsia"/>
          <w:color w:val="auto"/>
          <w:sz w:val="24"/>
          <w:szCs w:val="24"/>
          <w:lang w:eastAsia="zh-CN"/>
        </w:rPr>
        <w:t>L4</w:t>
      </w:r>
      <w:r>
        <w:rPr>
          <w:rFonts w:ascii="Times New Roman" w:eastAsia="宋体" w:hAnsi="Times New Roman" w:cs="仿宋" w:hint="eastAsia"/>
          <w:color w:val="auto"/>
          <w:sz w:val="24"/>
          <w:szCs w:val="24"/>
          <w:lang w:eastAsia="zh-CN"/>
        </w:rPr>
        <w:t>站</w:t>
      </w:r>
      <w:r>
        <w:rPr>
          <w:rFonts w:ascii="Times New Roman" w:eastAsia="宋体" w:hAnsi="Times New Roman" w:cs="仿宋" w:hint="eastAsia"/>
          <w:color w:val="auto"/>
          <w:sz w:val="24"/>
          <w:szCs w:val="24"/>
          <w:lang w:eastAsia="zh-CN"/>
        </w:rPr>
        <w:t>0.6H</w:t>
      </w:r>
      <w:r>
        <w:rPr>
          <w:rFonts w:ascii="Times New Roman" w:eastAsia="宋体" w:hAnsi="Times New Roman" w:cs="仿宋" w:hint="eastAsia"/>
          <w:color w:val="auto"/>
          <w:sz w:val="24"/>
          <w:szCs w:val="24"/>
          <w:lang w:eastAsia="zh-CN"/>
        </w:rPr>
        <w:t>层（见表</w:t>
      </w:r>
      <w:r>
        <w:rPr>
          <w:rFonts w:ascii="Times New Roman" w:eastAsia="宋体" w:hAnsi="Times New Roman" w:cs="宋体" w:hint="eastAsia"/>
          <w:color w:val="auto"/>
          <w:spacing w:val="-4"/>
          <w:sz w:val="24"/>
          <w:szCs w:val="24"/>
          <w:lang w:eastAsia="zh-CN"/>
        </w:rPr>
        <w:t>3.2.2-</w:t>
      </w:r>
      <w:r>
        <w:rPr>
          <w:rFonts w:ascii="Times New Roman" w:hAnsi="Times New Roman" w:cs="宋体" w:hint="eastAsia"/>
          <w:color w:val="auto"/>
          <w:spacing w:val="-4"/>
          <w:sz w:val="24"/>
          <w:szCs w:val="24"/>
          <w:lang w:eastAsia="zh-CN"/>
        </w:rPr>
        <w:t>2</w:t>
      </w:r>
      <w:r>
        <w:rPr>
          <w:rFonts w:ascii="Times New Roman" w:eastAsia="宋体" w:hAnsi="Times New Roman" w:cs="仿宋" w:hint="eastAsia"/>
          <w:color w:val="auto"/>
          <w:sz w:val="24"/>
          <w:szCs w:val="24"/>
          <w:lang w:eastAsia="zh-CN"/>
        </w:rPr>
        <w:t>）。垂线平均流速中，</w:t>
      </w:r>
      <w:r>
        <w:rPr>
          <w:rFonts w:ascii="Times New Roman" w:eastAsia="宋体" w:hAnsi="Times New Roman" w:cs="仿宋" w:hint="eastAsia"/>
          <w:color w:val="auto"/>
          <w:sz w:val="24"/>
          <w:szCs w:val="24"/>
          <w:lang w:eastAsia="zh-CN"/>
        </w:rPr>
        <w:t>L6</w:t>
      </w:r>
      <w:r>
        <w:rPr>
          <w:rFonts w:ascii="Times New Roman" w:eastAsia="宋体" w:hAnsi="Times New Roman" w:cs="仿宋" w:hint="eastAsia"/>
          <w:color w:val="auto"/>
          <w:sz w:val="24"/>
          <w:szCs w:val="24"/>
          <w:lang w:eastAsia="zh-CN"/>
        </w:rPr>
        <w:t>涨潮垂线平均流速明显高于落潮，其他站则相反，即涨潮垂线平均流速低于落潮。</w:t>
      </w:r>
    </w:p>
    <w:p w14:paraId="05D42C09" w14:textId="77777777" w:rsidR="0075791A" w:rsidRDefault="00FB2864">
      <w:pPr>
        <w:widowControl w:val="0"/>
        <w:kinsoku/>
        <w:autoSpaceDE/>
        <w:autoSpaceDN/>
        <w:spacing w:line="360" w:lineRule="auto"/>
        <w:ind w:firstLineChars="200" w:firstLine="480"/>
        <w:textAlignment w:val="auto"/>
        <w:rPr>
          <w:rFonts w:ascii="Times New Roman" w:eastAsia="宋体" w:hAnsi="Times New Roman" w:cs="仿宋"/>
          <w:color w:val="auto"/>
          <w:sz w:val="24"/>
          <w:szCs w:val="24"/>
          <w:lang w:eastAsia="zh-CN"/>
        </w:rPr>
      </w:pPr>
      <w:r>
        <w:rPr>
          <w:rFonts w:ascii="Times New Roman" w:eastAsia="宋体" w:hAnsi="Times New Roman" w:cs="仿宋" w:hint="eastAsia"/>
          <w:color w:val="auto"/>
          <w:sz w:val="24"/>
          <w:szCs w:val="24"/>
          <w:lang w:eastAsia="zh-CN"/>
        </w:rPr>
        <w:t>在空间分布上，</w:t>
      </w:r>
      <w:r>
        <w:rPr>
          <w:rFonts w:ascii="Times New Roman" w:eastAsia="宋体" w:hAnsi="Times New Roman" w:cs="仿宋" w:hint="eastAsia"/>
          <w:color w:val="auto"/>
          <w:sz w:val="24"/>
          <w:szCs w:val="24"/>
          <w:lang w:eastAsia="zh-CN"/>
        </w:rPr>
        <w:t>港内流速明显大于港外，这主要受潮汐通道影响</w:t>
      </w:r>
      <w:r>
        <w:rPr>
          <w:rFonts w:ascii="Times New Roman" w:eastAsia="宋体" w:hAnsi="Times New Roman" w:cs="仿宋" w:hint="eastAsia"/>
          <w:color w:val="auto"/>
          <w:sz w:val="24"/>
          <w:szCs w:val="24"/>
          <w:lang w:eastAsia="zh-CN"/>
        </w:rPr>
        <w:t>。</w:t>
      </w:r>
      <w:r>
        <w:rPr>
          <w:rFonts w:ascii="Times New Roman" w:eastAsia="宋体" w:hAnsi="Times New Roman" w:cs="仿宋" w:hint="eastAsia"/>
          <w:color w:val="auto"/>
          <w:sz w:val="24"/>
          <w:szCs w:val="24"/>
          <w:lang w:eastAsia="zh-CN"/>
        </w:rPr>
        <w:t>在垂向分布上，</w:t>
      </w:r>
      <w:r>
        <w:rPr>
          <w:rFonts w:ascii="Times New Roman" w:eastAsia="宋体" w:hAnsi="Times New Roman" w:cs="仿宋" w:hint="eastAsia"/>
          <w:color w:val="auto"/>
          <w:sz w:val="24"/>
          <w:szCs w:val="24"/>
          <w:lang w:eastAsia="zh-CN"/>
        </w:rPr>
        <w:t>调查海域流速随深度无明显变化。</w:t>
      </w:r>
    </w:p>
    <w:p w14:paraId="37AA07EC" w14:textId="77777777" w:rsidR="0075791A" w:rsidRDefault="00FB2864">
      <w:pPr>
        <w:widowControl w:val="0"/>
        <w:kinsoku/>
        <w:autoSpaceDE/>
        <w:autoSpaceDN/>
        <w:adjustRightInd/>
        <w:snapToGrid/>
        <w:jc w:val="center"/>
        <w:textAlignment w:val="auto"/>
        <w:rPr>
          <w:rFonts w:ascii="Times New Roman" w:eastAsia="宋体" w:hAnsi="Times New Roman" w:cs="黑体"/>
          <w:color w:val="auto"/>
          <w:sz w:val="24"/>
          <w:szCs w:val="24"/>
          <w:lang w:eastAsia="zh-CN"/>
        </w:rPr>
      </w:pPr>
      <w:r>
        <w:rPr>
          <w:rFonts w:ascii="Times New Roman" w:eastAsia="宋体" w:hAnsi="Times New Roman" w:cs="黑体" w:hint="eastAsia"/>
          <w:color w:val="auto"/>
          <w:sz w:val="24"/>
          <w:szCs w:val="24"/>
          <w:lang w:eastAsia="zh-CN"/>
        </w:rPr>
        <w:t>表</w:t>
      </w:r>
      <w:r>
        <w:rPr>
          <w:rFonts w:ascii="Times New Roman" w:eastAsia="宋体" w:hAnsi="Times New Roman" w:cs="宋体" w:hint="eastAsia"/>
          <w:color w:val="auto"/>
          <w:spacing w:val="-4"/>
          <w:sz w:val="24"/>
          <w:szCs w:val="24"/>
          <w:lang w:eastAsia="zh-CN"/>
        </w:rPr>
        <w:t>3.2.2-</w:t>
      </w:r>
      <w:r>
        <w:rPr>
          <w:rFonts w:ascii="Times New Roman" w:hAnsi="Times New Roman" w:cs="宋体" w:hint="eastAsia"/>
          <w:color w:val="auto"/>
          <w:spacing w:val="-4"/>
          <w:sz w:val="24"/>
          <w:szCs w:val="24"/>
          <w:lang w:eastAsia="zh-CN"/>
        </w:rPr>
        <w:t>2</w:t>
      </w:r>
      <w:r>
        <w:rPr>
          <w:rFonts w:ascii="Times New Roman" w:eastAsia="宋体" w:hAnsi="Times New Roman" w:cs="黑体" w:hint="eastAsia"/>
          <w:color w:val="auto"/>
          <w:sz w:val="24"/>
          <w:szCs w:val="24"/>
          <w:lang w:eastAsia="zh-CN"/>
        </w:rPr>
        <w:t>大潮期各站各层涨、落潮流对比统计表（流速单位：</w:t>
      </w:r>
      <w:r>
        <w:rPr>
          <w:rFonts w:ascii="Times New Roman" w:eastAsia="宋体" w:hAnsi="Times New Roman" w:cs="黑体" w:hint="eastAsia"/>
          <w:color w:val="auto"/>
          <w:sz w:val="24"/>
          <w:szCs w:val="24"/>
          <w:lang w:eastAsia="zh-CN"/>
        </w:rPr>
        <w:t>cm/s</w:t>
      </w:r>
      <w:r>
        <w:rPr>
          <w:rFonts w:ascii="Times New Roman" w:eastAsia="宋体" w:hAnsi="Times New Roman" w:cs="黑体" w:hint="eastAsia"/>
          <w:color w:val="auto"/>
          <w:sz w:val="24"/>
          <w:szCs w:val="24"/>
          <w:lang w:eastAsia="zh-CN"/>
        </w:rPr>
        <w:t>，流向单位：°）</w:t>
      </w:r>
    </w:p>
    <w:tbl>
      <w:tblPr>
        <w:tblStyle w:val="ad"/>
        <w:tblW w:w="8504" w:type="dxa"/>
        <w:jc w:val="center"/>
        <w:tblLayout w:type="fixed"/>
        <w:tblLook w:val="04A0" w:firstRow="1" w:lastRow="0" w:firstColumn="1" w:lastColumn="0" w:noHBand="0" w:noVBand="1"/>
      </w:tblPr>
      <w:tblGrid>
        <w:gridCol w:w="759"/>
        <w:gridCol w:w="608"/>
        <w:gridCol w:w="877"/>
        <w:gridCol w:w="840"/>
        <w:gridCol w:w="840"/>
        <w:gridCol w:w="840"/>
        <w:gridCol w:w="935"/>
        <w:gridCol w:w="935"/>
        <w:gridCol w:w="935"/>
        <w:gridCol w:w="935"/>
      </w:tblGrid>
      <w:tr w:rsidR="0075791A" w14:paraId="1F515D56" w14:textId="77777777">
        <w:trPr>
          <w:trHeight w:val="255"/>
          <w:jc w:val="center"/>
        </w:trPr>
        <w:tc>
          <w:tcPr>
            <w:tcW w:w="989" w:type="dxa"/>
            <w:tcMar>
              <w:top w:w="0" w:type="dxa"/>
              <w:left w:w="0" w:type="dxa"/>
              <w:bottom w:w="0" w:type="dxa"/>
              <w:right w:w="0" w:type="dxa"/>
            </w:tcMar>
            <w:vAlign w:val="center"/>
          </w:tcPr>
          <w:p w14:paraId="10FEBA7C" w14:textId="77777777" w:rsidR="0075791A" w:rsidRDefault="00FB2864">
            <w:pPr>
              <w:kinsoku/>
              <w:autoSpaceDE/>
              <w:autoSpaceDN/>
              <w:adjustRightInd/>
              <w:snapToGrid/>
              <w:jc w:val="center"/>
              <w:textAlignment w:val="auto"/>
              <w:rPr>
                <w:rFonts w:ascii="Times New Roman" w:eastAsia="宋体" w:hAnsi="Times New Roman" w:cs="Times New Roman"/>
                <w:b/>
                <w:bCs/>
                <w:color w:val="auto"/>
                <w:lang w:eastAsia="zh-CN"/>
              </w:rPr>
            </w:pPr>
            <w:bookmarkStart w:id="167" w:name="OLE_LINK1"/>
            <w:r>
              <w:rPr>
                <w:rFonts w:ascii="Times New Roman" w:eastAsia="宋体" w:hAnsi="Times New Roman" w:cs="Times New Roman"/>
                <w:b/>
                <w:bCs/>
                <w:color w:val="auto"/>
                <w:lang w:eastAsia="zh-CN"/>
              </w:rPr>
              <w:t>测站</w:t>
            </w:r>
          </w:p>
        </w:tc>
        <w:tc>
          <w:tcPr>
            <w:tcW w:w="1934" w:type="dxa"/>
            <w:gridSpan w:val="2"/>
            <w:tcMar>
              <w:top w:w="0" w:type="dxa"/>
              <w:left w:w="0" w:type="dxa"/>
              <w:bottom w:w="0" w:type="dxa"/>
              <w:right w:w="0" w:type="dxa"/>
            </w:tcMar>
            <w:vAlign w:val="center"/>
          </w:tcPr>
          <w:p w14:paraId="1744E10B" w14:textId="77777777" w:rsidR="0075791A" w:rsidRDefault="0075791A">
            <w:pPr>
              <w:kinsoku/>
              <w:autoSpaceDE/>
              <w:autoSpaceDN/>
              <w:adjustRightInd/>
              <w:jc w:val="center"/>
              <w:textAlignment w:val="auto"/>
              <w:rPr>
                <w:rFonts w:ascii="Times New Roman" w:eastAsia="宋体" w:hAnsi="Times New Roman" w:cs="Times New Roman"/>
                <w:b/>
                <w:bCs/>
                <w:color w:val="auto"/>
                <w:lang w:eastAsia="zh-CN"/>
              </w:rPr>
            </w:pPr>
          </w:p>
          <w:p w14:paraId="487A2D1A" w14:textId="77777777" w:rsidR="0075791A" w:rsidRDefault="00FB2864">
            <w:pPr>
              <w:kinsoku/>
              <w:autoSpaceDE/>
              <w:autoSpaceDN/>
              <w:adjustRightInd/>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要素</w:t>
            </w:r>
          </w:p>
          <w:p w14:paraId="12210A93" w14:textId="77777777" w:rsidR="0075791A" w:rsidRDefault="00FB2864">
            <w:pPr>
              <w:kinsoku/>
              <w:autoSpaceDE/>
              <w:autoSpaceDN/>
              <w:adjustRightInd/>
              <w:snapToGrid/>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测层</w:t>
            </w:r>
          </w:p>
        </w:tc>
        <w:tc>
          <w:tcPr>
            <w:tcW w:w="1095" w:type="dxa"/>
            <w:tcMar>
              <w:top w:w="0" w:type="dxa"/>
              <w:left w:w="0" w:type="dxa"/>
              <w:bottom w:w="0" w:type="dxa"/>
              <w:right w:w="0" w:type="dxa"/>
            </w:tcMar>
            <w:vAlign w:val="center"/>
          </w:tcPr>
          <w:p w14:paraId="189F71DC" w14:textId="77777777" w:rsidR="0075791A" w:rsidRDefault="00FB2864">
            <w:pPr>
              <w:kinsoku/>
              <w:autoSpaceDE/>
              <w:autoSpaceDN/>
              <w:adjustRightInd/>
              <w:snapToGrid/>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表层</w:t>
            </w:r>
          </w:p>
        </w:tc>
        <w:tc>
          <w:tcPr>
            <w:tcW w:w="1095" w:type="dxa"/>
            <w:tcMar>
              <w:top w:w="0" w:type="dxa"/>
              <w:left w:w="0" w:type="dxa"/>
              <w:bottom w:w="0" w:type="dxa"/>
              <w:right w:w="0" w:type="dxa"/>
            </w:tcMar>
            <w:vAlign w:val="center"/>
          </w:tcPr>
          <w:p w14:paraId="37DFD133" w14:textId="77777777" w:rsidR="0075791A" w:rsidRDefault="00FB2864">
            <w:pPr>
              <w:kinsoku/>
              <w:autoSpaceDE/>
              <w:autoSpaceDN/>
              <w:adjustRightInd/>
              <w:snapToGrid/>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0.</w:t>
            </w:r>
            <w:r>
              <w:rPr>
                <w:rFonts w:ascii="Times New Roman" w:eastAsia="宋体" w:hAnsi="Times New Roman" w:cs="Times New Roman" w:hint="eastAsia"/>
                <w:b/>
                <w:bCs/>
                <w:color w:val="auto"/>
                <w:lang w:eastAsia="zh-CN"/>
              </w:rPr>
              <w:t>2</w:t>
            </w:r>
            <w:r>
              <w:rPr>
                <w:rFonts w:ascii="Times New Roman" w:eastAsia="宋体" w:hAnsi="Times New Roman" w:cs="Times New Roman"/>
                <w:b/>
                <w:bCs/>
                <w:color w:val="auto"/>
                <w:lang w:eastAsia="zh-CN"/>
              </w:rPr>
              <w:t>H</w:t>
            </w:r>
          </w:p>
        </w:tc>
        <w:tc>
          <w:tcPr>
            <w:tcW w:w="1095" w:type="dxa"/>
            <w:tcMar>
              <w:top w:w="0" w:type="dxa"/>
              <w:left w:w="0" w:type="dxa"/>
              <w:bottom w:w="0" w:type="dxa"/>
              <w:right w:w="0" w:type="dxa"/>
            </w:tcMar>
            <w:vAlign w:val="center"/>
          </w:tcPr>
          <w:p w14:paraId="206967EC" w14:textId="77777777" w:rsidR="0075791A" w:rsidRDefault="00FB2864">
            <w:pPr>
              <w:kinsoku/>
              <w:autoSpaceDE/>
              <w:autoSpaceDN/>
              <w:adjustRightInd/>
              <w:snapToGrid/>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0.</w:t>
            </w:r>
            <w:r>
              <w:rPr>
                <w:rFonts w:ascii="Times New Roman" w:eastAsia="宋体" w:hAnsi="Times New Roman" w:cs="Times New Roman" w:hint="eastAsia"/>
                <w:b/>
                <w:bCs/>
                <w:color w:val="auto"/>
                <w:lang w:eastAsia="zh-CN"/>
              </w:rPr>
              <w:t>4</w:t>
            </w:r>
            <w:r>
              <w:rPr>
                <w:rFonts w:ascii="Times New Roman" w:eastAsia="宋体" w:hAnsi="Times New Roman" w:cs="Times New Roman"/>
                <w:b/>
                <w:bCs/>
                <w:color w:val="auto"/>
                <w:lang w:eastAsia="zh-CN"/>
              </w:rPr>
              <w:t>H</w:t>
            </w:r>
          </w:p>
        </w:tc>
        <w:tc>
          <w:tcPr>
            <w:tcW w:w="1219" w:type="dxa"/>
            <w:tcMar>
              <w:top w:w="0" w:type="dxa"/>
              <w:left w:w="0" w:type="dxa"/>
              <w:bottom w:w="0" w:type="dxa"/>
              <w:right w:w="0" w:type="dxa"/>
            </w:tcMar>
            <w:vAlign w:val="center"/>
          </w:tcPr>
          <w:p w14:paraId="06C48CC6" w14:textId="77777777" w:rsidR="0075791A" w:rsidRDefault="00FB2864">
            <w:pPr>
              <w:kinsoku/>
              <w:autoSpaceDE/>
              <w:autoSpaceDN/>
              <w:adjustRightInd/>
              <w:snapToGrid/>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0.6H</w:t>
            </w:r>
          </w:p>
        </w:tc>
        <w:tc>
          <w:tcPr>
            <w:tcW w:w="1219" w:type="dxa"/>
            <w:tcMar>
              <w:top w:w="0" w:type="dxa"/>
              <w:left w:w="0" w:type="dxa"/>
              <w:bottom w:w="0" w:type="dxa"/>
              <w:right w:w="0" w:type="dxa"/>
            </w:tcMar>
            <w:vAlign w:val="center"/>
          </w:tcPr>
          <w:p w14:paraId="3D5938B5" w14:textId="77777777" w:rsidR="0075791A" w:rsidRDefault="00FB2864">
            <w:pPr>
              <w:kinsoku/>
              <w:autoSpaceDE/>
              <w:autoSpaceDN/>
              <w:adjustRightInd/>
              <w:snapToGrid/>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0.</w:t>
            </w:r>
            <w:r>
              <w:rPr>
                <w:rFonts w:ascii="Times New Roman" w:eastAsia="宋体" w:hAnsi="Times New Roman" w:cs="Times New Roman" w:hint="eastAsia"/>
                <w:b/>
                <w:bCs/>
                <w:color w:val="auto"/>
                <w:lang w:eastAsia="zh-CN"/>
              </w:rPr>
              <w:t>8</w:t>
            </w:r>
            <w:r>
              <w:rPr>
                <w:rFonts w:ascii="Times New Roman" w:eastAsia="宋体" w:hAnsi="Times New Roman" w:cs="Times New Roman"/>
                <w:b/>
                <w:bCs/>
                <w:color w:val="auto"/>
                <w:lang w:eastAsia="zh-CN"/>
              </w:rPr>
              <w:t>H</w:t>
            </w:r>
          </w:p>
        </w:tc>
        <w:tc>
          <w:tcPr>
            <w:tcW w:w="1219" w:type="dxa"/>
            <w:tcMar>
              <w:top w:w="0" w:type="dxa"/>
              <w:left w:w="0" w:type="dxa"/>
              <w:bottom w:w="0" w:type="dxa"/>
              <w:right w:w="0" w:type="dxa"/>
            </w:tcMar>
            <w:vAlign w:val="center"/>
          </w:tcPr>
          <w:p w14:paraId="22E15B1C" w14:textId="77777777" w:rsidR="0075791A" w:rsidRDefault="00FB2864">
            <w:pPr>
              <w:kinsoku/>
              <w:autoSpaceDE/>
              <w:autoSpaceDN/>
              <w:adjustRightInd/>
              <w:snapToGrid/>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底层</w:t>
            </w:r>
          </w:p>
        </w:tc>
        <w:tc>
          <w:tcPr>
            <w:tcW w:w="1219" w:type="dxa"/>
            <w:tcMar>
              <w:top w:w="0" w:type="dxa"/>
              <w:left w:w="0" w:type="dxa"/>
              <w:bottom w:w="0" w:type="dxa"/>
              <w:right w:w="0" w:type="dxa"/>
            </w:tcMar>
            <w:vAlign w:val="center"/>
          </w:tcPr>
          <w:p w14:paraId="3A711578" w14:textId="77777777" w:rsidR="0075791A" w:rsidRDefault="00FB2864">
            <w:pPr>
              <w:kinsoku/>
              <w:autoSpaceDE/>
              <w:autoSpaceDN/>
              <w:adjustRightInd/>
              <w:snapToGrid/>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垂线平均</w:t>
            </w:r>
          </w:p>
        </w:tc>
      </w:tr>
      <w:tr w:rsidR="0075791A" w14:paraId="07E1151D" w14:textId="77777777">
        <w:trPr>
          <w:trHeight w:val="255"/>
          <w:jc w:val="center"/>
        </w:trPr>
        <w:tc>
          <w:tcPr>
            <w:tcW w:w="989" w:type="dxa"/>
            <w:vMerge w:val="restart"/>
            <w:tcMar>
              <w:top w:w="0" w:type="dxa"/>
              <w:left w:w="0" w:type="dxa"/>
              <w:bottom w:w="0" w:type="dxa"/>
              <w:right w:w="0" w:type="dxa"/>
            </w:tcMar>
            <w:vAlign w:val="center"/>
          </w:tcPr>
          <w:p w14:paraId="0F765D53"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hint="eastAsia"/>
                <w:b/>
                <w:bCs/>
                <w:color w:val="auto"/>
                <w:lang w:eastAsia="zh-CN"/>
              </w:rPr>
              <w:t>L</w:t>
            </w:r>
            <w:r>
              <w:rPr>
                <w:rFonts w:ascii="Times New Roman" w:eastAsia="宋体" w:hAnsi="Times New Roman" w:cs="Times New Roman"/>
                <w:b/>
                <w:bCs/>
                <w:color w:val="auto"/>
                <w:lang w:eastAsia="zh-CN"/>
              </w:rPr>
              <w:t>1</w:t>
            </w:r>
          </w:p>
        </w:tc>
        <w:tc>
          <w:tcPr>
            <w:tcW w:w="790" w:type="dxa"/>
            <w:vMerge w:val="restart"/>
            <w:tcMar>
              <w:top w:w="0" w:type="dxa"/>
              <w:left w:w="0" w:type="dxa"/>
              <w:bottom w:w="0" w:type="dxa"/>
              <w:right w:w="0" w:type="dxa"/>
            </w:tcMar>
            <w:vAlign w:val="center"/>
          </w:tcPr>
          <w:p w14:paraId="4AE6EBA7" w14:textId="77777777" w:rsidR="0075791A" w:rsidRDefault="00FB2864">
            <w:pPr>
              <w:kinsoku/>
              <w:autoSpaceDE/>
              <w:autoSpaceDN/>
              <w:jc w:val="center"/>
              <w:textAlignment w:val="auto"/>
              <w:rPr>
                <w:rFonts w:ascii="Times New Roman" w:eastAsia="宋体" w:hAnsi="Times New Roman" w:cs="Times New Roman"/>
                <w:b/>
                <w:bCs/>
                <w:color w:val="auto"/>
                <w:kern w:val="2"/>
                <w:lang w:eastAsia="zh-CN"/>
              </w:rPr>
            </w:pPr>
            <w:r>
              <w:rPr>
                <w:rFonts w:ascii="Times New Roman" w:eastAsia="宋体" w:hAnsi="Times New Roman" w:cs="Times New Roman"/>
                <w:b/>
                <w:bCs/>
                <w:color w:val="auto"/>
                <w:lang w:eastAsia="zh-CN"/>
              </w:rPr>
              <w:t>涨潮</w:t>
            </w:r>
          </w:p>
        </w:tc>
        <w:tc>
          <w:tcPr>
            <w:tcW w:w="1144" w:type="dxa"/>
            <w:tcMar>
              <w:top w:w="0" w:type="dxa"/>
              <w:left w:w="0" w:type="dxa"/>
              <w:bottom w:w="0" w:type="dxa"/>
              <w:right w:w="0" w:type="dxa"/>
            </w:tcMar>
            <w:vAlign w:val="center"/>
          </w:tcPr>
          <w:p w14:paraId="17EB4FD8"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max</w:t>
            </w:r>
          </w:p>
        </w:tc>
        <w:tc>
          <w:tcPr>
            <w:tcW w:w="1095" w:type="dxa"/>
            <w:tcMar>
              <w:top w:w="0" w:type="dxa"/>
              <w:left w:w="0" w:type="dxa"/>
              <w:bottom w:w="0" w:type="dxa"/>
              <w:right w:w="0" w:type="dxa"/>
            </w:tcMar>
            <w:vAlign w:val="center"/>
          </w:tcPr>
          <w:p w14:paraId="3962D3B5"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1F60901C"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56855557"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427DC45"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34.2</w:t>
            </w:r>
          </w:p>
        </w:tc>
        <w:tc>
          <w:tcPr>
            <w:tcW w:w="1219" w:type="dxa"/>
            <w:tcMar>
              <w:top w:w="0" w:type="dxa"/>
              <w:left w:w="0" w:type="dxa"/>
              <w:bottom w:w="0" w:type="dxa"/>
              <w:right w:w="0" w:type="dxa"/>
            </w:tcMar>
            <w:vAlign w:val="center"/>
          </w:tcPr>
          <w:p w14:paraId="183A31F7"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B9B7D9E"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672EC24E"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34.2</w:t>
            </w:r>
          </w:p>
        </w:tc>
      </w:tr>
      <w:tr w:rsidR="0075791A" w14:paraId="2D109868" w14:textId="77777777">
        <w:trPr>
          <w:trHeight w:val="255"/>
          <w:jc w:val="center"/>
        </w:trPr>
        <w:tc>
          <w:tcPr>
            <w:tcW w:w="989" w:type="dxa"/>
            <w:vMerge/>
            <w:tcMar>
              <w:top w:w="0" w:type="dxa"/>
              <w:left w:w="0" w:type="dxa"/>
              <w:bottom w:w="0" w:type="dxa"/>
              <w:right w:w="0" w:type="dxa"/>
            </w:tcMar>
            <w:vAlign w:val="center"/>
          </w:tcPr>
          <w:p w14:paraId="60F3A6CA"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7E52887E" w14:textId="77777777" w:rsidR="0075791A" w:rsidRDefault="0075791A">
            <w:pPr>
              <w:kinsoku/>
              <w:autoSpaceDE/>
              <w:autoSpaceDN/>
              <w:jc w:val="center"/>
              <w:textAlignment w:val="auto"/>
              <w:rPr>
                <w:rFonts w:ascii="Times New Roman" w:eastAsia="宋体" w:hAnsi="Times New Roman" w:cs="Times New Roman"/>
                <w:b/>
                <w:bCs/>
                <w:color w:val="auto"/>
                <w:lang w:eastAsia="zh-CN"/>
              </w:rPr>
            </w:pPr>
          </w:p>
        </w:tc>
        <w:tc>
          <w:tcPr>
            <w:tcW w:w="1144" w:type="dxa"/>
            <w:tcMar>
              <w:top w:w="0" w:type="dxa"/>
              <w:left w:w="0" w:type="dxa"/>
              <w:bottom w:w="0" w:type="dxa"/>
              <w:right w:w="0" w:type="dxa"/>
            </w:tcMar>
            <w:vAlign w:val="center"/>
          </w:tcPr>
          <w:p w14:paraId="3F4B464E"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Vmax</w:t>
            </w:r>
          </w:p>
        </w:tc>
        <w:tc>
          <w:tcPr>
            <w:tcW w:w="1095" w:type="dxa"/>
            <w:tcMar>
              <w:top w:w="0" w:type="dxa"/>
              <w:left w:w="0" w:type="dxa"/>
              <w:bottom w:w="0" w:type="dxa"/>
              <w:right w:w="0" w:type="dxa"/>
            </w:tcMar>
            <w:vAlign w:val="center"/>
          </w:tcPr>
          <w:p w14:paraId="45D4F3FB"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15A0AF44"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50707754"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59EB121"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300</w:t>
            </w:r>
          </w:p>
        </w:tc>
        <w:tc>
          <w:tcPr>
            <w:tcW w:w="1219" w:type="dxa"/>
            <w:tcMar>
              <w:top w:w="0" w:type="dxa"/>
              <w:left w:w="0" w:type="dxa"/>
              <w:bottom w:w="0" w:type="dxa"/>
              <w:right w:w="0" w:type="dxa"/>
            </w:tcMar>
            <w:vAlign w:val="center"/>
          </w:tcPr>
          <w:p w14:paraId="33FDE9C6"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2EFE1FE8"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661ACBFD"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300</w:t>
            </w:r>
          </w:p>
        </w:tc>
      </w:tr>
      <w:tr w:rsidR="0075791A" w14:paraId="24C3B142" w14:textId="77777777">
        <w:trPr>
          <w:trHeight w:val="255"/>
          <w:jc w:val="center"/>
        </w:trPr>
        <w:tc>
          <w:tcPr>
            <w:tcW w:w="989" w:type="dxa"/>
            <w:vMerge/>
            <w:tcMar>
              <w:top w:w="0" w:type="dxa"/>
              <w:left w:w="0" w:type="dxa"/>
              <w:bottom w:w="0" w:type="dxa"/>
              <w:right w:w="0" w:type="dxa"/>
            </w:tcMar>
            <w:vAlign w:val="center"/>
          </w:tcPr>
          <w:p w14:paraId="70B38C0B"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33108007"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1B0C541A"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mean</w:t>
            </w:r>
          </w:p>
        </w:tc>
        <w:tc>
          <w:tcPr>
            <w:tcW w:w="1095" w:type="dxa"/>
            <w:tcMar>
              <w:top w:w="0" w:type="dxa"/>
              <w:left w:w="0" w:type="dxa"/>
              <w:bottom w:w="0" w:type="dxa"/>
              <w:right w:w="0" w:type="dxa"/>
            </w:tcMar>
            <w:vAlign w:val="center"/>
          </w:tcPr>
          <w:p w14:paraId="43032ED4"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6C285C7F"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63715A0A"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E980CAD"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19.5</w:t>
            </w:r>
          </w:p>
        </w:tc>
        <w:tc>
          <w:tcPr>
            <w:tcW w:w="1219" w:type="dxa"/>
            <w:tcMar>
              <w:top w:w="0" w:type="dxa"/>
              <w:left w:w="0" w:type="dxa"/>
              <w:bottom w:w="0" w:type="dxa"/>
              <w:right w:w="0" w:type="dxa"/>
            </w:tcMar>
            <w:vAlign w:val="center"/>
          </w:tcPr>
          <w:p w14:paraId="7A2AF08E"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C5B8220"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3D9C0048"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19.5</w:t>
            </w:r>
          </w:p>
        </w:tc>
      </w:tr>
      <w:tr w:rsidR="0075791A" w14:paraId="633FC6A5" w14:textId="77777777">
        <w:trPr>
          <w:trHeight w:val="255"/>
          <w:jc w:val="center"/>
        </w:trPr>
        <w:tc>
          <w:tcPr>
            <w:tcW w:w="989" w:type="dxa"/>
            <w:vMerge/>
            <w:tcMar>
              <w:top w:w="0" w:type="dxa"/>
              <w:left w:w="0" w:type="dxa"/>
              <w:bottom w:w="0" w:type="dxa"/>
              <w:right w:w="0" w:type="dxa"/>
            </w:tcMar>
            <w:vAlign w:val="center"/>
          </w:tcPr>
          <w:p w14:paraId="0274086C"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3873C9BD"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4D0F1B79"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Vmean</w:t>
            </w:r>
          </w:p>
        </w:tc>
        <w:tc>
          <w:tcPr>
            <w:tcW w:w="1095" w:type="dxa"/>
            <w:tcMar>
              <w:top w:w="0" w:type="dxa"/>
              <w:left w:w="0" w:type="dxa"/>
              <w:bottom w:w="0" w:type="dxa"/>
              <w:right w:w="0" w:type="dxa"/>
            </w:tcMar>
            <w:vAlign w:val="center"/>
          </w:tcPr>
          <w:p w14:paraId="579DCA32"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5B62C6D1"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777213EB"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6E730FF6"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316</w:t>
            </w:r>
          </w:p>
        </w:tc>
        <w:tc>
          <w:tcPr>
            <w:tcW w:w="1219" w:type="dxa"/>
            <w:tcMar>
              <w:top w:w="0" w:type="dxa"/>
              <w:left w:w="0" w:type="dxa"/>
              <w:bottom w:w="0" w:type="dxa"/>
              <w:right w:w="0" w:type="dxa"/>
            </w:tcMar>
            <w:vAlign w:val="center"/>
          </w:tcPr>
          <w:p w14:paraId="4F38384B"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3AD46CB0"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25A74CE"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316</w:t>
            </w:r>
          </w:p>
        </w:tc>
      </w:tr>
      <w:tr w:rsidR="0075791A" w14:paraId="4FB71207" w14:textId="77777777">
        <w:trPr>
          <w:trHeight w:val="255"/>
          <w:jc w:val="center"/>
        </w:trPr>
        <w:tc>
          <w:tcPr>
            <w:tcW w:w="989" w:type="dxa"/>
            <w:vMerge/>
            <w:tcMar>
              <w:top w:w="0" w:type="dxa"/>
              <w:left w:w="0" w:type="dxa"/>
              <w:bottom w:w="0" w:type="dxa"/>
              <w:right w:w="0" w:type="dxa"/>
            </w:tcMar>
            <w:vAlign w:val="center"/>
          </w:tcPr>
          <w:p w14:paraId="20B4908C"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val="restart"/>
            <w:tcMar>
              <w:top w:w="0" w:type="dxa"/>
              <w:left w:w="0" w:type="dxa"/>
              <w:bottom w:w="0" w:type="dxa"/>
              <w:right w:w="0" w:type="dxa"/>
            </w:tcMar>
            <w:vAlign w:val="center"/>
          </w:tcPr>
          <w:p w14:paraId="4A1A04DB"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落潮</w:t>
            </w:r>
          </w:p>
        </w:tc>
        <w:tc>
          <w:tcPr>
            <w:tcW w:w="1144" w:type="dxa"/>
            <w:tcMar>
              <w:top w:w="0" w:type="dxa"/>
              <w:left w:w="0" w:type="dxa"/>
              <w:bottom w:w="0" w:type="dxa"/>
              <w:right w:w="0" w:type="dxa"/>
            </w:tcMar>
            <w:vAlign w:val="center"/>
          </w:tcPr>
          <w:p w14:paraId="63390FA9"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max</w:t>
            </w:r>
          </w:p>
        </w:tc>
        <w:tc>
          <w:tcPr>
            <w:tcW w:w="1095" w:type="dxa"/>
            <w:tcMar>
              <w:top w:w="0" w:type="dxa"/>
              <w:left w:w="0" w:type="dxa"/>
              <w:bottom w:w="0" w:type="dxa"/>
              <w:right w:w="0" w:type="dxa"/>
            </w:tcMar>
            <w:vAlign w:val="center"/>
          </w:tcPr>
          <w:p w14:paraId="1F1AB8E3"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5F33A4EB"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5B4ABE03"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D684F7B"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35.7</w:t>
            </w:r>
          </w:p>
        </w:tc>
        <w:tc>
          <w:tcPr>
            <w:tcW w:w="1219" w:type="dxa"/>
            <w:tcMar>
              <w:top w:w="0" w:type="dxa"/>
              <w:left w:w="0" w:type="dxa"/>
              <w:bottom w:w="0" w:type="dxa"/>
              <w:right w:w="0" w:type="dxa"/>
            </w:tcMar>
            <w:vAlign w:val="center"/>
          </w:tcPr>
          <w:p w14:paraId="05BE0C16"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66E258C5"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147460ED"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35.7</w:t>
            </w:r>
          </w:p>
        </w:tc>
      </w:tr>
      <w:tr w:rsidR="0075791A" w14:paraId="48620181" w14:textId="77777777">
        <w:trPr>
          <w:trHeight w:val="255"/>
          <w:jc w:val="center"/>
        </w:trPr>
        <w:tc>
          <w:tcPr>
            <w:tcW w:w="989" w:type="dxa"/>
            <w:vMerge/>
            <w:tcMar>
              <w:top w:w="0" w:type="dxa"/>
              <w:left w:w="0" w:type="dxa"/>
              <w:bottom w:w="0" w:type="dxa"/>
              <w:right w:w="0" w:type="dxa"/>
            </w:tcMar>
            <w:vAlign w:val="center"/>
          </w:tcPr>
          <w:p w14:paraId="3D3B7DA5"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2E4FFA62"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4D455A77"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Vmax</w:t>
            </w:r>
          </w:p>
        </w:tc>
        <w:tc>
          <w:tcPr>
            <w:tcW w:w="1095" w:type="dxa"/>
            <w:tcMar>
              <w:top w:w="0" w:type="dxa"/>
              <w:left w:w="0" w:type="dxa"/>
              <w:bottom w:w="0" w:type="dxa"/>
              <w:right w:w="0" w:type="dxa"/>
            </w:tcMar>
            <w:vAlign w:val="center"/>
          </w:tcPr>
          <w:p w14:paraId="78AC7167"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0A876505"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073B3A2D"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6337D29"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122</w:t>
            </w:r>
          </w:p>
        </w:tc>
        <w:tc>
          <w:tcPr>
            <w:tcW w:w="1219" w:type="dxa"/>
            <w:tcMar>
              <w:top w:w="0" w:type="dxa"/>
              <w:left w:w="0" w:type="dxa"/>
              <w:bottom w:w="0" w:type="dxa"/>
              <w:right w:w="0" w:type="dxa"/>
            </w:tcMar>
            <w:vAlign w:val="center"/>
          </w:tcPr>
          <w:p w14:paraId="005532D7"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F8C0445"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198CC4AE"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122</w:t>
            </w:r>
          </w:p>
        </w:tc>
      </w:tr>
      <w:tr w:rsidR="0075791A" w14:paraId="0CB6C6AA" w14:textId="77777777">
        <w:trPr>
          <w:trHeight w:val="255"/>
          <w:jc w:val="center"/>
        </w:trPr>
        <w:tc>
          <w:tcPr>
            <w:tcW w:w="989" w:type="dxa"/>
            <w:vMerge/>
            <w:tcMar>
              <w:top w:w="0" w:type="dxa"/>
              <w:left w:w="0" w:type="dxa"/>
              <w:bottom w:w="0" w:type="dxa"/>
              <w:right w:w="0" w:type="dxa"/>
            </w:tcMar>
            <w:vAlign w:val="center"/>
          </w:tcPr>
          <w:p w14:paraId="72E097D7"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2D2DF51D" w14:textId="77777777" w:rsidR="0075791A" w:rsidRDefault="0075791A">
            <w:pPr>
              <w:kinsoku/>
              <w:autoSpaceDE/>
              <w:autoSpaceDN/>
              <w:jc w:val="center"/>
              <w:textAlignment w:val="auto"/>
              <w:rPr>
                <w:rFonts w:ascii="Times New Roman" w:eastAsia="宋体" w:hAnsi="Times New Roman" w:cs="Times New Roman"/>
                <w:b/>
                <w:bCs/>
                <w:color w:val="auto"/>
                <w:lang w:eastAsia="zh-CN"/>
              </w:rPr>
            </w:pPr>
          </w:p>
        </w:tc>
        <w:tc>
          <w:tcPr>
            <w:tcW w:w="1144" w:type="dxa"/>
            <w:tcMar>
              <w:top w:w="0" w:type="dxa"/>
              <w:left w:w="0" w:type="dxa"/>
              <w:bottom w:w="0" w:type="dxa"/>
              <w:right w:w="0" w:type="dxa"/>
            </w:tcMar>
            <w:vAlign w:val="center"/>
          </w:tcPr>
          <w:p w14:paraId="5721237D"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mean</w:t>
            </w:r>
          </w:p>
        </w:tc>
        <w:tc>
          <w:tcPr>
            <w:tcW w:w="1095" w:type="dxa"/>
            <w:tcMar>
              <w:top w:w="0" w:type="dxa"/>
              <w:left w:w="0" w:type="dxa"/>
              <w:bottom w:w="0" w:type="dxa"/>
              <w:right w:w="0" w:type="dxa"/>
            </w:tcMar>
            <w:vAlign w:val="center"/>
          </w:tcPr>
          <w:p w14:paraId="2D5B56F7"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2424126E"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16E3D17E"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3CE885D9"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23.8</w:t>
            </w:r>
          </w:p>
        </w:tc>
        <w:tc>
          <w:tcPr>
            <w:tcW w:w="1219" w:type="dxa"/>
            <w:tcMar>
              <w:top w:w="0" w:type="dxa"/>
              <w:left w:w="0" w:type="dxa"/>
              <w:bottom w:w="0" w:type="dxa"/>
              <w:right w:w="0" w:type="dxa"/>
            </w:tcMar>
            <w:vAlign w:val="center"/>
          </w:tcPr>
          <w:p w14:paraId="3F639CB7"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6B7FEBE0"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2588D096"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23.8</w:t>
            </w:r>
          </w:p>
        </w:tc>
      </w:tr>
      <w:tr w:rsidR="0075791A" w14:paraId="76ABD55C" w14:textId="77777777">
        <w:trPr>
          <w:trHeight w:val="255"/>
          <w:jc w:val="center"/>
        </w:trPr>
        <w:tc>
          <w:tcPr>
            <w:tcW w:w="989" w:type="dxa"/>
            <w:vMerge/>
            <w:tcMar>
              <w:top w:w="0" w:type="dxa"/>
              <w:left w:w="0" w:type="dxa"/>
              <w:bottom w:w="0" w:type="dxa"/>
              <w:right w:w="0" w:type="dxa"/>
            </w:tcMar>
            <w:vAlign w:val="center"/>
          </w:tcPr>
          <w:p w14:paraId="5AF015C3"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477FC7E9" w14:textId="77777777" w:rsidR="0075791A" w:rsidRDefault="0075791A">
            <w:pPr>
              <w:kinsoku/>
              <w:autoSpaceDE/>
              <w:autoSpaceDN/>
              <w:jc w:val="center"/>
              <w:textAlignment w:val="auto"/>
              <w:rPr>
                <w:rFonts w:ascii="Times New Roman" w:eastAsia="宋体" w:hAnsi="Times New Roman" w:cs="Times New Roman"/>
                <w:b/>
                <w:bCs/>
                <w:color w:val="auto"/>
                <w:lang w:eastAsia="zh-CN"/>
              </w:rPr>
            </w:pPr>
          </w:p>
        </w:tc>
        <w:tc>
          <w:tcPr>
            <w:tcW w:w="1144" w:type="dxa"/>
            <w:tcMar>
              <w:top w:w="0" w:type="dxa"/>
              <w:left w:w="0" w:type="dxa"/>
              <w:bottom w:w="0" w:type="dxa"/>
              <w:right w:w="0" w:type="dxa"/>
            </w:tcMar>
            <w:vAlign w:val="center"/>
          </w:tcPr>
          <w:p w14:paraId="0C2508F8"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Vmean</w:t>
            </w:r>
          </w:p>
        </w:tc>
        <w:tc>
          <w:tcPr>
            <w:tcW w:w="1095" w:type="dxa"/>
            <w:tcMar>
              <w:top w:w="0" w:type="dxa"/>
              <w:left w:w="0" w:type="dxa"/>
              <w:bottom w:w="0" w:type="dxa"/>
              <w:right w:w="0" w:type="dxa"/>
            </w:tcMar>
            <w:vAlign w:val="center"/>
          </w:tcPr>
          <w:p w14:paraId="03D5C4F9"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3AF244BF"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7B442761"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0A7A5D5"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123</w:t>
            </w:r>
          </w:p>
        </w:tc>
        <w:tc>
          <w:tcPr>
            <w:tcW w:w="1219" w:type="dxa"/>
            <w:tcMar>
              <w:top w:w="0" w:type="dxa"/>
              <w:left w:w="0" w:type="dxa"/>
              <w:bottom w:w="0" w:type="dxa"/>
              <w:right w:w="0" w:type="dxa"/>
            </w:tcMar>
            <w:vAlign w:val="center"/>
          </w:tcPr>
          <w:p w14:paraId="3A919DF1"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7F64FDEA"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606DFDBB" w14:textId="77777777" w:rsidR="0075791A" w:rsidRDefault="00FB2864">
            <w:pPr>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123</w:t>
            </w:r>
          </w:p>
        </w:tc>
      </w:tr>
      <w:tr w:rsidR="0075791A" w14:paraId="60742038" w14:textId="77777777">
        <w:trPr>
          <w:trHeight w:val="255"/>
          <w:jc w:val="center"/>
        </w:trPr>
        <w:tc>
          <w:tcPr>
            <w:tcW w:w="989" w:type="dxa"/>
            <w:vMerge w:val="restart"/>
            <w:tcMar>
              <w:top w:w="0" w:type="dxa"/>
              <w:left w:w="0" w:type="dxa"/>
              <w:bottom w:w="0" w:type="dxa"/>
              <w:right w:w="0" w:type="dxa"/>
            </w:tcMar>
            <w:vAlign w:val="center"/>
          </w:tcPr>
          <w:p w14:paraId="39250FE0" w14:textId="77777777" w:rsidR="0075791A" w:rsidRDefault="00FB2864">
            <w:pPr>
              <w:kinsoku/>
              <w:autoSpaceDE/>
              <w:autoSpaceDN/>
              <w:jc w:val="center"/>
              <w:textAlignment w:val="auto"/>
              <w:rPr>
                <w:rFonts w:ascii="Times New Roman" w:eastAsia="宋体" w:hAnsi="Times New Roman" w:cs="Times New Roman"/>
                <w:b/>
                <w:bCs/>
                <w:color w:val="auto"/>
                <w:kern w:val="2"/>
                <w:lang w:eastAsia="zh-CN"/>
              </w:rPr>
            </w:pPr>
            <w:r>
              <w:rPr>
                <w:rFonts w:ascii="Times New Roman" w:eastAsia="宋体" w:hAnsi="Times New Roman" w:cs="Times New Roman" w:hint="eastAsia"/>
                <w:b/>
                <w:bCs/>
                <w:color w:val="auto"/>
                <w:lang w:eastAsia="zh-CN"/>
              </w:rPr>
              <w:t>L</w:t>
            </w:r>
            <w:r>
              <w:rPr>
                <w:rFonts w:ascii="Times New Roman" w:eastAsia="宋体" w:hAnsi="Times New Roman" w:cs="Times New Roman"/>
                <w:b/>
                <w:bCs/>
                <w:color w:val="auto"/>
                <w:lang w:eastAsia="zh-CN"/>
              </w:rPr>
              <w:t>2</w:t>
            </w:r>
          </w:p>
        </w:tc>
        <w:tc>
          <w:tcPr>
            <w:tcW w:w="790" w:type="dxa"/>
            <w:vMerge w:val="restart"/>
            <w:tcMar>
              <w:top w:w="0" w:type="dxa"/>
              <w:left w:w="0" w:type="dxa"/>
              <w:bottom w:w="0" w:type="dxa"/>
              <w:right w:w="0" w:type="dxa"/>
            </w:tcMar>
            <w:vAlign w:val="center"/>
          </w:tcPr>
          <w:p w14:paraId="5DDEDC1D" w14:textId="77777777" w:rsidR="0075791A" w:rsidRDefault="00FB2864">
            <w:pPr>
              <w:kinsoku/>
              <w:autoSpaceDE/>
              <w:autoSpaceDN/>
              <w:jc w:val="center"/>
              <w:textAlignment w:val="auto"/>
              <w:rPr>
                <w:rFonts w:ascii="Times New Roman" w:eastAsia="宋体" w:hAnsi="Times New Roman" w:cs="Times New Roman"/>
                <w:b/>
                <w:bCs/>
                <w:color w:val="auto"/>
                <w:kern w:val="2"/>
                <w:lang w:eastAsia="zh-CN"/>
              </w:rPr>
            </w:pPr>
            <w:r>
              <w:rPr>
                <w:rFonts w:ascii="Times New Roman" w:eastAsia="宋体" w:hAnsi="Times New Roman" w:cs="Times New Roman"/>
                <w:b/>
                <w:bCs/>
                <w:color w:val="auto"/>
                <w:lang w:eastAsia="zh-CN"/>
              </w:rPr>
              <w:t>涨潮</w:t>
            </w:r>
          </w:p>
        </w:tc>
        <w:tc>
          <w:tcPr>
            <w:tcW w:w="1144" w:type="dxa"/>
            <w:tcMar>
              <w:top w:w="0" w:type="dxa"/>
              <w:left w:w="0" w:type="dxa"/>
              <w:bottom w:w="0" w:type="dxa"/>
              <w:right w:w="0" w:type="dxa"/>
            </w:tcMar>
            <w:vAlign w:val="center"/>
          </w:tcPr>
          <w:p w14:paraId="49AF3946"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max</w:t>
            </w:r>
          </w:p>
        </w:tc>
        <w:tc>
          <w:tcPr>
            <w:tcW w:w="1095" w:type="dxa"/>
            <w:tcMar>
              <w:top w:w="0" w:type="dxa"/>
              <w:left w:w="0" w:type="dxa"/>
              <w:bottom w:w="0" w:type="dxa"/>
              <w:right w:w="0" w:type="dxa"/>
            </w:tcMar>
            <w:vAlign w:val="center"/>
          </w:tcPr>
          <w:p w14:paraId="62350C1E"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281EC500"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3F784C45"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512C08C"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38.5</w:t>
            </w:r>
          </w:p>
        </w:tc>
        <w:tc>
          <w:tcPr>
            <w:tcW w:w="1219" w:type="dxa"/>
            <w:tcMar>
              <w:top w:w="0" w:type="dxa"/>
              <w:left w:w="0" w:type="dxa"/>
              <w:bottom w:w="0" w:type="dxa"/>
              <w:right w:w="0" w:type="dxa"/>
            </w:tcMar>
            <w:vAlign w:val="center"/>
          </w:tcPr>
          <w:p w14:paraId="3B71674B"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8947713"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42A8CAAD"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38.5</w:t>
            </w:r>
          </w:p>
        </w:tc>
      </w:tr>
      <w:tr w:rsidR="0075791A" w14:paraId="04614CDD" w14:textId="77777777">
        <w:trPr>
          <w:trHeight w:val="255"/>
          <w:jc w:val="center"/>
        </w:trPr>
        <w:tc>
          <w:tcPr>
            <w:tcW w:w="989" w:type="dxa"/>
            <w:vMerge/>
            <w:tcMar>
              <w:top w:w="0" w:type="dxa"/>
              <w:left w:w="0" w:type="dxa"/>
              <w:bottom w:w="0" w:type="dxa"/>
              <w:right w:w="0" w:type="dxa"/>
            </w:tcMar>
            <w:vAlign w:val="center"/>
          </w:tcPr>
          <w:p w14:paraId="6204E839"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714DB16A"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4C9C2020"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Vmax</w:t>
            </w:r>
          </w:p>
        </w:tc>
        <w:tc>
          <w:tcPr>
            <w:tcW w:w="1095" w:type="dxa"/>
            <w:tcMar>
              <w:top w:w="0" w:type="dxa"/>
              <w:left w:w="0" w:type="dxa"/>
              <w:bottom w:w="0" w:type="dxa"/>
              <w:right w:w="0" w:type="dxa"/>
            </w:tcMar>
            <w:vAlign w:val="center"/>
          </w:tcPr>
          <w:p w14:paraId="1C8945C4"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59463762"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75C799DE"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566CFBD"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317</w:t>
            </w:r>
          </w:p>
        </w:tc>
        <w:tc>
          <w:tcPr>
            <w:tcW w:w="1219" w:type="dxa"/>
            <w:tcMar>
              <w:top w:w="0" w:type="dxa"/>
              <w:left w:w="0" w:type="dxa"/>
              <w:bottom w:w="0" w:type="dxa"/>
              <w:right w:w="0" w:type="dxa"/>
            </w:tcMar>
            <w:vAlign w:val="center"/>
          </w:tcPr>
          <w:p w14:paraId="543C4353"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26EFB3CD"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4D1817C"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317</w:t>
            </w:r>
          </w:p>
        </w:tc>
      </w:tr>
      <w:tr w:rsidR="0075791A" w14:paraId="3284D549" w14:textId="77777777">
        <w:trPr>
          <w:trHeight w:val="255"/>
          <w:jc w:val="center"/>
        </w:trPr>
        <w:tc>
          <w:tcPr>
            <w:tcW w:w="989" w:type="dxa"/>
            <w:vMerge/>
            <w:tcMar>
              <w:top w:w="0" w:type="dxa"/>
              <w:left w:w="0" w:type="dxa"/>
              <w:bottom w:w="0" w:type="dxa"/>
              <w:right w:w="0" w:type="dxa"/>
            </w:tcMar>
            <w:vAlign w:val="center"/>
          </w:tcPr>
          <w:p w14:paraId="23CE7375"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423019AF"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4A5621AB"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mean</w:t>
            </w:r>
          </w:p>
        </w:tc>
        <w:tc>
          <w:tcPr>
            <w:tcW w:w="1095" w:type="dxa"/>
            <w:tcMar>
              <w:top w:w="0" w:type="dxa"/>
              <w:left w:w="0" w:type="dxa"/>
              <w:bottom w:w="0" w:type="dxa"/>
              <w:right w:w="0" w:type="dxa"/>
            </w:tcMar>
            <w:vAlign w:val="center"/>
          </w:tcPr>
          <w:p w14:paraId="655687D1"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43A54FF1"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37F8A36C"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8A23C07"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24.6</w:t>
            </w:r>
          </w:p>
        </w:tc>
        <w:tc>
          <w:tcPr>
            <w:tcW w:w="1219" w:type="dxa"/>
            <w:tcMar>
              <w:top w:w="0" w:type="dxa"/>
              <w:left w:w="0" w:type="dxa"/>
              <w:bottom w:w="0" w:type="dxa"/>
              <w:right w:w="0" w:type="dxa"/>
            </w:tcMar>
            <w:vAlign w:val="center"/>
          </w:tcPr>
          <w:p w14:paraId="62E5B18E"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20D98CB3"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4F76905"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24.6</w:t>
            </w:r>
          </w:p>
        </w:tc>
      </w:tr>
      <w:tr w:rsidR="0075791A" w14:paraId="570ECDE2" w14:textId="77777777">
        <w:trPr>
          <w:trHeight w:val="255"/>
          <w:jc w:val="center"/>
        </w:trPr>
        <w:tc>
          <w:tcPr>
            <w:tcW w:w="989" w:type="dxa"/>
            <w:vMerge/>
            <w:tcMar>
              <w:top w:w="0" w:type="dxa"/>
              <w:left w:w="0" w:type="dxa"/>
              <w:bottom w:w="0" w:type="dxa"/>
              <w:right w:w="0" w:type="dxa"/>
            </w:tcMar>
            <w:vAlign w:val="center"/>
          </w:tcPr>
          <w:p w14:paraId="2CF71DA6"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1F3931C3"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7036D21D"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Vmean</w:t>
            </w:r>
          </w:p>
        </w:tc>
        <w:tc>
          <w:tcPr>
            <w:tcW w:w="1095" w:type="dxa"/>
            <w:tcMar>
              <w:top w:w="0" w:type="dxa"/>
              <w:left w:w="0" w:type="dxa"/>
              <w:bottom w:w="0" w:type="dxa"/>
              <w:right w:w="0" w:type="dxa"/>
            </w:tcMar>
            <w:vAlign w:val="center"/>
          </w:tcPr>
          <w:p w14:paraId="02279F4B"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4516C45B"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1577B52C"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2C6E28DC"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326</w:t>
            </w:r>
          </w:p>
        </w:tc>
        <w:tc>
          <w:tcPr>
            <w:tcW w:w="1219" w:type="dxa"/>
            <w:tcMar>
              <w:top w:w="0" w:type="dxa"/>
              <w:left w:w="0" w:type="dxa"/>
              <w:bottom w:w="0" w:type="dxa"/>
              <w:right w:w="0" w:type="dxa"/>
            </w:tcMar>
            <w:vAlign w:val="center"/>
          </w:tcPr>
          <w:p w14:paraId="19224B87"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3B83815"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D4C66C0"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326</w:t>
            </w:r>
          </w:p>
        </w:tc>
      </w:tr>
      <w:tr w:rsidR="0075791A" w14:paraId="76A856EA" w14:textId="77777777">
        <w:trPr>
          <w:trHeight w:val="255"/>
          <w:jc w:val="center"/>
        </w:trPr>
        <w:tc>
          <w:tcPr>
            <w:tcW w:w="989" w:type="dxa"/>
            <w:vMerge/>
            <w:tcMar>
              <w:top w:w="0" w:type="dxa"/>
              <w:left w:w="0" w:type="dxa"/>
              <w:bottom w:w="0" w:type="dxa"/>
              <w:right w:w="0" w:type="dxa"/>
            </w:tcMar>
            <w:vAlign w:val="center"/>
          </w:tcPr>
          <w:p w14:paraId="6DFD33C9"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val="restart"/>
            <w:tcMar>
              <w:top w:w="0" w:type="dxa"/>
              <w:left w:w="0" w:type="dxa"/>
              <w:bottom w:w="0" w:type="dxa"/>
              <w:right w:w="0" w:type="dxa"/>
            </w:tcMar>
            <w:vAlign w:val="center"/>
          </w:tcPr>
          <w:p w14:paraId="25B89A4F" w14:textId="77777777" w:rsidR="0075791A" w:rsidRDefault="00FB2864">
            <w:pPr>
              <w:kinsoku/>
              <w:autoSpaceDE/>
              <w:autoSpaceDN/>
              <w:jc w:val="center"/>
              <w:textAlignment w:val="auto"/>
              <w:rPr>
                <w:rFonts w:ascii="Times New Roman" w:eastAsia="宋体" w:hAnsi="Times New Roman" w:cs="Times New Roman"/>
                <w:b/>
                <w:bCs/>
                <w:color w:val="auto"/>
                <w:kern w:val="2"/>
                <w:lang w:eastAsia="zh-CN"/>
              </w:rPr>
            </w:pPr>
            <w:r>
              <w:rPr>
                <w:rFonts w:ascii="Times New Roman" w:eastAsia="宋体" w:hAnsi="Times New Roman" w:cs="Times New Roman"/>
                <w:b/>
                <w:bCs/>
                <w:color w:val="auto"/>
                <w:lang w:eastAsia="zh-CN"/>
              </w:rPr>
              <w:t>落潮</w:t>
            </w:r>
          </w:p>
        </w:tc>
        <w:tc>
          <w:tcPr>
            <w:tcW w:w="1144" w:type="dxa"/>
            <w:tcMar>
              <w:top w:w="0" w:type="dxa"/>
              <w:left w:w="0" w:type="dxa"/>
              <w:bottom w:w="0" w:type="dxa"/>
              <w:right w:w="0" w:type="dxa"/>
            </w:tcMar>
            <w:vAlign w:val="center"/>
          </w:tcPr>
          <w:p w14:paraId="36049EF1"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max</w:t>
            </w:r>
          </w:p>
        </w:tc>
        <w:tc>
          <w:tcPr>
            <w:tcW w:w="1095" w:type="dxa"/>
            <w:tcMar>
              <w:top w:w="0" w:type="dxa"/>
              <w:left w:w="0" w:type="dxa"/>
              <w:bottom w:w="0" w:type="dxa"/>
              <w:right w:w="0" w:type="dxa"/>
            </w:tcMar>
            <w:vAlign w:val="center"/>
          </w:tcPr>
          <w:p w14:paraId="6A526003"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753A3278"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54AF2E90"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F9A25A6"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54.1</w:t>
            </w:r>
          </w:p>
        </w:tc>
        <w:tc>
          <w:tcPr>
            <w:tcW w:w="1219" w:type="dxa"/>
            <w:tcMar>
              <w:top w:w="0" w:type="dxa"/>
              <w:left w:w="0" w:type="dxa"/>
              <w:bottom w:w="0" w:type="dxa"/>
              <w:right w:w="0" w:type="dxa"/>
            </w:tcMar>
            <w:vAlign w:val="center"/>
          </w:tcPr>
          <w:p w14:paraId="37A33B41"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C250050"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289AC6C"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54.1</w:t>
            </w:r>
          </w:p>
        </w:tc>
      </w:tr>
      <w:tr w:rsidR="0075791A" w14:paraId="23FE912C" w14:textId="77777777">
        <w:trPr>
          <w:trHeight w:val="255"/>
          <w:jc w:val="center"/>
        </w:trPr>
        <w:tc>
          <w:tcPr>
            <w:tcW w:w="989" w:type="dxa"/>
            <w:vMerge/>
            <w:tcMar>
              <w:top w:w="0" w:type="dxa"/>
              <w:left w:w="0" w:type="dxa"/>
              <w:bottom w:w="0" w:type="dxa"/>
              <w:right w:w="0" w:type="dxa"/>
            </w:tcMar>
            <w:vAlign w:val="center"/>
          </w:tcPr>
          <w:p w14:paraId="331B4B3E"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39225A39"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75EC083B"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Vmax</w:t>
            </w:r>
          </w:p>
        </w:tc>
        <w:tc>
          <w:tcPr>
            <w:tcW w:w="1095" w:type="dxa"/>
            <w:tcMar>
              <w:top w:w="0" w:type="dxa"/>
              <w:left w:w="0" w:type="dxa"/>
              <w:bottom w:w="0" w:type="dxa"/>
              <w:right w:w="0" w:type="dxa"/>
            </w:tcMar>
            <w:vAlign w:val="center"/>
          </w:tcPr>
          <w:p w14:paraId="7B04C33B"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00C29BC2"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44DE158D"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16EDA548"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169</w:t>
            </w:r>
          </w:p>
        </w:tc>
        <w:tc>
          <w:tcPr>
            <w:tcW w:w="1219" w:type="dxa"/>
            <w:tcMar>
              <w:top w:w="0" w:type="dxa"/>
              <w:left w:w="0" w:type="dxa"/>
              <w:bottom w:w="0" w:type="dxa"/>
              <w:right w:w="0" w:type="dxa"/>
            </w:tcMar>
            <w:vAlign w:val="center"/>
          </w:tcPr>
          <w:p w14:paraId="35EA7F0B"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0189235"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49AD9A20"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169</w:t>
            </w:r>
          </w:p>
        </w:tc>
      </w:tr>
      <w:tr w:rsidR="0075791A" w14:paraId="305BDDB9" w14:textId="77777777">
        <w:trPr>
          <w:trHeight w:val="255"/>
          <w:jc w:val="center"/>
        </w:trPr>
        <w:tc>
          <w:tcPr>
            <w:tcW w:w="989" w:type="dxa"/>
            <w:vMerge/>
            <w:tcMar>
              <w:top w:w="0" w:type="dxa"/>
              <w:left w:w="0" w:type="dxa"/>
              <w:bottom w:w="0" w:type="dxa"/>
              <w:right w:w="0" w:type="dxa"/>
            </w:tcMar>
            <w:vAlign w:val="center"/>
          </w:tcPr>
          <w:p w14:paraId="78141A66"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3645BDF5"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2C952012"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mean</w:t>
            </w:r>
          </w:p>
        </w:tc>
        <w:tc>
          <w:tcPr>
            <w:tcW w:w="1095" w:type="dxa"/>
            <w:tcMar>
              <w:top w:w="0" w:type="dxa"/>
              <w:left w:w="0" w:type="dxa"/>
              <w:bottom w:w="0" w:type="dxa"/>
              <w:right w:w="0" w:type="dxa"/>
            </w:tcMar>
            <w:vAlign w:val="center"/>
          </w:tcPr>
          <w:p w14:paraId="6FFC11A0"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343D2515"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28C45725"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F4FE8FB"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34.3</w:t>
            </w:r>
          </w:p>
        </w:tc>
        <w:tc>
          <w:tcPr>
            <w:tcW w:w="1219" w:type="dxa"/>
            <w:tcMar>
              <w:top w:w="0" w:type="dxa"/>
              <w:left w:w="0" w:type="dxa"/>
              <w:bottom w:w="0" w:type="dxa"/>
              <w:right w:w="0" w:type="dxa"/>
            </w:tcMar>
            <w:vAlign w:val="center"/>
          </w:tcPr>
          <w:p w14:paraId="07A9A40D"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12074969"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3C980DF2"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34.3</w:t>
            </w:r>
          </w:p>
        </w:tc>
      </w:tr>
      <w:tr w:rsidR="0075791A" w14:paraId="04F4EAC1" w14:textId="77777777">
        <w:trPr>
          <w:trHeight w:val="255"/>
          <w:jc w:val="center"/>
        </w:trPr>
        <w:tc>
          <w:tcPr>
            <w:tcW w:w="989" w:type="dxa"/>
            <w:vMerge/>
            <w:tcMar>
              <w:top w:w="0" w:type="dxa"/>
              <w:left w:w="0" w:type="dxa"/>
              <w:bottom w:w="0" w:type="dxa"/>
              <w:right w:w="0" w:type="dxa"/>
            </w:tcMar>
            <w:vAlign w:val="center"/>
          </w:tcPr>
          <w:p w14:paraId="4F55CFC2"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2A101F3E"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478B583A"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Vmean</w:t>
            </w:r>
          </w:p>
        </w:tc>
        <w:tc>
          <w:tcPr>
            <w:tcW w:w="1095" w:type="dxa"/>
            <w:tcMar>
              <w:top w:w="0" w:type="dxa"/>
              <w:left w:w="0" w:type="dxa"/>
              <w:bottom w:w="0" w:type="dxa"/>
              <w:right w:w="0" w:type="dxa"/>
            </w:tcMar>
            <w:vAlign w:val="center"/>
          </w:tcPr>
          <w:p w14:paraId="47C48695"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596BCFFA"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18169F76"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36F02C16"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167</w:t>
            </w:r>
          </w:p>
        </w:tc>
        <w:tc>
          <w:tcPr>
            <w:tcW w:w="1219" w:type="dxa"/>
            <w:tcMar>
              <w:top w:w="0" w:type="dxa"/>
              <w:left w:w="0" w:type="dxa"/>
              <w:bottom w:w="0" w:type="dxa"/>
              <w:right w:w="0" w:type="dxa"/>
            </w:tcMar>
            <w:vAlign w:val="center"/>
          </w:tcPr>
          <w:p w14:paraId="36D82701"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1D5D1121"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1666E892"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167</w:t>
            </w:r>
          </w:p>
        </w:tc>
      </w:tr>
      <w:tr w:rsidR="0075791A" w14:paraId="7216BC64" w14:textId="77777777">
        <w:trPr>
          <w:trHeight w:val="255"/>
          <w:jc w:val="center"/>
        </w:trPr>
        <w:tc>
          <w:tcPr>
            <w:tcW w:w="989" w:type="dxa"/>
            <w:vMerge w:val="restart"/>
            <w:tcMar>
              <w:top w:w="0" w:type="dxa"/>
              <w:left w:w="0" w:type="dxa"/>
              <w:bottom w:w="0" w:type="dxa"/>
              <w:right w:w="0" w:type="dxa"/>
            </w:tcMar>
            <w:vAlign w:val="center"/>
          </w:tcPr>
          <w:p w14:paraId="42DEAD0E" w14:textId="77777777" w:rsidR="0075791A" w:rsidRDefault="00FB2864">
            <w:pPr>
              <w:kinsoku/>
              <w:autoSpaceDE/>
              <w:autoSpaceDN/>
              <w:jc w:val="center"/>
              <w:textAlignment w:val="auto"/>
              <w:rPr>
                <w:rFonts w:ascii="Times New Roman" w:eastAsia="宋体" w:hAnsi="Times New Roman" w:cs="Times New Roman"/>
                <w:b/>
                <w:bCs/>
                <w:color w:val="auto"/>
                <w:kern w:val="2"/>
                <w:lang w:eastAsia="zh-CN"/>
              </w:rPr>
            </w:pPr>
            <w:r>
              <w:rPr>
                <w:rFonts w:ascii="Times New Roman" w:eastAsia="宋体" w:hAnsi="Times New Roman" w:cs="Times New Roman" w:hint="eastAsia"/>
                <w:b/>
                <w:bCs/>
                <w:color w:val="auto"/>
                <w:lang w:eastAsia="zh-CN"/>
              </w:rPr>
              <w:t>L</w:t>
            </w:r>
            <w:r>
              <w:rPr>
                <w:rFonts w:ascii="Times New Roman" w:eastAsia="宋体" w:hAnsi="Times New Roman" w:cs="Times New Roman"/>
                <w:b/>
                <w:bCs/>
                <w:color w:val="auto"/>
                <w:lang w:eastAsia="zh-CN"/>
              </w:rPr>
              <w:t>3</w:t>
            </w:r>
          </w:p>
        </w:tc>
        <w:tc>
          <w:tcPr>
            <w:tcW w:w="790" w:type="dxa"/>
            <w:vMerge w:val="restart"/>
            <w:tcMar>
              <w:top w:w="0" w:type="dxa"/>
              <w:left w:w="0" w:type="dxa"/>
              <w:bottom w:w="0" w:type="dxa"/>
              <w:right w:w="0" w:type="dxa"/>
            </w:tcMar>
            <w:vAlign w:val="center"/>
          </w:tcPr>
          <w:p w14:paraId="73A1BBBD" w14:textId="77777777" w:rsidR="0075791A" w:rsidRDefault="00FB2864">
            <w:pPr>
              <w:kinsoku/>
              <w:autoSpaceDE/>
              <w:autoSpaceDN/>
              <w:jc w:val="center"/>
              <w:textAlignment w:val="auto"/>
              <w:rPr>
                <w:rFonts w:ascii="Times New Roman" w:eastAsia="宋体" w:hAnsi="Times New Roman" w:cs="Times New Roman"/>
                <w:b/>
                <w:bCs/>
                <w:color w:val="auto"/>
                <w:kern w:val="2"/>
                <w:lang w:eastAsia="zh-CN"/>
              </w:rPr>
            </w:pPr>
            <w:r>
              <w:rPr>
                <w:rFonts w:ascii="Times New Roman" w:eastAsia="宋体" w:hAnsi="Times New Roman" w:cs="Times New Roman"/>
                <w:b/>
                <w:bCs/>
                <w:color w:val="auto"/>
                <w:lang w:eastAsia="zh-CN"/>
              </w:rPr>
              <w:t>涨潮</w:t>
            </w:r>
          </w:p>
        </w:tc>
        <w:tc>
          <w:tcPr>
            <w:tcW w:w="1144" w:type="dxa"/>
            <w:tcMar>
              <w:top w:w="0" w:type="dxa"/>
              <w:left w:w="0" w:type="dxa"/>
              <w:bottom w:w="0" w:type="dxa"/>
              <w:right w:w="0" w:type="dxa"/>
            </w:tcMar>
            <w:vAlign w:val="center"/>
          </w:tcPr>
          <w:p w14:paraId="1EAC30B5"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max</w:t>
            </w:r>
          </w:p>
        </w:tc>
        <w:tc>
          <w:tcPr>
            <w:tcW w:w="1095" w:type="dxa"/>
            <w:tcMar>
              <w:top w:w="0" w:type="dxa"/>
              <w:left w:w="0" w:type="dxa"/>
              <w:bottom w:w="0" w:type="dxa"/>
              <w:right w:w="0" w:type="dxa"/>
            </w:tcMar>
            <w:vAlign w:val="center"/>
          </w:tcPr>
          <w:p w14:paraId="4ED54AB9"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67A0732C"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30.7</w:t>
            </w:r>
          </w:p>
        </w:tc>
        <w:tc>
          <w:tcPr>
            <w:tcW w:w="1095" w:type="dxa"/>
            <w:tcMar>
              <w:top w:w="0" w:type="dxa"/>
              <w:left w:w="0" w:type="dxa"/>
              <w:bottom w:w="0" w:type="dxa"/>
              <w:right w:w="0" w:type="dxa"/>
            </w:tcMar>
            <w:vAlign w:val="center"/>
          </w:tcPr>
          <w:p w14:paraId="116F4244"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744DF807"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6E310FC3"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43.5</w:t>
            </w:r>
          </w:p>
        </w:tc>
        <w:tc>
          <w:tcPr>
            <w:tcW w:w="1219" w:type="dxa"/>
            <w:tcMar>
              <w:top w:w="0" w:type="dxa"/>
              <w:left w:w="0" w:type="dxa"/>
              <w:bottom w:w="0" w:type="dxa"/>
              <w:right w:w="0" w:type="dxa"/>
            </w:tcMar>
            <w:vAlign w:val="center"/>
          </w:tcPr>
          <w:p w14:paraId="6B36A958"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2B0B7866"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36.6</w:t>
            </w:r>
          </w:p>
        </w:tc>
      </w:tr>
      <w:tr w:rsidR="0075791A" w14:paraId="13925E8C" w14:textId="77777777">
        <w:trPr>
          <w:trHeight w:val="255"/>
          <w:jc w:val="center"/>
        </w:trPr>
        <w:tc>
          <w:tcPr>
            <w:tcW w:w="989" w:type="dxa"/>
            <w:vMerge/>
            <w:tcMar>
              <w:top w:w="0" w:type="dxa"/>
              <w:left w:w="0" w:type="dxa"/>
              <w:bottom w:w="0" w:type="dxa"/>
              <w:right w:w="0" w:type="dxa"/>
            </w:tcMar>
            <w:vAlign w:val="center"/>
          </w:tcPr>
          <w:p w14:paraId="6D463246"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3903A1A3"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5B5CCDF1"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Vmax</w:t>
            </w:r>
          </w:p>
        </w:tc>
        <w:tc>
          <w:tcPr>
            <w:tcW w:w="1095" w:type="dxa"/>
            <w:tcMar>
              <w:top w:w="0" w:type="dxa"/>
              <w:left w:w="0" w:type="dxa"/>
              <w:bottom w:w="0" w:type="dxa"/>
              <w:right w:w="0" w:type="dxa"/>
            </w:tcMar>
            <w:vAlign w:val="center"/>
          </w:tcPr>
          <w:p w14:paraId="12558DB1"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77296B6E"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265</w:t>
            </w:r>
          </w:p>
        </w:tc>
        <w:tc>
          <w:tcPr>
            <w:tcW w:w="1095" w:type="dxa"/>
            <w:tcMar>
              <w:top w:w="0" w:type="dxa"/>
              <w:left w:w="0" w:type="dxa"/>
              <w:bottom w:w="0" w:type="dxa"/>
              <w:right w:w="0" w:type="dxa"/>
            </w:tcMar>
            <w:vAlign w:val="center"/>
          </w:tcPr>
          <w:p w14:paraId="0B0B5AA4"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4DA10CD6"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36763D9E"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284</w:t>
            </w:r>
          </w:p>
        </w:tc>
        <w:tc>
          <w:tcPr>
            <w:tcW w:w="1219" w:type="dxa"/>
            <w:tcMar>
              <w:top w:w="0" w:type="dxa"/>
              <w:left w:w="0" w:type="dxa"/>
              <w:bottom w:w="0" w:type="dxa"/>
              <w:right w:w="0" w:type="dxa"/>
            </w:tcMar>
            <w:vAlign w:val="center"/>
          </w:tcPr>
          <w:p w14:paraId="7126A200"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7221BE67"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276</w:t>
            </w:r>
          </w:p>
        </w:tc>
      </w:tr>
      <w:tr w:rsidR="0075791A" w14:paraId="20D981B7" w14:textId="77777777">
        <w:trPr>
          <w:trHeight w:val="255"/>
          <w:jc w:val="center"/>
        </w:trPr>
        <w:tc>
          <w:tcPr>
            <w:tcW w:w="989" w:type="dxa"/>
            <w:vMerge/>
            <w:tcMar>
              <w:top w:w="0" w:type="dxa"/>
              <w:left w:w="0" w:type="dxa"/>
              <w:bottom w:w="0" w:type="dxa"/>
              <w:right w:w="0" w:type="dxa"/>
            </w:tcMar>
            <w:vAlign w:val="center"/>
          </w:tcPr>
          <w:p w14:paraId="7141CE57"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0495C344"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0070AB4C"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mean</w:t>
            </w:r>
          </w:p>
        </w:tc>
        <w:tc>
          <w:tcPr>
            <w:tcW w:w="1095" w:type="dxa"/>
            <w:tcMar>
              <w:top w:w="0" w:type="dxa"/>
              <w:left w:w="0" w:type="dxa"/>
              <w:bottom w:w="0" w:type="dxa"/>
              <w:right w:w="0" w:type="dxa"/>
            </w:tcMar>
            <w:vAlign w:val="center"/>
          </w:tcPr>
          <w:p w14:paraId="7D6840CC"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238AC92C"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22.2</w:t>
            </w:r>
          </w:p>
        </w:tc>
        <w:tc>
          <w:tcPr>
            <w:tcW w:w="1095" w:type="dxa"/>
            <w:tcMar>
              <w:top w:w="0" w:type="dxa"/>
              <w:left w:w="0" w:type="dxa"/>
              <w:bottom w:w="0" w:type="dxa"/>
              <w:right w:w="0" w:type="dxa"/>
            </w:tcMar>
            <w:vAlign w:val="center"/>
          </w:tcPr>
          <w:p w14:paraId="1E547421"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28F7D2FB"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4665BB7A"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25.5</w:t>
            </w:r>
          </w:p>
        </w:tc>
        <w:tc>
          <w:tcPr>
            <w:tcW w:w="1219" w:type="dxa"/>
            <w:tcMar>
              <w:top w:w="0" w:type="dxa"/>
              <w:left w:w="0" w:type="dxa"/>
              <w:bottom w:w="0" w:type="dxa"/>
              <w:right w:w="0" w:type="dxa"/>
            </w:tcMar>
            <w:vAlign w:val="center"/>
          </w:tcPr>
          <w:p w14:paraId="47D61E6C"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7C59ECAC"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23.8</w:t>
            </w:r>
          </w:p>
        </w:tc>
      </w:tr>
      <w:tr w:rsidR="0075791A" w14:paraId="60F917AD" w14:textId="77777777">
        <w:trPr>
          <w:trHeight w:val="255"/>
          <w:jc w:val="center"/>
        </w:trPr>
        <w:tc>
          <w:tcPr>
            <w:tcW w:w="989" w:type="dxa"/>
            <w:vMerge/>
            <w:tcMar>
              <w:top w:w="0" w:type="dxa"/>
              <w:left w:w="0" w:type="dxa"/>
              <w:bottom w:w="0" w:type="dxa"/>
              <w:right w:w="0" w:type="dxa"/>
            </w:tcMar>
            <w:vAlign w:val="center"/>
          </w:tcPr>
          <w:p w14:paraId="53520D71"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0DDA783A"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11430A30"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Vmean</w:t>
            </w:r>
          </w:p>
        </w:tc>
        <w:tc>
          <w:tcPr>
            <w:tcW w:w="1095" w:type="dxa"/>
            <w:tcMar>
              <w:top w:w="0" w:type="dxa"/>
              <w:left w:w="0" w:type="dxa"/>
              <w:bottom w:w="0" w:type="dxa"/>
              <w:right w:w="0" w:type="dxa"/>
            </w:tcMar>
            <w:vAlign w:val="center"/>
          </w:tcPr>
          <w:p w14:paraId="53EA80FE"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66637AE5"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272</w:t>
            </w:r>
          </w:p>
        </w:tc>
        <w:tc>
          <w:tcPr>
            <w:tcW w:w="1095" w:type="dxa"/>
            <w:tcMar>
              <w:top w:w="0" w:type="dxa"/>
              <w:left w:w="0" w:type="dxa"/>
              <w:bottom w:w="0" w:type="dxa"/>
              <w:right w:w="0" w:type="dxa"/>
            </w:tcMar>
            <w:vAlign w:val="center"/>
          </w:tcPr>
          <w:p w14:paraId="116E8F3E"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979EE27"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35B22396"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280</w:t>
            </w:r>
          </w:p>
        </w:tc>
        <w:tc>
          <w:tcPr>
            <w:tcW w:w="1219" w:type="dxa"/>
            <w:tcMar>
              <w:top w:w="0" w:type="dxa"/>
              <w:left w:w="0" w:type="dxa"/>
              <w:bottom w:w="0" w:type="dxa"/>
              <w:right w:w="0" w:type="dxa"/>
            </w:tcMar>
            <w:vAlign w:val="center"/>
          </w:tcPr>
          <w:p w14:paraId="0E0C0E08"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7F8308E4"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277</w:t>
            </w:r>
          </w:p>
        </w:tc>
      </w:tr>
      <w:tr w:rsidR="0075791A" w14:paraId="4A2FE31B" w14:textId="77777777">
        <w:trPr>
          <w:trHeight w:val="255"/>
          <w:jc w:val="center"/>
        </w:trPr>
        <w:tc>
          <w:tcPr>
            <w:tcW w:w="989" w:type="dxa"/>
            <w:vMerge/>
            <w:tcMar>
              <w:top w:w="0" w:type="dxa"/>
              <w:left w:w="0" w:type="dxa"/>
              <w:bottom w:w="0" w:type="dxa"/>
              <w:right w:w="0" w:type="dxa"/>
            </w:tcMar>
            <w:vAlign w:val="center"/>
          </w:tcPr>
          <w:p w14:paraId="4F0E23A2"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val="restart"/>
            <w:tcMar>
              <w:top w:w="0" w:type="dxa"/>
              <w:left w:w="0" w:type="dxa"/>
              <w:bottom w:w="0" w:type="dxa"/>
              <w:right w:w="0" w:type="dxa"/>
            </w:tcMar>
            <w:vAlign w:val="center"/>
          </w:tcPr>
          <w:p w14:paraId="6C79EB3F" w14:textId="77777777" w:rsidR="0075791A" w:rsidRDefault="00FB2864">
            <w:pPr>
              <w:kinsoku/>
              <w:autoSpaceDE/>
              <w:autoSpaceDN/>
              <w:jc w:val="center"/>
              <w:textAlignment w:val="auto"/>
              <w:rPr>
                <w:rFonts w:ascii="Times New Roman" w:eastAsia="宋体" w:hAnsi="Times New Roman" w:cs="Times New Roman"/>
                <w:b/>
                <w:bCs/>
                <w:color w:val="auto"/>
                <w:kern w:val="2"/>
                <w:lang w:eastAsia="zh-CN"/>
              </w:rPr>
            </w:pPr>
            <w:r>
              <w:rPr>
                <w:rFonts w:ascii="Times New Roman" w:eastAsia="宋体" w:hAnsi="Times New Roman" w:cs="Times New Roman"/>
                <w:b/>
                <w:bCs/>
                <w:color w:val="auto"/>
                <w:lang w:eastAsia="zh-CN"/>
              </w:rPr>
              <w:t>落潮</w:t>
            </w:r>
          </w:p>
        </w:tc>
        <w:tc>
          <w:tcPr>
            <w:tcW w:w="1144" w:type="dxa"/>
            <w:tcMar>
              <w:top w:w="0" w:type="dxa"/>
              <w:left w:w="0" w:type="dxa"/>
              <w:bottom w:w="0" w:type="dxa"/>
              <w:right w:w="0" w:type="dxa"/>
            </w:tcMar>
            <w:vAlign w:val="center"/>
          </w:tcPr>
          <w:p w14:paraId="1C42B139"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max</w:t>
            </w:r>
          </w:p>
        </w:tc>
        <w:tc>
          <w:tcPr>
            <w:tcW w:w="1095" w:type="dxa"/>
            <w:tcMar>
              <w:top w:w="0" w:type="dxa"/>
              <w:left w:w="0" w:type="dxa"/>
              <w:bottom w:w="0" w:type="dxa"/>
              <w:right w:w="0" w:type="dxa"/>
            </w:tcMar>
            <w:vAlign w:val="center"/>
          </w:tcPr>
          <w:p w14:paraId="45958962"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14C45EDA"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41.9</w:t>
            </w:r>
          </w:p>
        </w:tc>
        <w:tc>
          <w:tcPr>
            <w:tcW w:w="1095" w:type="dxa"/>
            <w:tcMar>
              <w:top w:w="0" w:type="dxa"/>
              <w:left w:w="0" w:type="dxa"/>
              <w:bottom w:w="0" w:type="dxa"/>
              <w:right w:w="0" w:type="dxa"/>
            </w:tcMar>
            <w:vAlign w:val="center"/>
          </w:tcPr>
          <w:p w14:paraId="4C779A66"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236B26A7"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60B6A836"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47.6</w:t>
            </w:r>
          </w:p>
        </w:tc>
        <w:tc>
          <w:tcPr>
            <w:tcW w:w="1219" w:type="dxa"/>
            <w:tcMar>
              <w:top w:w="0" w:type="dxa"/>
              <w:left w:w="0" w:type="dxa"/>
              <w:bottom w:w="0" w:type="dxa"/>
              <w:right w:w="0" w:type="dxa"/>
            </w:tcMar>
            <w:vAlign w:val="center"/>
          </w:tcPr>
          <w:p w14:paraId="5A600DC3"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31FCCC21"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42.3</w:t>
            </w:r>
          </w:p>
        </w:tc>
      </w:tr>
      <w:tr w:rsidR="0075791A" w14:paraId="620FBAED" w14:textId="77777777">
        <w:trPr>
          <w:trHeight w:val="255"/>
          <w:jc w:val="center"/>
        </w:trPr>
        <w:tc>
          <w:tcPr>
            <w:tcW w:w="989" w:type="dxa"/>
            <w:vMerge/>
            <w:tcMar>
              <w:top w:w="0" w:type="dxa"/>
              <w:left w:w="0" w:type="dxa"/>
              <w:bottom w:w="0" w:type="dxa"/>
              <w:right w:w="0" w:type="dxa"/>
            </w:tcMar>
            <w:vAlign w:val="center"/>
          </w:tcPr>
          <w:p w14:paraId="2A2869D6"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6B710736"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6A2EA5F7"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Vmax</w:t>
            </w:r>
          </w:p>
        </w:tc>
        <w:tc>
          <w:tcPr>
            <w:tcW w:w="1095" w:type="dxa"/>
            <w:tcMar>
              <w:top w:w="0" w:type="dxa"/>
              <w:left w:w="0" w:type="dxa"/>
              <w:bottom w:w="0" w:type="dxa"/>
              <w:right w:w="0" w:type="dxa"/>
            </w:tcMar>
            <w:vAlign w:val="center"/>
          </w:tcPr>
          <w:p w14:paraId="1AA1DE9B"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4EE5AD09"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106</w:t>
            </w:r>
          </w:p>
        </w:tc>
        <w:tc>
          <w:tcPr>
            <w:tcW w:w="1095" w:type="dxa"/>
            <w:tcMar>
              <w:top w:w="0" w:type="dxa"/>
              <w:left w:w="0" w:type="dxa"/>
              <w:bottom w:w="0" w:type="dxa"/>
              <w:right w:w="0" w:type="dxa"/>
            </w:tcMar>
            <w:vAlign w:val="center"/>
          </w:tcPr>
          <w:p w14:paraId="5C2C0C1B"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20D95FD9"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4E3EBADC"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111</w:t>
            </w:r>
          </w:p>
        </w:tc>
        <w:tc>
          <w:tcPr>
            <w:tcW w:w="1219" w:type="dxa"/>
            <w:tcMar>
              <w:top w:w="0" w:type="dxa"/>
              <w:left w:w="0" w:type="dxa"/>
              <w:bottom w:w="0" w:type="dxa"/>
              <w:right w:w="0" w:type="dxa"/>
            </w:tcMar>
            <w:vAlign w:val="center"/>
          </w:tcPr>
          <w:p w14:paraId="57935825"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4AA9758F"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109</w:t>
            </w:r>
          </w:p>
        </w:tc>
      </w:tr>
      <w:tr w:rsidR="0075791A" w14:paraId="577332DA" w14:textId="77777777">
        <w:trPr>
          <w:trHeight w:val="255"/>
          <w:jc w:val="center"/>
        </w:trPr>
        <w:tc>
          <w:tcPr>
            <w:tcW w:w="989" w:type="dxa"/>
            <w:vMerge/>
            <w:tcMar>
              <w:top w:w="0" w:type="dxa"/>
              <w:left w:w="0" w:type="dxa"/>
              <w:bottom w:w="0" w:type="dxa"/>
              <w:right w:w="0" w:type="dxa"/>
            </w:tcMar>
            <w:vAlign w:val="center"/>
          </w:tcPr>
          <w:p w14:paraId="1082F6FC"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0B49CFB5"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29B20209"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mean</w:t>
            </w:r>
          </w:p>
        </w:tc>
        <w:tc>
          <w:tcPr>
            <w:tcW w:w="1095" w:type="dxa"/>
            <w:tcMar>
              <w:top w:w="0" w:type="dxa"/>
              <w:left w:w="0" w:type="dxa"/>
              <w:bottom w:w="0" w:type="dxa"/>
              <w:right w:w="0" w:type="dxa"/>
            </w:tcMar>
            <w:vAlign w:val="center"/>
          </w:tcPr>
          <w:p w14:paraId="2D04DE59"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2ED2D653"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23.9</w:t>
            </w:r>
          </w:p>
        </w:tc>
        <w:tc>
          <w:tcPr>
            <w:tcW w:w="1095" w:type="dxa"/>
            <w:tcMar>
              <w:top w:w="0" w:type="dxa"/>
              <w:left w:w="0" w:type="dxa"/>
              <w:bottom w:w="0" w:type="dxa"/>
              <w:right w:w="0" w:type="dxa"/>
            </w:tcMar>
            <w:vAlign w:val="center"/>
          </w:tcPr>
          <w:p w14:paraId="6974E765"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44DE0534"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147A6ADE"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31.7</w:t>
            </w:r>
          </w:p>
        </w:tc>
        <w:tc>
          <w:tcPr>
            <w:tcW w:w="1219" w:type="dxa"/>
            <w:tcMar>
              <w:top w:w="0" w:type="dxa"/>
              <w:left w:w="0" w:type="dxa"/>
              <w:bottom w:w="0" w:type="dxa"/>
              <w:right w:w="0" w:type="dxa"/>
            </w:tcMar>
            <w:vAlign w:val="center"/>
          </w:tcPr>
          <w:p w14:paraId="37628B5C"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A89118D"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27.7</w:t>
            </w:r>
          </w:p>
        </w:tc>
      </w:tr>
      <w:tr w:rsidR="0075791A" w14:paraId="0CB95106" w14:textId="77777777">
        <w:trPr>
          <w:trHeight w:val="255"/>
          <w:jc w:val="center"/>
        </w:trPr>
        <w:tc>
          <w:tcPr>
            <w:tcW w:w="989" w:type="dxa"/>
            <w:vMerge/>
            <w:tcMar>
              <w:top w:w="0" w:type="dxa"/>
              <w:left w:w="0" w:type="dxa"/>
              <w:bottom w:w="0" w:type="dxa"/>
              <w:right w:w="0" w:type="dxa"/>
            </w:tcMar>
            <w:vAlign w:val="center"/>
          </w:tcPr>
          <w:p w14:paraId="7972ACDC"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3F5E61B1"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22D6A130"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Vmean</w:t>
            </w:r>
          </w:p>
        </w:tc>
        <w:tc>
          <w:tcPr>
            <w:tcW w:w="1095" w:type="dxa"/>
            <w:tcMar>
              <w:top w:w="0" w:type="dxa"/>
              <w:left w:w="0" w:type="dxa"/>
              <w:bottom w:w="0" w:type="dxa"/>
              <w:right w:w="0" w:type="dxa"/>
            </w:tcMar>
            <w:vAlign w:val="center"/>
          </w:tcPr>
          <w:p w14:paraId="1EF278C5"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570FD83C"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100</w:t>
            </w:r>
          </w:p>
        </w:tc>
        <w:tc>
          <w:tcPr>
            <w:tcW w:w="1095" w:type="dxa"/>
            <w:tcMar>
              <w:top w:w="0" w:type="dxa"/>
              <w:left w:w="0" w:type="dxa"/>
              <w:bottom w:w="0" w:type="dxa"/>
              <w:right w:w="0" w:type="dxa"/>
            </w:tcMar>
            <w:vAlign w:val="center"/>
          </w:tcPr>
          <w:p w14:paraId="15E75841"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67318303"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717BFC47"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112</w:t>
            </w:r>
          </w:p>
        </w:tc>
        <w:tc>
          <w:tcPr>
            <w:tcW w:w="1219" w:type="dxa"/>
            <w:tcMar>
              <w:top w:w="0" w:type="dxa"/>
              <w:left w:w="0" w:type="dxa"/>
              <w:bottom w:w="0" w:type="dxa"/>
              <w:right w:w="0" w:type="dxa"/>
            </w:tcMar>
            <w:vAlign w:val="center"/>
          </w:tcPr>
          <w:p w14:paraId="3C8A291A"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1B57A749"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107</w:t>
            </w:r>
          </w:p>
        </w:tc>
      </w:tr>
      <w:tr w:rsidR="0075791A" w14:paraId="54DC8EC5" w14:textId="77777777">
        <w:trPr>
          <w:trHeight w:val="255"/>
          <w:jc w:val="center"/>
        </w:trPr>
        <w:tc>
          <w:tcPr>
            <w:tcW w:w="989" w:type="dxa"/>
            <w:vMerge w:val="restart"/>
            <w:tcMar>
              <w:top w:w="0" w:type="dxa"/>
              <w:left w:w="0" w:type="dxa"/>
              <w:bottom w:w="0" w:type="dxa"/>
              <w:right w:w="0" w:type="dxa"/>
            </w:tcMar>
            <w:vAlign w:val="center"/>
          </w:tcPr>
          <w:p w14:paraId="3C65FAD1" w14:textId="77777777" w:rsidR="0075791A" w:rsidRDefault="00FB2864">
            <w:pPr>
              <w:kinsoku/>
              <w:autoSpaceDE/>
              <w:autoSpaceDN/>
              <w:jc w:val="center"/>
              <w:textAlignment w:val="auto"/>
              <w:rPr>
                <w:rFonts w:ascii="Times New Roman" w:eastAsia="宋体" w:hAnsi="Times New Roman" w:cs="Times New Roman"/>
                <w:b/>
                <w:bCs/>
                <w:color w:val="auto"/>
                <w:kern w:val="2"/>
                <w:lang w:eastAsia="zh-CN"/>
              </w:rPr>
            </w:pPr>
            <w:r>
              <w:rPr>
                <w:rFonts w:ascii="Times New Roman" w:eastAsia="宋体" w:hAnsi="Times New Roman" w:cs="Times New Roman" w:hint="eastAsia"/>
                <w:b/>
                <w:bCs/>
                <w:color w:val="auto"/>
                <w:lang w:eastAsia="zh-CN"/>
              </w:rPr>
              <w:t>L</w:t>
            </w:r>
            <w:r>
              <w:rPr>
                <w:rFonts w:ascii="Times New Roman" w:eastAsia="宋体" w:hAnsi="Times New Roman" w:cs="Times New Roman"/>
                <w:b/>
                <w:bCs/>
                <w:color w:val="auto"/>
                <w:lang w:eastAsia="zh-CN"/>
              </w:rPr>
              <w:t>4</w:t>
            </w:r>
          </w:p>
        </w:tc>
        <w:tc>
          <w:tcPr>
            <w:tcW w:w="790" w:type="dxa"/>
            <w:vMerge w:val="restart"/>
            <w:tcMar>
              <w:top w:w="0" w:type="dxa"/>
              <w:left w:w="0" w:type="dxa"/>
              <w:bottom w:w="0" w:type="dxa"/>
              <w:right w:w="0" w:type="dxa"/>
            </w:tcMar>
            <w:vAlign w:val="center"/>
          </w:tcPr>
          <w:p w14:paraId="2F540123" w14:textId="77777777" w:rsidR="0075791A" w:rsidRDefault="00FB2864">
            <w:pPr>
              <w:kinsoku/>
              <w:autoSpaceDE/>
              <w:autoSpaceDN/>
              <w:jc w:val="center"/>
              <w:textAlignment w:val="auto"/>
              <w:rPr>
                <w:rFonts w:ascii="Times New Roman" w:eastAsia="宋体" w:hAnsi="Times New Roman" w:cs="Times New Roman"/>
                <w:b/>
                <w:bCs/>
                <w:color w:val="auto"/>
                <w:kern w:val="2"/>
                <w:lang w:eastAsia="zh-CN"/>
              </w:rPr>
            </w:pPr>
            <w:r>
              <w:rPr>
                <w:rFonts w:ascii="Times New Roman" w:eastAsia="宋体" w:hAnsi="Times New Roman" w:cs="Times New Roman"/>
                <w:b/>
                <w:bCs/>
                <w:color w:val="auto"/>
                <w:lang w:eastAsia="zh-CN"/>
              </w:rPr>
              <w:t>涨潮</w:t>
            </w:r>
          </w:p>
        </w:tc>
        <w:tc>
          <w:tcPr>
            <w:tcW w:w="1144" w:type="dxa"/>
            <w:tcMar>
              <w:top w:w="0" w:type="dxa"/>
              <w:left w:w="0" w:type="dxa"/>
              <w:bottom w:w="0" w:type="dxa"/>
              <w:right w:w="0" w:type="dxa"/>
            </w:tcMar>
            <w:vAlign w:val="center"/>
          </w:tcPr>
          <w:p w14:paraId="44BC740E"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max</w:t>
            </w:r>
          </w:p>
        </w:tc>
        <w:tc>
          <w:tcPr>
            <w:tcW w:w="1095" w:type="dxa"/>
            <w:tcMar>
              <w:top w:w="0" w:type="dxa"/>
              <w:left w:w="0" w:type="dxa"/>
              <w:bottom w:w="0" w:type="dxa"/>
              <w:right w:w="0" w:type="dxa"/>
            </w:tcMar>
            <w:vAlign w:val="center"/>
          </w:tcPr>
          <w:p w14:paraId="0CBD1CD9"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4E08698D"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64.2</w:t>
            </w:r>
          </w:p>
        </w:tc>
        <w:tc>
          <w:tcPr>
            <w:tcW w:w="1095" w:type="dxa"/>
            <w:tcMar>
              <w:top w:w="0" w:type="dxa"/>
              <w:left w:w="0" w:type="dxa"/>
              <w:bottom w:w="0" w:type="dxa"/>
              <w:right w:w="0" w:type="dxa"/>
            </w:tcMar>
            <w:vAlign w:val="center"/>
          </w:tcPr>
          <w:p w14:paraId="33C63352"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5AB963F"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55.4</w:t>
            </w:r>
          </w:p>
        </w:tc>
        <w:tc>
          <w:tcPr>
            <w:tcW w:w="1219" w:type="dxa"/>
            <w:tcMar>
              <w:top w:w="0" w:type="dxa"/>
              <w:left w:w="0" w:type="dxa"/>
              <w:bottom w:w="0" w:type="dxa"/>
              <w:right w:w="0" w:type="dxa"/>
            </w:tcMar>
            <w:vAlign w:val="center"/>
          </w:tcPr>
          <w:p w14:paraId="32AFD757"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54.3</w:t>
            </w:r>
          </w:p>
        </w:tc>
        <w:tc>
          <w:tcPr>
            <w:tcW w:w="1219" w:type="dxa"/>
            <w:tcMar>
              <w:top w:w="0" w:type="dxa"/>
              <w:left w:w="0" w:type="dxa"/>
              <w:bottom w:w="0" w:type="dxa"/>
              <w:right w:w="0" w:type="dxa"/>
            </w:tcMar>
            <w:vAlign w:val="center"/>
          </w:tcPr>
          <w:p w14:paraId="1EE4E007"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4D732197"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54.1</w:t>
            </w:r>
          </w:p>
        </w:tc>
      </w:tr>
      <w:tr w:rsidR="0075791A" w14:paraId="43295B76" w14:textId="77777777">
        <w:trPr>
          <w:trHeight w:val="255"/>
          <w:jc w:val="center"/>
        </w:trPr>
        <w:tc>
          <w:tcPr>
            <w:tcW w:w="989" w:type="dxa"/>
            <w:vMerge/>
            <w:tcMar>
              <w:top w:w="0" w:type="dxa"/>
              <w:left w:w="0" w:type="dxa"/>
              <w:bottom w:w="0" w:type="dxa"/>
              <w:right w:w="0" w:type="dxa"/>
            </w:tcMar>
            <w:vAlign w:val="center"/>
          </w:tcPr>
          <w:p w14:paraId="2C5E1181"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2FD257F5"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33852088"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Vmax</w:t>
            </w:r>
          </w:p>
        </w:tc>
        <w:tc>
          <w:tcPr>
            <w:tcW w:w="1095" w:type="dxa"/>
            <w:tcMar>
              <w:top w:w="0" w:type="dxa"/>
              <w:left w:w="0" w:type="dxa"/>
              <w:bottom w:w="0" w:type="dxa"/>
              <w:right w:w="0" w:type="dxa"/>
            </w:tcMar>
            <w:vAlign w:val="center"/>
          </w:tcPr>
          <w:p w14:paraId="153DC2AC"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7D61FBF9"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316</w:t>
            </w:r>
          </w:p>
        </w:tc>
        <w:tc>
          <w:tcPr>
            <w:tcW w:w="1095" w:type="dxa"/>
            <w:tcMar>
              <w:top w:w="0" w:type="dxa"/>
              <w:left w:w="0" w:type="dxa"/>
              <w:bottom w:w="0" w:type="dxa"/>
              <w:right w:w="0" w:type="dxa"/>
            </w:tcMar>
            <w:vAlign w:val="center"/>
          </w:tcPr>
          <w:p w14:paraId="330C8834"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2D1F967"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312</w:t>
            </w:r>
          </w:p>
        </w:tc>
        <w:tc>
          <w:tcPr>
            <w:tcW w:w="1219" w:type="dxa"/>
            <w:tcMar>
              <w:top w:w="0" w:type="dxa"/>
              <w:left w:w="0" w:type="dxa"/>
              <w:bottom w:w="0" w:type="dxa"/>
              <w:right w:w="0" w:type="dxa"/>
            </w:tcMar>
            <w:vAlign w:val="center"/>
          </w:tcPr>
          <w:p w14:paraId="4C5994F9"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309</w:t>
            </w:r>
          </w:p>
        </w:tc>
        <w:tc>
          <w:tcPr>
            <w:tcW w:w="1219" w:type="dxa"/>
            <w:tcMar>
              <w:top w:w="0" w:type="dxa"/>
              <w:left w:w="0" w:type="dxa"/>
              <w:bottom w:w="0" w:type="dxa"/>
              <w:right w:w="0" w:type="dxa"/>
            </w:tcMar>
            <w:vAlign w:val="center"/>
          </w:tcPr>
          <w:p w14:paraId="23B4E2E9"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6D71D5F0"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308</w:t>
            </w:r>
          </w:p>
        </w:tc>
      </w:tr>
      <w:tr w:rsidR="0075791A" w14:paraId="6AC3BA8C" w14:textId="77777777">
        <w:trPr>
          <w:trHeight w:val="255"/>
          <w:jc w:val="center"/>
        </w:trPr>
        <w:tc>
          <w:tcPr>
            <w:tcW w:w="989" w:type="dxa"/>
            <w:vMerge/>
            <w:tcMar>
              <w:top w:w="0" w:type="dxa"/>
              <w:left w:w="0" w:type="dxa"/>
              <w:bottom w:w="0" w:type="dxa"/>
              <w:right w:w="0" w:type="dxa"/>
            </w:tcMar>
            <w:vAlign w:val="center"/>
          </w:tcPr>
          <w:p w14:paraId="24A6A0B3"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276FBCE9"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04AEEDDF"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mean</w:t>
            </w:r>
          </w:p>
        </w:tc>
        <w:tc>
          <w:tcPr>
            <w:tcW w:w="1095" w:type="dxa"/>
            <w:tcMar>
              <w:top w:w="0" w:type="dxa"/>
              <w:left w:w="0" w:type="dxa"/>
              <w:bottom w:w="0" w:type="dxa"/>
              <w:right w:w="0" w:type="dxa"/>
            </w:tcMar>
            <w:vAlign w:val="center"/>
          </w:tcPr>
          <w:p w14:paraId="45E83278"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77E4F0BE"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30.1</w:t>
            </w:r>
          </w:p>
        </w:tc>
        <w:tc>
          <w:tcPr>
            <w:tcW w:w="1095" w:type="dxa"/>
            <w:tcMar>
              <w:top w:w="0" w:type="dxa"/>
              <w:left w:w="0" w:type="dxa"/>
              <w:bottom w:w="0" w:type="dxa"/>
              <w:right w:w="0" w:type="dxa"/>
            </w:tcMar>
            <w:vAlign w:val="center"/>
          </w:tcPr>
          <w:p w14:paraId="24F4B059"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A1DFB9B"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27.3</w:t>
            </w:r>
          </w:p>
        </w:tc>
        <w:tc>
          <w:tcPr>
            <w:tcW w:w="1219" w:type="dxa"/>
            <w:tcMar>
              <w:top w:w="0" w:type="dxa"/>
              <w:left w:w="0" w:type="dxa"/>
              <w:bottom w:w="0" w:type="dxa"/>
              <w:right w:w="0" w:type="dxa"/>
            </w:tcMar>
            <w:vAlign w:val="center"/>
          </w:tcPr>
          <w:p w14:paraId="4B4A48C4"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27.4</w:t>
            </w:r>
          </w:p>
        </w:tc>
        <w:tc>
          <w:tcPr>
            <w:tcW w:w="1219" w:type="dxa"/>
            <w:tcMar>
              <w:top w:w="0" w:type="dxa"/>
              <w:left w:w="0" w:type="dxa"/>
              <w:bottom w:w="0" w:type="dxa"/>
              <w:right w:w="0" w:type="dxa"/>
            </w:tcMar>
            <w:vAlign w:val="center"/>
          </w:tcPr>
          <w:p w14:paraId="7BD670C6"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6CB15982"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28.1</w:t>
            </w:r>
          </w:p>
        </w:tc>
      </w:tr>
      <w:tr w:rsidR="0075791A" w14:paraId="64E8A135" w14:textId="77777777">
        <w:trPr>
          <w:trHeight w:val="255"/>
          <w:jc w:val="center"/>
        </w:trPr>
        <w:tc>
          <w:tcPr>
            <w:tcW w:w="989" w:type="dxa"/>
            <w:vMerge/>
            <w:tcMar>
              <w:top w:w="0" w:type="dxa"/>
              <w:left w:w="0" w:type="dxa"/>
              <w:bottom w:w="0" w:type="dxa"/>
              <w:right w:w="0" w:type="dxa"/>
            </w:tcMar>
            <w:vAlign w:val="center"/>
          </w:tcPr>
          <w:p w14:paraId="71D88378"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1A38810A"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04BB2C96"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Vmean</w:t>
            </w:r>
          </w:p>
        </w:tc>
        <w:tc>
          <w:tcPr>
            <w:tcW w:w="1095" w:type="dxa"/>
            <w:tcMar>
              <w:top w:w="0" w:type="dxa"/>
              <w:left w:w="0" w:type="dxa"/>
              <w:bottom w:w="0" w:type="dxa"/>
              <w:right w:w="0" w:type="dxa"/>
            </w:tcMar>
            <w:vAlign w:val="center"/>
          </w:tcPr>
          <w:p w14:paraId="1BAA22B4"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69020D4F"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309</w:t>
            </w:r>
          </w:p>
        </w:tc>
        <w:tc>
          <w:tcPr>
            <w:tcW w:w="1095" w:type="dxa"/>
            <w:tcMar>
              <w:top w:w="0" w:type="dxa"/>
              <w:left w:w="0" w:type="dxa"/>
              <w:bottom w:w="0" w:type="dxa"/>
              <w:right w:w="0" w:type="dxa"/>
            </w:tcMar>
            <w:vAlign w:val="center"/>
          </w:tcPr>
          <w:p w14:paraId="0EC57934"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48C769C6"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310</w:t>
            </w:r>
          </w:p>
        </w:tc>
        <w:tc>
          <w:tcPr>
            <w:tcW w:w="1219" w:type="dxa"/>
            <w:tcMar>
              <w:top w:w="0" w:type="dxa"/>
              <w:left w:w="0" w:type="dxa"/>
              <w:bottom w:w="0" w:type="dxa"/>
              <w:right w:w="0" w:type="dxa"/>
            </w:tcMar>
            <w:vAlign w:val="center"/>
          </w:tcPr>
          <w:p w14:paraId="2531BF60"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309</w:t>
            </w:r>
          </w:p>
        </w:tc>
        <w:tc>
          <w:tcPr>
            <w:tcW w:w="1219" w:type="dxa"/>
            <w:tcMar>
              <w:top w:w="0" w:type="dxa"/>
              <w:left w:w="0" w:type="dxa"/>
              <w:bottom w:w="0" w:type="dxa"/>
              <w:right w:w="0" w:type="dxa"/>
            </w:tcMar>
            <w:vAlign w:val="center"/>
          </w:tcPr>
          <w:p w14:paraId="008795AE"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6C85D27B"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309</w:t>
            </w:r>
          </w:p>
        </w:tc>
      </w:tr>
      <w:tr w:rsidR="0075791A" w14:paraId="6D02090E" w14:textId="77777777">
        <w:trPr>
          <w:trHeight w:val="255"/>
          <w:jc w:val="center"/>
        </w:trPr>
        <w:tc>
          <w:tcPr>
            <w:tcW w:w="989" w:type="dxa"/>
            <w:vMerge/>
            <w:tcMar>
              <w:top w:w="0" w:type="dxa"/>
              <w:left w:w="0" w:type="dxa"/>
              <w:bottom w:w="0" w:type="dxa"/>
              <w:right w:w="0" w:type="dxa"/>
            </w:tcMar>
            <w:vAlign w:val="center"/>
          </w:tcPr>
          <w:p w14:paraId="4B7D629E"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val="restart"/>
            <w:tcMar>
              <w:top w:w="0" w:type="dxa"/>
              <w:left w:w="0" w:type="dxa"/>
              <w:bottom w:w="0" w:type="dxa"/>
              <w:right w:w="0" w:type="dxa"/>
            </w:tcMar>
            <w:vAlign w:val="center"/>
          </w:tcPr>
          <w:p w14:paraId="243D249C" w14:textId="77777777" w:rsidR="0075791A" w:rsidRDefault="00FB2864">
            <w:pPr>
              <w:kinsoku/>
              <w:autoSpaceDE/>
              <w:autoSpaceDN/>
              <w:jc w:val="center"/>
              <w:textAlignment w:val="auto"/>
              <w:rPr>
                <w:rFonts w:ascii="Times New Roman" w:eastAsia="宋体" w:hAnsi="Times New Roman" w:cs="Times New Roman"/>
                <w:b/>
                <w:bCs/>
                <w:color w:val="auto"/>
                <w:kern w:val="2"/>
                <w:lang w:eastAsia="zh-CN"/>
              </w:rPr>
            </w:pPr>
            <w:r>
              <w:rPr>
                <w:rFonts w:ascii="Times New Roman" w:eastAsia="宋体" w:hAnsi="Times New Roman" w:cs="Times New Roman"/>
                <w:b/>
                <w:bCs/>
                <w:color w:val="auto"/>
                <w:lang w:eastAsia="zh-CN"/>
              </w:rPr>
              <w:t>落潮</w:t>
            </w:r>
          </w:p>
        </w:tc>
        <w:tc>
          <w:tcPr>
            <w:tcW w:w="1144" w:type="dxa"/>
            <w:tcMar>
              <w:top w:w="0" w:type="dxa"/>
              <w:left w:w="0" w:type="dxa"/>
              <w:bottom w:w="0" w:type="dxa"/>
              <w:right w:w="0" w:type="dxa"/>
            </w:tcMar>
            <w:vAlign w:val="center"/>
          </w:tcPr>
          <w:p w14:paraId="58B24D03"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max</w:t>
            </w:r>
          </w:p>
        </w:tc>
        <w:tc>
          <w:tcPr>
            <w:tcW w:w="1095" w:type="dxa"/>
            <w:tcMar>
              <w:top w:w="0" w:type="dxa"/>
              <w:left w:w="0" w:type="dxa"/>
              <w:bottom w:w="0" w:type="dxa"/>
              <w:right w:w="0" w:type="dxa"/>
            </w:tcMar>
            <w:vAlign w:val="center"/>
          </w:tcPr>
          <w:p w14:paraId="4B414BD9"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2307A2EB"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70.7</w:t>
            </w:r>
          </w:p>
        </w:tc>
        <w:tc>
          <w:tcPr>
            <w:tcW w:w="1095" w:type="dxa"/>
            <w:tcMar>
              <w:top w:w="0" w:type="dxa"/>
              <w:left w:w="0" w:type="dxa"/>
              <w:bottom w:w="0" w:type="dxa"/>
              <w:right w:w="0" w:type="dxa"/>
            </w:tcMar>
            <w:vAlign w:val="center"/>
          </w:tcPr>
          <w:p w14:paraId="7701D81A"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1CCC4945"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77.5</w:t>
            </w:r>
          </w:p>
        </w:tc>
        <w:tc>
          <w:tcPr>
            <w:tcW w:w="1219" w:type="dxa"/>
            <w:tcMar>
              <w:top w:w="0" w:type="dxa"/>
              <w:left w:w="0" w:type="dxa"/>
              <w:bottom w:w="0" w:type="dxa"/>
              <w:right w:w="0" w:type="dxa"/>
            </w:tcMar>
            <w:vAlign w:val="center"/>
          </w:tcPr>
          <w:p w14:paraId="64239E3A"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63.6</w:t>
            </w:r>
          </w:p>
        </w:tc>
        <w:tc>
          <w:tcPr>
            <w:tcW w:w="1219" w:type="dxa"/>
            <w:tcMar>
              <w:top w:w="0" w:type="dxa"/>
              <w:left w:w="0" w:type="dxa"/>
              <w:bottom w:w="0" w:type="dxa"/>
              <w:right w:w="0" w:type="dxa"/>
            </w:tcMar>
            <w:vAlign w:val="center"/>
          </w:tcPr>
          <w:p w14:paraId="4579FFD2"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7457F294"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66.1</w:t>
            </w:r>
          </w:p>
        </w:tc>
      </w:tr>
      <w:tr w:rsidR="0075791A" w14:paraId="35BD81F4" w14:textId="77777777">
        <w:trPr>
          <w:trHeight w:val="255"/>
          <w:jc w:val="center"/>
        </w:trPr>
        <w:tc>
          <w:tcPr>
            <w:tcW w:w="989" w:type="dxa"/>
            <w:vMerge/>
            <w:tcMar>
              <w:top w:w="0" w:type="dxa"/>
              <w:left w:w="0" w:type="dxa"/>
              <w:bottom w:w="0" w:type="dxa"/>
              <w:right w:w="0" w:type="dxa"/>
            </w:tcMar>
            <w:vAlign w:val="center"/>
          </w:tcPr>
          <w:p w14:paraId="02225081"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7977266C"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6B09FAF7"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Vmax</w:t>
            </w:r>
          </w:p>
        </w:tc>
        <w:tc>
          <w:tcPr>
            <w:tcW w:w="1095" w:type="dxa"/>
            <w:tcMar>
              <w:top w:w="0" w:type="dxa"/>
              <w:left w:w="0" w:type="dxa"/>
              <w:bottom w:w="0" w:type="dxa"/>
              <w:right w:w="0" w:type="dxa"/>
            </w:tcMar>
            <w:vAlign w:val="center"/>
          </w:tcPr>
          <w:p w14:paraId="78EDBEB4"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53B9EBA9"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109</w:t>
            </w:r>
          </w:p>
        </w:tc>
        <w:tc>
          <w:tcPr>
            <w:tcW w:w="1095" w:type="dxa"/>
            <w:tcMar>
              <w:top w:w="0" w:type="dxa"/>
              <w:left w:w="0" w:type="dxa"/>
              <w:bottom w:w="0" w:type="dxa"/>
              <w:right w:w="0" w:type="dxa"/>
            </w:tcMar>
            <w:vAlign w:val="center"/>
          </w:tcPr>
          <w:p w14:paraId="1E929E5E"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79D24C2B"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119</w:t>
            </w:r>
          </w:p>
        </w:tc>
        <w:tc>
          <w:tcPr>
            <w:tcW w:w="1219" w:type="dxa"/>
            <w:tcMar>
              <w:top w:w="0" w:type="dxa"/>
              <w:left w:w="0" w:type="dxa"/>
              <w:bottom w:w="0" w:type="dxa"/>
              <w:right w:w="0" w:type="dxa"/>
            </w:tcMar>
            <w:vAlign w:val="center"/>
          </w:tcPr>
          <w:p w14:paraId="13C10D87"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110</w:t>
            </w:r>
          </w:p>
        </w:tc>
        <w:tc>
          <w:tcPr>
            <w:tcW w:w="1219" w:type="dxa"/>
            <w:tcMar>
              <w:top w:w="0" w:type="dxa"/>
              <w:left w:w="0" w:type="dxa"/>
              <w:bottom w:w="0" w:type="dxa"/>
              <w:right w:w="0" w:type="dxa"/>
            </w:tcMar>
            <w:vAlign w:val="center"/>
          </w:tcPr>
          <w:p w14:paraId="7030A9EA"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15F366DA"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113</w:t>
            </w:r>
          </w:p>
        </w:tc>
      </w:tr>
      <w:tr w:rsidR="0075791A" w14:paraId="1986C251" w14:textId="77777777">
        <w:trPr>
          <w:trHeight w:val="255"/>
          <w:jc w:val="center"/>
        </w:trPr>
        <w:tc>
          <w:tcPr>
            <w:tcW w:w="989" w:type="dxa"/>
            <w:vMerge/>
            <w:tcMar>
              <w:top w:w="0" w:type="dxa"/>
              <w:left w:w="0" w:type="dxa"/>
              <w:bottom w:w="0" w:type="dxa"/>
              <w:right w:w="0" w:type="dxa"/>
            </w:tcMar>
            <w:vAlign w:val="center"/>
          </w:tcPr>
          <w:p w14:paraId="422F2F6E"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273B54DF"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2A33B48C"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mean</w:t>
            </w:r>
          </w:p>
        </w:tc>
        <w:tc>
          <w:tcPr>
            <w:tcW w:w="1095" w:type="dxa"/>
            <w:tcMar>
              <w:top w:w="0" w:type="dxa"/>
              <w:left w:w="0" w:type="dxa"/>
              <w:bottom w:w="0" w:type="dxa"/>
              <w:right w:w="0" w:type="dxa"/>
            </w:tcMar>
            <w:vAlign w:val="center"/>
          </w:tcPr>
          <w:p w14:paraId="1CA227EB"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13E219AC"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39</w:t>
            </w:r>
          </w:p>
        </w:tc>
        <w:tc>
          <w:tcPr>
            <w:tcW w:w="1095" w:type="dxa"/>
            <w:tcMar>
              <w:top w:w="0" w:type="dxa"/>
              <w:left w:w="0" w:type="dxa"/>
              <w:bottom w:w="0" w:type="dxa"/>
              <w:right w:w="0" w:type="dxa"/>
            </w:tcMar>
            <w:vAlign w:val="center"/>
          </w:tcPr>
          <w:p w14:paraId="63FF90E8"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E6701AD"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42.1</w:t>
            </w:r>
          </w:p>
        </w:tc>
        <w:tc>
          <w:tcPr>
            <w:tcW w:w="1219" w:type="dxa"/>
            <w:tcMar>
              <w:top w:w="0" w:type="dxa"/>
              <w:left w:w="0" w:type="dxa"/>
              <w:bottom w:w="0" w:type="dxa"/>
              <w:right w:w="0" w:type="dxa"/>
            </w:tcMar>
            <w:vAlign w:val="center"/>
          </w:tcPr>
          <w:p w14:paraId="30B82B2E"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31</w:t>
            </w:r>
          </w:p>
        </w:tc>
        <w:tc>
          <w:tcPr>
            <w:tcW w:w="1219" w:type="dxa"/>
            <w:tcMar>
              <w:top w:w="0" w:type="dxa"/>
              <w:left w:w="0" w:type="dxa"/>
              <w:bottom w:w="0" w:type="dxa"/>
              <w:right w:w="0" w:type="dxa"/>
            </w:tcMar>
            <w:vAlign w:val="center"/>
          </w:tcPr>
          <w:p w14:paraId="245D5BAE"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2C92DF21"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38.5</w:t>
            </w:r>
          </w:p>
        </w:tc>
      </w:tr>
      <w:tr w:rsidR="0075791A" w14:paraId="309A5EB1" w14:textId="77777777">
        <w:trPr>
          <w:trHeight w:val="255"/>
          <w:jc w:val="center"/>
        </w:trPr>
        <w:tc>
          <w:tcPr>
            <w:tcW w:w="989" w:type="dxa"/>
            <w:vMerge/>
            <w:tcMar>
              <w:top w:w="0" w:type="dxa"/>
              <w:left w:w="0" w:type="dxa"/>
              <w:bottom w:w="0" w:type="dxa"/>
              <w:right w:w="0" w:type="dxa"/>
            </w:tcMar>
            <w:vAlign w:val="center"/>
          </w:tcPr>
          <w:p w14:paraId="61D96248"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6B9C6195"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695893E0"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Vmean</w:t>
            </w:r>
          </w:p>
        </w:tc>
        <w:tc>
          <w:tcPr>
            <w:tcW w:w="1095" w:type="dxa"/>
            <w:tcMar>
              <w:top w:w="0" w:type="dxa"/>
              <w:left w:w="0" w:type="dxa"/>
              <w:bottom w:w="0" w:type="dxa"/>
              <w:right w:w="0" w:type="dxa"/>
            </w:tcMar>
            <w:vAlign w:val="center"/>
          </w:tcPr>
          <w:p w14:paraId="062DF73C"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2C7259C4"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117</w:t>
            </w:r>
          </w:p>
        </w:tc>
        <w:tc>
          <w:tcPr>
            <w:tcW w:w="1095" w:type="dxa"/>
            <w:tcMar>
              <w:top w:w="0" w:type="dxa"/>
              <w:left w:w="0" w:type="dxa"/>
              <w:bottom w:w="0" w:type="dxa"/>
              <w:right w:w="0" w:type="dxa"/>
            </w:tcMar>
            <w:vAlign w:val="center"/>
          </w:tcPr>
          <w:p w14:paraId="39EA8B0C"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75E512D7"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120</w:t>
            </w:r>
          </w:p>
        </w:tc>
        <w:tc>
          <w:tcPr>
            <w:tcW w:w="1219" w:type="dxa"/>
            <w:tcMar>
              <w:top w:w="0" w:type="dxa"/>
              <w:left w:w="0" w:type="dxa"/>
              <w:bottom w:w="0" w:type="dxa"/>
              <w:right w:w="0" w:type="dxa"/>
            </w:tcMar>
            <w:vAlign w:val="center"/>
          </w:tcPr>
          <w:p w14:paraId="7010A6E2"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129</w:t>
            </w:r>
          </w:p>
        </w:tc>
        <w:tc>
          <w:tcPr>
            <w:tcW w:w="1219" w:type="dxa"/>
            <w:tcMar>
              <w:top w:w="0" w:type="dxa"/>
              <w:left w:w="0" w:type="dxa"/>
              <w:bottom w:w="0" w:type="dxa"/>
              <w:right w:w="0" w:type="dxa"/>
            </w:tcMar>
            <w:vAlign w:val="center"/>
          </w:tcPr>
          <w:p w14:paraId="49DF11C7"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DB9EBDE"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121</w:t>
            </w:r>
          </w:p>
        </w:tc>
      </w:tr>
      <w:tr w:rsidR="0075791A" w14:paraId="14DF6301" w14:textId="77777777">
        <w:trPr>
          <w:trHeight w:val="255"/>
          <w:jc w:val="center"/>
        </w:trPr>
        <w:tc>
          <w:tcPr>
            <w:tcW w:w="989" w:type="dxa"/>
            <w:vMerge w:val="restart"/>
            <w:tcMar>
              <w:top w:w="0" w:type="dxa"/>
              <w:left w:w="0" w:type="dxa"/>
              <w:bottom w:w="0" w:type="dxa"/>
              <w:right w:w="0" w:type="dxa"/>
            </w:tcMar>
            <w:vAlign w:val="center"/>
          </w:tcPr>
          <w:p w14:paraId="2D2F8B3D" w14:textId="77777777" w:rsidR="0075791A" w:rsidRDefault="00FB2864">
            <w:pPr>
              <w:kinsoku/>
              <w:autoSpaceDE/>
              <w:autoSpaceDN/>
              <w:jc w:val="center"/>
              <w:textAlignment w:val="auto"/>
              <w:rPr>
                <w:rFonts w:ascii="Times New Roman" w:eastAsia="宋体" w:hAnsi="Times New Roman" w:cs="Times New Roman"/>
                <w:b/>
                <w:bCs/>
                <w:color w:val="auto"/>
                <w:kern w:val="2"/>
                <w:lang w:eastAsia="zh-CN"/>
              </w:rPr>
            </w:pPr>
            <w:r>
              <w:rPr>
                <w:rFonts w:ascii="Times New Roman" w:eastAsia="宋体" w:hAnsi="Times New Roman" w:cs="Times New Roman" w:hint="eastAsia"/>
                <w:b/>
                <w:bCs/>
                <w:color w:val="auto"/>
                <w:lang w:eastAsia="zh-CN"/>
              </w:rPr>
              <w:t>L</w:t>
            </w:r>
            <w:r>
              <w:rPr>
                <w:rFonts w:ascii="Times New Roman" w:eastAsia="宋体" w:hAnsi="Times New Roman" w:cs="Times New Roman"/>
                <w:b/>
                <w:bCs/>
                <w:color w:val="auto"/>
                <w:lang w:eastAsia="zh-CN"/>
              </w:rPr>
              <w:t>5</w:t>
            </w:r>
          </w:p>
        </w:tc>
        <w:tc>
          <w:tcPr>
            <w:tcW w:w="790" w:type="dxa"/>
            <w:vMerge w:val="restart"/>
            <w:tcMar>
              <w:top w:w="0" w:type="dxa"/>
              <w:left w:w="0" w:type="dxa"/>
              <w:bottom w:w="0" w:type="dxa"/>
              <w:right w:w="0" w:type="dxa"/>
            </w:tcMar>
            <w:vAlign w:val="center"/>
          </w:tcPr>
          <w:p w14:paraId="13FD5BF5" w14:textId="77777777" w:rsidR="0075791A" w:rsidRDefault="00FB2864">
            <w:pPr>
              <w:kinsoku/>
              <w:autoSpaceDE/>
              <w:autoSpaceDN/>
              <w:jc w:val="center"/>
              <w:textAlignment w:val="auto"/>
              <w:rPr>
                <w:rFonts w:ascii="Times New Roman" w:eastAsia="宋体" w:hAnsi="Times New Roman" w:cs="Times New Roman"/>
                <w:b/>
                <w:bCs/>
                <w:color w:val="auto"/>
                <w:kern w:val="2"/>
                <w:lang w:eastAsia="zh-CN"/>
              </w:rPr>
            </w:pPr>
            <w:r>
              <w:rPr>
                <w:rFonts w:ascii="Times New Roman" w:eastAsia="宋体" w:hAnsi="Times New Roman" w:cs="Times New Roman"/>
                <w:b/>
                <w:bCs/>
                <w:color w:val="auto"/>
                <w:lang w:eastAsia="zh-CN"/>
              </w:rPr>
              <w:t>涨潮</w:t>
            </w:r>
          </w:p>
        </w:tc>
        <w:tc>
          <w:tcPr>
            <w:tcW w:w="1144" w:type="dxa"/>
            <w:tcMar>
              <w:top w:w="0" w:type="dxa"/>
              <w:left w:w="0" w:type="dxa"/>
              <w:bottom w:w="0" w:type="dxa"/>
              <w:right w:w="0" w:type="dxa"/>
            </w:tcMar>
            <w:vAlign w:val="center"/>
          </w:tcPr>
          <w:p w14:paraId="79BD93B4"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max</w:t>
            </w:r>
          </w:p>
        </w:tc>
        <w:tc>
          <w:tcPr>
            <w:tcW w:w="1095" w:type="dxa"/>
            <w:tcMar>
              <w:top w:w="0" w:type="dxa"/>
              <w:left w:w="0" w:type="dxa"/>
              <w:bottom w:w="0" w:type="dxa"/>
              <w:right w:w="0" w:type="dxa"/>
            </w:tcMar>
            <w:vAlign w:val="center"/>
          </w:tcPr>
          <w:p w14:paraId="78D84817"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1C52832F"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28.6</w:t>
            </w:r>
          </w:p>
        </w:tc>
        <w:tc>
          <w:tcPr>
            <w:tcW w:w="1095" w:type="dxa"/>
            <w:tcMar>
              <w:top w:w="0" w:type="dxa"/>
              <w:left w:w="0" w:type="dxa"/>
              <w:bottom w:w="0" w:type="dxa"/>
              <w:right w:w="0" w:type="dxa"/>
            </w:tcMar>
            <w:vAlign w:val="center"/>
          </w:tcPr>
          <w:p w14:paraId="247F5A0C"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44AE4C23"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23</w:t>
            </w:r>
          </w:p>
        </w:tc>
        <w:tc>
          <w:tcPr>
            <w:tcW w:w="1219" w:type="dxa"/>
            <w:tcMar>
              <w:top w:w="0" w:type="dxa"/>
              <w:left w:w="0" w:type="dxa"/>
              <w:bottom w:w="0" w:type="dxa"/>
              <w:right w:w="0" w:type="dxa"/>
            </w:tcMar>
            <w:vAlign w:val="center"/>
          </w:tcPr>
          <w:p w14:paraId="6DABA305"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23.5</w:t>
            </w:r>
          </w:p>
        </w:tc>
        <w:tc>
          <w:tcPr>
            <w:tcW w:w="1219" w:type="dxa"/>
            <w:tcMar>
              <w:top w:w="0" w:type="dxa"/>
              <w:left w:w="0" w:type="dxa"/>
              <w:bottom w:w="0" w:type="dxa"/>
              <w:right w:w="0" w:type="dxa"/>
            </w:tcMar>
            <w:vAlign w:val="center"/>
          </w:tcPr>
          <w:p w14:paraId="6C99DB85"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65875BF3"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18.4</w:t>
            </w:r>
          </w:p>
        </w:tc>
      </w:tr>
      <w:tr w:rsidR="0075791A" w14:paraId="49CCC422" w14:textId="77777777">
        <w:trPr>
          <w:trHeight w:val="255"/>
          <w:jc w:val="center"/>
        </w:trPr>
        <w:tc>
          <w:tcPr>
            <w:tcW w:w="989" w:type="dxa"/>
            <w:vMerge/>
            <w:tcMar>
              <w:top w:w="0" w:type="dxa"/>
              <w:left w:w="0" w:type="dxa"/>
              <w:bottom w:w="0" w:type="dxa"/>
              <w:right w:w="0" w:type="dxa"/>
            </w:tcMar>
            <w:vAlign w:val="center"/>
          </w:tcPr>
          <w:p w14:paraId="58E5DC27"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053BA641"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5C65B62C"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Vmax</w:t>
            </w:r>
          </w:p>
        </w:tc>
        <w:tc>
          <w:tcPr>
            <w:tcW w:w="1095" w:type="dxa"/>
            <w:tcMar>
              <w:top w:w="0" w:type="dxa"/>
              <w:left w:w="0" w:type="dxa"/>
              <w:bottom w:w="0" w:type="dxa"/>
              <w:right w:w="0" w:type="dxa"/>
            </w:tcMar>
            <w:vAlign w:val="center"/>
          </w:tcPr>
          <w:p w14:paraId="450A966B"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423957F2"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108</w:t>
            </w:r>
          </w:p>
        </w:tc>
        <w:tc>
          <w:tcPr>
            <w:tcW w:w="1095" w:type="dxa"/>
            <w:tcMar>
              <w:top w:w="0" w:type="dxa"/>
              <w:left w:w="0" w:type="dxa"/>
              <w:bottom w:w="0" w:type="dxa"/>
              <w:right w:w="0" w:type="dxa"/>
            </w:tcMar>
            <w:vAlign w:val="center"/>
          </w:tcPr>
          <w:p w14:paraId="2CEFA6EC"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0E37492"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108</w:t>
            </w:r>
          </w:p>
        </w:tc>
        <w:tc>
          <w:tcPr>
            <w:tcW w:w="1219" w:type="dxa"/>
            <w:tcMar>
              <w:top w:w="0" w:type="dxa"/>
              <w:left w:w="0" w:type="dxa"/>
              <w:bottom w:w="0" w:type="dxa"/>
              <w:right w:w="0" w:type="dxa"/>
            </w:tcMar>
            <w:vAlign w:val="center"/>
          </w:tcPr>
          <w:p w14:paraId="30FBA76F"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284</w:t>
            </w:r>
          </w:p>
        </w:tc>
        <w:tc>
          <w:tcPr>
            <w:tcW w:w="1219" w:type="dxa"/>
            <w:tcMar>
              <w:top w:w="0" w:type="dxa"/>
              <w:left w:w="0" w:type="dxa"/>
              <w:bottom w:w="0" w:type="dxa"/>
              <w:right w:w="0" w:type="dxa"/>
            </w:tcMar>
            <w:vAlign w:val="center"/>
          </w:tcPr>
          <w:p w14:paraId="41530F1D"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2A779CF2"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62</w:t>
            </w:r>
          </w:p>
        </w:tc>
      </w:tr>
      <w:tr w:rsidR="0075791A" w14:paraId="4E05804E" w14:textId="77777777">
        <w:trPr>
          <w:trHeight w:val="255"/>
          <w:jc w:val="center"/>
        </w:trPr>
        <w:tc>
          <w:tcPr>
            <w:tcW w:w="989" w:type="dxa"/>
            <w:vMerge/>
            <w:tcMar>
              <w:top w:w="0" w:type="dxa"/>
              <w:left w:w="0" w:type="dxa"/>
              <w:bottom w:w="0" w:type="dxa"/>
              <w:right w:w="0" w:type="dxa"/>
            </w:tcMar>
            <w:vAlign w:val="center"/>
          </w:tcPr>
          <w:p w14:paraId="4F8D2C7C"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75F06C9B"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2383752A"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mean</w:t>
            </w:r>
          </w:p>
        </w:tc>
        <w:tc>
          <w:tcPr>
            <w:tcW w:w="1095" w:type="dxa"/>
            <w:tcMar>
              <w:top w:w="0" w:type="dxa"/>
              <w:left w:w="0" w:type="dxa"/>
              <w:bottom w:w="0" w:type="dxa"/>
              <w:right w:w="0" w:type="dxa"/>
            </w:tcMar>
            <w:vAlign w:val="center"/>
          </w:tcPr>
          <w:p w14:paraId="053293AB"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0057BE92"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14.3</w:t>
            </w:r>
          </w:p>
        </w:tc>
        <w:tc>
          <w:tcPr>
            <w:tcW w:w="1095" w:type="dxa"/>
            <w:tcMar>
              <w:top w:w="0" w:type="dxa"/>
              <w:left w:w="0" w:type="dxa"/>
              <w:bottom w:w="0" w:type="dxa"/>
              <w:right w:w="0" w:type="dxa"/>
            </w:tcMar>
            <w:vAlign w:val="center"/>
          </w:tcPr>
          <w:p w14:paraId="4136AA66"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6933F035"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4.7</w:t>
            </w:r>
          </w:p>
        </w:tc>
        <w:tc>
          <w:tcPr>
            <w:tcW w:w="1219" w:type="dxa"/>
            <w:tcMar>
              <w:top w:w="0" w:type="dxa"/>
              <w:left w:w="0" w:type="dxa"/>
              <w:bottom w:w="0" w:type="dxa"/>
              <w:right w:w="0" w:type="dxa"/>
            </w:tcMar>
            <w:vAlign w:val="center"/>
          </w:tcPr>
          <w:p w14:paraId="089311BA"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8.5</w:t>
            </w:r>
          </w:p>
        </w:tc>
        <w:tc>
          <w:tcPr>
            <w:tcW w:w="1219" w:type="dxa"/>
            <w:tcMar>
              <w:top w:w="0" w:type="dxa"/>
              <w:left w:w="0" w:type="dxa"/>
              <w:bottom w:w="0" w:type="dxa"/>
              <w:right w:w="0" w:type="dxa"/>
            </w:tcMar>
            <w:vAlign w:val="center"/>
          </w:tcPr>
          <w:p w14:paraId="0D1BB256"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7A9555B2"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3.9</w:t>
            </w:r>
          </w:p>
        </w:tc>
      </w:tr>
      <w:tr w:rsidR="0075791A" w14:paraId="1859323B" w14:textId="77777777">
        <w:trPr>
          <w:trHeight w:val="255"/>
          <w:jc w:val="center"/>
        </w:trPr>
        <w:tc>
          <w:tcPr>
            <w:tcW w:w="989" w:type="dxa"/>
            <w:vMerge/>
            <w:tcMar>
              <w:top w:w="0" w:type="dxa"/>
              <w:left w:w="0" w:type="dxa"/>
              <w:bottom w:w="0" w:type="dxa"/>
              <w:right w:w="0" w:type="dxa"/>
            </w:tcMar>
            <w:vAlign w:val="center"/>
          </w:tcPr>
          <w:p w14:paraId="441806E1"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68CCB7B5"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10B09005"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Vmean</w:t>
            </w:r>
          </w:p>
        </w:tc>
        <w:tc>
          <w:tcPr>
            <w:tcW w:w="1095" w:type="dxa"/>
            <w:tcMar>
              <w:top w:w="0" w:type="dxa"/>
              <w:left w:w="0" w:type="dxa"/>
              <w:bottom w:w="0" w:type="dxa"/>
              <w:right w:w="0" w:type="dxa"/>
            </w:tcMar>
            <w:vAlign w:val="center"/>
          </w:tcPr>
          <w:p w14:paraId="6091CD8E"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5487B433"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97</w:t>
            </w:r>
          </w:p>
        </w:tc>
        <w:tc>
          <w:tcPr>
            <w:tcW w:w="1095" w:type="dxa"/>
            <w:tcMar>
              <w:top w:w="0" w:type="dxa"/>
              <w:left w:w="0" w:type="dxa"/>
              <w:bottom w:w="0" w:type="dxa"/>
              <w:right w:w="0" w:type="dxa"/>
            </w:tcMar>
            <w:vAlign w:val="center"/>
          </w:tcPr>
          <w:p w14:paraId="7518ECC7"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8408FD8"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141</w:t>
            </w:r>
          </w:p>
        </w:tc>
        <w:tc>
          <w:tcPr>
            <w:tcW w:w="1219" w:type="dxa"/>
            <w:tcMar>
              <w:top w:w="0" w:type="dxa"/>
              <w:left w:w="0" w:type="dxa"/>
              <w:bottom w:w="0" w:type="dxa"/>
              <w:right w:w="0" w:type="dxa"/>
            </w:tcMar>
            <w:vAlign w:val="center"/>
          </w:tcPr>
          <w:p w14:paraId="3FDB2D8E"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259</w:t>
            </w:r>
          </w:p>
        </w:tc>
        <w:tc>
          <w:tcPr>
            <w:tcW w:w="1219" w:type="dxa"/>
            <w:tcMar>
              <w:top w:w="0" w:type="dxa"/>
              <w:left w:w="0" w:type="dxa"/>
              <w:bottom w:w="0" w:type="dxa"/>
              <w:right w:w="0" w:type="dxa"/>
            </w:tcMar>
            <w:vAlign w:val="center"/>
          </w:tcPr>
          <w:p w14:paraId="566F837E"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F1449A0"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132</w:t>
            </w:r>
          </w:p>
        </w:tc>
      </w:tr>
      <w:tr w:rsidR="0075791A" w14:paraId="4AB71B06" w14:textId="77777777">
        <w:trPr>
          <w:trHeight w:val="255"/>
          <w:jc w:val="center"/>
        </w:trPr>
        <w:tc>
          <w:tcPr>
            <w:tcW w:w="989" w:type="dxa"/>
            <w:vMerge/>
            <w:tcMar>
              <w:top w:w="0" w:type="dxa"/>
              <w:left w:w="0" w:type="dxa"/>
              <w:bottom w:w="0" w:type="dxa"/>
              <w:right w:w="0" w:type="dxa"/>
            </w:tcMar>
            <w:vAlign w:val="center"/>
          </w:tcPr>
          <w:p w14:paraId="30E8B044"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val="restart"/>
            <w:tcMar>
              <w:top w:w="0" w:type="dxa"/>
              <w:left w:w="0" w:type="dxa"/>
              <w:bottom w:w="0" w:type="dxa"/>
              <w:right w:w="0" w:type="dxa"/>
            </w:tcMar>
            <w:vAlign w:val="center"/>
          </w:tcPr>
          <w:p w14:paraId="69BEE855" w14:textId="77777777" w:rsidR="0075791A" w:rsidRDefault="00FB2864">
            <w:pPr>
              <w:kinsoku/>
              <w:autoSpaceDE/>
              <w:autoSpaceDN/>
              <w:jc w:val="center"/>
              <w:textAlignment w:val="auto"/>
              <w:rPr>
                <w:rFonts w:ascii="Times New Roman" w:eastAsia="宋体" w:hAnsi="Times New Roman" w:cs="Times New Roman"/>
                <w:b/>
                <w:bCs/>
                <w:color w:val="auto"/>
                <w:kern w:val="2"/>
                <w:lang w:eastAsia="zh-CN"/>
              </w:rPr>
            </w:pPr>
            <w:r>
              <w:rPr>
                <w:rFonts w:ascii="Times New Roman" w:eastAsia="宋体" w:hAnsi="Times New Roman" w:cs="Times New Roman"/>
                <w:b/>
                <w:bCs/>
                <w:color w:val="auto"/>
                <w:lang w:eastAsia="zh-CN"/>
              </w:rPr>
              <w:t>落潮</w:t>
            </w:r>
          </w:p>
        </w:tc>
        <w:tc>
          <w:tcPr>
            <w:tcW w:w="1144" w:type="dxa"/>
            <w:tcMar>
              <w:top w:w="0" w:type="dxa"/>
              <w:left w:w="0" w:type="dxa"/>
              <w:bottom w:w="0" w:type="dxa"/>
              <w:right w:w="0" w:type="dxa"/>
            </w:tcMar>
            <w:vAlign w:val="center"/>
          </w:tcPr>
          <w:p w14:paraId="5BE3F798"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max</w:t>
            </w:r>
          </w:p>
        </w:tc>
        <w:tc>
          <w:tcPr>
            <w:tcW w:w="1095" w:type="dxa"/>
            <w:tcMar>
              <w:top w:w="0" w:type="dxa"/>
              <w:left w:w="0" w:type="dxa"/>
              <w:bottom w:w="0" w:type="dxa"/>
              <w:right w:w="0" w:type="dxa"/>
            </w:tcMar>
            <w:vAlign w:val="center"/>
          </w:tcPr>
          <w:p w14:paraId="539E5F94"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7DC5970A"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32.4</w:t>
            </w:r>
          </w:p>
        </w:tc>
        <w:tc>
          <w:tcPr>
            <w:tcW w:w="1095" w:type="dxa"/>
            <w:tcMar>
              <w:top w:w="0" w:type="dxa"/>
              <w:left w:w="0" w:type="dxa"/>
              <w:bottom w:w="0" w:type="dxa"/>
              <w:right w:w="0" w:type="dxa"/>
            </w:tcMar>
            <w:vAlign w:val="center"/>
          </w:tcPr>
          <w:p w14:paraId="20405884"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5F90796C"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17.3</w:t>
            </w:r>
          </w:p>
        </w:tc>
        <w:tc>
          <w:tcPr>
            <w:tcW w:w="1219" w:type="dxa"/>
            <w:tcMar>
              <w:top w:w="0" w:type="dxa"/>
              <w:left w:w="0" w:type="dxa"/>
              <w:bottom w:w="0" w:type="dxa"/>
              <w:right w:w="0" w:type="dxa"/>
            </w:tcMar>
            <w:vAlign w:val="center"/>
          </w:tcPr>
          <w:p w14:paraId="448F0A49"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11.2</w:t>
            </w:r>
          </w:p>
        </w:tc>
        <w:tc>
          <w:tcPr>
            <w:tcW w:w="1219" w:type="dxa"/>
            <w:tcMar>
              <w:top w:w="0" w:type="dxa"/>
              <w:left w:w="0" w:type="dxa"/>
              <w:bottom w:w="0" w:type="dxa"/>
              <w:right w:w="0" w:type="dxa"/>
            </w:tcMar>
            <w:vAlign w:val="center"/>
          </w:tcPr>
          <w:p w14:paraId="3E8A7B7F"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61B07CF8"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15.3</w:t>
            </w:r>
          </w:p>
        </w:tc>
      </w:tr>
      <w:tr w:rsidR="0075791A" w14:paraId="52D28392" w14:textId="77777777">
        <w:trPr>
          <w:trHeight w:val="255"/>
          <w:jc w:val="center"/>
        </w:trPr>
        <w:tc>
          <w:tcPr>
            <w:tcW w:w="989" w:type="dxa"/>
            <w:vMerge/>
            <w:tcMar>
              <w:top w:w="0" w:type="dxa"/>
              <w:left w:w="0" w:type="dxa"/>
              <w:bottom w:w="0" w:type="dxa"/>
              <w:right w:w="0" w:type="dxa"/>
            </w:tcMar>
            <w:vAlign w:val="center"/>
          </w:tcPr>
          <w:p w14:paraId="6D94825A"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7559BA57"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0E4EA15B"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Vmax</w:t>
            </w:r>
          </w:p>
        </w:tc>
        <w:tc>
          <w:tcPr>
            <w:tcW w:w="1095" w:type="dxa"/>
            <w:tcMar>
              <w:top w:w="0" w:type="dxa"/>
              <w:left w:w="0" w:type="dxa"/>
              <w:bottom w:w="0" w:type="dxa"/>
              <w:right w:w="0" w:type="dxa"/>
            </w:tcMar>
            <w:vAlign w:val="center"/>
          </w:tcPr>
          <w:p w14:paraId="7990DC5F"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4563312E"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10</w:t>
            </w:r>
          </w:p>
        </w:tc>
        <w:tc>
          <w:tcPr>
            <w:tcW w:w="1095" w:type="dxa"/>
            <w:tcMar>
              <w:top w:w="0" w:type="dxa"/>
              <w:left w:w="0" w:type="dxa"/>
              <w:bottom w:w="0" w:type="dxa"/>
              <w:right w:w="0" w:type="dxa"/>
            </w:tcMar>
            <w:vAlign w:val="center"/>
          </w:tcPr>
          <w:p w14:paraId="0962978B"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265C5D34"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12</w:t>
            </w:r>
          </w:p>
        </w:tc>
        <w:tc>
          <w:tcPr>
            <w:tcW w:w="1219" w:type="dxa"/>
            <w:tcMar>
              <w:top w:w="0" w:type="dxa"/>
              <w:left w:w="0" w:type="dxa"/>
              <w:bottom w:w="0" w:type="dxa"/>
              <w:right w:w="0" w:type="dxa"/>
            </w:tcMar>
            <w:vAlign w:val="center"/>
          </w:tcPr>
          <w:p w14:paraId="40706616"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272</w:t>
            </w:r>
          </w:p>
        </w:tc>
        <w:tc>
          <w:tcPr>
            <w:tcW w:w="1219" w:type="dxa"/>
            <w:tcMar>
              <w:top w:w="0" w:type="dxa"/>
              <w:left w:w="0" w:type="dxa"/>
              <w:bottom w:w="0" w:type="dxa"/>
              <w:right w:w="0" w:type="dxa"/>
            </w:tcMar>
            <w:vAlign w:val="center"/>
          </w:tcPr>
          <w:p w14:paraId="33093DCC"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49492DB"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36</w:t>
            </w:r>
          </w:p>
        </w:tc>
      </w:tr>
      <w:tr w:rsidR="0075791A" w14:paraId="796FA0FA" w14:textId="77777777">
        <w:trPr>
          <w:trHeight w:val="255"/>
          <w:jc w:val="center"/>
        </w:trPr>
        <w:tc>
          <w:tcPr>
            <w:tcW w:w="989" w:type="dxa"/>
            <w:vMerge/>
            <w:tcMar>
              <w:top w:w="0" w:type="dxa"/>
              <w:left w:w="0" w:type="dxa"/>
              <w:bottom w:w="0" w:type="dxa"/>
              <w:right w:w="0" w:type="dxa"/>
            </w:tcMar>
            <w:vAlign w:val="center"/>
          </w:tcPr>
          <w:p w14:paraId="710E51BA"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4D6236AB"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4BD81FC1"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mean</w:t>
            </w:r>
          </w:p>
        </w:tc>
        <w:tc>
          <w:tcPr>
            <w:tcW w:w="1095" w:type="dxa"/>
            <w:tcMar>
              <w:top w:w="0" w:type="dxa"/>
              <w:left w:w="0" w:type="dxa"/>
              <w:bottom w:w="0" w:type="dxa"/>
              <w:right w:w="0" w:type="dxa"/>
            </w:tcMar>
            <w:vAlign w:val="center"/>
          </w:tcPr>
          <w:p w14:paraId="3D46FC97"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6754FFA6"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16.2</w:t>
            </w:r>
          </w:p>
        </w:tc>
        <w:tc>
          <w:tcPr>
            <w:tcW w:w="1095" w:type="dxa"/>
            <w:tcMar>
              <w:top w:w="0" w:type="dxa"/>
              <w:left w:w="0" w:type="dxa"/>
              <w:bottom w:w="0" w:type="dxa"/>
              <w:right w:w="0" w:type="dxa"/>
            </w:tcMar>
            <w:vAlign w:val="center"/>
          </w:tcPr>
          <w:p w14:paraId="42E0787E"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387B56E9"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1.6</w:t>
            </w:r>
          </w:p>
        </w:tc>
        <w:tc>
          <w:tcPr>
            <w:tcW w:w="1219" w:type="dxa"/>
            <w:tcMar>
              <w:top w:w="0" w:type="dxa"/>
              <w:left w:w="0" w:type="dxa"/>
              <w:bottom w:w="0" w:type="dxa"/>
              <w:right w:w="0" w:type="dxa"/>
            </w:tcMar>
            <w:vAlign w:val="center"/>
          </w:tcPr>
          <w:p w14:paraId="6EC1FA04"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3.6</w:t>
            </w:r>
          </w:p>
        </w:tc>
        <w:tc>
          <w:tcPr>
            <w:tcW w:w="1219" w:type="dxa"/>
            <w:tcMar>
              <w:top w:w="0" w:type="dxa"/>
              <w:left w:w="0" w:type="dxa"/>
              <w:bottom w:w="0" w:type="dxa"/>
              <w:right w:w="0" w:type="dxa"/>
            </w:tcMar>
            <w:vAlign w:val="center"/>
          </w:tcPr>
          <w:p w14:paraId="22A14F56"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216D4EAA"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4.2</w:t>
            </w:r>
          </w:p>
        </w:tc>
      </w:tr>
      <w:tr w:rsidR="0075791A" w14:paraId="6DD16941" w14:textId="77777777">
        <w:trPr>
          <w:trHeight w:val="255"/>
          <w:jc w:val="center"/>
        </w:trPr>
        <w:tc>
          <w:tcPr>
            <w:tcW w:w="989" w:type="dxa"/>
            <w:vMerge/>
            <w:tcMar>
              <w:top w:w="0" w:type="dxa"/>
              <w:left w:w="0" w:type="dxa"/>
              <w:bottom w:w="0" w:type="dxa"/>
              <w:right w:w="0" w:type="dxa"/>
            </w:tcMar>
            <w:vAlign w:val="center"/>
          </w:tcPr>
          <w:p w14:paraId="4A7F9320"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1B3C19A7"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6BB0EC23"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Vmean</w:t>
            </w:r>
          </w:p>
        </w:tc>
        <w:tc>
          <w:tcPr>
            <w:tcW w:w="1095" w:type="dxa"/>
            <w:tcMar>
              <w:top w:w="0" w:type="dxa"/>
              <w:left w:w="0" w:type="dxa"/>
              <w:bottom w:w="0" w:type="dxa"/>
              <w:right w:w="0" w:type="dxa"/>
            </w:tcMar>
            <w:vAlign w:val="center"/>
          </w:tcPr>
          <w:p w14:paraId="7D5FFE10"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095" w:type="dxa"/>
            <w:tcMar>
              <w:top w:w="0" w:type="dxa"/>
              <w:left w:w="0" w:type="dxa"/>
              <w:bottom w:w="0" w:type="dxa"/>
              <w:right w:w="0" w:type="dxa"/>
            </w:tcMar>
            <w:vAlign w:val="center"/>
          </w:tcPr>
          <w:p w14:paraId="66A295AF"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342</w:t>
            </w:r>
          </w:p>
        </w:tc>
        <w:tc>
          <w:tcPr>
            <w:tcW w:w="1095" w:type="dxa"/>
            <w:tcMar>
              <w:top w:w="0" w:type="dxa"/>
              <w:left w:w="0" w:type="dxa"/>
              <w:bottom w:w="0" w:type="dxa"/>
              <w:right w:w="0" w:type="dxa"/>
            </w:tcMar>
            <w:vAlign w:val="center"/>
          </w:tcPr>
          <w:p w14:paraId="06554DBE"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11942C78"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305</w:t>
            </w:r>
          </w:p>
        </w:tc>
        <w:tc>
          <w:tcPr>
            <w:tcW w:w="1219" w:type="dxa"/>
            <w:tcMar>
              <w:top w:w="0" w:type="dxa"/>
              <w:left w:w="0" w:type="dxa"/>
              <w:bottom w:w="0" w:type="dxa"/>
              <w:right w:w="0" w:type="dxa"/>
            </w:tcMar>
            <w:vAlign w:val="center"/>
          </w:tcPr>
          <w:p w14:paraId="7C7AC524"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208</w:t>
            </w:r>
          </w:p>
        </w:tc>
        <w:tc>
          <w:tcPr>
            <w:tcW w:w="1219" w:type="dxa"/>
            <w:tcMar>
              <w:top w:w="0" w:type="dxa"/>
              <w:left w:w="0" w:type="dxa"/>
              <w:bottom w:w="0" w:type="dxa"/>
              <w:right w:w="0" w:type="dxa"/>
            </w:tcMar>
            <w:vAlign w:val="center"/>
          </w:tcPr>
          <w:p w14:paraId="0CE9F635" w14:textId="77777777" w:rsidR="0075791A" w:rsidRDefault="00FB2864">
            <w:pPr>
              <w:widowControl/>
              <w:kinsoku/>
              <w:autoSpaceDE/>
              <w:autoSpaceDN/>
              <w:adjustRightInd/>
              <w:snapToGrid/>
              <w:jc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lang w:eastAsia="zh-CN"/>
              </w:rPr>
              <w:t>—</w:t>
            </w:r>
          </w:p>
        </w:tc>
        <w:tc>
          <w:tcPr>
            <w:tcW w:w="1219" w:type="dxa"/>
            <w:tcMar>
              <w:top w:w="0" w:type="dxa"/>
              <w:left w:w="0" w:type="dxa"/>
              <w:bottom w:w="0" w:type="dxa"/>
              <w:right w:w="0" w:type="dxa"/>
            </w:tcMar>
            <w:vAlign w:val="center"/>
          </w:tcPr>
          <w:p w14:paraId="06971A1C" w14:textId="77777777" w:rsidR="0075791A" w:rsidRDefault="00FB2864">
            <w:pPr>
              <w:widowControl/>
              <w:kinsoku/>
              <w:autoSpaceDE/>
              <w:autoSpaceDN/>
              <w:adjustRightInd/>
              <w:snapToGrid/>
              <w:jc w:val="center"/>
              <w:textAlignment w:val="center"/>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327</w:t>
            </w:r>
          </w:p>
        </w:tc>
      </w:tr>
      <w:tr w:rsidR="0075791A" w14:paraId="521079BF" w14:textId="77777777">
        <w:trPr>
          <w:trHeight w:val="255"/>
          <w:jc w:val="center"/>
        </w:trPr>
        <w:tc>
          <w:tcPr>
            <w:tcW w:w="989" w:type="dxa"/>
            <w:vMerge w:val="restart"/>
            <w:tcMar>
              <w:top w:w="0" w:type="dxa"/>
              <w:left w:w="0" w:type="dxa"/>
              <w:bottom w:w="0" w:type="dxa"/>
              <w:right w:w="0" w:type="dxa"/>
            </w:tcMar>
            <w:vAlign w:val="center"/>
          </w:tcPr>
          <w:p w14:paraId="15BFCE96" w14:textId="77777777" w:rsidR="0075791A" w:rsidRDefault="00FB2864">
            <w:pPr>
              <w:kinsoku/>
              <w:autoSpaceDE/>
              <w:autoSpaceDN/>
              <w:jc w:val="center"/>
              <w:textAlignment w:val="auto"/>
              <w:rPr>
                <w:rFonts w:ascii="Times New Roman" w:eastAsia="宋体" w:hAnsi="Times New Roman" w:cs="Times New Roman"/>
                <w:b/>
                <w:bCs/>
                <w:color w:val="auto"/>
                <w:kern w:val="2"/>
                <w:lang w:eastAsia="zh-CN"/>
              </w:rPr>
            </w:pPr>
            <w:r>
              <w:rPr>
                <w:rFonts w:ascii="Times New Roman" w:eastAsia="宋体" w:hAnsi="Times New Roman" w:cs="Times New Roman" w:hint="eastAsia"/>
                <w:b/>
                <w:bCs/>
                <w:color w:val="auto"/>
                <w:lang w:eastAsia="zh-CN"/>
              </w:rPr>
              <w:t>L</w:t>
            </w:r>
            <w:r>
              <w:rPr>
                <w:rFonts w:ascii="Times New Roman" w:eastAsia="宋体" w:hAnsi="Times New Roman" w:cs="Times New Roman"/>
                <w:b/>
                <w:bCs/>
                <w:color w:val="auto"/>
                <w:lang w:eastAsia="zh-CN"/>
              </w:rPr>
              <w:t>6</w:t>
            </w:r>
          </w:p>
        </w:tc>
        <w:tc>
          <w:tcPr>
            <w:tcW w:w="790" w:type="dxa"/>
            <w:vMerge w:val="restart"/>
            <w:tcMar>
              <w:top w:w="0" w:type="dxa"/>
              <w:left w:w="0" w:type="dxa"/>
              <w:bottom w:w="0" w:type="dxa"/>
              <w:right w:w="0" w:type="dxa"/>
            </w:tcMar>
            <w:vAlign w:val="center"/>
          </w:tcPr>
          <w:p w14:paraId="7A652096" w14:textId="77777777" w:rsidR="0075791A" w:rsidRDefault="00FB2864">
            <w:pPr>
              <w:kinsoku/>
              <w:autoSpaceDE/>
              <w:autoSpaceDN/>
              <w:jc w:val="center"/>
              <w:textAlignment w:val="auto"/>
              <w:rPr>
                <w:rFonts w:ascii="Times New Roman" w:eastAsia="宋体" w:hAnsi="Times New Roman" w:cs="Times New Roman"/>
                <w:b/>
                <w:bCs/>
                <w:color w:val="auto"/>
                <w:kern w:val="2"/>
                <w:lang w:eastAsia="zh-CN"/>
              </w:rPr>
            </w:pPr>
            <w:r>
              <w:rPr>
                <w:rFonts w:ascii="Times New Roman" w:eastAsia="宋体" w:hAnsi="Times New Roman" w:cs="Times New Roman"/>
                <w:b/>
                <w:bCs/>
                <w:color w:val="auto"/>
                <w:lang w:eastAsia="zh-CN"/>
              </w:rPr>
              <w:t>涨潮</w:t>
            </w:r>
          </w:p>
        </w:tc>
        <w:tc>
          <w:tcPr>
            <w:tcW w:w="1144" w:type="dxa"/>
            <w:tcMar>
              <w:top w:w="0" w:type="dxa"/>
              <w:left w:w="0" w:type="dxa"/>
              <w:bottom w:w="0" w:type="dxa"/>
              <w:right w:w="0" w:type="dxa"/>
            </w:tcMar>
            <w:vAlign w:val="center"/>
          </w:tcPr>
          <w:p w14:paraId="14A0215E"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max</w:t>
            </w:r>
          </w:p>
        </w:tc>
        <w:tc>
          <w:tcPr>
            <w:tcW w:w="1095" w:type="dxa"/>
            <w:tcMar>
              <w:top w:w="0" w:type="dxa"/>
              <w:left w:w="0" w:type="dxa"/>
              <w:bottom w:w="0" w:type="dxa"/>
              <w:right w:w="0" w:type="dxa"/>
            </w:tcMar>
            <w:vAlign w:val="center"/>
          </w:tcPr>
          <w:p w14:paraId="5E2CC4D3"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37.8</w:t>
            </w:r>
          </w:p>
        </w:tc>
        <w:tc>
          <w:tcPr>
            <w:tcW w:w="1095" w:type="dxa"/>
            <w:tcMar>
              <w:top w:w="0" w:type="dxa"/>
              <w:left w:w="0" w:type="dxa"/>
              <w:bottom w:w="0" w:type="dxa"/>
              <w:right w:w="0" w:type="dxa"/>
            </w:tcMar>
            <w:vAlign w:val="center"/>
          </w:tcPr>
          <w:p w14:paraId="7687BCE6"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37.4</w:t>
            </w:r>
          </w:p>
        </w:tc>
        <w:tc>
          <w:tcPr>
            <w:tcW w:w="1095" w:type="dxa"/>
            <w:tcMar>
              <w:top w:w="0" w:type="dxa"/>
              <w:left w:w="0" w:type="dxa"/>
              <w:bottom w:w="0" w:type="dxa"/>
              <w:right w:w="0" w:type="dxa"/>
            </w:tcMar>
            <w:vAlign w:val="center"/>
          </w:tcPr>
          <w:p w14:paraId="5066B31F"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39.2</w:t>
            </w:r>
          </w:p>
        </w:tc>
        <w:tc>
          <w:tcPr>
            <w:tcW w:w="1219" w:type="dxa"/>
            <w:tcMar>
              <w:top w:w="0" w:type="dxa"/>
              <w:left w:w="0" w:type="dxa"/>
              <w:bottom w:w="0" w:type="dxa"/>
              <w:right w:w="0" w:type="dxa"/>
            </w:tcMar>
            <w:vAlign w:val="center"/>
          </w:tcPr>
          <w:p w14:paraId="0EF297F0"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35.8</w:t>
            </w:r>
          </w:p>
        </w:tc>
        <w:tc>
          <w:tcPr>
            <w:tcW w:w="1219" w:type="dxa"/>
            <w:tcMar>
              <w:top w:w="0" w:type="dxa"/>
              <w:left w:w="0" w:type="dxa"/>
              <w:bottom w:w="0" w:type="dxa"/>
              <w:right w:w="0" w:type="dxa"/>
            </w:tcMar>
            <w:vAlign w:val="center"/>
          </w:tcPr>
          <w:p w14:paraId="0BBB8657"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37.2</w:t>
            </w:r>
          </w:p>
        </w:tc>
        <w:tc>
          <w:tcPr>
            <w:tcW w:w="1219" w:type="dxa"/>
            <w:tcMar>
              <w:top w:w="0" w:type="dxa"/>
              <w:left w:w="0" w:type="dxa"/>
              <w:bottom w:w="0" w:type="dxa"/>
              <w:right w:w="0" w:type="dxa"/>
            </w:tcMar>
            <w:vAlign w:val="center"/>
          </w:tcPr>
          <w:p w14:paraId="341D7B44"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32.7</w:t>
            </w:r>
          </w:p>
        </w:tc>
        <w:tc>
          <w:tcPr>
            <w:tcW w:w="1219" w:type="dxa"/>
            <w:tcMar>
              <w:top w:w="0" w:type="dxa"/>
              <w:left w:w="0" w:type="dxa"/>
              <w:bottom w:w="0" w:type="dxa"/>
              <w:right w:w="0" w:type="dxa"/>
            </w:tcMar>
            <w:vAlign w:val="center"/>
          </w:tcPr>
          <w:p w14:paraId="6A0EBA5D"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35.4</w:t>
            </w:r>
          </w:p>
        </w:tc>
      </w:tr>
      <w:tr w:rsidR="0075791A" w14:paraId="748EEBC1" w14:textId="77777777">
        <w:trPr>
          <w:trHeight w:val="255"/>
          <w:jc w:val="center"/>
        </w:trPr>
        <w:tc>
          <w:tcPr>
            <w:tcW w:w="989" w:type="dxa"/>
            <w:vMerge/>
            <w:tcMar>
              <w:top w:w="0" w:type="dxa"/>
              <w:left w:w="0" w:type="dxa"/>
              <w:bottom w:w="0" w:type="dxa"/>
              <w:right w:w="0" w:type="dxa"/>
            </w:tcMar>
            <w:vAlign w:val="center"/>
          </w:tcPr>
          <w:p w14:paraId="5D1B66CE"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7F43E58B"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6AC9F73C"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Vmax</w:t>
            </w:r>
          </w:p>
        </w:tc>
        <w:tc>
          <w:tcPr>
            <w:tcW w:w="1095" w:type="dxa"/>
            <w:tcMar>
              <w:top w:w="0" w:type="dxa"/>
              <w:left w:w="0" w:type="dxa"/>
              <w:bottom w:w="0" w:type="dxa"/>
              <w:right w:w="0" w:type="dxa"/>
            </w:tcMar>
            <w:vAlign w:val="center"/>
          </w:tcPr>
          <w:p w14:paraId="611EAECF"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172</w:t>
            </w:r>
          </w:p>
        </w:tc>
        <w:tc>
          <w:tcPr>
            <w:tcW w:w="1095" w:type="dxa"/>
            <w:tcMar>
              <w:top w:w="0" w:type="dxa"/>
              <w:left w:w="0" w:type="dxa"/>
              <w:bottom w:w="0" w:type="dxa"/>
              <w:right w:w="0" w:type="dxa"/>
            </w:tcMar>
            <w:vAlign w:val="center"/>
          </w:tcPr>
          <w:p w14:paraId="71251855"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179</w:t>
            </w:r>
          </w:p>
        </w:tc>
        <w:tc>
          <w:tcPr>
            <w:tcW w:w="1095" w:type="dxa"/>
            <w:tcMar>
              <w:top w:w="0" w:type="dxa"/>
              <w:left w:w="0" w:type="dxa"/>
              <w:bottom w:w="0" w:type="dxa"/>
              <w:right w:w="0" w:type="dxa"/>
            </w:tcMar>
            <w:vAlign w:val="center"/>
          </w:tcPr>
          <w:p w14:paraId="37236C9D"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179</w:t>
            </w:r>
          </w:p>
        </w:tc>
        <w:tc>
          <w:tcPr>
            <w:tcW w:w="1219" w:type="dxa"/>
            <w:tcMar>
              <w:top w:w="0" w:type="dxa"/>
              <w:left w:w="0" w:type="dxa"/>
              <w:bottom w:w="0" w:type="dxa"/>
              <w:right w:w="0" w:type="dxa"/>
            </w:tcMar>
            <w:vAlign w:val="center"/>
          </w:tcPr>
          <w:p w14:paraId="650AA710"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194</w:t>
            </w:r>
          </w:p>
        </w:tc>
        <w:tc>
          <w:tcPr>
            <w:tcW w:w="1219" w:type="dxa"/>
            <w:tcMar>
              <w:top w:w="0" w:type="dxa"/>
              <w:left w:w="0" w:type="dxa"/>
              <w:bottom w:w="0" w:type="dxa"/>
              <w:right w:w="0" w:type="dxa"/>
            </w:tcMar>
            <w:vAlign w:val="center"/>
          </w:tcPr>
          <w:p w14:paraId="64B7FD75"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180</w:t>
            </w:r>
          </w:p>
        </w:tc>
        <w:tc>
          <w:tcPr>
            <w:tcW w:w="1219" w:type="dxa"/>
            <w:tcMar>
              <w:top w:w="0" w:type="dxa"/>
              <w:left w:w="0" w:type="dxa"/>
              <w:bottom w:w="0" w:type="dxa"/>
              <w:right w:w="0" w:type="dxa"/>
            </w:tcMar>
            <w:vAlign w:val="center"/>
          </w:tcPr>
          <w:p w14:paraId="018359E2"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173</w:t>
            </w:r>
          </w:p>
        </w:tc>
        <w:tc>
          <w:tcPr>
            <w:tcW w:w="1219" w:type="dxa"/>
            <w:tcMar>
              <w:top w:w="0" w:type="dxa"/>
              <w:left w:w="0" w:type="dxa"/>
              <w:bottom w:w="0" w:type="dxa"/>
              <w:right w:w="0" w:type="dxa"/>
            </w:tcMar>
            <w:vAlign w:val="center"/>
          </w:tcPr>
          <w:p w14:paraId="271BE78E"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183</w:t>
            </w:r>
          </w:p>
        </w:tc>
      </w:tr>
      <w:tr w:rsidR="0075791A" w14:paraId="51BFB245" w14:textId="77777777">
        <w:trPr>
          <w:trHeight w:val="255"/>
          <w:jc w:val="center"/>
        </w:trPr>
        <w:tc>
          <w:tcPr>
            <w:tcW w:w="989" w:type="dxa"/>
            <w:vMerge/>
            <w:tcMar>
              <w:top w:w="0" w:type="dxa"/>
              <w:left w:w="0" w:type="dxa"/>
              <w:bottom w:w="0" w:type="dxa"/>
              <w:right w:w="0" w:type="dxa"/>
            </w:tcMar>
            <w:vAlign w:val="center"/>
          </w:tcPr>
          <w:p w14:paraId="29F74729"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0E71AB51"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39C5F77A"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mean</w:t>
            </w:r>
          </w:p>
        </w:tc>
        <w:tc>
          <w:tcPr>
            <w:tcW w:w="1095" w:type="dxa"/>
            <w:tcMar>
              <w:top w:w="0" w:type="dxa"/>
              <w:left w:w="0" w:type="dxa"/>
              <w:bottom w:w="0" w:type="dxa"/>
              <w:right w:w="0" w:type="dxa"/>
            </w:tcMar>
            <w:vAlign w:val="center"/>
          </w:tcPr>
          <w:p w14:paraId="7AB3CDDF"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17.7</w:t>
            </w:r>
          </w:p>
        </w:tc>
        <w:tc>
          <w:tcPr>
            <w:tcW w:w="1095" w:type="dxa"/>
            <w:tcMar>
              <w:top w:w="0" w:type="dxa"/>
              <w:left w:w="0" w:type="dxa"/>
              <w:bottom w:w="0" w:type="dxa"/>
              <w:right w:w="0" w:type="dxa"/>
            </w:tcMar>
            <w:vAlign w:val="center"/>
          </w:tcPr>
          <w:p w14:paraId="5EEDD9F3"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18.8</w:t>
            </w:r>
          </w:p>
        </w:tc>
        <w:tc>
          <w:tcPr>
            <w:tcW w:w="1095" w:type="dxa"/>
            <w:tcMar>
              <w:top w:w="0" w:type="dxa"/>
              <w:left w:w="0" w:type="dxa"/>
              <w:bottom w:w="0" w:type="dxa"/>
              <w:right w:w="0" w:type="dxa"/>
            </w:tcMar>
            <w:vAlign w:val="center"/>
          </w:tcPr>
          <w:p w14:paraId="65CF1585"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19.8</w:t>
            </w:r>
          </w:p>
        </w:tc>
        <w:tc>
          <w:tcPr>
            <w:tcW w:w="1219" w:type="dxa"/>
            <w:tcMar>
              <w:top w:w="0" w:type="dxa"/>
              <w:left w:w="0" w:type="dxa"/>
              <w:bottom w:w="0" w:type="dxa"/>
              <w:right w:w="0" w:type="dxa"/>
            </w:tcMar>
            <w:vAlign w:val="center"/>
          </w:tcPr>
          <w:p w14:paraId="54796BC7"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20.2</w:t>
            </w:r>
          </w:p>
        </w:tc>
        <w:tc>
          <w:tcPr>
            <w:tcW w:w="1219" w:type="dxa"/>
            <w:tcMar>
              <w:top w:w="0" w:type="dxa"/>
              <w:left w:w="0" w:type="dxa"/>
              <w:bottom w:w="0" w:type="dxa"/>
              <w:right w:w="0" w:type="dxa"/>
            </w:tcMar>
            <w:vAlign w:val="center"/>
          </w:tcPr>
          <w:p w14:paraId="512890AD"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19.3</w:t>
            </w:r>
          </w:p>
        </w:tc>
        <w:tc>
          <w:tcPr>
            <w:tcW w:w="1219" w:type="dxa"/>
            <w:tcMar>
              <w:top w:w="0" w:type="dxa"/>
              <w:left w:w="0" w:type="dxa"/>
              <w:bottom w:w="0" w:type="dxa"/>
              <w:right w:w="0" w:type="dxa"/>
            </w:tcMar>
            <w:vAlign w:val="center"/>
          </w:tcPr>
          <w:p w14:paraId="1C431F75"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13.9</w:t>
            </w:r>
          </w:p>
        </w:tc>
        <w:tc>
          <w:tcPr>
            <w:tcW w:w="1219" w:type="dxa"/>
            <w:tcMar>
              <w:top w:w="0" w:type="dxa"/>
              <w:left w:w="0" w:type="dxa"/>
              <w:bottom w:w="0" w:type="dxa"/>
              <w:right w:w="0" w:type="dxa"/>
            </w:tcMar>
            <w:vAlign w:val="center"/>
          </w:tcPr>
          <w:p w14:paraId="561A807A"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18.7</w:t>
            </w:r>
          </w:p>
        </w:tc>
      </w:tr>
      <w:tr w:rsidR="0075791A" w14:paraId="19D449CD" w14:textId="77777777">
        <w:trPr>
          <w:trHeight w:val="255"/>
          <w:jc w:val="center"/>
        </w:trPr>
        <w:tc>
          <w:tcPr>
            <w:tcW w:w="989" w:type="dxa"/>
            <w:vMerge/>
            <w:tcMar>
              <w:top w:w="0" w:type="dxa"/>
              <w:left w:w="0" w:type="dxa"/>
              <w:bottom w:w="0" w:type="dxa"/>
              <w:right w:w="0" w:type="dxa"/>
            </w:tcMar>
            <w:vAlign w:val="center"/>
          </w:tcPr>
          <w:p w14:paraId="4226D4C3"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66BD128E"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7E7DC9FE"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Vmean</w:t>
            </w:r>
          </w:p>
        </w:tc>
        <w:tc>
          <w:tcPr>
            <w:tcW w:w="1095" w:type="dxa"/>
            <w:tcMar>
              <w:top w:w="0" w:type="dxa"/>
              <w:left w:w="0" w:type="dxa"/>
              <w:bottom w:w="0" w:type="dxa"/>
              <w:right w:w="0" w:type="dxa"/>
            </w:tcMar>
            <w:vAlign w:val="center"/>
          </w:tcPr>
          <w:p w14:paraId="3ABB1181"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182</w:t>
            </w:r>
          </w:p>
        </w:tc>
        <w:tc>
          <w:tcPr>
            <w:tcW w:w="1095" w:type="dxa"/>
            <w:tcMar>
              <w:top w:w="0" w:type="dxa"/>
              <w:left w:w="0" w:type="dxa"/>
              <w:bottom w:w="0" w:type="dxa"/>
              <w:right w:w="0" w:type="dxa"/>
            </w:tcMar>
            <w:vAlign w:val="center"/>
          </w:tcPr>
          <w:p w14:paraId="359B61FF"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179</w:t>
            </w:r>
          </w:p>
        </w:tc>
        <w:tc>
          <w:tcPr>
            <w:tcW w:w="1095" w:type="dxa"/>
            <w:tcMar>
              <w:top w:w="0" w:type="dxa"/>
              <w:left w:w="0" w:type="dxa"/>
              <w:bottom w:w="0" w:type="dxa"/>
              <w:right w:w="0" w:type="dxa"/>
            </w:tcMar>
            <w:vAlign w:val="center"/>
          </w:tcPr>
          <w:p w14:paraId="250B4F33"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182</w:t>
            </w:r>
          </w:p>
        </w:tc>
        <w:tc>
          <w:tcPr>
            <w:tcW w:w="1219" w:type="dxa"/>
            <w:tcMar>
              <w:top w:w="0" w:type="dxa"/>
              <w:left w:w="0" w:type="dxa"/>
              <w:bottom w:w="0" w:type="dxa"/>
              <w:right w:w="0" w:type="dxa"/>
            </w:tcMar>
            <w:vAlign w:val="center"/>
          </w:tcPr>
          <w:p w14:paraId="3DEA3005"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189</w:t>
            </w:r>
          </w:p>
        </w:tc>
        <w:tc>
          <w:tcPr>
            <w:tcW w:w="1219" w:type="dxa"/>
            <w:tcMar>
              <w:top w:w="0" w:type="dxa"/>
              <w:left w:w="0" w:type="dxa"/>
              <w:bottom w:w="0" w:type="dxa"/>
              <w:right w:w="0" w:type="dxa"/>
            </w:tcMar>
            <w:vAlign w:val="center"/>
          </w:tcPr>
          <w:p w14:paraId="5C40F726"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187</w:t>
            </w:r>
          </w:p>
        </w:tc>
        <w:tc>
          <w:tcPr>
            <w:tcW w:w="1219" w:type="dxa"/>
            <w:tcMar>
              <w:top w:w="0" w:type="dxa"/>
              <w:left w:w="0" w:type="dxa"/>
              <w:bottom w:w="0" w:type="dxa"/>
              <w:right w:w="0" w:type="dxa"/>
            </w:tcMar>
            <w:vAlign w:val="center"/>
          </w:tcPr>
          <w:p w14:paraId="435643A6"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182</w:t>
            </w:r>
          </w:p>
        </w:tc>
        <w:tc>
          <w:tcPr>
            <w:tcW w:w="1219" w:type="dxa"/>
            <w:tcMar>
              <w:top w:w="0" w:type="dxa"/>
              <w:left w:w="0" w:type="dxa"/>
              <w:bottom w:w="0" w:type="dxa"/>
              <w:right w:w="0" w:type="dxa"/>
            </w:tcMar>
            <w:vAlign w:val="center"/>
          </w:tcPr>
          <w:p w14:paraId="5F6DFEC9"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184</w:t>
            </w:r>
          </w:p>
        </w:tc>
      </w:tr>
      <w:tr w:rsidR="0075791A" w14:paraId="56FB0EB4" w14:textId="77777777">
        <w:trPr>
          <w:trHeight w:val="255"/>
          <w:jc w:val="center"/>
        </w:trPr>
        <w:tc>
          <w:tcPr>
            <w:tcW w:w="989" w:type="dxa"/>
            <w:vMerge/>
            <w:tcMar>
              <w:top w:w="0" w:type="dxa"/>
              <w:left w:w="0" w:type="dxa"/>
              <w:bottom w:w="0" w:type="dxa"/>
              <w:right w:w="0" w:type="dxa"/>
            </w:tcMar>
            <w:vAlign w:val="center"/>
          </w:tcPr>
          <w:p w14:paraId="001FFCB7"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val="restart"/>
            <w:tcMar>
              <w:top w:w="0" w:type="dxa"/>
              <w:left w:w="0" w:type="dxa"/>
              <w:bottom w:w="0" w:type="dxa"/>
              <w:right w:w="0" w:type="dxa"/>
            </w:tcMar>
            <w:vAlign w:val="center"/>
          </w:tcPr>
          <w:p w14:paraId="662EB7A5" w14:textId="77777777" w:rsidR="0075791A" w:rsidRDefault="00FB2864">
            <w:pPr>
              <w:kinsoku/>
              <w:autoSpaceDE/>
              <w:autoSpaceDN/>
              <w:jc w:val="center"/>
              <w:textAlignment w:val="auto"/>
              <w:rPr>
                <w:rFonts w:ascii="Times New Roman" w:eastAsia="宋体" w:hAnsi="Times New Roman" w:cs="Times New Roman"/>
                <w:b/>
                <w:bCs/>
                <w:color w:val="auto"/>
                <w:kern w:val="2"/>
                <w:lang w:eastAsia="zh-CN"/>
              </w:rPr>
            </w:pPr>
            <w:r>
              <w:rPr>
                <w:rFonts w:ascii="Times New Roman" w:eastAsia="宋体" w:hAnsi="Times New Roman" w:cs="Times New Roman"/>
                <w:b/>
                <w:bCs/>
                <w:color w:val="auto"/>
                <w:lang w:eastAsia="zh-CN"/>
              </w:rPr>
              <w:t>落潮</w:t>
            </w:r>
          </w:p>
        </w:tc>
        <w:tc>
          <w:tcPr>
            <w:tcW w:w="1144" w:type="dxa"/>
            <w:tcMar>
              <w:top w:w="0" w:type="dxa"/>
              <w:left w:w="0" w:type="dxa"/>
              <w:bottom w:w="0" w:type="dxa"/>
              <w:right w:w="0" w:type="dxa"/>
            </w:tcMar>
            <w:vAlign w:val="center"/>
          </w:tcPr>
          <w:p w14:paraId="29481381"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max</w:t>
            </w:r>
          </w:p>
        </w:tc>
        <w:tc>
          <w:tcPr>
            <w:tcW w:w="1095" w:type="dxa"/>
            <w:tcMar>
              <w:top w:w="0" w:type="dxa"/>
              <w:left w:w="0" w:type="dxa"/>
              <w:bottom w:w="0" w:type="dxa"/>
              <w:right w:w="0" w:type="dxa"/>
            </w:tcMar>
            <w:vAlign w:val="center"/>
          </w:tcPr>
          <w:p w14:paraId="4D210691"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28.3</w:t>
            </w:r>
          </w:p>
        </w:tc>
        <w:tc>
          <w:tcPr>
            <w:tcW w:w="1095" w:type="dxa"/>
            <w:tcMar>
              <w:top w:w="0" w:type="dxa"/>
              <w:left w:w="0" w:type="dxa"/>
              <w:bottom w:w="0" w:type="dxa"/>
              <w:right w:w="0" w:type="dxa"/>
            </w:tcMar>
            <w:vAlign w:val="center"/>
          </w:tcPr>
          <w:p w14:paraId="0705C631"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29.3</w:t>
            </w:r>
          </w:p>
        </w:tc>
        <w:tc>
          <w:tcPr>
            <w:tcW w:w="1095" w:type="dxa"/>
            <w:tcMar>
              <w:top w:w="0" w:type="dxa"/>
              <w:left w:w="0" w:type="dxa"/>
              <w:bottom w:w="0" w:type="dxa"/>
              <w:right w:w="0" w:type="dxa"/>
            </w:tcMar>
            <w:vAlign w:val="center"/>
          </w:tcPr>
          <w:p w14:paraId="0390ED4B"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23.4</w:t>
            </w:r>
          </w:p>
        </w:tc>
        <w:tc>
          <w:tcPr>
            <w:tcW w:w="1219" w:type="dxa"/>
            <w:tcMar>
              <w:top w:w="0" w:type="dxa"/>
              <w:left w:w="0" w:type="dxa"/>
              <w:bottom w:w="0" w:type="dxa"/>
              <w:right w:w="0" w:type="dxa"/>
            </w:tcMar>
            <w:vAlign w:val="center"/>
          </w:tcPr>
          <w:p w14:paraId="69EBFF28"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20.4</w:t>
            </w:r>
          </w:p>
        </w:tc>
        <w:tc>
          <w:tcPr>
            <w:tcW w:w="1219" w:type="dxa"/>
            <w:tcMar>
              <w:top w:w="0" w:type="dxa"/>
              <w:left w:w="0" w:type="dxa"/>
              <w:bottom w:w="0" w:type="dxa"/>
              <w:right w:w="0" w:type="dxa"/>
            </w:tcMar>
            <w:vAlign w:val="center"/>
          </w:tcPr>
          <w:p w14:paraId="1DA8821E"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17.2</w:t>
            </w:r>
          </w:p>
        </w:tc>
        <w:tc>
          <w:tcPr>
            <w:tcW w:w="1219" w:type="dxa"/>
            <w:tcMar>
              <w:top w:w="0" w:type="dxa"/>
              <w:left w:w="0" w:type="dxa"/>
              <w:bottom w:w="0" w:type="dxa"/>
              <w:right w:w="0" w:type="dxa"/>
            </w:tcMar>
            <w:vAlign w:val="center"/>
          </w:tcPr>
          <w:p w14:paraId="6494718B"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13.4</w:t>
            </w:r>
          </w:p>
        </w:tc>
        <w:tc>
          <w:tcPr>
            <w:tcW w:w="1219" w:type="dxa"/>
            <w:tcMar>
              <w:top w:w="0" w:type="dxa"/>
              <w:left w:w="0" w:type="dxa"/>
              <w:bottom w:w="0" w:type="dxa"/>
              <w:right w:w="0" w:type="dxa"/>
            </w:tcMar>
            <w:vAlign w:val="center"/>
          </w:tcPr>
          <w:p w14:paraId="2DD4C7A0"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19.3</w:t>
            </w:r>
          </w:p>
        </w:tc>
      </w:tr>
      <w:tr w:rsidR="0075791A" w14:paraId="0820B121" w14:textId="77777777">
        <w:trPr>
          <w:trHeight w:val="255"/>
          <w:jc w:val="center"/>
        </w:trPr>
        <w:tc>
          <w:tcPr>
            <w:tcW w:w="989" w:type="dxa"/>
            <w:vMerge/>
            <w:tcMar>
              <w:top w:w="0" w:type="dxa"/>
              <w:left w:w="0" w:type="dxa"/>
              <w:bottom w:w="0" w:type="dxa"/>
              <w:right w:w="0" w:type="dxa"/>
            </w:tcMar>
            <w:vAlign w:val="center"/>
          </w:tcPr>
          <w:p w14:paraId="786FF777"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7A757588"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072AD26E"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Vmax</w:t>
            </w:r>
          </w:p>
        </w:tc>
        <w:tc>
          <w:tcPr>
            <w:tcW w:w="1095" w:type="dxa"/>
            <w:tcMar>
              <w:top w:w="0" w:type="dxa"/>
              <w:left w:w="0" w:type="dxa"/>
              <w:bottom w:w="0" w:type="dxa"/>
              <w:right w:w="0" w:type="dxa"/>
            </w:tcMar>
            <w:vAlign w:val="center"/>
          </w:tcPr>
          <w:p w14:paraId="10D7685B"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104</w:t>
            </w:r>
          </w:p>
        </w:tc>
        <w:tc>
          <w:tcPr>
            <w:tcW w:w="1095" w:type="dxa"/>
            <w:tcMar>
              <w:top w:w="0" w:type="dxa"/>
              <w:left w:w="0" w:type="dxa"/>
              <w:bottom w:w="0" w:type="dxa"/>
              <w:right w:w="0" w:type="dxa"/>
            </w:tcMar>
            <w:vAlign w:val="center"/>
          </w:tcPr>
          <w:p w14:paraId="32CB2CD9"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153</w:t>
            </w:r>
          </w:p>
        </w:tc>
        <w:tc>
          <w:tcPr>
            <w:tcW w:w="1095" w:type="dxa"/>
            <w:tcMar>
              <w:top w:w="0" w:type="dxa"/>
              <w:left w:w="0" w:type="dxa"/>
              <w:bottom w:w="0" w:type="dxa"/>
              <w:right w:w="0" w:type="dxa"/>
            </w:tcMar>
            <w:vAlign w:val="center"/>
          </w:tcPr>
          <w:p w14:paraId="378446BE"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150</w:t>
            </w:r>
          </w:p>
        </w:tc>
        <w:tc>
          <w:tcPr>
            <w:tcW w:w="1219" w:type="dxa"/>
            <w:tcMar>
              <w:top w:w="0" w:type="dxa"/>
              <w:left w:w="0" w:type="dxa"/>
              <w:bottom w:w="0" w:type="dxa"/>
              <w:right w:w="0" w:type="dxa"/>
            </w:tcMar>
            <w:vAlign w:val="center"/>
          </w:tcPr>
          <w:p w14:paraId="689AAC8E"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204</w:t>
            </w:r>
          </w:p>
        </w:tc>
        <w:tc>
          <w:tcPr>
            <w:tcW w:w="1219" w:type="dxa"/>
            <w:tcMar>
              <w:top w:w="0" w:type="dxa"/>
              <w:left w:w="0" w:type="dxa"/>
              <w:bottom w:w="0" w:type="dxa"/>
              <w:right w:w="0" w:type="dxa"/>
            </w:tcMar>
            <w:vAlign w:val="center"/>
          </w:tcPr>
          <w:p w14:paraId="10DAB302"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207</w:t>
            </w:r>
          </w:p>
        </w:tc>
        <w:tc>
          <w:tcPr>
            <w:tcW w:w="1219" w:type="dxa"/>
            <w:tcMar>
              <w:top w:w="0" w:type="dxa"/>
              <w:left w:w="0" w:type="dxa"/>
              <w:bottom w:w="0" w:type="dxa"/>
              <w:right w:w="0" w:type="dxa"/>
            </w:tcMar>
            <w:vAlign w:val="center"/>
          </w:tcPr>
          <w:p w14:paraId="31120B06"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309</w:t>
            </w:r>
          </w:p>
        </w:tc>
        <w:tc>
          <w:tcPr>
            <w:tcW w:w="1219" w:type="dxa"/>
            <w:tcMar>
              <w:top w:w="0" w:type="dxa"/>
              <w:left w:w="0" w:type="dxa"/>
              <w:bottom w:w="0" w:type="dxa"/>
              <w:right w:w="0" w:type="dxa"/>
            </w:tcMar>
            <w:vAlign w:val="center"/>
          </w:tcPr>
          <w:p w14:paraId="1C3DC0F8"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173</w:t>
            </w:r>
          </w:p>
        </w:tc>
      </w:tr>
      <w:tr w:rsidR="0075791A" w14:paraId="77737742" w14:textId="77777777">
        <w:trPr>
          <w:trHeight w:val="255"/>
          <w:jc w:val="center"/>
        </w:trPr>
        <w:tc>
          <w:tcPr>
            <w:tcW w:w="989" w:type="dxa"/>
            <w:vMerge/>
            <w:tcMar>
              <w:top w:w="0" w:type="dxa"/>
              <w:left w:w="0" w:type="dxa"/>
              <w:bottom w:w="0" w:type="dxa"/>
              <w:right w:w="0" w:type="dxa"/>
            </w:tcMar>
            <w:vAlign w:val="center"/>
          </w:tcPr>
          <w:p w14:paraId="6937F9F4"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237D03F9"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0E0E2461"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V</w:t>
            </w:r>
            <w:r>
              <w:rPr>
                <w:rFonts w:ascii="Times New Roman" w:eastAsia="宋体" w:hAnsi="Times New Roman" w:cs="Times New Roman"/>
                <w:b/>
                <w:bCs/>
                <w:color w:val="auto"/>
                <w:sz w:val="16"/>
                <w:szCs w:val="16"/>
                <w:lang w:eastAsia="zh-CN"/>
              </w:rPr>
              <w:t>mean</w:t>
            </w:r>
          </w:p>
        </w:tc>
        <w:tc>
          <w:tcPr>
            <w:tcW w:w="1095" w:type="dxa"/>
            <w:tcMar>
              <w:top w:w="0" w:type="dxa"/>
              <w:left w:w="0" w:type="dxa"/>
              <w:bottom w:w="0" w:type="dxa"/>
              <w:right w:w="0" w:type="dxa"/>
            </w:tcMar>
            <w:vAlign w:val="center"/>
          </w:tcPr>
          <w:p w14:paraId="4F964433"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17</w:t>
            </w:r>
          </w:p>
        </w:tc>
        <w:tc>
          <w:tcPr>
            <w:tcW w:w="1095" w:type="dxa"/>
            <w:tcMar>
              <w:top w:w="0" w:type="dxa"/>
              <w:left w:w="0" w:type="dxa"/>
              <w:bottom w:w="0" w:type="dxa"/>
              <w:right w:w="0" w:type="dxa"/>
            </w:tcMar>
            <w:vAlign w:val="center"/>
          </w:tcPr>
          <w:p w14:paraId="52C343C0"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13</w:t>
            </w:r>
          </w:p>
        </w:tc>
        <w:tc>
          <w:tcPr>
            <w:tcW w:w="1095" w:type="dxa"/>
            <w:tcMar>
              <w:top w:w="0" w:type="dxa"/>
              <w:left w:w="0" w:type="dxa"/>
              <w:bottom w:w="0" w:type="dxa"/>
              <w:right w:w="0" w:type="dxa"/>
            </w:tcMar>
            <w:vAlign w:val="center"/>
          </w:tcPr>
          <w:p w14:paraId="280AF3D2"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9.8</w:t>
            </w:r>
          </w:p>
        </w:tc>
        <w:tc>
          <w:tcPr>
            <w:tcW w:w="1219" w:type="dxa"/>
            <w:tcMar>
              <w:top w:w="0" w:type="dxa"/>
              <w:left w:w="0" w:type="dxa"/>
              <w:bottom w:w="0" w:type="dxa"/>
              <w:right w:w="0" w:type="dxa"/>
            </w:tcMar>
            <w:vAlign w:val="center"/>
          </w:tcPr>
          <w:p w14:paraId="47387550"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4.6</w:t>
            </w:r>
          </w:p>
        </w:tc>
        <w:tc>
          <w:tcPr>
            <w:tcW w:w="1219" w:type="dxa"/>
            <w:tcMar>
              <w:top w:w="0" w:type="dxa"/>
              <w:left w:w="0" w:type="dxa"/>
              <w:bottom w:w="0" w:type="dxa"/>
              <w:right w:w="0" w:type="dxa"/>
            </w:tcMar>
            <w:vAlign w:val="center"/>
          </w:tcPr>
          <w:p w14:paraId="5BF9567A"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4.2</w:t>
            </w:r>
          </w:p>
        </w:tc>
        <w:tc>
          <w:tcPr>
            <w:tcW w:w="1219" w:type="dxa"/>
            <w:tcMar>
              <w:top w:w="0" w:type="dxa"/>
              <w:left w:w="0" w:type="dxa"/>
              <w:bottom w:w="0" w:type="dxa"/>
              <w:right w:w="0" w:type="dxa"/>
            </w:tcMar>
            <w:vAlign w:val="center"/>
          </w:tcPr>
          <w:p w14:paraId="07776D0D"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0.6</w:t>
            </w:r>
          </w:p>
        </w:tc>
        <w:tc>
          <w:tcPr>
            <w:tcW w:w="1219" w:type="dxa"/>
            <w:tcMar>
              <w:top w:w="0" w:type="dxa"/>
              <w:left w:w="0" w:type="dxa"/>
              <w:bottom w:w="0" w:type="dxa"/>
              <w:right w:w="0" w:type="dxa"/>
            </w:tcMar>
            <w:vAlign w:val="center"/>
          </w:tcPr>
          <w:p w14:paraId="0B9F4053"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6.7</w:t>
            </w:r>
          </w:p>
        </w:tc>
      </w:tr>
      <w:tr w:rsidR="0075791A" w14:paraId="1407D5BF" w14:textId="77777777">
        <w:trPr>
          <w:trHeight w:val="255"/>
          <w:jc w:val="center"/>
        </w:trPr>
        <w:tc>
          <w:tcPr>
            <w:tcW w:w="989" w:type="dxa"/>
            <w:vMerge/>
            <w:tcMar>
              <w:top w:w="0" w:type="dxa"/>
              <w:left w:w="0" w:type="dxa"/>
              <w:bottom w:w="0" w:type="dxa"/>
              <w:right w:w="0" w:type="dxa"/>
            </w:tcMar>
            <w:vAlign w:val="center"/>
          </w:tcPr>
          <w:p w14:paraId="23B30747" w14:textId="77777777" w:rsidR="0075791A" w:rsidRDefault="0075791A">
            <w:pPr>
              <w:kinsoku/>
              <w:autoSpaceDE/>
              <w:autoSpaceDN/>
              <w:jc w:val="center"/>
              <w:textAlignment w:val="auto"/>
              <w:rPr>
                <w:rFonts w:ascii="Times New Roman" w:eastAsia="宋体" w:hAnsi="Times New Roman" w:cs="Times New Roman"/>
                <w:color w:val="auto"/>
                <w:lang w:eastAsia="zh-CN"/>
              </w:rPr>
            </w:pPr>
          </w:p>
        </w:tc>
        <w:tc>
          <w:tcPr>
            <w:tcW w:w="790" w:type="dxa"/>
            <w:vMerge/>
            <w:tcMar>
              <w:top w:w="0" w:type="dxa"/>
              <w:left w:w="0" w:type="dxa"/>
              <w:bottom w:w="0" w:type="dxa"/>
              <w:right w:w="0" w:type="dxa"/>
            </w:tcMar>
            <w:vAlign w:val="center"/>
          </w:tcPr>
          <w:p w14:paraId="262B02A4" w14:textId="77777777" w:rsidR="0075791A" w:rsidRDefault="0075791A">
            <w:pPr>
              <w:kinsoku/>
              <w:autoSpaceDE/>
              <w:autoSpaceDN/>
              <w:jc w:val="center"/>
              <w:textAlignment w:val="auto"/>
              <w:rPr>
                <w:rFonts w:ascii="Times New Roman" w:eastAsia="宋体" w:hAnsi="Times New Roman" w:cs="Times New Roman"/>
                <w:b/>
                <w:bCs/>
                <w:color w:val="auto"/>
                <w:kern w:val="2"/>
                <w:lang w:eastAsia="zh-CN"/>
              </w:rPr>
            </w:pPr>
          </w:p>
        </w:tc>
        <w:tc>
          <w:tcPr>
            <w:tcW w:w="1144" w:type="dxa"/>
            <w:tcMar>
              <w:top w:w="0" w:type="dxa"/>
              <w:left w:w="0" w:type="dxa"/>
              <w:bottom w:w="0" w:type="dxa"/>
              <w:right w:w="0" w:type="dxa"/>
            </w:tcMar>
            <w:vAlign w:val="center"/>
          </w:tcPr>
          <w:p w14:paraId="5B110ADE"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b/>
                <w:bCs/>
                <w:color w:val="auto"/>
                <w:lang w:eastAsia="zh-CN"/>
              </w:rPr>
              <w:t>D</w:t>
            </w:r>
            <w:r>
              <w:rPr>
                <w:rFonts w:ascii="Times New Roman" w:eastAsia="宋体" w:hAnsi="Times New Roman" w:cs="Times New Roman"/>
                <w:b/>
                <w:bCs/>
                <w:color w:val="auto"/>
                <w:sz w:val="16"/>
                <w:szCs w:val="16"/>
                <w:lang w:eastAsia="zh-CN"/>
              </w:rPr>
              <w:t>Vmean</w:t>
            </w:r>
          </w:p>
        </w:tc>
        <w:tc>
          <w:tcPr>
            <w:tcW w:w="1095" w:type="dxa"/>
            <w:tcMar>
              <w:top w:w="0" w:type="dxa"/>
              <w:left w:w="0" w:type="dxa"/>
              <w:bottom w:w="0" w:type="dxa"/>
              <w:right w:w="0" w:type="dxa"/>
            </w:tcMar>
            <w:vAlign w:val="center"/>
          </w:tcPr>
          <w:p w14:paraId="37DAD6D1"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133</w:t>
            </w:r>
          </w:p>
        </w:tc>
        <w:tc>
          <w:tcPr>
            <w:tcW w:w="1095" w:type="dxa"/>
            <w:tcMar>
              <w:top w:w="0" w:type="dxa"/>
              <w:left w:w="0" w:type="dxa"/>
              <w:bottom w:w="0" w:type="dxa"/>
              <w:right w:w="0" w:type="dxa"/>
            </w:tcMar>
            <w:vAlign w:val="center"/>
          </w:tcPr>
          <w:p w14:paraId="616FE68B"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153</w:t>
            </w:r>
          </w:p>
        </w:tc>
        <w:tc>
          <w:tcPr>
            <w:tcW w:w="1095" w:type="dxa"/>
            <w:tcMar>
              <w:top w:w="0" w:type="dxa"/>
              <w:left w:w="0" w:type="dxa"/>
              <w:bottom w:w="0" w:type="dxa"/>
              <w:right w:w="0" w:type="dxa"/>
            </w:tcMar>
            <w:vAlign w:val="center"/>
          </w:tcPr>
          <w:p w14:paraId="1CEC3B70"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161</w:t>
            </w:r>
          </w:p>
        </w:tc>
        <w:tc>
          <w:tcPr>
            <w:tcW w:w="1219" w:type="dxa"/>
            <w:tcMar>
              <w:top w:w="0" w:type="dxa"/>
              <w:left w:w="0" w:type="dxa"/>
              <w:bottom w:w="0" w:type="dxa"/>
              <w:right w:w="0" w:type="dxa"/>
            </w:tcMar>
            <w:vAlign w:val="center"/>
          </w:tcPr>
          <w:p w14:paraId="2DB10278"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180</w:t>
            </w:r>
          </w:p>
        </w:tc>
        <w:tc>
          <w:tcPr>
            <w:tcW w:w="1219" w:type="dxa"/>
            <w:tcMar>
              <w:top w:w="0" w:type="dxa"/>
              <w:left w:w="0" w:type="dxa"/>
              <w:bottom w:w="0" w:type="dxa"/>
              <w:right w:w="0" w:type="dxa"/>
            </w:tcMar>
            <w:vAlign w:val="center"/>
          </w:tcPr>
          <w:p w14:paraId="7AB873B5"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271</w:t>
            </w:r>
          </w:p>
        </w:tc>
        <w:tc>
          <w:tcPr>
            <w:tcW w:w="1219" w:type="dxa"/>
            <w:tcMar>
              <w:top w:w="0" w:type="dxa"/>
              <w:left w:w="0" w:type="dxa"/>
              <w:bottom w:w="0" w:type="dxa"/>
              <w:right w:w="0" w:type="dxa"/>
            </w:tcMar>
            <w:vAlign w:val="center"/>
          </w:tcPr>
          <w:p w14:paraId="113BD6DA"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153</w:t>
            </w:r>
          </w:p>
        </w:tc>
        <w:tc>
          <w:tcPr>
            <w:tcW w:w="1219" w:type="dxa"/>
            <w:tcMar>
              <w:top w:w="0" w:type="dxa"/>
              <w:left w:w="0" w:type="dxa"/>
              <w:bottom w:w="0" w:type="dxa"/>
              <w:right w:w="0" w:type="dxa"/>
            </w:tcMar>
            <w:vAlign w:val="center"/>
          </w:tcPr>
          <w:p w14:paraId="3FAE127B" w14:textId="77777777" w:rsidR="0075791A" w:rsidRDefault="00FB2864">
            <w:pPr>
              <w:kinsoku/>
              <w:autoSpaceDE/>
              <w:autoSpaceDN/>
              <w:adjustRightInd/>
              <w:snapToGrid/>
              <w:jc w:val="center"/>
              <w:textAlignment w:val="auto"/>
              <w:rPr>
                <w:rFonts w:ascii="Times New Roman" w:eastAsia="宋体" w:hAnsi="Times New Roman" w:cs="Times New Roman"/>
                <w:color w:val="auto"/>
                <w:kern w:val="2"/>
                <w:lang w:eastAsia="zh-CN"/>
              </w:rPr>
            </w:pPr>
            <w:r>
              <w:rPr>
                <w:rFonts w:ascii="Times New Roman" w:eastAsia="宋体" w:hAnsi="Times New Roman" w:cs="Times New Roman" w:hint="eastAsia"/>
                <w:color w:val="auto"/>
                <w:kern w:val="2"/>
                <w:lang w:eastAsia="zh-CN"/>
              </w:rPr>
              <w:t>160</w:t>
            </w:r>
          </w:p>
        </w:tc>
      </w:tr>
      <w:bookmarkEnd w:id="167"/>
    </w:tbl>
    <w:p w14:paraId="0B9FCACB" w14:textId="77777777" w:rsidR="0075791A" w:rsidRDefault="0075791A">
      <w:pPr>
        <w:pStyle w:val="a0"/>
        <w:rPr>
          <w:rFonts w:ascii="Times New Roman" w:hAnsi="Times New Roman"/>
          <w:color w:val="auto"/>
          <w:lang w:eastAsia="zh-CN"/>
        </w:rPr>
      </w:pPr>
    </w:p>
    <w:p w14:paraId="0C338F63" w14:textId="77777777" w:rsidR="0075791A" w:rsidRDefault="0075791A">
      <w:pPr>
        <w:spacing w:before="179" w:line="313" w:lineRule="auto"/>
        <w:ind w:left="32" w:right="19" w:firstLine="472"/>
        <w:rPr>
          <w:rFonts w:ascii="Times New Roman" w:eastAsia="宋体" w:hAnsi="Times New Roman" w:cs="仿宋"/>
          <w:color w:val="auto"/>
          <w:sz w:val="24"/>
          <w:szCs w:val="24"/>
          <w:lang w:eastAsia="zh-CN"/>
        </w:rPr>
      </w:pPr>
    </w:p>
    <w:p w14:paraId="311080F0" w14:textId="77777777" w:rsidR="0075791A" w:rsidRDefault="0075791A">
      <w:pPr>
        <w:spacing w:line="43" w:lineRule="exact"/>
        <w:ind w:firstLine="23"/>
        <w:rPr>
          <w:rFonts w:ascii="Times New Roman" w:hAnsi="Times New Roman"/>
          <w:color w:val="auto"/>
        </w:rPr>
      </w:pPr>
    </w:p>
    <w:p w14:paraId="612F44F6" w14:textId="77777777" w:rsidR="0075791A" w:rsidRDefault="00FB2864">
      <w:pPr>
        <w:spacing w:line="360" w:lineRule="auto"/>
        <w:outlineLvl w:val="3"/>
        <w:rPr>
          <w:rFonts w:ascii="Times New Roman" w:eastAsia="宋体" w:hAnsi="Times New Roman" w:cs="宋体"/>
          <w:color w:val="auto"/>
          <w:sz w:val="24"/>
          <w:szCs w:val="24"/>
        </w:rPr>
      </w:pPr>
      <w:hyperlink r:id="rId58" w:history="1">
        <w:r>
          <w:rPr>
            <w:rFonts w:ascii="Times New Roman" w:eastAsia="宋体" w:hAnsi="Times New Roman" w:hint="eastAsia"/>
            <w:b/>
            <w:color w:val="auto"/>
            <w:sz w:val="24"/>
            <w:szCs w:val="24"/>
            <w:lang w:eastAsia="zh-CN"/>
          </w:rPr>
          <w:t>3.</w:t>
        </w:r>
        <w:r>
          <w:rPr>
            <w:rFonts w:ascii="Times New Roman" w:eastAsia="宋体" w:hAnsi="Times New Roman"/>
            <w:b/>
            <w:color w:val="auto"/>
            <w:sz w:val="24"/>
            <w:szCs w:val="24"/>
            <w:lang w:eastAsia="zh-CN"/>
          </w:rPr>
          <w:t>2.2.</w:t>
        </w:r>
        <w:r>
          <w:rPr>
            <w:rFonts w:ascii="Times New Roman" w:eastAsia="宋体" w:hAnsi="Times New Roman" w:hint="eastAsia"/>
            <w:b/>
            <w:color w:val="auto"/>
            <w:sz w:val="24"/>
            <w:szCs w:val="24"/>
            <w:lang w:eastAsia="zh-CN"/>
          </w:rPr>
          <w:t>4</w:t>
        </w:r>
      </w:hyperlink>
      <w:r>
        <w:rPr>
          <w:rFonts w:ascii="Times New Roman" w:eastAsia="宋体" w:hAnsi="Times New Roman"/>
          <w:b/>
          <w:color w:val="auto"/>
          <w:sz w:val="24"/>
          <w:szCs w:val="24"/>
          <w:lang w:eastAsia="zh-CN"/>
        </w:rPr>
        <w:t>余流</w:t>
      </w:r>
    </w:p>
    <w:p w14:paraId="6D758009" w14:textId="77777777" w:rsidR="0075791A" w:rsidRDefault="00FB2864">
      <w:pPr>
        <w:spacing w:line="360" w:lineRule="auto"/>
        <w:ind w:firstLineChars="200" w:firstLine="480"/>
        <w:rPr>
          <w:rFonts w:ascii="Times New Roman" w:eastAsia="宋体" w:hAnsi="Times New Roman" w:cs="Times New Roman"/>
          <w:color w:val="auto"/>
          <w:sz w:val="24"/>
          <w:szCs w:val="24"/>
          <w:lang w:eastAsia="zh-CN"/>
        </w:rPr>
      </w:pPr>
      <w:r>
        <w:rPr>
          <w:rFonts w:ascii="Times New Roman" w:eastAsia="宋体" w:hAnsi="Times New Roman" w:cs="Times New Roman"/>
          <w:color w:val="auto"/>
          <w:sz w:val="24"/>
          <w:szCs w:val="24"/>
          <w:lang w:eastAsia="zh-CN"/>
        </w:rPr>
        <w:t>余流通常指实测海流资料中除去周期性流动</w:t>
      </w:r>
      <w:r>
        <w:rPr>
          <w:rFonts w:ascii="Times New Roman" w:eastAsia="宋体" w:hAnsi="Times New Roman" w:cs="Times New Roman"/>
          <w:color w:val="auto"/>
          <w:sz w:val="24"/>
          <w:szCs w:val="24"/>
          <w:lang w:eastAsia="zh-CN"/>
        </w:rPr>
        <w:t>(</w:t>
      </w:r>
      <w:r>
        <w:rPr>
          <w:rFonts w:ascii="Times New Roman" w:eastAsia="宋体" w:hAnsi="Times New Roman" w:cs="Times New Roman"/>
          <w:color w:val="auto"/>
          <w:sz w:val="24"/>
          <w:szCs w:val="24"/>
          <w:lang w:eastAsia="zh-CN"/>
        </w:rPr>
        <w:t>天文潮</w:t>
      </w:r>
      <w:r>
        <w:rPr>
          <w:rFonts w:ascii="Times New Roman" w:eastAsia="宋体" w:hAnsi="Times New Roman" w:cs="Times New Roman"/>
          <w:color w:val="auto"/>
          <w:sz w:val="24"/>
          <w:szCs w:val="24"/>
          <w:lang w:eastAsia="zh-CN"/>
        </w:rPr>
        <w:t>)</w:t>
      </w:r>
      <w:r>
        <w:rPr>
          <w:rFonts w:ascii="Times New Roman" w:eastAsia="宋体" w:hAnsi="Times New Roman" w:cs="Times New Roman"/>
          <w:color w:val="auto"/>
          <w:sz w:val="24"/>
          <w:szCs w:val="24"/>
          <w:lang w:eastAsia="zh-CN"/>
        </w:rPr>
        <w:t>之外，剩余的部分流动．其中包括潮汐余流、风海流和密度流等非周期性流动。调查海区</w:t>
      </w:r>
      <w:r>
        <w:rPr>
          <w:rFonts w:ascii="Times New Roman" w:eastAsia="宋体" w:hAnsi="Times New Roman" w:cs="Times New Roman" w:hint="eastAsia"/>
          <w:color w:val="auto"/>
          <w:sz w:val="24"/>
          <w:szCs w:val="24"/>
          <w:lang w:eastAsia="zh-CN"/>
        </w:rPr>
        <w:t>各</w:t>
      </w:r>
      <w:r>
        <w:rPr>
          <w:rFonts w:ascii="Times New Roman" w:eastAsia="宋体" w:hAnsi="Times New Roman" w:cs="Times New Roman"/>
          <w:color w:val="auto"/>
          <w:sz w:val="24"/>
          <w:szCs w:val="24"/>
          <w:lang w:eastAsia="zh-CN"/>
        </w:rPr>
        <w:t>潮期的余流见表</w:t>
      </w:r>
      <w:r>
        <w:rPr>
          <w:rFonts w:ascii="Times New Roman" w:hAnsi="Times New Roman" w:cs="Times New Roman" w:hint="eastAsia"/>
          <w:color w:val="auto"/>
          <w:sz w:val="24"/>
          <w:szCs w:val="24"/>
          <w:lang w:eastAsia="zh-CN"/>
        </w:rPr>
        <w:t>3.2.2-3</w:t>
      </w:r>
      <w:r>
        <w:rPr>
          <w:rFonts w:ascii="Times New Roman" w:eastAsia="宋体" w:hAnsi="Times New Roman" w:cs="Times New Roman" w:hint="eastAsia"/>
          <w:color w:val="auto"/>
          <w:sz w:val="24"/>
          <w:szCs w:val="24"/>
          <w:lang w:eastAsia="zh-CN"/>
        </w:rPr>
        <w:t>和</w:t>
      </w:r>
      <w:r>
        <w:rPr>
          <w:rFonts w:ascii="Times New Roman" w:eastAsia="宋体" w:hAnsi="Times New Roman" w:cs="Times New Roman"/>
          <w:color w:val="auto"/>
          <w:sz w:val="24"/>
          <w:szCs w:val="24"/>
          <w:lang w:eastAsia="zh-CN"/>
        </w:rPr>
        <w:t>图</w:t>
      </w:r>
      <w:r>
        <w:rPr>
          <w:rFonts w:ascii="Times New Roman" w:eastAsia="宋体" w:hAnsi="Times New Roman" w:cs="Times New Roman" w:hint="eastAsia"/>
          <w:color w:val="auto"/>
          <w:sz w:val="24"/>
          <w:szCs w:val="24"/>
          <w:lang w:eastAsia="zh-CN"/>
        </w:rPr>
        <w:t>3.</w:t>
      </w:r>
      <w:r>
        <w:rPr>
          <w:rFonts w:ascii="Times New Roman" w:hAnsi="Times New Roman" w:cs="Times New Roman"/>
          <w:color w:val="auto"/>
          <w:sz w:val="24"/>
          <w:szCs w:val="24"/>
          <w:lang w:eastAsia="zh-CN"/>
        </w:rPr>
        <w:t>2.2-</w:t>
      </w:r>
      <w:r>
        <w:rPr>
          <w:rFonts w:ascii="Times New Roman" w:hAnsi="Times New Roman" w:cs="Times New Roman"/>
          <w:color w:val="auto"/>
          <w:sz w:val="24"/>
          <w:szCs w:val="24"/>
          <w:lang w:eastAsia="zh-CN"/>
        </w:rPr>
        <w:t>10</w:t>
      </w:r>
      <w:r>
        <w:rPr>
          <w:rFonts w:ascii="Times New Roman" w:eastAsia="宋体" w:hAnsi="Times New Roman" w:cs="Times New Roman"/>
          <w:color w:val="auto"/>
          <w:sz w:val="24"/>
          <w:szCs w:val="24"/>
          <w:lang w:eastAsia="zh-CN"/>
        </w:rPr>
        <w:t>。由图和表可以看到调查海区余流呈现以下特点：</w:t>
      </w:r>
    </w:p>
    <w:p w14:paraId="4FBDBDF9" w14:textId="77777777" w:rsidR="0075791A" w:rsidRDefault="00FB2864">
      <w:pPr>
        <w:spacing w:line="360" w:lineRule="auto"/>
        <w:ind w:firstLineChars="200" w:firstLine="480"/>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t>大</w:t>
      </w:r>
      <w:r>
        <w:rPr>
          <w:rFonts w:ascii="Times New Roman" w:eastAsia="宋体" w:hAnsi="Times New Roman" w:cs="Times New Roman" w:hint="eastAsia"/>
          <w:color w:val="auto"/>
          <w:sz w:val="24"/>
          <w:szCs w:val="24"/>
          <w:lang w:eastAsia="zh-CN"/>
        </w:rPr>
        <w:t>潮期</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hint="eastAsia"/>
          <w:color w:val="auto"/>
          <w:sz w:val="24"/>
          <w:szCs w:val="24"/>
          <w:lang w:eastAsia="zh-CN"/>
        </w:rPr>
        <w:t>调查海区</w:t>
      </w:r>
      <w:r>
        <w:rPr>
          <w:rFonts w:ascii="Times New Roman" w:eastAsia="宋体" w:hAnsi="Times New Roman" w:cs="Times New Roman" w:hint="eastAsia"/>
          <w:color w:val="auto"/>
          <w:sz w:val="24"/>
          <w:szCs w:val="24"/>
          <w:lang w:eastAsia="zh-CN"/>
        </w:rPr>
        <w:t>各站</w:t>
      </w:r>
      <w:r>
        <w:rPr>
          <w:rFonts w:ascii="Times New Roman" w:eastAsia="宋体" w:hAnsi="Times New Roman" w:cs="Times New Roman" w:hint="eastAsia"/>
          <w:color w:val="auto"/>
          <w:sz w:val="24"/>
          <w:szCs w:val="24"/>
          <w:lang w:eastAsia="zh-CN"/>
        </w:rPr>
        <w:t>余流</w:t>
      </w:r>
      <w:r>
        <w:rPr>
          <w:rFonts w:ascii="Times New Roman" w:eastAsia="宋体" w:hAnsi="Times New Roman" w:cs="Times New Roman" w:hint="eastAsia"/>
          <w:color w:val="auto"/>
          <w:sz w:val="24"/>
          <w:szCs w:val="24"/>
          <w:lang w:eastAsia="zh-CN"/>
        </w:rPr>
        <w:t>强</w:t>
      </w:r>
      <w:r>
        <w:rPr>
          <w:rFonts w:ascii="Times New Roman" w:eastAsia="宋体" w:hAnsi="Times New Roman" w:cs="Times New Roman" w:hint="eastAsia"/>
          <w:color w:val="auto"/>
          <w:sz w:val="24"/>
          <w:szCs w:val="24"/>
          <w:lang w:eastAsia="zh-CN"/>
        </w:rPr>
        <w:t>弱</w:t>
      </w:r>
      <w:r>
        <w:rPr>
          <w:rFonts w:ascii="Times New Roman" w:eastAsia="宋体" w:hAnsi="Times New Roman" w:cs="Times New Roman" w:hint="eastAsia"/>
          <w:color w:val="auto"/>
          <w:sz w:val="24"/>
          <w:szCs w:val="24"/>
          <w:lang w:eastAsia="zh-CN"/>
        </w:rPr>
        <w:t>不一</w:t>
      </w:r>
      <w:r>
        <w:rPr>
          <w:rFonts w:ascii="Times New Roman" w:eastAsia="宋体" w:hAnsi="Times New Roman" w:cs="Times New Roman" w:hint="eastAsia"/>
          <w:color w:val="auto"/>
          <w:sz w:val="24"/>
          <w:szCs w:val="24"/>
          <w:lang w:eastAsia="zh-CN"/>
        </w:rPr>
        <w:t>，余流值差异较</w:t>
      </w:r>
      <w:r>
        <w:rPr>
          <w:rFonts w:ascii="Times New Roman" w:eastAsia="宋体" w:hAnsi="Times New Roman" w:cs="Times New Roman" w:hint="eastAsia"/>
          <w:color w:val="auto"/>
          <w:sz w:val="24"/>
          <w:szCs w:val="24"/>
          <w:lang w:eastAsia="zh-CN"/>
        </w:rPr>
        <w:t>大；铁炉港内及口门余流较弱，余流流速介于</w:t>
      </w:r>
      <w:r>
        <w:rPr>
          <w:rFonts w:ascii="Times New Roman" w:eastAsia="宋体" w:hAnsi="Times New Roman" w:cs="Times New Roman" w:hint="eastAsia"/>
          <w:color w:val="auto"/>
          <w:sz w:val="24"/>
          <w:szCs w:val="24"/>
          <w:lang w:eastAsia="zh-CN"/>
        </w:rPr>
        <w:t>1.7cm/s~9.7cm/s</w:t>
      </w:r>
      <w:r>
        <w:rPr>
          <w:rFonts w:ascii="Times New Roman" w:eastAsia="宋体" w:hAnsi="Times New Roman" w:cs="Times New Roman" w:hint="eastAsia"/>
          <w:color w:val="auto"/>
          <w:sz w:val="24"/>
          <w:szCs w:val="24"/>
          <w:lang w:eastAsia="zh-CN"/>
        </w:rPr>
        <w:t>之间，而外海余流流速较大，介于</w:t>
      </w:r>
      <w:r>
        <w:rPr>
          <w:rFonts w:ascii="Times New Roman" w:eastAsia="宋体" w:hAnsi="Times New Roman" w:cs="Times New Roman" w:hint="eastAsia"/>
          <w:color w:val="auto"/>
          <w:sz w:val="24"/>
          <w:szCs w:val="24"/>
          <w:lang w:eastAsia="zh-CN"/>
        </w:rPr>
        <w:t>9.2cm/s~16.6cm/s</w:t>
      </w:r>
      <w:r>
        <w:rPr>
          <w:rFonts w:ascii="Times New Roman" w:eastAsia="宋体" w:hAnsi="Times New Roman" w:cs="Times New Roman" w:hint="eastAsia"/>
          <w:color w:val="auto"/>
          <w:sz w:val="24"/>
          <w:szCs w:val="24"/>
          <w:lang w:eastAsia="zh-CN"/>
        </w:rPr>
        <w:t>之间。</w:t>
      </w:r>
    </w:p>
    <w:p w14:paraId="3D2DD818" w14:textId="77777777" w:rsidR="0075791A" w:rsidRDefault="00FB2864">
      <w:pPr>
        <w:spacing w:line="360" w:lineRule="auto"/>
        <w:ind w:firstLineChars="200" w:firstLine="480"/>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lastRenderedPageBreak/>
        <w:t>铁炉港内及口门余流流向以西南、东北向为主；外海余流流向则以南向为主，且各层余流流向较一致。</w:t>
      </w:r>
    </w:p>
    <w:p w14:paraId="22C7D402" w14:textId="77777777" w:rsidR="0075791A" w:rsidRDefault="00FB2864">
      <w:pPr>
        <w:pStyle w:val="22"/>
        <w:adjustRightInd w:val="0"/>
        <w:snapToGrid w:val="0"/>
        <w:spacing w:line="240" w:lineRule="auto"/>
        <w:ind w:firstLine="0"/>
        <w:jc w:val="center"/>
      </w:pPr>
      <w:r>
        <w:rPr>
          <w:rFonts w:hint="eastAsia"/>
        </w:rPr>
        <w:t>表</w:t>
      </w:r>
      <w:r>
        <w:rPr>
          <w:rFonts w:hint="eastAsia"/>
        </w:rPr>
        <w:t>3.</w:t>
      </w:r>
      <w:r>
        <w:rPr>
          <w:rFonts w:hint="eastAsia"/>
        </w:rPr>
        <w:t>2.2-3</w:t>
      </w:r>
      <w:r>
        <w:rPr>
          <w:rFonts w:hint="eastAsia"/>
        </w:rPr>
        <w:t>大潮期余流</w:t>
      </w:r>
    </w:p>
    <w:tbl>
      <w:tblPr>
        <w:tblStyle w:val="25"/>
        <w:tblW w:w="8504" w:type="dxa"/>
        <w:jc w:val="center"/>
        <w:tblBorders>
          <w:top w:val="double" w:sz="4" w:space="0" w:color="auto"/>
          <w:left w:val="none" w:sz="0" w:space="0" w:color="auto"/>
          <w:bottom w:val="double" w:sz="4" w:space="0" w:color="auto"/>
          <w:right w:val="none" w:sz="0" w:space="0" w:color="auto"/>
        </w:tblBorders>
        <w:tblLayout w:type="fixed"/>
        <w:tblLook w:val="04A0" w:firstRow="1" w:lastRow="0" w:firstColumn="1" w:lastColumn="0" w:noHBand="0" w:noVBand="1"/>
      </w:tblPr>
      <w:tblGrid>
        <w:gridCol w:w="652"/>
        <w:gridCol w:w="653"/>
        <w:gridCol w:w="653"/>
        <w:gridCol w:w="654"/>
        <w:gridCol w:w="654"/>
        <w:gridCol w:w="654"/>
        <w:gridCol w:w="655"/>
        <w:gridCol w:w="655"/>
        <w:gridCol w:w="655"/>
        <w:gridCol w:w="655"/>
        <w:gridCol w:w="655"/>
        <w:gridCol w:w="655"/>
        <w:gridCol w:w="654"/>
      </w:tblGrid>
      <w:tr w:rsidR="0075791A" w14:paraId="4AD095A4" w14:textId="77777777">
        <w:trPr>
          <w:trHeight w:val="510"/>
          <w:tblHeader/>
          <w:jc w:val="center"/>
        </w:trPr>
        <w:tc>
          <w:tcPr>
            <w:tcW w:w="652" w:type="dxa"/>
            <w:vMerge w:val="restart"/>
            <w:tcBorders>
              <w:tl2br w:val="single" w:sz="4" w:space="0" w:color="auto"/>
            </w:tcBorders>
            <w:tcMar>
              <w:top w:w="0" w:type="dxa"/>
              <w:left w:w="0" w:type="dxa"/>
              <w:bottom w:w="0" w:type="dxa"/>
              <w:right w:w="0" w:type="dxa"/>
            </w:tcMar>
            <w:vAlign w:val="center"/>
          </w:tcPr>
          <w:p w14:paraId="671D088C" w14:textId="77777777" w:rsidR="0075791A" w:rsidRDefault="00FB2864">
            <w:pPr>
              <w:widowControl w:val="0"/>
              <w:kinsoku/>
              <w:autoSpaceDE/>
              <w:autoSpaceDN/>
              <w:adjustRightInd/>
              <w:snapToGrid/>
              <w:jc w:val="right"/>
              <w:textAlignment w:val="auto"/>
              <w:rPr>
                <w:rFonts w:ascii="Times New Roman" w:eastAsia="宋体" w:hAnsi="Times New Roman" w:cs="Times New Roman"/>
                <w:color w:val="auto"/>
              </w:rPr>
            </w:pPr>
            <w:r>
              <w:rPr>
                <w:rFonts w:ascii="Times New Roman" w:eastAsia="宋体" w:hAnsi="Times New Roman" w:cs="Times New Roman"/>
                <w:color w:val="auto"/>
              </w:rPr>
              <w:t>层次</w:t>
            </w:r>
          </w:p>
          <w:p w14:paraId="5FDDC90F" w14:textId="77777777" w:rsidR="0075791A" w:rsidRDefault="0075791A">
            <w:pPr>
              <w:pStyle w:val="21"/>
              <w:widowControl w:val="0"/>
              <w:kinsoku/>
              <w:autoSpaceDE/>
              <w:autoSpaceDN/>
              <w:adjustRightInd/>
              <w:snapToGrid/>
              <w:spacing w:after="0"/>
              <w:ind w:leftChars="0" w:left="0" w:firstLineChars="0" w:firstLine="0"/>
              <w:textAlignment w:val="auto"/>
              <w:rPr>
                <w:rFonts w:ascii="Times New Roman" w:hAnsi="Times New Roman"/>
                <w:color w:val="auto"/>
              </w:rPr>
            </w:pPr>
          </w:p>
          <w:p w14:paraId="5A773B5C" w14:textId="77777777" w:rsidR="0075791A" w:rsidRDefault="00FB2864">
            <w:pPr>
              <w:widowControl w:val="0"/>
              <w:kinsoku/>
              <w:autoSpaceDE/>
              <w:autoSpaceDN/>
              <w:adjustRightInd/>
              <w:snapToGrid/>
              <w:textAlignment w:val="auto"/>
              <w:rPr>
                <w:rFonts w:ascii="Times New Roman" w:eastAsia="宋体" w:hAnsi="Times New Roman" w:cs="Times New Roman"/>
                <w:color w:val="auto"/>
              </w:rPr>
            </w:pPr>
            <w:r>
              <w:rPr>
                <w:rFonts w:ascii="Times New Roman" w:eastAsia="宋体" w:hAnsi="Times New Roman" w:cs="Times New Roman"/>
                <w:color w:val="auto"/>
              </w:rPr>
              <w:t>站号</w:t>
            </w:r>
          </w:p>
        </w:tc>
        <w:tc>
          <w:tcPr>
            <w:tcW w:w="1306" w:type="dxa"/>
            <w:gridSpan w:val="2"/>
            <w:tcMar>
              <w:top w:w="0" w:type="dxa"/>
              <w:left w:w="0" w:type="dxa"/>
              <w:bottom w:w="0" w:type="dxa"/>
              <w:right w:w="0" w:type="dxa"/>
            </w:tcMar>
            <w:vAlign w:val="center"/>
          </w:tcPr>
          <w:p w14:paraId="2B2D1C61"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表</w:t>
            </w:r>
          </w:p>
        </w:tc>
        <w:tc>
          <w:tcPr>
            <w:tcW w:w="1308" w:type="dxa"/>
            <w:gridSpan w:val="2"/>
            <w:tcMar>
              <w:top w:w="0" w:type="dxa"/>
              <w:left w:w="0" w:type="dxa"/>
              <w:bottom w:w="0" w:type="dxa"/>
              <w:right w:w="0" w:type="dxa"/>
            </w:tcMar>
            <w:vAlign w:val="center"/>
          </w:tcPr>
          <w:p w14:paraId="7CA6748D"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0.</w:t>
            </w:r>
            <w:r>
              <w:rPr>
                <w:rFonts w:ascii="Times New Roman" w:eastAsia="宋体" w:hAnsi="Times New Roman" w:cs="Times New Roman" w:hint="eastAsia"/>
                <w:color w:val="auto"/>
                <w:lang w:eastAsia="zh-CN"/>
              </w:rPr>
              <w:t>2</w:t>
            </w:r>
            <w:r>
              <w:rPr>
                <w:rFonts w:ascii="Times New Roman" w:eastAsia="宋体" w:hAnsi="Times New Roman" w:cs="Times New Roman"/>
                <w:color w:val="auto"/>
              </w:rPr>
              <w:t>H</w:t>
            </w:r>
          </w:p>
        </w:tc>
        <w:tc>
          <w:tcPr>
            <w:tcW w:w="1309" w:type="dxa"/>
            <w:gridSpan w:val="2"/>
            <w:tcMar>
              <w:top w:w="0" w:type="dxa"/>
              <w:left w:w="0" w:type="dxa"/>
              <w:bottom w:w="0" w:type="dxa"/>
              <w:right w:w="0" w:type="dxa"/>
            </w:tcMar>
            <w:vAlign w:val="center"/>
          </w:tcPr>
          <w:p w14:paraId="18D231B9"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0.</w:t>
            </w:r>
            <w:r>
              <w:rPr>
                <w:rFonts w:ascii="Times New Roman" w:eastAsia="宋体" w:hAnsi="Times New Roman" w:cs="Times New Roman" w:hint="eastAsia"/>
                <w:color w:val="auto"/>
                <w:lang w:eastAsia="zh-CN"/>
              </w:rPr>
              <w:t>4</w:t>
            </w:r>
            <w:r>
              <w:rPr>
                <w:rFonts w:ascii="Times New Roman" w:eastAsia="宋体" w:hAnsi="Times New Roman" w:cs="Times New Roman"/>
                <w:color w:val="auto"/>
              </w:rPr>
              <w:t>H</w:t>
            </w:r>
          </w:p>
        </w:tc>
        <w:tc>
          <w:tcPr>
            <w:tcW w:w="1310" w:type="dxa"/>
            <w:gridSpan w:val="2"/>
            <w:tcMar>
              <w:top w:w="0" w:type="dxa"/>
              <w:left w:w="0" w:type="dxa"/>
              <w:bottom w:w="0" w:type="dxa"/>
              <w:right w:w="0" w:type="dxa"/>
            </w:tcMar>
            <w:vAlign w:val="center"/>
          </w:tcPr>
          <w:p w14:paraId="52CA3A48"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0.6H</w:t>
            </w:r>
          </w:p>
        </w:tc>
        <w:tc>
          <w:tcPr>
            <w:tcW w:w="1310" w:type="dxa"/>
            <w:gridSpan w:val="2"/>
            <w:tcMar>
              <w:top w:w="0" w:type="dxa"/>
              <w:left w:w="0" w:type="dxa"/>
              <w:bottom w:w="0" w:type="dxa"/>
              <w:right w:w="0" w:type="dxa"/>
            </w:tcMar>
            <w:vAlign w:val="center"/>
          </w:tcPr>
          <w:p w14:paraId="332ABF36"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0.</w:t>
            </w:r>
            <w:r>
              <w:rPr>
                <w:rFonts w:ascii="Times New Roman" w:eastAsia="宋体" w:hAnsi="Times New Roman" w:cs="Times New Roman" w:hint="eastAsia"/>
                <w:color w:val="auto"/>
                <w:lang w:eastAsia="zh-CN"/>
              </w:rPr>
              <w:t>8</w:t>
            </w:r>
            <w:r>
              <w:rPr>
                <w:rFonts w:ascii="Times New Roman" w:eastAsia="宋体" w:hAnsi="Times New Roman" w:cs="Times New Roman"/>
                <w:color w:val="auto"/>
              </w:rPr>
              <w:t>H</w:t>
            </w:r>
          </w:p>
        </w:tc>
        <w:tc>
          <w:tcPr>
            <w:tcW w:w="1309" w:type="dxa"/>
            <w:gridSpan w:val="2"/>
            <w:tcMar>
              <w:top w:w="0" w:type="dxa"/>
              <w:left w:w="0" w:type="dxa"/>
              <w:bottom w:w="0" w:type="dxa"/>
              <w:right w:w="0" w:type="dxa"/>
            </w:tcMar>
            <w:vAlign w:val="center"/>
          </w:tcPr>
          <w:p w14:paraId="09F65968"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底</w:t>
            </w:r>
          </w:p>
        </w:tc>
      </w:tr>
      <w:tr w:rsidR="0075791A" w14:paraId="5403872D" w14:textId="77777777">
        <w:trPr>
          <w:trHeight w:val="510"/>
          <w:tblHeader/>
          <w:jc w:val="center"/>
        </w:trPr>
        <w:tc>
          <w:tcPr>
            <w:tcW w:w="652" w:type="dxa"/>
            <w:vMerge/>
            <w:tcMar>
              <w:top w:w="0" w:type="dxa"/>
              <w:left w:w="0" w:type="dxa"/>
              <w:bottom w:w="0" w:type="dxa"/>
              <w:right w:w="0" w:type="dxa"/>
            </w:tcMar>
            <w:vAlign w:val="center"/>
          </w:tcPr>
          <w:p w14:paraId="3F098A85" w14:textId="77777777" w:rsidR="0075791A" w:rsidRDefault="0075791A">
            <w:pPr>
              <w:widowControl w:val="0"/>
              <w:kinsoku/>
              <w:autoSpaceDE/>
              <w:autoSpaceDN/>
              <w:adjustRightInd/>
              <w:snapToGrid/>
              <w:jc w:val="center"/>
              <w:textAlignment w:val="auto"/>
              <w:rPr>
                <w:rFonts w:ascii="Times New Roman" w:eastAsia="宋体" w:hAnsi="Times New Roman" w:cs="Times New Roman"/>
                <w:color w:val="auto"/>
              </w:rPr>
            </w:pPr>
          </w:p>
        </w:tc>
        <w:tc>
          <w:tcPr>
            <w:tcW w:w="653" w:type="dxa"/>
            <w:tcMar>
              <w:top w:w="0" w:type="dxa"/>
              <w:left w:w="0" w:type="dxa"/>
              <w:bottom w:w="0" w:type="dxa"/>
              <w:right w:w="0" w:type="dxa"/>
            </w:tcMar>
            <w:vAlign w:val="center"/>
          </w:tcPr>
          <w:p w14:paraId="6C13F744"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流速</w:t>
            </w:r>
          </w:p>
          <w:p w14:paraId="5501DB92"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lang w:eastAsia="zh-CN"/>
              </w:rPr>
              <w:t>(</w:t>
            </w:r>
            <w:r>
              <w:rPr>
                <w:rFonts w:ascii="Times New Roman" w:eastAsia="宋体" w:hAnsi="Times New Roman" w:cs="Times New Roman"/>
                <w:color w:val="auto"/>
              </w:rPr>
              <w:t>cm/s</w:t>
            </w:r>
            <w:r>
              <w:rPr>
                <w:rFonts w:ascii="Times New Roman" w:eastAsia="宋体" w:hAnsi="Times New Roman" w:cs="Times New Roman" w:hint="eastAsia"/>
                <w:color w:val="auto"/>
                <w:lang w:eastAsia="zh-CN"/>
              </w:rPr>
              <w:t>)</w:t>
            </w:r>
          </w:p>
        </w:tc>
        <w:tc>
          <w:tcPr>
            <w:tcW w:w="653" w:type="dxa"/>
            <w:tcMar>
              <w:top w:w="0" w:type="dxa"/>
              <w:left w:w="0" w:type="dxa"/>
              <w:bottom w:w="0" w:type="dxa"/>
              <w:right w:w="0" w:type="dxa"/>
            </w:tcMar>
            <w:vAlign w:val="center"/>
          </w:tcPr>
          <w:p w14:paraId="43515139"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流向</w:t>
            </w:r>
          </w:p>
          <w:p w14:paraId="21A5C1BD"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lang w:eastAsia="zh-CN"/>
              </w:rPr>
              <w:t>(</w:t>
            </w:r>
            <w:r>
              <w:rPr>
                <w:rFonts w:ascii="Times New Roman" w:eastAsia="宋体" w:hAnsi="Times New Roman" w:cs="Times New Roman"/>
                <w:color w:val="auto"/>
              </w:rPr>
              <w:t>°</w:t>
            </w: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6F0634D1"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流速</w:t>
            </w:r>
          </w:p>
          <w:p w14:paraId="5C2528DD"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lang w:eastAsia="zh-CN"/>
              </w:rPr>
              <w:t>(</w:t>
            </w:r>
            <w:r>
              <w:rPr>
                <w:rFonts w:ascii="Times New Roman" w:eastAsia="宋体" w:hAnsi="Times New Roman" w:cs="Times New Roman"/>
                <w:color w:val="auto"/>
              </w:rPr>
              <w:t>cm/s</w:t>
            </w: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189D98B4"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流向</w:t>
            </w:r>
          </w:p>
          <w:p w14:paraId="70F7F2E0"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lang w:eastAsia="zh-CN"/>
              </w:rPr>
              <w:t>(</w:t>
            </w:r>
            <w:r>
              <w:rPr>
                <w:rFonts w:ascii="Times New Roman" w:eastAsia="宋体" w:hAnsi="Times New Roman" w:cs="Times New Roman"/>
                <w:color w:val="auto"/>
              </w:rPr>
              <w:t>°</w:t>
            </w: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732D7222"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流速</w:t>
            </w:r>
          </w:p>
          <w:p w14:paraId="31807ECF"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lang w:eastAsia="zh-CN"/>
              </w:rPr>
              <w:t>(</w:t>
            </w:r>
            <w:r>
              <w:rPr>
                <w:rFonts w:ascii="Times New Roman" w:eastAsia="宋体" w:hAnsi="Times New Roman" w:cs="Times New Roman"/>
                <w:color w:val="auto"/>
              </w:rPr>
              <w:t>cm/s</w:t>
            </w: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298D99CD"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流向</w:t>
            </w:r>
          </w:p>
          <w:p w14:paraId="385215B4"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lang w:eastAsia="zh-CN"/>
              </w:rPr>
              <w:t>(</w:t>
            </w:r>
            <w:r>
              <w:rPr>
                <w:rFonts w:ascii="Times New Roman" w:eastAsia="宋体" w:hAnsi="Times New Roman" w:cs="Times New Roman"/>
                <w:color w:val="auto"/>
              </w:rPr>
              <w:t>°</w:t>
            </w: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40177820"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流速</w:t>
            </w:r>
          </w:p>
          <w:p w14:paraId="5F684661"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r>
              <w:rPr>
                <w:rFonts w:ascii="Times New Roman" w:eastAsia="宋体" w:hAnsi="Times New Roman" w:cs="Times New Roman"/>
                <w:color w:val="auto"/>
              </w:rPr>
              <w:t>cm/s</w:t>
            </w: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3E60E083"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流向</w:t>
            </w:r>
          </w:p>
          <w:p w14:paraId="2591E34C"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r>
              <w:rPr>
                <w:rFonts w:ascii="Times New Roman" w:eastAsia="宋体" w:hAnsi="Times New Roman" w:cs="Times New Roman"/>
                <w:color w:val="auto"/>
              </w:rPr>
              <w:t>°</w:t>
            </w: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68C9AF0D"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流速</w:t>
            </w:r>
          </w:p>
          <w:p w14:paraId="1C4D7AC3"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r>
              <w:rPr>
                <w:rFonts w:ascii="Times New Roman" w:eastAsia="宋体" w:hAnsi="Times New Roman" w:cs="Times New Roman"/>
                <w:color w:val="auto"/>
              </w:rPr>
              <w:t>cm/s</w:t>
            </w: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636B5A0A"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流向</w:t>
            </w:r>
          </w:p>
          <w:p w14:paraId="286A0B40"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r>
              <w:rPr>
                <w:rFonts w:ascii="Times New Roman" w:eastAsia="宋体" w:hAnsi="Times New Roman" w:cs="Times New Roman"/>
                <w:color w:val="auto"/>
              </w:rPr>
              <w:t>°</w:t>
            </w: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073E5305"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流速</w:t>
            </w:r>
          </w:p>
          <w:p w14:paraId="7D03A634"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r>
              <w:rPr>
                <w:rFonts w:ascii="Times New Roman" w:eastAsia="宋体" w:hAnsi="Times New Roman" w:cs="Times New Roman"/>
                <w:color w:val="auto"/>
              </w:rPr>
              <w:t>cm/s</w:t>
            </w: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100C0C5C"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流向</w:t>
            </w:r>
          </w:p>
          <w:p w14:paraId="3942D574"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r>
              <w:rPr>
                <w:rFonts w:ascii="Times New Roman" w:eastAsia="宋体" w:hAnsi="Times New Roman" w:cs="Times New Roman"/>
                <w:color w:val="auto"/>
              </w:rPr>
              <w:t>°</w:t>
            </w:r>
            <w:r>
              <w:rPr>
                <w:rFonts w:ascii="Times New Roman" w:eastAsia="宋体" w:hAnsi="Times New Roman" w:cs="Times New Roman" w:hint="eastAsia"/>
                <w:color w:val="auto"/>
                <w:lang w:eastAsia="zh-CN"/>
              </w:rPr>
              <w:t>)</w:t>
            </w:r>
          </w:p>
        </w:tc>
      </w:tr>
      <w:tr w:rsidR="0075791A" w14:paraId="04C82978" w14:textId="77777777">
        <w:trPr>
          <w:trHeight w:val="510"/>
          <w:jc w:val="center"/>
        </w:trPr>
        <w:tc>
          <w:tcPr>
            <w:tcW w:w="652" w:type="dxa"/>
            <w:tcMar>
              <w:top w:w="0" w:type="dxa"/>
              <w:left w:w="0" w:type="dxa"/>
              <w:bottom w:w="0" w:type="dxa"/>
              <w:right w:w="0" w:type="dxa"/>
            </w:tcMar>
            <w:vAlign w:val="center"/>
          </w:tcPr>
          <w:p w14:paraId="2665A07E"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lang w:eastAsia="zh-CN"/>
              </w:rPr>
              <w:t>L</w:t>
            </w:r>
            <w:r>
              <w:rPr>
                <w:rFonts w:ascii="Times New Roman" w:eastAsia="宋体" w:hAnsi="Times New Roman" w:cs="Times New Roman"/>
                <w:color w:val="auto"/>
              </w:rPr>
              <w:t>1</w:t>
            </w:r>
          </w:p>
        </w:tc>
        <w:tc>
          <w:tcPr>
            <w:tcW w:w="653" w:type="dxa"/>
            <w:tcMar>
              <w:top w:w="0" w:type="dxa"/>
              <w:left w:w="0" w:type="dxa"/>
              <w:bottom w:w="0" w:type="dxa"/>
              <w:right w:w="0" w:type="dxa"/>
            </w:tcMar>
            <w:vAlign w:val="center"/>
          </w:tcPr>
          <w:p w14:paraId="23CABEC4"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3" w:type="dxa"/>
            <w:tcMar>
              <w:top w:w="0" w:type="dxa"/>
              <w:left w:w="0" w:type="dxa"/>
              <w:bottom w:w="0" w:type="dxa"/>
              <w:right w:w="0" w:type="dxa"/>
            </w:tcMar>
            <w:vAlign w:val="center"/>
          </w:tcPr>
          <w:p w14:paraId="34053980"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477BA43D"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6D588F99"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7989DFCF"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395BF286"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1773CEEE"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2.1</w:t>
            </w:r>
          </w:p>
        </w:tc>
        <w:tc>
          <w:tcPr>
            <w:tcW w:w="655" w:type="dxa"/>
            <w:tcMar>
              <w:top w:w="0" w:type="dxa"/>
              <w:left w:w="0" w:type="dxa"/>
              <w:bottom w:w="0" w:type="dxa"/>
              <w:right w:w="0" w:type="dxa"/>
            </w:tcMar>
            <w:vAlign w:val="center"/>
          </w:tcPr>
          <w:p w14:paraId="50D6488B"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20</w:t>
            </w:r>
          </w:p>
        </w:tc>
        <w:tc>
          <w:tcPr>
            <w:tcW w:w="655" w:type="dxa"/>
            <w:tcMar>
              <w:top w:w="0" w:type="dxa"/>
              <w:left w:w="0" w:type="dxa"/>
              <w:bottom w:w="0" w:type="dxa"/>
              <w:right w:w="0" w:type="dxa"/>
            </w:tcMar>
            <w:vAlign w:val="center"/>
          </w:tcPr>
          <w:p w14:paraId="47A9CC4B"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580F443E"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5CB9E70C"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62E1A01B"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r>
      <w:tr w:rsidR="0075791A" w14:paraId="519A1A72" w14:textId="77777777">
        <w:trPr>
          <w:trHeight w:val="510"/>
          <w:jc w:val="center"/>
        </w:trPr>
        <w:tc>
          <w:tcPr>
            <w:tcW w:w="652" w:type="dxa"/>
            <w:tcMar>
              <w:top w:w="0" w:type="dxa"/>
              <w:left w:w="0" w:type="dxa"/>
              <w:bottom w:w="0" w:type="dxa"/>
              <w:right w:w="0" w:type="dxa"/>
            </w:tcMar>
            <w:vAlign w:val="center"/>
          </w:tcPr>
          <w:p w14:paraId="0DEB852A"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lang w:eastAsia="zh-CN"/>
              </w:rPr>
              <w:t>L</w:t>
            </w:r>
            <w:r>
              <w:rPr>
                <w:rFonts w:ascii="Times New Roman" w:eastAsia="宋体" w:hAnsi="Times New Roman" w:cs="Times New Roman"/>
                <w:color w:val="auto"/>
              </w:rPr>
              <w:t>2</w:t>
            </w:r>
          </w:p>
        </w:tc>
        <w:tc>
          <w:tcPr>
            <w:tcW w:w="653" w:type="dxa"/>
            <w:tcMar>
              <w:top w:w="0" w:type="dxa"/>
              <w:left w:w="0" w:type="dxa"/>
              <w:bottom w:w="0" w:type="dxa"/>
              <w:right w:w="0" w:type="dxa"/>
            </w:tcMar>
            <w:vAlign w:val="center"/>
          </w:tcPr>
          <w:p w14:paraId="1F6041F3"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3" w:type="dxa"/>
            <w:tcMar>
              <w:top w:w="0" w:type="dxa"/>
              <w:left w:w="0" w:type="dxa"/>
              <w:bottom w:w="0" w:type="dxa"/>
              <w:right w:w="0" w:type="dxa"/>
            </w:tcMar>
            <w:vAlign w:val="center"/>
          </w:tcPr>
          <w:p w14:paraId="4ACEC8C4"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79F8D799"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5A7404F6"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2FEF3F4A"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085BBF45"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42C5752F"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5.7</w:t>
            </w:r>
          </w:p>
        </w:tc>
        <w:tc>
          <w:tcPr>
            <w:tcW w:w="655" w:type="dxa"/>
            <w:tcMar>
              <w:top w:w="0" w:type="dxa"/>
              <w:left w:w="0" w:type="dxa"/>
              <w:bottom w:w="0" w:type="dxa"/>
              <w:right w:w="0" w:type="dxa"/>
            </w:tcMar>
            <w:vAlign w:val="center"/>
          </w:tcPr>
          <w:p w14:paraId="2C2D71FA"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233</w:t>
            </w:r>
          </w:p>
        </w:tc>
        <w:tc>
          <w:tcPr>
            <w:tcW w:w="655" w:type="dxa"/>
            <w:tcMar>
              <w:top w:w="0" w:type="dxa"/>
              <w:left w:w="0" w:type="dxa"/>
              <w:bottom w:w="0" w:type="dxa"/>
              <w:right w:w="0" w:type="dxa"/>
            </w:tcMar>
            <w:vAlign w:val="center"/>
          </w:tcPr>
          <w:p w14:paraId="667A5EDB"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7F95EBFE"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358B79D1"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42CD1B38"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r>
      <w:tr w:rsidR="0075791A" w14:paraId="581894FC" w14:textId="77777777">
        <w:trPr>
          <w:trHeight w:val="510"/>
          <w:jc w:val="center"/>
        </w:trPr>
        <w:tc>
          <w:tcPr>
            <w:tcW w:w="652" w:type="dxa"/>
            <w:tcMar>
              <w:top w:w="0" w:type="dxa"/>
              <w:left w:w="0" w:type="dxa"/>
              <w:bottom w:w="0" w:type="dxa"/>
              <w:right w:w="0" w:type="dxa"/>
            </w:tcMar>
            <w:vAlign w:val="center"/>
          </w:tcPr>
          <w:p w14:paraId="1FF55EDC"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lang w:eastAsia="zh-CN"/>
              </w:rPr>
              <w:t>L</w:t>
            </w:r>
            <w:r>
              <w:rPr>
                <w:rFonts w:ascii="Times New Roman" w:eastAsia="宋体" w:hAnsi="Times New Roman" w:cs="Times New Roman"/>
                <w:color w:val="auto"/>
              </w:rPr>
              <w:t>3</w:t>
            </w:r>
          </w:p>
        </w:tc>
        <w:tc>
          <w:tcPr>
            <w:tcW w:w="653" w:type="dxa"/>
            <w:tcMar>
              <w:top w:w="0" w:type="dxa"/>
              <w:left w:w="0" w:type="dxa"/>
              <w:bottom w:w="0" w:type="dxa"/>
              <w:right w:w="0" w:type="dxa"/>
            </w:tcMar>
            <w:vAlign w:val="center"/>
          </w:tcPr>
          <w:p w14:paraId="2344D06D"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3" w:type="dxa"/>
            <w:tcMar>
              <w:top w:w="0" w:type="dxa"/>
              <w:left w:w="0" w:type="dxa"/>
              <w:bottom w:w="0" w:type="dxa"/>
              <w:right w:w="0" w:type="dxa"/>
            </w:tcMar>
            <w:vAlign w:val="center"/>
          </w:tcPr>
          <w:p w14:paraId="21FCA969"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74FBE361"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2.4</w:t>
            </w:r>
          </w:p>
        </w:tc>
        <w:tc>
          <w:tcPr>
            <w:tcW w:w="654" w:type="dxa"/>
            <w:tcMar>
              <w:top w:w="0" w:type="dxa"/>
              <w:left w:w="0" w:type="dxa"/>
              <w:bottom w:w="0" w:type="dxa"/>
              <w:right w:w="0" w:type="dxa"/>
            </w:tcMar>
            <w:vAlign w:val="center"/>
          </w:tcPr>
          <w:p w14:paraId="7E4EEFF4"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235</w:t>
            </w:r>
          </w:p>
        </w:tc>
        <w:tc>
          <w:tcPr>
            <w:tcW w:w="654" w:type="dxa"/>
            <w:tcMar>
              <w:top w:w="0" w:type="dxa"/>
              <w:left w:w="0" w:type="dxa"/>
              <w:bottom w:w="0" w:type="dxa"/>
              <w:right w:w="0" w:type="dxa"/>
            </w:tcMar>
            <w:vAlign w:val="center"/>
          </w:tcPr>
          <w:p w14:paraId="35585D40"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19FE3299"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47E7E2F6"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25FAC6DE"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20AC01C6"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2.8</w:t>
            </w:r>
          </w:p>
        </w:tc>
        <w:tc>
          <w:tcPr>
            <w:tcW w:w="655" w:type="dxa"/>
            <w:tcMar>
              <w:top w:w="0" w:type="dxa"/>
              <w:left w:w="0" w:type="dxa"/>
              <w:bottom w:w="0" w:type="dxa"/>
              <w:right w:w="0" w:type="dxa"/>
            </w:tcMar>
            <w:vAlign w:val="center"/>
          </w:tcPr>
          <w:p w14:paraId="01CCDB94"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205</w:t>
            </w:r>
          </w:p>
        </w:tc>
        <w:tc>
          <w:tcPr>
            <w:tcW w:w="655" w:type="dxa"/>
            <w:tcMar>
              <w:top w:w="0" w:type="dxa"/>
              <w:left w:w="0" w:type="dxa"/>
              <w:bottom w:w="0" w:type="dxa"/>
              <w:right w:w="0" w:type="dxa"/>
            </w:tcMar>
            <w:vAlign w:val="center"/>
          </w:tcPr>
          <w:p w14:paraId="2B107DA8"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32B1550D"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r>
      <w:tr w:rsidR="0075791A" w14:paraId="0B1DC557" w14:textId="77777777">
        <w:trPr>
          <w:trHeight w:val="510"/>
          <w:jc w:val="center"/>
        </w:trPr>
        <w:tc>
          <w:tcPr>
            <w:tcW w:w="652" w:type="dxa"/>
            <w:tcMar>
              <w:top w:w="0" w:type="dxa"/>
              <w:left w:w="0" w:type="dxa"/>
              <w:bottom w:w="0" w:type="dxa"/>
              <w:right w:w="0" w:type="dxa"/>
            </w:tcMar>
            <w:vAlign w:val="center"/>
          </w:tcPr>
          <w:p w14:paraId="42186967"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lang w:eastAsia="zh-CN"/>
              </w:rPr>
              <w:t>L</w:t>
            </w:r>
            <w:r>
              <w:rPr>
                <w:rFonts w:ascii="Times New Roman" w:eastAsia="宋体" w:hAnsi="Times New Roman" w:cs="Times New Roman"/>
                <w:color w:val="auto"/>
              </w:rPr>
              <w:t>4</w:t>
            </w:r>
          </w:p>
        </w:tc>
        <w:tc>
          <w:tcPr>
            <w:tcW w:w="653" w:type="dxa"/>
            <w:tcMar>
              <w:top w:w="0" w:type="dxa"/>
              <w:left w:w="0" w:type="dxa"/>
              <w:bottom w:w="0" w:type="dxa"/>
              <w:right w:w="0" w:type="dxa"/>
            </w:tcMar>
            <w:vAlign w:val="center"/>
          </w:tcPr>
          <w:p w14:paraId="3D9076CD"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3" w:type="dxa"/>
            <w:tcMar>
              <w:top w:w="0" w:type="dxa"/>
              <w:left w:w="0" w:type="dxa"/>
              <w:bottom w:w="0" w:type="dxa"/>
              <w:right w:w="0" w:type="dxa"/>
            </w:tcMar>
            <w:vAlign w:val="center"/>
          </w:tcPr>
          <w:p w14:paraId="6A2A5CE7"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763B003A"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3.6</w:t>
            </w:r>
          </w:p>
        </w:tc>
        <w:tc>
          <w:tcPr>
            <w:tcW w:w="654" w:type="dxa"/>
            <w:tcMar>
              <w:top w:w="0" w:type="dxa"/>
              <w:left w:w="0" w:type="dxa"/>
              <w:bottom w:w="0" w:type="dxa"/>
              <w:right w:w="0" w:type="dxa"/>
            </w:tcMar>
            <w:vAlign w:val="center"/>
          </w:tcPr>
          <w:p w14:paraId="5084AA01"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36</w:t>
            </w:r>
          </w:p>
        </w:tc>
        <w:tc>
          <w:tcPr>
            <w:tcW w:w="654" w:type="dxa"/>
            <w:tcMar>
              <w:top w:w="0" w:type="dxa"/>
              <w:left w:w="0" w:type="dxa"/>
              <w:bottom w:w="0" w:type="dxa"/>
              <w:right w:w="0" w:type="dxa"/>
            </w:tcMar>
            <w:vAlign w:val="center"/>
          </w:tcPr>
          <w:p w14:paraId="0C7AC8CD"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5D760B2E"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1497D215"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4.4</w:t>
            </w:r>
          </w:p>
        </w:tc>
        <w:tc>
          <w:tcPr>
            <w:tcW w:w="655" w:type="dxa"/>
            <w:tcMar>
              <w:top w:w="0" w:type="dxa"/>
              <w:left w:w="0" w:type="dxa"/>
              <w:bottom w:w="0" w:type="dxa"/>
              <w:right w:w="0" w:type="dxa"/>
            </w:tcMar>
            <w:vAlign w:val="center"/>
          </w:tcPr>
          <w:p w14:paraId="1F633876"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79</w:t>
            </w:r>
          </w:p>
        </w:tc>
        <w:tc>
          <w:tcPr>
            <w:tcW w:w="655" w:type="dxa"/>
            <w:tcMar>
              <w:top w:w="0" w:type="dxa"/>
              <w:left w:w="0" w:type="dxa"/>
              <w:bottom w:w="0" w:type="dxa"/>
              <w:right w:w="0" w:type="dxa"/>
            </w:tcMar>
            <w:vAlign w:val="center"/>
          </w:tcPr>
          <w:p w14:paraId="3C79CFA0"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1.7</w:t>
            </w:r>
          </w:p>
        </w:tc>
        <w:tc>
          <w:tcPr>
            <w:tcW w:w="655" w:type="dxa"/>
            <w:tcMar>
              <w:top w:w="0" w:type="dxa"/>
              <w:left w:w="0" w:type="dxa"/>
              <w:bottom w:w="0" w:type="dxa"/>
              <w:right w:w="0" w:type="dxa"/>
            </w:tcMar>
            <w:vAlign w:val="center"/>
          </w:tcPr>
          <w:p w14:paraId="281EEEEA"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303</w:t>
            </w:r>
          </w:p>
        </w:tc>
        <w:tc>
          <w:tcPr>
            <w:tcW w:w="655" w:type="dxa"/>
            <w:tcMar>
              <w:top w:w="0" w:type="dxa"/>
              <w:left w:w="0" w:type="dxa"/>
              <w:bottom w:w="0" w:type="dxa"/>
              <w:right w:w="0" w:type="dxa"/>
            </w:tcMar>
            <w:vAlign w:val="center"/>
          </w:tcPr>
          <w:p w14:paraId="45C04CEA"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7D5398E7"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r>
      <w:tr w:rsidR="0075791A" w14:paraId="271D4A23" w14:textId="77777777">
        <w:trPr>
          <w:trHeight w:val="510"/>
          <w:jc w:val="center"/>
        </w:trPr>
        <w:tc>
          <w:tcPr>
            <w:tcW w:w="652" w:type="dxa"/>
            <w:tcMar>
              <w:top w:w="0" w:type="dxa"/>
              <w:left w:w="0" w:type="dxa"/>
              <w:bottom w:w="0" w:type="dxa"/>
              <w:right w:w="0" w:type="dxa"/>
            </w:tcMar>
            <w:vAlign w:val="center"/>
          </w:tcPr>
          <w:p w14:paraId="102851FB"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lang w:eastAsia="zh-CN"/>
              </w:rPr>
              <w:t>L</w:t>
            </w:r>
            <w:r>
              <w:rPr>
                <w:rFonts w:ascii="Times New Roman" w:eastAsia="宋体" w:hAnsi="Times New Roman" w:cs="Times New Roman"/>
                <w:color w:val="auto"/>
              </w:rPr>
              <w:t>5</w:t>
            </w:r>
          </w:p>
        </w:tc>
        <w:tc>
          <w:tcPr>
            <w:tcW w:w="653" w:type="dxa"/>
            <w:tcMar>
              <w:top w:w="0" w:type="dxa"/>
              <w:left w:w="0" w:type="dxa"/>
              <w:bottom w:w="0" w:type="dxa"/>
              <w:right w:w="0" w:type="dxa"/>
            </w:tcMar>
            <w:vAlign w:val="center"/>
          </w:tcPr>
          <w:p w14:paraId="75DDC693"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3" w:type="dxa"/>
            <w:tcMar>
              <w:top w:w="0" w:type="dxa"/>
              <w:left w:w="0" w:type="dxa"/>
              <w:bottom w:w="0" w:type="dxa"/>
              <w:right w:w="0" w:type="dxa"/>
            </w:tcMar>
            <w:vAlign w:val="center"/>
          </w:tcPr>
          <w:p w14:paraId="5817DEAD"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26C674A2"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9.7</w:t>
            </w:r>
          </w:p>
        </w:tc>
        <w:tc>
          <w:tcPr>
            <w:tcW w:w="654" w:type="dxa"/>
            <w:tcMar>
              <w:top w:w="0" w:type="dxa"/>
              <w:left w:w="0" w:type="dxa"/>
              <w:bottom w:w="0" w:type="dxa"/>
              <w:right w:w="0" w:type="dxa"/>
            </w:tcMar>
            <w:vAlign w:val="center"/>
          </w:tcPr>
          <w:p w14:paraId="26751FE7"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60</w:t>
            </w:r>
          </w:p>
        </w:tc>
        <w:tc>
          <w:tcPr>
            <w:tcW w:w="654" w:type="dxa"/>
            <w:tcMar>
              <w:top w:w="0" w:type="dxa"/>
              <w:left w:w="0" w:type="dxa"/>
              <w:bottom w:w="0" w:type="dxa"/>
              <w:right w:w="0" w:type="dxa"/>
            </w:tcMar>
            <w:vAlign w:val="center"/>
          </w:tcPr>
          <w:p w14:paraId="7655AB78"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4FA01088"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5" w:type="dxa"/>
            <w:tcMar>
              <w:top w:w="0" w:type="dxa"/>
              <w:left w:w="0" w:type="dxa"/>
              <w:bottom w:w="0" w:type="dxa"/>
              <w:right w:w="0" w:type="dxa"/>
            </w:tcMar>
            <w:vAlign w:val="center"/>
          </w:tcPr>
          <w:p w14:paraId="4AA707A6"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2.9</w:t>
            </w:r>
          </w:p>
        </w:tc>
        <w:tc>
          <w:tcPr>
            <w:tcW w:w="655" w:type="dxa"/>
            <w:tcMar>
              <w:top w:w="0" w:type="dxa"/>
              <w:left w:w="0" w:type="dxa"/>
              <w:bottom w:w="0" w:type="dxa"/>
              <w:right w:w="0" w:type="dxa"/>
            </w:tcMar>
            <w:vAlign w:val="center"/>
          </w:tcPr>
          <w:p w14:paraId="04DD47C5"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134</w:t>
            </w:r>
          </w:p>
        </w:tc>
        <w:tc>
          <w:tcPr>
            <w:tcW w:w="655" w:type="dxa"/>
            <w:tcMar>
              <w:top w:w="0" w:type="dxa"/>
              <w:left w:w="0" w:type="dxa"/>
              <w:bottom w:w="0" w:type="dxa"/>
              <w:right w:w="0" w:type="dxa"/>
            </w:tcMar>
            <w:vAlign w:val="center"/>
          </w:tcPr>
          <w:p w14:paraId="38170996"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6.2</w:t>
            </w:r>
          </w:p>
        </w:tc>
        <w:tc>
          <w:tcPr>
            <w:tcW w:w="655" w:type="dxa"/>
            <w:tcMar>
              <w:top w:w="0" w:type="dxa"/>
              <w:left w:w="0" w:type="dxa"/>
              <w:bottom w:w="0" w:type="dxa"/>
              <w:right w:w="0" w:type="dxa"/>
            </w:tcMar>
            <w:vAlign w:val="center"/>
          </w:tcPr>
          <w:p w14:paraId="66D7A219"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251</w:t>
            </w:r>
          </w:p>
        </w:tc>
        <w:tc>
          <w:tcPr>
            <w:tcW w:w="655" w:type="dxa"/>
            <w:tcMar>
              <w:top w:w="0" w:type="dxa"/>
              <w:left w:w="0" w:type="dxa"/>
              <w:bottom w:w="0" w:type="dxa"/>
              <w:right w:w="0" w:type="dxa"/>
            </w:tcMar>
            <w:vAlign w:val="center"/>
          </w:tcPr>
          <w:p w14:paraId="7972746B"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c>
          <w:tcPr>
            <w:tcW w:w="654" w:type="dxa"/>
            <w:tcMar>
              <w:top w:w="0" w:type="dxa"/>
              <w:left w:w="0" w:type="dxa"/>
              <w:bottom w:w="0" w:type="dxa"/>
              <w:right w:w="0" w:type="dxa"/>
            </w:tcMar>
            <w:vAlign w:val="center"/>
          </w:tcPr>
          <w:p w14:paraId="36E916D2"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r>
      <w:tr w:rsidR="0075791A" w14:paraId="62B9C250" w14:textId="77777777">
        <w:trPr>
          <w:trHeight w:val="510"/>
          <w:jc w:val="center"/>
        </w:trPr>
        <w:tc>
          <w:tcPr>
            <w:tcW w:w="652" w:type="dxa"/>
            <w:tcMar>
              <w:top w:w="0" w:type="dxa"/>
              <w:left w:w="0" w:type="dxa"/>
              <w:bottom w:w="0" w:type="dxa"/>
              <w:right w:w="0" w:type="dxa"/>
            </w:tcMar>
            <w:vAlign w:val="center"/>
          </w:tcPr>
          <w:p w14:paraId="29B1DE02"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lang w:eastAsia="zh-CN"/>
              </w:rPr>
              <w:t>L</w:t>
            </w:r>
            <w:r>
              <w:rPr>
                <w:rFonts w:ascii="Times New Roman" w:eastAsia="宋体" w:hAnsi="Times New Roman" w:cs="Times New Roman"/>
                <w:color w:val="auto"/>
              </w:rPr>
              <w:t>6</w:t>
            </w:r>
          </w:p>
        </w:tc>
        <w:tc>
          <w:tcPr>
            <w:tcW w:w="653" w:type="dxa"/>
            <w:tcMar>
              <w:top w:w="0" w:type="dxa"/>
              <w:left w:w="0" w:type="dxa"/>
              <w:bottom w:w="0" w:type="dxa"/>
              <w:right w:w="0" w:type="dxa"/>
            </w:tcMar>
            <w:vAlign w:val="center"/>
          </w:tcPr>
          <w:p w14:paraId="279EBC88"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16.6</w:t>
            </w:r>
          </w:p>
        </w:tc>
        <w:tc>
          <w:tcPr>
            <w:tcW w:w="653" w:type="dxa"/>
            <w:tcMar>
              <w:top w:w="0" w:type="dxa"/>
              <w:left w:w="0" w:type="dxa"/>
              <w:bottom w:w="0" w:type="dxa"/>
              <w:right w:w="0" w:type="dxa"/>
            </w:tcMar>
            <w:vAlign w:val="center"/>
          </w:tcPr>
          <w:p w14:paraId="0FB38407"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165</w:t>
            </w:r>
          </w:p>
        </w:tc>
        <w:tc>
          <w:tcPr>
            <w:tcW w:w="654" w:type="dxa"/>
            <w:tcMar>
              <w:top w:w="0" w:type="dxa"/>
              <w:left w:w="0" w:type="dxa"/>
              <w:bottom w:w="0" w:type="dxa"/>
              <w:right w:w="0" w:type="dxa"/>
            </w:tcMar>
            <w:vAlign w:val="center"/>
          </w:tcPr>
          <w:p w14:paraId="74DCB31E"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16.4</w:t>
            </w:r>
          </w:p>
        </w:tc>
        <w:tc>
          <w:tcPr>
            <w:tcW w:w="654" w:type="dxa"/>
            <w:tcMar>
              <w:top w:w="0" w:type="dxa"/>
              <w:left w:w="0" w:type="dxa"/>
              <w:bottom w:w="0" w:type="dxa"/>
              <w:right w:w="0" w:type="dxa"/>
            </w:tcMar>
            <w:vAlign w:val="center"/>
          </w:tcPr>
          <w:p w14:paraId="51D0770A"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171</w:t>
            </w:r>
          </w:p>
        </w:tc>
        <w:tc>
          <w:tcPr>
            <w:tcW w:w="654" w:type="dxa"/>
            <w:tcMar>
              <w:top w:w="0" w:type="dxa"/>
              <w:left w:w="0" w:type="dxa"/>
              <w:bottom w:w="0" w:type="dxa"/>
              <w:right w:w="0" w:type="dxa"/>
            </w:tcMar>
            <w:vAlign w:val="center"/>
          </w:tcPr>
          <w:p w14:paraId="45739F43"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16.5</w:t>
            </w:r>
          </w:p>
        </w:tc>
        <w:tc>
          <w:tcPr>
            <w:tcW w:w="655" w:type="dxa"/>
            <w:tcMar>
              <w:top w:w="0" w:type="dxa"/>
              <w:left w:w="0" w:type="dxa"/>
              <w:bottom w:w="0" w:type="dxa"/>
              <w:right w:w="0" w:type="dxa"/>
            </w:tcMar>
            <w:vAlign w:val="center"/>
          </w:tcPr>
          <w:p w14:paraId="7FB1A501"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178</w:t>
            </w:r>
          </w:p>
        </w:tc>
        <w:tc>
          <w:tcPr>
            <w:tcW w:w="655" w:type="dxa"/>
            <w:tcMar>
              <w:top w:w="0" w:type="dxa"/>
              <w:left w:w="0" w:type="dxa"/>
              <w:bottom w:w="0" w:type="dxa"/>
              <w:right w:w="0" w:type="dxa"/>
            </w:tcMar>
            <w:vAlign w:val="center"/>
          </w:tcPr>
          <w:p w14:paraId="5D140522"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14.8</w:t>
            </w:r>
          </w:p>
        </w:tc>
        <w:tc>
          <w:tcPr>
            <w:tcW w:w="655" w:type="dxa"/>
            <w:tcMar>
              <w:top w:w="0" w:type="dxa"/>
              <w:left w:w="0" w:type="dxa"/>
              <w:bottom w:w="0" w:type="dxa"/>
              <w:right w:w="0" w:type="dxa"/>
            </w:tcMar>
            <w:vAlign w:val="center"/>
          </w:tcPr>
          <w:p w14:paraId="6415C73C"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189</w:t>
            </w:r>
          </w:p>
        </w:tc>
        <w:tc>
          <w:tcPr>
            <w:tcW w:w="655" w:type="dxa"/>
            <w:tcMar>
              <w:top w:w="0" w:type="dxa"/>
              <w:left w:w="0" w:type="dxa"/>
              <w:bottom w:w="0" w:type="dxa"/>
              <w:right w:w="0" w:type="dxa"/>
            </w:tcMar>
            <w:vAlign w:val="center"/>
          </w:tcPr>
          <w:p w14:paraId="3289397D"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12.8</w:t>
            </w:r>
          </w:p>
        </w:tc>
        <w:tc>
          <w:tcPr>
            <w:tcW w:w="655" w:type="dxa"/>
            <w:tcMar>
              <w:top w:w="0" w:type="dxa"/>
              <w:left w:w="0" w:type="dxa"/>
              <w:bottom w:w="0" w:type="dxa"/>
              <w:right w:w="0" w:type="dxa"/>
            </w:tcMar>
            <w:vAlign w:val="center"/>
          </w:tcPr>
          <w:p w14:paraId="556F5171"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193</w:t>
            </w:r>
          </w:p>
        </w:tc>
        <w:tc>
          <w:tcPr>
            <w:tcW w:w="655" w:type="dxa"/>
            <w:tcMar>
              <w:top w:w="0" w:type="dxa"/>
              <w:left w:w="0" w:type="dxa"/>
              <w:bottom w:w="0" w:type="dxa"/>
              <w:right w:w="0" w:type="dxa"/>
            </w:tcMar>
            <w:vAlign w:val="center"/>
          </w:tcPr>
          <w:p w14:paraId="2A943E82"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9.2</w:t>
            </w:r>
          </w:p>
        </w:tc>
        <w:tc>
          <w:tcPr>
            <w:tcW w:w="654" w:type="dxa"/>
            <w:tcMar>
              <w:top w:w="0" w:type="dxa"/>
              <w:left w:w="0" w:type="dxa"/>
              <w:bottom w:w="0" w:type="dxa"/>
              <w:right w:w="0" w:type="dxa"/>
            </w:tcMar>
            <w:vAlign w:val="center"/>
          </w:tcPr>
          <w:p w14:paraId="142ECEA1" w14:textId="77777777" w:rsidR="0075791A" w:rsidRDefault="00FB2864">
            <w:pPr>
              <w:widowControl w:val="0"/>
              <w:kinsoku/>
              <w:autoSpaceDE/>
              <w:autoSpaceDN/>
              <w:adjustRightInd/>
              <w:snapToGrid/>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182</w:t>
            </w:r>
          </w:p>
        </w:tc>
      </w:tr>
    </w:tbl>
    <w:p w14:paraId="0B607060" w14:textId="77777777" w:rsidR="0075791A" w:rsidRDefault="0075791A">
      <w:pPr>
        <w:pStyle w:val="22"/>
        <w:adjustRightInd w:val="0"/>
        <w:snapToGrid w:val="0"/>
        <w:spacing w:line="240" w:lineRule="auto"/>
        <w:ind w:firstLine="0"/>
        <w:jc w:val="center"/>
      </w:pPr>
    </w:p>
    <w:p w14:paraId="0DC3C947" w14:textId="77777777" w:rsidR="0075791A" w:rsidRDefault="00FB2864">
      <w:pPr>
        <w:pStyle w:val="22"/>
        <w:adjustRightInd w:val="0"/>
        <w:snapToGrid w:val="0"/>
        <w:spacing w:line="240" w:lineRule="auto"/>
        <w:ind w:firstLine="0"/>
        <w:jc w:val="center"/>
      </w:pPr>
      <w:r>
        <w:rPr>
          <w:rFonts w:hint="eastAsia"/>
          <w:noProof/>
          <w:szCs w:val="21"/>
        </w:rPr>
        <w:drawing>
          <wp:inline distT="0" distB="0" distL="114300" distR="114300" wp14:anchorId="7EA00C6D" wp14:editId="5D09B445">
            <wp:extent cx="5267325" cy="3919220"/>
            <wp:effectExtent l="0" t="0" r="5715" b="12700"/>
            <wp:docPr id="56" name="图片 12" descr="resi_ins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2" descr="resi_insu1"/>
                    <pic:cNvPicPr>
                      <a:picLocks noChangeAspect="1"/>
                    </pic:cNvPicPr>
                  </pic:nvPicPr>
                  <pic:blipFill>
                    <a:blip r:embed="rId59"/>
                    <a:stretch>
                      <a:fillRect/>
                    </a:stretch>
                  </pic:blipFill>
                  <pic:spPr>
                    <a:xfrm>
                      <a:off x="0" y="0"/>
                      <a:ext cx="5267325" cy="3919220"/>
                    </a:xfrm>
                    <a:prstGeom prst="rect">
                      <a:avLst/>
                    </a:prstGeom>
                    <a:noFill/>
                    <a:ln>
                      <a:noFill/>
                    </a:ln>
                  </pic:spPr>
                </pic:pic>
              </a:graphicData>
            </a:graphic>
          </wp:inline>
        </w:drawing>
      </w:r>
    </w:p>
    <w:p w14:paraId="2B0D5753" w14:textId="77777777" w:rsidR="0075791A" w:rsidRDefault="00FB2864">
      <w:pPr>
        <w:pStyle w:val="22"/>
        <w:adjustRightInd w:val="0"/>
        <w:snapToGrid w:val="0"/>
        <w:ind w:firstLine="0"/>
        <w:jc w:val="center"/>
      </w:pPr>
      <w:r>
        <w:rPr>
          <w:rFonts w:hint="eastAsia"/>
        </w:rPr>
        <w:t>图</w:t>
      </w:r>
      <w:r>
        <w:rPr>
          <w:rFonts w:hint="eastAsia"/>
        </w:rPr>
        <w:t>3.</w:t>
      </w:r>
      <w:r>
        <w:rPr>
          <w:rFonts w:hint="eastAsia"/>
        </w:rPr>
        <w:t>2.2-</w:t>
      </w:r>
      <w:r>
        <w:rPr>
          <w:rFonts w:hint="eastAsia"/>
        </w:rPr>
        <w:t>10</w:t>
      </w:r>
      <w:r>
        <w:rPr>
          <w:rFonts w:hint="eastAsia"/>
        </w:rPr>
        <w:t>大潮期余流矢量图</w:t>
      </w:r>
    </w:p>
    <w:p w14:paraId="39DBDD46" w14:textId="77777777" w:rsidR="0075791A" w:rsidRDefault="00FB2864">
      <w:pPr>
        <w:spacing w:line="360" w:lineRule="auto"/>
        <w:outlineLvl w:val="3"/>
        <w:rPr>
          <w:rFonts w:ascii="Times New Roman" w:eastAsia="宋体" w:hAnsi="Times New Roman"/>
          <w:b/>
          <w:color w:val="auto"/>
          <w:sz w:val="24"/>
          <w:szCs w:val="24"/>
          <w:lang w:eastAsia="zh-CN"/>
        </w:rPr>
      </w:pPr>
      <w:hyperlink r:id="rId60" w:history="1">
        <w:r>
          <w:rPr>
            <w:rFonts w:ascii="Times New Roman" w:eastAsia="宋体" w:hAnsi="Times New Roman" w:hint="eastAsia"/>
            <w:b/>
            <w:color w:val="auto"/>
            <w:sz w:val="24"/>
            <w:szCs w:val="24"/>
            <w:lang w:eastAsia="zh-CN"/>
          </w:rPr>
          <w:t>3.</w:t>
        </w:r>
        <w:r>
          <w:rPr>
            <w:rFonts w:ascii="Times New Roman" w:eastAsia="宋体" w:hAnsi="Times New Roman"/>
            <w:b/>
            <w:color w:val="auto"/>
            <w:sz w:val="24"/>
            <w:szCs w:val="24"/>
            <w:lang w:eastAsia="zh-CN"/>
          </w:rPr>
          <w:t>2.2.</w:t>
        </w:r>
        <w:r>
          <w:rPr>
            <w:rFonts w:ascii="Times New Roman" w:eastAsia="宋体" w:hAnsi="Times New Roman" w:hint="eastAsia"/>
            <w:b/>
            <w:color w:val="auto"/>
            <w:sz w:val="24"/>
            <w:szCs w:val="24"/>
            <w:lang w:eastAsia="zh-CN"/>
          </w:rPr>
          <w:t>5</w:t>
        </w:r>
      </w:hyperlink>
      <w:r>
        <w:rPr>
          <w:rFonts w:ascii="Times New Roman" w:eastAsia="宋体" w:hAnsi="Times New Roman"/>
          <w:b/>
          <w:color w:val="auto"/>
          <w:sz w:val="24"/>
          <w:szCs w:val="24"/>
          <w:lang w:eastAsia="zh-CN"/>
        </w:rPr>
        <w:t>悬浮泥沙</w:t>
      </w:r>
    </w:p>
    <w:p w14:paraId="42C4A344"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根据现场观测和实验室分析，将全潮水文泥沙测验中各站水体含沙量值进行总计统计分析，列于表</w:t>
      </w:r>
      <w:r>
        <w:rPr>
          <w:rFonts w:ascii="Times New Roman" w:eastAsia="宋体" w:hAnsi="Times New Roman" w:cs="Times New Roman" w:hint="eastAsia"/>
          <w:snapToGrid/>
          <w:color w:val="auto"/>
          <w:kern w:val="2"/>
          <w:sz w:val="24"/>
          <w:szCs w:val="24"/>
          <w:lang w:eastAsia="zh-CN"/>
        </w:rPr>
        <w:t>3.2.2-4</w:t>
      </w:r>
      <w:r>
        <w:rPr>
          <w:rFonts w:ascii="Times New Roman" w:eastAsia="宋体" w:hAnsi="Times New Roman" w:cs="Times New Roman" w:hint="eastAsia"/>
          <w:snapToGrid/>
          <w:color w:val="auto"/>
          <w:kern w:val="2"/>
          <w:sz w:val="24"/>
          <w:szCs w:val="24"/>
          <w:lang w:eastAsia="zh-CN"/>
        </w:rPr>
        <w:t>。观测海区含沙量的变化范围为</w:t>
      </w:r>
      <w:r>
        <w:rPr>
          <w:rFonts w:ascii="Times New Roman" w:eastAsia="宋体" w:hAnsi="Times New Roman" w:cs="Times New Roman" w:hint="eastAsia"/>
          <w:snapToGrid/>
          <w:color w:val="auto"/>
          <w:kern w:val="2"/>
          <w:sz w:val="24"/>
          <w:szCs w:val="24"/>
          <w:lang w:eastAsia="zh-CN"/>
        </w:rPr>
        <w:t>2.90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kg/m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~34.47</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kg/m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，平均含沙量的变化范围在</w:t>
      </w:r>
      <w:r>
        <w:rPr>
          <w:rFonts w:ascii="Times New Roman" w:eastAsia="宋体" w:hAnsi="Times New Roman" w:cs="Times New Roman" w:hint="eastAsia"/>
          <w:snapToGrid/>
          <w:color w:val="auto"/>
          <w:kern w:val="2"/>
          <w:sz w:val="24"/>
          <w:szCs w:val="24"/>
          <w:lang w:eastAsia="zh-CN"/>
        </w:rPr>
        <w:t>8.84</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kg/m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~12.08</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kg/m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之间。观测期间</w:t>
      </w:r>
      <w:r>
        <w:rPr>
          <w:rFonts w:ascii="Times New Roman" w:eastAsia="宋体" w:hAnsi="Times New Roman" w:cs="Times New Roman" w:hint="eastAsia"/>
          <w:snapToGrid/>
          <w:color w:val="auto"/>
          <w:kern w:val="2"/>
          <w:sz w:val="24"/>
          <w:szCs w:val="24"/>
          <w:lang w:eastAsia="zh-CN"/>
        </w:rPr>
        <w:t>L4</w:t>
      </w:r>
      <w:r>
        <w:rPr>
          <w:rFonts w:ascii="Times New Roman" w:eastAsia="宋体" w:hAnsi="Times New Roman" w:cs="Times New Roman" w:hint="eastAsia"/>
          <w:snapToGrid/>
          <w:color w:val="auto"/>
          <w:kern w:val="2"/>
          <w:sz w:val="24"/>
          <w:szCs w:val="24"/>
          <w:lang w:eastAsia="zh-CN"/>
        </w:rPr>
        <w:lastRenderedPageBreak/>
        <w:t>站平均含沙量最大，</w:t>
      </w:r>
      <w:r>
        <w:rPr>
          <w:rFonts w:ascii="Times New Roman" w:eastAsia="宋体" w:hAnsi="Times New Roman" w:cs="Times New Roman" w:hint="eastAsia"/>
          <w:snapToGrid/>
          <w:color w:val="auto"/>
          <w:kern w:val="2"/>
          <w:sz w:val="24"/>
          <w:szCs w:val="24"/>
          <w:lang w:eastAsia="zh-CN"/>
        </w:rPr>
        <w:t>L5</w:t>
      </w:r>
      <w:r>
        <w:rPr>
          <w:rFonts w:ascii="Times New Roman" w:eastAsia="宋体" w:hAnsi="Times New Roman" w:cs="Times New Roman" w:hint="eastAsia"/>
          <w:snapToGrid/>
          <w:color w:val="auto"/>
          <w:kern w:val="2"/>
          <w:sz w:val="24"/>
          <w:szCs w:val="24"/>
          <w:lang w:eastAsia="zh-CN"/>
        </w:rPr>
        <w:t>站次之，</w:t>
      </w:r>
      <w:r>
        <w:rPr>
          <w:rFonts w:ascii="Times New Roman" w:eastAsia="宋体" w:hAnsi="Times New Roman" w:cs="Times New Roman" w:hint="eastAsia"/>
          <w:snapToGrid/>
          <w:color w:val="auto"/>
          <w:kern w:val="2"/>
          <w:sz w:val="24"/>
          <w:szCs w:val="24"/>
          <w:lang w:eastAsia="zh-CN"/>
        </w:rPr>
        <w:t>L1</w:t>
      </w:r>
      <w:r>
        <w:rPr>
          <w:rFonts w:ascii="Times New Roman" w:eastAsia="宋体" w:hAnsi="Times New Roman" w:cs="Times New Roman" w:hint="eastAsia"/>
          <w:snapToGrid/>
          <w:color w:val="auto"/>
          <w:kern w:val="2"/>
          <w:sz w:val="24"/>
          <w:szCs w:val="24"/>
          <w:lang w:eastAsia="zh-CN"/>
        </w:rPr>
        <w:t>站最小。表</w:t>
      </w:r>
      <w:r>
        <w:rPr>
          <w:rFonts w:ascii="Times New Roman" w:eastAsia="宋体" w:hAnsi="Times New Roman" w:cs="Times New Roman" w:hint="eastAsia"/>
          <w:snapToGrid/>
          <w:color w:val="auto"/>
          <w:kern w:val="2"/>
          <w:sz w:val="24"/>
          <w:szCs w:val="24"/>
          <w:lang w:eastAsia="zh-CN"/>
        </w:rPr>
        <w:t xml:space="preserve">3.2.2-5 </w:t>
      </w:r>
      <w:r>
        <w:rPr>
          <w:rFonts w:ascii="Times New Roman" w:eastAsia="宋体" w:hAnsi="Times New Roman" w:cs="Times New Roman" w:hint="eastAsia"/>
          <w:snapToGrid/>
          <w:color w:val="auto"/>
          <w:kern w:val="2"/>
          <w:sz w:val="24"/>
          <w:szCs w:val="24"/>
          <w:lang w:eastAsia="zh-CN"/>
        </w:rPr>
        <w:t>为各站各层的平均含沙量，由表可看出，观测海区</w:t>
      </w:r>
      <w:r>
        <w:rPr>
          <w:rFonts w:ascii="Times New Roman" w:eastAsia="宋体" w:hAnsi="Times New Roman" w:cs="Times New Roman" w:hint="eastAsia"/>
          <w:snapToGrid/>
          <w:color w:val="auto"/>
          <w:kern w:val="2"/>
          <w:sz w:val="24"/>
          <w:szCs w:val="24"/>
          <w:lang w:eastAsia="zh-CN"/>
        </w:rPr>
        <w:t>L2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L3</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L4</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L5</w:t>
      </w:r>
      <w:r>
        <w:rPr>
          <w:rFonts w:ascii="Times New Roman" w:eastAsia="宋体" w:hAnsi="Times New Roman" w:cs="Times New Roman" w:hint="eastAsia"/>
          <w:snapToGrid/>
          <w:color w:val="auto"/>
          <w:kern w:val="2"/>
          <w:sz w:val="24"/>
          <w:szCs w:val="24"/>
          <w:lang w:eastAsia="zh-CN"/>
        </w:rPr>
        <w:t>的含沙量垂向上变化符合一般规律，即从表至底层逐渐增大。如</w:t>
      </w:r>
      <w:r>
        <w:rPr>
          <w:rFonts w:ascii="Times New Roman" w:eastAsia="宋体" w:hAnsi="Times New Roman" w:cs="Times New Roman" w:hint="eastAsia"/>
          <w:snapToGrid/>
          <w:color w:val="auto"/>
          <w:kern w:val="2"/>
          <w:sz w:val="24"/>
          <w:szCs w:val="24"/>
          <w:lang w:eastAsia="zh-CN"/>
        </w:rPr>
        <w:t>L4</w:t>
      </w:r>
      <w:r>
        <w:rPr>
          <w:rFonts w:ascii="Times New Roman" w:eastAsia="宋体" w:hAnsi="Times New Roman" w:cs="Times New Roman" w:hint="eastAsia"/>
          <w:snapToGrid/>
          <w:color w:val="auto"/>
          <w:kern w:val="2"/>
          <w:sz w:val="24"/>
          <w:szCs w:val="24"/>
          <w:lang w:eastAsia="zh-CN"/>
        </w:rPr>
        <w:t>站大潮期表层为</w:t>
      </w:r>
      <w:r>
        <w:rPr>
          <w:rFonts w:ascii="Times New Roman" w:eastAsia="宋体" w:hAnsi="Times New Roman" w:cs="Times New Roman" w:hint="eastAsia"/>
          <w:snapToGrid/>
          <w:color w:val="auto"/>
          <w:kern w:val="2"/>
          <w:sz w:val="24"/>
          <w:szCs w:val="24"/>
          <w:lang w:eastAsia="zh-CN"/>
        </w:rPr>
        <w:t>11.35</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kg/m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0.6H</w:t>
      </w:r>
      <w:r>
        <w:rPr>
          <w:rFonts w:ascii="Times New Roman" w:eastAsia="宋体" w:hAnsi="Times New Roman" w:cs="Times New Roman" w:hint="eastAsia"/>
          <w:snapToGrid/>
          <w:color w:val="auto"/>
          <w:kern w:val="2"/>
          <w:sz w:val="24"/>
          <w:szCs w:val="24"/>
          <w:lang w:eastAsia="zh-CN"/>
        </w:rPr>
        <w:t>层为</w:t>
      </w:r>
      <w:r>
        <w:rPr>
          <w:rFonts w:ascii="Times New Roman" w:eastAsia="宋体" w:hAnsi="Times New Roman" w:cs="Times New Roman" w:hint="eastAsia"/>
          <w:snapToGrid/>
          <w:color w:val="auto"/>
          <w:kern w:val="2"/>
          <w:sz w:val="24"/>
          <w:szCs w:val="24"/>
          <w:lang w:eastAsia="zh-CN"/>
        </w:rPr>
        <w:t>11.35</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kg/m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，至底层为</w:t>
      </w:r>
      <w:r>
        <w:rPr>
          <w:rFonts w:ascii="Times New Roman" w:eastAsia="宋体" w:hAnsi="Times New Roman" w:cs="Times New Roman" w:hint="eastAsia"/>
          <w:snapToGrid/>
          <w:color w:val="auto"/>
          <w:kern w:val="2"/>
          <w:sz w:val="24"/>
          <w:szCs w:val="24"/>
          <w:lang w:eastAsia="zh-CN"/>
        </w:rPr>
        <w:t>12.61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kg/m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w:t>
      </w:r>
    </w:p>
    <w:p w14:paraId="0CB84392" w14:textId="77777777" w:rsidR="0075791A" w:rsidRDefault="00FB2864">
      <w:pPr>
        <w:widowControl w:val="0"/>
        <w:kinsoku/>
        <w:adjustRightInd/>
        <w:snapToGrid/>
        <w:ind w:firstLineChars="200" w:firstLine="480"/>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 xml:space="preserve">3.2.2-4 </w:t>
      </w:r>
      <w:r>
        <w:rPr>
          <w:rFonts w:ascii="Times New Roman" w:eastAsia="宋体" w:hAnsi="Times New Roman" w:cs="Times New Roman" w:hint="eastAsia"/>
          <w:snapToGrid/>
          <w:color w:val="auto"/>
          <w:kern w:val="2"/>
          <w:sz w:val="24"/>
          <w:szCs w:val="24"/>
          <w:lang w:eastAsia="zh-CN"/>
        </w:rPr>
        <w:t>各站含沙量变化统计表（×</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kg/m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w:t>
      </w:r>
    </w:p>
    <w:tbl>
      <w:tblPr>
        <w:tblStyle w:val="ad"/>
        <w:tblW w:w="0" w:type="auto"/>
        <w:tblLook w:val="04A0" w:firstRow="1" w:lastRow="0" w:firstColumn="1" w:lastColumn="0" w:noHBand="0" w:noVBand="1"/>
      </w:tblPr>
      <w:tblGrid>
        <w:gridCol w:w="2130"/>
        <w:gridCol w:w="2130"/>
        <w:gridCol w:w="2131"/>
        <w:gridCol w:w="2131"/>
      </w:tblGrid>
      <w:tr w:rsidR="0075791A" w14:paraId="6E55C54F" w14:textId="77777777">
        <w:tc>
          <w:tcPr>
            <w:tcW w:w="2130" w:type="dxa"/>
            <w:vAlign w:val="bottom"/>
          </w:tcPr>
          <w:p w14:paraId="1404DFAE" w14:textId="77777777" w:rsidR="0075791A" w:rsidRDefault="00FB2864">
            <w:pPr>
              <w:kinsoku/>
              <w:adjustRightInd/>
              <w:snapToGrid/>
              <w:jc w:val="center"/>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站位</w:t>
            </w:r>
          </w:p>
        </w:tc>
        <w:tc>
          <w:tcPr>
            <w:tcW w:w="2130" w:type="dxa"/>
            <w:vAlign w:val="bottom"/>
          </w:tcPr>
          <w:p w14:paraId="1A05CD10" w14:textId="77777777" w:rsidR="0075791A" w:rsidRDefault="00FB2864">
            <w:pPr>
              <w:kinsoku/>
              <w:adjustRightInd/>
              <w:snapToGrid/>
              <w:jc w:val="center"/>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最大</w:t>
            </w:r>
          </w:p>
        </w:tc>
        <w:tc>
          <w:tcPr>
            <w:tcW w:w="2131" w:type="dxa"/>
            <w:vAlign w:val="bottom"/>
          </w:tcPr>
          <w:p w14:paraId="6B9890CA" w14:textId="77777777" w:rsidR="0075791A" w:rsidRDefault="00FB2864">
            <w:pPr>
              <w:kinsoku/>
              <w:adjustRightInd/>
              <w:snapToGrid/>
              <w:jc w:val="center"/>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最小</w:t>
            </w:r>
          </w:p>
        </w:tc>
        <w:tc>
          <w:tcPr>
            <w:tcW w:w="2131" w:type="dxa"/>
            <w:vAlign w:val="bottom"/>
          </w:tcPr>
          <w:p w14:paraId="56F77524" w14:textId="77777777" w:rsidR="0075791A" w:rsidRDefault="00FB2864">
            <w:pPr>
              <w:kinsoku/>
              <w:adjustRightInd/>
              <w:snapToGrid/>
              <w:jc w:val="center"/>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平均</w:t>
            </w:r>
          </w:p>
        </w:tc>
      </w:tr>
      <w:tr w:rsidR="0075791A" w14:paraId="6A0B111F" w14:textId="77777777">
        <w:tc>
          <w:tcPr>
            <w:tcW w:w="2130" w:type="dxa"/>
            <w:vAlign w:val="bottom"/>
          </w:tcPr>
          <w:p w14:paraId="6B7F62BB"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L1</w:t>
            </w:r>
          </w:p>
        </w:tc>
        <w:tc>
          <w:tcPr>
            <w:tcW w:w="2130" w:type="dxa"/>
            <w:vAlign w:val="bottom"/>
          </w:tcPr>
          <w:p w14:paraId="10FB83AB"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13.58</w:t>
            </w:r>
          </w:p>
        </w:tc>
        <w:tc>
          <w:tcPr>
            <w:tcW w:w="2131" w:type="dxa"/>
            <w:vAlign w:val="bottom"/>
          </w:tcPr>
          <w:p w14:paraId="1BF6E19C"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4.42</w:t>
            </w:r>
          </w:p>
        </w:tc>
        <w:tc>
          <w:tcPr>
            <w:tcW w:w="2131" w:type="dxa"/>
            <w:vAlign w:val="bottom"/>
          </w:tcPr>
          <w:p w14:paraId="6939D0C5"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8.84</w:t>
            </w:r>
          </w:p>
        </w:tc>
      </w:tr>
      <w:tr w:rsidR="0075791A" w14:paraId="75BD9442" w14:textId="77777777">
        <w:tc>
          <w:tcPr>
            <w:tcW w:w="2130" w:type="dxa"/>
            <w:vAlign w:val="bottom"/>
          </w:tcPr>
          <w:p w14:paraId="459CC042"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L2</w:t>
            </w:r>
          </w:p>
        </w:tc>
        <w:tc>
          <w:tcPr>
            <w:tcW w:w="2130" w:type="dxa"/>
            <w:vAlign w:val="bottom"/>
          </w:tcPr>
          <w:p w14:paraId="29887055"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30.17</w:t>
            </w:r>
          </w:p>
        </w:tc>
        <w:tc>
          <w:tcPr>
            <w:tcW w:w="2131" w:type="dxa"/>
            <w:vAlign w:val="bottom"/>
          </w:tcPr>
          <w:p w14:paraId="724A23E0"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4.18</w:t>
            </w:r>
          </w:p>
        </w:tc>
        <w:tc>
          <w:tcPr>
            <w:tcW w:w="2131" w:type="dxa"/>
            <w:vAlign w:val="bottom"/>
          </w:tcPr>
          <w:p w14:paraId="214F2EA8"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10.11</w:t>
            </w:r>
          </w:p>
        </w:tc>
      </w:tr>
      <w:tr w:rsidR="0075791A" w14:paraId="6AC7EC2A" w14:textId="77777777">
        <w:tc>
          <w:tcPr>
            <w:tcW w:w="2130" w:type="dxa"/>
            <w:vAlign w:val="bottom"/>
          </w:tcPr>
          <w:p w14:paraId="04ED8EC8"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L3</w:t>
            </w:r>
          </w:p>
        </w:tc>
        <w:tc>
          <w:tcPr>
            <w:tcW w:w="2130" w:type="dxa"/>
            <w:vAlign w:val="bottom"/>
          </w:tcPr>
          <w:p w14:paraId="288B4A3A"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11.48</w:t>
            </w:r>
          </w:p>
        </w:tc>
        <w:tc>
          <w:tcPr>
            <w:tcW w:w="2131" w:type="dxa"/>
            <w:vAlign w:val="bottom"/>
          </w:tcPr>
          <w:p w14:paraId="02AB560F"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3.14</w:t>
            </w:r>
          </w:p>
        </w:tc>
        <w:tc>
          <w:tcPr>
            <w:tcW w:w="2131" w:type="dxa"/>
            <w:vAlign w:val="bottom"/>
          </w:tcPr>
          <w:p w14:paraId="02113FC4"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6.91</w:t>
            </w:r>
          </w:p>
        </w:tc>
      </w:tr>
      <w:tr w:rsidR="0075791A" w14:paraId="60E18829" w14:textId="77777777">
        <w:tc>
          <w:tcPr>
            <w:tcW w:w="2130" w:type="dxa"/>
            <w:vAlign w:val="bottom"/>
          </w:tcPr>
          <w:p w14:paraId="12BBED4F"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L4</w:t>
            </w:r>
          </w:p>
        </w:tc>
        <w:tc>
          <w:tcPr>
            <w:tcW w:w="2130" w:type="dxa"/>
            <w:vAlign w:val="bottom"/>
          </w:tcPr>
          <w:p w14:paraId="4E8BAAD1"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29.69</w:t>
            </w:r>
          </w:p>
        </w:tc>
        <w:tc>
          <w:tcPr>
            <w:tcW w:w="2131" w:type="dxa"/>
            <w:vAlign w:val="bottom"/>
          </w:tcPr>
          <w:p w14:paraId="5F24F9D4"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4.47</w:t>
            </w:r>
          </w:p>
        </w:tc>
        <w:tc>
          <w:tcPr>
            <w:tcW w:w="2131" w:type="dxa"/>
            <w:vAlign w:val="bottom"/>
          </w:tcPr>
          <w:p w14:paraId="2891150E"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12.08</w:t>
            </w:r>
          </w:p>
        </w:tc>
      </w:tr>
      <w:tr w:rsidR="0075791A" w14:paraId="0832EB42" w14:textId="77777777">
        <w:tc>
          <w:tcPr>
            <w:tcW w:w="2130" w:type="dxa"/>
            <w:vAlign w:val="bottom"/>
          </w:tcPr>
          <w:p w14:paraId="47317113"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L5</w:t>
            </w:r>
          </w:p>
        </w:tc>
        <w:tc>
          <w:tcPr>
            <w:tcW w:w="2130" w:type="dxa"/>
            <w:vAlign w:val="bottom"/>
          </w:tcPr>
          <w:p w14:paraId="4ECBBA1F"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34.47</w:t>
            </w:r>
          </w:p>
        </w:tc>
        <w:tc>
          <w:tcPr>
            <w:tcW w:w="2131" w:type="dxa"/>
            <w:vAlign w:val="bottom"/>
          </w:tcPr>
          <w:p w14:paraId="78B01764"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5.16</w:t>
            </w:r>
          </w:p>
        </w:tc>
        <w:tc>
          <w:tcPr>
            <w:tcW w:w="2131" w:type="dxa"/>
            <w:vAlign w:val="bottom"/>
          </w:tcPr>
          <w:p w14:paraId="167E5942"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11.17</w:t>
            </w:r>
          </w:p>
        </w:tc>
      </w:tr>
      <w:tr w:rsidR="0075791A" w14:paraId="7E99DDE4" w14:textId="77777777">
        <w:tc>
          <w:tcPr>
            <w:tcW w:w="2130" w:type="dxa"/>
            <w:vAlign w:val="bottom"/>
          </w:tcPr>
          <w:p w14:paraId="2477F1E2"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L6</w:t>
            </w:r>
          </w:p>
        </w:tc>
        <w:tc>
          <w:tcPr>
            <w:tcW w:w="2130" w:type="dxa"/>
            <w:vAlign w:val="bottom"/>
          </w:tcPr>
          <w:p w14:paraId="288739B4"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25.64</w:t>
            </w:r>
          </w:p>
        </w:tc>
        <w:tc>
          <w:tcPr>
            <w:tcW w:w="2131" w:type="dxa"/>
            <w:vAlign w:val="bottom"/>
          </w:tcPr>
          <w:p w14:paraId="66BD769F"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2.90</w:t>
            </w:r>
          </w:p>
        </w:tc>
        <w:tc>
          <w:tcPr>
            <w:tcW w:w="2131" w:type="dxa"/>
            <w:vAlign w:val="bottom"/>
          </w:tcPr>
          <w:p w14:paraId="0D7C8F80"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9.94</w:t>
            </w:r>
          </w:p>
        </w:tc>
      </w:tr>
    </w:tbl>
    <w:p w14:paraId="6FE25D1A" w14:textId="77777777" w:rsidR="0075791A" w:rsidRDefault="0075791A">
      <w:pPr>
        <w:widowControl w:val="0"/>
        <w:kinsoku/>
        <w:adjustRightInd/>
        <w:snapToGrid/>
        <w:spacing w:line="360" w:lineRule="auto"/>
        <w:ind w:firstLineChars="200" w:firstLine="480"/>
        <w:jc w:val="center"/>
        <w:textAlignment w:val="auto"/>
        <w:rPr>
          <w:rFonts w:ascii="Times New Roman" w:eastAsia="宋体" w:hAnsi="Times New Roman" w:cs="Times New Roman"/>
          <w:snapToGrid/>
          <w:color w:val="auto"/>
          <w:kern w:val="2"/>
          <w:sz w:val="24"/>
          <w:szCs w:val="24"/>
          <w:lang w:eastAsia="zh-CN"/>
        </w:rPr>
      </w:pPr>
    </w:p>
    <w:p w14:paraId="5A1A903A" w14:textId="77777777" w:rsidR="0075791A" w:rsidRDefault="00FB2864">
      <w:pPr>
        <w:widowControl w:val="0"/>
        <w:kinsoku/>
        <w:adjustRightInd/>
        <w:snapToGrid/>
        <w:ind w:firstLineChars="200" w:firstLine="480"/>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 xml:space="preserve">3.2.2-5 </w:t>
      </w:r>
      <w:r>
        <w:rPr>
          <w:rFonts w:ascii="Times New Roman" w:eastAsia="宋体" w:hAnsi="Times New Roman" w:cs="Times New Roman" w:hint="eastAsia"/>
          <w:snapToGrid/>
          <w:color w:val="auto"/>
          <w:kern w:val="2"/>
          <w:sz w:val="24"/>
          <w:szCs w:val="24"/>
          <w:lang w:eastAsia="zh-CN"/>
        </w:rPr>
        <w:t>各站各层平均含沙量（×</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kg/m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）变化</w:t>
      </w:r>
    </w:p>
    <w:tbl>
      <w:tblPr>
        <w:tblStyle w:val="ad"/>
        <w:tblW w:w="0" w:type="auto"/>
        <w:tblLook w:val="04A0" w:firstRow="1" w:lastRow="0" w:firstColumn="1" w:lastColumn="0" w:noHBand="0" w:noVBand="1"/>
      </w:tblPr>
      <w:tblGrid>
        <w:gridCol w:w="1217"/>
        <w:gridCol w:w="1217"/>
        <w:gridCol w:w="1217"/>
        <w:gridCol w:w="1217"/>
        <w:gridCol w:w="1218"/>
        <w:gridCol w:w="1218"/>
        <w:gridCol w:w="1218"/>
      </w:tblGrid>
      <w:tr w:rsidR="0075791A" w14:paraId="1C439D12" w14:textId="77777777">
        <w:tc>
          <w:tcPr>
            <w:tcW w:w="1217" w:type="dxa"/>
            <w:vAlign w:val="bottom"/>
          </w:tcPr>
          <w:p w14:paraId="481BDC8F" w14:textId="77777777" w:rsidR="0075791A" w:rsidRDefault="00FB2864">
            <w:pPr>
              <w:kinsoku/>
              <w:adjustRightInd/>
              <w:snapToGrid/>
              <w:jc w:val="center"/>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层次</w:t>
            </w:r>
          </w:p>
        </w:tc>
        <w:tc>
          <w:tcPr>
            <w:tcW w:w="1217" w:type="dxa"/>
            <w:vAlign w:val="bottom"/>
          </w:tcPr>
          <w:p w14:paraId="6FE92B78" w14:textId="77777777" w:rsidR="0075791A" w:rsidRDefault="00FB2864">
            <w:pPr>
              <w:kinsoku/>
              <w:adjustRightInd/>
              <w:snapToGrid/>
              <w:jc w:val="center"/>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L1</w:t>
            </w:r>
          </w:p>
        </w:tc>
        <w:tc>
          <w:tcPr>
            <w:tcW w:w="1217" w:type="dxa"/>
            <w:vAlign w:val="bottom"/>
          </w:tcPr>
          <w:p w14:paraId="5F358C69" w14:textId="77777777" w:rsidR="0075791A" w:rsidRDefault="00FB2864">
            <w:pPr>
              <w:kinsoku/>
              <w:adjustRightInd/>
              <w:snapToGrid/>
              <w:jc w:val="center"/>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L2</w:t>
            </w:r>
          </w:p>
        </w:tc>
        <w:tc>
          <w:tcPr>
            <w:tcW w:w="1217" w:type="dxa"/>
            <w:vAlign w:val="bottom"/>
          </w:tcPr>
          <w:p w14:paraId="24586EB0" w14:textId="77777777" w:rsidR="0075791A" w:rsidRDefault="00FB2864">
            <w:pPr>
              <w:kinsoku/>
              <w:adjustRightInd/>
              <w:snapToGrid/>
              <w:jc w:val="center"/>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L3</w:t>
            </w:r>
          </w:p>
        </w:tc>
        <w:tc>
          <w:tcPr>
            <w:tcW w:w="1218" w:type="dxa"/>
            <w:vAlign w:val="bottom"/>
          </w:tcPr>
          <w:p w14:paraId="6F9B27E8" w14:textId="77777777" w:rsidR="0075791A" w:rsidRDefault="00FB2864">
            <w:pPr>
              <w:kinsoku/>
              <w:adjustRightInd/>
              <w:snapToGrid/>
              <w:jc w:val="center"/>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L4</w:t>
            </w:r>
          </w:p>
        </w:tc>
        <w:tc>
          <w:tcPr>
            <w:tcW w:w="1218" w:type="dxa"/>
            <w:vAlign w:val="bottom"/>
          </w:tcPr>
          <w:p w14:paraId="2E56E48C" w14:textId="77777777" w:rsidR="0075791A" w:rsidRDefault="00FB2864">
            <w:pPr>
              <w:kinsoku/>
              <w:adjustRightInd/>
              <w:snapToGrid/>
              <w:jc w:val="center"/>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L5</w:t>
            </w:r>
          </w:p>
        </w:tc>
        <w:tc>
          <w:tcPr>
            <w:tcW w:w="1218" w:type="dxa"/>
            <w:vAlign w:val="bottom"/>
          </w:tcPr>
          <w:p w14:paraId="568A8CAD" w14:textId="77777777" w:rsidR="0075791A" w:rsidRDefault="00FB2864">
            <w:pPr>
              <w:kinsoku/>
              <w:adjustRightInd/>
              <w:snapToGrid/>
              <w:jc w:val="center"/>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L6</w:t>
            </w:r>
          </w:p>
        </w:tc>
      </w:tr>
      <w:tr w:rsidR="0075791A" w14:paraId="087219A6" w14:textId="77777777">
        <w:tc>
          <w:tcPr>
            <w:tcW w:w="1217" w:type="dxa"/>
            <w:vAlign w:val="bottom"/>
          </w:tcPr>
          <w:p w14:paraId="68ED754E"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表层</w:t>
            </w:r>
          </w:p>
        </w:tc>
        <w:tc>
          <w:tcPr>
            <w:tcW w:w="1217" w:type="dxa"/>
            <w:vAlign w:val="bottom"/>
          </w:tcPr>
          <w:p w14:paraId="78BA3342"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8.78</w:t>
            </w:r>
          </w:p>
        </w:tc>
        <w:tc>
          <w:tcPr>
            <w:tcW w:w="1217" w:type="dxa"/>
            <w:vAlign w:val="bottom"/>
          </w:tcPr>
          <w:p w14:paraId="1A4D69D5"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9.29</w:t>
            </w:r>
          </w:p>
        </w:tc>
        <w:tc>
          <w:tcPr>
            <w:tcW w:w="1217" w:type="dxa"/>
            <w:vAlign w:val="bottom"/>
          </w:tcPr>
          <w:p w14:paraId="26E1D7CA"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6.48</w:t>
            </w:r>
          </w:p>
        </w:tc>
        <w:tc>
          <w:tcPr>
            <w:tcW w:w="1218" w:type="dxa"/>
            <w:vAlign w:val="bottom"/>
          </w:tcPr>
          <w:p w14:paraId="412017D4"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11.35</w:t>
            </w:r>
          </w:p>
        </w:tc>
        <w:tc>
          <w:tcPr>
            <w:tcW w:w="1218" w:type="dxa"/>
            <w:vAlign w:val="bottom"/>
          </w:tcPr>
          <w:p w14:paraId="073F09BE"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10.08</w:t>
            </w:r>
          </w:p>
        </w:tc>
        <w:tc>
          <w:tcPr>
            <w:tcW w:w="1218" w:type="dxa"/>
            <w:vAlign w:val="bottom"/>
          </w:tcPr>
          <w:p w14:paraId="18657CD1"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10.07</w:t>
            </w:r>
          </w:p>
        </w:tc>
      </w:tr>
      <w:tr w:rsidR="0075791A" w14:paraId="7A305BF6" w14:textId="77777777">
        <w:tc>
          <w:tcPr>
            <w:tcW w:w="1217" w:type="dxa"/>
            <w:vAlign w:val="bottom"/>
          </w:tcPr>
          <w:p w14:paraId="1C4E9FDE"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0.6</w:t>
            </w:r>
            <w:r>
              <w:rPr>
                <w:rFonts w:ascii="Times New Roman" w:eastAsia="宋体" w:hAnsi="Times New Roman" w:cs="Times New Roman" w:hint="eastAsia"/>
                <w:snapToGrid/>
                <w:color w:val="auto"/>
                <w:kern w:val="2"/>
                <w:sz w:val="24"/>
                <w:szCs w:val="24"/>
                <w:lang w:eastAsia="zh-CN"/>
              </w:rPr>
              <w:t>层</w:t>
            </w:r>
          </w:p>
        </w:tc>
        <w:tc>
          <w:tcPr>
            <w:tcW w:w="1217" w:type="dxa"/>
            <w:vAlign w:val="bottom"/>
          </w:tcPr>
          <w:p w14:paraId="0F57C1B9"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p>
        </w:tc>
        <w:tc>
          <w:tcPr>
            <w:tcW w:w="1217" w:type="dxa"/>
            <w:vAlign w:val="bottom"/>
          </w:tcPr>
          <w:p w14:paraId="34AF80EB"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p>
        </w:tc>
        <w:tc>
          <w:tcPr>
            <w:tcW w:w="1217" w:type="dxa"/>
            <w:vAlign w:val="bottom"/>
          </w:tcPr>
          <w:p w14:paraId="4BF17F60"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p>
        </w:tc>
        <w:tc>
          <w:tcPr>
            <w:tcW w:w="1218" w:type="dxa"/>
            <w:vAlign w:val="bottom"/>
          </w:tcPr>
          <w:p w14:paraId="0AB07512"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12.28</w:t>
            </w:r>
          </w:p>
        </w:tc>
        <w:tc>
          <w:tcPr>
            <w:tcW w:w="1218" w:type="dxa"/>
            <w:vAlign w:val="bottom"/>
          </w:tcPr>
          <w:p w14:paraId="2E87FC4C"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11.45</w:t>
            </w:r>
          </w:p>
        </w:tc>
        <w:tc>
          <w:tcPr>
            <w:tcW w:w="1218" w:type="dxa"/>
            <w:vAlign w:val="bottom"/>
          </w:tcPr>
          <w:p w14:paraId="31E6B166"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10.35</w:t>
            </w:r>
          </w:p>
        </w:tc>
      </w:tr>
      <w:tr w:rsidR="0075791A" w14:paraId="76009538" w14:textId="77777777">
        <w:tc>
          <w:tcPr>
            <w:tcW w:w="1217" w:type="dxa"/>
            <w:vAlign w:val="bottom"/>
          </w:tcPr>
          <w:p w14:paraId="2C44D844"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底层</w:t>
            </w:r>
          </w:p>
        </w:tc>
        <w:tc>
          <w:tcPr>
            <w:tcW w:w="1217" w:type="dxa"/>
            <w:vAlign w:val="bottom"/>
          </w:tcPr>
          <w:p w14:paraId="682971C2"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8.25</w:t>
            </w:r>
          </w:p>
        </w:tc>
        <w:tc>
          <w:tcPr>
            <w:tcW w:w="1217" w:type="dxa"/>
            <w:vAlign w:val="bottom"/>
          </w:tcPr>
          <w:p w14:paraId="18FDFD24"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10.18</w:t>
            </w:r>
          </w:p>
        </w:tc>
        <w:tc>
          <w:tcPr>
            <w:tcW w:w="1217" w:type="dxa"/>
            <w:vAlign w:val="bottom"/>
          </w:tcPr>
          <w:p w14:paraId="62E50380"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6.82</w:t>
            </w:r>
          </w:p>
        </w:tc>
        <w:tc>
          <w:tcPr>
            <w:tcW w:w="1218" w:type="dxa"/>
            <w:vAlign w:val="bottom"/>
          </w:tcPr>
          <w:p w14:paraId="06C432E6"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12.61</w:t>
            </w:r>
          </w:p>
        </w:tc>
        <w:tc>
          <w:tcPr>
            <w:tcW w:w="1218" w:type="dxa"/>
            <w:vAlign w:val="bottom"/>
          </w:tcPr>
          <w:p w14:paraId="2FE15C86"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11.98</w:t>
            </w:r>
          </w:p>
        </w:tc>
        <w:tc>
          <w:tcPr>
            <w:tcW w:w="1218" w:type="dxa"/>
            <w:vAlign w:val="bottom"/>
          </w:tcPr>
          <w:p w14:paraId="73A758A5"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9.42</w:t>
            </w:r>
          </w:p>
        </w:tc>
      </w:tr>
    </w:tbl>
    <w:p w14:paraId="0F69791C" w14:textId="77777777" w:rsidR="0075791A" w:rsidRDefault="0075791A">
      <w:pPr>
        <w:spacing w:before="243" w:line="219" w:lineRule="auto"/>
        <w:ind w:left="1050"/>
        <w:rPr>
          <w:rFonts w:ascii="Times New Roman" w:eastAsia="宋体" w:hAnsi="Times New Roman" w:cs="宋体"/>
          <w:color w:val="auto"/>
          <w:sz w:val="24"/>
          <w:szCs w:val="24"/>
        </w:rPr>
      </w:pPr>
    </w:p>
    <w:p w14:paraId="5C57F313" w14:textId="77777777" w:rsidR="0075791A" w:rsidRDefault="00FB2864">
      <w:pPr>
        <w:spacing w:line="360" w:lineRule="auto"/>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3.2.2.6</w:t>
      </w:r>
      <w:r>
        <w:rPr>
          <w:rFonts w:ascii="Times New Roman" w:eastAsia="宋体" w:hAnsi="Times New Roman" w:hint="eastAsia"/>
          <w:b/>
          <w:color w:val="auto"/>
          <w:sz w:val="24"/>
          <w:szCs w:val="24"/>
          <w:lang w:eastAsia="zh-CN"/>
        </w:rPr>
        <w:t>波浪</w:t>
      </w:r>
    </w:p>
    <w:p w14:paraId="3514F9D1" w14:textId="77777777" w:rsidR="0075791A" w:rsidRDefault="00FB2864">
      <w:pPr>
        <w:spacing w:line="360" w:lineRule="auto"/>
        <w:ind w:firstLineChars="200" w:firstLine="480"/>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t>1.</w:t>
      </w:r>
      <w:r>
        <w:rPr>
          <w:rFonts w:ascii="Times New Roman" w:eastAsia="宋体" w:hAnsi="Times New Roman" w:cs="Times New Roman" w:hint="eastAsia"/>
          <w:color w:val="auto"/>
          <w:sz w:val="24"/>
          <w:szCs w:val="24"/>
          <w:lang w:eastAsia="zh-CN"/>
        </w:rPr>
        <w:t>亚龙湾波浪</w:t>
      </w:r>
    </w:p>
    <w:p w14:paraId="00C09F92" w14:textId="77777777" w:rsidR="0075791A" w:rsidRDefault="00FB2864">
      <w:pPr>
        <w:spacing w:line="360" w:lineRule="auto"/>
        <w:ind w:firstLineChars="200" w:firstLine="480"/>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t>三亚海区的波浪以风浪为主占</w:t>
      </w:r>
      <w:r>
        <w:rPr>
          <w:rFonts w:ascii="Times New Roman" w:eastAsia="宋体" w:hAnsi="Times New Roman" w:cs="Times New Roman" w:hint="eastAsia"/>
          <w:color w:val="auto"/>
          <w:sz w:val="24"/>
          <w:szCs w:val="24"/>
          <w:lang w:eastAsia="zh-CN"/>
        </w:rPr>
        <w:t>80</w:t>
      </w:r>
      <w:r>
        <w:rPr>
          <w:rFonts w:ascii="Times New Roman" w:eastAsia="宋体" w:hAnsi="Times New Roman" w:cs="Times New Roman" w:hint="eastAsia"/>
          <w:color w:val="auto"/>
          <w:sz w:val="24"/>
          <w:szCs w:val="24"/>
          <w:lang w:eastAsia="zh-CN"/>
        </w:rPr>
        <w:t>％，涌浪占</w:t>
      </w:r>
      <w:r>
        <w:rPr>
          <w:rFonts w:ascii="Times New Roman" w:eastAsia="宋体" w:hAnsi="Times New Roman" w:cs="Times New Roman" w:hint="eastAsia"/>
          <w:color w:val="auto"/>
          <w:sz w:val="24"/>
          <w:szCs w:val="24"/>
          <w:lang w:eastAsia="zh-CN"/>
        </w:rPr>
        <w:t>42</w:t>
      </w:r>
      <w:r>
        <w:rPr>
          <w:rFonts w:ascii="Times New Roman" w:eastAsia="宋体" w:hAnsi="Times New Roman" w:cs="Times New Roman" w:hint="eastAsia"/>
          <w:color w:val="auto"/>
          <w:sz w:val="24"/>
          <w:szCs w:val="24"/>
          <w:lang w:eastAsia="zh-CN"/>
        </w:rPr>
        <w:t>％。常浪向为</w:t>
      </w:r>
      <w:r>
        <w:rPr>
          <w:rFonts w:ascii="Times New Roman" w:eastAsia="宋体" w:hAnsi="Times New Roman" w:cs="Times New Roman" w:hint="eastAsia"/>
          <w:color w:val="auto"/>
          <w:sz w:val="24"/>
          <w:szCs w:val="24"/>
          <w:lang w:eastAsia="zh-CN"/>
        </w:rPr>
        <w:t>SE-SSE</w:t>
      </w:r>
      <w:r>
        <w:rPr>
          <w:rFonts w:ascii="Times New Roman" w:eastAsia="宋体" w:hAnsi="Times New Roman" w:cs="Times New Roman" w:hint="eastAsia"/>
          <w:color w:val="auto"/>
          <w:sz w:val="24"/>
          <w:szCs w:val="24"/>
          <w:lang w:eastAsia="zh-CN"/>
        </w:rPr>
        <w:t>，强浪向为</w:t>
      </w:r>
      <w:r>
        <w:rPr>
          <w:rFonts w:ascii="Times New Roman" w:eastAsia="宋体" w:hAnsi="Times New Roman" w:cs="Times New Roman" w:hint="eastAsia"/>
          <w:color w:val="auto"/>
          <w:sz w:val="24"/>
          <w:szCs w:val="24"/>
          <w:lang w:eastAsia="zh-CN"/>
        </w:rPr>
        <w:t>S-WSW</w:t>
      </w:r>
      <w:r>
        <w:rPr>
          <w:rFonts w:ascii="Times New Roman" w:eastAsia="宋体" w:hAnsi="Times New Roman" w:cs="Times New Roman" w:hint="eastAsia"/>
          <w:color w:val="auto"/>
          <w:sz w:val="24"/>
          <w:szCs w:val="24"/>
          <w:lang w:eastAsia="zh-CN"/>
        </w:rPr>
        <w:t>，平均波高为</w:t>
      </w:r>
      <w:r>
        <w:rPr>
          <w:rFonts w:ascii="Times New Roman" w:eastAsia="宋体" w:hAnsi="Times New Roman" w:cs="Times New Roman" w:hint="eastAsia"/>
          <w:color w:val="auto"/>
          <w:sz w:val="24"/>
          <w:szCs w:val="24"/>
          <w:lang w:eastAsia="zh-CN"/>
        </w:rPr>
        <w:t>0.67</w:t>
      </w:r>
      <w:r>
        <w:rPr>
          <w:rFonts w:ascii="Times New Roman" w:eastAsia="宋体" w:hAnsi="Times New Roman" w:cs="Times New Roman" w:hint="eastAsia"/>
          <w:color w:val="auto"/>
          <w:sz w:val="24"/>
          <w:szCs w:val="24"/>
          <w:lang w:eastAsia="zh-CN"/>
        </w:rPr>
        <w:t>米。因受季风和地形的影响，呈现平均波高夏季大于冬季的特点，夏季平均波高在亚龙湾为</w:t>
      </w:r>
      <w:r>
        <w:rPr>
          <w:rFonts w:ascii="Times New Roman" w:eastAsia="宋体" w:hAnsi="Times New Roman" w:cs="Times New Roman" w:hint="eastAsia"/>
          <w:color w:val="auto"/>
          <w:sz w:val="24"/>
          <w:szCs w:val="24"/>
          <w:lang w:eastAsia="zh-CN"/>
        </w:rPr>
        <w:t>0.4</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hint="eastAsia"/>
          <w:color w:val="auto"/>
          <w:sz w:val="24"/>
          <w:szCs w:val="24"/>
          <w:lang w:eastAsia="zh-CN"/>
        </w:rPr>
        <w:t>0.6</w:t>
      </w:r>
      <w:r>
        <w:rPr>
          <w:rFonts w:ascii="Times New Roman" w:eastAsia="宋体" w:hAnsi="Times New Roman" w:cs="Times New Roman" w:hint="eastAsia"/>
          <w:color w:val="auto"/>
          <w:sz w:val="24"/>
          <w:szCs w:val="24"/>
          <w:lang w:eastAsia="zh-CN"/>
        </w:rPr>
        <w:t>米，榆林湾</w:t>
      </w:r>
      <w:r>
        <w:rPr>
          <w:rFonts w:ascii="Times New Roman" w:eastAsia="宋体" w:hAnsi="Times New Roman" w:cs="Times New Roman" w:hint="eastAsia"/>
          <w:color w:val="auto"/>
          <w:sz w:val="24"/>
          <w:szCs w:val="24"/>
          <w:lang w:eastAsia="zh-CN"/>
        </w:rPr>
        <w:t>06</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hint="eastAsia"/>
          <w:color w:val="auto"/>
          <w:sz w:val="24"/>
          <w:szCs w:val="24"/>
          <w:lang w:eastAsia="zh-CN"/>
        </w:rPr>
        <w:t>0.8</w:t>
      </w:r>
      <w:r>
        <w:rPr>
          <w:rFonts w:ascii="Times New Roman" w:eastAsia="宋体" w:hAnsi="Times New Roman" w:cs="Times New Roman" w:hint="eastAsia"/>
          <w:color w:val="auto"/>
          <w:sz w:val="24"/>
          <w:szCs w:val="24"/>
          <w:lang w:eastAsia="zh-CN"/>
        </w:rPr>
        <w:t>米，冬季平均波高在榆林湾为</w:t>
      </w:r>
      <w:r>
        <w:rPr>
          <w:rFonts w:ascii="Times New Roman" w:eastAsia="宋体" w:hAnsi="Times New Roman" w:cs="Times New Roman" w:hint="eastAsia"/>
          <w:color w:val="auto"/>
          <w:sz w:val="24"/>
          <w:szCs w:val="24"/>
          <w:lang w:eastAsia="zh-CN"/>
        </w:rPr>
        <w:t>0.2</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hint="eastAsia"/>
          <w:color w:val="auto"/>
          <w:sz w:val="24"/>
          <w:szCs w:val="24"/>
          <w:lang w:eastAsia="zh-CN"/>
        </w:rPr>
        <w:t>0.3</w:t>
      </w:r>
      <w:r>
        <w:rPr>
          <w:rFonts w:ascii="Times New Roman" w:eastAsia="宋体" w:hAnsi="Times New Roman" w:cs="Times New Roman" w:hint="eastAsia"/>
          <w:color w:val="auto"/>
          <w:sz w:val="24"/>
          <w:szCs w:val="24"/>
          <w:lang w:eastAsia="zh-CN"/>
        </w:rPr>
        <w:t>米。在台风期间榆林湾最大波高可达</w:t>
      </w:r>
      <w:r>
        <w:rPr>
          <w:rFonts w:ascii="Times New Roman" w:eastAsia="宋体" w:hAnsi="Times New Roman" w:cs="Times New Roman" w:hint="eastAsia"/>
          <w:color w:val="auto"/>
          <w:sz w:val="24"/>
          <w:szCs w:val="24"/>
          <w:lang w:eastAsia="zh-CN"/>
        </w:rPr>
        <w:t>4.6</w:t>
      </w:r>
      <w:r>
        <w:rPr>
          <w:rFonts w:ascii="Times New Roman" w:eastAsia="宋体" w:hAnsi="Times New Roman" w:cs="Times New Roman" w:hint="eastAsia"/>
          <w:color w:val="auto"/>
          <w:sz w:val="24"/>
          <w:szCs w:val="24"/>
          <w:lang w:eastAsia="zh-CN"/>
        </w:rPr>
        <w:t>米，冬季为</w:t>
      </w:r>
      <w:r>
        <w:rPr>
          <w:rFonts w:ascii="Times New Roman" w:eastAsia="宋体" w:hAnsi="Times New Roman" w:cs="Times New Roman" w:hint="eastAsia"/>
          <w:color w:val="auto"/>
          <w:sz w:val="24"/>
          <w:szCs w:val="24"/>
          <w:lang w:eastAsia="zh-CN"/>
        </w:rPr>
        <w:t>1.8</w:t>
      </w:r>
      <w:r>
        <w:rPr>
          <w:rFonts w:ascii="Times New Roman" w:eastAsia="宋体" w:hAnsi="Times New Roman" w:cs="Times New Roman" w:hint="eastAsia"/>
          <w:color w:val="auto"/>
          <w:sz w:val="24"/>
          <w:szCs w:val="24"/>
          <w:lang w:eastAsia="zh-CN"/>
        </w:rPr>
        <w:t>米。据风场及牙笼湾实测资料，结合海棠湾附近海域的特点，分析本项目用海区域风浪的基本特征。</w:t>
      </w:r>
    </w:p>
    <w:p w14:paraId="78B652F1" w14:textId="77777777" w:rsidR="0075791A" w:rsidRDefault="00FB2864">
      <w:pPr>
        <w:spacing w:line="360" w:lineRule="auto"/>
        <w:ind w:firstLineChars="200" w:firstLine="480"/>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hint="eastAsia"/>
          <w:color w:val="auto"/>
          <w:sz w:val="24"/>
          <w:szCs w:val="24"/>
          <w:lang w:eastAsia="zh-CN"/>
        </w:rPr>
        <w:t>1</w:t>
      </w:r>
      <w:r>
        <w:rPr>
          <w:rFonts w:ascii="Times New Roman" w:eastAsia="宋体" w:hAnsi="Times New Roman" w:cs="Times New Roman" w:hint="eastAsia"/>
          <w:color w:val="auto"/>
          <w:sz w:val="24"/>
          <w:szCs w:val="24"/>
          <w:lang w:eastAsia="zh-CN"/>
        </w:rPr>
        <w:t>）平均波高</w:t>
      </w:r>
    </w:p>
    <w:p w14:paraId="0598DC85" w14:textId="77777777" w:rsidR="0075791A" w:rsidRDefault="00FB2864">
      <w:pPr>
        <w:spacing w:line="360" w:lineRule="auto"/>
        <w:ind w:firstLineChars="200" w:firstLine="480"/>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t>全年各向平均波高以</w:t>
      </w:r>
      <w:r>
        <w:rPr>
          <w:rFonts w:ascii="Times New Roman" w:eastAsia="宋体" w:hAnsi="Times New Roman" w:cs="Times New Roman" w:hint="eastAsia"/>
          <w:color w:val="auto"/>
          <w:sz w:val="24"/>
          <w:szCs w:val="24"/>
          <w:lang w:eastAsia="zh-CN"/>
        </w:rPr>
        <w:t>E</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hint="eastAsia"/>
          <w:color w:val="auto"/>
          <w:sz w:val="24"/>
          <w:szCs w:val="24"/>
          <w:lang w:eastAsia="zh-CN"/>
        </w:rPr>
        <w:t>ENE</w:t>
      </w:r>
      <w:r>
        <w:rPr>
          <w:rFonts w:ascii="Times New Roman" w:eastAsia="宋体" w:hAnsi="Times New Roman" w:cs="Times New Roman" w:hint="eastAsia"/>
          <w:color w:val="auto"/>
          <w:sz w:val="24"/>
          <w:szCs w:val="24"/>
          <w:lang w:eastAsia="zh-CN"/>
        </w:rPr>
        <w:t>向最大，平均值为</w:t>
      </w:r>
      <w:r>
        <w:rPr>
          <w:rFonts w:ascii="Times New Roman" w:eastAsia="宋体" w:hAnsi="Times New Roman" w:cs="Times New Roman" w:hint="eastAsia"/>
          <w:color w:val="auto"/>
          <w:sz w:val="24"/>
          <w:szCs w:val="24"/>
          <w:lang w:eastAsia="zh-CN"/>
        </w:rPr>
        <w:t>0.6</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hint="eastAsia"/>
          <w:color w:val="auto"/>
          <w:sz w:val="24"/>
          <w:szCs w:val="24"/>
          <w:lang w:eastAsia="zh-CN"/>
        </w:rPr>
        <w:t>0.8m</w:t>
      </w:r>
      <w:r>
        <w:rPr>
          <w:rFonts w:ascii="Times New Roman" w:eastAsia="宋体" w:hAnsi="Times New Roman" w:cs="Times New Roman" w:hint="eastAsia"/>
          <w:color w:val="auto"/>
          <w:sz w:val="24"/>
          <w:szCs w:val="24"/>
          <w:lang w:eastAsia="zh-CN"/>
        </w:rPr>
        <w:t>，而</w:t>
      </w:r>
      <w:r>
        <w:rPr>
          <w:rFonts w:ascii="Times New Roman" w:eastAsia="宋体" w:hAnsi="Times New Roman" w:cs="Times New Roman" w:hint="eastAsia"/>
          <w:color w:val="auto"/>
          <w:sz w:val="24"/>
          <w:szCs w:val="24"/>
          <w:lang w:eastAsia="zh-CN"/>
        </w:rPr>
        <w:t>S</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hint="eastAsia"/>
          <w:color w:val="auto"/>
          <w:sz w:val="24"/>
          <w:szCs w:val="24"/>
          <w:lang w:eastAsia="zh-CN"/>
        </w:rPr>
        <w:t>SSE</w:t>
      </w:r>
      <w:r>
        <w:rPr>
          <w:rFonts w:ascii="Times New Roman" w:eastAsia="宋体" w:hAnsi="Times New Roman" w:cs="Times New Roman" w:hint="eastAsia"/>
          <w:color w:val="auto"/>
          <w:sz w:val="24"/>
          <w:szCs w:val="24"/>
          <w:lang w:eastAsia="zh-CN"/>
        </w:rPr>
        <w:t>和</w:t>
      </w:r>
      <w:r>
        <w:rPr>
          <w:rFonts w:ascii="Times New Roman" w:eastAsia="宋体" w:hAnsi="Times New Roman" w:cs="Times New Roman" w:hint="eastAsia"/>
          <w:color w:val="auto"/>
          <w:sz w:val="24"/>
          <w:szCs w:val="24"/>
          <w:lang w:eastAsia="zh-CN"/>
        </w:rPr>
        <w:t>NW</w:t>
      </w:r>
      <w:r>
        <w:rPr>
          <w:rFonts w:ascii="Times New Roman" w:eastAsia="宋体" w:hAnsi="Times New Roman" w:cs="Times New Roman" w:hint="eastAsia"/>
          <w:color w:val="auto"/>
          <w:sz w:val="24"/>
          <w:szCs w:val="24"/>
          <w:lang w:eastAsia="zh-CN"/>
        </w:rPr>
        <w:t>向较小，</w:t>
      </w:r>
      <w:r>
        <w:rPr>
          <w:rFonts w:ascii="Times New Roman" w:eastAsia="宋体" w:hAnsi="Times New Roman" w:cs="Times New Roman" w:hint="eastAsia"/>
          <w:color w:val="auto"/>
          <w:sz w:val="24"/>
          <w:szCs w:val="24"/>
          <w:lang w:eastAsia="zh-CN"/>
        </w:rPr>
        <w:t>均为</w:t>
      </w:r>
      <w:r>
        <w:rPr>
          <w:rFonts w:ascii="Times New Roman" w:eastAsia="宋体" w:hAnsi="Times New Roman" w:cs="Times New Roman" w:hint="eastAsia"/>
          <w:color w:val="auto"/>
          <w:sz w:val="24"/>
          <w:szCs w:val="24"/>
          <w:lang w:eastAsia="zh-CN"/>
        </w:rPr>
        <w:t>0.3m</w:t>
      </w:r>
      <w:r>
        <w:rPr>
          <w:rFonts w:ascii="Times New Roman" w:eastAsia="宋体" w:hAnsi="Times New Roman" w:cs="Times New Roman" w:hint="eastAsia"/>
          <w:color w:val="auto"/>
          <w:sz w:val="24"/>
          <w:szCs w:val="24"/>
          <w:lang w:eastAsia="zh-CN"/>
        </w:rPr>
        <w:t>，其余各向平均值在</w:t>
      </w:r>
      <w:r>
        <w:rPr>
          <w:rFonts w:ascii="Times New Roman" w:eastAsia="宋体" w:hAnsi="Times New Roman" w:cs="Times New Roman" w:hint="eastAsia"/>
          <w:color w:val="auto"/>
          <w:sz w:val="24"/>
          <w:szCs w:val="24"/>
          <w:lang w:eastAsia="zh-CN"/>
        </w:rPr>
        <w:t>0.4</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hint="eastAsia"/>
          <w:color w:val="auto"/>
          <w:sz w:val="24"/>
          <w:szCs w:val="24"/>
          <w:lang w:eastAsia="zh-CN"/>
        </w:rPr>
        <w:t>0.5m</w:t>
      </w:r>
      <w:r>
        <w:rPr>
          <w:rFonts w:ascii="Times New Roman" w:eastAsia="宋体" w:hAnsi="Times New Roman" w:cs="Times New Roman" w:hint="eastAsia"/>
          <w:color w:val="auto"/>
          <w:sz w:val="24"/>
          <w:szCs w:val="24"/>
          <w:lang w:eastAsia="zh-CN"/>
        </w:rPr>
        <w:t>之间。平均波高频率分布见图</w:t>
      </w:r>
      <w:r>
        <w:rPr>
          <w:rFonts w:ascii="Times New Roman" w:eastAsia="宋体" w:hAnsi="Times New Roman" w:cs="Times New Roman" w:hint="eastAsia"/>
          <w:color w:val="auto"/>
          <w:sz w:val="24"/>
          <w:szCs w:val="24"/>
          <w:lang w:eastAsia="zh-CN"/>
        </w:rPr>
        <w:t>3.2.2-11</w:t>
      </w:r>
      <w:r>
        <w:rPr>
          <w:rFonts w:ascii="Times New Roman" w:eastAsia="宋体" w:hAnsi="Times New Roman" w:cs="Times New Roman" w:hint="eastAsia"/>
          <w:color w:val="auto"/>
          <w:sz w:val="24"/>
          <w:szCs w:val="24"/>
          <w:lang w:eastAsia="zh-CN"/>
        </w:rPr>
        <w:t>。</w:t>
      </w:r>
    </w:p>
    <w:p w14:paraId="545087CC" w14:textId="77777777" w:rsidR="0075791A" w:rsidRDefault="0075791A">
      <w:pPr>
        <w:spacing w:line="360" w:lineRule="auto"/>
        <w:jc w:val="center"/>
        <w:rPr>
          <w:rFonts w:ascii="Times New Roman" w:hAnsi="Times New Roman"/>
          <w:color w:val="auto"/>
          <w:lang w:eastAsia="zh-CN"/>
        </w:rPr>
      </w:pPr>
    </w:p>
    <w:p w14:paraId="307680C4" w14:textId="77777777" w:rsidR="0075791A" w:rsidRDefault="00FB2864">
      <w:pPr>
        <w:pStyle w:val="TableText"/>
        <w:spacing w:line="360" w:lineRule="auto"/>
        <w:jc w:val="center"/>
        <w:rPr>
          <w:rFonts w:ascii="Times New Roman" w:hAnsi="Times New Roman"/>
          <w:color w:val="auto"/>
          <w:lang w:eastAsia="zh-CN"/>
        </w:rPr>
      </w:pPr>
      <w:r>
        <w:rPr>
          <w:rFonts w:ascii="Times New Roman" w:hAnsi="Times New Roman"/>
          <w:color w:val="auto"/>
          <w:spacing w:val="-3"/>
          <w:lang w:eastAsia="zh-CN"/>
        </w:rPr>
        <w:t>图</w:t>
      </w:r>
      <w:r>
        <w:rPr>
          <w:rFonts w:ascii="Times New Roman" w:hAnsi="Times New Roman" w:hint="eastAsia"/>
          <w:color w:val="auto"/>
          <w:spacing w:val="-3"/>
          <w:lang w:eastAsia="zh-CN"/>
        </w:rPr>
        <w:t>3.</w:t>
      </w:r>
      <w:r>
        <w:rPr>
          <w:rFonts w:ascii="Times New Roman" w:hAnsi="Times New Roman"/>
          <w:color w:val="auto"/>
          <w:spacing w:val="-3"/>
          <w:lang w:eastAsia="zh-CN"/>
        </w:rPr>
        <w:t>2.2-1</w:t>
      </w:r>
      <w:r>
        <w:rPr>
          <w:rFonts w:ascii="Times New Roman" w:hAnsi="Times New Roman" w:hint="eastAsia"/>
          <w:color w:val="auto"/>
          <w:spacing w:val="-3"/>
          <w:lang w:eastAsia="zh-CN"/>
        </w:rPr>
        <w:t>1</w:t>
      </w:r>
      <w:r>
        <w:rPr>
          <w:rFonts w:ascii="Times New Roman" w:hAnsi="Times New Roman"/>
          <w:color w:val="auto"/>
          <w:spacing w:val="-3"/>
          <w:lang w:eastAsia="zh-CN"/>
        </w:rPr>
        <w:t>平均波高频率图</w:t>
      </w:r>
    </w:p>
    <w:p w14:paraId="4D36A902" w14:textId="77777777" w:rsidR="0075791A" w:rsidRDefault="00FB2864">
      <w:pPr>
        <w:spacing w:line="360" w:lineRule="auto"/>
        <w:ind w:firstLineChars="200" w:firstLine="480"/>
        <w:jc w:val="both"/>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hint="eastAsia"/>
          <w:color w:val="auto"/>
          <w:sz w:val="24"/>
          <w:szCs w:val="24"/>
          <w:lang w:eastAsia="zh-CN"/>
        </w:rPr>
        <w:t>2</w:t>
      </w:r>
      <w:r>
        <w:rPr>
          <w:rFonts w:ascii="Times New Roman" w:eastAsia="宋体" w:hAnsi="Times New Roman" w:cs="Times New Roman" w:hint="eastAsia"/>
          <w:color w:val="auto"/>
          <w:sz w:val="24"/>
          <w:szCs w:val="24"/>
          <w:lang w:eastAsia="zh-CN"/>
        </w:rPr>
        <w:t>）实测最大波高</w:t>
      </w:r>
    </w:p>
    <w:p w14:paraId="44FE8858" w14:textId="77777777" w:rsidR="0075791A" w:rsidRDefault="00FB2864">
      <w:pPr>
        <w:spacing w:line="360" w:lineRule="auto"/>
        <w:ind w:firstLineChars="200" w:firstLine="480"/>
        <w:jc w:val="both"/>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t>根据蜈支洲岛南部的牙龙湾一年的波浪观测资料分析，本区实测最大波高以东至东北向较大，其值为</w:t>
      </w:r>
      <w:r>
        <w:rPr>
          <w:rFonts w:ascii="Times New Roman" w:eastAsia="宋体" w:hAnsi="Times New Roman" w:cs="Times New Roman" w:hint="eastAsia"/>
          <w:color w:val="auto"/>
          <w:sz w:val="24"/>
          <w:szCs w:val="24"/>
          <w:lang w:eastAsia="zh-CN"/>
        </w:rPr>
        <w:t>2.2</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hint="eastAsia"/>
          <w:color w:val="auto"/>
          <w:sz w:val="24"/>
          <w:szCs w:val="24"/>
          <w:lang w:eastAsia="zh-CN"/>
        </w:rPr>
        <w:t>3.6m</w:t>
      </w:r>
      <w:r>
        <w:rPr>
          <w:rFonts w:ascii="Times New Roman" w:eastAsia="宋体" w:hAnsi="Times New Roman" w:cs="Times New Roman" w:hint="eastAsia"/>
          <w:color w:val="auto"/>
          <w:sz w:val="24"/>
          <w:szCs w:val="24"/>
          <w:lang w:eastAsia="zh-CN"/>
        </w:rPr>
        <w:t>，而南西南向最大值为</w:t>
      </w:r>
      <w:r>
        <w:rPr>
          <w:rFonts w:ascii="Times New Roman" w:eastAsia="宋体" w:hAnsi="Times New Roman" w:cs="Times New Roman" w:hint="eastAsia"/>
          <w:color w:val="auto"/>
          <w:sz w:val="24"/>
          <w:szCs w:val="24"/>
          <w:lang w:eastAsia="zh-CN"/>
        </w:rPr>
        <w:t>0.3m</w:t>
      </w:r>
      <w:r>
        <w:rPr>
          <w:rFonts w:ascii="Times New Roman" w:eastAsia="宋体" w:hAnsi="Times New Roman" w:cs="Times New Roman" w:hint="eastAsia"/>
          <w:color w:val="auto"/>
          <w:sz w:val="24"/>
          <w:szCs w:val="24"/>
          <w:lang w:eastAsia="zh-CN"/>
        </w:rPr>
        <w:t>，其余各向最大波高在</w:t>
      </w:r>
      <w:r>
        <w:rPr>
          <w:rFonts w:ascii="Times New Roman" w:eastAsia="宋体" w:hAnsi="Times New Roman" w:cs="Times New Roman" w:hint="eastAsia"/>
          <w:color w:val="auto"/>
          <w:sz w:val="24"/>
          <w:szCs w:val="24"/>
          <w:lang w:eastAsia="zh-CN"/>
        </w:rPr>
        <w:t>0.5~1.7m</w:t>
      </w:r>
      <w:r>
        <w:rPr>
          <w:rFonts w:ascii="Times New Roman" w:eastAsia="宋体" w:hAnsi="Times New Roman" w:cs="Times New Roman" w:hint="eastAsia"/>
          <w:color w:val="auto"/>
          <w:sz w:val="24"/>
          <w:szCs w:val="24"/>
          <w:lang w:eastAsia="zh-CN"/>
        </w:rPr>
        <w:t>之间。</w:t>
      </w:r>
    </w:p>
    <w:p w14:paraId="73C170E8" w14:textId="77777777" w:rsidR="0075791A" w:rsidRDefault="00FB2864">
      <w:pPr>
        <w:spacing w:line="360" w:lineRule="auto"/>
        <w:ind w:firstLineChars="200" w:firstLine="480"/>
        <w:jc w:val="both"/>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hint="eastAsia"/>
          <w:color w:val="auto"/>
          <w:sz w:val="24"/>
          <w:szCs w:val="24"/>
          <w:lang w:eastAsia="zh-CN"/>
        </w:rPr>
        <w:t>3</w:t>
      </w:r>
      <w:r>
        <w:rPr>
          <w:rFonts w:ascii="Times New Roman" w:eastAsia="宋体" w:hAnsi="Times New Roman" w:cs="Times New Roman" w:hint="eastAsia"/>
          <w:color w:val="auto"/>
          <w:sz w:val="24"/>
          <w:szCs w:val="24"/>
          <w:lang w:eastAsia="zh-CN"/>
        </w:rPr>
        <w:t>）波高累积频率分布</w:t>
      </w:r>
    </w:p>
    <w:p w14:paraId="5F15656C" w14:textId="77777777" w:rsidR="0075791A" w:rsidRDefault="00FB2864">
      <w:pPr>
        <w:spacing w:line="360" w:lineRule="auto"/>
        <w:ind w:firstLineChars="200" w:firstLine="480"/>
        <w:jc w:val="both"/>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lastRenderedPageBreak/>
        <w:t>本区波浪以</w:t>
      </w:r>
      <w:r>
        <w:rPr>
          <w:rFonts w:ascii="Times New Roman" w:eastAsia="宋体" w:hAnsi="Times New Roman" w:cs="Times New Roman" w:hint="eastAsia"/>
          <w:color w:val="auto"/>
          <w:sz w:val="24"/>
          <w:szCs w:val="24"/>
          <w:lang w:eastAsia="zh-CN"/>
        </w:rPr>
        <w:t>1-2</w:t>
      </w:r>
      <w:r>
        <w:rPr>
          <w:rFonts w:ascii="Times New Roman" w:eastAsia="宋体" w:hAnsi="Times New Roman" w:cs="Times New Roman" w:hint="eastAsia"/>
          <w:color w:val="auto"/>
          <w:sz w:val="24"/>
          <w:szCs w:val="24"/>
          <w:lang w:eastAsia="zh-CN"/>
        </w:rPr>
        <w:t>级为主，其累积频率见下表</w:t>
      </w:r>
      <w:r>
        <w:rPr>
          <w:rFonts w:ascii="Times New Roman" w:eastAsia="宋体" w:hAnsi="Times New Roman" w:cs="Times New Roman" w:hint="eastAsia"/>
          <w:color w:val="auto"/>
          <w:sz w:val="24"/>
          <w:szCs w:val="24"/>
          <w:lang w:eastAsia="zh-CN"/>
        </w:rPr>
        <w:t>3.2.2-6</w:t>
      </w:r>
      <w:r>
        <w:rPr>
          <w:rFonts w:ascii="Times New Roman" w:eastAsia="宋体" w:hAnsi="Times New Roman" w:cs="Times New Roman" w:hint="eastAsia"/>
          <w:color w:val="auto"/>
          <w:sz w:val="24"/>
          <w:szCs w:val="24"/>
          <w:lang w:eastAsia="zh-CN"/>
        </w:rPr>
        <w:t>。</w:t>
      </w:r>
    </w:p>
    <w:p w14:paraId="52E0C4DD" w14:textId="77777777" w:rsidR="0075791A" w:rsidRDefault="00FB2864">
      <w:pPr>
        <w:pStyle w:val="TableText"/>
        <w:jc w:val="center"/>
        <w:rPr>
          <w:rFonts w:ascii="Times New Roman" w:hAnsi="Times New Roman"/>
          <w:color w:val="auto"/>
        </w:rPr>
      </w:pPr>
      <w:r>
        <w:rPr>
          <w:rFonts w:ascii="Times New Roman" w:hAnsi="Times New Roman"/>
          <w:color w:val="auto"/>
          <w:spacing w:val="-1"/>
        </w:rPr>
        <w:t>表</w:t>
      </w:r>
      <w:r>
        <w:rPr>
          <w:rFonts w:ascii="Times New Roman" w:hAnsi="Times New Roman" w:hint="eastAsia"/>
          <w:color w:val="auto"/>
          <w:spacing w:val="-1"/>
          <w:lang w:eastAsia="zh-CN"/>
        </w:rPr>
        <w:t>3.</w:t>
      </w:r>
      <w:r>
        <w:rPr>
          <w:rFonts w:ascii="Times New Roman" w:hAnsi="Times New Roman"/>
          <w:color w:val="auto"/>
          <w:spacing w:val="-1"/>
        </w:rPr>
        <w:t>2.2-</w:t>
      </w:r>
      <w:r>
        <w:rPr>
          <w:rFonts w:ascii="Times New Roman" w:hAnsi="Times New Roman" w:hint="eastAsia"/>
          <w:color w:val="auto"/>
          <w:spacing w:val="-1"/>
          <w:lang w:eastAsia="zh-CN"/>
        </w:rPr>
        <w:t>6</w:t>
      </w:r>
      <w:r>
        <w:rPr>
          <w:rFonts w:ascii="Times New Roman" w:hAnsi="Times New Roman"/>
          <w:color w:val="auto"/>
          <w:spacing w:val="-1"/>
        </w:rPr>
        <w:t>本区波浪累积频率</w:t>
      </w:r>
    </w:p>
    <w:tbl>
      <w:tblPr>
        <w:tblStyle w:val="TableNormal"/>
        <w:tblW w:w="8538" w:type="dxa"/>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5"/>
        <w:gridCol w:w="2069"/>
        <w:gridCol w:w="4754"/>
      </w:tblGrid>
      <w:tr w:rsidR="0075791A" w14:paraId="03030259" w14:textId="77777777">
        <w:trPr>
          <w:trHeight w:val="330"/>
        </w:trPr>
        <w:tc>
          <w:tcPr>
            <w:tcW w:w="1715" w:type="dxa"/>
          </w:tcPr>
          <w:p w14:paraId="13ED29F4" w14:textId="77777777" w:rsidR="0075791A" w:rsidRDefault="00FB2864">
            <w:pPr>
              <w:pStyle w:val="TableText"/>
              <w:spacing w:before="63" w:line="221" w:lineRule="auto"/>
              <w:ind w:left="896"/>
              <w:rPr>
                <w:rFonts w:ascii="Times New Roman" w:hAnsi="Times New Roman"/>
                <w:color w:val="auto"/>
                <w:sz w:val="21"/>
                <w:szCs w:val="21"/>
              </w:rPr>
            </w:pPr>
            <w:r>
              <w:rPr>
                <w:rFonts w:ascii="Times New Roman" w:hAnsi="Times New Roman"/>
                <w:color w:val="auto"/>
                <w:spacing w:val="-2"/>
                <w:sz w:val="21"/>
                <w:szCs w:val="21"/>
              </w:rPr>
              <w:t>波级</w:t>
            </w:r>
          </w:p>
        </w:tc>
        <w:tc>
          <w:tcPr>
            <w:tcW w:w="2069" w:type="dxa"/>
          </w:tcPr>
          <w:p w14:paraId="0C6F3D0D" w14:textId="77777777" w:rsidR="0075791A" w:rsidRDefault="00FB2864">
            <w:pPr>
              <w:pStyle w:val="TableText"/>
              <w:spacing w:before="62" w:line="221" w:lineRule="auto"/>
              <w:ind w:left="1071"/>
              <w:rPr>
                <w:rFonts w:ascii="Times New Roman" w:hAnsi="Times New Roman"/>
                <w:color w:val="auto"/>
                <w:sz w:val="21"/>
                <w:szCs w:val="21"/>
              </w:rPr>
            </w:pPr>
            <w:r>
              <w:rPr>
                <w:rFonts w:ascii="Times New Roman" w:hAnsi="Times New Roman"/>
                <w:color w:val="auto"/>
                <w:spacing w:val="-2"/>
                <w:sz w:val="21"/>
                <w:szCs w:val="21"/>
              </w:rPr>
              <w:t>波高</w:t>
            </w:r>
          </w:p>
        </w:tc>
        <w:tc>
          <w:tcPr>
            <w:tcW w:w="4754" w:type="dxa"/>
          </w:tcPr>
          <w:p w14:paraId="2285D32C" w14:textId="77777777" w:rsidR="0075791A" w:rsidRDefault="00FB2864">
            <w:pPr>
              <w:pStyle w:val="TableText"/>
              <w:spacing w:before="62" w:line="221" w:lineRule="auto"/>
              <w:ind w:left="2254"/>
              <w:rPr>
                <w:rFonts w:ascii="Times New Roman" w:hAnsi="Times New Roman"/>
                <w:color w:val="auto"/>
                <w:sz w:val="21"/>
                <w:szCs w:val="21"/>
              </w:rPr>
            </w:pPr>
            <w:r>
              <w:rPr>
                <w:rFonts w:ascii="Times New Roman" w:hAnsi="Times New Roman"/>
                <w:color w:val="auto"/>
                <w:spacing w:val="-1"/>
                <w:sz w:val="21"/>
                <w:szCs w:val="21"/>
              </w:rPr>
              <w:t>频率</w:t>
            </w:r>
            <w:r>
              <w:rPr>
                <w:rFonts w:ascii="Times New Roman" w:hAnsi="Times New Roman"/>
                <w:color w:val="auto"/>
                <w:spacing w:val="-1"/>
                <w:sz w:val="21"/>
                <w:szCs w:val="21"/>
              </w:rPr>
              <w:t>(%)</w:t>
            </w:r>
          </w:p>
        </w:tc>
      </w:tr>
      <w:tr w:rsidR="0075791A" w14:paraId="5FAE8D8E" w14:textId="77777777">
        <w:trPr>
          <w:trHeight w:val="289"/>
        </w:trPr>
        <w:tc>
          <w:tcPr>
            <w:tcW w:w="1715" w:type="dxa"/>
          </w:tcPr>
          <w:p w14:paraId="257DCF20" w14:textId="77777777" w:rsidR="0075791A" w:rsidRDefault="00FB2864">
            <w:pPr>
              <w:pStyle w:val="TableText"/>
              <w:spacing w:before="37" w:line="212" w:lineRule="auto"/>
              <w:ind w:left="897"/>
              <w:rPr>
                <w:rFonts w:ascii="Times New Roman" w:hAnsi="Times New Roman"/>
                <w:color w:val="auto"/>
                <w:sz w:val="21"/>
                <w:szCs w:val="21"/>
              </w:rPr>
            </w:pPr>
            <w:r>
              <w:rPr>
                <w:rFonts w:ascii="Times New Roman" w:hAnsi="Times New Roman"/>
                <w:color w:val="auto"/>
                <w:spacing w:val="-3"/>
                <w:sz w:val="21"/>
                <w:szCs w:val="21"/>
              </w:rPr>
              <w:t>0</w:t>
            </w:r>
            <w:r>
              <w:rPr>
                <w:rFonts w:ascii="Times New Roman" w:hAnsi="Times New Roman"/>
                <w:color w:val="auto"/>
                <w:spacing w:val="-3"/>
                <w:sz w:val="21"/>
                <w:szCs w:val="21"/>
              </w:rPr>
              <w:t>～</w:t>
            </w:r>
            <w:r>
              <w:rPr>
                <w:rFonts w:ascii="Times New Roman" w:hAnsi="Times New Roman"/>
                <w:color w:val="auto"/>
                <w:spacing w:val="-3"/>
                <w:sz w:val="21"/>
                <w:szCs w:val="21"/>
              </w:rPr>
              <w:t>2</w:t>
            </w:r>
          </w:p>
        </w:tc>
        <w:tc>
          <w:tcPr>
            <w:tcW w:w="2069" w:type="dxa"/>
          </w:tcPr>
          <w:p w14:paraId="667FBA58" w14:textId="77777777" w:rsidR="0075791A" w:rsidRDefault="00FB2864">
            <w:pPr>
              <w:pStyle w:val="TableText"/>
              <w:spacing w:before="37" w:line="212" w:lineRule="auto"/>
              <w:ind w:left="863"/>
              <w:rPr>
                <w:rFonts w:ascii="Times New Roman" w:hAnsi="Times New Roman"/>
                <w:color w:val="auto"/>
                <w:sz w:val="21"/>
                <w:szCs w:val="21"/>
              </w:rPr>
            </w:pPr>
            <w:r>
              <w:rPr>
                <w:rFonts w:ascii="Times New Roman" w:hAnsi="Times New Roman"/>
                <w:color w:val="auto"/>
                <w:spacing w:val="-1"/>
                <w:sz w:val="21"/>
                <w:szCs w:val="21"/>
              </w:rPr>
              <w:t>0.0</w:t>
            </w:r>
            <w:r>
              <w:rPr>
                <w:rFonts w:ascii="Times New Roman" w:hAnsi="Times New Roman"/>
                <w:color w:val="auto"/>
                <w:spacing w:val="-1"/>
                <w:sz w:val="21"/>
                <w:szCs w:val="21"/>
              </w:rPr>
              <w:t>～</w:t>
            </w:r>
            <w:r>
              <w:rPr>
                <w:rFonts w:ascii="Times New Roman" w:hAnsi="Times New Roman"/>
                <w:color w:val="auto"/>
                <w:spacing w:val="-1"/>
                <w:sz w:val="21"/>
                <w:szCs w:val="21"/>
              </w:rPr>
              <w:t>0.7</w:t>
            </w:r>
          </w:p>
        </w:tc>
        <w:tc>
          <w:tcPr>
            <w:tcW w:w="4754" w:type="dxa"/>
          </w:tcPr>
          <w:p w14:paraId="4D1CA9E5" w14:textId="77777777" w:rsidR="0075791A" w:rsidRDefault="00FB2864">
            <w:pPr>
              <w:pStyle w:val="TableText"/>
              <w:spacing w:before="73" w:line="181" w:lineRule="auto"/>
              <w:ind w:left="2516"/>
              <w:rPr>
                <w:rFonts w:ascii="Times New Roman" w:hAnsi="Times New Roman"/>
                <w:color w:val="auto"/>
                <w:sz w:val="21"/>
                <w:szCs w:val="21"/>
              </w:rPr>
            </w:pPr>
            <w:r>
              <w:rPr>
                <w:rFonts w:ascii="Times New Roman" w:hAnsi="Times New Roman"/>
                <w:color w:val="auto"/>
                <w:spacing w:val="-2"/>
                <w:sz w:val="21"/>
                <w:szCs w:val="21"/>
              </w:rPr>
              <w:t>93</w:t>
            </w:r>
          </w:p>
        </w:tc>
      </w:tr>
      <w:tr w:rsidR="0075791A" w14:paraId="640F5A0D" w14:textId="77777777">
        <w:trPr>
          <w:trHeight w:val="289"/>
        </w:trPr>
        <w:tc>
          <w:tcPr>
            <w:tcW w:w="1715" w:type="dxa"/>
          </w:tcPr>
          <w:p w14:paraId="467978D9" w14:textId="77777777" w:rsidR="0075791A" w:rsidRDefault="00FB2864">
            <w:pPr>
              <w:pStyle w:val="TableText"/>
              <w:spacing w:before="69" w:line="182" w:lineRule="auto"/>
              <w:ind w:left="1056"/>
              <w:rPr>
                <w:rFonts w:ascii="Times New Roman" w:hAnsi="Times New Roman"/>
                <w:color w:val="auto"/>
                <w:sz w:val="21"/>
                <w:szCs w:val="21"/>
              </w:rPr>
            </w:pPr>
            <w:r>
              <w:rPr>
                <w:rFonts w:ascii="Times New Roman" w:hAnsi="Times New Roman"/>
                <w:color w:val="auto"/>
                <w:sz w:val="21"/>
                <w:szCs w:val="21"/>
              </w:rPr>
              <w:t>3</w:t>
            </w:r>
          </w:p>
        </w:tc>
        <w:tc>
          <w:tcPr>
            <w:tcW w:w="2069" w:type="dxa"/>
          </w:tcPr>
          <w:p w14:paraId="3D1DE4C4" w14:textId="77777777" w:rsidR="0075791A" w:rsidRDefault="00FB2864">
            <w:pPr>
              <w:pStyle w:val="TableText"/>
              <w:spacing w:before="34" w:line="215" w:lineRule="auto"/>
              <w:ind w:left="863"/>
              <w:rPr>
                <w:rFonts w:ascii="Times New Roman" w:hAnsi="Times New Roman"/>
                <w:color w:val="auto"/>
                <w:sz w:val="21"/>
                <w:szCs w:val="21"/>
              </w:rPr>
            </w:pPr>
            <w:r>
              <w:rPr>
                <w:rFonts w:ascii="Times New Roman" w:hAnsi="Times New Roman"/>
                <w:color w:val="auto"/>
                <w:spacing w:val="-1"/>
                <w:sz w:val="21"/>
                <w:szCs w:val="21"/>
              </w:rPr>
              <w:t>0.8</w:t>
            </w:r>
            <w:r>
              <w:rPr>
                <w:rFonts w:ascii="Times New Roman" w:hAnsi="Times New Roman"/>
                <w:color w:val="auto"/>
                <w:spacing w:val="-1"/>
                <w:sz w:val="21"/>
                <w:szCs w:val="21"/>
              </w:rPr>
              <w:t>～</w:t>
            </w:r>
            <w:r>
              <w:rPr>
                <w:rFonts w:ascii="Times New Roman" w:hAnsi="Times New Roman"/>
                <w:color w:val="auto"/>
                <w:spacing w:val="-1"/>
                <w:sz w:val="21"/>
                <w:szCs w:val="21"/>
              </w:rPr>
              <w:t>1.2</w:t>
            </w:r>
          </w:p>
        </w:tc>
        <w:tc>
          <w:tcPr>
            <w:tcW w:w="4754" w:type="dxa"/>
          </w:tcPr>
          <w:p w14:paraId="3EDDF511" w14:textId="77777777" w:rsidR="0075791A" w:rsidRDefault="00FB2864">
            <w:pPr>
              <w:pStyle w:val="TableText"/>
              <w:spacing w:before="69" w:line="182" w:lineRule="auto"/>
              <w:ind w:left="2570"/>
              <w:rPr>
                <w:rFonts w:ascii="Times New Roman" w:hAnsi="Times New Roman"/>
                <w:color w:val="auto"/>
                <w:sz w:val="21"/>
                <w:szCs w:val="21"/>
              </w:rPr>
            </w:pPr>
            <w:r>
              <w:rPr>
                <w:rFonts w:ascii="Times New Roman" w:hAnsi="Times New Roman"/>
                <w:color w:val="auto"/>
                <w:sz w:val="21"/>
                <w:szCs w:val="21"/>
              </w:rPr>
              <w:t>6</w:t>
            </w:r>
          </w:p>
        </w:tc>
      </w:tr>
      <w:tr w:rsidR="0075791A" w14:paraId="4B287A20" w14:textId="77777777">
        <w:trPr>
          <w:trHeight w:val="289"/>
        </w:trPr>
        <w:tc>
          <w:tcPr>
            <w:tcW w:w="1715" w:type="dxa"/>
          </w:tcPr>
          <w:p w14:paraId="3BFE8C80" w14:textId="77777777" w:rsidR="0075791A" w:rsidRDefault="00FB2864">
            <w:pPr>
              <w:pStyle w:val="TableText"/>
              <w:spacing w:before="68" w:line="182" w:lineRule="auto"/>
              <w:ind w:left="1051"/>
              <w:rPr>
                <w:rFonts w:ascii="Times New Roman" w:hAnsi="Times New Roman"/>
                <w:color w:val="auto"/>
                <w:sz w:val="21"/>
                <w:szCs w:val="21"/>
              </w:rPr>
            </w:pPr>
            <w:r>
              <w:rPr>
                <w:rFonts w:ascii="Times New Roman" w:hAnsi="Times New Roman"/>
                <w:color w:val="auto"/>
                <w:sz w:val="21"/>
                <w:szCs w:val="21"/>
              </w:rPr>
              <w:t>4</w:t>
            </w:r>
          </w:p>
        </w:tc>
        <w:tc>
          <w:tcPr>
            <w:tcW w:w="2069" w:type="dxa"/>
          </w:tcPr>
          <w:p w14:paraId="2F60D3EE" w14:textId="77777777" w:rsidR="0075791A" w:rsidRDefault="00FB2864">
            <w:pPr>
              <w:pStyle w:val="TableText"/>
              <w:spacing w:before="33" w:line="216" w:lineRule="auto"/>
              <w:ind w:left="877"/>
              <w:rPr>
                <w:rFonts w:ascii="Times New Roman" w:hAnsi="Times New Roman"/>
                <w:color w:val="auto"/>
                <w:sz w:val="21"/>
                <w:szCs w:val="21"/>
              </w:rPr>
            </w:pPr>
            <w:r>
              <w:rPr>
                <w:rFonts w:ascii="Times New Roman" w:hAnsi="Times New Roman"/>
                <w:color w:val="auto"/>
                <w:spacing w:val="-3"/>
                <w:sz w:val="21"/>
                <w:szCs w:val="21"/>
              </w:rPr>
              <w:t>1.3</w:t>
            </w:r>
            <w:r>
              <w:rPr>
                <w:rFonts w:ascii="Times New Roman" w:hAnsi="Times New Roman"/>
                <w:color w:val="auto"/>
                <w:spacing w:val="-3"/>
                <w:sz w:val="21"/>
                <w:szCs w:val="21"/>
              </w:rPr>
              <w:t>～</w:t>
            </w:r>
            <w:r>
              <w:rPr>
                <w:rFonts w:ascii="Times New Roman" w:hAnsi="Times New Roman"/>
                <w:color w:val="auto"/>
                <w:spacing w:val="-3"/>
                <w:sz w:val="21"/>
                <w:szCs w:val="21"/>
              </w:rPr>
              <w:t>1.9</w:t>
            </w:r>
          </w:p>
        </w:tc>
        <w:tc>
          <w:tcPr>
            <w:tcW w:w="4754" w:type="dxa"/>
          </w:tcPr>
          <w:p w14:paraId="30AF2B9A" w14:textId="77777777" w:rsidR="0075791A" w:rsidRDefault="00FB2864">
            <w:pPr>
              <w:pStyle w:val="TableText"/>
              <w:spacing w:before="67" w:line="183" w:lineRule="auto"/>
              <w:ind w:left="2584"/>
              <w:rPr>
                <w:rFonts w:ascii="Times New Roman" w:hAnsi="Times New Roman"/>
                <w:color w:val="auto"/>
                <w:sz w:val="21"/>
                <w:szCs w:val="21"/>
              </w:rPr>
            </w:pPr>
            <w:r>
              <w:rPr>
                <w:rFonts w:ascii="Times New Roman" w:hAnsi="Times New Roman"/>
                <w:color w:val="auto"/>
                <w:sz w:val="21"/>
                <w:szCs w:val="21"/>
              </w:rPr>
              <w:t>1</w:t>
            </w:r>
          </w:p>
        </w:tc>
      </w:tr>
      <w:tr w:rsidR="0075791A" w14:paraId="3042A2FE" w14:textId="77777777">
        <w:trPr>
          <w:trHeight w:val="285"/>
        </w:trPr>
        <w:tc>
          <w:tcPr>
            <w:tcW w:w="1715" w:type="dxa"/>
          </w:tcPr>
          <w:p w14:paraId="6AE20CE4" w14:textId="77777777" w:rsidR="0075791A" w:rsidRDefault="00FB2864">
            <w:pPr>
              <w:pStyle w:val="TableText"/>
              <w:spacing w:before="68" w:line="181" w:lineRule="auto"/>
              <w:ind w:left="1056"/>
              <w:rPr>
                <w:rFonts w:ascii="Times New Roman" w:hAnsi="Times New Roman"/>
                <w:color w:val="auto"/>
                <w:sz w:val="21"/>
                <w:szCs w:val="21"/>
              </w:rPr>
            </w:pPr>
            <w:r>
              <w:rPr>
                <w:rFonts w:ascii="Times New Roman" w:hAnsi="Times New Roman"/>
                <w:color w:val="auto"/>
                <w:sz w:val="21"/>
                <w:szCs w:val="21"/>
              </w:rPr>
              <w:t>5</w:t>
            </w:r>
          </w:p>
        </w:tc>
        <w:tc>
          <w:tcPr>
            <w:tcW w:w="2069" w:type="dxa"/>
          </w:tcPr>
          <w:p w14:paraId="7D157CE9" w14:textId="77777777" w:rsidR="0075791A" w:rsidRDefault="00FB2864">
            <w:pPr>
              <w:pStyle w:val="TableText"/>
              <w:spacing w:before="31" w:line="214" w:lineRule="auto"/>
              <w:ind w:left="864"/>
              <w:rPr>
                <w:rFonts w:ascii="Times New Roman" w:hAnsi="Times New Roman"/>
                <w:color w:val="auto"/>
                <w:sz w:val="21"/>
                <w:szCs w:val="21"/>
              </w:rPr>
            </w:pPr>
            <w:r>
              <w:rPr>
                <w:rFonts w:ascii="Times New Roman" w:hAnsi="Times New Roman"/>
                <w:color w:val="auto"/>
                <w:spacing w:val="-2"/>
                <w:sz w:val="21"/>
                <w:szCs w:val="21"/>
              </w:rPr>
              <w:t>2.0</w:t>
            </w:r>
            <w:r>
              <w:rPr>
                <w:rFonts w:ascii="Times New Roman" w:hAnsi="Times New Roman"/>
                <w:color w:val="auto"/>
                <w:spacing w:val="-2"/>
                <w:sz w:val="21"/>
                <w:szCs w:val="21"/>
              </w:rPr>
              <w:t>～</w:t>
            </w:r>
            <w:r>
              <w:rPr>
                <w:rFonts w:ascii="Times New Roman" w:hAnsi="Times New Roman"/>
                <w:color w:val="auto"/>
                <w:spacing w:val="-2"/>
                <w:sz w:val="21"/>
                <w:szCs w:val="21"/>
              </w:rPr>
              <w:t>3.4</w:t>
            </w:r>
          </w:p>
        </w:tc>
        <w:tc>
          <w:tcPr>
            <w:tcW w:w="4754" w:type="dxa"/>
          </w:tcPr>
          <w:p w14:paraId="3C66010A" w14:textId="77777777" w:rsidR="0075791A" w:rsidRDefault="00FB2864">
            <w:pPr>
              <w:pStyle w:val="TableText"/>
              <w:spacing w:before="67" w:line="182" w:lineRule="auto"/>
              <w:ind w:left="2570"/>
              <w:rPr>
                <w:rFonts w:ascii="Times New Roman" w:hAnsi="Times New Roman"/>
                <w:color w:val="auto"/>
                <w:sz w:val="21"/>
                <w:szCs w:val="21"/>
              </w:rPr>
            </w:pPr>
            <w:r>
              <w:rPr>
                <w:rFonts w:ascii="Times New Roman" w:hAnsi="Times New Roman"/>
                <w:color w:val="auto"/>
                <w:sz w:val="21"/>
                <w:szCs w:val="21"/>
              </w:rPr>
              <w:t>0</w:t>
            </w:r>
          </w:p>
        </w:tc>
      </w:tr>
    </w:tbl>
    <w:p w14:paraId="0773B342" w14:textId="77777777" w:rsidR="0075791A" w:rsidRDefault="0075791A">
      <w:pPr>
        <w:spacing w:line="360" w:lineRule="auto"/>
        <w:ind w:firstLineChars="200" w:firstLine="480"/>
        <w:rPr>
          <w:rFonts w:ascii="Times New Roman" w:eastAsia="宋体" w:hAnsi="Times New Roman" w:cs="Times New Roman"/>
          <w:color w:val="auto"/>
          <w:sz w:val="24"/>
          <w:szCs w:val="24"/>
          <w:lang w:eastAsia="zh-CN"/>
        </w:rPr>
      </w:pPr>
    </w:p>
    <w:p w14:paraId="7CB09B4D" w14:textId="77777777" w:rsidR="0075791A" w:rsidRDefault="00FB2864">
      <w:pPr>
        <w:spacing w:line="360" w:lineRule="auto"/>
        <w:ind w:firstLineChars="200" w:firstLine="480"/>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t>2.</w:t>
      </w:r>
      <w:r>
        <w:rPr>
          <w:rFonts w:ascii="Times New Roman" w:eastAsia="宋体" w:hAnsi="Times New Roman" w:cs="Times New Roman" w:hint="eastAsia"/>
          <w:color w:val="auto"/>
          <w:sz w:val="24"/>
          <w:szCs w:val="24"/>
          <w:lang w:eastAsia="zh-CN"/>
        </w:rPr>
        <w:t>海棠湾外海深水波浪</w:t>
      </w:r>
    </w:p>
    <w:p w14:paraId="1E42DF3F" w14:textId="77777777" w:rsidR="0075791A" w:rsidRDefault="00FB2864">
      <w:pPr>
        <w:spacing w:line="360" w:lineRule="auto"/>
        <w:ind w:firstLineChars="200" w:firstLine="480"/>
        <w:jc w:val="both"/>
        <w:rPr>
          <w:rFonts w:ascii="Times New Roman" w:eastAsia="宋体" w:hAnsi="Times New Roman" w:cs="Times New Roman"/>
          <w:color w:val="auto"/>
          <w:sz w:val="24"/>
          <w:szCs w:val="24"/>
          <w:lang w:eastAsia="zh-CN"/>
        </w:rPr>
      </w:pPr>
      <w:r>
        <w:rPr>
          <w:rFonts w:ascii="Times New Roman" w:eastAsia="宋体" w:hAnsi="Times New Roman" w:cs="Times New Roman"/>
          <w:color w:val="auto"/>
          <w:sz w:val="24"/>
          <w:szCs w:val="24"/>
          <w:lang w:eastAsia="zh-CN"/>
        </w:rPr>
        <w:t>引用交通运输部天津水运工程科学研究院港口水工建筑技术国家工程研究中心交通行业工程泥沙重点实验至</w:t>
      </w:r>
      <w:r>
        <w:rPr>
          <w:rFonts w:ascii="Times New Roman" w:eastAsia="宋体" w:hAnsi="Times New Roman" w:cs="Times New Roman"/>
          <w:color w:val="auto"/>
          <w:sz w:val="24"/>
          <w:szCs w:val="24"/>
          <w:lang w:eastAsia="zh-CN"/>
        </w:rPr>
        <w:t>2023</w:t>
      </w:r>
      <w:r>
        <w:rPr>
          <w:rFonts w:ascii="Times New Roman" w:eastAsia="宋体" w:hAnsi="Times New Roman" w:cs="Times New Roman"/>
          <w:color w:val="auto"/>
          <w:sz w:val="24"/>
          <w:szCs w:val="24"/>
          <w:lang w:eastAsia="zh-CN"/>
        </w:rPr>
        <w:t>年</w:t>
      </w:r>
      <w:r>
        <w:rPr>
          <w:rFonts w:ascii="Times New Roman" w:eastAsia="宋体" w:hAnsi="Times New Roman" w:cs="Times New Roman"/>
          <w:color w:val="auto"/>
          <w:sz w:val="24"/>
          <w:szCs w:val="24"/>
          <w:lang w:eastAsia="zh-CN"/>
        </w:rPr>
        <w:t>3</w:t>
      </w:r>
      <w:r>
        <w:rPr>
          <w:rFonts w:ascii="Times New Roman" w:eastAsia="宋体" w:hAnsi="Times New Roman" w:cs="Times New Roman"/>
          <w:color w:val="auto"/>
          <w:sz w:val="24"/>
          <w:szCs w:val="24"/>
          <w:lang w:eastAsia="zh-CN"/>
        </w:rPr>
        <w:t>月编制的《海南省陵水赤岭渔港开级改造项目波浪数学模型研究报告》的内容，报告通过搜集工程附近相关气象海浪资料，采用适直波浪数学模型，</w:t>
      </w:r>
      <w:r>
        <w:rPr>
          <w:rFonts w:ascii="Times New Roman" w:eastAsia="宋体" w:hAnsi="Times New Roman" w:cs="Times New Roman" w:hint="eastAsia"/>
          <w:color w:val="auto"/>
          <w:sz w:val="24"/>
          <w:szCs w:val="24"/>
          <w:lang w:eastAsia="zh-CN"/>
        </w:rPr>
        <w:t>经验证后，</w:t>
      </w:r>
      <w:r>
        <w:rPr>
          <w:rFonts w:ascii="Times New Roman" w:eastAsia="宋体" w:hAnsi="Times New Roman" w:cs="Times New Roman"/>
          <w:color w:val="auto"/>
          <w:sz w:val="24"/>
          <w:szCs w:val="24"/>
          <w:lang w:eastAsia="zh-CN"/>
        </w:rPr>
        <w:t>分析工程外海不同重现期</w:t>
      </w:r>
      <w:r>
        <w:rPr>
          <w:rFonts w:ascii="Times New Roman" w:eastAsia="宋体" w:hAnsi="Times New Roman" w:cs="Times New Roman" w:hint="eastAsia"/>
          <w:color w:val="auto"/>
          <w:sz w:val="24"/>
          <w:szCs w:val="24"/>
          <w:lang w:eastAsia="zh-CN"/>
        </w:rPr>
        <w:t>波浪</w:t>
      </w:r>
      <w:r>
        <w:rPr>
          <w:rFonts w:ascii="Times New Roman" w:eastAsia="宋体" w:hAnsi="Times New Roman" w:cs="Times New Roman"/>
          <w:color w:val="auto"/>
          <w:sz w:val="24"/>
          <w:szCs w:val="24"/>
          <w:lang w:eastAsia="zh-CN"/>
        </w:rPr>
        <w:t>条件。</w:t>
      </w:r>
    </w:p>
    <w:p w14:paraId="067B3A8C" w14:textId="77777777" w:rsidR="0075791A" w:rsidRDefault="00FB2864">
      <w:pPr>
        <w:spacing w:line="360" w:lineRule="auto"/>
        <w:ind w:firstLineChars="200" w:firstLine="480"/>
        <w:jc w:val="both"/>
        <w:rPr>
          <w:rFonts w:ascii="Times New Roman" w:eastAsia="宋体" w:hAnsi="Times New Roman" w:cs="Times New Roman"/>
          <w:color w:val="auto"/>
          <w:sz w:val="24"/>
          <w:szCs w:val="24"/>
          <w:lang w:eastAsia="zh-CN"/>
        </w:rPr>
      </w:pPr>
      <w:r>
        <w:rPr>
          <w:rFonts w:ascii="Times New Roman" w:eastAsia="宋体" w:hAnsi="Times New Roman" w:cs="Times New Roman"/>
          <w:color w:val="auto"/>
          <w:sz w:val="24"/>
          <w:szCs w:val="24"/>
          <w:lang w:eastAsia="zh-CN"/>
        </w:rPr>
        <w:t>研究依据台风浪模型，计算了</w:t>
      </w:r>
      <w:r>
        <w:rPr>
          <w:rFonts w:ascii="Times New Roman" w:eastAsia="宋体" w:hAnsi="Times New Roman" w:cs="Times New Roman"/>
          <w:color w:val="auto"/>
          <w:sz w:val="24"/>
          <w:szCs w:val="24"/>
          <w:lang w:eastAsia="zh-CN"/>
        </w:rPr>
        <w:t>1979-2021</w:t>
      </w:r>
      <w:r>
        <w:rPr>
          <w:rFonts w:ascii="Times New Roman" w:eastAsia="宋体" w:hAnsi="Times New Roman" w:cs="Times New Roman"/>
          <w:color w:val="auto"/>
          <w:sz w:val="24"/>
          <w:szCs w:val="24"/>
          <w:lang w:eastAsia="zh-CN"/>
        </w:rPr>
        <w:t>年工程海域不同方向的海浪极值，深水测点水深为</w:t>
      </w:r>
      <w:r>
        <w:rPr>
          <w:rFonts w:ascii="Times New Roman" w:eastAsia="宋体" w:hAnsi="Times New Roman" w:cs="Times New Roman"/>
          <w:color w:val="auto"/>
          <w:sz w:val="24"/>
          <w:szCs w:val="24"/>
          <w:lang w:eastAsia="zh-CN"/>
        </w:rPr>
        <w:t>-50m</w:t>
      </w:r>
      <w:r>
        <w:rPr>
          <w:rFonts w:ascii="Times New Roman" w:eastAsia="宋体" w:hAnsi="Times New Roman" w:cs="Times New Roman"/>
          <w:color w:val="auto"/>
          <w:sz w:val="24"/>
          <w:szCs w:val="24"/>
          <w:lang w:eastAsia="zh-CN"/>
        </w:rPr>
        <w:t>，距离工程区大约</w:t>
      </w:r>
      <w:r>
        <w:rPr>
          <w:rFonts w:ascii="Times New Roman" w:eastAsia="宋体" w:hAnsi="Times New Roman" w:cs="Times New Roman"/>
          <w:color w:val="auto"/>
          <w:sz w:val="24"/>
          <w:szCs w:val="24"/>
          <w:lang w:eastAsia="zh-CN"/>
        </w:rPr>
        <w:t>15</w:t>
      </w:r>
      <w:r>
        <w:rPr>
          <w:rFonts w:ascii="Times New Roman" w:eastAsia="宋体" w:hAnsi="Times New Roman" w:cs="Times New Roman"/>
          <w:color w:val="auto"/>
          <w:sz w:val="24"/>
          <w:szCs w:val="24"/>
          <w:lang w:eastAsia="zh-CN"/>
        </w:rPr>
        <w:t>公里距离。工程区面临南中国海表</w:t>
      </w:r>
      <w:r>
        <w:rPr>
          <w:rFonts w:ascii="Times New Roman" w:eastAsia="宋体" w:hAnsi="Times New Roman" w:cs="Times New Roman" w:hint="eastAsia"/>
          <w:color w:val="auto"/>
          <w:sz w:val="24"/>
          <w:szCs w:val="24"/>
          <w:lang w:eastAsia="zh-CN"/>
        </w:rPr>
        <w:t>现</w:t>
      </w:r>
      <w:r>
        <w:rPr>
          <w:rFonts w:ascii="Times New Roman" w:eastAsia="宋体" w:hAnsi="Times New Roman" w:cs="Times New Roman"/>
          <w:color w:val="auto"/>
          <w:sz w:val="24"/>
          <w:szCs w:val="24"/>
          <w:lang w:eastAsia="zh-CN"/>
        </w:rPr>
        <w:t>为以风浪为主的混合浪特征。</w:t>
      </w:r>
    </w:p>
    <w:p w14:paraId="4081CB5A" w14:textId="77777777" w:rsidR="0075791A" w:rsidRDefault="00FB2864">
      <w:pPr>
        <w:spacing w:line="360" w:lineRule="auto"/>
        <w:ind w:firstLineChars="200" w:firstLine="480"/>
        <w:jc w:val="both"/>
        <w:rPr>
          <w:rFonts w:ascii="Times New Roman" w:eastAsia="宋体" w:hAnsi="Times New Roman" w:cs="Times New Roman"/>
          <w:color w:val="auto"/>
          <w:sz w:val="24"/>
          <w:szCs w:val="24"/>
          <w:lang w:eastAsia="zh-CN"/>
        </w:rPr>
      </w:pPr>
      <w:r>
        <w:rPr>
          <w:rFonts w:ascii="Times New Roman" w:eastAsia="宋体" w:hAnsi="Times New Roman" w:cs="Times New Roman"/>
          <w:color w:val="auto"/>
          <w:sz w:val="24"/>
          <w:szCs w:val="24"/>
          <w:lang w:eastAsia="zh-CN"/>
        </w:rPr>
        <w:t>通过分析得到深水波要素结果显示，重现期</w:t>
      </w:r>
      <w:r>
        <w:rPr>
          <w:rFonts w:ascii="Times New Roman" w:eastAsia="宋体" w:hAnsi="Times New Roman" w:cs="Times New Roman"/>
          <w:color w:val="auto"/>
          <w:sz w:val="24"/>
          <w:szCs w:val="24"/>
          <w:lang w:eastAsia="zh-CN"/>
        </w:rPr>
        <w:t>100</w:t>
      </w:r>
      <w:r>
        <w:rPr>
          <w:rFonts w:ascii="Times New Roman" w:eastAsia="宋体" w:hAnsi="Times New Roman" w:cs="Times New Roman"/>
          <w:color w:val="auto"/>
          <w:sz w:val="24"/>
          <w:szCs w:val="24"/>
          <w:lang w:eastAsia="zh-CN"/>
        </w:rPr>
        <w:t>年</w:t>
      </w:r>
      <w:r>
        <w:rPr>
          <w:rFonts w:ascii="Times New Roman" w:eastAsia="宋体" w:hAnsi="Times New Roman" w:cs="Times New Roman"/>
          <w:color w:val="auto"/>
          <w:sz w:val="24"/>
          <w:szCs w:val="24"/>
          <w:lang w:eastAsia="zh-CN"/>
        </w:rPr>
        <w:t>SE</w:t>
      </w:r>
      <w:r>
        <w:rPr>
          <w:rFonts w:ascii="Times New Roman" w:eastAsia="宋体" w:hAnsi="Times New Roman" w:cs="Times New Roman"/>
          <w:color w:val="auto"/>
          <w:sz w:val="24"/>
          <w:szCs w:val="24"/>
          <w:lang w:eastAsia="zh-CN"/>
        </w:rPr>
        <w:t>向最大</w:t>
      </w:r>
      <w:r>
        <w:rPr>
          <w:rFonts w:ascii="Times New Roman" w:eastAsia="宋体" w:hAnsi="Times New Roman" w:cs="Times New Roman"/>
          <w:color w:val="auto"/>
          <w:sz w:val="24"/>
          <w:szCs w:val="24"/>
          <w:lang w:eastAsia="zh-CN"/>
        </w:rPr>
        <w:t>有效被高为</w:t>
      </w:r>
      <w:r>
        <w:rPr>
          <w:rFonts w:ascii="Times New Roman" w:eastAsia="宋体" w:hAnsi="Times New Roman" w:cs="Times New Roman"/>
          <w:color w:val="auto"/>
          <w:sz w:val="24"/>
          <w:szCs w:val="24"/>
          <w:lang w:eastAsia="zh-CN"/>
        </w:rPr>
        <w:t>11.17m</w:t>
      </w:r>
      <w:r>
        <w:rPr>
          <w:rFonts w:ascii="Times New Roman" w:eastAsia="宋体" w:hAnsi="Times New Roman" w:cs="Times New Roman"/>
          <w:color w:val="auto"/>
          <w:sz w:val="24"/>
          <w:szCs w:val="24"/>
          <w:lang w:eastAsia="zh-CN"/>
        </w:rPr>
        <w:t>，对应的有效周期是</w:t>
      </w:r>
      <w:r>
        <w:rPr>
          <w:rFonts w:ascii="Times New Roman" w:eastAsia="宋体" w:hAnsi="Times New Roman" w:cs="Times New Roman"/>
          <w:color w:val="auto"/>
          <w:sz w:val="24"/>
          <w:szCs w:val="24"/>
          <w:lang w:eastAsia="zh-CN"/>
        </w:rPr>
        <w:t>13.84s</w:t>
      </w:r>
      <w:r>
        <w:rPr>
          <w:rFonts w:ascii="Times New Roman" w:eastAsia="宋体" w:hAnsi="Times New Roman" w:cs="Times New Roman"/>
          <w:color w:val="auto"/>
          <w:sz w:val="24"/>
          <w:szCs w:val="24"/>
          <w:lang w:eastAsia="zh-CN"/>
        </w:rPr>
        <w:t>，其次是</w:t>
      </w:r>
      <w:r>
        <w:rPr>
          <w:rFonts w:ascii="Times New Roman" w:eastAsia="宋体" w:hAnsi="Times New Roman" w:cs="Times New Roman"/>
          <w:color w:val="auto"/>
          <w:sz w:val="24"/>
          <w:szCs w:val="24"/>
          <w:lang w:eastAsia="zh-CN"/>
        </w:rPr>
        <w:t>ESE</w:t>
      </w:r>
      <w:r>
        <w:rPr>
          <w:rFonts w:ascii="Times New Roman" w:eastAsia="宋体" w:hAnsi="Times New Roman" w:cs="Times New Roman"/>
          <w:color w:val="auto"/>
          <w:sz w:val="24"/>
          <w:szCs w:val="24"/>
          <w:lang w:eastAsia="zh-CN"/>
        </w:rPr>
        <w:t>向最大有效被高为</w:t>
      </w:r>
      <w:r>
        <w:rPr>
          <w:rFonts w:ascii="Times New Roman" w:eastAsia="宋体" w:hAnsi="Times New Roman" w:cs="Times New Roman"/>
          <w:color w:val="auto"/>
          <w:sz w:val="24"/>
          <w:szCs w:val="24"/>
          <w:lang w:eastAsia="zh-CN"/>
        </w:rPr>
        <w:t>10.86m</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color w:val="auto"/>
          <w:sz w:val="24"/>
          <w:szCs w:val="24"/>
          <w:lang w:eastAsia="zh-CN"/>
        </w:rPr>
        <w:t>重</w:t>
      </w:r>
      <w:r>
        <w:rPr>
          <w:rFonts w:ascii="Times New Roman" w:eastAsia="宋体" w:hAnsi="Times New Roman" w:cs="Times New Roman" w:hint="eastAsia"/>
          <w:color w:val="auto"/>
          <w:sz w:val="24"/>
          <w:szCs w:val="24"/>
          <w:lang w:eastAsia="zh-CN"/>
        </w:rPr>
        <w:t>现</w:t>
      </w:r>
      <w:r>
        <w:rPr>
          <w:rFonts w:ascii="Times New Roman" w:eastAsia="宋体" w:hAnsi="Times New Roman" w:cs="Times New Roman"/>
          <w:color w:val="auto"/>
          <w:sz w:val="24"/>
          <w:szCs w:val="24"/>
          <w:lang w:eastAsia="zh-CN"/>
        </w:rPr>
        <w:t>期</w:t>
      </w:r>
      <w:r>
        <w:rPr>
          <w:rFonts w:ascii="Times New Roman" w:eastAsia="宋体" w:hAnsi="Times New Roman" w:cs="Times New Roman"/>
          <w:color w:val="auto"/>
          <w:sz w:val="24"/>
          <w:szCs w:val="24"/>
          <w:lang w:eastAsia="zh-CN"/>
        </w:rPr>
        <w:t>2</w:t>
      </w:r>
      <w:r>
        <w:rPr>
          <w:rFonts w:ascii="Times New Roman" w:eastAsia="宋体" w:hAnsi="Times New Roman" w:cs="Times New Roman"/>
          <w:color w:val="auto"/>
          <w:sz w:val="24"/>
          <w:szCs w:val="24"/>
          <w:lang w:eastAsia="zh-CN"/>
        </w:rPr>
        <w:t>年</w:t>
      </w:r>
      <w:r>
        <w:rPr>
          <w:rFonts w:ascii="Times New Roman" w:eastAsia="宋体" w:hAnsi="Times New Roman" w:cs="Times New Roman"/>
          <w:color w:val="auto"/>
          <w:sz w:val="24"/>
          <w:szCs w:val="24"/>
          <w:lang w:eastAsia="zh-CN"/>
        </w:rPr>
        <w:t>SE</w:t>
      </w:r>
      <w:r>
        <w:rPr>
          <w:rFonts w:ascii="Times New Roman" w:eastAsia="宋体" w:hAnsi="Times New Roman" w:cs="Times New Roman"/>
          <w:color w:val="auto"/>
          <w:sz w:val="24"/>
          <w:szCs w:val="24"/>
          <w:lang w:eastAsia="zh-CN"/>
        </w:rPr>
        <w:t>向最大有效被高为</w:t>
      </w:r>
      <w:r>
        <w:rPr>
          <w:rFonts w:ascii="Times New Roman" w:eastAsia="宋体" w:hAnsi="Times New Roman" w:cs="Times New Roman"/>
          <w:color w:val="auto"/>
          <w:sz w:val="24"/>
          <w:szCs w:val="24"/>
          <w:lang w:eastAsia="zh-CN"/>
        </w:rPr>
        <w:t>4.43m</w:t>
      </w:r>
      <w:r>
        <w:rPr>
          <w:rFonts w:ascii="Times New Roman" w:eastAsia="宋体" w:hAnsi="Times New Roman" w:cs="Times New Roman"/>
          <w:color w:val="auto"/>
          <w:sz w:val="24"/>
          <w:szCs w:val="24"/>
          <w:lang w:eastAsia="zh-CN"/>
        </w:rPr>
        <w:t>，对应的有效周期是</w:t>
      </w:r>
      <w:r>
        <w:rPr>
          <w:rFonts w:ascii="Times New Roman" w:eastAsia="宋体" w:hAnsi="Times New Roman" w:cs="Times New Roman"/>
          <w:color w:val="auto"/>
          <w:sz w:val="24"/>
          <w:szCs w:val="24"/>
          <w:lang w:eastAsia="zh-CN"/>
        </w:rPr>
        <w:t>9.20s</w:t>
      </w:r>
      <w:r>
        <w:rPr>
          <w:rFonts w:ascii="Times New Roman" w:eastAsia="宋体" w:hAnsi="Times New Roman" w:cs="Times New Roman"/>
          <w:color w:val="auto"/>
          <w:sz w:val="24"/>
          <w:szCs w:val="24"/>
          <w:lang w:eastAsia="zh-CN"/>
        </w:rPr>
        <w:t>，其次是</w:t>
      </w:r>
      <w:r>
        <w:rPr>
          <w:rFonts w:ascii="Times New Roman" w:eastAsia="宋体" w:hAnsi="Times New Roman" w:cs="Times New Roman"/>
          <w:color w:val="auto"/>
          <w:sz w:val="24"/>
          <w:szCs w:val="24"/>
          <w:lang w:eastAsia="zh-CN"/>
        </w:rPr>
        <w:t>ESE</w:t>
      </w:r>
      <w:r>
        <w:rPr>
          <w:rFonts w:ascii="Times New Roman" w:eastAsia="宋体" w:hAnsi="Times New Roman" w:cs="Times New Roman"/>
          <w:color w:val="auto"/>
          <w:sz w:val="24"/>
          <w:szCs w:val="24"/>
          <w:lang w:eastAsia="zh-CN"/>
        </w:rPr>
        <w:t>向和</w:t>
      </w:r>
      <w:r>
        <w:rPr>
          <w:rFonts w:ascii="Times New Roman" w:eastAsia="宋体" w:hAnsi="Times New Roman" w:cs="Times New Roman"/>
          <w:color w:val="auto"/>
          <w:sz w:val="24"/>
          <w:szCs w:val="24"/>
          <w:lang w:eastAsia="zh-CN"/>
        </w:rPr>
        <w:t>SE</w:t>
      </w:r>
      <w:r>
        <w:rPr>
          <w:rFonts w:ascii="Times New Roman" w:eastAsia="宋体" w:hAnsi="Times New Roman" w:cs="Times New Roman"/>
          <w:color w:val="auto"/>
          <w:sz w:val="24"/>
          <w:szCs w:val="24"/>
          <w:lang w:eastAsia="zh-CN"/>
        </w:rPr>
        <w:t>为</w:t>
      </w:r>
      <w:r>
        <w:rPr>
          <w:rFonts w:ascii="Times New Roman" w:eastAsia="宋体" w:hAnsi="Times New Roman" w:cs="Times New Roman"/>
          <w:color w:val="auto"/>
          <w:sz w:val="24"/>
          <w:szCs w:val="24"/>
          <w:lang w:eastAsia="zh-CN"/>
        </w:rPr>
        <w:t>4.15m</w:t>
      </w:r>
      <w:r>
        <w:rPr>
          <w:rFonts w:ascii="Times New Roman" w:eastAsia="宋体" w:hAnsi="Times New Roman" w:cs="Times New Roman"/>
          <w:color w:val="auto"/>
          <w:sz w:val="24"/>
          <w:szCs w:val="24"/>
          <w:lang w:eastAsia="zh-CN"/>
        </w:rPr>
        <w:t>。重</w:t>
      </w:r>
      <w:r>
        <w:rPr>
          <w:rFonts w:ascii="Times New Roman" w:eastAsia="宋体" w:hAnsi="Times New Roman" w:cs="Times New Roman" w:hint="eastAsia"/>
          <w:color w:val="auto"/>
          <w:sz w:val="24"/>
          <w:szCs w:val="24"/>
          <w:lang w:eastAsia="zh-CN"/>
        </w:rPr>
        <w:t>现</w:t>
      </w:r>
      <w:r>
        <w:rPr>
          <w:rFonts w:ascii="Times New Roman" w:eastAsia="宋体" w:hAnsi="Times New Roman" w:cs="Times New Roman"/>
          <w:color w:val="auto"/>
          <w:sz w:val="24"/>
          <w:szCs w:val="24"/>
          <w:lang w:eastAsia="zh-CN"/>
        </w:rPr>
        <w:t>期</w:t>
      </w:r>
      <w:r>
        <w:rPr>
          <w:rFonts w:ascii="Times New Roman" w:eastAsia="宋体" w:hAnsi="Times New Roman" w:cs="Times New Roman"/>
          <w:color w:val="auto"/>
          <w:sz w:val="24"/>
          <w:szCs w:val="24"/>
          <w:lang w:eastAsia="zh-CN"/>
        </w:rPr>
        <w:t>50</w:t>
      </w:r>
      <w:r>
        <w:rPr>
          <w:rFonts w:ascii="Times New Roman" w:eastAsia="宋体" w:hAnsi="Times New Roman" w:cs="Times New Roman"/>
          <w:color w:val="auto"/>
          <w:sz w:val="24"/>
          <w:szCs w:val="24"/>
          <w:lang w:eastAsia="zh-CN"/>
        </w:rPr>
        <w:t>年</w:t>
      </w:r>
      <w:r>
        <w:rPr>
          <w:rFonts w:ascii="Times New Roman" w:eastAsia="宋体" w:hAnsi="Times New Roman" w:cs="Times New Roman"/>
          <w:color w:val="auto"/>
          <w:sz w:val="24"/>
          <w:szCs w:val="24"/>
          <w:lang w:eastAsia="zh-CN"/>
        </w:rPr>
        <w:t>SE</w:t>
      </w:r>
      <w:r>
        <w:rPr>
          <w:rFonts w:ascii="Times New Roman" w:eastAsia="宋体" w:hAnsi="Times New Roman" w:cs="Times New Roman"/>
          <w:color w:val="auto"/>
          <w:sz w:val="24"/>
          <w:szCs w:val="24"/>
          <w:lang w:eastAsia="zh-CN"/>
        </w:rPr>
        <w:t>向最大有效波高为</w:t>
      </w:r>
      <w:r>
        <w:rPr>
          <w:rFonts w:ascii="Times New Roman" w:eastAsia="宋体" w:hAnsi="Times New Roman" w:cs="Times New Roman"/>
          <w:color w:val="auto"/>
          <w:sz w:val="24"/>
          <w:szCs w:val="24"/>
          <w:lang w:eastAsia="zh-CN"/>
        </w:rPr>
        <w:t>9.96m</w:t>
      </w:r>
      <w:r>
        <w:rPr>
          <w:rFonts w:ascii="Times New Roman" w:eastAsia="宋体" w:hAnsi="Times New Roman" w:cs="Times New Roman"/>
          <w:color w:val="auto"/>
          <w:sz w:val="24"/>
          <w:szCs w:val="24"/>
          <w:lang w:eastAsia="zh-CN"/>
        </w:rPr>
        <w:t>，对应的有效周期是</w:t>
      </w:r>
      <w:r>
        <w:rPr>
          <w:rFonts w:ascii="Times New Roman" w:eastAsia="宋体" w:hAnsi="Times New Roman" w:cs="Times New Roman"/>
          <w:color w:val="auto"/>
          <w:sz w:val="24"/>
          <w:szCs w:val="24"/>
          <w:lang w:eastAsia="zh-CN"/>
        </w:rPr>
        <w:t>13.22s</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color w:val="auto"/>
          <w:sz w:val="24"/>
          <w:szCs w:val="24"/>
          <w:lang w:eastAsia="zh-CN"/>
        </w:rPr>
        <w:t>其次是</w:t>
      </w:r>
      <w:r>
        <w:rPr>
          <w:rFonts w:ascii="Times New Roman" w:eastAsia="宋体" w:hAnsi="Times New Roman" w:cs="Times New Roman"/>
          <w:color w:val="auto"/>
          <w:sz w:val="24"/>
          <w:szCs w:val="24"/>
          <w:lang w:eastAsia="zh-CN"/>
        </w:rPr>
        <w:t>ESE</w:t>
      </w:r>
      <w:r>
        <w:rPr>
          <w:rFonts w:ascii="Times New Roman" w:eastAsia="宋体" w:hAnsi="Times New Roman" w:cs="Times New Roman"/>
          <w:color w:val="auto"/>
          <w:sz w:val="24"/>
          <w:szCs w:val="24"/>
          <w:lang w:eastAsia="zh-CN"/>
        </w:rPr>
        <w:t>向有效被高为</w:t>
      </w:r>
      <w:r>
        <w:rPr>
          <w:rFonts w:ascii="Times New Roman" w:eastAsia="宋体" w:hAnsi="Times New Roman" w:cs="Times New Roman"/>
          <w:color w:val="auto"/>
          <w:sz w:val="24"/>
          <w:szCs w:val="24"/>
          <w:lang w:eastAsia="zh-CN"/>
        </w:rPr>
        <w:t>9.76m</w:t>
      </w:r>
      <w:r>
        <w:rPr>
          <w:rFonts w:ascii="Times New Roman" w:eastAsia="宋体" w:hAnsi="Times New Roman" w:cs="Times New Roman"/>
          <w:color w:val="auto"/>
          <w:sz w:val="24"/>
          <w:szCs w:val="24"/>
          <w:lang w:eastAsia="zh-CN"/>
        </w:rPr>
        <w:t>。</w:t>
      </w:r>
    </w:p>
    <w:p w14:paraId="4E6301E7" w14:textId="77777777" w:rsidR="0075791A" w:rsidRDefault="0075791A">
      <w:pPr>
        <w:pStyle w:val="a5"/>
        <w:jc w:val="center"/>
        <w:rPr>
          <w:color w:val="auto"/>
          <w:lang w:eastAsia="zh-CN"/>
        </w:rPr>
      </w:pPr>
    </w:p>
    <w:p w14:paraId="474CDC53" w14:textId="77777777" w:rsidR="0075791A" w:rsidRDefault="00FB2864">
      <w:pPr>
        <w:pStyle w:val="TableText"/>
        <w:spacing w:line="360" w:lineRule="auto"/>
        <w:jc w:val="center"/>
        <w:rPr>
          <w:color w:val="auto"/>
          <w:lang w:eastAsia="zh-CN"/>
        </w:rPr>
      </w:pPr>
      <w:r>
        <w:rPr>
          <w:rFonts w:ascii="Times New Roman" w:hAnsi="Times New Roman"/>
          <w:color w:val="auto"/>
          <w:spacing w:val="-3"/>
          <w:lang w:eastAsia="zh-CN"/>
        </w:rPr>
        <w:t>图</w:t>
      </w:r>
      <w:r>
        <w:rPr>
          <w:rFonts w:ascii="Times New Roman" w:hAnsi="Times New Roman" w:hint="eastAsia"/>
          <w:color w:val="auto"/>
          <w:spacing w:val="-3"/>
          <w:lang w:eastAsia="zh-CN"/>
        </w:rPr>
        <w:t>3.</w:t>
      </w:r>
      <w:r>
        <w:rPr>
          <w:rFonts w:ascii="Times New Roman" w:hAnsi="Times New Roman"/>
          <w:color w:val="auto"/>
          <w:spacing w:val="-3"/>
          <w:lang w:eastAsia="zh-CN"/>
        </w:rPr>
        <w:t>2.2-1</w:t>
      </w:r>
      <w:r>
        <w:rPr>
          <w:rFonts w:ascii="Times New Roman" w:hAnsi="Times New Roman" w:hint="eastAsia"/>
          <w:color w:val="auto"/>
          <w:spacing w:val="-3"/>
          <w:lang w:eastAsia="zh-CN"/>
        </w:rPr>
        <w:t>2</w:t>
      </w:r>
      <w:r>
        <w:rPr>
          <w:rFonts w:ascii="Times New Roman" w:hAnsi="Times New Roman" w:hint="eastAsia"/>
          <w:color w:val="auto"/>
          <w:spacing w:val="-3"/>
          <w:lang w:eastAsia="zh-CN"/>
        </w:rPr>
        <w:t>外海深水位置示意图</w:t>
      </w:r>
    </w:p>
    <w:p w14:paraId="6AAD3B16" w14:textId="77777777" w:rsidR="0075791A" w:rsidRDefault="0075791A">
      <w:pPr>
        <w:spacing w:line="360" w:lineRule="auto"/>
        <w:ind w:firstLineChars="200" w:firstLine="480"/>
        <w:jc w:val="both"/>
        <w:rPr>
          <w:rFonts w:ascii="Times New Roman" w:eastAsia="宋体" w:hAnsi="Times New Roman" w:cs="Times New Roman"/>
          <w:color w:val="auto"/>
          <w:sz w:val="24"/>
          <w:szCs w:val="24"/>
          <w:lang w:eastAsia="zh-CN"/>
        </w:rPr>
      </w:pPr>
    </w:p>
    <w:p w14:paraId="12C09A27"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168" w:name="_Toc5232"/>
      <w:r>
        <w:rPr>
          <w:rFonts w:ascii="Times New Roman" w:eastAsia="Times New Roman" w:hAnsi="Times New Roman" w:cs="Times New Roman" w:hint="eastAsia"/>
          <w:b/>
          <w:bCs/>
          <w:color w:val="auto"/>
          <w:spacing w:val="-3"/>
          <w:sz w:val="28"/>
          <w:szCs w:val="28"/>
          <w:lang w:eastAsia="zh-CN"/>
        </w:rPr>
        <w:t>3.2.3海域地形地貌与冲淤状况</w:t>
      </w:r>
      <w:bookmarkEnd w:id="168"/>
    </w:p>
    <w:p w14:paraId="01E697DF" w14:textId="77777777" w:rsidR="0075791A" w:rsidRDefault="00FB2864">
      <w:pPr>
        <w:spacing w:before="34" w:line="360" w:lineRule="auto"/>
        <w:ind w:left="5"/>
        <w:outlineLvl w:val="3"/>
        <w:rPr>
          <w:rFonts w:ascii="Times New Roman" w:eastAsia="宋体" w:hAnsi="Times New Roman"/>
          <w:b/>
          <w:color w:val="auto"/>
          <w:sz w:val="24"/>
          <w:szCs w:val="24"/>
          <w:lang w:eastAsia="zh-CN"/>
        </w:rPr>
      </w:pPr>
      <w:hyperlink r:id="rId61" w:history="1">
        <w:r>
          <w:rPr>
            <w:rFonts w:ascii="Times New Roman" w:eastAsia="宋体" w:hAnsi="Times New Roman" w:hint="eastAsia"/>
            <w:b/>
            <w:color w:val="auto"/>
            <w:sz w:val="24"/>
            <w:szCs w:val="24"/>
            <w:lang w:eastAsia="zh-CN"/>
          </w:rPr>
          <w:t>3.2.3.1</w:t>
        </w:r>
      </w:hyperlink>
      <w:r>
        <w:rPr>
          <w:rFonts w:ascii="Times New Roman" w:eastAsia="宋体" w:hAnsi="Times New Roman" w:hint="eastAsia"/>
          <w:b/>
          <w:color w:val="auto"/>
          <w:sz w:val="24"/>
          <w:szCs w:val="24"/>
          <w:lang w:eastAsia="zh-CN"/>
        </w:rPr>
        <w:t>地形、地貌特征</w:t>
      </w:r>
    </w:p>
    <w:p w14:paraId="065D075A" w14:textId="77777777" w:rsidR="0075791A" w:rsidRDefault="00FB2864">
      <w:pPr>
        <w:spacing w:line="360" w:lineRule="auto"/>
        <w:ind w:firstLineChars="200" w:firstLine="480"/>
        <w:jc w:val="both"/>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hint="eastAsia"/>
          <w:color w:val="auto"/>
          <w:sz w:val="24"/>
          <w:szCs w:val="24"/>
          <w:lang w:eastAsia="zh-CN"/>
        </w:rPr>
        <w:t>1</w:t>
      </w:r>
      <w:r>
        <w:rPr>
          <w:rFonts w:ascii="Times New Roman" w:eastAsia="宋体" w:hAnsi="Times New Roman" w:cs="Times New Roman" w:hint="eastAsia"/>
          <w:color w:val="auto"/>
          <w:sz w:val="24"/>
          <w:szCs w:val="24"/>
          <w:lang w:eastAsia="zh-CN"/>
        </w:rPr>
        <w:t>）区域地质构造</w:t>
      </w:r>
    </w:p>
    <w:p w14:paraId="39EFCA29" w14:textId="77777777" w:rsidR="0075791A" w:rsidRDefault="00FB2864">
      <w:pPr>
        <w:spacing w:line="360" w:lineRule="auto"/>
        <w:ind w:firstLineChars="200" w:firstLine="480"/>
        <w:jc w:val="both"/>
        <w:rPr>
          <w:rFonts w:ascii="Times New Roman" w:eastAsia="宋体" w:hAnsi="Times New Roman" w:cs="Times New Roman"/>
          <w:color w:val="auto"/>
          <w:sz w:val="24"/>
          <w:szCs w:val="24"/>
          <w:lang w:eastAsia="zh-CN"/>
        </w:rPr>
      </w:pPr>
      <w:r>
        <w:rPr>
          <w:rFonts w:ascii="Times New Roman" w:eastAsia="宋体" w:hAnsi="Times New Roman" w:cs="宋体" w:hint="eastAsia"/>
          <w:color w:val="auto"/>
          <w:sz w:val="24"/>
          <w:szCs w:val="24"/>
          <w:lang w:eastAsia="zh-CN"/>
        </w:rPr>
        <w:t>根据《铁炉港红树林湿地保护修复项目岩土工程详细勘察报告》</w:t>
      </w:r>
      <w:r>
        <w:rPr>
          <w:rFonts w:ascii="Times New Roman" w:eastAsia="宋体" w:hAnsi="Times New Roman" w:cs="宋体" w:hint="eastAsia"/>
          <w:color w:val="auto"/>
          <w:sz w:val="24"/>
          <w:szCs w:val="24"/>
          <w:lang w:eastAsia="zh-CN"/>
        </w:rPr>
        <w:t>勘探成果及</w:t>
      </w:r>
      <w:r>
        <w:rPr>
          <w:rFonts w:ascii="Times New Roman" w:eastAsia="宋体" w:hAnsi="Times New Roman" w:cs="宋体" w:hint="eastAsia"/>
          <w:color w:val="auto"/>
          <w:sz w:val="24"/>
          <w:szCs w:val="24"/>
          <w:lang w:eastAsia="zh-CN"/>
        </w:rPr>
        <w:t>1:20</w:t>
      </w:r>
      <w:r>
        <w:rPr>
          <w:rFonts w:ascii="Times New Roman" w:eastAsia="宋体" w:hAnsi="Times New Roman" w:cs="宋体" w:hint="eastAsia"/>
          <w:color w:val="auto"/>
          <w:sz w:val="24"/>
          <w:szCs w:val="24"/>
          <w:lang w:eastAsia="zh-CN"/>
        </w:rPr>
        <w:t>万三亚市幅区域地质资料，海南岛的地质主要受东西向断裂控制，三亚市位于海南岛最南端，地质构造分区位于九所—陵水断裂以南，在大地构造上处于华南褶皱系的南缘，岩浆活动和构造活动频繁。项目区区域地质构造属于琼南拱断隆起构造区，地质构造以华夏纬向构造体系为格架，由华夏、新华夏等构造系复合形成了本区的特征。新构造运动在海岸带以不对称的穹状隆起为特点，以间歇性上升为主，局部产生断陷，形成各级夷平面台地。地壳呈稳定状态或微弱上升趋势，地壳相对稳定，新</w:t>
      </w:r>
      <w:r>
        <w:rPr>
          <w:rFonts w:ascii="Times New Roman" w:eastAsia="宋体" w:hAnsi="Times New Roman" w:cs="宋体" w:hint="eastAsia"/>
          <w:color w:val="auto"/>
          <w:sz w:val="24"/>
          <w:szCs w:val="24"/>
          <w:lang w:eastAsia="zh-CN"/>
        </w:rPr>
        <w:t>构造运动微弱。场地区</w:t>
      </w:r>
      <w:r>
        <w:rPr>
          <w:rFonts w:ascii="Times New Roman" w:eastAsia="宋体" w:hAnsi="Times New Roman" w:cs="宋体" w:hint="eastAsia"/>
          <w:color w:val="auto"/>
          <w:sz w:val="24"/>
          <w:szCs w:val="24"/>
          <w:lang w:eastAsia="zh-CN"/>
        </w:rPr>
        <w:lastRenderedPageBreak/>
        <w:t>上部覆盖层为第四系沉积层，下部基岩为白垩系上统（</w:t>
      </w:r>
      <w:r>
        <w:rPr>
          <w:rFonts w:ascii="Times New Roman" w:eastAsia="宋体" w:hAnsi="Times New Roman" w:cs="宋体" w:hint="eastAsia"/>
          <w:color w:val="auto"/>
          <w:sz w:val="24"/>
          <w:szCs w:val="24"/>
          <w:lang w:eastAsia="zh-CN"/>
        </w:rPr>
        <w:t>K1</w:t>
      </w:r>
      <w:r>
        <w:rPr>
          <w:rFonts w:ascii="Times New Roman" w:eastAsia="宋体" w:hAnsi="Times New Roman" w:cs="宋体" w:hint="eastAsia"/>
          <w:color w:val="auto"/>
          <w:sz w:val="24"/>
          <w:szCs w:val="24"/>
        </w:rPr>
        <w:t>ηγ</w:t>
      </w:r>
      <w:r>
        <w:rPr>
          <w:rFonts w:ascii="Times New Roman" w:eastAsia="宋体" w:hAnsi="Times New Roman" w:cs="宋体" w:hint="eastAsia"/>
          <w:color w:val="auto"/>
          <w:sz w:val="24"/>
          <w:szCs w:val="24"/>
          <w:lang w:eastAsia="zh-CN"/>
        </w:rPr>
        <w:t>）黑云母角闪石二长花岗岩，场地中部有近南北向的断层通过，断层为平移断层，走向北偏西约</w:t>
      </w:r>
      <w:r>
        <w:rPr>
          <w:rFonts w:ascii="Times New Roman" w:eastAsia="宋体" w:hAnsi="Times New Roman" w:cs="宋体" w:hint="eastAsia"/>
          <w:color w:val="auto"/>
          <w:sz w:val="24"/>
          <w:szCs w:val="24"/>
          <w:lang w:eastAsia="zh-CN"/>
        </w:rPr>
        <w:t>10</w:t>
      </w:r>
      <w:r>
        <w:rPr>
          <w:rFonts w:ascii="Times New Roman" w:eastAsia="宋体" w:hAnsi="Times New Roman" w:cs="宋体" w:hint="eastAsia"/>
          <w:color w:val="auto"/>
          <w:sz w:val="24"/>
          <w:szCs w:val="24"/>
          <w:lang w:eastAsia="zh-CN"/>
        </w:rPr>
        <w:t>°，倾向东，倾角</w:t>
      </w:r>
      <w:r>
        <w:rPr>
          <w:rFonts w:ascii="Times New Roman" w:eastAsia="宋体" w:hAnsi="Times New Roman" w:cs="宋体" w:hint="eastAsia"/>
          <w:color w:val="auto"/>
          <w:sz w:val="24"/>
          <w:szCs w:val="24"/>
          <w:lang w:eastAsia="zh-CN"/>
        </w:rPr>
        <w:t>68</w:t>
      </w:r>
      <w:r>
        <w:rPr>
          <w:rFonts w:ascii="Times New Roman" w:eastAsia="宋体" w:hAnsi="Times New Roman" w:cs="宋体" w:hint="eastAsia"/>
          <w:color w:val="auto"/>
          <w:sz w:val="24"/>
          <w:szCs w:val="24"/>
          <w:lang w:eastAsia="zh-CN"/>
        </w:rPr>
        <w:t>°，为已稳定断裂构造，断层在项目区通过附近，覆盖层厚度大，且没有新建构筑物，断裂构造对本项目基本没有影响。根据历史地震资料，场地所在的琼南地区发生的地震多为微震和弱震，最大震级不超过</w:t>
      </w:r>
      <w:r>
        <w:rPr>
          <w:rFonts w:ascii="Times New Roman" w:eastAsia="宋体" w:hAnsi="Times New Roman" w:cs="宋体" w:hint="eastAsia"/>
          <w:color w:val="auto"/>
          <w:sz w:val="24"/>
          <w:szCs w:val="24"/>
          <w:lang w:eastAsia="zh-CN"/>
        </w:rPr>
        <w:t>4.5</w:t>
      </w:r>
      <w:r>
        <w:rPr>
          <w:rFonts w:ascii="Times New Roman" w:eastAsia="宋体" w:hAnsi="Times New Roman" w:cs="宋体" w:hint="eastAsia"/>
          <w:color w:val="auto"/>
          <w:sz w:val="24"/>
          <w:szCs w:val="24"/>
          <w:lang w:eastAsia="zh-CN"/>
        </w:rPr>
        <w:t>级，最大烈度不超过</w:t>
      </w: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度。场地区未见有影响场地稳定的活动断裂构造。</w:t>
      </w:r>
    </w:p>
    <w:p w14:paraId="3F2B55C9" w14:textId="77777777" w:rsidR="0075791A" w:rsidRDefault="0075791A">
      <w:pPr>
        <w:jc w:val="center"/>
        <w:rPr>
          <w:rFonts w:ascii="Times New Roman" w:hAnsi="Times New Roman"/>
          <w:color w:val="auto"/>
          <w:lang w:eastAsia="zh-CN"/>
        </w:rPr>
      </w:pPr>
    </w:p>
    <w:p w14:paraId="7C86D4D6" w14:textId="77777777" w:rsidR="0075791A" w:rsidRDefault="00FB2864">
      <w:pPr>
        <w:pStyle w:val="TableText"/>
        <w:spacing w:line="360" w:lineRule="auto"/>
        <w:jc w:val="center"/>
        <w:rPr>
          <w:rFonts w:ascii="Times New Roman" w:hAnsi="Times New Roman"/>
          <w:color w:val="auto"/>
          <w:lang w:eastAsia="zh-CN"/>
        </w:rPr>
      </w:pPr>
      <w:r>
        <w:rPr>
          <w:rFonts w:ascii="Times New Roman" w:hAnsi="Times New Roman"/>
          <w:color w:val="auto"/>
          <w:spacing w:val="-2"/>
          <w:lang w:eastAsia="zh-CN"/>
        </w:rPr>
        <w:t>图</w:t>
      </w:r>
      <w:r>
        <w:rPr>
          <w:rFonts w:ascii="Times New Roman" w:hAnsi="Times New Roman" w:hint="eastAsia"/>
          <w:color w:val="auto"/>
          <w:spacing w:val="-2"/>
          <w:lang w:eastAsia="zh-CN"/>
        </w:rPr>
        <w:t>3.</w:t>
      </w:r>
      <w:r>
        <w:rPr>
          <w:rFonts w:ascii="Times New Roman" w:hAnsi="Times New Roman"/>
          <w:color w:val="auto"/>
          <w:spacing w:val="-2"/>
          <w:lang w:eastAsia="zh-CN"/>
        </w:rPr>
        <w:t>2.3-1</w:t>
      </w:r>
      <w:r>
        <w:rPr>
          <w:rFonts w:ascii="Times New Roman" w:hAnsi="Times New Roman" w:hint="eastAsia"/>
          <w:color w:val="auto"/>
          <w:spacing w:val="-2"/>
          <w:lang w:eastAsia="zh-CN"/>
        </w:rPr>
        <w:t>项目区域地质构造图</w:t>
      </w:r>
    </w:p>
    <w:p w14:paraId="5BA00742" w14:textId="77777777" w:rsidR="0075791A" w:rsidRDefault="0075791A">
      <w:pPr>
        <w:spacing w:line="360" w:lineRule="auto"/>
        <w:ind w:firstLineChars="200" w:firstLine="480"/>
        <w:rPr>
          <w:rFonts w:ascii="Times New Roman" w:eastAsia="宋体" w:hAnsi="Times New Roman" w:cs="Times New Roman"/>
          <w:color w:val="auto"/>
          <w:sz w:val="24"/>
          <w:szCs w:val="24"/>
          <w:lang w:eastAsia="zh-CN"/>
        </w:rPr>
      </w:pPr>
    </w:p>
    <w:p w14:paraId="25435003" w14:textId="77777777" w:rsidR="0075791A" w:rsidRDefault="00FB2864">
      <w:pPr>
        <w:numPr>
          <w:ilvl w:val="0"/>
          <w:numId w:val="3"/>
        </w:numPr>
        <w:spacing w:line="360" w:lineRule="auto"/>
        <w:ind w:firstLineChars="200" w:firstLine="480"/>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t>地形地貌</w:t>
      </w:r>
    </w:p>
    <w:p w14:paraId="22613F2F" w14:textId="77777777" w:rsidR="0075791A" w:rsidRDefault="00FB2864">
      <w:pPr>
        <w:spacing w:line="360" w:lineRule="auto"/>
        <w:ind w:firstLineChars="200" w:firstLine="480"/>
        <w:jc w:val="both"/>
        <w:rPr>
          <w:rFonts w:ascii="Times New Roman" w:eastAsia="宋体" w:hAnsi="Times New Roman" w:cs="Times New Roman"/>
          <w:color w:val="auto"/>
          <w:sz w:val="24"/>
          <w:szCs w:val="24"/>
          <w:lang w:eastAsia="zh-CN"/>
        </w:rPr>
      </w:pPr>
      <w:r>
        <w:rPr>
          <w:rFonts w:ascii="Times New Roman" w:eastAsia="宋体" w:hAnsi="Times New Roman" w:cs="Times New Roman"/>
          <w:color w:val="auto"/>
          <w:sz w:val="24"/>
          <w:szCs w:val="24"/>
          <w:lang w:eastAsia="zh-CN"/>
        </w:rPr>
        <w:t>项目环绕铁炉港岸边建设，场地地貌属于沙坝－潟湖型海岸堆积地貌单元，为沙坝－潟湖型港湾。铁炉港潟湖水域面积</w:t>
      </w:r>
      <w:r>
        <w:rPr>
          <w:rFonts w:ascii="Times New Roman" w:eastAsia="宋体" w:hAnsi="Times New Roman" w:cs="Times New Roman"/>
          <w:color w:val="auto"/>
          <w:sz w:val="24"/>
          <w:szCs w:val="24"/>
          <w:lang w:eastAsia="zh-CN"/>
        </w:rPr>
        <w:t>745.6</w:t>
      </w:r>
      <w:r>
        <w:rPr>
          <w:rFonts w:ascii="Times New Roman" w:eastAsia="宋体" w:hAnsi="Times New Roman" w:cs="Times New Roman"/>
          <w:color w:val="auto"/>
          <w:sz w:val="24"/>
          <w:szCs w:val="24"/>
          <w:lang w:eastAsia="zh-CN"/>
        </w:rPr>
        <w:t>公顷，岸线长度</w:t>
      </w:r>
      <w:r>
        <w:rPr>
          <w:rFonts w:ascii="Times New Roman" w:eastAsia="宋体" w:hAnsi="Times New Roman" w:cs="Times New Roman"/>
          <w:color w:val="auto"/>
          <w:sz w:val="24"/>
          <w:szCs w:val="24"/>
          <w:lang w:eastAsia="zh-CN"/>
        </w:rPr>
        <w:t>22.14</w:t>
      </w:r>
      <w:r>
        <w:rPr>
          <w:rFonts w:ascii="Times New Roman" w:eastAsia="宋体" w:hAnsi="Times New Roman" w:cs="Times New Roman"/>
          <w:color w:val="auto"/>
          <w:sz w:val="24"/>
          <w:szCs w:val="24"/>
          <w:lang w:eastAsia="zh-CN"/>
        </w:rPr>
        <w:t>公里。铁炉港东、南、西三面由石龟岭、龙塘岭、白石岭及田岸后大岭等丘陵山地环绕，大致呈三角锥形，铁炉港在东北角打狗坡绕过东侧石龟岭北端余脉薄尾岭，向东南与铁炉湾相连通，以薄尾岭为界，薄尾岭以西为泻湖，水面开阔，水深</w:t>
      </w:r>
      <w:r>
        <w:rPr>
          <w:rFonts w:ascii="Times New Roman" w:eastAsia="宋体" w:hAnsi="Times New Roman" w:cs="Times New Roman"/>
          <w:color w:val="auto"/>
          <w:sz w:val="24"/>
          <w:szCs w:val="24"/>
          <w:lang w:eastAsia="zh-CN"/>
        </w:rPr>
        <w:t>1</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color w:val="auto"/>
          <w:sz w:val="24"/>
          <w:szCs w:val="24"/>
          <w:lang w:eastAsia="zh-CN"/>
        </w:rPr>
        <w:t>2m</w:t>
      </w:r>
      <w:r>
        <w:rPr>
          <w:rFonts w:ascii="Times New Roman" w:eastAsia="宋体" w:hAnsi="Times New Roman" w:cs="Times New Roman"/>
          <w:color w:val="auto"/>
          <w:sz w:val="24"/>
          <w:szCs w:val="24"/>
          <w:lang w:eastAsia="zh-CN"/>
        </w:rPr>
        <w:t>，薄尾岭以东为泻湖潮汐通道，现状宽</w:t>
      </w:r>
      <w:r>
        <w:rPr>
          <w:rFonts w:ascii="Times New Roman" w:eastAsia="宋体" w:hAnsi="Times New Roman" w:cs="Times New Roman"/>
          <w:color w:val="auto"/>
          <w:sz w:val="24"/>
          <w:szCs w:val="24"/>
          <w:lang w:eastAsia="zh-CN"/>
        </w:rPr>
        <w:t>150m</w:t>
      </w:r>
      <w:r>
        <w:rPr>
          <w:rFonts w:ascii="Times New Roman" w:eastAsia="宋体" w:hAnsi="Times New Roman" w:cs="Times New Roman"/>
          <w:color w:val="auto"/>
          <w:sz w:val="24"/>
          <w:szCs w:val="24"/>
          <w:lang w:eastAsia="zh-CN"/>
        </w:rPr>
        <w:t>左右，潮汐通道深度</w:t>
      </w:r>
      <w:r>
        <w:rPr>
          <w:rFonts w:ascii="Times New Roman" w:eastAsia="宋体" w:hAnsi="Times New Roman" w:cs="Times New Roman"/>
          <w:color w:val="auto"/>
          <w:sz w:val="24"/>
          <w:szCs w:val="24"/>
          <w:lang w:eastAsia="zh-CN"/>
        </w:rPr>
        <w:t>5</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color w:val="auto"/>
          <w:sz w:val="24"/>
          <w:szCs w:val="24"/>
          <w:lang w:eastAsia="zh-CN"/>
        </w:rPr>
        <w:t>9m</w:t>
      </w:r>
      <w:r>
        <w:rPr>
          <w:rFonts w:ascii="Times New Roman" w:eastAsia="宋体" w:hAnsi="Times New Roman" w:cs="Times New Roman"/>
          <w:color w:val="auto"/>
          <w:sz w:val="24"/>
          <w:szCs w:val="24"/>
          <w:lang w:eastAsia="zh-CN"/>
        </w:rPr>
        <w:t>。铁炉港海岸地形较平坦，地形总体上从海岸向湖中心倾斜，场地区海岸及岸滩地面高程一般为</w:t>
      </w:r>
      <w:r>
        <w:rPr>
          <w:rFonts w:ascii="Times New Roman" w:eastAsia="宋体" w:hAnsi="Times New Roman" w:cs="Times New Roman"/>
          <w:color w:val="auto"/>
          <w:sz w:val="24"/>
          <w:szCs w:val="24"/>
          <w:lang w:eastAsia="zh-CN"/>
        </w:rPr>
        <w:t>-</w:t>
      </w:r>
      <w:r>
        <w:rPr>
          <w:rFonts w:ascii="Times New Roman" w:eastAsia="宋体" w:hAnsi="Times New Roman" w:cs="Times New Roman"/>
          <w:color w:val="auto"/>
          <w:sz w:val="24"/>
          <w:szCs w:val="24"/>
          <w:lang w:eastAsia="zh-CN"/>
        </w:rPr>
        <w:t>1.1</w:t>
      </w:r>
      <w:r>
        <w:rPr>
          <w:rFonts w:ascii="Times New Roman" w:eastAsia="宋体" w:hAnsi="Times New Roman" w:cs="Times New Roman"/>
          <w:color w:val="auto"/>
          <w:sz w:val="24"/>
          <w:szCs w:val="24"/>
          <w:lang w:eastAsia="zh-CN"/>
        </w:rPr>
        <w:t>～</w:t>
      </w:r>
      <w:r>
        <w:rPr>
          <w:rFonts w:ascii="Times New Roman" w:eastAsia="宋体" w:hAnsi="Times New Roman" w:cs="Times New Roman"/>
          <w:color w:val="auto"/>
          <w:sz w:val="24"/>
          <w:szCs w:val="24"/>
          <w:lang w:eastAsia="zh-CN"/>
        </w:rPr>
        <w:t>2.5m</w:t>
      </w:r>
      <w:r>
        <w:rPr>
          <w:rFonts w:ascii="Times New Roman" w:eastAsia="宋体" w:hAnsi="Times New Roman" w:cs="Times New Roman"/>
          <w:color w:val="auto"/>
          <w:sz w:val="24"/>
          <w:szCs w:val="24"/>
          <w:lang w:eastAsia="zh-CN"/>
        </w:rPr>
        <w:t>，地面高差一般</w:t>
      </w:r>
      <w:r>
        <w:rPr>
          <w:rFonts w:ascii="Times New Roman" w:eastAsia="宋体" w:hAnsi="Times New Roman" w:cs="Times New Roman"/>
          <w:color w:val="auto"/>
          <w:sz w:val="24"/>
          <w:szCs w:val="24"/>
          <w:lang w:eastAsia="zh-CN"/>
        </w:rPr>
        <w:t>0.5</w:t>
      </w:r>
      <w:r>
        <w:rPr>
          <w:rFonts w:ascii="Times New Roman" w:eastAsia="宋体" w:hAnsi="Times New Roman" w:cs="Times New Roman"/>
          <w:color w:val="auto"/>
          <w:sz w:val="24"/>
          <w:szCs w:val="24"/>
          <w:lang w:eastAsia="zh-CN"/>
        </w:rPr>
        <w:t>～</w:t>
      </w:r>
      <w:r>
        <w:rPr>
          <w:rFonts w:ascii="Times New Roman" w:eastAsia="宋体" w:hAnsi="Times New Roman" w:cs="Times New Roman"/>
          <w:color w:val="auto"/>
          <w:sz w:val="24"/>
          <w:szCs w:val="24"/>
          <w:lang w:eastAsia="zh-CN"/>
        </w:rPr>
        <w:t>2m</w:t>
      </w:r>
      <w:r>
        <w:rPr>
          <w:rFonts w:ascii="Times New Roman" w:eastAsia="宋体" w:hAnsi="Times New Roman" w:cs="Times New Roman"/>
          <w:color w:val="auto"/>
          <w:sz w:val="24"/>
          <w:szCs w:val="24"/>
          <w:lang w:eastAsia="zh-CN"/>
        </w:rPr>
        <w:t>。项目区最低点位于西北侧及东南角附近，标高</w:t>
      </w:r>
      <w:r>
        <w:rPr>
          <w:rFonts w:ascii="Times New Roman" w:eastAsia="宋体" w:hAnsi="Times New Roman" w:cs="Times New Roman"/>
          <w:color w:val="auto"/>
          <w:sz w:val="24"/>
          <w:szCs w:val="24"/>
          <w:lang w:eastAsia="zh-CN"/>
        </w:rPr>
        <w:t>-1.13m</w:t>
      </w:r>
      <w:r>
        <w:rPr>
          <w:rFonts w:ascii="Times New Roman" w:eastAsia="宋体" w:hAnsi="Times New Roman" w:cs="Times New Roman"/>
          <w:color w:val="auto"/>
          <w:sz w:val="24"/>
          <w:szCs w:val="24"/>
          <w:lang w:eastAsia="zh-CN"/>
        </w:rPr>
        <w:t>，最高位于东北角附近，标高</w:t>
      </w:r>
      <w:r>
        <w:rPr>
          <w:rFonts w:ascii="Times New Roman" w:eastAsia="宋体" w:hAnsi="Times New Roman" w:cs="Times New Roman"/>
          <w:color w:val="auto"/>
          <w:sz w:val="24"/>
          <w:szCs w:val="24"/>
          <w:lang w:eastAsia="zh-CN"/>
        </w:rPr>
        <w:t>3.62m</w:t>
      </w:r>
      <w:r>
        <w:rPr>
          <w:rFonts w:ascii="Times New Roman" w:eastAsia="宋体" w:hAnsi="Times New Roman" w:cs="Times New Roman"/>
          <w:color w:val="auto"/>
          <w:sz w:val="24"/>
          <w:szCs w:val="24"/>
          <w:lang w:eastAsia="zh-CN"/>
        </w:rPr>
        <w:t>。西北侧沿海岸边滩地多为已经废弃的鱼塘，局部有淤泥质土、松散砂土等软弱土层分布。</w:t>
      </w:r>
    </w:p>
    <w:p w14:paraId="07C1BB7B" w14:textId="77777777" w:rsidR="0075791A" w:rsidRDefault="00FB2864">
      <w:pPr>
        <w:spacing w:line="360" w:lineRule="auto"/>
        <w:ind w:firstLineChars="200" w:firstLine="480"/>
        <w:jc w:val="both"/>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hint="eastAsia"/>
          <w:color w:val="auto"/>
          <w:sz w:val="24"/>
          <w:szCs w:val="24"/>
          <w:lang w:eastAsia="zh-CN"/>
        </w:rPr>
        <w:t>3</w:t>
      </w:r>
      <w:r>
        <w:rPr>
          <w:rFonts w:ascii="Times New Roman" w:eastAsia="宋体" w:hAnsi="Times New Roman" w:cs="Times New Roman" w:hint="eastAsia"/>
          <w:color w:val="auto"/>
          <w:sz w:val="24"/>
          <w:szCs w:val="24"/>
          <w:lang w:eastAsia="zh-CN"/>
        </w:rPr>
        <w:t>）水下地形</w:t>
      </w:r>
    </w:p>
    <w:p w14:paraId="2E420326" w14:textId="77777777" w:rsidR="0075791A" w:rsidRDefault="00FB2864">
      <w:pPr>
        <w:spacing w:line="360" w:lineRule="auto"/>
        <w:ind w:firstLineChars="200" w:firstLine="480"/>
        <w:jc w:val="both"/>
        <w:rPr>
          <w:rFonts w:ascii="Times New Roman" w:eastAsia="宋体" w:hAnsi="Times New Roman" w:cs="Times New Roman"/>
          <w:color w:val="auto"/>
          <w:sz w:val="24"/>
          <w:szCs w:val="24"/>
          <w:lang w:eastAsia="zh-CN"/>
        </w:rPr>
        <w:sectPr w:rsidR="0075791A">
          <w:footerReference w:type="default" r:id="rId62"/>
          <w:pgSz w:w="11906" w:h="16839"/>
          <w:pgMar w:top="1018" w:right="1354" w:bottom="1134" w:left="1417" w:header="746" w:footer="972" w:gutter="0"/>
          <w:cols w:space="720"/>
        </w:sectPr>
      </w:pPr>
      <w:r>
        <w:rPr>
          <w:rFonts w:ascii="Times New Roman" w:eastAsia="宋体" w:hAnsi="Times New Roman" w:cs="Times New Roman"/>
          <w:color w:val="auto"/>
          <w:sz w:val="24"/>
          <w:szCs w:val="24"/>
          <w:lang w:eastAsia="zh-CN"/>
        </w:rPr>
        <w:t>202</w:t>
      </w:r>
      <w:r>
        <w:rPr>
          <w:rFonts w:ascii="Times New Roman" w:eastAsia="宋体" w:hAnsi="Times New Roman" w:cs="Times New Roman" w:hint="eastAsia"/>
          <w:color w:val="auto"/>
          <w:sz w:val="24"/>
          <w:szCs w:val="24"/>
          <w:lang w:eastAsia="zh-CN"/>
        </w:rPr>
        <w:t>4</w:t>
      </w:r>
      <w:r>
        <w:rPr>
          <w:rFonts w:ascii="Times New Roman" w:eastAsia="宋体" w:hAnsi="Times New Roman" w:cs="Times New Roman"/>
          <w:color w:val="auto"/>
          <w:sz w:val="24"/>
          <w:szCs w:val="24"/>
          <w:lang w:eastAsia="zh-CN"/>
        </w:rPr>
        <w:t>年</w:t>
      </w:r>
      <w:r>
        <w:rPr>
          <w:rFonts w:ascii="Times New Roman" w:eastAsia="宋体" w:hAnsi="Times New Roman" w:cs="Times New Roman" w:hint="eastAsia"/>
          <w:color w:val="auto"/>
          <w:sz w:val="24"/>
          <w:szCs w:val="24"/>
          <w:lang w:eastAsia="zh-CN"/>
        </w:rPr>
        <w:t>8</w:t>
      </w:r>
      <w:r>
        <w:rPr>
          <w:rFonts w:ascii="Times New Roman" w:eastAsia="宋体" w:hAnsi="Times New Roman" w:cs="Times New Roman"/>
          <w:color w:val="auto"/>
          <w:sz w:val="24"/>
          <w:szCs w:val="24"/>
          <w:lang w:eastAsia="zh-CN"/>
        </w:rPr>
        <w:t>月，海南云洲科技有限公司在项目所在地进行了水下地形测量，</w:t>
      </w:r>
      <w:r>
        <w:rPr>
          <w:rFonts w:ascii="Times New Roman" w:eastAsia="宋体" w:hAnsi="Times New Roman" w:cs="Times New Roman" w:hint="eastAsia"/>
          <w:color w:val="auto"/>
          <w:sz w:val="24"/>
          <w:szCs w:val="24"/>
          <w:lang w:eastAsia="zh-CN"/>
        </w:rPr>
        <w:t>深度基准为</w:t>
      </w:r>
      <w:r>
        <w:rPr>
          <w:rFonts w:ascii="Times New Roman" w:eastAsia="宋体" w:hAnsi="Times New Roman" w:cs="Times New Roman" w:hint="eastAsia"/>
          <w:color w:val="auto"/>
          <w:sz w:val="24"/>
          <w:szCs w:val="24"/>
          <w:lang w:eastAsia="zh-CN"/>
        </w:rPr>
        <w:t>1985</w:t>
      </w:r>
      <w:r>
        <w:rPr>
          <w:rFonts w:ascii="Times New Roman" w:eastAsia="宋体" w:hAnsi="Times New Roman" w:cs="Times New Roman" w:hint="eastAsia"/>
          <w:color w:val="auto"/>
          <w:sz w:val="24"/>
          <w:szCs w:val="24"/>
          <w:lang w:eastAsia="zh-CN"/>
        </w:rPr>
        <w:t>国家高程基准，并</w:t>
      </w:r>
      <w:r>
        <w:rPr>
          <w:rFonts w:ascii="Times New Roman" w:eastAsia="宋体" w:hAnsi="Times New Roman" w:cs="Times New Roman"/>
          <w:color w:val="auto"/>
          <w:sz w:val="24"/>
          <w:szCs w:val="24"/>
          <w:lang w:eastAsia="zh-CN"/>
        </w:rPr>
        <w:t>测绘了</w:t>
      </w:r>
      <w:r>
        <w:rPr>
          <w:rFonts w:ascii="Times New Roman" w:eastAsia="宋体" w:hAnsi="Times New Roman" w:cs="Times New Roman"/>
          <w:color w:val="auto"/>
          <w:sz w:val="24"/>
          <w:szCs w:val="24"/>
          <w:lang w:eastAsia="zh-CN"/>
        </w:rPr>
        <w:t>1:</w:t>
      </w:r>
      <w:r>
        <w:rPr>
          <w:rFonts w:ascii="Times New Roman" w:eastAsia="宋体" w:hAnsi="Times New Roman" w:cs="Times New Roman" w:hint="eastAsia"/>
          <w:color w:val="auto"/>
          <w:sz w:val="24"/>
          <w:szCs w:val="24"/>
          <w:lang w:eastAsia="zh-CN"/>
        </w:rPr>
        <w:t>2</w:t>
      </w:r>
      <w:r>
        <w:rPr>
          <w:rFonts w:ascii="Times New Roman" w:eastAsia="宋体" w:hAnsi="Times New Roman" w:cs="Times New Roman"/>
          <w:color w:val="auto"/>
          <w:sz w:val="24"/>
          <w:szCs w:val="24"/>
          <w:lang w:eastAsia="zh-CN"/>
        </w:rPr>
        <w:t>000</w:t>
      </w:r>
      <w:r>
        <w:rPr>
          <w:rFonts w:ascii="Times New Roman" w:eastAsia="宋体" w:hAnsi="Times New Roman" w:cs="Times New Roman"/>
          <w:color w:val="auto"/>
          <w:sz w:val="24"/>
          <w:szCs w:val="24"/>
          <w:lang w:eastAsia="zh-CN"/>
        </w:rPr>
        <w:t>的</w:t>
      </w:r>
      <w:r>
        <w:rPr>
          <w:rFonts w:ascii="Times New Roman" w:eastAsia="宋体" w:hAnsi="Times New Roman" w:cs="Times New Roman" w:hint="eastAsia"/>
          <w:color w:val="auto"/>
          <w:sz w:val="24"/>
          <w:szCs w:val="24"/>
          <w:lang w:eastAsia="zh-CN"/>
        </w:rPr>
        <w:t>铁炉港</w:t>
      </w:r>
      <w:r>
        <w:rPr>
          <w:rFonts w:ascii="Times New Roman" w:eastAsia="宋体" w:hAnsi="Times New Roman" w:cs="Times New Roman"/>
          <w:color w:val="auto"/>
          <w:sz w:val="24"/>
          <w:szCs w:val="24"/>
          <w:lang w:eastAsia="zh-CN"/>
        </w:rPr>
        <w:t>水下地形图</w:t>
      </w:r>
      <w:r>
        <w:rPr>
          <w:rFonts w:ascii="Times New Roman" w:eastAsia="宋体" w:hAnsi="Times New Roman" w:cs="Times New Roman" w:hint="eastAsia"/>
          <w:color w:val="auto"/>
          <w:sz w:val="24"/>
          <w:szCs w:val="24"/>
          <w:lang w:eastAsia="zh-CN"/>
        </w:rPr>
        <w:t>。根据测量结果，铁炉港海域水深在</w:t>
      </w:r>
      <w:r>
        <w:rPr>
          <w:rFonts w:ascii="Times New Roman" w:eastAsia="宋体" w:hAnsi="Times New Roman" w:cs="Times New Roman" w:hint="eastAsia"/>
          <w:color w:val="auto"/>
          <w:sz w:val="24"/>
          <w:szCs w:val="24"/>
          <w:lang w:eastAsia="zh-CN"/>
        </w:rPr>
        <w:t>-1~5.7m</w:t>
      </w:r>
      <w:r>
        <w:rPr>
          <w:rFonts w:ascii="Times New Roman" w:eastAsia="宋体" w:hAnsi="Times New Roman" w:cs="Times New Roman" w:hint="eastAsia"/>
          <w:color w:val="auto"/>
          <w:sz w:val="24"/>
          <w:szCs w:val="24"/>
          <w:lang w:eastAsia="zh-CN"/>
        </w:rPr>
        <w:t>之间，平均水深</w:t>
      </w:r>
      <w:r>
        <w:rPr>
          <w:rFonts w:ascii="Times New Roman" w:eastAsia="宋体" w:hAnsi="Times New Roman" w:cs="Times New Roman" w:hint="eastAsia"/>
          <w:color w:val="auto"/>
          <w:sz w:val="24"/>
          <w:szCs w:val="24"/>
          <w:lang w:eastAsia="zh-CN"/>
        </w:rPr>
        <w:t>0.4m</w:t>
      </w:r>
      <w:r>
        <w:rPr>
          <w:rFonts w:ascii="Times New Roman" w:eastAsia="宋体" w:hAnsi="Times New Roman" w:cs="Times New Roman" w:hint="eastAsia"/>
          <w:color w:val="auto"/>
          <w:sz w:val="24"/>
          <w:szCs w:val="24"/>
          <w:lang w:eastAsia="zh-CN"/>
        </w:rPr>
        <w:t>。其中，从铁炉港口门至高尔夫球场西侧的潮汐通道水深较大，测量范围内水深在</w:t>
      </w:r>
      <w:r>
        <w:rPr>
          <w:rFonts w:ascii="Times New Roman" w:eastAsia="宋体" w:hAnsi="Times New Roman" w:cs="Times New Roman" w:hint="eastAsia"/>
          <w:color w:val="auto"/>
          <w:sz w:val="24"/>
          <w:szCs w:val="24"/>
          <w:lang w:eastAsia="zh-CN"/>
        </w:rPr>
        <w:t>2-4m</w:t>
      </w:r>
      <w:r>
        <w:rPr>
          <w:rFonts w:ascii="Times New Roman" w:eastAsia="宋体" w:hAnsi="Times New Roman" w:cs="Times New Roman" w:hint="eastAsia"/>
          <w:color w:val="auto"/>
          <w:sz w:val="24"/>
          <w:szCs w:val="24"/>
          <w:lang w:eastAsia="zh-CN"/>
        </w:rPr>
        <w:t>，湾底潟湖区水深在</w:t>
      </w:r>
      <w:r>
        <w:rPr>
          <w:rFonts w:ascii="Times New Roman" w:eastAsia="宋体" w:hAnsi="Times New Roman" w:cs="Times New Roman" w:hint="eastAsia"/>
          <w:color w:val="auto"/>
          <w:sz w:val="24"/>
          <w:szCs w:val="24"/>
          <w:lang w:eastAsia="zh-CN"/>
        </w:rPr>
        <w:t>-1-2m</w:t>
      </w:r>
      <w:r>
        <w:rPr>
          <w:rFonts w:ascii="Times New Roman" w:eastAsia="宋体" w:hAnsi="Times New Roman" w:cs="Times New Roman" w:hint="eastAsia"/>
          <w:color w:val="auto"/>
          <w:sz w:val="24"/>
          <w:szCs w:val="24"/>
          <w:lang w:eastAsia="zh-CN"/>
        </w:rPr>
        <w:t>之间，</w:t>
      </w:r>
      <w:r>
        <w:rPr>
          <w:rFonts w:ascii="Times New Roman" w:eastAsia="宋体" w:hAnsi="Times New Roman" w:cs="Times New Roman"/>
          <w:color w:val="auto"/>
          <w:sz w:val="24"/>
          <w:szCs w:val="24"/>
          <w:lang w:eastAsia="zh-CN"/>
        </w:rPr>
        <w:t>项目附近海域的水下地形图见图</w:t>
      </w:r>
      <w:r>
        <w:rPr>
          <w:rFonts w:ascii="Times New Roman" w:eastAsia="宋体" w:hAnsi="Times New Roman" w:cs="Times New Roman" w:hint="eastAsia"/>
          <w:color w:val="auto"/>
          <w:sz w:val="24"/>
          <w:szCs w:val="24"/>
          <w:lang w:eastAsia="zh-CN"/>
        </w:rPr>
        <w:t>3.2.3</w:t>
      </w:r>
      <w:r>
        <w:rPr>
          <w:rFonts w:ascii="Times New Roman" w:eastAsia="宋体" w:hAnsi="Times New Roman" w:cs="Times New Roman"/>
          <w:color w:val="auto"/>
          <w:sz w:val="24"/>
          <w:szCs w:val="24"/>
          <w:lang w:eastAsia="zh-CN"/>
        </w:rPr>
        <w:t>-</w:t>
      </w:r>
      <w:r>
        <w:rPr>
          <w:rFonts w:ascii="Times New Roman" w:eastAsia="宋体" w:hAnsi="Times New Roman" w:cs="Times New Roman" w:hint="eastAsia"/>
          <w:color w:val="auto"/>
          <w:sz w:val="24"/>
          <w:szCs w:val="24"/>
          <w:lang w:eastAsia="zh-CN"/>
        </w:rPr>
        <w:t>2</w:t>
      </w:r>
      <w:r>
        <w:rPr>
          <w:rFonts w:ascii="Times New Roman" w:eastAsia="宋体" w:hAnsi="Times New Roman" w:cs="Times New Roman"/>
          <w:color w:val="auto"/>
          <w:sz w:val="24"/>
          <w:szCs w:val="24"/>
          <w:lang w:eastAsia="zh-CN"/>
        </w:rPr>
        <w:t>。</w:t>
      </w:r>
    </w:p>
    <w:p w14:paraId="357F9BC0" w14:textId="77777777" w:rsidR="0075791A" w:rsidRDefault="0075791A">
      <w:pPr>
        <w:widowControl w:val="0"/>
        <w:kinsoku/>
        <w:adjustRightInd/>
        <w:snapToGrid/>
        <w:jc w:val="center"/>
        <w:textAlignment w:val="auto"/>
        <w:rPr>
          <w:rFonts w:ascii="Times New Roman" w:hAnsi="Times New Roman" w:cs="Times New Roman"/>
          <w:color w:val="auto"/>
          <w:lang w:eastAsia="zh-CN"/>
        </w:rPr>
      </w:pPr>
    </w:p>
    <w:p w14:paraId="7B86F182" w14:textId="77777777" w:rsidR="0075791A" w:rsidRDefault="00FB2864">
      <w:pPr>
        <w:pStyle w:val="TableText"/>
        <w:spacing w:line="360" w:lineRule="auto"/>
        <w:jc w:val="center"/>
        <w:rPr>
          <w:rFonts w:ascii="Times New Roman" w:hAnsi="Times New Roman"/>
          <w:color w:val="auto"/>
          <w:spacing w:val="-2"/>
          <w:lang w:eastAsia="zh-CN"/>
        </w:rPr>
        <w:sectPr w:rsidR="0075791A">
          <w:pgSz w:w="23811" w:h="16838" w:orient="landscape"/>
          <w:pgMar w:top="1417" w:right="1018" w:bottom="1354" w:left="1134" w:header="746" w:footer="972" w:gutter="0"/>
          <w:cols w:space="720"/>
        </w:sectPr>
      </w:pPr>
      <w:r>
        <w:rPr>
          <w:rFonts w:ascii="Times New Roman" w:hAnsi="Times New Roman"/>
          <w:color w:val="auto"/>
          <w:spacing w:val="-2"/>
          <w:lang w:eastAsia="zh-CN"/>
        </w:rPr>
        <w:t>图</w:t>
      </w:r>
      <w:r>
        <w:rPr>
          <w:rFonts w:ascii="Times New Roman" w:hAnsi="Times New Roman" w:hint="eastAsia"/>
          <w:color w:val="auto"/>
          <w:spacing w:val="-2"/>
          <w:lang w:eastAsia="zh-CN"/>
        </w:rPr>
        <w:t>3.2.</w:t>
      </w:r>
      <w:r>
        <w:rPr>
          <w:rFonts w:ascii="Times New Roman" w:hAnsi="Times New Roman" w:hint="eastAsia"/>
          <w:color w:val="auto"/>
          <w:spacing w:val="-2"/>
          <w:lang w:eastAsia="zh-CN"/>
        </w:rPr>
        <w:t>3</w:t>
      </w:r>
      <w:r>
        <w:rPr>
          <w:rFonts w:ascii="Times New Roman" w:hAnsi="Times New Roman"/>
          <w:color w:val="auto"/>
          <w:spacing w:val="-2"/>
          <w:lang w:eastAsia="zh-CN"/>
        </w:rPr>
        <w:t>-</w:t>
      </w:r>
      <w:r>
        <w:rPr>
          <w:rFonts w:ascii="Times New Roman" w:hAnsi="Times New Roman" w:hint="eastAsia"/>
          <w:color w:val="auto"/>
          <w:spacing w:val="-2"/>
          <w:lang w:eastAsia="zh-CN"/>
        </w:rPr>
        <w:t>2</w:t>
      </w:r>
      <w:r>
        <w:rPr>
          <w:rFonts w:ascii="Times New Roman" w:hAnsi="Times New Roman" w:hint="eastAsia"/>
          <w:color w:val="auto"/>
          <w:spacing w:val="-2"/>
          <w:lang w:eastAsia="zh-CN"/>
        </w:rPr>
        <w:t>铁炉港水下地形测量图</w:t>
      </w:r>
    </w:p>
    <w:p w14:paraId="02EC037D" w14:textId="77777777" w:rsidR="0075791A" w:rsidRDefault="00FB2864">
      <w:pPr>
        <w:spacing w:before="34" w:line="220" w:lineRule="auto"/>
        <w:ind w:left="2"/>
        <w:outlineLvl w:val="3"/>
        <w:rPr>
          <w:rFonts w:ascii="Times New Roman" w:eastAsia="宋体" w:hAnsi="Times New Roman" w:cs="宋体"/>
          <w:color w:val="auto"/>
          <w:sz w:val="24"/>
          <w:szCs w:val="24"/>
          <w:lang w:eastAsia="zh-CN"/>
        </w:rPr>
      </w:pPr>
      <w:hyperlink r:id="rId63" w:history="1">
        <w:r>
          <w:rPr>
            <w:rFonts w:ascii="Times New Roman" w:eastAsia="宋体" w:hAnsi="Times New Roman" w:hint="eastAsia"/>
            <w:b/>
            <w:color w:val="auto"/>
            <w:sz w:val="24"/>
            <w:szCs w:val="24"/>
            <w:lang w:eastAsia="zh-CN"/>
          </w:rPr>
          <w:t>3.2.3.2</w:t>
        </w:r>
      </w:hyperlink>
      <w:r>
        <w:rPr>
          <w:rFonts w:ascii="Times New Roman" w:eastAsia="宋体" w:hAnsi="Times New Roman" w:hint="eastAsia"/>
          <w:b/>
          <w:color w:val="auto"/>
          <w:sz w:val="24"/>
          <w:szCs w:val="24"/>
          <w:lang w:eastAsia="zh-CN"/>
        </w:rPr>
        <w:t>海岸冲淤演变</w:t>
      </w:r>
    </w:p>
    <w:p w14:paraId="334E7E3F" w14:textId="77777777" w:rsidR="0075791A" w:rsidRDefault="00FB2864">
      <w:pPr>
        <w:spacing w:before="182" w:line="220" w:lineRule="auto"/>
        <w:ind w:left="497"/>
        <w:rPr>
          <w:rFonts w:ascii="Times New Roman" w:eastAsia="宋体" w:hAnsi="Times New Roman" w:cs="宋体"/>
          <w:color w:val="auto"/>
          <w:sz w:val="24"/>
          <w:szCs w:val="24"/>
          <w:lang w:eastAsia="zh-CN"/>
        </w:rPr>
      </w:pPr>
      <w:r>
        <w:rPr>
          <w:rFonts w:ascii="Times New Roman" w:eastAsia="宋体" w:hAnsi="Times New Roman" w:cs="宋体"/>
          <w:color w:val="auto"/>
          <w:spacing w:val="-4"/>
          <w:sz w:val="24"/>
          <w:szCs w:val="24"/>
          <w:lang w:eastAsia="zh-CN"/>
        </w:rPr>
        <w:t>（</w:t>
      </w:r>
      <w:r>
        <w:rPr>
          <w:rFonts w:ascii="Times New Roman" w:eastAsia="Times New Roman" w:hAnsi="Times New Roman" w:cs="Times New Roman"/>
          <w:color w:val="auto"/>
          <w:spacing w:val="-4"/>
          <w:sz w:val="24"/>
          <w:szCs w:val="24"/>
          <w:lang w:eastAsia="zh-CN"/>
        </w:rPr>
        <w:t>1</w:t>
      </w:r>
      <w:r>
        <w:rPr>
          <w:rFonts w:ascii="Times New Roman" w:eastAsia="宋体" w:hAnsi="Times New Roman" w:cs="宋体"/>
          <w:color w:val="auto"/>
          <w:spacing w:val="-4"/>
          <w:sz w:val="24"/>
          <w:szCs w:val="24"/>
          <w:lang w:eastAsia="zh-CN"/>
        </w:rPr>
        <w:t>）</w:t>
      </w:r>
      <w:r>
        <w:rPr>
          <w:rFonts w:ascii="Times New Roman" w:eastAsia="宋体" w:hAnsi="Times New Roman" w:cs="宋体" w:hint="eastAsia"/>
          <w:color w:val="auto"/>
          <w:spacing w:val="-4"/>
          <w:sz w:val="24"/>
          <w:szCs w:val="24"/>
          <w:lang w:eastAsia="zh-CN"/>
        </w:rPr>
        <w:t>海岸线变化</w:t>
      </w:r>
    </w:p>
    <w:p w14:paraId="654DF454" w14:textId="77777777" w:rsidR="0075791A" w:rsidRDefault="00FB2864">
      <w:pPr>
        <w:spacing w:before="182" w:line="351" w:lineRule="auto"/>
        <w:ind w:left="11" w:right="32" w:firstLine="478"/>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w:t>
      </w:r>
      <w:r>
        <w:rPr>
          <w:rFonts w:ascii="Times New Roman" w:eastAsia="宋体" w:hAnsi="Times New Roman" w:cs="宋体" w:hint="eastAsia"/>
          <w:color w:val="auto"/>
          <w:spacing w:val="-2"/>
          <w:sz w:val="24"/>
          <w:szCs w:val="24"/>
          <w:lang w:eastAsia="zh-CN"/>
        </w:rPr>
        <w:t>2008</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2016</w:t>
      </w:r>
      <w:r>
        <w:rPr>
          <w:rFonts w:ascii="Times New Roman" w:eastAsia="宋体" w:hAnsi="Times New Roman" w:cs="宋体" w:hint="eastAsia"/>
          <w:color w:val="auto"/>
          <w:spacing w:val="-2"/>
          <w:sz w:val="24"/>
          <w:szCs w:val="24"/>
          <w:lang w:eastAsia="zh-CN"/>
        </w:rPr>
        <w:t>年以及</w:t>
      </w:r>
      <w:r>
        <w:rPr>
          <w:rFonts w:ascii="Times New Roman" w:eastAsia="宋体" w:hAnsi="Times New Roman" w:cs="宋体" w:hint="eastAsia"/>
          <w:color w:val="auto"/>
          <w:spacing w:val="-2"/>
          <w:sz w:val="24"/>
          <w:szCs w:val="24"/>
          <w:lang w:eastAsia="zh-CN"/>
        </w:rPr>
        <w:t>2019</w:t>
      </w:r>
      <w:r>
        <w:rPr>
          <w:rFonts w:ascii="Times New Roman" w:eastAsia="宋体" w:hAnsi="Times New Roman" w:cs="宋体" w:hint="eastAsia"/>
          <w:color w:val="auto"/>
          <w:spacing w:val="-2"/>
          <w:sz w:val="24"/>
          <w:szCs w:val="24"/>
          <w:lang w:eastAsia="zh-CN"/>
        </w:rPr>
        <w:t>修测岸线对比结果，铁炉港南侧岸线基无明显变化；而在北侧</w:t>
      </w:r>
      <w:r>
        <w:rPr>
          <w:rFonts w:ascii="Times New Roman" w:eastAsia="宋体" w:hAnsi="Times New Roman" w:cs="宋体" w:hint="eastAsia"/>
          <w:color w:val="auto"/>
          <w:spacing w:val="-2"/>
          <w:sz w:val="24"/>
          <w:szCs w:val="24"/>
          <w:lang w:eastAsia="zh-CN"/>
        </w:rPr>
        <w:t>2019</w:t>
      </w:r>
      <w:r>
        <w:rPr>
          <w:rFonts w:ascii="Times New Roman" w:eastAsia="宋体" w:hAnsi="Times New Roman" w:cs="宋体" w:hint="eastAsia"/>
          <w:color w:val="auto"/>
          <w:spacing w:val="-2"/>
          <w:sz w:val="24"/>
          <w:szCs w:val="24"/>
          <w:lang w:eastAsia="zh-CN"/>
        </w:rPr>
        <w:t>修测岸线较</w:t>
      </w:r>
      <w:r>
        <w:rPr>
          <w:rFonts w:ascii="Times New Roman" w:eastAsia="宋体" w:hAnsi="Times New Roman" w:cs="宋体" w:hint="eastAsia"/>
          <w:color w:val="auto"/>
          <w:spacing w:val="-2"/>
          <w:sz w:val="24"/>
          <w:szCs w:val="24"/>
          <w:lang w:eastAsia="zh-CN"/>
        </w:rPr>
        <w:t>2016</w:t>
      </w:r>
      <w:r>
        <w:rPr>
          <w:rFonts w:ascii="Times New Roman" w:eastAsia="宋体" w:hAnsi="Times New Roman" w:cs="宋体" w:hint="eastAsia"/>
          <w:color w:val="auto"/>
          <w:spacing w:val="-2"/>
          <w:sz w:val="24"/>
          <w:szCs w:val="24"/>
          <w:lang w:eastAsia="zh-CN"/>
        </w:rPr>
        <w:t>年明显后退，而在龙江河口右侧</w:t>
      </w:r>
      <w:r>
        <w:rPr>
          <w:rFonts w:ascii="Times New Roman" w:eastAsia="宋体" w:hAnsi="Times New Roman" w:cs="宋体" w:hint="eastAsia"/>
          <w:color w:val="auto"/>
          <w:spacing w:val="-2"/>
          <w:sz w:val="24"/>
          <w:szCs w:val="24"/>
          <w:lang w:eastAsia="zh-CN"/>
        </w:rPr>
        <w:t>2019</w:t>
      </w:r>
      <w:r>
        <w:rPr>
          <w:rFonts w:ascii="Times New Roman" w:eastAsia="宋体" w:hAnsi="Times New Roman" w:cs="宋体" w:hint="eastAsia"/>
          <w:color w:val="auto"/>
          <w:spacing w:val="-2"/>
          <w:sz w:val="24"/>
          <w:szCs w:val="24"/>
          <w:lang w:eastAsia="zh-CN"/>
        </w:rPr>
        <w:t>修测岸线较</w:t>
      </w:r>
      <w:r>
        <w:rPr>
          <w:rFonts w:ascii="Times New Roman" w:eastAsia="宋体" w:hAnsi="Times New Roman" w:cs="宋体" w:hint="eastAsia"/>
          <w:color w:val="auto"/>
          <w:spacing w:val="-2"/>
          <w:sz w:val="24"/>
          <w:szCs w:val="24"/>
          <w:lang w:eastAsia="zh-CN"/>
        </w:rPr>
        <w:t>2008</w:t>
      </w:r>
      <w:r>
        <w:rPr>
          <w:rFonts w:ascii="Times New Roman" w:eastAsia="宋体" w:hAnsi="Times New Roman" w:cs="宋体" w:hint="eastAsia"/>
          <w:color w:val="auto"/>
          <w:spacing w:val="-2"/>
          <w:sz w:val="24"/>
          <w:szCs w:val="24"/>
          <w:lang w:eastAsia="zh-CN"/>
        </w:rPr>
        <w:t>年岸线向海前进。</w:t>
      </w:r>
    </w:p>
    <w:p w14:paraId="7AA32942" w14:textId="77777777" w:rsidR="0075791A" w:rsidRDefault="0075791A">
      <w:pPr>
        <w:jc w:val="center"/>
        <w:rPr>
          <w:rFonts w:ascii="Times New Roman" w:eastAsia="宋体" w:hAnsi="Times New Roman" w:cs="宋体"/>
          <w:color w:val="auto"/>
          <w:spacing w:val="-2"/>
          <w:sz w:val="24"/>
          <w:szCs w:val="24"/>
          <w:lang w:eastAsia="zh-CN"/>
        </w:rPr>
      </w:pPr>
    </w:p>
    <w:p w14:paraId="6072B4A6" w14:textId="77777777" w:rsidR="0075791A" w:rsidRDefault="00FB2864">
      <w:pPr>
        <w:pStyle w:val="TableText"/>
        <w:spacing w:line="360" w:lineRule="auto"/>
        <w:jc w:val="center"/>
        <w:rPr>
          <w:rFonts w:ascii="Times New Roman" w:hAnsi="Times New Roman"/>
          <w:color w:val="auto"/>
          <w:spacing w:val="-2"/>
          <w:lang w:eastAsia="zh-CN"/>
        </w:rPr>
      </w:pPr>
      <w:r>
        <w:rPr>
          <w:rFonts w:ascii="Times New Roman" w:hAnsi="Times New Roman"/>
          <w:color w:val="auto"/>
          <w:spacing w:val="-2"/>
          <w:lang w:eastAsia="zh-CN"/>
        </w:rPr>
        <w:t>图</w:t>
      </w:r>
      <w:r>
        <w:rPr>
          <w:rFonts w:ascii="Times New Roman" w:hAnsi="Times New Roman" w:hint="eastAsia"/>
          <w:color w:val="auto"/>
          <w:spacing w:val="-2"/>
          <w:lang w:eastAsia="zh-CN"/>
        </w:rPr>
        <w:t>3.2.</w:t>
      </w:r>
      <w:r>
        <w:rPr>
          <w:rFonts w:ascii="Times New Roman" w:hAnsi="Times New Roman" w:hint="eastAsia"/>
          <w:color w:val="auto"/>
          <w:spacing w:val="-2"/>
          <w:lang w:eastAsia="zh-CN"/>
        </w:rPr>
        <w:t>3</w:t>
      </w:r>
      <w:r>
        <w:rPr>
          <w:rFonts w:ascii="Times New Roman" w:hAnsi="Times New Roman"/>
          <w:color w:val="auto"/>
          <w:spacing w:val="-2"/>
          <w:lang w:eastAsia="zh-CN"/>
        </w:rPr>
        <w:t>-</w:t>
      </w:r>
      <w:r>
        <w:rPr>
          <w:rFonts w:ascii="Times New Roman" w:hAnsi="Times New Roman" w:hint="eastAsia"/>
          <w:color w:val="auto"/>
          <w:spacing w:val="-2"/>
          <w:lang w:eastAsia="zh-CN"/>
        </w:rPr>
        <w:t>3</w:t>
      </w:r>
      <w:r>
        <w:rPr>
          <w:rFonts w:ascii="Times New Roman" w:hAnsi="Times New Roman" w:hint="eastAsia"/>
          <w:color w:val="auto"/>
          <w:spacing w:val="-2"/>
          <w:lang w:eastAsia="zh-CN"/>
        </w:rPr>
        <w:t>铁炉港</w:t>
      </w:r>
      <w:r>
        <w:rPr>
          <w:rFonts w:ascii="Times New Roman" w:hAnsi="Times New Roman" w:hint="eastAsia"/>
          <w:color w:val="auto"/>
          <w:spacing w:val="-2"/>
          <w:lang w:eastAsia="zh-CN"/>
        </w:rPr>
        <w:t>海岸线变化</w:t>
      </w:r>
    </w:p>
    <w:p w14:paraId="2B891EE5" w14:textId="77777777" w:rsidR="0075791A" w:rsidRDefault="00FB2864">
      <w:pPr>
        <w:spacing w:before="182" w:line="220" w:lineRule="auto"/>
        <w:ind w:left="497"/>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w:t>
      </w:r>
      <w:r>
        <w:rPr>
          <w:rFonts w:ascii="Times New Roman" w:eastAsia="宋体" w:hAnsi="Times New Roman" w:cs="宋体" w:hint="eastAsia"/>
          <w:color w:val="auto"/>
          <w:spacing w:val="-4"/>
          <w:sz w:val="24"/>
          <w:szCs w:val="24"/>
          <w:lang w:eastAsia="zh-CN"/>
        </w:rPr>
        <w:t>2</w:t>
      </w:r>
      <w:r>
        <w:rPr>
          <w:rFonts w:ascii="Times New Roman" w:eastAsia="宋体" w:hAnsi="Times New Roman" w:cs="宋体" w:hint="eastAsia"/>
          <w:color w:val="auto"/>
          <w:spacing w:val="-4"/>
          <w:sz w:val="24"/>
          <w:szCs w:val="24"/>
          <w:lang w:eastAsia="zh-CN"/>
        </w:rPr>
        <w:t>）铁炉港海岸冲淤变化</w:t>
      </w:r>
    </w:p>
    <w:p w14:paraId="467301D2" w14:textId="77777777" w:rsidR="0075791A" w:rsidRDefault="00FB2864">
      <w:pPr>
        <w:spacing w:before="182" w:line="351" w:lineRule="auto"/>
        <w:ind w:left="11" w:right="32" w:firstLine="478"/>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自上世纪以来，铁炉港打了发展海水养殖，使得铁炉港潮坪被围垦成农田、虾塘。根据遥感影像，至</w:t>
      </w:r>
      <w:r>
        <w:rPr>
          <w:rFonts w:ascii="Times New Roman" w:eastAsia="宋体" w:hAnsi="Times New Roman" w:cs="宋体" w:hint="eastAsia"/>
          <w:color w:val="auto"/>
          <w:spacing w:val="-2"/>
          <w:sz w:val="24"/>
          <w:szCs w:val="24"/>
          <w:lang w:eastAsia="zh-CN"/>
        </w:rPr>
        <w:t>2014</w:t>
      </w:r>
      <w:r>
        <w:rPr>
          <w:rFonts w:ascii="Times New Roman" w:eastAsia="宋体" w:hAnsi="Times New Roman" w:cs="宋体" w:hint="eastAsia"/>
          <w:color w:val="auto"/>
          <w:spacing w:val="-2"/>
          <w:sz w:val="24"/>
          <w:szCs w:val="24"/>
          <w:lang w:eastAsia="zh-CN"/>
        </w:rPr>
        <w:t>年养殖池塘面积依然在增加。大面积的养殖池塘开垦以致泻湖水面面积减小，泻湖纳潮量亦随之减少，泻湖内动力减弱，湖内水深自然淤浅速度加快，泻湖在大潮低潮位平均水深不足</w:t>
      </w:r>
      <w:r>
        <w:rPr>
          <w:rFonts w:ascii="Times New Roman" w:eastAsia="宋体" w:hAnsi="Times New Roman" w:cs="宋体" w:hint="eastAsia"/>
          <w:color w:val="auto"/>
          <w:spacing w:val="-2"/>
          <w:sz w:val="24"/>
          <w:szCs w:val="24"/>
          <w:lang w:eastAsia="zh-CN"/>
        </w:rPr>
        <w:t>0.5m</w:t>
      </w:r>
      <w:r>
        <w:rPr>
          <w:rFonts w:ascii="Times New Roman" w:eastAsia="宋体" w:hAnsi="Times New Roman" w:cs="宋体" w:hint="eastAsia"/>
          <w:color w:val="auto"/>
          <w:spacing w:val="-2"/>
          <w:sz w:val="24"/>
          <w:szCs w:val="24"/>
          <w:lang w:eastAsia="zh-CN"/>
        </w:rPr>
        <w:t>，湖底很大部分甚至出露水面。此外，部分河口与水动力较弱区域浅滩不断发育，南边海水域河道淤积较严重，导致潮汐通道内水流不畅，降低了潟湖水体与外海水体的交换能力。</w:t>
      </w:r>
    </w:p>
    <w:p w14:paraId="4519ABD5" w14:textId="77777777" w:rsidR="0075791A" w:rsidRDefault="0075791A">
      <w:pPr>
        <w:jc w:val="center"/>
        <w:rPr>
          <w:rFonts w:ascii="Times New Roman" w:eastAsia="宋体" w:hAnsi="Times New Roman" w:cs="宋体"/>
          <w:color w:val="auto"/>
          <w:spacing w:val="-3"/>
          <w:sz w:val="24"/>
          <w:szCs w:val="24"/>
          <w:lang w:eastAsia="zh-CN"/>
        </w:rPr>
      </w:pPr>
    </w:p>
    <w:p w14:paraId="04E1DC5B" w14:textId="77777777" w:rsidR="0075791A" w:rsidRDefault="00FB2864">
      <w:pPr>
        <w:jc w:val="center"/>
        <w:rPr>
          <w:rFonts w:ascii="Times New Roman" w:eastAsia="宋体" w:hAnsi="Times New Roman" w:cs="宋体"/>
          <w:color w:val="auto"/>
          <w:spacing w:val="-3"/>
          <w:sz w:val="24"/>
          <w:szCs w:val="24"/>
          <w:lang w:eastAsia="zh-CN"/>
        </w:rPr>
      </w:pPr>
      <w:r>
        <w:rPr>
          <w:rFonts w:ascii="Times New Roman" w:eastAsia="宋体" w:hAnsi="Times New Roman" w:cs="宋体"/>
          <w:color w:val="auto"/>
          <w:spacing w:val="-2"/>
          <w:lang w:eastAsia="zh-CN"/>
        </w:rPr>
        <w:t>图</w:t>
      </w:r>
      <w:r>
        <w:rPr>
          <w:rFonts w:ascii="Times New Roman" w:eastAsia="宋体" w:hAnsi="Times New Roman" w:cs="宋体" w:hint="eastAsia"/>
          <w:color w:val="auto"/>
          <w:spacing w:val="-2"/>
          <w:lang w:eastAsia="zh-CN"/>
        </w:rPr>
        <w:t>3.2.3</w:t>
      </w:r>
      <w:r>
        <w:rPr>
          <w:rFonts w:ascii="Times New Roman" w:eastAsia="宋体" w:hAnsi="Times New Roman" w:cs="宋体"/>
          <w:color w:val="auto"/>
          <w:spacing w:val="-2"/>
          <w:lang w:eastAsia="zh-CN"/>
        </w:rPr>
        <w:t>-</w:t>
      </w:r>
      <w:r>
        <w:rPr>
          <w:rFonts w:ascii="Times New Roman" w:eastAsia="宋体" w:hAnsi="Times New Roman" w:cs="宋体" w:hint="eastAsia"/>
          <w:color w:val="auto"/>
          <w:spacing w:val="-2"/>
          <w:lang w:eastAsia="zh-CN"/>
        </w:rPr>
        <w:t xml:space="preserve">4 </w:t>
      </w:r>
      <w:r>
        <w:rPr>
          <w:rFonts w:ascii="Times New Roman" w:eastAsia="宋体" w:hAnsi="Times New Roman" w:cs="宋体" w:hint="eastAsia"/>
          <w:color w:val="auto"/>
          <w:spacing w:val="-3"/>
          <w:sz w:val="24"/>
          <w:szCs w:val="24"/>
          <w:lang w:eastAsia="zh-CN"/>
        </w:rPr>
        <w:t>铁炉港区域卫星影像（</w:t>
      </w:r>
      <w:r>
        <w:rPr>
          <w:rFonts w:ascii="Times New Roman" w:eastAsia="宋体" w:hAnsi="Times New Roman" w:cs="宋体" w:hint="eastAsia"/>
          <w:color w:val="auto"/>
          <w:spacing w:val="-3"/>
          <w:sz w:val="24"/>
          <w:szCs w:val="24"/>
          <w:lang w:eastAsia="zh-CN"/>
        </w:rPr>
        <w:t>2004.10.18</w:t>
      </w:r>
      <w:r>
        <w:rPr>
          <w:rFonts w:ascii="Times New Roman" w:eastAsia="宋体" w:hAnsi="Times New Roman" w:cs="宋体" w:hint="eastAsia"/>
          <w:color w:val="auto"/>
          <w:spacing w:val="-3"/>
          <w:sz w:val="24"/>
          <w:szCs w:val="24"/>
          <w:lang w:eastAsia="zh-CN"/>
        </w:rPr>
        <w:t>）</w:t>
      </w:r>
    </w:p>
    <w:p w14:paraId="67CF3798" w14:textId="77777777" w:rsidR="0075791A" w:rsidRDefault="0075791A">
      <w:pPr>
        <w:pStyle w:val="a5"/>
        <w:rPr>
          <w:color w:val="auto"/>
          <w:lang w:eastAsia="zh-CN"/>
        </w:rPr>
      </w:pPr>
    </w:p>
    <w:p w14:paraId="1394A653" w14:textId="77777777" w:rsidR="0075791A" w:rsidRDefault="0075791A">
      <w:pPr>
        <w:jc w:val="center"/>
        <w:rPr>
          <w:rFonts w:ascii="Times New Roman" w:eastAsia="宋体" w:hAnsi="Times New Roman" w:cs="宋体"/>
          <w:color w:val="auto"/>
          <w:spacing w:val="-3"/>
          <w:sz w:val="24"/>
          <w:szCs w:val="24"/>
          <w:lang w:eastAsia="zh-CN"/>
        </w:rPr>
      </w:pPr>
    </w:p>
    <w:p w14:paraId="48BD8B67" w14:textId="77777777" w:rsidR="0075791A" w:rsidRDefault="00FB2864">
      <w:pPr>
        <w:jc w:val="center"/>
        <w:rPr>
          <w:rFonts w:ascii="Times New Roman" w:eastAsia="宋体" w:hAnsi="Times New Roman" w:cs="宋体"/>
          <w:color w:val="auto"/>
          <w:spacing w:val="-3"/>
          <w:sz w:val="24"/>
          <w:szCs w:val="24"/>
          <w:lang w:eastAsia="zh-CN"/>
        </w:rPr>
      </w:pPr>
      <w:r>
        <w:rPr>
          <w:rFonts w:ascii="Times New Roman" w:eastAsia="宋体" w:hAnsi="Times New Roman" w:cs="宋体"/>
          <w:color w:val="auto"/>
          <w:spacing w:val="-2"/>
          <w:lang w:eastAsia="zh-CN"/>
        </w:rPr>
        <w:t>图</w:t>
      </w:r>
      <w:r>
        <w:rPr>
          <w:rFonts w:ascii="Times New Roman" w:eastAsia="宋体" w:hAnsi="Times New Roman" w:cs="宋体" w:hint="eastAsia"/>
          <w:color w:val="auto"/>
          <w:spacing w:val="-2"/>
          <w:lang w:eastAsia="zh-CN"/>
        </w:rPr>
        <w:t>3.2.3</w:t>
      </w:r>
      <w:r>
        <w:rPr>
          <w:rFonts w:ascii="Times New Roman" w:eastAsia="宋体" w:hAnsi="Times New Roman" w:cs="宋体"/>
          <w:color w:val="auto"/>
          <w:spacing w:val="-2"/>
          <w:lang w:eastAsia="zh-CN"/>
        </w:rPr>
        <w:t>-</w:t>
      </w:r>
      <w:r>
        <w:rPr>
          <w:rFonts w:ascii="Times New Roman" w:eastAsia="宋体" w:hAnsi="Times New Roman" w:cs="宋体" w:hint="eastAsia"/>
          <w:color w:val="auto"/>
          <w:spacing w:val="-2"/>
          <w:lang w:eastAsia="zh-CN"/>
        </w:rPr>
        <w:t>5</w:t>
      </w:r>
      <w:r>
        <w:rPr>
          <w:rFonts w:ascii="Times New Roman" w:eastAsia="宋体" w:hAnsi="Times New Roman" w:cs="宋体" w:hint="eastAsia"/>
          <w:color w:val="auto"/>
          <w:spacing w:val="-3"/>
          <w:sz w:val="24"/>
          <w:szCs w:val="24"/>
          <w:lang w:eastAsia="zh-CN"/>
        </w:rPr>
        <w:t>铁炉</w:t>
      </w:r>
      <w:r>
        <w:rPr>
          <w:rFonts w:ascii="Times New Roman" w:eastAsia="宋体" w:hAnsi="Times New Roman" w:cs="宋体" w:hint="eastAsia"/>
          <w:color w:val="auto"/>
          <w:spacing w:val="-3"/>
          <w:sz w:val="24"/>
          <w:szCs w:val="24"/>
          <w:lang w:eastAsia="zh-CN"/>
        </w:rPr>
        <w:t>港区域卫星影像（</w:t>
      </w:r>
      <w:r>
        <w:rPr>
          <w:rFonts w:ascii="Times New Roman" w:eastAsia="宋体" w:hAnsi="Times New Roman" w:cs="宋体" w:hint="eastAsia"/>
          <w:color w:val="auto"/>
          <w:spacing w:val="-3"/>
          <w:sz w:val="24"/>
          <w:szCs w:val="24"/>
          <w:lang w:eastAsia="zh-CN"/>
        </w:rPr>
        <w:t>2014.11.06</w:t>
      </w:r>
      <w:r>
        <w:rPr>
          <w:rFonts w:ascii="Times New Roman" w:eastAsia="宋体" w:hAnsi="Times New Roman" w:cs="宋体" w:hint="eastAsia"/>
          <w:color w:val="auto"/>
          <w:spacing w:val="-3"/>
          <w:sz w:val="24"/>
          <w:szCs w:val="24"/>
          <w:lang w:eastAsia="zh-CN"/>
        </w:rPr>
        <w:t>）</w:t>
      </w:r>
    </w:p>
    <w:p w14:paraId="2A99D2AC" w14:textId="77777777" w:rsidR="0075791A" w:rsidRDefault="0075791A">
      <w:pPr>
        <w:jc w:val="center"/>
        <w:rPr>
          <w:rFonts w:ascii="Times New Roman" w:eastAsia="宋体" w:hAnsi="Times New Roman" w:cs="宋体"/>
          <w:color w:val="auto"/>
          <w:spacing w:val="-3"/>
          <w:sz w:val="24"/>
          <w:szCs w:val="24"/>
          <w:lang w:eastAsia="zh-CN"/>
        </w:rPr>
      </w:pPr>
    </w:p>
    <w:p w14:paraId="6A33EBAB" w14:textId="77777777" w:rsidR="0075791A" w:rsidRDefault="00FB2864">
      <w:pPr>
        <w:jc w:val="center"/>
        <w:rPr>
          <w:rFonts w:ascii="Times New Roman" w:eastAsia="宋体" w:hAnsi="Times New Roman" w:cs="宋体"/>
          <w:color w:val="auto"/>
          <w:spacing w:val="-3"/>
          <w:sz w:val="24"/>
          <w:szCs w:val="24"/>
          <w:lang w:eastAsia="zh-CN"/>
        </w:rPr>
      </w:pPr>
      <w:r>
        <w:rPr>
          <w:rFonts w:ascii="Times New Roman" w:eastAsia="宋体" w:hAnsi="Times New Roman" w:cs="宋体"/>
          <w:color w:val="auto"/>
          <w:spacing w:val="-2"/>
          <w:lang w:eastAsia="zh-CN"/>
        </w:rPr>
        <w:t>图</w:t>
      </w:r>
      <w:r>
        <w:rPr>
          <w:rFonts w:ascii="Times New Roman" w:eastAsia="宋体" w:hAnsi="Times New Roman" w:cs="宋体" w:hint="eastAsia"/>
          <w:color w:val="auto"/>
          <w:spacing w:val="-2"/>
          <w:lang w:eastAsia="zh-CN"/>
        </w:rPr>
        <w:t>3.2.3</w:t>
      </w:r>
      <w:r>
        <w:rPr>
          <w:rFonts w:ascii="Times New Roman" w:eastAsia="宋体" w:hAnsi="Times New Roman" w:cs="宋体"/>
          <w:color w:val="auto"/>
          <w:spacing w:val="-2"/>
          <w:lang w:eastAsia="zh-CN"/>
        </w:rPr>
        <w:t>-</w:t>
      </w:r>
      <w:r>
        <w:rPr>
          <w:rFonts w:ascii="Times New Roman" w:eastAsia="宋体" w:hAnsi="Times New Roman" w:cs="宋体" w:hint="eastAsia"/>
          <w:color w:val="auto"/>
          <w:spacing w:val="-2"/>
          <w:lang w:eastAsia="zh-CN"/>
        </w:rPr>
        <w:t xml:space="preserve">6 </w:t>
      </w:r>
      <w:r>
        <w:rPr>
          <w:rFonts w:ascii="Times New Roman" w:eastAsia="宋体" w:hAnsi="Times New Roman" w:cs="宋体" w:hint="eastAsia"/>
          <w:color w:val="auto"/>
          <w:spacing w:val="-3"/>
          <w:sz w:val="24"/>
          <w:szCs w:val="24"/>
          <w:lang w:eastAsia="zh-CN"/>
        </w:rPr>
        <w:t>铁炉港区域卫星影像（</w:t>
      </w:r>
      <w:r>
        <w:rPr>
          <w:rFonts w:ascii="Times New Roman" w:eastAsia="宋体" w:hAnsi="Times New Roman" w:cs="宋体" w:hint="eastAsia"/>
          <w:color w:val="auto"/>
          <w:spacing w:val="-3"/>
          <w:sz w:val="24"/>
          <w:szCs w:val="24"/>
          <w:lang w:eastAsia="zh-CN"/>
        </w:rPr>
        <w:t>2018.10.30</w:t>
      </w:r>
      <w:r>
        <w:rPr>
          <w:rFonts w:ascii="Times New Roman" w:eastAsia="宋体" w:hAnsi="Times New Roman" w:cs="宋体" w:hint="eastAsia"/>
          <w:color w:val="auto"/>
          <w:spacing w:val="-3"/>
          <w:sz w:val="24"/>
          <w:szCs w:val="24"/>
          <w:lang w:eastAsia="zh-CN"/>
        </w:rPr>
        <w:t>）</w:t>
      </w:r>
    </w:p>
    <w:p w14:paraId="64E5017F" w14:textId="77777777" w:rsidR="0075791A" w:rsidRDefault="0075791A">
      <w:pPr>
        <w:jc w:val="center"/>
        <w:rPr>
          <w:rFonts w:ascii="Times New Roman" w:eastAsia="宋体" w:hAnsi="Times New Roman" w:cs="宋体"/>
          <w:color w:val="auto"/>
          <w:spacing w:val="-3"/>
          <w:sz w:val="24"/>
          <w:szCs w:val="24"/>
          <w:lang w:eastAsia="zh-CN"/>
        </w:rPr>
      </w:pPr>
    </w:p>
    <w:p w14:paraId="40774113" w14:textId="77777777" w:rsidR="0075791A" w:rsidRDefault="00FB2864">
      <w:pPr>
        <w:jc w:val="center"/>
        <w:rPr>
          <w:rFonts w:ascii="Times New Roman" w:eastAsia="宋体" w:hAnsi="Times New Roman" w:cs="宋体"/>
          <w:color w:val="auto"/>
          <w:spacing w:val="-3"/>
          <w:sz w:val="24"/>
          <w:szCs w:val="24"/>
          <w:lang w:eastAsia="zh-CN"/>
        </w:rPr>
      </w:pPr>
      <w:r>
        <w:rPr>
          <w:rFonts w:ascii="Times New Roman" w:eastAsia="宋体" w:hAnsi="Times New Roman" w:cs="宋体"/>
          <w:color w:val="auto"/>
          <w:spacing w:val="-2"/>
          <w:sz w:val="24"/>
          <w:szCs w:val="24"/>
          <w:lang w:eastAsia="zh-CN"/>
        </w:rPr>
        <w:t>图</w:t>
      </w:r>
      <w:r>
        <w:rPr>
          <w:rFonts w:ascii="Times New Roman" w:eastAsia="宋体" w:hAnsi="Times New Roman" w:cs="宋体" w:hint="eastAsia"/>
          <w:color w:val="auto"/>
          <w:spacing w:val="-2"/>
          <w:sz w:val="24"/>
          <w:szCs w:val="24"/>
          <w:lang w:eastAsia="zh-CN"/>
        </w:rPr>
        <w:t>3.2.3</w:t>
      </w:r>
      <w:r>
        <w:rPr>
          <w:rFonts w:ascii="Times New Roman" w:eastAsia="宋体" w:hAnsi="Times New Roman" w:cs="宋体"/>
          <w:color w:val="auto"/>
          <w:spacing w:val="-2"/>
          <w:sz w:val="24"/>
          <w:szCs w:val="24"/>
          <w:lang w:eastAsia="zh-CN"/>
        </w:rPr>
        <w:t>-</w:t>
      </w:r>
      <w:r>
        <w:rPr>
          <w:rFonts w:ascii="Times New Roman" w:eastAsia="宋体" w:hAnsi="Times New Roman" w:cs="宋体" w:hint="eastAsia"/>
          <w:color w:val="auto"/>
          <w:spacing w:val="-2"/>
          <w:sz w:val="24"/>
          <w:szCs w:val="24"/>
          <w:lang w:eastAsia="zh-CN"/>
        </w:rPr>
        <w:t xml:space="preserve">7 </w:t>
      </w:r>
      <w:r>
        <w:rPr>
          <w:rFonts w:ascii="Times New Roman" w:eastAsia="宋体" w:hAnsi="Times New Roman" w:cs="宋体" w:hint="eastAsia"/>
          <w:color w:val="auto"/>
          <w:spacing w:val="-3"/>
          <w:sz w:val="24"/>
          <w:szCs w:val="24"/>
          <w:lang w:eastAsia="zh-CN"/>
        </w:rPr>
        <w:t>铁炉港区域卫星影像（</w:t>
      </w:r>
      <w:r>
        <w:rPr>
          <w:rFonts w:ascii="Times New Roman" w:eastAsia="宋体" w:hAnsi="Times New Roman" w:cs="宋体" w:hint="eastAsia"/>
          <w:color w:val="auto"/>
          <w:spacing w:val="-3"/>
          <w:sz w:val="24"/>
          <w:szCs w:val="24"/>
          <w:lang w:eastAsia="zh-CN"/>
        </w:rPr>
        <w:t>2023.10.10</w:t>
      </w:r>
      <w:r>
        <w:rPr>
          <w:rFonts w:ascii="Times New Roman" w:eastAsia="宋体" w:hAnsi="Times New Roman" w:cs="宋体" w:hint="eastAsia"/>
          <w:color w:val="auto"/>
          <w:spacing w:val="-3"/>
          <w:sz w:val="24"/>
          <w:szCs w:val="24"/>
          <w:lang w:eastAsia="zh-CN"/>
        </w:rPr>
        <w:t>）</w:t>
      </w:r>
    </w:p>
    <w:p w14:paraId="3A084ADF" w14:textId="77777777" w:rsidR="0075791A" w:rsidRDefault="00FB2864">
      <w:pPr>
        <w:spacing w:before="34" w:line="220" w:lineRule="auto"/>
        <w:ind w:left="2"/>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 xml:space="preserve">3.2.3.3 </w:t>
      </w:r>
      <w:r>
        <w:rPr>
          <w:rFonts w:ascii="Times New Roman" w:eastAsia="宋体" w:hAnsi="Times New Roman" w:hint="eastAsia"/>
          <w:b/>
          <w:color w:val="auto"/>
          <w:sz w:val="24"/>
          <w:szCs w:val="24"/>
          <w:lang w:eastAsia="zh-CN"/>
        </w:rPr>
        <w:t>沉积物粒度</w:t>
      </w:r>
    </w:p>
    <w:p w14:paraId="6B2D2619" w14:textId="77777777" w:rsidR="0075791A" w:rsidRDefault="00FB2864">
      <w:pPr>
        <w:spacing w:line="360" w:lineRule="auto"/>
        <w:ind w:firstLineChars="200" w:firstLine="476"/>
        <w:jc w:val="both"/>
        <w:rPr>
          <w:rFonts w:ascii="宋体" w:eastAsia="宋体" w:hAnsi="宋体" w:cs="宋体"/>
          <w:color w:val="auto"/>
          <w:sz w:val="24"/>
          <w:szCs w:val="24"/>
          <w:lang w:eastAsia="zh-CN"/>
        </w:rPr>
      </w:pPr>
      <w:r>
        <w:rPr>
          <w:rFonts w:ascii="Times New Roman" w:eastAsia="宋体" w:hAnsi="Times New Roman" w:cs="宋体" w:hint="eastAsia"/>
          <w:color w:val="auto"/>
          <w:spacing w:val="-2"/>
          <w:sz w:val="24"/>
          <w:szCs w:val="24"/>
          <w:lang w:eastAsia="zh-CN"/>
        </w:rPr>
        <w:t xml:space="preserve">2023 </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 xml:space="preserve"> </w:t>
      </w:r>
      <w:r>
        <w:rPr>
          <w:rFonts w:ascii="Times New Roman" w:eastAsia="宋体" w:hAnsi="Times New Roman" w:cs="宋体"/>
          <w:color w:val="auto"/>
          <w:spacing w:val="-2"/>
          <w:sz w:val="24"/>
          <w:szCs w:val="24"/>
          <w:lang w:eastAsia="zh-CN"/>
        </w:rPr>
        <w:t xml:space="preserve">8 </w:t>
      </w:r>
      <w:r>
        <w:rPr>
          <w:rFonts w:ascii="Times New Roman" w:eastAsia="宋体" w:hAnsi="Times New Roman" w:cs="宋体" w:hint="eastAsia"/>
          <w:color w:val="auto"/>
          <w:spacing w:val="-2"/>
          <w:sz w:val="24"/>
          <w:szCs w:val="24"/>
          <w:lang w:eastAsia="zh-CN"/>
        </w:rPr>
        <w:t>月，中国海洋大学在铁炉港潟湖开展三亚铁炉港红树林生态系统碳储量调查和评估工作，主要包括红树植被、植物碳储量、沉积物碳储量、凋</w:t>
      </w:r>
      <w:r>
        <w:rPr>
          <w:rFonts w:ascii="Times New Roman" w:eastAsia="宋体" w:hAnsi="Times New Roman" w:cs="宋体" w:hint="eastAsia"/>
          <w:color w:val="auto"/>
          <w:spacing w:val="-2"/>
          <w:sz w:val="24"/>
          <w:szCs w:val="24"/>
          <w:lang w:eastAsia="zh-CN"/>
        </w:rPr>
        <w:t xml:space="preserve"> </w:t>
      </w:r>
      <w:r>
        <w:rPr>
          <w:rFonts w:ascii="Times New Roman" w:eastAsia="宋体" w:hAnsi="Times New Roman" w:cs="宋体" w:hint="eastAsia"/>
          <w:color w:val="auto"/>
          <w:spacing w:val="-2"/>
          <w:sz w:val="24"/>
          <w:szCs w:val="24"/>
          <w:lang w:eastAsia="zh-CN"/>
        </w:rPr>
        <w:t>落物碳储量调查</w:t>
      </w:r>
      <w:r>
        <w:rPr>
          <w:rFonts w:ascii="Times New Roman" w:eastAsia="宋体" w:hAnsi="Times New Roman" w:cs="宋体" w:hint="eastAsia"/>
          <w:color w:val="auto"/>
          <w:spacing w:val="-2"/>
          <w:sz w:val="24"/>
          <w:szCs w:val="24"/>
          <w:lang w:eastAsia="zh-CN"/>
        </w:rPr>
        <w:t xml:space="preserve"> 4 </w:t>
      </w:r>
      <w:r>
        <w:rPr>
          <w:rFonts w:ascii="Times New Roman" w:eastAsia="宋体" w:hAnsi="Times New Roman" w:cs="宋体" w:hint="eastAsia"/>
          <w:color w:val="auto"/>
          <w:spacing w:val="-2"/>
          <w:sz w:val="24"/>
          <w:szCs w:val="24"/>
          <w:lang w:eastAsia="zh-CN"/>
        </w:rPr>
        <w:t>部分，其中沉积物碳储量</w:t>
      </w:r>
      <w:r>
        <w:rPr>
          <w:rFonts w:ascii="宋体" w:eastAsia="宋体" w:hAnsi="宋体" w:cs="宋体"/>
          <w:color w:val="auto"/>
          <w:sz w:val="24"/>
          <w:szCs w:val="24"/>
          <w:lang w:eastAsia="zh-CN"/>
        </w:rPr>
        <w:t>调查要素</w:t>
      </w:r>
      <w:r>
        <w:rPr>
          <w:rFonts w:ascii="宋体" w:eastAsia="宋体" w:hAnsi="宋体" w:cs="宋体" w:hint="eastAsia"/>
          <w:color w:val="auto"/>
          <w:sz w:val="24"/>
          <w:szCs w:val="24"/>
          <w:lang w:eastAsia="zh-CN"/>
        </w:rPr>
        <w:t>包括</w:t>
      </w:r>
      <w:r>
        <w:rPr>
          <w:rFonts w:ascii="宋体" w:eastAsia="宋体" w:hAnsi="宋体" w:cs="宋体"/>
          <w:color w:val="auto"/>
          <w:sz w:val="24"/>
          <w:szCs w:val="24"/>
          <w:lang w:eastAsia="zh-CN"/>
        </w:rPr>
        <w:t>沉积物粒度、沉积物总有机碳、容重</w:t>
      </w:r>
      <w:r>
        <w:rPr>
          <w:rFonts w:ascii="宋体" w:eastAsia="宋体" w:hAnsi="宋体" w:cs="宋体" w:hint="eastAsia"/>
          <w:color w:val="auto"/>
          <w:sz w:val="24"/>
          <w:szCs w:val="24"/>
          <w:lang w:eastAsia="zh-CN"/>
        </w:rPr>
        <w:t>。</w:t>
      </w:r>
    </w:p>
    <w:p w14:paraId="3E1B8C29" w14:textId="77777777" w:rsidR="0075791A" w:rsidRDefault="00FB2864">
      <w:pPr>
        <w:spacing w:line="360" w:lineRule="auto"/>
        <w:ind w:firstLineChars="200" w:firstLine="480"/>
        <w:jc w:val="both"/>
        <w:rPr>
          <w:rFonts w:ascii="宋体" w:eastAsia="宋体" w:hAnsi="宋体" w:cs="宋体"/>
          <w:color w:val="auto"/>
          <w:sz w:val="24"/>
          <w:szCs w:val="24"/>
          <w:lang w:eastAsia="zh-CN"/>
        </w:rPr>
      </w:pPr>
      <w:r>
        <w:rPr>
          <w:rFonts w:ascii="TimesNewRomanPSMT" w:eastAsia="TimesNewRomanPSMT" w:hAnsi="TimesNewRomanPSMT" w:cs="TimesNewRomanPSMT"/>
          <w:color w:val="auto"/>
          <w:sz w:val="24"/>
          <w:szCs w:val="24"/>
          <w:lang w:eastAsia="zh-CN"/>
        </w:rPr>
        <w:t xml:space="preserve">2023 </w:t>
      </w:r>
      <w:r>
        <w:rPr>
          <w:rFonts w:ascii="宋体" w:eastAsia="宋体" w:hAnsi="宋体" w:cs="宋体"/>
          <w:color w:val="auto"/>
          <w:sz w:val="24"/>
          <w:szCs w:val="24"/>
          <w:lang w:eastAsia="zh-CN"/>
        </w:rPr>
        <w:t>年</w:t>
      </w:r>
      <w:r>
        <w:rPr>
          <w:rFonts w:ascii="TimesNewRomanPSMT" w:eastAsia="TimesNewRomanPSMT" w:hAnsi="TimesNewRomanPSMT" w:cs="TimesNewRomanPSMT"/>
          <w:color w:val="auto"/>
          <w:sz w:val="24"/>
          <w:szCs w:val="24"/>
          <w:lang w:eastAsia="zh-CN"/>
        </w:rPr>
        <w:t>8</w:t>
      </w:r>
      <w:r>
        <w:rPr>
          <w:rFonts w:ascii="宋体" w:eastAsia="宋体" w:hAnsi="宋体" w:cs="宋体"/>
          <w:color w:val="auto"/>
          <w:sz w:val="24"/>
          <w:szCs w:val="24"/>
          <w:lang w:eastAsia="zh-CN"/>
        </w:rPr>
        <w:t>月</w:t>
      </w:r>
      <w:r>
        <w:rPr>
          <w:rFonts w:ascii="TimesNewRomanPSMT" w:eastAsia="TimesNewRomanPSMT" w:hAnsi="TimesNewRomanPSMT" w:cs="TimesNewRomanPSMT"/>
          <w:color w:val="auto"/>
          <w:sz w:val="24"/>
          <w:szCs w:val="24"/>
          <w:lang w:eastAsia="zh-CN"/>
        </w:rPr>
        <w:t>16</w:t>
      </w:r>
      <w:r>
        <w:rPr>
          <w:rFonts w:ascii="宋体" w:eastAsia="宋体" w:hAnsi="宋体" w:cs="宋体"/>
          <w:color w:val="auto"/>
          <w:sz w:val="24"/>
          <w:szCs w:val="24"/>
          <w:lang w:eastAsia="zh-CN"/>
        </w:rPr>
        <w:t>～</w:t>
      </w:r>
      <w:r>
        <w:rPr>
          <w:rFonts w:ascii="TimesNewRomanPSMT" w:eastAsia="TimesNewRomanPSMT" w:hAnsi="TimesNewRomanPSMT" w:cs="TimesNewRomanPSMT"/>
          <w:color w:val="auto"/>
          <w:sz w:val="24"/>
          <w:szCs w:val="24"/>
          <w:lang w:eastAsia="zh-CN"/>
        </w:rPr>
        <w:t>20</w:t>
      </w:r>
      <w:r>
        <w:rPr>
          <w:rFonts w:ascii="宋体" w:eastAsia="宋体" w:hAnsi="宋体" w:cs="宋体"/>
          <w:color w:val="auto"/>
          <w:sz w:val="24"/>
          <w:szCs w:val="24"/>
          <w:lang w:eastAsia="zh-CN"/>
        </w:rPr>
        <w:t>日，开展沉积物</w:t>
      </w:r>
      <w:r>
        <w:rPr>
          <w:rFonts w:ascii="宋体" w:eastAsia="宋体" w:hAnsi="宋体" w:cs="宋体" w:hint="eastAsia"/>
          <w:color w:val="auto"/>
          <w:sz w:val="24"/>
          <w:szCs w:val="24"/>
          <w:lang w:eastAsia="zh-CN"/>
        </w:rPr>
        <w:t>柱状样</w:t>
      </w:r>
      <w:r>
        <w:rPr>
          <w:rFonts w:ascii="宋体" w:eastAsia="宋体" w:hAnsi="宋体" w:cs="宋体"/>
          <w:color w:val="auto"/>
          <w:sz w:val="24"/>
          <w:szCs w:val="24"/>
          <w:lang w:eastAsia="zh-CN"/>
        </w:rPr>
        <w:t>取样</w:t>
      </w:r>
      <w:r>
        <w:rPr>
          <w:rFonts w:ascii="宋体" w:eastAsia="宋体" w:hAnsi="宋体" w:cs="宋体" w:hint="eastAsia"/>
          <w:color w:val="auto"/>
          <w:sz w:val="24"/>
          <w:szCs w:val="24"/>
          <w:lang w:eastAsia="zh-CN"/>
        </w:rPr>
        <w:t>工作</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具体站位见表</w:t>
      </w:r>
      <w:r>
        <w:rPr>
          <w:rFonts w:ascii="宋体" w:eastAsia="宋体" w:hAnsi="宋体" w:cs="宋体" w:hint="eastAsia"/>
          <w:color w:val="auto"/>
          <w:sz w:val="24"/>
          <w:szCs w:val="24"/>
          <w:lang w:eastAsia="zh-CN"/>
        </w:rPr>
        <w:t>3.2.3-1</w:t>
      </w:r>
      <w:r>
        <w:rPr>
          <w:rFonts w:ascii="宋体" w:eastAsia="宋体" w:hAnsi="宋体" w:cs="宋体" w:hint="eastAsia"/>
          <w:color w:val="auto"/>
          <w:sz w:val="24"/>
          <w:szCs w:val="24"/>
          <w:lang w:eastAsia="zh-CN"/>
        </w:rPr>
        <w:t>、图</w:t>
      </w:r>
      <w:r>
        <w:rPr>
          <w:rFonts w:ascii="宋体" w:eastAsia="宋体" w:hAnsi="宋体" w:cs="宋体" w:hint="eastAsia"/>
          <w:color w:val="auto"/>
          <w:sz w:val="24"/>
          <w:szCs w:val="24"/>
          <w:lang w:eastAsia="zh-CN"/>
        </w:rPr>
        <w:t>3.2.3-8</w:t>
      </w:r>
      <w:r>
        <w:rPr>
          <w:rFonts w:ascii="宋体" w:eastAsia="宋体" w:hAnsi="宋体" w:cs="宋体" w:hint="eastAsia"/>
          <w:color w:val="auto"/>
          <w:sz w:val="24"/>
          <w:szCs w:val="24"/>
          <w:lang w:eastAsia="zh-CN"/>
        </w:rPr>
        <w:t>。</w:t>
      </w:r>
      <w:r>
        <w:rPr>
          <w:rFonts w:ascii="宋体" w:eastAsia="宋体" w:hAnsi="宋体" w:cs="宋体"/>
          <w:color w:val="auto"/>
          <w:sz w:val="24"/>
          <w:szCs w:val="24"/>
          <w:lang w:eastAsia="zh-CN"/>
        </w:rPr>
        <w:t>因铁炉港红树林保护区沉积物底质的特殊性，其含水率较高，以砂质底质为主，故所采集到的柱状样长度范围为</w:t>
      </w:r>
      <w:r>
        <w:rPr>
          <w:rFonts w:ascii="TimesNewRomanPSMT" w:eastAsia="TimesNewRomanPSMT" w:hAnsi="TimesNewRomanPSMT" w:cs="TimesNewRomanPSMT"/>
          <w:color w:val="auto"/>
          <w:sz w:val="24"/>
          <w:szCs w:val="24"/>
          <w:lang w:eastAsia="zh-CN"/>
        </w:rPr>
        <w:t>27.9cm</w:t>
      </w:r>
      <w:r>
        <w:rPr>
          <w:rFonts w:ascii="宋体" w:eastAsia="宋体" w:hAnsi="宋体" w:cs="宋体"/>
          <w:color w:val="auto"/>
          <w:sz w:val="24"/>
          <w:szCs w:val="24"/>
          <w:lang w:eastAsia="zh-CN"/>
        </w:rPr>
        <w:t>～</w:t>
      </w:r>
      <w:r>
        <w:rPr>
          <w:rFonts w:ascii="TimesNewRomanPSMT" w:eastAsia="TimesNewRomanPSMT" w:hAnsi="TimesNewRomanPSMT" w:cs="TimesNewRomanPSMT"/>
          <w:color w:val="auto"/>
          <w:sz w:val="24"/>
          <w:szCs w:val="24"/>
          <w:lang w:eastAsia="zh-CN"/>
        </w:rPr>
        <w:t>34.2cm</w:t>
      </w:r>
      <w:r>
        <w:rPr>
          <w:rFonts w:ascii="宋体" w:eastAsia="宋体" w:hAnsi="宋体" w:cs="宋体"/>
          <w:color w:val="auto"/>
          <w:sz w:val="24"/>
          <w:szCs w:val="24"/>
          <w:lang w:eastAsia="zh-CN"/>
        </w:rPr>
        <w:t>，因此将样</w:t>
      </w:r>
      <w:r>
        <w:rPr>
          <w:rFonts w:ascii="宋体" w:eastAsia="宋体" w:hAnsi="宋体" w:cs="宋体"/>
          <w:color w:val="auto"/>
          <w:sz w:val="24"/>
          <w:szCs w:val="24"/>
          <w:lang w:eastAsia="zh-CN"/>
        </w:rPr>
        <w:t xml:space="preserve"> </w:t>
      </w:r>
      <w:r>
        <w:rPr>
          <w:rFonts w:ascii="宋体" w:eastAsia="宋体" w:hAnsi="宋体" w:cs="宋体"/>
          <w:color w:val="auto"/>
          <w:sz w:val="24"/>
          <w:szCs w:val="24"/>
          <w:lang w:eastAsia="zh-CN"/>
        </w:rPr>
        <w:t>品层次分为</w:t>
      </w:r>
      <w:r>
        <w:rPr>
          <w:rFonts w:ascii="TimesNewRomanPSMT" w:eastAsia="TimesNewRomanPSMT" w:hAnsi="TimesNewRomanPSMT" w:cs="TimesNewRomanPSMT"/>
          <w:color w:val="auto"/>
          <w:sz w:val="24"/>
          <w:szCs w:val="24"/>
          <w:lang w:eastAsia="zh-CN"/>
        </w:rPr>
        <w:t>0-10cm</w:t>
      </w:r>
      <w:r>
        <w:rPr>
          <w:rFonts w:ascii="宋体" w:eastAsia="宋体" w:hAnsi="宋体" w:cs="宋体"/>
          <w:color w:val="auto"/>
          <w:sz w:val="24"/>
          <w:szCs w:val="24"/>
          <w:lang w:eastAsia="zh-CN"/>
        </w:rPr>
        <w:t>、</w:t>
      </w:r>
      <w:r>
        <w:rPr>
          <w:rFonts w:ascii="TimesNewRomanPSMT" w:eastAsia="TimesNewRomanPSMT" w:hAnsi="TimesNewRomanPSMT" w:cs="TimesNewRomanPSMT"/>
          <w:color w:val="auto"/>
          <w:sz w:val="24"/>
          <w:szCs w:val="24"/>
          <w:lang w:eastAsia="zh-CN"/>
        </w:rPr>
        <w:t>10-20cm</w:t>
      </w:r>
      <w:r>
        <w:rPr>
          <w:rFonts w:ascii="宋体" w:eastAsia="宋体" w:hAnsi="宋体" w:cs="宋体"/>
          <w:color w:val="auto"/>
          <w:sz w:val="24"/>
          <w:szCs w:val="24"/>
          <w:lang w:eastAsia="zh-CN"/>
        </w:rPr>
        <w:t>、</w:t>
      </w:r>
      <w:r>
        <w:rPr>
          <w:rFonts w:ascii="TimesNewRomanPSMT" w:eastAsia="TimesNewRomanPSMT" w:hAnsi="TimesNewRomanPSMT" w:cs="TimesNewRomanPSMT"/>
          <w:color w:val="auto"/>
          <w:sz w:val="24"/>
          <w:szCs w:val="24"/>
          <w:lang w:eastAsia="zh-CN"/>
        </w:rPr>
        <w:t xml:space="preserve">20-30cm </w:t>
      </w:r>
      <w:r>
        <w:rPr>
          <w:rFonts w:ascii="宋体" w:eastAsia="宋体" w:hAnsi="宋体" w:cs="宋体"/>
          <w:color w:val="auto"/>
          <w:sz w:val="24"/>
          <w:szCs w:val="24"/>
          <w:lang w:eastAsia="zh-CN"/>
        </w:rPr>
        <w:t>三层</w:t>
      </w:r>
      <w:r>
        <w:rPr>
          <w:rFonts w:ascii="宋体" w:eastAsia="宋体" w:hAnsi="宋体" w:cs="宋体" w:hint="eastAsia"/>
          <w:color w:val="auto"/>
          <w:sz w:val="24"/>
          <w:szCs w:val="24"/>
          <w:lang w:eastAsia="zh-CN"/>
        </w:rPr>
        <w:t>。</w:t>
      </w:r>
    </w:p>
    <w:p w14:paraId="41DCDD22" w14:textId="77777777" w:rsidR="0075791A" w:rsidRDefault="0075791A">
      <w:pPr>
        <w:jc w:val="center"/>
        <w:rPr>
          <w:rFonts w:ascii="Times New Roman" w:eastAsia="宋体" w:hAnsi="Times New Roman" w:cs="宋体"/>
          <w:color w:val="auto"/>
          <w:spacing w:val="-2"/>
          <w:sz w:val="24"/>
          <w:szCs w:val="24"/>
          <w:lang w:eastAsia="zh-CN"/>
        </w:rPr>
      </w:pPr>
    </w:p>
    <w:p w14:paraId="511C2BD4" w14:textId="77777777" w:rsidR="0075791A" w:rsidRDefault="00FB2864">
      <w:pPr>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图</w:t>
      </w:r>
      <w:r>
        <w:rPr>
          <w:rFonts w:ascii="Times New Roman" w:eastAsia="宋体" w:hAnsi="Times New Roman" w:cs="宋体" w:hint="eastAsia"/>
          <w:color w:val="auto"/>
          <w:spacing w:val="-2"/>
          <w:sz w:val="24"/>
          <w:szCs w:val="24"/>
          <w:lang w:eastAsia="zh-CN"/>
        </w:rPr>
        <w:t>3.2.3-8</w:t>
      </w:r>
      <w:r>
        <w:rPr>
          <w:rFonts w:ascii="Times New Roman" w:eastAsia="宋体" w:hAnsi="Times New Roman" w:cs="宋体" w:hint="eastAsia"/>
          <w:color w:val="auto"/>
          <w:spacing w:val="-2"/>
          <w:sz w:val="24"/>
          <w:szCs w:val="24"/>
          <w:lang w:eastAsia="zh-CN"/>
        </w:rPr>
        <w:t>沉积物柱状样站位图</w:t>
      </w:r>
    </w:p>
    <w:p w14:paraId="40CA52FC" w14:textId="77777777" w:rsidR="0075791A" w:rsidRDefault="0075791A">
      <w:pPr>
        <w:jc w:val="center"/>
        <w:rPr>
          <w:rFonts w:ascii="Times New Roman" w:eastAsia="宋体" w:hAnsi="Times New Roman" w:cs="宋体"/>
          <w:color w:val="auto"/>
          <w:spacing w:val="-2"/>
          <w:sz w:val="24"/>
          <w:szCs w:val="24"/>
          <w:lang w:eastAsia="zh-CN"/>
        </w:rPr>
      </w:pPr>
    </w:p>
    <w:p w14:paraId="2CDE67C3" w14:textId="77777777" w:rsidR="0075791A" w:rsidRDefault="00FB2864">
      <w:pPr>
        <w:jc w:val="center"/>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表</w:t>
      </w:r>
      <w:r>
        <w:rPr>
          <w:rFonts w:ascii="Times New Roman" w:eastAsia="宋体" w:hAnsi="Times New Roman" w:cs="宋体"/>
          <w:color w:val="auto"/>
          <w:spacing w:val="-2"/>
          <w:sz w:val="24"/>
          <w:szCs w:val="24"/>
          <w:lang w:eastAsia="zh-CN"/>
        </w:rPr>
        <w:t xml:space="preserve"> </w:t>
      </w:r>
      <w:r>
        <w:rPr>
          <w:rFonts w:ascii="Times New Roman" w:eastAsia="宋体" w:hAnsi="Times New Roman" w:cs="宋体" w:hint="eastAsia"/>
          <w:color w:val="auto"/>
          <w:spacing w:val="-2"/>
          <w:sz w:val="24"/>
          <w:szCs w:val="24"/>
          <w:lang w:eastAsia="zh-CN"/>
        </w:rPr>
        <w:t>3.2.3</w:t>
      </w:r>
      <w:r>
        <w:rPr>
          <w:rFonts w:ascii="Times New Roman" w:eastAsia="宋体" w:hAnsi="Times New Roman" w:cs="宋体"/>
          <w:color w:val="auto"/>
          <w:spacing w:val="-2"/>
          <w:sz w:val="24"/>
          <w:szCs w:val="24"/>
          <w:lang w:eastAsia="zh-CN"/>
        </w:rPr>
        <w:t>-</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color w:val="auto"/>
          <w:spacing w:val="-2"/>
          <w:sz w:val="24"/>
          <w:szCs w:val="24"/>
          <w:lang w:eastAsia="zh-CN"/>
        </w:rPr>
        <w:t xml:space="preserve"> </w:t>
      </w:r>
      <w:r>
        <w:rPr>
          <w:rFonts w:ascii="Times New Roman" w:eastAsia="宋体" w:hAnsi="Times New Roman" w:cs="宋体"/>
          <w:color w:val="auto"/>
          <w:spacing w:val="-2"/>
          <w:sz w:val="24"/>
          <w:szCs w:val="24"/>
          <w:lang w:eastAsia="zh-CN"/>
        </w:rPr>
        <w:t>铁炉港红树林沉积</w:t>
      </w:r>
      <w:r>
        <w:rPr>
          <w:rFonts w:ascii="Times New Roman" w:eastAsia="宋体" w:hAnsi="Times New Roman" w:cs="宋体" w:hint="eastAsia"/>
          <w:color w:val="auto"/>
          <w:spacing w:val="-2"/>
          <w:sz w:val="24"/>
          <w:szCs w:val="24"/>
          <w:lang w:eastAsia="zh-CN"/>
        </w:rPr>
        <w:t>物</w:t>
      </w:r>
      <w:r>
        <w:rPr>
          <w:rFonts w:ascii="Times New Roman" w:eastAsia="宋体" w:hAnsi="Times New Roman" w:cs="宋体"/>
          <w:color w:val="auto"/>
          <w:spacing w:val="-2"/>
          <w:sz w:val="24"/>
          <w:szCs w:val="24"/>
          <w:lang w:eastAsia="zh-CN"/>
        </w:rPr>
        <w:t>柱状样</w:t>
      </w:r>
      <w:r>
        <w:rPr>
          <w:rFonts w:ascii="Times New Roman" w:eastAsia="宋体" w:hAnsi="Times New Roman" w:cs="宋体" w:hint="eastAsia"/>
          <w:color w:val="auto"/>
          <w:spacing w:val="-2"/>
          <w:sz w:val="24"/>
          <w:szCs w:val="24"/>
          <w:lang w:eastAsia="zh-CN"/>
        </w:rPr>
        <w:t>站位及长度</w:t>
      </w:r>
    </w:p>
    <w:p w14:paraId="6B3F71FD" w14:textId="77777777" w:rsidR="0075791A" w:rsidRDefault="0075791A">
      <w:pPr>
        <w:spacing w:line="360" w:lineRule="auto"/>
        <w:ind w:firstLineChars="200" w:firstLine="480"/>
        <w:jc w:val="both"/>
        <w:rPr>
          <w:rFonts w:ascii="宋体" w:eastAsia="宋体" w:hAnsi="宋体" w:cs="宋体"/>
          <w:color w:val="auto"/>
          <w:sz w:val="24"/>
          <w:szCs w:val="24"/>
          <w:lang w:eastAsia="zh-CN"/>
        </w:rPr>
      </w:pPr>
    </w:p>
    <w:p w14:paraId="7C04E20E" w14:textId="77777777" w:rsidR="0075791A" w:rsidRDefault="00FB2864">
      <w:pPr>
        <w:spacing w:line="360" w:lineRule="auto"/>
        <w:ind w:firstLineChars="200" w:firstLine="480"/>
        <w:jc w:val="both"/>
        <w:rPr>
          <w:rFonts w:ascii="宋体" w:eastAsia="宋体" w:hAnsi="宋体" w:cs="宋体"/>
          <w:color w:val="auto"/>
          <w:sz w:val="24"/>
          <w:szCs w:val="24"/>
          <w:lang w:eastAsia="zh-CN"/>
        </w:rPr>
      </w:pPr>
      <w:r>
        <w:rPr>
          <w:rFonts w:ascii="宋体" w:eastAsia="宋体" w:hAnsi="宋体" w:cs="宋体"/>
          <w:color w:val="auto"/>
          <w:sz w:val="24"/>
          <w:szCs w:val="24"/>
          <w:lang w:eastAsia="zh-CN"/>
        </w:rPr>
        <w:lastRenderedPageBreak/>
        <w:t>铁炉港红树林区域沉积物类型见表</w:t>
      </w:r>
      <w:r>
        <w:rPr>
          <w:rFonts w:ascii="Times New Roman" w:eastAsia="宋体" w:hAnsi="Times New Roman" w:cs="宋体"/>
          <w:color w:val="auto"/>
          <w:spacing w:val="-2"/>
          <w:sz w:val="24"/>
          <w:szCs w:val="24"/>
          <w:lang w:eastAsia="zh-CN"/>
        </w:rPr>
        <w:t xml:space="preserve"> </w:t>
      </w:r>
      <w:r>
        <w:rPr>
          <w:rFonts w:ascii="Times New Roman" w:eastAsia="宋体" w:hAnsi="Times New Roman" w:cs="宋体" w:hint="eastAsia"/>
          <w:color w:val="auto"/>
          <w:spacing w:val="-2"/>
          <w:sz w:val="24"/>
          <w:szCs w:val="24"/>
          <w:lang w:eastAsia="zh-CN"/>
        </w:rPr>
        <w:t>3.2.3</w:t>
      </w:r>
      <w:r>
        <w:rPr>
          <w:rFonts w:ascii="Times New Roman" w:eastAsia="宋体" w:hAnsi="Times New Roman" w:cs="宋体"/>
          <w:color w:val="auto"/>
          <w:spacing w:val="-2"/>
          <w:sz w:val="24"/>
          <w:szCs w:val="24"/>
          <w:lang w:eastAsia="zh-CN"/>
        </w:rPr>
        <w:t>-</w:t>
      </w:r>
      <w:r>
        <w:rPr>
          <w:rFonts w:ascii="Times New Roman" w:eastAsia="宋体" w:hAnsi="Times New Roman" w:cs="宋体" w:hint="eastAsia"/>
          <w:color w:val="auto"/>
          <w:spacing w:val="-2"/>
          <w:sz w:val="24"/>
          <w:szCs w:val="24"/>
          <w:lang w:eastAsia="zh-CN"/>
        </w:rPr>
        <w:t>2</w:t>
      </w:r>
      <w:r>
        <w:rPr>
          <w:rFonts w:ascii="宋体" w:eastAsia="宋体" w:hAnsi="宋体" w:cs="宋体"/>
          <w:color w:val="auto"/>
          <w:sz w:val="24"/>
          <w:szCs w:val="24"/>
          <w:lang w:eastAsia="zh-CN"/>
        </w:rPr>
        <w:t>、表</w:t>
      </w:r>
      <w:r>
        <w:rPr>
          <w:rFonts w:ascii="Times New Roman" w:eastAsia="宋体" w:hAnsi="Times New Roman" w:cs="宋体" w:hint="eastAsia"/>
          <w:color w:val="auto"/>
          <w:spacing w:val="-2"/>
          <w:sz w:val="24"/>
          <w:szCs w:val="24"/>
          <w:lang w:eastAsia="zh-CN"/>
        </w:rPr>
        <w:t>3.2.3</w:t>
      </w:r>
      <w:r>
        <w:rPr>
          <w:rFonts w:ascii="Times New Roman" w:eastAsia="宋体" w:hAnsi="Times New Roman" w:cs="宋体"/>
          <w:color w:val="auto"/>
          <w:spacing w:val="-2"/>
          <w:sz w:val="24"/>
          <w:szCs w:val="24"/>
          <w:lang w:eastAsia="zh-CN"/>
        </w:rPr>
        <w:t>-</w:t>
      </w:r>
      <w:r>
        <w:rPr>
          <w:rFonts w:ascii="Times New Roman" w:eastAsia="宋体" w:hAnsi="Times New Roman" w:cs="宋体" w:hint="eastAsia"/>
          <w:color w:val="auto"/>
          <w:spacing w:val="-2"/>
          <w:sz w:val="24"/>
          <w:szCs w:val="24"/>
          <w:lang w:eastAsia="zh-CN"/>
        </w:rPr>
        <w:t>3</w:t>
      </w:r>
      <w:r>
        <w:rPr>
          <w:rFonts w:ascii="宋体" w:eastAsia="宋体" w:hAnsi="宋体" w:cs="宋体"/>
          <w:color w:val="auto"/>
          <w:sz w:val="24"/>
          <w:szCs w:val="24"/>
          <w:lang w:eastAsia="zh-CN"/>
        </w:rPr>
        <w:t>和表</w:t>
      </w:r>
      <w:r>
        <w:rPr>
          <w:rFonts w:ascii="Times New Roman" w:eastAsia="宋体" w:hAnsi="Times New Roman" w:cs="宋体" w:hint="eastAsia"/>
          <w:color w:val="auto"/>
          <w:spacing w:val="-2"/>
          <w:sz w:val="24"/>
          <w:szCs w:val="24"/>
          <w:lang w:eastAsia="zh-CN"/>
        </w:rPr>
        <w:t>3.2.3</w:t>
      </w:r>
      <w:r>
        <w:rPr>
          <w:rFonts w:ascii="Times New Roman" w:eastAsia="宋体" w:hAnsi="Times New Roman" w:cs="宋体"/>
          <w:color w:val="auto"/>
          <w:spacing w:val="-2"/>
          <w:sz w:val="24"/>
          <w:szCs w:val="24"/>
          <w:lang w:eastAsia="zh-CN"/>
        </w:rPr>
        <w:t>-</w:t>
      </w:r>
      <w:r>
        <w:rPr>
          <w:rFonts w:ascii="Times New Roman" w:eastAsia="宋体" w:hAnsi="Times New Roman" w:cs="宋体" w:hint="eastAsia"/>
          <w:color w:val="auto"/>
          <w:spacing w:val="-2"/>
          <w:sz w:val="24"/>
          <w:szCs w:val="24"/>
          <w:lang w:eastAsia="zh-CN"/>
        </w:rPr>
        <w:t>4</w:t>
      </w:r>
      <w:r>
        <w:rPr>
          <w:rFonts w:ascii="宋体" w:eastAsia="宋体" w:hAnsi="宋体" w:cs="宋体"/>
          <w:color w:val="auto"/>
          <w:sz w:val="24"/>
          <w:szCs w:val="24"/>
          <w:lang w:eastAsia="zh-CN"/>
        </w:rPr>
        <w:t>。由沉积物类</w:t>
      </w:r>
      <w:r>
        <w:rPr>
          <w:rFonts w:ascii="宋体" w:eastAsia="宋体" w:hAnsi="宋体" w:cs="宋体"/>
          <w:color w:val="auto"/>
          <w:sz w:val="24"/>
          <w:szCs w:val="24"/>
          <w:lang w:eastAsia="zh-CN"/>
        </w:rPr>
        <w:t xml:space="preserve"> </w:t>
      </w:r>
      <w:r>
        <w:rPr>
          <w:rFonts w:ascii="宋体" w:eastAsia="宋体" w:hAnsi="宋体" w:cs="宋体"/>
          <w:color w:val="auto"/>
          <w:sz w:val="24"/>
          <w:szCs w:val="24"/>
          <w:lang w:eastAsia="zh-CN"/>
        </w:rPr>
        <w:t>型分析表可以看出，铁炉港红树林湿地沉积物主要包括黏土、粉砂、极细砂、细</w:t>
      </w:r>
      <w:r>
        <w:rPr>
          <w:rFonts w:ascii="宋体" w:eastAsia="宋体" w:hAnsi="宋体" w:cs="宋体"/>
          <w:color w:val="auto"/>
          <w:sz w:val="24"/>
          <w:szCs w:val="24"/>
          <w:lang w:eastAsia="zh-CN"/>
        </w:rPr>
        <w:t xml:space="preserve"> </w:t>
      </w:r>
      <w:r>
        <w:rPr>
          <w:rFonts w:ascii="宋体" w:eastAsia="宋体" w:hAnsi="宋体" w:cs="宋体"/>
          <w:color w:val="auto"/>
          <w:sz w:val="24"/>
          <w:szCs w:val="24"/>
          <w:lang w:eastAsia="zh-CN"/>
        </w:rPr>
        <w:t>砂中砂和粗砂</w:t>
      </w:r>
      <w:r>
        <w:rPr>
          <w:rFonts w:ascii="宋体" w:eastAsia="宋体" w:hAnsi="宋体" w:cs="宋体"/>
          <w:color w:val="auto"/>
          <w:sz w:val="24"/>
          <w:szCs w:val="24"/>
          <w:lang w:eastAsia="zh-CN"/>
        </w:rPr>
        <w:t xml:space="preserve"> </w:t>
      </w:r>
      <w:r>
        <w:rPr>
          <w:rFonts w:ascii="TimesNewRomanPSMT" w:eastAsia="TimesNewRomanPSMT" w:hAnsi="TimesNewRomanPSMT" w:cs="TimesNewRomanPSMT"/>
          <w:color w:val="auto"/>
          <w:sz w:val="24"/>
          <w:szCs w:val="24"/>
          <w:lang w:eastAsia="zh-CN"/>
        </w:rPr>
        <w:t xml:space="preserve">5 </w:t>
      </w:r>
      <w:r>
        <w:rPr>
          <w:rFonts w:ascii="宋体" w:eastAsia="宋体" w:hAnsi="宋体" w:cs="宋体"/>
          <w:color w:val="auto"/>
          <w:sz w:val="24"/>
          <w:szCs w:val="24"/>
          <w:lang w:eastAsia="zh-CN"/>
        </w:rPr>
        <w:t>种类型</w:t>
      </w:r>
      <w:r>
        <w:rPr>
          <w:rFonts w:ascii="宋体" w:eastAsia="宋体" w:hAnsi="宋体" w:cs="宋体" w:hint="eastAsia"/>
          <w:color w:val="auto"/>
          <w:sz w:val="24"/>
          <w:szCs w:val="24"/>
          <w:lang w:eastAsia="zh-CN"/>
        </w:rPr>
        <w:t>，</w:t>
      </w:r>
      <w:r>
        <w:rPr>
          <w:rFonts w:ascii="宋体" w:eastAsia="宋体" w:hAnsi="宋体" w:cs="宋体"/>
          <w:color w:val="auto"/>
          <w:sz w:val="24"/>
          <w:szCs w:val="24"/>
          <w:lang w:eastAsia="zh-CN"/>
        </w:rPr>
        <w:t>其中以细砂和中砂为主</w:t>
      </w:r>
      <w:r>
        <w:rPr>
          <w:rFonts w:ascii="宋体" w:eastAsia="宋体" w:hAnsi="宋体" w:cs="宋体" w:hint="eastAsia"/>
          <w:color w:val="auto"/>
          <w:sz w:val="24"/>
          <w:szCs w:val="24"/>
          <w:lang w:eastAsia="zh-CN"/>
        </w:rPr>
        <w:t>。</w:t>
      </w:r>
    </w:p>
    <w:p w14:paraId="626129B2" w14:textId="77777777" w:rsidR="0075791A" w:rsidRDefault="0075791A">
      <w:pPr>
        <w:spacing w:line="360" w:lineRule="auto"/>
        <w:ind w:firstLineChars="200" w:firstLine="480"/>
        <w:jc w:val="both"/>
        <w:rPr>
          <w:rFonts w:ascii="宋体" w:eastAsia="宋体" w:hAnsi="宋体" w:cs="宋体"/>
          <w:color w:val="auto"/>
          <w:sz w:val="24"/>
          <w:szCs w:val="24"/>
          <w:lang w:eastAsia="zh-CN"/>
        </w:rPr>
        <w:sectPr w:rsidR="0075791A">
          <w:pgSz w:w="11906" w:h="16839"/>
          <w:pgMar w:top="1018" w:right="1354" w:bottom="1134" w:left="1417" w:header="746" w:footer="972" w:gutter="0"/>
          <w:cols w:space="720"/>
        </w:sectPr>
      </w:pPr>
    </w:p>
    <w:p w14:paraId="4489802F" w14:textId="77777777" w:rsidR="0075791A" w:rsidRDefault="0075791A">
      <w:pPr>
        <w:jc w:val="center"/>
        <w:rPr>
          <w:rFonts w:ascii="Times New Roman" w:eastAsia="宋体" w:hAnsi="Times New Roman" w:cs="宋体"/>
          <w:color w:val="auto"/>
          <w:sz w:val="24"/>
          <w:szCs w:val="24"/>
          <w:lang w:eastAsia="zh-CN"/>
        </w:rPr>
      </w:pPr>
    </w:p>
    <w:p w14:paraId="6A0761D7" w14:textId="77777777" w:rsidR="0075791A" w:rsidRDefault="00FB2864">
      <w:pPr>
        <w:jc w:val="center"/>
        <w:rPr>
          <w:rFonts w:ascii="Times New Roman" w:eastAsia="宋体" w:hAnsi="Times New Roman" w:cs="宋体"/>
          <w:color w:val="auto"/>
          <w:spacing w:val="-2"/>
          <w:sz w:val="24"/>
          <w:szCs w:val="24"/>
          <w:lang w:eastAsia="zh-CN"/>
        </w:rPr>
      </w:pPr>
      <w:r>
        <w:rPr>
          <w:rFonts w:ascii="Times New Roman" w:eastAsia="宋体" w:hAnsi="Times New Roman" w:cs="宋体"/>
          <w:color w:val="auto"/>
          <w:sz w:val="24"/>
          <w:szCs w:val="24"/>
          <w:lang w:eastAsia="zh-CN"/>
        </w:rPr>
        <w:t>表</w:t>
      </w:r>
      <w:r>
        <w:rPr>
          <w:rFonts w:ascii="Times New Roman" w:eastAsia="宋体" w:hAnsi="Times New Roman" w:cs="宋体" w:hint="eastAsia"/>
          <w:color w:val="auto"/>
          <w:spacing w:val="-2"/>
          <w:sz w:val="24"/>
          <w:szCs w:val="24"/>
          <w:lang w:eastAsia="zh-CN"/>
        </w:rPr>
        <w:t>3.2.3</w:t>
      </w:r>
      <w:r>
        <w:rPr>
          <w:rFonts w:ascii="Times New Roman" w:eastAsia="宋体" w:hAnsi="Times New Roman" w:cs="宋体"/>
          <w:color w:val="auto"/>
          <w:spacing w:val="-2"/>
          <w:sz w:val="24"/>
          <w:szCs w:val="24"/>
          <w:lang w:eastAsia="zh-CN"/>
        </w:rPr>
        <w:t>-</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color w:val="auto"/>
          <w:sz w:val="24"/>
          <w:szCs w:val="24"/>
          <w:lang w:eastAsia="zh-CN"/>
        </w:rPr>
        <w:t>原始林样地沉积物类型</w:t>
      </w:r>
    </w:p>
    <w:p w14:paraId="38415BFC" w14:textId="77777777" w:rsidR="0075791A" w:rsidRDefault="0075791A">
      <w:pPr>
        <w:jc w:val="center"/>
        <w:rPr>
          <w:rFonts w:ascii="Times New Roman" w:eastAsia="宋体" w:hAnsi="Times New Roman" w:cs="宋体"/>
          <w:color w:val="auto"/>
          <w:sz w:val="24"/>
          <w:szCs w:val="24"/>
          <w:lang w:eastAsia="zh-CN"/>
        </w:rPr>
      </w:pPr>
    </w:p>
    <w:p w14:paraId="3E729515" w14:textId="77777777" w:rsidR="0075791A" w:rsidRDefault="00FB2864">
      <w:pPr>
        <w:jc w:val="center"/>
        <w:rPr>
          <w:rFonts w:ascii="Times New Roman" w:eastAsia="宋体" w:hAnsi="Times New Roman" w:cs="宋体"/>
          <w:color w:val="auto"/>
          <w:spacing w:val="-2"/>
          <w:sz w:val="24"/>
          <w:szCs w:val="24"/>
          <w:lang w:eastAsia="zh-CN"/>
        </w:rPr>
      </w:pPr>
      <w:r>
        <w:rPr>
          <w:rFonts w:ascii="Times New Roman" w:eastAsia="宋体" w:hAnsi="Times New Roman" w:cs="宋体"/>
          <w:color w:val="auto"/>
          <w:sz w:val="24"/>
          <w:szCs w:val="24"/>
          <w:lang w:eastAsia="zh-CN"/>
        </w:rPr>
        <w:t>表</w:t>
      </w:r>
      <w:r>
        <w:rPr>
          <w:rFonts w:ascii="Times New Roman" w:eastAsia="宋体" w:hAnsi="Times New Roman" w:cs="宋体" w:hint="eastAsia"/>
          <w:color w:val="auto"/>
          <w:spacing w:val="-2"/>
          <w:sz w:val="24"/>
          <w:szCs w:val="24"/>
          <w:lang w:eastAsia="zh-CN"/>
        </w:rPr>
        <w:t>3.2.3</w:t>
      </w:r>
      <w:r>
        <w:rPr>
          <w:rFonts w:ascii="Times New Roman" w:eastAsia="宋体" w:hAnsi="Times New Roman" w:cs="宋体"/>
          <w:color w:val="auto"/>
          <w:spacing w:val="-2"/>
          <w:sz w:val="24"/>
          <w:szCs w:val="24"/>
          <w:lang w:eastAsia="zh-CN"/>
        </w:rPr>
        <w:t>-</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color w:val="auto"/>
          <w:sz w:val="24"/>
          <w:szCs w:val="24"/>
          <w:lang w:eastAsia="zh-CN"/>
        </w:rPr>
        <w:t>人工林样地沉积物类型</w:t>
      </w:r>
    </w:p>
    <w:p w14:paraId="4CCE2BDB" w14:textId="77777777" w:rsidR="0075791A" w:rsidRDefault="0075791A">
      <w:pPr>
        <w:jc w:val="center"/>
        <w:rPr>
          <w:rFonts w:ascii="Times New Roman" w:eastAsia="宋体" w:hAnsi="Times New Roman" w:cs="宋体"/>
          <w:color w:val="auto"/>
          <w:sz w:val="24"/>
          <w:szCs w:val="24"/>
          <w:lang w:eastAsia="zh-CN"/>
        </w:rPr>
      </w:pPr>
    </w:p>
    <w:p w14:paraId="1C75599C" w14:textId="77777777" w:rsidR="0075791A" w:rsidRDefault="00FB2864">
      <w:pPr>
        <w:jc w:val="center"/>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表</w:t>
      </w:r>
      <w:r>
        <w:rPr>
          <w:rFonts w:ascii="Times New Roman" w:eastAsia="宋体" w:hAnsi="Times New Roman" w:cs="宋体" w:hint="eastAsia"/>
          <w:color w:val="auto"/>
          <w:spacing w:val="-2"/>
          <w:sz w:val="24"/>
          <w:szCs w:val="24"/>
          <w:lang w:eastAsia="zh-CN"/>
        </w:rPr>
        <w:t>3.2.3</w:t>
      </w:r>
      <w:r>
        <w:rPr>
          <w:rFonts w:ascii="Times New Roman" w:eastAsia="宋体" w:hAnsi="Times New Roman" w:cs="宋体"/>
          <w:color w:val="auto"/>
          <w:spacing w:val="-2"/>
          <w:sz w:val="24"/>
          <w:szCs w:val="24"/>
          <w:lang w:eastAsia="zh-CN"/>
        </w:rPr>
        <w:t>-</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color w:val="auto"/>
          <w:sz w:val="24"/>
          <w:szCs w:val="24"/>
          <w:lang w:eastAsia="zh-CN"/>
        </w:rPr>
        <w:t>天然林样地沉积物类型</w:t>
      </w:r>
    </w:p>
    <w:p w14:paraId="5CFB8279" w14:textId="77777777" w:rsidR="0075791A" w:rsidRDefault="0075791A">
      <w:pPr>
        <w:spacing w:line="360" w:lineRule="auto"/>
        <w:jc w:val="both"/>
        <w:rPr>
          <w:rFonts w:ascii="宋体" w:eastAsia="宋体" w:hAnsi="宋体" w:cs="宋体"/>
          <w:color w:val="auto"/>
          <w:sz w:val="24"/>
          <w:szCs w:val="24"/>
          <w:lang w:eastAsia="zh-CN"/>
        </w:rPr>
        <w:sectPr w:rsidR="0075791A">
          <w:pgSz w:w="16839" w:h="11906" w:orient="landscape"/>
          <w:pgMar w:top="1134" w:right="1018" w:bottom="283" w:left="1134" w:header="746" w:footer="283" w:gutter="0"/>
          <w:cols w:space="720"/>
        </w:sectPr>
      </w:pPr>
    </w:p>
    <w:p w14:paraId="37C93CC4"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169" w:name="_Toc4801"/>
      <w:r>
        <w:rPr>
          <w:rFonts w:ascii="Times New Roman" w:eastAsia="Times New Roman" w:hAnsi="Times New Roman" w:cs="Times New Roman" w:hint="eastAsia"/>
          <w:b/>
          <w:bCs/>
          <w:color w:val="auto"/>
          <w:spacing w:val="-3"/>
          <w:sz w:val="28"/>
          <w:szCs w:val="28"/>
          <w:lang w:eastAsia="zh-CN"/>
        </w:rPr>
        <w:lastRenderedPageBreak/>
        <w:t>3.2.4工程地质</w:t>
      </w:r>
      <w:bookmarkEnd w:id="169"/>
    </w:p>
    <w:p w14:paraId="3E2CF8C1" w14:textId="77777777" w:rsidR="0075791A" w:rsidRDefault="00FB2864">
      <w:pPr>
        <w:spacing w:line="360" w:lineRule="auto"/>
        <w:ind w:firstLineChars="200" w:firstLine="478"/>
        <w:jc w:val="both"/>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color w:val="auto"/>
          <w:spacing w:val="-2"/>
          <w:sz w:val="24"/>
          <w:szCs w:val="24"/>
          <w:lang w:eastAsia="zh-CN"/>
        </w:rPr>
        <w:t>1</w:t>
      </w:r>
      <w:r>
        <w:rPr>
          <w:rFonts w:ascii="Times New Roman" w:eastAsia="宋体" w:hAnsi="Times New Roman" w:cs="宋体" w:hint="eastAsia"/>
          <w:b/>
          <w:bCs/>
          <w:color w:val="auto"/>
          <w:spacing w:val="-2"/>
          <w:sz w:val="24"/>
          <w:szCs w:val="24"/>
          <w:lang w:eastAsia="zh-CN"/>
        </w:rPr>
        <w:t>地层岩性</w:t>
      </w:r>
    </w:p>
    <w:p w14:paraId="5E4FDDE0"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根据《铁炉港红树林湿地保护修复项目岩土工程详细勘察报告》，</w:t>
      </w:r>
      <w:r>
        <w:rPr>
          <w:rFonts w:ascii="Times New Roman" w:eastAsia="宋体" w:hAnsi="Times New Roman" w:cs="宋体"/>
          <w:color w:val="auto"/>
          <w:spacing w:val="-2"/>
          <w:sz w:val="24"/>
          <w:szCs w:val="24"/>
          <w:lang w:eastAsia="zh-CN"/>
        </w:rPr>
        <w:t>湖南省农林工业勘察设计院有限公司</w:t>
      </w:r>
      <w:r>
        <w:rPr>
          <w:rFonts w:ascii="Times New Roman" w:eastAsia="宋体" w:hAnsi="Times New Roman" w:cs="宋体" w:hint="eastAsia"/>
          <w:color w:val="auto"/>
          <w:spacing w:val="-2"/>
          <w:sz w:val="24"/>
          <w:szCs w:val="24"/>
          <w:lang w:eastAsia="zh-CN"/>
        </w:rPr>
        <w:t>在充分利用初勘成果的基础上，根据设计提供的建、构筑物工程特点，根据建筑物周边线和角点，结合场地地形地质条件，布置勘探工作。其中巡护道路、架空通道、巡护栈道等工程结构，按照《公路工程地质勘察规范》（</w:t>
      </w:r>
      <w:r>
        <w:rPr>
          <w:rFonts w:ascii="Times New Roman" w:eastAsia="宋体" w:hAnsi="Times New Roman" w:cs="宋体" w:hint="eastAsia"/>
          <w:color w:val="auto"/>
          <w:spacing w:val="-2"/>
          <w:sz w:val="24"/>
          <w:szCs w:val="24"/>
          <w:lang w:eastAsia="zh-CN"/>
        </w:rPr>
        <w:t>JTGC20-2011</w:t>
      </w:r>
      <w:r>
        <w:rPr>
          <w:rFonts w:ascii="Times New Roman" w:eastAsia="宋体" w:hAnsi="Times New Roman" w:cs="宋体" w:hint="eastAsia"/>
          <w:color w:val="auto"/>
          <w:spacing w:val="-2"/>
          <w:sz w:val="24"/>
          <w:szCs w:val="24"/>
          <w:lang w:eastAsia="zh-CN"/>
        </w:rPr>
        <w:t>）的规定布置勘探工作，钻孔间距一般为</w:t>
      </w:r>
      <w:r>
        <w:rPr>
          <w:rFonts w:ascii="Times New Roman" w:eastAsia="宋体" w:hAnsi="Times New Roman" w:cs="宋体" w:hint="eastAsia"/>
          <w:color w:val="auto"/>
          <w:spacing w:val="-2"/>
          <w:sz w:val="24"/>
          <w:szCs w:val="24"/>
          <w:lang w:eastAsia="zh-CN"/>
        </w:rPr>
        <w:t>50-150m</w:t>
      </w:r>
      <w:r>
        <w:rPr>
          <w:rFonts w:ascii="Times New Roman" w:eastAsia="宋体" w:hAnsi="Times New Roman" w:cs="宋体" w:hint="eastAsia"/>
          <w:color w:val="auto"/>
          <w:spacing w:val="-2"/>
          <w:sz w:val="24"/>
          <w:szCs w:val="24"/>
          <w:lang w:eastAsia="zh-CN"/>
        </w:rPr>
        <w:t>。保护管理站点、观鸟塔等建构筑物，按照《岩土工程勘察规范》（</w:t>
      </w:r>
      <w:r>
        <w:rPr>
          <w:rFonts w:ascii="Times New Roman" w:eastAsia="宋体" w:hAnsi="Times New Roman" w:cs="宋体" w:hint="eastAsia"/>
          <w:color w:val="auto"/>
          <w:spacing w:val="-2"/>
          <w:sz w:val="24"/>
          <w:szCs w:val="24"/>
          <w:lang w:eastAsia="zh-CN"/>
        </w:rPr>
        <w:t>GB50021-2001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2009</w:t>
      </w:r>
      <w:r>
        <w:rPr>
          <w:rFonts w:ascii="Times New Roman" w:eastAsia="宋体" w:hAnsi="Times New Roman" w:cs="宋体" w:hint="eastAsia"/>
          <w:color w:val="auto"/>
          <w:spacing w:val="-2"/>
          <w:sz w:val="24"/>
          <w:szCs w:val="24"/>
          <w:lang w:eastAsia="zh-CN"/>
        </w:rPr>
        <w:t>版）的规定，按照详细勘察阶段、二级中等复杂地基等综合布置勘探工作，勘探钻孔的间距一般为</w:t>
      </w:r>
      <w:r>
        <w:rPr>
          <w:rFonts w:ascii="Times New Roman" w:eastAsia="宋体" w:hAnsi="Times New Roman" w:cs="宋体" w:hint="eastAsia"/>
          <w:color w:val="auto"/>
          <w:spacing w:val="-2"/>
          <w:sz w:val="24"/>
          <w:szCs w:val="24"/>
          <w:lang w:eastAsia="zh-CN"/>
        </w:rPr>
        <w:t>15-30m</w:t>
      </w:r>
      <w:r>
        <w:rPr>
          <w:rFonts w:ascii="Times New Roman" w:eastAsia="宋体" w:hAnsi="Times New Roman" w:cs="宋体" w:hint="eastAsia"/>
          <w:color w:val="auto"/>
          <w:spacing w:val="-2"/>
          <w:sz w:val="24"/>
          <w:szCs w:val="24"/>
          <w:lang w:eastAsia="zh-CN"/>
        </w:rPr>
        <w:t>。景观构架、架空平台、巡护码头、生态堰、生态闸等独</w:t>
      </w:r>
      <w:r>
        <w:rPr>
          <w:rFonts w:ascii="Times New Roman" w:eastAsia="宋体" w:hAnsi="Times New Roman" w:cs="宋体" w:hint="eastAsia"/>
          <w:color w:val="auto"/>
          <w:spacing w:val="-2"/>
          <w:sz w:val="24"/>
          <w:szCs w:val="24"/>
          <w:lang w:eastAsia="zh-CN"/>
        </w:rPr>
        <w:t>立的小型构筑物，一般布置一个勘探点。根据上述原则，详勘布置钻孔</w:t>
      </w:r>
      <w:r>
        <w:rPr>
          <w:rFonts w:ascii="Times New Roman" w:eastAsia="宋体" w:hAnsi="Times New Roman" w:cs="宋体" w:hint="eastAsia"/>
          <w:color w:val="auto"/>
          <w:spacing w:val="-2"/>
          <w:sz w:val="24"/>
          <w:szCs w:val="24"/>
          <w:lang w:eastAsia="zh-CN"/>
        </w:rPr>
        <w:t>247</w:t>
      </w:r>
      <w:r>
        <w:rPr>
          <w:rFonts w:ascii="Times New Roman" w:eastAsia="宋体" w:hAnsi="Times New Roman" w:cs="宋体" w:hint="eastAsia"/>
          <w:color w:val="auto"/>
          <w:spacing w:val="-2"/>
          <w:sz w:val="24"/>
          <w:szCs w:val="24"/>
          <w:lang w:eastAsia="zh-CN"/>
        </w:rPr>
        <w:t>个，钻孔编号为</w:t>
      </w:r>
      <w:r>
        <w:rPr>
          <w:rFonts w:ascii="Times New Roman" w:eastAsia="宋体" w:hAnsi="Times New Roman" w:cs="宋体" w:hint="eastAsia"/>
          <w:color w:val="auto"/>
          <w:spacing w:val="-2"/>
          <w:sz w:val="24"/>
          <w:szCs w:val="24"/>
          <w:lang w:eastAsia="zh-CN"/>
        </w:rPr>
        <w:t>XZK+</w:t>
      </w:r>
      <w:r>
        <w:rPr>
          <w:rFonts w:ascii="Times New Roman" w:eastAsia="宋体" w:hAnsi="Times New Roman" w:cs="宋体" w:hint="eastAsia"/>
          <w:color w:val="auto"/>
          <w:spacing w:val="-2"/>
          <w:sz w:val="24"/>
          <w:szCs w:val="24"/>
          <w:lang w:eastAsia="zh-CN"/>
        </w:rPr>
        <w:t>序号。</w:t>
      </w:r>
    </w:p>
    <w:p w14:paraId="38FFCB71"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据野外地质调查测绘及钻探成果，结合区域地质资料，场地内分布的地层主要有第四系全新统、第四系更新统等地层。沿线出露的地层由新至老主要为：</w:t>
      </w:r>
    </w:p>
    <w:p w14:paraId="482C8B90" w14:textId="77777777" w:rsidR="0075791A" w:rsidRDefault="00FB2864">
      <w:pPr>
        <w:spacing w:line="360" w:lineRule="auto"/>
        <w:ind w:firstLineChars="200" w:firstLine="478"/>
        <w:jc w:val="both"/>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color w:val="auto"/>
          <w:spacing w:val="-2"/>
          <w:sz w:val="24"/>
          <w:szCs w:val="24"/>
          <w:lang w:eastAsia="zh-CN"/>
        </w:rPr>
        <w:t>第四系全新统烟墩组（</w:t>
      </w:r>
      <w:r>
        <w:rPr>
          <w:rFonts w:ascii="Times New Roman" w:eastAsia="宋体" w:hAnsi="Times New Roman" w:cs="宋体" w:hint="eastAsia"/>
          <w:b/>
          <w:bCs/>
          <w:color w:val="auto"/>
          <w:spacing w:val="-2"/>
          <w:sz w:val="24"/>
          <w:szCs w:val="24"/>
          <w:lang w:eastAsia="zh-CN"/>
        </w:rPr>
        <w:t>Q</w:t>
      </w:r>
      <w:r>
        <w:rPr>
          <w:rFonts w:ascii="Times New Roman" w:eastAsia="宋体" w:hAnsi="Times New Roman" w:cs="宋体" w:hint="eastAsia"/>
          <w:b/>
          <w:bCs/>
          <w:color w:val="auto"/>
          <w:spacing w:val="-2"/>
          <w:sz w:val="24"/>
          <w:szCs w:val="24"/>
          <w:vertAlign w:val="subscript"/>
          <w:lang w:eastAsia="zh-CN"/>
        </w:rPr>
        <w:t>h</w:t>
      </w:r>
      <w:r>
        <w:rPr>
          <w:rFonts w:ascii="Times New Roman" w:eastAsia="宋体" w:hAnsi="Times New Roman" w:cs="宋体" w:hint="eastAsia"/>
          <w:b/>
          <w:bCs/>
          <w:color w:val="auto"/>
          <w:spacing w:val="-2"/>
          <w:sz w:val="24"/>
          <w:szCs w:val="24"/>
          <w:vertAlign w:val="superscript"/>
          <w:lang w:eastAsia="zh-CN"/>
        </w:rPr>
        <w:t>3</w:t>
      </w:r>
      <w:r>
        <w:rPr>
          <w:rFonts w:ascii="Times New Roman" w:eastAsia="宋体" w:hAnsi="Times New Roman" w:cs="宋体" w:hint="eastAsia"/>
          <w:b/>
          <w:bCs/>
          <w:color w:val="auto"/>
          <w:spacing w:val="-2"/>
          <w:sz w:val="24"/>
          <w:szCs w:val="24"/>
          <w:lang w:eastAsia="zh-CN"/>
        </w:rPr>
        <w:t>y</w:t>
      </w:r>
      <w:r>
        <w:rPr>
          <w:rFonts w:ascii="Times New Roman" w:eastAsia="宋体" w:hAnsi="Times New Roman" w:cs="宋体" w:hint="eastAsia"/>
          <w:b/>
          <w:bCs/>
          <w:color w:val="auto"/>
          <w:spacing w:val="-2"/>
          <w:sz w:val="24"/>
          <w:szCs w:val="24"/>
          <w:lang w:eastAsia="zh-CN"/>
        </w:rPr>
        <w:t>）</w:t>
      </w:r>
    </w:p>
    <w:p w14:paraId="6FF2E12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素填土（地层编号①</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）：灰黄色，灰色，稍密，湿</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饱和，主要由中砂、细砂组成，含粉质黏土</w:t>
      </w:r>
      <w:r>
        <w:rPr>
          <w:rFonts w:ascii="Times New Roman" w:eastAsia="宋体" w:hAnsi="Times New Roman" w:cs="宋体" w:hint="eastAsia"/>
          <w:color w:val="auto"/>
          <w:spacing w:val="-2"/>
          <w:sz w:val="24"/>
          <w:szCs w:val="24"/>
          <w:lang w:eastAsia="zh-CN"/>
        </w:rPr>
        <w:t>10-20%</w:t>
      </w:r>
      <w:r>
        <w:rPr>
          <w:rFonts w:ascii="Times New Roman" w:eastAsia="宋体" w:hAnsi="Times New Roman" w:cs="宋体" w:hint="eastAsia"/>
          <w:color w:val="auto"/>
          <w:spacing w:val="-2"/>
          <w:sz w:val="24"/>
          <w:szCs w:val="24"/>
          <w:lang w:eastAsia="zh-CN"/>
        </w:rPr>
        <w:t>，含少量贝壳碎屑。为水塘堤基、河道堤岸及机耕道路路堤填土，堆填时间一般大于</w:t>
      </w:r>
      <w:r>
        <w:rPr>
          <w:rFonts w:ascii="Times New Roman" w:eastAsia="宋体" w:hAnsi="Times New Roman" w:cs="宋体" w:hint="eastAsia"/>
          <w:color w:val="auto"/>
          <w:spacing w:val="-2"/>
          <w:sz w:val="24"/>
          <w:szCs w:val="24"/>
          <w:lang w:eastAsia="zh-CN"/>
        </w:rPr>
        <w:t>10-30</w:t>
      </w:r>
      <w:r>
        <w:rPr>
          <w:rFonts w:ascii="Times New Roman" w:eastAsia="宋体" w:hAnsi="Times New Roman" w:cs="宋体" w:hint="eastAsia"/>
          <w:color w:val="auto"/>
          <w:spacing w:val="-2"/>
          <w:sz w:val="24"/>
          <w:szCs w:val="24"/>
          <w:lang w:eastAsia="zh-CN"/>
        </w:rPr>
        <w:t>年。分布于场地区原水塘堤基、河道堤岸及机耕道路路堤，厚度一般</w:t>
      </w:r>
      <w:r>
        <w:rPr>
          <w:rFonts w:ascii="Times New Roman" w:eastAsia="宋体" w:hAnsi="Times New Roman" w:cs="宋体" w:hint="eastAsia"/>
          <w:color w:val="auto"/>
          <w:spacing w:val="-2"/>
          <w:sz w:val="24"/>
          <w:szCs w:val="24"/>
          <w:lang w:eastAsia="zh-CN"/>
        </w:rPr>
        <w:t>0.40-4.90m</w:t>
      </w:r>
      <w:r>
        <w:rPr>
          <w:rFonts w:ascii="Times New Roman" w:eastAsia="宋体" w:hAnsi="Times New Roman" w:cs="宋体" w:hint="eastAsia"/>
          <w:color w:val="auto"/>
          <w:spacing w:val="-2"/>
          <w:sz w:val="24"/>
          <w:szCs w:val="24"/>
          <w:lang w:eastAsia="zh-CN"/>
        </w:rPr>
        <w:t>。</w:t>
      </w:r>
    </w:p>
    <w:p w14:paraId="53B4D788"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淤泥质黏土（地层编号②</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）：灰黑色，软塑，饱和，含细砂</w:t>
      </w:r>
      <w:r>
        <w:rPr>
          <w:rFonts w:ascii="Times New Roman" w:eastAsia="宋体" w:hAnsi="Times New Roman" w:cs="宋体" w:hint="eastAsia"/>
          <w:color w:val="auto"/>
          <w:spacing w:val="-2"/>
          <w:sz w:val="24"/>
          <w:szCs w:val="24"/>
          <w:lang w:eastAsia="zh-CN"/>
        </w:rPr>
        <w:t>10-20%</w:t>
      </w:r>
      <w:r>
        <w:rPr>
          <w:rFonts w:ascii="Times New Roman" w:eastAsia="宋体" w:hAnsi="Times New Roman" w:cs="宋体" w:hint="eastAsia"/>
          <w:color w:val="auto"/>
          <w:spacing w:val="-2"/>
          <w:sz w:val="24"/>
          <w:szCs w:val="24"/>
          <w:lang w:eastAsia="zh-CN"/>
        </w:rPr>
        <w:t>，分布不均匀，含少量有机质，有腥臭味。零星分布于原水塘及海港港湾边，</w:t>
      </w:r>
      <w:r>
        <w:rPr>
          <w:rFonts w:ascii="Times New Roman" w:eastAsia="宋体" w:hAnsi="Times New Roman" w:cs="宋体" w:hint="eastAsia"/>
          <w:color w:val="auto"/>
          <w:spacing w:val="-2"/>
          <w:sz w:val="24"/>
          <w:szCs w:val="24"/>
          <w:lang w:eastAsia="zh-CN"/>
        </w:rPr>
        <w:t>ZK7</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ZK7-1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ZK7-2</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ZK8</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ZK9-2</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ZK9-3</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ZK9-4</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TZK6</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ZK16</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ZK16</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ZK16-2</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ZK35</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ZK39</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ZK53</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ZK54</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ZK70</w:t>
      </w:r>
      <w:r>
        <w:rPr>
          <w:rFonts w:ascii="Times New Roman" w:eastAsia="宋体" w:hAnsi="Times New Roman" w:cs="宋体" w:hint="eastAsia"/>
          <w:color w:val="auto"/>
          <w:spacing w:val="-2"/>
          <w:sz w:val="24"/>
          <w:szCs w:val="24"/>
          <w:lang w:eastAsia="zh-CN"/>
        </w:rPr>
        <w:t>以及</w:t>
      </w:r>
      <w:r>
        <w:rPr>
          <w:rFonts w:ascii="Times New Roman" w:eastAsia="宋体" w:hAnsi="Times New Roman" w:cs="宋体" w:hint="eastAsia"/>
          <w:color w:val="auto"/>
          <w:spacing w:val="-2"/>
          <w:sz w:val="24"/>
          <w:szCs w:val="24"/>
          <w:lang w:eastAsia="zh-CN"/>
        </w:rPr>
        <w:t>XZK48</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XZK49</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XZK166</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XZK169</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XZK171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XZK172</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XZK173</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XZK174</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XZK175</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XZK176</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XZK224</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XZK228</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XZK233</w:t>
      </w:r>
      <w:r>
        <w:rPr>
          <w:rFonts w:ascii="Times New Roman" w:eastAsia="宋体" w:hAnsi="Times New Roman" w:cs="宋体" w:hint="eastAsia"/>
          <w:color w:val="auto"/>
          <w:spacing w:val="-2"/>
          <w:sz w:val="24"/>
          <w:szCs w:val="24"/>
          <w:lang w:eastAsia="zh-CN"/>
        </w:rPr>
        <w:t>等钻孔有揭露，钻探揭露厚度</w:t>
      </w:r>
      <w:r>
        <w:rPr>
          <w:rFonts w:ascii="Times New Roman" w:eastAsia="宋体" w:hAnsi="Times New Roman" w:cs="宋体" w:hint="eastAsia"/>
          <w:color w:val="auto"/>
          <w:spacing w:val="-2"/>
          <w:sz w:val="24"/>
          <w:szCs w:val="24"/>
          <w:lang w:eastAsia="zh-CN"/>
        </w:rPr>
        <w:t>1.40-10.70m</w:t>
      </w:r>
      <w:r>
        <w:rPr>
          <w:rFonts w:ascii="Times New Roman" w:eastAsia="宋体" w:hAnsi="Times New Roman" w:cs="宋体" w:hint="eastAsia"/>
          <w:color w:val="auto"/>
          <w:spacing w:val="-2"/>
          <w:sz w:val="24"/>
          <w:szCs w:val="24"/>
          <w:lang w:eastAsia="zh-CN"/>
        </w:rPr>
        <w:t>。</w:t>
      </w:r>
    </w:p>
    <w:p w14:paraId="5BBD5D23"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细砂（地层编号③</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）：灰褐色、青灰色、灰色、浅灰色，松散，饱和，砂质成分主要为石英，含泥质物约</w:t>
      </w:r>
      <w:r>
        <w:rPr>
          <w:rFonts w:ascii="Times New Roman" w:eastAsia="宋体" w:hAnsi="Times New Roman" w:cs="宋体" w:hint="eastAsia"/>
          <w:color w:val="auto"/>
          <w:spacing w:val="-2"/>
          <w:sz w:val="24"/>
          <w:szCs w:val="24"/>
          <w:lang w:eastAsia="zh-CN"/>
        </w:rPr>
        <w:t>10-30%</w:t>
      </w:r>
      <w:r>
        <w:rPr>
          <w:rFonts w:ascii="Times New Roman" w:eastAsia="宋体" w:hAnsi="Times New Roman" w:cs="宋体" w:hint="eastAsia"/>
          <w:color w:val="auto"/>
          <w:spacing w:val="-2"/>
          <w:sz w:val="24"/>
          <w:szCs w:val="24"/>
          <w:lang w:eastAsia="zh-CN"/>
        </w:rPr>
        <w:t>，含贝壳碎屑，局部含少量有机质。项目区广泛分布，钻探揭露厚度</w:t>
      </w:r>
      <w:r>
        <w:rPr>
          <w:rFonts w:ascii="Times New Roman" w:eastAsia="宋体" w:hAnsi="Times New Roman" w:cs="宋体" w:hint="eastAsia"/>
          <w:color w:val="auto"/>
          <w:spacing w:val="-2"/>
          <w:sz w:val="24"/>
          <w:szCs w:val="24"/>
          <w:lang w:eastAsia="zh-CN"/>
        </w:rPr>
        <w:t>1.00-7.60m</w:t>
      </w:r>
      <w:r>
        <w:rPr>
          <w:rFonts w:ascii="Times New Roman" w:eastAsia="宋体" w:hAnsi="Times New Roman" w:cs="宋体" w:hint="eastAsia"/>
          <w:color w:val="auto"/>
          <w:spacing w:val="-2"/>
          <w:sz w:val="24"/>
          <w:szCs w:val="24"/>
          <w:lang w:eastAsia="zh-CN"/>
        </w:rPr>
        <w:t>。</w:t>
      </w:r>
    </w:p>
    <w:p w14:paraId="0AAAF4A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细砂（地层</w:t>
      </w:r>
      <w:r>
        <w:rPr>
          <w:rFonts w:ascii="Times New Roman" w:eastAsia="宋体" w:hAnsi="Times New Roman" w:cs="宋体" w:hint="eastAsia"/>
          <w:color w:val="auto"/>
          <w:spacing w:val="-2"/>
          <w:sz w:val="24"/>
          <w:szCs w:val="24"/>
          <w:lang w:eastAsia="zh-CN"/>
        </w:rPr>
        <w:t>编号③</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）：青灰色、灰色、浅灰色，稍密，饱和，砂质成分主要为石英，含泥质物约</w:t>
      </w:r>
      <w:r>
        <w:rPr>
          <w:rFonts w:ascii="Times New Roman" w:eastAsia="宋体" w:hAnsi="Times New Roman" w:cs="宋体" w:hint="eastAsia"/>
          <w:color w:val="auto"/>
          <w:spacing w:val="-2"/>
          <w:sz w:val="24"/>
          <w:szCs w:val="24"/>
          <w:lang w:eastAsia="zh-CN"/>
        </w:rPr>
        <w:t>10-30%</w:t>
      </w:r>
      <w:r>
        <w:rPr>
          <w:rFonts w:ascii="Times New Roman" w:eastAsia="宋体" w:hAnsi="Times New Roman" w:cs="宋体" w:hint="eastAsia"/>
          <w:color w:val="auto"/>
          <w:spacing w:val="-2"/>
          <w:sz w:val="24"/>
          <w:szCs w:val="24"/>
          <w:lang w:eastAsia="zh-CN"/>
        </w:rPr>
        <w:t>，含少量贝壳碎屑。项目区广泛分布，钻探揭露厚度</w:t>
      </w:r>
      <w:r>
        <w:rPr>
          <w:rFonts w:ascii="Times New Roman" w:eastAsia="宋体" w:hAnsi="Times New Roman" w:cs="宋体" w:hint="eastAsia"/>
          <w:color w:val="auto"/>
          <w:spacing w:val="-2"/>
          <w:sz w:val="24"/>
          <w:szCs w:val="24"/>
          <w:lang w:eastAsia="zh-CN"/>
        </w:rPr>
        <w:t>0.90-6.10m</w:t>
      </w:r>
      <w:r>
        <w:rPr>
          <w:rFonts w:ascii="Times New Roman" w:eastAsia="宋体" w:hAnsi="Times New Roman" w:cs="宋体" w:hint="eastAsia"/>
          <w:color w:val="auto"/>
          <w:spacing w:val="-2"/>
          <w:sz w:val="24"/>
          <w:szCs w:val="24"/>
          <w:lang w:eastAsia="zh-CN"/>
        </w:rPr>
        <w:t>。</w:t>
      </w:r>
    </w:p>
    <w:p w14:paraId="5B78D547"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lastRenderedPageBreak/>
        <w:t>5).</w:t>
      </w:r>
      <w:r>
        <w:rPr>
          <w:rFonts w:ascii="Times New Roman" w:eastAsia="宋体" w:hAnsi="Times New Roman" w:cs="宋体" w:hint="eastAsia"/>
          <w:color w:val="auto"/>
          <w:spacing w:val="-2"/>
          <w:sz w:val="24"/>
          <w:szCs w:val="24"/>
          <w:lang w:eastAsia="zh-CN"/>
        </w:rPr>
        <w:t>细砂（地层编号③</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）：浅灰色、灰白色，饱和，中密，局部地段从上至下逐渐变密实，下部呈密实状，砂质成分主要为石英，部分地段含部分长石，含泥质物约为</w:t>
      </w:r>
      <w:r>
        <w:rPr>
          <w:rFonts w:ascii="Times New Roman" w:eastAsia="宋体" w:hAnsi="Times New Roman" w:cs="宋体" w:hint="eastAsia"/>
          <w:color w:val="auto"/>
          <w:spacing w:val="-2"/>
          <w:sz w:val="24"/>
          <w:szCs w:val="24"/>
          <w:lang w:eastAsia="zh-CN"/>
        </w:rPr>
        <w:t>5-20%</w:t>
      </w:r>
      <w:r>
        <w:rPr>
          <w:rFonts w:ascii="Times New Roman" w:eastAsia="宋体" w:hAnsi="Times New Roman" w:cs="宋体" w:hint="eastAsia"/>
          <w:color w:val="auto"/>
          <w:spacing w:val="-2"/>
          <w:sz w:val="24"/>
          <w:szCs w:val="24"/>
          <w:lang w:eastAsia="zh-CN"/>
        </w:rPr>
        <w:t>。项目区广泛分布，钻探揭露厚度</w:t>
      </w:r>
      <w:r>
        <w:rPr>
          <w:rFonts w:ascii="Times New Roman" w:eastAsia="宋体" w:hAnsi="Times New Roman" w:cs="宋体" w:hint="eastAsia"/>
          <w:color w:val="auto"/>
          <w:spacing w:val="-2"/>
          <w:sz w:val="24"/>
          <w:szCs w:val="24"/>
          <w:lang w:eastAsia="zh-CN"/>
        </w:rPr>
        <w:t>2.20-13.90m</w:t>
      </w:r>
      <w:r>
        <w:rPr>
          <w:rFonts w:ascii="Times New Roman" w:eastAsia="宋体" w:hAnsi="Times New Roman" w:cs="宋体" w:hint="eastAsia"/>
          <w:color w:val="auto"/>
          <w:spacing w:val="-2"/>
          <w:sz w:val="24"/>
          <w:szCs w:val="24"/>
          <w:lang w:eastAsia="zh-CN"/>
        </w:rPr>
        <w:t>。</w:t>
      </w:r>
    </w:p>
    <w:p w14:paraId="459AF57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6).</w:t>
      </w:r>
      <w:r>
        <w:rPr>
          <w:rFonts w:ascii="Times New Roman" w:eastAsia="宋体" w:hAnsi="Times New Roman" w:cs="宋体" w:hint="eastAsia"/>
          <w:color w:val="auto"/>
          <w:spacing w:val="-2"/>
          <w:sz w:val="24"/>
          <w:szCs w:val="24"/>
          <w:lang w:eastAsia="zh-CN"/>
        </w:rPr>
        <w:t>中砂（地层编号④</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）：灰褐色、青灰色、灰色、浅灰色，松散，饱和，砂质成分主要为石英，含泥质物约</w:t>
      </w:r>
      <w:r>
        <w:rPr>
          <w:rFonts w:ascii="Times New Roman" w:eastAsia="宋体" w:hAnsi="Times New Roman" w:cs="宋体" w:hint="eastAsia"/>
          <w:color w:val="auto"/>
          <w:spacing w:val="-2"/>
          <w:sz w:val="24"/>
          <w:szCs w:val="24"/>
          <w:lang w:eastAsia="zh-CN"/>
        </w:rPr>
        <w:t>10-20%</w:t>
      </w:r>
      <w:r>
        <w:rPr>
          <w:rFonts w:ascii="Times New Roman" w:eastAsia="宋体" w:hAnsi="Times New Roman" w:cs="宋体" w:hint="eastAsia"/>
          <w:color w:val="auto"/>
          <w:spacing w:val="-2"/>
          <w:sz w:val="24"/>
          <w:szCs w:val="24"/>
          <w:lang w:eastAsia="zh-CN"/>
        </w:rPr>
        <w:t>，含贝壳碎屑，局部含少量有</w:t>
      </w:r>
      <w:r>
        <w:rPr>
          <w:rFonts w:ascii="Times New Roman" w:eastAsia="宋体" w:hAnsi="Times New Roman" w:cs="宋体" w:hint="eastAsia"/>
          <w:color w:val="auto"/>
          <w:spacing w:val="-2"/>
          <w:sz w:val="24"/>
          <w:szCs w:val="24"/>
          <w:lang w:eastAsia="zh-CN"/>
        </w:rPr>
        <w:t>机质。项目区广泛分布，钻探揭露厚度</w:t>
      </w:r>
      <w:r>
        <w:rPr>
          <w:rFonts w:ascii="Times New Roman" w:eastAsia="宋体" w:hAnsi="Times New Roman" w:cs="宋体" w:hint="eastAsia"/>
          <w:color w:val="auto"/>
          <w:spacing w:val="-2"/>
          <w:sz w:val="24"/>
          <w:szCs w:val="24"/>
          <w:lang w:eastAsia="zh-CN"/>
        </w:rPr>
        <w:t>1.20-6.50m</w:t>
      </w:r>
      <w:r>
        <w:rPr>
          <w:rFonts w:ascii="Times New Roman" w:eastAsia="宋体" w:hAnsi="Times New Roman" w:cs="宋体" w:hint="eastAsia"/>
          <w:color w:val="auto"/>
          <w:spacing w:val="-2"/>
          <w:sz w:val="24"/>
          <w:szCs w:val="24"/>
          <w:lang w:eastAsia="zh-CN"/>
        </w:rPr>
        <w:t>。</w:t>
      </w:r>
    </w:p>
    <w:p w14:paraId="64C87714"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7).</w:t>
      </w:r>
      <w:r>
        <w:rPr>
          <w:rFonts w:ascii="Times New Roman" w:eastAsia="宋体" w:hAnsi="Times New Roman" w:cs="宋体" w:hint="eastAsia"/>
          <w:color w:val="auto"/>
          <w:spacing w:val="-2"/>
          <w:sz w:val="24"/>
          <w:szCs w:val="24"/>
          <w:lang w:eastAsia="zh-CN"/>
        </w:rPr>
        <w:t>中砂（地层编号④</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）：青灰色、灰色、浅灰色，稍密，饱和，砂质成分主要为石英，含泥质物约</w:t>
      </w:r>
      <w:r>
        <w:rPr>
          <w:rFonts w:ascii="Times New Roman" w:eastAsia="宋体" w:hAnsi="Times New Roman" w:cs="宋体" w:hint="eastAsia"/>
          <w:color w:val="auto"/>
          <w:spacing w:val="-2"/>
          <w:sz w:val="24"/>
          <w:szCs w:val="24"/>
          <w:lang w:eastAsia="zh-CN"/>
        </w:rPr>
        <w:t>10%</w:t>
      </w:r>
      <w:r>
        <w:rPr>
          <w:rFonts w:ascii="Times New Roman" w:eastAsia="宋体" w:hAnsi="Times New Roman" w:cs="宋体" w:hint="eastAsia"/>
          <w:color w:val="auto"/>
          <w:spacing w:val="-2"/>
          <w:sz w:val="24"/>
          <w:szCs w:val="24"/>
          <w:lang w:eastAsia="zh-CN"/>
        </w:rPr>
        <w:t>，局部段含泥质</w:t>
      </w:r>
      <w:r>
        <w:rPr>
          <w:rFonts w:ascii="Times New Roman" w:eastAsia="宋体" w:hAnsi="Times New Roman" w:cs="宋体" w:hint="eastAsia"/>
          <w:color w:val="auto"/>
          <w:spacing w:val="-2"/>
          <w:sz w:val="24"/>
          <w:szCs w:val="24"/>
          <w:lang w:eastAsia="zh-CN"/>
        </w:rPr>
        <w:t>30%</w:t>
      </w:r>
      <w:r>
        <w:rPr>
          <w:rFonts w:ascii="Times New Roman" w:eastAsia="宋体" w:hAnsi="Times New Roman" w:cs="宋体" w:hint="eastAsia"/>
          <w:color w:val="auto"/>
          <w:spacing w:val="-2"/>
          <w:sz w:val="24"/>
          <w:szCs w:val="24"/>
          <w:lang w:eastAsia="zh-CN"/>
        </w:rPr>
        <w:t>，含少量贝壳碎屑。项目区广泛分布，钻探揭露厚度</w:t>
      </w:r>
      <w:r>
        <w:rPr>
          <w:rFonts w:ascii="Times New Roman" w:eastAsia="宋体" w:hAnsi="Times New Roman" w:cs="宋体" w:hint="eastAsia"/>
          <w:color w:val="auto"/>
          <w:spacing w:val="-2"/>
          <w:sz w:val="24"/>
          <w:szCs w:val="24"/>
          <w:lang w:eastAsia="zh-CN"/>
        </w:rPr>
        <w:t>0.40-6.60m</w:t>
      </w:r>
      <w:r>
        <w:rPr>
          <w:rFonts w:ascii="Times New Roman" w:eastAsia="宋体" w:hAnsi="Times New Roman" w:cs="宋体" w:hint="eastAsia"/>
          <w:color w:val="auto"/>
          <w:spacing w:val="-2"/>
          <w:sz w:val="24"/>
          <w:szCs w:val="24"/>
          <w:lang w:eastAsia="zh-CN"/>
        </w:rPr>
        <w:t>。</w:t>
      </w:r>
    </w:p>
    <w:p w14:paraId="798D1CB8"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8).</w:t>
      </w:r>
      <w:r>
        <w:rPr>
          <w:rFonts w:ascii="Times New Roman" w:eastAsia="宋体" w:hAnsi="Times New Roman" w:cs="宋体" w:hint="eastAsia"/>
          <w:color w:val="auto"/>
          <w:spacing w:val="-2"/>
          <w:sz w:val="24"/>
          <w:szCs w:val="24"/>
          <w:lang w:eastAsia="zh-CN"/>
        </w:rPr>
        <w:t>中砂（地层编号④</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）：浅灰色、灰白色，局部青灰色，中密，饱和，局部地段从上至下逐渐变密实，下部呈密实状，砂质成分主要为石英，次为长石，含泥质物约为</w:t>
      </w:r>
      <w:r>
        <w:rPr>
          <w:rFonts w:ascii="Times New Roman" w:eastAsia="宋体" w:hAnsi="Times New Roman" w:cs="宋体" w:hint="eastAsia"/>
          <w:color w:val="auto"/>
          <w:spacing w:val="-2"/>
          <w:sz w:val="24"/>
          <w:szCs w:val="24"/>
          <w:lang w:eastAsia="zh-CN"/>
        </w:rPr>
        <w:t>10%</w:t>
      </w:r>
      <w:r>
        <w:rPr>
          <w:rFonts w:ascii="Times New Roman" w:eastAsia="宋体" w:hAnsi="Times New Roman" w:cs="宋体" w:hint="eastAsia"/>
          <w:color w:val="auto"/>
          <w:spacing w:val="-2"/>
          <w:sz w:val="24"/>
          <w:szCs w:val="24"/>
          <w:lang w:eastAsia="zh-CN"/>
        </w:rPr>
        <w:t>，局部段含泥质</w:t>
      </w:r>
      <w:r>
        <w:rPr>
          <w:rFonts w:ascii="Times New Roman" w:eastAsia="宋体" w:hAnsi="Times New Roman" w:cs="宋体" w:hint="eastAsia"/>
          <w:color w:val="auto"/>
          <w:spacing w:val="-2"/>
          <w:sz w:val="24"/>
          <w:szCs w:val="24"/>
          <w:lang w:eastAsia="zh-CN"/>
        </w:rPr>
        <w:t>30%</w:t>
      </w:r>
      <w:r>
        <w:rPr>
          <w:rFonts w:ascii="Times New Roman" w:eastAsia="宋体" w:hAnsi="Times New Roman" w:cs="宋体" w:hint="eastAsia"/>
          <w:color w:val="auto"/>
          <w:spacing w:val="-2"/>
          <w:sz w:val="24"/>
          <w:szCs w:val="24"/>
          <w:lang w:eastAsia="zh-CN"/>
        </w:rPr>
        <w:t>。项目区广泛分布，钻探揭露厚度</w:t>
      </w:r>
      <w:r>
        <w:rPr>
          <w:rFonts w:ascii="Times New Roman" w:eastAsia="宋体" w:hAnsi="Times New Roman" w:cs="宋体" w:hint="eastAsia"/>
          <w:color w:val="auto"/>
          <w:spacing w:val="-2"/>
          <w:sz w:val="24"/>
          <w:szCs w:val="24"/>
          <w:lang w:eastAsia="zh-CN"/>
        </w:rPr>
        <w:t>1.10-12.60m</w:t>
      </w:r>
      <w:r>
        <w:rPr>
          <w:rFonts w:ascii="Times New Roman" w:eastAsia="宋体" w:hAnsi="Times New Roman" w:cs="宋体" w:hint="eastAsia"/>
          <w:color w:val="auto"/>
          <w:spacing w:val="-2"/>
          <w:sz w:val="24"/>
          <w:szCs w:val="24"/>
          <w:lang w:eastAsia="zh-CN"/>
        </w:rPr>
        <w:t>。</w:t>
      </w:r>
    </w:p>
    <w:p w14:paraId="3593B29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9).</w:t>
      </w:r>
      <w:r>
        <w:rPr>
          <w:rFonts w:ascii="Times New Roman" w:eastAsia="宋体" w:hAnsi="Times New Roman" w:cs="宋体" w:hint="eastAsia"/>
          <w:color w:val="auto"/>
          <w:spacing w:val="-2"/>
          <w:sz w:val="24"/>
          <w:szCs w:val="24"/>
          <w:lang w:eastAsia="zh-CN"/>
        </w:rPr>
        <w:t>含砂粉质黏土（地层编号⑤</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）：青灰色、深灰色，可塑，含中细砂</w:t>
      </w:r>
      <w:r>
        <w:rPr>
          <w:rFonts w:ascii="Times New Roman" w:eastAsia="宋体" w:hAnsi="Times New Roman" w:cs="宋体" w:hint="eastAsia"/>
          <w:color w:val="auto"/>
          <w:spacing w:val="-2"/>
          <w:sz w:val="24"/>
          <w:szCs w:val="24"/>
          <w:lang w:eastAsia="zh-CN"/>
        </w:rPr>
        <w:t>10-30%</w:t>
      </w:r>
      <w:r>
        <w:rPr>
          <w:rFonts w:ascii="Times New Roman" w:eastAsia="宋体" w:hAnsi="Times New Roman" w:cs="宋体" w:hint="eastAsia"/>
          <w:color w:val="auto"/>
          <w:spacing w:val="-2"/>
          <w:sz w:val="24"/>
          <w:szCs w:val="24"/>
          <w:lang w:eastAsia="zh-CN"/>
        </w:rPr>
        <w:t>，含贝壳碎屑</w:t>
      </w:r>
      <w:r>
        <w:rPr>
          <w:rFonts w:ascii="Times New Roman" w:eastAsia="宋体" w:hAnsi="Times New Roman" w:cs="宋体" w:hint="eastAsia"/>
          <w:color w:val="auto"/>
          <w:spacing w:val="-2"/>
          <w:sz w:val="24"/>
          <w:szCs w:val="24"/>
          <w:lang w:eastAsia="zh-CN"/>
        </w:rPr>
        <w:t>5-10%</w:t>
      </w:r>
      <w:r>
        <w:rPr>
          <w:rFonts w:ascii="Times New Roman" w:eastAsia="宋体" w:hAnsi="Times New Roman" w:cs="宋体" w:hint="eastAsia"/>
          <w:color w:val="auto"/>
          <w:spacing w:val="-2"/>
          <w:sz w:val="24"/>
          <w:szCs w:val="24"/>
          <w:lang w:eastAsia="zh-CN"/>
        </w:rPr>
        <w:t>，砂粒分布不均匀。场地区分布较零散，</w:t>
      </w:r>
      <w:r>
        <w:rPr>
          <w:rFonts w:ascii="Times New Roman" w:eastAsia="宋体" w:hAnsi="Times New Roman" w:cs="宋体" w:hint="eastAsia"/>
          <w:color w:val="auto"/>
          <w:spacing w:val="-2"/>
          <w:sz w:val="24"/>
          <w:szCs w:val="24"/>
          <w:lang w:eastAsia="zh-CN"/>
        </w:rPr>
        <w:t>TZK7</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TZK11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ZK31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ZK31-2</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ZK31-3</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ZK33</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ZK35</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ZK43</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ZK44</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ZK48</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ZK51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ZK52</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ZK55</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ZK56</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ZK62</w:t>
      </w:r>
      <w:r>
        <w:rPr>
          <w:rFonts w:ascii="Times New Roman" w:eastAsia="宋体" w:hAnsi="Times New Roman" w:cs="宋体" w:hint="eastAsia"/>
          <w:color w:val="auto"/>
          <w:spacing w:val="-2"/>
          <w:sz w:val="24"/>
          <w:szCs w:val="24"/>
          <w:lang w:eastAsia="zh-CN"/>
        </w:rPr>
        <w:t>等钻孔有揭露，钻探揭露厚度</w:t>
      </w:r>
      <w:r>
        <w:rPr>
          <w:rFonts w:ascii="Times New Roman" w:eastAsia="宋体" w:hAnsi="Times New Roman" w:cs="宋体" w:hint="eastAsia"/>
          <w:color w:val="auto"/>
          <w:spacing w:val="-2"/>
          <w:sz w:val="24"/>
          <w:szCs w:val="24"/>
          <w:lang w:eastAsia="zh-CN"/>
        </w:rPr>
        <w:t>1.00-7.10m</w:t>
      </w:r>
      <w:r>
        <w:rPr>
          <w:rFonts w:ascii="Times New Roman" w:eastAsia="宋体" w:hAnsi="Times New Roman" w:cs="宋体" w:hint="eastAsia"/>
          <w:color w:val="auto"/>
          <w:spacing w:val="-2"/>
          <w:sz w:val="24"/>
          <w:szCs w:val="24"/>
          <w:lang w:eastAsia="zh-CN"/>
        </w:rPr>
        <w:t>。</w:t>
      </w:r>
    </w:p>
    <w:p w14:paraId="7E37D692"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10).</w:t>
      </w:r>
      <w:r>
        <w:rPr>
          <w:rFonts w:ascii="Times New Roman" w:eastAsia="宋体" w:hAnsi="Times New Roman" w:cs="宋体" w:hint="eastAsia"/>
          <w:color w:val="auto"/>
          <w:spacing w:val="-2"/>
          <w:sz w:val="24"/>
          <w:szCs w:val="24"/>
          <w:lang w:eastAsia="zh-CN"/>
        </w:rPr>
        <w:t>含砂粉质黏土（地层编号⑤</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）：青灰色、深灰色，硬塑，含中细砂</w:t>
      </w:r>
      <w:r>
        <w:rPr>
          <w:rFonts w:ascii="Times New Roman" w:eastAsia="宋体" w:hAnsi="Times New Roman" w:cs="宋体" w:hint="eastAsia"/>
          <w:color w:val="auto"/>
          <w:spacing w:val="-2"/>
          <w:sz w:val="24"/>
          <w:szCs w:val="24"/>
          <w:lang w:eastAsia="zh-CN"/>
        </w:rPr>
        <w:t>10-30%</w:t>
      </w:r>
      <w:r>
        <w:rPr>
          <w:rFonts w:ascii="Times New Roman" w:eastAsia="宋体" w:hAnsi="Times New Roman" w:cs="宋体" w:hint="eastAsia"/>
          <w:color w:val="auto"/>
          <w:spacing w:val="-2"/>
          <w:sz w:val="24"/>
          <w:szCs w:val="24"/>
          <w:lang w:eastAsia="zh-CN"/>
        </w:rPr>
        <w:t>，含少量贝壳碎屑，砂粒分布不均匀，局部夹中细砂夹层。场地区分布较零散，</w:t>
      </w:r>
      <w:r>
        <w:rPr>
          <w:rFonts w:ascii="Times New Roman" w:eastAsia="宋体" w:hAnsi="Times New Roman" w:cs="宋体" w:hint="eastAsia"/>
          <w:color w:val="auto"/>
          <w:spacing w:val="-2"/>
          <w:sz w:val="24"/>
          <w:szCs w:val="24"/>
          <w:lang w:eastAsia="zh-CN"/>
        </w:rPr>
        <w:t>TZK4</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TZK6</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TZK11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ZK31-1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w:t>
      </w:r>
      <w:r>
        <w:rPr>
          <w:rFonts w:ascii="Times New Roman" w:eastAsia="宋体" w:hAnsi="Times New Roman" w:cs="宋体" w:hint="eastAsia"/>
          <w:color w:val="auto"/>
          <w:spacing w:val="-2"/>
          <w:sz w:val="24"/>
          <w:szCs w:val="24"/>
          <w:lang w:eastAsia="zh-CN"/>
        </w:rPr>
        <w:t>31-3</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ZK32</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ZK34</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ZK36</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ZK41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ZK47</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ZK50</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ZK55</w:t>
      </w:r>
      <w:r>
        <w:rPr>
          <w:rFonts w:ascii="Times New Roman" w:eastAsia="宋体" w:hAnsi="Times New Roman" w:cs="宋体" w:hint="eastAsia"/>
          <w:color w:val="auto"/>
          <w:spacing w:val="-2"/>
          <w:sz w:val="24"/>
          <w:szCs w:val="24"/>
          <w:lang w:eastAsia="zh-CN"/>
        </w:rPr>
        <w:t>等钻孔有揭露，钻探揭露厚度</w:t>
      </w:r>
      <w:r>
        <w:rPr>
          <w:rFonts w:ascii="Times New Roman" w:eastAsia="宋体" w:hAnsi="Times New Roman" w:cs="宋体" w:hint="eastAsia"/>
          <w:color w:val="auto"/>
          <w:spacing w:val="-2"/>
          <w:sz w:val="24"/>
          <w:szCs w:val="24"/>
          <w:lang w:eastAsia="zh-CN"/>
        </w:rPr>
        <w:t>2.60-7.60m</w:t>
      </w:r>
      <w:r>
        <w:rPr>
          <w:rFonts w:ascii="Times New Roman" w:eastAsia="宋体" w:hAnsi="Times New Roman" w:cs="宋体" w:hint="eastAsia"/>
          <w:color w:val="auto"/>
          <w:spacing w:val="-2"/>
          <w:sz w:val="24"/>
          <w:szCs w:val="24"/>
          <w:lang w:eastAsia="zh-CN"/>
        </w:rPr>
        <w:t>。</w:t>
      </w:r>
    </w:p>
    <w:p w14:paraId="3F2F9F51"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11).</w:t>
      </w:r>
      <w:r>
        <w:rPr>
          <w:rFonts w:ascii="Times New Roman" w:eastAsia="宋体" w:hAnsi="Times New Roman" w:cs="宋体" w:hint="eastAsia"/>
          <w:color w:val="auto"/>
          <w:spacing w:val="-2"/>
          <w:sz w:val="24"/>
          <w:szCs w:val="24"/>
          <w:lang w:eastAsia="zh-CN"/>
        </w:rPr>
        <w:t>黏土（地层编号⑥</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）：灰色、深灰色，灰黄色，可塑，含贝壳碎屑约</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hint="eastAsia"/>
          <w:color w:val="auto"/>
          <w:spacing w:val="-2"/>
          <w:sz w:val="24"/>
          <w:szCs w:val="24"/>
          <w:lang w:eastAsia="zh-CN"/>
        </w:rPr>
        <w:t>，局部含少量粉细砂。分布较零星，</w:t>
      </w:r>
      <w:r>
        <w:rPr>
          <w:rFonts w:ascii="Times New Roman" w:eastAsia="宋体" w:hAnsi="Times New Roman" w:cs="宋体" w:hint="eastAsia"/>
          <w:color w:val="auto"/>
          <w:spacing w:val="-2"/>
          <w:sz w:val="24"/>
          <w:szCs w:val="24"/>
          <w:lang w:eastAsia="zh-CN"/>
        </w:rPr>
        <w:t>TZK7</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TZK8</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TZK10</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ZK43</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ZK44</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ZK48</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ZK70</w:t>
      </w:r>
      <w:r>
        <w:rPr>
          <w:rFonts w:ascii="Times New Roman" w:eastAsia="宋体" w:hAnsi="Times New Roman" w:cs="宋体" w:hint="eastAsia"/>
          <w:color w:val="auto"/>
          <w:spacing w:val="-2"/>
          <w:sz w:val="24"/>
          <w:szCs w:val="24"/>
          <w:lang w:eastAsia="zh-CN"/>
        </w:rPr>
        <w:t>以及</w:t>
      </w:r>
      <w:r>
        <w:rPr>
          <w:rFonts w:ascii="Times New Roman" w:eastAsia="宋体" w:hAnsi="Times New Roman" w:cs="宋体" w:hint="eastAsia"/>
          <w:color w:val="auto"/>
          <w:spacing w:val="-2"/>
          <w:sz w:val="24"/>
          <w:szCs w:val="24"/>
          <w:lang w:eastAsia="zh-CN"/>
        </w:rPr>
        <w:t>XZK216</w:t>
      </w:r>
      <w:r>
        <w:rPr>
          <w:rFonts w:ascii="Times New Roman" w:eastAsia="宋体" w:hAnsi="Times New Roman" w:cs="宋体" w:hint="eastAsia"/>
          <w:color w:val="auto"/>
          <w:spacing w:val="-2"/>
          <w:sz w:val="24"/>
          <w:szCs w:val="24"/>
          <w:lang w:eastAsia="zh-CN"/>
        </w:rPr>
        <w:t>等钻孔有揭露，钻探揭露厚度</w:t>
      </w:r>
      <w:r>
        <w:rPr>
          <w:rFonts w:ascii="Times New Roman" w:eastAsia="宋体" w:hAnsi="Times New Roman" w:cs="宋体" w:hint="eastAsia"/>
          <w:color w:val="auto"/>
          <w:spacing w:val="-2"/>
          <w:sz w:val="24"/>
          <w:szCs w:val="24"/>
          <w:lang w:eastAsia="zh-CN"/>
        </w:rPr>
        <w:t>2.00-6.00m</w:t>
      </w:r>
      <w:r>
        <w:rPr>
          <w:rFonts w:ascii="Times New Roman" w:eastAsia="宋体" w:hAnsi="Times New Roman" w:cs="宋体" w:hint="eastAsia"/>
          <w:color w:val="auto"/>
          <w:spacing w:val="-2"/>
          <w:sz w:val="24"/>
          <w:szCs w:val="24"/>
          <w:lang w:eastAsia="zh-CN"/>
        </w:rPr>
        <w:t>。</w:t>
      </w:r>
    </w:p>
    <w:p w14:paraId="20FFBF11"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12).</w:t>
      </w:r>
      <w:r>
        <w:rPr>
          <w:rFonts w:ascii="Times New Roman" w:eastAsia="宋体" w:hAnsi="Times New Roman" w:cs="宋体" w:hint="eastAsia"/>
          <w:color w:val="auto"/>
          <w:spacing w:val="-2"/>
          <w:sz w:val="24"/>
          <w:szCs w:val="24"/>
          <w:lang w:eastAsia="zh-CN"/>
        </w:rPr>
        <w:t>黏土（地层编号⑥</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）：灰绿色，褐黄色，硬塑，局部含少量粉细砂。分布较零星，</w:t>
      </w:r>
      <w:r>
        <w:rPr>
          <w:rFonts w:ascii="Times New Roman" w:eastAsia="宋体" w:hAnsi="Times New Roman" w:cs="宋体" w:hint="eastAsia"/>
          <w:color w:val="auto"/>
          <w:spacing w:val="-2"/>
          <w:sz w:val="24"/>
          <w:szCs w:val="24"/>
          <w:lang w:eastAsia="zh-CN"/>
        </w:rPr>
        <w:t>TZK10</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TZK11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ZK31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ZK44</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ZK47</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ZK5</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ZK57</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ZK70</w:t>
      </w:r>
      <w:r>
        <w:rPr>
          <w:rFonts w:ascii="Times New Roman" w:eastAsia="宋体" w:hAnsi="Times New Roman" w:cs="宋体" w:hint="eastAsia"/>
          <w:color w:val="auto"/>
          <w:spacing w:val="-2"/>
          <w:sz w:val="24"/>
          <w:szCs w:val="24"/>
          <w:lang w:eastAsia="zh-CN"/>
        </w:rPr>
        <w:t>以及</w:t>
      </w:r>
      <w:r>
        <w:rPr>
          <w:rFonts w:ascii="Times New Roman" w:eastAsia="宋体" w:hAnsi="Times New Roman" w:cs="宋体" w:hint="eastAsia"/>
          <w:color w:val="auto"/>
          <w:spacing w:val="-2"/>
          <w:sz w:val="24"/>
          <w:szCs w:val="24"/>
          <w:lang w:eastAsia="zh-CN"/>
        </w:rPr>
        <w:t>XZK59</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XZK177</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XZK180</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XZK210</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XZK222</w:t>
      </w:r>
      <w:r>
        <w:rPr>
          <w:rFonts w:ascii="Times New Roman" w:eastAsia="宋体" w:hAnsi="Times New Roman" w:cs="宋体" w:hint="eastAsia"/>
          <w:color w:val="auto"/>
          <w:spacing w:val="-2"/>
          <w:sz w:val="24"/>
          <w:szCs w:val="24"/>
          <w:lang w:eastAsia="zh-CN"/>
        </w:rPr>
        <w:t>等钻孔有揭露，钻探揭露厚度</w:t>
      </w:r>
      <w:r>
        <w:rPr>
          <w:rFonts w:ascii="Times New Roman" w:eastAsia="宋体" w:hAnsi="Times New Roman" w:cs="宋体" w:hint="eastAsia"/>
          <w:color w:val="auto"/>
          <w:spacing w:val="-2"/>
          <w:sz w:val="24"/>
          <w:szCs w:val="24"/>
          <w:lang w:eastAsia="zh-CN"/>
        </w:rPr>
        <w:t>1.00-19.30m</w:t>
      </w:r>
      <w:r>
        <w:rPr>
          <w:rFonts w:ascii="Times New Roman" w:eastAsia="宋体" w:hAnsi="Times New Roman" w:cs="宋体" w:hint="eastAsia"/>
          <w:color w:val="auto"/>
          <w:spacing w:val="-2"/>
          <w:sz w:val="24"/>
          <w:szCs w:val="24"/>
          <w:lang w:eastAsia="zh-CN"/>
        </w:rPr>
        <w:t>。</w:t>
      </w:r>
    </w:p>
    <w:p w14:paraId="0E51C473" w14:textId="77777777" w:rsidR="0075791A" w:rsidRDefault="00FB2864">
      <w:pPr>
        <w:spacing w:line="360" w:lineRule="auto"/>
        <w:ind w:firstLineChars="200" w:firstLine="478"/>
        <w:jc w:val="both"/>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color w:val="auto"/>
          <w:spacing w:val="-2"/>
          <w:sz w:val="24"/>
          <w:szCs w:val="24"/>
          <w:lang w:eastAsia="zh-CN"/>
        </w:rPr>
        <w:t>第四系更新统八所组（</w:t>
      </w:r>
      <w:r>
        <w:rPr>
          <w:rFonts w:ascii="Times New Roman" w:eastAsia="宋体" w:hAnsi="Times New Roman" w:cs="宋体" w:hint="eastAsia"/>
          <w:b/>
          <w:bCs/>
          <w:color w:val="auto"/>
          <w:spacing w:val="-2"/>
          <w:sz w:val="24"/>
          <w:szCs w:val="24"/>
          <w:lang w:eastAsia="zh-CN"/>
        </w:rPr>
        <w:t>Q</w:t>
      </w:r>
      <w:r>
        <w:rPr>
          <w:rFonts w:ascii="Times New Roman" w:eastAsia="宋体" w:hAnsi="Times New Roman" w:cs="宋体" w:hint="eastAsia"/>
          <w:b/>
          <w:bCs/>
          <w:color w:val="auto"/>
          <w:spacing w:val="-2"/>
          <w:sz w:val="24"/>
          <w:szCs w:val="24"/>
          <w:vertAlign w:val="subscript"/>
          <w:lang w:eastAsia="zh-CN"/>
        </w:rPr>
        <w:t>p</w:t>
      </w:r>
      <w:r>
        <w:rPr>
          <w:rFonts w:ascii="Times New Roman" w:eastAsia="宋体" w:hAnsi="Times New Roman" w:cs="宋体" w:hint="eastAsia"/>
          <w:b/>
          <w:bCs/>
          <w:color w:val="auto"/>
          <w:spacing w:val="-2"/>
          <w:sz w:val="24"/>
          <w:szCs w:val="24"/>
          <w:vertAlign w:val="superscript"/>
          <w:lang w:eastAsia="zh-CN"/>
        </w:rPr>
        <w:t>3</w:t>
      </w:r>
      <w:r>
        <w:rPr>
          <w:rFonts w:ascii="Times New Roman" w:eastAsia="宋体" w:hAnsi="Times New Roman" w:cs="宋体" w:hint="eastAsia"/>
          <w:b/>
          <w:bCs/>
          <w:color w:val="auto"/>
          <w:spacing w:val="-2"/>
          <w:sz w:val="24"/>
          <w:szCs w:val="24"/>
          <w:lang w:eastAsia="zh-CN"/>
        </w:rPr>
        <w:t>bs</w:t>
      </w:r>
      <w:r>
        <w:rPr>
          <w:rFonts w:ascii="Times New Roman" w:eastAsia="宋体" w:hAnsi="Times New Roman" w:cs="宋体" w:hint="eastAsia"/>
          <w:b/>
          <w:bCs/>
          <w:color w:val="auto"/>
          <w:spacing w:val="-2"/>
          <w:sz w:val="24"/>
          <w:szCs w:val="24"/>
          <w:lang w:eastAsia="zh-CN"/>
        </w:rPr>
        <w:t>）</w:t>
      </w:r>
    </w:p>
    <w:p w14:paraId="71EA1803"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13)</w:t>
      </w:r>
      <w:r>
        <w:rPr>
          <w:rFonts w:ascii="Times New Roman" w:eastAsia="宋体" w:hAnsi="Times New Roman" w:cs="宋体" w:hint="eastAsia"/>
          <w:color w:val="auto"/>
          <w:spacing w:val="-2"/>
          <w:sz w:val="24"/>
          <w:szCs w:val="24"/>
          <w:lang w:eastAsia="zh-CN"/>
        </w:rPr>
        <w:t>黏土（地层编号⑦</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）：青灰色、灰色，硬塑，呈致密块状，含少量贝壳碎屑。局部分布，</w:t>
      </w:r>
      <w:r>
        <w:rPr>
          <w:rFonts w:ascii="Times New Roman" w:eastAsia="宋体" w:hAnsi="Times New Roman" w:cs="宋体" w:hint="eastAsia"/>
          <w:color w:val="auto"/>
          <w:spacing w:val="-2"/>
          <w:sz w:val="24"/>
          <w:szCs w:val="24"/>
          <w:lang w:eastAsia="zh-CN"/>
        </w:rPr>
        <w:t>TZK3</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TZK7</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TZK8</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TZK9</w:t>
      </w:r>
      <w:r>
        <w:rPr>
          <w:rFonts w:ascii="Times New Roman" w:eastAsia="宋体" w:hAnsi="Times New Roman" w:cs="宋体" w:hint="eastAsia"/>
          <w:color w:val="auto"/>
          <w:spacing w:val="-2"/>
          <w:sz w:val="24"/>
          <w:szCs w:val="24"/>
          <w:lang w:eastAsia="zh-CN"/>
        </w:rPr>
        <w:t>等钻孔有揭露，钻探揭露厚度</w:t>
      </w:r>
      <w:r>
        <w:rPr>
          <w:rFonts w:ascii="Times New Roman" w:eastAsia="宋体" w:hAnsi="Times New Roman" w:cs="宋体" w:hint="eastAsia"/>
          <w:color w:val="auto"/>
          <w:spacing w:val="-2"/>
          <w:sz w:val="24"/>
          <w:szCs w:val="24"/>
          <w:lang w:eastAsia="zh-CN"/>
        </w:rPr>
        <w:t>10.00-16.30m</w:t>
      </w:r>
      <w:r>
        <w:rPr>
          <w:rFonts w:ascii="Times New Roman" w:eastAsia="宋体" w:hAnsi="Times New Roman" w:cs="宋体" w:hint="eastAsia"/>
          <w:color w:val="auto"/>
          <w:spacing w:val="-2"/>
          <w:sz w:val="24"/>
          <w:szCs w:val="24"/>
          <w:lang w:eastAsia="zh-CN"/>
        </w:rPr>
        <w:t>。</w:t>
      </w:r>
    </w:p>
    <w:p w14:paraId="3CA819AF"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14).</w:t>
      </w:r>
      <w:r>
        <w:rPr>
          <w:rFonts w:ascii="Times New Roman" w:eastAsia="宋体" w:hAnsi="Times New Roman" w:cs="宋体" w:hint="eastAsia"/>
          <w:color w:val="auto"/>
          <w:spacing w:val="-2"/>
          <w:sz w:val="24"/>
          <w:szCs w:val="24"/>
          <w:lang w:eastAsia="zh-CN"/>
        </w:rPr>
        <w:t>粗砂（地层编号⑧</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）：灰色、浅灰色，中密，饱和，砂质成分主要为石英及部分长石，含粒径</w:t>
      </w:r>
      <w:r>
        <w:rPr>
          <w:rFonts w:ascii="Times New Roman" w:eastAsia="宋体" w:hAnsi="Times New Roman" w:cs="宋体" w:hint="eastAsia"/>
          <w:color w:val="auto"/>
          <w:spacing w:val="-2"/>
          <w:sz w:val="24"/>
          <w:szCs w:val="24"/>
          <w:lang w:eastAsia="zh-CN"/>
        </w:rPr>
        <w:t>2-4mm</w:t>
      </w:r>
      <w:r>
        <w:rPr>
          <w:rFonts w:ascii="Times New Roman" w:eastAsia="宋体" w:hAnsi="Times New Roman" w:cs="宋体" w:hint="eastAsia"/>
          <w:color w:val="auto"/>
          <w:spacing w:val="-2"/>
          <w:sz w:val="24"/>
          <w:szCs w:val="24"/>
          <w:lang w:eastAsia="zh-CN"/>
        </w:rPr>
        <w:t>的砾石约</w:t>
      </w:r>
      <w:r>
        <w:rPr>
          <w:rFonts w:ascii="Times New Roman" w:eastAsia="宋体" w:hAnsi="Times New Roman" w:cs="宋体" w:hint="eastAsia"/>
          <w:color w:val="auto"/>
          <w:spacing w:val="-2"/>
          <w:sz w:val="24"/>
          <w:szCs w:val="24"/>
          <w:lang w:eastAsia="zh-CN"/>
        </w:rPr>
        <w:t>10%</w:t>
      </w:r>
      <w:r>
        <w:rPr>
          <w:rFonts w:ascii="Times New Roman" w:eastAsia="宋体" w:hAnsi="Times New Roman" w:cs="宋体" w:hint="eastAsia"/>
          <w:color w:val="auto"/>
          <w:spacing w:val="-2"/>
          <w:sz w:val="24"/>
          <w:szCs w:val="24"/>
          <w:lang w:eastAsia="zh-CN"/>
        </w:rPr>
        <w:t>，局部夹风化岩碎块，含泥质物</w:t>
      </w:r>
      <w:r>
        <w:rPr>
          <w:rFonts w:ascii="Times New Roman" w:eastAsia="宋体" w:hAnsi="Times New Roman" w:cs="宋体" w:hint="eastAsia"/>
          <w:color w:val="auto"/>
          <w:spacing w:val="-2"/>
          <w:sz w:val="24"/>
          <w:szCs w:val="24"/>
          <w:lang w:eastAsia="zh-CN"/>
        </w:rPr>
        <w:t>5-20%</w:t>
      </w:r>
      <w:r>
        <w:rPr>
          <w:rFonts w:ascii="Times New Roman" w:eastAsia="宋体" w:hAnsi="Times New Roman" w:cs="宋体" w:hint="eastAsia"/>
          <w:color w:val="auto"/>
          <w:spacing w:val="-2"/>
          <w:sz w:val="24"/>
          <w:szCs w:val="24"/>
          <w:lang w:eastAsia="zh-CN"/>
        </w:rPr>
        <w:t>。分布较零星，</w:t>
      </w:r>
      <w:r>
        <w:rPr>
          <w:rFonts w:ascii="Times New Roman" w:eastAsia="宋体" w:hAnsi="Times New Roman" w:cs="宋体" w:hint="eastAsia"/>
          <w:color w:val="auto"/>
          <w:spacing w:val="-2"/>
          <w:sz w:val="24"/>
          <w:szCs w:val="24"/>
          <w:lang w:eastAsia="zh-CN"/>
        </w:rPr>
        <w:lastRenderedPageBreak/>
        <w:t>TZK9</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ZK53</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ZK54</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ZK55</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ZK56</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ZK57</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ZK61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ZK62</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ZK100</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ZK101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ZK103</w:t>
      </w:r>
      <w:r>
        <w:rPr>
          <w:rFonts w:ascii="Times New Roman" w:eastAsia="宋体" w:hAnsi="Times New Roman" w:cs="宋体" w:hint="eastAsia"/>
          <w:color w:val="auto"/>
          <w:spacing w:val="-2"/>
          <w:sz w:val="24"/>
          <w:szCs w:val="24"/>
          <w:lang w:eastAsia="zh-CN"/>
        </w:rPr>
        <w:t>等钻孔有揭露，钻探揭露厚度</w:t>
      </w:r>
      <w:r>
        <w:rPr>
          <w:rFonts w:ascii="Times New Roman" w:eastAsia="宋体" w:hAnsi="Times New Roman" w:cs="宋体" w:hint="eastAsia"/>
          <w:color w:val="auto"/>
          <w:spacing w:val="-2"/>
          <w:sz w:val="24"/>
          <w:szCs w:val="24"/>
          <w:lang w:eastAsia="zh-CN"/>
        </w:rPr>
        <w:t>7.20-11.60m</w:t>
      </w:r>
      <w:r>
        <w:rPr>
          <w:rFonts w:ascii="Times New Roman" w:eastAsia="宋体" w:hAnsi="Times New Roman" w:cs="宋体" w:hint="eastAsia"/>
          <w:color w:val="auto"/>
          <w:spacing w:val="-2"/>
          <w:sz w:val="24"/>
          <w:szCs w:val="24"/>
          <w:lang w:eastAsia="zh-CN"/>
        </w:rPr>
        <w:t>。</w:t>
      </w:r>
    </w:p>
    <w:p w14:paraId="17EE2C50" w14:textId="77777777" w:rsidR="0075791A" w:rsidRDefault="00FB2864">
      <w:pPr>
        <w:spacing w:line="360" w:lineRule="auto"/>
        <w:ind w:firstLineChars="200" w:firstLine="478"/>
        <w:jc w:val="both"/>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color w:val="auto"/>
          <w:spacing w:val="-2"/>
          <w:sz w:val="24"/>
          <w:szCs w:val="24"/>
          <w:lang w:eastAsia="zh-CN"/>
        </w:rPr>
        <w:t>2.</w:t>
      </w:r>
      <w:r>
        <w:rPr>
          <w:rFonts w:ascii="Times New Roman" w:eastAsia="宋体" w:hAnsi="Times New Roman" w:cs="宋体" w:hint="eastAsia"/>
          <w:b/>
          <w:bCs/>
          <w:color w:val="auto"/>
          <w:spacing w:val="-2"/>
          <w:sz w:val="24"/>
          <w:szCs w:val="24"/>
          <w:lang w:eastAsia="zh-CN"/>
        </w:rPr>
        <w:t>不良地质与特殊性岩土</w:t>
      </w:r>
    </w:p>
    <w:p w14:paraId="2726B575"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不良地质：根据地质调绘和勘察成果，场地区未见滑坡、崩塌、泥石流、采空区等不良地质现象，未发现埋藏的古河道、沟浜、墓穴、防空洞等对工程不利的埋藏物，不良地</w:t>
      </w:r>
      <w:r>
        <w:rPr>
          <w:rFonts w:ascii="Times New Roman" w:eastAsia="宋体" w:hAnsi="Times New Roman" w:cs="宋体" w:hint="eastAsia"/>
          <w:color w:val="auto"/>
          <w:spacing w:val="-2"/>
          <w:sz w:val="24"/>
          <w:szCs w:val="24"/>
          <w:lang w:eastAsia="zh-CN"/>
        </w:rPr>
        <w:t>质不发育。特殊性岩土：根据地质调查及勘探成果，场地区特殊性岩土为填土、软土。填土主要为素填土①</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，稍密，主要由中砂、细砂组成，含贝壳碎屑、粉质黏土</w:t>
      </w:r>
      <w:r>
        <w:rPr>
          <w:rFonts w:ascii="Times New Roman" w:eastAsia="宋体" w:hAnsi="Times New Roman" w:cs="宋体" w:hint="eastAsia"/>
          <w:color w:val="auto"/>
          <w:spacing w:val="-2"/>
          <w:sz w:val="24"/>
          <w:szCs w:val="24"/>
          <w:lang w:eastAsia="zh-CN"/>
        </w:rPr>
        <w:t>5-20%</w:t>
      </w:r>
      <w:r>
        <w:rPr>
          <w:rFonts w:ascii="Times New Roman" w:eastAsia="宋体" w:hAnsi="Times New Roman" w:cs="宋体" w:hint="eastAsia"/>
          <w:color w:val="auto"/>
          <w:spacing w:val="-2"/>
          <w:sz w:val="24"/>
          <w:szCs w:val="24"/>
          <w:lang w:eastAsia="zh-CN"/>
        </w:rPr>
        <w:t>，为水塘堤基及机耕道路路堤填土，分布于场地区原水塘堤基、河道堤岸及机耕道路路堤，厚度一般</w:t>
      </w:r>
      <w:r>
        <w:rPr>
          <w:rFonts w:ascii="Times New Roman" w:eastAsia="宋体" w:hAnsi="Times New Roman" w:cs="宋体" w:hint="eastAsia"/>
          <w:color w:val="auto"/>
          <w:spacing w:val="-2"/>
          <w:sz w:val="24"/>
          <w:szCs w:val="24"/>
          <w:lang w:eastAsia="zh-CN"/>
        </w:rPr>
        <w:t>0.40-4.90m</w:t>
      </w:r>
      <w:r>
        <w:rPr>
          <w:rFonts w:ascii="Times New Roman" w:eastAsia="宋体" w:hAnsi="Times New Roman" w:cs="宋体" w:hint="eastAsia"/>
          <w:color w:val="auto"/>
          <w:spacing w:val="-2"/>
          <w:sz w:val="24"/>
          <w:szCs w:val="24"/>
          <w:lang w:eastAsia="zh-CN"/>
        </w:rPr>
        <w:t>。软土：主要为淤泥质黏土②</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。淤泥质黏土②</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，灰黑色，软塑，含细砂</w:t>
      </w:r>
      <w:r>
        <w:rPr>
          <w:rFonts w:ascii="Times New Roman" w:eastAsia="宋体" w:hAnsi="Times New Roman" w:cs="宋体" w:hint="eastAsia"/>
          <w:color w:val="auto"/>
          <w:spacing w:val="-2"/>
          <w:sz w:val="24"/>
          <w:szCs w:val="24"/>
          <w:lang w:eastAsia="zh-CN"/>
        </w:rPr>
        <w:t>10-20%</w:t>
      </w:r>
      <w:r>
        <w:rPr>
          <w:rFonts w:ascii="Times New Roman" w:eastAsia="宋体" w:hAnsi="Times New Roman" w:cs="宋体" w:hint="eastAsia"/>
          <w:color w:val="auto"/>
          <w:spacing w:val="-2"/>
          <w:sz w:val="24"/>
          <w:szCs w:val="24"/>
          <w:lang w:eastAsia="zh-CN"/>
        </w:rPr>
        <w:t>，含少量有机质，有腥臭味，零星分布于原水塘及海港港湾边，厚度</w:t>
      </w:r>
      <w:r>
        <w:rPr>
          <w:rFonts w:ascii="Times New Roman" w:eastAsia="宋体" w:hAnsi="Times New Roman" w:cs="宋体" w:hint="eastAsia"/>
          <w:color w:val="auto"/>
          <w:spacing w:val="-2"/>
          <w:sz w:val="24"/>
          <w:szCs w:val="24"/>
          <w:lang w:eastAsia="zh-CN"/>
        </w:rPr>
        <w:t>1.40-10.70m</w:t>
      </w:r>
      <w:r>
        <w:rPr>
          <w:rFonts w:ascii="Times New Roman" w:eastAsia="宋体" w:hAnsi="Times New Roman" w:cs="宋体" w:hint="eastAsia"/>
          <w:color w:val="auto"/>
          <w:spacing w:val="-2"/>
          <w:sz w:val="24"/>
          <w:szCs w:val="24"/>
          <w:lang w:eastAsia="zh-CN"/>
        </w:rPr>
        <w:t>。</w:t>
      </w:r>
    </w:p>
    <w:p w14:paraId="130C0C6B" w14:textId="77777777" w:rsidR="0075791A" w:rsidRDefault="00FB2864">
      <w:pPr>
        <w:spacing w:line="360" w:lineRule="auto"/>
        <w:ind w:firstLineChars="200" w:firstLine="478"/>
        <w:jc w:val="both"/>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color w:val="auto"/>
          <w:spacing w:val="-2"/>
          <w:sz w:val="24"/>
          <w:szCs w:val="24"/>
          <w:lang w:eastAsia="zh-CN"/>
        </w:rPr>
        <w:t>3.</w:t>
      </w:r>
      <w:r>
        <w:rPr>
          <w:rFonts w:ascii="Times New Roman" w:eastAsia="宋体" w:hAnsi="Times New Roman" w:cs="宋体" w:hint="eastAsia"/>
          <w:b/>
          <w:bCs/>
          <w:color w:val="auto"/>
          <w:spacing w:val="-2"/>
          <w:sz w:val="24"/>
          <w:szCs w:val="24"/>
          <w:lang w:eastAsia="zh-CN"/>
        </w:rPr>
        <w:t>地震与地震效应</w:t>
      </w:r>
    </w:p>
    <w:p w14:paraId="50452037"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w:t>
      </w:r>
      <w:r>
        <w:rPr>
          <w:rFonts w:ascii="Times New Roman" w:eastAsia="宋体" w:hAnsi="Times New Roman" w:cs="宋体" w:hint="eastAsia"/>
          <w:color w:val="auto"/>
          <w:spacing w:val="-2"/>
          <w:sz w:val="24"/>
          <w:szCs w:val="24"/>
          <w:lang w:eastAsia="zh-CN"/>
        </w:rPr>
        <w:t>1:400</w:t>
      </w:r>
      <w:r>
        <w:rPr>
          <w:rFonts w:ascii="Times New Roman" w:eastAsia="宋体" w:hAnsi="Times New Roman" w:cs="宋体" w:hint="eastAsia"/>
          <w:color w:val="auto"/>
          <w:spacing w:val="-2"/>
          <w:sz w:val="24"/>
          <w:szCs w:val="24"/>
          <w:lang w:eastAsia="zh-CN"/>
        </w:rPr>
        <w:t>万《中国地震动参数区划图》</w:t>
      </w:r>
      <w:r>
        <w:rPr>
          <w:rFonts w:ascii="Times New Roman" w:eastAsia="宋体" w:hAnsi="Times New Roman" w:cs="宋体" w:hint="eastAsia"/>
          <w:color w:val="auto"/>
          <w:spacing w:val="-2"/>
          <w:sz w:val="24"/>
          <w:szCs w:val="24"/>
          <w:lang w:eastAsia="zh-CN"/>
        </w:rPr>
        <w:t>(GB18306-201</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hint="eastAsia"/>
          <w:color w:val="auto"/>
          <w:spacing w:val="-2"/>
          <w:sz w:val="24"/>
          <w:szCs w:val="24"/>
          <w:lang w:eastAsia="zh-CN"/>
        </w:rPr>
        <w:t>，场地区Ⅱ类场地基本地震动峰值加速度为</w:t>
      </w:r>
      <w:r>
        <w:rPr>
          <w:rFonts w:ascii="Times New Roman" w:eastAsia="宋体" w:hAnsi="Times New Roman" w:cs="宋体" w:hint="eastAsia"/>
          <w:color w:val="auto"/>
          <w:spacing w:val="-2"/>
          <w:sz w:val="24"/>
          <w:szCs w:val="24"/>
          <w:lang w:eastAsia="zh-CN"/>
        </w:rPr>
        <w:t>0.05g</w:t>
      </w:r>
      <w:r>
        <w:rPr>
          <w:rFonts w:ascii="Times New Roman" w:eastAsia="宋体" w:hAnsi="Times New Roman" w:cs="宋体" w:hint="eastAsia"/>
          <w:color w:val="auto"/>
          <w:spacing w:val="-2"/>
          <w:sz w:val="24"/>
          <w:szCs w:val="24"/>
          <w:lang w:eastAsia="zh-CN"/>
        </w:rPr>
        <w:t>，基本地震动反应谱特征周期为</w:t>
      </w:r>
      <w:r>
        <w:rPr>
          <w:rFonts w:ascii="Times New Roman" w:eastAsia="宋体" w:hAnsi="Times New Roman" w:cs="宋体" w:hint="eastAsia"/>
          <w:color w:val="auto"/>
          <w:spacing w:val="-2"/>
          <w:sz w:val="24"/>
          <w:szCs w:val="24"/>
          <w:lang w:eastAsia="zh-CN"/>
        </w:rPr>
        <w:t>0.35s</w:t>
      </w:r>
      <w:r>
        <w:rPr>
          <w:rFonts w:ascii="Times New Roman" w:eastAsia="宋体" w:hAnsi="Times New Roman" w:cs="宋体" w:hint="eastAsia"/>
          <w:color w:val="auto"/>
          <w:spacing w:val="-2"/>
          <w:sz w:val="24"/>
          <w:szCs w:val="24"/>
          <w:lang w:eastAsia="zh-CN"/>
        </w:rPr>
        <w:t>，对应的地震抗震设防烈度为Ⅵ度。设计地震分组为第一组。</w:t>
      </w:r>
    </w:p>
    <w:p w14:paraId="06F1B26E"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根据钻探成果，结合区域地质资料，经计算，场地土层平均等效剪切波速</w:t>
      </w:r>
      <w:r>
        <w:rPr>
          <w:rFonts w:ascii="Times New Roman" w:eastAsia="宋体" w:hAnsi="Times New Roman" w:cs="宋体" w:hint="eastAsia"/>
          <w:color w:val="auto"/>
          <w:spacing w:val="-2"/>
          <w:sz w:val="24"/>
          <w:szCs w:val="24"/>
          <w:lang w:eastAsia="zh-CN"/>
        </w:rPr>
        <w:t>Vse=197.5m/s</w:t>
      </w:r>
      <w:r>
        <w:rPr>
          <w:rFonts w:ascii="Times New Roman" w:eastAsia="宋体" w:hAnsi="Times New Roman" w:cs="宋体" w:hint="eastAsia"/>
          <w:color w:val="auto"/>
          <w:spacing w:val="-2"/>
          <w:sz w:val="24"/>
          <w:szCs w:val="24"/>
          <w:lang w:eastAsia="zh-CN"/>
        </w:rPr>
        <w:t>，场地区覆盖层厚度＞</w:t>
      </w:r>
      <w:r>
        <w:rPr>
          <w:rFonts w:ascii="Times New Roman" w:eastAsia="宋体" w:hAnsi="Times New Roman" w:cs="宋体" w:hint="eastAsia"/>
          <w:color w:val="auto"/>
          <w:spacing w:val="-2"/>
          <w:sz w:val="24"/>
          <w:szCs w:val="24"/>
          <w:lang w:eastAsia="zh-CN"/>
        </w:rPr>
        <w:t>50m</w:t>
      </w:r>
      <w:r>
        <w:rPr>
          <w:rFonts w:ascii="Times New Roman" w:eastAsia="宋体" w:hAnsi="Times New Roman" w:cs="宋体" w:hint="eastAsia"/>
          <w:color w:val="auto"/>
          <w:spacing w:val="-2"/>
          <w:sz w:val="24"/>
          <w:szCs w:val="24"/>
          <w:lang w:eastAsia="zh-CN"/>
        </w:rPr>
        <w:t>，综合判断，该场地土的类型为中软土，场地类别为Ⅲ类。</w:t>
      </w:r>
    </w:p>
    <w:p w14:paraId="0156CE47"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场地内饱和砂土主要为全新统的细砂及中砂，本项目建筑抗震设防烈度为Ⅵ度，可不进行液化判别和处理，可不考虑液化影响。</w:t>
      </w:r>
    </w:p>
    <w:p w14:paraId="7A3422A0" w14:textId="77777777" w:rsidR="0075791A" w:rsidRDefault="00FB2864">
      <w:pPr>
        <w:spacing w:line="360" w:lineRule="auto"/>
        <w:ind w:firstLineChars="200" w:firstLine="478"/>
        <w:jc w:val="both"/>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color w:val="auto"/>
          <w:spacing w:val="-2"/>
          <w:sz w:val="24"/>
          <w:szCs w:val="24"/>
          <w:lang w:eastAsia="zh-CN"/>
        </w:rPr>
        <w:t>4.</w:t>
      </w:r>
      <w:r>
        <w:rPr>
          <w:rFonts w:ascii="Times New Roman" w:eastAsia="宋体" w:hAnsi="Times New Roman" w:cs="宋体" w:hint="eastAsia"/>
          <w:b/>
          <w:bCs/>
          <w:color w:val="auto"/>
          <w:spacing w:val="-2"/>
          <w:sz w:val="24"/>
          <w:szCs w:val="24"/>
          <w:lang w:eastAsia="zh-CN"/>
        </w:rPr>
        <w:t>水文地质</w:t>
      </w:r>
    </w:p>
    <w:p w14:paraId="3D21541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地表水：场地区地表水主要为铁炉港港湾地表海水，潮汐性质为不规则日潮混合潮型，以日潮为主，潮流涨落变化较大，对场地及基础施工有较大影响，建议密切关注潮汐变化，并做好相应的防护措施；场地区地表水其次为大气降水形成的地表暂时性水流，雨季水量较大，旱季干涸，雨骤旱酷，雨急风大，雨季地表水对场地及基础施工有较大影响，建议做好地表水的疏排工作。地下水：场地地下水主要为赋存于细砂、中砂及粗砂层中的孔隙潜水，与地表海水的水力联系极其密切，水位、水量随地表海水的涨潮落潮的变化而波动，同时也随季节性降水的变化发生变化，其含水层</w:t>
      </w:r>
      <w:r>
        <w:rPr>
          <w:rFonts w:ascii="Times New Roman" w:eastAsia="宋体" w:hAnsi="Times New Roman" w:cs="宋体" w:hint="eastAsia"/>
          <w:color w:val="auto"/>
          <w:spacing w:val="-2"/>
          <w:sz w:val="24"/>
          <w:szCs w:val="24"/>
          <w:lang w:eastAsia="zh-CN"/>
        </w:rPr>
        <w:t>的含水性、透水性较好，地下水水位高，水量大，积水浸泡会造成地基土崩解软化强度降低，基坑开挖降低地下水位易发生管涌、流砂等土的渗透变形破坏。</w:t>
      </w:r>
    </w:p>
    <w:p w14:paraId="42A4581D"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lastRenderedPageBreak/>
        <w:t>场地环境水对混凝土结构的腐蚀等级为硫酸盐型强腐蚀，对钢筋混凝土结构中钢筋的腐蚀等级为中等腐蚀；场地土对混凝土结构的腐蚀等级为硫酸盐型弱腐蚀，对钢筋混凝土结构中钢筋的腐蚀等级为中等腐蚀。</w:t>
      </w:r>
    </w:p>
    <w:p w14:paraId="35D5353D"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根据区域地质资料和本次勘察成果，拟建项目所在区域地质构造属于琼南拱断隆起构造区，地质构造以华夏纬向构造体系为格架，由华夏、新华夏等构造系复合形成了本区的特征，地壳呈稳定状态或微弱上升趋势</w:t>
      </w:r>
      <w:r>
        <w:rPr>
          <w:rFonts w:ascii="Times New Roman" w:eastAsia="宋体" w:hAnsi="Times New Roman" w:cs="宋体" w:hint="eastAsia"/>
          <w:color w:val="auto"/>
          <w:spacing w:val="-2"/>
          <w:sz w:val="24"/>
          <w:szCs w:val="24"/>
          <w:lang w:eastAsia="zh-CN"/>
        </w:rPr>
        <w:t>，地壳相对稳定，新构造运动微弱；场地区上部覆盖层为第四系沉积层，下部基岩为白垩系上统（</w:t>
      </w:r>
      <w:r>
        <w:rPr>
          <w:rFonts w:ascii="Times New Roman" w:eastAsia="宋体" w:hAnsi="Times New Roman" w:cs="宋体" w:hint="eastAsia"/>
          <w:color w:val="auto"/>
          <w:spacing w:val="-2"/>
          <w:sz w:val="24"/>
          <w:szCs w:val="24"/>
          <w:lang w:eastAsia="zh-CN"/>
        </w:rPr>
        <w:t>K1</w:t>
      </w:r>
      <w:r>
        <w:rPr>
          <w:rFonts w:ascii="Times New Roman" w:eastAsia="宋体" w:hAnsi="Times New Roman" w:cs="宋体" w:hint="eastAsia"/>
          <w:color w:val="auto"/>
          <w:spacing w:val="-2"/>
          <w:sz w:val="24"/>
          <w:szCs w:val="24"/>
          <w:lang w:eastAsia="zh-CN"/>
        </w:rPr>
        <w:t>ηγ）黑云母角闪石二长花岗岩，断裂构造对本项目基本没有影响；场地区未见有影响场地稳定的活动断裂构造；区域地质稳定。</w:t>
      </w:r>
    </w:p>
    <w:p w14:paraId="4F6843C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场地区未见滑坡、崩塌、泥石流、采空区等不良地质现象，不良地质不发育；场地区岸坡高度不大，边坡对场区稳定性影响很小；场地为抗震一般地段，可不考虑液化及震陷影响，地震诱发场地滑坡、崩塌的可能性不大；场地为较稳定场地。场地区未见埋藏的河道、沟浜、采空区等不利埋藏物，地基为稳定地基。综上所述，场地稳定性可划为基本</w:t>
      </w:r>
      <w:r>
        <w:rPr>
          <w:rFonts w:ascii="Times New Roman" w:eastAsia="宋体" w:hAnsi="Times New Roman" w:cs="宋体" w:hint="eastAsia"/>
          <w:color w:val="auto"/>
          <w:spacing w:val="-2"/>
          <w:sz w:val="24"/>
          <w:szCs w:val="24"/>
          <w:lang w:eastAsia="zh-CN"/>
        </w:rPr>
        <w:t>稳定场地。</w:t>
      </w:r>
    </w:p>
    <w:p w14:paraId="6DFDAC64" w14:textId="77777777" w:rsidR="0075791A" w:rsidRDefault="0075791A">
      <w:pPr>
        <w:spacing w:line="360" w:lineRule="auto"/>
        <w:ind w:firstLineChars="200" w:firstLine="476"/>
        <w:jc w:val="both"/>
        <w:rPr>
          <w:rFonts w:ascii="Times New Roman" w:eastAsia="宋体" w:hAnsi="Times New Roman" w:cs="宋体"/>
          <w:color w:val="auto"/>
          <w:spacing w:val="-2"/>
          <w:sz w:val="24"/>
          <w:szCs w:val="24"/>
          <w:lang w:eastAsia="zh-CN"/>
        </w:rPr>
      </w:pPr>
    </w:p>
    <w:p w14:paraId="37CB7CE1"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170" w:name="_Toc24298"/>
      <w:r>
        <w:rPr>
          <w:rFonts w:ascii="Times New Roman" w:eastAsia="Times New Roman" w:hAnsi="Times New Roman" w:cs="Times New Roman" w:hint="eastAsia"/>
          <w:b/>
          <w:bCs/>
          <w:color w:val="auto"/>
          <w:spacing w:val="-3"/>
          <w:sz w:val="28"/>
          <w:szCs w:val="28"/>
          <w:lang w:eastAsia="zh-CN"/>
        </w:rPr>
        <w:t>3.2.5海洋环境现状</w:t>
      </w:r>
      <w:bookmarkEnd w:id="170"/>
    </w:p>
    <w:p w14:paraId="148283A8"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bookmarkStart w:id="171" w:name="OLE_LINK5"/>
      <w:r>
        <w:rPr>
          <w:rFonts w:ascii="Times New Roman" w:eastAsia="宋体" w:hAnsi="Times New Roman" w:cs="宋体" w:hint="eastAsia"/>
          <w:color w:val="auto"/>
          <w:spacing w:val="-2"/>
          <w:sz w:val="24"/>
          <w:szCs w:val="24"/>
          <w:lang w:eastAsia="zh-CN"/>
        </w:rPr>
        <w:t>本项目论证范围内海洋环境现状以收集历史资料为主。</w:t>
      </w:r>
    </w:p>
    <w:p w14:paraId="6E01752F" w14:textId="77777777" w:rsidR="0075791A" w:rsidRDefault="00FB2864">
      <w:pPr>
        <w:spacing w:before="34" w:line="360" w:lineRule="auto"/>
        <w:ind w:left="5"/>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3.2.5.1</w:t>
      </w:r>
      <w:r>
        <w:rPr>
          <w:rFonts w:ascii="Times New Roman" w:eastAsia="宋体" w:hAnsi="Times New Roman" w:hint="eastAsia"/>
          <w:b/>
          <w:color w:val="auto"/>
          <w:sz w:val="24"/>
          <w:szCs w:val="24"/>
          <w:lang w:eastAsia="zh-CN"/>
        </w:rPr>
        <w:t>水质调查（秋季）</w:t>
      </w:r>
    </w:p>
    <w:p w14:paraId="48F96BE8" w14:textId="77777777" w:rsidR="0075791A" w:rsidRDefault="00FB2864">
      <w:pPr>
        <w:widowControl w:val="0"/>
        <w:kinsoku/>
        <w:adjustRightInd/>
        <w:snapToGrid/>
        <w:spacing w:line="360" w:lineRule="auto"/>
        <w:ind w:firstLineChars="200" w:firstLine="482"/>
        <w:jc w:val="both"/>
        <w:textAlignment w:val="auto"/>
        <w:rPr>
          <w:rFonts w:ascii="Times New Roman" w:eastAsia="Times New Roman" w:hAnsi="Times New Roman" w:cs="Times New Roman"/>
          <w:b/>
          <w:bCs/>
          <w:snapToGrid/>
          <w:color w:val="auto"/>
          <w:kern w:val="2"/>
          <w:sz w:val="24"/>
          <w:szCs w:val="24"/>
          <w:lang w:eastAsia="zh-CN"/>
        </w:rPr>
      </w:pPr>
      <w:r>
        <w:rPr>
          <w:rFonts w:ascii="Times New Roman" w:eastAsia="Times New Roman" w:hAnsi="Times New Roman" w:cs="Times New Roman" w:hint="eastAsia"/>
          <w:b/>
          <w:bCs/>
          <w:snapToGrid/>
          <w:color w:val="auto"/>
          <w:kern w:val="2"/>
          <w:sz w:val="24"/>
          <w:szCs w:val="24"/>
          <w:lang w:eastAsia="zh-CN"/>
        </w:rPr>
        <w:t>1、秋季水质调查结果</w:t>
      </w:r>
    </w:p>
    <w:bookmarkEnd w:id="171"/>
    <w:p w14:paraId="23AD8969"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）调查站位</w:t>
      </w:r>
    </w:p>
    <w:p w14:paraId="537D4AB9"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海南绿屿环境科技有限公司于</w:t>
      </w: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11</w:t>
      </w:r>
      <w:r>
        <w:rPr>
          <w:rFonts w:ascii="Times New Roman" w:eastAsia="宋体" w:hAnsi="Times New Roman" w:cs="Times New Roman" w:hint="eastAsia"/>
          <w:snapToGrid/>
          <w:color w:val="auto"/>
          <w:kern w:val="2"/>
          <w:sz w:val="24"/>
          <w:szCs w:val="24"/>
          <w:lang w:eastAsia="zh-CN"/>
        </w:rPr>
        <w:t>月</w:t>
      </w:r>
      <w:r>
        <w:rPr>
          <w:rFonts w:ascii="Times New Roman" w:eastAsia="宋体" w:hAnsi="Times New Roman" w:cs="Times New Roman" w:hint="eastAsia"/>
          <w:snapToGrid/>
          <w:color w:val="auto"/>
          <w:kern w:val="2"/>
          <w:sz w:val="24"/>
          <w:szCs w:val="24"/>
          <w:lang w:eastAsia="zh-CN"/>
        </w:rPr>
        <w:t>03-04</w:t>
      </w:r>
      <w:r>
        <w:rPr>
          <w:rFonts w:ascii="Times New Roman" w:eastAsia="宋体" w:hAnsi="Times New Roman" w:cs="Times New Roman" w:hint="eastAsia"/>
          <w:snapToGrid/>
          <w:color w:val="auto"/>
          <w:kern w:val="2"/>
          <w:sz w:val="24"/>
          <w:szCs w:val="24"/>
          <w:lang w:eastAsia="zh-CN"/>
        </w:rPr>
        <w:t>日在铁炉港附近海域开展现状调查，海水水质调查站位</w:t>
      </w:r>
      <w:r>
        <w:rPr>
          <w:rFonts w:ascii="Times New Roman" w:eastAsia="宋体" w:hAnsi="Times New Roman" w:cs="Times New Roman" w:hint="eastAsia"/>
          <w:snapToGrid/>
          <w:color w:val="auto"/>
          <w:kern w:val="2"/>
          <w:sz w:val="24"/>
          <w:szCs w:val="24"/>
          <w:lang w:eastAsia="zh-CN"/>
        </w:rPr>
        <w:t>12</w:t>
      </w:r>
      <w:r>
        <w:rPr>
          <w:rFonts w:ascii="Times New Roman" w:eastAsia="宋体" w:hAnsi="Times New Roman" w:cs="Times New Roman" w:hint="eastAsia"/>
          <w:snapToGrid/>
          <w:color w:val="auto"/>
          <w:kern w:val="2"/>
          <w:sz w:val="24"/>
          <w:szCs w:val="24"/>
          <w:lang w:eastAsia="zh-CN"/>
        </w:rPr>
        <w:t>个；海南省海洋与渔业科学院</w:t>
      </w: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月</w:t>
      </w:r>
      <w:r>
        <w:rPr>
          <w:rFonts w:ascii="Times New Roman" w:eastAsia="宋体" w:hAnsi="Times New Roman" w:cs="Times New Roman" w:hint="eastAsia"/>
          <w:snapToGrid/>
          <w:color w:val="auto"/>
          <w:kern w:val="2"/>
          <w:sz w:val="24"/>
          <w:szCs w:val="24"/>
          <w:lang w:eastAsia="zh-CN"/>
        </w:rPr>
        <w:t>25-26</w:t>
      </w:r>
      <w:r>
        <w:rPr>
          <w:rFonts w:ascii="Times New Roman" w:eastAsia="宋体" w:hAnsi="Times New Roman" w:cs="Times New Roman" w:hint="eastAsia"/>
          <w:snapToGrid/>
          <w:color w:val="auto"/>
          <w:kern w:val="2"/>
          <w:sz w:val="24"/>
          <w:szCs w:val="24"/>
          <w:lang w:eastAsia="zh-CN"/>
        </w:rPr>
        <w:t>日在海棠湾附近海域开展海洋环境现状调查，海水水质调查站位</w:t>
      </w:r>
      <w:r>
        <w:rPr>
          <w:rFonts w:ascii="Times New Roman" w:eastAsia="宋体" w:hAnsi="Times New Roman" w:cs="Times New Roman" w:hint="eastAsia"/>
          <w:snapToGrid/>
          <w:color w:val="auto"/>
          <w:kern w:val="2"/>
          <w:sz w:val="24"/>
          <w:szCs w:val="24"/>
          <w:lang w:eastAsia="zh-CN"/>
        </w:rPr>
        <w:t>12</w:t>
      </w:r>
      <w:r>
        <w:rPr>
          <w:rFonts w:ascii="Times New Roman" w:eastAsia="宋体" w:hAnsi="Times New Roman" w:cs="Times New Roman" w:hint="eastAsia"/>
          <w:snapToGrid/>
          <w:color w:val="auto"/>
          <w:kern w:val="2"/>
          <w:sz w:val="24"/>
          <w:szCs w:val="24"/>
          <w:lang w:eastAsia="zh-CN"/>
        </w:rPr>
        <w:t>个，即利用秋季</w:t>
      </w:r>
      <w:r>
        <w:rPr>
          <w:rFonts w:ascii="Times New Roman" w:eastAsia="宋体" w:hAnsi="Times New Roman" w:cs="Times New Roman" w:hint="eastAsia"/>
          <w:snapToGrid/>
          <w:color w:val="auto"/>
          <w:kern w:val="2"/>
          <w:sz w:val="24"/>
          <w:szCs w:val="24"/>
          <w:lang w:eastAsia="zh-CN"/>
        </w:rPr>
        <w:t>24</w:t>
      </w:r>
      <w:r>
        <w:rPr>
          <w:rFonts w:ascii="Times New Roman" w:eastAsia="宋体" w:hAnsi="Times New Roman" w:cs="Times New Roman" w:hint="eastAsia"/>
          <w:snapToGrid/>
          <w:color w:val="auto"/>
          <w:kern w:val="2"/>
          <w:sz w:val="24"/>
          <w:szCs w:val="24"/>
          <w:lang w:eastAsia="zh-CN"/>
        </w:rPr>
        <w:t>个站位用以评价该功能区内的水质现状，调查站位坐标及位置详见表</w:t>
      </w:r>
      <w:r>
        <w:rPr>
          <w:rFonts w:ascii="Times New Roman" w:eastAsia="宋体" w:hAnsi="Times New Roman" w:cs="Times New Roman" w:hint="eastAsia"/>
          <w:snapToGrid/>
          <w:color w:val="auto"/>
          <w:kern w:val="2"/>
          <w:sz w:val="24"/>
          <w:szCs w:val="24"/>
          <w:lang w:eastAsia="zh-CN"/>
        </w:rPr>
        <w:t>3.2.5-1</w:t>
      </w:r>
      <w:r>
        <w:rPr>
          <w:rFonts w:ascii="Times New Roman" w:eastAsia="宋体" w:hAnsi="Times New Roman" w:cs="Times New Roman" w:hint="eastAsia"/>
          <w:snapToGrid/>
          <w:color w:val="auto"/>
          <w:kern w:val="2"/>
          <w:sz w:val="24"/>
          <w:szCs w:val="24"/>
          <w:lang w:eastAsia="zh-CN"/>
        </w:rPr>
        <w:t>和图</w:t>
      </w:r>
      <w:r>
        <w:rPr>
          <w:rFonts w:ascii="Times New Roman" w:eastAsia="宋体" w:hAnsi="Times New Roman" w:cs="Times New Roman" w:hint="eastAsia"/>
          <w:snapToGrid/>
          <w:color w:val="auto"/>
          <w:kern w:val="2"/>
          <w:sz w:val="24"/>
          <w:szCs w:val="24"/>
          <w:lang w:eastAsia="zh-CN"/>
        </w:rPr>
        <w:t>3.2.5-1</w:t>
      </w:r>
      <w:r>
        <w:rPr>
          <w:rFonts w:ascii="Times New Roman" w:eastAsia="宋体" w:hAnsi="Times New Roman" w:cs="Times New Roman" w:hint="eastAsia"/>
          <w:snapToGrid/>
          <w:color w:val="auto"/>
          <w:kern w:val="2"/>
          <w:sz w:val="24"/>
          <w:szCs w:val="24"/>
          <w:lang w:eastAsia="zh-CN"/>
        </w:rPr>
        <w:t>。</w:t>
      </w:r>
    </w:p>
    <w:p w14:paraId="08A88349" w14:textId="77777777" w:rsidR="0075791A" w:rsidRDefault="0075791A">
      <w:pPr>
        <w:jc w:val="center"/>
        <w:rPr>
          <w:rFonts w:ascii="Times New Roman" w:eastAsia="宋体" w:hAnsi="Times New Roman" w:cs="Times New Roman"/>
          <w:color w:val="auto"/>
          <w:sz w:val="24"/>
          <w:szCs w:val="24"/>
          <w:lang w:eastAsia="zh-CN"/>
        </w:rPr>
      </w:pPr>
    </w:p>
    <w:p w14:paraId="43C14676" w14:textId="77777777" w:rsidR="0075791A" w:rsidRDefault="00FB2864">
      <w:pPr>
        <w:widowControl w:val="0"/>
        <w:kinsoku/>
        <w:adjustRightInd/>
        <w:snapToGrid/>
        <w:spacing w:line="360" w:lineRule="auto"/>
        <w:ind w:firstLineChars="200" w:firstLine="480"/>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图</w:t>
      </w:r>
      <w:r>
        <w:rPr>
          <w:rFonts w:ascii="Times New Roman" w:eastAsia="宋体" w:hAnsi="Times New Roman" w:cs="Times New Roman" w:hint="eastAsia"/>
          <w:snapToGrid/>
          <w:color w:val="auto"/>
          <w:kern w:val="2"/>
          <w:sz w:val="24"/>
          <w:szCs w:val="24"/>
          <w:lang w:eastAsia="zh-CN"/>
        </w:rPr>
        <w:t xml:space="preserve">3.2.5-1 </w:t>
      </w:r>
      <w:r>
        <w:rPr>
          <w:rFonts w:ascii="Times New Roman" w:eastAsia="宋体" w:hAnsi="Times New Roman" w:cs="Times New Roman"/>
          <w:snapToGrid/>
          <w:color w:val="auto"/>
          <w:kern w:val="2"/>
          <w:sz w:val="24"/>
          <w:szCs w:val="24"/>
          <w:lang w:eastAsia="zh-CN"/>
        </w:rPr>
        <w:t>调查站位图</w:t>
      </w:r>
    </w:p>
    <w:p w14:paraId="68B8E685" w14:textId="77777777" w:rsidR="0075791A" w:rsidRDefault="00FB2864">
      <w:pPr>
        <w:widowControl w:val="0"/>
        <w:kinsoku/>
        <w:adjustRightInd/>
        <w:snapToGrid/>
        <w:ind w:firstLineChars="200" w:firstLine="480"/>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 xml:space="preserve">3.2.5-1 </w:t>
      </w:r>
      <w:r>
        <w:rPr>
          <w:rFonts w:ascii="Times New Roman" w:eastAsia="宋体" w:hAnsi="Times New Roman" w:cs="Times New Roman" w:hint="eastAsia"/>
          <w:snapToGrid/>
          <w:color w:val="auto"/>
          <w:kern w:val="2"/>
          <w:sz w:val="24"/>
          <w:szCs w:val="24"/>
          <w:lang w:eastAsia="zh-CN"/>
        </w:rPr>
        <w:t>水质调查站位</w:t>
      </w:r>
    </w:p>
    <w:tbl>
      <w:tblPr>
        <w:tblStyle w:val="ad"/>
        <w:tblW w:w="4234" w:type="pct"/>
        <w:jc w:val="center"/>
        <w:tblLook w:val="04A0" w:firstRow="1" w:lastRow="0" w:firstColumn="1" w:lastColumn="0" w:noHBand="0" w:noVBand="1"/>
      </w:tblPr>
      <w:tblGrid>
        <w:gridCol w:w="1522"/>
        <w:gridCol w:w="2409"/>
        <w:gridCol w:w="2372"/>
        <w:gridCol w:w="1615"/>
      </w:tblGrid>
      <w:tr w:rsidR="0075791A" w14:paraId="3382D2DB" w14:textId="77777777">
        <w:trPr>
          <w:trHeight w:val="283"/>
          <w:tblHeader/>
          <w:jc w:val="center"/>
        </w:trPr>
        <w:tc>
          <w:tcPr>
            <w:tcW w:w="1523" w:type="dxa"/>
            <w:vAlign w:val="center"/>
          </w:tcPr>
          <w:p w14:paraId="18706B5D" w14:textId="77777777" w:rsidR="0075791A" w:rsidRDefault="00FB2864">
            <w:pPr>
              <w:keepNext/>
              <w:keepLines/>
              <w:kinsoku/>
              <w:autoSpaceDE/>
              <w:autoSpaceDN/>
              <w:adjustRightInd/>
              <w:snapToGrid/>
              <w:jc w:val="center"/>
              <w:textAlignment w:val="auto"/>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kern w:val="2"/>
                <w:lang w:eastAsia="zh-CN"/>
              </w:rPr>
              <w:lastRenderedPageBreak/>
              <w:t>站位</w:t>
            </w:r>
          </w:p>
        </w:tc>
        <w:tc>
          <w:tcPr>
            <w:tcW w:w="2409" w:type="dxa"/>
            <w:vAlign w:val="center"/>
          </w:tcPr>
          <w:p w14:paraId="2BD3899B" w14:textId="77777777" w:rsidR="0075791A" w:rsidRDefault="00FB2864">
            <w:pPr>
              <w:keepNext/>
              <w:keepLines/>
              <w:kinsoku/>
              <w:autoSpaceDE/>
              <w:autoSpaceDN/>
              <w:adjustRightInd/>
              <w:snapToGrid/>
              <w:jc w:val="center"/>
              <w:textAlignment w:val="auto"/>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kern w:val="2"/>
                <w:lang w:eastAsia="zh-CN"/>
              </w:rPr>
              <w:t>经度</w:t>
            </w:r>
            <w:r>
              <w:rPr>
                <w:rFonts w:ascii="Times New Roman" w:eastAsia="宋体" w:hAnsi="Times New Roman" w:cs="Times New Roman" w:hint="eastAsia"/>
                <w:b/>
                <w:bCs/>
                <w:snapToGrid/>
                <w:color w:val="auto"/>
                <w:kern w:val="2"/>
                <w:lang w:eastAsia="zh-CN"/>
              </w:rPr>
              <w:t>（</w:t>
            </w:r>
            <w:r>
              <w:rPr>
                <w:rFonts w:ascii="Times New Roman" w:eastAsia="宋体" w:hAnsi="Times New Roman" w:cs="Times New Roman" w:hint="eastAsia"/>
                <w:b/>
                <w:bCs/>
                <w:snapToGrid/>
                <w:color w:val="auto"/>
                <w:kern w:val="2"/>
                <w:lang w:eastAsia="zh-CN"/>
              </w:rPr>
              <w:t>°</w:t>
            </w:r>
            <w:r>
              <w:rPr>
                <w:rFonts w:ascii="Times New Roman" w:eastAsia="宋体" w:hAnsi="Times New Roman" w:cs="Times New Roman" w:hint="eastAsia"/>
                <w:b/>
                <w:bCs/>
                <w:snapToGrid/>
                <w:color w:val="auto"/>
                <w:kern w:val="2"/>
                <w:lang w:eastAsia="zh-CN"/>
              </w:rPr>
              <w:t>E</w:t>
            </w:r>
            <w:r>
              <w:rPr>
                <w:rFonts w:ascii="Times New Roman" w:eastAsia="宋体" w:hAnsi="Times New Roman" w:cs="Times New Roman" w:hint="eastAsia"/>
                <w:b/>
                <w:bCs/>
                <w:snapToGrid/>
                <w:color w:val="auto"/>
                <w:kern w:val="2"/>
                <w:lang w:eastAsia="zh-CN"/>
              </w:rPr>
              <w:t>）</w:t>
            </w:r>
          </w:p>
        </w:tc>
        <w:tc>
          <w:tcPr>
            <w:tcW w:w="2372" w:type="dxa"/>
            <w:vAlign w:val="center"/>
          </w:tcPr>
          <w:p w14:paraId="6D52C956" w14:textId="77777777" w:rsidR="0075791A" w:rsidRDefault="00FB2864">
            <w:pPr>
              <w:keepNext/>
              <w:keepLines/>
              <w:kinsoku/>
              <w:autoSpaceDE/>
              <w:autoSpaceDN/>
              <w:adjustRightInd/>
              <w:snapToGrid/>
              <w:jc w:val="center"/>
              <w:textAlignment w:val="auto"/>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kern w:val="2"/>
                <w:lang w:eastAsia="zh-CN"/>
              </w:rPr>
              <w:t>纬度</w:t>
            </w:r>
            <w:r>
              <w:rPr>
                <w:rFonts w:ascii="Times New Roman" w:eastAsia="宋体" w:hAnsi="Times New Roman" w:cs="Times New Roman" w:hint="eastAsia"/>
                <w:b/>
                <w:bCs/>
                <w:snapToGrid/>
                <w:color w:val="auto"/>
                <w:kern w:val="2"/>
                <w:lang w:eastAsia="zh-CN"/>
              </w:rPr>
              <w:t>（</w:t>
            </w:r>
            <w:r>
              <w:rPr>
                <w:rFonts w:ascii="Times New Roman" w:eastAsia="宋体" w:hAnsi="Times New Roman" w:cs="Times New Roman" w:hint="eastAsia"/>
                <w:b/>
                <w:bCs/>
                <w:snapToGrid/>
                <w:color w:val="auto"/>
                <w:kern w:val="2"/>
                <w:lang w:eastAsia="zh-CN"/>
              </w:rPr>
              <w:t>°</w:t>
            </w:r>
            <w:r>
              <w:rPr>
                <w:rFonts w:ascii="Times New Roman" w:eastAsia="宋体" w:hAnsi="Times New Roman" w:cs="Times New Roman" w:hint="eastAsia"/>
                <w:b/>
                <w:bCs/>
                <w:snapToGrid/>
                <w:color w:val="auto"/>
                <w:kern w:val="2"/>
                <w:lang w:eastAsia="zh-CN"/>
              </w:rPr>
              <w:t>N</w:t>
            </w:r>
            <w:r>
              <w:rPr>
                <w:rFonts w:ascii="Times New Roman" w:eastAsia="宋体" w:hAnsi="Times New Roman" w:cs="Times New Roman" w:hint="eastAsia"/>
                <w:b/>
                <w:bCs/>
                <w:snapToGrid/>
                <w:color w:val="auto"/>
                <w:kern w:val="2"/>
                <w:lang w:eastAsia="zh-CN"/>
              </w:rPr>
              <w:t>）</w:t>
            </w:r>
          </w:p>
        </w:tc>
        <w:tc>
          <w:tcPr>
            <w:tcW w:w="1615" w:type="dxa"/>
            <w:vAlign w:val="center"/>
          </w:tcPr>
          <w:p w14:paraId="1C02D3C4" w14:textId="77777777" w:rsidR="0075791A" w:rsidRDefault="00FB2864">
            <w:pPr>
              <w:keepNext/>
              <w:keepLines/>
              <w:kinsoku/>
              <w:autoSpaceDE/>
              <w:autoSpaceDN/>
              <w:adjustRightInd/>
              <w:snapToGrid/>
              <w:jc w:val="center"/>
              <w:textAlignment w:val="auto"/>
              <w:rPr>
                <w:rFonts w:ascii="Times New Roman" w:eastAsia="宋体" w:hAnsi="Times New Roman" w:cs="Times New Roman"/>
                <w:b/>
                <w:bCs/>
                <w:snapToGrid/>
                <w:color w:val="auto"/>
                <w:kern w:val="2"/>
                <w:lang w:eastAsia="zh-CN"/>
              </w:rPr>
            </w:pPr>
            <w:r>
              <w:rPr>
                <w:rFonts w:ascii="Times New Roman" w:eastAsia="宋体" w:hAnsi="Times New Roman" w:cs="Times New Roman" w:hint="eastAsia"/>
                <w:b/>
                <w:bCs/>
                <w:snapToGrid/>
                <w:color w:val="auto"/>
                <w:kern w:val="2"/>
                <w:lang w:eastAsia="zh-CN"/>
              </w:rPr>
              <w:t>备注</w:t>
            </w:r>
          </w:p>
        </w:tc>
      </w:tr>
      <w:tr w:rsidR="0075791A" w14:paraId="763973BA" w14:textId="77777777">
        <w:trPr>
          <w:trHeight w:val="283"/>
          <w:tblHeader/>
          <w:jc w:val="center"/>
        </w:trPr>
        <w:tc>
          <w:tcPr>
            <w:tcW w:w="1523" w:type="dxa"/>
            <w:vAlign w:val="center"/>
          </w:tcPr>
          <w:p w14:paraId="3CDFEE6E"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75CAC7C0"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7F5E1020"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restart"/>
            <w:vAlign w:val="center"/>
          </w:tcPr>
          <w:p w14:paraId="569D93BC"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77355294" w14:textId="77777777">
        <w:trPr>
          <w:trHeight w:val="283"/>
          <w:tblHeader/>
          <w:jc w:val="center"/>
        </w:trPr>
        <w:tc>
          <w:tcPr>
            <w:tcW w:w="1523" w:type="dxa"/>
            <w:vAlign w:val="center"/>
          </w:tcPr>
          <w:p w14:paraId="15199E02"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12CF7AE3"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3CAA06DE"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61D65986"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5C3DFB88" w14:textId="77777777">
        <w:trPr>
          <w:trHeight w:val="283"/>
          <w:tblHeader/>
          <w:jc w:val="center"/>
        </w:trPr>
        <w:tc>
          <w:tcPr>
            <w:tcW w:w="1523" w:type="dxa"/>
            <w:vAlign w:val="center"/>
          </w:tcPr>
          <w:p w14:paraId="53ADDCFE"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5003E566"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40844DD3"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2EAA7457"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5A39036B" w14:textId="77777777">
        <w:trPr>
          <w:trHeight w:val="283"/>
          <w:tblHeader/>
          <w:jc w:val="center"/>
        </w:trPr>
        <w:tc>
          <w:tcPr>
            <w:tcW w:w="1523" w:type="dxa"/>
            <w:vAlign w:val="center"/>
          </w:tcPr>
          <w:p w14:paraId="50E766A6"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5859CAC4"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07C4A097"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1D517D1A"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23F1469F" w14:textId="77777777">
        <w:trPr>
          <w:trHeight w:val="283"/>
          <w:tblHeader/>
          <w:jc w:val="center"/>
        </w:trPr>
        <w:tc>
          <w:tcPr>
            <w:tcW w:w="1523" w:type="dxa"/>
            <w:vAlign w:val="center"/>
          </w:tcPr>
          <w:p w14:paraId="584509D2"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6B9690FB"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0A44E945"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10B5A7C1"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62FDECB3" w14:textId="77777777">
        <w:trPr>
          <w:trHeight w:val="283"/>
          <w:tblHeader/>
          <w:jc w:val="center"/>
        </w:trPr>
        <w:tc>
          <w:tcPr>
            <w:tcW w:w="1523" w:type="dxa"/>
            <w:vAlign w:val="center"/>
          </w:tcPr>
          <w:p w14:paraId="7A2EFB61"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776EAC39"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6BD20DCD"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74685E7E"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0B8AA4E1" w14:textId="77777777">
        <w:trPr>
          <w:trHeight w:val="283"/>
          <w:tblHeader/>
          <w:jc w:val="center"/>
        </w:trPr>
        <w:tc>
          <w:tcPr>
            <w:tcW w:w="1523" w:type="dxa"/>
            <w:vAlign w:val="center"/>
          </w:tcPr>
          <w:p w14:paraId="426E82A4"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2496B1D6"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44311391"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29C87DB0"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71B01C9D" w14:textId="77777777">
        <w:trPr>
          <w:trHeight w:val="283"/>
          <w:tblHeader/>
          <w:jc w:val="center"/>
        </w:trPr>
        <w:tc>
          <w:tcPr>
            <w:tcW w:w="1523" w:type="dxa"/>
            <w:vAlign w:val="center"/>
          </w:tcPr>
          <w:p w14:paraId="60E3FA58"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2507DB0F"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396BA72A"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71F8D27E"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7256AE91" w14:textId="77777777">
        <w:trPr>
          <w:trHeight w:val="283"/>
          <w:tblHeader/>
          <w:jc w:val="center"/>
        </w:trPr>
        <w:tc>
          <w:tcPr>
            <w:tcW w:w="1523" w:type="dxa"/>
            <w:vAlign w:val="center"/>
          </w:tcPr>
          <w:p w14:paraId="0C46A228"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0CC79A66"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607AE191"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652C5F73"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0CC8A35E" w14:textId="77777777">
        <w:trPr>
          <w:trHeight w:val="283"/>
          <w:tblHeader/>
          <w:jc w:val="center"/>
        </w:trPr>
        <w:tc>
          <w:tcPr>
            <w:tcW w:w="1523" w:type="dxa"/>
            <w:vAlign w:val="center"/>
          </w:tcPr>
          <w:p w14:paraId="0273F12F"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34F838F8"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31AE51F9"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078B79B4"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14DA11A9" w14:textId="77777777">
        <w:trPr>
          <w:trHeight w:val="283"/>
          <w:tblHeader/>
          <w:jc w:val="center"/>
        </w:trPr>
        <w:tc>
          <w:tcPr>
            <w:tcW w:w="1523" w:type="dxa"/>
            <w:vAlign w:val="center"/>
          </w:tcPr>
          <w:p w14:paraId="083010BD"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36FECFFE"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687E18FD"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48919A52"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6A665D03" w14:textId="77777777">
        <w:trPr>
          <w:trHeight w:val="283"/>
          <w:tblHeader/>
          <w:jc w:val="center"/>
        </w:trPr>
        <w:tc>
          <w:tcPr>
            <w:tcW w:w="1523" w:type="dxa"/>
            <w:vAlign w:val="center"/>
          </w:tcPr>
          <w:p w14:paraId="0CE43A05"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2A927915"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503BD4FF"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22672796"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2BDDD94F" w14:textId="77777777">
        <w:trPr>
          <w:trHeight w:val="283"/>
          <w:tblHeader/>
          <w:jc w:val="center"/>
        </w:trPr>
        <w:tc>
          <w:tcPr>
            <w:tcW w:w="1523" w:type="dxa"/>
            <w:vAlign w:val="center"/>
          </w:tcPr>
          <w:p w14:paraId="740B2CC7"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6BC1D5B0"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062FA379"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restart"/>
            <w:vAlign w:val="center"/>
          </w:tcPr>
          <w:p w14:paraId="6C9F0709"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3718E6A2" w14:textId="77777777">
        <w:trPr>
          <w:trHeight w:val="283"/>
          <w:tblHeader/>
          <w:jc w:val="center"/>
        </w:trPr>
        <w:tc>
          <w:tcPr>
            <w:tcW w:w="1523" w:type="dxa"/>
            <w:vAlign w:val="center"/>
          </w:tcPr>
          <w:p w14:paraId="78E67B0C"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3D0B62E9"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78DE5FAE"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06098AA7"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3F1D8629" w14:textId="77777777">
        <w:trPr>
          <w:trHeight w:val="283"/>
          <w:tblHeader/>
          <w:jc w:val="center"/>
        </w:trPr>
        <w:tc>
          <w:tcPr>
            <w:tcW w:w="1523" w:type="dxa"/>
            <w:vAlign w:val="center"/>
          </w:tcPr>
          <w:p w14:paraId="5154B702"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39FD9F9E"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51E14CB6"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4B48B390"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27D961E0" w14:textId="77777777">
        <w:trPr>
          <w:trHeight w:val="283"/>
          <w:tblHeader/>
          <w:jc w:val="center"/>
        </w:trPr>
        <w:tc>
          <w:tcPr>
            <w:tcW w:w="1523" w:type="dxa"/>
            <w:vAlign w:val="center"/>
          </w:tcPr>
          <w:p w14:paraId="6AB0AD7B"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16FC38AE"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65171B63"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42829D4D"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68A208F7" w14:textId="77777777">
        <w:trPr>
          <w:trHeight w:val="283"/>
          <w:tblHeader/>
          <w:jc w:val="center"/>
        </w:trPr>
        <w:tc>
          <w:tcPr>
            <w:tcW w:w="1523" w:type="dxa"/>
            <w:vAlign w:val="center"/>
          </w:tcPr>
          <w:p w14:paraId="598C8C1D"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7FE82825"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08591E10"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5DE300C9"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7D7B198F" w14:textId="77777777">
        <w:trPr>
          <w:trHeight w:val="283"/>
          <w:tblHeader/>
          <w:jc w:val="center"/>
        </w:trPr>
        <w:tc>
          <w:tcPr>
            <w:tcW w:w="1523" w:type="dxa"/>
            <w:vAlign w:val="center"/>
          </w:tcPr>
          <w:p w14:paraId="2B3EE5CA"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27024C1A"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1E2E537F"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7245DEA3"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713E82DA" w14:textId="77777777">
        <w:trPr>
          <w:trHeight w:val="283"/>
          <w:tblHeader/>
          <w:jc w:val="center"/>
        </w:trPr>
        <w:tc>
          <w:tcPr>
            <w:tcW w:w="1523" w:type="dxa"/>
            <w:vAlign w:val="center"/>
          </w:tcPr>
          <w:p w14:paraId="76907703"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1F3295DE"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72AC2F26"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5299CC46"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486854D4" w14:textId="77777777">
        <w:trPr>
          <w:trHeight w:val="283"/>
          <w:tblHeader/>
          <w:jc w:val="center"/>
        </w:trPr>
        <w:tc>
          <w:tcPr>
            <w:tcW w:w="1523" w:type="dxa"/>
            <w:vAlign w:val="center"/>
          </w:tcPr>
          <w:p w14:paraId="062ED4D8"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4DA80875"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42594DDD"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770CFD8F"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65152E02" w14:textId="77777777">
        <w:trPr>
          <w:trHeight w:val="283"/>
          <w:tblHeader/>
          <w:jc w:val="center"/>
        </w:trPr>
        <w:tc>
          <w:tcPr>
            <w:tcW w:w="1523" w:type="dxa"/>
            <w:vAlign w:val="center"/>
          </w:tcPr>
          <w:p w14:paraId="658B28D9"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26AAF2E3"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0734B114"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0B7A121A"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695FB188" w14:textId="77777777">
        <w:trPr>
          <w:trHeight w:val="283"/>
          <w:tblHeader/>
          <w:jc w:val="center"/>
        </w:trPr>
        <w:tc>
          <w:tcPr>
            <w:tcW w:w="1523" w:type="dxa"/>
            <w:vAlign w:val="center"/>
          </w:tcPr>
          <w:p w14:paraId="7892F643"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38FE6BFD"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1381A84C"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702227D9"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4DF49AD5" w14:textId="77777777">
        <w:trPr>
          <w:trHeight w:val="283"/>
          <w:tblHeader/>
          <w:jc w:val="center"/>
        </w:trPr>
        <w:tc>
          <w:tcPr>
            <w:tcW w:w="1523" w:type="dxa"/>
            <w:vAlign w:val="center"/>
          </w:tcPr>
          <w:p w14:paraId="172A986F"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58268E9F"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5A3A61B8"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0CC3C8A2"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1131CA34" w14:textId="77777777">
        <w:trPr>
          <w:trHeight w:val="283"/>
          <w:tblHeader/>
          <w:jc w:val="center"/>
        </w:trPr>
        <w:tc>
          <w:tcPr>
            <w:tcW w:w="1523" w:type="dxa"/>
            <w:vAlign w:val="center"/>
          </w:tcPr>
          <w:p w14:paraId="3BE4CF1F"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409" w:type="dxa"/>
            <w:vAlign w:val="center"/>
          </w:tcPr>
          <w:p w14:paraId="53EAA7C2"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2372" w:type="dxa"/>
            <w:vAlign w:val="center"/>
          </w:tcPr>
          <w:p w14:paraId="6C32B2F6"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615" w:type="dxa"/>
            <w:vMerge/>
            <w:vAlign w:val="center"/>
          </w:tcPr>
          <w:p w14:paraId="70088060" w14:textId="77777777" w:rsidR="0075791A" w:rsidRDefault="0075791A">
            <w:pPr>
              <w:keepNext/>
              <w:keepLines/>
              <w:kinsoku/>
              <w:autoSpaceDE/>
              <w:autoSpaceDN/>
              <w:adjustRightInd/>
              <w:snapToGrid/>
              <w:jc w:val="center"/>
              <w:textAlignment w:val="auto"/>
              <w:rPr>
                <w:rFonts w:ascii="Times New Roman" w:eastAsia="宋体" w:hAnsi="Times New Roman" w:cs="Times New Roman"/>
                <w:snapToGrid/>
                <w:color w:val="auto"/>
                <w:kern w:val="2"/>
                <w:lang w:eastAsia="zh-CN"/>
              </w:rPr>
            </w:pPr>
          </w:p>
        </w:tc>
      </w:tr>
    </w:tbl>
    <w:p w14:paraId="3E26F2F3" w14:textId="77777777" w:rsidR="0075791A" w:rsidRDefault="0075791A">
      <w:pPr>
        <w:spacing w:before="60" w:after="160" w:line="259" w:lineRule="auto"/>
        <w:ind w:right="113" w:firstLineChars="200" w:firstLine="480"/>
        <w:jc w:val="center"/>
        <w:rPr>
          <w:rFonts w:ascii="Times New Roman" w:eastAsia="宋体" w:hAnsi="Times New Roman" w:cs="Times New Roman"/>
          <w:color w:val="auto"/>
          <w:sz w:val="24"/>
          <w:szCs w:val="24"/>
          <w:lang w:eastAsia="zh-CN"/>
        </w:rPr>
      </w:pPr>
    </w:p>
    <w:p w14:paraId="774327BF"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2</w:t>
      </w:r>
      <w:r>
        <w:rPr>
          <w:rFonts w:ascii="Times New Roman" w:eastAsia="宋体" w:hAnsi="Times New Roman" w:cs="Times New Roman"/>
          <w:snapToGrid/>
          <w:color w:val="auto"/>
          <w:kern w:val="2"/>
          <w:sz w:val="24"/>
          <w:szCs w:val="24"/>
          <w:lang w:eastAsia="zh-CN"/>
        </w:rPr>
        <w:t>）水质调查</w:t>
      </w:r>
      <w:r>
        <w:rPr>
          <w:rFonts w:ascii="Times New Roman" w:eastAsia="宋体" w:hAnsi="Times New Roman" w:cs="Times New Roman" w:hint="eastAsia"/>
          <w:snapToGrid/>
          <w:color w:val="auto"/>
          <w:kern w:val="2"/>
          <w:sz w:val="24"/>
          <w:szCs w:val="24"/>
          <w:lang w:eastAsia="zh-CN"/>
        </w:rPr>
        <w:t>内容与结果</w:t>
      </w:r>
    </w:p>
    <w:p w14:paraId="6658B190"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11</w:t>
      </w:r>
      <w:r>
        <w:rPr>
          <w:rFonts w:ascii="Times New Roman" w:eastAsia="宋体" w:hAnsi="Times New Roman" w:cs="Times New Roman" w:hint="eastAsia"/>
          <w:snapToGrid/>
          <w:color w:val="auto"/>
          <w:kern w:val="2"/>
          <w:sz w:val="24"/>
          <w:szCs w:val="24"/>
          <w:lang w:eastAsia="zh-CN"/>
        </w:rPr>
        <w:t>月调查</w:t>
      </w:r>
    </w:p>
    <w:p w14:paraId="73A0BFCB"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11</w:t>
      </w:r>
      <w:r>
        <w:rPr>
          <w:rFonts w:ascii="Times New Roman" w:eastAsia="宋体" w:hAnsi="Times New Roman" w:cs="Times New Roman" w:hint="eastAsia"/>
          <w:snapToGrid/>
          <w:color w:val="auto"/>
          <w:kern w:val="2"/>
          <w:sz w:val="24"/>
          <w:szCs w:val="24"/>
          <w:lang w:eastAsia="zh-CN"/>
        </w:rPr>
        <w:t>月</w:t>
      </w:r>
      <w:r>
        <w:rPr>
          <w:rFonts w:ascii="Times New Roman" w:eastAsia="宋体" w:hAnsi="Times New Roman" w:cs="Times New Roman"/>
          <w:snapToGrid/>
          <w:color w:val="auto"/>
          <w:kern w:val="2"/>
          <w:sz w:val="24"/>
          <w:szCs w:val="24"/>
          <w:lang w:eastAsia="zh-CN"/>
        </w:rPr>
        <w:t>海水水质调查项目包括水温、盐度、悬浮物、</w:t>
      </w:r>
      <w:r>
        <w:rPr>
          <w:rFonts w:ascii="Times New Roman" w:eastAsia="宋体" w:hAnsi="Times New Roman" w:cs="Times New Roman"/>
          <w:snapToGrid/>
          <w:color w:val="auto"/>
          <w:kern w:val="2"/>
          <w:sz w:val="24"/>
          <w:szCs w:val="24"/>
          <w:lang w:eastAsia="zh-CN"/>
        </w:rPr>
        <w:t>pH</w:t>
      </w:r>
      <w:r>
        <w:rPr>
          <w:rFonts w:ascii="Times New Roman" w:eastAsia="宋体" w:hAnsi="Times New Roman" w:cs="Times New Roman"/>
          <w:snapToGrid/>
          <w:color w:val="auto"/>
          <w:kern w:val="2"/>
          <w:sz w:val="24"/>
          <w:szCs w:val="24"/>
          <w:lang w:eastAsia="zh-CN"/>
        </w:rPr>
        <w:t>值、溶解氧、总有机碳、氨氮、硝酸盐、亚硝酸盐、活性磷酸盐、活性硅酸盐共</w:t>
      </w:r>
      <w:r>
        <w:rPr>
          <w:rFonts w:ascii="Times New Roman" w:eastAsia="宋体" w:hAnsi="Times New Roman" w:cs="Times New Roman"/>
          <w:snapToGrid/>
          <w:color w:val="auto"/>
          <w:kern w:val="2"/>
          <w:sz w:val="24"/>
          <w:szCs w:val="24"/>
          <w:lang w:eastAsia="zh-CN"/>
        </w:rPr>
        <w:t>11</w:t>
      </w:r>
      <w:r>
        <w:rPr>
          <w:rFonts w:ascii="Times New Roman" w:eastAsia="宋体" w:hAnsi="Times New Roman" w:cs="Times New Roman"/>
          <w:snapToGrid/>
          <w:color w:val="auto"/>
          <w:kern w:val="2"/>
          <w:sz w:val="24"/>
          <w:szCs w:val="24"/>
          <w:lang w:eastAsia="zh-CN"/>
        </w:rPr>
        <w:t>项。海水水质各要素监测结果和统计结果列于表</w:t>
      </w:r>
      <w:r>
        <w:rPr>
          <w:rFonts w:ascii="Times New Roman" w:eastAsia="宋体" w:hAnsi="Times New Roman" w:cs="Times New Roman" w:hint="eastAsia"/>
          <w:snapToGrid/>
          <w:color w:val="auto"/>
          <w:kern w:val="2"/>
          <w:sz w:val="24"/>
          <w:szCs w:val="24"/>
          <w:lang w:eastAsia="zh-CN"/>
        </w:rPr>
        <w:t>3.2.5-2</w:t>
      </w:r>
      <w:r>
        <w:rPr>
          <w:rFonts w:ascii="Times New Roman" w:eastAsia="宋体" w:hAnsi="Times New Roman" w:cs="Times New Roman"/>
          <w:snapToGrid/>
          <w:color w:val="auto"/>
          <w:kern w:val="2"/>
          <w:sz w:val="24"/>
          <w:szCs w:val="24"/>
          <w:lang w:eastAsia="zh-CN"/>
        </w:rPr>
        <w:t>。</w:t>
      </w:r>
    </w:p>
    <w:p w14:paraId="78EAD0D2" w14:textId="77777777" w:rsidR="0075791A" w:rsidRDefault="00FB2864">
      <w:pPr>
        <w:jc w:val="center"/>
        <w:rPr>
          <w:rFonts w:ascii="Times New Roman" w:eastAsia="宋体" w:hAnsi="Times New Roman"/>
          <w:color w:val="auto"/>
          <w:sz w:val="24"/>
          <w:szCs w:val="24"/>
          <w:lang w:eastAsia="zh-CN"/>
        </w:rPr>
      </w:pPr>
      <w:r>
        <w:rPr>
          <w:rFonts w:ascii="Times New Roman" w:eastAsia="宋体" w:hAnsi="Times New Roman"/>
          <w:color w:val="auto"/>
          <w:sz w:val="24"/>
          <w:szCs w:val="24"/>
          <w:lang w:eastAsia="zh-CN"/>
        </w:rPr>
        <w:t>表</w:t>
      </w:r>
      <w:r>
        <w:rPr>
          <w:rFonts w:ascii="Times New Roman" w:eastAsia="宋体" w:hAnsi="Times New Roman" w:hint="eastAsia"/>
          <w:color w:val="auto"/>
          <w:sz w:val="24"/>
          <w:szCs w:val="24"/>
          <w:lang w:eastAsia="zh-CN"/>
        </w:rPr>
        <w:t>3.2.5-2</w:t>
      </w:r>
      <w:r>
        <w:rPr>
          <w:rFonts w:ascii="Times New Roman" w:eastAsia="宋体" w:hAnsi="Times New Roman"/>
          <w:color w:val="auto"/>
          <w:sz w:val="24"/>
          <w:szCs w:val="24"/>
          <w:lang w:eastAsia="zh-CN"/>
        </w:rPr>
        <w:t>水质检测结果（</w:t>
      </w:r>
      <w:r>
        <w:rPr>
          <w:rFonts w:ascii="Times New Roman" w:eastAsia="宋体" w:hAnsi="Times New Roman"/>
          <w:color w:val="auto"/>
          <w:sz w:val="24"/>
          <w:szCs w:val="24"/>
          <w:lang w:eastAsia="zh-CN"/>
        </w:rPr>
        <w:t>mg/L</w:t>
      </w:r>
      <w:r>
        <w:rPr>
          <w:rFonts w:ascii="Times New Roman" w:eastAsia="宋体" w:hAnsi="Times New Roman"/>
          <w:color w:val="auto"/>
          <w:sz w:val="24"/>
          <w:szCs w:val="24"/>
          <w:lang w:eastAsia="zh-CN"/>
        </w:rPr>
        <w:t>，除标注外）（采样日期：</w:t>
      </w:r>
      <w:r>
        <w:rPr>
          <w:rFonts w:ascii="Times New Roman" w:eastAsia="宋体" w:hAnsi="Times New Roman"/>
          <w:color w:val="auto"/>
          <w:sz w:val="24"/>
          <w:szCs w:val="24"/>
          <w:lang w:eastAsia="zh-CN"/>
        </w:rPr>
        <w:t>2024</w:t>
      </w:r>
      <w:r>
        <w:rPr>
          <w:rFonts w:ascii="Times New Roman" w:eastAsia="宋体" w:hAnsi="Times New Roman"/>
          <w:color w:val="auto"/>
          <w:sz w:val="24"/>
          <w:szCs w:val="24"/>
          <w:lang w:eastAsia="zh-CN"/>
        </w:rPr>
        <w:t>年</w:t>
      </w:r>
      <w:r>
        <w:rPr>
          <w:rFonts w:ascii="Times New Roman" w:eastAsia="宋体" w:hAnsi="Times New Roman"/>
          <w:color w:val="auto"/>
          <w:sz w:val="24"/>
          <w:szCs w:val="24"/>
          <w:lang w:eastAsia="zh-CN"/>
        </w:rPr>
        <w:t>11</w:t>
      </w:r>
      <w:r>
        <w:rPr>
          <w:rFonts w:ascii="Times New Roman" w:eastAsia="宋体" w:hAnsi="Times New Roman"/>
          <w:color w:val="auto"/>
          <w:sz w:val="24"/>
          <w:szCs w:val="24"/>
          <w:lang w:eastAsia="zh-CN"/>
        </w:rPr>
        <w:t>月</w:t>
      </w:r>
      <w:r>
        <w:rPr>
          <w:rFonts w:ascii="Times New Roman" w:eastAsia="宋体" w:hAnsi="Times New Roman"/>
          <w:color w:val="auto"/>
          <w:sz w:val="24"/>
          <w:szCs w:val="24"/>
          <w:lang w:eastAsia="zh-CN"/>
        </w:rPr>
        <w:t>3</w:t>
      </w:r>
      <w:r>
        <w:rPr>
          <w:rFonts w:ascii="Times New Roman" w:eastAsia="宋体" w:hAnsi="Times New Roman"/>
          <w:color w:val="auto"/>
          <w:sz w:val="24"/>
          <w:szCs w:val="24"/>
          <w:lang w:eastAsia="zh-CN"/>
        </w:rPr>
        <w:t>日）</w:t>
      </w:r>
    </w:p>
    <w:tbl>
      <w:tblPr>
        <w:tblW w:w="9038" w:type="dxa"/>
        <w:jc w:val="center"/>
        <w:tblLayout w:type="fixed"/>
        <w:tblLook w:val="04A0" w:firstRow="1" w:lastRow="0" w:firstColumn="1" w:lastColumn="0" w:noHBand="0" w:noVBand="1"/>
      </w:tblPr>
      <w:tblGrid>
        <w:gridCol w:w="904"/>
        <w:gridCol w:w="904"/>
        <w:gridCol w:w="904"/>
        <w:gridCol w:w="904"/>
        <w:gridCol w:w="904"/>
        <w:gridCol w:w="904"/>
        <w:gridCol w:w="991"/>
        <w:gridCol w:w="815"/>
        <w:gridCol w:w="904"/>
        <w:gridCol w:w="904"/>
      </w:tblGrid>
      <w:tr w:rsidR="0075791A" w14:paraId="24ADA33D" w14:textId="77777777">
        <w:trPr>
          <w:trHeight w:val="496"/>
          <w:jc w:val="center"/>
        </w:trPr>
        <w:tc>
          <w:tcPr>
            <w:tcW w:w="904" w:type="dxa"/>
            <w:tcBorders>
              <w:top w:val="single" w:sz="4" w:space="0" w:color="000000"/>
              <w:left w:val="single" w:sz="4" w:space="0" w:color="000000"/>
              <w:bottom w:val="single" w:sz="4" w:space="0" w:color="000000"/>
              <w:right w:val="single" w:sz="4" w:space="0" w:color="000000"/>
              <w:tl2br w:val="nil"/>
            </w:tcBorders>
            <w:shd w:val="clear" w:color="auto" w:fill="FFFFFF"/>
            <w:vAlign w:val="center"/>
          </w:tcPr>
          <w:p w14:paraId="6359EEB7" w14:textId="77777777" w:rsidR="0075791A" w:rsidRDefault="00FB2864">
            <w:pPr>
              <w:keepNext/>
              <w:keepLines/>
              <w:widowControl w:val="0"/>
              <w:kinsoku/>
              <w:topLinePunct/>
              <w:autoSpaceDE/>
              <w:autoSpaceDN/>
              <w:adjustRightInd/>
              <w:snapToGrid/>
              <w:jc w:val="center"/>
              <w:textAlignment w:val="auto"/>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kern w:val="2"/>
                <w:lang w:eastAsia="zh-CN"/>
              </w:rPr>
              <w:lastRenderedPageBreak/>
              <w:t>站位</w:t>
            </w: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27C803" w14:textId="77777777" w:rsidR="0075791A" w:rsidRDefault="00FB2864">
            <w:pPr>
              <w:keepNext/>
              <w:keepLines/>
              <w:widowControl w:val="0"/>
              <w:kinsoku/>
              <w:topLinePunct/>
              <w:autoSpaceDE/>
              <w:autoSpaceDN/>
              <w:adjustRightInd/>
              <w:snapToGrid/>
              <w:jc w:val="center"/>
              <w:textAlignment w:val="auto"/>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kern w:val="2"/>
                <w:lang w:eastAsia="zh-CN"/>
              </w:rPr>
              <w:t>pH</w:t>
            </w: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30D349" w14:textId="77777777" w:rsidR="0075791A" w:rsidRDefault="00FB2864">
            <w:pPr>
              <w:keepNext/>
              <w:keepLines/>
              <w:widowControl w:val="0"/>
              <w:kinsoku/>
              <w:topLinePunct/>
              <w:autoSpaceDE/>
              <w:autoSpaceDN/>
              <w:adjustRightInd/>
              <w:snapToGrid/>
              <w:jc w:val="center"/>
              <w:textAlignment w:val="auto"/>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kern w:val="2"/>
                <w:lang w:eastAsia="zh-CN"/>
              </w:rPr>
              <w:t>水温</w:t>
            </w:r>
            <w:r>
              <w:rPr>
                <w:rFonts w:ascii="Times New Roman" w:eastAsia="宋体" w:hAnsi="Times New Roman" w:cs="Times New Roman" w:hint="eastAsia"/>
                <w:b/>
                <w:bCs/>
                <w:snapToGrid/>
                <w:color w:val="auto"/>
                <w:kern w:val="2"/>
                <w:lang w:eastAsia="zh-CN"/>
              </w:rPr>
              <w:t>（</w:t>
            </w:r>
            <w:r>
              <w:rPr>
                <w:rFonts w:ascii="Times New Roman" w:eastAsia="宋体" w:hAnsi="Times New Roman" w:cs="Times New Roman"/>
                <w:b/>
                <w:bCs/>
                <w:snapToGrid/>
                <w:color w:val="auto"/>
                <w:kern w:val="2"/>
                <w:lang w:eastAsia="zh-CN"/>
              </w:rPr>
              <w:t>℃</w:t>
            </w:r>
            <w:r>
              <w:rPr>
                <w:rFonts w:ascii="Times New Roman" w:eastAsia="宋体" w:hAnsi="Times New Roman" w:cs="Times New Roman" w:hint="eastAsia"/>
                <w:b/>
                <w:bCs/>
                <w:snapToGrid/>
                <w:color w:val="auto"/>
                <w:kern w:val="2"/>
                <w:lang w:eastAsia="zh-CN"/>
              </w:rPr>
              <w:t>）</w:t>
            </w: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267A34" w14:textId="77777777" w:rsidR="0075791A" w:rsidRDefault="00FB2864">
            <w:pPr>
              <w:keepNext/>
              <w:keepLines/>
              <w:widowControl w:val="0"/>
              <w:kinsoku/>
              <w:topLinePunct/>
              <w:autoSpaceDE/>
              <w:autoSpaceDN/>
              <w:adjustRightInd/>
              <w:snapToGrid/>
              <w:jc w:val="center"/>
              <w:textAlignment w:val="auto"/>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kern w:val="2"/>
                <w:lang w:eastAsia="zh-CN"/>
              </w:rPr>
              <w:t>溶解氧</w:t>
            </w: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2AD8E9" w14:textId="77777777" w:rsidR="0075791A" w:rsidRDefault="00FB2864">
            <w:pPr>
              <w:keepNext/>
              <w:keepLines/>
              <w:widowControl w:val="0"/>
              <w:kinsoku/>
              <w:topLinePunct/>
              <w:autoSpaceDE/>
              <w:autoSpaceDN/>
              <w:adjustRightInd/>
              <w:snapToGrid/>
              <w:jc w:val="center"/>
              <w:textAlignment w:val="auto"/>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kern w:val="2"/>
                <w:lang w:eastAsia="zh-CN"/>
              </w:rPr>
              <w:t>盐度</w:t>
            </w:r>
            <w:r>
              <w:rPr>
                <w:rFonts w:ascii="Times New Roman" w:eastAsia="宋体" w:hAnsi="Times New Roman" w:cs="Times New Roman" w:hint="eastAsia"/>
                <w:b/>
                <w:bCs/>
                <w:snapToGrid/>
                <w:color w:val="auto"/>
                <w:kern w:val="2"/>
                <w:lang w:eastAsia="zh-CN"/>
              </w:rPr>
              <w:t>（</w:t>
            </w:r>
            <w:r>
              <w:rPr>
                <w:rFonts w:ascii="Times New Roman" w:eastAsia="宋体" w:hAnsi="Times New Roman" w:cs="Times New Roman"/>
                <w:b/>
                <w:bCs/>
                <w:snapToGrid/>
                <w:color w:val="auto"/>
                <w:kern w:val="2"/>
                <w:lang w:eastAsia="zh-CN"/>
              </w:rPr>
              <w:t>%</w:t>
            </w:r>
            <w:r>
              <w:rPr>
                <w:rFonts w:ascii="Times New Roman" w:eastAsia="宋体" w:hAnsi="Times New Roman" w:cs="Times New Roman" w:hint="eastAsia"/>
                <w:b/>
                <w:bCs/>
                <w:snapToGrid/>
                <w:color w:val="auto"/>
                <w:kern w:val="2"/>
                <w:lang w:eastAsia="zh-CN"/>
              </w:rPr>
              <w:t>）</w:t>
            </w: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D02913" w14:textId="77777777" w:rsidR="0075791A" w:rsidRDefault="00FB2864">
            <w:pPr>
              <w:keepNext/>
              <w:keepLines/>
              <w:widowControl w:val="0"/>
              <w:kinsoku/>
              <w:topLinePunct/>
              <w:autoSpaceDE/>
              <w:autoSpaceDN/>
              <w:adjustRightInd/>
              <w:snapToGrid/>
              <w:jc w:val="center"/>
              <w:textAlignment w:val="auto"/>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kern w:val="2"/>
                <w:lang w:eastAsia="zh-CN"/>
              </w:rPr>
              <w:t>无机氮</w:t>
            </w: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C4B437" w14:textId="77777777" w:rsidR="0075791A" w:rsidRDefault="00FB2864">
            <w:pPr>
              <w:keepNext/>
              <w:keepLines/>
              <w:widowControl w:val="0"/>
              <w:kinsoku/>
              <w:topLinePunct/>
              <w:autoSpaceDE/>
              <w:autoSpaceDN/>
              <w:adjustRightInd/>
              <w:snapToGrid/>
              <w:jc w:val="center"/>
              <w:textAlignment w:val="auto"/>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kern w:val="2"/>
                <w:lang w:eastAsia="zh-CN"/>
              </w:rPr>
              <w:t>活性磷酸盐</w:t>
            </w:r>
          </w:p>
        </w:tc>
        <w:tc>
          <w:tcPr>
            <w:tcW w:w="8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4274A0" w14:textId="77777777" w:rsidR="0075791A" w:rsidRDefault="00FB2864">
            <w:pPr>
              <w:keepNext/>
              <w:keepLines/>
              <w:widowControl w:val="0"/>
              <w:kinsoku/>
              <w:topLinePunct/>
              <w:autoSpaceDE/>
              <w:autoSpaceDN/>
              <w:adjustRightInd/>
              <w:snapToGrid/>
              <w:jc w:val="center"/>
              <w:textAlignment w:val="auto"/>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kern w:val="2"/>
                <w:lang w:eastAsia="zh-CN"/>
              </w:rPr>
              <w:t>悬浮物</w:t>
            </w: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810561" w14:textId="77777777" w:rsidR="0075791A" w:rsidRDefault="00FB2864">
            <w:pPr>
              <w:keepNext/>
              <w:keepLines/>
              <w:widowControl w:val="0"/>
              <w:kinsoku/>
              <w:topLinePunct/>
              <w:autoSpaceDE/>
              <w:autoSpaceDN/>
              <w:adjustRightInd/>
              <w:snapToGrid/>
              <w:jc w:val="center"/>
              <w:textAlignment w:val="auto"/>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kern w:val="2"/>
                <w:lang w:eastAsia="zh-CN"/>
              </w:rPr>
              <w:t>活性硅酸盐</w:t>
            </w: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B81942" w14:textId="77777777" w:rsidR="0075791A" w:rsidRDefault="00FB2864">
            <w:pPr>
              <w:keepNext/>
              <w:keepLines/>
              <w:widowControl w:val="0"/>
              <w:kinsoku/>
              <w:topLinePunct/>
              <w:autoSpaceDE/>
              <w:autoSpaceDN/>
              <w:adjustRightInd/>
              <w:snapToGrid/>
              <w:jc w:val="center"/>
              <w:textAlignment w:val="auto"/>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kern w:val="2"/>
                <w:lang w:eastAsia="zh-CN"/>
              </w:rPr>
              <w:t>总有机碳</w:t>
            </w:r>
          </w:p>
        </w:tc>
      </w:tr>
      <w:tr w:rsidR="0075791A" w14:paraId="20338D00" w14:textId="77777777">
        <w:trPr>
          <w:trHeight w:val="397"/>
          <w:jc w:val="center"/>
        </w:trPr>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5C1FB8"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39B766"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3DB0ED"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B94B03"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7FA6E7"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32CCA7"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E1E940"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8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BE1A23"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FD7B0C"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663607"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6DB616A6" w14:textId="77777777">
        <w:trPr>
          <w:trHeight w:val="397"/>
          <w:jc w:val="center"/>
        </w:trPr>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B50666"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C3693E"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A968D5"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279025"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D189F8"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A6E794"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0EF599"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8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F0F0CE"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530359"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B4588E"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691578A3" w14:textId="77777777">
        <w:trPr>
          <w:trHeight w:val="397"/>
          <w:jc w:val="center"/>
        </w:trPr>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8FE10D"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B9AE94"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6B2B2C"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6414CC"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7E9979"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D275C0"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FC0278"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8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F78684"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F05662"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2EE509"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1C1C551E" w14:textId="77777777">
        <w:trPr>
          <w:trHeight w:val="397"/>
          <w:jc w:val="center"/>
        </w:trPr>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C1F47B"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CD08C5"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D65198"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0520DD"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CAA6AA"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687C36"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71DCC9"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8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2FFB90"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D2968F"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E6BE38"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02A584DA" w14:textId="77777777">
        <w:trPr>
          <w:trHeight w:val="397"/>
          <w:jc w:val="center"/>
        </w:trPr>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FA3386"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974410"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1B1658"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350376"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D2A95F"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B883BE"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A2EEE2"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8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B32C4A"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B70B11"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307280"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63878212" w14:textId="77777777">
        <w:trPr>
          <w:trHeight w:val="397"/>
          <w:jc w:val="center"/>
        </w:trPr>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E64556"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FEB92D"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12E863"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69ED50"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C1FD9D"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2B4AED"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E6263D"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8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55B837"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890FD1"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3085BD"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536C0257" w14:textId="77777777">
        <w:trPr>
          <w:trHeight w:val="397"/>
          <w:jc w:val="center"/>
        </w:trPr>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95D849"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974A00"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FEC7E8"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47C3F4"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355C15"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1A4F72"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669CA4"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8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93E9FD"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846169"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99AC18"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508EFF8E" w14:textId="77777777">
        <w:trPr>
          <w:trHeight w:val="397"/>
          <w:jc w:val="center"/>
        </w:trPr>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A2937A"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00A14A"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385201"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AE93BA"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663C95"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2EFD43"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B6EB14"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8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651BC9"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E7A65D"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E62E68"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7AC42D0C" w14:textId="77777777">
        <w:trPr>
          <w:trHeight w:val="397"/>
          <w:jc w:val="center"/>
        </w:trPr>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EED822"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E65942"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FB08B4"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899F0F"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A7C8BB"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CC964F"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AF2F82"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8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BE941F"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4559E2"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95E6CC"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3CE96282" w14:textId="77777777">
        <w:trPr>
          <w:trHeight w:val="397"/>
          <w:jc w:val="center"/>
        </w:trPr>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0118D3"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222D0B"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26E964"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D49ED5"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DE34CE"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9CC477"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29C5FF"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8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9DAD65"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11A295"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96EC05"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22BA023F" w14:textId="77777777">
        <w:trPr>
          <w:trHeight w:val="397"/>
          <w:jc w:val="center"/>
        </w:trPr>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74D98F"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CB35F6"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E21799"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B044E4"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4F9F7F"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A67540"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ECCEE0"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8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C93931"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A3BE7B"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CF3892"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r>
      <w:tr w:rsidR="0075791A" w14:paraId="72A0D885" w14:textId="77777777">
        <w:trPr>
          <w:trHeight w:val="397"/>
          <w:jc w:val="center"/>
        </w:trPr>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F4F01F"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ACA8CE"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D4D4FC"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FB7B78"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BCA613"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3C0DEE"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EF33F0"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8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A834CF"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FED301"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9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F1784C" w14:textId="77777777" w:rsidR="0075791A" w:rsidRDefault="0075791A">
            <w:pPr>
              <w:keepNext/>
              <w:keepLines/>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r>
    </w:tbl>
    <w:p w14:paraId="1F9F4926" w14:textId="77777777" w:rsidR="0075791A" w:rsidRDefault="0075791A">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p>
    <w:p w14:paraId="3CC600C2"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月调查结果</w:t>
      </w:r>
    </w:p>
    <w:p w14:paraId="1317F709"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 xml:space="preserve">2024 </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 xml:space="preserve">9 </w:t>
      </w:r>
      <w:r>
        <w:rPr>
          <w:rFonts w:ascii="Times New Roman" w:eastAsia="宋体" w:hAnsi="Times New Roman" w:cs="Times New Roman" w:hint="eastAsia"/>
          <w:snapToGrid/>
          <w:color w:val="auto"/>
          <w:kern w:val="2"/>
          <w:sz w:val="24"/>
          <w:szCs w:val="24"/>
          <w:lang w:eastAsia="zh-CN"/>
        </w:rPr>
        <w:t>月水质调查要素包括水深、透明度、水温、盐度、溶解氧、</w:t>
      </w:r>
      <w:r>
        <w:rPr>
          <w:rFonts w:ascii="Times New Roman" w:eastAsia="宋体" w:hAnsi="Times New Roman" w:cs="Times New Roman" w:hint="eastAsia"/>
          <w:snapToGrid/>
          <w:color w:val="auto"/>
          <w:kern w:val="2"/>
          <w:sz w:val="24"/>
          <w:szCs w:val="24"/>
          <w:lang w:eastAsia="zh-CN"/>
        </w:rPr>
        <w:t xml:space="preserve">pH </w:t>
      </w:r>
      <w:r>
        <w:rPr>
          <w:rFonts w:ascii="Times New Roman" w:eastAsia="宋体" w:hAnsi="Times New Roman" w:cs="Times New Roman" w:hint="eastAsia"/>
          <w:snapToGrid/>
          <w:color w:val="auto"/>
          <w:kern w:val="2"/>
          <w:sz w:val="24"/>
          <w:szCs w:val="24"/>
          <w:lang w:eastAsia="zh-CN"/>
        </w:rPr>
        <w:t>值、溶解氧、化学需氧量、无机氮（氨氮、亚硝酸盐、硝酸盐）、活性磷酸盐、石油类、悬浮物、砷、汞、铜、铅、锌、镉、总铬，共</w:t>
      </w:r>
      <w:r>
        <w:rPr>
          <w:rFonts w:ascii="Times New Roman" w:eastAsia="宋体" w:hAnsi="Times New Roman" w:cs="Times New Roman" w:hint="eastAsia"/>
          <w:snapToGrid/>
          <w:color w:val="auto"/>
          <w:kern w:val="2"/>
          <w:sz w:val="24"/>
          <w:szCs w:val="24"/>
          <w:lang w:eastAsia="zh-CN"/>
        </w:rPr>
        <w:t xml:space="preserve">21 </w:t>
      </w:r>
      <w:r>
        <w:rPr>
          <w:rFonts w:ascii="Times New Roman" w:eastAsia="宋体" w:hAnsi="Times New Roman" w:cs="Times New Roman" w:hint="eastAsia"/>
          <w:snapToGrid/>
          <w:color w:val="auto"/>
          <w:kern w:val="2"/>
          <w:sz w:val="24"/>
          <w:szCs w:val="24"/>
          <w:lang w:eastAsia="zh-CN"/>
        </w:rPr>
        <w:t>项。</w:t>
      </w:r>
      <w:r>
        <w:rPr>
          <w:rFonts w:ascii="Times New Roman" w:eastAsia="宋体" w:hAnsi="Times New Roman" w:cs="Times New Roman"/>
          <w:snapToGrid/>
          <w:color w:val="auto"/>
          <w:kern w:val="2"/>
          <w:sz w:val="24"/>
          <w:szCs w:val="24"/>
          <w:lang w:eastAsia="zh-CN"/>
        </w:rPr>
        <w:t>海水水质各要素监测结果和统计结果列于表</w:t>
      </w:r>
      <w:r>
        <w:rPr>
          <w:rFonts w:ascii="Times New Roman" w:eastAsia="宋体" w:hAnsi="Times New Roman" w:cs="Times New Roman" w:hint="eastAsia"/>
          <w:snapToGrid/>
          <w:color w:val="auto"/>
          <w:kern w:val="2"/>
          <w:sz w:val="24"/>
          <w:szCs w:val="24"/>
          <w:lang w:eastAsia="zh-CN"/>
        </w:rPr>
        <w:t>3.2.5-3</w:t>
      </w:r>
      <w:r>
        <w:rPr>
          <w:rFonts w:ascii="Times New Roman" w:eastAsia="宋体" w:hAnsi="Times New Roman" w:cs="Times New Roman"/>
          <w:snapToGrid/>
          <w:color w:val="auto"/>
          <w:kern w:val="2"/>
          <w:sz w:val="24"/>
          <w:szCs w:val="24"/>
          <w:lang w:eastAsia="zh-CN"/>
        </w:rPr>
        <w:t>。</w:t>
      </w:r>
    </w:p>
    <w:p w14:paraId="196CBE9B"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）水质评价方法</w:t>
      </w:r>
    </w:p>
    <w:p w14:paraId="7BD90BD5"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根据海南省近岸海域环境功能区划，</w:t>
      </w:r>
      <w:r>
        <w:rPr>
          <w:rFonts w:ascii="Times New Roman" w:eastAsia="宋体" w:hAnsi="Times New Roman" w:cs="Times New Roman" w:hint="eastAsia"/>
          <w:snapToGrid/>
          <w:color w:val="auto"/>
          <w:kern w:val="2"/>
          <w:sz w:val="24"/>
          <w:szCs w:val="24"/>
          <w:lang w:eastAsia="zh-CN"/>
        </w:rPr>
        <w:t>判定近岸海域调查站点水质执行标准；外海站位则</w:t>
      </w:r>
      <w:r>
        <w:rPr>
          <w:rFonts w:ascii="Times New Roman" w:eastAsia="宋体" w:hAnsi="Times New Roman" w:cs="Times New Roman"/>
          <w:snapToGrid/>
          <w:color w:val="auto"/>
          <w:kern w:val="2"/>
          <w:sz w:val="24"/>
          <w:szCs w:val="24"/>
          <w:lang w:eastAsia="zh-CN"/>
        </w:rPr>
        <w:t>根据项目所在海域</w:t>
      </w:r>
      <w:r>
        <w:rPr>
          <w:rFonts w:ascii="Times New Roman" w:eastAsia="宋体" w:hAnsi="Times New Roman" w:cs="Times New Roman" w:hint="eastAsia"/>
          <w:snapToGrid/>
          <w:color w:val="auto"/>
          <w:kern w:val="2"/>
          <w:sz w:val="24"/>
          <w:szCs w:val="24"/>
          <w:lang w:eastAsia="zh-CN"/>
        </w:rPr>
        <w:t>在《海南省海岸带及海洋空间规划（</w:t>
      </w:r>
      <w:r>
        <w:rPr>
          <w:rFonts w:ascii="Times New Roman" w:eastAsia="宋体" w:hAnsi="Times New Roman" w:cs="Times New Roman" w:hint="eastAsia"/>
          <w:snapToGrid/>
          <w:color w:val="auto"/>
          <w:kern w:val="2"/>
          <w:sz w:val="24"/>
          <w:szCs w:val="24"/>
          <w:lang w:eastAsia="zh-CN"/>
        </w:rPr>
        <w:t>2021-2035</w:t>
      </w:r>
      <w:r>
        <w:rPr>
          <w:rFonts w:ascii="Times New Roman" w:eastAsia="宋体" w:hAnsi="Times New Roman" w:cs="Times New Roman" w:hint="eastAsia"/>
          <w:snapToGrid/>
          <w:color w:val="auto"/>
          <w:kern w:val="2"/>
          <w:sz w:val="24"/>
          <w:szCs w:val="24"/>
          <w:lang w:eastAsia="zh-CN"/>
        </w:rPr>
        <w:t>年）》中</w:t>
      </w:r>
      <w:r>
        <w:rPr>
          <w:rFonts w:ascii="Times New Roman" w:eastAsia="宋体" w:hAnsi="Times New Roman" w:cs="Times New Roman"/>
          <w:snapToGrid/>
          <w:color w:val="auto"/>
          <w:kern w:val="2"/>
          <w:sz w:val="24"/>
          <w:szCs w:val="24"/>
          <w:lang w:eastAsia="zh-CN"/>
        </w:rPr>
        <w:t>海洋功能区的分布情况，</w:t>
      </w:r>
      <w:r>
        <w:rPr>
          <w:rFonts w:ascii="Times New Roman" w:eastAsia="宋体" w:hAnsi="Times New Roman" w:cs="Times New Roman" w:hint="eastAsia"/>
          <w:snapToGrid/>
          <w:color w:val="auto"/>
          <w:kern w:val="2"/>
          <w:sz w:val="24"/>
          <w:szCs w:val="24"/>
          <w:lang w:eastAsia="zh-CN"/>
        </w:rPr>
        <w:t>并结合</w:t>
      </w:r>
      <w:r>
        <w:rPr>
          <w:rFonts w:ascii="Times New Roman" w:eastAsia="宋体" w:hAnsi="Times New Roman" w:cs="Times New Roman"/>
          <w:snapToGrid/>
          <w:color w:val="auto"/>
          <w:kern w:val="2"/>
          <w:sz w:val="24"/>
          <w:szCs w:val="24"/>
          <w:lang w:eastAsia="zh-CN"/>
        </w:rPr>
        <w:t>《海水水质标准》（</w:t>
      </w:r>
      <w:r>
        <w:rPr>
          <w:rFonts w:ascii="Times New Roman" w:eastAsia="宋体" w:hAnsi="Times New Roman" w:cs="Times New Roman"/>
          <w:snapToGrid/>
          <w:color w:val="auto"/>
          <w:kern w:val="2"/>
          <w:sz w:val="24"/>
          <w:szCs w:val="24"/>
          <w:lang w:eastAsia="zh-CN"/>
        </w:rPr>
        <w:t>GB3097-1997</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海水水质分类执行相应标准。</w:t>
      </w:r>
    </w:p>
    <w:p w14:paraId="50A7EE2D"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各水质调查站位所属海洋功能区及海洋环境执行标</w:t>
      </w:r>
      <w:r>
        <w:rPr>
          <w:rFonts w:ascii="Times New Roman" w:eastAsia="宋体" w:hAnsi="Times New Roman" w:cs="Times New Roman" w:hint="eastAsia"/>
          <w:snapToGrid/>
          <w:color w:val="auto"/>
          <w:kern w:val="2"/>
          <w:sz w:val="24"/>
          <w:szCs w:val="24"/>
          <w:lang w:eastAsia="zh-CN"/>
        </w:rPr>
        <w:t xml:space="preserve"> </w:t>
      </w:r>
      <w:r>
        <w:rPr>
          <w:rFonts w:ascii="Times New Roman" w:eastAsia="宋体" w:hAnsi="Times New Roman" w:cs="Times New Roman" w:hint="eastAsia"/>
          <w:snapToGrid/>
          <w:color w:val="auto"/>
          <w:kern w:val="2"/>
          <w:sz w:val="24"/>
          <w:szCs w:val="24"/>
          <w:lang w:eastAsia="zh-CN"/>
        </w:rPr>
        <w:t>准见表</w:t>
      </w:r>
      <w:r>
        <w:rPr>
          <w:rFonts w:ascii="Times New Roman" w:eastAsia="宋体" w:hAnsi="Times New Roman" w:cs="Times New Roman" w:hint="eastAsia"/>
          <w:snapToGrid/>
          <w:color w:val="auto"/>
          <w:kern w:val="2"/>
          <w:sz w:val="24"/>
          <w:szCs w:val="24"/>
          <w:lang w:eastAsia="zh-CN"/>
        </w:rPr>
        <w:t xml:space="preserve"> 3.2.5-4</w:t>
      </w:r>
      <w:r>
        <w:rPr>
          <w:rFonts w:ascii="Times New Roman" w:eastAsia="宋体" w:hAnsi="Times New Roman" w:cs="Times New Roman" w:hint="eastAsia"/>
          <w:snapToGrid/>
          <w:color w:val="auto"/>
          <w:kern w:val="2"/>
          <w:sz w:val="24"/>
          <w:szCs w:val="24"/>
          <w:lang w:eastAsia="zh-CN"/>
        </w:rPr>
        <w:t>和图</w:t>
      </w:r>
      <w:r>
        <w:rPr>
          <w:rFonts w:ascii="Times New Roman" w:eastAsia="宋体" w:hAnsi="Times New Roman" w:cs="Times New Roman" w:hint="eastAsia"/>
          <w:snapToGrid/>
          <w:color w:val="auto"/>
          <w:kern w:val="2"/>
          <w:sz w:val="24"/>
          <w:szCs w:val="24"/>
          <w:lang w:eastAsia="zh-CN"/>
        </w:rPr>
        <w:t>3.2.5-2</w:t>
      </w:r>
      <w:r>
        <w:rPr>
          <w:rFonts w:ascii="Times New Roman" w:eastAsia="宋体" w:hAnsi="Times New Roman" w:cs="Times New Roman" w:hint="eastAsia"/>
          <w:snapToGrid/>
          <w:color w:val="auto"/>
          <w:kern w:val="2"/>
          <w:sz w:val="24"/>
          <w:szCs w:val="24"/>
          <w:lang w:eastAsia="zh-CN"/>
        </w:rPr>
        <w:t>。</w:t>
      </w:r>
    </w:p>
    <w:p w14:paraId="556921AB" w14:textId="77777777" w:rsidR="0075791A" w:rsidRDefault="0075791A">
      <w:pPr>
        <w:widowControl w:val="0"/>
        <w:kinsoku/>
        <w:adjustRightInd/>
        <w:snapToGrid/>
        <w:jc w:val="center"/>
        <w:textAlignment w:val="auto"/>
        <w:rPr>
          <w:rFonts w:ascii="宋体" w:eastAsia="宋体" w:hAnsi="宋体" w:cs="宋体"/>
          <w:color w:val="auto"/>
          <w:sz w:val="24"/>
          <w:szCs w:val="24"/>
          <w:lang w:eastAsia="zh-CN"/>
        </w:rPr>
      </w:pPr>
    </w:p>
    <w:p w14:paraId="3D3D777C" w14:textId="77777777" w:rsidR="0075791A" w:rsidRDefault="0075791A">
      <w:pPr>
        <w:widowControl w:val="0"/>
        <w:kinsoku/>
        <w:adjustRightInd/>
        <w:snapToGrid/>
        <w:jc w:val="center"/>
        <w:textAlignment w:val="auto"/>
        <w:rPr>
          <w:rFonts w:ascii="宋体" w:eastAsia="宋体" w:hAnsi="宋体" w:cs="宋体"/>
          <w:color w:val="auto"/>
          <w:sz w:val="24"/>
          <w:szCs w:val="24"/>
          <w:lang w:eastAsia="zh-CN"/>
        </w:rPr>
      </w:pPr>
    </w:p>
    <w:p w14:paraId="7A1DAC21" w14:textId="77777777" w:rsidR="0075791A" w:rsidRDefault="00FB2864">
      <w:pPr>
        <w:widowControl w:val="0"/>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宋体" w:eastAsia="宋体" w:hAnsi="宋体" w:cs="宋体"/>
          <w:color w:val="auto"/>
          <w:sz w:val="24"/>
          <w:szCs w:val="24"/>
          <w:lang w:eastAsia="zh-CN"/>
        </w:rPr>
        <w:t>表</w:t>
      </w:r>
      <w:r>
        <w:rPr>
          <w:rFonts w:ascii="Times New Roman" w:eastAsia="宋体" w:hAnsi="Times New Roman" w:cs="Times New Roman" w:hint="eastAsia"/>
          <w:snapToGrid/>
          <w:color w:val="auto"/>
          <w:kern w:val="2"/>
          <w:sz w:val="24"/>
          <w:szCs w:val="24"/>
          <w:lang w:eastAsia="zh-CN"/>
        </w:rPr>
        <w:t>3.2.5</w:t>
      </w:r>
      <w:r>
        <w:rPr>
          <w:rFonts w:ascii="Times New Roman" w:eastAsia="Times New Roman" w:hAnsi="Times New Roman" w:cs="Times New Roman"/>
          <w:color w:val="auto"/>
          <w:spacing w:val="-1"/>
          <w:sz w:val="24"/>
          <w:szCs w:val="24"/>
          <w:lang w:eastAsia="zh-CN"/>
        </w:rPr>
        <w:t>-</w:t>
      </w:r>
      <w:r>
        <w:rPr>
          <w:rFonts w:ascii="Times New Roman" w:eastAsia="宋体" w:hAnsi="Times New Roman" w:cs="Times New Roman" w:hint="eastAsia"/>
          <w:color w:val="auto"/>
          <w:sz w:val="24"/>
          <w:szCs w:val="24"/>
          <w:lang w:eastAsia="zh-CN"/>
        </w:rPr>
        <w:t>4</w:t>
      </w:r>
      <w:r>
        <w:rPr>
          <w:rFonts w:ascii="Times New Roman" w:eastAsia="Times New Roman" w:hAnsi="Times New Roman" w:cs="Times New Roman"/>
          <w:color w:val="auto"/>
          <w:sz w:val="24"/>
          <w:szCs w:val="24"/>
          <w:lang w:eastAsia="zh-CN"/>
        </w:rPr>
        <w:tab/>
      </w:r>
      <w:r>
        <w:rPr>
          <w:rFonts w:ascii="Times New Roman" w:eastAsia="宋体" w:hAnsi="Times New Roman" w:cs="Times New Roman" w:hint="eastAsia"/>
          <w:color w:val="auto"/>
          <w:sz w:val="24"/>
          <w:szCs w:val="24"/>
          <w:lang w:eastAsia="zh-CN"/>
        </w:rPr>
        <w:t>秋季水质</w:t>
      </w:r>
      <w:r>
        <w:rPr>
          <w:rFonts w:ascii="宋体" w:eastAsia="宋体" w:hAnsi="宋体" w:cs="宋体"/>
          <w:color w:val="auto"/>
          <w:sz w:val="24"/>
          <w:szCs w:val="24"/>
          <w:lang w:eastAsia="zh-CN"/>
        </w:rPr>
        <w:t>调查站位所在海洋功能区划海洋环境保护要求</w:t>
      </w:r>
    </w:p>
    <w:tbl>
      <w:tblPr>
        <w:tblW w:w="0" w:type="auto"/>
        <w:jc w:val="center"/>
        <w:tblLayout w:type="fixed"/>
        <w:tblCellMar>
          <w:left w:w="0" w:type="dxa"/>
          <w:right w:w="0" w:type="dxa"/>
        </w:tblCellMar>
        <w:tblLook w:val="04A0" w:firstRow="1" w:lastRow="0" w:firstColumn="1" w:lastColumn="0" w:noHBand="0" w:noVBand="1"/>
      </w:tblPr>
      <w:tblGrid>
        <w:gridCol w:w="773"/>
        <w:gridCol w:w="1322"/>
        <w:gridCol w:w="1914"/>
        <w:gridCol w:w="1103"/>
        <w:gridCol w:w="3044"/>
      </w:tblGrid>
      <w:tr w:rsidR="0075791A" w14:paraId="462173FE" w14:textId="77777777">
        <w:trPr>
          <w:trHeight w:hRule="exact" w:val="370"/>
          <w:jc w:val="center"/>
        </w:trPr>
        <w:tc>
          <w:tcPr>
            <w:tcW w:w="773" w:type="dxa"/>
            <w:tcBorders>
              <w:top w:val="single" w:sz="4" w:space="0" w:color="000000"/>
              <w:left w:val="single" w:sz="4" w:space="0" w:color="000000"/>
              <w:bottom w:val="single" w:sz="4" w:space="0" w:color="000000"/>
              <w:right w:val="single" w:sz="4" w:space="0" w:color="000000"/>
            </w:tcBorders>
          </w:tcPr>
          <w:p w14:paraId="5F617741" w14:textId="77777777" w:rsidR="0075791A" w:rsidRDefault="00FB2864">
            <w:pPr>
              <w:pStyle w:val="TableParagraph"/>
              <w:spacing w:before="9"/>
              <w:ind w:left="170"/>
              <w:rPr>
                <w:rFonts w:ascii="Times New Roman" w:eastAsia="宋体" w:hAnsi="Times New Roman" w:cs="宋体"/>
                <w:color w:val="auto"/>
              </w:rPr>
            </w:pPr>
            <w:r>
              <w:rPr>
                <w:rFonts w:ascii="Times New Roman" w:eastAsia="宋体" w:hAnsi="Times New Roman" w:cs="宋体"/>
                <w:color w:val="auto"/>
                <w:spacing w:val="-1"/>
              </w:rPr>
              <w:t>序</w:t>
            </w:r>
            <w:r>
              <w:rPr>
                <w:rFonts w:ascii="Times New Roman" w:eastAsia="宋体" w:hAnsi="Times New Roman" w:cs="宋体"/>
                <w:color w:val="auto"/>
              </w:rPr>
              <w:t>号</w:t>
            </w:r>
          </w:p>
        </w:tc>
        <w:tc>
          <w:tcPr>
            <w:tcW w:w="1322" w:type="dxa"/>
            <w:tcBorders>
              <w:top w:val="single" w:sz="4" w:space="0" w:color="000000"/>
              <w:left w:val="single" w:sz="4" w:space="0" w:color="000000"/>
              <w:bottom w:val="single" w:sz="4" w:space="0" w:color="000000"/>
              <w:right w:val="single" w:sz="4" w:space="0" w:color="000000"/>
            </w:tcBorders>
          </w:tcPr>
          <w:p w14:paraId="3928EFD3" w14:textId="77777777" w:rsidR="0075791A" w:rsidRDefault="00FB2864">
            <w:pPr>
              <w:pStyle w:val="TableParagraph"/>
              <w:spacing w:before="9"/>
              <w:ind w:left="121" w:right="124"/>
              <w:jc w:val="center"/>
              <w:rPr>
                <w:rFonts w:ascii="Times New Roman" w:eastAsia="宋体" w:hAnsi="Times New Roman" w:cs="宋体"/>
                <w:color w:val="auto"/>
              </w:rPr>
            </w:pPr>
            <w:r>
              <w:rPr>
                <w:rFonts w:ascii="Times New Roman" w:eastAsia="宋体" w:hAnsi="Times New Roman" w:cs="宋体"/>
                <w:color w:val="auto"/>
                <w:spacing w:val="-1"/>
              </w:rPr>
              <w:t>站</w:t>
            </w:r>
            <w:r>
              <w:rPr>
                <w:rFonts w:ascii="Times New Roman" w:eastAsia="宋体" w:hAnsi="Times New Roman" w:cs="宋体"/>
                <w:color w:val="auto"/>
              </w:rPr>
              <w:t>号</w:t>
            </w:r>
          </w:p>
        </w:tc>
        <w:tc>
          <w:tcPr>
            <w:tcW w:w="1914" w:type="dxa"/>
            <w:tcBorders>
              <w:top w:val="single" w:sz="4" w:space="0" w:color="000000"/>
              <w:left w:val="single" w:sz="4" w:space="0" w:color="000000"/>
              <w:bottom w:val="single" w:sz="4" w:space="0" w:color="000000"/>
              <w:right w:val="single" w:sz="4" w:space="0" w:color="000000"/>
            </w:tcBorders>
          </w:tcPr>
          <w:p w14:paraId="72854B1D" w14:textId="77777777" w:rsidR="0075791A" w:rsidRDefault="00FB2864">
            <w:pPr>
              <w:pStyle w:val="TableParagraph"/>
              <w:spacing w:before="9"/>
              <w:ind w:left="211"/>
              <w:rPr>
                <w:rFonts w:ascii="Times New Roman" w:eastAsia="宋体" w:hAnsi="Times New Roman" w:cs="宋体"/>
                <w:color w:val="auto"/>
              </w:rPr>
            </w:pPr>
            <w:r>
              <w:rPr>
                <w:rFonts w:ascii="Times New Roman" w:eastAsia="宋体" w:hAnsi="Times New Roman" w:cs="宋体"/>
                <w:color w:val="auto"/>
                <w:spacing w:val="-1"/>
              </w:rPr>
              <w:t>所</w:t>
            </w:r>
            <w:r>
              <w:rPr>
                <w:rFonts w:ascii="Times New Roman" w:eastAsia="宋体" w:hAnsi="Times New Roman" w:cs="宋体"/>
                <w:color w:val="auto"/>
                <w:spacing w:val="2"/>
              </w:rPr>
              <w:t>属</w:t>
            </w:r>
            <w:r>
              <w:rPr>
                <w:rFonts w:ascii="Times New Roman" w:eastAsia="宋体" w:hAnsi="Times New Roman" w:cs="宋体"/>
                <w:color w:val="auto"/>
                <w:spacing w:val="-1"/>
              </w:rPr>
              <w:t>功</w:t>
            </w:r>
            <w:r>
              <w:rPr>
                <w:rFonts w:ascii="Times New Roman" w:eastAsia="宋体" w:hAnsi="Times New Roman" w:cs="宋体"/>
                <w:color w:val="auto"/>
                <w:spacing w:val="2"/>
              </w:rPr>
              <w:t>能</w:t>
            </w:r>
            <w:r>
              <w:rPr>
                <w:rFonts w:ascii="Times New Roman" w:eastAsia="宋体" w:hAnsi="Times New Roman" w:cs="宋体"/>
                <w:color w:val="auto"/>
                <w:spacing w:val="-1"/>
              </w:rPr>
              <w:t>区</w:t>
            </w:r>
            <w:r>
              <w:rPr>
                <w:rFonts w:ascii="Times New Roman" w:eastAsia="宋体" w:hAnsi="Times New Roman" w:cs="宋体"/>
                <w:color w:val="auto"/>
                <w:spacing w:val="2"/>
              </w:rPr>
              <w:t>名</w:t>
            </w:r>
            <w:r>
              <w:rPr>
                <w:rFonts w:ascii="Times New Roman" w:eastAsia="宋体" w:hAnsi="Times New Roman" w:cs="宋体"/>
                <w:color w:val="auto"/>
              </w:rPr>
              <w:t>称</w:t>
            </w:r>
          </w:p>
        </w:tc>
        <w:tc>
          <w:tcPr>
            <w:tcW w:w="1103" w:type="dxa"/>
            <w:tcBorders>
              <w:top w:val="single" w:sz="4" w:space="0" w:color="000000"/>
              <w:left w:val="single" w:sz="4" w:space="0" w:color="000000"/>
              <w:bottom w:val="single" w:sz="4" w:space="0" w:color="000000"/>
              <w:right w:val="single" w:sz="4" w:space="0" w:color="000000"/>
            </w:tcBorders>
          </w:tcPr>
          <w:p w14:paraId="7E9F9317" w14:textId="77777777" w:rsidR="0075791A" w:rsidRDefault="00FB2864">
            <w:pPr>
              <w:pStyle w:val="TableParagraph"/>
              <w:spacing w:before="9"/>
              <w:ind w:left="231"/>
              <w:rPr>
                <w:rFonts w:ascii="Times New Roman" w:eastAsia="宋体" w:hAnsi="Times New Roman" w:cs="宋体"/>
                <w:color w:val="auto"/>
              </w:rPr>
            </w:pPr>
            <w:r>
              <w:rPr>
                <w:rFonts w:ascii="Times New Roman" w:eastAsia="宋体" w:hAnsi="Times New Roman" w:cs="宋体"/>
                <w:color w:val="auto"/>
                <w:spacing w:val="-1"/>
              </w:rPr>
              <w:t>代</w:t>
            </w:r>
            <w:r>
              <w:rPr>
                <w:rFonts w:ascii="Times New Roman" w:eastAsia="宋体" w:hAnsi="Times New Roman" w:cs="宋体"/>
                <w:color w:val="auto"/>
              </w:rPr>
              <w:t>码</w:t>
            </w:r>
          </w:p>
        </w:tc>
        <w:tc>
          <w:tcPr>
            <w:tcW w:w="3044" w:type="dxa"/>
            <w:tcBorders>
              <w:top w:val="single" w:sz="4" w:space="0" w:color="000000"/>
              <w:left w:val="single" w:sz="4" w:space="0" w:color="000000"/>
              <w:bottom w:val="single" w:sz="4" w:space="0" w:color="000000"/>
              <w:right w:val="single" w:sz="4" w:space="0" w:color="000000"/>
            </w:tcBorders>
          </w:tcPr>
          <w:p w14:paraId="4ADAC76D" w14:textId="77777777" w:rsidR="0075791A" w:rsidRDefault="00FB2864">
            <w:pPr>
              <w:pStyle w:val="TableParagraph"/>
              <w:spacing w:before="9"/>
              <w:ind w:right="1"/>
              <w:jc w:val="center"/>
              <w:rPr>
                <w:rFonts w:ascii="Times New Roman" w:eastAsia="宋体" w:hAnsi="Times New Roman" w:cs="宋体"/>
                <w:color w:val="auto"/>
              </w:rPr>
            </w:pPr>
            <w:r>
              <w:rPr>
                <w:rFonts w:ascii="Times New Roman" w:eastAsia="宋体" w:hAnsi="Times New Roman" w:cs="宋体"/>
                <w:color w:val="auto"/>
                <w:spacing w:val="-1"/>
              </w:rPr>
              <w:t>执</w:t>
            </w:r>
            <w:r>
              <w:rPr>
                <w:rFonts w:ascii="Times New Roman" w:eastAsia="宋体" w:hAnsi="Times New Roman" w:cs="宋体"/>
                <w:color w:val="auto"/>
                <w:spacing w:val="2"/>
              </w:rPr>
              <w:t>行</w:t>
            </w:r>
            <w:r>
              <w:rPr>
                <w:rFonts w:ascii="Times New Roman" w:eastAsia="宋体" w:hAnsi="Times New Roman" w:cs="宋体"/>
                <w:color w:val="auto"/>
                <w:spacing w:val="-1"/>
              </w:rPr>
              <w:t>标</w:t>
            </w:r>
            <w:r>
              <w:rPr>
                <w:rFonts w:ascii="Times New Roman" w:eastAsia="宋体" w:hAnsi="Times New Roman" w:cs="宋体"/>
                <w:color w:val="auto"/>
              </w:rPr>
              <w:t>准</w:t>
            </w:r>
          </w:p>
        </w:tc>
      </w:tr>
      <w:tr w:rsidR="0075791A" w14:paraId="3BCD4FC5" w14:textId="77777777">
        <w:trPr>
          <w:trHeight w:hRule="exact" w:val="602"/>
          <w:jc w:val="center"/>
        </w:trPr>
        <w:tc>
          <w:tcPr>
            <w:tcW w:w="773" w:type="dxa"/>
            <w:tcBorders>
              <w:top w:val="single" w:sz="4" w:space="0" w:color="000000"/>
              <w:left w:val="single" w:sz="4" w:space="0" w:color="000000"/>
              <w:bottom w:val="single" w:sz="4" w:space="0" w:color="000000"/>
              <w:right w:val="single" w:sz="4" w:space="0" w:color="000000"/>
            </w:tcBorders>
            <w:vAlign w:val="center"/>
          </w:tcPr>
          <w:p w14:paraId="0C6BB77C" w14:textId="77777777" w:rsidR="0075791A" w:rsidRDefault="00FB2864">
            <w:pPr>
              <w:pStyle w:val="TableParagraph"/>
              <w:jc w:val="center"/>
              <w:rPr>
                <w:rFonts w:ascii="Times New Roman" w:eastAsia="宋体" w:hAnsi="Times New Roman" w:cs="宋体"/>
                <w:color w:val="auto"/>
                <w:spacing w:val="-1"/>
                <w:w w:val="95"/>
                <w:lang w:eastAsia="zh-CN"/>
              </w:rPr>
            </w:pPr>
            <w:r>
              <w:rPr>
                <w:rFonts w:ascii="Times New Roman" w:eastAsia="宋体" w:hAnsi="Times New Roman" w:cs="宋体" w:hint="eastAsia"/>
                <w:color w:val="auto"/>
                <w:spacing w:val="-1"/>
                <w:w w:val="95"/>
                <w:lang w:eastAsia="zh-CN"/>
              </w:rPr>
              <w:t>1</w:t>
            </w:r>
          </w:p>
        </w:tc>
        <w:tc>
          <w:tcPr>
            <w:tcW w:w="1322" w:type="dxa"/>
            <w:tcBorders>
              <w:top w:val="single" w:sz="4" w:space="0" w:color="000000"/>
              <w:left w:val="single" w:sz="4" w:space="0" w:color="000000"/>
              <w:bottom w:val="single" w:sz="4" w:space="0" w:color="000000"/>
              <w:right w:val="single" w:sz="4" w:space="0" w:color="000000"/>
            </w:tcBorders>
            <w:vAlign w:val="center"/>
          </w:tcPr>
          <w:p w14:paraId="1B6ACC38" w14:textId="77777777" w:rsidR="0075791A" w:rsidRDefault="00FB2864">
            <w:pPr>
              <w:pStyle w:val="TableParagraph"/>
              <w:jc w:val="center"/>
              <w:rPr>
                <w:rFonts w:ascii="Times New Roman" w:eastAsia="宋体" w:hAnsi="Times New Roman" w:cs="宋体"/>
                <w:color w:val="auto"/>
                <w:spacing w:val="-1"/>
                <w:w w:val="95"/>
                <w:lang w:eastAsia="zh-CN"/>
              </w:rPr>
            </w:pPr>
            <w:r>
              <w:rPr>
                <w:rFonts w:ascii="Times New Roman" w:eastAsia="宋体" w:hAnsi="Times New Roman" w:cs="宋体" w:hint="eastAsia"/>
                <w:color w:val="auto"/>
                <w:spacing w:val="-1"/>
                <w:w w:val="95"/>
                <w:lang w:eastAsia="zh-CN"/>
              </w:rPr>
              <w:t>1-12</w:t>
            </w:r>
          </w:p>
        </w:tc>
        <w:tc>
          <w:tcPr>
            <w:tcW w:w="1914" w:type="dxa"/>
            <w:tcBorders>
              <w:top w:val="single" w:sz="4" w:space="0" w:color="000000"/>
              <w:left w:val="single" w:sz="4" w:space="0" w:color="000000"/>
              <w:bottom w:val="single" w:sz="4" w:space="0" w:color="000000"/>
              <w:right w:val="single" w:sz="4" w:space="0" w:color="000000"/>
            </w:tcBorders>
            <w:vAlign w:val="center"/>
          </w:tcPr>
          <w:p w14:paraId="6B292E59" w14:textId="77777777" w:rsidR="0075791A" w:rsidRDefault="00FB2864">
            <w:pPr>
              <w:pStyle w:val="TableParagraph"/>
              <w:jc w:val="center"/>
              <w:rPr>
                <w:rFonts w:ascii="Times New Roman" w:eastAsia="宋体" w:hAnsi="Times New Roman"/>
                <w:color w:val="auto"/>
                <w:lang w:eastAsia="zh-CN"/>
              </w:rPr>
            </w:pPr>
            <w:r>
              <w:rPr>
                <w:rFonts w:ascii="Times New Roman" w:eastAsia="宋体" w:hAnsi="Times New Roman"/>
                <w:color w:val="auto"/>
                <w:lang w:val="zh-CN" w:eastAsia="zh-CN"/>
              </w:rPr>
              <w:t>铁炉港红树林自然保护区</w:t>
            </w:r>
          </w:p>
        </w:tc>
        <w:tc>
          <w:tcPr>
            <w:tcW w:w="1103" w:type="dxa"/>
            <w:tcBorders>
              <w:top w:val="single" w:sz="4" w:space="0" w:color="000000"/>
              <w:left w:val="single" w:sz="4" w:space="0" w:color="000000"/>
              <w:bottom w:val="single" w:sz="4" w:space="0" w:color="000000"/>
              <w:right w:val="single" w:sz="4" w:space="0" w:color="000000"/>
            </w:tcBorders>
            <w:vAlign w:val="center"/>
          </w:tcPr>
          <w:p w14:paraId="25E3FA67" w14:textId="77777777" w:rsidR="0075791A" w:rsidRDefault="00FB2864">
            <w:pPr>
              <w:pStyle w:val="TableParagraph"/>
              <w:jc w:val="center"/>
              <w:rPr>
                <w:rFonts w:ascii="Times New Roman" w:eastAsia="宋体" w:hAnsi="Times New Roman" w:cs="Times New Roman"/>
                <w:color w:val="auto"/>
                <w:spacing w:val="-1"/>
                <w:w w:val="95"/>
              </w:rPr>
            </w:pPr>
            <w:r>
              <w:rPr>
                <w:rFonts w:ascii="Times New Roman" w:eastAsia="宋体" w:hAnsi="Times New Roman" w:cs="Times New Roman"/>
                <w:color w:val="auto"/>
                <w:spacing w:val="-1"/>
                <w:w w:val="95"/>
                <w:lang w:val="zh-CN"/>
              </w:rPr>
              <w:t>HN009AⅡ</w:t>
            </w:r>
          </w:p>
        </w:tc>
        <w:tc>
          <w:tcPr>
            <w:tcW w:w="3044" w:type="dxa"/>
            <w:tcBorders>
              <w:top w:val="single" w:sz="4" w:space="0" w:color="000000"/>
              <w:left w:val="single" w:sz="4" w:space="0" w:color="000000"/>
              <w:bottom w:val="single" w:sz="4" w:space="0" w:color="000000"/>
              <w:right w:val="single" w:sz="4" w:space="0" w:color="000000"/>
            </w:tcBorders>
            <w:vAlign w:val="center"/>
          </w:tcPr>
          <w:p w14:paraId="360A14D0" w14:textId="77777777" w:rsidR="0075791A" w:rsidRDefault="00FB2864">
            <w:pPr>
              <w:pStyle w:val="TableParagraph"/>
              <w:jc w:val="center"/>
              <w:rPr>
                <w:rFonts w:ascii="Times New Roman" w:eastAsia="宋体" w:hAnsi="Times New Roman"/>
                <w:color w:val="auto"/>
                <w:lang w:eastAsia="zh-CN"/>
              </w:rPr>
            </w:pPr>
            <w:r>
              <w:rPr>
                <w:rFonts w:ascii="Times New Roman" w:eastAsia="宋体" w:hAnsi="Times New Roman" w:hint="eastAsia"/>
                <w:color w:val="auto"/>
                <w:lang w:val="zh-CN" w:eastAsia="zh-CN"/>
              </w:rPr>
              <w:t>执行二类海水水质保护目标</w:t>
            </w:r>
          </w:p>
        </w:tc>
      </w:tr>
      <w:tr w:rsidR="0075791A" w14:paraId="62E9B06E" w14:textId="77777777">
        <w:trPr>
          <w:trHeight w:hRule="exact" w:val="602"/>
          <w:jc w:val="center"/>
        </w:trPr>
        <w:tc>
          <w:tcPr>
            <w:tcW w:w="773" w:type="dxa"/>
            <w:tcBorders>
              <w:top w:val="single" w:sz="4" w:space="0" w:color="000000"/>
              <w:left w:val="single" w:sz="4" w:space="0" w:color="000000"/>
              <w:bottom w:val="single" w:sz="4" w:space="0" w:color="000000"/>
              <w:right w:val="single" w:sz="4" w:space="0" w:color="000000"/>
            </w:tcBorders>
            <w:vAlign w:val="center"/>
          </w:tcPr>
          <w:p w14:paraId="4E7A1B19" w14:textId="77777777" w:rsidR="0075791A" w:rsidRDefault="00FB2864">
            <w:pPr>
              <w:pStyle w:val="TableParagraph"/>
              <w:jc w:val="center"/>
              <w:rPr>
                <w:rFonts w:ascii="Times New Roman" w:eastAsia="宋体" w:hAnsi="Times New Roman" w:cs="宋体"/>
                <w:color w:val="auto"/>
                <w:spacing w:val="-1"/>
                <w:w w:val="95"/>
                <w:lang w:eastAsia="zh-CN"/>
              </w:rPr>
            </w:pPr>
            <w:r>
              <w:rPr>
                <w:rFonts w:ascii="Times New Roman" w:eastAsia="宋体" w:hAnsi="Times New Roman" w:cs="宋体" w:hint="eastAsia"/>
                <w:color w:val="auto"/>
                <w:spacing w:val="-1"/>
                <w:w w:val="95"/>
                <w:lang w:eastAsia="zh-CN"/>
              </w:rPr>
              <w:t>2</w:t>
            </w:r>
          </w:p>
        </w:tc>
        <w:tc>
          <w:tcPr>
            <w:tcW w:w="1322" w:type="dxa"/>
            <w:tcBorders>
              <w:top w:val="single" w:sz="4" w:space="0" w:color="000000"/>
              <w:left w:val="single" w:sz="4" w:space="0" w:color="000000"/>
              <w:bottom w:val="single" w:sz="4" w:space="0" w:color="000000"/>
              <w:right w:val="single" w:sz="4" w:space="0" w:color="000000"/>
            </w:tcBorders>
            <w:vAlign w:val="center"/>
          </w:tcPr>
          <w:p w14:paraId="3D6E6274" w14:textId="77777777" w:rsidR="0075791A" w:rsidRDefault="00FB2864">
            <w:pPr>
              <w:pStyle w:val="TableParagraph"/>
              <w:jc w:val="center"/>
              <w:rPr>
                <w:rFonts w:ascii="Times New Roman" w:eastAsia="宋体" w:hAnsi="Times New Roman" w:cs="宋体"/>
                <w:color w:val="auto"/>
                <w:spacing w:val="-1"/>
                <w:w w:val="95"/>
                <w:lang w:eastAsia="zh-CN"/>
              </w:rPr>
            </w:pPr>
            <w:r>
              <w:rPr>
                <w:rFonts w:ascii="Times New Roman" w:eastAsia="宋体" w:hAnsi="Times New Roman" w:cs="宋体"/>
                <w:color w:val="auto"/>
                <w:spacing w:val="-1"/>
                <w:w w:val="95"/>
              </w:rPr>
              <w:t>H1</w:t>
            </w:r>
            <w:r>
              <w:rPr>
                <w:rFonts w:ascii="Times New Roman" w:eastAsia="宋体" w:hAnsi="Times New Roman" w:cs="宋体"/>
                <w:color w:val="auto"/>
                <w:spacing w:val="-1"/>
                <w:w w:val="95"/>
              </w:rPr>
              <w:t>、</w:t>
            </w:r>
            <w:r>
              <w:rPr>
                <w:rFonts w:ascii="Times New Roman" w:eastAsia="宋体" w:hAnsi="Times New Roman" w:cs="宋体"/>
                <w:color w:val="auto"/>
                <w:spacing w:val="-1"/>
                <w:w w:val="95"/>
              </w:rPr>
              <w:t>H4</w:t>
            </w:r>
            <w:r>
              <w:rPr>
                <w:rFonts w:ascii="Times New Roman" w:eastAsia="宋体" w:hAnsi="Times New Roman" w:cs="宋体"/>
                <w:color w:val="auto"/>
                <w:spacing w:val="-1"/>
                <w:w w:val="95"/>
              </w:rPr>
              <w:t>、</w:t>
            </w:r>
            <w:r>
              <w:rPr>
                <w:rFonts w:ascii="Times New Roman" w:eastAsia="宋体" w:hAnsi="Times New Roman" w:cs="宋体"/>
                <w:color w:val="auto"/>
                <w:spacing w:val="-1"/>
                <w:w w:val="95"/>
              </w:rPr>
              <w:t>H7</w:t>
            </w:r>
            <w:r>
              <w:rPr>
                <w:rFonts w:ascii="Times New Roman" w:eastAsia="宋体" w:hAnsi="Times New Roman" w:cs="宋体" w:hint="eastAsia"/>
                <w:color w:val="auto"/>
                <w:spacing w:val="-1"/>
                <w:w w:val="95"/>
                <w:lang w:eastAsia="zh-CN"/>
              </w:rPr>
              <w:t>、</w:t>
            </w:r>
            <w:r>
              <w:rPr>
                <w:rFonts w:ascii="Times New Roman" w:eastAsia="宋体" w:hAnsi="Times New Roman" w:cs="宋体" w:hint="eastAsia"/>
                <w:color w:val="auto"/>
                <w:spacing w:val="-1"/>
                <w:w w:val="95"/>
                <w:lang w:eastAsia="zh-CN"/>
              </w:rPr>
              <w:t>H10</w:t>
            </w:r>
          </w:p>
        </w:tc>
        <w:tc>
          <w:tcPr>
            <w:tcW w:w="1914" w:type="dxa"/>
            <w:tcBorders>
              <w:top w:val="single" w:sz="4" w:space="0" w:color="000000"/>
              <w:left w:val="single" w:sz="4" w:space="0" w:color="000000"/>
              <w:bottom w:val="single" w:sz="4" w:space="0" w:color="000000"/>
              <w:right w:val="single" w:sz="4" w:space="0" w:color="000000"/>
            </w:tcBorders>
            <w:vAlign w:val="center"/>
          </w:tcPr>
          <w:p w14:paraId="4EC3C3D9" w14:textId="77777777" w:rsidR="0075791A" w:rsidRDefault="00FB2864">
            <w:pPr>
              <w:pStyle w:val="TableParagraph"/>
              <w:jc w:val="center"/>
              <w:rPr>
                <w:rFonts w:ascii="Times New Roman" w:eastAsia="宋体" w:hAnsi="Times New Roman"/>
                <w:color w:val="auto"/>
                <w:lang w:val="zh-CN" w:eastAsia="zh-CN"/>
              </w:rPr>
            </w:pPr>
            <w:r>
              <w:rPr>
                <w:rFonts w:ascii="Times New Roman" w:eastAsia="宋体" w:hAnsi="Times New Roman"/>
                <w:color w:val="auto"/>
                <w:lang w:val="zh-CN" w:eastAsia="zh-CN"/>
              </w:rPr>
              <w:t>海棠湾度假旅游区</w:t>
            </w:r>
          </w:p>
        </w:tc>
        <w:tc>
          <w:tcPr>
            <w:tcW w:w="1103" w:type="dxa"/>
            <w:tcBorders>
              <w:top w:val="single" w:sz="4" w:space="0" w:color="000000"/>
              <w:left w:val="single" w:sz="4" w:space="0" w:color="000000"/>
              <w:bottom w:val="single" w:sz="4" w:space="0" w:color="000000"/>
              <w:right w:val="single" w:sz="4" w:space="0" w:color="000000"/>
            </w:tcBorders>
            <w:vAlign w:val="center"/>
          </w:tcPr>
          <w:p w14:paraId="473D2F27" w14:textId="77777777" w:rsidR="0075791A" w:rsidRDefault="00FB2864">
            <w:pPr>
              <w:pStyle w:val="TableParagraph"/>
              <w:jc w:val="center"/>
              <w:rPr>
                <w:rFonts w:ascii="Times New Roman" w:eastAsia="宋体" w:hAnsi="Times New Roman" w:cs="Times New Roman"/>
                <w:color w:val="auto"/>
                <w:spacing w:val="-1"/>
                <w:w w:val="95"/>
                <w:lang w:val="zh-CN"/>
              </w:rPr>
            </w:pPr>
            <w:r>
              <w:rPr>
                <w:rFonts w:ascii="Times New Roman" w:eastAsia="宋体" w:hAnsi="Times New Roman" w:cs="Times New Roman"/>
                <w:color w:val="auto"/>
                <w:spacing w:val="-1"/>
                <w:w w:val="95"/>
                <w:lang w:val="zh-CN"/>
              </w:rPr>
              <w:t>HN050BⅠ</w:t>
            </w:r>
          </w:p>
        </w:tc>
        <w:tc>
          <w:tcPr>
            <w:tcW w:w="3044" w:type="dxa"/>
            <w:tcBorders>
              <w:top w:val="single" w:sz="4" w:space="0" w:color="000000"/>
              <w:left w:val="single" w:sz="4" w:space="0" w:color="000000"/>
              <w:bottom w:val="single" w:sz="4" w:space="0" w:color="000000"/>
              <w:right w:val="single" w:sz="4" w:space="0" w:color="000000"/>
            </w:tcBorders>
            <w:vAlign w:val="center"/>
          </w:tcPr>
          <w:p w14:paraId="1146C469" w14:textId="77777777" w:rsidR="0075791A" w:rsidRDefault="00FB2864">
            <w:pPr>
              <w:pStyle w:val="TableParagraph"/>
              <w:jc w:val="center"/>
              <w:rPr>
                <w:rFonts w:ascii="Times New Roman" w:eastAsia="宋体" w:hAnsi="Times New Roman"/>
                <w:color w:val="auto"/>
                <w:lang w:val="zh-CN" w:eastAsia="zh-CN"/>
              </w:rPr>
            </w:pPr>
            <w:r>
              <w:rPr>
                <w:rFonts w:ascii="Times New Roman" w:eastAsia="宋体" w:hAnsi="Times New Roman" w:hint="eastAsia"/>
                <w:color w:val="auto"/>
                <w:lang w:val="zh-CN" w:eastAsia="zh-CN"/>
              </w:rPr>
              <w:t>执行一类海水水质保护目标</w:t>
            </w:r>
          </w:p>
        </w:tc>
      </w:tr>
      <w:tr w:rsidR="0075791A" w14:paraId="160C8D43" w14:textId="77777777">
        <w:trPr>
          <w:trHeight w:hRule="exact" w:val="602"/>
          <w:jc w:val="center"/>
        </w:trPr>
        <w:tc>
          <w:tcPr>
            <w:tcW w:w="773" w:type="dxa"/>
            <w:tcBorders>
              <w:top w:val="single" w:sz="4" w:space="0" w:color="000000"/>
              <w:left w:val="single" w:sz="4" w:space="0" w:color="000000"/>
              <w:bottom w:val="single" w:sz="4" w:space="0" w:color="000000"/>
              <w:right w:val="single" w:sz="4" w:space="0" w:color="000000"/>
            </w:tcBorders>
            <w:vAlign w:val="center"/>
          </w:tcPr>
          <w:p w14:paraId="3A226652" w14:textId="77777777" w:rsidR="0075791A" w:rsidRDefault="00FB2864">
            <w:pPr>
              <w:pStyle w:val="TableParagraph"/>
              <w:jc w:val="center"/>
              <w:rPr>
                <w:rFonts w:ascii="Times New Roman" w:eastAsia="宋体" w:hAnsi="Times New Roman" w:cs="宋体"/>
                <w:color w:val="auto"/>
                <w:spacing w:val="-1"/>
                <w:lang w:eastAsia="zh-CN"/>
              </w:rPr>
            </w:pPr>
            <w:r>
              <w:rPr>
                <w:rFonts w:ascii="Times New Roman" w:eastAsia="宋体" w:hAnsi="Times New Roman" w:cs="宋体" w:hint="eastAsia"/>
                <w:color w:val="auto"/>
                <w:spacing w:val="-1"/>
                <w:lang w:eastAsia="zh-CN"/>
              </w:rPr>
              <w:t>3</w:t>
            </w:r>
          </w:p>
        </w:tc>
        <w:tc>
          <w:tcPr>
            <w:tcW w:w="1322" w:type="dxa"/>
            <w:tcBorders>
              <w:top w:val="single" w:sz="4" w:space="0" w:color="000000"/>
              <w:left w:val="single" w:sz="4" w:space="0" w:color="000000"/>
              <w:bottom w:val="single" w:sz="4" w:space="0" w:color="000000"/>
              <w:right w:val="single" w:sz="4" w:space="0" w:color="000000"/>
            </w:tcBorders>
            <w:vAlign w:val="center"/>
          </w:tcPr>
          <w:p w14:paraId="54BC2304" w14:textId="77777777" w:rsidR="0075791A" w:rsidRDefault="00FB2864">
            <w:pPr>
              <w:pStyle w:val="TableParagraph"/>
              <w:jc w:val="center"/>
              <w:rPr>
                <w:rFonts w:ascii="Times New Roman" w:eastAsia="宋体" w:hAnsi="Times New Roman" w:cs="宋体"/>
                <w:color w:val="auto"/>
                <w:spacing w:val="-1"/>
                <w:lang w:eastAsia="zh-CN"/>
              </w:rPr>
            </w:pPr>
            <w:r>
              <w:rPr>
                <w:rFonts w:ascii="Times New Roman" w:eastAsia="宋体" w:hAnsi="Times New Roman" w:cs="宋体" w:hint="eastAsia"/>
                <w:color w:val="auto"/>
                <w:spacing w:val="-1"/>
                <w:lang w:eastAsia="zh-CN"/>
              </w:rPr>
              <w:t>H2</w:t>
            </w:r>
          </w:p>
        </w:tc>
        <w:tc>
          <w:tcPr>
            <w:tcW w:w="1914" w:type="dxa"/>
            <w:tcBorders>
              <w:top w:val="single" w:sz="4" w:space="0" w:color="000000"/>
              <w:left w:val="single" w:sz="4" w:space="0" w:color="000000"/>
              <w:bottom w:val="single" w:sz="4" w:space="0" w:color="000000"/>
              <w:right w:val="single" w:sz="4" w:space="0" w:color="000000"/>
            </w:tcBorders>
            <w:vAlign w:val="center"/>
          </w:tcPr>
          <w:p w14:paraId="50983861" w14:textId="77777777" w:rsidR="0075791A" w:rsidRDefault="00FB2864">
            <w:pPr>
              <w:pStyle w:val="TableParagraph"/>
              <w:jc w:val="center"/>
              <w:rPr>
                <w:rFonts w:ascii="Times New Roman" w:eastAsia="宋体" w:hAnsi="Times New Roman"/>
                <w:color w:val="auto"/>
                <w:lang w:val="zh-CN" w:eastAsia="zh-CN"/>
              </w:rPr>
            </w:pPr>
            <w:r>
              <w:rPr>
                <w:rFonts w:ascii="Times New Roman" w:eastAsia="宋体" w:hAnsi="Times New Roman"/>
                <w:color w:val="auto"/>
                <w:lang w:eastAsia="zh-CN"/>
              </w:rPr>
              <w:t>土福湾</w:t>
            </w:r>
            <w:r>
              <w:rPr>
                <w:rFonts w:ascii="Times New Roman" w:eastAsia="宋体" w:hAnsi="Times New Roman"/>
                <w:color w:val="auto"/>
                <w:lang w:eastAsia="zh-CN"/>
              </w:rPr>
              <w:t>-</w:t>
            </w:r>
            <w:r>
              <w:rPr>
                <w:rFonts w:ascii="Times New Roman" w:eastAsia="宋体" w:hAnsi="Times New Roman"/>
                <w:color w:val="auto"/>
                <w:lang w:eastAsia="zh-CN"/>
              </w:rPr>
              <w:t>清水湾度假旅游区</w:t>
            </w:r>
          </w:p>
        </w:tc>
        <w:tc>
          <w:tcPr>
            <w:tcW w:w="1103" w:type="dxa"/>
            <w:tcBorders>
              <w:top w:val="single" w:sz="4" w:space="0" w:color="000000"/>
              <w:left w:val="single" w:sz="4" w:space="0" w:color="000000"/>
              <w:bottom w:val="single" w:sz="4" w:space="0" w:color="000000"/>
              <w:right w:val="single" w:sz="4" w:space="0" w:color="000000"/>
            </w:tcBorders>
            <w:vAlign w:val="center"/>
          </w:tcPr>
          <w:p w14:paraId="7AB7B89A" w14:textId="77777777" w:rsidR="0075791A" w:rsidRDefault="00FB2864">
            <w:pPr>
              <w:pStyle w:val="TableParagraph"/>
              <w:jc w:val="center"/>
              <w:rPr>
                <w:rFonts w:ascii="Times New Roman" w:eastAsia="宋体" w:hAnsi="Times New Roman" w:cs="Times New Roman"/>
                <w:color w:val="auto"/>
                <w:lang w:val="zh-CN"/>
              </w:rPr>
            </w:pPr>
            <w:r>
              <w:rPr>
                <w:rFonts w:ascii="Times New Roman" w:eastAsia="宋体" w:hAnsi="Times New Roman" w:cs="Times New Roman"/>
                <w:color w:val="auto"/>
              </w:rPr>
              <w:t>HN049BⅠ</w:t>
            </w:r>
          </w:p>
        </w:tc>
        <w:tc>
          <w:tcPr>
            <w:tcW w:w="3044" w:type="dxa"/>
            <w:tcBorders>
              <w:top w:val="single" w:sz="4" w:space="0" w:color="000000"/>
              <w:left w:val="single" w:sz="4" w:space="0" w:color="000000"/>
              <w:bottom w:val="single" w:sz="4" w:space="0" w:color="000000"/>
              <w:right w:val="single" w:sz="4" w:space="0" w:color="000000"/>
            </w:tcBorders>
            <w:vAlign w:val="center"/>
          </w:tcPr>
          <w:p w14:paraId="7531E434" w14:textId="77777777" w:rsidR="0075791A" w:rsidRDefault="00FB2864">
            <w:pPr>
              <w:pStyle w:val="TableParagraph"/>
              <w:jc w:val="center"/>
              <w:rPr>
                <w:rFonts w:ascii="Times New Roman" w:eastAsia="宋体" w:hAnsi="Times New Roman"/>
                <w:color w:val="auto"/>
                <w:lang w:val="zh-CN" w:eastAsia="zh-CN"/>
              </w:rPr>
            </w:pPr>
            <w:r>
              <w:rPr>
                <w:rFonts w:ascii="Times New Roman" w:eastAsia="宋体" w:hAnsi="Times New Roman" w:hint="eastAsia"/>
                <w:color w:val="auto"/>
                <w:lang w:val="zh-CN" w:eastAsia="zh-CN"/>
              </w:rPr>
              <w:t>执行一类海水水质保护目标</w:t>
            </w:r>
          </w:p>
        </w:tc>
      </w:tr>
      <w:tr w:rsidR="0075791A" w14:paraId="36E5AFBC" w14:textId="77777777">
        <w:trPr>
          <w:trHeight w:hRule="exact" w:val="720"/>
          <w:jc w:val="center"/>
        </w:trPr>
        <w:tc>
          <w:tcPr>
            <w:tcW w:w="773" w:type="dxa"/>
            <w:tcBorders>
              <w:top w:val="single" w:sz="4" w:space="0" w:color="000000"/>
              <w:left w:val="single" w:sz="4" w:space="0" w:color="000000"/>
              <w:bottom w:val="single" w:sz="4" w:space="0" w:color="000000"/>
              <w:right w:val="single" w:sz="4" w:space="0" w:color="000000"/>
            </w:tcBorders>
            <w:vAlign w:val="center"/>
          </w:tcPr>
          <w:p w14:paraId="7A940C3E" w14:textId="77777777" w:rsidR="0075791A" w:rsidRDefault="00FB2864">
            <w:pPr>
              <w:pStyle w:val="TableParagraph"/>
              <w:jc w:val="center"/>
              <w:rPr>
                <w:rFonts w:ascii="Times New Roman" w:eastAsia="宋体" w:hAnsi="Times New Roman" w:cs="宋体"/>
                <w:color w:val="auto"/>
                <w:spacing w:val="-1"/>
                <w:lang w:eastAsia="zh-CN"/>
              </w:rPr>
            </w:pPr>
            <w:r>
              <w:rPr>
                <w:rFonts w:ascii="Times New Roman" w:eastAsia="宋体" w:hAnsi="Times New Roman" w:cs="宋体" w:hint="eastAsia"/>
                <w:color w:val="auto"/>
                <w:spacing w:val="-1"/>
                <w:lang w:eastAsia="zh-CN"/>
              </w:rPr>
              <w:lastRenderedPageBreak/>
              <w:t>4</w:t>
            </w:r>
          </w:p>
        </w:tc>
        <w:tc>
          <w:tcPr>
            <w:tcW w:w="1322" w:type="dxa"/>
            <w:tcBorders>
              <w:top w:val="single" w:sz="4" w:space="0" w:color="000000"/>
              <w:left w:val="single" w:sz="4" w:space="0" w:color="000000"/>
              <w:bottom w:val="single" w:sz="4" w:space="0" w:color="000000"/>
              <w:right w:val="single" w:sz="4" w:space="0" w:color="000000"/>
            </w:tcBorders>
            <w:vAlign w:val="center"/>
          </w:tcPr>
          <w:p w14:paraId="1CA69C9D" w14:textId="77777777" w:rsidR="0075791A" w:rsidRDefault="00FB2864">
            <w:pPr>
              <w:pStyle w:val="TableParagraph"/>
              <w:jc w:val="center"/>
              <w:rPr>
                <w:rFonts w:ascii="Times New Roman" w:eastAsia="宋体" w:hAnsi="Times New Roman" w:cs="宋体"/>
                <w:color w:val="auto"/>
                <w:spacing w:val="-1"/>
                <w:lang w:eastAsia="zh-CN"/>
              </w:rPr>
            </w:pPr>
            <w:r>
              <w:rPr>
                <w:rFonts w:ascii="Times New Roman" w:eastAsia="宋体" w:hAnsi="Times New Roman" w:cs="宋体" w:hint="eastAsia"/>
                <w:color w:val="auto"/>
                <w:spacing w:val="-1"/>
                <w:lang w:eastAsia="zh-CN"/>
              </w:rPr>
              <w:t>H3</w:t>
            </w:r>
            <w:r>
              <w:rPr>
                <w:rFonts w:ascii="Times New Roman" w:eastAsia="宋体" w:hAnsi="Times New Roman" w:cs="宋体" w:hint="eastAsia"/>
                <w:color w:val="auto"/>
                <w:spacing w:val="-1"/>
                <w:lang w:eastAsia="zh-CN"/>
              </w:rPr>
              <w:t>、</w:t>
            </w:r>
            <w:r>
              <w:rPr>
                <w:rFonts w:ascii="Times New Roman" w:eastAsia="宋体" w:hAnsi="Times New Roman" w:cs="宋体" w:hint="eastAsia"/>
                <w:color w:val="auto"/>
                <w:spacing w:val="-1"/>
                <w:lang w:eastAsia="zh-CN"/>
              </w:rPr>
              <w:t>H6</w:t>
            </w:r>
          </w:p>
        </w:tc>
        <w:tc>
          <w:tcPr>
            <w:tcW w:w="1914" w:type="dxa"/>
            <w:tcBorders>
              <w:top w:val="single" w:sz="4" w:space="0" w:color="000000"/>
              <w:left w:val="single" w:sz="4" w:space="0" w:color="000000"/>
              <w:bottom w:val="single" w:sz="4" w:space="0" w:color="000000"/>
              <w:right w:val="single" w:sz="4" w:space="0" w:color="000000"/>
            </w:tcBorders>
            <w:vAlign w:val="center"/>
          </w:tcPr>
          <w:p w14:paraId="3ED2F0B4" w14:textId="77777777" w:rsidR="0075791A" w:rsidRDefault="00FB2864">
            <w:pPr>
              <w:pStyle w:val="TableParagraph"/>
              <w:jc w:val="center"/>
              <w:rPr>
                <w:rFonts w:ascii="Times New Roman" w:eastAsia="宋体" w:hAnsi="Times New Roman"/>
                <w:color w:val="auto"/>
                <w:lang w:eastAsia="zh-CN"/>
              </w:rPr>
            </w:pPr>
            <w:r>
              <w:rPr>
                <w:rFonts w:ascii="Times New Roman" w:eastAsia="宋体" w:hAnsi="Times New Roman"/>
                <w:color w:val="auto"/>
                <w:lang w:eastAsia="zh-CN"/>
              </w:rPr>
              <w:t>海南岛东南部重要渔业资源生态保护区</w:t>
            </w:r>
          </w:p>
        </w:tc>
        <w:tc>
          <w:tcPr>
            <w:tcW w:w="1103" w:type="dxa"/>
            <w:tcBorders>
              <w:top w:val="single" w:sz="4" w:space="0" w:color="000000"/>
              <w:left w:val="single" w:sz="4" w:space="0" w:color="000000"/>
              <w:bottom w:val="single" w:sz="4" w:space="0" w:color="000000"/>
              <w:right w:val="single" w:sz="4" w:space="0" w:color="000000"/>
            </w:tcBorders>
            <w:vAlign w:val="center"/>
          </w:tcPr>
          <w:p w14:paraId="3D68EFAD" w14:textId="77777777" w:rsidR="0075791A" w:rsidRDefault="00FB2864">
            <w:pPr>
              <w:pStyle w:val="TableParagraph"/>
              <w:jc w:val="center"/>
              <w:rPr>
                <w:rFonts w:ascii="Times New Roman" w:eastAsia="宋体" w:hAnsi="Times New Roman"/>
                <w:color w:val="auto"/>
                <w:lang w:eastAsia="zh-CN"/>
              </w:rPr>
            </w:pPr>
            <w:r>
              <w:rPr>
                <w:rFonts w:ascii="Times New Roman" w:eastAsia="宋体" w:hAnsi="Times New Roman" w:hint="eastAsia"/>
                <w:color w:val="auto"/>
                <w:lang w:eastAsia="zh-CN"/>
              </w:rPr>
              <w:t>—</w:t>
            </w:r>
          </w:p>
        </w:tc>
        <w:tc>
          <w:tcPr>
            <w:tcW w:w="3044" w:type="dxa"/>
            <w:tcBorders>
              <w:top w:val="single" w:sz="4" w:space="0" w:color="000000"/>
              <w:left w:val="single" w:sz="4" w:space="0" w:color="000000"/>
              <w:bottom w:val="single" w:sz="4" w:space="0" w:color="000000"/>
              <w:right w:val="single" w:sz="4" w:space="0" w:color="000000"/>
            </w:tcBorders>
            <w:vAlign w:val="center"/>
          </w:tcPr>
          <w:p w14:paraId="7DBF81DB" w14:textId="77777777" w:rsidR="0075791A" w:rsidRDefault="00FB2864">
            <w:pPr>
              <w:pStyle w:val="TableParagraph"/>
              <w:jc w:val="center"/>
              <w:rPr>
                <w:rFonts w:ascii="Times New Roman" w:eastAsia="宋体" w:hAnsi="Times New Roman"/>
                <w:color w:val="auto"/>
                <w:lang w:val="zh-CN" w:eastAsia="zh-CN"/>
              </w:rPr>
            </w:pPr>
            <w:r>
              <w:rPr>
                <w:rFonts w:ascii="Times New Roman" w:eastAsia="宋体" w:hAnsi="Times New Roman" w:hint="eastAsia"/>
                <w:color w:val="auto"/>
                <w:lang w:val="zh-CN" w:eastAsia="zh-CN"/>
              </w:rPr>
              <w:t>执行一类海水水质保护目标</w:t>
            </w:r>
          </w:p>
        </w:tc>
      </w:tr>
      <w:tr w:rsidR="0075791A" w14:paraId="159C4B4D" w14:textId="77777777">
        <w:trPr>
          <w:trHeight w:hRule="exact" w:val="659"/>
          <w:jc w:val="center"/>
        </w:trPr>
        <w:tc>
          <w:tcPr>
            <w:tcW w:w="773" w:type="dxa"/>
            <w:tcBorders>
              <w:top w:val="single" w:sz="4" w:space="0" w:color="000000"/>
              <w:left w:val="single" w:sz="4" w:space="0" w:color="000000"/>
              <w:bottom w:val="single" w:sz="4" w:space="0" w:color="000000"/>
              <w:right w:val="single" w:sz="4" w:space="0" w:color="000000"/>
            </w:tcBorders>
            <w:vAlign w:val="center"/>
          </w:tcPr>
          <w:p w14:paraId="24939ED5" w14:textId="77777777" w:rsidR="0075791A" w:rsidRDefault="00FB2864">
            <w:pPr>
              <w:pStyle w:val="TableParagraph"/>
              <w:jc w:val="center"/>
              <w:rPr>
                <w:rFonts w:ascii="Times New Roman" w:eastAsia="宋体" w:hAnsi="Times New Roman" w:cs="宋体"/>
                <w:color w:val="auto"/>
                <w:spacing w:val="-1"/>
                <w:lang w:eastAsia="zh-CN"/>
              </w:rPr>
            </w:pPr>
            <w:r>
              <w:rPr>
                <w:rFonts w:ascii="Times New Roman" w:eastAsia="宋体" w:hAnsi="Times New Roman" w:cs="宋体" w:hint="eastAsia"/>
                <w:color w:val="auto"/>
                <w:spacing w:val="-1"/>
                <w:lang w:eastAsia="zh-CN"/>
              </w:rPr>
              <w:t>5</w:t>
            </w:r>
          </w:p>
        </w:tc>
        <w:tc>
          <w:tcPr>
            <w:tcW w:w="1322" w:type="dxa"/>
            <w:tcBorders>
              <w:top w:val="single" w:sz="4" w:space="0" w:color="000000"/>
              <w:left w:val="single" w:sz="4" w:space="0" w:color="000000"/>
              <w:bottom w:val="single" w:sz="4" w:space="0" w:color="000000"/>
              <w:right w:val="single" w:sz="4" w:space="0" w:color="000000"/>
            </w:tcBorders>
            <w:vAlign w:val="center"/>
          </w:tcPr>
          <w:p w14:paraId="4E411B8F" w14:textId="77777777" w:rsidR="0075791A" w:rsidRDefault="00FB2864">
            <w:pPr>
              <w:pStyle w:val="TableParagraph"/>
              <w:jc w:val="center"/>
              <w:rPr>
                <w:rFonts w:ascii="Times New Roman" w:eastAsia="宋体" w:hAnsi="Times New Roman" w:cs="宋体"/>
                <w:color w:val="auto"/>
                <w:spacing w:val="-1"/>
                <w:lang w:eastAsia="zh-CN"/>
              </w:rPr>
            </w:pPr>
            <w:r>
              <w:rPr>
                <w:rFonts w:ascii="Times New Roman" w:eastAsia="宋体" w:hAnsi="Times New Roman" w:cs="宋体" w:hint="eastAsia"/>
                <w:color w:val="auto"/>
                <w:spacing w:val="-1"/>
                <w:lang w:eastAsia="zh-CN"/>
              </w:rPr>
              <w:t>H5</w:t>
            </w:r>
            <w:r>
              <w:rPr>
                <w:rFonts w:ascii="Times New Roman" w:eastAsia="宋体" w:hAnsi="Times New Roman" w:cs="宋体" w:hint="eastAsia"/>
                <w:color w:val="auto"/>
                <w:spacing w:val="-1"/>
                <w:lang w:eastAsia="zh-CN"/>
              </w:rPr>
              <w:t>、</w:t>
            </w:r>
            <w:r>
              <w:rPr>
                <w:rFonts w:ascii="Times New Roman" w:eastAsia="宋体" w:hAnsi="Times New Roman" w:cs="宋体" w:hint="eastAsia"/>
                <w:color w:val="auto"/>
                <w:spacing w:val="-1"/>
                <w:lang w:eastAsia="zh-CN"/>
              </w:rPr>
              <w:t>H8</w:t>
            </w:r>
            <w:r>
              <w:rPr>
                <w:rFonts w:ascii="Times New Roman" w:eastAsia="宋体" w:hAnsi="Times New Roman" w:cs="宋体" w:hint="eastAsia"/>
                <w:color w:val="auto"/>
                <w:spacing w:val="-1"/>
                <w:lang w:eastAsia="zh-CN"/>
              </w:rPr>
              <w:t>、</w:t>
            </w:r>
            <w:r>
              <w:rPr>
                <w:rFonts w:ascii="Times New Roman" w:eastAsia="宋体" w:hAnsi="Times New Roman" w:cs="宋体" w:hint="eastAsia"/>
                <w:color w:val="auto"/>
                <w:spacing w:val="-1"/>
                <w:lang w:eastAsia="zh-CN"/>
              </w:rPr>
              <w:t>H13</w:t>
            </w:r>
          </w:p>
        </w:tc>
        <w:tc>
          <w:tcPr>
            <w:tcW w:w="1914" w:type="dxa"/>
            <w:tcBorders>
              <w:top w:val="single" w:sz="4" w:space="0" w:color="000000"/>
              <w:left w:val="single" w:sz="4" w:space="0" w:color="000000"/>
              <w:bottom w:val="single" w:sz="4" w:space="0" w:color="000000"/>
              <w:right w:val="single" w:sz="4" w:space="0" w:color="000000"/>
            </w:tcBorders>
            <w:vAlign w:val="center"/>
          </w:tcPr>
          <w:p w14:paraId="32CB100C" w14:textId="77777777" w:rsidR="0075791A" w:rsidRDefault="00FB2864">
            <w:pPr>
              <w:pStyle w:val="TableParagraph"/>
              <w:jc w:val="center"/>
              <w:rPr>
                <w:rFonts w:ascii="Times New Roman" w:eastAsia="宋体" w:hAnsi="Times New Roman"/>
                <w:color w:val="auto"/>
                <w:lang w:eastAsia="zh-CN"/>
              </w:rPr>
            </w:pPr>
            <w:r>
              <w:rPr>
                <w:rFonts w:ascii="Times New Roman" w:eastAsia="宋体" w:hAnsi="Times New Roman" w:hint="eastAsia"/>
                <w:color w:val="auto"/>
                <w:lang w:eastAsia="zh-CN"/>
              </w:rPr>
              <w:t>陵水湾</w:t>
            </w:r>
            <w:r>
              <w:rPr>
                <w:rFonts w:ascii="Times New Roman" w:eastAsia="宋体" w:hAnsi="Times New Roman" w:hint="eastAsia"/>
                <w:color w:val="auto"/>
                <w:lang w:eastAsia="zh-CN"/>
              </w:rPr>
              <w:t>-</w:t>
            </w:r>
            <w:r>
              <w:rPr>
                <w:rFonts w:ascii="Times New Roman" w:eastAsia="宋体" w:hAnsi="Times New Roman" w:hint="eastAsia"/>
                <w:color w:val="auto"/>
                <w:lang w:eastAsia="zh-CN"/>
              </w:rPr>
              <w:t>海棠湾渔业用海区</w:t>
            </w:r>
          </w:p>
        </w:tc>
        <w:tc>
          <w:tcPr>
            <w:tcW w:w="1103" w:type="dxa"/>
            <w:tcBorders>
              <w:top w:val="single" w:sz="4" w:space="0" w:color="000000"/>
              <w:left w:val="single" w:sz="4" w:space="0" w:color="000000"/>
              <w:bottom w:val="single" w:sz="4" w:space="0" w:color="000000"/>
              <w:right w:val="single" w:sz="4" w:space="0" w:color="000000"/>
            </w:tcBorders>
            <w:vAlign w:val="center"/>
          </w:tcPr>
          <w:p w14:paraId="333360B2" w14:textId="77777777" w:rsidR="0075791A" w:rsidRDefault="00FB2864">
            <w:pPr>
              <w:pStyle w:val="TableParagraph"/>
              <w:jc w:val="center"/>
              <w:rPr>
                <w:rFonts w:ascii="Times New Roman" w:eastAsia="宋体" w:hAnsi="Times New Roman"/>
                <w:color w:val="auto"/>
              </w:rPr>
            </w:pPr>
            <w:r>
              <w:rPr>
                <w:rFonts w:ascii="Times New Roman" w:eastAsia="宋体" w:hAnsi="Times New Roman" w:hint="eastAsia"/>
                <w:color w:val="auto"/>
                <w:lang w:eastAsia="zh-CN"/>
              </w:rPr>
              <w:t>—</w:t>
            </w:r>
          </w:p>
        </w:tc>
        <w:tc>
          <w:tcPr>
            <w:tcW w:w="3044" w:type="dxa"/>
            <w:tcBorders>
              <w:top w:val="single" w:sz="4" w:space="0" w:color="000000"/>
              <w:left w:val="single" w:sz="4" w:space="0" w:color="000000"/>
              <w:bottom w:val="single" w:sz="4" w:space="0" w:color="000000"/>
              <w:right w:val="single" w:sz="4" w:space="0" w:color="000000"/>
            </w:tcBorders>
            <w:vAlign w:val="center"/>
          </w:tcPr>
          <w:p w14:paraId="55115951" w14:textId="77777777" w:rsidR="0075791A" w:rsidRDefault="00FB2864">
            <w:pPr>
              <w:pStyle w:val="TableParagraph"/>
              <w:jc w:val="center"/>
              <w:rPr>
                <w:rFonts w:ascii="Times New Roman" w:eastAsia="宋体" w:hAnsi="Times New Roman"/>
                <w:color w:val="auto"/>
                <w:lang w:val="zh-CN" w:eastAsia="zh-CN"/>
              </w:rPr>
            </w:pPr>
            <w:r>
              <w:rPr>
                <w:rFonts w:ascii="Times New Roman" w:eastAsia="宋体" w:hAnsi="Times New Roman" w:hint="eastAsia"/>
                <w:color w:val="auto"/>
                <w:lang w:val="zh-CN" w:eastAsia="zh-CN"/>
              </w:rPr>
              <w:t>执行一类海水水质保护目标</w:t>
            </w:r>
          </w:p>
        </w:tc>
      </w:tr>
      <w:tr w:rsidR="0075791A" w14:paraId="01B88287" w14:textId="77777777">
        <w:trPr>
          <w:trHeight w:hRule="exact" w:val="659"/>
          <w:jc w:val="center"/>
        </w:trPr>
        <w:tc>
          <w:tcPr>
            <w:tcW w:w="773" w:type="dxa"/>
            <w:tcBorders>
              <w:top w:val="single" w:sz="4" w:space="0" w:color="000000"/>
              <w:left w:val="single" w:sz="4" w:space="0" w:color="000000"/>
              <w:bottom w:val="single" w:sz="4" w:space="0" w:color="000000"/>
              <w:right w:val="single" w:sz="4" w:space="0" w:color="000000"/>
            </w:tcBorders>
            <w:vAlign w:val="center"/>
          </w:tcPr>
          <w:p w14:paraId="28017867" w14:textId="77777777" w:rsidR="0075791A" w:rsidRDefault="00FB2864">
            <w:pPr>
              <w:pStyle w:val="TableParagraph"/>
              <w:jc w:val="center"/>
              <w:rPr>
                <w:rFonts w:ascii="Times New Roman" w:eastAsia="宋体" w:hAnsi="Times New Roman" w:cs="宋体"/>
                <w:color w:val="auto"/>
                <w:spacing w:val="-1"/>
                <w:lang w:eastAsia="zh-CN"/>
              </w:rPr>
            </w:pPr>
            <w:r>
              <w:rPr>
                <w:rFonts w:ascii="Times New Roman" w:eastAsia="宋体" w:hAnsi="Times New Roman" w:cs="宋体" w:hint="eastAsia"/>
                <w:color w:val="auto"/>
                <w:spacing w:val="-1"/>
                <w:lang w:eastAsia="zh-CN"/>
              </w:rPr>
              <w:t>6</w:t>
            </w:r>
          </w:p>
        </w:tc>
        <w:tc>
          <w:tcPr>
            <w:tcW w:w="1322" w:type="dxa"/>
            <w:tcBorders>
              <w:top w:val="single" w:sz="4" w:space="0" w:color="000000"/>
              <w:left w:val="single" w:sz="4" w:space="0" w:color="000000"/>
              <w:bottom w:val="single" w:sz="4" w:space="0" w:color="000000"/>
              <w:right w:val="single" w:sz="4" w:space="0" w:color="000000"/>
            </w:tcBorders>
            <w:vAlign w:val="center"/>
          </w:tcPr>
          <w:p w14:paraId="5B74E06E" w14:textId="77777777" w:rsidR="0075791A" w:rsidRDefault="00FB2864">
            <w:pPr>
              <w:pStyle w:val="TableParagraph"/>
              <w:jc w:val="center"/>
              <w:rPr>
                <w:rFonts w:ascii="Times New Roman" w:eastAsia="宋体" w:hAnsi="Times New Roman" w:cs="宋体"/>
                <w:color w:val="auto"/>
                <w:spacing w:val="-1"/>
                <w:lang w:eastAsia="zh-CN"/>
              </w:rPr>
            </w:pPr>
            <w:r>
              <w:rPr>
                <w:rFonts w:ascii="Times New Roman" w:eastAsia="宋体" w:hAnsi="Times New Roman" w:cs="宋体" w:hint="eastAsia"/>
                <w:color w:val="auto"/>
                <w:spacing w:val="-1"/>
                <w:lang w:eastAsia="zh-CN"/>
              </w:rPr>
              <w:t>H9</w:t>
            </w:r>
            <w:r>
              <w:rPr>
                <w:rFonts w:ascii="Times New Roman" w:eastAsia="宋体" w:hAnsi="Times New Roman" w:cs="宋体" w:hint="eastAsia"/>
                <w:color w:val="auto"/>
                <w:spacing w:val="-1"/>
                <w:lang w:eastAsia="zh-CN"/>
              </w:rPr>
              <w:t>、</w:t>
            </w:r>
            <w:r>
              <w:rPr>
                <w:rFonts w:ascii="Times New Roman" w:eastAsia="宋体" w:hAnsi="Times New Roman" w:cs="宋体" w:hint="eastAsia"/>
                <w:color w:val="auto"/>
                <w:spacing w:val="-1"/>
                <w:lang w:eastAsia="zh-CN"/>
              </w:rPr>
              <w:t>H11</w:t>
            </w:r>
            <w:r>
              <w:rPr>
                <w:rFonts w:ascii="Times New Roman" w:eastAsia="宋体" w:hAnsi="Times New Roman" w:cs="宋体" w:hint="eastAsia"/>
                <w:color w:val="auto"/>
                <w:spacing w:val="-1"/>
                <w:lang w:eastAsia="zh-CN"/>
              </w:rPr>
              <w:t>、</w:t>
            </w:r>
            <w:r>
              <w:rPr>
                <w:rFonts w:ascii="Times New Roman" w:eastAsia="宋体" w:hAnsi="Times New Roman" w:cs="宋体" w:hint="eastAsia"/>
                <w:color w:val="auto"/>
                <w:spacing w:val="-1"/>
                <w:lang w:eastAsia="zh-CN"/>
              </w:rPr>
              <w:t>H12</w:t>
            </w:r>
          </w:p>
        </w:tc>
        <w:tc>
          <w:tcPr>
            <w:tcW w:w="1914" w:type="dxa"/>
            <w:tcBorders>
              <w:top w:val="single" w:sz="4" w:space="0" w:color="000000"/>
              <w:left w:val="single" w:sz="4" w:space="0" w:color="000000"/>
              <w:bottom w:val="single" w:sz="4" w:space="0" w:color="000000"/>
              <w:right w:val="single" w:sz="4" w:space="0" w:color="000000"/>
            </w:tcBorders>
            <w:vAlign w:val="center"/>
          </w:tcPr>
          <w:p w14:paraId="2DD2D413" w14:textId="77777777" w:rsidR="0075791A" w:rsidRDefault="00FB2864">
            <w:pPr>
              <w:pStyle w:val="TableParagraph"/>
              <w:jc w:val="center"/>
              <w:rPr>
                <w:rFonts w:ascii="Times New Roman" w:eastAsia="宋体" w:hAnsi="Times New Roman"/>
                <w:color w:val="auto"/>
                <w:lang w:eastAsia="zh-CN"/>
              </w:rPr>
            </w:pPr>
            <w:r>
              <w:rPr>
                <w:rFonts w:ascii="Times New Roman" w:eastAsia="宋体" w:hAnsi="Times New Roman" w:hint="eastAsia"/>
                <w:color w:val="auto"/>
                <w:lang w:eastAsia="zh-CN"/>
              </w:rPr>
              <w:t>海南岛近海渔业用海区</w:t>
            </w:r>
          </w:p>
        </w:tc>
        <w:tc>
          <w:tcPr>
            <w:tcW w:w="1103" w:type="dxa"/>
            <w:tcBorders>
              <w:top w:val="single" w:sz="4" w:space="0" w:color="000000"/>
              <w:left w:val="single" w:sz="4" w:space="0" w:color="000000"/>
              <w:bottom w:val="single" w:sz="4" w:space="0" w:color="000000"/>
              <w:right w:val="single" w:sz="4" w:space="0" w:color="000000"/>
            </w:tcBorders>
            <w:vAlign w:val="center"/>
          </w:tcPr>
          <w:p w14:paraId="0C1E96E6" w14:textId="77777777" w:rsidR="0075791A" w:rsidRDefault="00FB2864">
            <w:pPr>
              <w:pStyle w:val="TableParagraph"/>
              <w:jc w:val="center"/>
              <w:rPr>
                <w:rFonts w:ascii="Times New Roman" w:eastAsia="宋体" w:hAnsi="Times New Roman"/>
                <w:color w:val="auto"/>
              </w:rPr>
            </w:pPr>
            <w:r>
              <w:rPr>
                <w:rFonts w:ascii="Times New Roman" w:eastAsia="宋体" w:hAnsi="Times New Roman" w:hint="eastAsia"/>
                <w:color w:val="auto"/>
                <w:lang w:eastAsia="zh-CN"/>
              </w:rPr>
              <w:t>—</w:t>
            </w:r>
          </w:p>
        </w:tc>
        <w:tc>
          <w:tcPr>
            <w:tcW w:w="3044" w:type="dxa"/>
            <w:tcBorders>
              <w:top w:val="single" w:sz="4" w:space="0" w:color="000000"/>
              <w:left w:val="single" w:sz="4" w:space="0" w:color="000000"/>
              <w:bottom w:val="single" w:sz="4" w:space="0" w:color="000000"/>
              <w:right w:val="single" w:sz="4" w:space="0" w:color="000000"/>
            </w:tcBorders>
            <w:vAlign w:val="center"/>
          </w:tcPr>
          <w:p w14:paraId="0C8FBFAA" w14:textId="77777777" w:rsidR="0075791A" w:rsidRDefault="00FB2864">
            <w:pPr>
              <w:pStyle w:val="TableParagraph"/>
              <w:jc w:val="center"/>
              <w:rPr>
                <w:rFonts w:ascii="Times New Roman" w:eastAsia="宋体" w:hAnsi="Times New Roman"/>
                <w:color w:val="auto"/>
                <w:lang w:val="zh-CN" w:eastAsia="zh-CN"/>
              </w:rPr>
            </w:pPr>
            <w:r>
              <w:rPr>
                <w:rFonts w:ascii="Times New Roman" w:eastAsia="宋体" w:hAnsi="Times New Roman" w:hint="eastAsia"/>
                <w:color w:val="auto"/>
                <w:lang w:val="zh-CN" w:eastAsia="zh-CN"/>
              </w:rPr>
              <w:t>执行一类海水水质保护目标</w:t>
            </w:r>
          </w:p>
        </w:tc>
      </w:tr>
    </w:tbl>
    <w:p w14:paraId="1E741723" w14:textId="77777777" w:rsidR="0075791A" w:rsidRDefault="0075791A">
      <w:pPr>
        <w:pStyle w:val="TableParagraph"/>
        <w:ind w:left="93" w:right="101" w:firstLine="482"/>
        <w:jc w:val="both"/>
        <w:rPr>
          <w:rFonts w:ascii="宋体" w:eastAsia="宋体" w:hAnsi="宋体" w:cs="宋体"/>
          <w:color w:val="auto"/>
          <w:sz w:val="24"/>
          <w:szCs w:val="24"/>
          <w:lang w:eastAsia="zh-CN"/>
        </w:rPr>
      </w:pPr>
    </w:p>
    <w:p w14:paraId="66A865FE" w14:textId="77777777" w:rsidR="0075791A" w:rsidRDefault="0075791A">
      <w:pPr>
        <w:pStyle w:val="TableParagraph"/>
        <w:ind w:left="93" w:right="101" w:firstLine="482"/>
        <w:jc w:val="both"/>
        <w:rPr>
          <w:rFonts w:ascii="宋体" w:eastAsia="宋体" w:hAnsi="宋体" w:cs="宋体"/>
          <w:color w:val="auto"/>
          <w:sz w:val="24"/>
          <w:szCs w:val="24"/>
          <w:lang w:eastAsia="zh-CN"/>
        </w:rPr>
      </w:pPr>
    </w:p>
    <w:p w14:paraId="655DAEAB" w14:textId="77777777" w:rsidR="0075791A" w:rsidRDefault="00FB2864">
      <w:pPr>
        <w:pStyle w:val="a5"/>
        <w:tabs>
          <w:tab w:val="left" w:pos="1219"/>
        </w:tabs>
        <w:spacing w:line="358" w:lineRule="exact"/>
        <w:ind w:right="3"/>
        <w:jc w:val="center"/>
        <w:rPr>
          <w:color w:val="auto"/>
          <w:lang w:eastAsia="zh-CN"/>
        </w:rPr>
      </w:pPr>
      <w:r>
        <w:rPr>
          <w:color w:val="auto"/>
          <w:lang w:eastAsia="zh-CN"/>
        </w:rPr>
        <w:t>图</w:t>
      </w:r>
      <w:r>
        <w:rPr>
          <w:rFonts w:ascii="Times New Roman" w:eastAsia="宋体" w:hAnsi="Times New Roman" w:cs="Times New Roman" w:hint="eastAsia"/>
          <w:snapToGrid/>
          <w:color w:val="auto"/>
          <w:kern w:val="2"/>
          <w:sz w:val="24"/>
          <w:szCs w:val="24"/>
          <w:lang w:eastAsia="zh-CN"/>
        </w:rPr>
        <w:t xml:space="preserve">3.2.5-2 </w:t>
      </w:r>
      <w:r>
        <w:rPr>
          <w:rFonts w:ascii="Times New Roman" w:eastAsia="宋体" w:hAnsi="Times New Roman" w:cs="Times New Roman" w:hint="eastAsia"/>
          <w:color w:val="auto"/>
          <w:lang w:eastAsia="zh-CN"/>
        </w:rPr>
        <w:t>秋季水质</w:t>
      </w:r>
      <w:r>
        <w:rPr>
          <w:color w:val="auto"/>
          <w:lang w:eastAsia="zh-CN"/>
        </w:rPr>
        <w:t>调查站位所在海洋功能区划分布图</w:t>
      </w:r>
    </w:p>
    <w:p w14:paraId="5602B774" w14:textId="77777777" w:rsidR="0075791A" w:rsidRDefault="00FB2864">
      <w:pPr>
        <w:widowControl w:val="0"/>
        <w:kinsoku/>
        <w:adjustRightInd/>
        <w:snapToGrid/>
        <w:spacing w:line="360" w:lineRule="auto"/>
        <w:ind w:leftChars="200" w:left="42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）水质</w:t>
      </w:r>
      <w:r>
        <w:rPr>
          <w:rFonts w:ascii="Times New Roman" w:eastAsia="宋体" w:hAnsi="Times New Roman" w:cs="Times New Roman"/>
          <w:snapToGrid/>
          <w:color w:val="auto"/>
          <w:kern w:val="2"/>
          <w:sz w:val="24"/>
          <w:szCs w:val="24"/>
          <w:lang w:eastAsia="zh-CN"/>
        </w:rPr>
        <w:t>评价结果</w:t>
      </w:r>
    </w:p>
    <w:p w14:paraId="4144B51B"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11</w:t>
      </w:r>
      <w:r>
        <w:rPr>
          <w:rFonts w:ascii="Times New Roman" w:eastAsia="宋体" w:hAnsi="Times New Roman" w:cs="Times New Roman" w:hint="eastAsia"/>
          <w:snapToGrid/>
          <w:color w:val="auto"/>
          <w:kern w:val="2"/>
          <w:sz w:val="24"/>
          <w:szCs w:val="24"/>
          <w:lang w:eastAsia="zh-CN"/>
        </w:rPr>
        <w:t>月水质调查评价</w:t>
      </w:r>
    </w:p>
    <w:p w14:paraId="03E4B018"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根据海南省近岸海域环境功能区划，铁炉港海域属于二类水质控制区，执行海水二类标准。</w:t>
      </w:r>
    </w:p>
    <w:p w14:paraId="77442FAE"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水质调查结果表明：除部分点位溶解氧和悬浮物超标和</w:t>
      </w:r>
      <w:r>
        <w:rPr>
          <w:rFonts w:ascii="Times New Roman" w:eastAsia="宋体" w:hAnsi="Times New Roman" w:cs="Times New Roman"/>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号</w:t>
      </w:r>
      <w:r>
        <w:rPr>
          <w:rFonts w:ascii="Times New Roman" w:eastAsia="宋体" w:hAnsi="Times New Roman" w:cs="Times New Roman"/>
          <w:snapToGrid/>
          <w:color w:val="auto"/>
          <w:kern w:val="2"/>
          <w:sz w:val="24"/>
          <w:szCs w:val="24"/>
          <w:lang w:eastAsia="zh-CN"/>
        </w:rPr>
        <w:t>监测点位无机氮超标外，所有调查站位各评价指标均符合二类海水水质标准，调查海域海水水质总体良好。根据现场调查，溶解氧和悬浮物超标主要原因可能是受</w:t>
      </w:r>
      <w:r>
        <w:rPr>
          <w:rFonts w:ascii="Times New Roman" w:eastAsia="宋体" w:hAnsi="Times New Roman" w:cs="Times New Roman"/>
          <w:snapToGrid/>
          <w:color w:val="auto"/>
          <w:kern w:val="2"/>
          <w:sz w:val="24"/>
          <w:szCs w:val="24"/>
          <w:lang w:eastAsia="zh-CN"/>
        </w:rPr>
        <w:t>2024</w:t>
      </w:r>
      <w:r>
        <w:rPr>
          <w:rFonts w:ascii="Times New Roman" w:eastAsia="宋体" w:hAnsi="Times New Roman" w:cs="Times New Roman"/>
          <w:snapToGrid/>
          <w:color w:val="auto"/>
          <w:kern w:val="2"/>
          <w:sz w:val="24"/>
          <w:szCs w:val="24"/>
          <w:lang w:eastAsia="zh-CN"/>
        </w:rPr>
        <w:t>年</w:t>
      </w:r>
      <w:r>
        <w:rPr>
          <w:rFonts w:ascii="Times New Roman" w:eastAsia="宋体" w:hAnsi="Times New Roman" w:cs="Times New Roman"/>
          <w:snapToGrid/>
          <w:color w:val="auto"/>
          <w:kern w:val="2"/>
          <w:sz w:val="24"/>
          <w:szCs w:val="24"/>
          <w:lang w:eastAsia="zh-CN"/>
        </w:rPr>
        <w:t>10</w:t>
      </w:r>
      <w:r>
        <w:rPr>
          <w:rFonts w:ascii="Times New Roman" w:eastAsia="宋体" w:hAnsi="Times New Roman" w:cs="Times New Roman"/>
          <w:snapToGrid/>
          <w:color w:val="auto"/>
          <w:kern w:val="2"/>
          <w:sz w:val="24"/>
          <w:szCs w:val="24"/>
          <w:lang w:eastAsia="zh-CN"/>
        </w:rPr>
        <w:t>月</w:t>
      </w:r>
      <w:r>
        <w:rPr>
          <w:rFonts w:ascii="Times New Roman" w:eastAsia="宋体" w:hAnsi="Times New Roman" w:cs="Times New Roman"/>
          <w:snapToGrid/>
          <w:color w:val="auto"/>
          <w:kern w:val="2"/>
          <w:sz w:val="24"/>
          <w:szCs w:val="24"/>
          <w:lang w:eastAsia="zh-CN"/>
        </w:rPr>
        <w:t>27</w:t>
      </w:r>
      <w:r>
        <w:rPr>
          <w:rFonts w:ascii="Times New Roman" w:eastAsia="宋体" w:hAnsi="Times New Roman" w:cs="Times New Roman"/>
          <w:snapToGrid/>
          <w:color w:val="auto"/>
          <w:kern w:val="2"/>
          <w:sz w:val="24"/>
          <w:szCs w:val="24"/>
          <w:lang w:eastAsia="zh-CN"/>
        </w:rPr>
        <w:t>日至</w:t>
      </w:r>
      <w:r>
        <w:rPr>
          <w:rFonts w:ascii="Times New Roman" w:eastAsia="宋体" w:hAnsi="Times New Roman" w:cs="Times New Roman"/>
          <w:snapToGrid/>
          <w:color w:val="auto"/>
          <w:kern w:val="2"/>
          <w:sz w:val="24"/>
          <w:szCs w:val="24"/>
          <w:lang w:eastAsia="zh-CN"/>
        </w:rPr>
        <w:t>10</w:t>
      </w:r>
      <w:r>
        <w:rPr>
          <w:rFonts w:ascii="Times New Roman" w:eastAsia="宋体" w:hAnsi="Times New Roman" w:cs="Times New Roman"/>
          <w:snapToGrid/>
          <w:color w:val="auto"/>
          <w:kern w:val="2"/>
          <w:sz w:val="24"/>
          <w:szCs w:val="24"/>
          <w:lang w:eastAsia="zh-CN"/>
        </w:rPr>
        <w:t>月</w:t>
      </w:r>
      <w:r>
        <w:rPr>
          <w:rFonts w:ascii="Times New Roman" w:eastAsia="宋体" w:hAnsi="Times New Roman" w:cs="Times New Roman"/>
          <w:snapToGrid/>
          <w:color w:val="auto"/>
          <w:kern w:val="2"/>
          <w:sz w:val="24"/>
          <w:szCs w:val="24"/>
          <w:lang w:eastAsia="zh-CN"/>
        </w:rPr>
        <w:t>30</w:t>
      </w:r>
      <w:r>
        <w:rPr>
          <w:rFonts w:ascii="Times New Roman" w:eastAsia="宋体" w:hAnsi="Times New Roman" w:cs="Times New Roman"/>
          <w:snapToGrid/>
          <w:color w:val="auto"/>
          <w:kern w:val="2"/>
          <w:sz w:val="24"/>
          <w:szCs w:val="24"/>
          <w:lang w:eastAsia="zh-CN"/>
        </w:rPr>
        <w:t>日持续强降雨影响，导致水中溶解氧偏低和水土流失造成泥沙沉浮导致水中悬浮物增加，水质较浑浊。</w:t>
      </w:r>
      <w:r>
        <w:rPr>
          <w:rFonts w:ascii="Times New Roman" w:eastAsia="宋体" w:hAnsi="Times New Roman" w:cs="Times New Roman"/>
          <w:snapToGrid/>
          <w:color w:val="auto"/>
          <w:kern w:val="2"/>
          <w:sz w:val="24"/>
          <w:szCs w:val="24"/>
          <w:lang w:eastAsia="zh-CN"/>
        </w:rPr>
        <w:t>9#</w:t>
      </w:r>
      <w:r>
        <w:rPr>
          <w:rFonts w:ascii="Times New Roman" w:eastAsia="宋体" w:hAnsi="Times New Roman" w:cs="Times New Roman"/>
          <w:snapToGrid/>
          <w:color w:val="auto"/>
          <w:kern w:val="2"/>
          <w:sz w:val="24"/>
          <w:szCs w:val="24"/>
          <w:lang w:eastAsia="zh-CN"/>
        </w:rPr>
        <w:t>监测点位无机氮主要超标</w:t>
      </w:r>
      <w:r>
        <w:rPr>
          <w:rFonts w:ascii="Times New Roman" w:eastAsia="宋体" w:hAnsi="Times New Roman" w:cs="Times New Roman"/>
          <w:snapToGrid/>
          <w:color w:val="auto"/>
          <w:kern w:val="2"/>
          <w:sz w:val="24"/>
          <w:szCs w:val="24"/>
          <w:lang w:eastAsia="zh-CN"/>
        </w:rPr>
        <w:t>原因可能是岸滩原为水产养殖，大量清退后养殖区尚未完成生态修复，存在有机物残留，在强降雨冲刷下所引起的。</w:t>
      </w:r>
    </w:p>
    <w:p w14:paraId="0DE61170"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月水质调查评价</w:t>
      </w:r>
    </w:p>
    <w:p w14:paraId="4E37A677"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月水质</w:t>
      </w:r>
      <w:r>
        <w:rPr>
          <w:rFonts w:ascii="Times New Roman" w:eastAsia="宋体" w:hAnsi="Times New Roman" w:cs="Times New Roman"/>
          <w:snapToGrid/>
          <w:color w:val="auto"/>
          <w:kern w:val="2"/>
          <w:sz w:val="24"/>
          <w:szCs w:val="24"/>
          <w:lang w:eastAsia="zh-CN"/>
        </w:rPr>
        <w:t>调查结果表明（详见表</w:t>
      </w:r>
      <w:r>
        <w:rPr>
          <w:rFonts w:ascii="Times New Roman" w:eastAsia="宋体" w:hAnsi="Times New Roman" w:cs="Times New Roman" w:hint="eastAsia"/>
          <w:snapToGrid/>
          <w:color w:val="auto"/>
          <w:kern w:val="2"/>
          <w:sz w:val="24"/>
          <w:szCs w:val="24"/>
          <w:lang w:eastAsia="zh-CN"/>
        </w:rPr>
        <w:t>3.2.5-3</w:t>
      </w:r>
      <w:r>
        <w:rPr>
          <w:rFonts w:ascii="Times New Roman" w:eastAsia="宋体" w:hAnsi="Times New Roman" w:cs="Times New Roman"/>
          <w:snapToGrid/>
          <w:color w:val="auto"/>
          <w:kern w:val="2"/>
          <w:sz w:val="24"/>
          <w:szCs w:val="24"/>
          <w:lang w:eastAsia="zh-CN"/>
        </w:rPr>
        <w:t>），本次调查各站位的海水</w:t>
      </w:r>
      <w:r>
        <w:rPr>
          <w:rFonts w:ascii="Times New Roman" w:eastAsia="宋体" w:hAnsi="Times New Roman" w:cs="Times New Roman"/>
          <w:snapToGrid/>
          <w:color w:val="auto"/>
          <w:kern w:val="2"/>
          <w:sz w:val="24"/>
          <w:szCs w:val="24"/>
          <w:lang w:eastAsia="zh-CN"/>
        </w:rPr>
        <w:t>pH</w:t>
      </w:r>
      <w:r>
        <w:rPr>
          <w:rFonts w:ascii="Times New Roman" w:eastAsia="宋体" w:hAnsi="Times New Roman" w:cs="Times New Roman"/>
          <w:snapToGrid/>
          <w:color w:val="auto"/>
          <w:kern w:val="2"/>
          <w:sz w:val="24"/>
          <w:szCs w:val="24"/>
          <w:lang w:eastAsia="zh-CN"/>
        </w:rPr>
        <w:t>值、溶解氧、化学需氧量、活性磷酸盐、无机氮、表层石油类和重金属铜、锌、镉、铬、汞、砷等指标均符合第一类海水水质标准，</w:t>
      </w:r>
      <w:r>
        <w:rPr>
          <w:rFonts w:ascii="Times New Roman" w:eastAsia="宋体" w:hAnsi="Times New Roman" w:cs="Times New Roman"/>
          <w:snapToGrid/>
          <w:color w:val="auto"/>
          <w:kern w:val="2"/>
          <w:sz w:val="24"/>
          <w:szCs w:val="24"/>
          <w:lang w:eastAsia="zh-CN"/>
        </w:rPr>
        <w:t>H3</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H12</w:t>
      </w:r>
      <w:r>
        <w:rPr>
          <w:rFonts w:ascii="Times New Roman" w:eastAsia="宋体" w:hAnsi="Times New Roman" w:cs="Times New Roman"/>
          <w:snapToGrid/>
          <w:color w:val="auto"/>
          <w:kern w:val="2"/>
          <w:sz w:val="24"/>
          <w:szCs w:val="24"/>
          <w:lang w:eastAsia="zh-CN"/>
        </w:rPr>
        <w:t>号站位的表层和</w:t>
      </w:r>
      <w:r>
        <w:rPr>
          <w:rFonts w:ascii="Times New Roman" w:eastAsia="宋体" w:hAnsi="Times New Roman" w:cs="Times New Roman"/>
          <w:snapToGrid/>
          <w:color w:val="auto"/>
          <w:kern w:val="2"/>
          <w:sz w:val="24"/>
          <w:szCs w:val="24"/>
          <w:lang w:eastAsia="zh-CN"/>
        </w:rPr>
        <w:t>13</w:t>
      </w:r>
      <w:r>
        <w:rPr>
          <w:rFonts w:ascii="Times New Roman" w:eastAsia="宋体" w:hAnsi="Times New Roman" w:cs="Times New Roman"/>
          <w:snapToGrid/>
          <w:color w:val="auto"/>
          <w:kern w:val="2"/>
          <w:sz w:val="24"/>
          <w:szCs w:val="24"/>
          <w:lang w:eastAsia="zh-CN"/>
        </w:rPr>
        <w:t>号站位中层水样中的铅超出第一类海水水质标准，符合二类海水水质水质标准，其他站位的铅含量均符合第一类海水水质标准。</w:t>
      </w:r>
    </w:p>
    <w:p w14:paraId="47FA0696"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单项水质参数评价结果显示（详见表</w:t>
      </w:r>
      <w:r>
        <w:rPr>
          <w:rFonts w:ascii="Times New Roman" w:eastAsia="宋体" w:hAnsi="Times New Roman" w:cs="Times New Roman" w:hint="eastAsia"/>
          <w:snapToGrid/>
          <w:color w:val="auto"/>
          <w:kern w:val="2"/>
          <w:sz w:val="24"/>
          <w:szCs w:val="24"/>
          <w:lang w:eastAsia="zh-CN"/>
        </w:rPr>
        <w:t>3.2.5-5</w:t>
      </w:r>
      <w:r>
        <w:rPr>
          <w:rFonts w:ascii="Times New Roman" w:eastAsia="宋体" w:hAnsi="Times New Roman" w:cs="Times New Roman"/>
          <w:snapToGrid/>
          <w:color w:val="auto"/>
          <w:kern w:val="2"/>
          <w:sz w:val="24"/>
          <w:szCs w:val="24"/>
          <w:lang w:eastAsia="zh-CN"/>
        </w:rPr>
        <w:t>），所有站位海水</w:t>
      </w:r>
      <w:r>
        <w:rPr>
          <w:rFonts w:ascii="Times New Roman" w:eastAsia="宋体" w:hAnsi="Times New Roman" w:cs="Times New Roman"/>
          <w:snapToGrid/>
          <w:color w:val="auto"/>
          <w:kern w:val="2"/>
          <w:sz w:val="24"/>
          <w:szCs w:val="24"/>
          <w:lang w:eastAsia="zh-CN"/>
        </w:rPr>
        <w:t>pH</w:t>
      </w:r>
      <w:r>
        <w:rPr>
          <w:rFonts w:ascii="Times New Roman" w:eastAsia="宋体" w:hAnsi="Times New Roman" w:cs="Times New Roman"/>
          <w:snapToGrid/>
          <w:color w:val="auto"/>
          <w:kern w:val="2"/>
          <w:sz w:val="24"/>
          <w:szCs w:val="24"/>
          <w:lang w:eastAsia="zh-CN"/>
        </w:rPr>
        <w:t>值、溶解氧、化学需氧量、活性磷酸盐、无机氮、表层石油类和重金属铜、锌、镉、铬、汞、砷的评价指数均小于</w:t>
      </w:r>
      <w:r>
        <w:rPr>
          <w:rFonts w:ascii="Times New Roman" w:eastAsia="宋体" w:hAnsi="Times New Roman" w:cs="Times New Roman"/>
          <w:snapToGrid/>
          <w:color w:val="auto"/>
          <w:kern w:val="2"/>
          <w:sz w:val="24"/>
          <w:szCs w:val="24"/>
          <w:lang w:eastAsia="zh-CN"/>
        </w:rPr>
        <w:t>1</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H3</w:t>
      </w:r>
      <w:r>
        <w:rPr>
          <w:rFonts w:ascii="Times New Roman" w:eastAsia="宋体" w:hAnsi="Times New Roman" w:cs="Times New Roman"/>
          <w:snapToGrid/>
          <w:color w:val="auto"/>
          <w:kern w:val="2"/>
          <w:sz w:val="24"/>
          <w:szCs w:val="24"/>
          <w:lang w:eastAsia="zh-CN"/>
        </w:rPr>
        <w:t>号和</w:t>
      </w:r>
      <w:r>
        <w:rPr>
          <w:rFonts w:ascii="Times New Roman" w:eastAsia="宋体" w:hAnsi="Times New Roman" w:cs="Times New Roman"/>
          <w:snapToGrid/>
          <w:color w:val="auto"/>
          <w:kern w:val="2"/>
          <w:sz w:val="24"/>
          <w:szCs w:val="24"/>
          <w:lang w:eastAsia="zh-CN"/>
        </w:rPr>
        <w:t>H12</w:t>
      </w:r>
      <w:r>
        <w:rPr>
          <w:rFonts w:ascii="Times New Roman" w:eastAsia="宋体" w:hAnsi="Times New Roman" w:cs="Times New Roman"/>
          <w:snapToGrid/>
          <w:color w:val="auto"/>
          <w:kern w:val="2"/>
          <w:sz w:val="24"/>
          <w:szCs w:val="24"/>
          <w:lang w:eastAsia="zh-CN"/>
        </w:rPr>
        <w:t>号站位表层水样铅的评价指数大于</w:t>
      </w:r>
      <w:r>
        <w:rPr>
          <w:rFonts w:ascii="Times New Roman" w:eastAsia="宋体" w:hAnsi="Times New Roman" w:cs="Times New Roman"/>
          <w:snapToGrid/>
          <w:color w:val="auto"/>
          <w:kern w:val="2"/>
          <w:sz w:val="24"/>
          <w:szCs w:val="24"/>
          <w:lang w:eastAsia="zh-CN"/>
        </w:rPr>
        <w:t>1</w:t>
      </w:r>
      <w:r>
        <w:rPr>
          <w:rFonts w:ascii="Times New Roman" w:eastAsia="宋体" w:hAnsi="Times New Roman" w:cs="Times New Roman"/>
          <w:snapToGrid/>
          <w:color w:val="auto"/>
          <w:kern w:val="2"/>
          <w:sz w:val="24"/>
          <w:szCs w:val="24"/>
          <w:lang w:eastAsia="zh-CN"/>
        </w:rPr>
        <w:t>，其余站</w:t>
      </w:r>
      <w:r>
        <w:rPr>
          <w:rFonts w:ascii="Times New Roman" w:eastAsia="宋体" w:hAnsi="Times New Roman" w:cs="Times New Roman"/>
          <w:snapToGrid/>
          <w:color w:val="auto"/>
          <w:kern w:val="2"/>
          <w:sz w:val="24"/>
          <w:szCs w:val="24"/>
          <w:lang w:eastAsia="zh-CN"/>
        </w:rPr>
        <w:t>位铅的评价指数均小于</w:t>
      </w:r>
      <w:r>
        <w:rPr>
          <w:rFonts w:ascii="Times New Roman" w:eastAsia="宋体" w:hAnsi="Times New Roman" w:cs="Times New Roman"/>
          <w:snapToGrid/>
          <w:color w:val="auto"/>
          <w:kern w:val="2"/>
          <w:sz w:val="24"/>
          <w:szCs w:val="24"/>
          <w:lang w:eastAsia="zh-CN"/>
        </w:rPr>
        <w:t>1</w:t>
      </w:r>
      <w:r>
        <w:rPr>
          <w:rFonts w:ascii="Times New Roman" w:eastAsia="宋体" w:hAnsi="Times New Roman" w:cs="Times New Roman"/>
          <w:snapToGrid/>
          <w:color w:val="auto"/>
          <w:kern w:val="2"/>
          <w:sz w:val="24"/>
          <w:szCs w:val="24"/>
          <w:lang w:eastAsia="zh-CN"/>
        </w:rPr>
        <w:t>。说明调查海域除了</w:t>
      </w:r>
      <w:r>
        <w:rPr>
          <w:rFonts w:ascii="Times New Roman" w:eastAsia="宋体" w:hAnsi="Times New Roman" w:cs="Times New Roman"/>
          <w:snapToGrid/>
          <w:color w:val="auto"/>
          <w:kern w:val="2"/>
          <w:sz w:val="24"/>
          <w:szCs w:val="24"/>
          <w:lang w:eastAsia="zh-CN"/>
        </w:rPr>
        <w:t>H3</w:t>
      </w:r>
      <w:r>
        <w:rPr>
          <w:rFonts w:ascii="Times New Roman" w:eastAsia="宋体" w:hAnsi="Times New Roman" w:cs="Times New Roman"/>
          <w:snapToGrid/>
          <w:color w:val="auto"/>
          <w:kern w:val="2"/>
          <w:sz w:val="24"/>
          <w:szCs w:val="24"/>
          <w:lang w:eastAsia="zh-CN"/>
        </w:rPr>
        <w:t>和</w:t>
      </w:r>
      <w:r>
        <w:rPr>
          <w:rFonts w:ascii="Times New Roman" w:eastAsia="宋体" w:hAnsi="Times New Roman" w:cs="Times New Roman"/>
          <w:snapToGrid/>
          <w:color w:val="auto"/>
          <w:kern w:val="2"/>
          <w:sz w:val="24"/>
          <w:szCs w:val="24"/>
          <w:lang w:eastAsia="zh-CN"/>
        </w:rPr>
        <w:t>H12</w:t>
      </w:r>
      <w:r>
        <w:rPr>
          <w:rFonts w:ascii="Times New Roman" w:eastAsia="宋体" w:hAnsi="Times New Roman" w:cs="Times New Roman"/>
          <w:snapToGrid/>
          <w:color w:val="auto"/>
          <w:kern w:val="2"/>
          <w:sz w:val="24"/>
          <w:szCs w:val="24"/>
          <w:lang w:eastAsia="zh-CN"/>
        </w:rPr>
        <w:t>号站位铅含量超标外，其他要素均满足海洋功能区划管理要求。整体而言，调查海域海水质量优，水环境健康。</w:t>
      </w:r>
    </w:p>
    <w:p w14:paraId="5DDB7CC9" w14:textId="77777777" w:rsidR="0075791A" w:rsidRDefault="0075791A">
      <w:pPr>
        <w:widowControl w:val="0"/>
        <w:kinsoku/>
        <w:adjustRightInd/>
        <w:snapToGrid/>
        <w:spacing w:line="360" w:lineRule="auto"/>
        <w:ind w:firstLineChars="200" w:firstLine="480"/>
        <w:jc w:val="both"/>
        <w:textAlignment w:val="auto"/>
        <w:rPr>
          <w:rFonts w:ascii="Times New Roman" w:eastAsia="宋体" w:hAnsi="Times New Roman"/>
          <w:color w:val="auto"/>
          <w:sz w:val="24"/>
          <w:szCs w:val="24"/>
          <w:lang w:eastAsia="zh-CN"/>
        </w:rPr>
      </w:pPr>
    </w:p>
    <w:p w14:paraId="484F121F" w14:textId="77777777" w:rsidR="0075791A" w:rsidRDefault="0075791A">
      <w:pPr>
        <w:jc w:val="center"/>
        <w:rPr>
          <w:rFonts w:ascii="Times New Roman" w:eastAsia="宋体" w:hAnsi="Times New Roman"/>
          <w:color w:val="auto"/>
          <w:sz w:val="24"/>
          <w:szCs w:val="24"/>
          <w:lang w:eastAsia="zh-CN"/>
        </w:rPr>
        <w:sectPr w:rsidR="0075791A">
          <w:pgSz w:w="11906" w:h="16839"/>
          <w:pgMar w:top="1018" w:right="1354" w:bottom="1134" w:left="1417" w:header="746" w:footer="972" w:gutter="0"/>
          <w:cols w:space="720"/>
        </w:sectPr>
      </w:pPr>
    </w:p>
    <w:p w14:paraId="1C7706B5" w14:textId="77777777" w:rsidR="0075791A" w:rsidRDefault="00FB2864">
      <w:pPr>
        <w:jc w:val="center"/>
        <w:rPr>
          <w:rFonts w:ascii="Times New Roman" w:eastAsia="宋体" w:hAnsi="Times New Roman"/>
          <w:color w:val="auto"/>
          <w:sz w:val="24"/>
          <w:szCs w:val="24"/>
          <w:lang w:eastAsia="zh-CN"/>
        </w:rPr>
      </w:pPr>
      <w:r>
        <w:rPr>
          <w:rFonts w:ascii="Times New Roman" w:eastAsia="宋体" w:hAnsi="Times New Roman" w:cs="Times New Roman"/>
          <w:snapToGrid/>
          <w:color w:val="auto"/>
          <w:kern w:val="2"/>
          <w:sz w:val="24"/>
          <w:szCs w:val="24"/>
          <w:lang w:eastAsia="zh-CN"/>
        </w:rPr>
        <w:lastRenderedPageBreak/>
        <w:t>表</w:t>
      </w:r>
      <w:r>
        <w:rPr>
          <w:rFonts w:ascii="Times New Roman" w:eastAsia="宋体" w:hAnsi="Times New Roman" w:cs="Times New Roman" w:hint="eastAsia"/>
          <w:snapToGrid/>
          <w:color w:val="auto"/>
          <w:kern w:val="2"/>
          <w:sz w:val="24"/>
          <w:szCs w:val="24"/>
          <w:lang w:eastAsia="zh-CN"/>
        </w:rPr>
        <w:t>3.2.5-3</w:t>
      </w:r>
      <w:r>
        <w:rPr>
          <w:rFonts w:ascii="TimesNewRomanPSMT" w:eastAsia="TimesNewRomanPSMT" w:hAnsi="TimesNewRomanPSMT" w:hint="eastAsia"/>
          <w:color w:val="auto"/>
          <w:sz w:val="24"/>
          <w:szCs w:val="24"/>
          <w:lang w:eastAsia="zh-CN"/>
        </w:rPr>
        <w:t>2024</w:t>
      </w:r>
      <w:r>
        <w:rPr>
          <w:rFonts w:ascii="宋体" w:eastAsia="宋体" w:hAnsi="宋体" w:hint="eastAsia"/>
          <w:color w:val="auto"/>
          <w:sz w:val="24"/>
          <w:szCs w:val="24"/>
          <w:lang w:eastAsia="zh-CN"/>
        </w:rPr>
        <w:t>年</w:t>
      </w:r>
      <w:r>
        <w:rPr>
          <w:rFonts w:ascii="TimesNewRomanPSMT" w:eastAsia="TimesNewRomanPSMT" w:hAnsi="TimesNewRomanPSMT" w:hint="eastAsia"/>
          <w:color w:val="auto"/>
          <w:sz w:val="24"/>
          <w:szCs w:val="24"/>
          <w:lang w:eastAsia="zh-CN"/>
        </w:rPr>
        <w:t>9</w:t>
      </w:r>
      <w:r>
        <w:rPr>
          <w:rFonts w:ascii="宋体" w:eastAsia="宋体" w:hAnsi="宋体" w:hint="eastAsia"/>
          <w:color w:val="auto"/>
          <w:sz w:val="24"/>
          <w:szCs w:val="24"/>
          <w:lang w:eastAsia="zh-CN"/>
        </w:rPr>
        <w:t>月调查水质要素分析结果统计</w:t>
      </w:r>
    </w:p>
    <w:tbl>
      <w:tblPr>
        <w:tblW w:w="14731" w:type="dxa"/>
        <w:tblInd w:w="102" w:type="dxa"/>
        <w:tblLayout w:type="fixed"/>
        <w:tblCellMar>
          <w:left w:w="0" w:type="dxa"/>
          <w:right w:w="0" w:type="dxa"/>
        </w:tblCellMar>
        <w:tblLook w:val="04A0" w:firstRow="1" w:lastRow="0" w:firstColumn="1" w:lastColumn="0" w:noHBand="0" w:noVBand="1"/>
      </w:tblPr>
      <w:tblGrid>
        <w:gridCol w:w="430"/>
        <w:gridCol w:w="634"/>
        <w:gridCol w:w="732"/>
        <w:gridCol w:w="633"/>
        <w:gridCol w:w="625"/>
        <w:gridCol w:w="742"/>
        <w:gridCol w:w="637"/>
        <w:gridCol w:w="791"/>
        <w:gridCol w:w="792"/>
        <w:gridCol w:w="792"/>
        <w:gridCol w:w="792"/>
        <w:gridCol w:w="792"/>
        <w:gridCol w:w="792"/>
        <w:gridCol w:w="792"/>
        <w:gridCol w:w="792"/>
        <w:gridCol w:w="792"/>
        <w:gridCol w:w="792"/>
        <w:gridCol w:w="792"/>
        <w:gridCol w:w="794"/>
        <w:gridCol w:w="793"/>
      </w:tblGrid>
      <w:tr w:rsidR="0075791A" w14:paraId="298BBFB4" w14:textId="77777777">
        <w:trPr>
          <w:trHeight w:hRule="exact" w:val="583"/>
        </w:trPr>
        <w:tc>
          <w:tcPr>
            <w:tcW w:w="4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490042" w14:textId="77777777" w:rsidR="0075791A" w:rsidRDefault="00FB2864">
            <w:pPr>
              <w:pStyle w:val="TableParagraph"/>
              <w:spacing w:before="8" w:line="320" w:lineRule="exact"/>
              <w:rPr>
                <w:rFonts w:ascii="宋体" w:eastAsia="宋体" w:hAnsi="宋体" w:cs="宋体"/>
                <w:color w:val="auto"/>
                <w:sz w:val="18"/>
                <w:szCs w:val="18"/>
              </w:rPr>
            </w:pPr>
            <w:r>
              <w:rPr>
                <w:rFonts w:ascii="宋体" w:eastAsia="宋体" w:hAnsi="宋体" w:cs="宋体"/>
                <w:color w:val="auto"/>
                <w:sz w:val="18"/>
                <w:szCs w:val="18"/>
              </w:rPr>
              <w:t>站位</w:t>
            </w: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9BA7CA" w14:textId="77777777" w:rsidR="0075791A" w:rsidRDefault="00FB2864">
            <w:pPr>
              <w:pStyle w:val="TableParagraph"/>
              <w:spacing w:before="8" w:line="320" w:lineRule="exact"/>
              <w:rPr>
                <w:rFonts w:ascii="宋体" w:eastAsia="宋体" w:hAnsi="宋体" w:cs="宋体"/>
                <w:color w:val="auto"/>
                <w:sz w:val="18"/>
                <w:szCs w:val="18"/>
              </w:rPr>
            </w:pPr>
            <w:r>
              <w:rPr>
                <w:rFonts w:ascii="宋体" w:eastAsia="宋体" w:hAnsi="宋体" w:cs="宋体"/>
                <w:color w:val="auto"/>
                <w:spacing w:val="-1"/>
                <w:sz w:val="18"/>
                <w:szCs w:val="18"/>
              </w:rPr>
              <w:t>采</w:t>
            </w:r>
            <w:r>
              <w:rPr>
                <w:rFonts w:ascii="宋体" w:eastAsia="宋体" w:hAnsi="宋体" w:cs="宋体"/>
                <w:color w:val="auto"/>
                <w:sz w:val="18"/>
                <w:szCs w:val="18"/>
              </w:rPr>
              <w:t>样</w:t>
            </w:r>
            <w:r>
              <w:rPr>
                <w:rFonts w:ascii="宋体" w:eastAsia="宋体" w:hAnsi="宋体" w:cs="宋体"/>
                <w:color w:val="auto"/>
                <w:spacing w:val="-1"/>
                <w:sz w:val="18"/>
                <w:szCs w:val="18"/>
              </w:rPr>
              <w:t>层</w:t>
            </w:r>
            <w:r>
              <w:rPr>
                <w:rFonts w:ascii="宋体" w:eastAsia="宋体" w:hAnsi="宋体" w:cs="宋体"/>
                <w:color w:val="auto"/>
                <w:sz w:val="18"/>
                <w:szCs w:val="18"/>
              </w:rPr>
              <w:t>次</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80B29F" w14:textId="77777777" w:rsidR="0075791A" w:rsidRDefault="00FB2864">
            <w:pPr>
              <w:pStyle w:val="TableParagraph"/>
              <w:spacing w:line="293" w:lineRule="exact"/>
              <w:ind w:right="1"/>
              <w:jc w:val="center"/>
              <w:rPr>
                <w:rFonts w:ascii="宋体" w:eastAsia="宋体" w:hAnsi="宋体" w:cs="宋体"/>
                <w:color w:val="auto"/>
                <w:sz w:val="18"/>
                <w:szCs w:val="18"/>
              </w:rPr>
            </w:pPr>
            <w:r>
              <w:rPr>
                <w:rFonts w:ascii="宋体" w:eastAsia="宋体" w:hAnsi="宋体" w:cs="宋体"/>
                <w:color w:val="auto"/>
                <w:spacing w:val="-1"/>
                <w:sz w:val="18"/>
                <w:szCs w:val="18"/>
              </w:rPr>
              <w:t>水</w:t>
            </w:r>
            <w:r>
              <w:rPr>
                <w:rFonts w:ascii="宋体" w:eastAsia="宋体" w:hAnsi="宋体" w:cs="宋体"/>
                <w:color w:val="auto"/>
                <w:sz w:val="18"/>
                <w:szCs w:val="18"/>
              </w:rPr>
              <w:t>温</w:t>
            </w:r>
          </w:p>
          <w:p w14:paraId="0E51471F" w14:textId="77777777" w:rsidR="0075791A" w:rsidRDefault="00FB2864">
            <w:pPr>
              <w:pStyle w:val="TableParagraph"/>
              <w:spacing w:before="12"/>
              <w:ind w:right="1"/>
              <w:jc w:val="center"/>
              <w:rPr>
                <w:rFonts w:ascii="宋体" w:eastAsia="宋体" w:hAnsi="宋体" w:cs="宋体"/>
                <w:color w:val="auto"/>
                <w:sz w:val="18"/>
                <w:szCs w:val="18"/>
              </w:rPr>
            </w:pPr>
            <w:r>
              <w:rPr>
                <w:rFonts w:ascii="宋体" w:eastAsia="宋体" w:hAnsi="宋体" w:cs="宋体"/>
                <w:color w:val="auto"/>
                <w:spacing w:val="-1"/>
                <w:sz w:val="18"/>
                <w:szCs w:val="18"/>
              </w:rPr>
              <w:t>（</w:t>
            </w:r>
            <w:r>
              <w:rPr>
                <w:rFonts w:ascii="Times New Roman" w:eastAsia="Times New Roman" w:hAnsi="Times New Roman" w:cs="Times New Roman"/>
                <w:color w:val="auto"/>
                <w:spacing w:val="2"/>
                <w:sz w:val="18"/>
                <w:szCs w:val="18"/>
              </w:rPr>
              <w:t>℃</w:t>
            </w:r>
            <w:r>
              <w:rPr>
                <w:rFonts w:ascii="宋体" w:eastAsia="宋体" w:hAnsi="宋体" w:cs="宋体"/>
                <w:color w:val="auto"/>
                <w:sz w:val="18"/>
                <w:szCs w:val="18"/>
              </w:rPr>
              <w:t>）</w:t>
            </w:r>
          </w:p>
        </w:tc>
        <w:tc>
          <w:tcPr>
            <w:tcW w:w="6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221D11" w14:textId="77777777" w:rsidR="0075791A" w:rsidRDefault="00FB2864">
            <w:pPr>
              <w:pStyle w:val="TableParagraph"/>
              <w:spacing w:line="293" w:lineRule="exact"/>
              <w:rPr>
                <w:rFonts w:ascii="宋体" w:eastAsia="宋体" w:hAnsi="宋体" w:cs="宋体"/>
                <w:color w:val="auto"/>
                <w:sz w:val="18"/>
                <w:szCs w:val="18"/>
              </w:rPr>
            </w:pPr>
            <w:r>
              <w:rPr>
                <w:rFonts w:ascii="宋体" w:eastAsia="宋体" w:hAnsi="宋体" w:cs="宋体"/>
                <w:color w:val="auto"/>
                <w:spacing w:val="-1"/>
                <w:sz w:val="18"/>
                <w:szCs w:val="18"/>
              </w:rPr>
              <w:t>水</w:t>
            </w:r>
            <w:r>
              <w:rPr>
                <w:rFonts w:ascii="宋体" w:eastAsia="宋体" w:hAnsi="宋体" w:cs="宋体"/>
                <w:color w:val="auto"/>
                <w:sz w:val="18"/>
                <w:szCs w:val="18"/>
              </w:rPr>
              <w:t>深</w:t>
            </w:r>
          </w:p>
          <w:p w14:paraId="3AC206D8" w14:textId="77777777" w:rsidR="0075791A" w:rsidRDefault="00FB2864">
            <w:pPr>
              <w:pStyle w:val="TableParagraph"/>
              <w:spacing w:before="12"/>
              <w:rPr>
                <w:rFonts w:ascii="宋体" w:eastAsia="宋体" w:hAnsi="宋体" w:cs="宋体"/>
                <w:color w:val="auto"/>
                <w:sz w:val="18"/>
                <w:szCs w:val="18"/>
              </w:rPr>
            </w:pPr>
            <w:r>
              <w:rPr>
                <w:rFonts w:ascii="宋体" w:eastAsia="宋体" w:hAnsi="宋体" w:cs="宋体"/>
                <w:color w:val="auto"/>
                <w:spacing w:val="2"/>
                <w:sz w:val="18"/>
                <w:szCs w:val="18"/>
              </w:rPr>
              <w:t>（</w:t>
            </w:r>
            <w:r>
              <w:rPr>
                <w:rFonts w:ascii="Times New Roman" w:eastAsia="Times New Roman" w:hAnsi="Times New Roman" w:cs="Times New Roman"/>
                <w:color w:val="auto"/>
                <w:sz w:val="18"/>
                <w:szCs w:val="18"/>
              </w:rPr>
              <w:t>m</w:t>
            </w:r>
            <w:r>
              <w:rPr>
                <w:rFonts w:ascii="宋体" w:eastAsia="宋体" w:hAnsi="宋体" w:cs="宋体"/>
                <w:color w:val="auto"/>
                <w:sz w:val="18"/>
                <w:szCs w:val="18"/>
              </w:rPr>
              <w:t>）</w:t>
            </w:r>
          </w:p>
        </w:tc>
        <w:tc>
          <w:tcPr>
            <w:tcW w:w="6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08D5500" w14:textId="77777777" w:rsidR="0075791A" w:rsidRDefault="00FB2864">
            <w:pPr>
              <w:pStyle w:val="TableParagraph"/>
              <w:spacing w:line="293" w:lineRule="exact"/>
              <w:rPr>
                <w:rFonts w:ascii="宋体" w:eastAsia="宋体" w:hAnsi="宋体" w:cs="宋体"/>
                <w:color w:val="auto"/>
                <w:sz w:val="18"/>
                <w:szCs w:val="18"/>
              </w:rPr>
            </w:pPr>
            <w:r>
              <w:rPr>
                <w:rFonts w:ascii="宋体" w:eastAsia="宋体" w:hAnsi="宋体" w:cs="宋体"/>
                <w:color w:val="auto"/>
                <w:spacing w:val="-1"/>
                <w:sz w:val="18"/>
                <w:szCs w:val="18"/>
              </w:rPr>
              <w:t>透</w:t>
            </w:r>
            <w:r>
              <w:rPr>
                <w:rFonts w:ascii="宋体" w:eastAsia="宋体" w:hAnsi="宋体" w:cs="宋体"/>
                <w:color w:val="auto"/>
                <w:spacing w:val="2"/>
                <w:sz w:val="18"/>
                <w:szCs w:val="18"/>
              </w:rPr>
              <w:t>明</w:t>
            </w:r>
            <w:r>
              <w:rPr>
                <w:rFonts w:ascii="宋体" w:eastAsia="宋体" w:hAnsi="宋体" w:cs="宋体"/>
                <w:color w:val="auto"/>
                <w:sz w:val="18"/>
                <w:szCs w:val="18"/>
              </w:rPr>
              <w:t>度</w:t>
            </w:r>
            <w:r>
              <w:rPr>
                <w:rFonts w:ascii="宋体" w:eastAsia="宋体" w:hAnsi="宋体" w:cs="宋体"/>
                <w:color w:val="auto"/>
                <w:spacing w:val="2"/>
                <w:sz w:val="18"/>
                <w:szCs w:val="18"/>
              </w:rPr>
              <w:t>（</w:t>
            </w:r>
            <w:r>
              <w:rPr>
                <w:rFonts w:ascii="Times New Roman" w:eastAsia="Times New Roman" w:hAnsi="Times New Roman" w:cs="Times New Roman"/>
                <w:color w:val="auto"/>
                <w:sz w:val="18"/>
                <w:szCs w:val="18"/>
              </w:rPr>
              <w:t>m</w:t>
            </w:r>
            <w:r>
              <w:rPr>
                <w:rFonts w:ascii="宋体" w:eastAsia="宋体" w:hAnsi="宋体" w:cs="宋体"/>
                <w:color w:val="auto"/>
                <w:sz w:val="18"/>
                <w:szCs w:val="18"/>
              </w:rPr>
              <w:t>）</w:t>
            </w: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02B440" w14:textId="77777777" w:rsidR="0075791A" w:rsidRDefault="00FB2864">
            <w:pPr>
              <w:pStyle w:val="TableParagraph"/>
              <w:rPr>
                <w:rFonts w:ascii="宋体" w:eastAsia="宋体" w:hAnsi="宋体" w:cs="宋体"/>
                <w:color w:val="auto"/>
                <w:sz w:val="18"/>
                <w:szCs w:val="18"/>
              </w:rPr>
            </w:pPr>
            <w:r>
              <w:rPr>
                <w:rFonts w:ascii="宋体" w:eastAsia="宋体" w:hAnsi="宋体" w:cs="宋体"/>
                <w:color w:val="auto"/>
                <w:spacing w:val="-1"/>
                <w:sz w:val="18"/>
                <w:szCs w:val="18"/>
              </w:rPr>
              <w:t>盐</w:t>
            </w:r>
            <w:r>
              <w:rPr>
                <w:rFonts w:ascii="宋体" w:eastAsia="宋体" w:hAnsi="宋体" w:cs="宋体"/>
                <w:color w:val="auto"/>
                <w:sz w:val="18"/>
                <w:szCs w:val="18"/>
              </w:rPr>
              <w:t>度</w:t>
            </w: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C9A728" w14:textId="77777777" w:rsidR="0075791A" w:rsidRDefault="00FB2864">
            <w:pPr>
              <w:pStyle w:val="TableParagraph"/>
              <w:ind w:right="1"/>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sz w:val="18"/>
                <w:szCs w:val="18"/>
              </w:rPr>
              <w:t>p</w:t>
            </w:r>
            <w:r>
              <w:rPr>
                <w:rFonts w:ascii="Times New Roman" w:eastAsia="Times New Roman" w:hAnsi="Times New Roman" w:cs="Times New Roman"/>
                <w:color w:val="auto"/>
                <w:sz w:val="18"/>
                <w:szCs w:val="18"/>
              </w:rPr>
              <w:t>H</w:t>
            </w: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1E944E" w14:textId="77777777" w:rsidR="0075791A" w:rsidRDefault="00FB2864">
            <w:pPr>
              <w:pStyle w:val="TableParagraph"/>
              <w:spacing w:line="293" w:lineRule="exact"/>
              <w:ind w:right="3"/>
              <w:jc w:val="center"/>
              <w:rPr>
                <w:rFonts w:ascii="宋体" w:eastAsia="宋体" w:hAnsi="宋体" w:cs="宋体"/>
                <w:color w:val="auto"/>
                <w:sz w:val="18"/>
                <w:szCs w:val="18"/>
              </w:rPr>
            </w:pPr>
            <w:r>
              <w:rPr>
                <w:rFonts w:ascii="宋体" w:eastAsia="宋体" w:hAnsi="宋体" w:cs="宋体"/>
                <w:color w:val="auto"/>
                <w:spacing w:val="-1"/>
                <w:sz w:val="18"/>
                <w:szCs w:val="18"/>
              </w:rPr>
              <w:t>悬</w:t>
            </w:r>
            <w:r>
              <w:rPr>
                <w:rFonts w:ascii="宋体" w:eastAsia="宋体" w:hAnsi="宋体" w:cs="宋体"/>
                <w:color w:val="auto"/>
                <w:spacing w:val="2"/>
                <w:sz w:val="18"/>
                <w:szCs w:val="18"/>
              </w:rPr>
              <w:t>浮</w:t>
            </w:r>
            <w:r>
              <w:rPr>
                <w:rFonts w:ascii="宋体" w:eastAsia="宋体" w:hAnsi="宋体" w:cs="宋体"/>
                <w:color w:val="auto"/>
                <w:sz w:val="18"/>
                <w:szCs w:val="18"/>
              </w:rPr>
              <w:t>物</w:t>
            </w:r>
          </w:p>
          <w:p w14:paraId="162C47F5" w14:textId="77777777" w:rsidR="0075791A" w:rsidRDefault="00FB2864">
            <w:pPr>
              <w:pStyle w:val="TableParagraph"/>
              <w:spacing w:line="293" w:lineRule="exact"/>
              <w:ind w:right="3"/>
              <w:jc w:val="center"/>
              <w:rPr>
                <w:rFonts w:ascii="宋体" w:eastAsia="宋体" w:hAnsi="宋体" w:cs="宋体"/>
                <w:color w:val="auto"/>
                <w:sz w:val="18"/>
                <w:szCs w:val="18"/>
              </w:rPr>
            </w:pPr>
            <w:r>
              <w:rPr>
                <w:rFonts w:ascii="宋体" w:eastAsia="宋体" w:hAnsi="宋体" w:cs="宋体"/>
                <w:color w:val="auto"/>
                <w:spacing w:val="2"/>
                <w:sz w:val="18"/>
                <w:szCs w:val="18"/>
              </w:rPr>
              <w:t>（</w:t>
            </w:r>
            <w:r>
              <w:rPr>
                <w:rFonts w:ascii="Times New Roman" w:eastAsia="Times New Roman" w:hAnsi="Times New Roman" w:cs="Times New Roman"/>
                <w:color w:val="auto"/>
                <w:spacing w:val="-2"/>
                <w:sz w:val="18"/>
                <w:szCs w:val="18"/>
              </w:rPr>
              <w:t>mg</w:t>
            </w:r>
            <w:r>
              <w:rPr>
                <w:rFonts w:ascii="Times New Roman" w:eastAsia="Times New Roman" w:hAnsi="Times New Roman" w:cs="Times New Roman"/>
                <w:color w:val="auto"/>
                <w:spacing w:val="2"/>
                <w:sz w:val="18"/>
                <w:szCs w:val="18"/>
              </w:rPr>
              <w:t>/L</w:t>
            </w:r>
            <w:r>
              <w:rPr>
                <w:rFonts w:ascii="宋体" w:eastAsia="宋体" w:hAnsi="宋体" w:cs="宋体"/>
                <w:color w:val="auto"/>
                <w:sz w:val="18"/>
                <w:szCs w:val="18"/>
              </w:rPr>
              <w:t>）</w:t>
            </w: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BD150C1" w14:textId="77777777" w:rsidR="0075791A" w:rsidRDefault="00FB2864">
            <w:pPr>
              <w:pStyle w:val="TableParagraph"/>
              <w:spacing w:before="67"/>
              <w:ind w:left="228" w:right="232"/>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DO</w:t>
            </w:r>
          </w:p>
          <w:p w14:paraId="6813D247" w14:textId="77777777" w:rsidR="0075791A" w:rsidRDefault="00FB2864">
            <w:pPr>
              <w:pStyle w:val="TableParagraph"/>
              <w:spacing w:line="322" w:lineRule="exact"/>
              <w:ind w:right="15"/>
              <w:jc w:val="center"/>
              <w:rPr>
                <w:rFonts w:ascii="宋体" w:eastAsia="宋体" w:hAnsi="宋体" w:cs="宋体"/>
                <w:color w:val="auto"/>
                <w:sz w:val="18"/>
                <w:szCs w:val="18"/>
              </w:rPr>
            </w:pPr>
            <w:r>
              <w:rPr>
                <w:rFonts w:ascii="宋体" w:eastAsia="宋体" w:hAnsi="宋体" w:cs="宋体"/>
                <w:color w:val="auto"/>
                <w:spacing w:val="-1"/>
                <w:sz w:val="18"/>
                <w:szCs w:val="18"/>
              </w:rPr>
              <w:t>（</w:t>
            </w:r>
            <w:r>
              <w:rPr>
                <w:rFonts w:ascii="Times New Roman" w:eastAsia="Times New Roman" w:hAnsi="Times New Roman" w:cs="Times New Roman"/>
                <w:color w:val="auto"/>
                <w:sz w:val="18"/>
                <w:szCs w:val="18"/>
              </w:rPr>
              <w:t>m</w:t>
            </w:r>
            <w:r>
              <w:rPr>
                <w:rFonts w:ascii="Times New Roman" w:eastAsia="Times New Roman" w:hAnsi="Times New Roman" w:cs="Times New Roman"/>
                <w:color w:val="auto"/>
                <w:spacing w:val="-2"/>
                <w:sz w:val="18"/>
                <w:szCs w:val="18"/>
              </w:rPr>
              <w:t>g</w:t>
            </w:r>
            <w:r>
              <w:rPr>
                <w:rFonts w:ascii="Times New Roman" w:eastAsia="Times New Roman" w:hAnsi="Times New Roman" w:cs="Times New Roman"/>
                <w:color w:val="auto"/>
                <w:spacing w:val="2"/>
                <w:sz w:val="18"/>
                <w:szCs w:val="18"/>
              </w:rPr>
              <w:t>/</w:t>
            </w:r>
            <w:r>
              <w:rPr>
                <w:rFonts w:ascii="Times New Roman" w:eastAsia="Times New Roman" w:hAnsi="Times New Roman" w:cs="Times New Roman"/>
                <w:color w:val="auto"/>
                <w:spacing w:val="-1"/>
                <w:sz w:val="18"/>
                <w:szCs w:val="18"/>
              </w:rPr>
              <w:t>L</w:t>
            </w:r>
            <w:r>
              <w:rPr>
                <w:rFonts w:ascii="宋体" w:eastAsia="宋体" w:hAnsi="宋体" w:cs="宋体"/>
                <w:color w:val="auto"/>
                <w:sz w:val="18"/>
                <w:szCs w:val="18"/>
              </w:rPr>
              <w:t>）</w:t>
            </w: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76E9A6" w14:textId="77777777" w:rsidR="0075791A" w:rsidRDefault="00FB2864">
            <w:pPr>
              <w:pStyle w:val="TableParagraph"/>
              <w:spacing w:before="67"/>
              <w:ind w:right="1"/>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COD</w:t>
            </w:r>
          </w:p>
          <w:p w14:paraId="7BEE68CE" w14:textId="77777777" w:rsidR="0075791A" w:rsidRDefault="00FB2864">
            <w:pPr>
              <w:pStyle w:val="TableParagraph"/>
              <w:spacing w:line="322" w:lineRule="exact"/>
              <w:ind w:left="94" w:right="83"/>
              <w:jc w:val="center"/>
              <w:rPr>
                <w:rFonts w:ascii="宋体" w:eastAsia="宋体" w:hAnsi="宋体" w:cs="宋体"/>
                <w:color w:val="auto"/>
                <w:sz w:val="18"/>
                <w:szCs w:val="18"/>
              </w:rPr>
            </w:pPr>
            <w:r>
              <w:rPr>
                <w:rFonts w:ascii="宋体" w:eastAsia="宋体" w:hAnsi="宋体" w:cs="宋体"/>
                <w:color w:val="auto"/>
                <w:spacing w:val="-1"/>
                <w:sz w:val="18"/>
                <w:szCs w:val="18"/>
              </w:rPr>
              <w:t>（</w:t>
            </w:r>
            <w:r>
              <w:rPr>
                <w:rFonts w:ascii="Times New Roman" w:eastAsia="Times New Roman" w:hAnsi="Times New Roman" w:cs="Times New Roman"/>
                <w:color w:val="auto"/>
                <w:sz w:val="18"/>
                <w:szCs w:val="18"/>
              </w:rPr>
              <w:t>m</w:t>
            </w:r>
            <w:r>
              <w:rPr>
                <w:rFonts w:ascii="Times New Roman" w:eastAsia="Times New Roman" w:hAnsi="Times New Roman" w:cs="Times New Roman"/>
                <w:color w:val="auto"/>
                <w:spacing w:val="-2"/>
                <w:sz w:val="18"/>
                <w:szCs w:val="18"/>
              </w:rPr>
              <w:t>g</w:t>
            </w:r>
            <w:r>
              <w:rPr>
                <w:rFonts w:ascii="Times New Roman" w:eastAsia="Times New Roman" w:hAnsi="Times New Roman" w:cs="Times New Roman"/>
                <w:color w:val="auto"/>
                <w:spacing w:val="2"/>
                <w:sz w:val="18"/>
                <w:szCs w:val="18"/>
              </w:rPr>
              <w:t>/</w:t>
            </w:r>
            <w:r>
              <w:rPr>
                <w:rFonts w:ascii="Times New Roman" w:eastAsia="Times New Roman" w:hAnsi="Times New Roman" w:cs="Times New Roman"/>
                <w:color w:val="auto"/>
                <w:spacing w:val="-1"/>
                <w:sz w:val="18"/>
                <w:szCs w:val="18"/>
              </w:rPr>
              <w:t>L</w:t>
            </w:r>
            <w:r>
              <w:rPr>
                <w:rFonts w:ascii="宋体" w:eastAsia="宋体" w:hAnsi="宋体" w:cs="宋体"/>
                <w:color w:val="auto"/>
                <w:sz w:val="18"/>
                <w:szCs w:val="18"/>
              </w:rPr>
              <w:t>）</w:t>
            </w: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37AF6F" w14:textId="77777777" w:rsidR="0075791A" w:rsidRDefault="00FB2864">
            <w:pPr>
              <w:pStyle w:val="TableParagraph"/>
              <w:spacing w:before="67"/>
              <w:ind w:left="230" w:right="233"/>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D</w:t>
            </w:r>
            <w:r>
              <w:rPr>
                <w:rFonts w:ascii="Times New Roman" w:eastAsia="Times New Roman" w:hAnsi="Times New Roman" w:cs="Times New Roman"/>
                <w:color w:val="auto"/>
                <w:spacing w:val="-3"/>
                <w:sz w:val="18"/>
                <w:szCs w:val="18"/>
              </w:rPr>
              <w:t>I</w:t>
            </w:r>
            <w:r>
              <w:rPr>
                <w:rFonts w:ascii="Times New Roman" w:eastAsia="Times New Roman" w:hAnsi="Times New Roman" w:cs="Times New Roman"/>
                <w:color w:val="auto"/>
                <w:sz w:val="18"/>
                <w:szCs w:val="18"/>
              </w:rPr>
              <w:t>N</w:t>
            </w:r>
          </w:p>
          <w:p w14:paraId="6751EDE5" w14:textId="77777777" w:rsidR="0075791A" w:rsidRDefault="00FB2864">
            <w:pPr>
              <w:pStyle w:val="TableParagraph"/>
              <w:spacing w:line="322" w:lineRule="exact"/>
              <w:ind w:left="93" w:right="81"/>
              <w:jc w:val="center"/>
              <w:rPr>
                <w:rFonts w:ascii="宋体" w:eastAsia="宋体" w:hAnsi="宋体" w:cs="宋体"/>
                <w:color w:val="auto"/>
                <w:sz w:val="18"/>
                <w:szCs w:val="18"/>
              </w:rPr>
            </w:pPr>
            <w:r>
              <w:rPr>
                <w:rFonts w:ascii="宋体" w:eastAsia="宋体" w:hAnsi="宋体" w:cs="宋体"/>
                <w:color w:val="auto"/>
                <w:spacing w:val="-1"/>
                <w:sz w:val="18"/>
                <w:szCs w:val="18"/>
              </w:rPr>
              <w:t>（</w:t>
            </w:r>
            <w:r>
              <w:rPr>
                <w:rFonts w:ascii="Times New Roman" w:eastAsia="Times New Roman" w:hAnsi="Times New Roman" w:cs="Times New Roman"/>
                <w:color w:val="auto"/>
                <w:sz w:val="18"/>
                <w:szCs w:val="18"/>
              </w:rPr>
              <w:t>m</w:t>
            </w:r>
            <w:r>
              <w:rPr>
                <w:rFonts w:ascii="Times New Roman" w:eastAsia="Times New Roman" w:hAnsi="Times New Roman" w:cs="Times New Roman"/>
                <w:color w:val="auto"/>
                <w:spacing w:val="-2"/>
                <w:sz w:val="18"/>
                <w:szCs w:val="18"/>
              </w:rPr>
              <w:t>g</w:t>
            </w:r>
            <w:r>
              <w:rPr>
                <w:rFonts w:ascii="Times New Roman" w:eastAsia="Times New Roman" w:hAnsi="Times New Roman" w:cs="Times New Roman"/>
                <w:color w:val="auto"/>
                <w:spacing w:val="2"/>
                <w:sz w:val="18"/>
                <w:szCs w:val="18"/>
              </w:rPr>
              <w:t>/L</w:t>
            </w:r>
            <w:r>
              <w:rPr>
                <w:rFonts w:ascii="宋体" w:eastAsia="宋体" w:hAnsi="宋体" w:cs="宋体"/>
                <w:color w:val="auto"/>
                <w:sz w:val="18"/>
                <w:szCs w:val="18"/>
              </w:rPr>
              <w:t>）</w:t>
            </w: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20495A"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position w:val="1"/>
                <w:sz w:val="18"/>
                <w:szCs w:val="18"/>
              </w:rPr>
              <w:t>P</w:t>
            </w:r>
            <w:r>
              <w:rPr>
                <w:rFonts w:ascii="Times New Roman" w:eastAsia="Times New Roman" w:hAnsi="Times New Roman" w:cs="Times New Roman"/>
                <w:color w:val="auto"/>
                <w:spacing w:val="2"/>
                <w:position w:val="1"/>
                <w:sz w:val="18"/>
                <w:szCs w:val="18"/>
              </w:rPr>
              <w:t>O</w:t>
            </w:r>
            <w:r>
              <w:rPr>
                <w:rFonts w:ascii="Times New Roman" w:eastAsia="Times New Roman" w:hAnsi="Times New Roman" w:cs="Times New Roman"/>
                <w:color w:val="auto"/>
                <w:spacing w:val="-2"/>
                <w:sz w:val="18"/>
                <w:szCs w:val="18"/>
              </w:rPr>
              <w:t>4</w:t>
            </w:r>
            <w:r>
              <w:rPr>
                <w:rFonts w:ascii="Times New Roman" w:eastAsia="Times New Roman" w:hAnsi="Times New Roman" w:cs="Times New Roman"/>
                <w:color w:val="auto"/>
                <w:position w:val="1"/>
                <w:sz w:val="18"/>
                <w:szCs w:val="18"/>
              </w:rPr>
              <w:t>-P</w:t>
            </w:r>
          </w:p>
          <w:p w14:paraId="6AAACF65" w14:textId="77777777" w:rsidR="0075791A" w:rsidRDefault="00FB2864">
            <w:pPr>
              <w:pStyle w:val="TableParagraph"/>
              <w:jc w:val="center"/>
              <w:rPr>
                <w:rFonts w:ascii="宋体" w:eastAsia="宋体" w:hAnsi="宋体" w:cs="宋体"/>
                <w:color w:val="auto"/>
                <w:spacing w:val="-1"/>
                <w:sz w:val="18"/>
                <w:szCs w:val="18"/>
              </w:rPr>
            </w:pPr>
            <w:r>
              <w:rPr>
                <w:rFonts w:ascii="宋体" w:eastAsia="宋体" w:hAnsi="宋体" w:cs="宋体"/>
                <w:color w:val="auto"/>
                <w:spacing w:val="2"/>
                <w:sz w:val="18"/>
                <w:szCs w:val="18"/>
              </w:rPr>
              <w:t>（</w:t>
            </w:r>
            <w:r>
              <w:rPr>
                <w:rFonts w:ascii="Times New Roman" w:eastAsia="Times New Roman" w:hAnsi="Times New Roman" w:cs="Times New Roman"/>
                <w:color w:val="auto"/>
                <w:spacing w:val="-2"/>
                <w:sz w:val="18"/>
                <w:szCs w:val="18"/>
              </w:rPr>
              <w:t>mg</w:t>
            </w:r>
            <w:r>
              <w:rPr>
                <w:rFonts w:ascii="Times New Roman" w:eastAsia="Times New Roman" w:hAnsi="Times New Roman" w:cs="Times New Roman"/>
                <w:color w:val="auto"/>
                <w:spacing w:val="2"/>
                <w:sz w:val="18"/>
                <w:szCs w:val="18"/>
              </w:rPr>
              <w:t>/L</w:t>
            </w:r>
            <w:r>
              <w:rPr>
                <w:rFonts w:ascii="宋体" w:eastAsia="宋体" w:hAnsi="宋体" w:cs="宋体"/>
                <w:color w:val="auto"/>
                <w:sz w:val="18"/>
                <w:szCs w:val="18"/>
              </w:rPr>
              <w:t>）</w:t>
            </w: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E33D65"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pacing w:val="-1"/>
                <w:sz w:val="18"/>
                <w:szCs w:val="18"/>
              </w:rPr>
              <w:t>石</w:t>
            </w:r>
            <w:r>
              <w:rPr>
                <w:rFonts w:ascii="宋体" w:eastAsia="宋体" w:hAnsi="宋体" w:cs="宋体"/>
                <w:color w:val="auto"/>
                <w:spacing w:val="2"/>
                <w:sz w:val="18"/>
                <w:szCs w:val="18"/>
              </w:rPr>
              <w:t>油</w:t>
            </w:r>
            <w:r>
              <w:rPr>
                <w:rFonts w:ascii="宋体" w:eastAsia="宋体" w:hAnsi="宋体" w:cs="宋体"/>
                <w:color w:val="auto"/>
                <w:sz w:val="18"/>
                <w:szCs w:val="18"/>
              </w:rPr>
              <w:t>类</w:t>
            </w:r>
          </w:p>
          <w:p w14:paraId="69B70E27" w14:textId="77777777" w:rsidR="0075791A" w:rsidRDefault="00FB2864">
            <w:pPr>
              <w:pStyle w:val="TableParagraph"/>
              <w:jc w:val="center"/>
              <w:rPr>
                <w:rFonts w:ascii="宋体" w:eastAsia="宋体" w:hAnsi="宋体" w:cs="宋体"/>
                <w:color w:val="auto"/>
                <w:spacing w:val="-1"/>
                <w:sz w:val="18"/>
                <w:szCs w:val="18"/>
              </w:rPr>
            </w:pPr>
            <w:r>
              <w:rPr>
                <w:rFonts w:ascii="宋体" w:eastAsia="宋体" w:hAnsi="宋体" w:cs="宋体"/>
                <w:color w:val="auto"/>
                <w:spacing w:val="2"/>
                <w:sz w:val="18"/>
                <w:szCs w:val="18"/>
              </w:rPr>
              <w:t>（</w:t>
            </w:r>
            <w:r>
              <w:rPr>
                <w:rFonts w:ascii="Times New Roman" w:eastAsia="Times New Roman" w:hAnsi="Times New Roman" w:cs="Times New Roman"/>
                <w:color w:val="auto"/>
                <w:sz w:val="18"/>
                <w:szCs w:val="18"/>
              </w:rPr>
              <w:t>m</w:t>
            </w:r>
            <w:r>
              <w:rPr>
                <w:rFonts w:ascii="Times New Roman" w:eastAsia="Times New Roman" w:hAnsi="Times New Roman" w:cs="Times New Roman"/>
                <w:color w:val="auto"/>
                <w:spacing w:val="-2"/>
                <w:sz w:val="18"/>
                <w:szCs w:val="18"/>
              </w:rPr>
              <w:t>g</w:t>
            </w:r>
            <w:r>
              <w:rPr>
                <w:rFonts w:ascii="Times New Roman" w:eastAsia="Times New Roman" w:hAnsi="Times New Roman" w:cs="Times New Roman"/>
                <w:color w:val="auto"/>
                <w:spacing w:val="2"/>
                <w:sz w:val="18"/>
                <w:szCs w:val="18"/>
              </w:rPr>
              <w:t>/</w:t>
            </w:r>
            <w:r>
              <w:rPr>
                <w:rFonts w:ascii="Times New Roman" w:eastAsia="Times New Roman" w:hAnsi="Times New Roman" w:cs="Times New Roman"/>
                <w:color w:val="auto"/>
                <w:spacing w:val="-1"/>
                <w:sz w:val="18"/>
                <w:szCs w:val="18"/>
              </w:rPr>
              <w:t>L</w:t>
            </w:r>
            <w:r>
              <w:rPr>
                <w:rFonts w:ascii="宋体" w:eastAsia="宋体" w:hAnsi="宋体" w:cs="宋体"/>
                <w:color w:val="auto"/>
                <w:sz w:val="18"/>
                <w:szCs w:val="18"/>
              </w:rPr>
              <w:t>）</w:t>
            </w: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A6CC6E"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Cu</w:t>
            </w:r>
          </w:p>
          <w:p w14:paraId="4FFD5EC4" w14:textId="77777777" w:rsidR="0075791A" w:rsidRDefault="00FB2864">
            <w:pPr>
              <w:pStyle w:val="TableParagraph"/>
              <w:jc w:val="center"/>
              <w:rPr>
                <w:rFonts w:ascii="宋体" w:eastAsia="宋体" w:hAnsi="宋体" w:cs="宋体"/>
                <w:color w:val="auto"/>
                <w:spacing w:val="-1"/>
                <w:sz w:val="18"/>
                <w:szCs w:val="18"/>
              </w:rPr>
            </w:pPr>
            <w:r>
              <w:rPr>
                <w:rFonts w:ascii="宋体" w:eastAsia="宋体" w:hAnsi="宋体" w:cs="宋体"/>
                <w:color w:val="auto"/>
                <w:spacing w:val="-1"/>
                <w:sz w:val="18"/>
                <w:szCs w:val="18"/>
              </w:rPr>
              <w:t>（</w:t>
            </w:r>
            <w:r>
              <w:rPr>
                <w:rFonts w:ascii="Times New Roman" w:eastAsia="Times New Roman" w:hAnsi="Times New Roman" w:cs="Times New Roman"/>
                <w:color w:val="auto"/>
                <w:sz w:val="18"/>
                <w:szCs w:val="18"/>
              </w:rPr>
              <w:t>μ</w:t>
            </w:r>
            <w:r>
              <w:rPr>
                <w:rFonts w:ascii="Times New Roman" w:eastAsia="Times New Roman" w:hAnsi="Times New Roman" w:cs="Times New Roman"/>
                <w:color w:val="auto"/>
                <w:spacing w:val="-2"/>
                <w:sz w:val="18"/>
                <w:szCs w:val="18"/>
              </w:rPr>
              <w:t>g</w:t>
            </w:r>
            <w:r>
              <w:rPr>
                <w:rFonts w:ascii="Times New Roman" w:eastAsia="Times New Roman" w:hAnsi="Times New Roman" w:cs="Times New Roman"/>
                <w:color w:val="auto"/>
                <w:spacing w:val="2"/>
                <w:sz w:val="18"/>
                <w:szCs w:val="18"/>
              </w:rPr>
              <w:t>/L</w:t>
            </w:r>
            <w:r>
              <w:rPr>
                <w:rFonts w:ascii="宋体" w:eastAsia="宋体" w:hAnsi="宋体" w:cs="宋体"/>
                <w:color w:val="auto"/>
                <w:sz w:val="18"/>
                <w:szCs w:val="18"/>
              </w:rPr>
              <w:t>）</w:t>
            </w: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2977FE"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sz w:val="18"/>
                <w:szCs w:val="18"/>
              </w:rPr>
              <w:t>P</w:t>
            </w:r>
            <w:r>
              <w:rPr>
                <w:rFonts w:ascii="Times New Roman" w:eastAsia="Times New Roman" w:hAnsi="Times New Roman" w:cs="Times New Roman"/>
                <w:color w:val="auto"/>
                <w:sz w:val="18"/>
                <w:szCs w:val="18"/>
              </w:rPr>
              <w:t>b</w:t>
            </w:r>
          </w:p>
          <w:p w14:paraId="3FED2F9A" w14:textId="77777777" w:rsidR="0075791A" w:rsidRDefault="00FB2864">
            <w:pPr>
              <w:pStyle w:val="TableParagraph"/>
              <w:jc w:val="center"/>
              <w:rPr>
                <w:rFonts w:ascii="宋体" w:eastAsia="宋体" w:hAnsi="宋体" w:cs="宋体"/>
                <w:color w:val="auto"/>
                <w:spacing w:val="-1"/>
                <w:sz w:val="18"/>
                <w:szCs w:val="18"/>
              </w:rPr>
            </w:pPr>
            <w:r>
              <w:rPr>
                <w:rFonts w:ascii="宋体" w:eastAsia="宋体" w:hAnsi="宋体" w:cs="宋体"/>
                <w:color w:val="auto"/>
                <w:spacing w:val="-1"/>
                <w:sz w:val="18"/>
                <w:szCs w:val="18"/>
              </w:rPr>
              <w:t>（</w:t>
            </w:r>
            <w:r>
              <w:rPr>
                <w:rFonts w:ascii="Times New Roman" w:eastAsia="Times New Roman" w:hAnsi="Times New Roman" w:cs="Times New Roman"/>
                <w:color w:val="auto"/>
                <w:sz w:val="18"/>
                <w:szCs w:val="18"/>
              </w:rPr>
              <w:t>μ</w:t>
            </w:r>
            <w:r>
              <w:rPr>
                <w:rFonts w:ascii="Times New Roman" w:eastAsia="Times New Roman" w:hAnsi="Times New Roman" w:cs="Times New Roman"/>
                <w:color w:val="auto"/>
                <w:spacing w:val="-2"/>
                <w:sz w:val="18"/>
                <w:szCs w:val="18"/>
              </w:rPr>
              <w:t>g</w:t>
            </w:r>
            <w:r>
              <w:rPr>
                <w:rFonts w:ascii="Times New Roman" w:eastAsia="Times New Roman" w:hAnsi="Times New Roman" w:cs="Times New Roman"/>
                <w:color w:val="auto"/>
                <w:spacing w:val="-1"/>
                <w:sz w:val="18"/>
                <w:szCs w:val="18"/>
              </w:rPr>
              <w:t>/</w:t>
            </w:r>
            <w:r>
              <w:rPr>
                <w:rFonts w:ascii="Times New Roman" w:eastAsia="Times New Roman" w:hAnsi="Times New Roman" w:cs="Times New Roman"/>
                <w:color w:val="auto"/>
                <w:spacing w:val="2"/>
                <w:sz w:val="18"/>
                <w:szCs w:val="18"/>
              </w:rPr>
              <w:t>L</w:t>
            </w:r>
            <w:r>
              <w:rPr>
                <w:rFonts w:ascii="宋体" w:eastAsia="宋体" w:hAnsi="宋体" w:cs="宋体"/>
                <w:color w:val="auto"/>
                <w:sz w:val="18"/>
                <w:szCs w:val="18"/>
              </w:rPr>
              <w:t>）</w:t>
            </w: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48091B"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sz w:val="18"/>
                <w:szCs w:val="18"/>
              </w:rPr>
              <w:t>Z</w:t>
            </w:r>
            <w:r>
              <w:rPr>
                <w:rFonts w:ascii="Times New Roman" w:eastAsia="Times New Roman" w:hAnsi="Times New Roman" w:cs="Times New Roman"/>
                <w:color w:val="auto"/>
                <w:sz w:val="18"/>
                <w:szCs w:val="18"/>
              </w:rPr>
              <w:t>n</w:t>
            </w:r>
          </w:p>
          <w:p w14:paraId="2B920256" w14:textId="77777777" w:rsidR="0075791A" w:rsidRDefault="00FB2864">
            <w:pPr>
              <w:pStyle w:val="TableParagraph"/>
              <w:jc w:val="center"/>
              <w:rPr>
                <w:rFonts w:ascii="宋体" w:eastAsia="宋体" w:hAnsi="宋体" w:cs="宋体"/>
                <w:color w:val="auto"/>
                <w:spacing w:val="-1"/>
                <w:sz w:val="18"/>
                <w:szCs w:val="18"/>
              </w:rPr>
            </w:pPr>
            <w:r>
              <w:rPr>
                <w:rFonts w:ascii="宋体" w:eastAsia="宋体" w:hAnsi="宋体" w:cs="宋体"/>
                <w:color w:val="auto"/>
                <w:spacing w:val="2"/>
                <w:sz w:val="18"/>
                <w:szCs w:val="18"/>
              </w:rPr>
              <w:t>（</w:t>
            </w:r>
            <w:r>
              <w:rPr>
                <w:rFonts w:ascii="Times New Roman" w:eastAsia="Times New Roman" w:hAnsi="Times New Roman" w:cs="Times New Roman"/>
                <w:color w:val="auto"/>
                <w:spacing w:val="-2"/>
                <w:sz w:val="18"/>
                <w:szCs w:val="18"/>
              </w:rPr>
              <w:t>μg</w:t>
            </w:r>
            <w:r>
              <w:rPr>
                <w:rFonts w:ascii="Times New Roman" w:eastAsia="Times New Roman" w:hAnsi="Times New Roman" w:cs="Times New Roman"/>
                <w:color w:val="auto"/>
                <w:spacing w:val="2"/>
                <w:sz w:val="18"/>
                <w:szCs w:val="18"/>
              </w:rPr>
              <w:t>/L</w:t>
            </w:r>
            <w:r>
              <w:rPr>
                <w:rFonts w:ascii="宋体" w:eastAsia="宋体" w:hAnsi="宋体" w:cs="宋体"/>
                <w:color w:val="auto"/>
                <w:sz w:val="18"/>
                <w:szCs w:val="18"/>
              </w:rPr>
              <w:t>）</w:t>
            </w: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70798E"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Cd</w:t>
            </w:r>
          </w:p>
          <w:p w14:paraId="44F40E08" w14:textId="77777777" w:rsidR="0075791A" w:rsidRDefault="00FB2864">
            <w:pPr>
              <w:pStyle w:val="TableParagraph"/>
              <w:jc w:val="center"/>
              <w:rPr>
                <w:rFonts w:ascii="宋体" w:eastAsia="宋体" w:hAnsi="宋体" w:cs="宋体"/>
                <w:color w:val="auto"/>
                <w:spacing w:val="-1"/>
                <w:sz w:val="18"/>
                <w:szCs w:val="18"/>
              </w:rPr>
            </w:pPr>
            <w:r>
              <w:rPr>
                <w:rFonts w:ascii="宋体" w:eastAsia="宋体" w:hAnsi="宋体" w:cs="宋体"/>
                <w:color w:val="auto"/>
                <w:spacing w:val="-1"/>
                <w:sz w:val="18"/>
                <w:szCs w:val="18"/>
              </w:rPr>
              <w:t>（</w:t>
            </w:r>
            <w:r>
              <w:rPr>
                <w:rFonts w:ascii="Times New Roman" w:eastAsia="Times New Roman" w:hAnsi="Times New Roman" w:cs="Times New Roman"/>
                <w:color w:val="auto"/>
                <w:sz w:val="18"/>
                <w:szCs w:val="18"/>
              </w:rPr>
              <w:t>μ</w:t>
            </w:r>
            <w:r>
              <w:rPr>
                <w:rFonts w:ascii="Times New Roman" w:eastAsia="Times New Roman" w:hAnsi="Times New Roman" w:cs="Times New Roman"/>
                <w:color w:val="auto"/>
                <w:spacing w:val="-2"/>
                <w:sz w:val="18"/>
                <w:szCs w:val="18"/>
              </w:rPr>
              <w:t>g</w:t>
            </w:r>
            <w:r>
              <w:rPr>
                <w:rFonts w:ascii="Times New Roman" w:eastAsia="Times New Roman" w:hAnsi="Times New Roman" w:cs="Times New Roman"/>
                <w:color w:val="auto"/>
                <w:spacing w:val="2"/>
                <w:sz w:val="18"/>
                <w:szCs w:val="18"/>
              </w:rPr>
              <w:t>/L</w:t>
            </w:r>
            <w:r>
              <w:rPr>
                <w:rFonts w:ascii="宋体" w:eastAsia="宋体" w:hAnsi="宋体" w:cs="宋体"/>
                <w:color w:val="auto"/>
                <w:sz w:val="18"/>
                <w:szCs w:val="18"/>
              </w:rPr>
              <w:t>）</w:t>
            </w: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CB33C1"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Cr</w:t>
            </w:r>
          </w:p>
          <w:p w14:paraId="4B8D4DB4" w14:textId="77777777" w:rsidR="0075791A" w:rsidRDefault="00FB2864">
            <w:pPr>
              <w:pStyle w:val="TableParagraph"/>
              <w:jc w:val="center"/>
              <w:rPr>
                <w:rFonts w:ascii="宋体" w:eastAsia="宋体" w:hAnsi="宋体" w:cs="宋体"/>
                <w:color w:val="auto"/>
                <w:spacing w:val="-1"/>
                <w:sz w:val="18"/>
                <w:szCs w:val="18"/>
              </w:rPr>
            </w:pPr>
            <w:r>
              <w:rPr>
                <w:rFonts w:ascii="宋体" w:eastAsia="宋体" w:hAnsi="宋体" w:cs="宋体"/>
                <w:color w:val="auto"/>
                <w:spacing w:val="-1"/>
                <w:sz w:val="18"/>
                <w:szCs w:val="18"/>
              </w:rPr>
              <w:t>（</w:t>
            </w:r>
            <w:r>
              <w:rPr>
                <w:rFonts w:ascii="Times New Roman" w:eastAsia="Times New Roman" w:hAnsi="Times New Roman" w:cs="Times New Roman"/>
                <w:color w:val="auto"/>
                <w:sz w:val="18"/>
                <w:szCs w:val="18"/>
              </w:rPr>
              <w:t>μ</w:t>
            </w:r>
            <w:r>
              <w:rPr>
                <w:rFonts w:ascii="Times New Roman" w:eastAsia="Times New Roman" w:hAnsi="Times New Roman" w:cs="Times New Roman"/>
                <w:color w:val="auto"/>
                <w:spacing w:val="-2"/>
                <w:sz w:val="18"/>
                <w:szCs w:val="18"/>
              </w:rPr>
              <w:t>g</w:t>
            </w:r>
            <w:r>
              <w:rPr>
                <w:rFonts w:ascii="Times New Roman" w:eastAsia="Times New Roman" w:hAnsi="Times New Roman" w:cs="Times New Roman"/>
                <w:color w:val="auto"/>
                <w:spacing w:val="-1"/>
                <w:sz w:val="18"/>
                <w:szCs w:val="18"/>
              </w:rPr>
              <w:t>/</w:t>
            </w:r>
            <w:r>
              <w:rPr>
                <w:rFonts w:ascii="Times New Roman" w:eastAsia="Times New Roman" w:hAnsi="Times New Roman" w:cs="Times New Roman"/>
                <w:color w:val="auto"/>
                <w:spacing w:val="2"/>
                <w:sz w:val="18"/>
                <w:szCs w:val="18"/>
              </w:rPr>
              <w:t>L</w:t>
            </w:r>
            <w:r>
              <w:rPr>
                <w:rFonts w:ascii="宋体" w:eastAsia="宋体" w:hAnsi="宋体" w:cs="宋体"/>
                <w:color w:val="auto"/>
                <w:sz w:val="18"/>
                <w:szCs w:val="18"/>
              </w:rPr>
              <w:t>）</w:t>
            </w: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6EABD06"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Hg</w:t>
            </w:r>
          </w:p>
          <w:p w14:paraId="76623F5B" w14:textId="77777777" w:rsidR="0075791A" w:rsidRDefault="00FB2864">
            <w:pPr>
              <w:pStyle w:val="TableParagraph"/>
              <w:jc w:val="center"/>
              <w:rPr>
                <w:rFonts w:ascii="宋体" w:eastAsia="宋体" w:hAnsi="宋体" w:cs="宋体"/>
                <w:color w:val="auto"/>
                <w:spacing w:val="-1"/>
                <w:sz w:val="18"/>
                <w:szCs w:val="18"/>
              </w:rPr>
            </w:pPr>
            <w:r>
              <w:rPr>
                <w:rFonts w:ascii="宋体" w:eastAsia="宋体" w:hAnsi="宋体" w:cs="宋体"/>
                <w:color w:val="auto"/>
                <w:spacing w:val="2"/>
                <w:sz w:val="18"/>
                <w:szCs w:val="18"/>
              </w:rPr>
              <w:t>（</w:t>
            </w:r>
            <w:r>
              <w:rPr>
                <w:rFonts w:ascii="Times New Roman" w:eastAsia="Times New Roman" w:hAnsi="Times New Roman" w:cs="Times New Roman"/>
                <w:color w:val="auto"/>
                <w:spacing w:val="-2"/>
                <w:sz w:val="18"/>
                <w:szCs w:val="18"/>
              </w:rPr>
              <w:t>μg</w:t>
            </w:r>
            <w:r>
              <w:rPr>
                <w:rFonts w:ascii="Times New Roman" w:eastAsia="Times New Roman" w:hAnsi="Times New Roman" w:cs="Times New Roman"/>
                <w:color w:val="auto"/>
                <w:spacing w:val="2"/>
                <w:sz w:val="18"/>
                <w:szCs w:val="18"/>
              </w:rPr>
              <w:t>/L</w:t>
            </w:r>
            <w:r>
              <w:rPr>
                <w:rFonts w:ascii="宋体" w:eastAsia="宋体" w:hAnsi="宋体" w:cs="宋体"/>
                <w:color w:val="auto"/>
                <w:sz w:val="18"/>
                <w:szCs w:val="18"/>
              </w:rPr>
              <w:t>）</w:t>
            </w: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257E65"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As</w:t>
            </w:r>
          </w:p>
          <w:p w14:paraId="636EB7BD" w14:textId="77777777" w:rsidR="0075791A" w:rsidRDefault="00FB2864">
            <w:pPr>
              <w:pStyle w:val="TableParagraph"/>
              <w:jc w:val="center"/>
              <w:rPr>
                <w:rFonts w:ascii="宋体" w:eastAsia="宋体" w:hAnsi="宋体" w:cs="宋体"/>
                <w:color w:val="auto"/>
                <w:spacing w:val="-1"/>
                <w:sz w:val="18"/>
                <w:szCs w:val="18"/>
              </w:rPr>
            </w:pPr>
            <w:r>
              <w:rPr>
                <w:rFonts w:ascii="宋体" w:eastAsia="宋体" w:hAnsi="宋体" w:cs="宋体"/>
                <w:color w:val="auto"/>
                <w:spacing w:val="-1"/>
                <w:sz w:val="18"/>
                <w:szCs w:val="18"/>
              </w:rPr>
              <w:t>（</w:t>
            </w:r>
            <w:r>
              <w:rPr>
                <w:rFonts w:ascii="Times New Roman" w:eastAsia="Times New Roman" w:hAnsi="Times New Roman" w:cs="Times New Roman"/>
                <w:color w:val="auto"/>
                <w:sz w:val="18"/>
                <w:szCs w:val="18"/>
              </w:rPr>
              <w:t>μ</w:t>
            </w:r>
            <w:r>
              <w:rPr>
                <w:rFonts w:ascii="Times New Roman" w:eastAsia="Times New Roman" w:hAnsi="Times New Roman" w:cs="Times New Roman"/>
                <w:color w:val="auto"/>
                <w:spacing w:val="-2"/>
                <w:sz w:val="18"/>
                <w:szCs w:val="18"/>
              </w:rPr>
              <w:t>g</w:t>
            </w:r>
            <w:r>
              <w:rPr>
                <w:rFonts w:ascii="Times New Roman" w:eastAsia="Times New Roman" w:hAnsi="Times New Roman" w:cs="Times New Roman"/>
                <w:color w:val="auto"/>
                <w:spacing w:val="2"/>
                <w:sz w:val="18"/>
                <w:szCs w:val="18"/>
              </w:rPr>
              <w:t>/L</w:t>
            </w:r>
            <w:r>
              <w:rPr>
                <w:rFonts w:ascii="宋体" w:eastAsia="宋体" w:hAnsi="宋体" w:cs="宋体"/>
                <w:color w:val="auto"/>
                <w:sz w:val="18"/>
                <w:szCs w:val="18"/>
              </w:rPr>
              <w:t>）</w:t>
            </w:r>
          </w:p>
        </w:tc>
      </w:tr>
      <w:tr w:rsidR="0075791A" w14:paraId="3426D86E" w14:textId="77777777">
        <w:trPr>
          <w:trHeight w:hRule="exact" w:val="227"/>
        </w:trPr>
        <w:tc>
          <w:tcPr>
            <w:tcW w:w="430"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1462166"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H1</w:t>
            </w: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7C2B0F"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表</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8CB29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48AC4A6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14AE717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42956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696CD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81AD0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D7E17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F1C96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AC95F1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51205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5170C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5F983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5E883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9C557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88560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593E8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C0C82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4CAD3A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466D95D9" w14:textId="77777777">
        <w:trPr>
          <w:trHeight w:hRule="exact" w:val="227"/>
        </w:trPr>
        <w:tc>
          <w:tcPr>
            <w:tcW w:w="430"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5149CC3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2CA5DD"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底</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E3CC2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0C1AD45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C51234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C48AC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0BEE1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BA02B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06BA7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2D13F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64D52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D52503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DC7BB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83E41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D3204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8AF5C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048C6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8BCD1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48050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F5F2B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26929B03" w14:textId="77777777">
        <w:trPr>
          <w:trHeight w:hRule="exact" w:val="227"/>
        </w:trPr>
        <w:tc>
          <w:tcPr>
            <w:tcW w:w="430"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51A7C39"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H2</w:t>
            </w: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1C811C"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表</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91BFF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067DB0A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1EEE0B2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2E718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C6B8E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7B1A80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88E4E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FC20DC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97EE1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962E9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872EB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1777E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606BF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1B4E7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9DA2E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77FBEA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C0F53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8CFB5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6318CC28" w14:textId="77777777">
        <w:trPr>
          <w:trHeight w:hRule="exact" w:val="227"/>
        </w:trPr>
        <w:tc>
          <w:tcPr>
            <w:tcW w:w="430" w:type="dxa"/>
            <w:vMerge/>
            <w:tcBorders>
              <w:left w:val="single" w:sz="4" w:space="0" w:color="000000"/>
              <w:right w:val="single" w:sz="4" w:space="0" w:color="000000"/>
            </w:tcBorders>
            <w:tcMar>
              <w:top w:w="0" w:type="dxa"/>
              <w:left w:w="0" w:type="dxa"/>
              <w:bottom w:w="0" w:type="dxa"/>
              <w:right w:w="0" w:type="dxa"/>
            </w:tcMar>
            <w:vAlign w:val="center"/>
          </w:tcPr>
          <w:p w14:paraId="61517F3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8ADCAB"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10m</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40449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right w:val="single" w:sz="4" w:space="0" w:color="000000"/>
            </w:tcBorders>
            <w:tcMar>
              <w:top w:w="0" w:type="dxa"/>
              <w:left w:w="0" w:type="dxa"/>
              <w:bottom w:w="0" w:type="dxa"/>
              <w:right w:w="0" w:type="dxa"/>
            </w:tcMar>
            <w:vAlign w:val="center"/>
          </w:tcPr>
          <w:p w14:paraId="3C95399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right w:val="single" w:sz="4" w:space="0" w:color="000000"/>
            </w:tcBorders>
            <w:tcMar>
              <w:top w:w="0" w:type="dxa"/>
              <w:left w:w="0" w:type="dxa"/>
              <w:bottom w:w="0" w:type="dxa"/>
              <w:right w:w="0" w:type="dxa"/>
            </w:tcMar>
            <w:vAlign w:val="center"/>
          </w:tcPr>
          <w:p w14:paraId="43CF27A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320D8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3F0E8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21C1F8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F2BF3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A9E386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E7E58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5DA6F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DC192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BE579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342FC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1A986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5655F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2D437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583134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87C18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62543E40" w14:textId="77777777">
        <w:trPr>
          <w:trHeight w:hRule="exact" w:val="227"/>
        </w:trPr>
        <w:tc>
          <w:tcPr>
            <w:tcW w:w="430"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495D127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9B3E33"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底</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ADD68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00B2AF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77C3B9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07056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67B38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605F1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2E10D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49B7A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16E1C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DF4E0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C2379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DC7BA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803B3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6C716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46DCF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97250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C7453B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BC429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6F178CF2" w14:textId="77777777">
        <w:trPr>
          <w:trHeight w:hRule="exact" w:val="227"/>
        </w:trPr>
        <w:tc>
          <w:tcPr>
            <w:tcW w:w="430"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54E50673"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H3</w:t>
            </w: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354483"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表</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92548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FC140C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3DE7FD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DC00E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1B59A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4A932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FB862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5630E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9DEFB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033B3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039C1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88533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EDEAB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C51E74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22CAF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AD036D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D4FE9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38E0D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2E13DD5C" w14:textId="77777777">
        <w:trPr>
          <w:trHeight w:hRule="exact" w:val="227"/>
        </w:trPr>
        <w:tc>
          <w:tcPr>
            <w:tcW w:w="430" w:type="dxa"/>
            <w:vMerge/>
            <w:tcBorders>
              <w:left w:val="single" w:sz="4" w:space="0" w:color="000000"/>
              <w:right w:val="single" w:sz="4" w:space="0" w:color="000000"/>
            </w:tcBorders>
            <w:tcMar>
              <w:top w:w="0" w:type="dxa"/>
              <w:left w:w="0" w:type="dxa"/>
              <w:bottom w:w="0" w:type="dxa"/>
              <w:right w:w="0" w:type="dxa"/>
            </w:tcMar>
            <w:vAlign w:val="center"/>
          </w:tcPr>
          <w:p w14:paraId="75871A1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01FAFD"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10m</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06B31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right w:val="single" w:sz="4" w:space="0" w:color="000000"/>
            </w:tcBorders>
            <w:tcMar>
              <w:top w:w="0" w:type="dxa"/>
              <w:left w:w="0" w:type="dxa"/>
              <w:bottom w:w="0" w:type="dxa"/>
              <w:right w:w="0" w:type="dxa"/>
            </w:tcMar>
            <w:vAlign w:val="center"/>
          </w:tcPr>
          <w:p w14:paraId="7A1285B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right w:val="single" w:sz="4" w:space="0" w:color="000000"/>
            </w:tcBorders>
            <w:tcMar>
              <w:top w:w="0" w:type="dxa"/>
              <w:left w:w="0" w:type="dxa"/>
              <w:bottom w:w="0" w:type="dxa"/>
              <w:right w:w="0" w:type="dxa"/>
            </w:tcMar>
            <w:vAlign w:val="center"/>
          </w:tcPr>
          <w:p w14:paraId="33A105E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6CB7A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CE4CB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63156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37E37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1EDD3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318962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44A7C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E5B98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50ABB3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BD2B0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27D97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FBAF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43BFA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1BB55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09B93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419E7557" w14:textId="77777777">
        <w:trPr>
          <w:trHeight w:hRule="exact" w:val="227"/>
        </w:trPr>
        <w:tc>
          <w:tcPr>
            <w:tcW w:w="430"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4B1FCC7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F4CED9"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底</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B022D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27355AF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44EE71F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9612B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58494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00D48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2E5484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12CFD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BB60B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7A2A8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BDE23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9C572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C7968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E7B24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B049A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076EE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3673D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40652A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15EB3DE1" w14:textId="77777777">
        <w:trPr>
          <w:trHeight w:hRule="exact" w:val="227"/>
        </w:trPr>
        <w:tc>
          <w:tcPr>
            <w:tcW w:w="430"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7085F32"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H4</w:t>
            </w: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390424"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表</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60A00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2E853A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55DD49F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56A6AB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8C788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F86D3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E81D9C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68C6D3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46298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B2E38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CF653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66AF18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BFCBB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F7DE6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F1B55C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B7918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56019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88D8A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022547B7" w14:textId="77777777">
        <w:trPr>
          <w:trHeight w:hRule="exact" w:val="227"/>
        </w:trPr>
        <w:tc>
          <w:tcPr>
            <w:tcW w:w="430"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CB1ACB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3BC95D"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底</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A8C96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5426AD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1009F42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E8569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4F5B5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70DD9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F0FB4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6E40F4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62B242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17EF8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4DAAD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A00A4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5B6BED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EC3829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D76925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D8A3D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133F1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67F4B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3FC464A8" w14:textId="77777777">
        <w:trPr>
          <w:trHeight w:hRule="exact" w:val="227"/>
        </w:trPr>
        <w:tc>
          <w:tcPr>
            <w:tcW w:w="430"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6B3CE290"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H5</w:t>
            </w: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CC992A"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表</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1CAB8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BEE7BD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4711E0B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3E69EC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65168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E1DE64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C18E6B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581D7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6EA13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2C808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4C372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ED9BA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793B8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EC4B3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30E027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80D99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2800D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B6396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38027C3F" w14:textId="77777777">
        <w:trPr>
          <w:trHeight w:hRule="exact" w:val="227"/>
        </w:trPr>
        <w:tc>
          <w:tcPr>
            <w:tcW w:w="430" w:type="dxa"/>
            <w:vMerge/>
            <w:tcBorders>
              <w:left w:val="single" w:sz="4" w:space="0" w:color="000000"/>
              <w:right w:val="single" w:sz="4" w:space="0" w:color="000000"/>
            </w:tcBorders>
            <w:tcMar>
              <w:top w:w="0" w:type="dxa"/>
              <w:left w:w="0" w:type="dxa"/>
              <w:bottom w:w="0" w:type="dxa"/>
              <w:right w:w="0" w:type="dxa"/>
            </w:tcMar>
            <w:vAlign w:val="center"/>
          </w:tcPr>
          <w:p w14:paraId="6C5644C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498F4D6"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10m</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F5834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right w:val="single" w:sz="4" w:space="0" w:color="000000"/>
            </w:tcBorders>
            <w:tcMar>
              <w:top w:w="0" w:type="dxa"/>
              <w:left w:w="0" w:type="dxa"/>
              <w:bottom w:w="0" w:type="dxa"/>
              <w:right w:w="0" w:type="dxa"/>
            </w:tcMar>
            <w:vAlign w:val="center"/>
          </w:tcPr>
          <w:p w14:paraId="77BAAE0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right w:val="single" w:sz="4" w:space="0" w:color="000000"/>
            </w:tcBorders>
            <w:tcMar>
              <w:top w:w="0" w:type="dxa"/>
              <w:left w:w="0" w:type="dxa"/>
              <w:bottom w:w="0" w:type="dxa"/>
              <w:right w:w="0" w:type="dxa"/>
            </w:tcMar>
            <w:vAlign w:val="center"/>
          </w:tcPr>
          <w:p w14:paraId="4FB273C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C11105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AC61B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2CDB2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E154A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79FF9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64FD54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B58A7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28EAFC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F970D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6B511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11929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31015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0D750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500C4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F4AFA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027E7A0E" w14:textId="77777777">
        <w:trPr>
          <w:trHeight w:hRule="exact" w:val="227"/>
        </w:trPr>
        <w:tc>
          <w:tcPr>
            <w:tcW w:w="430"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52653EA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2238C2"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底</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E8300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2E86AC2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F86E51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0FF23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CCAEE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5EBC4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6A642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F9052D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C7619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F8BDD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98D4D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29810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49178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198D2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48366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5CF51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32AEF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6E59F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5D118A4E" w14:textId="77777777">
        <w:trPr>
          <w:trHeight w:hRule="exact" w:val="227"/>
        </w:trPr>
        <w:tc>
          <w:tcPr>
            <w:tcW w:w="430"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491D2169"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H6</w:t>
            </w: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978712"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表</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25AAC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515B49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5CBCE67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5E1F0F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E5309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86891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462EF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83A97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0A2DB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89021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B21740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D6C5A2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CB537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4D2EF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10229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0C82D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03D5C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2D408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2F98A3A1" w14:textId="77777777">
        <w:trPr>
          <w:trHeight w:hRule="exact" w:val="227"/>
        </w:trPr>
        <w:tc>
          <w:tcPr>
            <w:tcW w:w="430" w:type="dxa"/>
            <w:vMerge/>
            <w:tcBorders>
              <w:left w:val="single" w:sz="4" w:space="0" w:color="000000"/>
              <w:right w:val="single" w:sz="4" w:space="0" w:color="000000"/>
            </w:tcBorders>
            <w:tcMar>
              <w:top w:w="0" w:type="dxa"/>
              <w:left w:w="0" w:type="dxa"/>
              <w:bottom w:w="0" w:type="dxa"/>
              <w:right w:w="0" w:type="dxa"/>
            </w:tcMar>
            <w:vAlign w:val="center"/>
          </w:tcPr>
          <w:p w14:paraId="04F3B79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D5F85D"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10m</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A5D49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right w:val="single" w:sz="4" w:space="0" w:color="000000"/>
            </w:tcBorders>
            <w:tcMar>
              <w:top w:w="0" w:type="dxa"/>
              <w:left w:w="0" w:type="dxa"/>
              <w:bottom w:w="0" w:type="dxa"/>
              <w:right w:w="0" w:type="dxa"/>
            </w:tcMar>
            <w:vAlign w:val="center"/>
          </w:tcPr>
          <w:p w14:paraId="47D95F4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right w:val="single" w:sz="4" w:space="0" w:color="000000"/>
            </w:tcBorders>
            <w:tcMar>
              <w:top w:w="0" w:type="dxa"/>
              <w:left w:w="0" w:type="dxa"/>
              <w:bottom w:w="0" w:type="dxa"/>
              <w:right w:w="0" w:type="dxa"/>
            </w:tcMar>
            <w:vAlign w:val="center"/>
          </w:tcPr>
          <w:p w14:paraId="7929DA8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5B1207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736804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E39C2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EA49C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51D275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7A27F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B5C0AE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1AB6B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DFE43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420C9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EA8A3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C5867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C49AA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6E22E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3DEC2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64087D5D" w14:textId="77777777">
        <w:trPr>
          <w:trHeight w:hRule="exact" w:val="227"/>
        </w:trPr>
        <w:tc>
          <w:tcPr>
            <w:tcW w:w="430"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0DCA11B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162BC4"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底</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99BDF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3A199CA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039C5A9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4B054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15584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E817B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E3DBB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70F9D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2C5D7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0B050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CC08F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80295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BEF15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3E088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6DAD08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37FAE6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5387D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38EB02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55F639E3" w14:textId="77777777">
        <w:trPr>
          <w:trHeight w:hRule="exact" w:val="227"/>
        </w:trPr>
        <w:tc>
          <w:tcPr>
            <w:tcW w:w="430"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4BE57A4"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H7</w:t>
            </w: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34F5EA"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表</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CAC27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0C93FCE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4599B9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B36EE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B2C62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69648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430B2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109FA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C9AF7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5E6F3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DD167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B31D9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82C34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89848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AF23A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F7EFC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3B64FA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199F0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148D03ED" w14:textId="77777777">
        <w:trPr>
          <w:trHeight w:hRule="exact" w:val="227"/>
        </w:trPr>
        <w:tc>
          <w:tcPr>
            <w:tcW w:w="430"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217A6B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0636783"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底</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086ECC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133730A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4751D7F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D64CF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5432D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3047E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42B61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75170E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64CC6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030CC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0EC57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BAAB3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474B4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1FA4A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FC8DE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2DCE51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4C39E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5546E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6AACDFC6" w14:textId="77777777">
        <w:trPr>
          <w:trHeight w:hRule="exact" w:val="227"/>
        </w:trPr>
        <w:tc>
          <w:tcPr>
            <w:tcW w:w="430"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00DC5AF1"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H8</w:t>
            </w: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9979BD"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表</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E0054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F36596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311A5C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11B4C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524A2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F3BC2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869D2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47D1B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45063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50C305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A6601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C0B22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7EBE8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5F5A3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15CE4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970D6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EAD8B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883D8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5D076593" w14:textId="77777777">
        <w:trPr>
          <w:trHeight w:hRule="exact" w:val="227"/>
        </w:trPr>
        <w:tc>
          <w:tcPr>
            <w:tcW w:w="430" w:type="dxa"/>
            <w:vMerge/>
            <w:tcBorders>
              <w:left w:val="single" w:sz="4" w:space="0" w:color="000000"/>
              <w:right w:val="single" w:sz="4" w:space="0" w:color="000000"/>
            </w:tcBorders>
            <w:tcMar>
              <w:top w:w="0" w:type="dxa"/>
              <w:left w:w="0" w:type="dxa"/>
              <w:bottom w:w="0" w:type="dxa"/>
              <w:right w:w="0" w:type="dxa"/>
            </w:tcMar>
            <w:vAlign w:val="center"/>
          </w:tcPr>
          <w:p w14:paraId="0511923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22EEF2"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10m</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357EC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384D48F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07F63B2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C48ED5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C5DAB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64ED4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EFC99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153E9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0EB1B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C4C6A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0589E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087195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E4C71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B6DA6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E596D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D8352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7B255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53E86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6F8E7037" w14:textId="77777777">
        <w:trPr>
          <w:trHeight w:hRule="exact" w:val="227"/>
        </w:trPr>
        <w:tc>
          <w:tcPr>
            <w:tcW w:w="430"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FD08E0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E62D6F"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底</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69FBD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EEBB4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933C4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7D481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43665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B9ABC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FF2C5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559B1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2AA64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38E5C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D2E44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D8D008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5997A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1CABE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BFA9D0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66B13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A87F9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34899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3F3FD5E4" w14:textId="77777777">
        <w:trPr>
          <w:trHeight w:hRule="exact" w:val="227"/>
        </w:trPr>
        <w:tc>
          <w:tcPr>
            <w:tcW w:w="430"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4673E797"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H9</w:t>
            </w: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885E33"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表</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92BC4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194D729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4B30F3E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08B1F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A11A0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770D76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03BE1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9F687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788D3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6CDDF2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2F6BE4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EF4F5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C46FE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0544C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2CAD6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0464B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9796D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82AD5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4F633504" w14:textId="77777777">
        <w:trPr>
          <w:trHeight w:hRule="exact" w:val="227"/>
        </w:trPr>
        <w:tc>
          <w:tcPr>
            <w:tcW w:w="430" w:type="dxa"/>
            <w:vMerge/>
            <w:tcBorders>
              <w:left w:val="single" w:sz="4" w:space="0" w:color="000000"/>
              <w:right w:val="single" w:sz="4" w:space="0" w:color="000000"/>
            </w:tcBorders>
            <w:tcMar>
              <w:top w:w="0" w:type="dxa"/>
              <w:left w:w="0" w:type="dxa"/>
              <w:bottom w:w="0" w:type="dxa"/>
              <w:right w:w="0" w:type="dxa"/>
            </w:tcMar>
            <w:vAlign w:val="center"/>
          </w:tcPr>
          <w:p w14:paraId="0EFD610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7FEAD0"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10m</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5FF9E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right w:val="single" w:sz="4" w:space="0" w:color="000000"/>
            </w:tcBorders>
            <w:tcMar>
              <w:top w:w="0" w:type="dxa"/>
              <w:left w:w="0" w:type="dxa"/>
              <w:bottom w:w="0" w:type="dxa"/>
              <w:right w:w="0" w:type="dxa"/>
            </w:tcMar>
            <w:vAlign w:val="center"/>
          </w:tcPr>
          <w:p w14:paraId="1C03635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right w:val="single" w:sz="4" w:space="0" w:color="000000"/>
            </w:tcBorders>
            <w:tcMar>
              <w:top w:w="0" w:type="dxa"/>
              <w:left w:w="0" w:type="dxa"/>
              <w:bottom w:w="0" w:type="dxa"/>
              <w:right w:w="0" w:type="dxa"/>
            </w:tcMar>
            <w:vAlign w:val="center"/>
          </w:tcPr>
          <w:p w14:paraId="4907F36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12741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FD5C5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CD683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23558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93FBB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2BC09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88547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41D63D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8C572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0F8F69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1812B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938C0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6F478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16CF7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21090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74190B04" w14:textId="77777777">
        <w:trPr>
          <w:trHeight w:hRule="exact" w:val="227"/>
        </w:trPr>
        <w:tc>
          <w:tcPr>
            <w:tcW w:w="430"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2BF5C98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3FEE52"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底</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A689D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A02027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A24C25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40E8F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35FF4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8F45C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75786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697EFD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D8D35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3067F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11C49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2AF24A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1EE28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E6360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B39FA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00C63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C0680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636B5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5392C823" w14:textId="77777777">
        <w:trPr>
          <w:trHeight w:hRule="exact" w:val="227"/>
        </w:trPr>
        <w:tc>
          <w:tcPr>
            <w:tcW w:w="430"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FC89DAC"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H10</w:t>
            </w: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55CE30"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表</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D3E74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85C281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027BEFE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AE2A4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98F80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71112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EAB8D0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4E6EE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009B0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4968D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46CFA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98F63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2A467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DE1CB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FFADD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BD988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7924BF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278138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7287009E" w14:textId="77777777">
        <w:trPr>
          <w:trHeight w:hRule="exact" w:val="227"/>
        </w:trPr>
        <w:tc>
          <w:tcPr>
            <w:tcW w:w="430"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4114BE3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D2D445"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底</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26380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0741348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B88BE7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FEACA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322DC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1209A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09ED0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D793E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B51640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771E1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C9043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B4430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7BECC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36B56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DB067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93E45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ABA0A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A3F896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4B3C8D0B" w14:textId="77777777">
        <w:trPr>
          <w:trHeight w:hRule="exact" w:val="227"/>
        </w:trPr>
        <w:tc>
          <w:tcPr>
            <w:tcW w:w="430"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402FA343"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H11</w:t>
            </w: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971089"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表</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6257C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4BCD1D8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16F236B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298AD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C0C9E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0D79C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06AF1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78351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987EA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3EBBD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B8AFF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342C18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0790D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4B78E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E6AA4C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C40CCE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02572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D6F9D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06F39776" w14:textId="77777777">
        <w:trPr>
          <w:trHeight w:hRule="exact" w:val="227"/>
        </w:trPr>
        <w:tc>
          <w:tcPr>
            <w:tcW w:w="430" w:type="dxa"/>
            <w:vMerge/>
            <w:tcBorders>
              <w:left w:val="single" w:sz="4" w:space="0" w:color="000000"/>
              <w:right w:val="single" w:sz="4" w:space="0" w:color="000000"/>
            </w:tcBorders>
            <w:tcMar>
              <w:top w:w="0" w:type="dxa"/>
              <w:left w:w="0" w:type="dxa"/>
              <w:bottom w:w="0" w:type="dxa"/>
              <w:right w:w="0" w:type="dxa"/>
            </w:tcMar>
            <w:vAlign w:val="center"/>
          </w:tcPr>
          <w:p w14:paraId="6CFBBF3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E3106D"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10m</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F9D3A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right w:val="single" w:sz="4" w:space="0" w:color="000000"/>
            </w:tcBorders>
            <w:tcMar>
              <w:top w:w="0" w:type="dxa"/>
              <w:left w:w="0" w:type="dxa"/>
              <w:bottom w:w="0" w:type="dxa"/>
              <w:right w:w="0" w:type="dxa"/>
            </w:tcMar>
            <w:vAlign w:val="center"/>
          </w:tcPr>
          <w:p w14:paraId="183A88E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right w:val="single" w:sz="4" w:space="0" w:color="000000"/>
            </w:tcBorders>
            <w:tcMar>
              <w:top w:w="0" w:type="dxa"/>
              <w:left w:w="0" w:type="dxa"/>
              <w:bottom w:w="0" w:type="dxa"/>
              <w:right w:w="0" w:type="dxa"/>
            </w:tcMar>
            <w:vAlign w:val="center"/>
          </w:tcPr>
          <w:p w14:paraId="18A23BD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DD821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D56D6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D3AEB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E34EB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64FBC5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F8303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5F729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BB1FC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BF263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297DF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D26E3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DABC4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768FA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7267D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0773D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1A2C03F5" w14:textId="77777777">
        <w:trPr>
          <w:trHeight w:hRule="exact" w:val="227"/>
        </w:trPr>
        <w:tc>
          <w:tcPr>
            <w:tcW w:w="430"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4A063E9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C9D0871"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底</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59B71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0FD281E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19CED88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F56A4A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F7E8D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AD880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49612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209D0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353EE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BA2B0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12B8D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48DFA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B8C63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98D67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686CB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1EBE0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6C284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52AFB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4901D715" w14:textId="77777777">
        <w:trPr>
          <w:trHeight w:hRule="exact" w:val="227"/>
        </w:trPr>
        <w:tc>
          <w:tcPr>
            <w:tcW w:w="430"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5A086E0"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H12</w:t>
            </w: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63140C"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表</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604CD9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614F699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E9313A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66F92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70A86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F863F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1F9C3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B917F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AD92FB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08DA0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A1D25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0FB85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020905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4D46A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9D06C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1904E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DD4C2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BF969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6F8BA59F" w14:textId="77777777">
        <w:trPr>
          <w:trHeight w:hRule="exact" w:val="227"/>
        </w:trPr>
        <w:tc>
          <w:tcPr>
            <w:tcW w:w="430" w:type="dxa"/>
            <w:vMerge/>
            <w:tcBorders>
              <w:left w:val="single" w:sz="4" w:space="0" w:color="000000"/>
              <w:right w:val="single" w:sz="4" w:space="0" w:color="000000"/>
            </w:tcBorders>
            <w:tcMar>
              <w:top w:w="0" w:type="dxa"/>
              <w:left w:w="0" w:type="dxa"/>
              <w:bottom w:w="0" w:type="dxa"/>
              <w:right w:w="0" w:type="dxa"/>
            </w:tcMar>
            <w:vAlign w:val="center"/>
          </w:tcPr>
          <w:p w14:paraId="66A5167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65CE61E"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10m</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F500E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162FE53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46789C1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09BC0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8055C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67945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AB2169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1A2C1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19A0C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3AD8C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69A166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059CF9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7DEF2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4DA64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F1DC1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94814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31038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60E70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69B7EDA8" w14:textId="77777777">
        <w:trPr>
          <w:trHeight w:hRule="exact" w:val="227"/>
        </w:trPr>
        <w:tc>
          <w:tcPr>
            <w:tcW w:w="430"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5B5DB9C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ADBCD3"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底</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31ABD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D9A31F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5F7CC3C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6F6F5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0FA32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F3697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20A5B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82F20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8C542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C864DF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68D93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C62C61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4570EF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E6F28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F3E19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232E6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B92F7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25ECBA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0BF71A8D" w14:textId="77777777">
        <w:trPr>
          <w:trHeight w:hRule="exact" w:val="227"/>
        </w:trPr>
        <w:tc>
          <w:tcPr>
            <w:tcW w:w="430"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50252903"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H13</w:t>
            </w: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A32FE8"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表</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71ACA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right w:val="single" w:sz="4" w:space="0" w:color="000000"/>
            </w:tcBorders>
            <w:tcMar>
              <w:top w:w="0" w:type="dxa"/>
              <w:left w:w="0" w:type="dxa"/>
              <w:bottom w:w="0" w:type="dxa"/>
              <w:right w:w="0" w:type="dxa"/>
            </w:tcMar>
            <w:vAlign w:val="center"/>
          </w:tcPr>
          <w:p w14:paraId="32F84BB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right w:val="single" w:sz="4" w:space="0" w:color="000000"/>
            </w:tcBorders>
            <w:tcMar>
              <w:top w:w="0" w:type="dxa"/>
              <w:left w:w="0" w:type="dxa"/>
              <w:bottom w:w="0" w:type="dxa"/>
              <w:right w:w="0" w:type="dxa"/>
            </w:tcMar>
            <w:vAlign w:val="center"/>
          </w:tcPr>
          <w:p w14:paraId="7A7CAFC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701D0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16E7D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CA045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147B0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BFBE9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FE750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DD4C4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CC4815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A27A8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43BFE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725A42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16949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4EBEA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F4815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13497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175FAEAB" w14:textId="77777777">
        <w:trPr>
          <w:trHeight w:hRule="exact" w:val="227"/>
        </w:trPr>
        <w:tc>
          <w:tcPr>
            <w:tcW w:w="430" w:type="dxa"/>
            <w:vMerge/>
            <w:tcBorders>
              <w:left w:val="single" w:sz="4" w:space="0" w:color="000000"/>
              <w:right w:val="single" w:sz="4" w:space="0" w:color="000000"/>
            </w:tcBorders>
            <w:tcMar>
              <w:top w:w="0" w:type="dxa"/>
              <w:left w:w="0" w:type="dxa"/>
              <w:bottom w:w="0" w:type="dxa"/>
              <w:right w:w="0" w:type="dxa"/>
            </w:tcMar>
            <w:vAlign w:val="center"/>
          </w:tcPr>
          <w:p w14:paraId="21C25A7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15F08F"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10m</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BA698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right w:val="single" w:sz="4" w:space="0" w:color="000000"/>
            </w:tcBorders>
            <w:tcMar>
              <w:top w:w="0" w:type="dxa"/>
              <w:left w:w="0" w:type="dxa"/>
              <w:bottom w:w="0" w:type="dxa"/>
              <w:right w:w="0" w:type="dxa"/>
            </w:tcMar>
            <w:vAlign w:val="center"/>
          </w:tcPr>
          <w:p w14:paraId="56702AA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right w:val="single" w:sz="4" w:space="0" w:color="000000"/>
            </w:tcBorders>
            <w:tcMar>
              <w:top w:w="0" w:type="dxa"/>
              <w:left w:w="0" w:type="dxa"/>
              <w:bottom w:w="0" w:type="dxa"/>
              <w:right w:w="0" w:type="dxa"/>
            </w:tcMar>
            <w:vAlign w:val="center"/>
          </w:tcPr>
          <w:p w14:paraId="2820254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41DC0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A2888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5B8AD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EB1D7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D7697A"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F64D2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CFAB738"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53C87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3E777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78E75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4FE4C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08568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ED11CC"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D0B041"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066BB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2C5B5C67" w14:textId="77777777">
        <w:trPr>
          <w:trHeight w:hRule="exact" w:val="227"/>
        </w:trPr>
        <w:tc>
          <w:tcPr>
            <w:tcW w:w="430"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4CBC966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E30E23" w14:textId="77777777" w:rsidR="0075791A" w:rsidRDefault="00FB2864">
            <w:pPr>
              <w:pStyle w:val="TableParagraph"/>
              <w:spacing w:line="240" w:lineRule="exact"/>
              <w:jc w:val="center"/>
              <w:rPr>
                <w:rFonts w:ascii="Times New Roman" w:eastAsia="Times New Roman" w:hAnsi="Times New Roman" w:cs="Times New Roman"/>
                <w:color w:val="auto"/>
                <w:spacing w:val="1"/>
                <w:sz w:val="18"/>
                <w:szCs w:val="18"/>
              </w:rPr>
            </w:pPr>
            <w:r>
              <w:rPr>
                <w:rFonts w:ascii="Times New Roman" w:eastAsia="Times New Roman" w:hAnsi="Times New Roman" w:cs="Times New Roman"/>
                <w:color w:val="auto"/>
                <w:spacing w:val="1"/>
                <w:sz w:val="18"/>
                <w:szCs w:val="18"/>
              </w:rPr>
              <w:t>底</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A2464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A700642"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25"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6AD0FB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4064A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62229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4D62FCF"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F4E52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07D18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FED38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A05E2EB"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DF3B65"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F66C6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AA9086"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775959"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AB57B0"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4FE927"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B084DD"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E5EA53"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r w:rsidR="0075791A" w14:paraId="28561F1D" w14:textId="77777777">
        <w:trPr>
          <w:trHeight w:hRule="exact" w:val="227"/>
        </w:trPr>
        <w:tc>
          <w:tcPr>
            <w:tcW w:w="1064" w:type="dxa"/>
            <w:gridSpan w:val="2"/>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47F4A49F" w14:textId="77777777" w:rsidR="0075791A" w:rsidRDefault="00FB2864">
            <w:pPr>
              <w:pStyle w:val="TableParagraph"/>
              <w:spacing w:line="240" w:lineRule="exact"/>
              <w:ind w:left="330"/>
              <w:rPr>
                <w:rFonts w:ascii="Times New Roman" w:eastAsia="Times New Roman" w:hAnsi="Times New Roman" w:cs="Times New Roman"/>
                <w:color w:val="auto"/>
                <w:spacing w:val="1"/>
                <w:sz w:val="18"/>
                <w:szCs w:val="18"/>
              </w:rPr>
            </w:pPr>
            <w:r>
              <w:rPr>
                <w:rFonts w:ascii="宋体" w:eastAsia="宋体" w:hAnsi="宋体" w:cs="宋体"/>
                <w:color w:val="auto"/>
                <w:spacing w:val="-1"/>
                <w:sz w:val="18"/>
                <w:szCs w:val="18"/>
              </w:rPr>
              <w:t>检</w:t>
            </w:r>
            <w:r>
              <w:rPr>
                <w:rFonts w:ascii="宋体" w:eastAsia="宋体" w:hAnsi="宋体" w:cs="宋体"/>
                <w:color w:val="auto"/>
                <w:spacing w:val="2"/>
                <w:sz w:val="18"/>
                <w:szCs w:val="18"/>
              </w:rPr>
              <w:t>出</w:t>
            </w:r>
            <w:r>
              <w:rPr>
                <w:rFonts w:ascii="宋体" w:eastAsia="宋体" w:hAnsi="宋体" w:cs="宋体"/>
                <w:color w:val="auto"/>
                <w:spacing w:val="-1"/>
                <w:sz w:val="18"/>
                <w:szCs w:val="18"/>
              </w:rPr>
              <w:t>率</w:t>
            </w:r>
            <w:r>
              <w:rPr>
                <w:rFonts w:ascii="Times New Roman" w:eastAsia="Times New Roman" w:hAnsi="Times New Roman" w:cs="Times New Roman"/>
                <w:color w:val="auto"/>
                <w:sz w:val="18"/>
                <w:szCs w:val="18"/>
              </w:rPr>
              <w:t>%</w:t>
            </w:r>
          </w:p>
        </w:tc>
        <w:tc>
          <w:tcPr>
            <w:tcW w:w="7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5C535D" w14:textId="77777777" w:rsidR="0075791A" w:rsidRDefault="0075791A">
            <w:pPr>
              <w:pStyle w:val="TableParagraph"/>
              <w:spacing w:line="240" w:lineRule="exact"/>
              <w:jc w:val="center"/>
              <w:rPr>
                <w:rFonts w:ascii="Times New Roman" w:eastAsia="宋体" w:hAnsi="Times New Roman" w:cs="Times New Roman"/>
                <w:color w:val="auto"/>
                <w:spacing w:val="1"/>
                <w:sz w:val="18"/>
                <w:szCs w:val="18"/>
                <w:lang w:eastAsia="zh-CN"/>
              </w:rPr>
            </w:pPr>
          </w:p>
        </w:tc>
        <w:tc>
          <w:tcPr>
            <w:tcW w:w="633" w:type="dxa"/>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3F6C3F7" w14:textId="77777777" w:rsidR="0075791A" w:rsidRDefault="0075791A">
            <w:pPr>
              <w:pStyle w:val="TableParagraph"/>
              <w:spacing w:line="240" w:lineRule="exact"/>
              <w:jc w:val="center"/>
              <w:rPr>
                <w:rFonts w:ascii="Times New Roman" w:eastAsia="宋体" w:hAnsi="Times New Roman" w:cs="Times New Roman"/>
                <w:color w:val="auto"/>
                <w:spacing w:val="1"/>
                <w:sz w:val="18"/>
                <w:szCs w:val="18"/>
                <w:lang w:eastAsia="zh-CN"/>
              </w:rPr>
            </w:pPr>
          </w:p>
        </w:tc>
        <w:tc>
          <w:tcPr>
            <w:tcW w:w="625" w:type="dxa"/>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0CC8C8E1" w14:textId="77777777" w:rsidR="0075791A" w:rsidRDefault="0075791A">
            <w:pPr>
              <w:pStyle w:val="TableParagraph"/>
              <w:spacing w:line="240" w:lineRule="exact"/>
              <w:jc w:val="center"/>
              <w:rPr>
                <w:rFonts w:ascii="Times New Roman" w:eastAsia="宋体" w:hAnsi="Times New Roman" w:cs="Times New Roman"/>
                <w:color w:val="auto"/>
                <w:spacing w:val="1"/>
                <w:sz w:val="18"/>
                <w:szCs w:val="18"/>
                <w:lang w:eastAsia="zh-CN"/>
              </w:rPr>
            </w:pPr>
          </w:p>
        </w:tc>
        <w:tc>
          <w:tcPr>
            <w:tcW w:w="7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DCF13AB" w14:textId="77777777" w:rsidR="0075791A" w:rsidRDefault="0075791A">
            <w:pPr>
              <w:pStyle w:val="TableParagraph"/>
              <w:spacing w:line="240" w:lineRule="exact"/>
              <w:jc w:val="center"/>
              <w:rPr>
                <w:rFonts w:ascii="Times New Roman" w:eastAsia="宋体" w:hAnsi="Times New Roman" w:cs="Times New Roman"/>
                <w:color w:val="auto"/>
                <w:spacing w:val="1"/>
                <w:sz w:val="18"/>
                <w:szCs w:val="18"/>
                <w:lang w:eastAsia="zh-CN"/>
              </w:rPr>
            </w:pPr>
          </w:p>
        </w:tc>
        <w:tc>
          <w:tcPr>
            <w:tcW w:w="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3235E0" w14:textId="77777777" w:rsidR="0075791A" w:rsidRDefault="0075791A">
            <w:pPr>
              <w:pStyle w:val="TableParagraph"/>
              <w:spacing w:line="240" w:lineRule="exact"/>
              <w:jc w:val="center"/>
              <w:rPr>
                <w:rFonts w:ascii="Times New Roman" w:eastAsia="宋体" w:hAnsi="Times New Roman" w:cs="Times New Roman"/>
                <w:color w:val="auto"/>
                <w:spacing w:val="1"/>
                <w:sz w:val="18"/>
                <w:szCs w:val="18"/>
                <w:lang w:eastAsia="zh-CN"/>
              </w:rPr>
            </w:pPr>
          </w:p>
        </w:tc>
        <w:tc>
          <w:tcPr>
            <w:tcW w:w="79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D49B968" w14:textId="77777777" w:rsidR="0075791A" w:rsidRDefault="0075791A">
            <w:pPr>
              <w:pStyle w:val="TableParagraph"/>
              <w:spacing w:line="240" w:lineRule="exact"/>
              <w:jc w:val="center"/>
              <w:rPr>
                <w:rFonts w:ascii="Times New Roman" w:eastAsia="宋体" w:hAnsi="Times New Roman" w:cs="Times New Roman"/>
                <w:color w:val="auto"/>
                <w:spacing w:val="1"/>
                <w:sz w:val="18"/>
                <w:szCs w:val="18"/>
                <w:lang w:eastAsia="zh-CN"/>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5A74E4" w14:textId="77777777" w:rsidR="0075791A" w:rsidRDefault="0075791A">
            <w:pPr>
              <w:pStyle w:val="TableParagraph"/>
              <w:spacing w:line="240" w:lineRule="exact"/>
              <w:jc w:val="center"/>
              <w:rPr>
                <w:rFonts w:ascii="Times New Roman" w:eastAsia="宋体" w:hAnsi="Times New Roman" w:cs="Times New Roman"/>
                <w:color w:val="auto"/>
                <w:spacing w:val="1"/>
                <w:sz w:val="18"/>
                <w:szCs w:val="18"/>
                <w:lang w:eastAsia="zh-CN"/>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432BD1" w14:textId="77777777" w:rsidR="0075791A" w:rsidRDefault="0075791A">
            <w:pPr>
              <w:pStyle w:val="TableParagraph"/>
              <w:spacing w:line="240" w:lineRule="exact"/>
              <w:jc w:val="center"/>
              <w:rPr>
                <w:rFonts w:ascii="Times New Roman" w:eastAsia="宋体" w:hAnsi="Times New Roman" w:cs="Times New Roman"/>
                <w:color w:val="auto"/>
                <w:spacing w:val="1"/>
                <w:sz w:val="18"/>
                <w:szCs w:val="18"/>
                <w:lang w:eastAsia="zh-CN"/>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F4B45C" w14:textId="77777777" w:rsidR="0075791A" w:rsidRDefault="0075791A">
            <w:pPr>
              <w:pStyle w:val="TableParagraph"/>
              <w:spacing w:line="240" w:lineRule="exact"/>
              <w:jc w:val="center"/>
              <w:rPr>
                <w:rFonts w:ascii="Times New Roman" w:eastAsia="宋体" w:hAnsi="Times New Roman" w:cs="Times New Roman"/>
                <w:color w:val="auto"/>
                <w:spacing w:val="1"/>
                <w:sz w:val="18"/>
                <w:szCs w:val="18"/>
                <w:lang w:eastAsia="zh-CN"/>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B8198A" w14:textId="77777777" w:rsidR="0075791A" w:rsidRDefault="0075791A">
            <w:pPr>
              <w:pStyle w:val="TableParagraph"/>
              <w:spacing w:line="240" w:lineRule="exact"/>
              <w:jc w:val="center"/>
              <w:rPr>
                <w:rFonts w:ascii="Times New Roman" w:eastAsia="宋体" w:hAnsi="Times New Roman" w:cs="Times New Roman"/>
                <w:color w:val="auto"/>
                <w:spacing w:val="1"/>
                <w:sz w:val="18"/>
                <w:szCs w:val="18"/>
                <w:lang w:eastAsia="zh-CN"/>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B8C789" w14:textId="77777777" w:rsidR="0075791A" w:rsidRDefault="0075791A">
            <w:pPr>
              <w:pStyle w:val="TableParagraph"/>
              <w:spacing w:line="240" w:lineRule="exact"/>
              <w:jc w:val="center"/>
              <w:rPr>
                <w:rFonts w:ascii="Times New Roman" w:eastAsia="宋体" w:hAnsi="Times New Roman" w:cs="Times New Roman"/>
                <w:color w:val="auto"/>
                <w:spacing w:val="1"/>
                <w:sz w:val="18"/>
                <w:szCs w:val="18"/>
                <w:lang w:eastAsia="zh-CN"/>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CB84BF" w14:textId="77777777" w:rsidR="0075791A" w:rsidRDefault="0075791A">
            <w:pPr>
              <w:pStyle w:val="TableParagraph"/>
              <w:spacing w:line="240" w:lineRule="exact"/>
              <w:jc w:val="center"/>
              <w:rPr>
                <w:rFonts w:ascii="Times New Roman" w:eastAsia="宋体" w:hAnsi="Times New Roman" w:cs="Times New Roman"/>
                <w:color w:val="auto"/>
                <w:spacing w:val="1"/>
                <w:sz w:val="18"/>
                <w:szCs w:val="18"/>
                <w:lang w:eastAsia="zh-CN"/>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B07326" w14:textId="77777777" w:rsidR="0075791A" w:rsidRDefault="0075791A">
            <w:pPr>
              <w:pStyle w:val="TableParagraph"/>
              <w:spacing w:line="240" w:lineRule="exact"/>
              <w:jc w:val="center"/>
              <w:rPr>
                <w:rFonts w:ascii="Times New Roman" w:eastAsia="宋体" w:hAnsi="Times New Roman" w:cs="Times New Roman"/>
                <w:color w:val="auto"/>
                <w:spacing w:val="1"/>
                <w:sz w:val="18"/>
                <w:szCs w:val="18"/>
                <w:lang w:eastAsia="zh-CN"/>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3E3187" w14:textId="77777777" w:rsidR="0075791A" w:rsidRDefault="0075791A">
            <w:pPr>
              <w:pStyle w:val="TableParagraph"/>
              <w:spacing w:line="240" w:lineRule="exact"/>
              <w:jc w:val="center"/>
              <w:rPr>
                <w:rFonts w:ascii="Times New Roman" w:eastAsia="宋体" w:hAnsi="Times New Roman" w:cs="Times New Roman"/>
                <w:color w:val="auto"/>
                <w:spacing w:val="1"/>
                <w:sz w:val="18"/>
                <w:szCs w:val="18"/>
                <w:lang w:eastAsia="zh-CN"/>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FECEC6" w14:textId="77777777" w:rsidR="0075791A" w:rsidRDefault="0075791A">
            <w:pPr>
              <w:pStyle w:val="TableParagraph"/>
              <w:spacing w:line="240" w:lineRule="exact"/>
              <w:jc w:val="center"/>
              <w:rPr>
                <w:rFonts w:ascii="Times New Roman" w:eastAsia="宋体" w:hAnsi="Times New Roman" w:cs="Times New Roman"/>
                <w:color w:val="auto"/>
                <w:spacing w:val="1"/>
                <w:sz w:val="18"/>
                <w:szCs w:val="18"/>
                <w:lang w:eastAsia="zh-CN"/>
              </w:rPr>
            </w:pPr>
          </w:p>
        </w:tc>
        <w:tc>
          <w:tcPr>
            <w:tcW w:w="7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4F6DC1" w14:textId="77777777" w:rsidR="0075791A" w:rsidRDefault="0075791A">
            <w:pPr>
              <w:pStyle w:val="TableParagraph"/>
              <w:spacing w:line="240" w:lineRule="exact"/>
              <w:jc w:val="center"/>
              <w:rPr>
                <w:rFonts w:ascii="Times New Roman" w:eastAsia="宋体" w:hAnsi="Times New Roman" w:cs="Times New Roman"/>
                <w:color w:val="auto"/>
                <w:spacing w:val="1"/>
                <w:sz w:val="18"/>
                <w:szCs w:val="18"/>
                <w:lang w:eastAsia="zh-CN"/>
              </w:rPr>
            </w:pPr>
          </w:p>
        </w:tc>
        <w:tc>
          <w:tcPr>
            <w:tcW w:w="7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C324734"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c>
          <w:tcPr>
            <w:tcW w:w="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E2514E" w14:textId="77777777" w:rsidR="0075791A" w:rsidRDefault="0075791A">
            <w:pPr>
              <w:pStyle w:val="TableParagraph"/>
              <w:spacing w:line="240" w:lineRule="exact"/>
              <w:jc w:val="center"/>
              <w:rPr>
                <w:rFonts w:ascii="Times New Roman" w:eastAsia="Times New Roman" w:hAnsi="Times New Roman" w:cs="Times New Roman"/>
                <w:color w:val="auto"/>
                <w:spacing w:val="1"/>
                <w:sz w:val="18"/>
                <w:szCs w:val="18"/>
              </w:rPr>
            </w:pPr>
          </w:p>
        </w:tc>
      </w:tr>
    </w:tbl>
    <w:p w14:paraId="0AF46618" w14:textId="77777777" w:rsidR="0075791A" w:rsidRDefault="00FB2864">
      <w:pPr>
        <w:jc w:val="center"/>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lastRenderedPageBreak/>
        <w:t>表</w:t>
      </w:r>
      <w:r>
        <w:rPr>
          <w:rFonts w:ascii="Times New Roman" w:eastAsia="宋体" w:hAnsi="Times New Roman" w:cs="Times New Roman" w:hint="eastAsia"/>
          <w:snapToGrid/>
          <w:color w:val="auto"/>
          <w:kern w:val="2"/>
          <w:sz w:val="24"/>
          <w:szCs w:val="24"/>
          <w:lang w:eastAsia="zh-CN"/>
        </w:rPr>
        <w:t>3.2.</w:t>
      </w:r>
      <w:r>
        <w:rPr>
          <w:rFonts w:ascii="Times New Roman" w:eastAsia="宋体" w:hAnsi="Times New Roman" w:cs="Times New Roman"/>
          <w:snapToGrid/>
          <w:color w:val="auto"/>
          <w:kern w:val="2"/>
          <w:sz w:val="24"/>
          <w:szCs w:val="24"/>
          <w:lang w:eastAsia="zh-CN"/>
        </w:rPr>
        <w:t>5-5</w:t>
      </w:r>
      <w:r>
        <w:rPr>
          <w:rFonts w:ascii="Times New Roman" w:eastAsia="宋体" w:hAnsi="Times New Roman" w:cs="Times New Roman"/>
          <w:snapToGrid/>
          <w:color w:val="auto"/>
          <w:kern w:val="2"/>
          <w:sz w:val="24"/>
          <w:szCs w:val="24"/>
          <w:lang w:eastAsia="zh-CN"/>
        </w:rPr>
        <w:tab/>
        <w:t xml:space="preserve">2024 </w:t>
      </w:r>
      <w:r>
        <w:rPr>
          <w:rFonts w:ascii="Times New Roman" w:eastAsia="宋体" w:hAnsi="Times New Roman" w:cs="Times New Roman"/>
          <w:snapToGrid/>
          <w:color w:val="auto"/>
          <w:kern w:val="2"/>
          <w:sz w:val="24"/>
          <w:szCs w:val="24"/>
          <w:lang w:eastAsia="zh-CN"/>
        </w:rPr>
        <w:t>年</w:t>
      </w:r>
      <w:r>
        <w:rPr>
          <w:rFonts w:ascii="Times New Roman" w:eastAsia="宋体" w:hAnsi="Times New Roman" w:cs="Times New Roman"/>
          <w:snapToGrid/>
          <w:color w:val="auto"/>
          <w:kern w:val="2"/>
          <w:sz w:val="24"/>
          <w:szCs w:val="24"/>
          <w:lang w:eastAsia="zh-CN"/>
        </w:rPr>
        <w:t xml:space="preserve"> 9 </w:t>
      </w:r>
      <w:r>
        <w:rPr>
          <w:rFonts w:ascii="Times New Roman" w:eastAsia="宋体" w:hAnsi="Times New Roman" w:cs="Times New Roman"/>
          <w:snapToGrid/>
          <w:color w:val="auto"/>
          <w:kern w:val="2"/>
          <w:sz w:val="24"/>
          <w:szCs w:val="24"/>
          <w:lang w:eastAsia="zh-CN"/>
        </w:rPr>
        <w:t>月调查水质要素评价指数</w:t>
      </w:r>
    </w:p>
    <w:tbl>
      <w:tblPr>
        <w:tblW w:w="0" w:type="auto"/>
        <w:jc w:val="center"/>
        <w:tblLayout w:type="fixed"/>
        <w:tblCellMar>
          <w:left w:w="0" w:type="dxa"/>
          <w:right w:w="0" w:type="dxa"/>
        </w:tblCellMar>
        <w:tblLook w:val="04A0" w:firstRow="1" w:lastRow="0" w:firstColumn="1" w:lastColumn="0" w:noHBand="0" w:noVBand="1"/>
      </w:tblPr>
      <w:tblGrid>
        <w:gridCol w:w="521"/>
        <w:gridCol w:w="774"/>
        <w:gridCol w:w="820"/>
        <w:gridCol w:w="820"/>
        <w:gridCol w:w="820"/>
        <w:gridCol w:w="820"/>
        <w:gridCol w:w="820"/>
        <w:gridCol w:w="820"/>
        <w:gridCol w:w="820"/>
        <w:gridCol w:w="820"/>
        <w:gridCol w:w="820"/>
        <w:gridCol w:w="820"/>
        <w:gridCol w:w="820"/>
        <w:gridCol w:w="820"/>
        <w:gridCol w:w="824"/>
        <w:gridCol w:w="948"/>
        <w:gridCol w:w="916"/>
      </w:tblGrid>
      <w:tr w:rsidR="0075791A" w14:paraId="3822CA8A" w14:textId="77777777">
        <w:trPr>
          <w:trHeight w:hRule="exact" w:val="402"/>
          <w:jc w:val="center"/>
        </w:trPr>
        <w:tc>
          <w:tcPr>
            <w:tcW w:w="521" w:type="dxa"/>
            <w:tcBorders>
              <w:top w:val="single" w:sz="4" w:space="0" w:color="000000"/>
              <w:left w:val="single" w:sz="4" w:space="0" w:color="000000"/>
              <w:bottom w:val="single" w:sz="4" w:space="0" w:color="000000"/>
              <w:right w:val="single" w:sz="4" w:space="0" w:color="000000"/>
            </w:tcBorders>
            <w:vAlign w:val="center"/>
          </w:tcPr>
          <w:p w14:paraId="5CFD4FEE"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站位</w:t>
            </w:r>
          </w:p>
        </w:tc>
        <w:tc>
          <w:tcPr>
            <w:tcW w:w="773" w:type="dxa"/>
            <w:tcBorders>
              <w:top w:val="single" w:sz="4" w:space="0" w:color="000000"/>
              <w:left w:val="single" w:sz="4" w:space="0" w:color="000000"/>
              <w:bottom w:val="single" w:sz="4" w:space="0" w:color="000000"/>
              <w:right w:val="single" w:sz="4" w:space="0" w:color="000000"/>
            </w:tcBorders>
            <w:vAlign w:val="center"/>
          </w:tcPr>
          <w:p w14:paraId="7CF0338D"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pacing w:val="-1"/>
                <w:sz w:val="18"/>
                <w:szCs w:val="18"/>
              </w:rPr>
              <w:t>采</w:t>
            </w:r>
            <w:r>
              <w:rPr>
                <w:rFonts w:ascii="宋体" w:eastAsia="宋体" w:hAnsi="宋体" w:cs="宋体"/>
                <w:color w:val="auto"/>
                <w:sz w:val="18"/>
                <w:szCs w:val="18"/>
              </w:rPr>
              <w:t>样</w:t>
            </w:r>
            <w:r>
              <w:rPr>
                <w:rFonts w:ascii="宋体" w:eastAsia="宋体" w:hAnsi="宋体" w:cs="宋体"/>
                <w:color w:val="auto"/>
                <w:spacing w:val="-1"/>
                <w:sz w:val="18"/>
                <w:szCs w:val="18"/>
              </w:rPr>
              <w:t>层</w:t>
            </w:r>
            <w:r>
              <w:rPr>
                <w:rFonts w:ascii="宋体" w:eastAsia="宋体" w:hAnsi="宋体" w:cs="宋体"/>
                <w:color w:val="auto"/>
                <w:sz w:val="18"/>
                <w:szCs w:val="18"/>
              </w:rPr>
              <w:t>次</w:t>
            </w:r>
          </w:p>
        </w:tc>
        <w:tc>
          <w:tcPr>
            <w:tcW w:w="820" w:type="dxa"/>
            <w:tcBorders>
              <w:top w:val="single" w:sz="4" w:space="0" w:color="000000"/>
              <w:left w:val="single" w:sz="4" w:space="0" w:color="000000"/>
              <w:bottom w:val="single" w:sz="4" w:space="0" w:color="000000"/>
              <w:right w:val="single" w:sz="4" w:space="0" w:color="000000"/>
            </w:tcBorders>
            <w:vAlign w:val="center"/>
          </w:tcPr>
          <w:p w14:paraId="25F69D1D"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sz w:val="18"/>
                <w:szCs w:val="18"/>
              </w:rPr>
              <w:t>p</w:t>
            </w:r>
            <w:r>
              <w:rPr>
                <w:rFonts w:ascii="Times New Roman" w:eastAsia="Times New Roman" w:hAnsi="Times New Roman" w:cs="Times New Roman"/>
                <w:color w:val="auto"/>
                <w:sz w:val="18"/>
                <w:szCs w:val="18"/>
              </w:rPr>
              <w:t>H</w:t>
            </w:r>
          </w:p>
        </w:tc>
        <w:tc>
          <w:tcPr>
            <w:tcW w:w="820" w:type="dxa"/>
            <w:tcBorders>
              <w:top w:val="single" w:sz="4" w:space="0" w:color="000000"/>
              <w:left w:val="single" w:sz="4" w:space="0" w:color="000000"/>
              <w:bottom w:val="single" w:sz="4" w:space="0" w:color="000000"/>
              <w:right w:val="single" w:sz="4" w:space="0" w:color="000000"/>
            </w:tcBorders>
            <w:vAlign w:val="center"/>
          </w:tcPr>
          <w:p w14:paraId="00F622CD"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DO</w:t>
            </w:r>
          </w:p>
        </w:tc>
        <w:tc>
          <w:tcPr>
            <w:tcW w:w="820" w:type="dxa"/>
            <w:tcBorders>
              <w:top w:val="single" w:sz="4" w:space="0" w:color="000000"/>
              <w:left w:val="single" w:sz="4" w:space="0" w:color="000000"/>
              <w:bottom w:val="single" w:sz="4" w:space="0" w:color="000000"/>
              <w:right w:val="single" w:sz="4" w:space="0" w:color="000000"/>
            </w:tcBorders>
            <w:vAlign w:val="center"/>
          </w:tcPr>
          <w:p w14:paraId="7DA1CDF6"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COD</w:t>
            </w:r>
          </w:p>
        </w:tc>
        <w:tc>
          <w:tcPr>
            <w:tcW w:w="820" w:type="dxa"/>
            <w:tcBorders>
              <w:top w:val="single" w:sz="4" w:space="0" w:color="000000"/>
              <w:left w:val="single" w:sz="4" w:space="0" w:color="000000"/>
              <w:bottom w:val="single" w:sz="4" w:space="0" w:color="000000"/>
              <w:right w:val="single" w:sz="4" w:space="0" w:color="000000"/>
            </w:tcBorders>
            <w:vAlign w:val="center"/>
          </w:tcPr>
          <w:p w14:paraId="43675F1D"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DIN</w:t>
            </w:r>
          </w:p>
        </w:tc>
        <w:tc>
          <w:tcPr>
            <w:tcW w:w="820" w:type="dxa"/>
            <w:tcBorders>
              <w:top w:val="single" w:sz="4" w:space="0" w:color="000000"/>
              <w:left w:val="single" w:sz="4" w:space="0" w:color="000000"/>
              <w:bottom w:val="single" w:sz="4" w:space="0" w:color="000000"/>
              <w:right w:val="single" w:sz="4" w:space="0" w:color="000000"/>
            </w:tcBorders>
            <w:vAlign w:val="center"/>
          </w:tcPr>
          <w:p w14:paraId="6FB8AD94"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position w:val="2"/>
                <w:sz w:val="18"/>
                <w:szCs w:val="18"/>
              </w:rPr>
              <w:t>P</w:t>
            </w:r>
            <w:r>
              <w:rPr>
                <w:rFonts w:ascii="Times New Roman" w:eastAsia="Times New Roman" w:hAnsi="Times New Roman" w:cs="Times New Roman"/>
                <w:color w:val="auto"/>
                <w:spacing w:val="2"/>
                <w:position w:val="2"/>
                <w:sz w:val="18"/>
                <w:szCs w:val="18"/>
              </w:rPr>
              <w:t>O</w:t>
            </w:r>
            <w:r>
              <w:rPr>
                <w:rFonts w:ascii="Times New Roman" w:eastAsia="Times New Roman" w:hAnsi="Times New Roman" w:cs="Times New Roman"/>
                <w:color w:val="auto"/>
                <w:spacing w:val="-2"/>
                <w:sz w:val="18"/>
                <w:szCs w:val="18"/>
              </w:rPr>
              <w:t>4</w:t>
            </w:r>
            <w:r>
              <w:rPr>
                <w:rFonts w:ascii="Times New Roman" w:eastAsia="Times New Roman" w:hAnsi="Times New Roman" w:cs="Times New Roman"/>
                <w:color w:val="auto"/>
                <w:position w:val="2"/>
                <w:sz w:val="18"/>
                <w:szCs w:val="18"/>
              </w:rPr>
              <w:t>-P</w:t>
            </w:r>
          </w:p>
        </w:tc>
        <w:tc>
          <w:tcPr>
            <w:tcW w:w="820" w:type="dxa"/>
            <w:tcBorders>
              <w:top w:val="single" w:sz="4" w:space="0" w:color="000000"/>
              <w:left w:val="single" w:sz="4" w:space="0" w:color="000000"/>
              <w:bottom w:val="single" w:sz="4" w:space="0" w:color="000000"/>
              <w:right w:val="single" w:sz="4" w:space="0" w:color="000000"/>
            </w:tcBorders>
            <w:vAlign w:val="center"/>
          </w:tcPr>
          <w:p w14:paraId="1AE80300"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pacing w:val="-1"/>
                <w:w w:val="105"/>
                <w:sz w:val="18"/>
                <w:szCs w:val="18"/>
              </w:rPr>
              <w:t>石</w:t>
            </w:r>
            <w:r>
              <w:rPr>
                <w:rFonts w:ascii="宋体" w:eastAsia="宋体" w:hAnsi="宋体" w:cs="宋体"/>
                <w:color w:val="auto"/>
                <w:spacing w:val="-3"/>
                <w:w w:val="105"/>
                <w:sz w:val="18"/>
                <w:szCs w:val="18"/>
              </w:rPr>
              <w:t>油</w:t>
            </w:r>
            <w:r>
              <w:rPr>
                <w:rFonts w:ascii="宋体" w:eastAsia="宋体" w:hAnsi="宋体" w:cs="宋体"/>
                <w:color w:val="auto"/>
                <w:w w:val="105"/>
                <w:sz w:val="18"/>
                <w:szCs w:val="18"/>
              </w:rPr>
              <w:t>类</w:t>
            </w:r>
          </w:p>
        </w:tc>
        <w:tc>
          <w:tcPr>
            <w:tcW w:w="820" w:type="dxa"/>
            <w:tcBorders>
              <w:top w:val="single" w:sz="4" w:space="0" w:color="000000"/>
              <w:left w:val="single" w:sz="4" w:space="0" w:color="000000"/>
              <w:bottom w:val="single" w:sz="4" w:space="0" w:color="000000"/>
              <w:right w:val="single" w:sz="4" w:space="0" w:color="000000"/>
            </w:tcBorders>
            <w:vAlign w:val="center"/>
          </w:tcPr>
          <w:p w14:paraId="51C7D0C5"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w w:val="105"/>
                <w:sz w:val="18"/>
                <w:szCs w:val="18"/>
              </w:rPr>
              <w:t>C</w:t>
            </w:r>
            <w:r>
              <w:rPr>
                <w:rFonts w:ascii="Times New Roman" w:eastAsia="Times New Roman" w:hAnsi="Times New Roman" w:cs="Times New Roman"/>
                <w:color w:val="auto"/>
                <w:w w:val="105"/>
                <w:sz w:val="18"/>
                <w:szCs w:val="18"/>
              </w:rPr>
              <w:t>u</w:t>
            </w:r>
          </w:p>
        </w:tc>
        <w:tc>
          <w:tcPr>
            <w:tcW w:w="820" w:type="dxa"/>
            <w:tcBorders>
              <w:top w:val="single" w:sz="4" w:space="0" w:color="000000"/>
              <w:left w:val="single" w:sz="4" w:space="0" w:color="000000"/>
              <w:bottom w:val="single" w:sz="4" w:space="0" w:color="000000"/>
              <w:right w:val="single" w:sz="4" w:space="0" w:color="000000"/>
            </w:tcBorders>
            <w:vAlign w:val="center"/>
          </w:tcPr>
          <w:p w14:paraId="79A0F120"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w w:val="105"/>
                <w:sz w:val="18"/>
                <w:szCs w:val="18"/>
              </w:rPr>
              <w:t>Pb</w:t>
            </w:r>
          </w:p>
        </w:tc>
        <w:tc>
          <w:tcPr>
            <w:tcW w:w="820" w:type="dxa"/>
            <w:tcBorders>
              <w:top w:val="single" w:sz="4" w:space="0" w:color="000000"/>
              <w:left w:val="single" w:sz="4" w:space="0" w:color="000000"/>
              <w:bottom w:val="single" w:sz="4" w:space="0" w:color="000000"/>
              <w:right w:val="single" w:sz="4" w:space="0" w:color="000000"/>
            </w:tcBorders>
            <w:vAlign w:val="center"/>
          </w:tcPr>
          <w:p w14:paraId="2E4F577B"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2"/>
                <w:w w:val="105"/>
                <w:sz w:val="18"/>
                <w:szCs w:val="18"/>
              </w:rPr>
              <w:t>Z</w:t>
            </w:r>
            <w:r>
              <w:rPr>
                <w:rFonts w:ascii="Times New Roman" w:eastAsia="Times New Roman" w:hAnsi="Times New Roman" w:cs="Times New Roman"/>
                <w:color w:val="auto"/>
                <w:w w:val="105"/>
                <w:sz w:val="18"/>
                <w:szCs w:val="18"/>
              </w:rPr>
              <w:t>n</w:t>
            </w:r>
          </w:p>
        </w:tc>
        <w:tc>
          <w:tcPr>
            <w:tcW w:w="820" w:type="dxa"/>
            <w:tcBorders>
              <w:top w:val="single" w:sz="4" w:space="0" w:color="000000"/>
              <w:left w:val="single" w:sz="4" w:space="0" w:color="000000"/>
              <w:bottom w:val="single" w:sz="4" w:space="0" w:color="000000"/>
              <w:right w:val="single" w:sz="4" w:space="0" w:color="000000"/>
            </w:tcBorders>
            <w:vAlign w:val="center"/>
          </w:tcPr>
          <w:p w14:paraId="34DBD117"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w w:val="105"/>
                <w:sz w:val="18"/>
                <w:szCs w:val="18"/>
              </w:rPr>
              <w:t>C</w:t>
            </w:r>
            <w:r>
              <w:rPr>
                <w:rFonts w:ascii="Times New Roman" w:eastAsia="Times New Roman" w:hAnsi="Times New Roman" w:cs="Times New Roman"/>
                <w:color w:val="auto"/>
                <w:w w:val="105"/>
                <w:sz w:val="18"/>
                <w:szCs w:val="18"/>
              </w:rPr>
              <w:t>d</w:t>
            </w:r>
          </w:p>
        </w:tc>
        <w:tc>
          <w:tcPr>
            <w:tcW w:w="820" w:type="dxa"/>
            <w:tcBorders>
              <w:top w:val="single" w:sz="4" w:space="0" w:color="000000"/>
              <w:left w:val="single" w:sz="4" w:space="0" w:color="000000"/>
              <w:bottom w:val="single" w:sz="4" w:space="0" w:color="000000"/>
              <w:right w:val="single" w:sz="4" w:space="0" w:color="000000"/>
            </w:tcBorders>
            <w:vAlign w:val="center"/>
          </w:tcPr>
          <w:p w14:paraId="6FF13D2A"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w w:val="105"/>
                <w:sz w:val="18"/>
                <w:szCs w:val="18"/>
              </w:rPr>
              <w:t>C</w:t>
            </w:r>
            <w:r>
              <w:rPr>
                <w:rFonts w:ascii="Times New Roman" w:eastAsia="Times New Roman" w:hAnsi="Times New Roman" w:cs="Times New Roman"/>
                <w:color w:val="auto"/>
                <w:w w:val="105"/>
                <w:sz w:val="18"/>
                <w:szCs w:val="18"/>
              </w:rPr>
              <w:t>r</w:t>
            </w:r>
          </w:p>
        </w:tc>
        <w:tc>
          <w:tcPr>
            <w:tcW w:w="820" w:type="dxa"/>
            <w:tcBorders>
              <w:top w:val="single" w:sz="4" w:space="0" w:color="000000"/>
              <w:left w:val="single" w:sz="4" w:space="0" w:color="000000"/>
              <w:bottom w:val="single" w:sz="4" w:space="0" w:color="000000"/>
              <w:right w:val="single" w:sz="4" w:space="0" w:color="000000"/>
            </w:tcBorders>
            <w:vAlign w:val="center"/>
          </w:tcPr>
          <w:p w14:paraId="14C45DFC"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w w:val="105"/>
                <w:sz w:val="18"/>
                <w:szCs w:val="18"/>
              </w:rPr>
              <w:t>H</w:t>
            </w:r>
            <w:r>
              <w:rPr>
                <w:rFonts w:ascii="Times New Roman" w:eastAsia="Times New Roman" w:hAnsi="Times New Roman" w:cs="Times New Roman"/>
                <w:color w:val="auto"/>
                <w:w w:val="105"/>
                <w:sz w:val="18"/>
                <w:szCs w:val="18"/>
              </w:rPr>
              <w:t>g</w:t>
            </w:r>
          </w:p>
        </w:tc>
        <w:tc>
          <w:tcPr>
            <w:tcW w:w="824" w:type="dxa"/>
            <w:tcBorders>
              <w:top w:val="single" w:sz="4" w:space="0" w:color="000000"/>
              <w:left w:val="single" w:sz="4" w:space="0" w:color="000000"/>
              <w:bottom w:val="single" w:sz="4" w:space="0" w:color="000000"/>
              <w:right w:val="single" w:sz="4" w:space="0" w:color="000000"/>
            </w:tcBorders>
            <w:vAlign w:val="center"/>
          </w:tcPr>
          <w:p w14:paraId="4C564B69"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3"/>
                <w:w w:val="105"/>
                <w:sz w:val="18"/>
                <w:szCs w:val="18"/>
              </w:rPr>
              <w:t>A</w:t>
            </w:r>
            <w:r>
              <w:rPr>
                <w:rFonts w:ascii="Times New Roman" w:eastAsia="Times New Roman" w:hAnsi="Times New Roman" w:cs="Times New Roman"/>
                <w:color w:val="auto"/>
                <w:w w:val="105"/>
                <w:sz w:val="18"/>
                <w:szCs w:val="18"/>
              </w:rPr>
              <w:t>s</w:t>
            </w:r>
          </w:p>
        </w:tc>
        <w:tc>
          <w:tcPr>
            <w:tcW w:w="948" w:type="dxa"/>
            <w:tcBorders>
              <w:top w:val="single" w:sz="4" w:space="0" w:color="000000"/>
              <w:left w:val="single" w:sz="4" w:space="0" w:color="000000"/>
              <w:bottom w:val="single" w:sz="4" w:space="0" w:color="000000"/>
              <w:right w:val="single" w:sz="4" w:space="0" w:color="000000"/>
            </w:tcBorders>
            <w:vAlign w:val="center"/>
          </w:tcPr>
          <w:p w14:paraId="2597E432"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pacing w:val="-1"/>
                <w:w w:val="105"/>
                <w:sz w:val="18"/>
                <w:szCs w:val="18"/>
              </w:rPr>
              <w:t>执</w:t>
            </w:r>
            <w:r>
              <w:rPr>
                <w:rFonts w:ascii="宋体" w:eastAsia="宋体" w:hAnsi="宋体" w:cs="宋体"/>
                <w:color w:val="auto"/>
                <w:w w:val="105"/>
                <w:sz w:val="18"/>
                <w:szCs w:val="18"/>
              </w:rPr>
              <w:t>行</w:t>
            </w:r>
            <w:r>
              <w:rPr>
                <w:rFonts w:ascii="宋体" w:eastAsia="宋体" w:hAnsi="宋体" w:cs="宋体"/>
                <w:color w:val="auto"/>
                <w:spacing w:val="-1"/>
                <w:w w:val="105"/>
                <w:sz w:val="18"/>
                <w:szCs w:val="18"/>
              </w:rPr>
              <w:t>标</w:t>
            </w:r>
            <w:r>
              <w:rPr>
                <w:rFonts w:ascii="宋体" w:eastAsia="宋体" w:hAnsi="宋体" w:cs="宋体"/>
                <w:color w:val="auto"/>
                <w:w w:val="105"/>
                <w:sz w:val="18"/>
                <w:szCs w:val="18"/>
              </w:rPr>
              <w:t>准</w:t>
            </w:r>
          </w:p>
        </w:tc>
        <w:tc>
          <w:tcPr>
            <w:tcW w:w="916" w:type="dxa"/>
            <w:tcBorders>
              <w:top w:val="single" w:sz="4" w:space="0" w:color="000000"/>
              <w:left w:val="single" w:sz="4" w:space="0" w:color="000000"/>
              <w:bottom w:val="single" w:sz="4" w:space="0" w:color="000000"/>
              <w:right w:val="single" w:sz="4" w:space="0" w:color="000000"/>
            </w:tcBorders>
            <w:vAlign w:val="center"/>
          </w:tcPr>
          <w:p w14:paraId="4F1A1EF7"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pacing w:val="-1"/>
                <w:w w:val="105"/>
                <w:sz w:val="18"/>
                <w:szCs w:val="18"/>
              </w:rPr>
              <w:t>水</w:t>
            </w:r>
            <w:r>
              <w:rPr>
                <w:rFonts w:ascii="宋体" w:eastAsia="宋体" w:hAnsi="宋体" w:cs="宋体"/>
                <w:color w:val="auto"/>
                <w:w w:val="105"/>
                <w:sz w:val="18"/>
                <w:szCs w:val="18"/>
              </w:rPr>
              <w:t>质</w:t>
            </w:r>
            <w:r>
              <w:rPr>
                <w:rFonts w:ascii="宋体" w:eastAsia="宋体" w:hAnsi="宋体" w:cs="宋体"/>
                <w:color w:val="auto"/>
                <w:spacing w:val="-1"/>
                <w:w w:val="105"/>
                <w:sz w:val="18"/>
                <w:szCs w:val="18"/>
              </w:rPr>
              <w:t>类</w:t>
            </w:r>
            <w:r>
              <w:rPr>
                <w:rFonts w:ascii="宋体" w:eastAsia="宋体" w:hAnsi="宋体" w:cs="宋体"/>
                <w:color w:val="auto"/>
                <w:w w:val="105"/>
                <w:sz w:val="18"/>
                <w:szCs w:val="18"/>
              </w:rPr>
              <w:t>别</w:t>
            </w:r>
          </w:p>
        </w:tc>
      </w:tr>
      <w:tr w:rsidR="0075791A" w14:paraId="136EE7F9" w14:textId="77777777">
        <w:trPr>
          <w:trHeight w:hRule="exact" w:val="227"/>
          <w:jc w:val="center"/>
        </w:trPr>
        <w:tc>
          <w:tcPr>
            <w:tcW w:w="521" w:type="dxa"/>
            <w:vMerge w:val="restart"/>
            <w:tcBorders>
              <w:top w:val="single" w:sz="4" w:space="0" w:color="000000"/>
              <w:left w:val="single" w:sz="4" w:space="0" w:color="000000"/>
              <w:right w:val="single" w:sz="4" w:space="0" w:color="000000"/>
            </w:tcBorders>
            <w:vAlign w:val="center"/>
          </w:tcPr>
          <w:p w14:paraId="29C0DDAF"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H1</w:t>
            </w:r>
          </w:p>
        </w:tc>
        <w:tc>
          <w:tcPr>
            <w:tcW w:w="773" w:type="dxa"/>
            <w:tcBorders>
              <w:top w:val="single" w:sz="4" w:space="0" w:color="000000"/>
              <w:left w:val="single" w:sz="4" w:space="0" w:color="000000"/>
              <w:bottom w:val="single" w:sz="4" w:space="0" w:color="000000"/>
              <w:right w:val="single" w:sz="4" w:space="0" w:color="000000"/>
            </w:tcBorders>
            <w:vAlign w:val="center"/>
          </w:tcPr>
          <w:p w14:paraId="67055C56"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表</w:t>
            </w:r>
          </w:p>
        </w:tc>
        <w:tc>
          <w:tcPr>
            <w:tcW w:w="820" w:type="dxa"/>
            <w:tcBorders>
              <w:top w:val="single" w:sz="4" w:space="0" w:color="000000"/>
              <w:left w:val="single" w:sz="4" w:space="0" w:color="000000"/>
              <w:bottom w:val="single" w:sz="4" w:space="0" w:color="000000"/>
              <w:right w:val="single" w:sz="4" w:space="0" w:color="000000"/>
            </w:tcBorders>
            <w:vAlign w:val="center"/>
          </w:tcPr>
          <w:p w14:paraId="53B4404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513F43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98C897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F828FD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ED6183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66C6E7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8D5CB2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CE06D4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8CD97F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24B774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42CDB5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7E7FAB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398B05D8"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256BF980"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3A4F68A9"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5173FF55" w14:textId="77777777">
        <w:trPr>
          <w:trHeight w:hRule="exact" w:val="227"/>
          <w:jc w:val="center"/>
        </w:trPr>
        <w:tc>
          <w:tcPr>
            <w:tcW w:w="521" w:type="dxa"/>
            <w:vMerge/>
            <w:tcBorders>
              <w:left w:val="single" w:sz="4" w:space="0" w:color="000000"/>
              <w:bottom w:val="single" w:sz="4" w:space="0" w:color="000000"/>
              <w:right w:val="single" w:sz="4" w:space="0" w:color="000000"/>
            </w:tcBorders>
            <w:vAlign w:val="center"/>
          </w:tcPr>
          <w:p w14:paraId="20C6075D"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68152E55"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底</w:t>
            </w:r>
          </w:p>
        </w:tc>
        <w:tc>
          <w:tcPr>
            <w:tcW w:w="820" w:type="dxa"/>
            <w:tcBorders>
              <w:top w:val="single" w:sz="4" w:space="0" w:color="000000"/>
              <w:left w:val="single" w:sz="4" w:space="0" w:color="000000"/>
              <w:bottom w:val="single" w:sz="4" w:space="0" w:color="000000"/>
              <w:right w:val="single" w:sz="4" w:space="0" w:color="000000"/>
            </w:tcBorders>
            <w:vAlign w:val="center"/>
          </w:tcPr>
          <w:p w14:paraId="0F9F71E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2E0C05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340CB1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7BCDFD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3E41FD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1A526D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7CFA30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3AE21B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A50C2C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74CF67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E988A4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CFD851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34E8494E"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4E510FC6"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16D701FD"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2891CCFD" w14:textId="77777777">
        <w:trPr>
          <w:trHeight w:hRule="exact" w:val="227"/>
          <w:jc w:val="center"/>
        </w:trPr>
        <w:tc>
          <w:tcPr>
            <w:tcW w:w="521" w:type="dxa"/>
            <w:vMerge w:val="restart"/>
            <w:tcBorders>
              <w:top w:val="single" w:sz="4" w:space="0" w:color="000000"/>
              <w:left w:val="single" w:sz="4" w:space="0" w:color="000000"/>
              <w:right w:val="single" w:sz="4" w:space="0" w:color="000000"/>
            </w:tcBorders>
            <w:vAlign w:val="center"/>
          </w:tcPr>
          <w:p w14:paraId="6A173119"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H2</w:t>
            </w:r>
          </w:p>
        </w:tc>
        <w:tc>
          <w:tcPr>
            <w:tcW w:w="773" w:type="dxa"/>
            <w:tcBorders>
              <w:top w:val="single" w:sz="4" w:space="0" w:color="000000"/>
              <w:left w:val="single" w:sz="4" w:space="0" w:color="000000"/>
              <w:bottom w:val="single" w:sz="4" w:space="0" w:color="000000"/>
              <w:right w:val="single" w:sz="4" w:space="0" w:color="000000"/>
            </w:tcBorders>
            <w:vAlign w:val="center"/>
          </w:tcPr>
          <w:p w14:paraId="16C38864"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表</w:t>
            </w:r>
          </w:p>
        </w:tc>
        <w:tc>
          <w:tcPr>
            <w:tcW w:w="820" w:type="dxa"/>
            <w:tcBorders>
              <w:top w:val="single" w:sz="4" w:space="0" w:color="000000"/>
              <w:left w:val="single" w:sz="4" w:space="0" w:color="000000"/>
              <w:bottom w:val="single" w:sz="4" w:space="0" w:color="000000"/>
              <w:right w:val="single" w:sz="4" w:space="0" w:color="000000"/>
            </w:tcBorders>
            <w:vAlign w:val="center"/>
          </w:tcPr>
          <w:p w14:paraId="665424E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51914E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E42B67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05F761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942D98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49FE33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4DC804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A32390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3C37AF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D514E5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338308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DABB19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2EC7FCCA"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4939A78D" w14:textId="77777777" w:rsidR="0075791A" w:rsidRDefault="00FB2864">
            <w:pPr>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43DDA1B7"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23CC5437" w14:textId="77777777">
        <w:trPr>
          <w:trHeight w:hRule="exact" w:val="227"/>
          <w:jc w:val="center"/>
        </w:trPr>
        <w:tc>
          <w:tcPr>
            <w:tcW w:w="521" w:type="dxa"/>
            <w:vMerge/>
            <w:tcBorders>
              <w:left w:val="single" w:sz="4" w:space="0" w:color="000000"/>
              <w:right w:val="single" w:sz="4" w:space="0" w:color="000000"/>
            </w:tcBorders>
            <w:vAlign w:val="center"/>
          </w:tcPr>
          <w:p w14:paraId="7C71C1C6"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3323CE27"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sz w:val="18"/>
                <w:szCs w:val="18"/>
              </w:rPr>
              <w:t>10</w:t>
            </w:r>
            <w:r>
              <w:rPr>
                <w:rFonts w:ascii="Times New Roman" w:eastAsia="Times New Roman" w:hAnsi="Times New Roman" w:cs="Times New Roman"/>
                <w:color w:val="auto"/>
                <w:sz w:val="18"/>
                <w:szCs w:val="18"/>
              </w:rPr>
              <w:t>m</w:t>
            </w:r>
          </w:p>
        </w:tc>
        <w:tc>
          <w:tcPr>
            <w:tcW w:w="820" w:type="dxa"/>
            <w:tcBorders>
              <w:top w:val="single" w:sz="4" w:space="0" w:color="000000"/>
              <w:left w:val="single" w:sz="4" w:space="0" w:color="000000"/>
              <w:bottom w:val="single" w:sz="4" w:space="0" w:color="000000"/>
              <w:right w:val="single" w:sz="4" w:space="0" w:color="000000"/>
            </w:tcBorders>
            <w:vAlign w:val="center"/>
          </w:tcPr>
          <w:p w14:paraId="7FA8868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F3D08F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38E8AC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E6EEF6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0E3069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081272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5C8AC0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E7CA21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E626D5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109BCE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DA003D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EC1265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32E92835"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35B8471B" w14:textId="77777777" w:rsidR="0075791A" w:rsidRDefault="00FB2864">
            <w:pPr>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798CA614"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1FA5841A" w14:textId="77777777">
        <w:trPr>
          <w:trHeight w:hRule="exact" w:val="227"/>
          <w:jc w:val="center"/>
        </w:trPr>
        <w:tc>
          <w:tcPr>
            <w:tcW w:w="521" w:type="dxa"/>
            <w:vMerge/>
            <w:tcBorders>
              <w:left w:val="single" w:sz="4" w:space="0" w:color="000000"/>
              <w:bottom w:val="single" w:sz="4" w:space="0" w:color="000000"/>
              <w:right w:val="single" w:sz="4" w:space="0" w:color="000000"/>
            </w:tcBorders>
            <w:vAlign w:val="center"/>
          </w:tcPr>
          <w:p w14:paraId="70C77AB3"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2FBB1220"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底</w:t>
            </w:r>
          </w:p>
        </w:tc>
        <w:tc>
          <w:tcPr>
            <w:tcW w:w="820" w:type="dxa"/>
            <w:tcBorders>
              <w:top w:val="single" w:sz="4" w:space="0" w:color="000000"/>
              <w:left w:val="single" w:sz="4" w:space="0" w:color="000000"/>
              <w:bottom w:val="single" w:sz="4" w:space="0" w:color="000000"/>
              <w:right w:val="single" w:sz="4" w:space="0" w:color="000000"/>
            </w:tcBorders>
            <w:vAlign w:val="center"/>
          </w:tcPr>
          <w:p w14:paraId="36B31B1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022DD1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4882A0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6C1E9C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8321B7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555339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0AA30D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C21101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B72DD4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09EE87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B4925F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042AE4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5923C390"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4C123DE2" w14:textId="77777777" w:rsidR="0075791A" w:rsidRDefault="00FB2864">
            <w:pPr>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72DCE762"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1BB7975A" w14:textId="77777777">
        <w:trPr>
          <w:trHeight w:hRule="exact" w:val="227"/>
          <w:jc w:val="center"/>
        </w:trPr>
        <w:tc>
          <w:tcPr>
            <w:tcW w:w="521" w:type="dxa"/>
            <w:vMerge w:val="restart"/>
            <w:tcBorders>
              <w:top w:val="single" w:sz="4" w:space="0" w:color="000000"/>
              <w:left w:val="single" w:sz="4" w:space="0" w:color="000000"/>
              <w:right w:val="single" w:sz="4" w:space="0" w:color="000000"/>
            </w:tcBorders>
            <w:vAlign w:val="center"/>
          </w:tcPr>
          <w:p w14:paraId="2BC9A9B2"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H3</w:t>
            </w:r>
          </w:p>
        </w:tc>
        <w:tc>
          <w:tcPr>
            <w:tcW w:w="773" w:type="dxa"/>
            <w:tcBorders>
              <w:top w:val="single" w:sz="4" w:space="0" w:color="000000"/>
              <w:left w:val="single" w:sz="4" w:space="0" w:color="000000"/>
              <w:bottom w:val="single" w:sz="4" w:space="0" w:color="000000"/>
              <w:right w:val="single" w:sz="4" w:space="0" w:color="000000"/>
            </w:tcBorders>
            <w:vAlign w:val="center"/>
          </w:tcPr>
          <w:p w14:paraId="727FD9BE"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表</w:t>
            </w:r>
          </w:p>
        </w:tc>
        <w:tc>
          <w:tcPr>
            <w:tcW w:w="820" w:type="dxa"/>
            <w:tcBorders>
              <w:top w:val="single" w:sz="4" w:space="0" w:color="000000"/>
              <w:left w:val="single" w:sz="4" w:space="0" w:color="000000"/>
              <w:bottom w:val="single" w:sz="4" w:space="0" w:color="000000"/>
              <w:right w:val="single" w:sz="4" w:space="0" w:color="000000"/>
            </w:tcBorders>
            <w:vAlign w:val="center"/>
          </w:tcPr>
          <w:p w14:paraId="2DD1443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031AA2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C593CF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683817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E0A16C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419CA9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C7E7A1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B1FBA9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B474AF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914B4F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A6F0E2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17F686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2FD61183"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426AA85B"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10C975C4"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b/>
                <w:bCs/>
                <w:color w:val="auto"/>
                <w:sz w:val="18"/>
                <w:szCs w:val="18"/>
              </w:rPr>
              <w:t>二类</w:t>
            </w:r>
          </w:p>
        </w:tc>
      </w:tr>
      <w:tr w:rsidR="0075791A" w14:paraId="23CDEBC3" w14:textId="77777777">
        <w:trPr>
          <w:trHeight w:hRule="exact" w:val="227"/>
          <w:jc w:val="center"/>
        </w:trPr>
        <w:tc>
          <w:tcPr>
            <w:tcW w:w="521" w:type="dxa"/>
            <w:vMerge/>
            <w:tcBorders>
              <w:left w:val="single" w:sz="4" w:space="0" w:color="000000"/>
              <w:right w:val="single" w:sz="4" w:space="0" w:color="000000"/>
            </w:tcBorders>
            <w:vAlign w:val="center"/>
          </w:tcPr>
          <w:p w14:paraId="6D36258B"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514B3B22"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sz w:val="18"/>
                <w:szCs w:val="18"/>
              </w:rPr>
              <w:t>10</w:t>
            </w:r>
            <w:r>
              <w:rPr>
                <w:rFonts w:ascii="Times New Roman" w:eastAsia="Times New Roman" w:hAnsi="Times New Roman" w:cs="Times New Roman"/>
                <w:color w:val="auto"/>
                <w:sz w:val="18"/>
                <w:szCs w:val="18"/>
              </w:rPr>
              <w:t>m</w:t>
            </w:r>
          </w:p>
        </w:tc>
        <w:tc>
          <w:tcPr>
            <w:tcW w:w="820" w:type="dxa"/>
            <w:tcBorders>
              <w:top w:val="single" w:sz="4" w:space="0" w:color="000000"/>
              <w:left w:val="single" w:sz="4" w:space="0" w:color="000000"/>
              <w:bottom w:val="single" w:sz="4" w:space="0" w:color="000000"/>
              <w:right w:val="single" w:sz="4" w:space="0" w:color="000000"/>
            </w:tcBorders>
            <w:vAlign w:val="center"/>
          </w:tcPr>
          <w:p w14:paraId="4E28681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F2DDA9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D27174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FB53C4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6D6A48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37260A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5F2B47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B0141B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A43148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A781D7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D10546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683916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106E9C14"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7E665572"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36E900BC"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3CA24461" w14:textId="77777777">
        <w:trPr>
          <w:trHeight w:hRule="exact" w:val="227"/>
          <w:jc w:val="center"/>
        </w:trPr>
        <w:tc>
          <w:tcPr>
            <w:tcW w:w="521" w:type="dxa"/>
            <w:vMerge/>
            <w:tcBorders>
              <w:left w:val="single" w:sz="4" w:space="0" w:color="000000"/>
              <w:bottom w:val="single" w:sz="4" w:space="0" w:color="000000"/>
              <w:right w:val="single" w:sz="4" w:space="0" w:color="000000"/>
            </w:tcBorders>
            <w:vAlign w:val="center"/>
          </w:tcPr>
          <w:p w14:paraId="2DDA6BE9"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2F6A9BD8"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底</w:t>
            </w:r>
          </w:p>
        </w:tc>
        <w:tc>
          <w:tcPr>
            <w:tcW w:w="820" w:type="dxa"/>
            <w:tcBorders>
              <w:top w:val="single" w:sz="4" w:space="0" w:color="000000"/>
              <w:left w:val="single" w:sz="4" w:space="0" w:color="000000"/>
              <w:bottom w:val="single" w:sz="4" w:space="0" w:color="000000"/>
              <w:right w:val="single" w:sz="4" w:space="0" w:color="000000"/>
            </w:tcBorders>
            <w:vAlign w:val="center"/>
          </w:tcPr>
          <w:p w14:paraId="27E96AE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0B7446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1C7585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794DB4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4ADB65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7392F9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7E3F46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F24A60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C024FB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FB9961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DBF01E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3B92B8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41C79264"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2047D096"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7E19BE30"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15977BCD" w14:textId="77777777">
        <w:trPr>
          <w:trHeight w:hRule="exact" w:val="227"/>
          <w:jc w:val="center"/>
        </w:trPr>
        <w:tc>
          <w:tcPr>
            <w:tcW w:w="521" w:type="dxa"/>
            <w:vMerge w:val="restart"/>
            <w:tcBorders>
              <w:top w:val="single" w:sz="4" w:space="0" w:color="000000"/>
              <w:left w:val="single" w:sz="4" w:space="0" w:color="000000"/>
              <w:right w:val="single" w:sz="4" w:space="0" w:color="000000"/>
            </w:tcBorders>
            <w:vAlign w:val="center"/>
          </w:tcPr>
          <w:p w14:paraId="38260A57"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H4</w:t>
            </w:r>
          </w:p>
        </w:tc>
        <w:tc>
          <w:tcPr>
            <w:tcW w:w="773" w:type="dxa"/>
            <w:tcBorders>
              <w:top w:val="single" w:sz="4" w:space="0" w:color="000000"/>
              <w:left w:val="single" w:sz="4" w:space="0" w:color="000000"/>
              <w:bottom w:val="single" w:sz="4" w:space="0" w:color="000000"/>
              <w:right w:val="single" w:sz="4" w:space="0" w:color="000000"/>
            </w:tcBorders>
            <w:vAlign w:val="center"/>
          </w:tcPr>
          <w:p w14:paraId="266781ED"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表</w:t>
            </w:r>
          </w:p>
        </w:tc>
        <w:tc>
          <w:tcPr>
            <w:tcW w:w="820" w:type="dxa"/>
            <w:tcBorders>
              <w:top w:val="single" w:sz="4" w:space="0" w:color="000000"/>
              <w:left w:val="single" w:sz="4" w:space="0" w:color="000000"/>
              <w:bottom w:val="single" w:sz="4" w:space="0" w:color="000000"/>
              <w:right w:val="single" w:sz="4" w:space="0" w:color="000000"/>
            </w:tcBorders>
            <w:vAlign w:val="center"/>
          </w:tcPr>
          <w:p w14:paraId="6BF01E2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5C20C8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0672D7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147543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877A29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0A5736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64998D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07849F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1B9E47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37E865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7F5958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375F33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1EFFA3E0"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503E92A1"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0B8C048E"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72B038C3" w14:textId="77777777">
        <w:trPr>
          <w:trHeight w:hRule="exact" w:val="227"/>
          <w:jc w:val="center"/>
        </w:trPr>
        <w:tc>
          <w:tcPr>
            <w:tcW w:w="521" w:type="dxa"/>
            <w:vMerge/>
            <w:tcBorders>
              <w:left w:val="single" w:sz="4" w:space="0" w:color="000000"/>
              <w:bottom w:val="single" w:sz="4" w:space="0" w:color="000000"/>
              <w:right w:val="single" w:sz="4" w:space="0" w:color="000000"/>
            </w:tcBorders>
            <w:vAlign w:val="center"/>
          </w:tcPr>
          <w:p w14:paraId="6F75347F"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7E6BE1D8"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底</w:t>
            </w:r>
          </w:p>
        </w:tc>
        <w:tc>
          <w:tcPr>
            <w:tcW w:w="820" w:type="dxa"/>
            <w:tcBorders>
              <w:top w:val="single" w:sz="4" w:space="0" w:color="000000"/>
              <w:left w:val="single" w:sz="4" w:space="0" w:color="000000"/>
              <w:bottom w:val="single" w:sz="4" w:space="0" w:color="000000"/>
              <w:right w:val="single" w:sz="4" w:space="0" w:color="000000"/>
            </w:tcBorders>
            <w:vAlign w:val="center"/>
          </w:tcPr>
          <w:p w14:paraId="0BC4297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F774F6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F2F3EA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284354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4FDF5F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DD1A55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EC03B8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FB8130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3BF498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C7503F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0268DA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214EEA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08142BE0"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08E3F47D"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2C271729"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33EBA1CB" w14:textId="77777777">
        <w:trPr>
          <w:trHeight w:hRule="exact" w:val="227"/>
          <w:jc w:val="center"/>
        </w:trPr>
        <w:tc>
          <w:tcPr>
            <w:tcW w:w="521" w:type="dxa"/>
            <w:vMerge w:val="restart"/>
            <w:tcBorders>
              <w:top w:val="single" w:sz="4" w:space="0" w:color="000000"/>
              <w:left w:val="single" w:sz="4" w:space="0" w:color="000000"/>
              <w:right w:val="single" w:sz="4" w:space="0" w:color="000000"/>
            </w:tcBorders>
            <w:vAlign w:val="center"/>
          </w:tcPr>
          <w:p w14:paraId="6D7E8BDF"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H5</w:t>
            </w:r>
          </w:p>
        </w:tc>
        <w:tc>
          <w:tcPr>
            <w:tcW w:w="773" w:type="dxa"/>
            <w:tcBorders>
              <w:top w:val="single" w:sz="4" w:space="0" w:color="000000"/>
              <w:left w:val="single" w:sz="4" w:space="0" w:color="000000"/>
              <w:bottom w:val="single" w:sz="4" w:space="0" w:color="000000"/>
              <w:right w:val="single" w:sz="4" w:space="0" w:color="000000"/>
            </w:tcBorders>
            <w:vAlign w:val="center"/>
          </w:tcPr>
          <w:p w14:paraId="2AC8CDBE"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表</w:t>
            </w:r>
          </w:p>
        </w:tc>
        <w:tc>
          <w:tcPr>
            <w:tcW w:w="820" w:type="dxa"/>
            <w:tcBorders>
              <w:top w:val="single" w:sz="4" w:space="0" w:color="000000"/>
              <w:left w:val="single" w:sz="4" w:space="0" w:color="000000"/>
              <w:bottom w:val="single" w:sz="4" w:space="0" w:color="000000"/>
              <w:right w:val="single" w:sz="4" w:space="0" w:color="000000"/>
            </w:tcBorders>
            <w:vAlign w:val="center"/>
          </w:tcPr>
          <w:p w14:paraId="7489C2D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405BE7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B6923A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B8A065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92188A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683403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4441D0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41A909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A293AF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AC8986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C8AC25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24E5C2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1332D24A"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1FBA0D3F" w14:textId="77777777" w:rsidR="0075791A" w:rsidRDefault="00FB2864">
            <w:pPr>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3F9AE262"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0B0305DA" w14:textId="77777777">
        <w:trPr>
          <w:trHeight w:hRule="exact" w:val="227"/>
          <w:jc w:val="center"/>
        </w:trPr>
        <w:tc>
          <w:tcPr>
            <w:tcW w:w="521" w:type="dxa"/>
            <w:vMerge/>
            <w:tcBorders>
              <w:left w:val="single" w:sz="4" w:space="0" w:color="000000"/>
              <w:right w:val="single" w:sz="4" w:space="0" w:color="000000"/>
            </w:tcBorders>
            <w:vAlign w:val="center"/>
          </w:tcPr>
          <w:p w14:paraId="71AABA91"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3DC43401"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sz w:val="18"/>
                <w:szCs w:val="18"/>
              </w:rPr>
              <w:t>10</w:t>
            </w:r>
            <w:r>
              <w:rPr>
                <w:rFonts w:ascii="Times New Roman" w:eastAsia="Times New Roman" w:hAnsi="Times New Roman" w:cs="Times New Roman"/>
                <w:color w:val="auto"/>
                <w:sz w:val="18"/>
                <w:szCs w:val="18"/>
              </w:rPr>
              <w:t>m</w:t>
            </w:r>
          </w:p>
        </w:tc>
        <w:tc>
          <w:tcPr>
            <w:tcW w:w="820" w:type="dxa"/>
            <w:tcBorders>
              <w:top w:val="single" w:sz="4" w:space="0" w:color="000000"/>
              <w:left w:val="single" w:sz="4" w:space="0" w:color="000000"/>
              <w:bottom w:val="single" w:sz="4" w:space="0" w:color="000000"/>
              <w:right w:val="single" w:sz="4" w:space="0" w:color="000000"/>
            </w:tcBorders>
            <w:vAlign w:val="center"/>
          </w:tcPr>
          <w:p w14:paraId="2B0BD06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F4792B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7D3EA9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7DA9B2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87F4FA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720B39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C9722A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D18C58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A5F48C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477C79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231E39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EF621D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237C9E67"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7ED5ADD4" w14:textId="77777777" w:rsidR="0075791A" w:rsidRDefault="00FB2864">
            <w:pPr>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667AAB1B"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6D722243" w14:textId="77777777">
        <w:trPr>
          <w:trHeight w:hRule="exact" w:val="227"/>
          <w:jc w:val="center"/>
        </w:trPr>
        <w:tc>
          <w:tcPr>
            <w:tcW w:w="521" w:type="dxa"/>
            <w:vMerge/>
            <w:tcBorders>
              <w:left w:val="single" w:sz="4" w:space="0" w:color="000000"/>
              <w:bottom w:val="single" w:sz="4" w:space="0" w:color="000000"/>
              <w:right w:val="single" w:sz="4" w:space="0" w:color="000000"/>
            </w:tcBorders>
            <w:vAlign w:val="center"/>
          </w:tcPr>
          <w:p w14:paraId="0E0423E9"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4FE25F76"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底</w:t>
            </w:r>
          </w:p>
        </w:tc>
        <w:tc>
          <w:tcPr>
            <w:tcW w:w="820" w:type="dxa"/>
            <w:tcBorders>
              <w:top w:val="single" w:sz="4" w:space="0" w:color="000000"/>
              <w:left w:val="single" w:sz="4" w:space="0" w:color="000000"/>
              <w:bottom w:val="single" w:sz="4" w:space="0" w:color="000000"/>
              <w:right w:val="single" w:sz="4" w:space="0" w:color="000000"/>
            </w:tcBorders>
            <w:vAlign w:val="center"/>
          </w:tcPr>
          <w:p w14:paraId="3A75061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6775A2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BC9593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66F5EE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99997C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4611D9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CB8F15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E0F550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D3D866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C5A9C6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B2ED39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E7910B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65831EC9"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7240EAD8" w14:textId="77777777" w:rsidR="0075791A" w:rsidRDefault="00FB2864">
            <w:pPr>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3F7E5AE7"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122434A1" w14:textId="77777777">
        <w:trPr>
          <w:trHeight w:hRule="exact" w:val="227"/>
          <w:jc w:val="center"/>
        </w:trPr>
        <w:tc>
          <w:tcPr>
            <w:tcW w:w="521" w:type="dxa"/>
            <w:vMerge w:val="restart"/>
            <w:tcBorders>
              <w:top w:val="single" w:sz="4" w:space="0" w:color="000000"/>
              <w:left w:val="single" w:sz="4" w:space="0" w:color="000000"/>
              <w:right w:val="single" w:sz="4" w:space="0" w:color="000000"/>
            </w:tcBorders>
            <w:vAlign w:val="center"/>
          </w:tcPr>
          <w:p w14:paraId="4E995615"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H6</w:t>
            </w:r>
          </w:p>
        </w:tc>
        <w:tc>
          <w:tcPr>
            <w:tcW w:w="773" w:type="dxa"/>
            <w:tcBorders>
              <w:top w:val="single" w:sz="4" w:space="0" w:color="000000"/>
              <w:left w:val="single" w:sz="4" w:space="0" w:color="000000"/>
              <w:bottom w:val="single" w:sz="4" w:space="0" w:color="000000"/>
              <w:right w:val="single" w:sz="4" w:space="0" w:color="000000"/>
            </w:tcBorders>
            <w:vAlign w:val="center"/>
          </w:tcPr>
          <w:p w14:paraId="6B883346"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表</w:t>
            </w:r>
          </w:p>
        </w:tc>
        <w:tc>
          <w:tcPr>
            <w:tcW w:w="820" w:type="dxa"/>
            <w:tcBorders>
              <w:top w:val="single" w:sz="4" w:space="0" w:color="000000"/>
              <w:left w:val="single" w:sz="4" w:space="0" w:color="000000"/>
              <w:bottom w:val="single" w:sz="4" w:space="0" w:color="000000"/>
              <w:right w:val="single" w:sz="4" w:space="0" w:color="000000"/>
            </w:tcBorders>
            <w:vAlign w:val="center"/>
          </w:tcPr>
          <w:p w14:paraId="632407D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84E271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93F531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D642F6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77BD1F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432F67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22688E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B5FC76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472D74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4B96C4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87B9D1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9461EC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12184EBB"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49910E83"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5CE6825E"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3D3037DE" w14:textId="77777777">
        <w:trPr>
          <w:trHeight w:hRule="exact" w:val="227"/>
          <w:jc w:val="center"/>
        </w:trPr>
        <w:tc>
          <w:tcPr>
            <w:tcW w:w="521" w:type="dxa"/>
            <w:vMerge/>
            <w:tcBorders>
              <w:left w:val="single" w:sz="4" w:space="0" w:color="000000"/>
              <w:right w:val="single" w:sz="4" w:space="0" w:color="000000"/>
            </w:tcBorders>
            <w:vAlign w:val="center"/>
          </w:tcPr>
          <w:p w14:paraId="1203CE39"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370B09FE"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sz w:val="18"/>
                <w:szCs w:val="18"/>
              </w:rPr>
              <w:t>10</w:t>
            </w:r>
            <w:r>
              <w:rPr>
                <w:rFonts w:ascii="Times New Roman" w:eastAsia="Times New Roman" w:hAnsi="Times New Roman" w:cs="Times New Roman"/>
                <w:color w:val="auto"/>
                <w:sz w:val="18"/>
                <w:szCs w:val="18"/>
              </w:rPr>
              <w:t>m</w:t>
            </w:r>
          </w:p>
        </w:tc>
        <w:tc>
          <w:tcPr>
            <w:tcW w:w="820" w:type="dxa"/>
            <w:tcBorders>
              <w:top w:val="single" w:sz="4" w:space="0" w:color="000000"/>
              <w:left w:val="single" w:sz="4" w:space="0" w:color="000000"/>
              <w:bottom w:val="single" w:sz="4" w:space="0" w:color="000000"/>
              <w:right w:val="single" w:sz="4" w:space="0" w:color="000000"/>
            </w:tcBorders>
            <w:vAlign w:val="center"/>
          </w:tcPr>
          <w:p w14:paraId="3D8B325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016D7A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75BBCF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56C47E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60E9D3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9B31BD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73F78B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907097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E0376F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5F7E64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24A180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F87622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37CE8908"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096BCE4D"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07D62403"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296DE1C0" w14:textId="77777777">
        <w:trPr>
          <w:trHeight w:hRule="exact" w:val="227"/>
          <w:jc w:val="center"/>
        </w:trPr>
        <w:tc>
          <w:tcPr>
            <w:tcW w:w="521" w:type="dxa"/>
            <w:vMerge/>
            <w:tcBorders>
              <w:left w:val="single" w:sz="4" w:space="0" w:color="000000"/>
              <w:bottom w:val="single" w:sz="4" w:space="0" w:color="000000"/>
              <w:right w:val="single" w:sz="4" w:space="0" w:color="000000"/>
            </w:tcBorders>
            <w:vAlign w:val="center"/>
          </w:tcPr>
          <w:p w14:paraId="7DDC2300"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0137B1A9"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底</w:t>
            </w:r>
          </w:p>
        </w:tc>
        <w:tc>
          <w:tcPr>
            <w:tcW w:w="820" w:type="dxa"/>
            <w:tcBorders>
              <w:top w:val="single" w:sz="4" w:space="0" w:color="000000"/>
              <w:left w:val="single" w:sz="4" w:space="0" w:color="000000"/>
              <w:bottom w:val="single" w:sz="4" w:space="0" w:color="000000"/>
              <w:right w:val="single" w:sz="4" w:space="0" w:color="000000"/>
            </w:tcBorders>
            <w:vAlign w:val="center"/>
          </w:tcPr>
          <w:p w14:paraId="50A7613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0490CA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D77B5F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48CA74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2F989B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A24D2D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1B8BBF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71018B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F904B5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DA6366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C82988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922AEA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52938301"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00158FA4"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563424A0"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68439BA4" w14:textId="77777777">
        <w:trPr>
          <w:trHeight w:hRule="exact" w:val="227"/>
          <w:jc w:val="center"/>
        </w:trPr>
        <w:tc>
          <w:tcPr>
            <w:tcW w:w="521" w:type="dxa"/>
            <w:vMerge w:val="restart"/>
            <w:tcBorders>
              <w:top w:val="single" w:sz="4" w:space="0" w:color="000000"/>
              <w:left w:val="single" w:sz="4" w:space="0" w:color="000000"/>
              <w:right w:val="single" w:sz="4" w:space="0" w:color="000000"/>
            </w:tcBorders>
            <w:vAlign w:val="center"/>
          </w:tcPr>
          <w:p w14:paraId="777A38C5"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H7</w:t>
            </w:r>
          </w:p>
        </w:tc>
        <w:tc>
          <w:tcPr>
            <w:tcW w:w="773" w:type="dxa"/>
            <w:tcBorders>
              <w:top w:val="single" w:sz="4" w:space="0" w:color="000000"/>
              <w:left w:val="single" w:sz="4" w:space="0" w:color="000000"/>
              <w:bottom w:val="single" w:sz="4" w:space="0" w:color="000000"/>
              <w:right w:val="single" w:sz="4" w:space="0" w:color="000000"/>
            </w:tcBorders>
            <w:vAlign w:val="center"/>
          </w:tcPr>
          <w:p w14:paraId="26E0DC59"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表</w:t>
            </w:r>
          </w:p>
        </w:tc>
        <w:tc>
          <w:tcPr>
            <w:tcW w:w="820" w:type="dxa"/>
            <w:tcBorders>
              <w:top w:val="single" w:sz="4" w:space="0" w:color="000000"/>
              <w:left w:val="single" w:sz="4" w:space="0" w:color="000000"/>
              <w:bottom w:val="single" w:sz="4" w:space="0" w:color="000000"/>
              <w:right w:val="single" w:sz="4" w:space="0" w:color="000000"/>
            </w:tcBorders>
            <w:vAlign w:val="center"/>
          </w:tcPr>
          <w:p w14:paraId="1B7202B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FDE41A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C88849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C53A39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FB7D90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B0DE77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F74A43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8CD3E8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4E4ABB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39D64A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82C13B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DFD4FA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69E4F93A"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103A1E2F"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20A4AB12"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7F4EB7BF" w14:textId="77777777">
        <w:trPr>
          <w:trHeight w:hRule="exact" w:val="227"/>
          <w:jc w:val="center"/>
        </w:trPr>
        <w:tc>
          <w:tcPr>
            <w:tcW w:w="521" w:type="dxa"/>
            <w:vMerge/>
            <w:tcBorders>
              <w:left w:val="single" w:sz="4" w:space="0" w:color="000000"/>
              <w:bottom w:val="single" w:sz="4" w:space="0" w:color="000000"/>
              <w:right w:val="single" w:sz="4" w:space="0" w:color="000000"/>
            </w:tcBorders>
            <w:vAlign w:val="center"/>
          </w:tcPr>
          <w:p w14:paraId="04B6D513"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7518DBFE"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底</w:t>
            </w:r>
          </w:p>
        </w:tc>
        <w:tc>
          <w:tcPr>
            <w:tcW w:w="820" w:type="dxa"/>
            <w:tcBorders>
              <w:top w:val="single" w:sz="4" w:space="0" w:color="000000"/>
              <w:left w:val="single" w:sz="4" w:space="0" w:color="000000"/>
              <w:bottom w:val="single" w:sz="4" w:space="0" w:color="000000"/>
              <w:right w:val="single" w:sz="4" w:space="0" w:color="000000"/>
            </w:tcBorders>
            <w:vAlign w:val="center"/>
          </w:tcPr>
          <w:p w14:paraId="55BC91E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E36948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EEDB73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099C81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69CF1E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DF9919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A54651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2B7059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25E2A5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18B96E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328544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D3672E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7CE3B1FB"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462FD9C0"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34C1866C"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3F7D00F2" w14:textId="77777777">
        <w:trPr>
          <w:trHeight w:hRule="exact" w:val="227"/>
          <w:jc w:val="center"/>
        </w:trPr>
        <w:tc>
          <w:tcPr>
            <w:tcW w:w="521" w:type="dxa"/>
            <w:vMerge w:val="restart"/>
            <w:tcBorders>
              <w:top w:val="single" w:sz="4" w:space="0" w:color="000000"/>
              <w:left w:val="single" w:sz="4" w:space="0" w:color="000000"/>
              <w:right w:val="single" w:sz="4" w:space="0" w:color="000000"/>
            </w:tcBorders>
            <w:vAlign w:val="center"/>
          </w:tcPr>
          <w:p w14:paraId="09EC046A"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H8</w:t>
            </w:r>
          </w:p>
        </w:tc>
        <w:tc>
          <w:tcPr>
            <w:tcW w:w="773" w:type="dxa"/>
            <w:tcBorders>
              <w:top w:val="single" w:sz="4" w:space="0" w:color="000000"/>
              <w:left w:val="single" w:sz="4" w:space="0" w:color="000000"/>
              <w:bottom w:val="single" w:sz="4" w:space="0" w:color="000000"/>
              <w:right w:val="single" w:sz="4" w:space="0" w:color="000000"/>
            </w:tcBorders>
            <w:vAlign w:val="center"/>
          </w:tcPr>
          <w:p w14:paraId="3E720AE2"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表</w:t>
            </w:r>
          </w:p>
        </w:tc>
        <w:tc>
          <w:tcPr>
            <w:tcW w:w="820" w:type="dxa"/>
            <w:tcBorders>
              <w:top w:val="single" w:sz="4" w:space="0" w:color="000000"/>
              <w:left w:val="single" w:sz="4" w:space="0" w:color="000000"/>
              <w:bottom w:val="single" w:sz="4" w:space="0" w:color="000000"/>
              <w:right w:val="single" w:sz="4" w:space="0" w:color="000000"/>
            </w:tcBorders>
            <w:vAlign w:val="center"/>
          </w:tcPr>
          <w:p w14:paraId="381858A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90E666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87C0FF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A7CF1D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657662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1F7C3B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91BDE2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D26717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6DC6A6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0EBC34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FAF089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8E8FFC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2DA9C30C"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64AC74F4" w14:textId="77777777" w:rsidR="0075791A" w:rsidRDefault="00FB2864">
            <w:pPr>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470FAD6D"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340872FB" w14:textId="77777777">
        <w:trPr>
          <w:trHeight w:hRule="exact" w:val="227"/>
          <w:jc w:val="center"/>
        </w:trPr>
        <w:tc>
          <w:tcPr>
            <w:tcW w:w="521" w:type="dxa"/>
            <w:vMerge/>
            <w:tcBorders>
              <w:left w:val="single" w:sz="4" w:space="0" w:color="000000"/>
              <w:bottom w:val="single" w:sz="4" w:space="0" w:color="000000"/>
              <w:right w:val="single" w:sz="4" w:space="0" w:color="000000"/>
            </w:tcBorders>
            <w:vAlign w:val="center"/>
          </w:tcPr>
          <w:p w14:paraId="399A0F4B"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66497FBE"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sz w:val="18"/>
                <w:szCs w:val="18"/>
              </w:rPr>
              <w:t>10</w:t>
            </w:r>
            <w:r>
              <w:rPr>
                <w:rFonts w:ascii="Times New Roman" w:eastAsia="Times New Roman" w:hAnsi="Times New Roman" w:cs="Times New Roman"/>
                <w:color w:val="auto"/>
                <w:sz w:val="18"/>
                <w:szCs w:val="18"/>
              </w:rPr>
              <w:t>m</w:t>
            </w:r>
          </w:p>
        </w:tc>
        <w:tc>
          <w:tcPr>
            <w:tcW w:w="820" w:type="dxa"/>
            <w:tcBorders>
              <w:top w:val="single" w:sz="4" w:space="0" w:color="000000"/>
              <w:left w:val="single" w:sz="4" w:space="0" w:color="000000"/>
              <w:bottom w:val="single" w:sz="4" w:space="0" w:color="000000"/>
              <w:right w:val="single" w:sz="4" w:space="0" w:color="000000"/>
            </w:tcBorders>
            <w:vAlign w:val="center"/>
          </w:tcPr>
          <w:p w14:paraId="2CB6918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2F9213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A7CE20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3F8CBE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AB2A20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1FEA2D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0BAB44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5A3DAC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A0C878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DB7A58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955E5F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F63F7D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6928CFE5"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5DBC72B6" w14:textId="77777777" w:rsidR="0075791A" w:rsidRDefault="00FB2864">
            <w:pPr>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218986E3"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50DB3E60" w14:textId="77777777">
        <w:trPr>
          <w:trHeight w:hRule="exact" w:val="227"/>
          <w:jc w:val="center"/>
        </w:trPr>
        <w:tc>
          <w:tcPr>
            <w:tcW w:w="521" w:type="dxa"/>
            <w:tcBorders>
              <w:top w:val="single" w:sz="4" w:space="0" w:color="000000"/>
              <w:left w:val="single" w:sz="4" w:space="0" w:color="000000"/>
              <w:bottom w:val="single" w:sz="4" w:space="0" w:color="000000"/>
              <w:right w:val="single" w:sz="4" w:space="0" w:color="000000"/>
            </w:tcBorders>
            <w:vAlign w:val="center"/>
          </w:tcPr>
          <w:p w14:paraId="432FC9B8"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H8</w:t>
            </w:r>
          </w:p>
        </w:tc>
        <w:tc>
          <w:tcPr>
            <w:tcW w:w="773" w:type="dxa"/>
            <w:tcBorders>
              <w:top w:val="single" w:sz="4" w:space="0" w:color="000000"/>
              <w:left w:val="single" w:sz="4" w:space="0" w:color="000000"/>
              <w:bottom w:val="single" w:sz="4" w:space="0" w:color="000000"/>
              <w:right w:val="single" w:sz="4" w:space="0" w:color="000000"/>
            </w:tcBorders>
            <w:vAlign w:val="center"/>
          </w:tcPr>
          <w:p w14:paraId="1B5A7D13"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底</w:t>
            </w:r>
          </w:p>
        </w:tc>
        <w:tc>
          <w:tcPr>
            <w:tcW w:w="820" w:type="dxa"/>
            <w:tcBorders>
              <w:top w:val="single" w:sz="4" w:space="0" w:color="000000"/>
              <w:left w:val="single" w:sz="4" w:space="0" w:color="000000"/>
              <w:bottom w:val="single" w:sz="4" w:space="0" w:color="000000"/>
              <w:right w:val="single" w:sz="4" w:space="0" w:color="000000"/>
            </w:tcBorders>
            <w:vAlign w:val="center"/>
          </w:tcPr>
          <w:p w14:paraId="797D049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C25E1A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44ECAE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DCB478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A83DBB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F8FBA0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7E0057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83D9FB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F25C77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762D83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60E36C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A579CD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2E28174E"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5312DE35" w14:textId="77777777" w:rsidR="0075791A" w:rsidRDefault="00FB2864">
            <w:pPr>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15E36D0D"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06496394" w14:textId="77777777">
        <w:trPr>
          <w:trHeight w:hRule="exact" w:val="227"/>
          <w:jc w:val="center"/>
        </w:trPr>
        <w:tc>
          <w:tcPr>
            <w:tcW w:w="521" w:type="dxa"/>
            <w:vMerge w:val="restart"/>
            <w:tcBorders>
              <w:top w:val="single" w:sz="4" w:space="0" w:color="000000"/>
              <w:left w:val="single" w:sz="4" w:space="0" w:color="000000"/>
              <w:right w:val="single" w:sz="4" w:space="0" w:color="000000"/>
            </w:tcBorders>
            <w:vAlign w:val="center"/>
          </w:tcPr>
          <w:p w14:paraId="05F4BAA0"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H9</w:t>
            </w:r>
          </w:p>
        </w:tc>
        <w:tc>
          <w:tcPr>
            <w:tcW w:w="773" w:type="dxa"/>
            <w:tcBorders>
              <w:top w:val="single" w:sz="4" w:space="0" w:color="000000"/>
              <w:left w:val="single" w:sz="4" w:space="0" w:color="000000"/>
              <w:bottom w:val="single" w:sz="4" w:space="0" w:color="000000"/>
              <w:right w:val="single" w:sz="4" w:space="0" w:color="000000"/>
            </w:tcBorders>
            <w:vAlign w:val="center"/>
          </w:tcPr>
          <w:p w14:paraId="18A8461F"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表</w:t>
            </w:r>
          </w:p>
        </w:tc>
        <w:tc>
          <w:tcPr>
            <w:tcW w:w="820" w:type="dxa"/>
            <w:tcBorders>
              <w:top w:val="single" w:sz="4" w:space="0" w:color="000000"/>
              <w:left w:val="single" w:sz="4" w:space="0" w:color="000000"/>
              <w:bottom w:val="single" w:sz="4" w:space="0" w:color="000000"/>
              <w:right w:val="single" w:sz="4" w:space="0" w:color="000000"/>
            </w:tcBorders>
            <w:vAlign w:val="center"/>
          </w:tcPr>
          <w:p w14:paraId="0A96DD5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8B72B4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6040B4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430628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F40AB7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EFDABB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4B1AF5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FA0CCA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6D9503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9E7CE9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CEE151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4AB9B5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06747610"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3CE20287"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pacing w:val="-1"/>
                <w:sz w:val="18"/>
                <w:szCs w:val="18"/>
              </w:rPr>
              <w:t>一</w:t>
            </w:r>
            <w:r>
              <w:rPr>
                <w:rFonts w:ascii="宋体" w:eastAsia="宋体" w:hAnsi="宋体" w:cs="宋体"/>
                <w:color w:val="auto"/>
                <w:sz w:val="18"/>
                <w:szCs w:val="18"/>
              </w:rPr>
              <w:t>类</w:t>
            </w:r>
          </w:p>
        </w:tc>
        <w:tc>
          <w:tcPr>
            <w:tcW w:w="916" w:type="dxa"/>
            <w:tcBorders>
              <w:top w:val="single" w:sz="4" w:space="0" w:color="000000"/>
              <w:left w:val="single" w:sz="4" w:space="0" w:color="000000"/>
              <w:bottom w:val="single" w:sz="4" w:space="0" w:color="000000"/>
              <w:right w:val="single" w:sz="4" w:space="0" w:color="000000"/>
            </w:tcBorders>
            <w:vAlign w:val="center"/>
          </w:tcPr>
          <w:p w14:paraId="4587D028"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37759ACF" w14:textId="77777777">
        <w:trPr>
          <w:trHeight w:hRule="exact" w:val="227"/>
          <w:jc w:val="center"/>
        </w:trPr>
        <w:tc>
          <w:tcPr>
            <w:tcW w:w="521" w:type="dxa"/>
            <w:vMerge/>
            <w:tcBorders>
              <w:left w:val="single" w:sz="4" w:space="0" w:color="000000"/>
              <w:right w:val="single" w:sz="4" w:space="0" w:color="000000"/>
            </w:tcBorders>
            <w:vAlign w:val="center"/>
          </w:tcPr>
          <w:p w14:paraId="487DDE76"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1FCC2977"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sz w:val="18"/>
                <w:szCs w:val="18"/>
              </w:rPr>
              <w:t>10</w:t>
            </w:r>
            <w:r>
              <w:rPr>
                <w:rFonts w:ascii="Times New Roman" w:eastAsia="Times New Roman" w:hAnsi="Times New Roman" w:cs="Times New Roman"/>
                <w:color w:val="auto"/>
                <w:sz w:val="18"/>
                <w:szCs w:val="18"/>
              </w:rPr>
              <w:t>m</w:t>
            </w:r>
          </w:p>
        </w:tc>
        <w:tc>
          <w:tcPr>
            <w:tcW w:w="820" w:type="dxa"/>
            <w:tcBorders>
              <w:top w:val="single" w:sz="4" w:space="0" w:color="000000"/>
              <w:left w:val="single" w:sz="4" w:space="0" w:color="000000"/>
              <w:bottom w:val="single" w:sz="4" w:space="0" w:color="000000"/>
              <w:right w:val="single" w:sz="4" w:space="0" w:color="000000"/>
            </w:tcBorders>
            <w:vAlign w:val="center"/>
          </w:tcPr>
          <w:p w14:paraId="765F707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66AE5A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DF89F0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5F93F8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6063D0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85F6D5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FF16C0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BC9495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40E71E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93598A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82DBC0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D93E47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4DB157DE"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2784ABED"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pacing w:val="-1"/>
                <w:sz w:val="18"/>
                <w:szCs w:val="18"/>
              </w:rPr>
              <w:t>一</w:t>
            </w:r>
            <w:r>
              <w:rPr>
                <w:rFonts w:ascii="宋体" w:eastAsia="宋体" w:hAnsi="宋体" w:cs="宋体"/>
                <w:color w:val="auto"/>
                <w:sz w:val="18"/>
                <w:szCs w:val="18"/>
              </w:rPr>
              <w:t>类</w:t>
            </w:r>
          </w:p>
        </w:tc>
        <w:tc>
          <w:tcPr>
            <w:tcW w:w="916" w:type="dxa"/>
            <w:tcBorders>
              <w:top w:val="single" w:sz="4" w:space="0" w:color="000000"/>
              <w:left w:val="single" w:sz="4" w:space="0" w:color="000000"/>
              <w:bottom w:val="single" w:sz="4" w:space="0" w:color="000000"/>
              <w:right w:val="single" w:sz="4" w:space="0" w:color="000000"/>
            </w:tcBorders>
            <w:vAlign w:val="center"/>
          </w:tcPr>
          <w:p w14:paraId="27C4797E"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1B9490F4" w14:textId="77777777">
        <w:trPr>
          <w:trHeight w:hRule="exact" w:val="227"/>
          <w:jc w:val="center"/>
        </w:trPr>
        <w:tc>
          <w:tcPr>
            <w:tcW w:w="521" w:type="dxa"/>
            <w:vMerge/>
            <w:tcBorders>
              <w:left w:val="single" w:sz="4" w:space="0" w:color="000000"/>
              <w:bottom w:val="single" w:sz="4" w:space="0" w:color="000000"/>
              <w:right w:val="single" w:sz="4" w:space="0" w:color="000000"/>
            </w:tcBorders>
            <w:vAlign w:val="center"/>
          </w:tcPr>
          <w:p w14:paraId="35C0CE57"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40B8C2F6"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底</w:t>
            </w:r>
          </w:p>
        </w:tc>
        <w:tc>
          <w:tcPr>
            <w:tcW w:w="820" w:type="dxa"/>
            <w:tcBorders>
              <w:top w:val="single" w:sz="4" w:space="0" w:color="000000"/>
              <w:left w:val="single" w:sz="4" w:space="0" w:color="000000"/>
              <w:bottom w:val="single" w:sz="4" w:space="0" w:color="000000"/>
              <w:right w:val="single" w:sz="4" w:space="0" w:color="000000"/>
            </w:tcBorders>
            <w:vAlign w:val="center"/>
          </w:tcPr>
          <w:p w14:paraId="0B1C2BA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2C3D97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E7BB49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ACB6AA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8C68CA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40F17F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2185AF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B67957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FDD01B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C97B86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3890E1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BEF8D8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60158554"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34A8C926"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pacing w:val="-1"/>
                <w:sz w:val="18"/>
                <w:szCs w:val="18"/>
              </w:rPr>
              <w:t>一</w:t>
            </w:r>
            <w:r>
              <w:rPr>
                <w:rFonts w:ascii="宋体" w:eastAsia="宋体" w:hAnsi="宋体" w:cs="宋体"/>
                <w:color w:val="auto"/>
                <w:sz w:val="18"/>
                <w:szCs w:val="18"/>
              </w:rPr>
              <w:t>类</w:t>
            </w:r>
          </w:p>
        </w:tc>
        <w:tc>
          <w:tcPr>
            <w:tcW w:w="916" w:type="dxa"/>
            <w:tcBorders>
              <w:top w:val="single" w:sz="4" w:space="0" w:color="000000"/>
              <w:left w:val="single" w:sz="4" w:space="0" w:color="000000"/>
              <w:bottom w:val="single" w:sz="4" w:space="0" w:color="000000"/>
              <w:right w:val="single" w:sz="4" w:space="0" w:color="000000"/>
            </w:tcBorders>
            <w:vAlign w:val="center"/>
          </w:tcPr>
          <w:p w14:paraId="4A398448"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46121F18" w14:textId="77777777">
        <w:trPr>
          <w:trHeight w:hRule="exact" w:val="227"/>
          <w:jc w:val="center"/>
        </w:trPr>
        <w:tc>
          <w:tcPr>
            <w:tcW w:w="521" w:type="dxa"/>
            <w:vMerge w:val="restart"/>
            <w:tcBorders>
              <w:top w:val="single" w:sz="4" w:space="0" w:color="000000"/>
              <w:left w:val="single" w:sz="4" w:space="0" w:color="000000"/>
              <w:right w:val="single" w:sz="4" w:space="0" w:color="000000"/>
            </w:tcBorders>
            <w:vAlign w:val="center"/>
          </w:tcPr>
          <w:p w14:paraId="2D89AF77"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H</w:t>
            </w:r>
            <w:r>
              <w:rPr>
                <w:rFonts w:ascii="Times New Roman" w:eastAsia="Times New Roman" w:hAnsi="Times New Roman" w:cs="Times New Roman"/>
                <w:color w:val="auto"/>
                <w:spacing w:val="1"/>
                <w:sz w:val="18"/>
                <w:szCs w:val="18"/>
              </w:rPr>
              <w:t>1</w:t>
            </w:r>
            <w:r>
              <w:rPr>
                <w:rFonts w:ascii="Times New Roman" w:eastAsia="Times New Roman" w:hAnsi="Times New Roman" w:cs="Times New Roman"/>
                <w:color w:val="auto"/>
                <w:sz w:val="18"/>
                <w:szCs w:val="18"/>
              </w:rPr>
              <w:t>0</w:t>
            </w:r>
          </w:p>
        </w:tc>
        <w:tc>
          <w:tcPr>
            <w:tcW w:w="773" w:type="dxa"/>
            <w:tcBorders>
              <w:top w:val="single" w:sz="4" w:space="0" w:color="000000"/>
              <w:left w:val="single" w:sz="4" w:space="0" w:color="000000"/>
              <w:bottom w:val="single" w:sz="4" w:space="0" w:color="000000"/>
              <w:right w:val="single" w:sz="4" w:space="0" w:color="000000"/>
            </w:tcBorders>
            <w:vAlign w:val="center"/>
          </w:tcPr>
          <w:p w14:paraId="161D455F"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表</w:t>
            </w:r>
          </w:p>
        </w:tc>
        <w:tc>
          <w:tcPr>
            <w:tcW w:w="820" w:type="dxa"/>
            <w:tcBorders>
              <w:top w:val="single" w:sz="4" w:space="0" w:color="000000"/>
              <w:left w:val="single" w:sz="4" w:space="0" w:color="000000"/>
              <w:bottom w:val="single" w:sz="4" w:space="0" w:color="000000"/>
              <w:right w:val="single" w:sz="4" w:space="0" w:color="000000"/>
            </w:tcBorders>
            <w:vAlign w:val="center"/>
          </w:tcPr>
          <w:p w14:paraId="7BFAF88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61CEA3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E515EF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2B4618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D0D417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094730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A0CB6D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4D043D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4C70C6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333DD4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7BDC5E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65E6DE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6FAB5D8E"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1C310F98"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pacing w:val="-1"/>
                <w:sz w:val="18"/>
                <w:szCs w:val="18"/>
              </w:rPr>
              <w:t>一</w:t>
            </w:r>
            <w:r>
              <w:rPr>
                <w:rFonts w:ascii="宋体" w:eastAsia="宋体" w:hAnsi="宋体" w:cs="宋体"/>
                <w:color w:val="auto"/>
                <w:sz w:val="18"/>
                <w:szCs w:val="18"/>
              </w:rPr>
              <w:t>类</w:t>
            </w:r>
          </w:p>
        </w:tc>
        <w:tc>
          <w:tcPr>
            <w:tcW w:w="916" w:type="dxa"/>
            <w:tcBorders>
              <w:top w:val="single" w:sz="4" w:space="0" w:color="000000"/>
              <w:left w:val="single" w:sz="4" w:space="0" w:color="000000"/>
              <w:bottom w:val="single" w:sz="4" w:space="0" w:color="000000"/>
              <w:right w:val="single" w:sz="4" w:space="0" w:color="000000"/>
            </w:tcBorders>
            <w:vAlign w:val="center"/>
          </w:tcPr>
          <w:p w14:paraId="212FE933"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4D21EB7D" w14:textId="77777777">
        <w:trPr>
          <w:trHeight w:hRule="exact" w:val="227"/>
          <w:jc w:val="center"/>
        </w:trPr>
        <w:tc>
          <w:tcPr>
            <w:tcW w:w="521" w:type="dxa"/>
            <w:vMerge/>
            <w:tcBorders>
              <w:left w:val="single" w:sz="4" w:space="0" w:color="000000"/>
              <w:bottom w:val="single" w:sz="4" w:space="0" w:color="000000"/>
              <w:right w:val="single" w:sz="4" w:space="0" w:color="000000"/>
            </w:tcBorders>
            <w:vAlign w:val="center"/>
          </w:tcPr>
          <w:p w14:paraId="403FC631"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69A323E9"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底</w:t>
            </w:r>
          </w:p>
        </w:tc>
        <w:tc>
          <w:tcPr>
            <w:tcW w:w="820" w:type="dxa"/>
            <w:tcBorders>
              <w:top w:val="single" w:sz="4" w:space="0" w:color="000000"/>
              <w:left w:val="single" w:sz="4" w:space="0" w:color="000000"/>
              <w:bottom w:val="single" w:sz="4" w:space="0" w:color="000000"/>
              <w:right w:val="single" w:sz="4" w:space="0" w:color="000000"/>
            </w:tcBorders>
            <w:vAlign w:val="center"/>
          </w:tcPr>
          <w:p w14:paraId="32A580E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24E0C6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73ED55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08C13A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8D9958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E49281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792E27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907350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48AAED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762C27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2CAAD2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460FF1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3827EEDA"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6F02E993"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pacing w:val="-1"/>
                <w:sz w:val="18"/>
                <w:szCs w:val="18"/>
              </w:rPr>
              <w:t>一</w:t>
            </w:r>
            <w:r>
              <w:rPr>
                <w:rFonts w:ascii="宋体" w:eastAsia="宋体" w:hAnsi="宋体" w:cs="宋体"/>
                <w:color w:val="auto"/>
                <w:sz w:val="18"/>
                <w:szCs w:val="18"/>
              </w:rPr>
              <w:t>类</w:t>
            </w:r>
          </w:p>
        </w:tc>
        <w:tc>
          <w:tcPr>
            <w:tcW w:w="916" w:type="dxa"/>
            <w:tcBorders>
              <w:top w:val="single" w:sz="4" w:space="0" w:color="000000"/>
              <w:left w:val="single" w:sz="4" w:space="0" w:color="000000"/>
              <w:bottom w:val="single" w:sz="4" w:space="0" w:color="000000"/>
              <w:right w:val="single" w:sz="4" w:space="0" w:color="000000"/>
            </w:tcBorders>
            <w:vAlign w:val="center"/>
          </w:tcPr>
          <w:p w14:paraId="5DC79813"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0098B967" w14:textId="77777777">
        <w:trPr>
          <w:trHeight w:hRule="exact" w:val="227"/>
          <w:jc w:val="center"/>
        </w:trPr>
        <w:tc>
          <w:tcPr>
            <w:tcW w:w="521" w:type="dxa"/>
            <w:vMerge w:val="restart"/>
            <w:tcBorders>
              <w:top w:val="single" w:sz="4" w:space="0" w:color="000000"/>
              <w:left w:val="single" w:sz="4" w:space="0" w:color="000000"/>
              <w:right w:val="single" w:sz="4" w:space="0" w:color="000000"/>
            </w:tcBorders>
            <w:vAlign w:val="center"/>
          </w:tcPr>
          <w:p w14:paraId="29540B67"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H</w:t>
            </w:r>
            <w:r>
              <w:rPr>
                <w:rFonts w:ascii="Times New Roman" w:eastAsia="Times New Roman" w:hAnsi="Times New Roman" w:cs="Times New Roman"/>
                <w:color w:val="auto"/>
                <w:spacing w:val="-5"/>
                <w:sz w:val="18"/>
                <w:szCs w:val="18"/>
              </w:rPr>
              <w:t>1</w:t>
            </w:r>
            <w:r>
              <w:rPr>
                <w:rFonts w:ascii="Times New Roman" w:eastAsia="Times New Roman" w:hAnsi="Times New Roman" w:cs="Times New Roman"/>
                <w:color w:val="auto"/>
                <w:sz w:val="18"/>
                <w:szCs w:val="18"/>
              </w:rPr>
              <w:t>1</w:t>
            </w:r>
          </w:p>
        </w:tc>
        <w:tc>
          <w:tcPr>
            <w:tcW w:w="773" w:type="dxa"/>
            <w:tcBorders>
              <w:top w:val="single" w:sz="4" w:space="0" w:color="000000"/>
              <w:left w:val="single" w:sz="4" w:space="0" w:color="000000"/>
              <w:bottom w:val="single" w:sz="4" w:space="0" w:color="000000"/>
              <w:right w:val="single" w:sz="4" w:space="0" w:color="000000"/>
            </w:tcBorders>
            <w:vAlign w:val="center"/>
          </w:tcPr>
          <w:p w14:paraId="184644F7"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表</w:t>
            </w:r>
          </w:p>
        </w:tc>
        <w:tc>
          <w:tcPr>
            <w:tcW w:w="820" w:type="dxa"/>
            <w:tcBorders>
              <w:top w:val="single" w:sz="4" w:space="0" w:color="000000"/>
              <w:left w:val="single" w:sz="4" w:space="0" w:color="000000"/>
              <w:bottom w:val="single" w:sz="4" w:space="0" w:color="000000"/>
              <w:right w:val="single" w:sz="4" w:space="0" w:color="000000"/>
            </w:tcBorders>
            <w:vAlign w:val="center"/>
          </w:tcPr>
          <w:p w14:paraId="5AD0635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77FCF8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D486BF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E62D65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0C5D23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01EB00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4547FF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8BD3A9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E7E486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DABF65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91796B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8FED72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0390F52C"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6B1A5214"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pacing w:val="-1"/>
                <w:sz w:val="18"/>
                <w:szCs w:val="18"/>
              </w:rPr>
              <w:t>一</w:t>
            </w:r>
            <w:r>
              <w:rPr>
                <w:rFonts w:ascii="宋体" w:eastAsia="宋体" w:hAnsi="宋体" w:cs="宋体"/>
                <w:color w:val="auto"/>
                <w:sz w:val="18"/>
                <w:szCs w:val="18"/>
              </w:rPr>
              <w:t>类</w:t>
            </w:r>
          </w:p>
        </w:tc>
        <w:tc>
          <w:tcPr>
            <w:tcW w:w="916" w:type="dxa"/>
            <w:tcBorders>
              <w:top w:val="single" w:sz="4" w:space="0" w:color="000000"/>
              <w:left w:val="single" w:sz="4" w:space="0" w:color="000000"/>
              <w:bottom w:val="single" w:sz="4" w:space="0" w:color="000000"/>
              <w:right w:val="single" w:sz="4" w:space="0" w:color="000000"/>
            </w:tcBorders>
            <w:vAlign w:val="center"/>
          </w:tcPr>
          <w:p w14:paraId="6BCBB2D6"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20C8B525" w14:textId="77777777">
        <w:trPr>
          <w:trHeight w:hRule="exact" w:val="227"/>
          <w:jc w:val="center"/>
        </w:trPr>
        <w:tc>
          <w:tcPr>
            <w:tcW w:w="521" w:type="dxa"/>
            <w:vMerge/>
            <w:tcBorders>
              <w:left w:val="single" w:sz="4" w:space="0" w:color="000000"/>
              <w:right w:val="single" w:sz="4" w:space="0" w:color="000000"/>
            </w:tcBorders>
            <w:vAlign w:val="center"/>
          </w:tcPr>
          <w:p w14:paraId="7E0D490E"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5EB89778"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sz w:val="18"/>
                <w:szCs w:val="18"/>
              </w:rPr>
              <w:t>10</w:t>
            </w:r>
            <w:r>
              <w:rPr>
                <w:rFonts w:ascii="Times New Roman" w:eastAsia="Times New Roman" w:hAnsi="Times New Roman" w:cs="Times New Roman"/>
                <w:color w:val="auto"/>
                <w:sz w:val="18"/>
                <w:szCs w:val="18"/>
              </w:rPr>
              <w:t>m</w:t>
            </w:r>
          </w:p>
        </w:tc>
        <w:tc>
          <w:tcPr>
            <w:tcW w:w="820" w:type="dxa"/>
            <w:tcBorders>
              <w:top w:val="single" w:sz="4" w:space="0" w:color="000000"/>
              <w:left w:val="single" w:sz="4" w:space="0" w:color="000000"/>
              <w:bottom w:val="single" w:sz="4" w:space="0" w:color="000000"/>
              <w:right w:val="single" w:sz="4" w:space="0" w:color="000000"/>
            </w:tcBorders>
            <w:vAlign w:val="center"/>
          </w:tcPr>
          <w:p w14:paraId="6A97C5D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B8E7F0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4AB53C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BB8FFC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3389DD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E0C8F0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2D71F4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1D7179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3B0FC5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7CE1C9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92C2F5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F21E07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31AC5134"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3AB3FEEC"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pacing w:val="-1"/>
                <w:sz w:val="18"/>
                <w:szCs w:val="18"/>
              </w:rPr>
              <w:t>一</w:t>
            </w:r>
            <w:r>
              <w:rPr>
                <w:rFonts w:ascii="宋体" w:eastAsia="宋体" w:hAnsi="宋体" w:cs="宋体"/>
                <w:color w:val="auto"/>
                <w:sz w:val="18"/>
                <w:szCs w:val="18"/>
              </w:rPr>
              <w:t>类</w:t>
            </w:r>
          </w:p>
        </w:tc>
        <w:tc>
          <w:tcPr>
            <w:tcW w:w="916" w:type="dxa"/>
            <w:tcBorders>
              <w:top w:val="single" w:sz="4" w:space="0" w:color="000000"/>
              <w:left w:val="single" w:sz="4" w:space="0" w:color="000000"/>
              <w:bottom w:val="single" w:sz="4" w:space="0" w:color="000000"/>
              <w:right w:val="single" w:sz="4" w:space="0" w:color="000000"/>
            </w:tcBorders>
            <w:vAlign w:val="center"/>
          </w:tcPr>
          <w:p w14:paraId="26478511"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60A0C809" w14:textId="77777777">
        <w:trPr>
          <w:trHeight w:hRule="exact" w:val="227"/>
          <w:jc w:val="center"/>
        </w:trPr>
        <w:tc>
          <w:tcPr>
            <w:tcW w:w="521" w:type="dxa"/>
            <w:vMerge/>
            <w:tcBorders>
              <w:left w:val="single" w:sz="4" w:space="0" w:color="000000"/>
              <w:bottom w:val="single" w:sz="4" w:space="0" w:color="000000"/>
              <w:right w:val="single" w:sz="4" w:space="0" w:color="000000"/>
            </w:tcBorders>
            <w:vAlign w:val="center"/>
          </w:tcPr>
          <w:p w14:paraId="4EDA095C"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1DA5DBC0"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底</w:t>
            </w:r>
          </w:p>
        </w:tc>
        <w:tc>
          <w:tcPr>
            <w:tcW w:w="820" w:type="dxa"/>
            <w:tcBorders>
              <w:top w:val="single" w:sz="4" w:space="0" w:color="000000"/>
              <w:left w:val="single" w:sz="4" w:space="0" w:color="000000"/>
              <w:bottom w:val="single" w:sz="4" w:space="0" w:color="000000"/>
              <w:right w:val="single" w:sz="4" w:space="0" w:color="000000"/>
            </w:tcBorders>
            <w:vAlign w:val="center"/>
          </w:tcPr>
          <w:p w14:paraId="7EEC199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29F4CB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44FCB3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433238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8E65D9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8A12D2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A4D9C4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E709C8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132510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25BF6F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D1DADF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6A7562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0CA05728"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7E3C564B"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pacing w:val="-1"/>
                <w:sz w:val="18"/>
                <w:szCs w:val="18"/>
              </w:rPr>
              <w:t>一</w:t>
            </w:r>
            <w:r>
              <w:rPr>
                <w:rFonts w:ascii="宋体" w:eastAsia="宋体" w:hAnsi="宋体" w:cs="宋体"/>
                <w:color w:val="auto"/>
                <w:sz w:val="18"/>
                <w:szCs w:val="18"/>
              </w:rPr>
              <w:t>类</w:t>
            </w:r>
          </w:p>
        </w:tc>
        <w:tc>
          <w:tcPr>
            <w:tcW w:w="916" w:type="dxa"/>
            <w:tcBorders>
              <w:top w:val="single" w:sz="4" w:space="0" w:color="000000"/>
              <w:left w:val="single" w:sz="4" w:space="0" w:color="000000"/>
              <w:bottom w:val="single" w:sz="4" w:space="0" w:color="000000"/>
              <w:right w:val="single" w:sz="4" w:space="0" w:color="000000"/>
            </w:tcBorders>
            <w:vAlign w:val="center"/>
          </w:tcPr>
          <w:p w14:paraId="6BC7875C"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58870CD1" w14:textId="77777777">
        <w:trPr>
          <w:trHeight w:hRule="exact" w:val="205"/>
          <w:jc w:val="center"/>
        </w:trPr>
        <w:tc>
          <w:tcPr>
            <w:tcW w:w="521" w:type="dxa"/>
            <w:vMerge w:val="restart"/>
            <w:tcBorders>
              <w:top w:val="single" w:sz="4" w:space="0" w:color="000000"/>
              <w:left w:val="single" w:sz="4" w:space="0" w:color="000000"/>
              <w:right w:val="single" w:sz="4" w:space="0" w:color="000000"/>
            </w:tcBorders>
            <w:vAlign w:val="center"/>
          </w:tcPr>
          <w:p w14:paraId="1326E59A"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H</w:t>
            </w:r>
            <w:r>
              <w:rPr>
                <w:rFonts w:ascii="Times New Roman" w:eastAsia="Times New Roman" w:hAnsi="Times New Roman" w:cs="Times New Roman"/>
                <w:color w:val="auto"/>
                <w:spacing w:val="1"/>
                <w:sz w:val="18"/>
                <w:szCs w:val="18"/>
              </w:rPr>
              <w:t>1</w:t>
            </w:r>
            <w:r>
              <w:rPr>
                <w:rFonts w:ascii="Times New Roman" w:eastAsia="Times New Roman" w:hAnsi="Times New Roman" w:cs="Times New Roman"/>
                <w:color w:val="auto"/>
                <w:sz w:val="18"/>
                <w:szCs w:val="18"/>
              </w:rPr>
              <w:t>2</w:t>
            </w:r>
          </w:p>
        </w:tc>
        <w:tc>
          <w:tcPr>
            <w:tcW w:w="773" w:type="dxa"/>
            <w:tcBorders>
              <w:top w:val="single" w:sz="4" w:space="0" w:color="000000"/>
              <w:left w:val="single" w:sz="4" w:space="0" w:color="000000"/>
              <w:bottom w:val="single" w:sz="4" w:space="0" w:color="000000"/>
              <w:right w:val="single" w:sz="4" w:space="0" w:color="000000"/>
            </w:tcBorders>
            <w:vAlign w:val="center"/>
          </w:tcPr>
          <w:p w14:paraId="564300BD"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表</w:t>
            </w:r>
          </w:p>
        </w:tc>
        <w:tc>
          <w:tcPr>
            <w:tcW w:w="820" w:type="dxa"/>
            <w:tcBorders>
              <w:top w:val="single" w:sz="4" w:space="0" w:color="000000"/>
              <w:left w:val="single" w:sz="4" w:space="0" w:color="000000"/>
              <w:bottom w:val="single" w:sz="4" w:space="0" w:color="000000"/>
              <w:right w:val="single" w:sz="4" w:space="0" w:color="000000"/>
            </w:tcBorders>
            <w:vAlign w:val="center"/>
          </w:tcPr>
          <w:p w14:paraId="63802A8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6ED3F8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6AB3C3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231F4D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18A439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0505BF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5E3DCB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197C3E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643789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57531F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C0B6C2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D42268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4DCD1921"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5049EC24"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pacing w:val="-1"/>
                <w:sz w:val="18"/>
                <w:szCs w:val="18"/>
              </w:rPr>
              <w:t>一</w:t>
            </w:r>
            <w:r>
              <w:rPr>
                <w:rFonts w:ascii="宋体" w:eastAsia="宋体" w:hAnsi="宋体" w:cs="宋体"/>
                <w:color w:val="auto"/>
                <w:sz w:val="18"/>
                <w:szCs w:val="18"/>
              </w:rPr>
              <w:t>类</w:t>
            </w:r>
          </w:p>
        </w:tc>
        <w:tc>
          <w:tcPr>
            <w:tcW w:w="916" w:type="dxa"/>
            <w:tcBorders>
              <w:top w:val="single" w:sz="4" w:space="0" w:color="000000"/>
              <w:left w:val="single" w:sz="4" w:space="0" w:color="000000"/>
              <w:bottom w:val="single" w:sz="4" w:space="0" w:color="000000"/>
              <w:right w:val="single" w:sz="4" w:space="0" w:color="000000"/>
            </w:tcBorders>
            <w:vAlign w:val="center"/>
          </w:tcPr>
          <w:p w14:paraId="3EF50329"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b/>
                <w:bCs/>
                <w:color w:val="auto"/>
                <w:sz w:val="18"/>
                <w:szCs w:val="18"/>
              </w:rPr>
              <w:t>二类</w:t>
            </w:r>
          </w:p>
        </w:tc>
      </w:tr>
      <w:tr w:rsidR="0075791A" w14:paraId="6F50956B" w14:textId="77777777">
        <w:trPr>
          <w:trHeight w:hRule="exact" w:val="227"/>
          <w:jc w:val="center"/>
        </w:trPr>
        <w:tc>
          <w:tcPr>
            <w:tcW w:w="521" w:type="dxa"/>
            <w:vMerge/>
            <w:tcBorders>
              <w:left w:val="single" w:sz="4" w:space="0" w:color="000000"/>
              <w:right w:val="single" w:sz="4" w:space="0" w:color="000000"/>
            </w:tcBorders>
            <w:vAlign w:val="center"/>
          </w:tcPr>
          <w:p w14:paraId="50038E5C"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3379307F"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sz w:val="18"/>
                <w:szCs w:val="18"/>
              </w:rPr>
              <w:t>10</w:t>
            </w:r>
            <w:r>
              <w:rPr>
                <w:rFonts w:ascii="Times New Roman" w:eastAsia="Times New Roman" w:hAnsi="Times New Roman" w:cs="Times New Roman"/>
                <w:color w:val="auto"/>
                <w:sz w:val="18"/>
                <w:szCs w:val="18"/>
              </w:rPr>
              <w:t>m</w:t>
            </w:r>
          </w:p>
        </w:tc>
        <w:tc>
          <w:tcPr>
            <w:tcW w:w="820" w:type="dxa"/>
            <w:tcBorders>
              <w:top w:val="single" w:sz="4" w:space="0" w:color="000000"/>
              <w:left w:val="single" w:sz="4" w:space="0" w:color="000000"/>
              <w:bottom w:val="single" w:sz="4" w:space="0" w:color="000000"/>
              <w:right w:val="single" w:sz="4" w:space="0" w:color="000000"/>
            </w:tcBorders>
            <w:vAlign w:val="center"/>
          </w:tcPr>
          <w:p w14:paraId="4B46402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117944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0A00A2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6B3953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27097F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4833DC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9E664C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6B4B31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D47EEF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BA789F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564BBD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486412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5D7D60A9"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2DF20CEF"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pacing w:val="-1"/>
                <w:sz w:val="18"/>
                <w:szCs w:val="18"/>
              </w:rPr>
              <w:t>一</w:t>
            </w:r>
            <w:r>
              <w:rPr>
                <w:rFonts w:ascii="宋体" w:eastAsia="宋体" w:hAnsi="宋体" w:cs="宋体"/>
                <w:color w:val="auto"/>
                <w:sz w:val="18"/>
                <w:szCs w:val="18"/>
              </w:rPr>
              <w:t>类</w:t>
            </w:r>
          </w:p>
        </w:tc>
        <w:tc>
          <w:tcPr>
            <w:tcW w:w="916" w:type="dxa"/>
            <w:tcBorders>
              <w:top w:val="single" w:sz="4" w:space="0" w:color="000000"/>
              <w:left w:val="single" w:sz="4" w:space="0" w:color="000000"/>
              <w:bottom w:val="single" w:sz="4" w:space="0" w:color="000000"/>
              <w:right w:val="single" w:sz="4" w:space="0" w:color="000000"/>
            </w:tcBorders>
            <w:vAlign w:val="center"/>
          </w:tcPr>
          <w:p w14:paraId="39E708FD"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02F0B4CE" w14:textId="77777777">
        <w:trPr>
          <w:trHeight w:hRule="exact" w:val="227"/>
          <w:jc w:val="center"/>
        </w:trPr>
        <w:tc>
          <w:tcPr>
            <w:tcW w:w="521" w:type="dxa"/>
            <w:vMerge/>
            <w:tcBorders>
              <w:left w:val="single" w:sz="4" w:space="0" w:color="000000"/>
              <w:bottom w:val="single" w:sz="4" w:space="0" w:color="000000"/>
              <w:right w:val="single" w:sz="4" w:space="0" w:color="000000"/>
            </w:tcBorders>
            <w:vAlign w:val="center"/>
          </w:tcPr>
          <w:p w14:paraId="01811CF7"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5140E335"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底</w:t>
            </w:r>
          </w:p>
        </w:tc>
        <w:tc>
          <w:tcPr>
            <w:tcW w:w="820" w:type="dxa"/>
            <w:tcBorders>
              <w:top w:val="single" w:sz="4" w:space="0" w:color="000000"/>
              <w:left w:val="single" w:sz="4" w:space="0" w:color="000000"/>
              <w:bottom w:val="single" w:sz="4" w:space="0" w:color="000000"/>
              <w:right w:val="single" w:sz="4" w:space="0" w:color="000000"/>
            </w:tcBorders>
            <w:vAlign w:val="center"/>
          </w:tcPr>
          <w:p w14:paraId="415939E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7101DF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059DFD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2ED693C"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8EB281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06DFFF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701084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DA8A24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96666F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889F90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022C0A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045BB5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6E307E99"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5575A1CD"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pacing w:val="-1"/>
                <w:sz w:val="18"/>
                <w:szCs w:val="18"/>
              </w:rPr>
              <w:t>一</w:t>
            </w:r>
            <w:r>
              <w:rPr>
                <w:rFonts w:ascii="宋体" w:eastAsia="宋体" w:hAnsi="宋体" w:cs="宋体"/>
                <w:color w:val="auto"/>
                <w:sz w:val="18"/>
                <w:szCs w:val="18"/>
              </w:rPr>
              <w:t>类</w:t>
            </w:r>
          </w:p>
        </w:tc>
        <w:tc>
          <w:tcPr>
            <w:tcW w:w="916" w:type="dxa"/>
            <w:tcBorders>
              <w:top w:val="single" w:sz="4" w:space="0" w:color="000000"/>
              <w:left w:val="single" w:sz="4" w:space="0" w:color="000000"/>
              <w:bottom w:val="single" w:sz="4" w:space="0" w:color="000000"/>
              <w:right w:val="single" w:sz="4" w:space="0" w:color="000000"/>
            </w:tcBorders>
            <w:vAlign w:val="center"/>
          </w:tcPr>
          <w:p w14:paraId="1CCD16CF"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7FB26F47" w14:textId="77777777">
        <w:trPr>
          <w:trHeight w:hRule="exact" w:val="227"/>
          <w:jc w:val="center"/>
        </w:trPr>
        <w:tc>
          <w:tcPr>
            <w:tcW w:w="521" w:type="dxa"/>
            <w:vMerge w:val="restart"/>
            <w:tcBorders>
              <w:top w:val="single" w:sz="4" w:space="0" w:color="000000"/>
              <w:left w:val="single" w:sz="4" w:space="0" w:color="000000"/>
              <w:right w:val="single" w:sz="4" w:space="0" w:color="000000"/>
            </w:tcBorders>
            <w:vAlign w:val="center"/>
          </w:tcPr>
          <w:p w14:paraId="6754FFC0"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H</w:t>
            </w:r>
            <w:r>
              <w:rPr>
                <w:rFonts w:ascii="Times New Roman" w:eastAsia="Times New Roman" w:hAnsi="Times New Roman" w:cs="Times New Roman"/>
                <w:color w:val="auto"/>
                <w:spacing w:val="1"/>
                <w:sz w:val="18"/>
                <w:szCs w:val="18"/>
              </w:rPr>
              <w:t>1</w:t>
            </w:r>
            <w:r>
              <w:rPr>
                <w:rFonts w:ascii="Times New Roman" w:eastAsia="Times New Roman" w:hAnsi="Times New Roman" w:cs="Times New Roman"/>
                <w:color w:val="auto"/>
                <w:sz w:val="18"/>
                <w:szCs w:val="18"/>
              </w:rPr>
              <w:t>3</w:t>
            </w:r>
          </w:p>
        </w:tc>
        <w:tc>
          <w:tcPr>
            <w:tcW w:w="773" w:type="dxa"/>
            <w:tcBorders>
              <w:top w:val="single" w:sz="4" w:space="0" w:color="000000"/>
              <w:left w:val="single" w:sz="4" w:space="0" w:color="000000"/>
              <w:bottom w:val="single" w:sz="4" w:space="0" w:color="000000"/>
              <w:right w:val="single" w:sz="4" w:space="0" w:color="000000"/>
            </w:tcBorders>
            <w:vAlign w:val="center"/>
          </w:tcPr>
          <w:p w14:paraId="42E45C71"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表</w:t>
            </w:r>
          </w:p>
        </w:tc>
        <w:tc>
          <w:tcPr>
            <w:tcW w:w="820" w:type="dxa"/>
            <w:tcBorders>
              <w:top w:val="single" w:sz="4" w:space="0" w:color="000000"/>
              <w:left w:val="single" w:sz="4" w:space="0" w:color="000000"/>
              <w:bottom w:val="single" w:sz="4" w:space="0" w:color="000000"/>
              <w:right w:val="single" w:sz="4" w:space="0" w:color="000000"/>
            </w:tcBorders>
            <w:vAlign w:val="center"/>
          </w:tcPr>
          <w:p w14:paraId="4DBB36E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2367D0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F6692F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D1FD98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9E8EFC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8446A8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3B8B6A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0451D0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677A45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6E918D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76ACB8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70E77D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611975A9"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28C3B175" w14:textId="77777777" w:rsidR="0075791A" w:rsidRDefault="00FB2864">
            <w:pPr>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767B9FE8"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6FD963F8" w14:textId="77777777">
        <w:trPr>
          <w:trHeight w:hRule="exact" w:val="227"/>
          <w:jc w:val="center"/>
        </w:trPr>
        <w:tc>
          <w:tcPr>
            <w:tcW w:w="521" w:type="dxa"/>
            <w:vMerge/>
            <w:tcBorders>
              <w:left w:val="single" w:sz="4" w:space="0" w:color="000000"/>
              <w:right w:val="single" w:sz="4" w:space="0" w:color="000000"/>
            </w:tcBorders>
            <w:vAlign w:val="center"/>
          </w:tcPr>
          <w:p w14:paraId="7B63FB7D"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45B3DEA0"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pacing w:val="1"/>
                <w:sz w:val="18"/>
                <w:szCs w:val="18"/>
              </w:rPr>
              <w:t>10</w:t>
            </w:r>
            <w:r>
              <w:rPr>
                <w:rFonts w:ascii="Times New Roman" w:eastAsia="Times New Roman" w:hAnsi="Times New Roman" w:cs="Times New Roman"/>
                <w:color w:val="auto"/>
                <w:sz w:val="18"/>
                <w:szCs w:val="18"/>
              </w:rPr>
              <w:t>m</w:t>
            </w:r>
          </w:p>
        </w:tc>
        <w:tc>
          <w:tcPr>
            <w:tcW w:w="820" w:type="dxa"/>
            <w:tcBorders>
              <w:top w:val="single" w:sz="4" w:space="0" w:color="000000"/>
              <w:left w:val="single" w:sz="4" w:space="0" w:color="000000"/>
              <w:bottom w:val="single" w:sz="4" w:space="0" w:color="000000"/>
              <w:right w:val="single" w:sz="4" w:space="0" w:color="000000"/>
            </w:tcBorders>
            <w:vAlign w:val="center"/>
          </w:tcPr>
          <w:p w14:paraId="20706F7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4715C8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5BF6C21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481B90A"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FA47AB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403ABC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BE18BB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6BAD66F" w14:textId="77777777" w:rsidR="0075791A" w:rsidRDefault="0075791A">
            <w:pPr>
              <w:pStyle w:val="TableParagraph"/>
              <w:jc w:val="center"/>
              <w:rPr>
                <w:rFonts w:ascii="Times New Roman" w:eastAsia="宋体" w:hAnsi="Times New Roman" w:cs="Times New Roman"/>
                <w:color w:val="auto"/>
                <w:sz w:val="18"/>
                <w:szCs w:val="18"/>
                <w:lang w:eastAsia="zh-CN"/>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8C13512"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71DB7B9"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A1E194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FBCE0A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3C027BE5"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4657E053" w14:textId="77777777" w:rsidR="0075791A" w:rsidRDefault="00FB2864">
            <w:pPr>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3445ABB7"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b/>
                <w:bCs/>
                <w:color w:val="auto"/>
                <w:sz w:val="18"/>
                <w:szCs w:val="18"/>
              </w:rPr>
              <w:t>二类</w:t>
            </w:r>
          </w:p>
        </w:tc>
      </w:tr>
      <w:tr w:rsidR="0075791A" w14:paraId="59E2BB65" w14:textId="77777777">
        <w:trPr>
          <w:trHeight w:hRule="exact" w:val="227"/>
          <w:jc w:val="center"/>
        </w:trPr>
        <w:tc>
          <w:tcPr>
            <w:tcW w:w="521" w:type="dxa"/>
            <w:vMerge/>
            <w:tcBorders>
              <w:left w:val="single" w:sz="4" w:space="0" w:color="000000"/>
              <w:bottom w:val="single" w:sz="4" w:space="0" w:color="000000"/>
              <w:right w:val="single" w:sz="4" w:space="0" w:color="000000"/>
            </w:tcBorders>
            <w:vAlign w:val="center"/>
          </w:tcPr>
          <w:p w14:paraId="01DD0ECB" w14:textId="77777777" w:rsidR="0075791A" w:rsidRDefault="0075791A">
            <w:pPr>
              <w:jc w:val="center"/>
              <w:rPr>
                <w:color w:val="auto"/>
                <w:sz w:val="18"/>
                <w:szCs w:val="18"/>
              </w:rPr>
            </w:pPr>
          </w:p>
        </w:tc>
        <w:tc>
          <w:tcPr>
            <w:tcW w:w="773" w:type="dxa"/>
            <w:tcBorders>
              <w:top w:val="single" w:sz="4" w:space="0" w:color="000000"/>
              <w:left w:val="single" w:sz="4" w:space="0" w:color="000000"/>
              <w:bottom w:val="single" w:sz="4" w:space="0" w:color="000000"/>
              <w:right w:val="single" w:sz="4" w:space="0" w:color="000000"/>
            </w:tcBorders>
            <w:vAlign w:val="center"/>
          </w:tcPr>
          <w:p w14:paraId="188D323A"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底</w:t>
            </w:r>
          </w:p>
        </w:tc>
        <w:tc>
          <w:tcPr>
            <w:tcW w:w="820" w:type="dxa"/>
            <w:tcBorders>
              <w:top w:val="single" w:sz="4" w:space="0" w:color="000000"/>
              <w:left w:val="single" w:sz="4" w:space="0" w:color="000000"/>
              <w:bottom w:val="single" w:sz="4" w:space="0" w:color="000000"/>
              <w:right w:val="single" w:sz="4" w:space="0" w:color="000000"/>
            </w:tcBorders>
            <w:vAlign w:val="center"/>
          </w:tcPr>
          <w:p w14:paraId="7BCCA28D"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484F700"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C04BDE7"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CF606F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576B0A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56334C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49EDA9A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D91B42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9B8D8C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361A60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42C5DC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51643F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623ABFDC"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02DF464C" w14:textId="77777777" w:rsidR="0075791A" w:rsidRDefault="00FB2864">
            <w:pPr>
              <w:jc w:val="center"/>
              <w:rPr>
                <w:rFonts w:ascii="宋体" w:eastAsia="宋体" w:hAnsi="宋体" w:cs="宋体"/>
                <w:color w:val="auto"/>
                <w:sz w:val="18"/>
                <w:szCs w:val="18"/>
              </w:rPr>
            </w:pPr>
            <w:r>
              <w:rPr>
                <w:rFonts w:ascii="宋体" w:eastAsia="宋体" w:hAnsi="宋体" w:cs="宋体"/>
                <w:color w:val="auto"/>
                <w:sz w:val="18"/>
                <w:szCs w:val="18"/>
              </w:rPr>
              <w:t>一类</w:t>
            </w:r>
          </w:p>
        </w:tc>
        <w:tc>
          <w:tcPr>
            <w:tcW w:w="916" w:type="dxa"/>
            <w:tcBorders>
              <w:top w:val="single" w:sz="4" w:space="0" w:color="000000"/>
              <w:left w:val="single" w:sz="4" w:space="0" w:color="000000"/>
              <w:bottom w:val="single" w:sz="4" w:space="0" w:color="000000"/>
              <w:right w:val="single" w:sz="4" w:space="0" w:color="000000"/>
            </w:tcBorders>
            <w:vAlign w:val="center"/>
          </w:tcPr>
          <w:p w14:paraId="4A989040" w14:textId="77777777" w:rsidR="0075791A" w:rsidRDefault="00FB2864">
            <w:pPr>
              <w:pStyle w:val="TableParagraph"/>
              <w:jc w:val="center"/>
              <w:rPr>
                <w:rFonts w:ascii="宋体" w:eastAsia="宋体" w:hAnsi="宋体" w:cs="宋体"/>
                <w:color w:val="auto"/>
                <w:sz w:val="18"/>
                <w:szCs w:val="18"/>
              </w:rPr>
            </w:pPr>
            <w:r>
              <w:rPr>
                <w:rFonts w:ascii="宋体" w:eastAsia="宋体" w:hAnsi="宋体" w:cs="宋体"/>
                <w:color w:val="auto"/>
                <w:sz w:val="18"/>
                <w:szCs w:val="18"/>
              </w:rPr>
              <w:t>一类</w:t>
            </w:r>
          </w:p>
        </w:tc>
      </w:tr>
      <w:tr w:rsidR="0075791A" w14:paraId="278EF99E" w14:textId="77777777">
        <w:trPr>
          <w:trHeight w:hRule="exact" w:val="227"/>
          <w:jc w:val="center"/>
        </w:trPr>
        <w:tc>
          <w:tcPr>
            <w:tcW w:w="1295" w:type="dxa"/>
            <w:gridSpan w:val="2"/>
            <w:tcBorders>
              <w:top w:val="single" w:sz="4" w:space="0" w:color="000000"/>
              <w:left w:val="single" w:sz="4" w:space="0" w:color="000000"/>
              <w:bottom w:val="single" w:sz="4" w:space="0" w:color="000000"/>
              <w:right w:val="single" w:sz="4" w:space="0" w:color="000000"/>
            </w:tcBorders>
            <w:vAlign w:val="center"/>
          </w:tcPr>
          <w:p w14:paraId="6A3C01DB" w14:textId="77777777" w:rsidR="0075791A" w:rsidRDefault="00FB2864">
            <w:pPr>
              <w:pStyle w:val="TableParagraph"/>
              <w:jc w:val="center"/>
              <w:rPr>
                <w:rFonts w:ascii="Times New Roman" w:eastAsia="Times New Roman" w:hAnsi="Times New Roman" w:cs="Times New Roman"/>
                <w:color w:val="auto"/>
                <w:sz w:val="18"/>
                <w:szCs w:val="18"/>
              </w:rPr>
            </w:pPr>
            <w:r>
              <w:rPr>
                <w:rFonts w:ascii="宋体" w:eastAsia="宋体" w:hAnsi="宋体" w:cs="宋体"/>
                <w:color w:val="auto"/>
                <w:spacing w:val="-1"/>
                <w:sz w:val="18"/>
                <w:szCs w:val="18"/>
              </w:rPr>
              <w:t>超</w:t>
            </w:r>
            <w:r>
              <w:rPr>
                <w:rFonts w:ascii="宋体" w:eastAsia="宋体" w:hAnsi="宋体" w:cs="宋体"/>
                <w:color w:val="auto"/>
                <w:spacing w:val="2"/>
                <w:sz w:val="18"/>
                <w:szCs w:val="18"/>
              </w:rPr>
              <w:t>标</w:t>
            </w:r>
            <w:r>
              <w:rPr>
                <w:rFonts w:ascii="宋体" w:eastAsia="宋体" w:hAnsi="宋体" w:cs="宋体"/>
                <w:color w:val="auto"/>
                <w:spacing w:val="-1"/>
                <w:sz w:val="18"/>
                <w:szCs w:val="18"/>
              </w:rPr>
              <w:t>率</w:t>
            </w:r>
            <w:r>
              <w:rPr>
                <w:rFonts w:ascii="Times New Roman" w:eastAsia="Times New Roman" w:hAnsi="Times New Roman" w:cs="Times New Roman"/>
                <w:color w:val="auto"/>
                <w:sz w:val="18"/>
                <w:szCs w:val="18"/>
              </w:rPr>
              <w:t>%</w:t>
            </w:r>
          </w:p>
        </w:tc>
        <w:tc>
          <w:tcPr>
            <w:tcW w:w="819" w:type="dxa"/>
            <w:tcBorders>
              <w:top w:val="single" w:sz="4" w:space="0" w:color="000000"/>
              <w:left w:val="single" w:sz="4" w:space="0" w:color="000000"/>
              <w:bottom w:val="single" w:sz="4" w:space="0" w:color="000000"/>
              <w:right w:val="single" w:sz="4" w:space="0" w:color="000000"/>
            </w:tcBorders>
            <w:vAlign w:val="center"/>
          </w:tcPr>
          <w:p w14:paraId="1B202B8B"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C33261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14871AF"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233E04B1"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1D46C408"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3EDB368E"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7AC8C2A5"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2E024B6" w14:textId="77777777" w:rsidR="0075791A" w:rsidRDefault="0075791A">
            <w:pPr>
              <w:pStyle w:val="TableParagraph"/>
              <w:jc w:val="center"/>
              <w:rPr>
                <w:rFonts w:ascii="Times New Roman" w:eastAsia="宋体" w:hAnsi="Times New Roman" w:cs="Times New Roman"/>
                <w:color w:val="auto"/>
                <w:sz w:val="18"/>
                <w:szCs w:val="18"/>
                <w:lang w:eastAsia="zh-CN"/>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BED1BD4"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251795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0AA81F86"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0" w:type="dxa"/>
            <w:tcBorders>
              <w:top w:val="single" w:sz="4" w:space="0" w:color="000000"/>
              <w:left w:val="single" w:sz="4" w:space="0" w:color="000000"/>
              <w:bottom w:val="single" w:sz="4" w:space="0" w:color="000000"/>
              <w:right w:val="single" w:sz="4" w:space="0" w:color="000000"/>
            </w:tcBorders>
            <w:vAlign w:val="center"/>
          </w:tcPr>
          <w:p w14:paraId="6ECE1E43" w14:textId="77777777" w:rsidR="0075791A" w:rsidRDefault="0075791A">
            <w:pPr>
              <w:pStyle w:val="TableParagraph"/>
              <w:jc w:val="center"/>
              <w:rPr>
                <w:rFonts w:ascii="Times New Roman" w:eastAsia="Times New Roman" w:hAnsi="Times New Roman" w:cs="Times New Roman"/>
                <w:color w:val="auto"/>
                <w:sz w:val="18"/>
                <w:szCs w:val="18"/>
              </w:rPr>
            </w:pPr>
          </w:p>
        </w:tc>
        <w:tc>
          <w:tcPr>
            <w:tcW w:w="824" w:type="dxa"/>
            <w:tcBorders>
              <w:top w:val="single" w:sz="4" w:space="0" w:color="000000"/>
              <w:left w:val="single" w:sz="4" w:space="0" w:color="000000"/>
              <w:bottom w:val="single" w:sz="4" w:space="0" w:color="000000"/>
              <w:right w:val="single" w:sz="4" w:space="0" w:color="000000"/>
            </w:tcBorders>
            <w:vAlign w:val="center"/>
          </w:tcPr>
          <w:p w14:paraId="746BE537" w14:textId="77777777" w:rsidR="0075791A" w:rsidRDefault="0075791A">
            <w:pPr>
              <w:pStyle w:val="TableParagraph"/>
              <w:jc w:val="center"/>
              <w:rPr>
                <w:rFonts w:ascii="Times New Roman" w:eastAsia="Times New Roman" w:hAnsi="Times New Roman" w:cs="Times New Roman"/>
                <w:color w:val="auto"/>
                <w:sz w:val="18"/>
                <w:szCs w:val="18"/>
              </w:rPr>
            </w:pPr>
          </w:p>
        </w:tc>
        <w:tc>
          <w:tcPr>
            <w:tcW w:w="948" w:type="dxa"/>
            <w:tcBorders>
              <w:top w:val="single" w:sz="4" w:space="0" w:color="000000"/>
              <w:left w:val="single" w:sz="4" w:space="0" w:color="000000"/>
              <w:bottom w:val="single" w:sz="4" w:space="0" w:color="000000"/>
              <w:right w:val="single" w:sz="4" w:space="0" w:color="000000"/>
            </w:tcBorders>
            <w:vAlign w:val="center"/>
          </w:tcPr>
          <w:p w14:paraId="6A456DD5"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w:t>
            </w:r>
          </w:p>
        </w:tc>
        <w:tc>
          <w:tcPr>
            <w:tcW w:w="916" w:type="dxa"/>
            <w:tcBorders>
              <w:top w:val="single" w:sz="4" w:space="0" w:color="000000"/>
              <w:left w:val="single" w:sz="4" w:space="0" w:color="000000"/>
              <w:bottom w:val="single" w:sz="4" w:space="0" w:color="000000"/>
              <w:right w:val="single" w:sz="4" w:space="0" w:color="000000"/>
            </w:tcBorders>
            <w:vAlign w:val="center"/>
          </w:tcPr>
          <w:p w14:paraId="04937227" w14:textId="77777777" w:rsidR="0075791A" w:rsidRDefault="00FB2864">
            <w:pPr>
              <w:pStyle w:val="TableParagraph"/>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w:t>
            </w:r>
          </w:p>
        </w:tc>
      </w:tr>
    </w:tbl>
    <w:p w14:paraId="330AE5C3" w14:textId="77777777" w:rsidR="0075791A" w:rsidRDefault="0075791A">
      <w:pPr>
        <w:jc w:val="both"/>
        <w:rPr>
          <w:rFonts w:ascii="Times New Roman" w:eastAsia="宋体" w:hAnsi="Times New Roman"/>
          <w:color w:val="auto"/>
          <w:sz w:val="24"/>
          <w:szCs w:val="24"/>
          <w:lang w:eastAsia="zh-CN"/>
        </w:rPr>
        <w:sectPr w:rsidR="0075791A">
          <w:pgSz w:w="16839" w:h="11906" w:orient="landscape"/>
          <w:pgMar w:top="1417" w:right="1018" w:bottom="1354" w:left="1134" w:header="746" w:footer="972" w:gutter="0"/>
          <w:cols w:space="720"/>
        </w:sectPr>
      </w:pPr>
    </w:p>
    <w:p w14:paraId="441D28A1" w14:textId="77777777" w:rsidR="0075791A" w:rsidRDefault="00FB2864">
      <w:pPr>
        <w:spacing w:before="34" w:line="360" w:lineRule="auto"/>
        <w:ind w:left="5"/>
        <w:outlineLvl w:val="3"/>
        <w:rPr>
          <w:rFonts w:ascii="Times New Roman" w:eastAsia="宋体" w:hAnsi="Times New Roman"/>
          <w:b/>
          <w:color w:val="auto"/>
          <w:sz w:val="24"/>
          <w:szCs w:val="24"/>
        </w:rPr>
      </w:pPr>
      <w:r>
        <w:rPr>
          <w:rFonts w:ascii="Times New Roman" w:eastAsia="宋体" w:hAnsi="Times New Roman" w:hint="eastAsia"/>
          <w:b/>
          <w:color w:val="auto"/>
          <w:sz w:val="24"/>
          <w:szCs w:val="24"/>
          <w:lang w:eastAsia="zh-CN"/>
        </w:rPr>
        <w:lastRenderedPageBreak/>
        <w:t>3.2.5.2</w:t>
      </w:r>
      <w:r>
        <w:rPr>
          <w:rFonts w:ascii="Times New Roman" w:eastAsia="宋体" w:hAnsi="Times New Roman"/>
          <w:b/>
          <w:color w:val="auto"/>
          <w:sz w:val="24"/>
          <w:szCs w:val="24"/>
        </w:rPr>
        <w:t>沉积物</w:t>
      </w:r>
      <w:r>
        <w:rPr>
          <w:rFonts w:ascii="Times New Roman" w:eastAsia="宋体" w:hAnsi="Times New Roman" w:hint="eastAsia"/>
          <w:b/>
          <w:color w:val="auto"/>
          <w:sz w:val="24"/>
          <w:szCs w:val="24"/>
          <w:lang w:eastAsia="zh-CN"/>
        </w:rPr>
        <w:t>调查（夏季）</w:t>
      </w:r>
    </w:p>
    <w:p w14:paraId="2DAC8A92" w14:textId="77777777" w:rsidR="0075791A" w:rsidRDefault="00FB2864">
      <w:pPr>
        <w:widowControl w:val="0"/>
        <w:kinsoku/>
        <w:adjustRightInd/>
        <w:snapToGrid/>
        <w:spacing w:line="360" w:lineRule="auto"/>
        <w:ind w:firstLineChars="200" w:firstLine="482"/>
        <w:jc w:val="both"/>
        <w:textAlignment w:val="auto"/>
        <w:rPr>
          <w:rFonts w:ascii="Times New Roman" w:eastAsia="Times New Roman" w:hAnsi="Times New Roman" w:cs="Times New Roman"/>
          <w:b/>
          <w:bCs/>
          <w:snapToGrid/>
          <w:color w:val="auto"/>
          <w:kern w:val="2"/>
          <w:sz w:val="24"/>
          <w:szCs w:val="24"/>
          <w:lang w:eastAsia="zh-CN"/>
        </w:rPr>
      </w:pPr>
      <w:r>
        <w:rPr>
          <w:rFonts w:ascii="Times New Roman" w:eastAsia="Times New Roman" w:hAnsi="Times New Roman" w:cs="Times New Roman" w:hint="eastAsia"/>
          <w:b/>
          <w:bCs/>
          <w:snapToGrid/>
          <w:color w:val="auto"/>
          <w:kern w:val="2"/>
          <w:sz w:val="24"/>
          <w:szCs w:val="24"/>
          <w:lang w:eastAsia="zh-CN"/>
        </w:rPr>
        <w:t>1、调查站位</w:t>
      </w:r>
    </w:p>
    <w:p w14:paraId="4F4CD3F6"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spacing w:val="-6"/>
          <w:kern w:val="2"/>
          <w:sz w:val="24"/>
          <w:szCs w:val="24"/>
          <w:lang w:eastAsia="zh-CN"/>
        </w:rPr>
      </w:pPr>
      <w:r>
        <w:rPr>
          <w:rFonts w:ascii="Times New Roman" w:eastAsia="宋体" w:hAnsi="Times New Roman" w:cs="Times New Roman" w:hint="eastAsia"/>
          <w:snapToGrid/>
          <w:color w:val="auto"/>
          <w:kern w:val="2"/>
          <w:sz w:val="24"/>
          <w:szCs w:val="24"/>
          <w:lang w:eastAsia="zh-CN"/>
        </w:rPr>
        <w:t>项目附近海域海洋沉积物资料采用</w:t>
      </w:r>
      <w:r>
        <w:rPr>
          <w:rFonts w:ascii="宋体" w:eastAsia="宋体" w:hAnsi="宋体" w:cs="宋体"/>
          <w:color w:val="auto"/>
          <w:sz w:val="24"/>
          <w:szCs w:val="24"/>
          <w:lang w:eastAsia="zh-CN"/>
        </w:rPr>
        <w:t>中国林业科学研究院热带林业研究所</w:t>
      </w:r>
      <w:r>
        <w:rPr>
          <w:rFonts w:ascii="宋体" w:eastAsia="宋体" w:hAnsi="宋体" w:cs="宋体" w:hint="eastAsia"/>
          <w:color w:val="auto"/>
          <w:sz w:val="24"/>
          <w:szCs w:val="24"/>
          <w:lang w:eastAsia="zh-CN"/>
        </w:rPr>
        <w:t>2024</w:t>
      </w:r>
      <w:r>
        <w:rPr>
          <w:rFonts w:ascii="宋体" w:eastAsia="宋体" w:hAnsi="宋体" w:cs="宋体" w:hint="eastAsia"/>
          <w:color w:val="auto"/>
          <w:sz w:val="24"/>
          <w:szCs w:val="24"/>
          <w:lang w:eastAsia="zh-CN"/>
        </w:rPr>
        <w:t>年</w:t>
      </w:r>
      <w:r>
        <w:rPr>
          <w:rFonts w:ascii="宋体" w:eastAsia="宋体" w:hAnsi="宋体" w:cs="宋体" w:hint="eastAsia"/>
          <w:color w:val="auto"/>
          <w:sz w:val="24"/>
          <w:szCs w:val="24"/>
          <w:lang w:eastAsia="zh-CN"/>
        </w:rPr>
        <w:t>6</w:t>
      </w:r>
      <w:r>
        <w:rPr>
          <w:rFonts w:ascii="宋体" w:eastAsia="宋体" w:hAnsi="宋体" w:cs="宋体" w:hint="eastAsia"/>
          <w:color w:val="auto"/>
          <w:sz w:val="24"/>
          <w:szCs w:val="24"/>
          <w:lang w:eastAsia="zh-CN"/>
        </w:rPr>
        <w:t>月在铁炉港海域开展沉积物现状调查，布设</w:t>
      </w:r>
      <w:r>
        <w:rPr>
          <w:rFonts w:ascii="宋体" w:eastAsia="宋体" w:hAnsi="宋体" w:cs="宋体" w:hint="eastAsia"/>
          <w:color w:val="auto"/>
          <w:sz w:val="24"/>
          <w:szCs w:val="24"/>
          <w:lang w:eastAsia="zh-CN"/>
        </w:rPr>
        <w:t>21</w:t>
      </w:r>
      <w:r>
        <w:rPr>
          <w:rFonts w:ascii="宋体" w:eastAsia="宋体" w:hAnsi="宋体" w:cs="宋体" w:hint="eastAsia"/>
          <w:color w:val="auto"/>
          <w:sz w:val="24"/>
          <w:szCs w:val="24"/>
          <w:lang w:eastAsia="zh-CN"/>
        </w:rPr>
        <w:t>个站；</w:t>
      </w:r>
      <w:r>
        <w:rPr>
          <w:rFonts w:ascii="Times New Roman" w:eastAsia="宋体" w:hAnsi="Times New Roman" w:cs="Times New Roman"/>
          <w:snapToGrid/>
          <w:color w:val="auto"/>
          <w:kern w:val="2"/>
          <w:sz w:val="24"/>
          <w:szCs w:val="24"/>
          <w:lang w:eastAsia="zh-CN"/>
        </w:rPr>
        <w:t>海南正永生态工程技术有限公司</w:t>
      </w:r>
      <w:r>
        <w:rPr>
          <w:rFonts w:ascii="Times New Roman" w:eastAsia="宋体" w:hAnsi="Times New Roman" w:cs="Times New Roman"/>
          <w:snapToGrid/>
          <w:color w:val="auto"/>
          <w:kern w:val="2"/>
          <w:sz w:val="24"/>
          <w:szCs w:val="24"/>
          <w:lang w:eastAsia="zh-CN"/>
        </w:rPr>
        <w:t>2023</w:t>
      </w:r>
      <w:r>
        <w:rPr>
          <w:rFonts w:ascii="Times New Roman" w:eastAsia="宋体" w:hAnsi="Times New Roman" w:cs="Times New Roman"/>
          <w:snapToGrid/>
          <w:color w:val="auto"/>
          <w:kern w:val="2"/>
          <w:sz w:val="24"/>
          <w:szCs w:val="24"/>
          <w:lang w:eastAsia="zh-CN"/>
        </w:rPr>
        <w:t>年</w:t>
      </w:r>
      <w:r>
        <w:rPr>
          <w:rFonts w:ascii="Times New Roman" w:eastAsia="宋体" w:hAnsi="Times New Roman" w:cs="Times New Roman"/>
          <w:snapToGrid/>
          <w:color w:val="auto"/>
          <w:kern w:val="2"/>
          <w:sz w:val="24"/>
          <w:szCs w:val="24"/>
          <w:lang w:eastAsia="zh-CN"/>
        </w:rPr>
        <w:t>6</w:t>
      </w:r>
      <w:r>
        <w:rPr>
          <w:rFonts w:ascii="Times New Roman" w:eastAsia="宋体" w:hAnsi="Times New Roman" w:cs="Times New Roman"/>
          <w:snapToGrid/>
          <w:color w:val="auto"/>
          <w:kern w:val="2"/>
          <w:sz w:val="24"/>
          <w:szCs w:val="24"/>
          <w:lang w:eastAsia="zh-CN"/>
        </w:rPr>
        <w:t>月在后海湾附近海域开展</w:t>
      </w:r>
      <w:r>
        <w:rPr>
          <w:rFonts w:ascii="Times New Roman" w:eastAsia="宋体" w:hAnsi="Times New Roman" w:cs="Times New Roman" w:hint="eastAsia"/>
          <w:snapToGrid/>
          <w:color w:val="auto"/>
          <w:kern w:val="2"/>
          <w:sz w:val="24"/>
          <w:szCs w:val="24"/>
          <w:lang w:eastAsia="zh-CN"/>
        </w:rPr>
        <w:t>沉积物现状</w:t>
      </w:r>
      <w:r>
        <w:rPr>
          <w:rFonts w:ascii="Times New Roman" w:eastAsia="宋体" w:hAnsi="Times New Roman" w:cs="Times New Roman"/>
          <w:snapToGrid/>
          <w:color w:val="auto"/>
          <w:kern w:val="2"/>
          <w:sz w:val="24"/>
          <w:szCs w:val="24"/>
          <w:lang w:eastAsia="zh-CN"/>
        </w:rPr>
        <w:t>调查，</w:t>
      </w:r>
      <w:r>
        <w:rPr>
          <w:rFonts w:ascii="Times New Roman" w:eastAsia="宋体" w:hAnsi="Times New Roman" w:cs="Times New Roman" w:hint="eastAsia"/>
          <w:snapToGrid/>
          <w:color w:val="auto"/>
          <w:kern w:val="2"/>
          <w:sz w:val="24"/>
          <w:szCs w:val="24"/>
          <w:lang w:eastAsia="zh-CN"/>
        </w:rPr>
        <w:t>布设</w:t>
      </w:r>
      <w:r>
        <w:rPr>
          <w:rFonts w:ascii="Times New Roman" w:eastAsia="宋体" w:hAnsi="Times New Roman" w:cs="Times New Roman"/>
          <w:snapToGrid/>
          <w:color w:val="auto"/>
          <w:kern w:val="2"/>
          <w:sz w:val="24"/>
          <w:szCs w:val="24"/>
          <w:lang w:eastAsia="zh-CN"/>
        </w:rPr>
        <w:t>沉积物调查站位</w:t>
      </w:r>
      <w:r>
        <w:rPr>
          <w:rFonts w:ascii="Times New Roman" w:eastAsia="宋体" w:hAnsi="Times New Roman" w:cs="Times New Roman"/>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snapToGrid/>
          <w:color w:val="auto"/>
          <w:kern w:val="2"/>
          <w:sz w:val="24"/>
          <w:szCs w:val="24"/>
          <w:lang w:eastAsia="zh-CN"/>
        </w:rPr>
        <w:t>个，</w:t>
      </w:r>
      <w:r>
        <w:rPr>
          <w:rFonts w:ascii="Times New Roman" w:eastAsia="宋体" w:hAnsi="Times New Roman" w:cs="Times New Roman" w:hint="eastAsia"/>
          <w:snapToGrid/>
          <w:color w:val="auto"/>
          <w:kern w:val="2"/>
          <w:sz w:val="24"/>
          <w:szCs w:val="24"/>
          <w:lang w:eastAsia="zh-CN"/>
        </w:rPr>
        <w:t>因此夏季沉积物站位</w:t>
      </w:r>
      <w:r>
        <w:rPr>
          <w:rFonts w:ascii="Times New Roman" w:eastAsia="宋体" w:hAnsi="Times New Roman" w:cs="Times New Roman" w:hint="eastAsia"/>
          <w:snapToGrid/>
          <w:color w:val="auto"/>
          <w:kern w:val="2"/>
          <w:sz w:val="24"/>
          <w:szCs w:val="24"/>
          <w:lang w:eastAsia="zh-CN"/>
        </w:rPr>
        <w:t>32</w:t>
      </w:r>
      <w:r>
        <w:rPr>
          <w:rFonts w:ascii="Times New Roman" w:eastAsia="宋体" w:hAnsi="Times New Roman" w:cs="Times New Roman" w:hint="eastAsia"/>
          <w:snapToGrid/>
          <w:color w:val="auto"/>
          <w:kern w:val="2"/>
          <w:sz w:val="24"/>
          <w:szCs w:val="24"/>
          <w:lang w:eastAsia="zh-CN"/>
        </w:rPr>
        <w:t>个，见图</w:t>
      </w:r>
      <w:r>
        <w:rPr>
          <w:rFonts w:ascii="Times New Roman" w:eastAsia="宋体" w:hAnsi="Times New Roman" w:cs="Times New Roman" w:hint="eastAsia"/>
          <w:snapToGrid/>
          <w:color w:val="auto"/>
          <w:kern w:val="2"/>
          <w:sz w:val="24"/>
          <w:szCs w:val="24"/>
          <w:lang w:eastAsia="zh-CN"/>
        </w:rPr>
        <w:t>3.2.5-3</w:t>
      </w:r>
      <w:r>
        <w:rPr>
          <w:rFonts w:ascii="Times New Roman" w:eastAsia="宋体" w:hAnsi="Times New Roman" w:cs="Times New Roman" w:hint="eastAsia"/>
          <w:snapToGrid/>
          <w:color w:val="auto"/>
          <w:spacing w:val="-6"/>
          <w:kern w:val="2"/>
          <w:sz w:val="24"/>
          <w:szCs w:val="24"/>
          <w:lang w:eastAsia="zh-CN"/>
        </w:rPr>
        <w:t>。</w:t>
      </w:r>
    </w:p>
    <w:p w14:paraId="516C64CD" w14:textId="77777777" w:rsidR="0075791A" w:rsidRDefault="00FB2864">
      <w:pPr>
        <w:widowControl w:val="0"/>
        <w:kinsoku/>
        <w:adjustRightInd/>
        <w:snapToGrid/>
        <w:ind w:firstLineChars="200" w:firstLine="480"/>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3.2.5-6</w:t>
      </w:r>
      <w:r>
        <w:rPr>
          <w:rFonts w:ascii="Times New Roman" w:eastAsia="宋体" w:hAnsi="Times New Roman" w:cs="Times New Roman" w:hint="eastAsia"/>
          <w:snapToGrid/>
          <w:color w:val="auto"/>
          <w:kern w:val="2"/>
          <w:sz w:val="24"/>
          <w:szCs w:val="24"/>
          <w:lang w:eastAsia="zh-CN"/>
        </w:rPr>
        <w:t>夏季海洋沉积物</w:t>
      </w:r>
      <w:r>
        <w:rPr>
          <w:rFonts w:ascii="Times New Roman" w:eastAsia="宋体" w:hAnsi="Times New Roman" w:cs="Times New Roman"/>
          <w:snapToGrid/>
          <w:color w:val="auto"/>
          <w:kern w:val="2"/>
          <w:sz w:val="24"/>
          <w:szCs w:val="24"/>
          <w:lang w:eastAsia="zh-CN"/>
        </w:rPr>
        <w:t>调查站位表</w:t>
      </w:r>
    </w:p>
    <w:tbl>
      <w:tblPr>
        <w:tblStyle w:val="TableNormal"/>
        <w:tblW w:w="767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
        <w:gridCol w:w="844"/>
        <w:gridCol w:w="1692"/>
        <w:gridCol w:w="1498"/>
        <w:gridCol w:w="3230"/>
      </w:tblGrid>
      <w:tr w:rsidR="0075791A" w14:paraId="340B263A" w14:textId="77777777">
        <w:trPr>
          <w:trHeight w:val="281"/>
          <w:jc w:val="center"/>
        </w:trPr>
        <w:tc>
          <w:tcPr>
            <w:tcW w:w="414" w:type="dxa"/>
            <w:vMerge w:val="restart"/>
            <w:textDirection w:val="tbRlV"/>
            <w:vAlign w:val="center"/>
          </w:tcPr>
          <w:p w14:paraId="4663DD8C" w14:textId="77777777" w:rsidR="0075791A" w:rsidRDefault="00FB2864">
            <w:pPr>
              <w:widowControl w:val="0"/>
              <w:kinsoku/>
              <w:adjustRightInd/>
              <w:snapToGrid/>
              <w:jc w:val="center"/>
              <w:textAlignment w:val="auto"/>
              <w:rPr>
                <w:rFonts w:ascii="Times New Roman" w:eastAsia="宋体" w:hAnsi="Times New Roman" w:cs="宋体"/>
                <w:color w:val="auto"/>
                <w:kern w:val="2"/>
              </w:rPr>
            </w:pPr>
            <w:r>
              <w:rPr>
                <w:rFonts w:ascii="Times New Roman" w:eastAsia="宋体" w:hAnsi="Times New Roman" w:cs="宋体"/>
                <w:b/>
                <w:bCs/>
                <w:color w:val="auto"/>
                <w:spacing w:val="28"/>
                <w:kern w:val="2"/>
              </w:rPr>
              <w:t>序号</w:t>
            </w:r>
          </w:p>
        </w:tc>
        <w:tc>
          <w:tcPr>
            <w:tcW w:w="844" w:type="dxa"/>
            <w:vMerge w:val="restart"/>
            <w:vAlign w:val="center"/>
          </w:tcPr>
          <w:p w14:paraId="00370BDF" w14:textId="77777777" w:rsidR="0075791A" w:rsidRDefault="00FB2864">
            <w:pPr>
              <w:widowControl w:val="0"/>
              <w:kinsoku/>
              <w:adjustRightInd/>
              <w:snapToGrid/>
              <w:jc w:val="center"/>
              <w:textAlignment w:val="auto"/>
              <w:rPr>
                <w:rFonts w:ascii="Times New Roman" w:eastAsia="宋体" w:hAnsi="Times New Roman" w:cs="宋体"/>
                <w:color w:val="auto"/>
                <w:kern w:val="2"/>
              </w:rPr>
            </w:pPr>
            <w:r>
              <w:rPr>
                <w:rFonts w:ascii="Times New Roman" w:eastAsia="宋体" w:hAnsi="Times New Roman" w:cs="宋体"/>
                <w:b/>
                <w:bCs/>
                <w:color w:val="auto"/>
                <w:spacing w:val="-5"/>
                <w:kern w:val="2"/>
              </w:rPr>
              <w:t>站号</w:t>
            </w:r>
          </w:p>
        </w:tc>
        <w:tc>
          <w:tcPr>
            <w:tcW w:w="3190" w:type="dxa"/>
            <w:gridSpan w:val="2"/>
            <w:vAlign w:val="center"/>
          </w:tcPr>
          <w:p w14:paraId="5ACF0C7A" w14:textId="77777777" w:rsidR="0075791A" w:rsidRDefault="00FB2864">
            <w:pPr>
              <w:widowControl w:val="0"/>
              <w:kinsoku/>
              <w:adjustRightInd/>
              <w:snapToGrid/>
              <w:jc w:val="center"/>
              <w:textAlignment w:val="auto"/>
              <w:rPr>
                <w:rFonts w:ascii="Times New Roman" w:eastAsia="宋体" w:hAnsi="Times New Roman" w:cs="宋体"/>
                <w:color w:val="auto"/>
                <w:kern w:val="2"/>
              </w:rPr>
            </w:pPr>
            <w:r>
              <w:rPr>
                <w:rFonts w:ascii="Times New Roman" w:eastAsia="宋体" w:hAnsi="Times New Roman" w:cs="宋体"/>
                <w:b/>
                <w:bCs/>
                <w:color w:val="auto"/>
                <w:spacing w:val="-5"/>
                <w:kern w:val="2"/>
              </w:rPr>
              <w:t>站位</w:t>
            </w:r>
          </w:p>
        </w:tc>
        <w:tc>
          <w:tcPr>
            <w:tcW w:w="3230" w:type="dxa"/>
            <w:vMerge w:val="restart"/>
            <w:vAlign w:val="center"/>
          </w:tcPr>
          <w:p w14:paraId="541E9371" w14:textId="77777777" w:rsidR="0075791A" w:rsidRDefault="00FB2864">
            <w:pPr>
              <w:widowControl w:val="0"/>
              <w:kinsoku/>
              <w:adjustRightInd/>
              <w:snapToGrid/>
              <w:jc w:val="center"/>
              <w:textAlignment w:val="auto"/>
              <w:rPr>
                <w:rFonts w:ascii="Times New Roman" w:eastAsia="宋体" w:hAnsi="Times New Roman" w:cs="宋体"/>
                <w:color w:val="auto"/>
                <w:kern w:val="2"/>
              </w:rPr>
            </w:pPr>
            <w:r>
              <w:rPr>
                <w:rFonts w:ascii="Times New Roman" w:eastAsia="宋体" w:hAnsi="Times New Roman" w:cs="宋体"/>
                <w:b/>
                <w:bCs/>
                <w:color w:val="auto"/>
                <w:spacing w:val="-4"/>
                <w:kern w:val="2"/>
              </w:rPr>
              <w:t>调查内容</w:t>
            </w:r>
          </w:p>
        </w:tc>
      </w:tr>
      <w:tr w:rsidR="0075791A" w14:paraId="63D32196" w14:textId="77777777">
        <w:trPr>
          <w:trHeight w:val="281"/>
          <w:jc w:val="center"/>
        </w:trPr>
        <w:tc>
          <w:tcPr>
            <w:tcW w:w="414" w:type="dxa"/>
            <w:vMerge/>
            <w:textDirection w:val="tbRlV"/>
            <w:vAlign w:val="center"/>
          </w:tcPr>
          <w:p w14:paraId="2AC6402F"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c>
          <w:tcPr>
            <w:tcW w:w="844" w:type="dxa"/>
            <w:vMerge/>
            <w:vAlign w:val="center"/>
          </w:tcPr>
          <w:p w14:paraId="12991EFF"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c>
          <w:tcPr>
            <w:tcW w:w="1692" w:type="dxa"/>
            <w:vAlign w:val="center"/>
          </w:tcPr>
          <w:p w14:paraId="1746E0E6" w14:textId="77777777" w:rsidR="0075791A" w:rsidRDefault="00FB2864">
            <w:pPr>
              <w:keepNext/>
              <w:keepLines/>
              <w:widowControl w:val="0"/>
              <w:kinsoku/>
              <w:autoSpaceDE/>
              <w:autoSpaceDN/>
              <w:adjustRightInd/>
              <w:snapToGrid/>
              <w:jc w:val="center"/>
              <w:textAlignment w:val="auto"/>
              <w:rPr>
                <w:rFonts w:ascii="Times New Roman" w:eastAsia="宋体" w:hAnsi="Times New Roman" w:cs="宋体"/>
                <w:color w:val="auto"/>
                <w:kern w:val="2"/>
              </w:rPr>
            </w:pPr>
            <w:r>
              <w:rPr>
                <w:rFonts w:ascii="Times New Roman" w:eastAsia="宋体" w:hAnsi="Times New Roman" w:cs="Times New Roman"/>
                <w:b/>
                <w:bCs/>
                <w:snapToGrid/>
                <w:color w:val="auto"/>
                <w:kern w:val="2"/>
                <w:lang w:eastAsia="zh-CN"/>
              </w:rPr>
              <w:t>经度</w:t>
            </w:r>
            <w:r>
              <w:rPr>
                <w:rFonts w:ascii="Times New Roman" w:eastAsia="宋体" w:hAnsi="Times New Roman" w:cs="Times New Roman" w:hint="eastAsia"/>
                <w:b/>
                <w:bCs/>
                <w:snapToGrid/>
                <w:color w:val="auto"/>
                <w:kern w:val="2"/>
                <w:lang w:eastAsia="zh-CN"/>
              </w:rPr>
              <w:t>（</w:t>
            </w:r>
            <w:r>
              <w:rPr>
                <w:rFonts w:ascii="Times New Roman" w:eastAsia="宋体" w:hAnsi="Times New Roman" w:cs="Times New Roman" w:hint="eastAsia"/>
                <w:b/>
                <w:bCs/>
                <w:snapToGrid/>
                <w:color w:val="auto"/>
                <w:kern w:val="2"/>
                <w:lang w:eastAsia="zh-CN"/>
              </w:rPr>
              <w:t>°</w:t>
            </w:r>
            <w:r>
              <w:rPr>
                <w:rFonts w:ascii="Times New Roman" w:eastAsia="宋体" w:hAnsi="Times New Roman" w:cs="Times New Roman" w:hint="eastAsia"/>
                <w:b/>
                <w:bCs/>
                <w:snapToGrid/>
                <w:color w:val="auto"/>
                <w:kern w:val="2"/>
                <w:lang w:eastAsia="zh-CN"/>
              </w:rPr>
              <w:t>E</w:t>
            </w:r>
            <w:r>
              <w:rPr>
                <w:rFonts w:ascii="Times New Roman" w:eastAsia="宋体" w:hAnsi="Times New Roman" w:cs="Times New Roman" w:hint="eastAsia"/>
                <w:b/>
                <w:bCs/>
                <w:snapToGrid/>
                <w:color w:val="auto"/>
                <w:kern w:val="2"/>
                <w:lang w:eastAsia="zh-CN"/>
              </w:rPr>
              <w:t>）</w:t>
            </w:r>
          </w:p>
        </w:tc>
        <w:tc>
          <w:tcPr>
            <w:tcW w:w="1498" w:type="dxa"/>
            <w:vAlign w:val="center"/>
          </w:tcPr>
          <w:p w14:paraId="152E9D3E" w14:textId="77777777" w:rsidR="0075791A" w:rsidRDefault="00FB2864">
            <w:pPr>
              <w:keepNext/>
              <w:keepLines/>
              <w:widowControl w:val="0"/>
              <w:kinsoku/>
              <w:autoSpaceDE/>
              <w:autoSpaceDN/>
              <w:adjustRightInd/>
              <w:snapToGrid/>
              <w:jc w:val="center"/>
              <w:textAlignment w:val="auto"/>
              <w:rPr>
                <w:rFonts w:ascii="Times New Roman" w:eastAsia="宋体" w:hAnsi="Times New Roman" w:cs="宋体"/>
                <w:color w:val="auto"/>
                <w:kern w:val="2"/>
              </w:rPr>
            </w:pPr>
            <w:r>
              <w:rPr>
                <w:rFonts w:ascii="Times New Roman" w:eastAsia="宋体" w:hAnsi="Times New Roman" w:cs="Times New Roman"/>
                <w:b/>
                <w:bCs/>
                <w:snapToGrid/>
                <w:color w:val="auto"/>
                <w:kern w:val="2"/>
                <w:lang w:eastAsia="zh-CN"/>
              </w:rPr>
              <w:t>纬度</w:t>
            </w:r>
            <w:r>
              <w:rPr>
                <w:rFonts w:ascii="Times New Roman" w:eastAsia="宋体" w:hAnsi="Times New Roman" w:cs="Times New Roman" w:hint="eastAsia"/>
                <w:b/>
                <w:bCs/>
                <w:snapToGrid/>
                <w:color w:val="auto"/>
                <w:kern w:val="2"/>
                <w:lang w:eastAsia="zh-CN"/>
              </w:rPr>
              <w:t>（</w:t>
            </w:r>
            <w:r>
              <w:rPr>
                <w:rFonts w:ascii="Times New Roman" w:eastAsia="宋体" w:hAnsi="Times New Roman" w:cs="Times New Roman" w:hint="eastAsia"/>
                <w:b/>
                <w:bCs/>
                <w:snapToGrid/>
                <w:color w:val="auto"/>
                <w:kern w:val="2"/>
                <w:lang w:eastAsia="zh-CN"/>
              </w:rPr>
              <w:t>°</w:t>
            </w:r>
            <w:r>
              <w:rPr>
                <w:rFonts w:ascii="Times New Roman" w:eastAsia="宋体" w:hAnsi="Times New Roman" w:cs="Times New Roman" w:hint="eastAsia"/>
                <w:b/>
                <w:bCs/>
                <w:snapToGrid/>
                <w:color w:val="auto"/>
                <w:kern w:val="2"/>
                <w:lang w:eastAsia="zh-CN"/>
              </w:rPr>
              <w:t>N</w:t>
            </w:r>
            <w:r>
              <w:rPr>
                <w:rFonts w:ascii="Times New Roman" w:eastAsia="宋体" w:hAnsi="Times New Roman" w:cs="Times New Roman" w:hint="eastAsia"/>
                <w:b/>
                <w:bCs/>
                <w:snapToGrid/>
                <w:color w:val="auto"/>
                <w:kern w:val="2"/>
                <w:lang w:eastAsia="zh-CN"/>
              </w:rPr>
              <w:t>）</w:t>
            </w:r>
          </w:p>
        </w:tc>
        <w:tc>
          <w:tcPr>
            <w:tcW w:w="3230" w:type="dxa"/>
            <w:vMerge/>
            <w:vAlign w:val="center"/>
          </w:tcPr>
          <w:p w14:paraId="38530427"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73951566" w14:textId="77777777">
        <w:trPr>
          <w:trHeight w:val="281"/>
          <w:jc w:val="center"/>
        </w:trPr>
        <w:tc>
          <w:tcPr>
            <w:tcW w:w="414" w:type="dxa"/>
            <w:vAlign w:val="center"/>
          </w:tcPr>
          <w:p w14:paraId="35BC5408"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14F076E6"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680E0DAD"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7E2F818E"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restart"/>
            <w:vAlign w:val="center"/>
          </w:tcPr>
          <w:p w14:paraId="7F8A315F"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3D04DD7D" w14:textId="77777777">
        <w:trPr>
          <w:trHeight w:val="281"/>
          <w:jc w:val="center"/>
        </w:trPr>
        <w:tc>
          <w:tcPr>
            <w:tcW w:w="414" w:type="dxa"/>
            <w:vAlign w:val="center"/>
          </w:tcPr>
          <w:p w14:paraId="3962EF0E"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2379AF73"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0E4C8D92"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29DFD5C2"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0B184467"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034D727C" w14:textId="77777777">
        <w:trPr>
          <w:trHeight w:val="281"/>
          <w:jc w:val="center"/>
        </w:trPr>
        <w:tc>
          <w:tcPr>
            <w:tcW w:w="414" w:type="dxa"/>
            <w:vAlign w:val="center"/>
          </w:tcPr>
          <w:p w14:paraId="7EB1D57B"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0757BE0F"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4C22E7FE"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722ACAFF"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6EBA7CAA"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57E52623" w14:textId="77777777">
        <w:trPr>
          <w:trHeight w:val="281"/>
          <w:jc w:val="center"/>
        </w:trPr>
        <w:tc>
          <w:tcPr>
            <w:tcW w:w="414" w:type="dxa"/>
            <w:vAlign w:val="center"/>
          </w:tcPr>
          <w:p w14:paraId="4D2DA1BD"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6AA2AD52"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7DE01593"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18A8B319"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1AEB81F4"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3F1FEE86" w14:textId="77777777">
        <w:trPr>
          <w:trHeight w:val="281"/>
          <w:jc w:val="center"/>
        </w:trPr>
        <w:tc>
          <w:tcPr>
            <w:tcW w:w="414" w:type="dxa"/>
            <w:vAlign w:val="center"/>
          </w:tcPr>
          <w:p w14:paraId="0CF4E4E9"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29FE6A1B"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20394EC6"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518FC7E9"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13F52883"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254552E5" w14:textId="77777777">
        <w:trPr>
          <w:trHeight w:val="281"/>
          <w:jc w:val="center"/>
        </w:trPr>
        <w:tc>
          <w:tcPr>
            <w:tcW w:w="414" w:type="dxa"/>
            <w:vAlign w:val="center"/>
          </w:tcPr>
          <w:p w14:paraId="470E68B7"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0ED40CC0"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77F9D42C"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464DA58D"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2BD4FEF2"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22AEB358" w14:textId="77777777">
        <w:trPr>
          <w:trHeight w:val="281"/>
          <w:jc w:val="center"/>
        </w:trPr>
        <w:tc>
          <w:tcPr>
            <w:tcW w:w="414" w:type="dxa"/>
            <w:vAlign w:val="center"/>
          </w:tcPr>
          <w:p w14:paraId="6F89F1E2"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1A114B03"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247778C0"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16601C3E"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00283CBC"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0822051C" w14:textId="77777777">
        <w:trPr>
          <w:trHeight w:val="281"/>
          <w:jc w:val="center"/>
        </w:trPr>
        <w:tc>
          <w:tcPr>
            <w:tcW w:w="414" w:type="dxa"/>
            <w:vAlign w:val="center"/>
          </w:tcPr>
          <w:p w14:paraId="2322EF8B"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0E4C6EAE"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253ED21E"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760F989F"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4F5EEFCA"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77FC26BB" w14:textId="77777777">
        <w:trPr>
          <w:trHeight w:val="281"/>
          <w:jc w:val="center"/>
        </w:trPr>
        <w:tc>
          <w:tcPr>
            <w:tcW w:w="414" w:type="dxa"/>
            <w:vAlign w:val="center"/>
          </w:tcPr>
          <w:p w14:paraId="1C2AA5CB"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2B270D14"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142D71D0"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2E73FF39"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3312EC33"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167A72F6" w14:textId="77777777">
        <w:trPr>
          <w:trHeight w:val="281"/>
          <w:jc w:val="center"/>
        </w:trPr>
        <w:tc>
          <w:tcPr>
            <w:tcW w:w="414" w:type="dxa"/>
            <w:vAlign w:val="center"/>
          </w:tcPr>
          <w:p w14:paraId="1F66DBB5"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48076753"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5F13BA4F"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12DF5CC4"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1DF68C8B"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4526F48C" w14:textId="77777777">
        <w:trPr>
          <w:trHeight w:val="281"/>
          <w:jc w:val="center"/>
        </w:trPr>
        <w:tc>
          <w:tcPr>
            <w:tcW w:w="414" w:type="dxa"/>
            <w:vAlign w:val="center"/>
          </w:tcPr>
          <w:p w14:paraId="7298FF43"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72859A82"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0A856018"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39C43DBA"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3880ED93"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3671C900" w14:textId="77777777">
        <w:trPr>
          <w:trHeight w:val="281"/>
          <w:jc w:val="center"/>
        </w:trPr>
        <w:tc>
          <w:tcPr>
            <w:tcW w:w="414" w:type="dxa"/>
            <w:vAlign w:val="center"/>
          </w:tcPr>
          <w:p w14:paraId="02807807"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15895DDE"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51E2BF67"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02D5B447"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5B71C3CF"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622C1293" w14:textId="77777777">
        <w:trPr>
          <w:trHeight w:val="281"/>
          <w:jc w:val="center"/>
        </w:trPr>
        <w:tc>
          <w:tcPr>
            <w:tcW w:w="414" w:type="dxa"/>
            <w:vAlign w:val="center"/>
          </w:tcPr>
          <w:p w14:paraId="4638C597"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0B00FB5D"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3FB7D987"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0B20F978"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0B0F39E1"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2C215883" w14:textId="77777777">
        <w:trPr>
          <w:trHeight w:val="281"/>
          <w:jc w:val="center"/>
        </w:trPr>
        <w:tc>
          <w:tcPr>
            <w:tcW w:w="414" w:type="dxa"/>
            <w:vAlign w:val="center"/>
          </w:tcPr>
          <w:p w14:paraId="4FD18730"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343C2AF5"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0348CFC6"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1B579F72"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0B8C9AF5"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2AD43813" w14:textId="77777777">
        <w:trPr>
          <w:trHeight w:val="281"/>
          <w:jc w:val="center"/>
        </w:trPr>
        <w:tc>
          <w:tcPr>
            <w:tcW w:w="414" w:type="dxa"/>
            <w:vAlign w:val="center"/>
          </w:tcPr>
          <w:p w14:paraId="164D5336"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2F7E0C3F"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11A88742"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0959B590"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51970CD5"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3B58B5D3" w14:textId="77777777">
        <w:trPr>
          <w:trHeight w:val="281"/>
          <w:jc w:val="center"/>
        </w:trPr>
        <w:tc>
          <w:tcPr>
            <w:tcW w:w="414" w:type="dxa"/>
            <w:vAlign w:val="center"/>
          </w:tcPr>
          <w:p w14:paraId="2A77EB93"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5595227E"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55592F89"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59818CF6"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5A098C50"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4F0476D4" w14:textId="77777777">
        <w:trPr>
          <w:trHeight w:val="281"/>
          <w:jc w:val="center"/>
        </w:trPr>
        <w:tc>
          <w:tcPr>
            <w:tcW w:w="414" w:type="dxa"/>
            <w:vAlign w:val="center"/>
          </w:tcPr>
          <w:p w14:paraId="5544348C"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34A0B0FB"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13B26A06"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3E9A1DAE"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39716A36"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505F2FEB" w14:textId="77777777">
        <w:trPr>
          <w:trHeight w:val="281"/>
          <w:jc w:val="center"/>
        </w:trPr>
        <w:tc>
          <w:tcPr>
            <w:tcW w:w="414" w:type="dxa"/>
            <w:vAlign w:val="center"/>
          </w:tcPr>
          <w:p w14:paraId="794F7B5A"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793C31D0"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154FFE2A"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38D63FA4"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0E543AC4"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2AC5E49C" w14:textId="77777777">
        <w:trPr>
          <w:trHeight w:val="281"/>
          <w:jc w:val="center"/>
        </w:trPr>
        <w:tc>
          <w:tcPr>
            <w:tcW w:w="414" w:type="dxa"/>
            <w:vAlign w:val="center"/>
          </w:tcPr>
          <w:p w14:paraId="6EBE257B"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0FB0DB18"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0ED1E17E"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24C453F9"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1AD64FF3"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3B812406" w14:textId="77777777">
        <w:trPr>
          <w:trHeight w:val="281"/>
          <w:jc w:val="center"/>
        </w:trPr>
        <w:tc>
          <w:tcPr>
            <w:tcW w:w="414" w:type="dxa"/>
            <w:vAlign w:val="center"/>
          </w:tcPr>
          <w:p w14:paraId="04E00B85"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22268E70"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3C331D1A"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0FF0540D"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11D535E4"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1A7FC099" w14:textId="77777777">
        <w:trPr>
          <w:trHeight w:val="281"/>
          <w:jc w:val="center"/>
        </w:trPr>
        <w:tc>
          <w:tcPr>
            <w:tcW w:w="414" w:type="dxa"/>
            <w:vAlign w:val="center"/>
          </w:tcPr>
          <w:p w14:paraId="644FDCDC"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66D8C63A"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1692" w:type="dxa"/>
            <w:vAlign w:val="center"/>
          </w:tcPr>
          <w:p w14:paraId="253984E6" w14:textId="77777777" w:rsidR="0075791A" w:rsidRDefault="0075791A">
            <w:pPr>
              <w:jc w:val="center"/>
              <w:textAlignment w:val="center"/>
              <w:rPr>
                <w:rFonts w:ascii="Times New Roman" w:eastAsia="宋体" w:hAnsi="Times New Roman" w:cs="宋体"/>
                <w:b/>
                <w:bCs/>
                <w:color w:val="auto"/>
                <w:spacing w:val="-4"/>
                <w:kern w:val="2"/>
              </w:rPr>
            </w:pPr>
          </w:p>
        </w:tc>
        <w:tc>
          <w:tcPr>
            <w:tcW w:w="1498" w:type="dxa"/>
            <w:vAlign w:val="center"/>
          </w:tcPr>
          <w:p w14:paraId="2AAC3FA0" w14:textId="77777777" w:rsidR="0075791A" w:rsidRDefault="0075791A">
            <w:pPr>
              <w:jc w:val="center"/>
              <w:textAlignment w:val="center"/>
              <w:rPr>
                <w:rFonts w:ascii="Times New Roman" w:eastAsia="宋体" w:hAnsi="Times New Roman" w:cs="宋体"/>
                <w:b/>
                <w:bCs/>
                <w:color w:val="auto"/>
                <w:spacing w:val="-3"/>
                <w:kern w:val="2"/>
              </w:rPr>
            </w:pPr>
          </w:p>
        </w:tc>
        <w:tc>
          <w:tcPr>
            <w:tcW w:w="3230" w:type="dxa"/>
            <w:vMerge/>
            <w:vAlign w:val="center"/>
          </w:tcPr>
          <w:p w14:paraId="2D11AF53"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r>
      <w:tr w:rsidR="0075791A" w14:paraId="261B8283" w14:textId="77777777">
        <w:trPr>
          <w:trHeight w:val="281"/>
          <w:jc w:val="center"/>
        </w:trPr>
        <w:tc>
          <w:tcPr>
            <w:tcW w:w="414" w:type="dxa"/>
            <w:vAlign w:val="center"/>
          </w:tcPr>
          <w:p w14:paraId="320C5EF6"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1FA3D1BF"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c>
          <w:tcPr>
            <w:tcW w:w="1692" w:type="dxa"/>
            <w:vAlign w:val="center"/>
          </w:tcPr>
          <w:p w14:paraId="6AB23FB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498" w:type="dxa"/>
            <w:vAlign w:val="center"/>
          </w:tcPr>
          <w:p w14:paraId="5343133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3230" w:type="dxa"/>
            <w:vMerge w:val="restart"/>
            <w:vAlign w:val="center"/>
          </w:tcPr>
          <w:p w14:paraId="4F45069D" w14:textId="77777777" w:rsidR="0075791A" w:rsidRDefault="0075791A">
            <w:pPr>
              <w:widowControl w:val="0"/>
              <w:kinsoku/>
              <w:adjustRightInd/>
              <w:snapToGrid/>
              <w:jc w:val="center"/>
              <w:textAlignment w:val="auto"/>
              <w:rPr>
                <w:rFonts w:ascii="Times New Roman" w:eastAsia="宋体" w:hAnsi="Times New Roman" w:cs="宋体"/>
                <w:color w:val="auto"/>
                <w:kern w:val="2"/>
              </w:rPr>
            </w:pPr>
          </w:p>
        </w:tc>
      </w:tr>
      <w:tr w:rsidR="0075791A" w14:paraId="1CE08C87" w14:textId="77777777">
        <w:trPr>
          <w:trHeight w:val="281"/>
          <w:jc w:val="center"/>
        </w:trPr>
        <w:tc>
          <w:tcPr>
            <w:tcW w:w="414" w:type="dxa"/>
            <w:vAlign w:val="center"/>
          </w:tcPr>
          <w:p w14:paraId="086AAE64"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7FB0DAC9"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c>
          <w:tcPr>
            <w:tcW w:w="1692" w:type="dxa"/>
            <w:vAlign w:val="center"/>
          </w:tcPr>
          <w:p w14:paraId="3EC6548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498" w:type="dxa"/>
            <w:vAlign w:val="center"/>
          </w:tcPr>
          <w:p w14:paraId="59A543C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3230" w:type="dxa"/>
            <w:vMerge/>
            <w:vAlign w:val="center"/>
          </w:tcPr>
          <w:p w14:paraId="34257AB0" w14:textId="77777777" w:rsidR="0075791A" w:rsidRDefault="0075791A">
            <w:pPr>
              <w:widowControl w:val="0"/>
              <w:kinsoku/>
              <w:adjustRightInd/>
              <w:snapToGrid/>
              <w:jc w:val="center"/>
              <w:textAlignment w:val="auto"/>
              <w:rPr>
                <w:rFonts w:ascii="Times New Roman" w:eastAsia="宋体" w:hAnsi="Times New Roman" w:cs="宋体"/>
                <w:color w:val="auto"/>
                <w:kern w:val="2"/>
              </w:rPr>
            </w:pPr>
          </w:p>
        </w:tc>
      </w:tr>
      <w:tr w:rsidR="0075791A" w14:paraId="73D6F02A" w14:textId="77777777">
        <w:trPr>
          <w:trHeight w:val="281"/>
          <w:jc w:val="center"/>
        </w:trPr>
        <w:tc>
          <w:tcPr>
            <w:tcW w:w="414" w:type="dxa"/>
            <w:vAlign w:val="center"/>
          </w:tcPr>
          <w:p w14:paraId="6D7BE1AB"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448D5A07"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c>
          <w:tcPr>
            <w:tcW w:w="1692" w:type="dxa"/>
            <w:vAlign w:val="center"/>
          </w:tcPr>
          <w:p w14:paraId="7DC3909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498" w:type="dxa"/>
            <w:vAlign w:val="center"/>
          </w:tcPr>
          <w:p w14:paraId="528EC6B9"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3230" w:type="dxa"/>
            <w:vMerge/>
            <w:vAlign w:val="center"/>
          </w:tcPr>
          <w:p w14:paraId="4A6A8757" w14:textId="77777777" w:rsidR="0075791A" w:rsidRDefault="0075791A">
            <w:pPr>
              <w:widowControl w:val="0"/>
              <w:kinsoku/>
              <w:adjustRightInd/>
              <w:snapToGrid/>
              <w:jc w:val="center"/>
              <w:textAlignment w:val="auto"/>
              <w:rPr>
                <w:rFonts w:ascii="Times New Roman" w:eastAsia="宋体" w:hAnsi="Times New Roman" w:cs="宋体"/>
                <w:color w:val="auto"/>
                <w:kern w:val="2"/>
              </w:rPr>
            </w:pPr>
          </w:p>
        </w:tc>
      </w:tr>
      <w:tr w:rsidR="0075791A" w14:paraId="6DFE4869" w14:textId="77777777">
        <w:trPr>
          <w:trHeight w:val="281"/>
          <w:jc w:val="center"/>
        </w:trPr>
        <w:tc>
          <w:tcPr>
            <w:tcW w:w="414" w:type="dxa"/>
            <w:vAlign w:val="center"/>
          </w:tcPr>
          <w:p w14:paraId="17C87A1D"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44" w:type="dxa"/>
            <w:vAlign w:val="center"/>
          </w:tcPr>
          <w:p w14:paraId="010171F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692" w:type="dxa"/>
            <w:vAlign w:val="center"/>
          </w:tcPr>
          <w:p w14:paraId="2F7D085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498" w:type="dxa"/>
            <w:vAlign w:val="center"/>
          </w:tcPr>
          <w:p w14:paraId="6AB69B2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3230" w:type="dxa"/>
            <w:vMerge/>
            <w:vAlign w:val="center"/>
          </w:tcPr>
          <w:p w14:paraId="7A6ACB18" w14:textId="77777777" w:rsidR="0075791A" w:rsidRDefault="0075791A">
            <w:pPr>
              <w:widowControl w:val="0"/>
              <w:kinsoku/>
              <w:adjustRightInd/>
              <w:snapToGrid/>
              <w:jc w:val="center"/>
              <w:textAlignment w:val="auto"/>
              <w:rPr>
                <w:rFonts w:ascii="Times New Roman" w:eastAsia="宋体" w:hAnsi="Times New Roman" w:cs="宋体"/>
                <w:color w:val="auto"/>
                <w:kern w:val="2"/>
              </w:rPr>
            </w:pPr>
          </w:p>
        </w:tc>
      </w:tr>
      <w:tr w:rsidR="0075791A" w14:paraId="4F8ED5B0" w14:textId="77777777">
        <w:trPr>
          <w:trHeight w:val="281"/>
          <w:jc w:val="center"/>
        </w:trPr>
        <w:tc>
          <w:tcPr>
            <w:tcW w:w="414" w:type="dxa"/>
            <w:vAlign w:val="center"/>
          </w:tcPr>
          <w:p w14:paraId="4F2CC52D"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44" w:type="dxa"/>
            <w:vAlign w:val="center"/>
          </w:tcPr>
          <w:p w14:paraId="039531E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692" w:type="dxa"/>
            <w:vAlign w:val="center"/>
          </w:tcPr>
          <w:p w14:paraId="0DA7591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498" w:type="dxa"/>
            <w:vAlign w:val="center"/>
          </w:tcPr>
          <w:p w14:paraId="68124EE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3230" w:type="dxa"/>
            <w:vMerge/>
            <w:vAlign w:val="center"/>
          </w:tcPr>
          <w:p w14:paraId="2168E110" w14:textId="77777777" w:rsidR="0075791A" w:rsidRDefault="0075791A">
            <w:pPr>
              <w:widowControl w:val="0"/>
              <w:kinsoku/>
              <w:adjustRightInd/>
              <w:snapToGrid/>
              <w:jc w:val="center"/>
              <w:textAlignment w:val="auto"/>
              <w:rPr>
                <w:rFonts w:ascii="Times New Roman" w:eastAsia="宋体" w:hAnsi="Times New Roman" w:cs="宋体"/>
                <w:color w:val="auto"/>
                <w:kern w:val="2"/>
              </w:rPr>
            </w:pPr>
          </w:p>
        </w:tc>
      </w:tr>
      <w:tr w:rsidR="0075791A" w14:paraId="72B0F41B" w14:textId="77777777">
        <w:trPr>
          <w:trHeight w:val="281"/>
          <w:jc w:val="center"/>
        </w:trPr>
        <w:tc>
          <w:tcPr>
            <w:tcW w:w="414" w:type="dxa"/>
            <w:vAlign w:val="center"/>
          </w:tcPr>
          <w:p w14:paraId="35A8A797"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44" w:type="dxa"/>
            <w:vAlign w:val="center"/>
          </w:tcPr>
          <w:p w14:paraId="22321FD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692" w:type="dxa"/>
            <w:vAlign w:val="center"/>
          </w:tcPr>
          <w:p w14:paraId="77FCB96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498" w:type="dxa"/>
            <w:vAlign w:val="center"/>
          </w:tcPr>
          <w:p w14:paraId="35624C29"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3230" w:type="dxa"/>
            <w:vMerge/>
            <w:vAlign w:val="center"/>
          </w:tcPr>
          <w:p w14:paraId="17109857" w14:textId="77777777" w:rsidR="0075791A" w:rsidRDefault="0075791A">
            <w:pPr>
              <w:widowControl w:val="0"/>
              <w:kinsoku/>
              <w:adjustRightInd/>
              <w:snapToGrid/>
              <w:jc w:val="center"/>
              <w:textAlignment w:val="auto"/>
              <w:rPr>
                <w:rFonts w:ascii="Times New Roman" w:eastAsia="宋体" w:hAnsi="Times New Roman" w:cs="宋体"/>
                <w:color w:val="auto"/>
                <w:kern w:val="2"/>
              </w:rPr>
            </w:pPr>
          </w:p>
        </w:tc>
      </w:tr>
      <w:tr w:rsidR="0075791A" w14:paraId="7CB81CA7" w14:textId="77777777">
        <w:trPr>
          <w:trHeight w:val="281"/>
          <w:jc w:val="center"/>
        </w:trPr>
        <w:tc>
          <w:tcPr>
            <w:tcW w:w="414" w:type="dxa"/>
            <w:vAlign w:val="center"/>
          </w:tcPr>
          <w:p w14:paraId="099199FC"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44" w:type="dxa"/>
            <w:vAlign w:val="center"/>
          </w:tcPr>
          <w:p w14:paraId="31CD1AD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692" w:type="dxa"/>
            <w:vAlign w:val="center"/>
          </w:tcPr>
          <w:p w14:paraId="248C3A3F"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498" w:type="dxa"/>
            <w:vAlign w:val="center"/>
          </w:tcPr>
          <w:p w14:paraId="32A351F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3230" w:type="dxa"/>
            <w:vMerge/>
            <w:vAlign w:val="center"/>
          </w:tcPr>
          <w:p w14:paraId="3E8B2FDE" w14:textId="77777777" w:rsidR="0075791A" w:rsidRDefault="0075791A">
            <w:pPr>
              <w:widowControl w:val="0"/>
              <w:kinsoku/>
              <w:adjustRightInd/>
              <w:snapToGrid/>
              <w:jc w:val="center"/>
              <w:textAlignment w:val="auto"/>
              <w:rPr>
                <w:rFonts w:ascii="Times New Roman" w:eastAsia="宋体" w:hAnsi="Times New Roman" w:cs="宋体"/>
                <w:color w:val="auto"/>
                <w:kern w:val="2"/>
              </w:rPr>
            </w:pPr>
          </w:p>
        </w:tc>
      </w:tr>
      <w:tr w:rsidR="0075791A" w14:paraId="2B6DC284" w14:textId="77777777">
        <w:trPr>
          <w:trHeight w:val="281"/>
          <w:jc w:val="center"/>
        </w:trPr>
        <w:tc>
          <w:tcPr>
            <w:tcW w:w="414" w:type="dxa"/>
            <w:vAlign w:val="center"/>
          </w:tcPr>
          <w:p w14:paraId="3E303E09"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44" w:type="dxa"/>
            <w:vAlign w:val="center"/>
          </w:tcPr>
          <w:p w14:paraId="5BC8B36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692" w:type="dxa"/>
            <w:vAlign w:val="center"/>
          </w:tcPr>
          <w:p w14:paraId="3D97C2A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498" w:type="dxa"/>
            <w:vAlign w:val="center"/>
          </w:tcPr>
          <w:p w14:paraId="0214202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3230" w:type="dxa"/>
            <w:vMerge/>
            <w:vAlign w:val="center"/>
          </w:tcPr>
          <w:p w14:paraId="5922E9BC" w14:textId="77777777" w:rsidR="0075791A" w:rsidRDefault="0075791A">
            <w:pPr>
              <w:widowControl w:val="0"/>
              <w:kinsoku/>
              <w:adjustRightInd/>
              <w:snapToGrid/>
              <w:jc w:val="center"/>
              <w:textAlignment w:val="auto"/>
              <w:rPr>
                <w:rFonts w:ascii="Times New Roman" w:eastAsia="宋体" w:hAnsi="Times New Roman" w:cs="宋体"/>
                <w:color w:val="auto"/>
                <w:kern w:val="2"/>
              </w:rPr>
            </w:pPr>
          </w:p>
        </w:tc>
      </w:tr>
      <w:tr w:rsidR="0075791A" w14:paraId="25B09B35" w14:textId="77777777">
        <w:trPr>
          <w:trHeight w:val="281"/>
          <w:jc w:val="center"/>
        </w:trPr>
        <w:tc>
          <w:tcPr>
            <w:tcW w:w="414" w:type="dxa"/>
            <w:vAlign w:val="center"/>
          </w:tcPr>
          <w:p w14:paraId="2CCC1E0B"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44" w:type="dxa"/>
            <w:vAlign w:val="center"/>
          </w:tcPr>
          <w:p w14:paraId="2DA9488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692" w:type="dxa"/>
            <w:vAlign w:val="center"/>
          </w:tcPr>
          <w:p w14:paraId="5250A6F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498" w:type="dxa"/>
            <w:vAlign w:val="center"/>
          </w:tcPr>
          <w:p w14:paraId="7B22C4A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3230" w:type="dxa"/>
            <w:vMerge/>
            <w:vAlign w:val="center"/>
          </w:tcPr>
          <w:p w14:paraId="7FDEE97F" w14:textId="77777777" w:rsidR="0075791A" w:rsidRDefault="0075791A">
            <w:pPr>
              <w:widowControl w:val="0"/>
              <w:kinsoku/>
              <w:adjustRightInd/>
              <w:snapToGrid/>
              <w:jc w:val="center"/>
              <w:textAlignment w:val="auto"/>
              <w:rPr>
                <w:rFonts w:ascii="Times New Roman" w:eastAsia="宋体" w:hAnsi="Times New Roman" w:cs="宋体"/>
                <w:color w:val="auto"/>
                <w:kern w:val="2"/>
              </w:rPr>
            </w:pPr>
          </w:p>
        </w:tc>
      </w:tr>
      <w:tr w:rsidR="0075791A" w14:paraId="76573FB3" w14:textId="77777777">
        <w:trPr>
          <w:trHeight w:val="281"/>
          <w:jc w:val="center"/>
        </w:trPr>
        <w:tc>
          <w:tcPr>
            <w:tcW w:w="414" w:type="dxa"/>
            <w:vAlign w:val="center"/>
          </w:tcPr>
          <w:p w14:paraId="033F13A7"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44" w:type="dxa"/>
            <w:vAlign w:val="center"/>
          </w:tcPr>
          <w:p w14:paraId="25E1A78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692" w:type="dxa"/>
            <w:vAlign w:val="center"/>
          </w:tcPr>
          <w:p w14:paraId="5CE42F1F"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498" w:type="dxa"/>
            <w:vAlign w:val="center"/>
          </w:tcPr>
          <w:p w14:paraId="38F0A3A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3230" w:type="dxa"/>
            <w:vMerge/>
            <w:vAlign w:val="center"/>
          </w:tcPr>
          <w:p w14:paraId="02C262DC" w14:textId="77777777" w:rsidR="0075791A" w:rsidRDefault="0075791A">
            <w:pPr>
              <w:widowControl w:val="0"/>
              <w:kinsoku/>
              <w:adjustRightInd/>
              <w:snapToGrid/>
              <w:jc w:val="center"/>
              <w:textAlignment w:val="auto"/>
              <w:rPr>
                <w:rFonts w:ascii="Times New Roman" w:eastAsia="宋体" w:hAnsi="Times New Roman" w:cs="宋体"/>
                <w:color w:val="auto"/>
                <w:kern w:val="2"/>
              </w:rPr>
            </w:pPr>
          </w:p>
        </w:tc>
      </w:tr>
      <w:tr w:rsidR="0075791A" w14:paraId="6813C144" w14:textId="77777777">
        <w:trPr>
          <w:trHeight w:val="289"/>
          <w:jc w:val="center"/>
        </w:trPr>
        <w:tc>
          <w:tcPr>
            <w:tcW w:w="414" w:type="dxa"/>
            <w:vAlign w:val="center"/>
          </w:tcPr>
          <w:p w14:paraId="0C33B590" w14:textId="77777777" w:rsidR="0075791A" w:rsidRDefault="0075791A">
            <w:pPr>
              <w:jc w:val="center"/>
              <w:textAlignment w:val="center"/>
              <w:rPr>
                <w:rFonts w:ascii="Times New Roman" w:eastAsia="宋体" w:hAnsi="Times New Roman" w:cs="Times New Roman"/>
                <w:snapToGrid/>
                <w:color w:val="auto"/>
                <w:kern w:val="2"/>
                <w:lang w:eastAsia="zh-CN"/>
              </w:rPr>
            </w:pPr>
          </w:p>
        </w:tc>
        <w:tc>
          <w:tcPr>
            <w:tcW w:w="844" w:type="dxa"/>
            <w:vAlign w:val="center"/>
          </w:tcPr>
          <w:p w14:paraId="36C8FF59"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lang w:eastAsia="zh-CN"/>
              </w:rPr>
            </w:pPr>
          </w:p>
        </w:tc>
        <w:tc>
          <w:tcPr>
            <w:tcW w:w="1692" w:type="dxa"/>
            <w:vAlign w:val="center"/>
          </w:tcPr>
          <w:p w14:paraId="57F8CF59"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1498" w:type="dxa"/>
            <w:vAlign w:val="center"/>
          </w:tcPr>
          <w:p w14:paraId="7F37774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3230" w:type="dxa"/>
            <w:vMerge/>
            <w:vAlign w:val="center"/>
          </w:tcPr>
          <w:p w14:paraId="0DE6BE00" w14:textId="77777777" w:rsidR="0075791A" w:rsidRDefault="0075791A">
            <w:pPr>
              <w:widowControl w:val="0"/>
              <w:kinsoku/>
              <w:adjustRightInd/>
              <w:snapToGrid/>
              <w:jc w:val="center"/>
              <w:textAlignment w:val="auto"/>
              <w:rPr>
                <w:rFonts w:ascii="Times New Roman" w:eastAsia="宋体" w:hAnsi="Times New Roman" w:cs="宋体"/>
                <w:color w:val="auto"/>
                <w:kern w:val="2"/>
              </w:rPr>
            </w:pPr>
          </w:p>
        </w:tc>
      </w:tr>
    </w:tbl>
    <w:p w14:paraId="58EA418B" w14:textId="77777777" w:rsidR="0075791A" w:rsidRDefault="0075791A">
      <w:pPr>
        <w:widowControl w:val="0"/>
        <w:kinsoku/>
        <w:adjustRightInd/>
        <w:snapToGrid/>
        <w:spacing w:line="360" w:lineRule="auto"/>
        <w:ind w:firstLineChars="200" w:firstLine="482"/>
        <w:jc w:val="both"/>
        <w:textAlignment w:val="auto"/>
        <w:rPr>
          <w:rFonts w:ascii="Times New Roman" w:eastAsia="Times New Roman" w:hAnsi="Times New Roman" w:cs="Times New Roman"/>
          <w:b/>
          <w:bCs/>
          <w:snapToGrid/>
          <w:color w:val="auto"/>
          <w:kern w:val="2"/>
          <w:sz w:val="24"/>
          <w:szCs w:val="24"/>
          <w:lang w:eastAsia="zh-CN"/>
        </w:rPr>
      </w:pPr>
    </w:p>
    <w:p w14:paraId="2DE1444B"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sz w:val="24"/>
          <w:szCs w:val="24"/>
          <w:lang w:eastAsia="zh-CN"/>
        </w:rPr>
      </w:pPr>
    </w:p>
    <w:p w14:paraId="3605C012" w14:textId="77777777" w:rsidR="0075791A" w:rsidRDefault="00FB2864">
      <w:pPr>
        <w:widowControl w:val="0"/>
        <w:kinsoku/>
        <w:adjustRightInd/>
        <w:snapToGrid/>
        <w:spacing w:line="360" w:lineRule="auto"/>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图</w:t>
      </w:r>
      <w:r>
        <w:rPr>
          <w:rFonts w:ascii="Times New Roman" w:eastAsia="宋体" w:hAnsi="Times New Roman" w:cs="Times New Roman" w:hint="eastAsia"/>
          <w:snapToGrid/>
          <w:color w:val="auto"/>
          <w:kern w:val="2"/>
          <w:sz w:val="24"/>
          <w:szCs w:val="24"/>
          <w:lang w:eastAsia="zh-CN"/>
        </w:rPr>
        <w:t xml:space="preserve">3.2.5-3 </w:t>
      </w:r>
      <w:r>
        <w:rPr>
          <w:rFonts w:ascii="Times New Roman" w:eastAsia="宋体" w:hAnsi="Times New Roman" w:cs="Times New Roman" w:hint="eastAsia"/>
          <w:snapToGrid/>
          <w:color w:val="auto"/>
          <w:kern w:val="2"/>
          <w:sz w:val="24"/>
          <w:szCs w:val="24"/>
          <w:lang w:eastAsia="zh-CN"/>
        </w:rPr>
        <w:t>夏季海洋沉积物</w:t>
      </w:r>
      <w:r>
        <w:rPr>
          <w:rFonts w:ascii="Times New Roman" w:eastAsia="宋体" w:hAnsi="Times New Roman" w:cs="Times New Roman"/>
          <w:snapToGrid/>
          <w:color w:val="auto"/>
          <w:kern w:val="2"/>
          <w:sz w:val="24"/>
          <w:szCs w:val="24"/>
          <w:lang w:eastAsia="zh-CN"/>
        </w:rPr>
        <w:t>调查站位图</w:t>
      </w:r>
    </w:p>
    <w:p w14:paraId="15A64FAE"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2</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沉积物</w:t>
      </w:r>
      <w:r>
        <w:rPr>
          <w:rFonts w:ascii="Times New Roman" w:eastAsia="宋体" w:hAnsi="Times New Roman" w:cs="Times New Roman"/>
          <w:snapToGrid/>
          <w:color w:val="auto"/>
          <w:kern w:val="2"/>
          <w:sz w:val="24"/>
          <w:szCs w:val="24"/>
          <w:lang w:eastAsia="zh-CN"/>
        </w:rPr>
        <w:t>调查</w:t>
      </w:r>
      <w:r>
        <w:rPr>
          <w:rFonts w:ascii="Times New Roman" w:eastAsia="宋体" w:hAnsi="Times New Roman" w:cs="Times New Roman" w:hint="eastAsia"/>
          <w:snapToGrid/>
          <w:color w:val="auto"/>
          <w:kern w:val="2"/>
          <w:sz w:val="24"/>
          <w:szCs w:val="24"/>
          <w:lang w:eastAsia="zh-CN"/>
        </w:rPr>
        <w:t>内容与结果</w:t>
      </w:r>
    </w:p>
    <w:p w14:paraId="284B7139"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lastRenderedPageBreak/>
        <w:t>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月沉积物调查</w:t>
      </w:r>
    </w:p>
    <w:p w14:paraId="71435538"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月沉积物调查分析项目为</w:t>
      </w:r>
      <w:r>
        <w:rPr>
          <w:rFonts w:ascii="Times New Roman" w:eastAsia="宋体" w:hAnsi="Times New Roman" w:cs="Times New Roman"/>
          <w:snapToGrid/>
          <w:color w:val="auto"/>
          <w:kern w:val="2"/>
          <w:sz w:val="24"/>
          <w:szCs w:val="24"/>
          <w:lang w:eastAsia="zh-CN"/>
        </w:rPr>
        <w:t>有机碳</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全氮</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全磷</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铜</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锌</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铅</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镉</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铬</w:t>
      </w:r>
      <w:r>
        <w:rPr>
          <w:rFonts w:ascii="Times New Roman" w:eastAsia="宋体" w:hAnsi="Times New Roman" w:cs="Times New Roman" w:hint="eastAsia"/>
          <w:snapToGrid/>
          <w:color w:val="auto"/>
          <w:kern w:val="2"/>
          <w:sz w:val="24"/>
          <w:szCs w:val="24"/>
          <w:lang w:eastAsia="zh-CN"/>
        </w:rPr>
        <w:t>，共</w:t>
      </w:r>
      <w:r>
        <w:rPr>
          <w:rFonts w:ascii="Times New Roman" w:eastAsia="宋体" w:hAnsi="Times New Roman" w:cs="Times New Roman" w:hint="eastAsia"/>
          <w:snapToGrid/>
          <w:color w:val="auto"/>
          <w:kern w:val="2"/>
          <w:sz w:val="24"/>
          <w:szCs w:val="24"/>
          <w:lang w:eastAsia="zh-CN"/>
        </w:rPr>
        <w:t>8</w:t>
      </w:r>
      <w:r>
        <w:rPr>
          <w:rFonts w:ascii="Times New Roman" w:eastAsia="宋体" w:hAnsi="Times New Roman" w:cs="Times New Roman" w:hint="eastAsia"/>
          <w:snapToGrid/>
          <w:color w:val="auto"/>
          <w:kern w:val="2"/>
          <w:sz w:val="24"/>
          <w:szCs w:val="24"/>
          <w:lang w:eastAsia="zh-CN"/>
        </w:rPr>
        <w:t>项。</w:t>
      </w:r>
    </w:p>
    <w:p w14:paraId="3F294A6B" w14:textId="77777777" w:rsidR="0075791A" w:rsidRDefault="00FB2864">
      <w:pPr>
        <w:pStyle w:val="TableParagraph"/>
        <w:jc w:val="center"/>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3.2.5-7 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月</w:t>
      </w:r>
      <w:r>
        <w:rPr>
          <w:rFonts w:ascii="Times New Roman" w:eastAsia="宋体" w:hAnsi="Times New Roman" w:cs="Times New Roman"/>
          <w:snapToGrid/>
          <w:color w:val="auto"/>
          <w:kern w:val="2"/>
          <w:sz w:val="24"/>
          <w:szCs w:val="24"/>
          <w:lang w:eastAsia="zh-CN"/>
        </w:rPr>
        <w:t>沉积物分析结果</w:t>
      </w:r>
    </w:p>
    <w:tbl>
      <w:tblPr>
        <w:tblW w:w="0" w:type="auto"/>
        <w:jc w:val="center"/>
        <w:tblLayout w:type="fixed"/>
        <w:tblCellMar>
          <w:left w:w="0" w:type="dxa"/>
          <w:right w:w="0" w:type="dxa"/>
        </w:tblCellMar>
        <w:tblLook w:val="04A0" w:firstRow="1" w:lastRow="0" w:firstColumn="1" w:lastColumn="0" w:noHBand="0" w:noVBand="1"/>
      </w:tblPr>
      <w:tblGrid>
        <w:gridCol w:w="706"/>
        <w:gridCol w:w="1354"/>
        <w:gridCol w:w="715"/>
        <w:gridCol w:w="794"/>
        <w:gridCol w:w="703"/>
        <w:gridCol w:w="711"/>
        <w:gridCol w:w="706"/>
        <w:gridCol w:w="706"/>
        <w:gridCol w:w="706"/>
        <w:gridCol w:w="703"/>
        <w:gridCol w:w="715"/>
      </w:tblGrid>
      <w:tr w:rsidR="0075791A" w14:paraId="515D5CF5" w14:textId="77777777">
        <w:trPr>
          <w:trHeight w:hRule="exact" w:val="605"/>
          <w:jc w:val="center"/>
        </w:trPr>
        <w:tc>
          <w:tcPr>
            <w:tcW w:w="706" w:type="dxa"/>
            <w:vMerge w:val="restart"/>
            <w:tcBorders>
              <w:top w:val="single" w:sz="8" w:space="0" w:color="000000"/>
              <w:left w:val="single" w:sz="8" w:space="0" w:color="000000"/>
              <w:right w:val="single" w:sz="8" w:space="0" w:color="000000"/>
            </w:tcBorders>
            <w:vAlign w:val="center"/>
          </w:tcPr>
          <w:p w14:paraId="2E18B520"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样</w:t>
            </w:r>
            <w:r>
              <w:rPr>
                <w:rFonts w:ascii="宋体" w:eastAsia="宋体" w:hAnsi="宋体" w:cs="宋体"/>
                <w:color w:val="auto"/>
              </w:rPr>
              <w:t>品</w:t>
            </w:r>
            <w:r>
              <w:rPr>
                <w:rFonts w:ascii="宋体" w:eastAsia="宋体" w:hAnsi="宋体" w:cs="宋体"/>
                <w:color w:val="auto"/>
              </w:rPr>
              <w:t xml:space="preserve"> </w:t>
            </w:r>
            <w:r>
              <w:rPr>
                <w:rFonts w:ascii="宋体" w:eastAsia="宋体" w:hAnsi="宋体" w:cs="宋体"/>
                <w:color w:val="auto"/>
                <w:spacing w:val="-1"/>
              </w:rPr>
              <w:t>编</w:t>
            </w:r>
            <w:r>
              <w:rPr>
                <w:rFonts w:ascii="宋体" w:eastAsia="宋体" w:hAnsi="宋体" w:cs="宋体"/>
                <w:color w:val="auto"/>
              </w:rPr>
              <w:t>号</w:t>
            </w:r>
          </w:p>
        </w:tc>
        <w:tc>
          <w:tcPr>
            <w:tcW w:w="1354" w:type="dxa"/>
            <w:vMerge w:val="restart"/>
            <w:tcBorders>
              <w:top w:val="single" w:sz="8" w:space="0" w:color="000000"/>
              <w:left w:val="single" w:sz="8" w:space="0" w:color="000000"/>
              <w:right w:val="single" w:sz="8" w:space="0" w:color="000000"/>
            </w:tcBorders>
            <w:vAlign w:val="center"/>
          </w:tcPr>
          <w:p w14:paraId="04E966B1"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样地编</w:t>
            </w:r>
            <w:r>
              <w:rPr>
                <w:rFonts w:ascii="宋体" w:eastAsia="宋体" w:hAnsi="宋体" w:cs="宋体"/>
                <w:color w:val="auto"/>
              </w:rPr>
              <w:t>号</w:t>
            </w:r>
          </w:p>
        </w:tc>
        <w:tc>
          <w:tcPr>
            <w:tcW w:w="715" w:type="dxa"/>
            <w:tcBorders>
              <w:top w:val="single" w:sz="8" w:space="0" w:color="000000"/>
              <w:left w:val="single" w:sz="8" w:space="0" w:color="000000"/>
              <w:bottom w:val="single" w:sz="8" w:space="0" w:color="000000"/>
              <w:right w:val="single" w:sz="8" w:space="0" w:color="000000"/>
            </w:tcBorders>
            <w:vAlign w:val="center"/>
          </w:tcPr>
          <w:p w14:paraId="09155485" w14:textId="77777777" w:rsidR="0075791A" w:rsidRDefault="00FB2864">
            <w:pPr>
              <w:pStyle w:val="TableParagraph"/>
              <w:jc w:val="center"/>
              <w:rPr>
                <w:rFonts w:ascii="Times New Roman" w:eastAsia="Times New Roman" w:hAnsi="Times New Roman" w:cs="Times New Roman"/>
                <w:color w:val="auto"/>
              </w:rPr>
            </w:pPr>
            <w:r>
              <w:rPr>
                <w:rFonts w:ascii="宋体" w:eastAsia="宋体" w:hAnsi="宋体" w:cs="宋体"/>
                <w:color w:val="auto"/>
              </w:rPr>
              <w:t>单</w:t>
            </w:r>
            <w:r>
              <w:rPr>
                <w:rFonts w:ascii="宋体" w:eastAsia="宋体" w:hAnsi="宋体" w:cs="宋体"/>
                <w:color w:val="auto"/>
                <w:spacing w:val="2"/>
              </w:rPr>
              <w:t>位</w:t>
            </w:r>
            <w:r>
              <w:rPr>
                <w:rFonts w:ascii="宋体" w:eastAsia="宋体" w:hAnsi="宋体" w:cs="宋体"/>
                <w:color w:val="auto"/>
              </w:rPr>
              <w:t>：</w:t>
            </w:r>
            <w:r>
              <w:rPr>
                <w:rFonts w:ascii="Times New Roman" w:eastAsia="Times New Roman" w:hAnsi="Times New Roman" w:cs="Times New Roman"/>
                <w:color w:val="auto"/>
                <w:spacing w:val="1"/>
              </w:rPr>
              <w:t>g</w:t>
            </w:r>
            <w:r>
              <w:rPr>
                <w:rFonts w:ascii="Times New Roman" w:eastAsia="Times New Roman" w:hAnsi="Times New Roman" w:cs="Times New Roman"/>
                <w:color w:val="auto"/>
                <w:spacing w:val="-1"/>
              </w:rPr>
              <w:t>/</w:t>
            </w:r>
            <w:r>
              <w:rPr>
                <w:rFonts w:ascii="Times New Roman" w:eastAsia="Times New Roman" w:hAnsi="Times New Roman" w:cs="Times New Roman"/>
                <w:color w:val="auto"/>
                <w:spacing w:val="1"/>
              </w:rPr>
              <w:t>cm</w:t>
            </w:r>
            <w:r>
              <w:rPr>
                <w:rFonts w:ascii="Times New Roman" w:eastAsia="Times New Roman" w:hAnsi="Times New Roman" w:cs="Times New Roman"/>
                <w:color w:val="auto"/>
                <w:position w:val="7"/>
              </w:rPr>
              <w:t>3</w:t>
            </w:r>
          </w:p>
        </w:tc>
        <w:tc>
          <w:tcPr>
            <w:tcW w:w="2208" w:type="dxa"/>
            <w:gridSpan w:val="3"/>
            <w:tcBorders>
              <w:top w:val="single" w:sz="8" w:space="0" w:color="000000"/>
              <w:left w:val="single" w:sz="8" w:space="0" w:color="000000"/>
              <w:bottom w:val="single" w:sz="8" w:space="0" w:color="000000"/>
              <w:right w:val="single" w:sz="8" w:space="0" w:color="000000"/>
            </w:tcBorders>
            <w:vAlign w:val="center"/>
          </w:tcPr>
          <w:p w14:paraId="125818FC" w14:textId="77777777" w:rsidR="0075791A" w:rsidRDefault="00FB2864">
            <w:pPr>
              <w:pStyle w:val="TableParagraph"/>
              <w:jc w:val="center"/>
              <w:rPr>
                <w:rFonts w:ascii="Times New Roman" w:eastAsia="Times New Roman" w:hAnsi="Times New Roman" w:cs="Times New Roman"/>
                <w:color w:val="auto"/>
              </w:rPr>
            </w:pPr>
            <w:r>
              <w:rPr>
                <w:rFonts w:ascii="宋体" w:eastAsia="宋体" w:hAnsi="宋体" w:cs="宋体"/>
                <w:color w:val="auto"/>
                <w:spacing w:val="2"/>
              </w:rPr>
              <w:t>单位</w:t>
            </w:r>
            <w:r>
              <w:rPr>
                <w:rFonts w:ascii="宋体" w:eastAsia="宋体" w:hAnsi="宋体" w:cs="宋体"/>
                <w:color w:val="auto"/>
                <w:spacing w:val="-1"/>
              </w:rPr>
              <w:t>：</w:t>
            </w:r>
            <w:r>
              <w:rPr>
                <w:rFonts w:ascii="Times New Roman" w:eastAsia="Times New Roman" w:hAnsi="Times New Roman" w:cs="Times New Roman"/>
                <w:color w:val="auto"/>
                <w:spacing w:val="1"/>
              </w:rPr>
              <w:t>g</w:t>
            </w:r>
            <w:r>
              <w:rPr>
                <w:rFonts w:ascii="Times New Roman" w:eastAsia="Times New Roman" w:hAnsi="Times New Roman" w:cs="Times New Roman"/>
                <w:color w:val="auto"/>
                <w:spacing w:val="-1"/>
              </w:rPr>
              <w:t>/k</w:t>
            </w:r>
            <w:r>
              <w:rPr>
                <w:rFonts w:ascii="Times New Roman" w:eastAsia="Times New Roman" w:hAnsi="Times New Roman" w:cs="Times New Roman"/>
                <w:color w:val="auto"/>
              </w:rPr>
              <w:t>g</w:t>
            </w:r>
          </w:p>
        </w:tc>
        <w:tc>
          <w:tcPr>
            <w:tcW w:w="3535" w:type="dxa"/>
            <w:gridSpan w:val="5"/>
            <w:tcBorders>
              <w:top w:val="single" w:sz="8" w:space="0" w:color="000000"/>
              <w:left w:val="single" w:sz="8" w:space="0" w:color="000000"/>
              <w:bottom w:val="single" w:sz="8" w:space="0" w:color="000000"/>
              <w:right w:val="single" w:sz="8" w:space="0" w:color="000000"/>
            </w:tcBorders>
            <w:vAlign w:val="center"/>
          </w:tcPr>
          <w:p w14:paraId="58C32488" w14:textId="77777777" w:rsidR="0075791A" w:rsidRDefault="00FB2864">
            <w:pPr>
              <w:pStyle w:val="TableParagraph"/>
              <w:jc w:val="center"/>
              <w:rPr>
                <w:rFonts w:ascii="Times New Roman" w:eastAsia="Times New Roman" w:hAnsi="Times New Roman" w:cs="Times New Roman"/>
                <w:color w:val="auto"/>
              </w:rPr>
            </w:pPr>
            <w:r>
              <w:rPr>
                <w:rFonts w:ascii="宋体" w:eastAsia="宋体" w:hAnsi="宋体" w:cs="宋体"/>
                <w:color w:val="auto"/>
                <w:spacing w:val="2"/>
              </w:rPr>
              <w:t>单位</w:t>
            </w:r>
            <w:r>
              <w:rPr>
                <w:rFonts w:ascii="宋体" w:eastAsia="宋体" w:hAnsi="宋体" w:cs="宋体"/>
                <w:color w:val="auto"/>
                <w:spacing w:val="-1"/>
              </w:rPr>
              <w:t>：</w:t>
            </w:r>
            <w:r>
              <w:rPr>
                <w:rFonts w:ascii="Times New Roman" w:eastAsia="Times New Roman" w:hAnsi="Times New Roman" w:cs="Times New Roman"/>
                <w:color w:val="auto"/>
                <w:spacing w:val="-2"/>
              </w:rPr>
              <w:t>m</w:t>
            </w:r>
            <w:r>
              <w:rPr>
                <w:rFonts w:ascii="Times New Roman" w:eastAsia="Times New Roman" w:hAnsi="Times New Roman" w:cs="Times New Roman"/>
                <w:color w:val="auto"/>
                <w:spacing w:val="1"/>
              </w:rPr>
              <w:t>g</w:t>
            </w:r>
            <w:r>
              <w:rPr>
                <w:rFonts w:ascii="Times New Roman" w:eastAsia="Times New Roman" w:hAnsi="Times New Roman" w:cs="Times New Roman"/>
                <w:color w:val="auto"/>
                <w:spacing w:val="-1"/>
              </w:rPr>
              <w:t>/k</w:t>
            </w:r>
            <w:r>
              <w:rPr>
                <w:rFonts w:ascii="Times New Roman" w:eastAsia="Times New Roman" w:hAnsi="Times New Roman" w:cs="Times New Roman"/>
                <w:color w:val="auto"/>
              </w:rPr>
              <w:t>g</w:t>
            </w:r>
          </w:p>
        </w:tc>
      </w:tr>
      <w:tr w:rsidR="0075791A" w14:paraId="17789CE7" w14:textId="77777777">
        <w:trPr>
          <w:trHeight w:hRule="exact" w:val="289"/>
          <w:jc w:val="center"/>
        </w:trPr>
        <w:tc>
          <w:tcPr>
            <w:tcW w:w="706" w:type="dxa"/>
            <w:vMerge/>
            <w:tcBorders>
              <w:left w:val="single" w:sz="8" w:space="0" w:color="000000"/>
              <w:bottom w:val="single" w:sz="8" w:space="0" w:color="000000"/>
              <w:right w:val="single" w:sz="8" w:space="0" w:color="000000"/>
            </w:tcBorders>
            <w:vAlign w:val="center"/>
          </w:tcPr>
          <w:p w14:paraId="05C3FDE5" w14:textId="77777777" w:rsidR="0075791A" w:rsidRDefault="0075791A">
            <w:pPr>
              <w:jc w:val="center"/>
              <w:rPr>
                <w:color w:val="auto"/>
              </w:rPr>
            </w:pPr>
          </w:p>
        </w:tc>
        <w:tc>
          <w:tcPr>
            <w:tcW w:w="1354" w:type="dxa"/>
            <w:vMerge/>
            <w:tcBorders>
              <w:left w:val="single" w:sz="8" w:space="0" w:color="000000"/>
              <w:bottom w:val="single" w:sz="8" w:space="0" w:color="000000"/>
              <w:right w:val="single" w:sz="8" w:space="0" w:color="000000"/>
            </w:tcBorders>
            <w:vAlign w:val="center"/>
          </w:tcPr>
          <w:p w14:paraId="4AEFFA54" w14:textId="77777777" w:rsidR="0075791A" w:rsidRDefault="0075791A">
            <w:pPr>
              <w:jc w:val="center"/>
              <w:rPr>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736354EF"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2"/>
              </w:rPr>
              <w:t>容</w:t>
            </w:r>
            <w:r>
              <w:rPr>
                <w:rFonts w:ascii="宋体" w:eastAsia="宋体" w:hAnsi="宋体" w:cs="宋体"/>
                <w:color w:val="auto"/>
              </w:rPr>
              <w:t>重</w:t>
            </w:r>
          </w:p>
        </w:tc>
        <w:tc>
          <w:tcPr>
            <w:tcW w:w="794" w:type="dxa"/>
            <w:tcBorders>
              <w:top w:val="single" w:sz="8" w:space="0" w:color="000000"/>
              <w:left w:val="single" w:sz="8" w:space="0" w:color="000000"/>
              <w:bottom w:val="single" w:sz="8" w:space="0" w:color="000000"/>
              <w:right w:val="single" w:sz="8" w:space="0" w:color="000000"/>
            </w:tcBorders>
            <w:vAlign w:val="center"/>
          </w:tcPr>
          <w:p w14:paraId="44BE4EA8"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有</w:t>
            </w:r>
            <w:r>
              <w:rPr>
                <w:rFonts w:ascii="宋体" w:eastAsia="宋体" w:hAnsi="宋体" w:cs="宋体"/>
                <w:color w:val="auto"/>
              </w:rPr>
              <w:t>机碳</w:t>
            </w:r>
          </w:p>
        </w:tc>
        <w:tc>
          <w:tcPr>
            <w:tcW w:w="703" w:type="dxa"/>
            <w:tcBorders>
              <w:top w:val="single" w:sz="8" w:space="0" w:color="000000"/>
              <w:left w:val="single" w:sz="8" w:space="0" w:color="000000"/>
              <w:bottom w:val="single" w:sz="8" w:space="0" w:color="000000"/>
              <w:right w:val="single" w:sz="8" w:space="0" w:color="000000"/>
            </w:tcBorders>
            <w:vAlign w:val="center"/>
          </w:tcPr>
          <w:p w14:paraId="53DC6A5B"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2"/>
              </w:rPr>
              <w:t>全</w:t>
            </w:r>
            <w:r>
              <w:rPr>
                <w:rFonts w:ascii="宋体" w:eastAsia="宋体" w:hAnsi="宋体" w:cs="宋体"/>
                <w:color w:val="auto"/>
              </w:rPr>
              <w:t>氮</w:t>
            </w:r>
          </w:p>
        </w:tc>
        <w:tc>
          <w:tcPr>
            <w:tcW w:w="710" w:type="dxa"/>
            <w:tcBorders>
              <w:top w:val="single" w:sz="8" w:space="0" w:color="000000"/>
              <w:left w:val="single" w:sz="8" w:space="0" w:color="000000"/>
              <w:bottom w:val="single" w:sz="8" w:space="0" w:color="000000"/>
              <w:right w:val="single" w:sz="8" w:space="0" w:color="000000"/>
            </w:tcBorders>
            <w:vAlign w:val="center"/>
          </w:tcPr>
          <w:p w14:paraId="49E91168"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2"/>
              </w:rPr>
              <w:t>全</w:t>
            </w:r>
            <w:r>
              <w:rPr>
                <w:rFonts w:ascii="宋体" w:eastAsia="宋体" w:hAnsi="宋体" w:cs="宋体"/>
                <w:color w:val="auto"/>
              </w:rPr>
              <w:t>磷</w:t>
            </w:r>
          </w:p>
        </w:tc>
        <w:tc>
          <w:tcPr>
            <w:tcW w:w="706" w:type="dxa"/>
            <w:tcBorders>
              <w:top w:val="single" w:sz="8" w:space="0" w:color="000000"/>
              <w:left w:val="single" w:sz="8" w:space="0" w:color="000000"/>
              <w:bottom w:val="single" w:sz="8" w:space="0" w:color="000000"/>
              <w:right w:val="single" w:sz="8" w:space="0" w:color="000000"/>
            </w:tcBorders>
            <w:vAlign w:val="center"/>
          </w:tcPr>
          <w:p w14:paraId="0D4D8F49" w14:textId="77777777" w:rsidR="0075791A" w:rsidRDefault="00FB2864">
            <w:pPr>
              <w:pStyle w:val="TableParagraph"/>
              <w:jc w:val="center"/>
              <w:rPr>
                <w:rFonts w:ascii="宋体" w:eastAsia="宋体" w:hAnsi="宋体" w:cs="宋体"/>
                <w:color w:val="auto"/>
              </w:rPr>
            </w:pPr>
            <w:r>
              <w:rPr>
                <w:rFonts w:ascii="宋体" w:eastAsia="宋体" w:hAnsi="宋体" w:cs="宋体"/>
                <w:color w:val="auto"/>
              </w:rPr>
              <w:t>铜</w:t>
            </w:r>
          </w:p>
        </w:tc>
        <w:tc>
          <w:tcPr>
            <w:tcW w:w="706" w:type="dxa"/>
            <w:tcBorders>
              <w:top w:val="single" w:sz="8" w:space="0" w:color="000000"/>
              <w:left w:val="single" w:sz="8" w:space="0" w:color="000000"/>
              <w:bottom w:val="single" w:sz="8" w:space="0" w:color="000000"/>
              <w:right w:val="single" w:sz="8" w:space="0" w:color="000000"/>
            </w:tcBorders>
            <w:vAlign w:val="center"/>
          </w:tcPr>
          <w:p w14:paraId="737EA873" w14:textId="77777777" w:rsidR="0075791A" w:rsidRDefault="00FB2864">
            <w:pPr>
              <w:pStyle w:val="TableParagraph"/>
              <w:jc w:val="center"/>
              <w:rPr>
                <w:rFonts w:ascii="宋体" w:eastAsia="宋体" w:hAnsi="宋体" w:cs="宋体"/>
                <w:color w:val="auto"/>
              </w:rPr>
            </w:pPr>
            <w:r>
              <w:rPr>
                <w:rFonts w:ascii="宋体" w:eastAsia="宋体" w:hAnsi="宋体" w:cs="宋体"/>
                <w:color w:val="auto"/>
              </w:rPr>
              <w:t>锌</w:t>
            </w:r>
          </w:p>
        </w:tc>
        <w:tc>
          <w:tcPr>
            <w:tcW w:w="706" w:type="dxa"/>
            <w:tcBorders>
              <w:top w:val="single" w:sz="8" w:space="0" w:color="000000"/>
              <w:left w:val="single" w:sz="8" w:space="0" w:color="000000"/>
              <w:bottom w:val="single" w:sz="8" w:space="0" w:color="000000"/>
              <w:right w:val="single" w:sz="8" w:space="0" w:color="000000"/>
            </w:tcBorders>
            <w:vAlign w:val="center"/>
          </w:tcPr>
          <w:p w14:paraId="5D11482D" w14:textId="77777777" w:rsidR="0075791A" w:rsidRDefault="00FB2864">
            <w:pPr>
              <w:pStyle w:val="TableParagraph"/>
              <w:jc w:val="center"/>
              <w:rPr>
                <w:rFonts w:ascii="宋体" w:eastAsia="宋体" w:hAnsi="宋体" w:cs="宋体"/>
                <w:color w:val="auto"/>
              </w:rPr>
            </w:pPr>
            <w:r>
              <w:rPr>
                <w:rFonts w:ascii="宋体" w:eastAsia="宋体" w:hAnsi="宋体" w:cs="宋体"/>
                <w:color w:val="auto"/>
              </w:rPr>
              <w:t>铅</w:t>
            </w:r>
          </w:p>
        </w:tc>
        <w:tc>
          <w:tcPr>
            <w:tcW w:w="703" w:type="dxa"/>
            <w:tcBorders>
              <w:top w:val="single" w:sz="8" w:space="0" w:color="000000"/>
              <w:left w:val="single" w:sz="8" w:space="0" w:color="000000"/>
              <w:bottom w:val="single" w:sz="8" w:space="0" w:color="000000"/>
              <w:right w:val="single" w:sz="8" w:space="0" w:color="000000"/>
            </w:tcBorders>
            <w:vAlign w:val="center"/>
          </w:tcPr>
          <w:p w14:paraId="7B0ABEAF" w14:textId="77777777" w:rsidR="0075791A" w:rsidRDefault="00FB2864">
            <w:pPr>
              <w:pStyle w:val="TableParagraph"/>
              <w:jc w:val="center"/>
              <w:rPr>
                <w:rFonts w:ascii="宋体" w:eastAsia="宋体" w:hAnsi="宋体" w:cs="宋体"/>
                <w:color w:val="auto"/>
              </w:rPr>
            </w:pPr>
            <w:r>
              <w:rPr>
                <w:rFonts w:ascii="宋体" w:eastAsia="宋体" w:hAnsi="宋体" w:cs="宋体"/>
                <w:color w:val="auto"/>
              </w:rPr>
              <w:t>镉</w:t>
            </w:r>
          </w:p>
        </w:tc>
        <w:tc>
          <w:tcPr>
            <w:tcW w:w="715" w:type="dxa"/>
            <w:tcBorders>
              <w:top w:val="single" w:sz="8" w:space="0" w:color="000000"/>
              <w:left w:val="single" w:sz="8" w:space="0" w:color="000000"/>
              <w:bottom w:val="single" w:sz="8" w:space="0" w:color="000000"/>
              <w:right w:val="single" w:sz="8" w:space="0" w:color="000000"/>
            </w:tcBorders>
            <w:vAlign w:val="center"/>
          </w:tcPr>
          <w:p w14:paraId="664245B2" w14:textId="77777777" w:rsidR="0075791A" w:rsidRDefault="00FB2864">
            <w:pPr>
              <w:pStyle w:val="TableParagraph"/>
              <w:jc w:val="center"/>
              <w:rPr>
                <w:rFonts w:ascii="宋体" w:eastAsia="宋体" w:hAnsi="宋体" w:cs="宋体"/>
                <w:color w:val="auto"/>
              </w:rPr>
            </w:pPr>
            <w:r>
              <w:rPr>
                <w:rFonts w:ascii="宋体" w:eastAsia="宋体" w:hAnsi="宋体" w:cs="宋体"/>
                <w:color w:val="auto"/>
              </w:rPr>
              <w:t>铬</w:t>
            </w:r>
          </w:p>
        </w:tc>
      </w:tr>
      <w:tr w:rsidR="0075791A" w14:paraId="26E5F75E" w14:textId="77777777">
        <w:trPr>
          <w:trHeight w:hRule="exact" w:val="336"/>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0927F83A"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1</w:t>
            </w:r>
          </w:p>
        </w:tc>
        <w:tc>
          <w:tcPr>
            <w:tcW w:w="1354" w:type="dxa"/>
            <w:tcBorders>
              <w:top w:val="single" w:sz="8" w:space="0" w:color="000000"/>
              <w:left w:val="single" w:sz="8" w:space="0" w:color="000000"/>
              <w:bottom w:val="single" w:sz="8" w:space="0" w:color="000000"/>
              <w:right w:val="single" w:sz="8" w:space="0" w:color="000000"/>
            </w:tcBorders>
            <w:vAlign w:val="center"/>
          </w:tcPr>
          <w:p w14:paraId="5D6A8649"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QM1</w:t>
            </w:r>
          </w:p>
        </w:tc>
        <w:tc>
          <w:tcPr>
            <w:tcW w:w="715" w:type="dxa"/>
            <w:tcBorders>
              <w:top w:val="single" w:sz="8" w:space="0" w:color="000000"/>
              <w:left w:val="single" w:sz="8" w:space="0" w:color="000000"/>
              <w:bottom w:val="single" w:sz="8" w:space="0" w:color="000000"/>
              <w:right w:val="single" w:sz="8" w:space="0" w:color="000000"/>
            </w:tcBorders>
            <w:vAlign w:val="center"/>
          </w:tcPr>
          <w:p w14:paraId="5AAE87B8"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74997894"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3EB3C4B2"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118DAF1E"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0383CC32"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723D59C7"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36AA094D"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343398EE"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3A7EA0A7" w14:textId="77777777" w:rsidR="0075791A" w:rsidRDefault="0075791A">
            <w:pPr>
              <w:pStyle w:val="TableParagraph"/>
              <w:jc w:val="center"/>
              <w:rPr>
                <w:rFonts w:ascii="Times New Roman" w:eastAsia="Times New Roman" w:hAnsi="Times New Roman" w:cs="Times New Roman"/>
                <w:color w:val="auto"/>
              </w:rPr>
            </w:pPr>
          </w:p>
        </w:tc>
      </w:tr>
      <w:tr w:rsidR="0075791A" w14:paraId="1D9CF531" w14:textId="77777777">
        <w:trPr>
          <w:trHeight w:hRule="exact" w:val="334"/>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5F4F9CAD"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2</w:t>
            </w:r>
          </w:p>
        </w:tc>
        <w:tc>
          <w:tcPr>
            <w:tcW w:w="1354" w:type="dxa"/>
            <w:tcBorders>
              <w:top w:val="single" w:sz="8" w:space="0" w:color="000000"/>
              <w:left w:val="single" w:sz="8" w:space="0" w:color="000000"/>
              <w:bottom w:val="single" w:sz="8" w:space="0" w:color="000000"/>
              <w:right w:val="single" w:sz="8" w:space="0" w:color="000000"/>
            </w:tcBorders>
            <w:vAlign w:val="center"/>
          </w:tcPr>
          <w:p w14:paraId="0C3A7649"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QM2</w:t>
            </w:r>
          </w:p>
        </w:tc>
        <w:tc>
          <w:tcPr>
            <w:tcW w:w="715" w:type="dxa"/>
            <w:tcBorders>
              <w:top w:val="single" w:sz="8" w:space="0" w:color="000000"/>
              <w:left w:val="single" w:sz="8" w:space="0" w:color="000000"/>
              <w:bottom w:val="single" w:sz="8" w:space="0" w:color="000000"/>
              <w:right w:val="single" w:sz="8" w:space="0" w:color="000000"/>
            </w:tcBorders>
            <w:vAlign w:val="center"/>
          </w:tcPr>
          <w:p w14:paraId="39D89567"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44E863D0"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224A02C6"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0C59221A"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527DED73"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440B42D9"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7F105226"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302C7B69"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35872B82" w14:textId="77777777" w:rsidR="0075791A" w:rsidRDefault="0075791A">
            <w:pPr>
              <w:pStyle w:val="TableParagraph"/>
              <w:jc w:val="center"/>
              <w:rPr>
                <w:rFonts w:ascii="Times New Roman" w:eastAsia="Times New Roman" w:hAnsi="Times New Roman" w:cs="Times New Roman"/>
                <w:color w:val="auto"/>
              </w:rPr>
            </w:pPr>
          </w:p>
        </w:tc>
      </w:tr>
      <w:tr w:rsidR="0075791A" w14:paraId="04702ACD" w14:textId="77777777">
        <w:trPr>
          <w:trHeight w:hRule="exact" w:val="336"/>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29771FE9"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3</w:t>
            </w:r>
          </w:p>
        </w:tc>
        <w:tc>
          <w:tcPr>
            <w:tcW w:w="1354" w:type="dxa"/>
            <w:tcBorders>
              <w:top w:val="single" w:sz="8" w:space="0" w:color="000000"/>
              <w:left w:val="single" w:sz="8" w:space="0" w:color="000000"/>
              <w:bottom w:val="single" w:sz="8" w:space="0" w:color="000000"/>
              <w:right w:val="single" w:sz="8" w:space="0" w:color="000000"/>
            </w:tcBorders>
            <w:vAlign w:val="center"/>
          </w:tcPr>
          <w:p w14:paraId="5A0FEF95"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QM3</w:t>
            </w:r>
          </w:p>
        </w:tc>
        <w:tc>
          <w:tcPr>
            <w:tcW w:w="715" w:type="dxa"/>
            <w:tcBorders>
              <w:top w:val="single" w:sz="8" w:space="0" w:color="000000"/>
              <w:left w:val="single" w:sz="8" w:space="0" w:color="000000"/>
              <w:bottom w:val="single" w:sz="8" w:space="0" w:color="000000"/>
              <w:right w:val="single" w:sz="8" w:space="0" w:color="000000"/>
            </w:tcBorders>
            <w:vAlign w:val="center"/>
          </w:tcPr>
          <w:p w14:paraId="3066FAFA"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79B7061C"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7D725056"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2580F04D"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5E8F7397"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40525BD8"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329A4E34"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64B6E779"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57DAEAD7" w14:textId="77777777" w:rsidR="0075791A" w:rsidRDefault="0075791A">
            <w:pPr>
              <w:pStyle w:val="TableParagraph"/>
              <w:jc w:val="center"/>
              <w:rPr>
                <w:rFonts w:ascii="Times New Roman" w:eastAsia="Times New Roman" w:hAnsi="Times New Roman" w:cs="Times New Roman"/>
                <w:color w:val="auto"/>
              </w:rPr>
            </w:pPr>
          </w:p>
        </w:tc>
      </w:tr>
      <w:tr w:rsidR="0075791A" w14:paraId="27284EEE" w14:textId="77777777">
        <w:trPr>
          <w:trHeight w:hRule="exact" w:val="334"/>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5E26B524"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4</w:t>
            </w:r>
          </w:p>
        </w:tc>
        <w:tc>
          <w:tcPr>
            <w:tcW w:w="1354" w:type="dxa"/>
            <w:tcBorders>
              <w:top w:val="single" w:sz="8" w:space="0" w:color="000000"/>
              <w:left w:val="single" w:sz="8" w:space="0" w:color="000000"/>
              <w:bottom w:val="single" w:sz="8" w:space="0" w:color="000000"/>
              <w:right w:val="single" w:sz="8" w:space="0" w:color="000000"/>
            </w:tcBorders>
            <w:vAlign w:val="center"/>
          </w:tcPr>
          <w:p w14:paraId="0E00088A"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QM4</w:t>
            </w:r>
          </w:p>
        </w:tc>
        <w:tc>
          <w:tcPr>
            <w:tcW w:w="715" w:type="dxa"/>
            <w:tcBorders>
              <w:top w:val="single" w:sz="8" w:space="0" w:color="000000"/>
              <w:left w:val="single" w:sz="8" w:space="0" w:color="000000"/>
              <w:bottom w:val="single" w:sz="8" w:space="0" w:color="000000"/>
              <w:right w:val="single" w:sz="8" w:space="0" w:color="000000"/>
            </w:tcBorders>
            <w:vAlign w:val="center"/>
          </w:tcPr>
          <w:p w14:paraId="32543D2C"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64BB8CCF"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0A15DA83"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036C89FE"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75F683CD"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0D2B47F6"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50745ED7"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1B6739F8"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6227AD18" w14:textId="77777777" w:rsidR="0075791A" w:rsidRDefault="0075791A">
            <w:pPr>
              <w:pStyle w:val="TableParagraph"/>
              <w:jc w:val="center"/>
              <w:rPr>
                <w:rFonts w:ascii="Times New Roman" w:eastAsia="Times New Roman" w:hAnsi="Times New Roman" w:cs="Times New Roman"/>
                <w:color w:val="auto"/>
              </w:rPr>
            </w:pPr>
          </w:p>
        </w:tc>
      </w:tr>
      <w:tr w:rsidR="0075791A" w14:paraId="7DB25705" w14:textId="77777777">
        <w:trPr>
          <w:trHeight w:hRule="exact" w:val="336"/>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5068D8CD"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5</w:t>
            </w:r>
          </w:p>
        </w:tc>
        <w:tc>
          <w:tcPr>
            <w:tcW w:w="1354" w:type="dxa"/>
            <w:tcBorders>
              <w:top w:val="single" w:sz="8" w:space="0" w:color="000000"/>
              <w:left w:val="single" w:sz="8" w:space="0" w:color="000000"/>
              <w:bottom w:val="single" w:sz="8" w:space="0" w:color="000000"/>
              <w:right w:val="single" w:sz="8" w:space="0" w:color="000000"/>
            </w:tcBorders>
            <w:vAlign w:val="center"/>
          </w:tcPr>
          <w:p w14:paraId="6152103B"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QM5</w:t>
            </w:r>
          </w:p>
        </w:tc>
        <w:tc>
          <w:tcPr>
            <w:tcW w:w="715" w:type="dxa"/>
            <w:tcBorders>
              <w:top w:val="single" w:sz="8" w:space="0" w:color="000000"/>
              <w:left w:val="single" w:sz="8" w:space="0" w:color="000000"/>
              <w:bottom w:val="single" w:sz="8" w:space="0" w:color="000000"/>
              <w:right w:val="single" w:sz="8" w:space="0" w:color="000000"/>
            </w:tcBorders>
            <w:vAlign w:val="center"/>
          </w:tcPr>
          <w:p w14:paraId="24458685"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1A46630D"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1952AF2F"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1417602A"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5FD0E6AD"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6C2E5642"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48B012E5"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25D1AAD8"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7793D72A" w14:textId="77777777" w:rsidR="0075791A" w:rsidRDefault="0075791A">
            <w:pPr>
              <w:pStyle w:val="TableParagraph"/>
              <w:jc w:val="center"/>
              <w:rPr>
                <w:rFonts w:ascii="Times New Roman" w:eastAsia="Times New Roman" w:hAnsi="Times New Roman" w:cs="Times New Roman"/>
                <w:color w:val="auto"/>
              </w:rPr>
            </w:pPr>
          </w:p>
        </w:tc>
      </w:tr>
      <w:tr w:rsidR="0075791A" w14:paraId="5D4DC1A7" w14:textId="77777777">
        <w:trPr>
          <w:trHeight w:hRule="exact" w:val="336"/>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3DC16941"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6</w:t>
            </w:r>
          </w:p>
        </w:tc>
        <w:tc>
          <w:tcPr>
            <w:tcW w:w="1354" w:type="dxa"/>
            <w:tcBorders>
              <w:top w:val="single" w:sz="8" w:space="0" w:color="000000"/>
              <w:left w:val="single" w:sz="8" w:space="0" w:color="000000"/>
              <w:bottom w:val="single" w:sz="8" w:space="0" w:color="000000"/>
              <w:right w:val="single" w:sz="8" w:space="0" w:color="000000"/>
            </w:tcBorders>
            <w:vAlign w:val="center"/>
          </w:tcPr>
          <w:p w14:paraId="3FEFC7FE"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QM6</w:t>
            </w:r>
          </w:p>
        </w:tc>
        <w:tc>
          <w:tcPr>
            <w:tcW w:w="715" w:type="dxa"/>
            <w:tcBorders>
              <w:top w:val="single" w:sz="8" w:space="0" w:color="000000"/>
              <w:left w:val="single" w:sz="8" w:space="0" w:color="000000"/>
              <w:bottom w:val="single" w:sz="8" w:space="0" w:color="000000"/>
              <w:right w:val="single" w:sz="8" w:space="0" w:color="000000"/>
            </w:tcBorders>
            <w:vAlign w:val="center"/>
          </w:tcPr>
          <w:p w14:paraId="6CD82BE5"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3C18DB1D"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209AC92B"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6D244418"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235545E1"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196697A4"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0FD42C53"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59B5130A"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12A84AE4" w14:textId="77777777" w:rsidR="0075791A" w:rsidRDefault="0075791A">
            <w:pPr>
              <w:pStyle w:val="TableParagraph"/>
              <w:jc w:val="center"/>
              <w:rPr>
                <w:rFonts w:ascii="Times New Roman" w:eastAsia="Times New Roman" w:hAnsi="Times New Roman" w:cs="Times New Roman"/>
                <w:color w:val="auto"/>
              </w:rPr>
            </w:pPr>
          </w:p>
        </w:tc>
      </w:tr>
      <w:tr w:rsidR="0075791A" w14:paraId="1D8656A8" w14:textId="77777777">
        <w:trPr>
          <w:trHeight w:hRule="exact" w:val="334"/>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0B0AFFAF"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7</w:t>
            </w:r>
          </w:p>
        </w:tc>
        <w:tc>
          <w:tcPr>
            <w:tcW w:w="1354" w:type="dxa"/>
            <w:tcBorders>
              <w:top w:val="single" w:sz="8" w:space="0" w:color="000000"/>
              <w:left w:val="single" w:sz="8" w:space="0" w:color="000000"/>
              <w:bottom w:val="single" w:sz="8" w:space="0" w:color="000000"/>
              <w:right w:val="single" w:sz="8" w:space="0" w:color="000000"/>
            </w:tcBorders>
            <w:vAlign w:val="center"/>
          </w:tcPr>
          <w:p w14:paraId="3FFF9226"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GM1</w:t>
            </w:r>
          </w:p>
        </w:tc>
        <w:tc>
          <w:tcPr>
            <w:tcW w:w="715" w:type="dxa"/>
            <w:tcBorders>
              <w:top w:val="single" w:sz="8" w:space="0" w:color="000000"/>
              <w:left w:val="single" w:sz="8" w:space="0" w:color="000000"/>
              <w:bottom w:val="single" w:sz="8" w:space="0" w:color="000000"/>
              <w:right w:val="single" w:sz="8" w:space="0" w:color="000000"/>
            </w:tcBorders>
            <w:vAlign w:val="center"/>
          </w:tcPr>
          <w:p w14:paraId="4A9690C6"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0D3CD506"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71C4F987"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2CA5B2A5"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6BC32E7E"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39DB8DB6"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36D8555C"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244F86E3"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19F66B7D" w14:textId="77777777" w:rsidR="0075791A" w:rsidRDefault="0075791A">
            <w:pPr>
              <w:pStyle w:val="TableParagraph"/>
              <w:jc w:val="center"/>
              <w:rPr>
                <w:rFonts w:ascii="Times New Roman" w:eastAsia="Times New Roman" w:hAnsi="Times New Roman" w:cs="Times New Roman"/>
                <w:color w:val="auto"/>
              </w:rPr>
            </w:pPr>
          </w:p>
        </w:tc>
      </w:tr>
      <w:tr w:rsidR="0075791A" w14:paraId="0CCDA24D" w14:textId="77777777">
        <w:trPr>
          <w:trHeight w:hRule="exact" w:val="336"/>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45B72001"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8</w:t>
            </w:r>
          </w:p>
        </w:tc>
        <w:tc>
          <w:tcPr>
            <w:tcW w:w="1354" w:type="dxa"/>
            <w:tcBorders>
              <w:top w:val="single" w:sz="8" w:space="0" w:color="000000"/>
              <w:left w:val="single" w:sz="8" w:space="0" w:color="000000"/>
              <w:bottom w:val="single" w:sz="8" w:space="0" w:color="000000"/>
              <w:right w:val="single" w:sz="8" w:space="0" w:color="000000"/>
            </w:tcBorders>
            <w:vAlign w:val="center"/>
          </w:tcPr>
          <w:p w14:paraId="1D53B050"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GM2</w:t>
            </w:r>
          </w:p>
        </w:tc>
        <w:tc>
          <w:tcPr>
            <w:tcW w:w="715" w:type="dxa"/>
            <w:tcBorders>
              <w:top w:val="single" w:sz="8" w:space="0" w:color="000000"/>
              <w:left w:val="single" w:sz="8" w:space="0" w:color="000000"/>
              <w:bottom w:val="single" w:sz="8" w:space="0" w:color="000000"/>
              <w:right w:val="single" w:sz="8" w:space="0" w:color="000000"/>
            </w:tcBorders>
            <w:vAlign w:val="center"/>
          </w:tcPr>
          <w:p w14:paraId="2E9FC0C2"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41B2A832"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7DEB5835"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48A3E57C"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52A7A62E"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049F0E47"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64F36BEB"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69800410"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6F28D704" w14:textId="77777777" w:rsidR="0075791A" w:rsidRDefault="0075791A">
            <w:pPr>
              <w:pStyle w:val="TableParagraph"/>
              <w:jc w:val="center"/>
              <w:rPr>
                <w:rFonts w:ascii="Times New Roman" w:eastAsia="Times New Roman" w:hAnsi="Times New Roman" w:cs="Times New Roman"/>
                <w:color w:val="auto"/>
              </w:rPr>
            </w:pPr>
          </w:p>
        </w:tc>
      </w:tr>
      <w:tr w:rsidR="0075791A" w14:paraId="39206281" w14:textId="77777777">
        <w:trPr>
          <w:trHeight w:hRule="exact" w:val="334"/>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47D8228A"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9</w:t>
            </w:r>
          </w:p>
        </w:tc>
        <w:tc>
          <w:tcPr>
            <w:tcW w:w="1354" w:type="dxa"/>
            <w:tcBorders>
              <w:top w:val="single" w:sz="8" w:space="0" w:color="000000"/>
              <w:left w:val="single" w:sz="8" w:space="0" w:color="000000"/>
              <w:bottom w:val="single" w:sz="8" w:space="0" w:color="000000"/>
              <w:right w:val="single" w:sz="8" w:space="0" w:color="000000"/>
            </w:tcBorders>
            <w:vAlign w:val="center"/>
          </w:tcPr>
          <w:p w14:paraId="49B1D54F"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GM3</w:t>
            </w:r>
          </w:p>
        </w:tc>
        <w:tc>
          <w:tcPr>
            <w:tcW w:w="715" w:type="dxa"/>
            <w:tcBorders>
              <w:top w:val="single" w:sz="8" w:space="0" w:color="000000"/>
              <w:left w:val="single" w:sz="8" w:space="0" w:color="000000"/>
              <w:bottom w:val="single" w:sz="8" w:space="0" w:color="000000"/>
              <w:right w:val="single" w:sz="8" w:space="0" w:color="000000"/>
            </w:tcBorders>
            <w:vAlign w:val="center"/>
          </w:tcPr>
          <w:p w14:paraId="465114FC"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2F9EE6DB"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7E0B3B31"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0FEACCA0"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3DB8D97C"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777C4F32"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76F7399B"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0569E6AC"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4AC31599" w14:textId="77777777" w:rsidR="0075791A" w:rsidRDefault="0075791A">
            <w:pPr>
              <w:pStyle w:val="TableParagraph"/>
              <w:jc w:val="center"/>
              <w:rPr>
                <w:rFonts w:ascii="Times New Roman" w:eastAsia="Times New Roman" w:hAnsi="Times New Roman" w:cs="Times New Roman"/>
                <w:color w:val="auto"/>
              </w:rPr>
            </w:pPr>
          </w:p>
        </w:tc>
      </w:tr>
      <w:tr w:rsidR="0075791A" w14:paraId="3CE175FE" w14:textId="77777777">
        <w:trPr>
          <w:trHeight w:hRule="exact" w:val="336"/>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2A6FB320"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0</w:t>
            </w:r>
          </w:p>
        </w:tc>
        <w:tc>
          <w:tcPr>
            <w:tcW w:w="1354" w:type="dxa"/>
            <w:tcBorders>
              <w:top w:val="single" w:sz="8" w:space="0" w:color="000000"/>
              <w:left w:val="single" w:sz="8" w:space="0" w:color="000000"/>
              <w:bottom w:val="single" w:sz="8" w:space="0" w:color="000000"/>
              <w:right w:val="single" w:sz="8" w:space="0" w:color="000000"/>
            </w:tcBorders>
            <w:vAlign w:val="center"/>
          </w:tcPr>
          <w:p w14:paraId="1A379850"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GM4</w:t>
            </w:r>
          </w:p>
        </w:tc>
        <w:tc>
          <w:tcPr>
            <w:tcW w:w="715" w:type="dxa"/>
            <w:tcBorders>
              <w:top w:val="single" w:sz="8" w:space="0" w:color="000000"/>
              <w:left w:val="single" w:sz="8" w:space="0" w:color="000000"/>
              <w:bottom w:val="single" w:sz="8" w:space="0" w:color="000000"/>
              <w:right w:val="single" w:sz="8" w:space="0" w:color="000000"/>
            </w:tcBorders>
            <w:vAlign w:val="center"/>
          </w:tcPr>
          <w:p w14:paraId="61DAE5B0"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25AA8CB9"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1AE54B62"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6989AE97"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61FBB557"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1068A652"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19C157DB"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29542BA6"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1D1B56E6" w14:textId="77777777" w:rsidR="0075791A" w:rsidRDefault="0075791A">
            <w:pPr>
              <w:pStyle w:val="TableParagraph"/>
              <w:jc w:val="center"/>
              <w:rPr>
                <w:rFonts w:ascii="Times New Roman" w:eastAsia="Times New Roman" w:hAnsi="Times New Roman" w:cs="Times New Roman"/>
                <w:color w:val="auto"/>
              </w:rPr>
            </w:pPr>
          </w:p>
        </w:tc>
      </w:tr>
      <w:tr w:rsidR="0075791A" w14:paraId="1FC6F3CF" w14:textId="77777777">
        <w:trPr>
          <w:trHeight w:hRule="exact" w:val="336"/>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30787335"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1</w:t>
            </w:r>
          </w:p>
        </w:tc>
        <w:tc>
          <w:tcPr>
            <w:tcW w:w="1354" w:type="dxa"/>
            <w:tcBorders>
              <w:top w:val="single" w:sz="8" w:space="0" w:color="000000"/>
              <w:left w:val="single" w:sz="8" w:space="0" w:color="000000"/>
              <w:bottom w:val="single" w:sz="8" w:space="0" w:color="000000"/>
              <w:right w:val="single" w:sz="8" w:space="0" w:color="000000"/>
            </w:tcBorders>
            <w:vAlign w:val="center"/>
          </w:tcPr>
          <w:p w14:paraId="17E87B3E"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GM5</w:t>
            </w:r>
          </w:p>
        </w:tc>
        <w:tc>
          <w:tcPr>
            <w:tcW w:w="715" w:type="dxa"/>
            <w:tcBorders>
              <w:top w:val="single" w:sz="8" w:space="0" w:color="000000"/>
              <w:left w:val="single" w:sz="8" w:space="0" w:color="000000"/>
              <w:bottom w:val="single" w:sz="8" w:space="0" w:color="000000"/>
              <w:right w:val="single" w:sz="8" w:space="0" w:color="000000"/>
            </w:tcBorders>
            <w:vAlign w:val="center"/>
          </w:tcPr>
          <w:p w14:paraId="4CCCBBD6"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654ED110"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1BB7483A"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615AA4BF"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6D6F1EC2"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5AFBDD7B"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0B6C8BD5"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5E3D1D2E"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69954D64" w14:textId="77777777" w:rsidR="0075791A" w:rsidRDefault="0075791A">
            <w:pPr>
              <w:pStyle w:val="TableParagraph"/>
              <w:jc w:val="center"/>
              <w:rPr>
                <w:rFonts w:ascii="Times New Roman" w:eastAsia="Times New Roman" w:hAnsi="Times New Roman" w:cs="Times New Roman"/>
                <w:color w:val="auto"/>
              </w:rPr>
            </w:pPr>
          </w:p>
        </w:tc>
      </w:tr>
      <w:tr w:rsidR="0075791A" w14:paraId="1527533C" w14:textId="77777777">
        <w:trPr>
          <w:trHeight w:hRule="exact" w:val="334"/>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2E84170E"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2</w:t>
            </w:r>
          </w:p>
        </w:tc>
        <w:tc>
          <w:tcPr>
            <w:tcW w:w="1354" w:type="dxa"/>
            <w:tcBorders>
              <w:top w:val="single" w:sz="8" w:space="0" w:color="000000"/>
              <w:left w:val="single" w:sz="8" w:space="0" w:color="000000"/>
              <w:bottom w:val="single" w:sz="8" w:space="0" w:color="000000"/>
              <w:right w:val="single" w:sz="8" w:space="0" w:color="000000"/>
            </w:tcBorders>
            <w:vAlign w:val="center"/>
          </w:tcPr>
          <w:p w14:paraId="1C75392C"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GM6</w:t>
            </w:r>
          </w:p>
        </w:tc>
        <w:tc>
          <w:tcPr>
            <w:tcW w:w="715" w:type="dxa"/>
            <w:tcBorders>
              <w:top w:val="single" w:sz="8" w:space="0" w:color="000000"/>
              <w:left w:val="single" w:sz="8" w:space="0" w:color="000000"/>
              <w:bottom w:val="single" w:sz="8" w:space="0" w:color="000000"/>
              <w:right w:val="single" w:sz="8" w:space="0" w:color="000000"/>
            </w:tcBorders>
            <w:vAlign w:val="center"/>
          </w:tcPr>
          <w:p w14:paraId="581F1297"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3B19213E"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4E1D2110"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4E8A3EF9"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289EC055"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6D45499A"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16259927"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3B71188D"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7CC7B994" w14:textId="77777777" w:rsidR="0075791A" w:rsidRDefault="0075791A">
            <w:pPr>
              <w:pStyle w:val="TableParagraph"/>
              <w:jc w:val="center"/>
              <w:rPr>
                <w:rFonts w:ascii="Times New Roman" w:eastAsia="Times New Roman" w:hAnsi="Times New Roman" w:cs="Times New Roman"/>
                <w:color w:val="auto"/>
              </w:rPr>
            </w:pPr>
          </w:p>
        </w:tc>
      </w:tr>
      <w:tr w:rsidR="0075791A" w14:paraId="5710542B" w14:textId="77777777">
        <w:trPr>
          <w:trHeight w:hRule="exact" w:val="336"/>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20B0F100"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3</w:t>
            </w:r>
          </w:p>
        </w:tc>
        <w:tc>
          <w:tcPr>
            <w:tcW w:w="1354" w:type="dxa"/>
            <w:tcBorders>
              <w:top w:val="single" w:sz="8" w:space="0" w:color="000000"/>
              <w:left w:val="single" w:sz="8" w:space="0" w:color="000000"/>
              <w:bottom w:val="single" w:sz="8" w:space="0" w:color="000000"/>
              <w:right w:val="single" w:sz="8" w:space="0" w:color="000000"/>
            </w:tcBorders>
            <w:vAlign w:val="center"/>
          </w:tcPr>
          <w:p w14:paraId="3F1A5C6D"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GM7</w:t>
            </w:r>
          </w:p>
        </w:tc>
        <w:tc>
          <w:tcPr>
            <w:tcW w:w="715" w:type="dxa"/>
            <w:tcBorders>
              <w:top w:val="single" w:sz="8" w:space="0" w:color="000000"/>
              <w:left w:val="single" w:sz="8" w:space="0" w:color="000000"/>
              <w:bottom w:val="single" w:sz="8" w:space="0" w:color="000000"/>
              <w:right w:val="single" w:sz="8" w:space="0" w:color="000000"/>
            </w:tcBorders>
            <w:vAlign w:val="center"/>
          </w:tcPr>
          <w:p w14:paraId="715889C0"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6CA987E1"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3ECEA9C4"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195394C1"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367E6DB5"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2B437812"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566210AC"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0B2670ED"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5CC6F0CA" w14:textId="77777777" w:rsidR="0075791A" w:rsidRDefault="0075791A">
            <w:pPr>
              <w:pStyle w:val="TableParagraph"/>
              <w:jc w:val="center"/>
              <w:rPr>
                <w:rFonts w:ascii="Times New Roman" w:eastAsia="Times New Roman" w:hAnsi="Times New Roman" w:cs="Times New Roman"/>
                <w:color w:val="auto"/>
              </w:rPr>
            </w:pPr>
          </w:p>
        </w:tc>
      </w:tr>
      <w:tr w:rsidR="0075791A" w14:paraId="1B6E2CE7" w14:textId="77777777">
        <w:trPr>
          <w:trHeight w:hRule="exact" w:val="334"/>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2879C6D8"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4</w:t>
            </w:r>
          </w:p>
        </w:tc>
        <w:tc>
          <w:tcPr>
            <w:tcW w:w="1354" w:type="dxa"/>
            <w:tcBorders>
              <w:top w:val="single" w:sz="8" w:space="0" w:color="000000"/>
              <w:left w:val="single" w:sz="8" w:space="0" w:color="000000"/>
              <w:bottom w:val="single" w:sz="8" w:space="0" w:color="000000"/>
              <w:right w:val="single" w:sz="8" w:space="0" w:color="000000"/>
            </w:tcBorders>
            <w:vAlign w:val="center"/>
          </w:tcPr>
          <w:p w14:paraId="62CE2269"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GM8</w:t>
            </w:r>
          </w:p>
        </w:tc>
        <w:tc>
          <w:tcPr>
            <w:tcW w:w="715" w:type="dxa"/>
            <w:tcBorders>
              <w:top w:val="single" w:sz="8" w:space="0" w:color="000000"/>
              <w:left w:val="single" w:sz="8" w:space="0" w:color="000000"/>
              <w:bottom w:val="single" w:sz="8" w:space="0" w:color="000000"/>
              <w:right w:val="single" w:sz="8" w:space="0" w:color="000000"/>
            </w:tcBorders>
            <w:vAlign w:val="center"/>
          </w:tcPr>
          <w:p w14:paraId="190AFD19"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559C7196"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6DBE6899"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3CBF9F02"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1E43D915"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2BEBCDCD"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1042FCC7"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74E826D2"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09263FE7" w14:textId="77777777" w:rsidR="0075791A" w:rsidRDefault="0075791A">
            <w:pPr>
              <w:pStyle w:val="TableParagraph"/>
              <w:jc w:val="center"/>
              <w:rPr>
                <w:rFonts w:ascii="Times New Roman" w:eastAsia="Times New Roman" w:hAnsi="Times New Roman" w:cs="Times New Roman"/>
                <w:color w:val="auto"/>
              </w:rPr>
            </w:pPr>
          </w:p>
        </w:tc>
      </w:tr>
      <w:tr w:rsidR="0075791A" w14:paraId="5401D2C9" w14:textId="77777777">
        <w:trPr>
          <w:trHeight w:hRule="exact" w:val="336"/>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6CBD654B"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5</w:t>
            </w:r>
          </w:p>
        </w:tc>
        <w:tc>
          <w:tcPr>
            <w:tcW w:w="1354" w:type="dxa"/>
            <w:tcBorders>
              <w:top w:val="single" w:sz="8" w:space="0" w:color="000000"/>
              <w:left w:val="single" w:sz="8" w:space="0" w:color="000000"/>
              <w:bottom w:val="single" w:sz="8" w:space="0" w:color="000000"/>
              <w:right w:val="single" w:sz="8" w:space="0" w:color="000000"/>
            </w:tcBorders>
            <w:vAlign w:val="center"/>
          </w:tcPr>
          <w:p w14:paraId="38E3E41C"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GM9</w:t>
            </w:r>
          </w:p>
        </w:tc>
        <w:tc>
          <w:tcPr>
            <w:tcW w:w="715" w:type="dxa"/>
            <w:tcBorders>
              <w:top w:val="single" w:sz="8" w:space="0" w:color="000000"/>
              <w:left w:val="single" w:sz="8" w:space="0" w:color="000000"/>
              <w:bottom w:val="single" w:sz="8" w:space="0" w:color="000000"/>
              <w:right w:val="single" w:sz="8" w:space="0" w:color="000000"/>
            </w:tcBorders>
            <w:vAlign w:val="center"/>
          </w:tcPr>
          <w:p w14:paraId="19B2D560"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7CB0771F"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18D6E9C2"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07D276F2"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3029CF9F"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4F0ED8F5"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07A612D0"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092C66F2"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0775F9EE" w14:textId="77777777" w:rsidR="0075791A" w:rsidRDefault="0075791A">
            <w:pPr>
              <w:pStyle w:val="TableParagraph"/>
              <w:jc w:val="center"/>
              <w:rPr>
                <w:rFonts w:ascii="Times New Roman" w:eastAsia="Times New Roman" w:hAnsi="Times New Roman" w:cs="Times New Roman"/>
                <w:color w:val="auto"/>
              </w:rPr>
            </w:pPr>
          </w:p>
        </w:tc>
      </w:tr>
      <w:tr w:rsidR="0075791A" w14:paraId="4124EBEB" w14:textId="77777777">
        <w:trPr>
          <w:trHeight w:hRule="exact" w:val="334"/>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6500531E"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6</w:t>
            </w:r>
          </w:p>
        </w:tc>
        <w:tc>
          <w:tcPr>
            <w:tcW w:w="1354" w:type="dxa"/>
            <w:tcBorders>
              <w:top w:val="single" w:sz="8" w:space="0" w:color="000000"/>
              <w:left w:val="single" w:sz="8" w:space="0" w:color="000000"/>
              <w:bottom w:val="single" w:sz="8" w:space="0" w:color="000000"/>
              <w:right w:val="single" w:sz="8" w:space="0" w:color="000000"/>
            </w:tcBorders>
            <w:vAlign w:val="center"/>
          </w:tcPr>
          <w:p w14:paraId="58818787"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GM10</w:t>
            </w:r>
          </w:p>
        </w:tc>
        <w:tc>
          <w:tcPr>
            <w:tcW w:w="715" w:type="dxa"/>
            <w:tcBorders>
              <w:top w:val="single" w:sz="8" w:space="0" w:color="000000"/>
              <w:left w:val="single" w:sz="8" w:space="0" w:color="000000"/>
              <w:bottom w:val="single" w:sz="8" w:space="0" w:color="000000"/>
              <w:right w:val="single" w:sz="8" w:space="0" w:color="000000"/>
            </w:tcBorders>
            <w:vAlign w:val="center"/>
          </w:tcPr>
          <w:p w14:paraId="7C3939E1"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3A6E65E6"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3847F774"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3BED013F"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0E559B24"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052D71F9"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3B7A1248"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551C302B"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3570BD8F" w14:textId="77777777" w:rsidR="0075791A" w:rsidRDefault="0075791A">
            <w:pPr>
              <w:pStyle w:val="TableParagraph"/>
              <w:jc w:val="center"/>
              <w:rPr>
                <w:rFonts w:ascii="Times New Roman" w:eastAsia="Times New Roman" w:hAnsi="Times New Roman" w:cs="Times New Roman"/>
                <w:color w:val="auto"/>
              </w:rPr>
            </w:pPr>
          </w:p>
        </w:tc>
      </w:tr>
      <w:tr w:rsidR="0075791A" w14:paraId="042893EC" w14:textId="77777777">
        <w:trPr>
          <w:trHeight w:hRule="exact" w:val="336"/>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407B6F76"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7</w:t>
            </w:r>
          </w:p>
        </w:tc>
        <w:tc>
          <w:tcPr>
            <w:tcW w:w="1354" w:type="dxa"/>
            <w:tcBorders>
              <w:top w:val="single" w:sz="8" w:space="0" w:color="000000"/>
              <w:left w:val="single" w:sz="8" w:space="0" w:color="000000"/>
              <w:bottom w:val="single" w:sz="8" w:space="0" w:color="000000"/>
              <w:right w:val="single" w:sz="8" w:space="0" w:color="000000"/>
            </w:tcBorders>
            <w:vAlign w:val="center"/>
          </w:tcPr>
          <w:p w14:paraId="5A6FDA95"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GM11</w:t>
            </w:r>
          </w:p>
        </w:tc>
        <w:tc>
          <w:tcPr>
            <w:tcW w:w="715" w:type="dxa"/>
            <w:tcBorders>
              <w:top w:val="single" w:sz="8" w:space="0" w:color="000000"/>
              <w:left w:val="single" w:sz="8" w:space="0" w:color="000000"/>
              <w:bottom w:val="single" w:sz="8" w:space="0" w:color="000000"/>
              <w:right w:val="single" w:sz="8" w:space="0" w:color="000000"/>
            </w:tcBorders>
            <w:vAlign w:val="center"/>
          </w:tcPr>
          <w:p w14:paraId="1021625E"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6BC77AA0"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5EB83B18"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5CBFE202"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484E3BD8"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7C5AB47E"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3ECB3C9C"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15E109D0"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75421B92" w14:textId="77777777" w:rsidR="0075791A" w:rsidRDefault="0075791A">
            <w:pPr>
              <w:pStyle w:val="TableParagraph"/>
              <w:jc w:val="center"/>
              <w:rPr>
                <w:rFonts w:ascii="Times New Roman" w:eastAsia="Times New Roman" w:hAnsi="Times New Roman" w:cs="Times New Roman"/>
                <w:color w:val="auto"/>
              </w:rPr>
            </w:pPr>
          </w:p>
        </w:tc>
      </w:tr>
      <w:tr w:rsidR="0075791A" w14:paraId="0B828D30" w14:textId="77777777">
        <w:trPr>
          <w:trHeight w:hRule="exact" w:val="336"/>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23BF7D28"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8</w:t>
            </w:r>
          </w:p>
        </w:tc>
        <w:tc>
          <w:tcPr>
            <w:tcW w:w="1354" w:type="dxa"/>
            <w:tcBorders>
              <w:top w:val="single" w:sz="8" w:space="0" w:color="000000"/>
              <w:left w:val="single" w:sz="8" w:space="0" w:color="000000"/>
              <w:bottom w:val="single" w:sz="8" w:space="0" w:color="000000"/>
              <w:right w:val="single" w:sz="8" w:space="0" w:color="000000"/>
            </w:tcBorders>
            <w:vAlign w:val="center"/>
          </w:tcPr>
          <w:p w14:paraId="043138C2"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GM12</w:t>
            </w:r>
          </w:p>
        </w:tc>
        <w:tc>
          <w:tcPr>
            <w:tcW w:w="715" w:type="dxa"/>
            <w:tcBorders>
              <w:top w:val="single" w:sz="8" w:space="0" w:color="000000"/>
              <w:left w:val="single" w:sz="8" w:space="0" w:color="000000"/>
              <w:bottom w:val="single" w:sz="8" w:space="0" w:color="000000"/>
              <w:right w:val="single" w:sz="8" w:space="0" w:color="000000"/>
            </w:tcBorders>
            <w:vAlign w:val="center"/>
          </w:tcPr>
          <w:p w14:paraId="6F5B1A0E"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1503720A"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403AB34A"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26FCE691"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4F26037E"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0060E92C"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20DDDBC8"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7A45543B"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50BD5C16" w14:textId="77777777" w:rsidR="0075791A" w:rsidRDefault="0075791A">
            <w:pPr>
              <w:pStyle w:val="TableParagraph"/>
              <w:jc w:val="center"/>
              <w:rPr>
                <w:rFonts w:ascii="Times New Roman" w:eastAsia="Times New Roman" w:hAnsi="Times New Roman" w:cs="Times New Roman"/>
                <w:color w:val="auto"/>
              </w:rPr>
            </w:pPr>
          </w:p>
        </w:tc>
      </w:tr>
      <w:tr w:rsidR="0075791A" w14:paraId="45BFAD54" w14:textId="77777777">
        <w:trPr>
          <w:trHeight w:hRule="exact" w:val="334"/>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2A6F3212"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9</w:t>
            </w:r>
          </w:p>
        </w:tc>
        <w:tc>
          <w:tcPr>
            <w:tcW w:w="1354" w:type="dxa"/>
            <w:tcBorders>
              <w:top w:val="single" w:sz="8" w:space="0" w:color="000000"/>
              <w:left w:val="single" w:sz="8" w:space="0" w:color="000000"/>
              <w:bottom w:val="single" w:sz="8" w:space="0" w:color="000000"/>
              <w:right w:val="single" w:sz="8" w:space="0" w:color="000000"/>
            </w:tcBorders>
            <w:vAlign w:val="center"/>
          </w:tcPr>
          <w:p w14:paraId="06E0A8E5"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GM13</w:t>
            </w:r>
          </w:p>
        </w:tc>
        <w:tc>
          <w:tcPr>
            <w:tcW w:w="715" w:type="dxa"/>
            <w:tcBorders>
              <w:top w:val="single" w:sz="8" w:space="0" w:color="000000"/>
              <w:left w:val="single" w:sz="8" w:space="0" w:color="000000"/>
              <w:bottom w:val="single" w:sz="8" w:space="0" w:color="000000"/>
              <w:right w:val="single" w:sz="8" w:space="0" w:color="000000"/>
            </w:tcBorders>
            <w:vAlign w:val="center"/>
          </w:tcPr>
          <w:p w14:paraId="73BC1030"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10C5E7B8"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13572F13"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12B5AC58"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5EA16789"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710DDC1E"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3BC25393"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290CFECD"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7297D47D" w14:textId="77777777" w:rsidR="0075791A" w:rsidRDefault="0075791A">
            <w:pPr>
              <w:pStyle w:val="TableParagraph"/>
              <w:jc w:val="center"/>
              <w:rPr>
                <w:rFonts w:ascii="Times New Roman" w:eastAsia="Times New Roman" w:hAnsi="Times New Roman" w:cs="Times New Roman"/>
                <w:color w:val="auto"/>
              </w:rPr>
            </w:pPr>
          </w:p>
        </w:tc>
      </w:tr>
      <w:tr w:rsidR="0075791A" w14:paraId="368CBAA6" w14:textId="77777777">
        <w:trPr>
          <w:trHeight w:hRule="exact" w:val="336"/>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65695B56"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0</w:t>
            </w:r>
          </w:p>
        </w:tc>
        <w:tc>
          <w:tcPr>
            <w:tcW w:w="1354" w:type="dxa"/>
            <w:tcBorders>
              <w:top w:val="single" w:sz="8" w:space="0" w:color="000000"/>
              <w:left w:val="single" w:sz="8" w:space="0" w:color="000000"/>
              <w:bottom w:val="single" w:sz="8" w:space="0" w:color="000000"/>
              <w:right w:val="single" w:sz="8" w:space="0" w:color="000000"/>
            </w:tcBorders>
            <w:vAlign w:val="center"/>
          </w:tcPr>
          <w:p w14:paraId="15E1DAB2"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GM14</w:t>
            </w:r>
          </w:p>
        </w:tc>
        <w:tc>
          <w:tcPr>
            <w:tcW w:w="715" w:type="dxa"/>
            <w:tcBorders>
              <w:top w:val="single" w:sz="8" w:space="0" w:color="000000"/>
              <w:left w:val="single" w:sz="8" w:space="0" w:color="000000"/>
              <w:bottom w:val="single" w:sz="8" w:space="0" w:color="000000"/>
              <w:right w:val="single" w:sz="8" w:space="0" w:color="000000"/>
            </w:tcBorders>
            <w:vAlign w:val="center"/>
          </w:tcPr>
          <w:p w14:paraId="148F9A16"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6416F30A"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5F76B78C"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686C6BCB"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22704734"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4868646A"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67E11E22"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424DE035"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409F33A3" w14:textId="77777777" w:rsidR="0075791A" w:rsidRDefault="0075791A">
            <w:pPr>
              <w:pStyle w:val="TableParagraph"/>
              <w:jc w:val="center"/>
              <w:rPr>
                <w:rFonts w:ascii="Times New Roman" w:eastAsia="Times New Roman" w:hAnsi="Times New Roman" w:cs="Times New Roman"/>
                <w:color w:val="auto"/>
              </w:rPr>
            </w:pPr>
          </w:p>
        </w:tc>
      </w:tr>
      <w:tr w:rsidR="0075791A" w14:paraId="7C6A55D1" w14:textId="77777777">
        <w:trPr>
          <w:trHeight w:hRule="exact" w:val="334"/>
          <w:jc w:val="center"/>
        </w:trPr>
        <w:tc>
          <w:tcPr>
            <w:tcW w:w="706" w:type="dxa"/>
            <w:tcBorders>
              <w:top w:val="single" w:sz="8" w:space="0" w:color="000000"/>
              <w:left w:val="single" w:sz="8" w:space="0" w:color="000000"/>
              <w:bottom w:val="single" w:sz="8" w:space="0" w:color="000000"/>
              <w:right w:val="single" w:sz="8" w:space="0" w:color="000000"/>
            </w:tcBorders>
            <w:vAlign w:val="center"/>
          </w:tcPr>
          <w:p w14:paraId="4FE14241"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1</w:t>
            </w:r>
          </w:p>
        </w:tc>
        <w:tc>
          <w:tcPr>
            <w:tcW w:w="1354" w:type="dxa"/>
            <w:tcBorders>
              <w:top w:val="single" w:sz="8" w:space="0" w:color="000000"/>
              <w:left w:val="single" w:sz="8" w:space="0" w:color="000000"/>
              <w:bottom w:val="single" w:sz="8" w:space="0" w:color="000000"/>
              <w:right w:val="single" w:sz="8" w:space="0" w:color="000000"/>
            </w:tcBorders>
            <w:vAlign w:val="center"/>
          </w:tcPr>
          <w:p w14:paraId="0FB78A30" w14:textId="77777777" w:rsidR="0075791A" w:rsidRDefault="00FB2864">
            <w:pPr>
              <w:jc w:val="center"/>
              <w:textAlignment w:val="center"/>
              <w:rPr>
                <w:rFonts w:ascii="宋体" w:eastAsia="宋体" w:hAnsi="宋体" w:cs="宋体"/>
                <w:color w:val="auto"/>
              </w:rPr>
            </w:pPr>
            <w:r>
              <w:rPr>
                <w:rFonts w:ascii="Times New Roman" w:eastAsia="宋体" w:hAnsi="Times New Roman" w:cs="宋体" w:hint="eastAsia"/>
                <w:color w:val="auto"/>
                <w:lang w:eastAsia="zh-CN" w:bidi="ar"/>
              </w:rPr>
              <w:t>GM15</w:t>
            </w:r>
          </w:p>
        </w:tc>
        <w:tc>
          <w:tcPr>
            <w:tcW w:w="715" w:type="dxa"/>
            <w:tcBorders>
              <w:top w:val="single" w:sz="8" w:space="0" w:color="000000"/>
              <w:left w:val="single" w:sz="8" w:space="0" w:color="000000"/>
              <w:bottom w:val="single" w:sz="8" w:space="0" w:color="000000"/>
              <w:right w:val="single" w:sz="8" w:space="0" w:color="000000"/>
            </w:tcBorders>
            <w:vAlign w:val="center"/>
          </w:tcPr>
          <w:p w14:paraId="0F3D0D5C" w14:textId="77777777" w:rsidR="0075791A" w:rsidRDefault="0075791A">
            <w:pPr>
              <w:pStyle w:val="TableParagraph"/>
              <w:jc w:val="center"/>
              <w:rPr>
                <w:rFonts w:ascii="Times New Roman" w:eastAsia="Times New Roman" w:hAnsi="Times New Roman" w:cs="Times New Roman"/>
                <w:color w:val="auto"/>
              </w:rPr>
            </w:pPr>
          </w:p>
        </w:tc>
        <w:tc>
          <w:tcPr>
            <w:tcW w:w="794" w:type="dxa"/>
            <w:tcBorders>
              <w:top w:val="single" w:sz="8" w:space="0" w:color="000000"/>
              <w:left w:val="single" w:sz="8" w:space="0" w:color="000000"/>
              <w:bottom w:val="single" w:sz="8" w:space="0" w:color="000000"/>
              <w:right w:val="single" w:sz="8" w:space="0" w:color="000000"/>
            </w:tcBorders>
            <w:vAlign w:val="center"/>
          </w:tcPr>
          <w:p w14:paraId="3436458F"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21174F33" w14:textId="77777777" w:rsidR="0075791A" w:rsidRDefault="0075791A">
            <w:pPr>
              <w:pStyle w:val="TableParagraph"/>
              <w:jc w:val="center"/>
              <w:rPr>
                <w:rFonts w:ascii="Times New Roman" w:eastAsia="Times New Roman" w:hAnsi="Times New Roman" w:cs="Times New Roman"/>
                <w:color w:val="auto"/>
              </w:rPr>
            </w:pPr>
          </w:p>
        </w:tc>
        <w:tc>
          <w:tcPr>
            <w:tcW w:w="710" w:type="dxa"/>
            <w:tcBorders>
              <w:top w:val="single" w:sz="8" w:space="0" w:color="000000"/>
              <w:left w:val="single" w:sz="8" w:space="0" w:color="000000"/>
              <w:bottom w:val="single" w:sz="8" w:space="0" w:color="000000"/>
              <w:right w:val="single" w:sz="8" w:space="0" w:color="000000"/>
            </w:tcBorders>
            <w:vAlign w:val="center"/>
          </w:tcPr>
          <w:p w14:paraId="16461F9C"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1B377379"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3955AD98" w14:textId="77777777" w:rsidR="0075791A" w:rsidRDefault="0075791A">
            <w:pPr>
              <w:pStyle w:val="TableParagraph"/>
              <w:jc w:val="center"/>
              <w:rPr>
                <w:rFonts w:ascii="Times New Roman" w:eastAsia="Times New Roman" w:hAnsi="Times New Roman" w:cs="Times New Roman"/>
                <w:color w:val="auto"/>
              </w:rPr>
            </w:pPr>
          </w:p>
        </w:tc>
        <w:tc>
          <w:tcPr>
            <w:tcW w:w="706" w:type="dxa"/>
            <w:tcBorders>
              <w:top w:val="single" w:sz="8" w:space="0" w:color="000000"/>
              <w:left w:val="single" w:sz="8" w:space="0" w:color="000000"/>
              <w:bottom w:val="single" w:sz="8" w:space="0" w:color="000000"/>
              <w:right w:val="single" w:sz="8" w:space="0" w:color="000000"/>
            </w:tcBorders>
            <w:vAlign w:val="center"/>
          </w:tcPr>
          <w:p w14:paraId="26F16262" w14:textId="77777777" w:rsidR="0075791A" w:rsidRDefault="0075791A">
            <w:pPr>
              <w:pStyle w:val="TableParagraph"/>
              <w:jc w:val="center"/>
              <w:rPr>
                <w:rFonts w:ascii="Times New Roman" w:eastAsia="Times New Roman" w:hAnsi="Times New Roman" w:cs="Times New Roman"/>
                <w:color w:val="auto"/>
              </w:rPr>
            </w:pPr>
          </w:p>
        </w:tc>
        <w:tc>
          <w:tcPr>
            <w:tcW w:w="703" w:type="dxa"/>
            <w:tcBorders>
              <w:top w:val="single" w:sz="8" w:space="0" w:color="000000"/>
              <w:left w:val="single" w:sz="8" w:space="0" w:color="000000"/>
              <w:bottom w:val="single" w:sz="8" w:space="0" w:color="000000"/>
              <w:right w:val="single" w:sz="8" w:space="0" w:color="000000"/>
            </w:tcBorders>
            <w:vAlign w:val="center"/>
          </w:tcPr>
          <w:p w14:paraId="15580BFE" w14:textId="77777777" w:rsidR="0075791A" w:rsidRDefault="0075791A">
            <w:pPr>
              <w:pStyle w:val="TableParagraph"/>
              <w:jc w:val="center"/>
              <w:rPr>
                <w:rFonts w:ascii="Times New Roman" w:eastAsia="Times New Roman" w:hAnsi="Times New Roman" w:cs="Times New Roman"/>
                <w:color w:val="auto"/>
              </w:rPr>
            </w:pPr>
          </w:p>
        </w:tc>
        <w:tc>
          <w:tcPr>
            <w:tcW w:w="715" w:type="dxa"/>
            <w:tcBorders>
              <w:top w:val="single" w:sz="8" w:space="0" w:color="000000"/>
              <w:left w:val="single" w:sz="8" w:space="0" w:color="000000"/>
              <w:bottom w:val="single" w:sz="8" w:space="0" w:color="000000"/>
              <w:right w:val="single" w:sz="8" w:space="0" w:color="000000"/>
            </w:tcBorders>
            <w:vAlign w:val="center"/>
          </w:tcPr>
          <w:p w14:paraId="6DD0C033" w14:textId="77777777" w:rsidR="0075791A" w:rsidRDefault="0075791A">
            <w:pPr>
              <w:pStyle w:val="TableParagraph"/>
              <w:jc w:val="center"/>
              <w:rPr>
                <w:rFonts w:ascii="Times New Roman" w:eastAsia="Times New Roman" w:hAnsi="Times New Roman" w:cs="Times New Roman"/>
                <w:color w:val="auto"/>
              </w:rPr>
            </w:pPr>
          </w:p>
        </w:tc>
      </w:tr>
    </w:tbl>
    <w:p w14:paraId="166B2558" w14:textId="77777777" w:rsidR="0075791A" w:rsidRDefault="0075791A">
      <w:pPr>
        <w:pStyle w:val="TableParagraph"/>
        <w:jc w:val="center"/>
        <w:rPr>
          <w:rFonts w:ascii="Times New Roman" w:eastAsia="宋体" w:hAnsi="Times New Roman" w:cs="Times New Roman"/>
          <w:snapToGrid/>
          <w:color w:val="auto"/>
          <w:kern w:val="2"/>
          <w:sz w:val="24"/>
          <w:szCs w:val="24"/>
          <w:lang w:eastAsia="zh-CN"/>
        </w:rPr>
      </w:pPr>
    </w:p>
    <w:p w14:paraId="27846288"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2023</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月沉积物调查</w:t>
      </w:r>
    </w:p>
    <w:p w14:paraId="1CC4D2C6"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2023</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月</w:t>
      </w:r>
      <w:r>
        <w:rPr>
          <w:rFonts w:ascii="Times New Roman" w:eastAsia="宋体" w:hAnsi="Times New Roman" w:cs="Times New Roman"/>
          <w:snapToGrid/>
          <w:color w:val="auto"/>
          <w:kern w:val="2"/>
          <w:sz w:val="24"/>
          <w:szCs w:val="24"/>
          <w:lang w:eastAsia="zh-CN"/>
        </w:rPr>
        <w:t>沉积物调查分析项目为油类、硫化物、有机碳、铜、铅、锌、铬、镉、总汞和砷共</w:t>
      </w:r>
      <w:r>
        <w:rPr>
          <w:rFonts w:ascii="Times New Roman" w:eastAsia="宋体" w:hAnsi="Times New Roman" w:cs="Times New Roman"/>
          <w:snapToGrid/>
          <w:color w:val="auto"/>
          <w:kern w:val="2"/>
          <w:sz w:val="24"/>
          <w:szCs w:val="24"/>
          <w:lang w:eastAsia="zh-CN"/>
        </w:rPr>
        <w:t>10</w:t>
      </w:r>
      <w:r>
        <w:rPr>
          <w:rFonts w:ascii="Times New Roman" w:eastAsia="宋体" w:hAnsi="Times New Roman" w:cs="Times New Roman"/>
          <w:snapToGrid/>
          <w:color w:val="auto"/>
          <w:kern w:val="2"/>
          <w:sz w:val="24"/>
          <w:szCs w:val="24"/>
          <w:lang w:eastAsia="zh-CN"/>
        </w:rPr>
        <w:t>项。</w:t>
      </w:r>
      <w:r>
        <w:rPr>
          <w:rFonts w:ascii="Times New Roman" w:eastAsia="宋体" w:hAnsi="Times New Roman" w:cs="Times New Roman" w:hint="eastAsia"/>
          <w:snapToGrid/>
          <w:color w:val="auto"/>
          <w:kern w:val="2"/>
          <w:sz w:val="24"/>
          <w:szCs w:val="24"/>
          <w:lang w:eastAsia="zh-CN"/>
        </w:rPr>
        <w:t>采集的</w:t>
      </w:r>
      <w:r>
        <w:rPr>
          <w:rFonts w:ascii="Times New Roman" w:eastAsia="宋体" w:hAnsi="Times New Roman" w:cs="Times New Roman"/>
          <w:snapToGrid/>
          <w:color w:val="auto"/>
          <w:kern w:val="2"/>
          <w:sz w:val="24"/>
          <w:szCs w:val="24"/>
          <w:lang w:eastAsia="zh-CN"/>
        </w:rPr>
        <w:t>沉积物样品外观多为灰色和棕色；沉积物类型多为粗沙、沙泥和细沙；样品无明显的硫化氢气味。表层沉积物各要素监测及统计结果列于表</w:t>
      </w:r>
      <w:r>
        <w:rPr>
          <w:rFonts w:ascii="Times New Roman" w:eastAsia="宋体" w:hAnsi="Times New Roman" w:cs="Times New Roman" w:hint="eastAsia"/>
          <w:snapToGrid/>
          <w:color w:val="auto"/>
          <w:kern w:val="2"/>
          <w:sz w:val="24"/>
          <w:szCs w:val="24"/>
          <w:lang w:eastAsia="zh-CN"/>
        </w:rPr>
        <w:t>3.2.5-8</w:t>
      </w:r>
      <w:r>
        <w:rPr>
          <w:rFonts w:ascii="Times New Roman" w:eastAsia="宋体" w:hAnsi="Times New Roman" w:cs="Times New Roman"/>
          <w:snapToGrid/>
          <w:color w:val="auto"/>
          <w:kern w:val="2"/>
          <w:sz w:val="24"/>
          <w:szCs w:val="24"/>
          <w:lang w:eastAsia="zh-CN"/>
        </w:rPr>
        <w:t>。</w:t>
      </w:r>
    </w:p>
    <w:p w14:paraId="45D6C7D4" w14:textId="77777777" w:rsidR="0075791A" w:rsidRDefault="00FB2864">
      <w:pPr>
        <w:widowControl w:val="0"/>
        <w:kinsoku/>
        <w:adjustRightInd/>
        <w:snapToGrid/>
        <w:ind w:firstLineChars="200" w:firstLine="480"/>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3.2.5-8 2023</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月</w:t>
      </w:r>
      <w:r>
        <w:rPr>
          <w:rFonts w:ascii="Times New Roman" w:eastAsia="宋体" w:hAnsi="Times New Roman" w:cs="Times New Roman"/>
          <w:snapToGrid/>
          <w:color w:val="auto"/>
          <w:kern w:val="2"/>
          <w:sz w:val="24"/>
          <w:szCs w:val="24"/>
          <w:lang w:eastAsia="zh-CN"/>
        </w:rPr>
        <w:t>沉积物分析结果</w:t>
      </w:r>
    </w:p>
    <w:tbl>
      <w:tblPr>
        <w:tblW w:w="82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32"/>
        <w:gridCol w:w="740"/>
        <w:gridCol w:w="720"/>
        <w:gridCol w:w="703"/>
        <w:gridCol w:w="752"/>
        <w:gridCol w:w="750"/>
        <w:gridCol w:w="752"/>
        <w:gridCol w:w="750"/>
        <w:gridCol w:w="752"/>
        <w:gridCol w:w="752"/>
        <w:gridCol w:w="750"/>
      </w:tblGrid>
      <w:tr w:rsidR="0075791A" w14:paraId="52AB51C5" w14:textId="77777777">
        <w:trPr>
          <w:trHeight w:hRule="exact" w:val="339"/>
          <w:jc w:val="center"/>
        </w:trPr>
        <w:tc>
          <w:tcPr>
            <w:tcW w:w="832" w:type="dxa"/>
            <w:vMerge w:val="restart"/>
            <w:vAlign w:val="center"/>
          </w:tcPr>
          <w:p w14:paraId="5BBCD7F2"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站号</w:t>
            </w:r>
          </w:p>
        </w:tc>
        <w:tc>
          <w:tcPr>
            <w:tcW w:w="740" w:type="dxa"/>
            <w:vAlign w:val="center"/>
          </w:tcPr>
          <w:p w14:paraId="76B54723"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油类</w:t>
            </w:r>
          </w:p>
        </w:tc>
        <w:tc>
          <w:tcPr>
            <w:tcW w:w="720" w:type="dxa"/>
            <w:vAlign w:val="center"/>
          </w:tcPr>
          <w:p w14:paraId="2376FCF5"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有机碳</w:t>
            </w:r>
          </w:p>
        </w:tc>
        <w:tc>
          <w:tcPr>
            <w:tcW w:w="703" w:type="dxa"/>
            <w:vAlign w:val="center"/>
          </w:tcPr>
          <w:p w14:paraId="26D30491"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硫化物</w:t>
            </w:r>
          </w:p>
        </w:tc>
        <w:tc>
          <w:tcPr>
            <w:tcW w:w="752" w:type="dxa"/>
            <w:vAlign w:val="center"/>
          </w:tcPr>
          <w:p w14:paraId="0863060C"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铜</w:t>
            </w:r>
          </w:p>
        </w:tc>
        <w:tc>
          <w:tcPr>
            <w:tcW w:w="750" w:type="dxa"/>
            <w:vAlign w:val="center"/>
          </w:tcPr>
          <w:p w14:paraId="59EBA5E4"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铅</w:t>
            </w:r>
          </w:p>
        </w:tc>
        <w:tc>
          <w:tcPr>
            <w:tcW w:w="752" w:type="dxa"/>
            <w:vAlign w:val="center"/>
          </w:tcPr>
          <w:p w14:paraId="40480A1F"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镉</w:t>
            </w:r>
          </w:p>
        </w:tc>
        <w:tc>
          <w:tcPr>
            <w:tcW w:w="750" w:type="dxa"/>
            <w:vAlign w:val="center"/>
          </w:tcPr>
          <w:p w14:paraId="26B92F7D"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锌</w:t>
            </w:r>
          </w:p>
        </w:tc>
        <w:tc>
          <w:tcPr>
            <w:tcW w:w="752" w:type="dxa"/>
            <w:vAlign w:val="center"/>
          </w:tcPr>
          <w:p w14:paraId="295F9B4A"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铬</w:t>
            </w:r>
          </w:p>
        </w:tc>
        <w:tc>
          <w:tcPr>
            <w:tcW w:w="752" w:type="dxa"/>
            <w:vAlign w:val="center"/>
          </w:tcPr>
          <w:p w14:paraId="53D5274B"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总汞</w:t>
            </w:r>
          </w:p>
        </w:tc>
        <w:tc>
          <w:tcPr>
            <w:tcW w:w="750" w:type="dxa"/>
            <w:vAlign w:val="center"/>
          </w:tcPr>
          <w:p w14:paraId="3351580A"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砷</w:t>
            </w:r>
          </w:p>
        </w:tc>
      </w:tr>
      <w:tr w:rsidR="0075791A" w14:paraId="0AF023BC" w14:textId="77777777">
        <w:trPr>
          <w:trHeight w:hRule="exact" w:val="484"/>
          <w:jc w:val="center"/>
        </w:trPr>
        <w:tc>
          <w:tcPr>
            <w:tcW w:w="832" w:type="dxa"/>
            <w:vMerge/>
            <w:vAlign w:val="center"/>
          </w:tcPr>
          <w:p w14:paraId="116CE01D" w14:textId="77777777" w:rsidR="0075791A" w:rsidRDefault="0075791A">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p>
        </w:tc>
        <w:tc>
          <w:tcPr>
            <w:tcW w:w="740" w:type="dxa"/>
            <w:tcMar>
              <w:top w:w="0" w:type="dxa"/>
              <w:left w:w="0" w:type="dxa"/>
              <w:bottom w:w="0" w:type="dxa"/>
              <w:right w:w="0" w:type="dxa"/>
            </w:tcMar>
            <w:vAlign w:val="center"/>
          </w:tcPr>
          <w:p w14:paraId="18DE8171" w14:textId="77777777" w:rsidR="0075791A" w:rsidRDefault="00FB2864">
            <w:pPr>
              <w:widowControl w:val="0"/>
              <w:kinsoku/>
              <w:adjustRightInd/>
              <w:snapToGrid/>
              <w:spacing w:line="240" w:lineRule="exact"/>
              <w:jc w:val="center"/>
              <w:textAlignment w:val="auto"/>
              <w:rPr>
                <w:rFonts w:ascii="Times New Roman" w:eastAsia="宋体" w:hAnsi="Times New Roman" w:cs="Times New Roman"/>
                <w:b/>
                <w:bCs/>
                <w:snapToGrid/>
                <w:color w:val="auto"/>
                <w:spacing w:val="-6"/>
                <w:kern w:val="2"/>
                <w:sz w:val="18"/>
                <w:szCs w:val="18"/>
                <w:lang w:eastAsia="zh-CN"/>
              </w:rPr>
            </w:pP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10</w:t>
            </w:r>
            <w:r>
              <w:rPr>
                <w:rFonts w:ascii="Times New Roman" w:eastAsia="宋体" w:hAnsi="Times New Roman" w:cs="Times New Roman" w:hint="eastAsia"/>
                <w:b/>
                <w:bCs/>
                <w:snapToGrid/>
                <w:color w:val="auto"/>
                <w:spacing w:val="-6"/>
                <w:kern w:val="2"/>
                <w:sz w:val="18"/>
                <w:szCs w:val="18"/>
                <w:vertAlign w:val="superscript"/>
                <w:lang w:eastAsia="zh-CN"/>
              </w:rPr>
              <w:t>-6</w:t>
            </w:r>
            <w:r>
              <w:rPr>
                <w:rFonts w:ascii="Times New Roman" w:eastAsia="宋体" w:hAnsi="Times New Roman" w:cs="Times New Roman" w:hint="eastAsia"/>
                <w:b/>
                <w:bCs/>
                <w:snapToGrid/>
                <w:color w:val="auto"/>
                <w:spacing w:val="-6"/>
                <w:kern w:val="2"/>
                <w:sz w:val="18"/>
                <w:szCs w:val="18"/>
                <w:lang w:eastAsia="zh-CN"/>
              </w:rPr>
              <w:t>)</w:t>
            </w:r>
          </w:p>
        </w:tc>
        <w:tc>
          <w:tcPr>
            <w:tcW w:w="720" w:type="dxa"/>
            <w:tcMar>
              <w:top w:w="0" w:type="dxa"/>
              <w:left w:w="0" w:type="dxa"/>
              <w:bottom w:w="0" w:type="dxa"/>
              <w:right w:w="0" w:type="dxa"/>
            </w:tcMar>
            <w:vAlign w:val="center"/>
          </w:tcPr>
          <w:p w14:paraId="2B189BC7" w14:textId="77777777" w:rsidR="0075791A" w:rsidRDefault="00FB2864">
            <w:pPr>
              <w:widowControl w:val="0"/>
              <w:kinsoku/>
              <w:adjustRightInd/>
              <w:snapToGrid/>
              <w:spacing w:line="240" w:lineRule="exact"/>
              <w:jc w:val="center"/>
              <w:textAlignment w:val="auto"/>
              <w:rPr>
                <w:rFonts w:ascii="Times New Roman" w:eastAsia="宋体" w:hAnsi="Times New Roman" w:cs="Times New Roman"/>
                <w:b/>
                <w:bCs/>
                <w:snapToGrid/>
                <w:color w:val="auto"/>
                <w:spacing w:val="-6"/>
                <w:kern w:val="2"/>
                <w:sz w:val="18"/>
                <w:szCs w:val="18"/>
                <w:lang w:eastAsia="zh-CN"/>
              </w:rPr>
            </w:pP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w:t>
            </w:r>
          </w:p>
        </w:tc>
        <w:tc>
          <w:tcPr>
            <w:tcW w:w="703" w:type="dxa"/>
            <w:tcMar>
              <w:top w:w="0" w:type="dxa"/>
              <w:left w:w="0" w:type="dxa"/>
              <w:bottom w:w="0" w:type="dxa"/>
              <w:right w:w="0" w:type="dxa"/>
            </w:tcMar>
            <w:vAlign w:val="center"/>
          </w:tcPr>
          <w:p w14:paraId="6A1CDEF5" w14:textId="77777777" w:rsidR="0075791A" w:rsidRDefault="00FB2864">
            <w:pPr>
              <w:widowControl w:val="0"/>
              <w:kinsoku/>
              <w:adjustRightInd/>
              <w:snapToGrid/>
              <w:spacing w:line="240" w:lineRule="exact"/>
              <w:jc w:val="center"/>
              <w:textAlignment w:val="auto"/>
              <w:rPr>
                <w:rFonts w:ascii="Times New Roman" w:eastAsia="宋体" w:hAnsi="Times New Roman" w:cs="Times New Roman"/>
                <w:b/>
                <w:bCs/>
                <w:snapToGrid/>
                <w:color w:val="auto"/>
                <w:spacing w:val="-6"/>
                <w:kern w:val="2"/>
                <w:sz w:val="18"/>
                <w:szCs w:val="18"/>
                <w:lang w:eastAsia="zh-CN"/>
              </w:rPr>
            </w:pP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10</w:t>
            </w:r>
            <w:r>
              <w:rPr>
                <w:rFonts w:ascii="Times New Roman" w:eastAsia="宋体" w:hAnsi="Times New Roman" w:cs="Times New Roman" w:hint="eastAsia"/>
                <w:b/>
                <w:bCs/>
                <w:snapToGrid/>
                <w:color w:val="auto"/>
                <w:spacing w:val="-6"/>
                <w:kern w:val="2"/>
                <w:sz w:val="18"/>
                <w:szCs w:val="18"/>
                <w:vertAlign w:val="superscript"/>
                <w:lang w:eastAsia="zh-CN"/>
              </w:rPr>
              <w:t>-6</w:t>
            </w:r>
            <w:r>
              <w:rPr>
                <w:rFonts w:ascii="Times New Roman" w:eastAsia="宋体" w:hAnsi="Times New Roman" w:cs="Times New Roman" w:hint="eastAsia"/>
                <w:b/>
                <w:bCs/>
                <w:snapToGrid/>
                <w:color w:val="auto"/>
                <w:spacing w:val="-6"/>
                <w:kern w:val="2"/>
                <w:sz w:val="18"/>
                <w:szCs w:val="18"/>
                <w:lang w:eastAsia="zh-CN"/>
              </w:rPr>
              <w:t>)</w:t>
            </w:r>
          </w:p>
        </w:tc>
        <w:tc>
          <w:tcPr>
            <w:tcW w:w="752" w:type="dxa"/>
            <w:tcMar>
              <w:top w:w="0" w:type="dxa"/>
              <w:left w:w="0" w:type="dxa"/>
              <w:bottom w:w="0" w:type="dxa"/>
              <w:right w:w="0" w:type="dxa"/>
            </w:tcMar>
            <w:vAlign w:val="center"/>
          </w:tcPr>
          <w:p w14:paraId="70A249A6" w14:textId="77777777" w:rsidR="0075791A" w:rsidRDefault="00FB2864">
            <w:pPr>
              <w:widowControl w:val="0"/>
              <w:kinsoku/>
              <w:adjustRightInd/>
              <w:snapToGrid/>
              <w:spacing w:line="240" w:lineRule="exact"/>
              <w:jc w:val="center"/>
              <w:textAlignment w:val="auto"/>
              <w:rPr>
                <w:rFonts w:ascii="Times New Roman" w:eastAsia="宋体" w:hAnsi="Times New Roman" w:cs="Times New Roman"/>
                <w:b/>
                <w:bCs/>
                <w:snapToGrid/>
                <w:color w:val="auto"/>
                <w:spacing w:val="-6"/>
                <w:kern w:val="2"/>
                <w:sz w:val="18"/>
                <w:szCs w:val="18"/>
                <w:lang w:eastAsia="zh-CN"/>
              </w:rPr>
            </w:pP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10</w:t>
            </w:r>
            <w:r>
              <w:rPr>
                <w:rFonts w:ascii="Times New Roman" w:eastAsia="宋体" w:hAnsi="Times New Roman" w:cs="Times New Roman" w:hint="eastAsia"/>
                <w:b/>
                <w:bCs/>
                <w:snapToGrid/>
                <w:color w:val="auto"/>
                <w:spacing w:val="-6"/>
                <w:kern w:val="2"/>
                <w:sz w:val="18"/>
                <w:szCs w:val="18"/>
                <w:vertAlign w:val="superscript"/>
                <w:lang w:eastAsia="zh-CN"/>
              </w:rPr>
              <w:t>-6</w:t>
            </w:r>
            <w:r>
              <w:rPr>
                <w:rFonts w:ascii="Times New Roman" w:eastAsia="宋体" w:hAnsi="Times New Roman" w:cs="Times New Roman" w:hint="eastAsia"/>
                <w:b/>
                <w:bCs/>
                <w:snapToGrid/>
                <w:color w:val="auto"/>
                <w:spacing w:val="-6"/>
                <w:kern w:val="2"/>
                <w:sz w:val="18"/>
                <w:szCs w:val="18"/>
                <w:lang w:eastAsia="zh-CN"/>
              </w:rPr>
              <w:t>)</w:t>
            </w:r>
          </w:p>
        </w:tc>
        <w:tc>
          <w:tcPr>
            <w:tcW w:w="750" w:type="dxa"/>
            <w:tcMar>
              <w:top w:w="0" w:type="dxa"/>
              <w:left w:w="0" w:type="dxa"/>
              <w:bottom w:w="0" w:type="dxa"/>
              <w:right w:w="0" w:type="dxa"/>
            </w:tcMar>
            <w:vAlign w:val="center"/>
          </w:tcPr>
          <w:p w14:paraId="1CF04DAF" w14:textId="77777777" w:rsidR="0075791A" w:rsidRDefault="00FB2864">
            <w:pPr>
              <w:widowControl w:val="0"/>
              <w:kinsoku/>
              <w:adjustRightInd/>
              <w:snapToGrid/>
              <w:spacing w:line="240" w:lineRule="exact"/>
              <w:jc w:val="center"/>
              <w:textAlignment w:val="auto"/>
              <w:rPr>
                <w:rFonts w:ascii="Times New Roman" w:eastAsia="宋体" w:hAnsi="Times New Roman" w:cs="Times New Roman"/>
                <w:b/>
                <w:bCs/>
                <w:snapToGrid/>
                <w:color w:val="auto"/>
                <w:spacing w:val="-6"/>
                <w:kern w:val="2"/>
                <w:sz w:val="18"/>
                <w:szCs w:val="18"/>
                <w:lang w:eastAsia="zh-CN"/>
              </w:rPr>
            </w:pP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10</w:t>
            </w:r>
            <w:r>
              <w:rPr>
                <w:rFonts w:ascii="Times New Roman" w:eastAsia="宋体" w:hAnsi="Times New Roman" w:cs="Times New Roman" w:hint="eastAsia"/>
                <w:b/>
                <w:bCs/>
                <w:snapToGrid/>
                <w:color w:val="auto"/>
                <w:spacing w:val="-6"/>
                <w:kern w:val="2"/>
                <w:sz w:val="18"/>
                <w:szCs w:val="18"/>
                <w:vertAlign w:val="superscript"/>
                <w:lang w:eastAsia="zh-CN"/>
              </w:rPr>
              <w:t>-6</w:t>
            </w:r>
            <w:r>
              <w:rPr>
                <w:rFonts w:ascii="Times New Roman" w:eastAsia="宋体" w:hAnsi="Times New Roman" w:cs="Times New Roman" w:hint="eastAsia"/>
                <w:b/>
                <w:bCs/>
                <w:snapToGrid/>
                <w:color w:val="auto"/>
                <w:spacing w:val="-6"/>
                <w:kern w:val="2"/>
                <w:sz w:val="18"/>
                <w:szCs w:val="18"/>
                <w:lang w:eastAsia="zh-CN"/>
              </w:rPr>
              <w:t>)</w:t>
            </w:r>
          </w:p>
        </w:tc>
        <w:tc>
          <w:tcPr>
            <w:tcW w:w="752" w:type="dxa"/>
            <w:tcMar>
              <w:top w:w="0" w:type="dxa"/>
              <w:left w:w="0" w:type="dxa"/>
              <w:bottom w:w="0" w:type="dxa"/>
              <w:right w:w="0" w:type="dxa"/>
            </w:tcMar>
            <w:vAlign w:val="center"/>
          </w:tcPr>
          <w:p w14:paraId="49E0E719" w14:textId="77777777" w:rsidR="0075791A" w:rsidRDefault="00FB2864">
            <w:pPr>
              <w:widowControl w:val="0"/>
              <w:kinsoku/>
              <w:adjustRightInd/>
              <w:snapToGrid/>
              <w:spacing w:line="240" w:lineRule="exact"/>
              <w:jc w:val="center"/>
              <w:textAlignment w:val="auto"/>
              <w:rPr>
                <w:rFonts w:ascii="Times New Roman" w:eastAsia="宋体" w:hAnsi="Times New Roman" w:cs="Times New Roman"/>
                <w:b/>
                <w:bCs/>
                <w:snapToGrid/>
                <w:color w:val="auto"/>
                <w:spacing w:val="-6"/>
                <w:kern w:val="2"/>
                <w:sz w:val="18"/>
                <w:szCs w:val="18"/>
                <w:lang w:eastAsia="zh-CN"/>
              </w:rPr>
            </w:pP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10</w:t>
            </w:r>
            <w:r>
              <w:rPr>
                <w:rFonts w:ascii="Times New Roman" w:eastAsia="宋体" w:hAnsi="Times New Roman" w:cs="Times New Roman" w:hint="eastAsia"/>
                <w:b/>
                <w:bCs/>
                <w:snapToGrid/>
                <w:color w:val="auto"/>
                <w:spacing w:val="-6"/>
                <w:kern w:val="2"/>
                <w:sz w:val="18"/>
                <w:szCs w:val="18"/>
                <w:vertAlign w:val="superscript"/>
                <w:lang w:eastAsia="zh-CN"/>
              </w:rPr>
              <w:t>-6</w:t>
            </w:r>
            <w:r>
              <w:rPr>
                <w:rFonts w:ascii="Times New Roman" w:eastAsia="宋体" w:hAnsi="Times New Roman" w:cs="Times New Roman" w:hint="eastAsia"/>
                <w:b/>
                <w:bCs/>
                <w:snapToGrid/>
                <w:color w:val="auto"/>
                <w:spacing w:val="-6"/>
                <w:kern w:val="2"/>
                <w:sz w:val="18"/>
                <w:szCs w:val="18"/>
                <w:lang w:eastAsia="zh-CN"/>
              </w:rPr>
              <w:t>)</w:t>
            </w:r>
          </w:p>
        </w:tc>
        <w:tc>
          <w:tcPr>
            <w:tcW w:w="750" w:type="dxa"/>
            <w:tcMar>
              <w:top w:w="0" w:type="dxa"/>
              <w:left w:w="0" w:type="dxa"/>
              <w:bottom w:w="0" w:type="dxa"/>
              <w:right w:w="0" w:type="dxa"/>
            </w:tcMar>
            <w:vAlign w:val="center"/>
          </w:tcPr>
          <w:p w14:paraId="540E9095" w14:textId="77777777" w:rsidR="0075791A" w:rsidRDefault="00FB2864">
            <w:pPr>
              <w:widowControl w:val="0"/>
              <w:kinsoku/>
              <w:adjustRightInd/>
              <w:snapToGrid/>
              <w:spacing w:line="240" w:lineRule="exact"/>
              <w:jc w:val="center"/>
              <w:textAlignment w:val="auto"/>
              <w:rPr>
                <w:rFonts w:ascii="Times New Roman" w:eastAsia="宋体" w:hAnsi="Times New Roman" w:cs="Times New Roman"/>
                <w:b/>
                <w:bCs/>
                <w:snapToGrid/>
                <w:color w:val="auto"/>
                <w:spacing w:val="-6"/>
                <w:kern w:val="2"/>
                <w:sz w:val="18"/>
                <w:szCs w:val="18"/>
                <w:lang w:eastAsia="zh-CN"/>
              </w:rPr>
            </w:pP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10</w:t>
            </w:r>
            <w:r>
              <w:rPr>
                <w:rFonts w:ascii="Times New Roman" w:eastAsia="宋体" w:hAnsi="Times New Roman" w:cs="Times New Roman" w:hint="eastAsia"/>
                <w:b/>
                <w:bCs/>
                <w:snapToGrid/>
                <w:color w:val="auto"/>
                <w:spacing w:val="-6"/>
                <w:kern w:val="2"/>
                <w:sz w:val="18"/>
                <w:szCs w:val="18"/>
                <w:vertAlign w:val="superscript"/>
                <w:lang w:eastAsia="zh-CN"/>
              </w:rPr>
              <w:t>-6</w:t>
            </w:r>
            <w:r>
              <w:rPr>
                <w:rFonts w:ascii="Times New Roman" w:eastAsia="宋体" w:hAnsi="Times New Roman" w:cs="Times New Roman" w:hint="eastAsia"/>
                <w:b/>
                <w:bCs/>
                <w:snapToGrid/>
                <w:color w:val="auto"/>
                <w:spacing w:val="-6"/>
                <w:kern w:val="2"/>
                <w:sz w:val="18"/>
                <w:szCs w:val="18"/>
                <w:lang w:eastAsia="zh-CN"/>
              </w:rPr>
              <w:t>)</w:t>
            </w:r>
          </w:p>
        </w:tc>
        <w:tc>
          <w:tcPr>
            <w:tcW w:w="752" w:type="dxa"/>
            <w:tcMar>
              <w:top w:w="0" w:type="dxa"/>
              <w:left w:w="0" w:type="dxa"/>
              <w:bottom w:w="0" w:type="dxa"/>
              <w:right w:w="0" w:type="dxa"/>
            </w:tcMar>
            <w:vAlign w:val="center"/>
          </w:tcPr>
          <w:p w14:paraId="4DCD908D" w14:textId="77777777" w:rsidR="0075791A" w:rsidRDefault="00FB2864">
            <w:pPr>
              <w:widowControl w:val="0"/>
              <w:kinsoku/>
              <w:adjustRightInd/>
              <w:snapToGrid/>
              <w:spacing w:line="240" w:lineRule="exact"/>
              <w:jc w:val="center"/>
              <w:textAlignment w:val="auto"/>
              <w:rPr>
                <w:rFonts w:ascii="Times New Roman" w:eastAsia="宋体" w:hAnsi="Times New Roman" w:cs="Times New Roman"/>
                <w:b/>
                <w:bCs/>
                <w:snapToGrid/>
                <w:color w:val="auto"/>
                <w:spacing w:val="-6"/>
                <w:kern w:val="2"/>
                <w:sz w:val="18"/>
                <w:szCs w:val="18"/>
                <w:lang w:eastAsia="zh-CN"/>
              </w:rPr>
            </w:pP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10</w:t>
            </w:r>
            <w:r>
              <w:rPr>
                <w:rFonts w:ascii="Times New Roman" w:eastAsia="宋体" w:hAnsi="Times New Roman" w:cs="Times New Roman" w:hint="eastAsia"/>
                <w:b/>
                <w:bCs/>
                <w:snapToGrid/>
                <w:color w:val="auto"/>
                <w:spacing w:val="-6"/>
                <w:kern w:val="2"/>
                <w:sz w:val="18"/>
                <w:szCs w:val="18"/>
                <w:vertAlign w:val="superscript"/>
                <w:lang w:eastAsia="zh-CN"/>
              </w:rPr>
              <w:t>-6</w:t>
            </w:r>
            <w:r>
              <w:rPr>
                <w:rFonts w:ascii="Times New Roman" w:eastAsia="宋体" w:hAnsi="Times New Roman" w:cs="Times New Roman" w:hint="eastAsia"/>
                <w:b/>
                <w:bCs/>
                <w:snapToGrid/>
                <w:color w:val="auto"/>
                <w:spacing w:val="-6"/>
                <w:kern w:val="2"/>
                <w:sz w:val="18"/>
                <w:szCs w:val="18"/>
                <w:lang w:eastAsia="zh-CN"/>
              </w:rPr>
              <w:t>)</w:t>
            </w:r>
          </w:p>
        </w:tc>
        <w:tc>
          <w:tcPr>
            <w:tcW w:w="752" w:type="dxa"/>
            <w:tcMar>
              <w:top w:w="0" w:type="dxa"/>
              <w:left w:w="0" w:type="dxa"/>
              <w:bottom w:w="0" w:type="dxa"/>
              <w:right w:w="0" w:type="dxa"/>
            </w:tcMar>
            <w:vAlign w:val="center"/>
          </w:tcPr>
          <w:p w14:paraId="622F44B1" w14:textId="77777777" w:rsidR="0075791A" w:rsidRDefault="00FB2864">
            <w:pPr>
              <w:widowControl w:val="0"/>
              <w:kinsoku/>
              <w:adjustRightInd/>
              <w:snapToGrid/>
              <w:spacing w:line="240" w:lineRule="exact"/>
              <w:jc w:val="center"/>
              <w:textAlignment w:val="auto"/>
              <w:rPr>
                <w:rFonts w:ascii="Times New Roman" w:eastAsia="宋体" w:hAnsi="Times New Roman" w:cs="Times New Roman"/>
                <w:b/>
                <w:bCs/>
                <w:snapToGrid/>
                <w:color w:val="auto"/>
                <w:spacing w:val="-6"/>
                <w:kern w:val="2"/>
                <w:sz w:val="18"/>
                <w:szCs w:val="18"/>
                <w:lang w:eastAsia="zh-CN"/>
              </w:rPr>
            </w:pP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10</w:t>
            </w:r>
            <w:r>
              <w:rPr>
                <w:rFonts w:ascii="Times New Roman" w:eastAsia="宋体" w:hAnsi="Times New Roman" w:cs="Times New Roman" w:hint="eastAsia"/>
                <w:b/>
                <w:bCs/>
                <w:snapToGrid/>
                <w:color w:val="auto"/>
                <w:spacing w:val="-6"/>
                <w:kern w:val="2"/>
                <w:sz w:val="18"/>
                <w:szCs w:val="18"/>
                <w:vertAlign w:val="superscript"/>
                <w:lang w:eastAsia="zh-CN"/>
              </w:rPr>
              <w:t>-6</w:t>
            </w:r>
            <w:r>
              <w:rPr>
                <w:rFonts w:ascii="Times New Roman" w:eastAsia="宋体" w:hAnsi="Times New Roman" w:cs="Times New Roman" w:hint="eastAsia"/>
                <w:b/>
                <w:bCs/>
                <w:snapToGrid/>
                <w:color w:val="auto"/>
                <w:spacing w:val="-6"/>
                <w:kern w:val="2"/>
                <w:sz w:val="18"/>
                <w:szCs w:val="18"/>
                <w:lang w:eastAsia="zh-CN"/>
              </w:rPr>
              <w:t>)</w:t>
            </w:r>
          </w:p>
        </w:tc>
        <w:tc>
          <w:tcPr>
            <w:tcW w:w="750" w:type="dxa"/>
            <w:tcMar>
              <w:top w:w="0" w:type="dxa"/>
              <w:left w:w="0" w:type="dxa"/>
              <w:bottom w:w="0" w:type="dxa"/>
              <w:right w:w="0" w:type="dxa"/>
            </w:tcMar>
            <w:vAlign w:val="center"/>
          </w:tcPr>
          <w:p w14:paraId="4A6B217A" w14:textId="77777777" w:rsidR="0075791A" w:rsidRDefault="00FB2864">
            <w:pPr>
              <w:widowControl w:val="0"/>
              <w:kinsoku/>
              <w:adjustRightInd/>
              <w:snapToGrid/>
              <w:spacing w:line="240" w:lineRule="exact"/>
              <w:jc w:val="center"/>
              <w:textAlignment w:val="auto"/>
              <w:rPr>
                <w:rFonts w:ascii="Times New Roman" w:eastAsia="宋体" w:hAnsi="Times New Roman" w:cs="Times New Roman"/>
                <w:b/>
                <w:bCs/>
                <w:snapToGrid/>
                <w:color w:val="auto"/>
                <w:spacing w:val="-6"/>
                <w:kern w:val="2"/>
                <w:sz w:val="18"/>
                <w:szCs w:val="18"/>
                <w:lang w:eastAsia="zh-CN"/>
              </w:rPr>
            </w:pP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w:t>
            </w:r>
            <w:r>
              <w:rPr>
                <w:rFonts w:ascii="Times New Roman" w:eastAsia="宋体" w:hAnsi="Times New Roman" w:cs="Times New Roman" w:hint="eastAsia"/>
                <w:b/>
                <w:bCs/>
                <w:snapToGrid/>
                <w:color w:val="auto"/>
                <w:spacing w:val="-6"/>
                <w:kern w:val="2"/>
                <w:sz w:val="18"/>
                <w:szCs w:val="18"/>
                <w:lang w:eastAsia="zh-CN"/>
              </w:rPr>
              <w:t>10</w:t>
            </w:r>
            <w:r>
              <w:rPr>
                <w:rFonts w:ascii="Times New Roman" w:eastAsia="宋体" w:hAnsi="Times New Roman" w:cs="Times New Roman" w:hint="eastAsia"/>
                <w:b/>
                <w:bCs/>
                <w:snapToGrid/>
                <w:color w:val="auto"/>
                <w:spacing w:val="-6"/>
                <w:kern w:val="2"/>
                <w:sz w:val="18"/>
                <w:szCs w:val="18"/>
                <w:vertAlign w:val="superscript"/>
                <w:lang w:eastAsia="zh-CN"/>
              </w:rPr>
              <w:t>-6</w:t>
            </w:r>
            <w:r>
              <w:rPr>
                <w:rFonts w:ascii="Times New Roman" w:eastAsia="宋体" w:hAnsi="Times New Roman" w:cs="Times New Roman" w:hint="eastAsia"/>
                <w:b/>
                <w:bCs/>
                <w:snapToGrid/>
                <w:color w:val="auto"/>
                <w:spacing w:val="-6"/>
                <w:kern w:val="2"/>
                <w:sz w:val="18"/>
                <w:szCs w:val="18"/>
                <w:lang w:eastAsia="zh-CN"/>
              </w:rPr>
              <w:t>)</w:t>
            </w:r>
          </w:p>
        </w:tc>
      </w:tr>
      <w:tr w:rsidR="0075791A" w14:paraId="27FF1636" w14:textId="77777777">
        <w:trPr>
          <w:trHeight w:hRule="exact" w:val="329"/>
          <w:jc w:val="center"/>
        </w:trPr>
        <w:tc>
          <w:tcPr>
            <w:tcW w:w="832" w:type="dxa"/>
            <w:vAlign w:val="center"/>
          </w:tcPr>
          <w:p w14:paraId="399791AE"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1</w:t>
            </w:r>
          </w:p>
        </w:tc>
        <w:tc>
          <w:tcPr>
            <w:tcW w:w="740" w:type="dxa"/>
            <w:vAlign w:val="center"/>
          </w:tcPr>
          <w:p w14:paraId="06BC846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20" w:type="dxa"/>
            <w:vAlign w:val="center"/>
          </w:tcPr>
          <w:p w14:paraId="092FFBC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03" w:type="dxa"/>
            <w:vAlign w:val="center"/>
          </w:tcPr>
          <w:p w14:paraId="10DA8FAF"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2BC6DB4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06D62CA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617C971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03BCB6E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79C09CB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6D48330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05DA6FC9"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4B767677" w14:textId="77777777">
        <w:trPr>
          <w:trHeight w:hRule="exact" w:val="329"/>
          <w:jc w:val="center"/>
        </w:trPr>
        <w:tc>
          <w:tcPr>
            <w:tcW w:w="832" w:type="dxa"/>
            <w:vAlign w:val="center"/>
          </w:tcPr>
          <w:p w14:paraId="0003E532"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3</w:t>
            </w:r>
          </w:p>
        </w:tc>
        <w:tc>
          <w:tcPr>
            <w:tcW w:w="740" w:type="dxa"/>
            <w:vAlign w:val="center"/>
          </w:tcPr>
          <w:p w14:paraId="307C5EE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20" w:type="dxa"/>
            <w:vAlign w:val="center"/>
          </w:tcPr>
          <w:p w14:paraId="2E5145B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03" w:type="dxa"/>
            <w:vAlign w:val="center"/>
          </w:tcPr>
          <w:p w14:paraId="7EEC72E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5001F6C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7666131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44F6C2B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4999391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16308AF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5F50DF0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3C88141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6C744BCD" w14:textId="77777777">
        <w:trPr>
          <w:trHeight w:hRule="exact" w:val="329"/>
          <w:jc w:val="center"/>
        </w:trPr>
        <w:tc>
          <w:tcPr>
            <w:tcW w:w="832" w:type="dxa"/>
            <w:vAlign w:val="center"/>
          </w:tcPr>
          <w:p w14:paraId="1AAB861B"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4</w:t>
            </w:r>
          </w:p>
        </w:tc>
        <w:tc>
          <w:tcPr>
            <w:tcW w:w="740" w:type="dxa"/>
            <w:vAlign w:val="center"/>
          </w:tcPr>
          <w:p w14:paraId="4144693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20" w:type="dxa"/>
            <w:vAlign w:val="center"/>
          </w:tcPr>
          <w:p w14:paraId="7886222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03" w:type="dxa"/>
            <w:vAlign w:val="center"/>
          </w:tcPr>
          <w:p w14:paraId="4CD9EA1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5EF67B2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30DF583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03490A89"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2425CC3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591908E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3077F82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0578201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5E7F1880" w14:textId="77777777">
        <w:trPr>
          <w:trHeight w:hRule="exact" w:val="329"/>
          <w:jc w:val="center"/>
        </w:trPr>
        <w:tc>
          <w:tcPr>
            <w:tcW w:w="832" w:type="dxa"/>
            <w:vAlign w:val="center"/>
          </w:tcPr>
          <w:p w14:paraId="448CE6D1"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5</w:t>
            </w:r>
          </w:p>
        </w:tc>
        <w:tc>
          <w:tcPr>
            <w:tcW w:w="740" w:type="dxa"/>
            <w:vAlign w:val="center"/>
          </w:tcPr>
          <w:p w14:paraId="6C7FB6C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20" w:type="dxa"/>
            <w:vAlign w:val="center"/>
          </w:tcPr>
          <w:p w14:paraId="7A936B0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03" w:type="dxa"/>
            <w:vAlign w:val="center"/>
          </w:tcPr>
          <w:p w14:paraId="047E904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0672342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6646E09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4823757F"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135F652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4DB83EB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304BD3F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6810905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2FC49EA7" w14:textId="77777777">
        <w:trPr>
          <w:trHeight w:hRule="exact" w:val="331"/>
          <w:jc w:val="center"/>
        </w:trPr>
        <w:tc>
          <w:tcPr>
            <w:tcW w:w="832" w:type="dxa"/>
            <w:vAlign w:val="center"/>
          </w:tcPr>
          <w:p w14:paraId="4CDBC2BC"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lastRenderedPageBreak/>
              <w:t>6</w:t>
            </w:r>
          </w:p>
        </w:tc>
        <w:tc>
          <w:tcPr>
            <w:tcW w:w="740" w:type="dxa"/>
            <w:vAlign w:val="center"/>
          </w:tcPr>
          <w:p w14:paraId="25CA972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20" w:type="dxa"/>
            <w:vAlign w:val="center"/>
          </w:tcPr>
          <w:p w14:paraId="681508A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03" w:type="dxa"/>
            <w:vAlign w:val="center"/>
          </w:tcPr>
          <w:p w14:paraId="09FAFBC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7C9A428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44F7468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5D5A85D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74CD2AD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7DF0B07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15AE16D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52AF726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490BDB7D" w14:textId="77777777">
        <w:trPr>
          <w:trHeight w:hRule="exact" w:val="329"/>
          <w:jc w:val="center"/>
        </w:trPr>
        <w:tc>
          <w:tcPr>
            <w:tcW w:w="832" w:type="dxa"/>
            <w:vAlign w:val="center"/>
          </w:tcPr>
          <w:p w14:paraId="25074037"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7</w:t>
            </w:r>
          </w:p>
        </w:tc>
        <w:tc>
          <w:tcPr>
            <w:tcW w:w="740" w:type="dxa"/>
            <w:vAlign w:val="center"/>
          </w:tcPr>
          <w:p w14:paraId="223745C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20" w:type="dxa"/>
            <w:vAlign w:val="center"/>
          </w:tcPr>
          <w:p w14:paraId="3D7C242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03" w:type="dxa"/>
            <w:vAlign w:val="center"/>
          </w:tcPr>
          <w:p w14:paraId="5E82DB1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5D1C81D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29ADBF3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098D7DF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1426568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1DD2652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2B7FDA3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62E367A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5B3F5890" w14:textId="77777777">
        <w:trPr>
          <w:trHeight w:hRule="exact" w:val="329"/>
          <w:jc w:val="center"/>
        </w:trPr>
        <w:tc>
          <w:tcPr>
            <w:tcW w:w="832" w:type="dxa"/>
            <w:vAlign w:val="center"/>
          </w:tcPr>
          <w:p w14:paraId="66F02D3D"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8</w:t>
            </w:r>
          </w:p>
        </w:tc>
        <w:tc>
          <w:tcPr>
            <w:tcW w:w="740" w:type="dxa"/>
            <w:vAlign w:val="center"/>
          </w:tcPr>
          <w:p w14:paraId="27046D6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20" w:type="dxa"/>
            <w:vAlign w:val="center"/>
          </w:tcPr>
          <w:p w14:paraId="6FE5E60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03" w:type="dxa"/>
            <w:vAlign w:val="center"/>
          </w:tcPr>
          <w:p w14:paraId="61B5892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0C5C9B3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57BBE10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5DB4A50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762BF56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0F73486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54ADE10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2D9F81B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304B7E5E" w14:textId="77777777">
        <w:trPr>
          <w:trHeight w:hRule="exact" w:val="329"/>
          <w:jc w:val="center"/>
        </w:trPr>
        <w:tc>
          <w:tcPr>
            <w:tcW w:w="832" w:type="dxa"/>
            <w:vAlign w:val="center"/>
          </w:tcPr>
          <w:p w14:paraId="2835706B"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9</w:t>
            </w:r>
          </w:p>
        </w:tc>
        <w:tc>
          <w:tcPr>
            <w:tcW w:w="740" w:type="dxa"/>
            <w:vAlign w:val="center"/>
          </w:tcPr>
          <w:p w14:paraId="2526862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20" w:type="dxa"/>
            <w:vAlign w:val="center"/>
          </w:tcPr>
          <w:p w14:paraId="51F4378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03" w:type="dxa"/>
            <w:vAlign w:val="center"/>
          </w:tcPr>
          <w:p w14:paraId="21029E2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7C79A71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620BF94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0067874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1EBE01F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7A5D4F2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68B2297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15EC963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6B5BA27F" w14:textId="77777777">
        <w:trPr>
          <w:trHeight w:hRule="exact" w:val="329"/>
          <w:jc w:val="center"/>
        </w:trPr>
        <w:tc>
          <w:tcPr>
            <w:tcW w:w="832" w:type="dxa"/>
            <w:vAlign w:val="center"/>
          </w:tcPr>
          <w:p w14:paraId="5B3BB370"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10</w:t>
            </w:r>
          </w:p>
        </w:tc>
        <w:tc>
          <w:tcPr>
            <w:tcW w:w="740" w:type="dxa"/>
            <w:vAlign w:val="center"/>
          </w:tcPr>
          <w:p w14:paraId="1C5FC0F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20" w:type="dxa"/>
            <w:vAlign w:val="center"/>
          </w:tcPr>
          <w:p w14:paraId="207B293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03" w:type="dxa"/>
            <w:vAlign w:val="center"/>
          </w:tcPr>
          <w:p w14:paraId="2FE9CAA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371012B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7EAA596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6834D8B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4E6A36D9"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5BC70B4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7E08AAEF"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2D92949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44EFF4C5" w14:textId="77777777">
        <w:trPr>
          <w:trHeight w:hRule="exact" w:val="329"/>
          <w:jc w:val="center"/>
        </w:trPr>
        <w:tc>
          <w:tcPr>
            <w:tcW w:w="832" w:type="dxa"/>
            <w:vAlign w:val="center"/>
          </w:tcPr>
          <w:p w14:paraId="3575D813"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11</w:t>
            </w:r>
          </w:p>
        </w:tc>
        <w:tc>
          <w:tcPr>
            <w:tcW w:w="740" w:type="dxa"/>
            <w:vAlign w:val="center"/>
          </w:tcPr>
          <w:p w14:paraId="04EF272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20" w:type="dxa"/>
            <w:vAlign w:val="center"/>
          </w:tcPr>
          <w:p w14:paraId="65BD92E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03" w:type="dxa"/>
            <w:vAlign w:val="center"/>
          </w:tcPr>
          <w:p w14:paraId="34B9874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4C88779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2A60441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4A21836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02BA8D6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49CEE4AF"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2127DFA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11BAC3A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3CCD4128" w14:textId="77777777">
        <w:trPr>
          <w:trHeight w:hRule="exact" w:val="331"/>
          <w:jc w:val="center"/>
        </w:trPr>
        <w:tc>
          <w:tcPr>
            <w:tcW w:w="832" w:type="dxa"/>
            <w:vAlign w:val="center"/>
          </w:tcPr>
          <w:p w14:paraId="448DF804"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最大值</w:t>
            </w:r>
          </w:p>
        </w:tc>
        <w:tc>
          <w:tcPr>
            <w:tcW w:w="740" w:type="dxa"/>
            <w:vAlign w:val="center"/>
          </w:tcPr>
          <w:p w14:paraId="1570921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20" w:type="dxa"/>
            <w:vAlign w:val="center"/>
          </w:tcPr>
          <w:p w14:paraId="1AA2222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03" w:type="dxa"/>
            <w:vAlign w:val="center"/>
          </w:tcPr>
          <w:p w14:paraId="5904EDCF"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2D240E8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5B4DC28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512BC5E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1754E0A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2E3A379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0A72563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5F618F8F"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5DECBFF5" w14:textId="77777777">
        <w:trPr>
          <w:trHeight w:hRule="exact" w:val="329"/>
          <w:jc w:val="center"/>
        </w:trPr>
        <w:tc>
          <w:tcPr>
            <w:tcW w:w="832" w:type="dxa"/>
            <w:vAlign w:val="center"/>
          </w:tcPr>
          <w:p w14:paraId="29497E10"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最小值</w:t>
            </w:r>
          </w:p>
        </w:tc>
        <w:tc>
          <w:tcPr>
            <w:tcW w:w="740" w:type="dxa"/>
            <w:vAlign w:val="center"/>
          </w:tcPr>
          <w:p w14:paraId="0376003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20" w:type="dxa"/>
            <w:vAlign w:val="center"/>
          </w:tcPr>
          <w:p w14:paraId="60F1D2C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03" w:type="dxa"/>
            <w:vAlign w:val="center"/>
          </w:tcPr>
          <w:p w14:paraId="383015F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27C7F11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3C77B31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571EC07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51C97A4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3964DDB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6D9AB33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62D9F08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4F9060FE" w14:textId="77777777">
        <w:trPr>
          <w:trHeight w:hRule="exact" w:val="329"/>
          <w:jc w:val="center"/>
        </w:trPr>
        <w:tc>
          <w:tcPr>
            <w:tcW w:w="832" w:type="dxa"/>
            <w:vAlign w:val="center"/>
          </w:tcPr>
          <w:p w14:paraId="5E8D0932"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平均值</w:t>
            </w:r>
          </w:p>
        </w:tc>
        <w:tc>
          <w:tcPr>
            <w:tcW w:w="740" w:type="dxa"/>
            <w:vAlign w:val="center"/>
          </w:tcPr>
          <w:p w14:paraId="63A6B24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20" w:type="dxa"/>
            <w:vAlign w:val="center"/>
          </w:tcPr>
          <w:p w14:paraId="0D125C4F"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03" w:type="dxa"/>
            <w:vAlign w:val="center"/>
          </w:tcPr>
          <w:p w14:paraId="146C089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0F930E3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1794D05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4308445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2F33593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5FF233A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69B448A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44536D2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278B6109" w14:textId="77777777">
        <w:trPr>
          <w:trHeight w:hRule="exact" w:val="359"/>
          <w:jc w:val="center"/>
        </w:trPr>
        <w:tc>
          <w:tcPr>
            <w:tcW w:w="832" w:type="dxa"/>
            <w:vAlign w:val="center"/>
          </w:tcPr>
          <w:p w14:paraId="70E5BD99"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检出率</w:t>
            </w:r>
          </w:p>
        </w:tc>
        <w:tc>
          <w:tcPr>
            <w:tcW w:w="740" w:type="dxa"/>
            <w:vAlign w:val="center"/>
          </w:tcPr>
          <w:p w14:paraId="38A781C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20" w:type="dxa"/>
            <w:vAlign w:val="center"/>
          </w:tcPr>
          <w:p w14:paraId="0D2B92F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03" w:type="dxa"/>
            <w:vAlign w:val="center"/>
          </w:tcPr>
          <w:p w14:paraId="5BB2642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65B9E6A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27D208A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3FA3D2A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0AD52989"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2EA7309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2" w:type="dxa"/>
            <w:vAlign w:val="center"/>
          </w:tcPr>
          <w:p w14:paraId="5EFF865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750" w:type="dxa"/>
            <w:vAlign w:val="center"/>
          </w:tcPr>
          <w:p w14:paraId="0BD28D8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bl>
    <w:p w14:paraId="29166193" w14:textId="77777777" w:rsidR="0075791A" w:rsidRDefault="00FB2864">
      <w:pPr>
        <w:widowControl w:val="0"/>
        <w:kinsoku/>
        <w:adjustRightInd/>
        <w:snapToGrid/>
        <w:spacing w:line="360" w:lineRule="auto"/>
        <w:ind w:firstLineChars="200" w:firstLine="36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18"/>
          <w:szCs w:val="18"/>
          <w:lang w:eastAsia="zh-CN"/>
        </w:rPr>
        <w:t>注：</w:t>
      </w:r>
      <w:r>
        <w:rPr>
          <w:rFonts w:ascii="Times New Roman" w:eastAsia="宋体" w:hAnsi="Times New Roman" w:cs="Times New Roman" w:hint="eastAsia"/>
          <w:snapToGrid/>
          <w:color w:val="auto"/>
          <w:kern w:val="2"/>
          <w:sz w:val="18"/>
          <w:szCs w:val="18"/>
          <w:lang w:eastAsia="zh-CN"/>
        </w:rPr>
        <w:t>“</w:t>
      </w:r>
      <w:r>
        <w:rPr>
          <w:rFonts w:ascii="Times New Roman" w:eastAsia="宋体" w:hAnsi="Times New Roman" w:cs="Times New Roman"/>
          <w:snapToGrid/>
          <w:color w:val="auto"/>
          <w:kern w:val="2"/>
          <w:sz w:val="18"/>
          <w:szCs w:val="18"/>
          <w:lang w:eastAsia="zh-CN"/>
        </w:rPr>
        <w:t>ND</w:t>
      </w:r>
      <w:r>
        <w:rPr>
          <w:rFonts w:ascii="Times New Roman" w:eastAsia="宋体" w:hAnsi="Times New Roman" w:cs="Times New Roman" w:hint="eastAsia"/>
          <w:snapToGrid/>
          <w:color w:val="auto"/>
          <w:kern w:val="2"/>
          <w:sz w:val="18"/>
          <w:szCs w:val="18"/>
          <w:lang w:eastAsia="zh-CN"/>
        </w:rPr>
        <w:t>”</w:t>
      </w:r>
      <w:r>
        <w:rPr>
          <w:rFonts w:ascii="Times New Roman" w:eastAsia="宋体" w:hAnsi="Times New Roman" w:cs="Times New Roman"/>
          <w:snapToGrid/>
          <w:color w:val="auto"/>
          <w:kern w:val="2"/>
          <w:sz w:val="18"/>
          <w:szCs w:val="18"/>
          <w:lang w:eastAsia="zh-CN"/>
        </w:rPr>
        <w:t>表示未检出。</w:t>
      </w:r>
    </w:p>
    <w:p w14:paraId="5AAA0CEE" w14:textId="77777777" w:rsidR="0075791A" w:rsidRDefault="0075791A">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p>
    <w:p w14:paraId="48BF0012"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）海洋沉积物质量评价方法</w:t>
      </w:r>
    </w:p>
    <w:p w14:paraId="627284CF"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根据项目所在海域</w:t>
      </w:r>
      <w:r>
        <w:rPr>
          <w:rFonts w:ascii="Times New Roman" w:eastAsia="宋体" w:hAnsi="Times New Roman" w:cs="Times New Roman" w:hint="eastAsia"/>
          <w:snapToGrid/>
          <w:color w:val="auto"/>
          <w:kern w:val="2"/>
          <w:sz w:val="24"/>
          <w:szCs w:val="24"/>
          <w:lang w:eastAsia="zh-CN"/>
        </w:rPr>
        <w:t>在《海南省海岸带及海洋空间规划（</w:t>
      </w:r>
      <w:r>
        <w:rPr>
          <w:rFonts w:ascii="Times New Roman" w:eastAsia="宋体" w:hAnsi="Times New Roman" w:cs="Times New Roman" w:hint="eastAsia"/>
          <w:snapToGrid/>
          <w:color w:val="auto"/>
          <w:kern w:val="2"/>
          <w:sz w:val="24"/>
          <w:szCs w:val="24"/>
          <w:lang w:eastAsia="zh-CN"/>
        </w:rPr>
        <w:t>2021-2035</w:t>
      </w:r>
      <w:r>
        <w:rPr>
          <w:rFonts w:ascii="Times New Roman" w:eastAsia="宋体" w:hAnsi="Times New Roman" w:cs="Times New Roman" w:hint="eastAsia"/>
          <w:snapToGrid/>
          <w:color w:val="auto"/>
          <w:kern w:val="2"/>
          <w:sz w:val="24"/>
          <w:szCs w:val="24"/>
          <w:lang w:eastAsia="zh-CN"/>
        </w:rPr>
        <w:t>年）》中</w:t>
      </w:r>
      <w:r>
        <w:rPr>
          <w:rFonts w:ascii="Times New Roman" w:eastAsia="宋体" w:hAnsi="Times New Roman" w:cs="Times New Roman"/>
          <w:snapToGrid/>
          <w:color w:val="auto"/>
          <w:kern w:val="2"/>
          <w:sz w:val="24"/>
          <w:szCs w:val="24"/>
          <w:lang w:eastAsia="zh-CN"/>
        </w:rPr>
        <w:t>海洋功能区的分布情况，</w:t>
      </w:r>
      <w:r>
        <w:rPr>
          <w:rFonts w:ascii="Times New Roman" w:eastAsia="宋体" w:hAnsi="Times New Roman" w:cs="Times New Roman" w:hint="eastAsia"/>
          <w:snapToGrid/>
          <w:color w:val="auto"/>
          <w:kern w:val="2"/>
          <w:sz w:val="24"/>
          <w:szCs w:val="24"/>
          <w:lang w:eastAsia="zh-CN"/>
        </w:rPr>
        <w:t>并结合</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海洋沉积物质量标准</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GB 18668-2002)</w:t>
      </w:r>
      <w:r>
        <w:rPr>
          <w:rFonts w:ascii="Times New Roman" w:eastAsia="宋体" w:hAnsi="Times New Roman" w:cs="Times New Roman" w:hint="eastAsia"/>
          <w:snapToGrid/>
          <w:color w:val="auto"/>
          <w:kern w:val="2"/>
          <w:sz w:val="24"/>
          <w:szCs w:val="24"/>
          <w:lang w:eastAsia="zh-CN"/>
        </w:rPr>
        <w:t>海洋沉积物质量分类执行相应标准。</w:t>
      </w:r>
    </w:p>
    <w:p w14:paraId="5E5DE3F8" w14:textId="77777777" w:rsidR="0075791A" w:rsidRDefault="00FB2864">
      <w:pPr>
        <w:widowControl w:val="0"/>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宋体" w:eastAsia="宋体" w:hAnsi="宋体" w:cs="宋体"/>
          <w:color w:val="auto"/>
          <w:sz w:val="24"/>
          <w:szCs w:val="24"/>
          <w:lang w:eastAsia="zh-CN"/>
        </w:rPr>
        <w:t>表</w:t>
      </w:r>
      <w:r>
        <w:rPr>
          <w:rFonts w:ascii="Times New Roman" w:eastAsia="宋体" w:hAnsi="Times New Roman" w:cs="Times New Roman" w:hint="eastAsia"/>
          <w:snapToGrid/>
          <w:color w:val="auto"/>
          <w:kern w:val="2"/>
          <w:sz w:val="24"/>
          <w:szCs w:val="24"/>
          <w:lang w:eastAsia="zh-CN"/>
        </w:rPr>
        <w:t>3.2.5</w:t>
      </w:r>
      <w:r>
        <w:rPr>
          <w:rFonts w:ascii="Times New Roman" w:eastAsia="Times New Roman" w:hAnsi="Times New Roman" w:cs="Times New Roman"/>
          <w:color w:val="auto"/>
          <w:spacing w:val="-1"/>
          <w:sz w:val="24"/>
          <w:szCs w:val="24"/>
          <w:lang w:eastAsia="zh-CN"/>
        </w:rPr>
        <w:t>-</w:t>
      </w:r>
      <w:r>
        <w:rPr>
          <w:rFonts w:ascii="Times New Roman" w:eastAsia="宋体" w:hAnsi="Times New Roman" w:cs="Times New Roman" w:hint="eastAsia"/>
          <w:color w:val="auto"/>
          <w:sz w:val="24"/>
          <w:szCs w:val="24"/>
          <w:lang w:eastAsia="zh-CN"/>
        </w:rPr>
        <w:t>9</w:t>
      </w:r>
      <w:r>
        <w:rPr>
          <w:rFonts w:ascii="Times New Roman" w:eastAsia="Times New Roman" w:hAnsi="Times New Roman" w:cs="Times New Roman"/>
          <w:color w:val="auto"/>
          <w:sz w:val="24"/>
          <w:szCs w:val="24"/>
          <w:lang w:eastAsia="zh-CN"/>
        </w:rPr>
        <w:tab/>
      </w:r>
      <w:r>
        <w:rPr>
          <w:rFonts w:ascii="Times New Roman" w:eastAsia="宋体" w:hAnsi="Times New Roman" w:cs="Times New Roman" w:hint="eastAsia"/>
          <w:color w:val="auto"/>
          <w:sz w:val="24"/>
          <w:szCs w:val="24"/>
          <w:lang w:eastAsia="zh-CN"/>
        </w:rPr>
        <w:t>夏季沉积物</w:t>
      </w:r>
      <w:r>
        <w:rPr>
          <w:rFonts w:ascii="宋体" w:eastAsia="宋体" w:hAnsi="宋体" w:cs="宋体"/>
          <w:color w:val="auto"/>
          <w:sz w:val="24"/>
          <w:szCs w:val="24"/>
          <w:lang w:eastAsia="zh-CN"/>
        </w:rPr>
        <w:t>调查站位所在海洋功能区划海洋环境保护要求</w:t>
      </w:r>
    </w:p>
    <w:tbl>
      <w:tblPr>
        <w:tblW w:w="0" w:type="auto"/>
        <w:jc w:val="center"/>
        <w:tblLayout w:type="fixed"/>
        <w:tblCellMar>
          <w:left w:w="0" w:type="dxa"/>
          <w:right w:w="0" w:type="dxa"/>
        </w:tblCellMar>
        <w:tblLook w:val="04A0" w:firstRow="1" w:lastRow="0" w:firstColumn="1" w:lastColumn="0" w:noHBand="0" w:noVBand="1"/>
      </w:tblPr>
      <w:tblGrid>
        <w:gridCol w:w="773"/>
        <w:gridCol w:w="1322"/>
        <w:gridCol w:w="2401"/>
        <w:gridCol w:w="2557"/>
      </w:tblGrid>
      <w:tr w:rsidR="0075791A" w14:paraId="0646BE1F" w14:textId="77777777">
        <w:trPr>
          <w:trHeight w:hRule="exact" w:val="370"/>
          <w:jc w:val="center"/>
        </w:trPr>
        <w:tc>
          <w:tcPr>
            <w:tcW w:w="773" w:type="dxa"/>
            <w:tcBorders>
              <w:top w:val="single" w:sz="4" w:space="0" w:color="000000"/>
              <w:left w:val="single" w:sz="4" w:space="0" w:color="000000"/>
              <w:bottom w:val="single" w:sz="4" w:space="0" w:color="000000"/>
              <w:right w:val="single" w:sz="4" w:space="0" w:color="000000"/>
            </w:tcBorders>
          </w:tcPr>
          <w:p w14:paraId="52FF9B14" w14:textId="77777777" w:rsidR="0075791A" w:rsidRDefault="00FB2864">
            <w:pPr>
              <w:pStyle w:val="TableParagraph"/>
              <w:spacing w:before="9"/>
              <w:ind w:left="170"/>
              <w:rPr>
                <w:rFonts w:ascii="宋体" w:eastAsia="宋体" w:hAnsi="宋体" w:cs="宋体"/>
                <w:color w:val="auto"/>
              </w:rPr>
            </w:pPr>
            <w:r>
              <w:rPr>
                <w:rFonts w:ascii="宋体" w:eastAsia="宋体" w:hAnsi="宋体" w:cs="宋体" w:hint="eastAsia"/>
                <w:color w:val="auto"/>
                <w:spacing w:val="-1"/>
              </w:rPr>
              <w:t>序</w:t>
            </w:r>
            <w:r>
              <w:rPr>
                <w:rFonts w:ascii="宋体" w:eastAsia="宋体" w:hAnsi="宋体" w:cs="宋体" w:hint="eastAsia"/>
                <w:color w:val="auto"/>
              </w:rPr>
              <w:t>号</w:t>
            </w:r>
          </w:p>
        </w:tc>
        <w:tc>
          <w:tcPr>
            <w:tcW w:w="1322" w:type="dxa"/>
            <w:tcBorders>
              <w:top w:val="single" w:sz="4" w:space="0" w:color="000000"/>
              <w:left w:val="single" w:sz="4" w:space="0" w:color="000000"/>
              <w:bottom w:val="single" w:sz="4" w:space="0" w:color="000000"/>
              <w:right w:val="single" w:sz="4" w:space="0" w:color="000000"/>
            </w:tcBorders>
          </w:tcPr>
          <w:p w14:paraId="32ED1D04" w14:textId="77777777" w:rsidR="0075791A" w:rsidRDefault="00FB2864">
            <w:pPr>
              <w:pStyle w:val="TableParagraph"/>
              <w:spacing w:before="9"/>
              <w:ind w:left="121" w:right="124"/>
              <w:jc w:val="center"/>
              <w:rPr>
                <w:rFonts w:ascii="宋体" w:eastAsia="宋体" w:hAnsi="宋体" w:cs="宋体"/>
                <w:color w:val="auto"/>
              </w:rPr>
            </w:pPr>
            <w:r>
              <w:rPr>
                <w:rFonts w:ascii="宋体" w:eastAsia="宋体" w:hAnsi="宋体" w:cs="宋体" w:hint="eastAsia"/>
                <w:color w:val="auto"/>
                <w:spacing w:val="-1"/>
              </w:rPr>
              <w:t>站</w:t>
            </w:r>
            <w:r>
              <w:rPr>
                <w:rFonts w:ascii="宋体" w:eastAsia="宋体" w:hAnsi="宋体" w:cs="宋体" w:hint="eastAsia"/>
                <w:color w:val="auto"/>
              </w:rPr>
              <w:t>号</w:t>
            </w:r>
          </w:p>
        </w:tc>
        <w:tc>
          <w:tcPr>
            <w:tcW w:w="2401" w:type="dxa"/>
            <w:tcBorders>
              <w:top w:val="single" w:sz="4" w:space="0" w:color="000000"/>
              <w:left w:val="single" w:sz="4" w:space="0" w:color="000000"/>
              <w:bottom w:val="single" w:sz="4" w:space="0" w:color="000000"/>
              <w:right w:val="single" w:sz="4" w:space="0" w:color="000000"/>
            </w:tcBorders>
          </w:tcPr>
          <w:p w14:paraId="4D7EF89F" w14:textId="77777777" w:rsidR="0075791A" w:rsidRDefault="00FB2864">
            <w:pPr>
              <w:pStyle w:val="TableParagraph"/>
              <w:spacing w:before="9"/>
              <w:ind w:left="211"/>
              <w:rPr>
                <w:rFonts w:ascii="宋体" w:eastAsia="宋体" w:hAnsi="宋体" w:cs="宋体"/>
                <w:color w:val="auto"/>
              </w:rPr>
            </w:pPr>
            <w:r>
              <w:rPr>
                <w:rFonts w:ascii="宋体" w:eastAsia="宋体" w:hAnsi="宋体" w:cs="宋体" w:hint="eastAsia"/>
                <w:color w:val="auto"/>
                <w:spacing w:val="-1"/>
              </w:rPr>
              <w:t>所</w:t>
            </w:r>
            <w:r>
              <w:rPr>
                <w:rFonts w:ascii="宋体" w:eastAsia="宋体" w:hAnsi="宋体" w:cs="宋体" w:hint="eastAsia"/>
                <w:color w:val="auto"/>
                <w:spacing w:val="2"/>
              </w:rPr>
              <w:t>属</w:t>
            </w:r>
            <w:r>
              <w:rPr>
                <w:rFonts w:ascii="宋体" w:eastAsia="宋体" w:hAnsi="宋体" w:cs="宋体" w:hint="eastAsia"/>
                <w:color w:val="auto"/>
                <w:spacing w:val="-1"/>
              </w:rPr>
              <w:t>功</w:t>
            </w:r>
            <w:r>
              <w:rPr>
                <w:rFonts w:ascii="宋体" w:eastAsia="宋体" w:hAnsi="宋体" w:cs="宋体" w:hint="eastAsia"/>
                <w:color w:val="auto"/>
                <w:spacing w:val="2"/>
              </w:rPr>
              <w:t>能</w:t>
            </w:r>
            <w:r>
              <w:rPr>
                <w:rFonts w:ascii="宋体" w:eastAsia="宋体" w:hAnsi="宋体" w:cs="宋体" w:hint="eastAsia"/>
                <w:color w:val="auto"/>
                <w:spacing w:val="-1"/>
              </w:rPr>
              <w:t>区</w:t>
            </w:r>
            <w:r>
              <w:rPr>
                <w:rFonts w:ascii="宋体" w:eastAsia="宋体" w:hAnsi="宋体" w:cs="宋体" w:hint="eastAsia"/>
                <w:color w:val="auto"/>
                <w:spacing w:val="2"/>
              </w:rPr>
              <w:t>名</w:t>
            </w:r>
            <w:r>
              <w:rPr>
                <w:rFonts w:ascii="宋体" w:eastAsia="宋体" w:hAnsi="宋体" w:cs="宋体" w:hint="eastAsia"/>
                <w:color w:val="auto"/>
              </w:rPr>
              <w:t>称</w:t>
            </w:r>
          </w:p>
        </w:tc>
        <w:tc>
          <w:tcPr>
            <w:tcW w:w="2557" w:type="dxa"/>
            <w:tcBorders>
              <w:top w:val="single" w:sz="4" w:space="0" w:color="000000"/>
              <w:left w:val="single" w:sz="4" w:space="0" w:color="000000"/>
              <w:bottom w:val="single" w:sz="4" w:space="0" w:color="000000"/>
              <w:right w:val="single" w:sz="4" w:space="0" w:color="000000"/>
            </w:tcBorders>
          </w:tcPr>
          <w:p w14:paraId="1B14C142" w14:textId="77777777" w:rsidR="0075791A" w:rsidRDefault="00FB2864">
            <w:pPr>
              <w:pStyle w:val="TableParagraph"/>
              <w:spacing w:before="9"/>
              <w:ind w:right="1"/>
              <w:jc w:val="center"/>
              <w:rPr>
                <w:rFonts w:ascii="宋体" w:eastAsia="宋体" w:hAnsi="宋体" w:cs="宋体"/>
                <w:color w:val="auto"/>
              </w:rPr>
            </w:pPr>
            <w:r>
              <w:rPr>
                <w:rFonts w:ascii="宋体" w:eastAsia="宋体" w:hAnsi="宋体" w:cs="宋体" w:hint="eastAsia"/>
                <w:color w:val="auto"/>
                <w:spacing w:val="-1"/>
              </w:rPr>
              <w:t>执</w:t>
            </w:r>
            <w:r>
              <w:rPr>
                <w:rFonts w:ascii="宋体" w:eastAsia="宋体" w:hAnsi="宋体" w:cs="宋体" w:hint="eastAsia"/>
                <w:color w:val="auto"/>
                <w:spacing w:val="2"/>
              </w:rPr>
              <w:t>行</w:t>
            </w:r>
            <w:r>
              <w:rPr>
                <w:rFonts w:ascii="宋体" w:eastAsia="宋体" w:hAnsi="宋体" w:cs="宋体" w:hint="eastAsia"/>
                <w:color w:val="auto"/>
                <w:spacing w:val="-1"/>
              </w:rPr>
              <w:t>标</w:t>
            </w:r>
            <w:r>
              <w:rPr>
                <w:rFonts w:ascii="宋体" w:eastAsia="宋体" w:hAnsi="宋体" w:cs="宋体" w:hint="eastAsia"/>
                <w:color w:val="auto"/>
              </w:rPr>
              <w:t>准</w:t>
            </w:r>
          </w:p>
        </w:tc>
      </w:tr>
      <w:tr w:rsidR="0075791A" w14:paraId="2FB8CB33" w14:textId="77777777">
        <w:trPr>
          <w:trHeight w:hRule="exact" w:val="602"/>
          <w:jc w:val="center"/>
        </w:trPr>
        <w:tc>
          <w:tcPr>
            <w:tcW w:w="773" w:type="dxa"/>
            <w:tcBorders>
              <w:top w:val="single" w:sz="4" w:space="0" w:color="000000"/>
              <w:left w:val="single" w:sz="4" w:space="0" w:color="000000"/>
              <w:bottom w:val="single" w:sz="4" w:space="0" w:color="000000"/>
              <w:right w:val="single" w:sz="4" w:space="0" w:color="000000"/>
            </w:tcBorders>
            <w:vAlign w:val="center"/>
          </w:tcPr>
          <w:p w14:paraId="62F86721" w14:textId="77777777" w:rsidR="0075791A" w:rsidRDefault="00FB2864">
            <w:pPr>
              <w:pStyle w:val="TableParagraph"/>
              <w:spacing w:before="9"/>
              <w:ind w:left="211"/>
              <w:rPr>
                <w:rFonts w:ascii="Times New Roman" w:eastAsia="宋体" w:hAnsi="Times New Roman" w:cs="Times New Roman"/>
                <w:color w:val="auto"/>
                <w:spacing w:val="-1"/>
                <w:lang w:eastAsia="zh-CN"/>
              </w:rPr>
            </w:pPr>
            <w:r>
              <w:rPr>
                <w:rFonts w:ascii="Times New Roman" w:eastAsia="宋体" w:hAnsi="Times New Roman" w:cs="Times New Roman"/>
                <w:color w:val="auto"/>
                <w:spacing w:val="-1"/>
                <w:lang w:eastAsia="zh-CN"/>
              </w:rPr>
              <w:t>1</w:t>
            </w:r>
          </w:p>
        </w:tc>
        <w:tc>
          <w:tcPr>
            <w:tcW w:w="1322" w:type="dxa"/>
            <w:tcBorders>
              <w:top w:val="single" w:sz="4" w:space="0" w:color="000000"/>
              <w:left w:val="single" w:sz="4" w:space="0" w:color="000000"/>
              <w:bottom w:val="single" w:sz="4" w:space="0" w:color="000000"/>
              <w:right w:val="single" w:sz="4" w:space="0" w:color="000000"/>
            </w:tcBorders>
            <w:vAlign w:val="center"/>
          </w:tcPr>
          <w:p w14:paraId="6E993BD8" w14:textId="77777777" w:rsidR="0075791A" w:rsidRDefault="00FB2864">
            <w:pPr>
              <w:pStyle w:val="TableParagraph"/>
              <w:spacing w:before="9"/>
              <w:ind w:left="211"/>
              <w:rPr>
                <w:rFonts w:ascii="Times New Roman" w:eastAsia="宋体" w:hAnsi="Times New Roman" w:cs="Times New Roman"/>
                <w:color w:val="auto"/>
                <w:spacing w:val="-1"/>
                <w:lang w:eastAsia="zh-CN"/>
              </w:rPr>
            </w:pPr>
            <w:r>
              <w:rPr>
                <w:rFonts w:ascii="Times New Roman" w:eastAsia="宋体" w:hAnsi="Times New Roman" w:cs="Times New Roman"/>
                <w:color w:val="auto"/>
                <w:spacing w:val="-1"/>
                <w:lang w:eastAsia="zh-CN"/>
              </w:rPr>
              <w:t>QM1-6</w:t>
            </w:r>
            <w:r>
              <w:rPr>
                <w:rFonts w:ascii="Times New Roman" w:eastAsia="宋体" w:hAnsi="Times New Roman" w:cs="Times New Roman"/>
                <w:color w:val="auto"/>
                <w:spacing w:val="-1"/>
                <w:lang w:eastAsia="zh-CN"/>
              </w:rPr>
              <w:t>、</w:t>
            </w:r>
            <w:r>
              <w:rPr>
                <w:rFonts w:ascii="Times New Roman" w:eastAsia="宋体" w:hAnsi="Times New Roman" w:cs="Times New Roman"/>
                <w:color w:val="auto"/>
                <w:spacing w:val="-1"/>
                <w:lang w:eastAsia="zh-CN"/>
              </w:rPr>
              <w:t>GM1-15</w:t>
            </w:r>
            <w:r>
              <w:rPr>
                <w:rFonts w:ascii="Times New Roman" w:eastAsia="宋体" w:hAnsi="Times New Roman" w:cs="Times New Roman"/>
                <w:color w:val="auto"/>
                <w:spacing w:val="-1"/>
                <w:lang w:eastAsia="zh-CN"/>
              </w:rPr>
              <w:t>、</w:t>
            </w:r>
            <w:r>
              <w:rPr>
                <w:rFonts w:ascii="Times New Roman" w:eastAsia="宋体" w:hAnsi="Times New Roman" w:cs="Times New Roman"/>
                <w:color w:val="auto"/>
                <w:spacing w:val="-1"/>
                <w:lang w:eastAsia="zh-CN"/>
              </w:rPr>
              <w:t>7</w:t>
            </w:r>
          </w:p>
        </w:tc>
        <w:tc>
          <w:tcPr>
            <w:tcW w:w="2401" w:type="dxa"/>
            <w:tcBorders>
              <w:top w:val="single" w:sz="4" w:space="0" w:color="000000"/>
              <w:left w:val="single" w:sz="4" w:space="0" w:color="000000"/>
              <w:bottom w:val="single" w:sz="4" w:space="0" w:color="000000"/>
              <w:right w:val="single" w:sz="4" w:space="0" w:color="000000"/>
            </w:tcBorders>
            <w:vAlign w:val="center"/>
          </w:tcPr>
          <w:p w14:paraId="0799CC07" w14:textId="77777777" w:rsidR="0075791A" w:rsidRDefault="00FB2864">
            <w:pPr>
              <w:pStyle w:val="TableParagraph"/>
              <w:spacing w:before="9"/>
              <w:ind w:left="211"/>
              <w:rPr>
                <w:rFonts w:ascii="宋体" w:eastAsia="宋体" w:hAnsi="宋体" w:cs="宋体"/>
                <w:color w:val="auto"/>
                <w:spacing w:val="-1"/>
                <w:lang w:eastAsia="zh-CN"/>
              </w:rPr>
            </w:pPr>
            <w:r>
              <w:rPr>
                <w:rFonts w:ascii="宋体" w:eastAsia="宋体" w:hAnsi="宋体" w:cs="宋体" w:hint="eastAsia"/>
                <w:color w:val="auto"/>
                <w:spacing w:val="-1"/>
                <w:lang w:val="zh-CN" w:eastAsia="zh-CN"/>
              </w:rPr>
              <w:t>铁炉港</w:t>
            </w:r>
            <w:r>
              <w:rPr>
                <w:rFonts w:ascii="宋体" w:eastAsia="宋体" w:hAnsi="宋体" w:cs="宋体" w:hint="eastAsia"/>
                <w:color w:val="auto"/>
                <w:spacing w:val="-1"/>
                <w:lang w:eastAsia="zh-CN"/>
              </w:rPr>
              <w:t>潟湖生态保护区</w:t>
            </w:r>
          </w:p>
        </w:tc>
        <w:tc>
          <w:tcPr>
            <w:tcW w:w="2557" w:type="dxa"/>
            <w:tcBorders>
              <w:top w:val="single" w:sz="4" w:space="0" w:color="000000"/>
              <w:left w:val="single" w:sz="4" w:space="0" w:color="000000"/>
              <w:bottom w:val="single" w:sz="4" w:space="0" w:color="000000"/>
              <w:right w:val="single" w:sz="4" w:space="0" w:color="000000"/>
            </w:tcBorders>
            <w:vAlign w:val="center"/>
          </w:tcPr>
          <w:p w14:paraId="3234D414" w14:textId="77777777" w:rsidR="0075791A" w:rsidRDefault="00FB2864">
            <w:pPr>
              <w:pStyle w:val="TableParagraph"/>
              <w:spacing w:before="9"/>
              <w:ind w:left="211"/>
              <w:rPr>
                <w:rFonts w:ascii="宋体" w:eastAsia="宋体" w:hAnsi="宋体" w:cs="宋体"/>
                <w:color w:val="auto"/>
                <w:spacing w:val="-1"/>
                <w:lang w:eastAsia="zh-CN"/>
              </w:rPr>
            </w:pPr>
            <w:r>
              <w:rPr>
                <w:rFonts w:ascii="宋体" w:eastAsia="宋体" w:hAnsi="宋体" w:cs="宋体" w:hint="eastAsia"/>
                <w:color w:val="auto"/>
                <w:spacing w:val="-1"/>
                <w:lang w:eastAsia="zh-CN"/>
              </w:rPr>
              <w:t>一类海洋沉积物质量标准</w:t>
            </w:r>
          </w:p>
        </w:tc>
      </w:tr>
      <w:tr w:rsidR="0075791A" w14:paraId="59C2045C" w14:textId="77777777">
        <w:trPr>
          <w:trHeight w:val="454"/>
          <w:jc w:val="center"/>
        </w:trPr>
        <w:tc>
          <w:tcPr>
            <w:tcW w:w="773" w:type="dxa"/>
            <w:tcBorders>
              <w:top w:val="single" w:sz="4" w:space="0" w:color="000000"/>
              <w:left w:val="single" w:sz="4" w:space="0" w:color="000000"/>
              <w:bottom w:val="single" w:sz="4" w:space="0" w:color="000000"/>
              <w:right w:val="single" w:sz="4" w:space="0" w:color="000000"/>
            </w:tcBorders>
            <w:vAlign w:val="center"/>
          </w:tcPr>
          <w:p w14:paraId="5F582563" w14:textId="77777777" w:rsidR="0075791A" w:rsidRDefault="00FB2864">
            <w:pPr>
              <w:pStyle w:val="TableParagraph"/>
              <w:spacing w:before="9"/>
              <w:ind w:left="211"/>
              <w:rPr>
                <w:rFonts w:ascii="Times New Roman" w:eastAsia="宋体" w:hAnsi="Times New Roman" w:cs="Times New Roman"/>
                <w:color w:val="auto"/>
                <w:spacing w:val="-1"/>
                <w:lang w:eastAsia="zh-CN"/>
              </w:rPr>
            </w:pPr>
            <w:r>
              <w:rPr>
                <w:rFonts w:ascii="Times New Roman" w:eastAsia="宋体" w:hAnsi="Times New Roman" w:cs="Times New Roman"/>
                <w:color w:val="auto"/>
                <w:spacing w:val="-1"/>
                <w:lang w:eastAsia="zh-CN"/>
              </w:rPr>
              <w:t>2</w:t>
            </w:r>
          </w:p>
        </w:tc>
        <w:tc>
          <w:tcPr>
            <w:tcW w:w="1322" w:type="dxa"/>
            <w:tcBorders>
              <w:top w:val="single" w:sz="4" w:space="0" w:color="000000"/>
              <w:left w:val="single" w:sz="4" w:space="0" w:color="000000"/>
              <w:bottom w:val="single" w:sz="4" w:space="0" w:color="000000"/>
              <w:right w:val="single" w:sz="4" w:space="0" w:color="000000"/>
            </w:tcBorders>
            <w:vAlign w:val="center"/>
          </w:tcPr>
          <w:p w14:paraId="539F3A34" w14:textId="77777777" w:rsidR="0075791A" w:rsidRDefault="00FB2864">
            <w:pPr>
              <w:pStyle w:val="TableParagraph"/>
              <w:spacing w:before="9"/>
              <w:ind w:left="211"/>
              <w:rPr>
                <w:rFonts w:ascii="Times New Roman" w:eastAsia="宋体" w:hAnsi="Times New Roman" w:cs="Times New Roman"/>
                <w:color w:val="auto"/>
                <w:spacing w:val="-1"/>
                <w:lang w:eastAsia="zh-CN"/>
              </w:rPr>
            </w:pPr>
            <w:r>
              <w:rPr>
                <w:rFonts w:ascii="Times New Roman" w:eastAsia="宋体" w:hAnsi="Times New Roman" w:cs="Times New Roman"/>
                <w:color w:val="auto"/>
                <w:spacing w:val="-1"/>
                <w:lang w:eastAsia="zh-CN"/>
              </w:rPr>
              <w:t>1</w:t>
            </w:r>
            <w:r>
              <w:rPr>
                <w:rFonts w:ascii="Times New Roman" w:eastAsia="宋体" w:hAnsi="Times New Roman" w:cs="Times New Roman"/>
                <w:color w:val="auto"/>
                <w:spacing w:val="-1"/>
                <w:lang w:eastAsia="zh-CN"/>
              </w:rPr>
              <w:t>、</w:t>
            </w:r>
            <w:r>
              <w:rPr>
                <w:rFonts w:ascii="Times New Roman" w:eastAsia="宋体" w:hAnsi="Times New Roman" w:cs="Times New Roman"/>
                <w:color w:val="auto"/>
                <w:spacing w:val="-1"/>
                <w:lang w:eastAsia="zh-CN"/>
              </w:rPr>
              <w:t>4</w:t>
            </w:r>
            <w:r>
              <w:rPr>
                <w:rFonts w:ascii="Times New Roman" w:eastAsia="宋体" w:hAnsi="Times New Roman" w:cs="Times New Roman"/>
                <w:color w:val="auto"/>
                <w:spacing w:val="-1"/>
                <w:lang w:eastAsia="zh-CN"/>
              </w:rPr>
              <w:t>、</w:t>
            </w:r>
            <w:r>
              <w:rPr>
                <w:rFonts w:ascii="Times New Roman" w:eastAsia="宋体" w:hAnsi="Times New Roman" w:cs="Times New Roman"/>
                <w:color w:val="auto"/>
                <w:spacing w:val="-1"/>
                <w:lang w:eastAsia="zh-CN"/>
              </w:rPr>
              <w:t>6</w:t>
            </w:r>
          </w:p>
        </w:tc>
        <w:tc>
          <w:tcPr>
            <w:tcW w:w="2401" w:type="dxa"/>
            <w:tcBorders>
              <w:top w:val="single" w:sz="4" w:space="0" w:color="000000"/>
              <w:left w:val="single" w:sz="4" w:space="0" w:color="000000"/>
              <w:bottom w:val="single" w:sz="4" w:space="0" w:color="000000"/>
              <w:right w:val="single" w:sz="4" w:space="0" w:color="000000"/>
            </w:tcBorders>
            <w:vAlign w:val="center"/>
          </w:tcPr>
          <w:p w14:paraId="1E88C4AB" w14:textId="77777777" w:rsidR="0075791A" w:rsidRDefault="00FB2864">
            <w:pPr>
              <w:pStyle w:val="TableParagraph"/>
              <w:spacing w:before="9"/>
              <w:ind w:left="211"/>
              <w:rPr>
                <w:rFonts w:ascii="宋体" w:eastAsia="宋体" w:hAnsi="宋体" w:cs="宋体"/>
                <w:color w:val="auto"/>
                <w:spacing w:val="-1"/>
                <w:lang w:eastAsia="zh-CN"/>
              </w:rPr>
            </w:pPr>
            <w:r>
              <w:rPr>
                <w:rFonts w:ascii="宋体" w:eastAsia="宋体" w:hAnsi="宋体" w:cs="宋体" w:hint="eastAsia"/>
                <w:color w:val="auto"/>
                <w:spacing w:val="-1"/>
                <w:lang w:val="zh-CN"/>
              </w:rPr>
              <w:t>海棠湾</w:t>
            </w:r>
            <w:r>
              <w:rPr>
                <w:rFonts w:ascii="宋体" w:eastAsia="宋体" w:hAnsi="宋体" w:cs="宋体" w:hint="eastAsia"/>
                <w:color w:val="auto"/>
                <w:spacing w:val="-1"/>
                <w:lang w:eastAsia="zh-CN"/>
              </w:rPr>
              <w:t>游憩用海区</w:t>
            </w:r>
          </w:p>
        </w:tc>
        <w:tc>
          <w:tcPr>
            <w:tcW w:w="2557" w:type="dxa"/>
            <w:tcBorders>
              <w:top w:val="single" w:sz="4" w:space="0" w:color="000000"/>
              <w:left w:val="single" w:sz="4" w:space="0" w:color="000000"/>
              <w:bottom w:val="single" w:sz="4" w:space="0" w:color="000000"/>
              <w:right w:val="single" w:sz="4" w:space="0" w:color="000000"/>
            </w:tcBorders>
            <w:vAlign w:val="center"/>
          </w:tcPr>
          <w:p w14:paraId="7FED9D8C" w14:textId="77777777" w:rsidR="0075791A" w:rsidRDefault="00FB2864">
            <w:pPr>
              <w:pStyle w:val="TableParagraph"/>
              <w:spacing w:before="9"/>
              <w:ind w:left="211"/>
              <w:rPr>
                <w:rFonts w:ascii="宋体" w:eastAsia="宋体" w:hAnsi="宋体" w:cs="宋体"/>
                <w:color w:val="auto"/>
                <w:spacing w:val="-1"/>
                <w:lang w:val="zh-CN" w:eastAsia="zh-CN"/>
              </w:rPr>
            </w:pPr>
            <w:r>
              <w:rPr>
                <w:rFonts w:ascii="宋体" w:eastAsia="宋体" w:hAnsi="宋体" w:cs="宋体" w:hint="eastAsia"/>
                <w:color w:val="auto"/>
                <w:spacing w:val="-1"/>
                <w:lang w:eastAsia="zh-CN"/>
              </w:rPr>
              <w:t>一类海洋沉积物质量标准</w:t>
            </w:r>
          </w:p>
        </w:tc>
      </w:tr>
      <w:tr w:rsidR="0075791A" w14:paraId="6F81D31B" w14:textId="77777777">
        <w:trPr>
          <w:trHeight w:val="454"/>
          <w:jc w:val="center"/>
        </w:trPr>
        <w:tc>
          <w:tcPr>
            <w:tcW w:w="773" w:type="dxa"/>
            <w:tcBorders>
              <w:top w:val="single" w:sz="4" w:space="0" w:color="000000"/>
              <w:left w:val="single" w:sz="4" w:space="0" w:color="000000"/>
              <w:bottom w:val="single" w:sz="4" w:space="0" w:color="000000"/>
              <w:right w:val="single" w:sz="4" w:space="0" w:color="000000"/>
            </w:tcBorders>
            <w:vAlign w:val="center"/>
          </w:tcPr>
          <w:p w14:paraId="032E2B0C" w14:textId="77777777" w:rsidR="0075791A" w:rsidRDefault="00FB2864">
            <w:pPr>
              <w:pStyle w:val="TableParagraph"/>
              <w:spacing w:before="9"/>
              <w:ind w:left="211"/>
              <w:rPr>
                <w:rFonts w:ascii="Times New Roman" w:eastAsia="宋体" w:hAnsi="Times New Roman" w:cs="Times New Roman"/>
                <w:color w:val="auto"/>
                <w:spacing w:val="-1"/>
                <w:lang w:eastAsia="zh-CN"/>
              </w:rPr>
            </w:pPr>
            <w:r>
              <w:rPr>
                <w:rFonts w:ascii="Times New Roman" w:eastAsia="宋体" w:hAnsi="Times New Roman" w:cs="Times New Roman"/>
                <w:color w:val="auto"/>
                <w:spacing w:val="-1"/>
                <w:lang w:eastAsia="zh-CN"/>
              </w:rPr>
              <w:t>3</w:t>
            </w:r>
          </w:p>
        </w:tc>
        <w:tc>
          <w:tcPr>
            <w:tcW w:w="1322" w:type="dxa"/>
            <w:tcBorders>
              <w:top w:val="single" w:sz="4" w:space="0" w:color="000000"/>
              <w:left w:val="single" w:sz="4" w:space="0" w:color="000000"/>
              <w:bottom w:val="single" w:sz="4" w:space="0" w:color="000000"/>
              <w:right w:val="single" w:sz="4" w:space="0" w:color="000000"/>
            </w:tcBorders>
            <w:vAlign w:val="center"/>
          </w:tcPr>
          <w:p w14:paraId="1D3614DF" w14:textId="77777777" w:rsidR="0075791A" w:rsidRDefault="00FB2864">
            <w:pPr>
              <w:pStyle w:val="TableParagraph"/>
              <w:spacing w:before="9"/>
              <w:ind w:left="211"/>
              <w:rPr>
                <w:rFonts w:ascii="Times New Roman" w:eastAsia="宋体" w:hAnsi="Times New Roman" w:cs="Times New Roman"/>
                <w:color w:val="auto"/>
                <w:spacing w:val="-1"/>
                <w:lang w:eastAsia="zh-CN"/>
              </w:rPr>
            </w:pPr>
            <w:r>
              <w:rPr>
                <w:rFonts w:ascii="Times New Roman" w:eastAsia="宋体" w:hAnsi="Times New Roman" w:cs="Times New Roman"/>
                <w:color w:val="auto"/>
                <w:spacing w:val="-1"/>
                <w:lang w:eastAsia="zh-CN"/>
              </w:rPr>
              <w:t>2</w:t>
            </w:r>
            <w:r>
              <w:rPr>
                <w:rFonts w:ascii="Times New Roman" w:eastAsia="宋体" w:hAnsi="Times New Roman" w:cs="Times New Roman"/>
                <w:color w:val="auto"/>
                <w:spacing w:val="-1"/>
                <w:lang w:eastAsia="zh-CN"/>
              </w:rPr>
              <w:t>、</w:t>
            </w:r>
            <w:r>
              <w:rPr>
                <w:rFonts w:ascii="Times New Roman" w:eastAsia="宋体" w:hAnsi="Times New Roman" w:cs="Times New Roman"/>
                <w:color w:val="auto"/>
                <w:spacing w:val="-1"/>
                <w:lang w:eastAsia="zh-CN"/>
              </w:rPr>
              <w:t>5</w:t>
            </w:r>
          </w:p>
        </w:tc>
        <w:tc>
          <w:tcPr>
            <w:tcW w:w="2401" w:type="dxa"/>
            <w:tcBorders>
              <w:top w:val="single" w:sz="4" w:space="0" w:color="000000"/>
              <w:left w:val="single" w:sz="4" w:space="0" w:color="000000"/>
              <w:bottom w:val="single" w:sz="4" w:space="0" w:color="000000"/>
              <w:right w:val="single" w:sz="4" w:space="0" w:color="000000"/>
            </w:tcBorders>
            <w:vAlign w:val="center"/>
          </w:tcPr>
          <w:p w14:paraId="3ECB7A9E" w14:textId="77777777" w:rsidR="0075791A" w:rsidRDefault="00FB2864">
            <w:pPr>
              <w:pStyle w:val="TableParagraph"/>
              <w:spacing w:before="9"/>
              <w:ind w:left="211"/>
              <w:rPr>
                <w:rFonts w:ascii="宋体" w:eastAsia="宋体" w:hAnsi="宋体" w:cs="宋体"/>
                <w:color w:val="auto"/>
                <w:spacing w:val="-1"/>
                <w:lang w:val="zh-CN" w:eastAsia="zh-CN"/>
              </w:rPr>
            </w:pPr>
            <w:r>
              <w:rPr>
                <w:rFonts w:ascii="宋体" w:eastAsia="宋体" w:hAnsi="宋体" w:cs="宋体" w:hint="eastAsia"/>
                <w:color w:val="auto"/>
                <w:spacing w:val="-1"/>
                <w:lang w:eastAsia="zh-CN"/>
              </w:rPr>
              <w:t>陵水湾</w:t>
            </w:r>
            <w:r>
              <w:rPr>
                <w:rFonts w:ascii="宋体" w:eastAsia="宋体" w:hAnsi="宋体" w:cs="宋体" w:hint="eastAsia"/>
                <w:color w:val="auto"/>
                <w:spacing w:val="-1"/>
                <w:lang w:eastAsia="zh-CN"/>
              </w:rPr>
              <w:t>-</w:t>
            </w:r>
            <w:r>
              <w:rPr>
                <w:rFonts w:ascii="宋体" w:eastAsia="宋体" w:hAnsi="宋体" w:cs="宋体" w:hint="eastAsia"/>
                <w:color w:val="auto"/>
                <w:spacing w:val="-1"/>
                <w:lang w:eastAsia="zh-CN"/>
              </w:rPr>
              <w:t>海棠湾渔业用海区</w:t>
            </w:r>
          </w:p>
        </w:tc>
        <w:tc>
          <w:tcPr>
            <w:tcW w:w="2557" w:type="dxa"/>
            <w:tcBorders>
              <w:top w:val="single" w:sz="4" w:space="0" w:color="000000"/>
              <w:left w:val="single" w:sz="4" w:space="0" w:color="000000"/>
              <w:bottom w:val="single" w:sz="4" w:space="0" w:color="000000"/>
              <w:right w:val="single" w:sz="4" w:space="0" w:color="000000"/>
            </w:tcBorders>
            <w:vAlign w:val="center"/>
          </w:tcPr>
          <w:p w14:paraId="1F2BD472" w14:textId="77777777" w:rsidR="0075791A" w:rsidRDefault="00FB2864">
            <w:pPr>
              <w:pStyle w:val="TableParagraph"/>
              <w:spacing w:before="9"/>
              <w:ind w:left="211"/>
              <w:rPr>
                <w:rFonts w:ascii="宋体" w:eastAsia="宋体" w:hAnsi="宋体" w:cs="宋体"/>
                <w:color w:val="auto"/>
                <w:spacing w:val="-1"/>
                <w:lang w:val="zh-CN" w:eastAsia="zh-CN"/>
              </w:rPr>
            </w:pPr>
            <w:r>
              <w:rPr>
                <w:rFonts w:ascii="宋体" w:eastAsia="宋体" w:hAnsi="宋体" w:cs="宋体" w:hint="eastAsia"/>
                <w:color w:val="auto"/>
                <w:spacing w:val="-1"/>
                <w:lang w:eastAsia="zh-CN"/>
              </w:rPr>
              <w:t>一类海洋沉积物质量标准</w:t>
            </w:r>
          </w:p>
        </w:tc>
      </w:tr>
      <w:tr w:rsidR="0075791A" w14:paraId="0E6A1586" w14:textId="77777777">
        <w:trPr>
          <w:trHeight w:val="454"/>
          <w:jc w:val="center"/>
        </w:trPr>
        <w:tc>
          <w:tcPr>
            <w:tcW w:w="773" w:type="dxa"/>
            <w:tcBorders>
              <w:top w:val="single" w:sz="4" w:space="0" w:color="000000"/>
              <w:left w:val="single" w:sz="4" w:space="0" w:color="000000"/>
              <w:bottom w:val="single" w:sz="4" w:space="0" w:color="000000"/>
              <w:right w:val="single" w:sz="4" w:space="0" w:color="000000"/>
            </w:tcBorders>
            <w:vAlign w:val="center"/>
          </w:tcPr>
          <w:p w14:paraId="628CADC4" w14:textId="77777777" w:rsidR="0075791A" w:rsidRDefault="00FB2864">
            <w:pPr>
              <w:pStyle w:val="TableParagraph"/>
              <w:spacing w:before="9"/>
              <w:ind w:left="211"/>
              <w:rPr>
                <w:rFonts w:ascii="Times New Roman" w:eastAsia="宋体" w:hAnsi="Times New Roman" w:cs="Times New Roman"/>
                <w:color w:val="auto"/>
                <w:spacing w:val="-1"/>
                <w:lang w:eastAsia="zh-CN"/>
              </w:rPr>
            </w:pPr>
            <w:r>
              <w:rPr>
                <w:rFonts w:ascii="Times New Roman" w:eastAsia="宋体" w:hAnsi="Times New Roman" w:cs="Times New Roman"/>
                <w:color w:val="auto"/>
                <w:spacing w:val="-1"/>
                <w:lang w:eastAsia="zh-CN"/>
              </w:rPr>
              <w:t>4</w:t>
            </w:r>
          </w:p>
        </w:tc>
        <w:tc>
          <w:tcPr>
            <w:tcW w:w="1322" w:type="dxa"/>
            <w:tcBorders>
              <w:top w:val="single" w:sz="4" w:space="0" w:color="000000"/>
              <w:left w:val="single" w:sz="4" w:space="0" w:color="000000"/>
              <w:bottom w:val="single" w:sz="4" w:space="0" w:color="000000"/>
              <w:right w:val="single" w:sz="4" w:space="0" w:color="000000"/>
            </w:tcBorders>
            <w:vAlign w:val="center"/>
          </w:tcPr>
          <w:p w14:paraId="49F314E4" w14:textId="77777777" w:rsidR="0075791A" w:rsidRDefault="00FB2864">
            <w:pPr>
              <w:pStyle w:val="TableParagraph"/>
              <w:spacing w:before="9"/>
              <w:ind w:left="211"/>
              <w:rPr>
                <w:rFonts w:ascii="Times New Roman" w:eastAsia="宋体" w:hAnsi="Times New Roman" w:cs="Times New Roman"/>
                <w:color w:val="auto"/>
                <w:spacing w:val="-1"/>
                <w:lang w:eastAsia="zh-CN"/>
              </w:rPr>
            </w:pPr>
            <w:r>
              <w:rPr>
                <w:rFonts w:ascii="Times New Roman" w:eastAsia="宋体" w:hAnsi="Times New Roman" w:cs="Times New Roman"/>
                <w:color w:val="auto"/>
                <w:spacing w:val="-1"/>
                <w:lang w:eastAsia="zh-CN"/>
              </w:rPr>
              <w:t>3</w:t>
            </w:r>
          </w:p>
        </w:tc>
        <w:tc>
          <w:tcPr>
            <w:tcW w:w="2401" w:type="dxa"/>
            <w:tcBorders>
              <w:top w:val="single" w:sz="4" w:space="0" w:color="000000"/>
              <w:left w:val="single" w:sz="4" w:space="0" w:color="000000"/>
              <w:bottom w:val="single" w:sz="4" w:space="0" w:color="000000"/>
              <w:right w:val="single" w:sz="4" w:space="0" w:color="000000"/>
            </w:tcBorders>
            <w:vAlign w:val="center"/>
          </w:tcPr>
          <w:p w14:paraId="0D753CC2" w14:textId="77777777" w:rsidR="0075791A" w:rsidRDefault="00FB2864">
            <w:pPr>
              <w:pStyle w:val="TableParagraph"/>
              <w:spacing w:before="9"/>
              <w:ind w:left="211"/>
              <w:rPr>
                <w:rFonts w:ascii="宋体" w:eastAsia="宋体" w:hAnsi="宋体" w:cs="宋体"/>
                <w:color w:val="auto"/>
                <w:spacing w:val="-1"/>
                <w:lang w:eastAsia="zh-CN"/>
              </w:rPr>
            </w:pPr>
            <w:r>
              <w:rPr>
                <w:rFonts w:ascii="宋体" w:eastAsia="宋体" w:hAnsi="宋体" w:cs="宋体" w:hint="eastAsia"/>
                <w:color w:val="auto"/>
                <w:spacing w:val="-1"/>
                <w:lang w:eastAsia="zh-CN"/>
              </w:rPr>
              <w:t>后海珊瑚礁生态保护区</w:t>
            </w:r>
          </w:p>
        </w:tc>
        <w:tc>
          <w:tcPr>
            <w:tcW w:w="2557" w:type="dxa"/>
            <w:tcBorders>
              <w:top w:val="single" w:sz="4" w:space="0" w:color="000000"/>
              <w:left w:val="single" w:sz="4" w:space="0" w:color="000000"/>
              <w:bottom w:val="single" w:sz="4" w:space="0" w:color="000000"/>
              <w:right w:val="single" w:sz="4" w:space="0" w:color="000000"/>
            </w:tcBorders>
            <w:vAlign w:val="center"/>
          </w:tcPr>
          <w:p w14:paraId="65A88E5B" w14:textId="77777777" w:rsidR="0075791A" w:rsidRDefault="00FB2864">
            <w:pPr>
              <w:pStyle w:val="TableParagraph"/>
              <w:spacing w:before="9"/>
              <w:ind w:left="211"/>
              <w:rPr>
                <w:rFonts w:ascii="宋体" w:eastAsia="宋体" w:hAnsi="宋体" w:cs="宋体"/>
                <w:color w:val="auto"/>
                <w:spacing w:val="-1"/>
                <w:lang w:val="zh-CN" w:eastAsia="zh-CN"/>
              </w:rPr>
            </w:pPr>
            <w:r>
              <w:rPr>
                <w:rFonts w:ascii="宋体" w:eastAsia="宋体" w:hAnsi="宋体" w:cs="宋体" w:hint="eastAsia"/>
                <w:color w:val="auto"/>
                <w:spacing w:val="-1"/>
                <w:lang w:eastAsia="zh-CN"/>
              </w:rPr>
              <w:t>一类海洋沉积物质量标准</w:t>
            </w:r>
          </w:p>
        </w:tc>
      </w:tr>
      <w:tr w:rsidR="0075791A" w14:paraId="3FBF81A9" w14:textId="77777777">
        <w:trPr>
          <w:trHeight w:val="454"/>
          <w:jc w:val="center"/>
        </w:trPr>
        <w:tc>
          <w:tcPr>
            <w:tcW w:w="773" w:type="dxa"/>
            <w:tcBorders>
              <w:top w:val="single" w:sz="4" w:space="0" w:color="000000"/>
              <w:left w:val="single" w:sz="4" w:space="0" w:color="000000"/>
              <w:bottom w:val="single" w:sz="4" w:space="0" w:color="000000"/>
              <w:right w:val="single" w:sz="4" w:space="0" w:color="000000"/>
            </w:tcBorders>
            <w:vAlign w:val="center"/>
          </w:tcPr>
          <w:p w14:paraId="16C86EB4" w14:textId="77777777" w:rsidR="0075791A" w:rsidRDefault="00FB2864">
            <w:pPr>
              <w:pStyle w:val="TableParagraph"/>
              <w:spacing w:before="9"/>
              <w:ind w:left="211"/>
              <w:rPr>
                <w:rFonts w:ascii="Times New Roman" w:eastAsia="宋体" w:hAnsi="Times New Roman" w:cs="Times New Roman"/>
                <w:color w:val="auto"/>
                <w:spacing w:val="-1"/>
                <w:lang w:eastAsia="zh-CN"/>
              </w:rPr>
            </w:pPr>
            <w:r>
              <w:rPr>
                <w:rFonts w:ascii="Times New Roman" w:eastAsia="宋体" w:hAnsi="Times New Roman" w:cs="Times New Roman"/>
                <w:color w:val="auto"/>
                <w:spacing w:val="-1"/>
                <w:lang w:eastAsia="zh-CN"/>
              </w:rPr>
              <w:t>5</w:t>
            </w:r>
          </w:p>
        </w:tc>
        <w:tc>
          <w:tcPr>
            <w:tcW w:w="1322" w:type="dxa"/>
            <w:tcBorders>
              <w:top w:val="single" w:sz="4" w:space="0" w:color="000000"/>
              <w:left w:val="single" w:sz="4" w:space="0" w:color="000000"/>
              <w:bottom w:val="single" w:sz="4" w:space="0" w:color="000000"/>
              <w:right w:val="single" w:sz="4" w:space="0" w:color="000000"/>
            </w:tcBorders>
            <w:vAlign w:val="center"/>
          </w:tcPr>
          <w:p w14:paraId="224BABA3" w14:textId="77777777" w:rsidR="0075791A" w:rsidRDefault="00FB2864">
            <w:pPr>
              <w:pStyle w:val="TableParagraph"/>
              <w:spacing w:before="9"/>
              <w:ind w:left="211"/>
              <w:rPr>
                <w:rFonts w:ascii="Times New Roman" w:eastAsia="宋体" w:hAnsi="Times New Roman" w:cs="Times New Roman"/>
                <w:color w:val="auto"/>
                <w:spacing w:val="-1"/>
                <w:lang w:eastAsia="zh-CN"/>
              </w:rPr>
            </w:pPr>
            <w:r>
              <w:rPr>
                <w:rFonts w:ascii="Times New Roman" w:eastAsia="宋体" w:hAnsi="Times New Roman" w:cs="Times New Roman"/>
                <w:color w:val="auto"/>
                <w:spacing w:val="-1"/>
                <w:lang w:eastAsia="zh-CN"/>
              </w:rPr>
              <w:t>8</w:t>
            </w:r>
          </w:p>
        </w:tc>
        <w:tc>
          <w:tcPr>
            <w:tcW w:w="2401" w:type="dxa"/>
            <w:tcBorders>
              <w:top w:val="single" w:sz="4" w:space="0" w:color="000000"/>
              <w:left w:val="single" w:sz="4" w:space="0" w:color="000000"/>
              <w:bottom w:val="single" w:sz="4" w:space="0" w:color="000000"/>
              <w:right w:val="single" w:sz="4" w:space="0" w:color="000000"/>
            </w:tcBorders>
            <w:vAlign w:val="center"/>
          </w:tcPr>
          <w:p w14:paraId="4C044130" w14:textId="77777777" w:rsidR="0075791A" w:rsidRDefault="00FB2864">
            <w:pPr>
              <w:pStyle w:val="TableParagraph"/>
              <w:spacing w:before="9"/>
              <w:ind w:left="211"/>
              <w:rPr>
                <w:rFonts w:ascii="宋体" w:eastAsia="宋体" w:hAnsi="宋体" w:cs="宋体"/>
                <w:color w:val="auto"/>
                <w:spacing w:val="-1"/>
                <w:lang w:eastAsia="zh-CN"/>
              </w:rPr>
            </w:pPr>
            <w:r>
              <w:rPr>
                <w:rFonts w:ascii="宋体" w:eastAsia="宋体" w:hAnsi="宋体" w:cs="宋体" w:hint="eastAsia"/>
                <w:color w:val="auto"/>
                <w:spacing w:val="-1"/>
                <w:lang w:eastAsia="zh-CN"/>
              </w:rPr>
              <w:t>铁炉港</w:t>
            </w:r>
            <w:r>
              <w:rPr>
                <w:rFonts w:ascii="宋体" w:eastAsia="宋体" w:hAnsi="宋体" w:cs="宋体" w:hint="eastAsia"/>
                <w:color w:val="auto"/>
                <w:spacing w:val="-1"/>
                <w:lang w:eastAsia="zh-CN"/>
              </w:rPr>
              <w:t>-</w:t>
            </w:r>
            <w:r>
              <w:rPr>
                <w:rFonts w:ascii="宋体" w:eastAsia="宋体" w:hAnsi="宋体" w:cs="宋体" w:hint="eastAsia"/>
                <w:color w:val="auto"/>
                <w:spacing w:val="-1"/>
                <w:lang w:eastAsia="zh-CN"/>
              </w:rPr>
              <w:t>榆林港特殊用海区</w:t>
            </w:r>
          </w:p>
        </w:tc>
        <w:tc>
          <w:tcPr>
            <w:tcW w:w="2557" w:type="dxa"/>
            <w:tcBorders>
              <w:top w:val="single" w:sz="4" w:space="0" w:color="000000"/>
              <w:left w:val="single" w:sz="4" w:space="0" w:color="000000"/>
              <w:bottom w:val="single" w:sz="4" w:space="0" w:color="000000"/>
              <w:right w:val="single" w:sz="4" w:space="0" w:color="000000"/>
            </w:tcBorders>
            <w:vAlign w:val="center"/>
          </w:tcPr>
          <w:p w14:paraId="5A45B863" w14:textId="77777777" w:rsidR="0075791A" w:rsidRDefault="00FB2864">
            <w:pPr>
              <w:pStyle w:val="TableParagraph"/>
              <w:spacing w:before="9"/>
              <w:ind w:left="211"/>
              <w:rPr>
                <w:rFonts w:ascii="宋体" w:eastAsia="宋体" w:hAnsi="宋体" w:cs="宋体"/>
                <w:color w:val="auto"/>
                <w:spacing w:val="-1"/>
                <w:lang w:val="zh-CN" w:eastAsia="zh-CN"/>
              </w:rPr>
            </w:pPr>
            <w:r>
              <w:rPr>
                <w:rFonts w:ascii="宋体" w:eastAsia="宋体" w:hAnsi="宋体" w:cs="宋体" w:hint="eastAsia"/>
                <w:color w:val="auto"/>
                <w:spacing w:val="-1"/>
                <w:lang w:eastAsia="zh-CN"/>
              </w:rPr>
              <w:t>三类海洋沉积物质量标准</w:t>
            </w:r>
          </w:p>
        </w:tc>
      </w:tr>
      <w:tr w:rsidR="0075791A" w14:paraId="74AA8862" w14:textId="77777777">
        <w:trPr>
          <w:trHeight w:hRule="exact" w:val="621"/>
          <w:jc w:val="center"/>
        </w:trPr>
        <w:tc>
          <w:tcPr>
            <w:tcW w:w="773" w:type="dxa"/>
            <w:tcBorders>
              <w:top w:val="single" w:sz="4" w:space="0" w:color="000000"/>
              <w:left w:val="single" w:sz="4" w:space="0" w:color="000000"/>
              <w:bottom w:val="single" w:sz="4" w:space="0" w:color="000000"/>
              <w:right w:val="single" w:sz="4" w:space="0" w:color="000000"/>
            </w:tcBorders>
            <w:vAlign w:val="center"/>
          </w:tcPr>
          <w:p w14:paraId="30DE061D" w14:textId="77777777" w:rsidR="0075791A" w:rsidRDefault="00FB2864">
            <w:pPr>
              <w:pStyle w:val="TableParagraph"/>
              <w:spacing w:before="9"/>
              <w:ind w:left="211"/>
              <w:rPr>
                <w:rFonts w:ascii="Times New Roman" w:eastAsia="宋体" w:hAnsi="Times New Roman" w:cs="Times New Roman"/>
                <w:color w:val="auto"/>
                <w:spacing w:val="-1"/>
                <w:lang w:eastAsia="zh-CN"/>
              </w:rPr>
            </w:pPr>
            <w:r>
              <w:rPr>
                <w:rFonts w:ascii="Times New Roman" w:eastAsia="宋体" w:hAnsi="Times New Roman" w:cs="Times New Roman"/>
                <w:color w:val="auto"/>
                <w:spacing w:val="-1"/>
                <w:lang w:eastAsia="zh-CN"/>
              </w:rPr>
              <w:t>6</w:t>
            </w:r>
          </w:p>
        </w:tc>
        <w:tc>
          <w:tcPr>
            <w:tcW w:w="1322" w:type="dxa"/>
            <w:tcBorders>
              <w:top w:val="single" w:sz="4" w:space="0" w:color="000000"/>
              <w:left w:val="single" w:sz="4" w:space="0" w:color="000000"/>
              <w:bottom w:val="single" w:sz="4" w:space="0" w:color="000000"/>
              <w:right w:val="single" w:sz="4" w:space="0" w:color="000000"/>
            </w:tcBorders>
            <w:vAlign w:val="center"/>
          </w:tcPr>
          <w:p w14:paraId="509D5895" w14:textId="77777777" w:rsidR="0075791A" w:rsidRDefault="00FB2864">
            <w:pPr>
              <w:pStyle w:val="TableParagraph"/>
              <w:spacing w:before="9"/>
              <w:ind w:left="211"/>
              <w:rPr>
                <w:rFonts w:ascii="Times New Roman" w:eastAsia="宋体" w:hAnsi="Times New Roman" w:cs="Times New Roman"/>
                <w:color w:val="auto"/>
                <w:spacing w:val="-1"/>
                <w:lang w:eastAsia="zh-CN"/>
              </w:rPr>
            </w:pPr>
            <w:r>
              <w:rPr>
                <w:rFonts w:ascii="Times New Roman" w:eastAsia="宋体" w:hAnsi="Times New Roman" w:cs="Times New Roman"/>
                <w:color w:val="auto"/>
                <w:spacing w:val="-1"/>
                <w:lang w:eastAsia="zh-CN"/>
              </w:rPr>
              <w:t>9</w:t>
            </w:r>
            <w:r>
              <w:rPr>
                <w:rFonts w:ascii="Times New Roman" w:eastAsia="宋体" w:hAnsi="Times New Roman" w:cs="Times New Roman"/>
                <w:color w:val="auto"/>
                <w:spacing w:val="-1"/>
                <w:lang w:eastAsia="zh-CN"/>
              </w:rPr>
              <w:t>、</w:t>
            </w:r>
            <w:r>
              <w:rPr>
                <w:rFonts w:ascii="Times New Roman" w:eastAsia="宋体" w:hAnsi="Times New Roman" w:cs="Times New Roman"/>
                <w:color w:val="auto"/>
                <w:spacing w:val="-1"/>
                <w:lang w:eastAsia="zh-CN"/>
              </w:rPr>
              <w:t>11</w:t>
            </w:r>
          </w:p>
        </w:tc>
        <w:tc>
          <w:tcPr>
            <w:tcW w:w="2401" w:type="dxa"/>
            <w:tcBorders>
              <w:top w:val="single" w:sz="4" w:space="0" w:color="000000"/>
              <w:left w:val="single" w:sz="4" w:space="0" w:color="000000"/>
              <w:bottom w:val="single" w:sz="4" w:space="0" w:color="000000"/>
              <w:right w:val="single" w:sz="4" w:space="0" w:color="000000"/>
            </w:tcBorders>
            <w:vAlign w:val="center"/>
          </w:tcPr>
          <w:p w14:paraId="3F5C21FF" w14:textId="77777777" w:rsidR="0075791A" w:rsidRDefault="00FB2864">
            <w:pPr>
              <w:pStyle w:val="TableParagraph"/>
              <w:spacing w:before="9"/>
              <w:ind w:left="211"/>
              <w:rPr>
                <w:rFonts w:ascii="宋体" w:eastAsia="宋体" w:hAnsi="宋体" w:cs="宋体"/>
                <w:color w:val="auto"/>
                <w:spacing w:val="-1"/>
                <w:lang w:eastAsia="zh-CN"/>
              </w:rPr>
            </w:pPr>
            <w:r>
              <w:rPr>
                <w:rFonts w:ascii="宋体" w:eastAsia="宋体" w:hAnsi="宋体" w:cs="宋体" w:hint="eastAsia"/>
                <w:color w:val="auto"/>
                <w:spacing w:val="-1"/>
                <w:lang w:eastAsia="zh-CN"/>
              </w:rPr>
              <w:t>牛车湾</w:t>
            </w:r>
            <w:r>
              <w:rPr>
                <w:rFonts w:ascii="宋体" w:eastAsia="宋体" w:hAnsi="宋体" w:cs="宋体" w:hint="eastAsia"/>
                <w:color w:val="auto"/>
                <w:spacing w:val="-1"/>
                <w:lang w:eastAsia="zh-CN"/>
              </w:rPr>
              <w:t>-</w:t>
            </w:r>
            <w:r>
              <w:rPr>
                <w:rFonts w:ascii="宋体" w:eastAsia="宋体" w:hAnsi="宋体" w:cs="宋体" w:hint="eastAsia"/>
                <w:color w:val="auto"/>
                <w:spacing w:val="-1"/>
                <w:lang w:eastAsia="zh-CN"/>
              </w:rPr>
              <w:t>亚龙湾海岸生态保护区</w:t>
            </w:r>
          </w:p>
        </w:tc>
        <w:tc>
          <w:tcPr>
            <w:tcW w:w="2557" w:type="dxa"/>
            <w:tcBorders>
              <w:top w:val="single" w:sz="4" w:space="0" w:color="000000"/>
              <w:left w:val="single" w:sz="4" w:space="0" w:color="000000"/>
              <w:bottom w:val="single" w:sz="4" w:space="0" w:color="000000"/>
              <w:right w:val="single" w:sz="4" w:space="0" w:color="000000"/>
            </w:tcBorders>
            <w:vAlign w:val="center"/>
          </w:tcPr>
          <w:p w14:paraId="4C91139F" w14:textId="77777777" w:rsidR="0075791A" w:rsidRDefault="00FB2864">
            <w:pPr>
              <w:pStyle w:val="TableParagraph"/>
              <w:spacing w:before="9"/>
              <w:ind w:left="211"/>
              <w:rPr>
                <w:rFonts w:ascii="宋体" w:eastAsia="宋体" w:hAnsi="宋体" w:cs="宋体"/>
                <w:color w:val="auto"/>
                <w:spacing w:val="-1"/>
                <w:lang w:val="zh-CN" w:eastAsia="zh-CN"/>
              </w:rPr>
            </w:pPr>
            <w:r>
              <w:rPr>
                <w:rFonts w:ascii="宋体" w:eastAsia="宋体" w:hAnsi="宋体" w:cs="宋体" w:hint="eastAsia"/>
                <w:color w:val="auto"/>
                <w:spacing w:val="-1"/>
                <w:lang w:eastAsia="zh-CN"/>
              </w:rPr>
              <w:t>一类海洋沉积物质量标准</w:t>
            </w:r>
          </w:p>
        </w:tc>
      </w:tr>
      <w:tr w:rsidR="0075791A" w14:paraId="2944561B" w14:textId="77777777">
        <w:trPr>
          <w:trHeight w:hRule="exact" w:val="385"/>
          <w:jc w:val="center"/>
        </w:trPr>
        <w:tc>
          <w:tcPr>
            <w:tcW w:w="773" w:type="dxa"/>
            <w:tcBorders>
              <w:top w:val="single" w:sz="4" w:space="0" w:color="000000"/>
              <w:left w:val="single" w:sz="4" w:space="0" w:color="000000"/>
              <w:bottom w:val="single" w:sz="4" w:space="0" w:color="000000"/>
              <w:right w:val="single" w:sz="4" w:space="0" w:color="000000"/>
            </w:tcBorders>
            <w:vAlign w:val="center"/>
          </w:tcPr>
          <w:p w14:paraId="4D3F1EB2" w14:textId="77777777" w:rsidR="0075791A" w:rsidRDefault="00FB2864">
            <w:pPr>
              <w:pStyle w:val="TableParagraph"/>
              <w:spacing w:before="9"/>
              <w:ind w:left="211"/>
              <w:rPr>
                <w:rFonts w:ascii="Times New Roman" w:eastAsia="宋体" w:hAnsi="Times New Roman" w:cs="Times New Roman"/>
                <w:color w:val="auto"/>
                <w:spacing w:val="-1"/>
                <w:lang w:eastAsia="zh-CN"/>
              </w:rPr>
            </w:pPr>
            <w:r>
              <w:rPr>
                <w:rFonts w:ascii="Times New Roman" w:eastAsia="宋体" w:hAnsi="Times New Roman" w:cs="Times New Roman"/>
                <w:color w:val="auto"/>
                <w:spacing w:val="-1"/>
                <w:lang w:eastAsia="zh-CN"/>
              </w:rPr>
              <w:t>7</w:t>
            </w:r>
          </w:p>
        </w:tc>
        <w:tc>
          <w:tcPr>
            <w:tcW w:w="1322" w:type="dxa"/>
            <w:tcBorders>
              <w:top w:val="single" w:sz="4" w:space="0" w:color="000000"/>
              <w:left w:val="single" w:sz="4" w:space="0" w:color="000000"/>
              <w:bottom w:val="single" w:sz="4" w:space="0" w:color="000000"/>
              <w:right w:val="single" w:sz="4" w:space="0" w:color="000000"/>
            </w:tcBorders>
            <w:vAlign w:val="center"/>
          </w:tcPr>
          <w:p w14:paraId="09897FB0" w14:textId="77777777" w:rsidR="0075791A" w:rsidRDefault="00FB2864">
            <w:pPr>
              <w:pStyle w:val="TableParagraph"/>
              <w:spacing w:before="9"/>
              <w:ind w:left="211"/>
              <w:rPr>
                <w:rFonts w:ascii="Times New Roman" w:eastAsia="宋体" w:hAnsi="Times New Roman" w:cs="Times New Roman"/>
                <w:color w:val="auto"/>
                <w:spacing w:val="-1"/>
                <w:lang w:eastAsia="zh-CN"/>
              </w:rPr>
            </w:pPr>
            <w:r>
              <w:rPr>
                <w:rFonts w:ascii="Times New Roman" w:eastAsia="宋体" w:hAnsi="Times New Roman" w:cs="Times New Roman"/>
                <w:color w:val="auto"/>
                <w:spacing w:val="-1"/>
                <w:lang w:eastAsia="zh-CN"/>
              </w:rPr>
              <w:t>10</w:t>
            </w:r>
          </w:p>
        </w:tc>
        <w:tc>
          <w:tcPr>
            <w:tcW w:w="2401" w:type="dxa"/>
            <w:tcBorders>
              <w:top w:val="single" w:sz="4" w:space="0" w:color="000000"/>
              <w:left w:val="single" w:sz="4" w:space="0" w:color="000000"/>
              <w:bottom w:val="single" w:sz="4" w:space="0" w:color="000000"/>
              <w:right w:val="single" w:sz="4" w:space="0" w:color="000000"/>
            </w:tcBorders>
            <w:vAlign w:val="center"/>
          </w:tcPr>
          <w:p w14:paraId="7AF4416D" w14:textId="77777777" w:rsidR="0075791A" w:rsidRDefault="00FB2864">
            <w:pPr>
              <w:pStyle w:val="TableParagraph"/>
              <w:spacing w:before="9"/>
              <w:ind w:left="211"/>
              <w:rPr>
                <w:rFonts w:ascii="宋体" w:eastAsia="宋体" w:hAnsi="宋体" w:cs="宋体"/>
                <w:color w:val="auto"/>
                <w:spacing w:val="-1"/>
                <w:lang w:eastAsia="zh-CN"/>
              </w:rPr>
            </w:pPr>
            <w:r>
              <w:rPr>
                <w:rFonts w:ascii="宋体" w:eastAsia="宋体" w:hAnsi="宋体" w:cs="宋体" w:hint="eastAsia"/>
                <w:color w:val="auto"/>
                <w:spacing w:val="-1"/>
                <w:lang w:eastAsia="zh-CN"/>
              </w:rPr>
              <w:t>海南岛近海渔业用海区</w:t>
            </w:r>
          </w:p>
        </w:tc>
        <w:tc>
          <w:tcPr>
            <w:tcW w:w="2557" w:type="dxa"/>
            <w:tcBorders>
              <w:top w:val="single" w:sz="4" w:space="0" w:color="000000"/>
              <w:left w:val="single" w:sz="4" w:space="0" w:color="000000"/>
              <w:bottom w:val="single" w:sz="4" w:space="0" w:color="000000"/>
              <w:right w:val="single" w:sz="4" w:space="0" w:color="000000"/>
            </w:tcBorders>
            <w:vAlign w:val="center"/>
          </w:tcPr>
          <w:p w14:paraId="077EDF2C" w14:textId="77777777" w:rsidR="0075791A" w:rsidRDefault="00FB2864">
            <w:pPr>
              <w:pStyle w:val="TableParagraph"/>
              <w:spacing w:before="9"/>
              <w:ind w:left="211"/>
              <w:rPr>
                <w:rFonts w:ascii="宋体" w:eastAsia="宋体" w:hAnsi="宋体" w:cs="宋体"/>
                <w:color w:val="auto"/>
                <w:spacing w:val="-1"/>
                <w:lang w:val="zh-CN" w:eastAsia="zh-CN"/>
              </w:rPr>
            </w:pPr>
            <w:r>
              <w:rPr>
                <w:rFonts w:ascii="宋体" w:eastAsia="宋体" w:hAnsi="宋体" w:cs="宋体" w:hint="eastAsia"/>
                <w:color w:val="auto"/>
                <w:spacing w:val="-1"/>
                <w:lang w:eastAsia="zh-CN"/>
              </w:rPr>
              <w:t>一类海洋沉积物质量标准</w:t>
            </w:r>
          </w:p>
        </w:tc>
      </w:tr>
    </w:tbl>
    <w:p w14:paraId="3DA80959"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sz w:val="24"/>
          <w:szCs w:val="24"/>
          <w:lang w:eastAsia="zh-CN"/>
        </w:rPr>
      </w:pPr>
    </w:p>
    <w:p w14:paraId="727B765E"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sz w:val="24"/>
          <w:szCs w:val="24"/>
          <w:lang w:eastAsia="zh-CN"/>
        </w:rPr>
      </w:pPr>
    </w:p>
    <w:p w14:paraId="0578E897" w14:textId="77777777" w:rsidR="0075791A" w:rsidRDefault="00FB2864">
      <w:pPr>
        <w:pStyle w:val="a5"/>
        <w:tabs>
          <w:tab w:val="left" w:pos="1219"/>
        </w:tabs>
        <w:spacing w:line="360" w:lineRule="auto"/>
        <w:ind w:right="3"/>
        <w:jc w:val="center"/>
        <w:rPr>
          <w:color w:val="auto"/>
          <w:lang w:eastAsia="zh-CN"/>
        </w:rPr>
      </w:pPr>
      <w:r>
        <w:rPr>
          <w:color w:val="auto"/>
          <w:lang w:eastAsia="zh-CN"/>
        </w:rPr>
        <w:t>图</w:t>
      </w:r>
      <w:r>
        <w:rPr>
          <w:rFonts w:ascii="Times New Roman" w:eastAsia="宋体" w:hAnsi="Times New Roman" w:cs="Times New Roman" w:hint="eastAsia"/>
          <w:snapToGrid/>
          <w:color w:val="auto"/>
          <w:kern w:val="2"/>
          <w:sz w:val="24"/>
          <w:szCs w:val="24"/>
          <w:lang w:eastAsia="zh-CN"/>
        </w:rPr>
        <w:t>3.2.5-4</w:t>
      </w:r>
      <w:r>
        <w:rPr>
          <w:rFonts w:ascii="Times New Roman" w:eastAsia="宋体" w:hAnsi="Times New Roman" w:cs="Times New Roman" w:hint="eastAsia"/>
          <w:color w:val="auto"/>
          <w:lang w:eastAsia="zh-CN"/>
        </w:rPr>
        <w:t>夏季海洋沉积物</w:t>
      </w:r>
      <w:r>
        <w:rPr>
          <w:color w:val="auto"/>
          <w:lang w:eastAsia="zh-CN"/>
        </w:rPr>
        <w:t>调查站位所在海洋功能区划分布图</w:t>
      </w:r>
    </w:p>
    <w:p w14:paraId="0A7FA6D3"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）评价结果</w:t>
      </w:r>
    </w:p>
    <w:p w14:paraId="5E2FA872"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月沉积物质量评价：</w:t>
      </w:r>
    </w:p>
    <w:p w14:paraId="655DF54E"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根据《海洋沉积物质量》</w:t>
      </w:r>
      <w:r>
        <w:rPr>
          <w:rFonts w:ascii="Times New Roman" w:eastAsia="宋体" w:hAnsi="Times New Roman" w:cs="Times New Roman"/>
          <w:snapToGrid/>
          <w:color w:val="auto"/>
          <w:kern w:val="2"/>
          <w:sz w:val="24"/>
          <w:szCs w:val="24"/>
          <w:lang w:eastAsia="zh-CN"/>
        </w:rPr>
        <w:t>GB18668-2002</w:t>
      </w:r>
      <w:r>
        <w:rPr>
          <w:rFonts w:ascii="Times New Roman" w:eastAsia="宋体" w:hAnsi="Times New Roman" w:cs="Times New Roman"/>
          <w:snapToGrid/>
          <w:color w:val="auto"/>
          <w:kern w:val="2"/>
          <w:sz w:val="24"/>
          <w:szCs w:val="24"/>
          <w:lang w:eastAsia="zh-CN"/>
        </w:rPr>
        <w:t>中对部分沉积物质量参数的分类规定，本次沉积物质量评价因子为有机碳、锌、镉、铅、铜、铬共</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snapToGrid/>
          <w:color w:val="auto"/>
          <w:kern w:val="2"/>
          <w:sz w:val="24"/>
          <w:szCs w:val="24"/>
          <w:lang w:eastAsia="zh-CN"/>
        </w:rPr>
        <w:t>项。</w:t>
      </w:r>
      <w:r>
        <w:rPr>
          <w:rFonts w:ascii="Times New Roman" w:eastAsia="宋体" w:hAnsi="Times New Roman" w:cs="Times New Roman" w:hint="eastAsia"/>
          <w:snapToGrid/>
          <w:color w:val="auto"/>
          <w:kern w:val="2"/>
          <w:sz w:val="24"/>
          <w:szCs w:val="24"/>
          <w:lang w:eastAsia="zh-CN"/>
        </w:rPr>
        <w:t>铁炉港内古树（</w:t>
      </w:r>
      <w:r>
        <w:rPr>
          <w:rFonts w:ascii="Times New Roman" w:eastAsia="宋体" w:hAnsi="Times New Roman" w:cs="Times New Roman" w:hint="eastAsia"/>
          <w:snapToGrid/>
          <w:color w:val="auto"/>
          <w:kern w:val="2"/>
          <w:sz w:val="24"/>
          <w:szCs w:val="24"/>
          <w:lang w:eastAsia="zh-CN"/>
        </w:rPr>
        <w:t>QM3</w:t>
      </w:r>
      <w:r>
        <w:rPr>
          <w:rFonts w:ascii="Times New Roman" w:eastAsia="宋体" w:hAnsi="Times New Roman" w:cs="Times New Roman" w:hint="eastAsia"/>
          <w:snapToGrid/>
          <w:color w:val="auto"/>
          <w:kern w:val="2"/>
          <w:sz w:val="24"/>
          <w:szCs w:val="24"/>
          <w:lang w:eastAsia="zh-CN"/>
        </w:rPr>
        <w:t>）、龙江河入海口南侧</w:t>
      </w:r>
      <w:r>
        <w:rPr>
          <w:rFonts w:ascii="Times New Roman" w:eastAsia="宋体" w:hAnsi="Times New Roman" w:cs="Times New Roman" w:hint="eastAsia"/>
          <w:snapToGrid/>
          <w:color w:val="auto"/>
          <w:kern w:val="2"/>
          <w:sz w:val="24"/>
          <w:szCs w:val="24"/>
          <w:lang w:eastAsia="zh-CN"/>
        </w:rPr>
        <w:t>(QM5)</w:t>
      </w:r>
      <w:r>
        <w:rPr>
          <w:rFonts w:ascii="Times New Roman" w:eastAsia="宋体" w:hAnsi="Times New Roman" w:cs="Times New Roman" w:hint="eastAsia"/>
          <w:snapToGrid/>
          <w:color w:val="auto"/>
          <w:kern w:val="2"/>
          <w:sz w:val="24"/>
          <w:szCs w:val="24"/>
          <w:lang w:eastAsia="zh-CN"/>
        </w:rPr>
        <w:t>、林旺村附近</w:t>
      </w:r>
      <w:r>
        <w:rPr>
          <w:rFonts w:ascii="Times New Roman" w:eastAsia="宋体" w:hAnsi="Times New Roman" w:cs="Times New Roman" w:hint="eastAsia"/>
          <w:snapToGrid/>
          <w:color w:val="auto"/>
          <w:kern w:val="2"/>
          <w:sz w:val="24"/>
          <w:szCs w:val="24"/>
          <w:lang w:eastAsia="zh-CN"/>
        </w:rPr>
        <w:t>(QM6)</w:t>
      </w:r>
      <w:r>
        <w:rPr>
          <w:rFonts w:ascii="Times New Roman" w:eastAsia="宋体" w:hAnsi="Times New Roman" w:cs="Times New Roman"/>
          <w:snapToGrid/>
          <w:color w:val="auto"/>
          <w:kern w:val="2"/>
          <w:sz w:val="24"/>
          <w:szCs w:val="24"/>
          <w:lang w:eastAsia="zh-CN"/>
        </w:rPr>
        <w:t>海域</w:t>
      </w:r>
      <w:r>
        <w:rPr>
          <w:rFonts w:ascii="Times New Roman" w:eastAsia="宋体" w:hAnsi="Times New Roman" w:cs="Times New Roman" w:hint="eastAsia"/>
          <w:snapToGrid/>
          <w:color w:val="auto"/>
          <w:kern w:val="2"/>
          <w:sz w:val="24"/>
          <w:szCs w:val="24"/>
          <w:lang w:eastAsia="zh-CN"/>
        </w:rPr>
        <w:t>海洋沉积物有机碳超一类沉积物质量标准，其他</w:t>
      </w:r>
      <w:r>
        <w:rPr>
          <w:rFonts w:ascii="Times New Roman" w:eastAsia="宋体" w:hAnsi="Times New Roman" w:cs="Times New Roman"/>
          <w:snapToGrid/>
          <w:color w:val="auto"/>
          <w:kern w:val="2"/>
          <w:sz w:val="24"/>
          <w:szCs w:val="24"/>
          <w:lang w:eastAsia="zh-CN"/>
        </w:rPr>
        <w:t>沉积物调查站位的表层沉积物中有机碳、锌、镉、铅、铜、铬均符合第一类海洋沉积物质量标准。</w:t>
      </w:r>
    </w:p>
    <w:p w14:paraId="60988DA5" w14:textId="77777777" w:rsidR="0075791A" w:rsidRDefault="00FB2864">
      <w:pPr>
        <w:widowControl w:val="0"/>
        <w:kinsoku/>
        <w:adjustRightInd/>
        <w:snapToGrid/>
        <w:ind w:firstLineChars="200" w:firstLine="480"/>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lastRenderedPageBreak/>
        <w:t>表</w:t>
      </w:r>
      <w:r>
        <w:rPr>
          <w:rFonts w:ascii="Times New Roman" w:eastAsia="宋体" w:hAnsi="Times New Roman" w:cs="Times New Roman" w:hint="eastAsia"/>
          <w:snapToGrid/>
          <w:color w:val="auto"/>
          <w:kern w:val="2"/>
          <w:sz w:val="24"/>
          <w:szCs w:val="24"/>
          <w:lang w:eastAsia="zh-CN"/>
        </w:rPr>
        <w:t>3.2.5-10</w:t>
      </w:r>
      <w:r>
        <w:rPr>
          <w:rFonts w:ascii="Times New Roman" w:eastAsia="宋体" w:hAnsi="Times New Roman" w:cs="Times New Roman"/>
          <w:snapToGrid/>
          <w:color w:val="auto"/>
          <w:kern w:val="2"/>
          <w:sz w:val="24"/>
          <w:szCs w:val="24"/>
          <w:lang w:eastAsia="zh-CN"/>
        </w:rPr>
        <w:t xml:space="preserve"> </w:t>
      </w: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月</w:t>
      </w:r>
      <w:r>
        <w:rPr>
          <w:rFonts w:ascii="Times New Roman" w:eastAsia="宋体" w:hAnsi="Times New Roman" w:cs="Times New Roman"/>
          <w:snapToGrid/>
          <w:color w:val="auto"/>
          <w:kern w:val="2"/>
          <w:sz w:val="24"/>
          <w:szCs w:val="24"/>
          <w:lang w:eastAsia="zh-CN"/>
        </w:rPr>
        <w:t>沉积物单项分指数</w:t>
      </w:r>
    </w:p>
    <w:tbl>
      <w:tblPr>
        <w:tblW w:w="78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05"/>
        <w:gridCol w:w="886"/>
        <w:gridCol w:w="834"/>
        <w:gridCol w:w="837"/>
        <w:gridCol w:w="837"/>
        <w:gridCol w:w="833"/>
        <w:gridCol w:w="837"/>
        <w:gridCol w:w="688"/>
        <w:gridCol w:w="688"/>
      </w:tblGrid>
      <w:tr w:rsidR="0075791A" w14:paraId="3368764F" w14:textId="77777777">
        <w:trPr>
          <w:trHeight w:hRule="exact" w:val="614"/>
          <w:jc w:val="center"/>
        </w:trPr>
        <w:tc>
          <w:tcPr>
            <w:tcW w:w="1405" w:type="dxa"/>
            <w:vAlign w:val="center"/>
          </w:tcPr>
          <w:p w14:paraId="577EEAC0" w14:textId="77777777" w:rsidR="0075791A" w:rsidRDefault="00FB2864">
            <w:pPr>
              <w:jc w:val="center"/>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站位</w:t>
            </w:r>
          </w:p>
        </w:tc>
        <w:tc>
          <w:tcPr>
            <w:tcW w:w="886" w:type="dxa"/>
            <w:vAlign w:val="center"/>
          </w:tcPr>
          <w:p w14:paraId="3B00B299" w14:textId="77777777" w:rsidR="0075791A" w:rsidRDefault="00FB2864">
            <w:pPr>
              <w:jc w:val="center"/>
              <w:textAlignment w:val="center"/>
              <w:rPr>
                <w:rFonts w:ascii="Times New Roman" w:eastAsia="宋体" w:hAnsi="Times New Roman" w:cs="Times New Roman"/>
                <w:b/>
                <w:bCs/>
                <w:snapToGrid/>
                <w:color w:val="auto"/>
                <w:spacing w:val="-6"/>
                <w:kern w:val="2"/>
                <w:lang w:eastAsia="zh-CN"/>
              </w:rPr>
            </w:pPr>
            <w:r>
              <w:rPr>
                <w:rFonts w:ascii="Times New Roman" w:eastAsia="宋体" w:hAnsi="Times New Roman" w:cs="宋体" w:hint="eastAsia"/>
                <w:color w:val="auto"/>
                <w:lang w:eastAsia="zh-CN" w:bidi="ar"/>
              </w:rPr>
              <w:t>有机碳</w:t>
            </w:r>
          </w:p>
        </w:tc>
        <w:tc>
          <w:tcPr>
            <w:tcW w:w="834" w:type="dxa"/>
            <w:vAlign w:val="center"/>
          </w:tcPr>
          <w:p w14:paraId="24D0722C" w14:textId="77777777" w:rsidR="0075791A" w:rsidRDefault="00FB2864">
            <w:pPr>
              <w:jc w:val="center"/>
              <w:textAlignment w:val="center"/>
              <w:rPr>
                <w:rFonts w:ascii="Times New Roman" w:eastAsia="宋体" w:hAnsi="Times New Roman" w:cs="Times New Roman"/>
                <w:b/>
                <w:bCs/>
                <w:snapToGrid/>
                <w:color w:val="auto"/>
                <w:spacing w:val="-6"/>
                <w:kern w:val="2"/>
                <w:lang w:eastAsia="zh-CN"/>
              </w:rPr>
            </w:pPr>
            <w:r>
              <w:rPr>
                <w:rFonts w:ascii="Times New Roman" w:eastAsia="宋体" w:hAnsi="Times New Roman" w:cs="宋体" w:hint="eastAsia"/>
                <w:color w:val="auto"/>
                <w:lang w:eastAsia="zh-CN" w:bidi="ar"/>
              </w:rPr>
              <w:t>铜</w:t>
            </w:r>
          </w:p>
        </w:tc>
        <w:tc>
          <w:tcPr>
            <w:tcW w:w="837" w:type="dxa"/>
            <w:vAlign w:val="center"/>
          </w:tcPr>
          <w:p w14:paraId="6BB8CC9C" w14:textId="77777777" w:rsidR="0075791A" w:rsidRDefault="00FB2864">
            <w:pPr>
              <w:jc w:val="center"/>
              <w:textAlignment w:val="center"/>
              <w:rPr>
                <w:rFonts w:ascii="Times New Roman" w:eastAsia="宋体" w:hAnsi="Times New Roman" w:cs="Times New Roman"/>
                <w:b/>
                <w:bCs/>
                <w:snapToGrid/>
                <w:color w:val="auto"/>
                <w:spacing w:val="-6"/>
                <w:kern w:val="2"/>
                <w:lang w:eastAsia="zh-CN"/>
              </w:rPr>
            </w:pPr>
            <w:r>
              <w:rPr>
                <w:rFonts w:ascii="Times New Roman" w:eastAsia="宋体" w:hAnsi="Times New Roman" w:cs="宋体" w:hint="eastAsia"/>
                <w:color w:val="auto"/>
                <w:lang w:eastAsia="zh-CN" w:bidi="ar"/>
              </w:rPr>
              <w:t>锌</w:t>
            </w:r>
          </w:p>
        </w:tc>
        <w:tc>
          <w:tcPr>
            <w:tcW w:w="837" w:type="dxa"/>
            <w:vAlign w:val="center"/>
          </w:tcPr>
          <w:p w14:paraId="2B8E7994" w14:textId="77777777" w:rsidR="0075791A" w:rsidRDefault="00FB2864">
            <w:pPr>
              <w:jc w:val="center"/>
              <w:textAlignment w:val="center"/>
              <w:rPr>
                <w:rFonts w:ascii="Times New Roman" w:eastAsia="宋体" w:hAnsi="Times New Roman" w:cs="Times New Roman"/>
                <w:b/>
                <w:bCs/>
                <w:snapToGrid/>
                <w:color w:val="auto"/>
                <w:spacing w:val="-6"/>
                <w:kern w:val="2"/>
                <w:lang w:eastAsia="zh-CN"/>
              </w:rPr>
            </w:pPr>
            <w:r>
              <w:rPr>
                <w:rFonts w:ascii="Times New Roman" w:eastAsia="宋体" w:hAnsi="Times New Roman" w:cs="宋体" w:hint="eastAsia"/>
                <w:color w:val="auto"/>
                <w:lang w:eastAsia="zh-CN" w:bidi="ar"/>
              </w:rPr>
              <w:t>铅</w:t>
            </w:r>
          </w:p>
        </w:tc>
        <w:tc>
          <w:tcPr>
            <w:tcW w:w="833" w:type="dxa"/>
            <w:vAlign w:val="center"/>
          </w:tcPr>
          <w:p w14:paraId="13DAF4D1" w14:textId="77777777" w:rsidR="0075791A" w:rsidRDefault="00FB2864">
            <w:pPr>
              <w:jc w:val="center"/>
              <w:textAlignment w:val="center"/>
              <w:rPr>
                <w:rFonts w:ascii="Times New Roman" w:eastAsia="宋体" w:hAnsi="Times New Roman" w:cs="Times New Roman"/>
                <w:b/>
                <w:bCs/>
                <w:snapToGrid/>
                <w:color w:val="auto"/>
                <w:spacing w:val="-6"/>
                <w:kern w:val="2"/>
                <w:lang w:eastAsia="zh-CN"/>
              </w:rPr>
            </w:pPr>
            <w:r>
              <w:rPr>
                <w:rFonts w:ascii="Times New Roman" w:eastAsia="宋体" w:hAnsi="Times New Roman" w:cs="宋体" w:hint="eastAsia"/>
                <w:color w:val="auto"/>
                <w:lang w:eastAsia="zh-CN" w:bidi="ar"/>
              </w:rPr>
              <w:t>镉</w:t>
            </w:r>
          </w:p>
        </w:tc>
        <w:tc>
          <w:tcPr>
            <w:tcW w:w="837" w:type="dxa"/>
            <w:vAlign w:val="center"/>
          </w:tcPr>
          <w:p w14:paraId="51EEA56E" w14:textId="77777777" w:rsidR="0075791A" w:rsidRDefault="00FB2864">
            <w:pPr>
              <w:jc w:val="center"/>
              <w:textAlignment w:val="center"/>
              <w:rPr>
                <w:rFonts w:ascii="Times New Roman" w:eastAsia="宋体" w:hAnsi="Times New Roman" w:cs="Times New Roman"/>
                <w:b/>
                <w:bCs/>
                <w:snapToGrid/>
                <w:color w:val="auto"/>
                <w:spacing w:val="-6"/>
                <w:kern w:val="2"/>
                <w:lang w:eastAsia="zh-CN"/>
              </w:rPr>
            </w:pPr>
            <w:r>
              <w:rPr>
                <w:rFonts w:ascii="Times New Roman" w:eastAsia="宋体" w:hAnsi="Times New Roman" w:cs="宋体" w:hint="eastAsia"/>
                <w:color w:val="auto"/>
                <w:lang w:eastAsia="zh-CN" w:bidi="ar"/>
              </w:rPr>
              <w:t>铬</w:t>
            </w:r>
          </w:p>
        </w:tc>
        <w:tc>
          <w:tcPr>
            <w:tcW w:w="688" w:type="dxa"/>
            <w:vAlign w:val="center"/>
          </w:tcPr>
          <w:p w14:paraId="4B4D4CF2"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评价</w:t>
            </w:r>
          </w:p>
          <w:p w14:paraId="6F8DAD8A"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标准</w:t>
            </w:r>
          </w:p>
        </w:tc>
        <w:tc>
          <w:tcPr>
            <w:tcW w:w="688" w:type="dxa"/>
            <w:vAlign w:val="center"/>
          </w:tcPr>
          <w:p w14:paraId="294767DE"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沉积物类别</w:t>
            </w:r>
          </w:p>
        </w:tc>
      </w:tr>
      <w:tr w:rsidR="0075791A" w14:paraId="76E45488" w14:textId="77777777">
        <w:trPr>
          <w:trHeight w:hRule="exact" w:val="243"/>
          <w:jc w:val="center"/>
        </w:trPr>
        <w:tc>
          <w:tcPr>
            <w:tcW w:w="1405" w:type="dxa"/>
            <w:vAlign w:val="center"/>
          </w:tcPr>
          <w:p w14:paraId="498F7330"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QM1</w:t>
            </w:r>
          </w:p>
        </w:tc>
        <w:tc>
          <w:tcPr>
            <w:tcW w:w="886" w:type="dxa"/>
            <w:vAlign w:val="center"/>
          </w:tcPr>
          <w:p w14:paraId="1F42E503"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64585F22"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2D467A4A"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03CE21AF"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15EEDDEA"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07C41B59"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restart"/>
            <w:vAlign w:val="center"/>
          </w:tcPr>
          <w:p w14:paraId="0959E7CC"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c>
          <w:tcPr>
            <w:tcW w:w="688" w:type="dxa"/>
            <w:vAlign w:val="center"/>
          </w:tcPr>
          <w:p w14:paraId="591E3501"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5B9C45DB" w14:textId="77777777">
        <w:trPr>
          <w:trHeight w:hRule="exact" w:val="271"/>
          <w:jc w:val="center"/>
        </w:trPr>
        <w:tc>
          <w:tcPr>
            <w:tcW w:w="1405" w:type="dxa"/>
            <w:vAlign w:val="center"/>
          </w:tcPr>
          <w:p w14:paraId="308BD833"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QM2</w:t>
            </w:r>
          </w:p>
        </w:tc>
        <w:tc>
          <w:tcPr>
            <w:tcW w:w="886" w:type="dxa"/>
            <w:vAlign w:val="center"/>
          </w:tcPr>
          <w:p w14:paraId="7FF1DA7D"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7C57F5ED"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55828380"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0AFBAFD4"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749501D3"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1373E322"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5FDD3CF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45795AC6"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02E185BD" w14:textId="77777777">
        <w:trPr>
          <w:trHeight w:hRule="exact" w:val="271"/>
          <w:jc w:val="center"/>
        </w:trPr>
        <w:tc>
          <w:tcPr>
            <w:tcW w:w="1405" w:type="dxa"/>
            <w:vAlign w:val="center"/>
          </w:tcPr>
          <w:p w14:paraId="1530B9EE"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b/>
                <w:bCs/>
                <w:color w:val="auto"/>
                <w:lang w:eastAsia="zh-CN" w:bidi="ar"/>
              </w:rPr>
              <w:t>QM3</w:t>
            </w:r>
          </w:p>
        </w:tc>
        <w:tc>
          <w:tcPr>
            <w:tcW w:w="886" w:type="dxa"/>
            <w:vAlign w:val="center"/>
          </w:tcPr>
          <w:p w14:paraId="09598AFF"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4B362091"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768C42E6"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7DEF64CA"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63FAA7AB"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21FF48EE"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599D84F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0B02BB8B"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二类</w:t>
            </w:r>
          </w:p>
        </w:tc>
      </w:tr>
      <w:tr w:rsidR="0075791A" w14:paraId="54B77DD1" w14:textId="77777777">
        <w:trPr>
          <w:trHeight w:hRule="exact" w:val="271"/>
          <w:jc w:val="center"/>
        </w:trPr>
        <w:tc>
          <w:tcPr>
            <w:tcW w:w="1405" w:type="dxa"/>
            <w:vAlign w:val="center"/>
          </w:tcPr>
          <w:p w14:paraId="20D446A7"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QM4</w:t>
            </w:r>
          </w:p>
        </w:tc>
        <w:tc>
          <w:tcPr>
            <w:tcW w:w="886" w:type="dxa"/>
            <w:vAlign w:val="center"/>
          </w:tcPr>
          <w:p w14:paraId="0AA747D8"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4E7BE569"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021CD2FA"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26D66E87"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0B5B033F"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3D9835F8"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135B39C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2DC409C4"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06786355" w14:textId="77777777">
        <w:trPr>
          <w:trHeight w:hRule="exact" w:val="271"/>
          <w:jc w:val="center"/>
        </w:trPr>
        <w:tc>
          <w:tcPr>
            <w:tcW w:w="1405" w:type="dxa"/>
            <w:vAlign w:val="center"/>
          </w:tcPr>
          <w:p w14:paraId="1E629E0F" w14:textId="77777777" w:rsidR="0075791A" w:rsidRDefault="00FB2864">
            <w:pPr>
              <w:jc w:val="center"/>
              <w:textAlignment w:val="center"/>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b/>
                <w:bCs/>
                <w:color w:val="auto"/>
                <w:lang w:eastAsia="zh-CN" w:bidi="ar"/>
              </w:rPr>
              <w:t>QM5</w:t>
            </w:r>
          </w:p>
        </w:tc>
        <w:tc>
          <w:tcPr>
            <w:tcW w:w="886" w:type="dxa"/>
            <w:vAlign w:val="center"/>
          </w:tcPr>
          <w:p w14:paraId="485664D7" w14:textId="77777777" w:rsidR="0075791A" w:rsidRDefault="0075791A">
            <w:pPr>
              <w:jc w:val="center"/>
              <w:textAlignment w:val="center"/>
              <w:rPr>
                <w:rFonts w:ascii="Times New Roman" w:eastAsia="宋体" w:hAnsi="Times New Roman" w:cs="Times New Roman"/>
                <w:b/>
                <w:bCs/>
                <w:snapToGrid/>
                <w:color w:val="auto"/>
                <w:spacing w:val="-6"/>
                <w:kern w:val="2"/>
                <w:lang w:eastAsia="zh-CN"/>
              </w:rPr>
            </w:pPr>
          </w:p>
        </w:tc>
        <w:tc>
          <w:tcPr>
            <w:tcW w:w="834" w:type="dxa"/>
            <w:vAlign w:val="center"/>
          </w:tcPr>
          <w:p w14:paraId="35675935"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58D61C92"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2912F078"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56A006DB"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5433E28A"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65869FF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78B3029E"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二类</w:t>
            </w:r>
          </w:p>
        </w:tc>
      </w:tr>
      <w:tr w:rsidR="0075791A" w14:paraId="7515BEAC" w14:textId="77777777">
        <w:trPr>
          <w:trHeight w:hRule="exact" w:val="273"/>
          <w:jc w:val="center"/>
        </w:trPr>
        <w:tc>
          <w:tcPr>
            <w:tcW w:w="1405" w:type="dxa"/>
            <w:vAlign w:val="center"/>
          </w:tcPr>
          <w:p w14:paraId="53877823" w14:textId="77777777" w:rsidR="0075791A" w:rsidRDefault="00FB2864">
            <w:pPr>
              <w:jc w:val="center"/>
              <w:textAlignment w:val="center"/>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b/>
                <w:bCs/>
                <w:color w:val="auto"/>
                <w:lang w:eastAsia="zh-CN" w:bidi="ar"/>
              </w:rPr>
              <w:t>QM6</w:t>
            </w:r>
          </w:p>
        </w:tc>
        <w:tc>
          <w:tcPr>
            <w:tcW w:w="886" w:type="dxa"/>
            <w:vAlign w:val="center"/>
          </w:tcPr>
          <w:p w14:paraId="0F18C2C4" w14:textId="77777777" w:rsidR="0075791A" w:rsidRDefault="0075791A">
            <w:pPr>
              <w:jc w:val="center"/>
              <w:textAlignment w:val="center"/>
              <w:rPr>
                <w:rFonts w:ascii="Times New Roman" w:eastAsia="宋体" w:hAnsi="Times New Roman" w:cs="Times New Roman"/>
                <w:b/>
                <w:bCs/>
                <w:snapToGrid/>
                <w:color w:val="auto"/>
                <w:spacing w:val="-6"/>
                <w:kern w:val="2"/>
                <w:lang w:eastAsia="zh-CN"/>
              </w:rPr>
            </w:pPr>
          </w:p>
        </w:tc>
        <w:tc>
          <w:tcPr>
            <w:tcW w:w="834" w:type="dxa"/>
            <w:vAlign w:val="center"/>
          </w:tcPr>
          <w:p w14:paraId="43F489D5"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175885CD"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3A11BFA6"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55F2034B"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407532BB"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6B280BA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7A539F5D"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二类</w:t>
            </w:r>
          </w:p>
        </w:tc>
      </w:tr>
      <w:tr w:rsidR="0075791A" w14:paraId="35C6C372" w14:textId="77777777">
        <w:trPr>
          <w:trHeight w:hRule="exact" w:val="271"/>
          <w:jc w:val="center"/>
        </w:trPr>
        <w:tc>
          <w:tcPr>
            <w:tcW w:w="1405" w:type="dxa"/>
            <w:vAlign w:val="center"/>
          </w:tcPr>
          <w:p w14:paraId="5E40D17B"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GM1</w:t>
            </w:r>
          </w:p>
        </w:tc>
        <w:tc>
          <w:tcPr>
            <w:tcW w:w="886" w:type="dxa"/>
            <w:vAlign w:val="center"/>
          </w:tcPr>
          <w:p w14:paraId="77B14568"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66C08BEF"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03C5320F"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3F1E21F2"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0209191C"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3214F2A2"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68ACF1D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4DC5BBE9"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5ADAAB01" w14:textId="77777777">
        <w:trPr>
          <w:trHeight w:hRule="exact" w:val="271"/>
          <w:jc w:val="center"/>
        </w:trPr>
        <w:tc>
          <w:tcPr>
            <w:tcW w:w="1405" w:type="dxa"/>
            <w:vAlign w:val="center"/>
          </w:tcPr>
          <w:p w14:paraId="2544B22D"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GM2</w:t>
            </w:r>
          </w:p>
        </w:tc>
        <w:tc>
          <w:tcPr>
            <w:tcW w:w="886" w:type="dxa"/>
            <w:vAlign w:val="center"/>
          </w:tcPr>
          <w:p w14:paraId="57741FF1"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1CFA5837"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4B16EC87"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497CD9E0"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55BF3041"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22AB0B33"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16D97859"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2FEAB97D"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53A42B2C" w14:textId="77777777">
        <w:trPr>
          <w:trHeight w:hRule="exact" w:val="271"/>
          <w:jc w:val="center"/>
        </w:trPr>
        <w:tc>
          <w:tcPr>
            <w:tcW w:w="1405" w:type="dxa"/>
            <w:vAlign w:val="center"/>
          </w:tcPr>
          <w:p w14:paraId="11DF20DB"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GM3</w:t>
            </w:r>
          </w:p>
        </w:tc>
        <w:tc>
          <w:tcPr>
            <w:tcW w:w="886" w:type="dxa"/>
            <w:vAlign w:val="center"/>
          </w:tcPr>
          <w:p w14:paraId="37FC1CB8"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5DE68A4C"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70545C13"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6F5D3644"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65F7C829"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6DC6B7AA"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7B80EEB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1C53BDC7"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2B854B03" w14:textId="77777777">
        <w:trPr>
          <w:trHeight w:hRule="exact" w:val="271"/>
          <w:jc w:val="center"/>
        </w:trPr>
        <w:tc>
          <w:tcPr>
            <w:tcW w:w="1405" w:type="dxa"/>
            <w:vAlign w:val="center"/>
          </w:tcPr>
          <w:p w14:paraId="5C191372"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GM4</w:t>
            </w:r>
          </w:p>
        </w:tc>
        <w:tc>
          <w:tcPr>
            <w:tcW w:w="886" w:type="dxa"/>
            <w:vAlign w:val="center"/>
          </w:tcPr>
          <w:p w14:paraId="490BDBCC"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66FC03B7"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6D275ED1"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1A6D61E1"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7150A238"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3D6C2200"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786123F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41AD2C32"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6E28B39A" w14:textId="77777777">
        <w:trPr>
          <w:trHeight w:hRule="exact" w:val="271"/>
          <w:jc w:val="center"/>
        </w:trPr>
        <w:tc>
          <w:tcPr>
            <w:tcW w:w="1405" w:type="dxa"/>
            <w:vAlign w:val="center"/>
          </w:tcPr>
          <w:p w14:paraId="339B8B8E"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GM5</w:t>
            </w:r>
          </w:p>
        </w:tc>
        <w:tc>
          <w:tcPr>
            <w:tcW w:w="886" w:type="dxa"/>
            <w:vAlign w:val="center"/>
          </w:tcPr>
          <w:p w14:paraId="71459BC7"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16760F4A"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4A35563C"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7B3A1927"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7EE3F9CE"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0AF351CB"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3395994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0D2561E1"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08C4B90A" w14:textId="77777777">
        <w:trPr>
          <w:trHeight w:hRule="exact" w:val="273"/>
          <w:jc w:val="center"/>
        </w:trPr>
        <w:tc>
          <w:tcPr>
            <w:tcW w:w="1405" w:type="dxa"/>
            <w:vAlign w:val="center"/>
          </w:tcPr>
          <w:p w14:paraId="2A7F03FF"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GM6</w:t>
            </w:r>
          </w:p>
        </w:tc>
        <w:tc>
          <w:tcPr>
            <w:tcW w:w="886" w:type="dxa"/>
            <w:vAlign w:val="center"/>
          </w:tcPr>
          <w:p w14:paraId="65C91A96"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6F0DDB3C"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01A07879"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043A6E30"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50A1CBB4"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6A109A6D"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1A0146F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3E0CB691"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57970E83" w14:textId="77777777">
        <w:trPr>
          <w:trHeight w:hRule="exact" w:val="271"/>
          <w:jc w:val="center"/>
        </w:trPr>
        <w:tc>
          <w:tcPr>
            <w:tcW w:w="1405" w:type="dxa"/>
            <w:vAlign w:val="center"/>
          </w:tcPr>
          <w:p w14:paraId="7DFB585F"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GM7</w:t>
            </w:r>
          </w:p>
        </w:tc>
        <w:tc>
          <w:tcPr>
            <w:tcW w:w="886" w:type="dxa"/>
            <w:vAlign w:val="center"/>
          </w:tcPr>
          <w:p w14:paraId="2E7A2701"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1F3719D2"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1FE65991"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6306E611"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1AB50494"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2D7D528C"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3BD481D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62865C7D"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577A269B" w14:textId="77777777">
        <w:trPr>
          <w:trHeight w:hRule="exact" w:val="295"/>
          <w:jc w:val="center"/>
        </w:trPr>
        <w:tc>
          <w:tcPr>
            <w:tcW w:w="1405" w:type="dxa"/>
            <w:vAlign w:val="center"/>
          </w:tcPr>
          <w:p w14:paraId="59148F08"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GM8</w:t>
            </w:r>
          </w:p>
        </w:tc>
        <w:tc>
          <w:tcPr>
            <w:tcW w:w="886" w:type="dxa"/>
            <w:vAlign w:val="center"/>
          </w:tcPr>
          <w:p w14:paraId="04BFFEC6"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549DB5BD"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4151FC43"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01475FB3"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2A2F02D6"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688C970B"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748B7B6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26098D30"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74530286" w14:textId="77777777">
        <w:trPr>
          <w:trHeight w:hRule="exact" w:val="295"/>
          <w:jc w:val="center"/>
        </w:trPr>
        <w:tc>
          <w:tcPr>
            <w:tcW w:w="1405" w:type="dxa"/>
            <w:vAlign w:val="center"/>
          </w:tcPr>
          <w:p w14:paraId="0427DCAF"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GM9</w:t>
            </w:r>
          </w:p>
        </w:tc>
        <w:tc>
          <w:tcPr>
            <w:tcW w:w="886" w:type="dxa"/>
            <w:vAlign w:val="center"/>
          </w:tcPr>
          <w:p w14:paraId="0849C6EC"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1160F8B2"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5031778A"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14C3CFCA"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37072604"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284A32AF"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4187252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78A88714"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731A046A" w14:textId="77777777">
        <w:trPr>
          <w:trHeight w:hRule="exact" w:val="295"/>
          <w:jc w:val="center"/>
        </w:trPr>
        <w:tc>
          <w:tcPr>
            <w:tcW w:w="1405" w:type="dxa"/>
            <w:vAlign w:val="center"/>
          </w:tcPr>
          <w:p w14:paraId="2F94BD0D"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GM10</w:t>
            </w:r>
          </w:p>
        </w:tc>
        <w:tc>
          <w:tcPr>
            <w:tcW w:w="886" w:type="dxa"/>
            <w:vAlign w:val="center"/>
          </w:tcPr>
          <w:p w14:paraId="782564A0"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4D924436"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7F4FAFA5"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2F123997"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69381804"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27FE3A34"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5F0BB42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5F0C3A00"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504DF0A1" w14:textId="77777777">
        <w:trPr>
          <w:trHeight w:hRule="exact" w:val="295"/>
          <w:jc w:val="center"/>
        </w:trPr>
        <w:tc>
          <w:tcPr>
            <w:tcW w:w="1405" w:type="dxa"/>
            <w:vAlign w:val="center"/>
          </w:tcPr>
          <w:p w14:paraId="48283E5C"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GM11</w:t>
            </w:r>
          </w:p>
        </w:tc>
        <w:tc>
          <w:tcPr>
            <w:tcW w:w="886" w:type="dxa"/>
            <w:vAlign w:val="center"/>
          </w:tcPr>
          <w:p w14:paraId="4AED1FF8"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05F0510D"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6F621F09"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224D88C5"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1384A1A5"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6239F3A2"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64446CA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30087A70"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679B570F" w14:textId="77777777">
        <w:trPr>
          <w:trHeight w:hRule="exact" w:val="295"/>
          <w:jc w:val="center"/>
        </w:trPr>
        <w:tc>
          <w:tcPr>
            <w:tcW w:w="1405" w:type="dxa"/>
            <w:vAlign w:val="center"/>
          </w:tcPr>
          <w:p w14:paraId="59153770"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GM12</w:t>
            </w:r>
          </w:p>
        </w:tc>
        <w:tc>
          <w:tcPr>
            <w:tcW w:w="886" w:type="dxa"/>
            <w:vAlign w:val="center"/>
          </w:tcPr>
          <w:p w14:paraId="1DFCB38F"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02812FB2"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310F82BA"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3B16E2DA"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7809A866"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258E3DC7"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5CE4C459"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4F4D67FE"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0FDF1519" w14:textId="77777777">
        <w:trPr>
          <w:trHeight w:hRule="exact" w:val="295"/>
          <w:jc w:val="center"/>
        </w:trPr>
        <w:tc>
          <w:tcPr>
            <w:tcW w:w="1405" w:type="dxa"/>
            <w:vAlign w:val="center"/>
          </w:tcPr>
          <w:p w14:paraId="4D67C7D8"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GM13</w:t>
            </w:r>
          </w:p>
        </w:tc>
        <w:tc>
          <w:tcPr>
            <w:tcW w:w="886" w:type="dxa"/>
            <w:vAlign w:val="center"/>
          </w:tcPr>
          <w:p w14:paraId="216A8ACE"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0F5BB271"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4BD955F8"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6BC3D86B"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53526C18"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1C09ABDD"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3A12FA4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05184A17"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2DAA53E0" w14:textId="77777777">
        <w:trPr>
          <w:trHeight w:hRule="exact" w:val="295"/>
          <w:jc w:val="center"/>
        </w:trPr>
        <w:tc>
          <w:tcPr>
            <w:tcW w:w="1405" w:type="dxa"/>
            <w:vAlign w:val="center"/>
          </w:tcPr>
          <w:p w14:paraId="7C391128"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GM14</w:t>
            </w:r>
          </w:p>
        </w:tc>
        <w:tc>
          <w:tcPr>
            <w:tcW w:w="886" w:type="dxa"/>
            <w:vAlign w:val="center"/>
          </w:tcPr>
          <w:p w14:paraId="34542AC3"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1BF93ECD"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43EB0EA5"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2B9DB76B"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5C9257CA"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753ECB01"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04FED16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3EB48049"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0F4AFDCF" w14:textId="77777777">
        <w:trPr>
          <w:trHeight w:hRule="exact" w:val="295"/>
          <w:jc w:val="center"/>
        </w:trPr>
        <w:tc>
          <w:tcPr>
            <w:tcW w:w="1405" w:type="dxa"/>
            <w:vAlign w:val="center"/>
          </w:tcPr>
          <w:p w14:paraId="7A608CAB"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Times New Roman"/>
                <w:color w:val="auto"/>
                <w:lang w:eastAsia="zh-CN" w:bidi="ar"/>
              </w:rPr>
              <w:t>GM15</w:t>
            </w:r>
          </w:p>
        </w:tc>
        <w:tc>
          <w:tcPr>
            <w:tcW w:w="886" w:type="dxa"/>
            <w:vAlign w:val="center"/>
          </w:tcPr>
          <w:p w14:paraId="65016338"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01485927"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4F90DFAB"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03E18D4D"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7EF66A4E"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4E594066"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Merge/>
            <w:vAlign w:val="center"/>
          </w:tcPr>
          <w:p w14:paraId="510871E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4C05A2FF"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7E2612BB" w14:textId="77777777">
        <w:trPr>
          <w:trHeight w:hRule="exact" w:val="295"/>
          <w:jc w:val="center"/>
        </w:trPr>
        <w:tc>
          <w:tcPr>
            <w:tcW w:w="1405" w:type="dxa"/>
            <w:vAlign w:val="center"/>
          </w:tcPr>
          <w:p w14:paraId="4AF7BAA0" w14:textId="77777777" w:rsidR="0075791A" w:rsidRDefault="00FB2864">
            <w:pPr>
              <w:jc w:val="center"/>
              <w:textAlignment w:val="center"/>
              <w:rPr>
                <w:rFonts w:ascii="Times New Roman" w:eastAsia="宋体" w:hAnsi="Times New Roman" w:cs="Times New Roman"/>
                <w:snapToGrid/>
                <w:color w:val="auto"/>
                <w:spacing w:val="-6"/>
                <w:kern w:val="2"/>
                <w:lang w:eastAsia="zh-CN"/>
              </w:rPr>
            </w:pPr>
            <w:r>
              <w:rPr>
                <w:rFonts w:ascii="Times New Roman" w:eastAsia="宋体" w:hAnsi="Times New Roman" w:cs="宋体" w:hint="eastAsia"/>
                <w:color w:val="auto"/>
                <w:lang w:eastAsia="zh-CN" w:bidi="ar"/>
              </w:rPr>
              <w:t>超标率</w:t>
            </w:r>
          </w:p>
        </w:tc>
        <w:tc>
          <w:tcPr>
            <w:tcW w:w="886" w:type="dxa"/>
            <w:vAlign w:val="center"/>
          </w:tcPr>
          <w:p w14:paraId="1CBF7075"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4" w:type="dxa"/>
            <w:vAlign w:val="center"/>
          </w:tcPr>
          <w:p w14:paraId="7749F44B"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6B2DDF7F"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59E40DE3"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3" w:type="dxa"/>
            <w:vAlign w:val="center"/>
          </w:tcPr>
          <w:p w14:paraId="1CF595F5"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837" w:type="dxa"/>
            <w:vAlign w:val="center"/>
          </w:tcPr>
          <w:p w14:paraId="14869F57" w14:textId="77777777" w:rsidR="0075791A" w:rsidRDefault="0075791A">
            <w:pPr>
              <w:jc w:val="center"/>
              <w:textAlignment w:val="center"/>
              <w:rPr>
                <w:rFonts w:ascii="Times New Roman" w:eastAsia="宋体" w:hAnsi="Times New Roman" w:cs="Times New Roman"/>
                <w:snapToGrid/>
                <w:color w:val="auto"/>
                <w:spacing w:val="-6"/>
                <w:kern w:val="2"/>
                <w:lang w:eastAsia="zh-CN"/>
              </w:rPr>
            </w:pPr>
          </w:p>
        </w:tc>
        <w:tc>
          <w:tcPr>
            <w:tcW w:w="688" w:type="dxa"/>
            <w:vAlign w:val="center"/>
          </w:tcPr>
          <w:p w14:paraId="0B9B7D1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88" w:type="dxa"/>
            <w:vAlign w:val="center"/>
          </w:tcPr>
          <w:p w14:paraId="671A7C79"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bl>
    <w:p w14:paraId="15A99BE7" w14:textId="77777777" w:rsidR="0075791A" w:rsidRDefault="0075791A">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p>
    <w:p w14:paraId="26CEAC16"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2023</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月沉积物质量评价结果：</w:t>
      </w:r>
    </w:p>
    <w:p w14:paraId="61AC8030"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根据《海洋沉积物质量》</w:t>
      </w:r>
      <w:r>
        <w:rPr>
          <w:rFonts w:ascii="Times New Roman" w:eastAsia="宋体" w:hAnsi="Times New Roman" w:cs="Times New Roman"/>
          <w:snapToGrid/>
          <w:color w:val="auto"/>
          <w:kern w:val="2"/>
          <w:sz w:val="24"/>
          <w:szCs w:val="24"/>
          <w:lang w:eastAsia="zh-CN"/>
        </w:rPr>
        <w:t>GB18668-2002</w:t>
      </w:r>
      <w:r>
        <w:rPr>
          <w:rFonts w:ascii="Times New Roman" w:eastAsia="宋体" w:hAnsi="Times New Roman" w:cs="Times New Roman"/>
          <w:snapToGrid/>
          <w:color w:val="auto"/>
          <w:kern w:val="2"/>
          <w:sz w:val="24"/>
          <w:szCs w:val="24"/>
          <w:lang w:eastAsia="zh-CN"/>
        </w:rPr>
        <w:t>中对部分沉积物质量参数的分类规定，本次沉积物质量评价因子为石油类、硫化物、有机碳、锌、镉、铅、铜、铬、总汞和砷共</w:t>
      </w:r>
      <w:r>
        <w:rPr>
          <w:rFonts w:ascii="Times New Roman" w:eastAsia="宋体" w:hAnsi="Times New Roman" w:cs="Times New Roman"/>
          <w:snapToGrid/>
          <w:color w:val="auto"/>
          <w:kern w:val="2"/>
          <w:sz w:val="24"/>
          <w:szCs w:val="24"/>
          <w:lang w:eastAsia="zh-CN"/>
        </w:rPr>
        <w:t>10</w:t>
      </w:r>
      <w:r>
        <w:rPr>
          <w:rFonts w:ascii="Times New Roman" w:eastAsia="宋体" w:hAnsi="Times New Roman" w:cs="Times New Roman"/>
          <w:snapToGrid/>
          <w:color w:val="auto"/>
          <w:kern w:val="2"/>
          <w:sz w:val="24"/>
          <w:szCs w:val="24"/>
          <w:lang w:eastAsia="zh-CN"/>
        </w:rPr>
        <w:t>项。各沉积物单项标准指数计算和统计结果及超标率列见表</w:t>
      </w:r>
      <w:r>
        <w:rPr>
          <w:rFonts w:ascii="Times New Roman" w:eastAsia="宋体" w:hAnsi="Times New Roman" w:cs="Times New Roman" w:hint="eastAsia"/>
          <w:snapToGrid/>
          <w:color w:val="auto"/>
          <w:kern w:val="2"/>
          <w:sz w:val="24"/>
          <w:szCs w:val="24"/>
          <w:lang w:eastAsia="zh-CN"/>
        </w:rPr>
        <w:t>3.2.5-11</w:t>
      </w:r>
      <w:r>
        <w:rPr>
          <w:rFonts w:ascii="Times New Roman" w:eastAsia="宋体" w:hAnsi="Times New Roman" w:cs="Times New Roman"/>
          <w:snapToGrid/>
          <w:color w:val="auto"/>
          <w:kern w:val="2"/>
          <w:sz w:val="24"/>
          <w:szCs w:val="24"/>
          <w:lang w:eastAsia="zh-CN"/>
        </w:rPr>
        <w:t>。从表</w:t>
      </w:r>
      <w:r>
        <w:rPr>
          <w:rFonts w:ascii="Times New Roman" w:eastAsia="宋体" w:hAnsi="Times New Roman" w:cs="Times New Roman" w:hint="eastAsia"/>
          <w:snapToGrid/>
          <w:color w:val="auto"/>
          <w:kern w:val="2"/>
          <w:sz w:val="24"/>
          <w:szCs w:val="24"/>
          <w:lang w:eastAsia="zh-CN"/>
        </w:rPr>
        <w:t>中</w:t>
      </w:r>
      <w:r>
        <w:rPr>
          <w:rFonts w:ascii="Times New Roman" w:eastAsia="宋体" w:hAnsi="Times New Roman" w:cs="Times New Roman"/>
          <w:snapToGrid/>
          <w:color w:val="auto"/>
          <w:kern w:val="2"/>
          <w:sz w:val="24"/>
          <w:szCs w:val="24"/>
          <w:lang w:eastAsia="zh-CN"/>
        </w:rPr>
        <w:t>可以看出，调查海域所有沉积物调查站位的表层沉积物中油类、硫化物、有机碳、铜、铅、锌、镉、铬、总汞、砷均符合第一类海洋沉积物质量标准。</w:t>
      </w:r>
    </w:p>
    <w:p w14:paraId="31BE941F"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综上，铁炉港内局部区域海洋沉积物质量标准超一类，但符合二类海洋沉积物质量标准，潟湖外海域海洋沉积物质量优。</w:t>
      </w:r>
    </w:p>
    <w:p w14:paraId="77452534" w14:textId="77777777" w:rsidR="0075791A" w:rsidRDefault="00FB2864">
      <w:pPr>
        <w:widowControl w:val="0"/>
        <w:kinsoku/>
        <w:adjustRightInd/>
        <w:snapToGrid/>
        <w:ind w:firstLineChars="200" w:firstLine="480"/>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3.2.5-11</w:t>
      </w:r>
      <w:r>
        <w:rPr>
          <w:rFonts w:ascii="Times New Roman" w:eastAsia="宋体" w:hAnsi="Times New Roman" w:cs="Times New Roman"/>
          <w:snapToGrid/>
          <w:color w:val="auto"/>
          <w:kern w:val="2"/>
          <w:sz w:val="24"/>
          <w:szCs w:val="24"/>
          <w:lang w:eastAsia="zh-CN"/>
        </w:rPr>
        <w:t xml:space="preserve"> </w:t>
      </w:r>
      <w:r>
        <w:rPr>
          <w:rFonts w:ascii="Times New Roman" w:eastAsia="宋体" w:hAnsi="Times New Roman" w:cs="Times New Roman" w:hint="eastAsia"/>
          <w:snapToGrid/>
          <w:color w:val="auto"/>
          <w:kern w:val="2"/>
          <w:sz w:val="24"/>
          <w:szCs w:val="24"/>
          <w:lang w:eastAsia="zh-CN"/>
        </w:rPr>
        <w:t>2023</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月</w:t>
      </w:r>
      <w:r>
        <w:rPr>
          <w:rFonts w:ascii="Times New Roman" w:eastAsia="宋体" w:hAnsi="Times New Roman" w:cs="Times New Roman"/>
          <w:snapToGrid/>
          <w:color w:val="auto"/>
          <w:kern w:val="2"/>
          <w:sz w:val="24"/>
          <w:szCs w:val="24"/>
          <w:lang w:eastAsia="zh-CN"/>
        </w:rPr>
        <w:t>沉积物单项分指数</w:t>
      </w:r>
    </w:p>
    <w:tbl>
      <w:tblPr>
        <w:tblW w:w="83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8"/>
        <w:gridCol w:w="658"/>
        <w:gridCol w:w="699"/>
        <w:gridCol w:w="699"/>
        <w:gridCol w:w="658"/>
        <w:gridCol w:w="660"/>
        <w:gridCol w:w="660"/>
        <w:gridCol w:w="657"/>
        <w:gridCol w:w="660"/>
        <w:gridCol w:w="660"/>
        <w:gridCol w:w="657"/>
        <w:gridCol w:w="543"/>
      </w:tblGrid>
      <w:tr w:rsidR="0075791A" w14:paraId="5FB08F35" w14:textId="77777777">
        <w:trPr>
          <w:trHeight w:hRule="exact" w:val="614"/>
          <w:jc w:val="center"/>
        </w:trPr>
        <w:tc>
          <w:tcPr>
            <w:tcW w:w="1108" w:type="dxa"/>
            <w:vAlign w:val="center"/>
          </w:tcPr>
          <w:p w14:paraId="32B121B8"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站号</w:t>
            </w:r>
          </w:p>
        </w:tc>
        <w:tc>
          <w:tcPr>
            <w:tcW w:w="658" w:type="dxa"/>
            <w:vAlign w:val="center"/>
          </w:tcPr>
          <w:p w14:paraId="506763FD"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油类</w:t>
            </w:r>
          </w:p>
        </w:tc>
        <w:tc>
          <w:tcPr>
            <w:tcW w:w="699" w:type="dxa"/>
            <w:vAlign w:val="center"/>
          </w:tcPr>
          <w:p w14:paraId="2973BA14"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有机碳</w:t>
            </w:r>
          </w:p>
        </w:tc>
        <w:tc>
          <w:tcPr>
            <w:tcW w:w="699" w:type="dxa"/>
            <w:vAlign w:val="center"/>
          </w:tcPr>
          <w:p w14:paraId="57B64A96"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硫化物</w:t>
            </w:r>
          </w:p>
        </w:tc>
        <w:tc>
          <w:tcPr>
            <w:tcW w:w="658" w:type="dxa"/>
            <w:vAlign w:val="center"/>
          </w:tcPr>
          <w:p w14:paraId="0758349D"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铜</w:t>
            </w:r>
          </w:p>
        </w:tc>
        <w:tc>
          <w:tcPr>
            <w:tcW w:w="660" w:type="dxa"/>
            <w:vAlign w:val="center"/>
          </w:tcPr>
          <w:p w14:paraId="5DE70F86"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铅</w:t>
            </w:r>
          </w:p>
        </w:tc>
        <w:tc>
          <w:tcPr>
            <w:tcW w:w="660" w:type="dxa"/>
            <w:vAlign w:val="center"/>
          </w:tcPr>
          <w:p w14:paraId="044B7321"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镉</w:t>
            </w:r>
          </w:p>
        </w:tc>
        <w:tc>
          <w:tcPr>
            <w:tcW w:w="657" w:type="dxa"/>
            <w:vAlign w:val="center"/>
          </w:tcPr>
          <w:p w14:paraId="5D8C7E98"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锌</w:t>
            </w:r>
          </w:p>
        </w:tc>
        <w:tc>
          <w:tcPr>
            <w:tcW w:w="660" w:type="dxa"/>
            <w:vAlign w:val="center"/>
          </w:tcPr>
          <w:p w14:paraId="71E1839A"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铬</w:t>
            </w:r>
          </w:p>
        </w:tc>
        <w:tc>
          <w:tcPr>
            <w:tcW w:w="660" w:type="dxa"/>
            <w:vAlign w:val="center"/>
          </w:tcPr>
          <w:p w14:paraId="7382AAD8"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总汞</w:t>
            </w:r>
          </w:p>
        </w:tc>
        <w:tc>
          <w:tcPr>
            <w:tcW w:w="657" w:type="dxa"/>
            <w:vAlign w:val="center"/>
          </w:tcPr>
          <w:p w14:paraId="76E12311"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砷</w:t>
            </w:r>
          </w:p>
        </w:tc>
        <w:tc>
          <w:tcPr>
            <w:tcW w:w="543" w:type="dxa"/>
            <w:vAlign w:val="center"/>
          </w:tcPr>
          <w:p w14:paraId="360B3418"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评价</w:t>
            </w:r>
          </w:p>
          <w:p w14:paraId="66DA4C5E" w14:textId="77777777" w:rsidR="0075791A" w:rsidRDefault="00FB2864">
            <w:pPr>
              <w:widowControl w:val="0"/>
              <w:kinsoku/>
              <w:adjustRightInd/>
              <w:snapToGrid/>
              <w:jc w:val="center"/>
              <w:textAlignment w:val="auto"/>
              <w:rPr>
                <w:rFonts w:ascii="Times New Roman" w:eastAsia="宋体" w:hAnsi="Times New Roman" w:cs="Times New Roman"/>
                <w:b/>
                <w:bCs/>
                <w:snapToGrid/>
                <w:color w:val="auto"/>
                <w:spacing w:val="-6"/>
                <w:kern w:val="2"/>
                <w:lang w:eastAsia="zh-CN"/>
              </w:rPr>
            </w:pPr>
            <w:r>
              <w:rPr>
                <w:rFonts w:ascii="Times New Roman" w:eastAsia="宋体" w:hAnsi="Times New Roman" w:cs="Times New Roman" w:hint="eastAsia"/>
                <w:b/>
                <w:bCs/>
                <w:snapToGrid/>
                <w:color w:val="auto"/>
                <w:spacing w:val="-6"/>
                <w:kern w:val="2"/>
                <w:lang w:eastAsia="zh-CN"/>
              </w:rPr>
              <w:t>标准</w:t>
            </w:r>
          </w:p>
        </w:tc>
      </w:tr>
      <w:tr w:rsidR="0075791A" w14:paraId="6B3D5D18" w14:textId="77777777">
        <w:trPr>
          <w:trHeight w:hRule="exact" w:val="243"/>
          <w:jc w:val="center"/>
        </w:trPr>
        <w:tc>
          <w:tcPr>
            <w:tcW w:w="1108" w:type="dxa"/>
            <w:vAlign w:val="center"/>
          </w:tcPr>
          <w:p w14:paraId="1372D506"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1</w:t>
            </w:r>
          </w:p>
        </w:tc>
        <w:tc>
          <w:tcPr>
            <w:tcW w:w="658" w:type="dxa"/>
            <w:vAlign w:val="center"/>
          </w:tcPr>
          <w:p w14:paraId="376308D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6D56184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1AED901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8" w:type="dxa"/>
            <w:vAlign w:val="center"/>
          </w:tcPr>
          <w:p w14:paraId="26BE975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78C14A5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2A4D9BA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7E58805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243FCE4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3ED8BF9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1C3A3F1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543" w:type="dxa"/>
            <w:vMerge w:val="restart"/>
            <w:vAlign w:val="center"/>
          </w:tcPr>
          <w:p w14:paraId="0192791F"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一类</w:t>
            </w:r>
          </w:p>
        </w:tc>
      </w:tr>
      <w:tr w:rsidR="0075791A" w14:paraId="6F9B4CED" w14:textId="77777777">
        <w:trPr>
          <w:trHeight w:hRule="exact" w:val="271"/>
          <w:jc w:val="center"/>
        </w:trPr>
        <w:tc>
          <w:tcPr>
            <w:tcW w:w="1108" w:type="dxa"/>
            <w:vAlign w:val="center"/>
          </w:tcPr>
          <w:p w14:paraId="2C2962D3"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3</w:t>
            </w:r>
          </w:p>
        </w:tc>
        <w:tc>
          <w:tcPr>
            <w:tcW w:w="658" w:type="dxa"/>
            <w:vAlign w:val="center"/>
          </w:tcPr>
          <w:p w14:paraId="4AC0F67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67BC2DD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393664B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8" w:type="dxa"/>
            <w:vAlign w:val="center"/>
          </w:tcPr>
          <w:p w14:paraId="76C1DC39"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062A759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25ECDCB9"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0ADC5CA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42DB5C6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74744D7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2CCD49C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543" w:type="dxa"/>
            <w:vMerge/>
            <w:vAlign w:val="center"/>
          </w:tcPr>
          <w:p w14:paraId="5A93B53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17B2F6DC" w14:textId="77777777">
        <w:trPr>
          <w:trHeight w:hRule="exact" w:val="271"/>
          <w:jc w:val="center"/>
        </w:trPr>
        <w:tc>
          <w:tcPr>
            <w:tcW w:w="1108" w:type="dxa"/>
            <w:vAlign w:val="center"/>
          </w:tcPr>
          <w:p w14:paraId="33E3136A"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4</w:t>
            </w:r>
          </w:p>
        </w:tc>
        <w:tc>
          <w:tcPr>
            <w:tcW w:w="658" w:type="dxa"/>
            <w:vAlign w:val="center"/>
          </w:tcPr>
          <w:p w14:paraId="296C91F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45287D0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3D508C1F"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8" w:type="dxa"/>
            <w:vAlign w:val="center"/>
          </w:tcPr>
          <w:p w14:paraId="561C454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159B4BC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01B5E81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3A96281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2D8D548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21F16D4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45FB192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543" w:type="dxa"/>
            <w:vMerge/>
            <w:vAlign w:val="center"/>
          </w:tcPr>
          <w:p w14:paraId="4D001859"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115CE0EB" w14:textId="77777777">
        <w:trPr>
          <w:trHeight w:hRule="exact" w:val="271"/>
          <w:jc w:val="center"/>
        </w:trPr>
        <w:tc>
          <w:tcPr>
            <w:tcW w:w="1108" w:type="dxa"/>
            <w:vAlign w:val="center"/>
          </w:tcPr>
          <w:p w14:paraId="47B5184F"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5</w:t>
            </w:r>
          </w:p>
        </w:tc>
        <w:tc>
          <w:tcPr>
            <w:tcW w:w="658" w:type="dxa"/>
            <w:vAlign w:val="center"/>
          </w:tcPr>
          <w:p w14:paraId="097265FF"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04BF8C3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437272F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8" w:type="dxa"/>
            <w:vAlign w:val="center"/>
          </w:tcPr>
          <w:p w14:paraId="18B06F6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43AE92D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1B4331F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7BDFD87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55805F5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38D66E3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154FE7A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543" w:type="dxa"/>
            <w:vMerge/>
            <w:vAlign w:val="center"/>
          </w:tcPr>
          <w:p w14:paraId="35762B0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192A4A55" w14:textId="77777777">
        <w:trPr>
          <w:trHeight w:hRule="exact" w:val="271"/>
          <w:jc w:val="center"/>
        </w:trPr>
        <w:tc>
          <w:tcPr>
            <w:tcW w:w="1108" w:type="dxa"/>
            <w:vAlign w:val="center"/>
          </w:tcPr>
          <w:p w14:paraId="332D4E25"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6</w:t>
            </w:r>
          </w:p>
        </w:tc>
        <w:tc>
          <w:tcPr>
            <w:tcW w:w="658" w:type="dxa"/>
            <w:vAlign w:val="center"/>
          </w:tcPr>
          <w:p w14:paraId="6C1BB2D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7DA7B97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268202D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8" w:type="dxa"/>
            <w:vAlign w:val="center"/>
          </w:tcPr>
          <w:p w14:paraId="64B39D0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599C658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5FF0685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24DF286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201D884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2801E09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6B12B23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543" w:type="dxa"/>
            <w:vMerge/>
            <w:vAlign w:val="center"/>
          </w:tcPr>
          <w:p w14:paraId="474ABC6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2459700A" w14:textId="77777777">
        <w:trPr>
          <w:trHeight w:hRule="exact" w:val="273"/>
          <w:jc w:val="center"/>
        </w:trPr>
        <w:tc>
          <w:tcPr>
            <w:tcW w:w="1108" w:type="dxa"/>
            <w:vAlign w:val="center"/>
          </w:tcPr>
          <w:p w14:paraId="067257FA"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7</w:t>
            </w:r>
          </w:p>
        </w:tc>
        <w:tc>
          <w:tcPr>
            <w:tcW w:w="658" w:type="dxa"/>
            <w:vAlign w:val="center"/>
          </w:tcPr>
          <w:p w14:paraId="6BA5D50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53EA6B1F"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631C6E9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8" w:type="dxa"/>
            <w:vAlign w:val="center"/>
          </w:tcPr>
          <w:p w14:paraId="54CB40A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147CA13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0C424EB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66D2AD1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3B47AA7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47647AC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74C6869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543" w:type="dxa"/>
            <w:vMerge/>
            <w:vAlign w:val="center"/>
          </w:tcPr>
          <w:p w14:paraId="7F275E4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443E51DD" w14:textId="77777777">
        <w:trPr>
          <w:trHeight w:hRule="exact" w:val="271"/>
          <w:jc w:val="center"/>
        </w:trPr>
        <w:tc>
          <w:tcPr>
            <w:tcW w:w="1108" w:type="dxa"/>
            <w:vAlign w:val="center"/>
          </w:tcPr>
          <w:p w14:paraId="162BEECD"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8</w:t>
            </w:r>
          </w:p>
        </w:tc>
        <w:tc>
          <w:tcPr>
            <w:tcW w:w="658" w:type="dxa"/>
            <w:vAlign w:val="center"/>
          </w:tcPr>
          <w:p w14:paraId="2E74E6A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55C210C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110B6AC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8" w:type="dxa"/>
            <w:vAlign w:val="center"/>
          </w:tcPr>
          <w:p w14:paraId="7E0C3A1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361E8B5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4CD40E3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7E32927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7529154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442213F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6A65D0F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543" w:type="dxa"/>
            <w:vMerge/>
            <w:vAlign w:val="center"/>
          </w:tcPr>
          <w:p w14:paraId="5F0E5777"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4C260CC0" w14:textId="77777777">
        <w:trPr>
          <w:trHeight w:hRule="exact" w:val="271"/>
          <w:jc w:val="center"/>
        </w:trPr>
        <w:tc>
          <w:tcPr>
            <w:tcW w:w="1108" w:type="dxa"/>
            <w:vAlign w:val="center"/>
          </w:tcPr>
          <w:p w14:paraId="25D758C3"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9</w:t>
            </w:r>
          </w:p>
        </w:tc>
        <w:tc>
          <w:tcPr>
            <w:tcW w:w="658" w:type="dxa"/>
            <w:vAlign w:val="center"/>
          </w:tcPr>
          <w:p w14:paraId="517503A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1119530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139383C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8" w:type="dxa"/>
            <w:vAlign w:val="center"/>
          </w:tcPr>
          <w:p w14:paraId="1D32EDF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45DEF41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15460EE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3BB5E4B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4C1440E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400AEAD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7DE0C6F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543" w:type="dxa"/>
            <w:vMerge/>
            <w:vAlign w:val="center"/>
          </w:tcPr>
          <w:p w14:paraId="333D27A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7008D86A" w14:textId="77777777">
        <w:trPr>
          <w:trHeight w:hRule="exact" w:val="271"/>
          <w:jc w:val="center"/>
        </w:trPr>
        <w:tc>
          <w:tcPr>
            <w:tcW w:w="1108" w:type="dxa"/>
            <w:vAlign w:val="center"/>
          </w:tcPr>
          <w:p w14:paraId="6AC4039B"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lastRenderedPageBreak/>
              <w:t>10</w:t>
            </w:r>
          </w:p>
        </w:tc>
        <w:tc>
          <w:tcPr>
            <w:tcW w:w="658" w:type="dxa"/>
            <w:vAlign w:val="center"/>
          </w:tcPr>
          <w:p w14:paraId="7CCB33B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1A8AD3B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5AE9A33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8" w:type="dxa"/>
            <w:vAlign w:val="center"/>
          </w:tcPr>
          <w:p w14:paraId="50287A7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3BEEBAC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50809A8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70B4B09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5EE672C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49CD4C6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63F9C42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543" w:type="dxa"/>
            <w:vMerge/>
            <w:vAlign w:val="center"/>
          </w:tcPr>
          <w:p w14:paraId="7FE785E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426A4A3C" w14:textId="77777777">
        <w:trPr>
          <w:trHeight w:hRule="exact" w:val="271"/>
          <w:jc w:val="center"/>
        </w:trPr>
        <w:tc>
          <w:tcPr>
            <w:tcW w:w="1108" w:type="dxa"/>
            <w:vAlign w:val="center"/>
          </w:tcPr>
          <w:p w14:paraId="1E63511F"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11</w:t>
            </w:r>
          </w:p>
        </w:tc>
        <w:tc>
          <w:tcPr>
            <w:tcW w:w="658" w:type="dxa"/>
            <w:vAlign w:val="center"/>
          </w:tcPr>
          <w:p w14:paraId="632BDA6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246711A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211C811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8" w:type="dxa"/>
            <w:vAlign w:val="center"/>
          </w:tcPr>
          <w:p w14:paraId="5D91384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2727FAD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43CEF32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7553125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0EF327B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2146587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22BD8D2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543" w:type="dxa"/>
            <w:vMerge/>
            <w:vAlign w:val="center"/>
          </w:tcPr>
          <w:p w14:paraId="5CDDC20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r>
      <w:tr w:rsidR="0075791A" w14:paraId="27298B0D" w14:textId="77777777">
        <w:trPr>
          <w:trHeight w:hRule="exact" w:val="271"/>
          <w:jc w:val="center"/>
        </w:trPr>
        <w:tc>
          <w:tcPr>
            <w:tcW w:w="1108" w:type="dxa"/>
            <w:vAlign w:val="center"/>
          </w:tcPr>
          <w:p w14:paraId="02AEADA7"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最大值</w:t>
            </w:r>
          </w:p>
        </w:tc>
        <w:tc>
          <w:tcPr>
            <w:tcW w:w="658" w:type="dxa"/>
            <w:vAlign w:val="center"/>
          </w:tcPr>
          <w:p w14:paraId="0248889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33AC765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7A452A5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8" w:type="dxa"/>
            <w:vAlign w:val="center"/>
          </w:tcPr>
          <w:p w14:paraId="4A762106"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30DDBFB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4610B5D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0A1C8AD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04081C0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4626EC1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5E3B0744"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543" w:type="dxa"/>
            <w:vAlign w:val="center"/>
          </w:tcPr>
          <w:p w14:paraId="1992934C"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w:t>
            </w:r>
          </w:p>
        </w:tc>
      </w:tr>
      <w:tr w:rsidR="0075791A" w14:paraId="04301BB0" w14:textId="77777777">
        <w:trPr>
          <w:trHeight w:hRule="exact" w:val="273"/>
          <w:jc w:val="center"/>
        </w:trPr>
        <w:tc>
          <w:tcPr>
            <w:tcW w:w="1108" w:type="dxa"/>
            <w:vAlign w:val="center"/>
          </w:tcPr>
          <w:p w14:paraId="7FC82D49"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最小值</w:t>
            </w:r>
          </w:p>
        </w:tc>
        <w:tc>
          <w:tcPr>
            <w:tcW w:w="658" w:type="dxa"/>
            <w:vAlign w:val="center"/>
          </w:tcPr>
          <w:p w14:paraId="3D7E593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3332154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2366633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8" w:type="dxa"/>
            <w:vAlign w:val="center"/>
          </w:tcPr>
          <w:p w14:paraId="29F9E1F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725EB38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3619D9A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18BF712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036583D9"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687FCDA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0A019E3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543" w:type="dxa"/>
            <w:vAlign w:val="center"/>
          </w:tcPr>
          <w:p w14:paraId="7B1F8B4E"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w:t>
            </w:r>
          </w:p>
        </w:tc>
      </w:tr>
      <w:tr w:rsidR="0075791A" w14:paraId="7A66DC84" w14:textId="77777777">
        <w:trPr>
          <w:trHeight w:hRule="exact" w:val="271"/>
          <w:jc w:val="center"/>
        </w:trPr>
        <w:tc>
          <w:tcPr>
            <w:tcW w:w="1108" w:type="dxa"/>
            <w:vAlign w:val="center"/>
          </w:tcPr>
          <w:p w14:paraId="44A2D53A"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平均值</w:t>
            </w:r>
          </w:p>
        </w:tc>
        <w:tc>
          <w:tcPr>
            <w:tcW w:w="658" w:type="dxa"/>
            <w:vAlign w:val="center"/>
          </w:tcPr>
          <w:p w14:paraId="35DAE4F1"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298DC758"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3F2553F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8" w:type="dxa"/>
            <w:vAlign w:val="center"/>
          </w:tcPr>
          <w:p w14:paraId="1613BC4C"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0E2B699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327F296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536493A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54809CA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65073EC2"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61FF953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543" w:type="dxa"/>
            <w:vAlign w:val="center"/>
          </w:tcPr>
          <w:p w14:paraId="250CE2D5"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w:t>
            </w:r>
          </w:p>
        </w:tc>
      </w:tr>
      <w:tr w:rsidR="0075791A" w14:paraId="6A22A9A7" w14:textId="77777777">
        <w:trPr>
          <w:trHeight w:hRule="exact" w:val="295"/>
          <w:jc w:val="center"/>
        </w:trPr>
        <w:tc>
          <w:tcPr>
            <w:tcW w:w="1108" w:type="dxa"/>
            <w:vAlign w:val="center"/>
          </w:tcPr>
          <w:p w14:paraId="5726BDAC"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超标率（</w:t>
            </w:r>
            <w:r>
              <w:rPr>
                <w:rFonts w:ascii="Times New Roman" w:eastAsia="宋体" w:hAnsi="Times New Roman" w:cs="Times New Roman" w:hint="eastAsia"/>
                <w:snapToGrid/>
                <w:color w:val="auto"/>
                <w:spacing w:val="-6"/>
                <w:kern w:val="2"/>
                <w:lang w:eastAsia="zh-CN"/>
              </w:rPr>
              <w:t>%</w:t>
            </w:r>
            <w:r>
              <w:rPr>
                <w:rFonts w:ascii="Times New Roman" w:eastAsia="宋体" w:hAnsi="Times New Roman" w:cs="Times New Roman" w:hint="eastAsia"/>
                <w:snapToGrid/>
                <w:color w:val="auto"/>
                <w:spacing w:val="-6"/>
                <w:kern w:val="2"/>
                <w:lang w:eastAsia="zh-CN"/>
              </w:rPr>
              <w:t>）</w:t>
            </w:r>
          </w:p>
        </w:tc>
        <w:tc>
          <w:tcPr>
            <w:tcW w:w="658" w:type="dxa"/>
            <w:vAlign w:val="center"/>
          </w:tcPr>
          <w:p w14:paraId="044743EF"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3D05D023"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99" w:type="dxa"/>
            <w:vAlign w:val="center"/>
          </w:tcPr>
          <w:p w14:paraId="230E9DEB"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8" w:type="dxa"/>
            <w:vAlign w:val="center"/>
          </w:tcPr>
          <w:p w14:paraId="02CCF3A0"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0BAAFDE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39DAF995"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20A5AD3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0EF3480A"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60" w:type="dxa"/>
            <w:vAlign w:val="center"/>
          </w:tcPr>
          <w:p w14:paraId="261F636D"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657" w:type="dxa"/>
            <w:vAlign w:val="center"/>
          </w:tcPr>
          <w:p w14:paraId="1D36247E" w14:textId="77777777" w:rsidR="0075791A" w:rsidRDefault="0075791A">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p>
        </w:tc>
        <w:tc>
          <w:tcPr>
            <w:tcW w:w="543" w:type="dxa"/>
            <w:vAlign w:val="center"/>
          </w:tcPr>
          <w:p w14:paraId="4122ABB9" w14:textId="77777777" w:rsidR="0075791A" w:rsidRDefault="00FB2864">
            <w:pPr>
              <w:widowControl w:val="0"/>
              <w:kinsoku/>
              <w:adjustRightInd/>
              <w:snapToGrid/>
              <w:jc w:val="center"/>
              <w:textAlignment w:val="auto"/>
              <w:rPr>
                <w:rFonts w:ascii="Times New Roman" w:eastAsia="宋体" w:hAnsi="Times New Roman" w:cs="Times New Roman"/>
                <w:snapToGrid/>
                <w:color w:val="auto"/>
                <w:spacing w:val="-6"/>
                <w:kern w:val="2"/>
                <w:lang w:eastAsia="zh-CN"/>
              </w:rPr>
            </w:pPr>
            <w:r>
              <w:rPr>
                <w:rFonts w:ascii="Times New Roman" w:eastAsia="宋体" w:hAnsi="Times New Roman" w:cs="Times New Roman" w:hint="eastAsia"/>
                <w:snapToGrid/>
                <w:color w:val="auto"/>
                <w:spacing w:val="-6"/>
                <w:kern w:val="2"/>
                <w:lang w:eastAsia="zh-CN"/>
              </w:rPr>
              <w:t>--</w:t>
            </w:r>
          </w:p>
        </w:tc>
      </w:tr>
    </w:tbl>
    <w:p w14:paraId="4ED35684" w14:textId="77777777" w:rsidR="0075791A" w:rsidRDefault="0075791A">
      <w:pPr>
        <w:spacing w:line="360" w:lineRule="auto"/>
        <w:ind w:firstLineChars="200" w:firstLine="476"/>
        <w:jc w:val="both"/>
        <w:rPr>
          <w:rFonts w:ascii="Times New Roman" w:eastAsia="宋体" w:hAnsi="Times New Roman" w:cs="宋体"/>
          <w:color w:val="auto"/>
          <w:spacing w:val="-2"/>
          <w:sz w:val="24"/>
          <w:szCs w:val="24"/>
          <w:lang w:eastAsia="zh-CN"/>
        </w:rPr>
      </w:pPr>
    </w:p>
    <w:p w14:paraId="1CAAE08B"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172" w:name="_Toc9216"/>
      <w:r>
        <w:rPr>
          <w:rFonts w:ascii="Times New Roman" w:eastAsia="Times New Roman" w:hAnsi="Times New Roman" w:cs="Times New Roman" w:hint="eastAsia"/>
          <w:b/>
          <w:bCs/>
          <w:color w:val="auto"/>
          <w:spacing w:val="-3"/>
          <w:sz w:val="28"/>
          <w:szCs w:val="28"/>
          <w:lang w:eastAsia="zh-CN"/>
        </w:rPr>
        <w:t>3.2.6海洋生态现状</w:t>
      </w:r>
      <w:bookmarkEnd w:id="172"/>
      <w:r>
        <w:rPr>
          <w:rFonts w:ascii="Times New Roman" w:eastAsia="Times New Roman" w:hAnsi="Times New Roman" w:cs="Times New Roman" w:hint="eastAsia"/>
          <w:b/>
          <w:bCs/>
          <w:color w:val="auto"/>
          <w:spacing w:val="-3"/>
          <w:sz w:val="28"/>
          <w:szCs w:val="28"/>
          <w:lang w:eastAsia="zh-CN"/>
        </w:rPr>
        <w:t>（秋季）</w:t>
      </w:r>
    </w:p>
    <w:p w14:paraId="6274FF1F" w14:textId="77777777" w:rsidR="0075791A" w:rsidRDefault="00FB2864">
      <w:pPr>
        <w:spacing w:line="360" w:lineRule="auto"/>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3.2.6.1</w:t>
      </w:r>
      <w:r>
        <w:rPr>
          <w:rFonts w:ascii="Times New Roman" w:eastAsia="宋体" w:hAnsi="Times New Roman" w:hint="eastAsia"/>
          <w:b/>
          <w:color w:val="auto"/>
          <w:sz w:val="24"/>
          <w:szCs w:val="24"/>
          <w:lang w:eastAsia="zh-CN"/>
        </w:rPr>
        <w:t>海洋生态调查站位</w:t>
      </w:r>
    </w:p>
    <w:p w14:paraId="3D6C452B"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海南绿屿环境科技有限公司于</w:t>
      </w:r>
      <w:r>
        <w:rPr>
          <w:rFonts w:ascii="Times New Roman" w:eastAsia="宋体" w:hAnsi="Times New Roman" w:cs="Times New Roman" w:hint="eastAsia"/>
          <w:snapToGrid/>
          <w:color w:val="auto"/>
          <w:kern w:val="2"/>
          <w:sz w:val="24"/>
          <w:szCs w:val="24"/>
          <w:lang w:eastAsia="zh-CN"/>
        </w:rPr>
        <w:t>2023</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11</w:t>
      </w:r>
      <w:r>
        <w:rPr>
          <w:rFonts w:ascii="Times New Roman" w:eastAsia="宋体" w:hAnsi="Times New Roman" w:cs="Times New Roman" w:hint="eastAsia"/>
          <w:snapToGrid/>
          <w:color w:val="auto"/>
          <w:kern w:val="2"/>
          <w:sz w:val="24"/>
          <w:szCs w:val="24"/>
          <w:lang w:eastAsia="zh-CN"/>
        </w:rPr>
        <w:t>月</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日</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日对铁炉港及龙江河水域进行海洋生态调查，共布设</w:t>
      </w:r>
      <w:r>
        <w:rPr>
          <w:rFonts w:ascii="Times New Roman" w:eastAsia="宋体" w:hAnsi="Times New Roman" w:cs="Times New Roman" w:hint="eastAsia"/>
          <w:snapToGrid/>
          <w:color w:val="auto"/>
          <w:kern w:val="2"/>
          <w:sz w:val="24"/>
          <w:szCs w:val="24"/>
          <w:lang w:eastAsia="zh-CN"/>
        </w:rPr>
        <w:t>12</w:t>
      </w:r>
      <w:r>
        <w:rPr>
          <w:rFonts w:ascii="Times New Roman" w:eastAsia="宋体" w:hAnsi="Times New Roman" w:cs="Times New Roman" w:hint="eastAsia"/>
          <w:snapToGrid/>
          <w:color w:val="auto"/>
          <w:kern w:val="2"/>
          <w:sz w:val="24"/>
          <w:szCs w:val="24"/>
          <w:lang w:eastAsia="zh-CN"/>
        </w:rPr>
        <w:t>个站位，其中铁炉港</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个（</w:t>
      </w:r>
      <w:r>
        <w:rPr>
          <w:rFonts w:ascii="Times New Roman" w:eastAsia="宋体" w:hAnsi="Times New Roman" w:cs="Times New Roman" w:hint="eastAsia"/>
          <w:snapToGrid/>
          <w:color w:val="auto"/>
          <w:kern w:val="2"/>
          <w:sz w:val="24"/>
          <w:szCs w:val="24"/>
          <w:lang w:eastAsia="zh-CN"/>
        </w:rPr>
        <w:t>S1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S2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S3</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S4</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S5</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S6</w:t>
      </w:r>
      <w:r>
        <w:rPr>
          <w:rFonts w:ascii="Times New Roman" w:eastAsia="宋体" w:hAnsi="Times New Roman" w:cs="Times New Roman" w:hint="eastAsia"/>
          <w:snapToGrid/>
          <w:color w:val="auto"/>
          <w:kern w:val="2"/>
          <w:sz w:val="24"/>
          <w:szCs w:val="24"/>
          <w:lang w:eastAsia="zh-CN"/>
        </w:rPr>
        <w:t>），龙江河</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个（</w:t>
      </w:r>
      <w:r>
        <w:rPr>
          <w:rFonts w:ascii="Times New Roman" w:eastAsia="宋体" w:hAnsi="Times New Roman" w:cs="Times New Roman" w:hint="eastAsia"/>
          <w:snapToGrid/>
          <w:color w:val="auto"/>
          <w:kern w:val="2"/>
          <w:sz w:val="24"/>
          <w:szCs w:val="24"/>
          <w:lang w:eastAsia="zh-CN"/>
        </w:rPr>
        <w:t>S7</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S8</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S9</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S10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S11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S12</w:t>
      </w:r>
      <w:r>
        <w:rPr>
          <w:rFonts w:ascii="Times New Roman" w:eastAsia="宋体" w:hAnsi="Times New Roman" w:cs="Times New Roman" w:hint="eastAsia"/>
          <w:snapToGrid/>
          <w:color w:val="auto"/>
          <w:kern w:val="2"/>
          <w:sz w:val="24"/>
          <w:szCs w:val="24"/>
          <w:lang w:eastAsia="zh-CN"/>
        </w:rPr>
        <w:t>），调查内容包括浮游植物、浮游动物、底栖动物、鱼类等生态指标。海南省海洋与渔业科学院</w:t>
      </w: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月</w:t>
      </w:r>
      <w:r>
        <w:rPr>
          <w:rFonts w:ascii="Times New Roman" w:eastAsia="宋体" w:hAnsi="Times New Roman" w:cs="Times New Roman" w:hint="eastAsia"/>
          <w:snapToGrid/>
          <w:color w:val="auto"/>
          <w:kern w:val="2"/>
          <w:sz w:val="24"/>
          <w:szCs w:val="24"/>
          <w:lang w:eastAsia="zh-CN"/>
        </w:rPr>
        <w:t>25-26</w:t>
      </w:r>
      <w:r>
        <w:rPr>
          <w:rFonts w:ascii="Times New Roman" w:eastAsia="宋体" w:hAnsi="Times New Roman" w:cs="Times New Roman" w:hint="eastAsia"/>
          <w:snapToGrid/>
          <w:color w:val="auto"/>
          <w:kern w:val="2"/>
          <w:sz w:val="24"/>
          <w:szCs w:val="24"/>
          <w:lang w:eastAsia="zh-CN"/>
        </w:rPr>
        <w:t>日在海棠湾附近海域开展海洋环境现状调查，布设海洋生态调查站位</w:t>
      </w:r>
      <w:r>
        <w:rPr>
          <w:rFonts w:ascii="Times New Roman" w:eastAsia="宋体" w:hAnsi="Times New Roman" w:cs="Times New Roman" w:hint="eastAsia"/>
          <w:snapToGrid/>
          <w:color w:val="auto"/>
          <w:kern w:val="2"/>
          <w:sz w:val="24"/>
          <w:szCs w:val="24"/>
          <w:lang w:eastAsia="zh-CN"/>
        </w:rPr>
        <w:t>8</w:t>
      </w:r>
      <w:r>
        <w:rPr>
          <w:rFonts w:ascii="Times New Roman" w:eastAsia="宋体" w:hAnsi="Times New Roman" w:cs="Times New Roman" w:hint="eastAsia"/>
          <w:snapToGrid/>
          <w:color w:val="auto"/>
          <w:kern w:val="2"/>
          <w:sz w:val="24"/>
          <w:szCs w:val="24"/>
          <w:lang w:eastAsia="zh-CN"/>
        </w:rPr>
        <w:t>个站位，调查内容包括叶绿素</w:t>
      </w:r>
      <w:r>
        <w:rPr>
          <w:rFonts w:ascii="Times New Roman" w:eastAsia="宋体" w:hAnsi="Times New Roman" w:cs="Times New Roman" w:hint="eastAsia"/>
          <w:snapToGrid/>
          <w:color w:val="auto"/>
          <w:kern w:val="2"/>
          <w:sz w:val="24"/>
          <w:szCs w:val="24"/>
          <w:lang w:eastAsia="zh-CN"/>
        </w:rPr>
        <w:t xml:space="preserve"> a</w:t>
      </w:r>
      <w:r>
        <w:rPr>
          <w:rFonts w:ascii="Times New Roman" w:eastAsia="宋体" w:hAnsi="Times New Roman" w:cs="Times New Roman" w:hint="eastAsia"/>
          <w:snapToGrid/>
          <w:color w:val="auto"/>
          <w:kern w:val="2"/>
          <w:sz w:val="24"/>
          <w:szCs w:val="24"/>
          <w:lang w:eastAsia="zh-CN"/>
        </w:rPr>
        <w:t>、浮游植物、浮游动物、鱼卵仔鱼、底栖生物和渔业资源，即秋季海洋生态站位共</w:t>
      </w:r>
      <w:r>
        <w:rPr>
          <w:rFonts w:ascii="Times New Roman" w:eastAsia="宋体" w:hAnsi="Times New Roman" w:cs="Times New Roman" w:hint="eastAsia"/>
          <w:snapToGrid/>
          <w:color w:val="auto"/>
          <w:kern w:val="2"/>
          <w:sz w:val="24"/>
          <w:szCs w:val="24"/>
          <w:lang w:eastAsia="zh-CN"/>
        </w:rPr>
        <w:t>20</w:t>
      </w:r>
      <w:r>
        <w:rPr>
          <w:rFonts w:ascii="Times New Roman" w:eastAsia="宋体" w:hAnsi="Times New Roman" w:cs="Times New Roman" w:hint="eastAsia"/>
          <w:snapToGrid/>
          <w:color w:val="auto"/>
          <w:kern w:val="2"/>
          <w:sz w:val="24"/>
          <w:szCs w:val="24"/>
          <w:lang w:eastAsia="zh-CN"/>
        </w:rPr>
        <w:t>个。</w:t>
      </w:r>
    </w:p>
    <w:p w14:paraId="7DA65497"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2023</w:t>
      </w:r>
      <w:r>
        <w:rPr>
          <w:rFonts w:ascii="Times New Roman" w:eastAsia="宋体" w:hAnsi="Times New Roman" w:cs="Times New Roman"/>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snapToGrid/>
          <w:color w:val="auto"/>
          <w:kern w:val="2"/>
          <w:sz w:val="24"/>
          <w:szCs w:val="24"/>
          <w:lang w:eastAsia="zh-CN"/>
        </w:rPr>
        <w:t>月</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月，</w:t>
      </w:r>
      <w:r>
        <w:rPr>
          <w:rFonts w:ascii="Times New Roman" w:eastAsia="宋体" w:hAnsi="Times New Roman" w:cs="Times New Roman"/>
          <w:snapToGrid/>
          <w:color w:val="auto"/>
          <w:kern w:val="2"/>
          <w:sz w:val="24"/>
          <w:szCs w:val="24"/>
          <w:lang w:eastAsia="zh-CN"/>
        </w:rPr>
        <w:t>海南正永生态工程技术有限公司在后海湾</w:t>
      </w:r>
      <w:r>
        <w:rPr>
          <w:rFonts w:ascii="Times New Roman" w:eastAsia="宋体" w:hAnsi="Times New Roman" w:cs="Times New Roman"/>
          <w:snapToGrid/>
          <w:color w:val="auto"/>
          <w:kern w:val="2"/>
          <w:sz w:val="24"/>
          <w:szCs w:val="24"/>
          <w:lang w:eastAsia="zh-CN"/>
        </w:rPr>
        <w:t xml:space="preserve"> </w:t>
      </w:r>
      <w:r>
        <w:rPr>
          <w:rFonts w:ascii="Times New Roman" w:eastAsia="宋体" w:hAnsi="Times New Roman" w:cs="Times New Roman"/>
          <w:snapToGrid/>
          <w:color w:val="auto"/>
          <w:kern w:val="2"/>
          <w:sz w:val="24"/>
          <w:szCs w:val="24"/>
          <w:lang w:eastAsia="zh-CN"/>
        </w:rPr>
        <w:t>附近海域开展海洋生态环境现状调查</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调查内容包括：叶绿素</w:t>
      </w:r>
      <w:r>
        <w:rPr>
          <w:rFonts w:ascii="Times New Roman" w:eastAsia="宋体" w:hAnsi="Times New Roman" w:cs="Times New Roman"/>
          <w:snapToGrid/>
          <w:color w:val="auto"/>
          <w:kern w:val="2"/>
          <w:sz w:val="24"/>
          <w:szCs w:val="24"/>
          <w:lang w:eastAsia="zh-CN"/>
        </w:rPr>
        <w:t xml:space="preserve"> a </w:t>
      </w:r>
      <w:r>
        <w:rPr>
          <w:rFonts w:ascii="Times New Roman" w:eastAsia="宋体" w:hAnsi="Times New Roman" w:cs="Times New Roman"/>
          <w:snapToGrid/>
          <w:color w:val="auto"/>
          <w:kern w:val="2"/>
          <w:sz w:val="24"/>
          <w:szCs w:val="24"/>
          <w:lang w:eastAsia="zh-CN"/>
        </w:rPr>
        <w:t>及其生产力、浮游植物、浮游动物、底栖动物、鱼卵和仔稚鱼、潮间带生物、生物体质量及渔业资源，海洋生物调查站位各</w:t>
      </w:r>
      <w:r>
        <w:rPr>
          <w:rFonts w:ascii="Times New Roman" w:eastAsia="宋体" w:hAnsi="Times New Roman" w:cs="Times New Roman"/>
          <w:snapToGrid/>
          <w:color w:val="auto"/>
          <w:kern w:val="2"/>
          <w:sz w:val="24"/>
          <w:szCs w:val="24"/>
          <w:lang w:eastAsia="zh-CN"/>
        </w:rPr>
        <w:t>10</w:t>
      </w:r>
      <w:r>
        <w:rPr>
          <w:rFonts w:ascii="Times New Roman" w:eastAsia="宋体" w:hAnsi="Times New Roman" w:cs="Times New Roman"/>
          <w:snapToGrid/>
          <w:color w:val="auto"/>
          <w:kern w:val="2"/>
          <w:sz w:val="24"/>
          <w:szCs w:val="24"/>
          <w:lang w:eastAsia="zh-CN"/>
        </w:rPr>
        <w:t>个，潮间带调查站位为</w:t>
      </w:r>
      <w:r>
        <w:rPr>
          <w:rFonts w:ascii="Times New Roman" w:eastAsia="宋体" w:hAnsi="Times New Roman" w:cs="Times New Roman"/>
          <w:snapToGrid/>
          <w:color w:val="auto"/>
          <w:kern w:val="2"/>
          <w:sz w:val="24"/>
          <w:szCs w:val="24"/>
          <w:lang w:eastAsia="zh-CN"/>
        </w:rPr>
        <w:t>3</w:t>
      </w:r>
      <w:r>
        <w:rPr>
          <w:rFonts w:ascii="Times New Roman" w:eastAsia="宋体" w:hAnsi="Times New Roman" w:cs="Times New Roman"/>
          <w:snapToGrid/>
          <w:color w:val="auto"/>
          <w:kern w:val="2"/>
          <w:sz w:val="24"/>
          <w:szCs w:val="24"/>
          <w:lang w:eastAsia="zh-CN"/>
        </w:rPr>
        <w:t>个。海洋生态调查时间为</w:t>
      </w:r>
      <w:r>
        <w:rPr>
          <w:rFonts w:ascii="Times New Roman" w:eastAsia="宋体" w:hAnsi="Times New Roman" w:cs="Times New Roman"/>
          <w:snapToGrid/>
          <w:color w:val="auto"/>
          <w:kern w:val="2"/>
          <w:sz w:val="24"/>
          <w:szCs w:val="24"/>
          <w:lang w:eastAsia="zh-CN"/>
        </w:rPr>
        <w:t>2023</w:t>
      </w:r>
      <w:r>
        <w:rPr>
          <w:rFonts w:ascii="Times New Roman" w:eastAsia="宋体" w:hAnsi="Times New Roman" w:cs="Times New Roman"/>
          <w:snapToGrid/>
          <w:color w:val="auto"/>
          <w:kern w:val="2"/>
          <w:sz w:val="24"/>
          <w:szCs w:val="24"/>
          <w:lang w:eastAsia="zh-CN"/>
        </w:rPr>
        <w:t>年</w:t>
      </w:r>
      <w:r>
        <w:rPr>
          <w:rFonts w:ascii="Times New Roman" w:eastAsia="宋体" w:hAnsi="Times New Roman" w:cs="Times New Roman"/>
          <w:snapToGrid/>
          <w:color w:val="auto"/>
          <w:kern w:val="2"/>
          <w:sz w:val="24"/>
          <w:szCs w:val="24"/>
          <w:lang w:eastAsia="zh-CN"/>
        </w:rPr>
        <w:t>06</w:t>
      </w:r>
      <w:r>
        <w:rPr>
          <w:rFonts w:ascii="Times New Roman" w:eastAsia="宋体" w:hAnsi="Times New Roman" w:cs="Times New Roman"/>
          <w:snapToGrid/>
          <w:color w:val="auto"/>
          <w:kern w:val="2"/>
          <w:sz w:val="24"/>
          <w:szCs w:val="24"/>
          <w:lang w:eastAsia="zh-CN"/>
        </w:rPr>
        <w:t>月</w:t>
      </w:r>
      <w:r>
        <w:rPr>
          <w:rFonts w:ascii="Times New Roman" w:eastAsia="宋体" w:hAnsi="Times New Roman" w:cs="Times New Roman"/>
          <w:snapToGrid/>
          <w:color w:val="auto"/>
          <w:kern w:val="2"/>
          <w:sz w:val="24"/>
          <w:szCs w:val="24"/>
          <w:lang w:eastAsia="zh-CN"/>
        </w:rPr>
        <w:t>17</w:t>
      </w:r>
      <w:r>
        <w:rPr>
          <w:rFonts w:ascii="Times New Roman" w:eastAsia="宋体" w:hAnsi="Times New Roman" w:cs="Times New Roman"/>
          <w:snapToGrid/>
          <w:color w:val="auto"/>
          <w:kern w:val="2"/>
          <w:sz w:val="24"/>
          <w:szCs w:val="24"/>
          <w:lang w:eastAsia="zh-CN"/>
        </w:rPr>
        <w:t>日至</w:t>
      </w:r>
      <w:r>
        <w:rPr>
          <w:rFonts w:ascii="Times New Roman" w:eastAsia="宋体" w:hAnsi="Times New Roman" w:cs="Times New Roman"/>
          <w:snapToGrid/>
          <w:color w:val="auto"/>
          <w:kern w:val="2"/>
          <w:sz w:val="24"/>
          <w:szCs w:val="24"/>
          <w:lang w:eastAsia="zh-CN"/>
        </w:rPr>
        <w:t>06</w:t>
      </w:r>
      <w:r>
        <w:rPr>
          <w:rFonts w:ascii="Times New Roman" w:eastAsia="宋体" w:hAnsi="Times New Roman" w:cs="Times New Roman"/>
          <w:snapToGrid/>
          <w:color w:val="auto"/>
          <w:kern w:val="2"/>
          <w:sz w:val="24"/>
          <w:szCs w:val="24"/>
          <w:lang w:eastAsia="zh-CN"/>
        </w:rPr>
        <w:t>月</w:t>
      </w:r>
      <w:r>
        <w:rPr>
          <w:rFonts w:ascii="Times New Roman" w:eastAsia="宋体" w:hAnsi="Times New Roman" w:cs="Times New Roman"/>
          <w:snapToGrid/>
          <w:color w:val="auto"/>
          <w:kern w:val="2"/>
          <w:sz w:val="24"/>
          <w:szCs w:val="24"/>
          <w:lang w:eastAsia="zh-CN"/>
        </w:rPr>
        <w:t>18</w:t>
      </w:r>
      <w:r>
        <w:rPr>
          <w:rFonts w:ascii="Times New Roman" w:eastAsia="宋体" w:hAnsi="Times New Roman" w:cs="Times New Roman"/>
          <w:snapToGrid/>
          <w:color w:val="auto"/>
          <w:kern w:val="2"/>
          <w:sz w:val="24"/>
          <w:szCs w:val="24"/>
          <w:lang w:eastAsia="zh-CN"/>
        </w:rPr>
        <w:t>日，潮间带调查时间为</w:t>
      </w:r>
      <w:r>
        <w:rPr>
          <w:rFonts w:ascii="Times New Roman" w:eastAsia="宋体" w:hAnsi="Times New Roman" w:cs="Times New Roman"/>
          <w:snapToGrid/>
          <w:color w:val="auto"/>
          <w:kern w:val="2"/>
          <w:sz w:val="24"/>
          <w:szCs w:val="24"/>
          <w:lang w:eastAsia="zh-CN"/>
        </w:rPr>
        <w:t>2023</w:t>
      </w:r>
      <w:r>
        <w:rPr>
          <w:rFonts w:ascii="Times New Roman" w:eastAsia="宋体" w:hAnsi="Times New Roman" w:cs="Times New Roman"/>
          <w:snapToGrid/>
          <w:color w:val="auto"/>
          <w:kern w:val="2"/>
          <w:sz w:val="24"/>
          <w:szCs w:val="24"/>
          <w:lang w:eastAsia="zh-CN"/>
        </w:rPr>
        <w:t>年</w:t>
      </w:r>
      <w:r>
        <w:rPr>
          <w:rFonts w:ascii="Times New Roman" w:eastAsia="宋体" w:hAnsi="Times New Roman" w:cs="Times New Roman"/>
          <w:snapToGrid/>
          <w:color w:val="auto"/>
          <w:kern w:val="2"/>
          <w:sz w:val="24"/>
          <w:szCs w:val="24"/>
          <w:lang w:eastAsia="zh-CN"/>
        </w:rPr>
        <w:t>05</w:t>
      </w:r>
      <w:r>
        <w:rPr>
          <w:rFonts w:ascii="Times New Roman" w:eastAsia="宋体" w:hAnsi="Times New Roman" w:cs="Times New Roman"/>
          <w:snapToGrid/>
          <w:color w:val="auto"/>
          <w:kern w:val="2"/>
          <w:sz w:val="24"/>
          <w:szCs w:val="24"/>
          <w:lang w:eastAsia="zh-CN"/>
        </w:rPr>
        <w:t>月</w:t>
      </w:r>
      <w:r>
        <w:rPr>
          <w:rFonts w:ascii="Times New Roman" w:eastAsia="宋体" w:hAnsi="Times New Roman" w:cs="Times New Roman"/>
          <w:snapToGrid/>
          <w:color w:val="auto"/>
          <w:kern w:val="2"/>
          <w:sz w:val="24"/>
          <w:szCs w:val="24"/>
          <w:lang w:eastAsia="zh-CN"/>
        </w:rPr>
        <w:t>31</w:t>
      </w:r>
      <w:r>
        <w:rPr>
          <w:rFonts w:ascii="Times New Roman" w:eastAsia="宋体" w:hAnsi="Times New Roman" w:cs="Times New Roman"/>
          <w:snapToGrid/>
          <w:color w:val="auto"/>
          <w:kern w:val="2"/>
          <w:sz w:val="24"/>
          <w:szCs w:val="24"/>
          <w:lang w:eastAsia="zh-CN"/>
        </w:rPr>
        <w:t>日，渔业资源调查时间为</w:t>
      </w:r>
      <w:r>
        <w:rPr>
          <w:rFonts w:ascii="Times New Roman" w:eastAsia="宋体" w:hAnsi="Times New Roman" w:cs="Times New Roman"/>
          <w:snapToGrid/>
          <w:color w:val="auto"/>
          <w:kern w:val="2"/>
          <w:sz w:val="24"/>
          <w:szCs w:val="24"/>
          <w:lang w:eastAsia="zh-CN"/>
        </w:rPr>
        <w:t>2023</w:t>
      </w:r>
      <w:r>
        <w:rPr>
          <w:rFonts w:ascii="Times New Roman" w:eastAsia="宋体" w:hAnsi="Times New Roman" w:cs="Times New Roman"/>
          <w:snapToGrid/>
          <w:color w:val="auto"/>
          <w:kern w:val="2"/>
          <w:sz w:val="24"/>
          <w:szCs w:val="24"/>
          <w:lang w:eastAsia="zh-CN"/>
        </w:rPr>
        <w:t>年</w:t>
      </w:r>
      <w:r>
        <w:rPr>
          <w:rFonts w:ascii="Times New Roman" w:eastAsia="宋体" w:hAnsi="Times New Roman" w:cs="Times New Roman"/>
          <w:snapToGrid/>
          <w:color w:val="auto"/>
          <w:kern w:val="2"/>
          <w:sz w:val="24"/>
          <w:szCs w:val="24"/>
          <w:lang w:eastAsia="zh-CN"/>
        </w:rPr>
        <w:t>09</w:t>
      </w:r>
      <w:r>
        <w:rPr>
          <w:rFonts w:ascii="Times New Roman" w:eastAsia="宋体" w:hAnsi="Times New Roman" w:cs="Times New Roman"/>
          <w:snapToGrid/>
          <w:color w:val="auto"/>
          <w:kern w:val="2"/>
          <w:sz w:val="24"/>
          <w:szCs w:val="24"/>
          <w:lang w:eastAsia="zh-CN"/>
        </w:rPr>
        <w:t>月</w:t>
      </w:r>
      <w:r>
        <w:rPr>
          <w:rFonts w:ascii="Times New Roman" w:eastAsia="宋体" w:hAnsi="Times New Roman" w:cs="Times New Roman"/>
          <w:snapToGrid/>
          <w:color w:val="auto"/>
          <w:kern w:val="2"/>
          <w:sz w:val="24"/>
          <w:szCs w:val="24"/>
          <w:lang w:eastAsia="zh-CN"/>
        </w:rPr>
        <w:t>17</w:t>
      </w:r>
      <w:r>
        <w:rPr>
          <w:rFonts w:ascii="Times New Roman" w:eastAsia="宋体" w:hAnsi="Times New Roman" w:cs="Times New Roman"/>
          <w:snapToGrid/>
          <w:color w:val="auto"/>
          <w:kern w:val="2"/>
          <w:sz w:val="24"/>
          <w:szCs w:val="24"/>
          <w:lang w:eastAsia="zh-CN"/>
        </w:rPr>
        <w:t>日至</w:t>
      </w:r>
      <w:r>
        <w:rPr>
          <w:rFonts w:ascii="Times New Roman" w:eastAsia="宋体" w:hAnsi="Times New Roman" w:cs="Times New Roman"/>
          <w:snapToGrid/>
          <w:color w:val="auto"/>
          <w:kern w:val="2"/>
          <w:sz w:val="24"/>
          <w:szCs w:val="24"/>
          <w:lang w:eastAsia="zh-CN"/>
        </w:rPr>
        <w:t>09</w:t>
      </w:r>
      <w:r>
        <w:rPr>
          <w:rFonts w:ascii="Times New Roman" w:eastAsia="宋体" w:hAnsi="Times New Roman" w:cs="Times New Roman"/>
          <w:snapToGrid/>
          <w:color w:val="auto"/>
          <w:kern w:val="2"/>
          <w:sz w:val="24"/>
          <w:szCs w:val="24"/>
          <w:lang w:eastAsia="zh-CN"/>
        </w:rPr>
        <w:t>月</w:t>
      </w:r>
      <w:r>
        <w:rPr>
          <w:rFonts w:ascii="Times New Roman" w:eastAsia="宋体" w:hAnsi="Times New Roman" w:cs="Times New Roman"/>
          <w:snapToGrid/>
          <w:color w:val="auto"/>
          <w:kern w:val="2"/>
          <w:sz w:val="24"/>
          <w:szCs w:val="24"/>
          <w:lang w:eastAsia="zh-CN"/>
        </w:rPr>
        <w:t>18</w:t>
      </w:r>
      <w:r>
        <w:rPr>
          <w:rFonts w:ascii="Times New Roman" w:eastAsia="宋体" w:hAnsi="Times New Roman" w:cs="Times New Roman"/>
          <w:snapToGrid/>
          <w:color w:val="auto"/>
          <w:kern w:val="2"/>
          <w:sz w:val="24"/>
          <w:szCs w:val="24"/>
          <w:lang w:eastAsia="zh-CN"/>
        </w:rPr>
        <w:t>日。</w:t>
      </w:r>
      <w:r>
        <w:rPr>
          <w:rFonts w:ascii="Times New Roman" w:eastAsia="宋体" w:hAnsi="Times New Roman" w:cs="Times New Roman" w:hint="eastAsia"/>
          <w:snapToGrid/>
          <w:color w:val="auto"/>
          <w:kern w:val="2"/>
          <w:sz w:val="24"/>
          <w:szCs w:val="24"/>
          <w:lang w:eastAsia="zh-CN"/>
        </w:rPr>
        <w:t>具体见表</w:t>
      </w:r>
      <w:r>
        <w:rPr>
          <w:rFonts w:ascii="Times New Roman" w:eastAsia="宋体" w:hAnsi="Times New Roman" w:cs="Times New Roman" w:hint="eastAsia"/>
          <w:snapToGrid/>
          <w:color w:val="auto"/>
          <w:kern w:val="2"/>
          <w:sz w:val="24"/>
          <w:szCs w:val="24"/>
          <w:lang w:eastAsia="zh-CN"/>
        </w:rPr>
        <w:t>3.2.6-1</w:t>
      </w:r>
      <w:r>
        <w:rPr>
          <w:rFonts w:ascii="Times New Roman" w:eastAsia="宋体" w:hAnsi="Times New Roman" w:cs="Times New Roman" w:hint="eastAsia"/>
          <w:snapToGrid/>
          <w:color w:val="auto"/>
          <w:kern w:val="2"/>
          <w:sz w:val="24"/>
          <w:szCs w:val="24"/>
          <w:lang w:eastAsia="zh-CN"/>
        </w:rPr>
        <w:t>及图</w:t>
      </w:r>
      <w:r>
        <w:rPr>
          <w:rFonts w:ascii="Times New Roman" w:eastAsia="宋体" w:hAnsi="Times New Roman" w:cs="Times New Roman" w:hint="eastAsia"/>
          <w:snapToGrid/>
          <w:color w:val="auto"/>
          <w:kern w:val="2"/>
          <w:sz w:val="24"/>
          <w:szCs w:val="24"/>
          <w:lang w:eastAsia="zh-CN"/>
        </w:rPr>
        <w:t>3.2.6-1</w:t>
      </w:r>
      <w:r>
        <w:rPr>
          <w:rFonts w:ascii="Times New Roman" w:eastAsia="宋体" w:hAnsi="Times New Roman" w:cs="Times New Roman" w:hint="eastAsia"/>
          <w:snapToGrid/>
          <w:color w:val="auto"/>
          <w:kern w:val="2"/>
          <w:sz w:val="24"/>
          <w:szCs w:val="24"/>
          <w:lang w:eastAsia="zh-CN"/>
        </w:rPr>
        <w:t>。</w:t>
      </w:r>
    </w:p>
    <w:p w14:paraId="71081A1E" w14:textId="77777777" w:rsidR="0075791A" w:rsidRDefault="00FB2864">
      <w:pPr>
        <w:pStyle w:val="TableText"/>
        <w:jc w:val="center"/>
        <w:rPr>
          <w:rFonts w:ascii="Times New Roman" w:hAnsi="Times New Roman"/>
          <w:color w:val="auto"/>
          <w:spacing w:val="-1"/>
          <w:lang w:eastAsia="zh-CN"/>
        </w:rPr>
      </w:pPr>
      <w:r>
        <w:rPr>
          <w:rFonts w:ascii="Times New Roman" w:hAnsi="Times New Roman" w:hint="eastAsia"/>
          <w:color w:val="auto"/>
          <w:spacing w:val="-1"/>
          <w:lang w:eastAsia="zh-CN"/>
        </w:rPr>
        <w:t>表</w:t>
      </w:r>
      <w:r>
        <w:rPr>
          <w:rFonts w:ascii="Times New Roman" w:hAnsi="Times New Roman" w:hint="eastAsia"/>
          <w:color w:val="auto"/>
          <w:spacing w:val="-1"/>
          <w:lang w:eastAsia="zh-CN"/>
        </w:rPr>
        <w:t>3.2.6</w:t>
      </w:r>
      <w:r>
        <w:rPr>
          <w:rFonts w:ascii="Times New Roman" w:hAnsi="Times New Roman" w:hint="eastAsia"/>
          <w:color w:val="auto"/>
          <w:spacing w:val="-1"/>
          <w:lang w:eastAsia="zh-CN"/>
        </w:rPr>
        <w:t>-1</w:t>
      </w:r>
      <w:r>
        <w:rPr>
          <w:rFonts w:ascii="Times New Roman" w:hAnsi="Times New Roman" w:hint="eastAsia"/>
          <w:color w:val="auto"/>
          <w:spacing w:val="-1"/>
          <w:lang w:eastAsia="zh-CN"/>
        </w:rPr>
        <w:t>海洋</w:t>
      </w:r>
      <w:r>
        <w:rPr>
          <w:rFonts w:ascii="Times New Roman" w:hAnsi="Times New Roman" w:hint="eastAsia"/>
          <w:color w:val="auto"/>
          <w:spacing w:val="-1"/>
          <w:lang w:eastAsia="zh-CN"/>
        </w:rPr>
        <w:t>生态监测内容</w:t>
      </w:r>
    </w:p>
    <w:tbl>
      <w:tblPr>
        <w:tblpPr w:leftFromText="180" w:rightFromText="180" w:vertAnchor="text" w:horzAnchor="page" w:tblpXSpec="center" w:tblpY="67"/>
        <w:tblOverlap w:val="never"/>
        <w:tblW w:w="41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3"/>
        <w:gridCol w:w="1385"/>
        <w:gridCol w:w="1755"/>
        <w:gridCol w:w="1671"/>
        <w:gridCol w:w="1673"/>
      </w:tblGrid>
      <w:tr w:rsidR="0075791A" w14:paraId="25B75A70" w14:textId="77777777">
        <w:trPr>
          <w:trHeight w:hRule="exact" w:val="369"/>
          <w:jc w:val="center"/>
        </w:trPr>
        <w:tc>
          <w:tcPr>
            <w:tcW w:w="782" w:type="pct"/>
            <w:vAlign w:val="center"/>
          </w:tcPr>
          <w:p w14:paraId="5EDED513" w14:textId="77777777" w:rsidR="0075791A" w:rsidRDefault="00FB2864">
            <w:pPr>
              <w:widowControl w:val="0"/>
              <w:kinsoku/>
              <w:adjustRightInd/>
              <w:snapToGrid/>
              <w:jc w:val="both"/>
              <w:textAlignment w:val="auto"/>
              <w:rPr>
                <w:rFonts w:ascii="Times New Roman" w:eastAsia="宋体" w:hAnsi="Times New Roman"/>
                <w:b/>
                <w:bCs/>
                <w:color w:val="auto"/>
                <w:lang w:eastAsia="zh-CN"/>
              </w:rPr>
            </w:pPr>
            <w:r>
              <w:rPr>
                <w:rFonts w:ascii="Times New Roman" w:eastAsia="宋体" w:hAnsi="Times New Roman" w:hint="eastAsia"/>
                <w:b/>
                <w:bCs/>
                <w:color w:val="auto"/>
                <w:lang w:eastAsia="zh-CN"/>
              </w:rPr>
              <w:t>监测位置</w:t>
            </w:r>
          </w:p>
        </w:tc>
        <w:tc>
          <w:tcPr>
            <w:tcW w:w="900" w:type="pct"/>
            <w:vAlign w:val="center"/>
          </w:tcPr>
          <w:p w14:paraId="25A13490" w14:textId="77777777" w:rsidR="0075791A" w:rsidRDefault="00FB2864">
            <w:pPr>
              <w:widowControl w:val="0"/>
              <w:kinsoku/>
              <w:adjustRightInd/>
              <w:snapToGrid/>
              <w:jc w:val="center"/>
              <w:textAlignment w:val="auto"/>
              <w:rPr>
                <w:rFonts w:ascii="Times New Roman" w:eastAsia="宋体" w:hAnsi="Times New Roman"/>
                <w:b/>
                <w:bCs/>
                <w:color w:val="auto"/>
                <w:lang w:eastAsia="zh-CN"/>
              </w:rPr>
            </w:pPr>
            <w:r>
              <w:rPr>
                <w:rFonts w:ascii="Times New Roman" w:eastAsia="宋体" w:hAnsi="Times New Roman" w:hint="eastAsia"/>
                <w:b/>
                <w:bCs/>
                <w:color w:val="auto"/>
                <w:lang w:eastAsia="zh-CN"/>
              </w:rPr>
              <w:t>监测站点</w:t>
            </w:r>
          </w:p>
        </w:tc>
        <w:tc>
          <w:tcPr>
            <w:tcW w:w="1141" w:type="pct"/>
            <w:vAlign w:val="center"/>
          </w:tcPr>
          <w:p w14:paraId="346A390D" w14:textId="77777777" w:rsidR="0075791A" w:rsidRDefault="00FB2864">
            <w:pPr>
              <w:keepNext/>
              <w:keepLines/>
              <w:widowControl w:val="0"/>
              <w:kinsoku/>
              <w:autoSpaceDE/>
              <w:autoSpaceDN/>
              <w:adjustRightInd/>
              <w:snapToGrid/>
              <w:jc w:val="center"/>
              <w:textAlignment w:val="auto"/>
              <w:rPr>
                <w:rFonts w:ascii="Times New Roman" w:eastAsia="宋体" w:hAnsi="Times New Roman"/>
                <w:b/>
                <w:bCs/>
                <w:color w:val="auto"/>
                <w:lang w:eastAsia="zh-CN"/>
              </w:rPr>
            </w:pPr>
            <w:r>
              <w:rPr>
                <w:rFonts w:ascii="Times New Roman" w:eastAsia="宋体" w:hAnsi="Times New Roman" w:cs="Times New Roman"/>
                <w:b/>
                <w:bCs/>
                <w:snapToGrid/>
                <w:color w:val="auto"/>
                <w:kern w:val="2"/>
                <w:lang w:eastAsia="zh-CN"/>
              </w:rPr>
              <w:t>经度</w:t>
            </w:r>
            <w:r>
              <w:rPr>
                <w:rFonts w:ascii="Times New Roman" w:eastAsia="宋体" w:hAnsi="Times New Roman" w:cs="Times New Roman" w:hint="eastAsia"/>
                <w:b/>
                <w:bCs/>
                <w:snapToGrid/>
                <w:color w:val="auto"/>
                <w:kern w:val="2"/>
                <w:lang w:eastAsia="zh-CN"/>
              </w:rPr>
              <w:t>（</w:t>
            </w:r>
            <w:r>
              <w:rPr>
                <w:rFonts w:ascii="Times New Roman" w:eastAsia="宋体" w:hAnsi="Times New Roman" w:cs="Times New Roman" w:hint="eastAsia"/>
                <w:b/>
                <w:bCs/>
                <w:snapToGrid/>
                <w:color w:val="auto"/>
                <w:kern w:val="2"/>
                <w:lang w:eastAsia="zh-CN"/>
              </w:rPr>
              <w:t>°</w:t>
            </w:r>
            <w:r>
              <w:rPr>
                <w:rFonts w:ascii="Times New Roman" w:eastAsia="宋体" w:hAnsi="Times New Roman" w:cs="Times New Roman" w:hint="eastAsia"/>
                <w:b/>
                <w:bCs/>
                <w:snapToGrid/>
                <w:color w:val="auto"/>
                <w:kern w:val="2"/>
                <w:lang w:eastAsia="zh-CN"/>
              </w:rPr>
              <w:t>E</w:t>
            </w:r>
            <w:r>
              <w:rPr>
                <w:rFonts w:ascii="Times New Roman" w:eastAsia="宋体" w:hAnsi="Times New Roman" w:cs="Times New Roman" w:hint="eastAsia"/>
                <w:b/>
                <w:bCs/>
                <w:snapToGrid/>
                <w:color w:val="auto"/>
                <w:kern w:val="2"/>
                <w:lang w:eastAsia="zh-CN"/>
              </w:rPr>
              <w:t>）</w:t>
            </w:r>
          </w:p>
        </w:tc>
        <w:tc>
          <w:tcPr>
            <w:tcW w:w="1087" w:type="pct"/>
            <w:vAlign w:val="center"/>
          </w:tcPr>
          <w:p w14:paraId="6A1B7F29" w14:textId="77777777" w:rsidR="0075791A" w:rsidRDefault="00FB2864">
            <w:pPr>
              <w:keepNext/>
              <w:keepLines/>
              <w:widowControl w:val="0"/>
              <w:kinsoku/>
              <w:autoSpaceDE/>
              <w:autoSpaceDN/>
              <w:adjustRightInd/>
              <w:snapToGrid/>
              <w:jc w:val="center"/>
              <w:textAlignment w:val="auto"/>
              <w:rPr>
                <w:rFonts w:ascii="Times New Roman" w:eastAsia="宋体" w:hAnsi="Times New Roman"/>
                <w:b/>
                <w:bCs/>
                <w:color w:val="auto"/>
                <w:lang w:eastAsia="zh-CN"/>
              </w:rPr>
            </w:pPr>
            <w:r>
              <w:rPr>
                <w:rFonts w:ascii="Times New Roman" w:eastAsia="宋体" w:hAnsi="Times New Roman" w:cs="Times New Roman"/>
                <w:b/>
                <w:bCs/>
                <w:snapToGrid/>
                <w:color w:val="auto"/>
                <w:kern w:val="2"/>
                <w:lang w:eastAsia="zh-CN"/>
              </w:rPr>
              <w:t>纬度</w:t>
            </w:r>
            <w:r>
              <w:rPr>
                <w:rFonts w:ascii="Times New Roman" w:eastAsia="宋体" w:hAnsi="Times New Roman" w:cs="Times New Roman" w:hint="eastAsia"/>
                <w:b/>
                <w:bCs/>
                <w:snapToGrid/>
                <w:color w:val="auto"/>
                <w:kern w:val="2"/>
                <w:lang w:eastAsia="zh-CN"/>
              </w:rPr>
              <w:t>（</w:t>
            </w:r>
            <w:r>
              <w:rPr>
                <w:rFonts w:ascii="Times New Roman" w:eastAsia="宋体" w:hAnsi="Times New Roman" w:cs="Times New Roman" w:hint="eastAsia"/>
                <w:b/>
                <w:bCs/>
                <w:snapToGrid/>
                <w:color w:val="auto"/>
                <w:kern w:val="2"/>
                <w:lang w:eastAsia="zh-CN"/>
              </w:rPr>
              <w:t>°</w:t>
            </w:r>
            <w:r>
              <w:rPr>
                <w:rFonts w:ascii="Times New Roman" w:eastAsia="宋体" w:hAnsi="Times New Roman" w:cs="Times New Roman" w:hint="eastAsia"/>
                <w:b/>
                <w:bCs/>
                <w:snapToGrid/>
                <w:color w:val="auto"/>
                <w:kern w:val="2"/>
                <w:lang w:eastAsia="zh-CN"/>
              </w:rPr>
              <w:t>N</w:t>
            </w:r>
            <w:r>
              <w:rPr>
                <w:rFonts w:ascii="Times New Roman" w:eastAsia="宋体" w:hAnsi="Times New Roman" w:cs="Times New Roman" w:hint="eastAsia"/>
                <w:b/>
                <w:bCs/>
                <w:snapToGrid/>
                <w:color w:val="auto"/>
                <w:kern w:val="2"/>
                <w:lang w:eastAsia="zh-CN"/>
              </w:rPr>
              <w:t>）</w:t>
            </w:r>
          </w:p>
        </w:tc>
        <w:tc>
          <w:tcPr>
            <w:tcW w:w="1088" w:type="pct"/>
            <w:vAlign w:val="center"/>
          </w:tcPr>
          <w:p w14:paraId="3BEA4720" w14:textId="77777777" w:rsidR="0075791A" w:rsidRDefault="00FB2864">
            <w:pPr>
              <w:keepNext/>
              <w:keepLines/>
              <w:widowControl w:val="0"/>
              <w:kinsoku/>
              <w:autoSpaceDE/>
              <w:autoSpaceDN/>
              <w:adjustRightInd/>
              <w:snapToGrid/>
              <w:jc w:val="center"/>
              <w:textAlignment w:val="auto"/>
              <w:rPr>
                <w:rFonts w:ascii="Times New Roman" w:eastAsia="宋体" w:hAnsi="Times New Roman" w:cs="Times New Roman"/>
                <w:b/>
                <w:bCs/>
                <w:snapToGrid/>
                <w:color w:val="auto"/>
                <w:kern w:val="2"/>
                <w:lang w:eastAsia="zh-CN"/>
              </w:rPr>
            </w:pPr>
            <w:r>
              <w:rPr>
                <w:rFonts w:ascii="Times New Roman" w:eastAsia="宋体" w:hAnsi="Times New Roman" w:cs="Times New Roman" w:hint="eastAsia"/>
                <w:b/>
                <w:bCs/>
                <w:snapToGrid/>
                <w:color w:val="auto"/>
                <w:kern w:val="2"/>
                <w:lang w:eastAsia="zh-CN"/>
              </w:rPr>
              <w:t>备注</w:t>
            </w:r>
          </w:p>
        </w:tc>
      </w:tr>
      <w:tr w:rsidR="0075791A" w14:paraId="2AA8DA3D" w14:textId="77777777">
        <w:trPr>
          <w:trHeight w:hRule="exact" w:val="369"/>
          <w:jc w:val="center"/>
        </w:trPr>
        <w:tc>
          <w:tcPr>
            <w:tcW w:w="782" w:type="pct"/>
            <w:vMerge w:val="restart"/>
            <w:vAlign w:val="center"/>
          </w:tcPr>
          <w:p w14:paraId="06153CEE" w14:textId="77777777" w:rsidR="0075791A" w:rsidRDefault="00FB2864">
            <w:pPr>
              <w:widowControl w:val="0"/>
              <w:kinsoku/>
              <w:adjustRightInd/>
              <w:snapToGrid/>
              <w:jc w:val="center"/>
              <w:textAlignment w:val="auto"/>
              <w:rPr>
                <w:rFonts w:ascii="Times New Roman" w:eastAsia="宋体" w:hAnsi="Times New Roman"/>
                <w:color w:val="auto"/>
                <w:lang w:eastAsia="zh-CN"/>
              </w:rPr>
            </w:pPr>
            <w:r>
              <w:rPr>
                <w:rFonts w:ascii="Times New Roman" w:eastAsia="宋体" w:hAnsi="Times New Roman" w:hint="eastAsia"/>
                <w:color w:val="auto"/>
                <w:lang w:eastAsia="zh-CN"/>
              </w:rPr>
              <w:t>铁炉港</w:t>
            </w:r>
          </w:p>
        </w:tc>
        <w:tc>
          <w:tcPr>
            <w:tcW w:w="900" w:type="pct"/>
            <w:vAlign w:val="center"/>
          </w:tcPr>
          <w:p w14:paraId="77CF1973"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1141" w:type="pct"/>
            <w:vAlign w:val="center"/>
          </w:tcPr>
          <w:p w14:paraId="5F104A4F"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0EFFAA85" w14:textId="77777777" w:rsidR="0075791A" w:rsidRDefault="0075791A">
            <w:pPr>
              <w:jc w:val="center"/>
              <w:textAlignment w:val="center"/>
              <w:rPr>
                <w:rFonts w:ascii="Times New Roman" w:eastAsia="宋体" w:hAnsi="Times New Roman"/>
                <w:color w:val="auto"/>
                <w:lang w:eastAsia="zh-CN"/>
              </w:rPr>
            </w:pPr>
          </w:p>
        </w:tc>
        <w:tc>
          <w:tcPr>
            <w:tcW w:w="1088" w:type="pct"/>
            <w:vMerge w:val="restart"/>
            <w:vAlign w:val="center"/>
          </w:tcPr>
          <w:p w14:paraId="013D606D" w14:textId="77777777" w:rsidR="0075791A" w:rsidRDefault="0075791A">
            <w:pPr>
              <w:widowControl w:val="0"/>
              <w:kinsoku/>
              <w:adjustRightInd/>
              <w:snapToGrid/>
              <w:jc w:val="center"/>
              <w:textAlignment w:val="auto"/>
              <w:rPr>
                <w:rFonts w:ascii="Times New Roman" w:eastAsia="宋体" w:hAnsi="Times New Roman" w:cs="Times New Roman"/>
                <w:snapToGrid/>
                <w:color w:val="auto"/>
                <w:kern w:val="2"/>
                <w:sz w:val="24"/>
                <w:szCs w:val="24"/>
                <w:lang w:eastAsia="zh-CN"/>
              </w:rPr>
            </w:pPr>
          </w:p>
        </w:tc>
      </w:tr>
      <w:tr w:rsidR="0075791A" w14:paraId="196737FF" w14:textId="77777777">
        <w:trPr>
          <w:trHeight w:hRule="exact" w:val="369"/>
          <w:jc w:val="center"/>
        </w:trPr>
        <w:tc>
          <w:tcPr>
            <w:tcW w:w="782" w:type="pct"/>
            <w:vMerge/>
            <w:vAlign w:val="center"/>
          </w:tcPr>
          <w:p w14:paraId="2AC9292F"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023DB8F2"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1141" w:type="pct"/>
            <w:vAlign w:val="center"/>
          </w:tcPr>
          <w:p w14:paraId="14ECD4FA"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5CB3275E"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5FFA1E3F" w14:textId="77777777" w:rsidR="0075791A" w:rsidRDefault="0075791A">
            <w:pPr>
              <w:jc w:val="center"/>
              <w:textAlignment w:val="center"/>
              <w:rPr>
                <w:rFonts w:ascii="Times New Roman" w:eastAsia="宋体" w:hAnsi="Times New Roman" w:cs="宋体"/>
                <w:color w:val="auto"/>
                <w:lang w:eastAsia="zh-CN" w:bidi="ar"/>
              </w:rPr>
            </w:pPr>
          </w:p>
        </w:tc>
      </w:tr>
      <w:tr w:rsidR="0075791A" w14:paraId="29FCB965" w14:textId="77777777">
        <w:trPr>
          <w:trHeight w:hRule="exact" w:val="369"/>
          <w:jc w:val="center"/>
        </w:trPr>
        <w:tc>
          <w:tcPr>
            <w:tcW w:w="782" w:type="pct"/>
            <w:vMerge/>
            <w:vAlign w:val="center"/>
          </w:tcPr>
          <w:p w14:paraId="27DBF4B3"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3C47404F"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1141" w:type="pct"/>
            <w:vAlign w:val="center"/>
          </w:tcPr>
          <w:p w14:paraId="147AE2E7"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495F8757"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70D8031F" w14:textId="77777777" w:rsidR="0075791A" w:rsidRDefault="0075791A">
            <w:pPr>
              <w:jc w:val="center"/>
              <w:textAlignment w:val="center"/>
              <w:rPr>
                <w:rFonts w:ascii="Times New Roman" w:eastAsia="宋体" w:hAnsi="Times New Roman" w:cs="宋体"/>
                <w:color w:val="auto"/>
                <w:lang w:eastAsia="zh-CN" w:bidi="ar"/>
              </w:rPr>
            </w:pPr>
          </w:p>
        </w:tc>
      </w:tr>
      <w:tr w:rsidR="0075791A" w14:paraId="36EEDF59" w14:textId="77777777">
        <w:trPr>
          <w:trHeight w:hRule="exact" w:val="369"/>
          <w:jc w:val="center"/>
        </w:trPr>
        <w:tc>
          <w:tcPr>
            <w:tcW w:w="782" w:type="pct"/>
            <w:vMerge/>
            <w:vAlign w:val="center"/>
          </w:tcPr>
          <w:p w14:paraId="5F61185A"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2AF02B88"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1141" w:type="pct"/>
            <w:vAlign w:val="center"/>
          </w:tcPr>
          <w:p w14:paraId="5AC2DD64"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00B42F22"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1B80CAC0" w14:textId="77777777" w:rsidR="0075791A" w:rsidRDefault="0075791A">
            <w:pPr>
              <w:jc w:val="center"/>
              <w:textAlignment w:val="center"/>
              <w:rPr>
                <w:rFonts w:ascii="Times New Roman" w:eastAsia="宋体" w:hAnsi="Times New Roman" w:cs="宋体"/>
                <w:color w:val="auto"/>
                <w:lang w:eastAsia="zh-CN" w:bidi="ar"/>
              </w:rPr>
            </w:pPr>
          </w:p>
        </w:tc>
      </w:tr>
      <w:tr w:rsidR="0075791A" w14:paraId="167E633B" w14:textId="77777777">
        <w:trPr>
          <w:trHeight w:hRule="exact" w:val="369"/>
          <w:jc w:val="center"/>
        </w:trPr>
        <w:tc>
          <w:tcPr>
            <w:tcW w:w="782" w:type="pct"/>
            <w:vMerge/>
            <w:vAlign w:val="center"/>
          </w:tcPr>
          <w:p w14:paraId="04FB3622"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34587B96"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1141" w:type="pct"/>
            <w:vAlign w:val="center"/>
          </w:tcPr>
          <w:p w14:paraId="4189FD0A"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65BD306A"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25F72CCC" w14:textId="77777777" w:rsidR="0075791A" w:rsidRDefault="0075791A">
            <w:pPr>
              <w:jc w:val="center"/>
              <w:textAlignment w:val="center"/>
              <w:rPr>
                <w:rFonts w:ascii="Times New Roman" w:eastAsia="宋体" w:hAnsi="Times New Roman" w:cs="宋体"/>
                <w:color w:val="auto"/>
                <w:lang w:eastAsia="zh-CN" w:bidi="ar"/>
              </w:rPr>
            </w:pPr>
          </w:p>
        </w:tc>
      </w:tr>
      <w:tr w:rsidR="0075791A" w14:paraId="5C0ABF22" w14:textId="77777777">
        <w:trPr>
          <w:trHeight w:hRule="exact" w:val="369"/>
          <w:jc w:val="center"/>
        </w:trPr>
        <w:tc>
          <w:tcPr>
            <w:tcW w:w="782" w:type="pct"/>
            <w:vMerge/>
            <w:vAlign w:val="center"/>
          </w:tcPr>
          <w:p w14:paraId="09B18F1A"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7BCB828D"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1141" w:type="pct"/>
            <w:vAlign w:val="center"/>
          </w:tcPr>
          <w:p w14:paraId="495C5E92"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77A4F0E9"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0DBB0DBD" w14:textId="77777777" w:rsidR="0075791A" w:rsidRDefault="0075791A">
            <w:pPr>
              <w:jc w:val="center"/>
              <w:textAlignment w:val="center"/>
              <w:rPr>
                <w:rFonts w:ascii="Times New Roman" w:eastAsia="宋体" w:hAnsi="Times New Roman" w:cs="宋体"/>
                <w:color w:val="auto"/>
                <w:lang w:eastAsia="zh-CN" w:bidi="ar"/>
              </w:rPr>
            </w:pPr>
          </w:p>
        </w:tc>
      </w:tr>
      <w:tr w:rsidR="0075791A" w14:paraId="155B22AB" w14:textId="77777777">
        <w:trPr>
          <w:trHeight w:hRule="exact" w:val="369"/>
          <w:jc w:val="center"/>
        </w:trPr>
        <w:tc>
          <w:tcPr>
            <w:tcW w:w="782" w:type="pct"/>
            <w:vMerge w:val="restart"/>
            <w:vAlign w:val="center"/>
          </w:tcPr>
          <w:p w14:paraId="23537364" w14:textId="77777777" w:rsidR="0075791A" w:rsidRDefault="00FB2864">
            <w:pPr>
              <w:widowControl w:val="0"/>
              <w:kinsoku/>
              <w:adjustRightInd/>
              <w:snapToGrid/>
              <w:jc w:val="center"/>
              <w:textAlignment w:val="auto"/>
              <w:rPr>
                <w:rFonts w:ascii="Times New Roman" w:eastAsia="宋体" w:hAnsi="Times New Roman"/>
                <w:color w:val="auto"/>
                <w:lang w:eastAsia="zh-CN"/>
              </w:rPr>
            </w:pPr>
            <w:r>
              <w:rPr>
                <w:rFonts w:ascii="Times New Roman" w:eastAsia="宋体" w:hAnsi="Times New Roman" w:hint="eastAsia"/>
                <w:color w:val="auto"/>
                <w:lang w:eastAsia="zh-CN"/>
              </w:rPr>
              <w:t>龙江塘</w:t>
            </w:r>
          </w:p>
        </w:tc>
        <w:tc>
          <w:tcPr>
            <w:tcW w:w="900" w:type="pct"/>
            <w:vAlign w:val="center"/>
          </w:tcPr>
          <w:p w14:paraId="537E765A"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1141" w:type="pct"/>
            <w:vAlign w:val="center"/>
          </w:tcPr>
          <w:p w14:paraId="358F4F49"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55E16F45"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44769C68" w14:textId="77777777" w:rsidR="0075791A" w:rsidRDefault="0075791A">
            <w:pPr>
              <w:jc w:val="center"/>
              <w:textAlignment w:val="center"/>
              <w:rPr>
                <w:rFonts w:ascii="Times New Roman" w:eastAsia="宋体" w:hAnsi="Times New Roman" w:cs="宋体"/>
                <w:color w:val="auto"/>
                <w:lang w:eastAsia="zh-CN" w:bidi="ar"/>
              </w:rPr>
            </w:pPr>
          </w:p>
        </w:tc>
      </w:tr>
      <w:tr w:rsidR="0075791A" w14:paraId="0763794C" w14:textId="77777777">
        <w:trPr>
          <w:trHeight w:hRule="exact" w:val="369"/>
          <w:jc w:val="center"/>
        </w:trPr>
        <w:tc>
          <w:tcPr>
            <w:tcW w:w="782" w:type="pct"/>
            <w:vMerge/>
            <w:vAlign w:val="center"/>
          </w:tcPr>
          <w:p w14:paraId="644DA846"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123D8170"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1141" w:type="pct"/>
            <w:vAlign w:val="center"/>
          </w:tcPr>
          <w:p w14:paraId="5C9B70C4"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5241E931"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459BDC69" w14:textId="77777777" w:rsidR="0075791A" w:rsidRDefault="0075791A">
            <w:pPr>
              <w:jc w:val="center"/>
              <w:textAlignment w:val="center"/>
              <w:rPr>
                <w:rFonts w:ascii="Times New Roman" w:eastAsia="宋体" w:hAnsi="Times New Roman" w:cs="宋体"/>
                <w:color w:val="auto"/>
                <w:lang w:eastAsia="zh-CN" w:bidi="ar"/>
              </w:rPr>
            </w:pPr>
          </w:p>
        </w:tc>
      </w:tr>
      <w:tr w:rsidR="0075791A" w14:paraId="50AC67F0" w14:textId="77777777">
        <w:trPr>
          <w:trHeight w:hRule="exact" w:val="369"/>
          <w:jc w:val="center"/>
        </w:trPr>
        <w:tc>
          <w:tcPr>
            <w:tcW w:w="782" w:type="pct"/>
            <w:vMerge/>
            <w:vAlign w:val="center"/>
          </w:tcPr>
          <w:p w14:paraId="0E310139"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0908AC6C"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1141" w:type="pct"/>
            <w:vAlign w:val="center"/>
          </w:tcPr>
          <w:p w14:paraId="2CCB4E01"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0E7C3AA2"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4EE20A27" w14:textId="77777777" w:rsidR="0075791A" w:rsidRDefault="0075791A">
            <w:pPr>
              <w:jc w:val="center"/>
              <w:textAlignment w:val="center"/>
              <w:rPr>
                <w:rFonts w:ascii="Times New Roman" w:eastAsia="宋体" w:hAnsi="Times New Roman" w:cs="宋体"/>
                <w:color w:val="auto"/>
                <w:lang w:eastAsia="zh-CN" w:bidi="ar"/>
              </w:rPr>
            </w:pPr>
          </w:p>
        </w:tc>
      </w:tr>
      <w:tr w:rsidR="0075791A" w14:paraId="50BC73AE" w14:textId="77777777">
        <w:trPr>
          <w:trHeight w:hRule="exact" w:val="369"/>
          <w:jc w:val="center"/>
        </w:trPr>
        <w:tc>
          <w:tcPr>
            <w:tcW w:w="782" w:type="pct"/>
            <w:vMerge/>
            <w:vAlign w:val="center"/>
          </w:tcPr>
          <w:p w14:paraId="011C4000"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33D0035D"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1141" w:type="pct"/>
            <w:vAlign w:val="center"/>
          </w:tcPr>
          <w:p w14:paraId="4E1DC593"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673185FC"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71EDF427" w14:textId="77777777" w:rsidR="0075791A" w:rsidRDefault="0075791A">
            <w:pPr>
              <w:jc w:val="center"/>
              <w:textAlignment w:val="center"/>
              <w:rPr>
                <w:rFonts w:ascii="Times New Roman" w:eastAsia="宋体" w:hAnsi="Times New Roman" w:cs="宋体"/>
                <w:color w:val="auto"/>
                <w:lang w:eastAsia="zh-CN" w:bidi="ar"/>
              </w:rPr>
            </w:pPr>
          </w:p>
        </w:tc>
      </w:tr>
      <w:tr w:rsidR="0075791A" w14:paraId="07A28E84" w14:textId="77777777">
        <w:trPr>
          <w:trHeight w:hRule="exact" w:val="369"/>
          <w:jc w:val="center"/>
        </w:trPr>
        <w:tc>
          <w:tcPr>
            <w:tcW w:w="782" w:type="pct"/>
            <w:vMerge/>
            <w:vAlign w:val="center"/>
          </w:tcPr>
          <w:p w14:paraId="68AEA942"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0FA03B05"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1141" w:type="pct"/>
            <w:vAlign w:val="center"/>
          </w:tcPr>
          <w:p w14:paraId="1104F3D4"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060ACAA9"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670D632C" w14:textId="77777777" w:rsidR="0075791A" w:rsidRDefault="0075791A">
            <w:pPr>
              <w:jc w:val="center"/>
              <w:textAlignment w:val="center"/>
              <w:rPr>
                <w:rFonts w:ascii="Times New Roman" w:eastAsia="宋体" w:hAnsi="Times New Roman" w:cs="宋体"/>
                <w:color w:val="auto"/>
                <w:lang w:eastAsia="zh-CN" w:bidi="ar"/>
              </w:rPr>
            </w:pPr>
          </w:p>
        </w:tc>
      </w:tr>
      <w:tr w:rsidR="0075791A" w14:paraId="0DB03EFB" w14:textId="77777777">
        <w:trPr>
          <w:trHeight w:hRule="exact" w:val="369"/>
          <w:jc w:val="center"/>
        </w:trPr>
        <w:tc>
          <w:tcPr>
            <w:tcW w:w="782" w:type="pct"/>
            <w:vMerge/>
            <w:vAlign w:val="center"/>
          </w:tcPr>
          <w:p w14:paraId="02421747"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3C83B08C"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1141" w:type="pct"/>
            <w:vAlign w:val="center"/>
          </w:tcPr>
          <w:p w14:paraId="2318B5B8"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06000992"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4A7BE295" w14:textId="77777777" w:rsidR="0075791A" w:rsidRDefault="0075791A">
            <w:pPr>
              <w:jc w:val="center"/>
              <w:textAlignment w:val="center"/>
              <w:rPr>
                <w:rFonts w:ascii="Times New Roman" w:eastAsia="宋体" w:hAnsi="Times New Roman" w:cs="宋体"/>
                <w:color w:val="auto"/>
                <w:lang w:eastAsia="zh-CN" w:bidi="ar"/>
              </w:rPr>
            </w:pPr>
          </w:p>
        </w:tc>
      </w:tr>
      <w:tr w:rsidR="0075791A" w14:paraId="0EA17CEF" w14:textId="77777777">
        <w:trPr>
          <w:trHeight w:hRule="exact" w:val="369"/>
          <w:jc w:val="center"/>
        </w:trPr>
        <w:tc>
          <w:tcPr>
            <w:tcW w:w="782" w:type="pct"/>
            <w:vMerge w:val="restart"/>
            <w:vAlign w:val="center"/>
          </w:tcPr>
          <w:p w14:paraId="3D6CD649" w14:textId="77777777" w:rsidR="0075791A" w:rsidRDefault="00FB2864">
            <w:pPr>
              <w:widowControl w:val="0"/>
              <w:kinsoku/>
              <w:adjustRightInd/>
              <w:snapToGrid/>
              <w:jc w:val="center"/>
              <w:textAlignment w:val="auto"/>
              <w:rPr>
                <w:rFonts w:ascii="Times New Roman" w:eastAsia="宋体" w:hAnsi="Times New Roman"/>
                <w:color w:val="auto"/>
                <w:lang w:eastAsia="zh-CN"/>
              </w:rPr>
            </w:pPr>
            <w:r>
              <w:rPr>
                <w:rFonts w:ascii="Times New Roman" w:eastAsia="宋体" w:hAnsi="Times New Roman" w:hint="eastAsia"/>
                <w:color w:val="auto"/>
                <w:lang w:eastAsia="zh-CN"/>
              </w:rPr>
              <w:t>海棠湾</w:t>
            </w:r>
          </w:p>
        </w:tc>
        <w:tc>
          <w:tcPr>
            <w:tcW w:w="900" w:type="pct"/>
            <w:vAlign w:val="center"/>
          </w:tcPr>
          <w:p w14:paraId="136583B7" w14:textId="77777777" w:rsidR="0075791A" w:rsidRDefault="0075791A">
            <w:pPr>
              <w:jc w:val="center"/>
              <w:textAlignment w:val="center"/>
              <w:rPr>
                <w:rFonts w:ascii="Times New Roman" w:eastAsia="宋体" w:hAnsi="Times New Roman"/>
                <w:color w:val="auto"/>
                <w:lang w:eastAsia="zh-CN"/>
              </w:rPr>
            </w:pPr>
          </w:p>
        </w:tc>
        <w:tc>
          <w:tcPr>
            <w:tcW w:w="1141" w:type="pct"/>
            <w:vAlign w:val="center"/>
          </w:tcPr>
          <w:p w14:paraId="387ACB1D"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59CEE3E3" w14:textId="77777777" w:rsidR="0075791A" w:rsidRDefault="0075791A">
            <w:pPr>
              <w:jc w:val="center"/>
              <w:textAlignment w:val="center"/>
              <w:rPr>
                <w:rFonts w:ascii="Times New Roman" w:eastAsia="宋体" w:hAnsi="Times New Roman"/>
                <w:color w:val="auto"/>
                <w:lang w:eastAsia="zh-CN"/>
              </w:rPr>
            </w:pPr>
          </w:p>
        </w:tc>
        <w:tc>
          <w:tcPr>
            <w:tcW w:w="1088" w:type="pct"/>
            <w:vMerge w:val="restart"/>
            <w:vAlign w:val="center"/>
          </w:tcPr>
          <w:p w14:paraId="710958D3" w14:textId="77777777" w:rsidR="0075791A" w:rsidRDefault="0075791A">
            <w:pPr>
              <w:widowControl w:val="0"/>
              <w:kinsoku/>
              <w:adjustRightInd/>
              <w:snapToGrid/>
              <w:jc w:val="center"/>
              <w:textAlignment w:val="auto"/>
              <w:rPr>
                <w:rFonts w:ascii="Times New Roman" w:eastAsia="宋体" w:hAnsi="Times New Roman" w:cs="宋体"/>
                <w:color w:val="auto"/>
                <w:lang w:eastAsia="zh-CN" w:bidi="ar"/>
              </w:rPr>
            </w:pPr>
          </w:p>
        </w:tc>
      </w:tr>
      <w:tr w:rsidR="0075791A" w14:paraId="365400EA" w14:textId="77777777">
        <w:trPr>
          <w:trHeight w:hRule="exact" w:val="369"/>
          <w:jc w:val="center"/>
        </w:trPr>
        <w:tc>
          <w:tcPr>
            <w:tcW w:w="782" w:type="pct"/>
            <w:vMerge/>
            <w:vAlign w:val="center"/>
          </w:tcPr>
          <w:p w14:paraId="64428E0D"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68506F86" w14:textId="77777777" w:rsidR="0075791A" w:rsidRDefault="0075791A">
            <w:pPr>
              <w:jc w:val="center"/>
              <w:textAlignment w:val="center"/>
              <w:rPr>
                <w:rFonts w:ascii="Times New Roman" w:eastAsia="宋体" w:hAnsi="Times New Roman"/>
                <w:color w:val="auto"/>
                <w:lang w:eastAsia="zh-CN"/>
              </w:rPr>
            </w:pPr>
          </w:p>
        </w:tc>
        <w:tc>
          <w:tcPr>
            <w:tcW w:w="1141" w:type="pct"/>
            <w:vAlign w:val="center"/>
          </w:tcPr>
          <w:p w14:paraId="70D3499C"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74BBCF05"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6401DBA4" w14:textId="77777777" w:rsidR="0075791A" w:rsidRDefault="0075791A">
            <w:pPr>
              <w:jc w:val="center"/>
              <w:textAlignment w:val="center"/>
              <w:rPr>
                <w:rFonts w:ascii="Times New Roman" w:eastAsia="宋体" w:hAnsi="Times New Roman" w:cs="宋体"/>
                <w:color w:val="auto"/>
                <w:lang w:eastAsia="zh-CN" w:bidi="ar"/>
              </w:rPr>
            </w:pPr>
          </w:p>
        </w:tc>
      </w:tr>
      <w:tr w:rsidR="0075791A" w14:paraId="7791A7F6" w14:textId="77777777">
        <w:trPr>
          <w:trHeight w:hRule="exact" w:val="369"/>
          <w:jc w:val="center"/>
        </w:trPr>
        <w:tc>
          <w:tcPr>
            <w:tcW w:w="782" w:type="pct"/>
            <w:vMerge/>
            <w:vAlign w:val="center"/>
          </w:tcPr>
          <w:p w14:paraId="4FB3DEC8"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42768D53" w14:textId="77777777" w:rsidR="0075791A" w:rsidRDefault="0075791A">
            <w:pPr>
              <w:jc w:val="center"/>
              <w:textAlignment w:val="center"/>
              <w:rPr>
                <w:rFonts w:ascii="Times New Roman" w:eastAsia="宋体" w:hAnsi="Times New Roman"/>
                <w:color w:val="auto"/>
                <w:lang w:eastAsia="zh-CN"/>
              </w:rPr>
            </w:pPr>
          </w:p>
        </w:tc>
        <w:tc>
          <w:tcPr>
            <w:tcW w:w="1141" w:type="pct"/>
            <w:vAlign w:val="center"/>
          </w:tcPr>
          <w:p w14:paraId="59188DDB"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1E06E932"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0A2CE674" w14:textId="77777777" w:rsidR="0075791A" w:rsidRDefault="0075791A">
            <w:pPr>
              <w:jc w:val="center"/>
              <w:textAlignment w:val="center"/>
              <w:rPr>
                <w:rFonts w:ascii="Times New Roman" w:eastAsia="宋体" w:hAnsi="Times New Roman" w:cs="宋体"/>
                <w:color w:val="auto"/>
                <w:lang w:eastAsia="zh-CN" w:bidi="ar"/>
              </w:rPr>
            </w:pPr>
          </w:p>
        </w:tc>
      </w:tr>
      <w:tr w:rsidR="0075791A" w14:paraId="79C8CB80" w14:textId="77777777">
        <w:trPr>
          <w:trHeight w:hRule="exact" w:val="369"/>
          <w:jc w:val="center"/>
        </w:trPr>
        <w:tc>
          <w:tcPr>
            <w:tcW w:w="782" w:type="pct"/>
            <w:vMerge/>
            <w:vAlign w:val="center"/>
          </w:tcPr>
          <w:p w14:paraId="29E56E92"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61CFA796" w14:textId="77777777" w:rsidR="0075791A" w:rsidRDefault="0075791A">
            <w:pPr>
              <w:jc w:val="center"/>
              <w:textAlignment w:val="center"/>
              <w:rPr>
                <w:rFonts w:ascii="Times New Roman" w:eastAsia="宋体" w:hAnsi="Times New Roman"/>
                <w:color w:val="auto"/>
                <w:lang w:eastAsia="zh-CN"/>
              </w:rPr>
            </w:pPr>
          </w:p>
        </w:tc>
        <w:tc>
          <w:tcPr>
            <w:tcW w:w="1141" w:type="pct"/>
            <w:vAlign w:val="center"/>
          </w:tcPr>
          <w:p w14:paraId="765D0972"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6A404017"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3DE79EED" w14:textId="77777777" w:rsidR="0075791A" w:rsidRDefault="0075791A">
            <w:pPr>
              <w:jc w:val="center"/>
              <w:textAlignment w:val="center"/>
              <w:rPr>
                <w:rFonts w:ascii="Times New Roman" w:eastAsia="宋体" w:hAnsi="Times New Roman" w:cs="宋体"/>
                <w:color w:val="auto"/>
                <w:lang w:eastAsia="zh-CN" w:bidi="ar"/>
              </w:rPr>
            </w:pPr>
          </w:p>
        </w:tc>
      </w:tr>
      <w:tr w:rsidR="0075791A" w14:paraId="5121D1A7" w14:textId="77777777">
        <w:trPr>
          <w:trHeight w:hRule="exact" w:val="369"/>
          <w:jc w:val="center"/>
        </w:trPr>
        <w:tc>
          <w:tcPr>
            <w:tcW w:w="782" w:type="pct"/>
            <w:vMerge/>
            <w:vAlign w:val="center"/>
          </w:tcPr>
          <w:p w14:paraId="2733F2CD"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0EF65B59" w14:textId="77777777" w:rsidR="0075791A" w:rsidRDefault="0075791A">
            <w:pPr>
              <w:jc w:val="center"/>
              <w:textAlignment w:val="center"/>
              <w:rPr>
                <w:rFonts w:ascii="Times New Roman" w:eastAsia="宋体" w:hAnsi="Times New Roman"/>
                <w:color w:val="auto"/>
                <w:lang w:eastAsia="zh-CN"/>
              </w:rPr>
            </w:pPr>
          </w:p>
        </w:tc>
        <w:tc>
          <w:tcPr>
            <w:tcW w:w="1141" w:type="pct"/>
            <w:vAlign w:val="center"/>
          </w:tcPr>
          <w:p w14:paraId="1C1B13A4"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55CD37CB"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3CE24FF2" w14:textId="77777777" w:rsidR="0075791A" w:rsidRDefault="0075791A">
            <w:pPr>
              <w:jc w:val="center"/>
              <w:textAlignment w:val="center"/>
              <w:rPr>
                <w:rFonts w:ascii="Times New Roman" w:eastAsia="宋体" w:hAnsi="Times New Roman" w:cs="宋体"/>
                <w:color w:val="auto"/>
                <w:lang w:eastAsia="zh-CN" w:bidi="ar"/>
              </w:rPr>
            </w:pPr>
          </w:p>
        </w:tc>
      </w:tr>
      <w:tr w:rsidR="0075791A" w14:paraId="16FB3CF3" w14:textId="77777777">
        <w:trPr>
          <w:trHeight w:hRule="exact" w:val="369"/>
          <w:jc w:val="center"/>
        </w:trPr>
        <w:tc>
          <w:tcPr>
            <w:tcW w:w="782" w:type="pct"/>
            <w:vMerge/>
            <w:vAlign w:val="center"/>
          </w:tcPr>
          <w:p w14:paraId="1974CC3C"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30CBE819" w14:textId="77777777" w:rsidR="0075791A" w:rsidRDefault="0075791A">
            <w:pPr>
              <w:jc w:val="center"/>
              <w:textAlignment w:val="center"/>
              <w:rPr>
                <w:rFonts w:ascii="Times New Roman" w:eastAsia="宋体" w:hAnsi="Times New Roman"/>
                <w:color w:val="auto"/>
                <w:lang w:eastAsia="zh-CN"/>
              </w:rPr>
            </w:pPr>
          </w:p>
        </w:tc>
        <w:tc>
          <w:tcPr>
            <w:tcW w:w="1141" w:type="pct"/>
            <w:vAlign w:val="center"/>
          </w:tcPr>
          <w:p w14:paraId="1993D9CE"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58177BB1"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17F1168F" w14:textId="77777777" w:rsidR="0075791A" w:rsidRDefault="0075791A">
            <w:pPr>
              <w:jc w:val="center"/>
              <w:textAlignment w:val="center"/>
              <w:rPr>
                <w:rFonts w:ascii="Times New Roman" w:eastAsia="宋体" w:hAnsi="Times New Roman" w:cs="宋体"/>
                <w:color w:val="auto"/>
                <w:lang w:eastAsia="zh-CN" w:bidi="ar"/>
              </w:rPr>
            </w:pPr>
          </w:p>
        </w:tc>
      </w:tr>
      <w:tr w:rsidR="0075791A" w14:paraId="117266C0" w14:textId="77777777">
        <w:trPr>
          <w:trHeight w:hRule="exact" w:val="369"/>
          <w:jc w:val="center"/>
        </w:trPr>
        <w:tc>
          <w:tcPr>
            <w:tcW w:w="782" w:type="pct"/>
            <w:vMerge/>
            <w:vAlign w:val="center"/>
          </w:tcPr>
          <w:p w14:paraId="3F5DF751"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12E5AB61" w14:textId="77777777" w:rsidR="0075791A" w:rsidRDefault="0075791A">
            <w:pPr>
              <w:jc w:val="center"/>
              <w:textAlignment w:val="center"/>
              <w:rPr>
                <w:rFonts w:ascii="Times New Roman" w:eastAsia="宋体" w:hAnsi="Times New Roman"/>
                <w:color w:val="auto"/>
                <w:lang w:eastAsia="zh-CN"/>
              </w:rPr>
            </w:pPr>
          </w:p>
        </w:tc>
        <w:tc>
          <w:tcPr>
            <w:tcW w:w="1141" w:type="pct"/>
            <w:vAlign w:val="center"/>
          </w:tcPr>
          <w:p w14:paraId="0FEC709F"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7CA94911"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0565120E" w14:textId="77777777" w:rsidR="0075791A" w:rsidRDefault="0075791A">
            <w:pPr>
              <w:jc w:val="center"/>
              <w:textAlignment w:val="center"/>
              <w:rPr>
                <w:rFonts w:ascii="Times New Roman" w:eastAsia="宋体" w:hAnsi="Times New Roman" w:cs="宋体"/>
                <w:color w:val="auto"/>
                <w:lang w:eastAsia="zh-CN" w:bidi="ar"/>
              </w:rPr>
            </w:pPr>
          </w:p>
        </w:tc>
      </w:tr>
      <w:tr w:rsidR="0075791A" w14:paraId="5BF0EDDF" w14:textId="77777777">
        <w:trPr>
          <w:trHeight w:hRule="exact" w:val="369"/>
          <w:jc w:val="center"/>
        </w:trPr>
        <w:tc>
          <w:tcPr>
            <w:tcW w:w="782" w:type="pct"/>
            <w:vMerge/>
            <w:vAlign w:val="center"/>
          </w:tcPr>
          <w:p w14:paraId="6CDC880C"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635C2C51" w14:textId="77777777" w:rsidR="0075791A" w:rsidRDefault="0075791A">
            <w:pPr>
              <w:jc w:val="center"/>
              <w:textAlignment w:val="center"/>
              <w:rPr>
                <w:rFonts w:ascii="Times New Roman" w:eastAsia="宋体" w:hAnsi="Times New Roman"/>
                <w:color w:val="auto"/>
                <w:lang w:eastAsia="zh-CN"/>
              </w:rPr>
            </w:pPr>
          </w:p>
        </w:tc>
        <w:tc>
          <w:tcPr>
            <w:tcW w:w="1141" w:type="pct"/>
            <w:vAlign w:val="center"/>
          </w:tcPr>
          <w:p w14:paraId="621D1849" w14:textId="77777777" w:rsidR="0075791A" w:rsidRDefault="0075791A">
            <w:pPr>
              <w:jc w:val="center"/>
              <w:textAlignment w:val="center"/>
              <w:rPr>
                <w:rFonts w:ascii="Times New Roman" w:eastAsia="宋体" w:hAnsi="Times New Roman"/>
                <w:color w:val="auto"/>
                <w:lang w:eastAsia="zh-CN"/>
              </w:rPr>
            </w:pPr>
          </w:p>
        </w:tc>
        <w:tc>
          <w:tcPr>
            <w:tcW w:w="1087" w:type="pct"/>
            <w:vAlign w:val="center"/>
          </w:tcPr>
          <w:p w14:paraId="113981D6" w14:textId="77777777" w:rsidR="0075791A" w:rsidRDefault="0075791A">
            <w:pPr>
              <w:jc w:val="center"/>
              <w:textAlignment w:val="center"/>
              <w:rPr>
                <w:rFonts w:ascii="Times New Roman" w:eastAsia="宋体" w:hAnsi="Times New Roman"/>
                <w:color w:val="auto"/>
                <w:lang w:eastAsia="zh-CN"/>
              </w:rPr>
            </w:pPr>
          </w:p>
        </w:tc>
        <w:tc>
          <w:tcPr>
            <w:tcW w:w="1088" w:type="pct"/>
            <w:vMerge/>
            <w:vAlign w:val="center"/>
          </w:tcPr>
          <w:p w14:paraId="6636B5FF" w14:textId="77777777" w:rsidR="0075791A" w:rsidRDefault="0075791A">
            <w:pPr>
              <w:jc w:val="center"/>
              <w:textAlignment w:val="center"/>
              <w:rPr>
                <w:rFonts w:ascii="Times New Roman" w:eastAsia="宋体" w:hAnsi="Times New Roman" w:cs="宋体"/>
                <w:color w:val="auto"/>
                <w:lang w:eastAsia="zh-CN" w:bidi="ar"/>
              </w:rPr>
            </w:pPr>
          </w:p>
        </w:tc>
      </w:tr>
      <w:tr w:rsidR="0075791A" w14:paraId="14A517B4" w14:textId="77777777">
        <w:trPr>
          <w:trHeight w:hRule="exact" w:val="369"/>
          <w:jc w:val="center"/>
        </w:trPr>
        <w:tc>
          <w:tcPr>
            <w:tcW w:w="782" w:type="pct"/>
            <w:vMerge w:val="restart"/>
            <w:vAlign w:val="center"/>
          </w:tcPr>
          <w:p w14:paraId="44E275FA" w14:textId="77777777" w:rsidR="0075791A" w:rsidRDefault="00FB2864">
            <w:pPr>
              <w:widowControl w:val="0"/>
              <w:kinsoku/>
              <w:adjustRightInd/>
              <w:snapToGrid/>
              <w:jc w:val="center"/>
              <w:textAlignment w:val="auto"/>
              <w:rPr>
                <w:rFonts w:ascii="Times New Roman" w:eastAsia="宋体" w:hAnsi="Times New Roman"/>
                <w:color w:val="auto"/>
                <w:lang w:eastAsia="zh-CN"/>
              </w:rPr>
            </w:pPr>
            <w:r>
              <w:rPr>
                <w:rFonts w:ascii="Times New Roman" w:eastAsia="宋体" w:hAnsi="Times New Roman" w:hint="eastAsia"/>
                <w:color w:val="auto"/>
                <w:lang w:eastAsia="zh-CN"/>
              </w:rPr>
              <w:t>后海湾</w:t>
            </w:r>
          </w:p>
        </w:tc>
        <w:tc>
          <w:tcPr>
            <w:tcW w:w="900" w:type="pct"/>
            <w:vAlign w:val="center"/>
          </w:tcPr>
          <w:p w14:paraId="3ED4DC3A" w14:textId="77777777" w:rsidR="0075791A" w:rsidRDefault="0075791A">
            <w:pPr>
              <w:jc w:val="center"/>
              <w:textAlignment w:val="center"/>
              <w:rPr>
                <w:rFonts w:ascii="Times New Roman" w:eastAsia="宋体" w:hAnsi="Times New Roman" w:cs="宋体"/>
                <w:color w:val="auto"/>
                <w:lang w:eastAsia="zh-CN" w:bidi="ar"/>
              </w:rPr>
            </w:pPr>
          </w:p>
        </w:tc>
        <w:tc>
          <w:tcPr>
            <w:tcW w:w="1141" w:type="pct"/>
            <w:vAlign w:val="center"/>
          </w:tcPr>
          <w:p w14:paraId="07115FD6" w14:textId="77777777" w:rsidR="0075791A" w:rsidRDefault="0075791A">
            <w:pPr>
              <w:jc w:val="center"/>
              <w:textAlignment w:val="center"/>
              <w:rPr>
                <w:rFonts w:ascii="Times New Roman" w:eastAsia="宋体" w:hAnsi="Times New Roman" w:cs="宋体"/>
                <w:color w:val="auto"/>
                <w:lang w:eastAsia="zh-CN" w:bidi="ar"/>
              </w:rPr>
            </w:pPr>
          </w:p>
        </w:tc>
        <w:tc>
          <w:tcPr>
            <w:tcW w:w="1087" w:type="pct"/>
            <w:vAlign w:val="center"/>
          </w:tcPr>
          <w:p w14:paraId="40964226" w14:textId="77777777" w:rsidR="0075791A" w:rsidRDefault="0075791A">
            <w:pPr>
              <w:jc w:val="center"/>
              <w:textAlignment w:val="center"/>
              <w:rPr>
                <w:rFonts w:ascii="Times New Roman" w:eastAsia="宋体" w:hAnsi="Times New Roman" w:cs="宋体"/>
                <w:color w:val="auto"/>
                <w:lang w:eastAsia="zh-CN" w:bidi="ar"/>
              </w:rPr>
            </w:pPr>
          </w:p>
        </w:tc>
        <w:tc>
          <w:tcPr>
            <w:tcW w:w="1088" w:type="pct"/>
            <w:vMerge w:val="restart"/>
            <w:vAlign w:val="center"/>
          </w:tcPr>
          <w:p w14:paraId="5F74887D" w14:textId="77777777" w:rsidR="0075791A" w:rsidRDefault="0075791A">
            <w:pPr>
              <w:jc w:val="center"/>
              <w:textAlignment w:val="center"/>
              <w:rPr>
                <w:rFonts w:ascii="Times New Roman" w:eastAsia="宋体" w:hAnsi="Times New Roman" w:cs="宋体"/>
                <w:color w:val="auto"/>
                <w:lang w:eastAsia="zh-CN" w:bidi="ar"/>
              </w:rPr>
            </w:pPr>
          </w:p>
        </w:tc>
      </w:tr>
      <w:tr w:rsidR="0075791A" w14:paraId="0790BA06" w14:textId="77777777">
        <w:trPr>
          <w:trHeight w:hRule="exact" w:val="369"/>
          <w:jc w:val="center"/>
        </w:trPr>
        <w:tc>
          <w:tcPr>
            <w:tcW w:w="782" w:type="pct"/>
            <w:vMerge/>
            <w:vAlign w:val="center"/>
          </w:tcPr>
          <w:p w14:paraId="1C8B0446"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1C2FA788" w14:textId="77777777" w:rsidR="0075791A" w:rsidRDefault="0075791A">
            <w:pPr>
              <w:jc w:val="center"/>
              <w:textAlignment w:val="center"/>
              <w:rPr>
                <w:rFonts w:ascii="Times New Roman" w:eastAsia="宋体" w:hAnsi="Times New Roman" w:cs="宋体"/>
                <w:color w:val="auto"/>
                <w:lang w:eastAsia="zh-CN" w:bidi="ar"/>
              </w:rPr>
            </w:pPr>
          </w:p>
        </w:tc>
        <w:tc>
          <w:tcPr>
            <w:tcW w:w="1141" w:type="pct"/>
            <w:vAlign w:val="center"/>
          </w:tcPr>
          <w:p w14:paraId="6B3AC56D" w14:textId="77777777" w:rsidR="0075791A" w:rsidRDefault="0075791A">
            <w:pPr>
              <w:jc w:val="center"/>
              <w:textAlignment w:val="center"/>
              <w:rPr>
                <w:rFonts w:ascii="Times New Roman" w:eastAsia="宋体" w:hAnsi="Times New Roman" w:cs="宋体"/>
                <w:color w:val="auto"/>
                <w:lang w:eastAsia="zh-CN" w:bidi="ar"/>
              </w:rPr>
            </w:pPr>
          </w:p>
        </w:tc>
        <w:tc>
          <w:tcPr>
            <w:tcW w:w="1087" w:type="pct"/>
            <w:vAlign w:val="center"/>
          </w:tcPr>
          <w:p w14:paraId="48B4C934" w14:textId="77777777" w:rsidR="0075791A" w:rsidRDefault="0075791A">
            <w:pPr>
              <w:jc w:val="center"/>
              <w:textAlignment w:val="center"/>
              <w:rPr>
                <w:rFonts w:ascii="Times New Roman" w:eastAsia="宋体" w:hAnsi="Times New Roman" w:cs="宋体"/>
                <w:color w:val="auto"/>
                <w:lang w:eastAsia="zh-CN" w:bidi="ar"/>
              </w:rPr>
            </w:pPr>
          </w:p>
        </w:tc>
        <w:tc>
          <w:tcPr>
            <w:tcW w:w="1088" w:type="pct"/>
            <w:vMerge/>
            <w:vAlign w:val="center"/>
          </w:tcPr>
          <w:p w14:paraId="5A97AB3A" w14:textId="77777777" w:rsidR="0075791A" w:rsidRDefault="0075791A">
            <w:pPr>
              <w:jc w:val="center"/>
              <w:textAlignment w:val="center"/>
              <w:rPr>
                <w:rFonts w:ascii="Times New Roman" w:eastAsia="宋体" w:hAnsi="Times New Roman" w:cs="宋体"/>
                <w:color w:val="auto"/>
                <w:lang w:eastAsia="zh-CN" w:bidi="ar"/>
              </w:rPr>
            </w:pPr>
          </w:p>
        </w:tc>
      </w:tr>
      <w:tr w:rsidR="0075791A" w14:paraId="46EDC981" w14:textId="77777777">
        <w:trPr>
          <w:trHeight w:hRule="exact" w:val="369"/>
          <w:jc w:val="center"/>
        </w:trPr>
        <w:tc>
          <w:tcPr>
            <w:tcW w:w="782" w:type="pct"/>
            <w:vMerge/>
            <w:vAlign w:val="center"/>
          </w:tcPr>
          <w:p w14:paraId="563D2583"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02D4E850" w14:textId="77777777" w:rsidR="0075791A" w:rsidRDefault="0075791A">
            <w:pPr>
              <w:jc w:val="center"/>
              <w:textAlignment w:val="center"/>
              <w:rPr>
                <w:rFonts w:ascii="Times New Roman" w:eastAsia="宋体" w:hAnsi="Times New Roman" w:cs="宋体"/>
                <w:color w:val="auto"/>
                <w:lang w:eastAsia="zh-CN" w:bidi="ar"/>
              </w:rPr>
            </w:pPr>
          </w:p>
        </w:tc>
        <w:tc>
          <w:tcPr>
            <w:tcW w:w="1141" w:type="pct"/>
            <w:vAlign w:val="center"/>
          </w:tcPr>
          <w:p w14:paraId="3CE0F0BF" w14:textId="77777777" w:rsidR="0075791A" w:rsidRDefault="0075791A">
            <w:pPr>
              <w:jc w:val="center"/>
              <w:textAlignment w:val="center"/>
              <w:rPr>
                <w:rFonts w:ascii="Times New Roman" w:eastAsia="宋体" w:hAnsi="Times New Roman" w:cs="宋体"/>
                <w:color w:val="auto"/>
                <w:lang w:eastAsia="zh-CN" w:bidi="ar"/>
              </w:rPr>
            </w:pPr>
          </w:p>
        </w:tc>
        <w:tc>
          <w:tcPr>
            <w:tcW w:w="1087" w:type="pct"/>
            <w:vAlign w:val="center"/>
          </w:tcPr>
          <w:p w14:paraId="1C80A542" w14:textId="77777777" w:rsidR="0075791A" w:rsidRDefault="0075791A">
            <w:pPr>
              <w:jc w:val="center"/>
              <w:textAlignment w:val="center"/>
              <w:rPr>
                <w:rFonts w:ascii="Times New Roman" w:eastAsia="宋体" w:hAnsi="Times New Roman" w:cs="宋体"/>
                <w:color w:val="auto"/>
                <w:lang w:eastAsia="zh-CN" w:bidi="ar"/>
              </w:rPr>
            </w:pPr>
          </w:p>
        </w:tc>
        <w:tc>
          <w:tcPr>
            <w:tcW w:w="1088" w:type="pct"/>
            <w:vMerge/>
            <w:vAlign w:val="center"/>
          </w:tcPr>
          <w:p w14:paraId="0E50A59A" w14:textId="77777777" w:rsidR="0075791A" w:rsidRDefault="0075791A">
            <w:pPr>
              <w:jc w:val="center"/>
              <w:textAlignment w:val="center"/>
              <w:rPr>
                <w:rFonts w:ascii="Times New Roman" w:eastAsia="宋体" w:hAnsi="Times New Roman" w:cs="宋体"/>
                <w:color w:val="auto"/>
                <w:lang w:eastAsia="zh-CN" w:bidi="ar"/>
              </w:rPr>
            </w:pPr>
          </w:p>
        </w:tc>
      </w:tr>
      <w:tr w:rsidR="0075791A" w14:paraId="3D7BCDF4" w14:textId="77777777">
        <w:trPr>
          <w:trHeight w:hRule="exact" w:val="369"/>
          <w:jc w:val="center"/>
        </w:trPr>
        <w:tc>
          <w:tcPr>
            <w:tcW w:w="782" w:type="pct"/>
            <w:vMerge/>
            <w:vAlign w:val="center"/>
          </w:tcPr>
          <w:p w14:paraId="2B583B6C"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72EC64BD" w14:textId="77777777" w:rsidR="0075791A" w:rsidRDefault="0075791A">
            <w:pPr>
              <w:jc w:val="center"/>
              <w:textAlignment w:val="center"/>
              <w:rPr>
                <w:rFonts w:ascii="Times New Roman" w:eastAsia="宋体" w:hAnsi="Times New Roman" w:cs="宋体"/>
                <w:color w:val="auto"/>
                <w:lang w:eastAsia="zh-CN" w:bidi="ar"/>
              </w:rPr>
            </w:pPr>
          </w:p>
        </w:tc>
        <w:tc>
          <w:tcPr>
            <w:tcW w:w="1141" w:type="pct"/>
            <w:vAlign w:val="center"/>
          </w:tcPr>
          <w:p w14:paraId="71E1A3F0" w14:textId="77777777" w:rsidR="0075791A" w:rsidRDefault="0075791A">
            <w:pPr>
              <w:jc w:val="center"/>
              <w:textAlignment w:val="center"/>
              <w:rPr>
                <w:rFonts w:ascii="Times New Roman" w:eastAsia="宋体" w:hAnsi="Times New Roman" w:cs="宋体"/>
                <w:color w:val="auto"/>
                <w:lang w:eastAsia="zh-CN" w:bidi="ar"/>
              </w:rPr>
            </w:pPr>
          </w:p>
        </w:tc>
        <w:tc>
          <w:tcPr>
            <w:tcW w:w="1087" w:type="pct"/>
            <w:vAlign w:val="center"/>
          </w:tcPr>
          <w:p w14:paraId="785B22FF" w14:textId="77777777" w:rsidR="0075791A" w:rsidRDefault="0075791A">
            <w:pPr>
              <w:jc w:val="center"/>
              <w:textAlignment w:val="center"/>
              <w:rPr>
                <w:rFonts w:ascii="Times New Roman" w:eastAsia="宋体" w:hAnsi="Times New Roman" w:cs="宋体"/>
                <w:color w:val="auto"/>
                <w:lang w:eastAsia="zh-CN" w:bidi="ar"/>
              </w:rPr>
            </w:pPr>
          </w:p>
        </w:tc>
        <w:tc>
          <w:tcPr>
            <w:tcW w:w="1088" w:type="pct"/>
            <w:vMerge/>
            <w:vAlign w:val="center"/>
          </w:tcPr>
          <w:p w14:paraId="5B5A97BB" w14:textId="77777777" w:rsidR="0075791A" w:rsidRDefault="0075791A">
            <w:pPr>
              <w:jc w:val="center"/>
              <w:textAlignment w:val="center"/>
              <w:rPr>
                <w:rFonts w:ascii="Times New Roman" w:eastAsia="宋体" w:hAnsi="Times New Roman" w:cs="宋体"/>
                <w:color w:val="auto"/>
                <w:lang w:eastAsia="zh-CN" w:bidi="ar"/>
              </w:rPr>
            </w:pPr>
          </w:p>
        </w:tc>
      </w:tr>
      <w:tr w:rsidR="0075791A" w14:paraId="1A474D20" w14:textId="77777777">
        <w:trPr>
          <w:trHeight w:hRule="exact" w:val="369"/>
          <w:jc w:val="center"/>
        </w:trPr>
        <w:tc>
          <w:tcPr>
            <w:tcW w:w="782" w:type="pct"/>
            <w:vMerge/>
            <w:vAlign w:val="center"/>
          </w:tcPr>
          <w:p w14:paraId="5198EE7E"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73024457" w14:textId="77777777" w:rsidR="0075791A" w:rsidRDefault="0075791A">
            <w:pPr>
              <w:jc w:val="center"/>
              <w:textAlignment w:val="center"/>
              <w:rPr>
                <w:rFonts w:ascii="Times New Roman" w:eastAsia="宋体" w:hAnsi="Times New Roman" w:cs="宋体"/>
                <w:color w:val="auto"/>
                <w:lang w:eastAsia="zh-CN" w:bidi="ar"/>
              </w:rPr>
            </w:pPr>
          </w:p>
        </w:tc>
        <w:tc>
          <w:tcPr>
            <w:tcW w:w="1141" w:type="pct"/>
            <w:vAlign w:val="center"/>
          </w:tcPr>
          <w:p w14:paraId="3904C560" w14:textId="77777777" w:rsidR="0075791A" w:rsidRDefault="0075791A">
            <w:pPr>
              <w:jc w:val="center"/>
              <w:textAlignment w:val="center"/>
              <w:rPr>
                <w:rFonts w:ascii="Times New Roman" w:eastAsia="宋体" w:hAnsi="Times New Roman" w:cs="宋体"/>
                <w:color w:val="auto"/>
                <w:lang w:eastAsia="zh-CN" w:bidi="ar"/>
              </w:rPr>
            </w:pPr>
          </w:p>
        </w:tc>
        <w:tc>
          <w:tcPr>
            <w:tcW w:w="1087" w:type="pct"/>
            <w:vAlign w:val="center"/>
          </w:tcPr>
          <w:p w14:paraId="0714D2D0" w14:textId="77777777" w:rsidR="0075791A" w:rsidRDefault="0075791A">
            <w:pPr>
              <w:jc w:val="center"/>
              <w:textAlignment w:val="center"/>
              <w:rPr>
                <w:rFonts w:ascii="Times New Roman" w:eastAsia="宋体" w:hAnsi="Times New Roman" w:cs="宋体"/>
                <w:color w:val="auto"/>
                <w:lang w:eastAsia="zh-CN" w:bidi="ar"/>
              </w:rPr>
            </w:pPr>
          </w:p>
        </w:tc>
        <w:tc>
          <w:tcPr>
            <w:tcW w:w="1088" w:type="pct"/>
            <w:vMerge/>
            <w:vAlign w:val="center"/>
          </w:tcPr>
          <w:p w14:paraId="44E82E5C" w14:textId="77777777" w:rsidR="0075791A" w:rsidRDefault="0075791A">
            <w:pPr>
              <w:jc w:val="center"/>
              <w:textAlignment w:val="center"/>
              <w:rPr>
                <w:rFonts w:ascii="Times New Roman" w:eastAsia="宋体" w:hAnsi="Times New Roman" w:cs="宋体"/>
                <w:color w:val="auto"/>
                <w:lang w:eastAsia="zh-CN" w:bidi="ar"/>
              </w:rPr>
            </w:pPr>
          </w:p>
        </w:tc>
      </w:tr>
      <w:tr w:rsidR="0075791A" w14:paraId="15FE96C5" w14:textId="77777777">
        <w:trPr>
          <w:trHeight w:hRule="exact" w:val="369"/>
          <w:jc w:val="center"/>
        </w:trPr>
        <w:tc>
          <w:tcPr>
            <w:tcW w:w="782" w:type="pct"/>
            <w:vMerge/>
            <w:vAlign w:val="center"/>
          </w:tcPr>
          <w:p w14:paraId="3C6685F7"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442E1731" w14:textId="77777777" w:rsidR="0075791A" w:rsidRDefault="0075791A">
            <w:pPr>
              <w:jc w:val="center"/>
              <w:textAlignment w:val="center"/>
              <w:rPr>
                <w:rFonts w:ascii="Times New Roman" w:eastAsia="宋体" w:hAnsi="Times New Roman" w:cs="宋体"/>
                <w:color w:val="auto"/>
                <w:lang w:eastAsia="zh-CN" w:bidi="ar"/>
              </w:rPr>
            </w:pPr>
          </w:p>
        </w:tc>
        <w:tc>
          <w:tcPr>
            <w:tcW w:w="1141" w:type="pct"/>
            <w:vAlign w:val="center"/>
          </w:tcPr>
          <w:p w14:paraId="373C9110" w14:textId="77777777" w:rsidR="0075791A" w:rsidRDefault="0075791A">
            <w:pPr>
              <w:jc w:val="center"/>
              <w:textAlignment w:val="center"/>
              <w:rPr>
                <w:rFonts w:ascii="Times New Roman" w:eastAsia="宋体" w:hAnsi="Times New Roman" w:cs="宋体"/>
                <w:color w:val="auto"/>
                <w:lang w:eastAsia="zh-CN" w:bidi="ar"/>
              </w:rPr>
            </w:pPr>
          </w:p>
        </w:tc>
        <w:tc>
          <w:tcPr>
            <w:tcW w:w="1087" w:type="pct"/>
            <w:vAlign w:val="center"/>
          </w:tcPr>
          <w:p w14:paraId="2995D99F" w14:textId="77777777" w:rsidR="0075791A" w:rsidRDefault="0075791A">
            <w:pPr>
              <w:jc w:val="center"/>
              <w:textAlignment w:val="center"/>
              <w:rPr>
                <w:rFonts w:ascii="Times New Roman" w:eastAsia="宋体" w:hAnsi="Times New Roman" w:cs="宋体"/>
                <w:color w:val="auto"/>
                <w:lang w:eastAsia="zh-CN" w:bidi="ar"/>
              </w:rPr>
            </w:pPr>
          </w:p>
        </w:tc>
        <w:tc>
          <w:tcPr>
            <w:tcW w:w="1088" w:type="pct"/>
            <w:vMerge/>
            <w:vAlign w:val="center"/>
          </w:tcPr>
          <w:p w14:paraId="74CA7530" w14:textId="77777777" w:rsidR="0075791A" w:rsidRDefault="0075791A">
            <w:pPr>
              <w:jc w:val="center"/>
              <w:textAlignment w:val="center"/>
              <w:rPr>
                <w:rFonts w:ascii="Times New Roman" w:eastAsia="宋体" w:hAnsi="Times New Roman" w:cs="宋体"/>
                <w:color w:val="auto"/>
                <w:lang w:eastAsia="zh-CN" w:bidi="ar"/>
              </w:rPr>
            </w:pPr>
          </w:p>
        </w:tc>
      </w:tr>
      <w:tr w:rsidR="0075791A" w14:paraId="304AC3C9" w14:textId="77777777">
        <w:trPr>
          <w:trHeight w:hRule="exact" w:val="369"/>
          <w:jc w:val="center"/>
        </w:trPr>
        <w:tc>
          <w:tcPr>
            <w:tcW w:w="782" w:type="pct"/>
            <w:vMerge/>
            <w:vAlign w:val="center"/>
          </w:tcPr>
          <w:p w14:paraId="62EABF6F"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62BEE42F" w14:textId="77777777" w:rsidR="0075791A" w:rsidRDefault="0075791A">
            <w:pPr>
              <w:jc w:val="center"/>
              <w:textAlignment w:val="center"/>
              <w:rPr>
                <w:rFonts w:ascii="Times New Roman" w:eastAsia="宋体" w:hAnsi="Times New Roman" w:cs="宋体"/>
                <w:color w:val="auto"/>
                <w:lang w:eastAsia="zh-CN" w:bidi="ar"/>
              </w:rPr>
            </w:pPr>
          </w:p>
        </w:tc>
        <w:tc>
          <w:tcPr>
            <w:tcW w:w="1141" w:type="pct"/>
            <w:vAlign w:val="center"/>
          </w:tcPr>
          <w:p w14:paraId="5044B744" w14:textId="77777777" w:rsidR="0075791A" w:rsidRDefault="0075791A">
            <w:pPr>
              <w:jc w:val="center"/>
              <w:textAlignment w:val="center"/>
              <w:rPr>
                <w:rFonts w:ascii="Times New Roman" w:eastAsia="宋体" w:hAnsi="Times New Roman" w:cs="宋体"/>
                <w:color w:val="auto"/>
                <w:lang w:eastAsia="zh-CN" w:bidi="ar"/>
              </w:rPr>
            </w:pPr>
          </w:p>
        </w:tc>
        <w:tc>
          <w:tcPr>
            <w:tcW w:w="1087" w:type="pct"/>
            <w:vAlign w:val="center"/>
          </w:tcPr>
          <w:p w14:paraId="77377D86" w14:textId="77777777" w:rsidR="0075791A" w:rsidRDefault="0075791A">
            <w:pPr>
              <w:jc w:val="center"/>
              <w:textAlignment w:val="center"/>
              <w:rPr>
                <w:rFonts w:ascii="Times New Roman" w:eastAsia="宋体" w:hAnsi="Times New Roman" w:cs="宋体"/>
                <w:color w:val="auto"/>
                <w:lang w:eastAsia="zh-CN" w:bidi="ar"/>
              </w:rPr>
            </w:pPr>
          </w:p>
        </w:tc>
        <w:tc>
          <w:tcPr>
            <w:tcW w:w="1088" w:type="pct"/>
            <w:vMerge/>
            <w:vAlign w:val="center"/>
          </w:tcPr>
          <w:p w14:paraId="26D76502" w14:textId="77777777" w:rsidR="0075791A" w:rsidRDefault="0075791A">
            <w:pPr>
              <w:jc w:val="center"/>
              <w:textAlignment w:val="center"/>
              <w:rPr>
                <w:rFonts w:ascii="Times New Roman" w:eastAsia="宋体" w:hAnsi="Times New Roman" w:cs="宋体"/>
                <w:color w:val="auto"/>
                <w:lang w:eastAsia="zh-CN" w:bidi="ar"/>
              </w:rPr>
            </w:pPr>
          </w:p>
        </w:tc>
      </w:tr>
      <w:tr w:rsidR="0075791A" w14:paraId="4F36BCA1" w14:textId="77777777">
        <w:trPr>
          <w:trHeight w:hRule="exact" w:val="369"/>
          <w:jc w:val="center"/>
        </w:trPr>
        <w:tc>
          <w:tcPr>
            <w:tcW w:w="782" w:type="pct"/>
            <w:vMerge/>
            <w:vAlign w:val="center"/>
          </w:tcPr>
          <w:p w14:paraId="3F45C97D"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734FA795" w14:textId="77777777" w:rsidR="0075791A" w:rsidRDefault="0075791A">
            <w:pPr>
              <w:jc w:val="center"/>
              <w:textAlignment w:val="center"/>
              <w:rPr>
                <w:rFonts w:ascii="Times New Roman" w:eastAsia="宋体" w:hAnsi="Times New Roman" w:cs="宋体"/>
                <w:color w:val="auto"/>
                <w:lang w:eastAsia="zh-CN" w:bidi="ar"/>
              </w:rPr>
            </w:pPr>
          </w:p>
        </w:tc>
        <w:tc>
          <w:tcPr>
            <w:tcW w:w="1141" w:type="pct"/>
            <w:vAlign w:val="center"/>
          </w:tcPr>
          <w:p w14:paraId="51DD03E7" w14:textId="77777777" w:rsidR="0075791A" w:rsidRDefault="0075791A">
            <w:pPr>
              <w:jc w:val="center"/>
              <w:textAlignment w:val="center"/>
              <w:rPr>
                <w:rFonts w:ascii="Times New Roman" w:eastAsia="宋体" w:hAnsi="Times New Roman" w:cs="宋体"/>
                <w:color w:val="auto"/>
                <w:lang w:eastAsia="zh-CN" w:bidi="ar"/>
              </w:rPr>
            </w:pPr>
          </w:p>
        </w:tc>
        <w:tc>
          <w:tcPr>
            <w:tcW w:w="1087" w:type="pct"/>
            <w:vAlign w:val="center"/>
          </w:tcPr>
          <w:p w14:paraId="26EB89AA" w14:textId="77777777" w:rsidR="0075791A" w:rsidRDefault="0075791A">
            <w:pPr>
              <w:jc w:val="center"/>
              <w:textAlignment w:val="center"/>
              <w:rPr>
                <w:rFonts w:ascii="Times New Roman" w:eastAsia="宋体" w:hAnsi="Times New Roman" w:cs="宋体"/>
                <w:color w:val="auto"/>
                <w:lang w:eastAsia="zh-CN" w:bidi="ar"/>
              </w:rPr>
            </w:pPr>
          </w:p>
        </w:tc>
        <w:tc>
          <w:tcPr>
            <w:tcW w:w="1088" w:type="pct"/>
            <w:vMerge/>
            <w:vAlign w:val="center"/>
          </w:tcPr>
          <w:p w14:paraId="350D02F2" w14:textId="77777777" w:rsidR="0075791A" w:rsidRDefault="0075791A">
            <w:pPr>
              <w:jc w:val="center"/>
              <w:textAlignment w:val="center"/>
              <w:rPr>
                <w:rFonts w:ascii="Times New Roman" w:eastAsia="宋体" w:hAnsi="Times New Roman" w:cs="宋体"/>
                <w:color w:val="auto"/>
                <w:lang w:eastAsia="zh-CN" w:bidi="ar"/>
              </w:rPr>
            </w:pPr>
          </w:p>
        </w:tc>
      </w:tr>
      <w:tr w:rsidR="0075791A" w14:paraId="0DD92EB1" w14:textId="77777777">
        <w:trPr>
          <w:trHeight w:hRule="exact" w:val="369"/>
          <w:jc w:val="center"/>
        </w:trPr>
        <w:tc>
          <w:tcPr>
            <w:tcW w:w="782" w:type="pct"/>
            <w:vMerge/>
            <w:vAlign w:val="center"/>
          </w:tcPr>
          <w:p w14:paraId="01EF479B"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539AB3FD" w14:textId="77777777" w:rsidR="0075791A" w:rsidRDefault="0075791A">
            <w:pPr>
              <w:jc w:val="center"/>
              <w:textAlignment w:val="center"/>
              <w:rPr>
                <w:rFonts w:ascii="Times New Roman" w:eastAsia="宋体" w:hAnsi="Times New Roman" w:cs="宋体"/>
                <w:color w:val="auto"/>
                <w:lang w:eastAsia="zh-CN" w:bidi="ar"/>
              </w:rPr>
            </w:pPr>
          </w:p>
        </w:tc>
        <w:tc>
          <w:tcPr>
            <w:tcW w:w="1141" w:type="pct"/>
            <w:vAlign w:val="center"/>
          </w:tcPr>
          <w:p w14:paraId="70F7D0F8" w14:textId="77777777" w:rsidR="0075791A" w:rsidRDefault="0075791A">
            <w:pPr>
              <w:jc w:val="center"/>
              <w:textAlignment w:val="center"/>
              <w:rPr>
                <w:rFonts w:ascii="Times New Roman" w:eastAsia="宋体" w:hAnsi="Times New Roman" w:cs="宋体"/>
                <w:color w:val="auto"/>
                <w:lang w:eastAsia="zh-CN" w:bidi="ar"/>
              </w:rPr>
            </w:pPr>
          </w:p>
        </w:tc>
        <w:tc>
          <w:tcPr>
            <w:tcW w:w="1087" w:type="pct"/>
            <w:vAlign w:val="center"/>
          </w:tcPr>
          <w:p w14:paraId="6E18A5B0" w14:textId="77777777" w:rsidR="0075791A" w:rsidRDefault="0075791A">
            <w:pPr>
              <w:jc w:val="center"/>
              <w:textAlignment w:val="center"/>
              <w:rPr>
                <w:rFonts w:ascii="Times New Roman" w:eastAsia="宋体" w:hAnsi="Times New Roman" w:cs="宋体"/>
                <w:color w:val="auto"/>
                <w:lang w:eastAsia="zh-CN" w:bidi="ar"/>
              </w:rPr>
            </w:pPr>
          </w:p>
        </w:tc>
        <w:tc>
          <w:tcPr>
            <w:tcW w:w="1088" w:type="pct"/>
            <w:vMerge/>
            <w:vAlign w:val="center"/>
          </w:tcPr>
          <w:p w14:paraId="42994AD9" w14:textId="77777777" w:rsidR="0075791A" w:rsidRDefault="0075791A">
            <w:pPr>
              <w:jc w:val="center"/>
              <w:textAlignment w:val="center"/>
              <w:rPr>
                <w:rFonts w:ascii="Times New Roman" w:eastAsia="宋体" w:hAnsi="Times New Roman" w:cs="宋体"/>
                <w:color w:val="auto"/>
                <w:lang w:eastAsia="zh-CN" w:bidi="ar"/>
              </w:rPr>
            </w:pPr>
          </w:p>
        </w:tc>
      </w:tr>
      <w:tr w:rsidR="0075791A" w14:paraId="507DF3F9" w14:textId="77777777">
        <w:trPr>
          <w:trHeight w:hRule="exact" w:val="369"/>
          <w:jc w:val="center"/>
        </w:trPr>
        <w:tc>
          <w:tcPr>
            <w:tcW w:w="782" w:type="pct"/>
            <w:vMerge/>
            <w:vAlign w:val="center"/>
          </w:tcPr>
          <w:p w14:paraId="5FE0F731"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54780A29" w14:textId="77777777" w:rsidR="0075791A" w:rsidRDefault="0075791A">
            <w:pPr>
              <w:jc w:val="center"/>
              <w:textAlignment w:val="center"/>
              <w:rPr>
                <w:rFonts w:ascii="Times New Roman" w:eastAsia="宋体" w:hAnsi="Times New Roman" w:cs="宋体"/>
                <w:color w:val="auto"/>
                <w:lang w:eastAsia="zh-CN" w:bidi="ar"/>
              </w:rPr>
            </w:pPr>
          </w:p>
        </w:tc>
        <w:tc>
          <w:tcPr>
            <w:tcW w:w="1141" w:type="pct"/>
            <w:vAlign w:val="center"/>
          </w:tcPr>
          <w:p w14:paraId="1C2AAE4C" w14:textId="77777777" w:rsidR="0075791A" w:rsidRDefault="0075791A">
            <w:pPr>
              <w:jc w:val="center"/>
              <w:textAlignment w:val="center"/>
              <w:rPr>
                <w:rFonts w:ascii="Times New Roman" w:eastAsia="宋体" w:hAnsi="Times New Roman" w:cs="宋体"/>
                <w:color w:val="auto"/>
                <w:lang w:eastAsia="zh-CN" w:bidi="ar"/>
              </w:rPr>
            </w:pPr>
          </w:p>
        </w:tc>
        <w:tc>
          <w:tcPr>
            <w:tcW w:w="1087" w:type="pct"/>
            <w:vAlign w:val="center"/>
          </w:tcPr>
          <w:p w14:paraId="2C6D6690" w14:textId="77777777" w:rsidR="0075791A" w:rsidRDefault="0075791A">
            <w:pPr>
              <w:jc w:val="center"/>
              <w:textAlignment w:val="center"/>
              <w:rPr>
                <w:rFonts w:ascii="Times New Roman" w:eastAsia="宋体" w:hAnsi="Times New Roman" w:cs="宋体"/>
                <w:color w:val="auto"/>
                <w:lang w:eastAsia="zh-CN" w:bidi="ar"/>
              </w:rPr>
            </w:pPr>
          </w:p>
        </w:tc>
        <w:tc>
          <w:tcPr>
            <w:tcW w:w="1088" w:type="pct"/>
            <w:vMerge/>
            <w:vAlign w:val="center"/>
          </w:tcPr>
          <w:p w14:paraId="7C046AB1" w14:textId="77777777" w:rsidR="0075791A" w:rsidRDefault="0075791A">
            <w:pPr>
              <w:jc w:val="center"/>
              <w:textAlignment w:val="center"/>
              <w:rPr>
                <w:rFonts w:ascii="Times New Roman" w:eastAsia="宋体" w:hAnsi="Times New Roman" w:cs="宋体"/>
                <w:color w:val="auto"/>
                <w:lang w:eastAsia="zh-CN" w:bidi="ar"/>
              </w:rPr>
            </w:pPr>
          </w:p>
        </w:tc>
      </w:tr>
      <w:tr w:rsidR="0075791A" w14:paraId="2086AF52" w14:textId="77777777">
        <w:trPr>
          <w:trHeight w:hRule="exact" w:val="369"/>
          <w:jc w:val="center"/>
        </w:trPr>
        <w:tc>
          <w:tcPr>
            <w:tcW w:w="782" w:type="pct"/>
            <w:vMerge/>
            <w:vAlign w:val="center"/>
          </w:tcPr>
          <w:p w14:paraId="0B05720D"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6AF500FC" w14:textId="77777777" w:rsidR="0075791A" w:rsidRDefault="0075791A">
            <w:pPr>
              <w:jc w:val="center"/>
              <w:textAlignment w:val="center"/>
              <w:rPr>
                <w:rFonts w:ascii="Times New Roman" w:eastAsia="宋体" w:hAnsi="Times New Roman" w:cs="宋体"/>
                <w:color w:val="auto"/>
                <w:lang w:eastAsia="zh-CN" w:bidi="ar"/>
              </w:rPr>
            </w:pPr>
          </w:p>
        </w:tc>
        <w:tc>
          <w:tcPr>
            <w:tcW w:w="1141" w:type="pct"/>
            <w:vAlign w:val="center"/>
          </w:tcPr>
          <w:p w14:paraId="5433C074" w14:textId="77777777" w:rsidR="0075791A" w:rsidRDefault="0075791A">
            <w:pPr>
              <w:jc w:val="center"/>
              <w:textAlignment w:val="center"/>
              <w:rPr>
                <w:rFonts w:ascii="Times New Roman" w:eastAsia="宋体" w:hAnsi="Times New Roman" w:cs="宋体"/>
                <w:color w:val="auto"/>
                <w:lang w:eastAsia="zh-CN" w:bidi="ar"/>
              </w:rPr>
            </w:pPr>
          </w:p>
        </w:tc>
        <w:tc>
          <w:tcPr>
            <w:tcW w:w="1087" w:type="pct"/>
            <w:vAlign w:val="center"/>
          </w:tcPr>
          <w:p w14:paraId="606AF42F" w14:textId="77777777" w:rsidR="0075791A" w:rsidRDefault="0075791A">
            <w:pPr>
              <w:jc w:val="center"/>
              <w:textAlignment w:val="center"/>
              <w:rPr>
                <w:rFonts w:ascii="Times New Roman" w:eastAsia="宋体" w:hAnsi="Times New Roman" w:cs="宋体"/>
                <w:color w:val="auto"/>
                <w:lang w:eastAsia="zh-CN" w:bidi="ar"/>
              </w:rPr>
            </w:pPr>
          </w:p>
        </w:tc>
        <w:tc>
          <w:tcPr>
            <w:tcW w:w="1088" w:type="pct"/>
            <w:vMerge/>
            <w:vAlign w:val="center"/>
          </w:tcPr>
          <w:p w14:paraId="0226AB4F" w14:textId="77777777" w:rsidR="0075791A" w:rsidRDefault="0075791A">
            <w:pPr>
              <w:jc w:val="center"/>
              <w:textAlignment w:val="center"/>
              <w:rPr>
                <w:rFonts w:ascii="Times New Roman" w:eastAsia="宋体" w:hAnsi="Times New Roman" w:cs="宋体"/>
                <w:color w:val="auto"/>
                <w:lang w:eastAsia="zh-CN" w:bidi="ar"/>
              </w:rPr>
            </w:pPr>
          </w:p>
        </w:tc>
      </w:tr>
      <w:tr w:rsidR="0075791A" w14:paraId="6256F096" w14:textId="77777777">
        <w:trPr>
          <w:trHeight w:hRule="exact" w:val="369"/>
          <w:jc w:val="center"/>
        </w:trPr>
        <w:tc>
          <w:tcPr>
            <w:tcW w:w="782" w:type="pct"/>
            <w:vMerge/>
            <w:vAlign w:val="center"/>
          </w:tcPr>
          <w:p w14:paraId="6A00AA6A"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36969C3E" w14:textId="77777777" w:rsidR="0075791A" w:rsidRDefault="0075791A">
            <w:pPr>
              <w:jc w:val="center"/>
              <w:textAlignment w:val="center"/>
              <w:rPr>
                <w:rFonts w:ascii="Times New Roman" w:eastAsia="宋体" w:hAnsi="Times New Roman" w:cs="宋体"/>
                <w:color w:val="auto"/>
                <w:lang w:eastAsia="zh-CN" w:bidi="ar"/>
              </w:rPr>
            </w:pPr>
          </w:p>
        </w:tc>
        <w:tc>
          <w:tcPr>
            <w:tcW w:w="1141" w:type="pct"/>
            <w:vAlign w:val="center"/>
          </w:tcPr>
          <w:p w14:paraId="4AF4DA67" w14:textId="77777777" w:rsidR="0075791A" w:rsidRDefault="0075791A">
            <w:pPr>
              <w:jc w:val="center"/>
              <w:textAlignment w:val="center"/>
              <w:rPr>
                <w:rFonts w:ascii="Times New Roman" w:eastAsia="宋体" w:hAnsi="Times New Roman" w:cs="宋体"/>
                <w:color w:val="auto"/>
                <w:lang w:eastAsia="zh-CN" w:bidi="ar"/>
              </w:rPr>
            </w:pPr>
          </w:p>
        </w:tc>
        <w:tc>
          <w:tcPr>
            <w:tcW w:w="1087" w:type="pct"/>
            <w:vAlign w:val="center"/>
          </w:tcPr>
          <w:p w14:paraId="2E6B8021" w14:textId="77777777" w:rsidR="0075791A" w:rsidRDefault="0075791A">
            <w:pPr>
              <w:jc w:val="center"/>
              <w:textAlignment w:val="center"/>
              <w:rPr>
                <w:rFonts w:ascii="Times New Roman" w:eastAsia="宋体" w:hAnsi="Times New Roman" w:cs="宋体"/>
                <w:color w:val="auto"/>
                <w:lang w:eastAsia="zh-CN" w:bidi="ar"/>
              </w:rPr>
            </w:pPr>
          </w:p>
        </w:tc>
        <w:tc>
          <w:tcPr>
            <w:tcW w:w="1088" w:type="pct"/>
            <w:vMerge/>
            <w:vAlign w:val="center"/>
          </w:tcPr>
          <w:p w14:paraId="6D1F3C3D" w14:textId="77777777" w:rsidR="0075791A" w:rsidRDefault="0075791A">
            <w:pPr>
              <w:jc w:val="center"/>
              <w:textAlignment w:val="center"/>
              <w:rPr>
                <w:rFonts w:ascii="Times New Roman" w:eastAsia="宋体" w:hAnsi="Times New Roman" w:cs="宋体"/>
                <w:color w:val="auto"/>
                <w:lang w:eastAsia="zh-CN" w:bidi="ar"/>
              </w:rPr>
            </w:pPr>
          </w:p>
        </w:tc>
      </w:tr>
      <w:tr w:rsidR="0075791A" w14:paraId="67F7D7AD" w14:textId="77777777">
        <w:trPr>
          <w:trHeight w:hRule="exact" w:val="369"/>
          <w:jc w:val="center"/>
        </w:trPr>
        <w:tc>
          <w:tcPr>
            <w:tcW w:w="782" w:type="pct"/>
            <w:vMerge/>
            <w:vAlign w:val="center"/>
          </w:tcPr>
          <w:p w14:paraId="3C589138" w14:textId="77777777" w:rsidR="0075791A" w:rsidRDefault="0075791A">
            <w:pPr>
              <w:widowControl w:val="0"/>
              <w:kinsoku/>
              <w:adjustRightInd/>
              <w:snapToGrid/>
              <w:jc w:val="center"/>
              <w:textAlignment w:val="auto"/>
              <w:rPr>
                <w:rFonts w:ascii="Times New Roman" w:eastAsia="宋体" w:hAnsi="Times New Roman"/>
                <w:color w:val="auto"/>
                <w:lang w:eastAsia="zh-CN"/>
              </w:rPr>
            </w:pPr>
          </w:p>
        </w:tc>
        <w:tc>
          <w:tcPr>
            <w:tcW w:w="900" w:type="pct"/>
            <w:vAlign w:val="center"/>
          </w:tcPr>
          <w:p w14:paraId="2CC7EC4F" w14:textId="77777777" w:rsidR="0075791A" w:rsidRDefault="0075791A">
            <w:pPr>
              <w:jc w:val="center"/>
              <w:textAlignment w:val="center"/>
              <w:rPr>
                <w:rFonts w:ascii="Times New Roman" w:eastAsia="宋体" w:hAnsi="Times New Roman" w:cs="宋体"/>
                <w:color w:val="auto"/>
                <w:lang w:eastAsia="zh-CN" w:bidi="ar"/>
              </w:rPr>
            </w:pPr>
          </w:p>
        </w:tc>
        <w:tc>
          <w:tcPr>
            <w:tcW w:w="1141" w:type="pct"/>
            <w:vAlign w:val="center"/>
          </w:tcPr>
          <w:p w14:paraId="0CC159CF" w14:textId="77777777" w:rsidR="0075791A" w:rsidRDefault="0075791A">
            <w:pPr>
              <w:jc w:val="center"/>
              <w:textAlignment w:val="center"/>
              <w:rPr>
                <w:rFonts w:ascii="Times New Roman" w:eastAsia="宋体" w:hAnsi="Times New Roman" w:cs="宋体"/>
                <w:color w:val="auto"/>
                <w:lang w:eastAsia="zh-CN" w:bidi="ar"/>
              </w:rPr>
            </w:pPr>
          </w:p>
        </w:tc>
        <w:tc>
          <w:tcPr>
            <w:tcW w:w="1087" w:type="pct"/>
            <w:vAlign w:val="center"/>
          </w:tcPr>
          <w:p w14:paraId="709F1C22" w14:textId="77777777" w:rsidR="0075791A" w:rsidRDefault="0075791A">
            <w:pPr>
              <w:jc w:val="center"/>
              <w:textAlignment w:val="center"/>
              <w:rPr>
                <w:rFonts w:ascii="Times New Roman" w:eastAsia="宋体" w:hAnsi="Times New Roman" w:cs="宋体"/>
                <w:color w:val="auto"/>
                <w:lang w:eastAsia="zh-CN" w:bidi="ar"/>
              </w:rPr>
            </w:pPr>
          </w:p>
        </w:tc>
        <w:tc>
          <w:tcPr>
            <w:tcW w:w="1088" w:type="pct"/>
            <w:vMerge/>
            <w:vAlign w:val="center"/>
          </w:tcPr>
          <w:p w14:paraId="23073E90" w14:textId="77777777" w:rsidR="0075791A" w:rsidRDefault="0075791A">
            <w:pPr>
              <w:jc w:val="center"/>
              <w:textAlignment w:val="center"/>
              <w:rPr>
                <w:rFonts w:ascii="Times New Roman" w:eastAsia="宋体" w:hAnsi="Times New Roman" w:cs="宋体"/>
                <w:color w:val="auto"/>
                <w:lang w:eastAsia="zh-CN" w:bidi="ar"/>
              </w:rPr>
            </w:pPr>
          </w:p>
        </w:tc>
      </w:tr>
    </w:tbl>
    <w:p w14:paraId="2A19FEFC" w14:textId="77777777" w:rsidR="0075791A" w:rsidRDefault="0075791A">
      <w:pPr>
        <w:pStyle w:val="TableText"/>
        <w:jc w:val="center"/>
        <w:rPr>
          <w:rFonts w:ascii="Times New Roman" w:hAnsi="Times New Roman"/>
          <w:color w:val="auto"/>
          <w:spacing w:val="-1"/>
          <w:lang w:eastAsia="zh-CN"/>
        </w:rPr>
      </w:pPr>
    </w:p>
    <w:p w14:paraId="4257DC0B" w14:textId="77777777" w:rsidR="0075791A" w:rsidRDefault="0075791A">
      <w:pPr>
        <w:pStyle w:val="TableText"/>
        <w:jc w:val="center"/>
        <w:rPr>
          <w:rFonts w:ascii="Times New Roman" w:hAnsi="Times New Roman"/>
          <w:color w:val="auto"/>
          <w:spacing w:val="-1"/>
          <w:lang w:eastAsia="zh-CN"/>
        </w:rPr>
      </w:pPr>
    </w:p>
    <w:p w14:paraId="3FA16B50" w14:textId="77777777" w:rsidR="0075791A" w:rsidRDefault="0075791A">
      <w:pPr>
        <w:pStyle w:val="TableText"/>
        <w:jc w:val="center"/>
        <w:rPr>
          <w:rFonts w:ascii="Times New Roman" w:hAnsi="Times New Roman"/>
          <w:color w:val="auto"/>
          <w:spacing w:val="-1"/>
          <w:lang w:eastAsia="zh-CN"/>
        </w:rPr>
      </w:pPr>
    </w:p>
    <w:p w14:paraId="2E9EA352" w14:textId="77777777" w:rsidR="0075791A" w:rsidRDefault="0075791A">
      <w:pPr>
        <w:pStyle w:val="TableText"/>
        <w:jc w:val="center"/>
        <w:rPr>
          <w:rFonts w:ascii="Times New Roman" w:hAnsi="Times New Roman"/>
          <w:color w:val="auto"/>
          <w:spacing w:val="-1"/>
          <w:lang w:eastAsia="zh-CN"/>
        </w:rPr>
      </w:pPr>
    </w:p>
    <w:p w14:paraId="16EC50AA" w14:textId="77777777" w:rsidR="0075791A" w:rsidRDefault="0075791A">
      <w:pPr>
        <w:pStyle w:val="TableText"/>
        <w:jc w:val="center"/>
        <w:rPr>
          <w:rFonts w:ascii="Times New Roman" w:hAnsi="Times New Roman"/>
          <w:color w:val="auto"/>
          <w:spacing w:val="-1"/>
          <w:lang w:eastAsia="zh-CN"/>
        </w:rPr>
      </w:pPr>
    </w:p>
    <w:p w14:paraId="02DF555D" w14:textId="77777777" w:rsidR="0075791A" w:rsidRDefault="0075791A">
      <w:pPr>
        <w:pStyle w:val="TableText"/>
        <w:jc w:val="center"/>
        <w:rPr>
          <w:rFonts w:ascii="Times New Roman" w:hAnsi="Times New Roman"/>
          <w:color w:val="auto"/>
          <w:spacing w:val="-1"/>
          <w:lang w:eastAsia="zh-CN"/>
        </w:rPr>
      </w:pPr>
    </w:p>
    <w:p w14:paraId="4CDA8ED3" w14:textId="77777777" w:rsidR="0075791A" w:rsidRDefault="0075791A">
      <w:pPr>
        <w:pStyle w:val="TableText"/>
        <w:jc w:val="center"/>
        <w:rPr>
          <w:rFonts w:ascii="Times New Roman" w:hAnsi="Times New Roman"/>
          <w:color w:val="auto"/>
          <w:spacing w:val="-1"/>
          <w:lang w:eastAsia="zh-CN"/>
        </w:rPr>
      </w:pPr>
    </w:p>
    <w:p w14:paraId="77A61DC7" w14:textId="77777777" w:rsidR="0075791A" w:rsidRDefault="0075791A">
      <w:pPr>
        <w:pStyle w:val="TableText"/>
        <w:jc w:val="center"/>
        <w:rPr>
          <w:rFonts w:ascii="Times New Roman" w:hAnsi="Times New Roman"/>
          <w:color w:val="auto"/>
          <w:spacing w:val="-1"/>
          <w:lang w:eastAsia="zh-CN"/>
        </w:rPr>
      </w:pPr>
    </w:p>
    <w:p w14:paraId="3AD14611" w14:textId="77777777" w:rsidR="0075791A" w:rsidRDefault="0075791A">
      <w:pPr>
        <w:pStyle w:val="TableText"/>
        <w:jc w:val="center"/>
        <w:rPr>
          <w:rFonts w:ascii="Times New Roman" w:hAnsi="Times New Roman"/>
          <w:color w:val="auto"/>
          <w:spacing w:val="-1"/>
          <w:lang w:eastAsia="zh-CN"/>
        </w:rPr>
      </w:pPr>
    </w:p>
    <w:p w14:paraId="0979CDE0" w14:textId="77777777" w:rsidR="0075791A" w:rsidRDefault="0075791A">
      <w:pPr>
        <w:pStyle w:val="TableText"/>
        <w:jc w:val="center"/>
        <w:rPr>
          <w:rFonts w:ascii="Times New Roman" w:hAnsi="Times New Roman"/>
          <w:color w:val="auto"/>
          <w:spacing w:val="-1"/>
          <w:lang w:eastAsia="zh-CN"/>
        </w:rPr>
      </w:pPr>
    </w:p>
    <w:p w14:paraId="20DBB9BB" w14:textId="77777777" w:rsidR="0075791A" w:rsidRDefault="0075791A">
      <w:pPr>
        <w:pStyle w:val="TableText"/>
        <w:jc w:val="center"/>
        <w:rPr>
          <w:rFonts w:ascii="Times New Roman" w:hAnsi="Times New Roman"/>
          <w:color w:val="auto"/>
          <w:spacing w:val="-1"/>
          <w:lang w:eastAsia="zh-CN"/>
        </w:rPr>
      </w:pPr>
    </w:p>
    <w:p w14:paraId="28710CFB" w14:textId="77777777" w:rsidR="0075791A" w:rsidRDefault="0075791A">
      <w:pPr>
        <w:pStyle w:val="TableText"/>
        <w:jc w:val="center"/>
        <w:rPr>
          <w:rFonts w:ascii="Times New Roman" w:hAnsi="Times New Roman"/>
          <w:color w:val="auto"/>
          <w:spacing w:val="-1"/>
          <w:lang w:eastAsia="zh-CN"/>
        </w:rPr>
      </w:pPr>
    </w:p>
    <w:p w14:paraId="140BCF0E" w14:textId="77777777" w:rsidR="0075791A" w:rsidRDefault="0075791A">
      <w:pPr>
        <w:pStyle w:val="TableText"/>
        <w:jc w:val="center"/>
        <w:rPr>
          <w:rFonts w:ascii="Times New Roman" w:hAnsi="Times New Roman"/>
          <w:color w:val="auto"/>
          <w:spacing w:val="-1"/>
          <w:lang w:eastAsia="zh-CN"/>
        </w:rPr>
      </w:pPr>
    </w:p>
    <w:p w14:paraId="241305B5" w14:textId="77777777" w:rsidR="0075791A" w:rsidRDefault="0075791A">
      <w:pPr>
        <w:pStyle w:val="TableText"/>
        <w:jc w:val="center"/>
        <w:rPr>
          <w:rFonts w:ascii="Times New Roman" w:hAnsi="Times New Roman"/>
          <w:color w:val="auto"/>
          <w:spacing w:val="-1"/>
          <w:lang w:eastAsia="zh-CN"/>
        </w:rPr>
      </w:pPr>
    </w:p>
    <w:p w14:paraId="08CEBE62" w14:textId="77777777" w:rsidR="0075791A" w:rsidRDefault="0075791A">
      <w:pPr>
        <w:pStyle w:val="TableText"/>
        <w:jc w:val="center"/>
        <w:rPr>
          <w:rFonts w:ascii="Times New Roman" w:hAnsi="Times New Roman"/>
          <w:color w:val="auto"/>
          <w:spacing w:val="-1"/>
          <w:lang w:eastAsia="zh-CN"/>
        </w:rPr>
      </w:pPr>
    </w:p>
    <w:p w14:paraId="7E6A6FF8" w14:textId="77777777" w:rsidR="0075791A" w:rsidRDefault="0075791A">
      <w:pPr>
        <w:pStyle w:val="TableText"/>
        <w:jc w:val="center"/>
        <w:rPr>
          <w:rFonts w:ascii="Times New Roman" w:hAnsi="Times New Roman"/>
          <w:color w:val="auto"/>
          <w:spacing w:val="-1"/>
          <w:lang w:eastAsia="zh-CN"/>
        </w:rPr>
      </w:pPr>
    </w:p>
    <w:p w14:paraId="54566A0A" w14:textId="77777777" w:rsidR="0075791A" w:rsidRDefault="0075791A">
      <w:pPr>
        <w:pStyle w:val="TableText"/>
        <w:jc w:val="center"/>
        <w:rPr>
          <w:rFonts w:ascii="Times New Roman" w:hAnsi="Times New Roman"/>
          <w:color w:val="auto"/>
          <w:spacing w:val="-1"/>
          <w:lang w:eastAsia="zh-CN"/>
        </w:rPr>
      </w:pPr>
    </w:p>
    <w:p w14:paraId="122EDFAC" w14:textId="77777777" w:rsidR="0075791A" w:rsidRDefault="0075791A">
      <w:pPr>
        <w:pStyle w:val="TableText"/>
        <w:jc w:val="center"/>
        <w:rPr>
          <w:rFonts w:ascii="Times New Roman" w:hAnsi="Times New Roman"/>
          <w:color w:val="auto"/>
          <w:spacing w:val="-1"/>
          <w:lang w:eastAsia="zh-CN"/>
        </w:rPr>
      </w:pPr>
    </w:p>
    <w:p w14:paraId="2B477B63" w14:textId="77777777" w:rsidR="0075791A" w:rsidRDefault="0075791A">
      <w:pPr>
        <w:pStyle w:val="TableText"/>
        <w:jc w:val="center"/>
        <w:rPr>
          <w:rFonts w:ascii="Times New Roman" w:hAnsi="Times New Roman"/>
          <w:color w:val="auto"/>
          <w:spacing w:val="-1"/>
          <w:lang w:eastAsia="zh-CN"/>
        </w:rPr>
      </w:pPr>
    </w:p>
    <w:p w14:paraId="70555DC1" w14:textId="77777777" w:rsidR="0075791A" w:rsidRDefault="0075791A">
      <w:pPr>
        <w:pStyle w:val="TableText"/>
        <w:jc w:val="center"/>
        <w:rPr>
          <w:rFonts w:ascii="Times New Roman" w:hAnsi="Times New Roman"/>
          <w:color w:val="auto"/>
          <w:spacing w:val="-1"/>
          <w:lang w:eastAsia="zh-CN"/>
        </w:rPr>
      </w:pPr>
    </w:p>
    <w:p w14:paraId="15FA9852" w14:textId="77777777" w:rsidR="0075791A" w:rsidRDefault="0075791A">
      <w:pPr>
        <w:spacing w:line="360" w:lineRule="auto"/>
        <w:jc w:val="center"/>
        <w:rPr>
          <w:rFonts w:ascii="Times New Roman" w:eastAsia="宋体" w:hAnsi="Times New Roman" w:cs="宋体"/>
          <w:color w:val="auto"/>
          <w:spacing w:val="-4"/>
          <w:sz w:val="24"/>
          <w:szCs w:val="24"/>
          <w:lang w:eastAsia="zh-CN"/>
        </w:rPr>
      </w:pPr>
    </w:p>
    <w:p w14:paraId="49B24825" w14:textId="77777777" w:rsidR="0075791A" w:rsidRDefault="0075791A">
      <w:pPr>
        <w:spacing w:line="360" w:lineRule="auto"/>
        <w:jc w:val="center"/>
        <w:rPr>
          <w:rFonts w:ascii="Times New Roman" w:eastAsia="宋体" w:hAnsi="Times New Roman" w:cs="宋体"/>
          <w:color w:val="auto"/>
          <w:spacing w:val="-4"/>
          <w:sz w:val="24"/>
          <w:szCs w:val="24"/>
          <w:lang w:eastAsia="zh-CN"/>
        </w:rPr>
      </w:pPr>
    </w:p>
    <w:p w14:paraId="5786A2C9" w14:textId="77777777" w:rsidR="0075791A" w:rsidRDefault="0075791A">
      <w:pPr>
        <w:spacing w:line="360" w:lineRule="auto"/>
        <w:jc w:val="center"/>
        <w:rPr>
          <w:rFonts w:ascii="Times New Roman" w:eastAsia="宋体" w:hAnsi="Times New Roman" w:cs="宋体"/>
          <w:color w:val="auto"/>
          <w:spacing w:val="-4"/>
          <w:sz w:val="24"/>
          <w:szCs w:val="24"/>
          <w:lang w:eastAsia="zh-CN"/>
        </w:rPr>
      </w:pPr>
    </w:p>
    <w:p w14:paraId="631FCFB6" w14:textId="77777777" w:rsidR="0075791A" w:rsidRDefault="0075791A">
      <w:pPr>
        <w:spacing w:line="360" w:lineRule="auto"/>
        <w:jc w:val="center"/>
        <w:rPr>
          <w:rFonts w:ascii="Times New Roman" w:eastAsia="宋体" w:hAnsi="Times New Roman" w:cs="宋体"/>
          <w:color w:val="auto"/>
          <w:spacing w:val="-4"/>
          <w:sz w:val="24"/>
          <w:szCs w:val="24"/>
          <w:lang w:eastAsia="zh-CN"/>
        </w:rPr>
      </w:pPr>
    </w:p>
    <w:p w14:paraId="56705906" w14:textId="77777777" w:rsidR="0075791A" w:rsidRDefault="0075791A">
      <w:pPr>
        <w:spacing w:line="360" w:lineRule="auto"/>
        <w:jc w:val="center"/>
        <w:rPr>
          <w:rFonts w:ascii="Times New Roman" w:eastAsia="宋体" w:hAnsi="Times New Roman" w:cs="宋体"/>
          <w:color w:val="auto"/>
          <w:spacing w:val="-4"/>
          <w:sz w:val="24"/>
          <w:szCs w:val="24"/>
          <w:lang w:eastAsia="zh-CN"/>
        </w:rPr>
      </w:pPr>
    </w:p>
    <w:p w14:paraId="2F142834" w14:textId="77777777" w:rsidR="0075791A" w:rsidRDefault="0075791A">
      <w:pPr>
        <w:spacing w:line="360" w:lineRule="auto"/>
        <w:jc w:val="center"/>
        <w:rPr>
          <w:rFonts w:ascii="Times New Roman" w:eastAsia="宋体" w:hAnsi="Times New Roman" w:cs="宋体"/>
          <w:color w:val="auto"/>
          <w:spacing w:val="-4"/>
          <w:sz w:val="24"/>
          <w:szCs w:val="24"/>
          <w:lang w:eastAsia="zh-CN"/>
        </w:rPr>
      </w:pPr>
    </w:p>
    <w:p w14:paraId="33571162"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 xml:space="preserve">3.2.6-1 </w:t>
      </w:r>
      <w:r>
        <w:rPr>
          <w:rFonts w:ascii="Times New Roman" w:eastAsia="宋体" w:hAnsi="Times New Roman" w:cs="宋体" w:hint="eastAsia"/>
          <w:color w:val="auto"/>
          <w:spacing w:val="-4"/>
          <w:sz w:val="24"/>
          <w:szCs w:val="24"/>
          <w:lang w:eastAsia="zh-CN"/>
        </w:rPr>
        <w:t>秋季海洋生态调查站位</w:t>
      </w:r>
    </w:p>
    <w:p w14:paraId="2E42A2D0" w14:textId="77777777" w:rsidR="0075791A" w:rsidRDefault="00FB2864">
      <w:pPr>
        <w:spacing w:line="360" w:lineRule="auto"/>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3.2.6.2 2023</w:t>
      </w:r>
      <w:r>
        <w:rPr>
          <w:rFonts w:ascii="Times New Roman" w:eastAsia="宋体" w:hAnsi="Times New Roman" w:hint="eastAsia"/>
          <w:b/>
          <w:color w:val="auto"/>
          <w:sz w:val="24"/>
          <w:szCs w:val="24"/>
          <w:lang w:eastAsia="zh-CN"/>
        </w:rPr>
        <w:t>年</w:t>
      </w:r>
      <w:r>
        <w:rPr>
          <w:rFonts w:ascii="Times New Roman" w:eastAsia="宋体" w:hAnsi="Times New Roman" w:hint="eastAsia"/>
          <w:b/>
          <w:color w:val="auto"/>
          <w:sz w:val="24"/>
          <w:szCs w:val="24"/>
          <w:lang w:eastAsia="zh-CN"/>
        </w:rPr>
        <w:t>11</w:t>
      </w:r>
      <w:r>
        <w:rPr>
          <w:rFonts w:ascii="Times New Roman" w:eastAsia="宋体" w:hAnsi="Times New Roman" w:hint="eastAsia"/>
          <w:b/>
          <w:color w:val="auto"/>
          <w:sz w:val="24"/>
          <w:szCs w:val="24"/>
          <w:lang w:eastAsia="zh-CN"/>
        </w:rPr>
        <w:t>月调查结果</w:t>
      </w:r>
    </w:p>
    <w:p w14:paraId="4D6CC09B"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1.</w:t>
      </w:r>
      <w:r>
        <w:rPr>
          <w:rFonts w:ascii="Times New Roman" w:eastAsia="宋体" w:hAnsi="Times New Roman" w:cs="Times New Roman" w:hint="eastAsia"/>
          <w:b/>
          <w:bCs/>
          <w:snapToGrid/>
          <w:color w:val="auto"/>
          <w:kern w:val="2"/>
          <w:sz w:val="24"/>
          <w:szCs w:val="24"/>
          <w:lang w:eastAsia="zh-CN"/>
        </w:rPr>
        <w:t>浮游植物</w:t>
      </w:r>
    </w:p>
    <w:p w14:paraId="6025D93E"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73" w:name="_Toc15883"/>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1</w:t>
      </w: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b/>
          <w:bCs/>
          <w:snapToGrid/>
          <w:color w:val="auto"/>
          <w:kern w:val="2"/>
          <w:sz w:val="24"/>
          <w:szCs w:val="24"/>
          <w:lang w:eastAsia="zh-CN"/>
        </w:rPr>
        <w:t>种类组成</w:t>
      </w:r>
      <w:bookmarkEnd w:id="173"/>
    </w:p>
    <w:p w14:paraId="270BFEAF" w14:textId="77777777" w:rsidR="0075791A" w:rsidRDefault="00FB2864">
      <w:pPr>
        <w:widowControl w:val="0"/>
        <w:kinsoku/>
        <w:adjustRightInd/>
        <w:snapToGrid/>
        <w:spacing w:line="348"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w:t>
      </w:r>
      <w:r>
        <w:rPr>
          <w:rFonts w:ascii="Times New Roman" w:eastAsia="宋体" w:hAnsi="Times New Roman" w:cs="Times New Roman"/>
          <w:snapToGrid/>
          <w:color w:val="auto"/>
          <w:kern w:val="2"/>
          <w:sz w:val="24"/>
          <w:szCs w:val="24"/>
          <w:lang w:eastAsia="zh-CN"/>
        </w:rPr>
        <w:t>采集样品中鉴定到</w:t>
      </w:r>
      <w:r>
        <w:rPr>
          <w:rFonts w:ascii="Times New Roman" w:eastAsia="宋体" w:hAnsi="Times New Roman" w:cs="Times New Roman" w:hint="eastAsia"/>
          <w:snapToGrid/>
          <w:color w:val="auto"/>
          <w:kern w:val="2"/>
          <w:sz w:val="24"/>
          <w:szCs w:val="24"/>
          <w:lang w:eastAsia="zh-CN"/>
        </w:rPr>
        <w:t>共</w:t>
      </w:r>
      <w:r>
        <w:rPr>
          <w:rFonts w:ascii="Times New Roman" w:eastAsia="宋体" w:hAnsi="Times New Roman" w:cs="Times New Roman"/>
          <w:snapToGrid/>
          <w:color w:val="auto"/>
          <w:kern w:val="2"/>
          <w:sz w:val="24"/>
          <w:szCs w:val="24"/>
          <w:lang w:eastAsia="zh-CN"/>
        </w:rPr>
        <w:t>浮游植物</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门</w:t>
      </w:r>
      <w:r>
        <w:rPr>
          <w:rFonts w:ascii="Times New Roman" w:eastAsia="宋体" w:hAnsi="Times New Roman" w:cs="Times New Roman" w:hint="eastAsia"/>
          <w:snapToGrid/>
          <w:color w:val="auto"/>
          <w:kern w:val="2"/>
          <w:sz w:val="24"/>
          <w:szCs w:val="24"/>
          <w:lang w:eastAsia="zh-CN"/>
        </w:rPr>
        <w:t>178</w:t>
      </w:r>
      <w:r>
        <w:rPr>
          <w:rFonts w:ascii="Times New Roman" w:eastAsia="宋体" w:hAnsi="Times New Roman" w:cs="Times New Roman"/>
          <w:snapToGrid/>
          <w:color w:val="auto"/>
          <w:kern w:val="2"/>
          <w:sz w:val="24"/>
          <w:szCs w:val="24"/>
          <w:lang w:eastAsia="zh-CN"/>
        </w:rPr>
        <w:t>种</w:t>
      </w:r>
      <w:r>
        <w:rPr>
          <w:rFonts w:ascii="Times New Roman" w:eastAsia="宋体" w:hAnsi="Times New Roman" w:cs="Times New Roman" w:hint="eastAsia"/>
          <w:snapToGrid/>
          <w:color w:val="auto"/>
          <w:kern w:val="2"/>
          <w:sz w:val="24"/>
          <w:szCs w:val="24"/>
          <w:lang w:eastAsia="zh-CN"/>
        </w:rPr>
        <w:t>。其中硅藻门种类最多为</w:t>
      </w:r>
      <w:r>
        <w:rPr>
          <w:rFonts w:ascii="Times New Roman" w:eastAsia="宋体" w:hAnsi="Times New Roman" w:cs="Times New Roman" w:hint="eastAsia"/>
          <w:snapToGrid/>
          <w:color w:val="auto"/>
          <w:kern w:val="2"/>
          <w:sz w:val="24"/>
          <w:szCs w:val="24"/>
          <w:lang w:eastAsia="zh-CN"/>
        </w:rPr>
        <w:t>84</w:t>
      </w:r>
      <w:r>
        <w:rPr>
          <w:rFonts w:ascii="Times New Roman" w:eastAsia="宋体" w:hAnsi="Times New Roman" w:cs="Times New Roman" w:hint="eastAsia"/>
          <w:snapToGrid/>
          <w:color w:val="auto"/>
          <w:kern w:val="2"/>
          <w:sz w:val="24"/>
          <w:szCs w:val="24"/>
          <w:lang w:eastAsia="zh-CN"/>
        </w:rPr>
        <w:t>种，占总种类数的</w:t>
      </w:r>
      <w:r>
        <w:rPr>
          <w:rFonts w:ascii="Times New Roman" w:eastAsia="宋体" w:hAnsi="Times New Roman" w:cs="Times New Roman" w:hint="eastAsia"/>
          <w:snapToGrid/>
          <w:color w:val="auto"/>
          <w:kern w:val="2"/>
          <w:sz w:val="24"/>
          <w:szCs w:val="24"/>
          <w:lang w:eastAsia="zh-CN"/>
        </w:rPr>
        <w:t>47.19%</w:t>
      </w:r>
      <w:r>
        <w:rPr>
          <w:rFonts w:ascii="Times New Roman" w:eastAsia="宋体" w:hAnsi="Times New Roman" w:cs="Times New Roman" w:hint="eastAsia"/>
          <w:snapToGrid/>
          <w:color w:val="auto"/>
          <w:kern w:val="2"/>
          <w:sz w:val="24"/>
          <w:szCs w:val="24"/>
          <w:lang w:eastAsia="zh-CN"/>
        </w:rPr>
        <w:t>，其次是绿藻门</w:t>
      </w:r>
      <w:r>
        <w:rPr>
          <w:rFonts w:ascii="Times New Roman" w:eastAsia="宋体" w:hAnsi="Times New Roman" w:cs="Times New Roman" w:hint="eastAsia"/>
          <w:snapToGrid/>
          <w:color w:val="auto"/>
          <w:kern w:val="2"/>
          <w:sz w:val="24"/>
          <w:szCs w:val="24"/>
          <w:lang w:eastAsia="zh-CN"/>
        </w:rPr>
        <w:t>57</w:t>
      </w:r>
      <w:r>
        <w:rPr>
          <w:rFonts w:ascii="Times New Roman" w:eastAsia="宋体" w:hAnsi="Times New Roman" w:cs="Times New Roman" w:hint="eastAsia"/>
          <w:snapToGrid/>
          <w:color w:val="auto"/>
          <w:kern w:val="2"/>
          <w:sz w:val="24"/>
          <w:szCs w:val="24"/>
          <w:lang w:eastAsia="zh-CN"/>
        </w:rPr>
        <w:t>种，占总种类数的</w:t>
      </w:r>
      <w:r>
        <w:rPr>
          <w:rFonts w:ascii="Times New Roman" w:eastAsia="宋体" w:hAnsi="Times New Roman" w:cs="Times New Roman" w:hint="eastAsia"/>
          <w:snapToGrid/>
          <w:color w:val="auto"/>
          <w:kern w:val="2"/>
          <w:sz w:val="24"/>
          <w:szCs w:val="24"/>
          <w:lang w:eastAsia="zh-CN"/>
        </w:rPr>
        <w:t>32.02%</w:t>
      </w:r>
      <w:r>
        <w:rPr>
          <w:rFonts w:ascii="Times New Roman" w:eastAsia="宋体" w:hAnsi="Times New Roman" w:cs="Times New Roman" w:hint="eastAsia"/>
          <w:snapToGrid/>
          <w:color w:val="auto"/>
          <w:kern w:val="2"/>
          <w:sz w:val="24"/>
          <w:szCs w:val="24"/>
          <w:lang w:eastAsia="zh-CN"/>
        </w:rPr>
        <w:t>，蓝藻门</w:t>
      </w:r>
      <w:r>
        <w:rPr>
          <w:rFonts w:ascii="Times New Roman" w:eastAsia="宋体" w:hAnsi="Times New Roman" w:cs="Times New Roman" w:hint="eastAsia"/>
          <w:snapToGrid/>
          <w:color w:val="auto"/>
          <w:kern w:val="2"/>
          <w:sz w:val="24"/>
          <w:szCs w:val="24"/>
          <w:lang w:eastAsia="zh-CN"/>
        </w:rPr>
        <w:t>17</w:t>
      </w:r>
      <w:r>
        <w:rPr>
          <w:rFonts w:ascii="Times New Roman" w:eastAsia="宋体" w:hAnsi="Times New Roman" w:cs="Times New Roman" w:hint="eastAsia"/>
          <w:snapToGrid/>
          <w:color w:val="auto"/>
          <w:kern w:val="2"/>
          <w:sz w:val="24"/>
          <w:szCs w:val="24"/>
          <w:lang w:eastAsia="zh-CN"/>
        </w:rPr>
        <w:t>种，占总种类数的</w:t>
      </w:r>
      <w:r>
        <w:rPr>
          <w:rFonts w:ascii="Times New Roman" w:eastAsia="宋体" w:hAnsi="Times New Roman" w:cs="Times New Roman" w:hint="eastAsia"/>
          <w:snapToGrid/>
          <w:color w:val="auto"/>
          <w:kern w:val="2"/>
          <w:sz w:val="24"/>
          <w:szCs w:val="24"/>
          <w:lang w:eastAsia="zh-CN"/>
        </w:rPr>
        <w:t>9.55%</w:t>
      </w:r>
      <w:r>
        <w:rPr>
          <w:rFonts w:ascii="Times New Roman" w:eastAsia="宋体" w:hAnsi="Times New Roman" w:cs="Times New Roman" w:hint="eastAsia"/>
          <w:snapToGrid/>
          <w:color w:val="auto"/>
          <w:kern w:val="2"/>
          <w:sz w:val="24"/>
          <w:szCs w:val="24"/>
          <w:lang w:eastAsia="zh-CN"/>
        </w:rPr>
        <w:t>，甲藻门</w:t>
      </w:r>
      <w:r>
        <w:rPr>
          <w:rFonts w:ascii="Times New Roman" w:eastAsia="宋体" w:hAnsi="Times New Roman" w:cs="Times New Roman" w:hint="eastAsia"/>
          <w:snapToGrid/>
          <w:color w:val="auto"/>
          <w:kern w:val="2"/>
          <w:sz w:val="24"/>
          <w:szCs w:val="24"/>
          <w:lang w:eastAsia="zh-CN"/>
        </w:rPr>
        <w:t>15</w:t>
      </w:r>
      <w:r>
        <w:rPr>
          <w:rFonts w:ascii="Times New Roman" w:eastAsia="宋体" w:hAnsi="Times New Roman" w:cs="Times New Roman" w:hint="eastAsia"/>
          <w:snapToGrid/>
          <w:color w:val="auto"/>
          <w:kern w:val="2"/>
          <w:sz w:val="24"/>
          <w:szCs w:val="24"/>
          <w:lang w:eastAsia="zh-CN"/>
        </w:rPr>
        <w:t>种，占总种类数的</w:t>
      </w:r>
      <w:r>
        <w:rPr>
          <w:rFonts w:ascii="Times New Roman" w:eastAsia="宋体" w:hAnsi="Times New Roman" w:cs="Times New Roman" w:hint="eastAsia"/>
          <w:snapToGrid/>
          <w:color w:val="auto"/>
          <w:kern w:val="2"/>
          <w:sz w:val="24"/>
          <w:szCs w:val="24"/>
          <w:lang w:eastAsia="zh-CN"/>
        </w:rPr>
        <w:t>8.43%</w:t>
      </w:r>
      <w:r>
        <w:rPr>
          <w:rFonts w:ascii="Times New Roman" w:eastAsia="宋体" w:hAnsi="Times New Roman" w:cs="Times New Roman" w:hint="eastAsia"/>
          <w:snapToGrid/>
          <w:color w:val="auto"/>
          <w:kern w:val="2"/>
          <w:sz w:val="24"/>
          <w:szCs w:val="24"/>
          <w:lang w:eastAsia="zh-CN"/>
        </w:rPr>
        <w:t>，裸藻门</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种，占总种类数的</w:t>
      </w:r>
      <w:r>
        <w:rPr>
          <w:rFonts w:ascii="Times New Roman" w:eastAsia="宋体" w:hAnsi="Times New Roman" w:cs="Times New Roman" w:hint="eastAsia"/>
          <w:snapToGrid/>
          <w:color w:val="auto"/>
          <w:kern w:val="2"/>
          <w:sz w:val="24"/>
          <w:szCs w:val="24"/>
          <w:lang w:eastAsia="zh-CN"/>
        </w:rPr>
        <w:t>2.81%</w:t>
      </w:r>
      <w:r>
        <w:rPr>
          <w:rFonts w:ascii="Times New Roman" w:eastAsia="宋体" w:hAnsi="Times New Roman" w:cs="Times New Roman" w:hint="eastAsia"/>
          <w:snapToGrid/>
          <w:color w:val="auto"/>
          <w:kern w:val="2"/>
          <w:sz w:val="24"/>
          <w:szCs w:val="24"/>
          <w:lang w:eastAsia="zh-CN"/>
        </w:rPr>
        <w:t>。各站位调查到浮游植物种类数范围为</w:t>
      </w:r>
      <w:r>
        <w:rPr>
          <w:rFonts w:ascii="Times New Roman" w:eastAsia="宋体" w:hAnsi="Times New Roman" w:cs="Times New Roman" w:hint="eastAsia"/>
          <w:snapToGrid/>
          <w:color w:val="auto"/>
          <w:kern w:val="2"/>
          <w:sz w:val="24"/>
          <w:szCs w:val="24"/>
          <w:lang w:eastAsia="zh-CN"/>
        </w:rPr>
        <w:t>8-45</w:t>
      </w:r>
      <w:r>
        <w:rPr>
          <w:rFonts w:ascii="Times New Roman" w:eastAsia="宋体" w:hAnsi="Times New Roman" w:cs="Times New Roman" w:hint="eastAsia"/>
          <w:snapToGrid/>
          <w:color w:val="auto"/>
          <w:kern w:val="2"/>
          <w:sz w:val="24"/>
          <w:szCs w:val="24"/>
          <w:lang w:eastAsia="zh-CN"/>
        </w:rPr>
        <w:t>种，最高值在</w:t>
      </w:r>
      <w:r>
        <w:rPr>
          <w:rFonts w:ascii="Times New Roman" w:eastAsia="宋体" w:hAnsi="Times New Roman" w:cs="Times New Roman" w:hint="eastAsia"/>
          <w:snapToGrid/>
          <w:color w:val="auto"/>
          <w:kern w:val="2"/>
          <w:sz w:val="24"/>
          <w:szCs w:val="24"/>
          <w:lang w:eastAsia="zh-CN"/>
        </w:rPr>
        <w:t>S5</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S7</w:t>
      </w:r>
      <w:r>
        <w:rPr>
          <w:rFonts w:ascii="Times New Roman" w:eastAsia="宋体" w:hAnsi="Times New Roman" w:cs="Times New Roman" w:hint="eastAsia"/>
          <w:snapToGrid/>
          <w:color w:val="auto"/>
          <w:kern w:val="2"/>
          <w:sz w:val="24"/>
          <w:szCs w:val="24"/>
          <w:lang w:eastAsia="zh-CN"/>
        </w:rPr>
        <w:t>站位，平均值</w:t>
      </w:r>
      <w:r>
        <w:rPr>
          <w:rFonts w:ascii="Times New Roman" w:eastAsia="宋体" w:hAnsi="Times New Roman" w:cs="Times New Roman" w:hint="eastAsia"/>
          <w:snapToGrid/>
          <w:color w:val="auto"/>
          <w:kern w:val="2"/>
          <w:sz w:val="24"/>
          <w:szCs w:val="24"/>
          <w:lang w:eastAsia="zh-CN"/>
        </w:rPr>
        <w:t>为</w:t>
      </w:r>
      <w:r>
        <w:rPr>
          <w:rFonts w:ascii="Times New Roman" w:eastAsia="宋体" w:hAnsi="Times New Roman" w:cs="Times New Roman" w:hint="eastAsia"/>
          <w:snapToGrid/>
          <w:color w:val="auto"/>
          <w:kern w:val="2"/>
          <w:sz w:val="24"/>
          <w:szCs w:val="24"/>
          <w:lang w:eastAsia="zh-CN"/>
        </w:rPr>
        <w:t>36</w:t>
      </w:r>
      <w:r>
        <w:rPr>
          <w:rFonts w:ascii="Times New Roman" w:eastAsia="宋体" w:hAnsi="Times New Roman" w:cs="Times New Roman" w:hint="eastAsia"/>
          <w:snapToGrid/>
          <w:color w:val="auto"/>
          <w:kern w:val="2"/>
          <w:sz w:val="24"/>
          <w:szCs w:val="24"/>
          <w:lang w:eastAsia="zh-CN"/>
        </w:rPr>
        <w:t>种（表</w:t>
      </w:r>
      <w:r>
        <w:rPr>
          <w:rFonts w:ascii="Times New Roman" w:eastAsia="宋体" w:hAnsi="Times New Roman" w:cs="宋体" w:hint="eastAsia"/>
          <w:color w:val="auto"/>
          <w:spacing w:val="-2"/>
          <w:sz w:val="24"/>
          <w:szCs w:val="24"/>
          <w:lang w:eastAsia="zh-CN"/>
        </w:rPr>
        <w:t>3.2.6-2</w:t>
      </w:r>
      <w:r>
        <w:rPr>
          <w:rFonts w:ascii="Times New Roman" w:eastAsia="宋体" w:hAnsi="Times New Roman" w:cs="Times New Roman" w:hint="eastAsia"/>
          <w:snapToGrid/>
          <w:color w:val="auto"/>
          <w:kern w:val="2"/>
          <w:sz w:val="24"/>
          <w:szCs w:val="24"/>
          <w:lang w:eastAsia="zh-CN"/>
        </w:rPr>
        <w:t>）。</w:t>
      </w:r>
    </w:p>
    <w:p w14:paraId="12364D47" w14:textId="77777777" w:rsidR="0075791A" w:rsidRDefault="00FB2864">
      <w:pPr>
        <w:widowControl w:val="0"/>
        <w:kinsoku/>
        <w:adjustRightInd/>
        <w:snapToGrid/>
        <w:ind w:firstLineChars="200" w:firstLine="480"/>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宋体" w:hint="eastAsia"/>
          <w:color w:val="auto"/>
          <w:spacing w:val="-2"/>
          <w:sz w:val="24"/>
          <w:szCs w:val="24"/>
          <w:lang w:eastAsia="zh-CN"/>
        </w:rPr>
        <w:t>3.2.6-2</w:t>
      </w:r>
      <w:r>
        <w:rPr>
          <w:rFonts w:ascii="Times New Roman" w:eastAsia="宋体" w:hAnsi="Times New Roman" w:cs="Times New Roman" w:hint="eastAsia"/>
          <w:snapToGrid/>
          <w:color w:val="auto"/>
          <w:kern w:val="2"/>
          <w:sz w:val="24"/>
          <w:szCs w:val="24"/>
          <w:lang w:eastAsia="zh-CN"/>
        </w:rPr>
        <w:t>各站位浮游植物种类数</w:t>
      </w:r>
    </w:p>
    <w:tbl>
      <w:tblPr>
        <w:tblW w:w="4900" w:type="pct"/>
        <w:jc w:val="center"/>
        <w:tblLook w:val="04A0" w:firstRow="1" w:lastRow="0" w:firstColumn="1" w:lastColumn="0" w:noHBand="0" w:noVBand="1"/>
      </w:tblPr>
      <w:tblGrid>
        <w:gridCol w:w="900"/>
        <w:gridCol w:w="623"/>
        <w:gridCol w:w="623"/>
        <w:gridCol w:w="623"/>
        <w:gridCol w:w="623"/>
        <w:gridCol w:w="623"/>
        <w:gridCol w:w="623"/>
        <w:gridCol w:w="623"/>
        <w:gridCol w:w="623"/>
        <w:gridCol w:w="623"/>
        <w:gridCol w:w="623"/>
        <w:gridCol w:w="623"/>
        <w:gridCol w:w="633"/>
        <w:gridCol w:w="678"/>
      </w:tblGrid>
      <w:tr w:rsidR="0075791A" w14:paraId="5994E15E" w14:textId="77777777">
        <w:trPr>
          <w:trHeight w:val="97"/>
          <w:jc w:val="center"/>
        </w:trPr>
        <w:tc>
          <w:tcPr>
            <w:tcW w:w="496"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483F5E21"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站位</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420B00D0"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S1</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3B2B09D3"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S2</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7D24AA75"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S3</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02AC3D4C"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S4</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24B84A94"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S5</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4D11CB8F"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S6</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3EBB1BD8"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S7</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2B2800B7"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S8</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38B03EC1"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S9</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5C643685"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S10</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0B8C864E"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S11</w:t>
            </w:r>
          </w:p>
        </w:tc>
        <w:tc>
          <w:tcPr>
            <w:tcW w:w="349"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290906B9"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S12</w:t>
            </w:r>
          </w:p>
        </w:tc>
        <w:tc>
          <w:tcPr>
            <w:tcW w:w="37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5A53BD60"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平均</w:t>
            </w:r>
          </w:p>
        </w:tc>
      </w:tr>
      <w:tr w:rsidR="0075791A" w14:paraId="7997DE3B" w14:textId="77777777">
        <w:trPr>
          <w:trHeight w:val="99"/>
          <w:jc w:val="center"/>
        </w:trPr>
        <w:tc>
          <w:tcPr>
            <w:tcW w:w="496"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3F96B6A7"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种类数</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13EA06E7"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42</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1417846B"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35</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653FAEB2"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44</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571DDAD9"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42</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2F619E29"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45</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4EFD50E1"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41</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6714943D"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8</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1B87D376"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39</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44C80D8A"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27</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49BC3F66"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32</w:t>
            </w:r>
          </w:p>
        </w:tc>
        <w:tc>
          <w:tcPr>
            <w:tcW w:w="34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55D904D8"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38</w:t>
            </w:r>
          </w:p>
        </w:tc>
        <w:tc>
          <w:tcPr>
            <w:tcW w:w="349"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019BB5AE"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39</w:t>
            </w:r>
          </w:p>
        </w:tc>
        <w:tc>
          <w:tcPr>
            <w:tcW w:w="373" w:type="pct"/>
            <w:tcBorders>
              <w:top w:val="single" w:sz="4" w:space="0" w:color="000000"/>
              <w:left w:val="single" w:sz="4" w:space="0" w:color="000000"/>
              <w:bottom w:val="single" w:sz="4" w:space="0" w:color="000000"/>
              <w:right w:val="single" w:sz="4" w:space="0" w:color="000000"/>
            </w:tcBorders>
            <w:noWrap/>
            <w:tcMar>
              <w:top w:w="0" w:type="dxa"/>
              <w:left w:w="57" w:type="dxa"/>
              <w:bottom w:w="0" w:type="dxa"/>
              <w:right w:w="57" w:type="dxa"/>
            </w:tcMar>
            <w:vAlign w:val="center"/>
          </w:tcPr>
          <w:p w14:paraId="4D957434"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36</w:t>
            </w:r>
          </w:p>
        </w:tc>
      </w:tr>
    </w:tbl>
    <w:p w14:paraId="523585F4"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74" w:name="_Toc25536"/>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2</w:t>
      </w: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b/>
          <w:bCs/>
          <w:snapToGrid/>
          <w:color w:val="auto"/>
          <w:kern w:val="2"/>
          <w:sz w:val="24"/>
          <w:szCs w:val="24"/>
          <w:lang w:eastAsia="zh-CN"/>
        </w:rPr>
        <w:t>优势种</w:t>
      </w:r>
      <w:bookmarkEnd w:id="174"/>
    </w:p>
    <w:p w14:paraId="6A60B9AE" w14:textId="77777777" w:rsidR="0075791A" w:rsidRDefault="00FB2864">
      <w:pPr>
        <w:widowControl w:val="0"/>
        <w:kinsoku/>
        <w:adjustRightInd/>
        <w:snapToGrid/>
        <w:spacing w:line="348"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通过对浮游植物优势种计算，优势度（</w:t>
      </w:r>
      <w:r>
        <w:rPr>
          <w:rFonts w:ascii="Times New Roman" w:eastAsia="宋体" w:hAnsi="Times New Roman" w:cs="Times New Roman"/>
          <w:snapToGrid/>
          <w:color w:val="auto"/>
          <w:kern w:val="2"/>
          <w:sz w:val="24"/>
          <w:szCs w:val="24"/>
          <w:lang w:eastAsia="zh-CN"/>
        </w:rPr>
        <w:t>Y</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0.02</w:t>
      </w:r>
      <w:r>
        <w:rPr>
          <w:rFonts w:ascii="Times New Roman" w:eastAsia="宋体" w:hAnsi="Times New Roman" w:cs="Times New Roman"/>
          <w:snapToGrid/>
          <w:color w:val="auto"/>
          <w:kern w:val="2"/>
          <w:sz w:val="24"/>
          <w:szCs w:val="24"/>
          <w:lang w:eastAsia="zh-CN"/>
        </w:rPr>
        <w:t>）的有害鱼微囊藻</w:t>
      </w:r>
      <w:r>
        <w:rPr>
          <w:rFonts w:ascii="Times New Roman" w:eastAsia="宋体" w:hAnsi="Times New Roman" w:cs="Times New Roman"/>
          <w:snapToGrid/>
          <w:color w:val="auto"/>
          <w:kern w:val="2"/>
          <w:sz w:val="24"/>
          <w:szCs w:val="24"/>
          <w:lang w:eastAsia="zh-CN"/>
        </w:rPr>
        <w:t>Microcystis aeruginosa</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席藻</w:t>
      </w:r>
      <w:r>
        <w:rPr>
          <w:rFonts w:ascii="Times New Roman" w:eastAsia="宋体" w:hAnsi="Times New Roman" w:cs="Times New Roman"/>
          <w:snapToGrid/>
          <w:color w:val="auto"/>
          <w:kern w:val="2"/>
          <w:sz w:val="24"/>
          <w:szCs w:val="24"/>
          <w:lang w:eastAsia="zh-CN"/>
        </w:rPr>
        <w:t>Phormidium sp.</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环离浮鞘丝藻</w:t>
      </w:r>
      <w:r>
        <w:rPr>
          <w:rFonts w:ascii="Times New Roman" w:eastAsia="宋体" w:hAnsi="Times New Roman" w:cs="Times New Roman"/>
          <w:snapToGrid/>
          <w:color w:val="auto"/>
          <w:kern w:val="2"/>
          <w:sz w:val="24"/>
          <w:szCs w:val="24"/>
          <w:lang w:eastAsia="zh-CN"/>
        </w:rPr>
        <w:t>Limnolyngbya circumcreta</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舟形藻</w:t>
      </w:r>
      <w:r>
        <w:rPr>
          <w:rFonts w:ascii="Times New Roman" w:eastAsia="宋体" w:hAnsi="Times New Roman" w:cs="Times New Roman"/>
          <w:snapToGrid/>
          <w:color w:val="auto"/>
          <w:kern w:val="2"/>
          <w:sz w:val="24"/>
          <w:szCs w:val="24"/>
          <w:lang w:eastAsia="zh-CN"/>
        </w:rPr>
        <w:lastRenderedPageBreak/>
        <w:t>Navicala sp.</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丹麦细柱藻</w:t>
      </w:r>
      <w:r>
        <w:rPr>
          <w:rFonts w:ascii="Times New Roman" w:eastAsia="宋体" w:hAnsi="Times New Roman" w:cs="Times New Roman"/>
          <w:snapToGrid/>
          <w:color w:val="auto"/>
          <w:kern w:val="2"/>
          <w:sz w:val="24"/>
          <w:szCs w:val="24"/>
          <w:lang w:eastAsia="zh-CN"/>
        </w:rPr>
        <w:t>Leptocylindrus danicus</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旋链角毛藻</w:t>
      </w:r>
      <w:r>
        <w:rPr>
          <w:rFonts w:ascii="Times New Roman" w:eastAsia="宋体" w:hAnsi="Times New Roman" w:cs="Times New Roman"/>
          <w:snapToGrid/>
          <w:color w:val="auto"/>
          <w:kern w:val="2"/>
          <w:sz w:val="24"/>
          <w:szCs w:val="24"/>
          <w:lang w:eastAsia="zh-CN"/>
        </w:rPr>
        <w:t>Chaetoceros curvisetus</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四尾链带藻</w:t>
      </w:r>
      <w:r>
        <w:rPr>
          <w:rFonts w:ascii="Times New Roman" w:eastAsia="宋体" w:hAnsi="Times New Roman" w:cs="Times New Roman"/>
          <w:snapToGrid/>
          <w:color w:val="auto"/>
          <w:kern w:val="2"/>
          <w:sz w:val="24"/>
          <w:szCs w:val="24"/>
          <w:lang w:eastAsia="zh-CN"/>
        </w:rPr>
        <w:t>Desmodesmus quadricauda</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双棘链带藻</w:t>
      </w:r>
      <w:r>
        <w:rPr>
          <w:rFonts w:ascii="Times New Roman" w:eastAsia="宋体" w:hAnsi="Times New Roman" w:cs="Times New Roman"/>
          <w:snapToGrid/>
          <w:color w:val="auto"/>
          <w:kern w:val="2"/>
          <w:sz w:val="24"/>
          <w:szCs w:val="24"/>
          <w:lang w:eastAsia="zh-CN"/>
        </w:rPr>
        <w:t>Desmodesmus bicaudatus</w:t>
      </w:r>
      <w:r>
        <w:rPr>
          <w:rFonts w:ascii="Times New Roman" w:eastAsia="宋体" w:hAnsi="Times New Roman" w:cs="Times New Roman"/>
          <w:snapToGrid/>
          <w:color w:val="auto"/>
          <w:kern w:val="2"/>
          <w:sz w:val="24"/>
          <w:szCs w:val="24"/>
          <w:lang w:eastAsia="zh-CN"/>
        </w:rPr>
        <w:t>。其中优势度最大的为害鱼微囊藻，</w:t>
      </w:r>
      <w:r>
        <w:rPr>
          <w:rFonts w:ascii="Times New Roman" w:eastAsia="宋体" w:hAnsi="Times New Roman" w:cs="Times New Roman" w:hint="eastAsia"/>
          <w:snapToGrid/>
          <w:color w:val="auto"/>
          <w:kern w:val="2"/>
          <w:sz w:val="24"/>
          <w:szCs w:val="24"/>
          <w:lang w:eastAsia="zh-CN"/>
        </w:rPr>
        <w:t>优势度</w:t>
      </w:r>
      <w:r>
        <w:rPr>
          <w:rFonts w:ascii="Times New Roman" w:eastAsia="宋体" w:hAnsi="Times New Roman" w:cs="Times New Roman"/>
          <w:snapToGrid/>
          <w:color w:val="auto"/>
          <w:kern w:val="2"/>
          <w:sz w:val="24"/>
          <w:szCs w:val="24"/>
          <w:lang w:eastAsia="zh-CN"/>
        </w:rPr>
        <w:t>为</w:t>
      </w:r>
      <w:r>
        <w:rPr>
          <w:rFonts w:ascii="Times New Roman" w:eastAsia="宋体" w:hAnsi="Times New Roman" w:cs="Times New Roman"/>
          <w:snapToGrid/>
          <w:color w:val="auto"/>
          <w:kern w:val="2"/>
          <w:sz w:val="24"/>
          <w:szCs w:val="24"/>
          <w:lang w:eastAsia="zh-CN"/>
        </w:rPr>
        <w:t>0.</w:t>
      </w:r>
      <w:r>
        <w:rPr>
          <w:rFonts w:ascii="Times New Roman" w:eastAsia="宋体" w:hAnsi="Times New Roman" w:cs="Times New Roman" w:hint="eastAsia"/>
          <w:snapToGrid/>
          <w:color w:val="auto"/>
          <w:kern w:val="2"/>
          <w:sz w:val="24"/>
          <w:szCs w:val="24"/>
          <w:lang w:eastAsia="zh-CN"/>
        </w:rPr>
        <w:t>20</w:t>
      </w:r>
      <w:r>
        <w:rPr>
          <w:rFonts w:ascii="Times New Roman" w:eastAsia="宋体" w:hAnsi="Times New Roman" w:cs="Times New Roman"/>
          <w:snapToGrid/>
          <w:color w:val="auto"/>
          <w:kern w:val="2"/>
          <w:sz w:val="24"/>
          <w:szCs w:val="24"/>
          <w:lang w:eastAsia="zh-CN"/>
        </w:rPr>
        <w:t>，其他优势种及优势度见表</w:t>
      </w:r>
      <w:r>
        <w:rPr>
          <w:rFonts w:ascii="Times New Roman" w:eastAsia="宋体" w:hAnsi="Times New Roman" w:cs="宋体" w:hint="eastAsia"/>
          <w:color w:val="auto"/>
          <w:spacing w:val="-2"/>
          <w:sz w:val="24"/>
          <w:szCs w:val="24"/>
          <w:lang w:eastAsia="zh-CN"/>
        </w:rPr>
        <w:t>3.2.6-3</w:t>
      </w:r>
      <w:r>
        <w:rPr>
          <w:rFonts w:ascii="Times New Roman" w:eastAsia="宋体" w:hAnsi="Times New Roman" w:cs="Times New Roman"/>
          <w:snapToGrid/>
          <w:color w:val="auto"/>
          <w:kern w:val="2"/>
          <w:sz w:val="24"/>
          <w:szCs w:val="24"/>
          <w:lang w:eastAsia="zh-CN"/>
        </w:rPr>
        <w:t>。</w:t>
      </w:r>
    </w:p>
    <w:p w14:paraId="1BC03276" w14:textId="77777777" w:rsidR="0075791A" w:rsidRDefault="0075791A">
      <w:pPr>
        <w:kinsoku/>
        <w:autoSpaceDE/>
        <w:autoSpaceDN/>
        <w:jc w:val="center"/>
        <w:textAlignment w:val="auto"/>
        <w:rPr>
          <w:rFonts w:ascii="Times New Roman" w:eastAsia="宋体" w:hAnsi="Times New Roman" w:cs="宋体"/>
          <w:color w:val="auto"/>
          <w:spacing w:val="-2"/>
          <w:sz w:val="24"/>
          <w:szCs w:val="24"/>
          <w:lang w:eastAsia="zh-CN"/>
        </w:rPr>
      </w:pPr>
    </w:p>
    <w:p w14:paraId="375CA213" w14:textId="77777777" w:rsidR="0075791A" w:rsidRDefault="00FB2864">
      <w:pPr>
        <w:kinsoku/>
        <w:autoSpaceDE/>
        <w:autoSpaceDN/>
        <w:jc w:val="center"/>
        <w:textAlignment w:val="auto"/>
        <w:rPr>
          <w:rFonts w:ascii="Times New Roman" w:eastAsia="宋体" w:hAnsi="Times New Roman" w:cs="Times New Roman"/>
          <w:b/>
          <w:bCs/>
          <w:snapToGrid/>
          <w:color w:val="auto"/>
          <w:kern w:val="2"/>
          <w:sz w:val="24"/>
          <w:lang w:eastAsia="zh-CN"/>
        </w:rPr>
      </w:pPr>
      <w:r>
        <w:rPr>
          <w:rFonts w:ascii="Times New Roman" w:eastAsia="宋体" w:hAnsi="Times New Roman" w:cs="宋体" w:hint="eastAsia"/>
          <w:color w:val="auto"/>
          <w:spacing w:val="-2"/>
          <w:sz w:val="24"/>
          <w:szCs w:val="24"/>
          <w:lang w:eastAsia="zh-CN"/>
        </w:rPr>
        <w:t>表</w:t>
      </w:r>
      <w:r>
        <w:rPr>
          <w:rFonts w:ascii="Times New Roman" w:eastAsia="宋体" w:hAnsi="Times New Roman" w:cs="宋体" w:hint="eastAsia"/>
          <w:color w:val="auto"/>
          <w:spacing w:val="-2"/>
          <w:sz w:val="24"/>
          <w:szCs w:val="24"/>
          <w:lang w:eastAsia="zh-CN"/>
        </w:rPr>
        <w:t>3.2.6-3</w:t>
      </w:r>
      <w:r>
        <w:rPr>
          <w:rFonts w:ascii="Times New Roman" w:eastAsia="宋体" w:hAnsi="Times New Roman" w:cs="Times New Roman" w:hint="eastAsia"/>
          <w:snapToGrid/>
          <w:color w:val="auto"/>
          <w:kern w:val="2"/>
          <w:sz w:val="24"/>
          <w:szCs w:val="24"/>
          <w:lang w:eastAsia="zh-CN"/>
        </w:rPr>
        <w:t xml:space="preserve"> </w:t>
      </w:r>
      <w:r>
        <w:rPr>
          <w:rFonts w:ascii="Times New Roman" w:eastAsia="宋体" w:hAnsi="Times New Roman" w:cs="Times New Roman" w:hint="eastAsia"/>
          <w:snapToGrid/>
          <w:color w:val="auto"/>
          <w:kern w:val="2"/>
          <w:sz w:val="24"/>
          <w:szCs w:val="24"/>
          <w:lang w:eastAsia="zh-CN"/>
        </w:rPr>
        <w:t>各站位浮游植物种类数</w:t>
      </w:r>
    </w:p>
    <w:tbl>
      <w:tblPr>
        <w:tblW w:w="40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1"/>
        <w:gridCol w:w="1697"/>
        <w:gridCol w:w="3640"/>
        <w:gridCol w:w="1085"/>
      </w:tblGrid>
      <w:tr w:rsidR="0075791A" w14:paraId="430B971A" w14:textId="77777777">
        <w:trPr>
          <w:trHeight w:val="308"/>
          <w:tblHeader/>
          <w:jc w:val="center"/>
        </w:trPr>
        <w:tc>
          <w:tcPr>
            <w:tcW w:w="720" w:type="pct"/>
            <w:noWrap/>
            <w:vAlign w:val="center"/>
          </w:tcPr>
          <w:p w14:paraId="77C27822"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lang w:eastAsia="zh-CN" w:bidi="ar"/>
              </w:rPr>
              <w:t>门类</w:t>
            </w:r>
          </w:p>
        </w:tc>
        <w:tc>
          <w:tcPr>
            <w:tcW w:w="1130" w:type="pct"/>
            <w:noWrap/>
            <w:vAlign w:val="center"/>
          </w:tcPr>
          <w:p w14:paraId="7A87AA42"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lang w:eastAsia="zh-CN" w:bidi="ar"/>
              </w:rPr>
              <w:t>中文名</w:t>
            </w:r>
          </w:p>
        </w:tc>
        <w:tc>
          <w:tcPr>
            <w:tcW w:w="2425" w:type="pct"/>
            <w:noWrap/>
            <w:vAlign w:val="center"/>
          </w:tcPr>
          <w:p w14:paraId="419B9432"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lang w:eastAsia="zh-CN" w:bidi="ar"/>
              </w:rPr>
              <w:t>拉丁文名</w:t>
            </w:r>
          </w:p>
        </w:tc>
        <w:tc>
          <w:tcPr>
            <w:tcW w:w="723" w:type="pct"/>
            <w:noWrap/>
            <w:vAlign w:val="center"/>
          </w:tcPr>
          <w:p w14:paraId="08912380"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lang w:eastAsia="zh-CN" w:bidi="ar"/>
              </w:rPr>
              <w:t>优势度</w:t>
            </w:r>
          </w:p>
        </w:tc>
      </w:tr>
      <w:tr w:rsidR="0075791A" w14:paraId="555FA3CA" w14:textId="77777777">
        <w:trPr>
          <w:trHeight w:val="308"/>
          <w:jc w:val="center"/>
        </w:trPr>
        <w:tc>
          <w:tcPr>
            <w:tcW w:w="720" w:type="pct"/>
            <w:vMerge w:val="restart"/>
            <w:noWrap/>
            <w:vAlign w:val="center"/>
          </w:tcPr>
          <w:p w14:paraId="2EB0A3BA"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蓝藻门</w:t>
            </w:r>
          </w:p>
        </w:tc>
        <w:tc>
          <w:tcPr>
            <w:tcW w:w="1130" w:type="pct"/>
            <w:noWrap/>
            <w:vAlign w:val="center"/>
          </w:tcPr>
          <w:p w14:paraId="4985E3E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害鱼微囊藻</w:t>
            </w:r>
          </w:p>
        </w:tc>
        <w:tc>
          <w:tcPr>
            <w:tcW w:w="2425" w:type="pct"/>
            <w:noWrap/>
            <w:vAlign w:val="center"/>
          </w:tcPr>
          <w:p w14:paraId="3084B36A"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lang w:eastAsia="zh-CN"/>
              </w:rPr>
            </w:pPr>
            <w:r>
              <w:rPr>
                <w:rFonts w:ascii="Times New Roman" w:eastAsia="宋体" w:hAnsi="Times New Roman" w:cs="Times New Roman"/>
                <w:i/>
                <w:iCs/>
                <w:snapToGrid/>
                <w:color w:val="auto"/>
                <w:lang w:eastAsia="zh-CN" w:bidi="ar"/>
              </w:rPr>
              <w:t>Microcystis aeruginosa</w:t>
            </w:r>
          </w:p>
        </w:tc>
        <w:tc>
          <w:tcPr>
            <w:tcW w:w="723" w:type="pct"/>
            <w:noWrap/>
            <w:vAlign w:val="center"/>
          </w:tcPr>
          <w:p w14:paraId="6DE3C092"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0.20</w:t>
            </w:r>
          </w:p>
        </w:tc>
      </w:tr>
      <w:tr w:rsidR="0075791A" w14:paraId="1BA77D98" w14:textId="77777777">
        <w:trPr>
          <w:trHeight w:val="308"/>
          <w:jc w:val="center"/>
        </w:trPr>
        <w:tc>
          <w:tcPr>
            <w:tcW w:w="720" w:type="pct"/>
            <w:vMerge/>
            <w:noWrap/>
            <w:vAlign w:val="center"/>
          </w:tcPr>
          <w:p w14:paraId="511B54DF" w14:textId="77777777" w:rsidR="0075791A" w:rsidRDefault="0075791A">
            <w:pPr>
              <w:kinsoku/>
              <w:autoSpaceDE/>
              <w:autoSpaceDN/>
              <w:adjustRightInd/>
              <w:snapToGrid/>
              <w:jc w:val="center"/>
              <w:textAlignment w:val="bottom"/>
              <w:rPr>
                <w:rFonts w:ascii="Times New Roman" w:eastAsia="宋体" w:hAnsi="Times New Roman" w:cs="Times New Roman"/>
                <w:snapToGrid/>
                <w:color w:val="auto"/>
                <w:kern w:val="2"/>
                <w:lang w:eastAsia="zh-CN"/>
              </w:rPr>
            </w:pPr>
          </w:p>
        </w:tc>
        <w:tc>
          <w:tcPr>
            <w:tcW w:w="1130" w:type="pct"/>
            <w:noWrap/>
            <w:vAlign w:val="center"/>
          </w:tcPr>
          <w:p w14:paraId="2093DCB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席藻</w:t>
            </w:r>
          </w:p>
        </w:tc>
        <w:tc>
          <w:tcPr>
            <w:tcW w:w="2425" w:type="pct"/>
            <w:noWrap/>
            <w:vAlign w:val="center"/>
          </w:tcPr>
          <w:p w14:paraId="6386E298"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lang w:eastAsia="zh-CN"/>
              </w:rPr>
            </w:pPr>
            <w:r>
              <w:rPr>
                <w:rFonts w:ascii="Times New Roman" w:eastAsia="宋体" w:hAnsi="Times New Roman" w:cs="Times New Roman"/>
                <w:i/>
                <w:iCs/>
                <w:snapToGrid/>
                <w:color w:val="auto"/>
                <w:lang w:eastAsia="zh-CN" w:bidi="ar"/>
              </w:rPr>
              <w:t xml:space="preserve">Phormidium </w:t>
            </w:r>
            <w:r>
              <w:rPr>
                <w:rFonts w:ascii="Times New Roman" w:eastAsia="宋体" w:hAnsi="Times New Roman" w:cs="Times New Roman"/>
                <w:snapToGrid/>
                <w:color w:val="auto"/>
                <w:lang w:eastAsia="zh-CN" w:bidi="ar"/>
              </w:rPr>
              <w:t>sp.</w:t>
            </w:r>
          </w:p>
        </w:tc>
        <w:tc>
          <w:tcPr>
            <w:tcW w:w="723" w:type="pct"/>
            <w:noWrap/>
            <w:vAlign w:val="center"/>
          </w:tcPr>
          <w:p w14:paraId="48AFCF10"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0.02</w:t>
            </w:r>
          </w:p>
        </w:tc>
      </w:tr>
      <w:tr w:rsidR="0075791A" w14:paraId="0E67E5F4" w14:textId="77777777">
        <w:trPr>
          <w:trHeight w:val="308"/>
          <w:jc w:val="center"/>
        </w:trPr>
        <w:tc>
          <w:tcPr>
            <w:tcW w:w="720" w:type="pct"/>
            <w:vMerge/>
            <w:noWrap/>
            <w:vAlign w:val="center"/>
          </w:tcPr>
          <w:p w14:paraId="0389EF76" w14:textId="77777777" w:rsidR="0075791A" w:rsidRDefault="0075791A">
            <w:pPr>
              <w:kinsoku/>
              <w:autoSpaceDE/>
              <w:autoSpaceDN/>
              <w:adjustRightInd/>
              <w:snapToGrid/>
              <w:jc w:val="center"/>
              <w:textAlignment w:val="center"/>
              <w:rPr>
                <w:rFonts w:ascii="Times New Roman" w:eastAsia="宋体" w:hAnsi="Times New Roman" w:cs="Times New Roman"/>
                <w:snapToGrid/>
                <w:color w:val="auto"/>
                <w:kern w:val="2"/>
                <w:lang w:eastAsia="zh-CN"/>
              </w:rPr>
            </w:pPr>
          </w:p>
        </w:tc>
        <w:tc>
          <w:tcPr>
            <w:tcW w:w="1130" w:type="pct"/>
            <w:noWrap/>
            <w:vAlign w:val="center"/>
          </w:tcPr>
          <w:p w14:paraId="5DB4410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环离浮鞘丝藻</w:t>
            </w:r>
          </w:p>
        </w:tc>
        <w:tc>
          <w:tcPr>
            <w:tcW w:w="2425" w:type="pct"/>
            <w:noWrap/>
            <w:vAlign w:val="center"/>
          </w:tcPr>
          <w:p w14:paraId="672FAE77"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lang w:eastAsia="zh-CN"/>
              </w:rPr>
            </w:pPr>
            <w:r>
              <w:rPr>
                <w:rFonts w:ascii="Times New Roman" w:eastAsia="宋体" w:hAnsi="Times New Roman" w:cs="Times New Roman"/>
                <w:i/>
                <w:iCs/>
                <w:snapToGrid/>
                <w:color w:val="auto"/>
                <w:lang w:eastAsia="zh-CN" w:bidi="ar"/>
              </w:rPr>
              <w:t>Limnolyngbya circumcreta</w:t>
            </w:r>
          </w:p>
        </w:tc>
        <w:tc>
          <w:tcPr>
            <w:tcW w:w="723" w:type="pct"/>
            <w:noWrap/>
            <w:vAlign w:val="center"/>
          </w:tcPr>
          <w:p w14:paraId="2B44EDE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0.12</w:t>
            </w:r>
          </w:p>
        </w:tc>
      </w:tr>
      <w:tr w:rsidR="0075791A" w14:paraId="7596993A" w14:textId="77777777">
        <w:trPr>
          <w:trHeight w:val="308"/>
          <w:jc w:val="center"/>
        </w:trPr>
        <w:tc>
          <w:tcPr>
            <w:tcW w:w="720" w:type="pct"/>
            <w:vMerge/>
            <w:noWrap/>
            <w:vAlign w:val="center"/>
          </w:tcPr>
          <w:p w14:paraId="42ED811B" w14:textId="77777777" w:rsidR="0075791A" w:rsidRDefault="0075791A">
            <w:pPr>
              <w:kinsoku/>
              <w:autoSpaceDE/>
              <w:autoSpaceDN/>
              <w:adjustRightInd/>
              <w:snapToGrid/>
              <w:jc w:val="center"/>
              <w:textAlignment w:val="center"/>
              <w:rPr>
                <w:rFonts w:ascii="Times New Roman" w:eastAsia="宋体" w:hAnsi="Times New Roman" w:cs="Times New Roman"/>
                <w:snapToGrid/>
                <w:color w:val="auto"/>
                <w:kern w:val="2"/>
                <w:lang w:eastAsia="zh-CN"/>
              </w:rPr>
            </w:pPr>
          </w:p>
        </w:tc>
        <w:tc>
          <w:tcPr>
            <w:tcW w:w="1130" w:type="pct"/>
            <w:noWrap/>
            <w:vAlign w:val="center"/>
          </w:tcPr>
          <w:p w14:paraId="2C7EBCE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细小平裂藻</w:t>
            </w:r>
          </w:p>
        </w:tc>
        <w:tc>
          <w:tcPr>
            <w:tcW w:w="2425" w:type="pct"/>
            <w:noWrap/>
            <w:vAlign w:val="center"/>
          </w:tcPr>
          <w:p w14:paraId="1520D5F0"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lang w:eastAsia="zh-CN"/>
              </w:rPr>
            </w:pPr>
            <w:r>
              <w:rPr>
                <w:rFonts w:ascii="Times New Roman" w:eastAsia="宋体" w:hAnsi="Times New Roman" w:cs="Times New Roman"/>
                <w:i/>
                <w:iCs/>
                <w:snapToGrid/>
                <w:color w:val="auto"/>
                <w:lang w:eastAsia="zh-CN" w:bidi="ar"/>
              </w:rPr>
              <w:t>Merismopedia tenuissima</w:t>
            </w:r>
          </w:p>
        </w:tc>
        <w:tc>
          <w:tcPr>
            <w:tcW w:w="723" w:type="pct"/>
            <w:noWrap/>
            <w:vAlign w:val="center"/>
          </w:tcPr>
          <w:p w14:paraId="27BC15A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0.03</w:t>
            </w:r>
          </w:p>
        </w:tc>
      </w:tr>
      <w:tr w:rsidR="0075791A" w14:paraId="565CC0CB" w14:textId="77777777">
        <w:trPr>
          <w:trHeight w:val="308"/>
          <w:jc w:val="center"/>
        </w:trPr>
        <w:tc>
          <w:tcPr>
            <w:tcW w:w="720" w:type="pct"/>
            <w:vMerge/>
            <w:noWrap/>
            <w:vAlign w:val="center"/>
          </w:tcPr>
          <w:p w14:paraId="2D813ACF" w14:textId="77777777" w:rsidR="0075791A" w:rsidRDefault="0075791A">
            <w:pPr>
              <w:kinsoku/>
              <w:autoSpaceDE/>
              <w:autoSpaceDN/>
              <w:adjustRightInd/>
              <w:snapToGrid/>
              <w:jc w:val="center"/>
              <w:textAlignment w:val="center"/>
              <w:rPr>
                <w:rFonts w:ascii="Times New Roman" w:eastAsia="宋体" w:hAnsi="Times New Roman" w:cs="Times New Roman"/>
                <w:snapToGrid/>
                <w:color w:val="auto"/>
                <w:kern w:val="2"/>
                <w:lang w:eastAsia="zh-CN"/>
              </w:rPr>
            </w:pPr>
          </w:p>
        </w:tc>
        <w:tc>
          <w:tcPr>
            <w:tcW w:w="1130" w:type="pct"/>
            <w:noWrap/>
            <w:vAlign w:val="center"/>
          </w:tcPr>
          <w:p w14:paraId="51B9F10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平裂藻</w:t>
            </w:r>
          </w:p>
        </w:tc>
        <w:tc>
          <w:tcPr>
            <w:tcW w:w="2425" w:type="pct"/>
            <w:noWrap/>
            <w:vAlign w:val="center"/>
          </w:tcPr>
          <w:p w14:paraId="6560DE4D"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lang w:eastAsia="zh-CN"/>
              </w:rPr>
            </w:pPr>
            <w:r>
              <w:rPr>
                <w:rFonts w:ascii="Times New Roman" w:eastAsia="宋体" w:hAnsi="Times New Roman" w:cs="Times New Roman"/>
                <w:i/>
                <w:iCs/>
                <w:snapToGrid/>
                <w:color w:val="auto"/>
                <w:lang w:eastAsia="zh-CN" w:bidi="ar"/>
              </w:rPr>
              <w:t>Merismopedia sp.</w:t>
            </w:r>
          </w:p>
        </w:tc>
        <w:tc>
          <w:tcPr>
            <w:tcW w:w="723" w:type="pct"/>
            <w:noWrap/>
            <w:vAlign w:val="center"/>
          </w:tcPr>
          <w:p w14:paraId="503D2FB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0.02</w:t>
            </w:r>
          </w:p>
        </w:tc>
      </w:tr>
      <w:tr w:rsidR="0075791A" w14:paraId="39D8ABA9" w14:textId="77777777">
        <w:trPr>
          <w:trHeight w:val="308"/>
          <w:jc w:val="center"/>
        </w:trPr>
        <w:tc>
          <w:tcPr>
            <w:tcW w:w="720" w:type="pct"/>
            <w:vMerge/>
            <w:noWrap/>
            <w:vAlign w:val="center"/>
          </w:tcPr>
          <w:p w14:paraId="3F5D1DDD" w14:textId="77777777" w:rsidR="0075791A" w:rsidRDefault="0075791A">
            <w:pPr>
              <w:kinsoku/>
              <w:autoSpaceDE/>
              <w:autoSpaceDN/>
              <w:adjustRightInd/>
              <w:snapToGrid/>
              <w:jc w:val="center"/>
              <w:textAlignment w:val="center"/>
              <w:rPr>
                <w:rFonts w:ascii="Times New Roman" w:eastAsia="宋体" w:hAnsi="Times New Roman" w:cs="Times New Roman"/>
                <w:snapToGrid/>
                <w:color w:val="auto"/>
                <w:kern w:val="2"/>
                <w:lang w:eastAsia="zh-CN"/>
              </w:rPr>
            </w:pPr>
          </w:p>
        </w:tc>
        <w:tc>
          <w:tcPr>
            <w:tcW w:w="1130" w:type="pct"/>
            <w:noWrap/>
            <w:vAlign w:val="center"/>
          </w:tcPr>
          <w:p w14:paraId="724F734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颤藻</w:t>
            </w:r>
          </w:p>
        </w:tc>
        <w:tc>
          <w:tcPr>
            <w:tcW w:w="2425" w:type="pct"/>
            <w:noWrap/>
            <w:vAlign w:val="center"/>
          </w:tcPr>
          <w:p w14:paraId="6D05B238"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lang w:eastAsia="zh-CN"/>
              </w:rPr>
            </w:pPr>
            <w:r>
              <w:rPr>
                <w:rFonts w:ascii="Times New Roman" w:eastAsia="宋体" w:hAnsi="Times New Roman" w:cs="Times New Roman"/>
                <w:i/>
                <w:iCs/>
                <w:snapToGrid/>
                <w:color w:val="auto"/>
                <w:lang w:eastAsia="zh-CN" w:bidi="ar"/>
              </w:rPr>
              <w:t>Oscillatoria sp.</w:t>
            </w:r>
          </w:p>
        </w:tc>
        <w:tc>
          <w:tcPr>
            <w:tcW w:w="723" w:type="pct"/>
            <w:noWrap/>
            <w:vAlign w:val="center"/>
          </w:tcPr>
          <w:p w14:paraId="0E93094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0.02</w:t>
            </w:r>
          </w:p>
        </w:tc>
      </w:tr>
      <w:tr w:rsidR="0075791A" w14:paraId="5376EC03" w14:textId="77777777">
        <w:trPr>
          <w:trHeight w:val="308"/>
          <w:jc w:val="center"/>
        </w:trPr>
        <w:tc>
          <w:tcPr>
            <w:tcW w:w="720" w:type="pct"/>
            <w:vMerge w:val="restart"/>
            <w:noWrap/>
            <w:vAlign w:val="center"/>
          </w:tcPr>
          <w:p w14:paraId="483E405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硅藻门</w:t>
            </w:r>
          </w:p>
        </w:tc>
        <w:tc>
          <w:tcPr>
            <w:tcW w:w="1130" w:type="pct"/>
            <w:noWrap/>
            <w:vAlign w:val="center"/>
          </w:tcPr>
          <w:p w14:paraId="1736600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舟形藻</w:t>
            </w:r>
          </w:p>
        </w:tc>
        <w:tc>
          <w:tcPr>
            <w:tcW w:w="2425" w:type="pct"/>
            <w:noWrap/>
            <w:vAlign w:val="center"/>
          </w:tcPr>
          <w:p w14:paraId="1C0EEF5F"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lang w:eastAsia="zh-CN"/>
              </w:rPr>
            </w:pPr>
            <w:r>
              <w:rPr>
                <w:rFonts w:ascii="Times New Roman" w:eastAsia="宋体" w:hAnsi="Times New Roman" w:cs="Times New Roman"/>
                <w:i/>
                <w:iCs/>
                <w:snapToGrid/>
                <w:color w:val="auto"/>
                <w:lang w:eastAsia="zh-CN" w:bidi="ar"/>
              </w:rPr>
              <w:t>Navicala sp.</w:t>
            </w:r>
          </w:p>
        </w:tc>
        <w:tc>
          <w:tcPr>
            <w:tcW w:w="723" w:type="pct"/>
            <w:noWrap/>
            <w:vAlign w:val="center"/>
          </w:tcPr>
          <w:p w14:paraId="0401C88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0.02</w:t>
            </w:r>
          </w:p>
        </w:tc>
      </w:tr>
      <w:tr w:rsidR="0075791A" w14:paraId="7BDD2E61" w14:textId="77777777">
        <w:trPr>
          <w:trHeight w:val="308"/>
          <w:jc w:val="center"/>
        </w:trPr>
        <w:tc>
          <w:tcPr>
            <w:tcW w:w="720" w:type="pct"/>
            <w:vMerge/>
            <w:noWrap/>
            <w:vAlign w:val="center"/>
          </w:tcPr>
          <w:p w14:paraId="14490A6E" w14:textId="77777777" w:rsidR="0075791A" w:rsidRDefault="0075791A">
            <w:pPr>
              <w:kinsoku/>
              <w:autoSpaceDE/>
              <w:autoSpaceDN/>
              <w:adjustRightInd/>
              <w:snapToGrid/>
              <w:jc w:val="center"/>
              <w:textAlignment w:val="bottom"/>
              <w:rPr>
                <w:rFonts w:ascii="Times New Roman" w:eastAsia="宋体" w:hAnsi="Times New Roman" w:cs="Times New Roman"/>
                <w:snapToGrid/>
                <w:color w:val="auto"/>
                <w:kern w:val="2"/>
                <w:lang w:eastAsia="zh-CN"/>
              </w:rPr>
            </w:pPr>
          </w:p>
        </w:tc>
        <w:tc>
          <w:tcPr>
            <w:tcW w:w="1130" w:type="pct"/>
            <w:noWrap/>
            <w:vAlign w:val="center"/>
          </w:tcPr>
          <w:p w14:paraId="5121E18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丹麦细柱藻</w:t>
            </w:r>
          </w:p>
        </w:tc>
        <w:tc>
          <w:tcPr>
            <w:tcW w:w="2425" w:type="pct"/>
            <w:noWrap/>
            <w:vAlign w:val="center"/>
          </w:tcPr>
          <w:p w14:paraId="1BD68B8F"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lang w:eastAsia="zh-CN"/>
              </w:rPr>
            </w:pPr>
            <w:r>
              <w:rPr>
                <w:rFonts w:ascii="Times New Roman" w:eastAsia="宋体" w:hAnsi="Times New Roman" w:cs="Times New Roman"/>
                <w:i/>
                <w:iCs/>
                <w:snapToGrid/>
                <w:color w:val="auto"/>
                <w:lang w:eastAsia="zh-CN" w:bidi="ar"/>
              </w:rPr>
              <w:t>Leptocylindrus danicus</w:t>
            </w:r>
          </w:p>
        </w:tc>
        <w:tc>
          <w:tcPr>
            <w:tcW w:w="723" w:type="pct"/>
            <w:noWrap/>
            <w:vAlign w:val="center"/>
          </w:tcPr>
          <w:p w14:paraId="10B49C4F"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0.08</w:t>
            </w:r>
          </w:p>
        </w:tc>
      </w:tr>
      <w:tr w:rsidR="0075791A" w14:paraId="47DA04D7" w14:textId="77777777">
        <w:trPr>
          <w:trHeight w:val="308"/>
          <w:jc w:val="center"/>
        </w:trPr>
        <w:tc>
          <w:tcPr>
            <w:tcW w:w="720" w:type="pct"/>
            <w:vMerge/>
            <w:noWrap/>
            <w:vAlign w:val="center"/>
          </w:tcPr>
          <w:p w14:paraId="6F493B78" w14:textId="77777777" w:rsidR="0075791A" w:rsidRDefault="0075791A">
            <w:pPr>
              <w:kinsoku/>
              <w:autoSpaceDE/>
              <w:autoSpaceDN/>
              <w:adjustRightInd/>
              <w:snapToGrid/>
              <w:jc w:val="center"/>
              <w:textAlignment w:val="bottom"/>
              <w:rPr>
                <w:rFonts w:ascii="Times New Roman" w:eastAsia="宋体" w:hAnsi="Times New Roman" w:cs="Times New Roman"/>
                <w:snapToGrid/>
                <w:color w:val="auto"/>
                <w:kern w:val="2"/>
                <w:lang w:eastAsia="zh-CN"/>
              </w:rPr>
            </w:pPr>
          </w:p>
        </w:tc>
        <w:tc>
          <w:tcPr>
            <w:tcW w:w="1130" w:type="pct"/>
            <w:noWrap/>
            <w:vAlign w:val="center"/>
          </w:tcPr>
          <w:p w14:paraId="677B4AB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旋链角毛藻</w:t>
            </w:r>
          </w:p>
        </w:tc>
        <w:tc>
          <w:tcPr>
            <w:tcW w:w="2425" w:type="pct"/>
            <w:noWrap/>
            <w:vAlign w:val="center"/>
          </w:tcPr>
          <w:p w14:paraId="7FEE9D34"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lang w:eastAsia="zh-CN"/>
              </w:rPr>
            </w:pPr>
            <w:r>
              <w:rPr>
                <w:rFonts w:ascii="Times New Roman" w:eastAsia="宋体" w:hAnsi="Times New Roman" w:cs="Times New Roman"/>
                <w:i/>
                <w:iCs/>
                <w:snapToGrid/>
                <w:color w:val="auto"/>
                <w:lang w:eastAsia="zh-CN" w:bidi="ar"/>
              </w:rPr>
              <w:t>Chaetoceros curvisetus</w:t>
            </w:r>
          </w:p>
        </w:tc>
        <w:tc>
          <w:tcPr>
            <w:tcW w:w="723" w:type="pct"/>
            <w:noWrap/>
            <w:vAlign w:val="center"/>
          </w:tcPr>
          <w:p w14:paraId="0011D9B7"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0.07</w:t>
            </w:r>
          </w:p>
        </w:tc>
      </w:tr>
      <w:tr w:rsidR="0075791A" w14:paraId="727E14E3" w14:textId="77777777">
        <w:trPr>
          <w:trHeight w:val="308"/>
          <w:jc w:val="center"/>
        </w:trPr>
        <w:tc>
          <w:tcPr>
            <w:tcW w:w="720" w:type="pct"/>
            <w:vMerge/>
            <w:noWrap/>
            <w:vAlign w:val="center"/>
          </w:tcPr>
          <w:p w14:paraId="11F89143" w14:textId="77777777" w:rsidR="0075791A" w:rsidRDefault="0075791A">
            <w:pPr>
              <w:kinsoku/>
              <w:autoSpaceDE/>
              <w:autoSpaceDN/>
              <w:adjustRightInd/>
              <w:snapToGrid/>
              <w:jc w:val="center"/>
              <w:textAlignment w:val="bottom"/>
              <w:rPr>
                <w:rFonts w:ascii="Times New Roman" w:eastAsia="宋体" w:hAnsi="Times New Roman" w:cs="Times New Roman"/>
                <w:snapToGrid/>
                <w:color w:val="auto"/>
                <w:kern w:val="2"/>
                <w:lang w:eastAsia="zh-CN"/>
              </w:rPr>
            </w:pPr>
          </w:p>
        </w:tc>
        <w:tc>
          <w:tcPr>
            <w:tcW w:w="1130" w:type="pct"/>
            <w:noWrap/>
            <w:vAlign w:val="center"/>
          </w:tcPr>
          <w:p w14:paraId="07E980B3"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劳氏角毛藻</w:t>
            </w:r>
          </w:p>
        </w:tc>
        <w:tc>
          <w:tcPr>
            <w:tcW w:w="2425" w:type="pct"/>
            <w:noWrap/>
            <w:vAlign w:val="center"/>
          </w:tcPr>
          <w:p w14:paraId="23FAFFD6"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lang w:eastAsia="zh-CN"/>
              </w:rPr>
            </w:pPr>
            <w:r>
              <w:rPr>
                <w:rFonts w:ascii="Times New Roman" w:eastAsia="宋体" w:hAnsi="Times New Roman" w:cs="Times New Roman"/>
                <w:i/>
                <w:iCs/>
                <w:snapToGrid/>
                <w:color w:val="auto"/>
                <w:lang w:eastAsia="zh-CN" w:bidi="ar"/>
              </w:rPr>
              <w:t>Chaetoceros lorenzianus</w:t>
            </w:r>
          </w:p>
        </w:tc>
        <w:tc>
          <w:tcPr>
            <w:tcW w:w="723" w:type="pct"/>
            <w:noWrap/>
            <w:vAlign w:val="center"/>
          </w:tcPr>
          <w:p w14:paraId="6F35800B"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0.07</w:t>
            </w:r>
          </w:p>
        </w:tc>
      </w:tr>
      <w:tr w:rsidR="0075791A" w14:paraId="18E2B70A" w14:textId="77777777">
        <w:trPr>
          <w:trHeight w:val="308"/>
          <w:jc w:val="center"/>
        </w:trPr>
        <w:tc>
          <w:tcPr>
            <w:tcW w:w="720" w:type="pct"/>
            <w:vMerge/>
            <w:noWrap/>
            <w:vAlign w:val="center"/>
          </w:tcPr>
          <w:p w14:paraId="69F44212" w14:textId="77777777" w:rsidR="0075791A" w:rsidRDefault="0075791A">
            <w:pPr>
              <w:kinsoku/>
              <w:autoSpaceDE/>
              <w:autoSpaceDN/>
              <w:adjustRightInd/>
              <w:snapToGrid/>
              <w:jc w:val="center"/>
              <w:textAlignment w:val="bottom"/>
              <w:rPr>
                <w:rFonts w:ascii="Times New Roman" w:eastAsia="宋体" w:hAnsi="Times New Roman" w:cs="Times New Roman"/>
                <w:snapToGrid/>
                <w:color w:val="auto"/>
                <w:kern w:val="2"/>
                <w:lang w:eastAsia="zh-CN"/>
              </w:rPr>
            </w:pPr>
          </w:p>
        </w:tc>
        <w:tc>
          <w:tcPr>
            <w:tcW w:w="1130" w:type="pct"/>
            <w:noWrap/>
            <w:vAlign w:val="center"/>
          </w:tcPr>
          <w:p w14:paraId="5A97A53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柔弱根管藻</w:t>
            </w:r>
          </w:p>
        </w:tc>
        <w:tc>
          <w:tcPr>
            <w:tcW w:w="2425" w:type="pct"/>
            <w:noWrap/>
            <w:vAlign w:val="center"/>
          </w:tcPr>
          <w:p w14:paraId="06AB53A2"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lang w:eastAsia="zh-CN"/>
              </w:rPr>
            </w:pPr>
            <w:r>
              <w:rPr>
                <w:rFonts w:ascii="Times New Roman" w:eastAsia="宋体" w:hAnsi="Times New Roman" w:cs="Times New Roman"/>
                <w:i/>
                <w:iCs/>
                <w:snapToGrid/>
                <w:color w:val="auto"/>
                <w:lang w:eastAsia="zh-CN" w:bidi="ar"/>
              </w:rPr>
              <w:t>Rhizosolenia delicatula</w:t>
            </w:r>
          </w:p>
        </w:tc>
        <w:tc>
          <w:tcPr>
            <w:tcW w:w="723" w:type="pct"/>
            <w:noWrap/>
            <w:vAlign w:val="center"/>
          </w:tcPr>
          <w:p w14:paraId="75B416FC"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0.06</w:t>
            </w:r>
          </w:p>
        </w:tc>
      </w:tr>
      <w:tr w:rsidR="0075791A" w14:paraId="6CF5D400" w14:textId="77777777">
        <w:trPr>
          <w:trHeight w:val="308"/>
          <w:jc w:val="center"/>
        </w:trPr>
        <w:tc>
          <w:tcPr>
            <w:tcW w:w="720" w:type="pct"/>
            <w:vMerge/>
            <w:noWrap/>
            <w:vAlign w:val="center"/>
          </w:tcPr>
          <w:p w14:paraId="4C94A6EA" w14:textId="77777777" w:rsidR="0075791A" w:rsidRDefault="0075791A">
            <w:pPr>
              <w:kinsoku/>
              <w:autoSpaceDE/>
              <w:autoSpaceDN/>
              <w:adjustRightInd/>
              <w:snapToGrid/>
              <w:jc w:val="center"/>
              <w:textAlignment w:val="bottom"/>
              <w:rPr>
                <w:rFonts w:ascii="Times New Roman" w:eastAsia="宋体" w:hAnsi="Times New Roman" w:cs="Times New Roman"/>
                <w:snapToGrid/>
                <w:color w:val="auto"/>
                <w:kern w:val="2"/>
                <w:lang w:eastAsia="zh-CN"/>
              </w:rPr>
            </w:pPr>
          </w:p>
        </w:tc>
        <w:tc>
          <w:tcPr>
            <w:tcW w:w="1130" w:type="pct"/>
            <w:noWrap/>
            <w:vAlign w:val="center"/>
          </w:tcPr>
          <w:p w14:paraId="7DD4464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并基角毛藻</w:t>
            </w:r>
          </w:p>
        </w:tc>
        <w:tc>
          <w:tcPr>
            <w:tcW w:w="2425" w:type="pct"/>
            <w:noWrap/>
            <w:vAlign w:val="center"/>
          </w:tcPr>
          <w:p w14:paraId="5398375B"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lang w:eastAsia="zh-CN"/>
              </w:rPr>
            </w:pPr>
            <w:r>
              <w:rPr>
                <w:rFonts w:ascii="Times New Roman" w:eastAsia="宋体" w:hAnsi="Times New Roman" w:cs="Times New Roman"/>
                <w:i/>
                <w:iCs/>
                <w:snapToGrid/>
                <w:color w:val="auto"/>
                <w:lang w:eastAsia="zh-CN" w:bidi="ar"/>
              </w:rPr>
              <w:t xml:space="preserve">Chaetoceros decipiens </w:t>
            </w:r>
            <w:r>
              <w:rPr>
                <w:rFonts w:ascii="Times New Roman" w:eastAsia="宋体" w:hAnsi="Times New Roman" w:cs="Times New Roman"/>
                <w:snapToGrid/>
                <w:color w:val="auto"/>
                <w:lang w:eastAsia="zh-CN" w:bidi="ar"/>
              </w:rPr>
              <w:t xml:space="preserve">f. </w:t>
            </w:r>
            <w:r>
              <w:rPr>
                <w:rFonts w:ascii="Times New Roman" w:eastAsia="宋体" w:hAnsi="Times New Roman" w:cs="Times New Roman"/>
                <w:i/>
                <w:iCs/>
                <w:snapToGrid/>
                <w:color w:val="auto"/>
                <w:lang w:eastAsia="zh-CN" w:bidi="ar"/>
              </w:rPr>
              <w:t>decipiens</w:t>
            </w:r>
          </w:p>
        </w:tc>
        <w:tc>
          <w:tcPr>
            <w:tcW w:w="723" w:type="pct"/>
            <w:noWrap/>
            <w:vAlign w:val="center"/>
          </w:tcPr>
          <w:p w14:paraId="11906EC2"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0.03</w:t>
            </w:r>
          </w:p>
        </w:tc>
      </w:tr>
      <w:tr w:rsidR="0075791A" w14:paraId="32405B24" w14:textId="77777777">
        <w:trPr>
          <w:trHeight w:val="308"/>
          <w:jc w:val="center"/>
        </w:trPr>
        <w:tc>
          <w:tcPr>
            <w:tcW w:w="720" w:type="pct"/>
            <w:vMerge w:val="restart"/>
            <w:noWrap/>
            <w:vAlign w:val="center"/>
          </w:tcPr>
          <w:p w14:paraId="2DD307C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绿藻门</w:t>
            </w:r>
          </w:p>
        </w:tc>
        <w:tc>
          <w:tcPr>
            <w:tcW w:w="1130" w:type="pct"/>
            <w:noWrap/>
            <w:vAlign w:val="center"/>
          </w:tcPr>
          <w:p w14:paraId="13DF0A6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四尾链带藻</w:t>
            </w:r>
          </w:p>
        </w:tc>
        <w:tc>
          <w:tcPr>
            <w:tcW w:w="2425" w:type="pct"/>
            <w:noWrap/>
            <w:vAlign w:val="center"/>
          </w:tcPr>
          <w:p w14:paraId="6E9FF852"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lang w:eastAsia="zh-CN"/>
              </w:rPr>
            </w:pPr>
            <w:r>
              <w:rPr>
                <w:rFonts w:ascii="Times New Roman" w:eastAsia="宋体" w:hAnsi="Times New Roman" w:cs="Times New Roman"/>
                <w:i/>
                <w:iCs/>
                <w:snapToGrid/>
                <w:color w:val="auto"/>
                <w:lang w:eastAsia="zh-CN" w:bidi="ar"/>
              </w:rPr>
              <w:t>Desmodesmus quadricauda</w:t>
            </w:r>
          </w:p>
        </w:tc>
        <w:tc>
          <w:tcPr>
            <w:tcW w:w="723" w:type="pct"/>
            <w:noWrap/>
            <w:vAlign w:val="center"/>
          </w:tcPr>
          <w:p w14:paraId="0A06643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0.09</w:t>
            </w:r>
          </w:p>
        </w:tc>
      </w:tr>
      <w:tr w:rsidR="0075791A" w14:paraId="5BDBD898" w14:textId="77777777">
        <w:trPr>
          <w:trHeight w:val="308"/>
          <w:jc w:val="center"/>
        </w:trPr>
        <w:tc>
          <w:tcPr>
            <w:tcW w:w="720" w:type="pct"/>
            <w:vMerge/>
            <w:noWrap/>
            <w:vAlign w:val="center"/>
          </w:tcPr>
          <w:p w14:paraId="69F54BE4" w14:textId="77777777" w:rsidR="0075791A" w:rsidRDefault="0075791A">
            <w:pPr>
              <w:kinsoku/>
              <w:autoSpaceDE/>
              <w:autoSpaceDN/>
              <w:adjustRightInd/>
              <w:snapToGrid/>
              <w:jc w:val="center"/>
              <w:textAlignment w:val="center"/>
              <w:rPr>
                <w:rFonts w:ascii="Times New Roman" w:eastAsia="宋体" w:hAnsi="Times New Roman" w:cs="Times New Roman"/>
                <w:snapToGrid/>
                <w:color w:val="auto"/>
                <w:kern w:val="2"/>
                <w:lang w:eastAsia="zh-CN"/>
              </w:rPr>
            </w:pPr>
          </w:p>
        </w:tc>
        <w:tc>
          <w:tcPr>
            <w:tcW w:w="1130" w:type="pct"/>
            <w:noWrap/>
            <w:vAlign w:val="center"/>
          </w:tcPr>
          <w:p w14:paraId="026D658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双棘链带藻</w:t>
            </w:r>
          </w:p>
        </w:tc>
        <w:tc>
          <w:tcPr>
            <w:tcW w:w="2425" w:type="pct"/>
            <w:noWrap/>
            <w:vAlign w:val="center"/>
          </w:tcPr>
          <w:p w14:paraId="39DD0E57"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lang w:eastAsia="zh-CN"/>
              </w:rPr>
            </w:pPr>
            <w:r>
              <w:rPr>
                <w:rFonts w:ascii="Times New Roman" w:eastAsia="宋体" w:hAnsi="Times New Roman" w:cs="Times New Roman"/>
                <w:i/>
                <w:iCs/>
                <w:snapToGrid/>
                <w:color w:val="auto"/>
                <w:lang w:eastAsia="zh-CN" w:bidi="ar"/>
              </w:rPr>
              <w:t>Desmodesmus bicaudatus</w:t>
            </w:r>
          </w:p>
        </w:tc>
        <w:tc>
          <w:tcPr>
            <w:tcW w:w="723" w:type="pct"/>
            <w:noWrap/>
            <w:vAlign w:val="center"/>
          </w:tcPr>
          <w:p w14:paraId="707BE3B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0.07</w:t>
            </w:r>
          </w:p>
        </w:tc>
      </w:tr>
      <w:tr w:rsidR="0075791A" w14:paraId="3E966B3C" w14:textId="77777777">
        <w:trPr>
          <w:trHeight w:val="344"/>
          <w:jc w:val="center"/>
        </w:trPr>
        <w:tc>
          <w:tcPr>
            <w:tcW w:w="720" w:type="pct"/>
            <w:vMerge/>
            <w:noWrap/>
            <w:vAlign w:val="center"/>
          </w:tcPr>
          <w:p w14:paraId="1C111577" w14:textId="77777777" w:rsidR="0075791A" w:rsidRDefault="0075791A">
            <w:pPr>
              <w:kinsoku/>
              <w:autoSpaceDE/>
              <w:autoSpaceDN/>
              <w:adjustRightInd/>
              <w:snapToGrid/>
              <w:jc w:val="center"/>
              <w:textAlignment w:val="center"/>
              <w:rPr>
                <w:rFonts w:ascii="Times New Roman" w:eastAsia="宋体" w:hAnsi="Times New Roman" w:cs="Times New Roman"/>
                <w:snapToGrid/>
                <w:color w:val="auto"/>
                <w:kern w:val="2"/>
                <w:lang w:eastAsia="zh-CN"/>
              </w:rPr>
            </w:pPr>
          </w:p>
        </w:tc>
        <w:tc>
          <w:tcPr>
            <w:tcW w:w="1130" w:type="pct"/>
            <w:noWrap/>
            <w:vAlign w:val="center"/>
          </w:tcPr>
          <w:p w14:paraId="56712C5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尖细四链藻</w:t>
            </w:r>
          </w:p>
        </w:tc>
        <w:tc>
          <w:tcPr>
            <w:tcW w:w="2425" w:type="pct"/>
            <w:noWrap/>
            <w:vAlign w:val="center"/>
          </w:tcPr>
          <w:p w14:paraId="4EBE71E6"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lang w:eastAsia="zh-CN"/>
              </w:rPr>
            </w:pPr>
            <w:r>
              <w:rPr>
                <w:rFonts w:ascii="Times New Roman" w:eastAsia="宋体" w:hAnsi="Times New Roman" w:cs="Times New Roman"/>
                <w:i/>
                <w:iCs/>
                <w:snapToGrid/>
                <w:color w:val="auto"/>
                <w:lang w:eastAsia="zh-CN" w:bidi="ar"/>
              </w:rPr>
              <w:t>Tetradesmus acuminatus</w:t>
            </w:r>
          </w:p>
        </w:tc>
        <w:tc>
          <w:tcPr>
            <w:tcW w:w="723" w:type="pct"/>
            <w:noWrap/>
            <w:vAlign w:val="center"/>
          </w:tcPr>
          <w:p w14:paraId="7B24672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0.04</w:t>
            </w:r>
          </w:p>
        </w:tc>
      </w:tr>
    </w:tbl>
    <w:p w14:paraId="2B9CA075"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75" w:name="_Toc4770"/>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3</w:t>
      </w: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b/>
          <w:bCs/>
          <w:snapToGrid/>
          <w:color w:val="auto"/>
          <w:kern w:val="2"/>
          <w:sz w:val="24"/>
          <w:szCs w:val="24"/>
          <w:lang w:eastAsia="zh-CN"/>
        </w:rPr>
        <w:t>细胞丰度</w:t>
      </w:r>
      <w:bookmarkEnd w:id="175"/>
    </w:p>
    <w:p w14:paraId="32C4832B" w14:textId="77777777" w:rsidR="0075791A" w:rsidRDefault="00FB2864">
      <w:pPr>
        <w:widowControl w:val="0"/>
        <w:kinsoku/>
        <w:autoSpaceDE/>
        <w:autoSpaceDN/>
        <w:adjustRightInd/>
        <w:snapToGrid/>
        <w:spacing w:line="360" w:lineRule="auto"/>
        <w:ind w:firstLineChars="200" w:firstLine="480"/>
        <w:jc w:val="both"/>
        <w:textAlignment w:val="auto"/>
        <w:rPr>
          <w:rFonts w:ascii="Times New Roman" w:eastAsia="宋体" w:hAnsi="Times New Roman" w:cs="Times New Roman"/>
          <w:snapToGrid/>
          <w:color w:val="auto"/>
          <w:sz w:val="24"/>
          <w:lang w:eastAsia="zh-CN" w:bidi="ar"/>
        </w:rPr>
      </w:pPr>
      <w:r>
        <w:rPr>
          <w:rFonts w:ascii="Times New Roman" w:eastAsia="宋体" w:hAnsi="Times New Roman" w:cs="Times New Roman"/>
          <w:snapToGrid/>
          <w:color w:val="auto"/>
          <w:sz w:val="24"/>
          <w:lang w:eastAsia="zh-CN" w:bidi="ar"/>
        </w:rPr>
        <w:t>通过对浮游植物细胞丰度统计，</w:t>
      </w:r>
      <w:r>
        <w:rPr>
          <w:rFonts w:ascii="Times New Roman" w:eastAsia="宋体" w:hAnsi="Times New Roman" w:cs="Times New Roman" w:hint="eastAsia"/>
          <w:snapToGrid/>
          <w:color w:val="auto"/>
          <w:sz w:val="24"/>
          <w:lang w:eastAsia="zh-CN" w:bidi="ar"/>
        </w:rPr>
        <w:t>各站位浮游植物细胞丰度范围为</w:t>
      </w:r>
      <w:r>
        <w:rPr>
          <w:rFonts w:ascii="Times New Roman" w:eastAsia="宋体" w:hAnsi="Times New Roman" w:cs="Times New Roman" w:hint="eastAsia"/>
          <w:snapToGrid/>
          <w:color w:val="auto"/>
          <w:sz w:val="24"/>
          <w:lang w:eastAsia="zh-CN" w:bidi="ar"/>
        </w:rPr>
        <w:t>0.11</w:t>
      </w:r>
      <w:r>
        <w:rPr>
          <w:rFonts w:ascii="Times New Roman" w:eastAsia="宋体" w:hAnsi="Times New Roman" w:cs="Times New Roman" w:hint="eastAsia"/>
          <w:snapToGrid/>
          <w:color w:val="auto"/>
          <w:sz w:val="24"/>
          <w:lang w:eastAsia="zh-CN" w:bidi="ar"/>
        </w:rPr>
        <w:t>×</w:t>
      </w:r>
      <w:r>
        <w:rPr>
          <w:rFonts w:ascii="Times New Roman" w:eastAsia="宋体" w:hAnsi="Times New Roman" w:cs="Times New Roman" w:hint="eastAsia"/>
          <w:snapToGrid/>
          <w:color w:val="auto"/>
          <w:sz w:val="24"/>
          <w:lang w:eastAsia="zh-CN" w:bidi="ar"/>
        </w:rPr>
        <w:t>10</w:t>
      </w:r>
      <w:r>
        <w:rPr>
          <w:rFonts w:ascii="Times New Roman" w:eastAsia="宋体" w:hAnsi="Times New Roman" w:cs="Times New Roman" w:hint="eastAsia"/>
          <w:snapToGrid/>
          <w:color w:val="auto"/>
          <w:sz w:val="24"/>
          <w:vertAlign w:val="superscript"/>
          <w:lang w:eastAsia="zh-CN" w:bidi="ar"/>
        </w:rPr>
        <w:t>6</w:t>
      </w:r>
      <w:r>
        <w:rPr>
          <w:rFonts w:ascii="Times New Roman" w:eastAsia="宋体" w:hAnsi="Times New Roman" w:cs="Times New Roman" w:hint="eastAsia"/>
          <w:snapToGrid/>
          <w:color w:val="auto"/>
          <w:sz w:val="24"/>
          <w:lang w:eastAsia="zh-CN" w:bidi="ar"/>
        </w:rPr>
        <w:t xml:space="preserve"> cells/L</w:t>
      </w:r>
      <w:r>
        <w:rPr>
          <w:rFonts w:ascii="Times New Roman" w:eastAsia="宋体" w:hAnsi="Times New Roman" w:cs="微软雅黑" w:hint="eastAsia"/>
          <w:snapToGrid/>
          <w:color w:val="auto"/>
          <w:sz w:val="24"/>
          <w:lang w:eastAsia="zh-CN" w:bidi="ar"/>
        </w:rPr>
        <w:t>~</w:t>
      </w:r>
      <w:r>
        <w:rPr>
          <w:rFonts w:ascii="Times New Roman" w:eastAsia="宋体" w:hAnsi="Times New Roman" w:cs="Times New Roman" w:hint="eastAsia"/>
          <w:snapToGrid/>
          <w:color w:val="auto"/>
          <w:sz w:val="24"/>
          <w:lang w:eastAsia="zh-CN" w:bidi="ar"/>
        </w:rPr>
        <w:t>15.54</w:t>
      </w:r>
      <w:r>
        <w:rPr>
          <w:rFonts w:ascii="Times New Roman" w:eastAsia="宋体" w:hAnsi="Times New Roman" w:cs="Times New Roman" w:hint="eastAsia"/>
          <w:snapToGrid/>
          <w:color w:val="auto"/>
          <w:sz w:val="24"/>
          <w:lang w:eastAsia="zh-CN" w:bidi="ar"/>
        </w:rPr>
        <w:t>×</w:t>
      </w:r>
      <w:r>
        <w:rPr>
          <w:rFonts w:ascii="Times New Roman" w:eastAsia="宋体" w:hAnsi="Times New Roman" w:cs="Times New Roman" w:hint="eastAsia"/>
          <w:snapToGrid/>
          <w:color w:val="auto"/>
          <w:sz w:val="24"/>
          <w:lang w:eastAsia="zh-CN" w:bidi="ar"/>
        </w:rPr>
        <w:t>10</w:t>
      </w:r>
      <w:r>
        <w:rPr>
          <w:rFonts w:ascii="Times New Roman" w:eastAsia="宋体" w:hAnsi="Times New Roman" w:cs="Times New Roman" w:hint="eastAsia"/>
          <w:snapToGrid/>
          <w:color w:val="auto"/>
          <w:sz w:val="24"/>
          <w:vertAlign w:val="superscript"/>
          <w:lang w:eastAsia="zh-CN" w:bidi="ar"/>
        </w:rPr>
        <w:t>6</w:t>
      </w:r>
      <w:r>
        <w:rPr>
          <w:rFonts w:ascii="Times New Roman" w:eastAsia="宋体" w:hAnsi="Times New Roman" w:cs="Times New Roman" w:hint="eastAsia"/>
          <w:snapToGrid/>
          <w:color w:val="auto"/>
          <w:sz w:val="24"/>
          <w:lang w:eastAsia="zh-CN" w:bidi="ar"/>
        </w:rPr>
        <w:t xml:space="preserve"> cells/L</w:t>
      </w:r>
      <w:r>
        <w:rPr>
          <w:rFonts w:ascii="Times New Roman" w:eastAsia="宋体" w:hAnsi="Times New Roman" w:cs="Times New Roman" w:hint="eastAsia"/>
          <w:snapToGrid/>
          <w:color w:val="auto"/>
          <w:sz w:val="24"/>
          <w:lang w:eastAsia="zh-CN" w:bidi="ar"/>
        </w:rPr>
        <w:t>，最高值在</w:t>
      </w:r>
      <w:r>
        <w:rPr>
          <w:rFonts w:ascii="Times New Roman" w:eastAsia="宋体" w:hAnsi="Times New Roman" w:cs="Times New Roman" w:hint="eastAsia"/>
          <w:snapToGrid/>
          <w:color w:val="auto"/>
          <w:sz w:val="24"/>
          <w:lang w:eastAsia="zh-CN" w:bidi="ar"/>
        </w:rPr>
        <w:t>S5</w:t>
      </w:r>
      <w:r>
        <w:rPr>
          <w:rFonts w:ascii="Times New Roman" w:eastAsia="宋体" w:hAnsi="Times New Roman" w:cs="Times New Roman" w:hint="eastAsia"/>
          <w:snapToGrid/>
          <w:color w:val="auto"/>
          <w:sz w:val="24"/>
          <w:lang w:eastAsia="zh-CN" w:bidi="ar"/>
        </w:rPr>
        <w:t>站位，最低值在</w:t>
      </w:r>
      <w:r>
        <w:rPr>
          <w:rFonts w:ascii="Times New Roman" w:eastAsia="宋体" w:hAnsi="Times New Roman" w:cs="Times New Roman" w:hint="eastAsia"/>
          <w:snapToGrid/>
          <w:color w:val="auto"/>
          <w:sz w:val="24"/>
          <w:lang w:eastAsia="zh-CN" w:bidi="ar"/>
        </w:rPr>
        <w:t>S11</w:t>
      </w:r>
      <w:r>
        <w:rPr>
          <w:rFonts w:ascii="Times New Roman" w:eastAsia="宋体" w:hAnsi="Times New Roman" w:cs="Times New Roman" w:hint="eastAsia"/>
          <w:snapToGrid/>
          <w:color w:val="auto"/>
          <w:sz w:val="24"/>
          <w:lang w:eastAsia="zh-CN" w:bidi="ar"/>
        </w:rPr>
        <w:t>站位，平均值为</w:t>
      </w:r>
      <w:r>
        <w:rPr>
          <w:rFonts w:ascii="Times New Roman" w:eastAsia="宋体" w:hAnsi="Times New Roman" w:cs="Times New Roman" w:hint="eastAsia"/>
          <w:snapToGrid/>
          <w:color w:val="auto"/>
          <w:sz w:val="24"/>
          <w:lang w:eastAsia="zh-CN" w:bidi="ar"/>
        </w:rPr>
        <w:t>3.32</w:t>
      </w:r>
      <w:r>
        <w:rPr>
          <w:rFonts w:ascii="Times New Roman" w:eastAsia="宋体" w:hAnsi="Times New Roman" w:cs="Times New Roman" w:hint="eastAsia"/>
          <w:snapToGrid/>
          <w:color w:val="auto"/>
          <w:sz w:val="24"/>
          <w:lang w:eastAsia="zh-CN" w:bidi="ar"/>
        </w:rPr>
        <w:t>×</w:t>
      </w:r>
      <w:r>
        <w:rPr>
          <w:rFonts w:ascii="Times New Roman" w:eastAsia="宋体" w:hAnsi="Times New Roman" w:cs="Times New Roman" w:hint="eastAsia"/>
          <w:snapToGrid/>
          <w:color w:val="auto"/>
          <w:sz w:val="24"/>
          <w:lang w:eastAsia="zh-CN" w:bidi="ar"/>
        </w:rPr>
        <w:t>10</w:t>
      </w:r>
      <w:r>
        <w:rPr>
          <w:rFonts w:ascii="Times New Roman" w:eastAsia="宋体" w:hAnsi="Times New Roman" w:cs="Times New Roman" w:hint="eastAsia"/>
          <w:snapToGrid/>
          <w:color w:val="auto"/>
          <w:sz w:val="24"/>
          <w:vertAlign w:val="superscript"/>
          <w:lang w:eastAsia="zh-CN" w:bidi="ar"/>
        </w:rPr>
        <w:t>6</w:t>
      </w:r>
      <w:r>
        <w:rPr>
          <w:rFonts w:ascii="Times New Roman" w:eastAsia="宋体" w:hAnsi="Times New Roman" w:cs="Times New Roman" w:hint="eastAsia"/>
          <w:snapToGrid/>
          <w:color w:val="auto"/>
          <w:sz w:val="24"/>
          <w:lang w:eastAsia="zh-CN" w:bidi="ar"/>
        </w:rPr>
        <w:t xml:space="preserve"> cells/L</w:t>
      </w:r>
      <w:r>
        <w:rPr>
          <w:rFonts w:ascii="Times New Roman" w:eastAsia="宋体" w:hAnsi="Times New Roman" w:cs="Times New Roman" w:hint="eastAsia"/>
          <w:snapToGrid/>
          <w:color w:val="auto"/>
          <w:sz w:val="24"/>
          <w:lang w:eastAsia="zh-CN" w:bidi="ar"/>
        </w:rPr>
        <w:t>（表</w:t>
      </w:r>
      <w:r>
        <w:rPr>
          <w:rFonts w:ascii="Times New Roman" w:eastAsia="宋体" w:hAnsi="Times New Roman" w:cs="宋体" w:hint="eastAsia"/>
          <w:color w:val="auto"/>
          <w:spacing w:val="-2"/>
          <w:sz w:val="24"/>
          <w:szCs w:val="24"/>
          <w:lang w:eastAsia="zh-CN"/>
        </w:rPr>
        <w:t>3.2.6-4</w:t>
      </w:r>
      <w:r>
        <w:rPr>
          <w:rFonts w:ascii="Times New Roman" w:eastAsia="宋体" w:hAnsi="Times New Roman" w:cs="Times New Roman" w:hint="eastAsia"/>
          <w:snapToGrid/>
          <w:color w:val="auto"/>
          <w:sz w:val="24"/>
          <w:lang w:eastAsia="zh-CN" w:bidi="ar"/>
        </w:rPr>
        <w:t>）</w:t>
      </w:r>
      <w:r>
        <w:rPr>
          <w:rFonts w:ascii="Times New Roman" w:eastAsia="宋体" w:hAnsi="Times New Roman" w:cs="Times New Roman" w:hint="eastAsia"/>
          <w:snapToGrid/>
          <w:color w:val="auto"/>
          <w:sz w:val="24"/>
          <w:lang w:eastAsia="zh-CN" w:bidi="ar"/>
        </w:rPr>
        <w:t>。</w:t>
      </w:r>
    </w:p>
    <w:p w14:paraId="37E8DA38" w14:textId="77777777" w:rsidR="0075791A" w:rsidRDefault="00FB2864">
      <w:pPr>
        <w:widowControl w:val="0"/>
        <w:kinsoku/>
        <w:autoSpaceDE/>
        <w:autoSpaceDN/>
        <w:adjustRightInd/>
        <w:snapToGrid/>
        <w:jc w:val="center"/>
        <w:textAlignment w:val="auto"/>
        <w:rPr>
          <w:rFonts w:ascii="Times New Roman" w:eastAsia="宋体" w:hAnsi="Times New Roman" w:cs="Times New Roman"/>
          <w:snapToGrid/>
          <w:color w:val="auto"/>
          <w:kern w:val="2"/>
          <w:sz w:val="24"/>
          <w:lang w:eastAsia="zh-CN"/>
        </w:rPr>
      </w:pP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宋体" w:hint="eastAsia"/>
          <w:color w:val="auto"/>
          <w:spacing w:val="-2"/>
          <w:sz w:val="24"/>
          <w:szCs w:val="24"/>
          <w:lang w:eastAsia="zh-CN"/>
        </w:rPr>
        <w:t>3.2.6-4</w:t>
      </w:r>
      <w:r>
        <w:rPr>
          <w:rFonts w:ascii="Times New Roman" w:eastAsia="宋体" w:hAnsi="Times New Roman" w:cs="Times New Roman" w:hint="eastAsia"/>
          <w:snapToGrid/>
          <w:color w:val="auto"/>
          <w:sz w:val="24"/>
          <w:lang w:eastAsia="zh-CN" w:bidi="ar"/>
        </w:rPr>
        <w:t xml:space="preserve"> </w:t>
      </w:r>
      <w:r>
        <w:rPr>
          <w:rFonts w:ascii="Times New Roman" w:eastAsia="宋体" w:hAnsi="Times New Roman" w:cs="Times New Roman" w:hint="eastAsia"/>
          <w:snapToGrid/>
          <w:color w:val="auto"/>
          <w:sz w:val="24"/>
          <w:lang w:eastAsia="zh-CN" w:bidi="ar"/>
        </w:rPr>
        <w:t>站位浮游植物细胞丰度</w:t>
      </w:r>
    </w:p>
    <w:tbl>
      <w:tblPr>
        <w:tblW w:w="45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1"/>
        <w:gridCol w:w="2664"/>
        <w:gridCol w:w="1603"/>
        <w:gridCol w:w="2664"/>
      </w:tblGrid>
      <w:tr w:rsidR="0075791A" w14:paraId="5ACDEE6D" w14:textId="77777777">
        <w:trPr>
          <w:trHeight w:val="290"/>
          <w:jc w:val="center"/>
        </w:trPr>
        <w:tc>
          <w:tcPr>
            <w:tcW w:w="964" w:type="pct"/>
            <w:noWrap/>
            <w:vAlign w:val="center"/>
          </w:tcPr>
          <w:p w14:paraId="7B0868C3"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站位</w:t>
            </w:r>
          </w:p>
        </w:tc>
        <w:tc>
          <w:tcPr>
            <w:tcW w:w="1534" w:type="pct"/>
            <w:noWrap/>
            <w:vAlign w:val="center"/>
          </w:tcPr>
          <w:p w14:paraId="0CA7F98E"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总丰度</w:t>
            </w:r>
            <w:r>
              <w:rPr>
                <w:rFonts w:ascii="Times New Roman" w:eastAsia="宋体" w:hAnsi="Times New Roman" w:cs="Times New Roman" w:hint="eastAsia"/>
                <w:b/>
                <w:bCs/>
                <w:snapToGrid/>
                <w:color w:val="auto"/>
                <w:sz w:val="24"/>
                <w:szCs w:val="18"/>
                <w:lang w:eastAsia="zh-CN" w:bidi="ar"/>
              </w:rPr>
              <w:t>（</w:t>
            </w:r>
            <w:r>
              <w:rPr>
                <w:rFonts w:ascii="Times New Roman" w:eastAsia="宋体" w:hAnsi="Times New Roman" w:cs="Times New Roman"/>
                <w:b/>
                <w:bCs/>
                <w:snapToGrid/>
                <w:color w:val="auto"/>
                <w:sz w:val="24"/>
                <w:szCs w:val="18"/>
                <w:lang w:eastAsia="zh-CN" w:bidi="ar"/>
              </w:rPr>
              <w:t>×10</w:t>
            </w:r>
            <w:r>
              <w:rPr>
                <w:rFonts w:ascii="Times New Roman" w:eastAsia="宋体" w:hAnsi="Times New Roman" w:cs="Times New Roman"/>
                <w:b/>
                <w:bCs/>
                <w:snapToGrid/>
                <w:color w:val="auto"/>
                <w:sz w:val="24"/>
                <w:szCs w:val="18"/>
                <w:vertAlign w:val="superscript"/>
                <w:lang w:eastAsia="zh-CN" w:bidi="ar"/>
              </w:rPr>
              <w:t>6</w:t>
            </w:r>
            <w:r>
              <w:rPr>
                <w:rFonts w:ascii="Times New Roman" w:eastAsia="宋体" w:hAnsi="Times New Roman" w:cs="Times New Roman"/>
                <w:b/>
                <w:bCs/>
                <w:snapToGrid/>
                <w:color w:val="auto"/>
                <w:sz w:val="24"/>
                <w:szCs w:val="18"/>
                <w:lang w:eastAsia="zh-CN" w:bidi="ar"/>
              </w:rPr>
              <w:t>cells/m</w:t>
            </w:r>
            <w:r>
              <w:rPr>
                <w:rFonts w:ascii="Times New Roman" w:eastAsia="宋体" w:hAnsi="Times New Roman" w:cs="Times New Roman"/>
                <w:b/>
                <w:bCs/>
                <w:snapToGrid/>
                <w:color w:val="auto"/>
                <w:sz w:val="24"/>
                <w:szCs w:val="18"/>
                <w:vertAlign w:val="superscript"/>
                <w:lang w:eastAsia="zh-CN" w:bidi="ar"/>
              </w:rPr>
              <w:t>3</w:t>
            </w:r>
            <w:r>
              <w:rPr>
                <w:rFonts w:ascii="Times New Roman" w:eastAsia="宋体" w:hAnsi="Times New Roman" w:cs="Times New Roman" w:hint="eastAsia"/>
                <w:b/>
                <w:bCs/>
                <w:snapToGrid/>
                <w:color w:val="auto"/>
                <w:sz w:val="24"/>
                <w:szCs w:val="18"/>
                <w:lang w:eastAsia="zh-CN" w:bidi="ar"/>
              </w:rPr>
              <w:t>）</w:t>
            </w:r>
          </w:p>
        </w:tc>
        <w:tc>
          <w:tcPr>
            <w:tcW w:w="965" w:type="pct"/>
            <w:noWrap/>
            <w:vAlign w:val="center"/>
          </w:tcPr>
          <w:p w14:paraId="231D61AD"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站位</w:t>
            </w:r>
          </w:p>
        </w:tc>
        <w:tc>
          <w:tcPr>
            <w:tcW w:w="1535" w:type="pct"/>
            <w:noWrap/>
            <w:vAlign w:val="center"/>
          </w:tcPr>
          <w:p w14:paraId="39390051"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总丰度</w:t>
            </w:r>
            <w:r>
              <w:rPr>
                <w:rFonts w:ascii="Times New Roman" w:eastAsia="宋体" w:hAnsi="Times New Roman" w:cs="Times New Roman" w:hint="eastAsia"/>
                <w:b/>
                <w:bCs/>
                <w:snapToGrid/>
                <w:color w:val="auto"/>
                <w:sz w:val="24"/>
                <w:szCs w:val="18"/>
                <w:lang w:eastAsia="zh-CN" w:bidi="ar"/>
              </w:rPr>
              <w:t>（</w:t>
            </w:r>
            <w:r>
              <w:rPr>
                <w:rFonts w:ascii="Times New Roman" w:eastAsia="宋体" w:hAnsi="Times New Roman" w:cs="Times New Roman"/>
                <w:b/>
                <w:bCs/>
                <w:snapToGrid/>
                <w:color w:val="auto"/>
                <w:sz w:val="24"/>
                <w:szCs w:val="18"/>
                <w:lang w:eastAsia="zh-CN" w:bidi="ar"/>
              </w:rPr>
              <w:t>×10</w:t>
            </w:r>
            <w:r>
              <w:rPr>
                <w:rFonts w:ascii="Times New Roman" w:eastAsia="宋体" w:hAnsi="Times New Roman" w:cs="Times New Roman"/>
                <w:b/>
                <w:bCs/>
                <w:snapToGrid/>
                <w:color w:val="auto"/>
                <w:sz w:val="24"/>
                <w:szCs w:val="18"/>
                <w:vertAlign w:val="superscript"/>
                <w:lang w:eastAsia="zh-CN" w:bidi="ar"/>
              </w:rPr>
              <w:t>6</w:t>
            </w:r>
            <w:r>
              <w:rPr>
                <w:rFonts w:ascii="Times New Roman" w:eastAsia="宋体" w:hAnsi="Times New Roman" w:cs="Times New Roman"/>
                <w:b/>
                <w:bCs/>
                <w:snapToGrid/>
                <w:color w:val="auto"/>
                <w:sz w:val="24"/>
                <w:szCs w:val="18"/>
                <w:lang w:eastAsia="zh-CN" w:bidi="ar"/>
              </w:rPr>
              <w:t>cells/m</w:t>
            </w:r>
            <w:r>
              <w:rPr>
                <w:rFonts w:ascii="Times New Roman" w:eastAsia="宋体" w:hAnsi="Times New Roman" w:cs="Times New Roman"/>
                <w:b/>
                <w:bCs/>
                <w:snapToGrid/>
                <w:color w:val="auto"/>
                <w:sz w:val="24"/>
                <w:szCs w:val="18"/>
                <w:vertAlign w:val="superscript"/>
                <w:lang w:eastAsia="zh-CN" w:bidi="ar"/>
              </w:rPr>
              <w:t>3</w:t>
            </w:r>
            <w:r>
              <w:rPr>
                <w:rFonts w:ascii="Times New Roman" w:eastAsia="宋体" w:hAnsi="Times New Roman" w:cs="Times New Roman" w:hint="eastAsia"/>
                <w:b/>
                <w:bCs/>
                <w:snapToGrid/>
                <w:color w:val="auto"/>
                <w:sz w:val="24"/>
                <w:szCs w:val="18"/>
                <w:lang w:eastAsia="zh-CN" w:bidi="ar"/>
              </w:rPr>
              <w:t>）</w:t>
            </w:r>
          </w:p>
        </w:tc>
      </w:tr>
      <w:tr w:rsidR="0075791A" w14:paraId="1D2D9D8F" w14:textId="77777777">
        <w:trPr>
          <w:trHeight w:val="290"/>
          <w:jc w:val="center"/>
        </w:trPr>
        <w:tc>
          <w:tcPr>
            <w:tcW w:w="964" w:type="pct"/>
            <w:noWrap/>
            <w:vAlign w:val="center"/>
          </w:tcPr>
          <w:p w14:paraId="2940C4FC"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w:t>
            </w:r>
          </w:p>
        </w:tc>
        <w:tc>
          <w:tcPr>
            <w:tcW w:w="1534" w:type="pct"/>
            <w:noWrap/>
            <w:vAlign w:val="center"/>
          </w:tcPr>
          <w:p w14:paraId="34D1B4EA"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1.04</w:t>
            </w:r>
          </w:p>
        </w:tc>
        <w:tc>
          <w:tcPr>
            <w:tcW w:w="965" w:type="pct"/>
            <w:noWrap/>
            <w:vAlign w:val="center"/>
          </w:tcPr>
          <w:p w14:paraId="6C1645C7"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S8</w:t>
            </w:r>
          </w:p>
        </w:tc>
        <w:tc>
          <w:tcPr>
            <w:tcW w:w="1535" w:type="pct"/>
            <w:noWrap/>
            <w:vAlign w:val="center"/>
          </w:tcPr>
          <w:p w14:paraId="2D7FDC2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0.15</w:t>
            </w:r>
          </w:p>
        </w:tc>
      </w:tr>
      <w:tr w:rsidR="0075791A" w14:paraId="03DD8D50" w14:textId="77777777">
        <w:trPr>
          <w:trHeight w:val="290"/>
          <w:jc w:val="center"/>
        </w:trPr>
        <w:tc>
          <w:tcPr>
            <w:tcW w:w="964" w:type="pct"/>
            <w:noWrap/>
            <w:vAlign w:val="center"/>
          </w:tcPr>
          <w:p w14:paraId="7A02452C"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S2</w:t>
            </w:r>
          </w:p>
        </w:tc>
        <w:tc>
          <w:tcPr>
            <w:tcW w:w="1534" w:type="pct"/>
            <w:noWrap/>
            <w:vAlign w:val="center"/>
          </w:tcPr>
          <w:p w14:paraId="44249B1A"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0.42</w:t>
            </w:r>
          </w:p>
        </w:tc>
        <w:tc>
          <w:tcPr>
            <w:tcW w:w="965" w:type="pct"/>
            <w:noWrap/>
            <w:vAlign w:val="center"/>
          </w:tcPr>
          <w:p w14:paraId="4B5F007F"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S9</w:t>
            </w:r>
          </w:p>
        </w:tc>
        <w:tc>
          <w:tcPr>
            <w:tcW w:w="1535" w:type="pct"/>
            <w:noWrap/>
            <w:vAlign w:val="center"/>
          </w:tcPr>
          <w:p w14:paraId="16A2EFF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0.13</w:t>
            </w:r>
          </w:p>
        </w:tc>
      </w:tr>
      <w:tr w:rsidR="0075791A" w14:paraId="4060968B" w14:textId="77777777">
        <w:trPr>
          <w:trHeight w:val="290"/>
          <w:jc w:val="center"/>
        </w:trPr>
        <w:tc>
          <w:tcPr>
            <w:tcW w:w="964" w:type="pct"/>
            <w:noWrap/>
            <w:vAlign w:val="center"/>
          </w:tcPr>
          <w:p w14:paraId="6582E5B7"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S3</w:t>
            </w:r>
          </w:p>
        </w:tc>
        <w:tc>
          <w:tcPr>
            <w:tcW w:w="1534" w:type="pct"/>
            <w:noWrap/>
            <w:vAlign w:val="center"/>
          </w:tcPr>
          <w:p w14:paraId="69B38B66"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1.41</w:t>
            </w:r>
          </w:p>
        </w:tc>
        <w:tc>
          <w:tcPr>
            <w:tcW w:w="965" w:type="pct"/>
            <w:noWrap/>
            <w:vAlign w:val="center"/>
          </w:tcPr>
          <w:p w14:paraId="27F7B3CE"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S10</w:t>
            </w:r>
          </w:p>
        </w:tc>
        <w:tc>
          <w:tcPr>
            <w:tcW w:w="1535" w:type="pct"/>
            <w:noWrap/>
            <w:vAlign w:val="center"/>
          </w:tcPr>
          <w:p w14:paraId="64B9A0F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0.23</w:t>
            </w:r>
          </w:p>
        </w:tc>
      </w:tr>
      <w:tr w:rsidR="0075791A" w14:paraId="3F5890D0" w14:textId="77777777">
        <w:trPr>
          <w:trHeight w:val="290"/>
          <w:jc w:val="center"/>
        </w:trPr>
        <w:tc>
          <w:tcPr>
            <w:tcW w:w="964" w:type="pct"/>
            <w:noWrap/>
            <w:vAlign w:val="center"/>
          </w:tcPr>
          <w:p w14:paraId="547C2D88"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S4</w:t>
            </w:r>
          </w:p>
        </w:tc>
        <w:tc>
          <w:tcPr>
            <w:tcW w:w="1534" w:type="pct"/>
            <w:noWrap/>
            <w:vAlign w:val="center"/>
          </w:tcPr>
          <w:p w14:paraId="3AEBAED8"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1.48</w:t>
            </w:r>
          </w:p>
        </w:tc>
        <w:tc>
          <w:tcPr>
            <w:tcW w:w="965" w:type="pct"/>
            <w:noWrap/>
            <w:vAlign w:val="center"/>
          </w:tcPr>
          <w:p w14:paraId="7E9F78A5"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S11</w:t>
            </w:r>
          </w:p>
        </w:tc>
        <w:tc>
          <w:tcPr>
            <w:tcW w:w="1535" w:type="pct"/>
            <w:noWrap/>
            <w:vAlign w:val="center"/>
          </w:tcPr>
          <w:p w14:paraId="46E44C8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0.11</w:t>
            </w:r>
          </w:p>
        </w:tc>
      </w:tr>
      <w:tr w:rsidR="0075791A" w14:paraId="3501D247" w14:textId="77777777">
        <w:trPr>
          <w:trHeight w:val="290"/>
          <w:jc w:val="center"/>
        </w:trPr>
        <w:tc>
          <w:tcPr>
            <w:tcW w:w="964" w:type="pct"/>
            <w:noWrap/>
            <w:vAlign w:val="center"/>
          </w:tcPr>
          <w:p w14:paraId="43B85720"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S5</w:t>
            </w:r>
          </w:p>
        </w:tc>
        <w:tc>
          <w:tcPr>
            <w:tcW w:w="1534" w:type="pct"/>
            <w:noWrap/>
            <w:vAlign w:val="center"/>
          </w:tcPr>
          <w:p w14:paraId="11F33F1E"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15.54</w:t>
            </w:r>
          </w:p>
        </w:tc>
        <w:tc>
          <w:tcPr>
            <w:tcW w:w="965" w:type="pct"/>
            <w:noWrap/>
            <w:vAlign w:val="center"/>
          </w:tcPr>
          <w:p w14:paraId="3BC9293B"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S12</w:t>
            </w:r>
          </w:p>
        </w:tc>
        <w:tc>
          <w:tcPr>
            <w:tcW w:w="1535" w:type="pct"/>
            <w:noWrap/>
            <w:vAlign w:val="center"/>
          </w:tcPr>
          <w:p w14:paraId="2F3F934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0.26</w:t>
            </w:r>
          </w:p>
        </w:tc>
      </w:tr>
      <w:tr w:rsidR="0075791A" w14:paraId="12418EE8" w14:textId="77777777">
        <w:trPr>
          <w:trHeight w:val="290"/>
          <w:jc w:val="center"/>
        </w:trPr>
        <w:tc>
          <w:tcPr>
            <w:tcW w:w="964" w:type="pct"/>
            <w:noWrap/>
            <w:vAlign w:val="center"/>
          </w:tcPr>
          <w:p w14:paraId="21ECAC36"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S6</w:t>
            </w:r>
          </w:p>
        </w:tc>
        <w:tc>
          <w:tcPr>
            <w:tcW w:w="1534" w:type="pct"/>
            <w:noWrap/>
            <w:vAlign w:val="center"/>
          </w:tcPr>
          <w:p w14:paraId="0F9752DC"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2.7</w:t>
            </w:r>
            <w:r>
              <w:rPr>
                <w:rFonts w:ascii="Times New Roman" w:eastAsia="宋体" w:hAnsi="Times New Roman" w:cs="Times New Roman" w:hint="eastAsia"/>
                <w:snapToGrid/>
                <w:color w:val="auto"/>
                <w:sz w:val="24"/>
                <w:szCs w:val="18"/>
                <w:lang w:eastAsia="zh-CN" w:bidi="ar"/>
              </w:rPr>
              <w:t>0</w:t>
            </w:r>
          </w:p>
        </w:tc>
        <w:tc>
          <w:tcPr>
            <w:tcW w:w="965" w:type="pct"/>
            <w:noWrap/>
            <w:vAlign w:val="center"/>
          </w:tcPr>
          <w:p w14:paraId="3B528116"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平均</w:t>
            </w:r>
          </w:p>
        </w:tc>
        <w:tc>
          <w:tcPr>
            <w:tcW w:w="1535" w:type="pct"/>
            <w:noWrap/>
            <w:vAlign w:val="center"/>
          </w:tcPr>
          <w:p w14:paraId="672F078D"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3.32</w:t>
            </w:r>
          </w:p>
        </w:tc>
      </w:tr>
      <w:tr w:rsidR="0075791A" w14:paraId="5EC212AB" w14:textId="77777777">
        <w:trPr>
          <w:trHeight w:val="311"/>
          <w:jc w:val="center"/>
        </w:trPr>
        <w:tc>
          <w:tcPr>
            <w:tcW w:w="964" w:type="pct"/>
            <w:noWrap/>
            <w:vAlign w:val="center"/>
          </w:tcPr>
          <w:p w14:paraId="78141639"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S7</w:t>
            </w:r>
          </w:p>
        </w:tc>
        <w:tc>
          <w:tcPr>
            <w:tcW w:w="1534" w:type="pct"/>
            <w:noWrap/>
            <w:vAlign w:val="center"/>
          </w:tcPr>
          <w:p w14:paraId="35A56E8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0.66</w:t>
            </w:r>
          </w:p>
        </w:tc>
        <w:tc>
          <w:tcPr>
            <w:tcW w:w="965" w:type="pct"/>
            <w:noWrap/>
            <w:vAlign w:val="center"/>
          </w:tcPr>
          <w:p w14:paraId="268E51EA" w14:textId="77777777" w:rsidR="0075791A" w:rsidRDefault="0075791A">
            <w:pPr>
              <w:widowControl w:val="0"/>
              <w:kinsoku/>
              <w:autoSpaceDE/>
              <w:autoSpaceDN/>
              <w:adjustRightInd/>
              <w:snapToGrid/>
              <w:jc w:val="center"/>
              <w:textAlignment w:val="auto"/>
              <w:rPr>
                <w:rFonts w:ascii="Times New Roman" w:eastAsia="宋体" w:hAnsi="Times New Roman" w:cs="Times New Roman"/>
                <w:snapToGrid/>
                <w:color w:val="auto"/>
                <w:kern w:val="2"/>
                <w:sz w:val="24"/>
                <w:szCs w:val="18"/>
                <w:lang w:eastAsia="zh-CN"/>
              </w:rPr>
            </w:pPr>
          </w:p>
        </w:tc>
        <w:tc>
          <w:tcPr>
            <w:tcW w:w="1535" w:type="pct"/>
            <w:noWrap/>
            <w:vAlign w:val="center"/>
          </w:tcPr>
          <w:p w14:paraId="3CE9572C" w14:textId="77777777" w:rsidR="0075791A" w:rsidRDefault="0075791A">
            <w:pPr>
              <w:widowControl w:val="0"/>
              <w:kinsoku/>
              <w:autoSpaceDE/>
              <w:autoSpaceDN/>
              <w:adjustRightInd/>
              <w:snapToGrid/>
              <w:jc w:val="center"/>
              <w:textAlignment w:val="auto"/>
              <w:rPr>
                <w:rFonts w:ascii="Times New Roman" w:eastAsia="宋体" w:hAnsi="Times New Roman" w:cs="Times New Roman"/>
                <w:snapToGrid/>
                <w:color w:val="auto"/>
                <w:kern w:val="2"/>
                <w:sz w:val="24"/>
                <w:szCs w:val="18"/>
                <w:lang w:eastAsia="zh-CN"/>
              </w:rPr>
            </w:pPr>
          </w:p>
        </w:tc>
      </w:tr>
    </w:tbl>
    <w:p w14:paraId="5653023C"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76" w:name="_Toc12937"/>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4</w:t>
      </w: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b/>
          <w:bCs/>
          <w:snapToGrid/>
          <w:color w:val="auto"/>
          <w:kern w:val="2"/>
          <w:sz w:val="24"/>
          <w:szCs w:val="24"/>
          <w:lang w:eastAsia="zh-CN"/>
        </w:rPr>
        <w:t>生物多样性</w:t>
      </w:r>
      <w:r>
        <w:rPr>
          <w:rFonts w:ascii="Times New Roman" w:eastAsia="宋体" w:hAnsi="Times New Roman" w:cs="Times New Roman" w:hint="eastAsia"/>
          <w:b/>
          <w:bCs/>
          <w:snapToGrid/>
          <w:color w:val="auto"/>
          <w:kern w:val="2"/>
          <w:sz w:val="24"/>
          <w:szCs w:val="24"/>
          <w:lang w:eastAsia="zh-CN"/>
        </w:rPr>
        <w:t>分析</w:t>
      </w:r>
      <w:bookmarkEnd w:id="176"/>
    </w:p>
    <w:p w14:paraId="4989A903"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通过对调查区域</w:t>
      </w:r>
      <w:r>
        <w:rPr>
          <w:rFonts w:ascii="Times New Roman" w:eastAsia="宋体" w:hAnsi="Times New Roman" w:cs="Times New Roman" w:hint="eastAsia"/>
          <w:snapToGrid/>
          <w:color w:val="auto"/>
          <w:kern w:val="2"/>
          <w:sz w:val="24"/>
          <w:szCs w:val="24"/>
          <w:lang w:eastAsia="zh-CN"/>
        </w:rPr>
        <w:t>浮游植物多样性分析</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各站位</w:t>
      </w:r>
      <w:r>
        <w:rPr>
          <w:rFonts w:ascii="Times New Roman" w:eastAsia="宋体" w:hAnsi="Times New Roman" w:cs="Times New Roman"/>
          <w:snapToGrid/>
          <w:color w:val="auto"/>
          <w:kern w:val="2"/>
          <w:sz w:val="24"/>
          <w:szCs w:val="24"/>
          <w:lang w:eastAsia="zh-CN"/>
        </w:rPr>
        <w:t>浮游植物</w:t>
      </w:r>
      <w:r>
        <w:rPr>
          <w:rFonts w:ascii="Times New Roman" w:eastAsia="宋体" w:hAnsi="Times New Roman" w:cs="Times New Roman" w:hint="eastAsia"/>
          <w:snapToGrid/>
          <w:color w:val="auto"/>
          <w:kern w:val="2"/>
          <w:sz w:val="24"/>
          <w:szCs w:val="24"/>
          <w:lang w:eastAsia="zh-CN"/>
        </w:rPr>
        <w:t>多样性指数范围为</w:t>
      </w:r>
      <w:r>
        <w:rPr>
          <w:rFonts w:ascii="Times New Roman" w:eastAsia="宋体" w:hAnsi="Times New Roman" w:cs="Times New Roman" w:hint="eastAsia"/>
          <w:snapToGrid/>
          <w:color w:val="auto"/>
          <w:kern w:val="2"/>
          <w:sz w:val="24"/>
          <w:szCs w:val="24"/>
          <w:lang w:eastAsia="zh-CN"/>
        </w:rPr>
        <w:t>2.91~4.12</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S12</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S7</w:t>
      </w:r>
      <w:r>
        <w:rPr>
          <w:rFonts w:ascii="Times New Roman" w:eastAsia="宋体" w:hAnsi="Times New Roman" w:cs="Times New Roman" w:hint="eastAsia"/>
          <w:snapToGrid/>
          <w:color w:val="auto"/>
          <w:kern w:val="2"/>
          <w:sz w:val="24"/>
          <w:szCs w:val="24"/>
          <w:lang w:eastAsia="zh-CN"/>
        </w:rPr>
        <w:t>站位，平均值为</w:t>
      </w:r>
      <w:r>
        <w:rPr>
          <w:rFonts w:ascii="Times New Roman" w:eastAsia="宋体" w:hAnsi="Times New Roman" w:cs="Times New Roman" w:hint="eastAsia"/>
          <w:snapToGrid/>
          <w:color w:val="auto"/>
          <w:kern w:val="2"/>
          <w:sz w:val="24"/>
          <w:szCs w:val="24"/>
          <w:lang w:eastAsia="zh-CN"/>
        </w:rPr>
        <w:t>3.65</w:t>
      </w:r>
      <w:r>
        <w:rPr>
          <w:rFonts w:ascii="Times New Roman" w:eastAsia="宋体" w:hAnsi="Times New Roman" w:cs="Times New Roman" w:hint="eastAsia"/>
          <w:snapToGrid/>
          <w:color w:val="auto"/>
          <w:kern w:val="2"/>
          <w:sz w:val="24"/>
          <w:szCs w:val="24"/>
          <w:lang w:eastAsia="zh-CN"/>
        </w:rPr>
        <w:t>；各站位</w:t>
      </w:r>
      <w:r>
        <w:rPr>
          <w:rFonts w:ascii="Times New Roman" w:eastAsia="宋体" w:hAnsi="Times New Roman" w:cs="Times New Roman"/>
          <w:snapToGrid/>
          <w:color w:val="auto"/>
          <w:kern w:val="2"/>
          <w:sz w:val="24"/>
          <w:szCs w:val="24"/>
          <w:lang w:eastAsia="zh-CN"/>
        </w:rPr>
        <w:t>浮游植物</w:t>
      </w:r>
      <w:r>
        <w:rPr>
          <w:rFonts w:ascii="Times New Roman" w:eastAsia="宋体" w:hAnsi="Times New Roman" w:cs="Times New Roman" w:hint="eastAsia"/>
          <w:snapToGrid/>
          <w:color w:val="auto"/>
          <w:kern w:val="2"/>
          <w:sz w:val="24"/>
          <w:szCs w:val="24"/>
          <w:lang w:eastAsia="zh-CN"/>
        </w:rPr>
        <w:t>均匀度指数范围为</w:t>
      </w:r>
      <w:r>
        <w:rPr>
          <w:rFonts w:ascii="Times New Roman" w:eastAsia="宋体" w:hAnsi="Times New Roman" w:cs="Times New Roman" w:hint="eastAsia"/>
          <w:snapToGrid/>
          <w:color w:val="auto"/>
          <w:kern w:val="2"/>
          <w:sz w:val="24"/>
          <w:szCs w:val="24"/>
          <w:lang w:eastAsia="zh-CN"/>
        </w:rPr>
        <w:t>0.23~0.97</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S7</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S5</w:t>
      </w:r>
      <w:r>
        <w:rPr>
          <w:rFonts w:ascii="Times New Roman" w:eastAsia="宋体" w:hAnsi="Times New Roman" w:cs="Times New Roman" w:hint="eastAsia"/>
          <w:snapToGrid/>
          <w:color w:val="auto"/>
          <w:kern w:val="2"/>
          <w:sz w:val="24"/>
          <w:szCs w:val="24"/>
          <w:lang w:eastAsia="zh-CN"/>
        </w:rPr>
        <w:t>站位，平均值为</w:t>
      </w:r>
      <w:r>
        <w:rPr>
          <w:rFonts w:ascii="Times New Roman" w:eastAsia="宋体" w:hAnsi="Times New Roman" w:cs="Times New Roman" w:hint="eastAsia"/>
          <w:snapToGrid/>
          <w:color w:val="auto"/>
          <w:kern w:val="2"/>
          <w:sz w:val="24"/>
          <w:szCs w:val="24"/>
          <w:lang w:eastAsia="zh-CN"/>
        </w:rPr>
        <w:t>0.58</w:t>
      </w:r>
      <w:r>
        <w:rPr>
          <w:rFonts w:ascii="Times New Roman" w:eastAsia="宋体" w:hAnsi="Times New Roman" w:cs="Times New Roman" w:hint="eastAsia"/>
          <w:snapToGrid/>
          <w:color w:val="auto"/>
          <w:kern w:val="2"/>
          <w:sz w:val="24"/>
          <w:szCs w:val="24"/>
          <w:lang w:eastAsia="zh-CN"/>
        </w:rPr>
        <w:t>；各站位</w:t>
      </w:r>
      <w:r>
        <w:rPr>
          <w:rFonts w:ascii="Times New Roman" w:eastAsia="宋体" w:hAnsi="Times New Roman" w:cs="Times New Roman"/>
          <w:snapToGrid/>
          <w:color w:val="auto"/>
          <w:kern w:val="2"/>
          <w:sz w:val="24"/>
          <w:szCs w:val="24"/>
          <w:lang w:eastAsia="zh-CN"/>
        </w:rPr>
        <w:t>浮游植物</w:t>
      </w:r>
      <w:r>
        <w:rPr>
          <w:rFonts w:ascii="Times New Roman" w:eastAsia="宋体" w:hAnsi="Times New Roman" w:cs="Times New Roman" w:hint="eastAsia"/>
          <w:snapToGrid/>
          <w:color w:val="auto"/>
          <w:kern w:val="2"/>
          <w:sz w:val="24"/>
          <w:szCs w:val="24"/>
          <w:lang w:eastAsia="zh-CN"/>
        </w:rPr>
        <w:t>丰富度指数范围为</w:t>
      </w:r>
      <w:r>
        <w:rPr>
          <w:rFonts w:ascii="Times New Roman" w:eastAsia="宋体" w:hAnsi="Times New Roman" w:cs="Times New Roman" w:hint="eastAsia"/>
          <w:snapToGrid/>
          <w:color w:val="auto"/>
          <w:kern w:val="2"/>
          <w:sz w:val="24"/>
          <w:szCs w:val="24"/>
          <w:lang w:eastAsia="zh-CN"/>
        </w:rPr>
        <w:t>0.75~3.18</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S3</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S7</w:t>
      </w:r>
      <w:r>
        <w:rPr>
          <w:rFonts w:ascii="Times New Roman" w:eastAsia="宋体" w:hAnsi="Times New Roman" w:cs="Times New Roman" w:hint="eastAsia"/>
          <w:snapToGrid/>
          <w:color w:val="auto"/>
          <w:kern w:val="2"/>
          <w:sz w:val="24"/>
          <w:szCs w:val="24"/>
          <w:lang w:eastAsia="zh-CN"/>
        </w:rPr>
        <w:t>站位，平均值为</w:t>
      </w:r>
      <w:r>
        <w:rPr>
          <w:rFonts w:ascii="Times New Roman" w:eastAsia="宋体" w:hAnsi="Times New Roman" w:cs="Times New Roman" w:hint="eastAsia"/>
          <w:snapToGrid/>
          <w:color w:val="auto"/>
          <w:kern w:val="2"/>
          <w:sz w:val="24"/>
          <w:szCs w:val="24"/>
          <w:lang w:eastAsia="zh-CN"/>
        </w:rPr>
        <w:t>2.50</w:t>
      </w:r>
      <w:r>
        <w:rPr>
          <w:rFonts w:ascii="Times New Roman" w:eastAsia="宋体" w:hAnsi="Times New Roman" w:cs="Times New Roman"/>
          <w:snapToGrid/>
          <w:color w:val="auto"/>
          <w:kern w:val="2"/>
          <w:sz w:val="24"/>
          <w:szCs w:val="24"/>
          <w:lang w:eastAsia="zh-CN"/>
        </w:rPr>
        <w:t>（表</w:t>
      </w:r>
      <w:r>
        <w:rPr>
          <w:rFonts w:ascii="Times New Roman" w:eastAsia="宋体" w:hAnsi="Times New Roman" w:cs="宋体" w:hint="eastAsia"/>
          <w:color w:val="auto"/>
          <w:spacing w:val="-2"/>
          <w:sz w:val="24"/>
          <w:szCs w:val="24"/>
          <w:lang w:eastAsia="zh-CN"/>
        </w:rPr>
        <w:t>3.2.6-5</w:t>
      </w:r>
      <w:r>
        <w:rPr>
          <w:rFonts w:ascii="Times New Roman" w:eastAsia="宋体" w:hAnsi="Times New Roman" w:cs="Times New Roman"/>
          <w:snapToGrid/>
          <w:color w:val="auto"/>
          <w:kern w:val="2"/>
          <w:sz w:val="24"/>
          <w:szCs w:val="24"/>
          <w:lang w:eastAsia="zh-CN"/>
        </w:rPr>
        <w:t>）。</w:t>
      </w:r>
    </w:p>
    <w:p w14:paraId="4125C38A" w14:textId="77777777" w:rsidR="0075791A" w:rsidRDefault="00FB2864">
      <w:pPr>
        <w:widowControl w:val="0"/>
        <w:kinsoku/>
        <w:autoSpaceDE/>
        <w:autoSpaceDN/>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lastRenderedPageBreak/>
        <w:t>表</w:t>
      </w:r>
      <w:r>
        <w:rPr>
          <w:rFonts w:ascii="Times New Roman" w:eastAsia="宋体" w:hAnsi="Times New Roman" w:cs="Times New Roman" w:hint="eastAsia"/>
          <w:snapToGrid/>
          <w:color w:val="auto"/>
          <w:kern w:val="2"/>
          <w:sz w:val="24"/>
          <w:szCs w:val="24"/>
          <w:lang w:eastAsia="zh-CN"/>
        </w:rPr>
        <w:t xml:space="preserve">3.2.6-5 </w:t>
      </w:r>
      <w:r>
        <w:rPr>
          <w:rFonts w:ascii="Times New Roman" w:eastAsia="宋体" w:hAnsi="Times New Roman" w:cs="Times New Roman"/>
          <w:snapToGrid/>
          <w:color w:val="auto"/>
          <w:kern w:val="2"/>
          <w:sz w:val="24"/>
          <w:szCs w:val="24"/>
          <w:lang w:eastAsia="zh-CN"/>
        </w:rPr>
        <w:t>浮游植物</w:t>
      </w:r>
      <w:r>
        <w:rPr>
          <w:rFonts w:ascii="Times New Roman" w:eastAsia="宋体" w:hAnsi="Times New Roman" w:cs="Times New Roman" w:hint="eastAsia"/>
          <w:snapToGrid/>
          <w:color w:val="auto"/>
          <w:kern w:val="2"/>
          <w:sz w:val="24"/>
          <w:szCs w:val="24"/>
          <w:lang w:eastAsia="zh-CN"/>
        </w:rPr>
        <w:t>多样性分析</w:t>
      </w:r>
    </w:p>
    <w:tbl>
      <w:tblPr>
        <w:tblW w:w="43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1"/>
        <w:gridCol w:w="2023"/>
        <w:gridCol w:w="2022"/>
        <w:gridCol w:w="2028"/>
      </w:tblGrid>
      <w:tr w:rsidR="0075791A" w14:paraId="2F92C13A" w14:textId="77777777">
        <w:trPr>
          <w:trHeight w:val="318"/>
          <w:tblHeader/>
          <w:jc w:val="center"/>
        </w:trPr>
        <w:tc>
          <w:tcPr>
            <w:tcW w:w="1248" w:type="pct"/>
            <w:noWrap/>
            <w:vAlign w:val="center"/>
          </w:tcPr>
          <w:p w14:paraId="60CB4ABD"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站位</w:t>
            </w:r>
          </w:p>
        </w:tc>
        <w:tc>
          <w:tcPr>
            <w:tcW w:w="1249" w:type="pct"/>
            <w:noWrap/>
            <w:vAlign w:val="center"/>
          </w:tcPr>
          <w:p w14:paraId="71FF2B0B"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多样性指数</w:t>
            </w:r>
            <w:r>
              <w:rPr>
                <w:rFonts w:ascii="Times New Roman" w:eastAsia="宋体" w:hAnsi="Times New Roman" w:cs="Times New Roman"/>
                <w:b/>
                <w:bCs/>
                <w:snapToGrid/>
                <w:color w:val="auto"/>
                <w:sz w:val="24"/>
                <w:szCs w:val="18"/>
                <w:lang w:eastAsia="zh-CN" w:bidi="ar"/>
              </w:rPr>
              <w:t xml:space="preserve"> H'</w:t>
            </w:r>
          </w:p>
        </w:tc>
        <w:tc>
          <w:tcPr>
            <w:tcW w:w="1249" w:type="pct"/>
            <w:noWrap/>
            <w:vAlign w:val="center"/>
          </w:tcPr>
          <w:p w14:paraId="652344E6"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均匀度指数</w:t>
            </w:r>
            <w:r>
              <w:rPr>
                <w:rFonts w:ascii="Times New Roman" w:eastAsia="宋体" w:hAnsi="Times New Roman" w:cs="Times New Roman"/>
                <w:b/>
                <w:bCs/>
                <w:snapToGrid/>
                <w:color w:val="auto"/>
                <w:sz w:val="24"/>
                <w:szCs w:val="18"/>
                <w:lang w:eastAsia="zh-CN" w:bidi="ar"/>
              </w:rPr>
              <w:t xml:space="preserve"> J</w:t>
            </w:r>
          </w:p>
        </w:tc>
        <w:tc>
          <w:tcPr>
            <w:tcW w:w="1252" w:type="pct"/>
            <w:noWrap/>
            <w:vAlign w:val="center"/>
          </w:tcPr>
          <w:p w14:paraId="151707CB"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丰富度指数</w:t>
            </w:r>
            <w:r>
              <w:rPr>
                <w:rFonts w:ascii="Times New Roman" w:eastAsia="宋体" w:hAnsi="Times New Roman" w:cs="Times New Roman"/>
                <w:b/>
                <w:bCs/>
                <w:snapToGrid/>
                <w:color w:val="auto"/>
                <w:sz w:val="24"/>
                <w:szCs w:val="18"/>
                <w:lang w:eastAsia="zh-CN" w:bidi="ar"/>
              </w:rPr>
              <w:t xml:space="preserve"> d</w:t>
            </w:r>
          </w:p>
        </w:tc>
      </w:tr>
      <w:tr w:rsidR="0075791A" w14:paraId="1B85A40E" w14:textId="77777777">
        <w:trPr>
          <w:trHeight w:val="318"/>
          <w:jc w:val="center"/>
        </w:trPr>
        <w:tc>
          <w:tcPr>
            <w:tcW w:w="1248" w:type="pct"/>
            <w:noWrap/>
            <w:vAlign w:val="center"/>
          </w:tcPr>
          <w:p w14:paraId="2C0B96AD"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w:t>
            </w:r>
          </w:p>
        </w:tc>
        <w:tc>
          <w:tcPr>
            <w:tcW w:w="1249" w:type="pct"/>
            <w:noWrap/>
            <w:vAlign w:val="center"/>
          </w:tcPr>
          <w:p w14:paraId="53A0450F"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3.76</w:t>
            </w:r>
          </w:p>
        </w:tc>
        <w:tc>
          <w:tcPr>
            <w:tcW w:w="1249" w:type="pct"/>
            <w:noWrap/>
            <w:vAlign w:val="center"/>
          </w:tcPr>
          <w:p w14:paraId="468644F6"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0.46</w:t>
            </w:r>
          </w:p>
        </w:tc>
        <w:tc>
          <w:tcPr>
            <w:tcW w:w="1252" w:type="pct"/>
            <w:noWrap/>
            <w:vAlign w:val="center"/>
          </w:tcPr>
          <w:p w14:paraId="28107C84"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3.03</w:t>
            </w:r>
          </w:p>
        </w:tc>
      </w:tr>
      <w:tr w:rsidR="0075791A" w14:paraId="59115DFE" w14:textId="77777777">
        <w:trPr>
          <w:trHeight w:val="318"/>
          <w:jc w:val="center"/>
        </w:trPr>
        <w:tc>
          <w:tcPr>
            <w:tcW w:w="1248" w:type="pct"/>
            <w:noWrap/>
            <w:vAlign w:val="center"/>
          </w:tcPr>
          <w:p w14:paraId="70F3673A"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S2</w:t>
            </w:r>
          </w:p>
        </w:tc>
        <w:tc>
          <w:tcPr>
            <w:tcW w:w="1249" w:type="pct"/>
            <w:noWrap/>
            <w:vAlign w:val="center"/>
          </w:tcPr>
          <w:p w14:paraId="44CC1A79"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3.56</w:t>
            </w:r>
          </w:p>
        </w:tc>
        <w:tc>
          <w:tcPr>
            <w:tcW w:w="1249" w:type="pct"/>
            <w:noWrap/>
            <w:vAlign w:val="center"/>
          </w:tcPr>
          <w:p w14:paraId="65207E47"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0.39</w:t>
            </w:r>
          </w:p>
        </w:tc>
        <w:tc>
          <w:tcPr>
            <w:tcW w:w="1252" w:type="pct"/>
            <w:noWrap/>
            <w:vAlign w:val="center"/>
          </w:tcPr>
          <w:p w14:paraId="2A996055"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2.63</w:t>
            </w:r>
          </w:p>
        </w:tc>
      </w:tr>
      <w:tr w:rsidR="0075791A" w14:paraId="3AF3BE4C" w14:textId="77777777">
        <w:trPr>
          <w:trHeight w:val="318"/>
          <w:jc w:val="center"/>
        </w:trPr>
        <w:tc>
          <w:tcPr>
            <w:tcW w:w="1248" w:type="pct"/>
            <w:noWrap/>
            <w:vAlign w:val="center"/>
          </w:tcPr>
          <w:p w14:paraId="0A4FAD32"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S3</w:t>
            </w:r>
          </w:p>
        </w:tc>
        <w:tc>
          <w:tcPr>
            <w:tcW w:w="1249" w:type="pct"/>
            <w:noWrap/>
            <w:vAlign w:val="center"/>
          </w:tcPr>
          <w:p w14:paraId="2DB41B6D"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3.83</w:t>
            </w:r>
          </w:p>
        </w:tc>
        <w:tc>
          <w:tcPr>
            <w:tcW w:w="1249" w:type="pct"/>
            <w:noWrap/>
            <w:vAlign w:val="center"/>
          </w:tcPr>
          <w:p w14:paraId="718CEA47"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0.46</w:t>
            </w:r>
          </w:p>
        </w:tc>
        <w:tc>
          <w:tcPr>
            <w:tcW w:w="1252" w:type="pct"/>
            <w:noWrap/>
            <w:vAlign w:val="center"/>
          </w:tcPr>
          <w:p w14:paraId="4604A326"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3.18</w:t>
            </w:r>
          </w:p>
        </w:tc>
      </w:tr>
      <w:tr w:rsidR="0075791A" w14:paraId="3DF32B2F" w14:textId="77777777">
        <w:trPr>
          <w:trHeight w:val="318"/>
          <w:jc w:val="center"/>
        </w:trPr>
        <w:tc>
          <w:tcPr>
            <w:tcW w:w="1248" w:type="pct"/>
            <w:noWrap/>
            <w:vAlign w:val="center"/>
          </w:tcPr>
          <w:p w14:paraId="33D84D1D"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S4</w:t>
            </w:r>
          </w:p>
        </w:tc>
        <w:tc>
          <w:tcPr>
            <w:tcW w:w="1249" w:type="pct"/>
            <w:noWrap/>
            <w:vAlign w:val="center"/>
          </w:tcPr>
          <w:p w14:paraId="0C1333C5"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3.78</w:t>
            </w:r>
          </w:p>
        </w:tc>
        <w:tc>
          <w:tcPr>
            <w:tcW w:w="1249" w:type="pct"/>
            <w:noWrap/>
            <w:vAlign w:val="center"/>
          </w:tcPr>
          <w:p w14:paraId="57B5C510"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0.45</w:t>
            </w:r>
          </w:p>
        </w:tc>
        <w:tc>
          <w:tcPr>
            <w:tcW w:w="1252" w:type="pct"/>
            <w:noWrap/>
            <w:vAlign w:val="center"/>
          </w:tcPr>
          <w:p w14:paraId="7355CF00"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3.03</w:t>
            </w:r>
          </w:p>
        </w:tc>
      </w:tr>
      <w:tr w:rsidR="0075791A" w14:paraId="0FB69529" w14:textId="77777777">
        <w:trPr>
          <w:trHeight w:val="318"/>
          <w:jc w:val="center"/>
        </w:trPr>
        <w:tc>
          <w:tcPr>
            <w:tcW w:w="1248" w:type="pct"/>
            <w:noWrap/>
            <w:vAlign w:val="center"/>
          </w:tcPr>
          <w:p w14:paraId="34CC9167"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S5</w:t>
            </w:r>
          </w:p>
        </w:tc>
        <w:tc>
          <w:tcPr>
            <w:tcW w:w="1249" w:type="pct"/>
            <w:noWrap/>
            <w:vAlign w:val="center"/>
          </w:tcPr>
          <w:p w14:paraId="26F2E267"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3.78</w:t>
            </w:r>
          </w:p>
        </w:tc>
        <w:tc>
          <w:tcPr>
            <w:tcW w:w="1249" w:type="pct"/>
            <w:noWrap/>
            <w:vAlign w:val="center"/>
          </w:tcPr>
          <w:p w14:paraId="4EE455EB"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0.23</w:t>
            </w:r>
          </w:p>
        </w:tc>
        <w:tc>
          <w:tcPr>
            <w:tcW w:w="1252" w:type="pct"/>
            <w:noWrap/>
            <w:vAlign w:val="center"/>
          </w:tcPr>
          <w:p w14:paraId="28C103AC"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2.60</w:t>
            </w:r>
          </w:p>
        </w:tc>
      </w:tr>
      <w:tr w:rsidR="0075791A" w14:paraId="4F677382" w14:textId="77777777">
        <w:trPr>
          <w:trHeight w:val="318"/>
          <w:jc w:val="center"/>
        </w:trPr>
        <w:tc>
          <w:tcPr>
            <w:tcW w:w="1248" w:type="pct"/>
            <w:noWrap/>
            <w:vAlign w:val="center"/>
          </w:tcPr>
          <w:p w14:paraId="6A84F7CB"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S6</w:t>
            </w:r>
          </w:p>
        </w:tc>
        <w:tc>
          <w:tcPr>
            <w:tcW w:w="1249" w:type="pct"/>
            <w:noWrap/>
            <w:vAlign w:val="center"/>
          </w:tcPr>
          <w:p w14:paraId="0A2325E7"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3.69</w:t>
            </w:r>
          </w:p>
        </w:tc>
        <w:tc>
          <w:tcPr>
            <w:tcW w:w="1249" w:type="pct"/>
            <w:noWrap/>
            <w:vAlign w:val="center"/>
          </w:tcPr>
          <w:p w14:paraId="0171CBC4"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0.45</w:t>
            </w:r>
          </w:p>
        </w:tc>
        <w:tc>
          <w:tcPr>
            <w:tcW w:w="1252" w:type="pct"/>
            <w:noWrap/>
            <w:vAlign w:val="center"/>
          </w:tcPr>
          <w:p w14:paraId="05A2BE34"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2.63</w:t>
            </w:r>
          </w:p>
        </w:tc>
      </w:tr>
      <w:tr w:rsidR="0075791A" w14:paraId="6B78A8D2" w14:textId="77777777">
        <w:trPr>
          <w:trHeight w:val="318"/>
          <w:jc w:val="center"/>
        </w:trPr>
        <w:tc>
          <w:tcPr>
            <w:tcW w:w="1248" w:type="pct"/>
            <w:noWrap/>
            <w:vAlign w:val="center"/>
          </w:tcPr>
          <w:p w14:paraId="4EC7246A"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S7</w:t>
            </w:r>
          </w:p>
        </w:tc>
        <w:tc>
          <w:tcPr>
            <w:tcW w:w="1249" w:type="pct"/>
            <w:noWrap/>
            <w:vAlign w:val="center"/>
          </w:tcPr>
          <w:p w14:paraId="48CCDD7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2.91</w:t>
            </w:r>
          </w:p>
        </w:tc>
        <w:tc>
          <w:tcPr>
            <w:tcW w:w="1249" w:type="pct"/>
            <w:noWrap/>
            <w:vAlign w:val="center"/>
          </w:tcPr>
          <w:p w14:paraId="7658C15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0.97</w:t>
            </w:r>
          </w:p>
        </w:tc>
        <w:tc>
          <w:tcPr>
            <w:tcW w:w="1252" w:type="pct"/>
            <w:noWrap/>
            <w:vAlign w:val="center"/>
          </w:tcPr>
          <w:p w14:paraId="45FF3A9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0.75</w:t>
            </w:r>
          </w:p>
        </w:tc>
      </w:tr>
      <w:tr w:rsidR="0075791A" w14:paraId="6AAF9B7F" w14:textId="77777777">
        <w:trPr>
          <w:trHeight w:val="318"/>
          <w:jc w:val="center"/>
        </w:trPr>
        <w:tc>
          <w:tcPr>
            <w:tcW w:w="1248" w:type="pct"/>
            <w:noWrap/>
            <w:vAlign w:val="center"/>
          </w:tcPr>
          <w:p w14:paraId="0EF16FF0"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S8</w:t>
            </w:r>
          </w:p>
        </w:tc>
        <w:tc>
          <w:tcPr>
            <w:tcW w:w="1249" w:type="pct"/>
            <w:noWrap/>
            <w:vAlign w:val="center"/>
          </w:tcPr>
          <w:p w14:paraId="5F5FF02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3.61</w:t>
            </w:r>
          </w:p>
        </w:tc>
        <w:tc>
          <w:tcPr>
            <w:tcW w:w="1249" w:type="pct"/>
            <w:noWrap/>
            <w:vAlign w:val="center"/>
          </w:tcPr>
          <w:p w14:paraId="7E8DCBB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0.68</w:t>
            </w:r>
          </w:p>
        </w:tc>
        <w:tc>
          <w:tcPr>
            <w:tcW w:w="1252" w:type="pct"/>
            <w:noWrap/>
            <w:vAlign w:val="center"/>
          </w:tcPr>
          <w:p w14:paraId="20CCC50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2.73</w:t>
            </w:r>
          </w:p>
        </w:tc>
      </w:tr>
      <w:tr w:rsidR="0075791A" w14:paraId="42E5D587" w14:textId="77777777">
        <w:trPr>
          <w:trHeight w:val="318"/>
          <w:jc w:val="center"/>
        </w:trPr>
        <w:tc>
          <w:tcPr>
            <w:tcW w:w="1248" w:type="pct"/>
            <w:noWrap/>
            <w:vAlign w:val="center"/>
          </w:tcPr>
          <w:p w14:paraId="6DED3DF0"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S9</w:t>
            </w:r>
          </w:p>
        </w:tc>
        <w:tc>
          <w:tcPr>
            <w:tcW w:w="1249" w:type="pct"/>
            <w:noWrap/>
            <w:vAlign w:val="center"/>
          </w:tcPr>
          <w:p w14:paraId="416E021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3.27</w:t>
            </w:r>
          </w:p>
        </w:tc>
        <w:tc>
          <w:tcPr>
            <w:tcW w:w="1249" w:type="pct"/>
            <w:noWrap/>
            <w:vAlign w:val="center"/>
          </w:tcPr>
          <w:p w14:paraId="34542253"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0.69</w:t>
            </w:r>
          </w:p>
        </w:tc>
        <w:tc>
          <w:tcPr>
            <w:tcW w:w="1252" w:type="pct"/>
            <w:noWrap/>
            <w:vAlign w:val="center"/>
          </w:tcPr>
          <w:p w14:paraId="1AB5936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1.91</w:t>
            </w:r>
          </w:p>
        </w:tc>
      </w:tr>
      <w:tr w:rsidR="0075791A" w14:paraId="36E049A8" w14:textId="77777777">
        <w:trPr>
          <w:trHeight w:val="318"/>
          <w:jc w:val="center"/>
        </w:trPr>
        <w:tc>
          <w:tcPr>
            <w:tcW w:w="1248" w:type="pct"/>
            <w:noWrap/>
            <w:vAlign w:val="center"/>
          </w:tcPr>
          <w:p w14:paraId="063D6B79"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S10</w:t>
            </w:r>
          </w:p>
        </w:tc>
        <w:tc>
          <w:tcPr>
            <w:tcW w:w="1249" w:type="pct"/>
            <w:noWrap/>
            <w:vAlign w:val="center"/>
          </w:tcPr>
          <w:p w14:paraId="7D50A2B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3.74</w:t>
            </w:r>
          </w:p>
        </w:tc>
        <w:tc>
          <w:tcPr>
            <w:tcW w:w="1249" w:type="pct"/>
            <w:noWrap/>
            <w:vAlign w:val="center"/>
          </w:tcPr>
          <w:p w14:paraId="1980768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0.75</w:t>
            </w:r>
          </w:p>
        </w:tc>
        <w:tc>
          <w:tcPr>
            <w:tcW w:w="1252" w:type="pct"/>
            <w:noWrap/>
            <w:vAlign w:val="center"/>
          </w:tcPr>
          <w:p w14:paraId="704F8CF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2.14</w:t>
            </w:r>
          </w:p>
        </w:tc>
      </w:tr>
      <w:tr w:rsidR="0075791A" w14:paraId="0F683CFF" w14:textId="77777777">
        <w:trPr>
          <w:trHeight w:val="318"/>
          <w:jc w:val="center"/>
        </w:trPr>
        <w:tc>
          <w:tcPr>
            <w:tcW w:w="1248" w:type="pct"/>
            <w:noWrap/>
            <w:vAlign w:val="center"/>
          </w:tcPr>
          <w:p w14:paraId="55768F2B"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S11</w:t>
            </w:r>
          </w:p>
        </w:tc>
        <w:tc>
          <w:tcPr>
            <w:tcW w:w="1249" w:type="pct"/>
            <w:noWrap/>
            <w:vAlign w:val="center"/>
          </w:tcPr>
          <w:p w14:paraId="405F35F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3.69</w:t>
            </w:r>
          </w:p>
        </w:tc>
        <w:tc>
          <w:tcPr>
            <w:tcW w:w="1249" w:type="pct"/>
            <w:noWrap/>
            <w:vAlign w:val="center"/>
          </w:tcPr>
          <w:p w14:paraId="1FA7352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0.70</w:t>
            </w:r>
          </w:p>
        </w:tc>
        <w:tc>
          <w:tcPr>
            <w:tcW w:w="1252" w:type="pct"/>
            <w:noWrap/>
            <w:vAlign w:val="center"/>
          </w:tcPr>
          <w:p w14:paraId="6CAEF7E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2.76</w:t>
            </w:r>
          </w:p>
        </w:tc>
      </w:tr>
      <w:tr w:rsidR="0075791A" w14:paraId="0D4A04DA" w14:textId="77777777">
        <w:trPr>
          <w:trHeight w:val="318"/>
          <w:jc w:val="center"/>
        </w:trPr>
        <w:tc>
          <w:tcPr>
            <w:tcW w:w="1248" w:type="pct"/>
            <w:noWrap/>
            <w:vAlign w:val="center"/>
          </w:tcPr>
          <w:p w14:paraId="2CF8B66A"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S12</w:t>
            </w:r>
          </w:p>
        </w:tc>
        <w:tc>
          <w:tcPr>
            <w:tcW w:w="1249" w:type="pct"/>
            <w:noWrap/>
            <w:vAlign w:val="center"/>
          </w:tcPr>
          <w:p w14:paraId="5C7AC7B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4.12</w:t>
            </w:r>
          </w:p>
        </w:tc>
        <w:tc>
          <w:tcPr>
            <w:tcW w:w="1249" w:type="pct"/>
            <w:noWrap/>
            <w:vAlign w:val="center"/>
          </w:tcPr>
          <w:p w14:paraId="6D4B9A3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0.78</w:t>
            </w:r>
          </w:p>
        </w:tc>
        <w:tc>
          <w:tcPr>
            <w:tcW w:w="1252" w:type="pct"/>
            <w:noWrap/>
            <w:vAlign w:val="center"/>
          </w:tcPr>
          <w:p w14:paraId="0867B2F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2.59</w:t>
            </w:r>
          </w:p>
        </w:tc>
      </w:tr>
      <w:tr w:rsidR="0075791A" w14:paraId="2B6514A1" w14:textId="77777777">
        <w:trPr>
          <w:trHeight w:val="347"/>
          <w:jc w:val="center"/>
        </w:trPr>
        <w:tc>
          <w:tcPr>
            <w:tcW w:w="1248" w:type="pct"/>
            <w:noWrap/>
            <w:vAlign w:val="center"/>
          </w:tcPr>
          <w:p w14:paraId="6BA8E57A"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平均</w:t>
            </w:r>
          </w:p>
        </w:tc>
        <w:tc>
          <w:tcPr>
            <w:tcW w:w="1249" w:type="pct"/>
            <w:noWrap/>
            <w:vAlign w:val="center"/>
          </w:tcPr>
          <w:p w14:paraId="497861B2"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3.65</w:t>
            </w:r>
          </w:p>
        </w:tc>
        <w:tc>
          <w:tcPr>
            <w:tcW w:w="1249" w:type="pct"/>
            <w:noWrap/>
            <w:vAlign w:val="center"/>
          </w:tcPr>
          <w:p w14:paraId="2A48C48E"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0.58</w:t>
            </w:r>
          </w:p>
        </w:tc>
        <w:tc>
          <w:tcPr>
            <w:tcW w:w="1252" w:type="pct"/>
            <w:noWrap/>
            <w:vAlign w:val="center"/>
          </w:tcPr>
          <w:p w14:paraId="44A93BB9"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2.50</w:t>
            </w:r>
          </w:p>
        </w:tc>
      </w:tr>
    </w:tbl>
    <w:p w14:paraId="5FD537F5"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77" w:name="_Toc25374"/>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5</w:t>
      </w: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b/>
          <w:bCs/>
          <w:snapToGrid/>
          <w:color w:val="auto"/>
          <w:kern w:val="2"/>
          <w:sz w:val="24"/>
          <w:szCs w:val="24"/>
          <w:lang w:eastAsia="zh-CN"/>
        </w:rPr>
        <w:t>现状评价</w:t>
      </w:r>
      <w:bookmarkEnd w:id="177"/>
    </w:p>
    <w:p w14:paraId="11D0992F"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调查区域</w:t>
      </w:r>
      <w:r>
        <w:rPr>
          <w:rFonts w:ascii="Times New Roman" w:eastAsia="宋体" w:hAnsi="Times New Roman" w:cs="Times New Roman"/>
          <w:snapToGrid/>
          <w:color w:val="auto"/>
          <w:kern w:val="2"/>
          <w:sz w:val="24"/>
          <w:szCs w:val="24"/>
          <w:lang w:eastAsia="zh-CN"/>
        </w:rPr>
        <w:t>浮游植物生物多样性指数</w:t>
      </w:r>
      <w:r>
        <w:rPr>
          <w:rFonts w:ascii="Times New Roman" w:eastAsia="宋体" w:hAnsi="Times New Roman" w:cs="Times New Roman" w:hint="eastAsia"/>
          <w:snapToGrid/>
          <w:color w:val="auto"/>
          <w:kern w:val="2"/>
          <w:sz w:val="24"/>
          <w:szCs w:val="24"/>
          <w:lang w:eastAsia="zh-CN"/>
        </w:rPr>
        <w:t>范围为</w:t>
      </w:r>
      <w:r>
        <w:rPr>
          <w:rFonts w:ascii="Times New Roman" w:eastAsia="宋体" w:hAnsi="Times New Roman" w:cs="Times New Roman" w:hint="eastAsia"/>
          <w:snapToGrid/>
          <w:color w:val="auto"/>
          <w:kern w:val="2"/>
          <w:sz w:val="24"/>
          <w:szCs w:val="24"/>
          <w:lang w:eastAsia="zh-CN"/>
        </w:rPr>
        <w:t>2.91~4.12</w:t>
      </w:r>
      <w:r>
        <w:rPr>
          <w:rFonts w:ascii="Times New Roman" w:eastAsia="宋体" w:hAnsi="Times New Roman" w:cs="Times New Roman"/>
          <w:snapToGrid/>
          <w:color w:val="auto"/>
          <w:kern w:val="2"/>
          <w:sz w:val="24"/>
          <w:szCs w:val="24"/>
          <w:lang w:eastAsia="zh-CN"/>
        </w:rPr>
        <w:t>，水生态状况</w:t>
      </w:r>
      <w:r>
        <w:rPr>
          <w:rFonts w:ascii="Times New Roman" w:eastAsia="宋体" w:hAnsi="Times New Roman" w:cs="Times New Roman" w:hint="eastAsia"/>
          <w:snapToGrid/>
          <w:color w:val="auto"/>
          <w:kern w:val="2"/>
          <w:sz w:val="24"/>
          <w:szCs w:val="24"/>
          <w:lang w:eastAsia="zh-CN"/>
        </w:rPr>
        <w:t>表现为清洁</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0-1</w:t>
      </w:r>
      <w:r>
        <w:rPr>
          <w:rFonts w:ascii="Times New Roman" w:eastAsia="宋体" w:hAnsi="Times New Roman" w:cs="Times New Roman"/>
          <w:snapToGrid/>
          <w:color w:val="auto"/>
          <w:kern w:val="2"/>
          <w:sz w:val="24"/>
          <w:szCs w:val="24"/>
          <w:lang w:eastAsia="zh-CN"/>
        </w:rPr>
        <w:t>重污染，</w:t>
      </w:r>
      <w:r>
        <w:rPr>
          <w:rFonts w:ascii="Times New Roman" w:eastAsia="宋体" w:hAnsi="Times New Roman" w:cs="Times New Roman"/>
          <w:snapToGrid/>
          <w:color w:val="auto"/>
          <w:kern w:val="2"/>
          <w:sz w:val="24"/>
          <w:szCs w:val="24"/>
          <w:lang w:eastAsia="zh-CN"/>
        </w:rPr>
        <w:t>1-2</w:t>
      </w:r>
      <w:r>
        <w:rPr>
          <w:rFonts w:ascii="Times New Roman" w:eastAsia="宋体" w:hAnsi="Times New Roman" w:cs="Times New Roman"/>
          <w:snapToGrid/>
          <w:color w:val="auto"/>
          <w:kern w:val="2"/>
          <w:sz w:val="24"/>
          <w:szCs w:val="24"/>
          <w:lang w:eastAsia="zh-CN"/>
        </w:rPr>
        <w:t>中污染，</w:t>
      </w:r>
      <w:r>
        <w:rPr>
          <w:rFonts w:ascii="Times New Roman" w:eastAsia="宋体" w:hAnsi="Times New Roman" w:cs="Times New Roman"/>
          <w:snapToGrid/>
          <w:color w:val="auto"/>
          <w:kern w:val="2"/>
          <w:sz w:val="24"/>
          <w:szCs w:val="24"/>
          <w:lang w:eastAsia="zh-CN"/>
        </w:rPr>
        <w:t>2-3</w:t>
      </w:r>
      <w:r>
        <w:rPr>
          <w:rFonts w:ascii="Times New Roman" w:eastAsia="宋体" w:hAnsi="Times New Roman" w:cs="Times New Roman"/>
          <w:snapToGrid/>
          <w:color w:val="auto"/>
          <w:kern w:val="2"/>
          <w:sz w:val="24"/>
          <w:szCs w:val="24"/>
          <w:lang w:eastAsia="zh-CN"/>
        </w:rPr>
        <w:t>轻污染，</w:t>
      </w:r>
      <w:r>
        <w:rPr>
          <w:rFonts w:ascii="Times New Roman" w:eastAsia="宋体" w:hAnsi="Times New Roman" w:cs="Times New Roman"/>
          <w:snapToGrid/>
          <w:color w:val="auto"/>
          <w:kern w:val="2"/>
          <w:sz w:val="24"/>
          <w:szCs w:val="24"/>
          <w:lang w:eastAsia="zh-CN"/>
        </w:rPr>
        <w:t>&gt;3</w:t>
      </w:r>
      <w:r>
        <w:rPr>
          <w:rFonts w:ascii="Times New Roman" w:eastAsia="宋体" w:hAnsi="Times New Roman" w:cs="Times New Roman"/>
          <w:snapToGrid/>
          <w:color w:val="auto"/>
          <w:kern w:val="2"/>
          <w:sz w:val="24"/>
          <w:szCs w:val="24"/>
          <w:lang w:eastAsia="zh-CN"/>
        </w:rPr>
        <w:t>清洁）</w:t>
      </w:r>
      <w:r>
        <w:rPr>
          <w:rFonts w:ascii="Times New Roman" w:eastAsia="宋体" w:hAnsi="Times New Roman" w:cs="Times New Roman" w:hint="eastAsia"/>
          <w:snapToGrid/>
          <w:color w:val="auto"/>
          <w:kern w:val="2"/>
          <w:sz w:val="24"/>
          <w:szCs w:val="24"/>
          <w:lang w:eastAsia="zh-CN"/>
        </w:rPr>
        <w:t>的站位有</w:t>
      </w:r>
      <w:r>
        <w:rPr>
          <w:rFonts w:ascii="Times New Roman" w:eastAsia="宋体" w:hAnsi="Times New Roman" w:cs="Times New Roman" w:hint="eastAsia"/>
          <w:snapToGrid/>
          <w:color w:val="auto"/>
          <w:kern w:val="2"/>
          <w:sz w:val="24"/>
          <w:szCs w:val="24"/>
          <w:lang w:eastAsia="zh-CN"/>
        </w:rPr>
        <w:t>11</w:t>
      </w:r>
      <w:r>
        <w:rPr>
          <w:rFonts w:ascii="Times New Roman" w:eastAsia="宋体" w:hAnsi="Times New Roman" w:cs="Times New Roman" w:hint="eastAsia"/>
          <w:snapToGrid/>
          <w:color w:val="auto"/>
          <w:kern w:val="2"/>
          <w:sz w:val="24"/>
          <w:szCs w:val="24"/>
          <w:lang w:eastAsia="zh-CN"/>
        </w:rPr>
        <w:t>个，占总站数的</w:t>
      </w:r>
      <w:r>
        <w:rPr>
          <w:rFonts w:ascii="Times New Roman" w:eastAsia="宋体" w:hAnsi="Times New Roman" w:cs="Times New Roman" w:hint="eastAsia"/>
          <w:snapToGrid/>
          <w:color w:val="auto"/>
          <w:kern w:val="2"/>
          <w:sz w:val="24"/>
          <w:szCs w:val="24"/>
          <w:lang w:eastAsia="zh-CN"/>
        </w:rPr>
        <w:t>91.67%</w:t>
      </w:r>
      <w:r>
        <w:rPr>
          <w:rFonts w:ascii="Times New Roman" w:eastAsia="宋体" w:hAnsi="Times New Roman" w:cs="Times New Roman" w:hint="eastAsia"/>
          <w:snapToGrid/>
          <w:color w:val="auto"/>
          <w:kern w:val="2"/>
          <w:sz w:val="24"/>
          <w:szCs w:val="24"/>
          <w:lang w:eastAsia="zh-CN"/>
        </w:rPr>
        <w:t>，表现为轻污染的站位有</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个，占总站位数的</w:t>
      </w:r>
      <w:r>
        <w:rPr>
          <w:rFonts w:ascii="Times New Roman" w:eastAsia="宋体" w:hAnsi="Times New Roman" w:cs="Times New Roman" w:hint="eastAsia"/>
          <w:snapToGrid/>
          <w:color w:val="auto"/>
          <w:kern w:val="2"/>
          <w:sz w:val="24"/>
          <w:szCs w:val="24"/>
          <w:lang w:eastAsia="zh-CN"/>
        </w:rPr>
        <w:t>8.33%</w:t>
      </w:r>
      <w:r>
        <w:rPr>
          <w:rFonts w:ascii="Times New Roman" w:eastAsia="宋体" w:hAnsi="Times New Roman" w:cs="Times New Roman"/>
          <w:snapToGrid/>
          <w:color w:val="auto"/>
          <w:kern w:val="2"/>
          <w:sz w:val="24"/>
          <w:szCs w:val="24"/>
          <w:lang w:eastAsia="zh-CN"/>
        </w:rPr>
        <w:t>；生物均匀性指数</w:t>
      </w:r>
      <w:r>
        <w:rPr>
          <w:rFonts w:ascii="Times New Roman" w:eastAsia="宋体" w:hAnsi="Times New Roman" w:cs="Times New Roman" w:hint="eastAsia"/>
          <w:snapToGrid/>
          <w:color w:val="auto"/>
          <w:kern w:val="2"/>
          <w:sz w:val="24"/>
          <w:szCs w:val="24"/>
          <w:lang w:eastAsia="zh-CN"/>
        </w:rPr>
        <w:t>范围为</w:t>
      </w:r>
      <w:r>
        <w:rPr>
          <w:rFonts w:ascii="Times New Roman" w:eastAsia="宋体" w:hAnsi="Times New Roman" w:cs="Times New Roman" w:hint="eastAsia"/>
          <w:snapToGrid/>
          <w:color w:val="auto"/>
          <w:kern w:val="2"/>
          <w:sz w:val="24"/>
          <w:szCs w:val="24"/>
          <w:lang w:eastAsia="zh-CN"/>
        </w:rPr>
        <w:t>0.23~0.97</w:t>
      </w:r>
      <w:r>
        <w:rPr>
          <w:rFonts w:ascii="Times New Roman" w:eastAsia="宋体" w:hAnsi="Times New Roman" w:cs="Times New Roman"/>
          <w:snapToGrid/>
          <w:color w:val="auto"/>
          <w:kern w:val="2"/>
          <w:sz w:val="24"/>
          <w:szCs w:val="24"/>
          <w:lang w:eastAsia="zh-CN"/>
        </w:rPr>
        <w:t>，水生态状况</w:t>
      </w:r>
      <w:r>
        <w:rPr>
          <w:rFonts w:ascii="Times New Roman" w:eastAsia="宋体" w:hAnsi="Times New Roman" w:cs="Times New Roman" w:hint="eastAsia"/>
          <w:snapToGrid/>
          <w:color w:val="auto"/>
          <w:kern w:val="2"/>
          <w:sz w:val="24"/>
          <w:szCs w:val="24"/>
          <w:lang w:eastAsia="zh-CN"/>
        </w:rPr>
        <w:t>表现为清洁</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8-1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0</w:t>
      </w:r>
      <w:r>
        <w:rPr>
          <w:rFonts w:ascii="Times New Roman" w:eastAsia="宋体" w:hAnsi="Times New Roman" w:cs="Times New Roman"/>
          <w:snapToGrid/>
          <w:color w:val="auto"/>
          <w:kern w:val="2"/>
          <w:sz w:val="24"/>
          <w:szCs w:val="24"/>
          <w:lang w:eastAsia="zh-CN"/>
        </w:rPr>
        <w:t>清洁，</w:t>
      </w:r>
      <w:r>
        <w:rPr>
          <w:rFonts w:ascii="Times New Roman" w:eastAsia="宋体" w:hAnsi="Times New Roman" w:cs="Times New Roman"/>
          <w:snapToGrid/>
          <w:color w:val="auto"/>
          <w:kern w:val="2"/>
          <w:sz w:val="24"/>
          <w:szCs w:val="24"/>
          <w:lang w:eastAsia="zh-CN"/>
        </w:rPr>
        <w:t>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5-0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8</w:t>
      </w:r>
      <w:r>
        <w:rPr>
          <w:rFonts w:ascii="Times New Roman" w:eastAsia="宋体" w:hAnsi="Times New Roman" w:cs="Times New Roman"/>
          <w:snapToGrid/>
          <w:color w:val="auto"/>
          <w:kern w:val="2"/>
          <w:sz w:val="24"/>
          <w:szCs w:val="24"/>
          <w:lang w:eastAsia="zh-CN"/>
        </w:rPr>
        <w:t>轻污染，</w:t>
      </w:r>
      <w:r>
        <w:rPr>
          <w:rFonts w:ascii="Times New Roman" w:eastAsia="宋体" w:hAnsi="Times New Roman" w:cs="Times New Roman"/>
          <w:snapToGrid/>
          <w:color w:val="auto"/>
          <w:kern w:val="2"/>
          <w:sz w:val="24"/>
          <w:szCs w:val="24"/>
          <w:lang w:eastAsia="zh-CN"/>
        </w:rPr>
        <w:t>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3-0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5</w:t>
      </w:r>
      <w:r>
        <w:rPr>
          <w:rFonts w:ascii="Times New Roman" w:eastAsia="宋体" w:hAnsi="Times New Roman" w:cs="Times New Roman"/>
          <w:snapToGrid/>
          <w:color w:val="auto"/>
          <w:kern w:val="2"/>
          <w:sz w:val="24"/>
          <w:szCs w:val="24"/>
          <w:lang w:eastAsia="zh-CN"/>
        </w:rPr>
        <w:t>中污染，</w:t>
      </w:r>
      <w:r>
        <w:rPr>
          <w:rFonts w:ascii="Times New Roman" w:eastAsia="宋体" w:hAnsi="Times New Roman" w:cs="Times New Roman"/>
          <w:snapToGrid/>
          <w:color w:val="auto"/>
          <w:kern w:val="2"/>
          <w:sz w:val="24"/>
          <w:szCs w:val="24"/>
          <w:lang w:eastAsia="zh-CN"/>
        </w:rPr>
        <w:t>0-0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3</w:t>
      </w:r>
      <w:r>
        <w:rPr>
          <w:rFonts w:ascii="Times New Roman" w:eastAsia="宋体" w:hAnsi="Times New Roman" w:cs="Times New Roman"/>
          <w:snapToGrid/>
          <w:color w:val="auto"/>
          <w:kern w:val="2"/>
          <w:sz w:val="24"/>
          <w:szCs w:val="24"/>
          <w:lang w:eastAsia="zh-CN"/>
        </w:rPr>
        <w:t>重污染）</w:t>
      </w:r>
      <w:r>
        <w:rPr>
          <w:rFonts w:ascii="Times New Roman" w:eastAsia="宋体" w:hAnsi="Times New Roman" w:cs="Times New Roman" w:hint="eastAsia"/>
          <w:snapToGrid/>
          <w:color w:val="auto"/>
          <w:kern w:val="2"/>
          <w:sz w:val="24"/>
          <w:szCs w:val="24"/>
          <w:lang w:eastAsia="zh-CN"/>
        </w:rPr>
        <w:t>的站位有</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个，占总站位数的</w:t>
      </w:r>
      <w:r>
        <w:rPr>
          <w:rFonts w:ascii="Times New Roman" w:eastAsia="宋体" w:hAnsi="Times New Roman" w:cs="Times New Roman" w:hint="eastAsia"/>
          <w:snapToGrid/>
          <w:color w:val="auto"/>
          <w:kern w:val="2"/>
          <w:sz w:val="24"/>
          <w:szCs w:val="24"/>
          <w:lang w:eastAsia="zh-CN"/>
        </w:rPr>
        <w:t>8.33%</w:t>
      </w:r>
      <w:r>
        <w:rPr>
          <w:rFonts w:ascii="Times New Roman" w:eastAsia="宋体" w:hAnsi="Times New Roman" w:cs="Times New Roman" w:hint="eastAsia"/>
          <w:snapToGrid/>
          <w:color w:val="auto"/>
          <w:kern w:val="2"/>
          <w:sz w:val="24"/>
          <w:szCs w:val="24"/>
          <w:lang w:eastAsia="zh-CN"/>
        </w:rPr>
        <w:t>，表现为轻污染的站位有</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个，占总站位数的</w:t>
      </w:r>
      <w:r>
        <w:rPr>
          <w:rFonts w:ascii="Times New Roman" w:eastAsia="宋体" w:hAnsi="Times New Roman" w:cs="Times New Roman" w:hint="eastAsia"/>
          <w:snapToGrid/>
          <w:color w:val="auto"/>
          <w:kern w:val="2"/>
          <w:sz w:val="24"/>
          <w:szCs w:val="24"/>
          <w:lang w:eastAsia="zh-CN"/>
        </w:rPr>
        <w:t>41.67%</w:t>
      </w:r>
      <w:r>
        <w:rPr>
          <w:rFonts w:ascii="Times New Roman" w:eastAsia="宋体" w:hAnsi="Times New Roman" w:cs="Times New Roman" w:hint="eastAsia"/>
          <w:snapToGrid/>
          <w:color w:val="auto"/>
          <w:kern w:val="2"/>
          <w:sz w:val="24"/>
          <w:szCs w:val="24"/>
          <w:lang w:eastAsia="zh-CN"/>
        </w:rPr>
        <w:t>，表现为中污染的站位有</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个，占总站位数的</w:t>
      </w:r>
      <w:r>
        <w:rPr>
          <w:rFonts w:ascii="Times New Roman" w:eastAsia="宋体" w:hAnsi="Times New Roman" w:cs="Times New Roman" w:hint="eastAsia"/>
          <w:snapToGrid/>
          <w:color w:val="auto"/>
          <w:kern w:val="2"/>
          <w:sz w:val="24"/>
          <w:szCs w:val="24"/>
          <w:lang w:eastAsia="zh-CN"/>
        </w:rPr>
        <w:t>41.67%</w:t>
      </w:r>
      <w:r>
        <w:rPr>
          <w:rFonts w:ascii="Times New Roman" w:eastAsia="宋体" w:hAnsi="Times New Roman" w:cs="Times New Roman" w:hint="eastAsia"/>
          <w:snapToGrid/>
          <w:color w:val="auto"/>
          <w:kern w:val="2"/>
          <w:sz w:val="24"/>
          <w:szCs w:val="24"/>
          <w:lang w:eastAsia="zh-CN"/>
        </w:rPr>
        <w:t>，表现为重污染的</w:t>
      </w:r>
      <w:r>
        <w:rPr>
          <w:rFonts w:ascii="Times New Roman" w:eastAsia="宋体" w:hAnsi="Times New Roman" w:cs="Times New Roman" w:hint="eastAsia"/>
          <w:snapToGrid/>
          <w:color w:val="auto"/>
          <w:kern w:val="2"/>
          <w:sz w:val="24"/>
          <w:szCs w:val="24"/>
          <w:lang w:eastAsia="zh-CN"/>
        </w:rPr>
        <w:t>站位有</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个，占总站位数的</w:t>
      </w:r>
      <w:r>
        <w:rPr>
          <w:rFonts w:ascii="Times New Roman" w:eastAsia="宋体" w:hAnsi="Times New Roman" w:cs="Times New Roman" w:hint="eastAsia"/>
          <w:snapToGrid/>
          <w:color w:val="auto"/>
          <w:kern w:val="2"/>
          <w:sz w:val="24"/>
          <w:szCs w:val="24"/>
          <w:lang w:eastAsia="zh-CN"/>
        </w:rPr>
        <w:t>8.33%</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生物</w:t>
      </w:r>
      <w:r>
        <w:rPr>
          <w:rFonts w:ascii="Times New Roman" w:eastAsia="宋体" w:hAnsi="Times New Roman" w:cs="Times New Roman" w:hint="eastAsia"/>
          <w:snapToGrid/>
          <w:color w:val="auto"/>
          <w:kern w:val="2"/>
          <w:sz w:val="24"/>
          <w:szCs w:val="24"/>
          <w:lang w:eastAsia="zh-CN"/>
        </w:rPr>
        <w:t>丰富度</w:t>
      </w:r>
      <w:r>
        <w:rPr>
          <w:rFonts w:ascii="Times New Roman" w:eastAsia="宋体" w:hAnsi="Times New Roman" w:cs="Times New Roman"/>
          <w:snapToGrid/>
          <w:color w:val="auto"/>
          <w:kern w:val="2"/>
          <w:sz w:val="24"/>
          <w:szCs w:val="24"/>
          <w:lang w:eastAsia="zh-CN"/>
        </w:rPr>
        <w:t>指数</w:t>
      </w:r>
      <w:r>
        <w:rPr>
          <w:rFonts w:ascii="Times New Roman" w:eastAsia="宋体" w:hAnsi="Times New Roman" w:cs="Times New Roman" w:hint="eastAsia"/>
          <w:snapToGrid/>
          <w:color w:val="auto"/>
          <w:kern w:val="2"/>
          <w:sz w:val="24"/>
          <w:szCs w:val="24"/>
          <w:lang w:eastAsia="zh-CN"/>
        </w:rPr>
        <w:t>范围为</w:t>
      </w:r>
      <w:r>
        <w:rPr>
          <w:rFonts w:ascii="Times New Roman" w:eastAsia="宋体" w:hAnsi="Times New Roman" w:cs="Times New Roman" w:hint="eastAsia"/>
          <w:snapToGrid/>
          <w:color w:val="auto"/>
          <w:kern w:val="2"/>
          <w:sz w:val="24"/>
          <w:szCs w:val="24"/>
          <w:lang w:eastAsia="zh-CN"/>
        </w:rPr>
        <w:t>0.75~3.18</w:t>
      </w:r>
      <w:r>
        <w:rPr>
          <w:rFonts w:ascii="Times New Roman" w:eastAsia="宋体" w:hAnsi="Times New Roman" w:cs="Times New Roman"/>
          <w:snapToGrid/>
          <w:color w:val="auto"/>
          <w:kern w:val="2"/>
          <w:sz w:val="24"/>
          <w:szCs w:val="24"/>
          <w:lang w:eastAsia="zh-CN"/>
        </w:rPr>
        <w:t>，水生态状况</w:t>
      </w:r>
      <w:r>
        <w:rPr>
          <w:rFonts w:ascii="Times New Roman" w:eastAsia="宋体" w:hAnsi="Times New Roman" w:cs="Times New Roman" w:hint="eastAsia"/>
          <w:snapToGrid/>
          <w:color w:val="auto"/>
          <w:kern w:val="2"/>
          <w:sz w:val="24"/>
          <w:szCs w:val="24"/>
          <w:lang w:eastAsia="zh-CN"/>
        </w:rPr>
        <w:t>表现为清洁</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&gt; 3</w:t>
      </w:r>
      <w:r>
        <w:rPr>
          <w:rFonts w:ascii="Times New Roman" w:eastAsia="宋体" w:hAnsi="Times New Roman" w:cs="Times New Roman"/>
          <w:snapToGrid/>
          <w:color w:val="auto"/>
          <w:kern w:val="2"/>
          <w:sz w:val="24"/>
          <w:szCs w:val="24"/>
          <w:lang w:eastAsia="zh-CN"/>
        </w:rPr>
        <w:t>清洁</w:t>
      </w:r>
      <w:r>
        <w:rPr>
          <w:rFonts w:ascii="Times New Roman" w:eastAsia="宋体" w:hAnsi="Times New Roman" w:cs="Times New Roman" w:hint="eastAsia"/>
          <w:snapToGrid/>
          <w:color w:val="auto"/>
          <w:kern w:val="2"/>
          <w:sz w:val="24"/>
          <w:szCs w:val="24"/>
          <w:lang w:eastAsia="zh-CN"/>
        </w:rPr>
        <w:t>或</w:t>
      </w:r>
      <w:r>
        <w:rPr>
          <w:rFonts w:ascii="Times New Roman" w:eastAsia="宋体" w:hAnsi="Times New Roman" w:cs="Times New Roman"/>
          <w:snapToGrid/>
          <w:color w:val="auto"/>
          <w:kern w:val="2"/>
          <w:sz w:val="24"/>
          <w:szCs w:val="24"/>
          <w:lang w:eastAsia="zh-CN"/>
        </w:rPr>
        <w:t>轻污染，</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snapToGrid/>
          <w:color w:val="auto"/>
          <w:kern w:val="2"/>
          <w:sz w:val="24"/>
          <w:szCs w:val="24"/>
          <w:lang w:eastAsia="zh-CN"/>
        </w:rPr>
        <w:t>中污染，</w:t>
      </w:r>
      <w:r>
        <w:rPr>
          <w:rFonts w:ascii="Times New Roman" w:eastAsia="宋体" w:hAnsi="Times New Roman" w:cs="Times New Roman"/>
          <w:snapToGrid/>
          <w:color w:val="auto"/>
          <w:kern w:val="2"/>
          <w:sz w:val="24"/>
          <w:szCs w:val="24"/>
          <w:lang w:eastAsia="zh-CN"/>
        </w:rPr>
        <w:t>0-</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snapToGrid/>
          <w:color w:val="auto"/>
          <w:kern w:val="2"/>
          <w:sz w:val="24"/>
          <w:szCs w:val="24"/>
          <w:lang w:eastAsia="zh-CN"/>
        </w:rPr>
        <w:t>重污染）</w:t>
      </w:r>
      <w:r>
        <w:rPr>
          <w:rFonts w:ascii="Times New Roman" w:eastAsia="宋体" w:hAnsi="Times New Roman" w:cs="Times New Roman" w:hint="eastAsia"/>
          <w:snapToGrid/>
          <w:color w:val="auto"/>
          <w:kern w:val="2"/>
          <w:sz w:val="24"/>
          <w:szCs w:val="24"/>
          <w:lang w:eastAsia="zh-CN"/>
        </w:rPr>
        <w:t>有</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个，站总站位数的</w:t>
      </w:r>
      <w:r>
        <w:rPr>
          <w:rFonts w:ascii="Times New Roman" w:eastAsia="宋体" w:hAnsi="Times New Roman" w:cs="Times New Roman" w:hint="eastAsia"/>
          <w:snapToGrid/>
          <w:color w:val="auto"/>
          <w:kern w:val="2"/>
          <w:sz w:val="24"/>
          <w:szCs w:val="24"/>
          <w:lang w:eastAsia="zh-CN"/>
        </w:rPr>
        <w:t>25%</w:t>
      </w:r>
      <w:r>
        <w:rPr>
          <w:rFonts w:ascii="Times New Roman" w:eastAsia="宋体" w:hAnsi="Times New Roman" w:cs="Times New Roman" w:hint="eastAsia"/>
          <w:snapToGrid/>
          <w:color w:val="auto"/>
          <w:kern w:val="2"/>
          <w:sz w:val="24"/>
          <w:szCs w:val="24"/>
          <w:lang w:eastAsia="zh-CN"/>
        </w:rPr>
        <w:t>，表现为中污染的站位有</w:t>
      </w:r>
      <w:r>
        <w:rPr>
          <w:rFonts w:ascii="Times New Roman" w:eastAsia="宋体" w:hAnsi="Times New Roman" w:cs="Times New Roman" w:hint="eastAsia"/>
          <w:snapToGrid/>
          <w:color w:val="auto"/>
          <w:kern w:val="2"/>
          <w:sz w:val="24"/>
          <w:szCs w:val="24"/>
          <w:lang w:eastAsia="zh-CN"/>
        </w:rPr>
        <w:t>8</w:t>
      </w:r>
      <w:r>
        <w:rPr>
          <w:rFonts w:ascii="Times New Roman" w:eastAsia="宋体" w:hAnsi="Times New Roman" w:cs="Times New Roman" w:hint="eastAsia"/>
          <w:snapToGrid/>
          <w:color w:val="auto"/>
          <w:kern w:val="2"/>
          <w:sz w:val="24"/>
          <w:szCs w:val="24"/>
          <w:lang w:eastAsia="zh-CN"/>
        </w:rPr>
        <w:t>个，占总站位数的</w:t>
      </w:r>
      <w:r>
        <w:rPr>
          <w:rFonts w:ascii="Times New Roman" w:eastAsia="宋体" w:hAnsi="Times New Roman" w:cs="Times New Roman" w:hint="eastAsia"/>
          <w:snapToGrid/>
          <w:color w:val="auto"/>
          <w:kern w:val="2"/>
          <w:sz w:val="24"/>
          <w:szCs w:val="24"/>
          <w:lang w:eastAsia="zh-CN"/>
        </w:rPr>
        <w:t>66.67%</w:t>
      </w:r>
      <w:r>
        <w:rPr>
          <w:rFonts w:ascii="Times New Roman" w:eastAsia="宋体" w:hAnsi="Times New Roman" w:cs="Times New Roman" w:hint="eastAsia"/>
          <w:snapToGrid/>
          <w:color w:val="auto"/>
          <w:kern w:val="2"/>
          <w:sz w:val="24"/>
          <w:szCs w:val="24"/>
          <w:lang w:eastAsia="zh-CN"/>
        </w:rPr>
        <w:t>，表现为重污染的站位有</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个，占总站位数的</w:t>
      </w:r>
      <w:r>
        <w:rPr>
          <w:rFonts w:ascii="Times New Roman" w:eastAsia="宋体" w:hAnsi="Times New Roman" w:cs="Times New Roman" w:hint="eastAsia"/>
          <w:snapToGrid/>
          <w:color w:val="auto"/>
          <w:kern w:val="2"/>
          <w:sz w:val="24"/>
          <w:szCs w:val="24"/>
          <w:lang w:eastAsia="zh-CN"/>
        </w:rPr>
        <w:t>8.33%</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可见调查水域浮游植物多样性较好，均匀度及丰富度一般。</w:t>
      </w:r>
    </w:p>
    <w:p w14:paraId="0A915820"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78" w:name="_Toc7859"/>
      <w:r>
        <w:rPr>
          <w:rFonts w:ascii="Times New Roman" w:eastAsia="宋体" w:hAnsi="Times New Roman" w:cs="Times New Roman" w:hint="eastAsia"/>
          <w:b/>
          <w:bCs/>
          <w:snapToGrid/>
          <w:color w:val="auto"/>
          <w:kern w:val="2"/>
          <w:sz w:val="24"/>
          <w:szCs w:val="24"/>
          <w:lang w:eastAsia="zh-CN"/>
        </w:rPr>
        <w:t>2.</w:t>
      </w:r>
      <w:r>
        <w:rPr>
          <w:rFonts w:ascii="Times New Roman" w:eastAsia="宋体" w:hAnsi="Times New Roman" w:cs="Times New Roman"/>
          <w:b/>
          <w:bCs/>
          <w:snapToGrid/>
          <w:color w:val="auto"/>
          <w:kern w:val="2"/>
          <w:sz w:val="24"/>
          <w:szCs w:val="24"/>
          <w:lang w:eastAsia="zh-CN"/>
        </w:rPr>
        <w:t>浮游动物</w:t>
      </w:r>
      <w:bookmarkEnd w:id="178"/>
    </w:p>
    <w:p w14:paraId="04EE7202"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79" w:name="_Toc18796"/>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1</w:t>
      </w: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b/>
          <w:bCs/>
          <w:snapToGrid/>
          <w:color w:val="auto"/>
          <w:kern w:val="2"/>
          <w:sz w:val="24"/>
          <w:szCs w:val="24"/>
          <w:lang w:eastAsia="zh-CN"/>
        </w:rPr>
        <w:t>种类组成</w:t>
      </w:r>
      <w:bookmarkEnd w:id="179"/>
    </w:p>
    <w:p w14:paraId="4A987AE9"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本次调查</w:t>
      </w:r>
      <w:r>
        <w:rPr>
          <w:rFonts w:ascii="Times New Roman" w:eastAsia="宋体" w:hAnsi="Times New Roman" w:cs="Times New Roman" w:hint="eastAsia"/>
          <w:snapToGrid/>
          <w:color w:val="auto"/>
          <w:kern w:val="2"/>
          <w:sz w:val="24"/>
          <w:szCs w:val="24"/>
          <w:lang w:eastAsia="zh-CN"/>
        </w:rPr>
        <w:t>样品</w:t>
      </w:r>
      <w:r>
        <w:rPr>
          <w:rFonts w:ascii="Times New Roman" w:eastAsia="宋体" w:hAnsi="Times New Roman" w:cs="Times New Roman"/>
          <w:snapToGrid/>
          <w:color w:val="auto"/>
          <w:kern w:val="2"/>
          <w:sz w:val="24"/>
          <w:szCs w:val="24"/>
          <w:lang w:eastAsia="zh-CN"/>
        </w:rPr>
        <w:t>共采集浮游动物</w:t>
      </w:r>
      <w:r>
        <w:rPr>
          <w:rFonts w:ascii="Times New Roman" w:eastAsia="宋体" w:hAnsi="Times New Roman" w:cs="Times New Roman" w:hint="eastAsia"/>
          <w:snapToGrid/>
          <w:color w:val="auto"/>
          <w:kern w:val="2"/>
          <w:sz w:val="24"/>
          <w:szCs w:val="24"/>
          <w:lang w:eastAsia="zh-CN"/>
        </w:rPr>
        <w:t>7</w:t>
      </w:r>
      <w:r>
        <w:rPr>
          <w:rFonts w:ascii="Times New Roman" w:eastAsia="宋体" w:hAnsi="Times New Roman" w:cs="Times New Roman" w:hint="eastAsia"/>
          <w:snapToGrid/>
          <w:color w:val="auto"/>
          <w:kern w:val="2"/>
          <w:sz w:val="24"/>
          <w:szCs w:val="24"/>
          <w:lang w:eastAsia="zh-CN"/>
        </w:rPr>
        <w:t>类</w:t>
      </w:r>
      <w:r>
        <w:rPr>
          <w:rFonts w:ascii="Times New Roman" w:eastAsia="宋体" w:hAnsi="Times New Roman" w:cs="Times New Roman" w:hint="eastAsia"/>
          <w:snapToGrid/>
          <w:color w:val="auto"/>
          <w:kern w:val="2"/>
          <w:sz w:val="24"/>
          <w:szCs w:val="24"/>
          <w:lang w:eastAsia="zh-CN"/>
        </w:rPr>
        <w:t>41</w:t>
      </w:r>
      <w:r>
        <w:rPr>
          <w:rFonts w:ascii="Times New Roman" w:eastAsia="宋体" w:hAnsi="Times New Roman" w:cs="Times New Roman"/>
          <w:snapToGrid/>
          <w:color w:val="auto"/>
          <w:kern w:val="2"/>
          <w:sz w:val="24"/>
          <w:szCs w:val="24"/>
          <w:lang w:eastAsia="zh-CN"/>
        </w:rPr>
        <w:t>种，</w:t>
      </w:r>
      <w:r>
        <w:rPr>
          <w:rFonts w:ascii="Times New Roman" w:eastAsia="宋体" w:hAnsi="Times New Roman" w:cs="Times New Roman" w:hint="eastAsia"/>
          <w:snapToGrid/>
          <w:color w:val="auto"/>
          <w:kern w:val="2"/>
          <w:sz w:val="24"/>
          <w:szCs w:val="24"/>
          <w:lang w:eastAsia="zh-CN"/>
        </w:rPr>
        <w:t>其中调查到桡足类最多为</w:t>
      </w:r>
      <w:r>
        <w:rPr>
          <w:rFonts w:ascii="Times New Roman" w:eastAsia="宋体" w:hAnsi="Times New Roman" w:cs="Times New Roman" w:hint="eastAsia"/>
          <w:snapToGrid/>
          <w:color w:val="auto"/>
          <w:kern w:val="2"/>
          <w:sz w:val="24"/>
          <w:szCs w:val="24"/>
          <w:lang w:eastAsia="zh-CN"/>
        </w:rPr>
        <w:t>14</w:t>
      </w:r>
      <w:r>
        <w:rPr>
          <w:rFonts w:ascii="Times New Roman" w:eastAsia="宋体" w:hAnsi="Times New Roman" w:cs="Times New Roman" w:hint="eastAsia"/>
          <w:snapToGrid/>
          <w:color w:val="auto"/>
          <w:kern w:val="2"/>
          <w:sz w:val="24"/>
          <w:szCs w:val="24"/>
          <w:lang w:eastAsia="zh-CN"/>
        </w:rPr>
        <w:t>种，占总种类数的</w:t>
      </w:r>
      <w:r>
        <w:rPr>
          <w:rFonts w:ascii="Times New Roman" w:eastAsia="宋体" w:hAnsi="Times New Roman" w:cs="Times New Roman" w:hint="eastAsia"/>
          <w:snapToGrid/>
          <w:color w:val="auto"/>
          <w:kern w:val="2"/>
          <w:sz w:val="24"/>
          <w:szCs w:val="24"/>
          <w:lang w:eastAsia="zh-CN"/>
        </w:rPr>
        <w:t>34.15%</w:t>
      </w:r>
      <w:r>
        <w:rPr>
          <w:rFonts w:ascii="Times New Roman" w:eastAsia="宋体" w:hAnsi="Times New Roman" w:cs="Times New Roman" w:hint="eastAsia"/>
          <w:snapToGrid/>
          <w:color w:val="auto"/>
          <w:kern w:val="2"/>
          <w:sz w:val="24"/>
          <w:szCs w:val="24"/>
          <w:lang w:eastAsia="zh-CN"/>
        </w:rPr>
        <w:t>，轮虫类</w:t>
      </w:r>
      <w:r>
        <w:rPr>
          <w:rFonts w:ascii="Times New Roman" w:eastAsia="宋体" w:hAnsi="Times New Roman" w:cs="Times New Roman" w:hint="eastAsia"/>
          <w:snapToGrid/>
          <w:color w:val="auto"/>
          <w:kern w:val="2"/>
          <w:sz w:val="24"/>
          <w:szCs w:val="24"/>
          <w:lang w:eastAsia="zh-CN"/>
        </w:rPr>
        <w:t>7</w:t>
      </w:r>
      <w:r>
        <w:rPr>
          <w:rFonts w:ascii="Times New Roman" w:eastAsia="宋体" w:hAnsi="Times New Roman" w:cs="Times New Roman" w:hint="eastAsia"/>
          <w:snapToGrid/>
          <w:color w:val="auto"/>
          <w:kern w:val="2"/>
          <w:sz w:val="24"/>
          <w:szCs w:val="24"/>
          <w:lang w:eastAsia="zh-CN"/>
        </w:rPr>
        <w:t>种，占总种类数的</w:t>
      </w:r>
      <w:r>
        <w:rPr>
          <w:rFonts w:ascii="Times New Roman" w:eastAsia="宋体" w:hAnsi="Times New Roman" w:cs="Times New Roman" w:hint="eastAsia"/>
          <w:snapToGrid/>
          <w:color w:val="auto"/>
          <w:kern w:val="2"/>
          <w:sz w:val="24"/>
          <w:szCs w:val="24"/>
          <w:lang w:eastAsia="zh-CN"/>
        </w:rPr>
        <w:t>17.07%</w:t>
      </w:r>
      <w:r>
        <w:rPr>
          <w:rFonts w:ascii="Times New Roman" w:eastAsia="宋体" w:hAnsi="Times New Roman" w:cs="Times New Roman" w:hint="eastAsia"/>
          <w:snapToGrid/>
          <w:color w:val="auto"/>
          <w:kern w:val="2"/>
          <w:sz w:val="24"/>
          <w:szCs w:val="24"/>
          <w:lang w:eastAsia="zh-CN"/>
        </w:rPr>
        <w:t>，水母类</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种，占总种类数的</w:t>
      </w:r>
      <w:r>
        <w:rPr>
          <w:rFonts w:ascii="Times New Roman" w:eastAsia="宋体" w:hAnsi="Times New Roman" w:cs="Times New Roman" w:hint="eastAsia"/>
          <w:snapToGrid/>
          <w:color w:val="auto"/>
          <w:kern w:val="2"/>
          <w:sz w:val="24"/>
          <w:szCs w:val="24"/>
          <w:lang w:eastAsia="zh-CN"/>
        </w:rPr>
        <w:t>7.32%</w:t>
      </w:r>
      <w:r>
        <w:rPr>
          <w:rFonts w:ascii="Times New Roman" w:eastAsia="宋体" w:hAnsi="Times New Roman" w:cs="Times New Roman" w:hint="eastAsia"/>
          <w:snapToGrid/>
          <w:color w:val="auto"/>
          <w:kern w:val="2"/>
          <w:sz w:val="24"/>
          <w:szCs w:val="24"/>
          <w:lang w:eastAsia="zh-CN"/>
        </w:rPr>
        <w:t>，枝角类</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种，占总种类数的</w:t>
      </w:r>
      <w:r>
        <w:rPr>
          <w:rFonts w:ascii="Times New Roman" w:eastAsia="宋体" w:hAnsi="Times New Roman" w:cs="Times New Roman" w:hint="eastAsia"/>
          <w:snapToGrid/>
          <w:color w:val="auto"/>
          <w:kern w:val="2"/>
          <w:sz w:val="24"/>
          <w:szCs w:val="24"/>
          <w:lang w:eastAsia="zh-CN"/>
        </w:rPr>
        <w:t>7.32%</w:t>
      </w:r>
      <w:r>
        <w:rPr>
          <w:rFonts w:ascii="Times New Roman" w:eastAsia="宋体" w:hAnsi="Times New Roman" w:cs="Times New Roman" w:hint="eastAsia"/>
          <w:snapToGrid/>
          <w:color w:val="auto"/>
          <w:kern w:val="2"/>
          <w:sz w:val="24"/>
          <w:szCs w:val="24"/>
          <w:lang w:eastAsia="zh-CN"/>
        </w:rPr>
        <w:t>，原生动物</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种，占总种类数的</w:t>
      </w:r>
      <w:r>
        <w:rPr>
          <w:rFonts w:ascii="Times New Roman" w:eastAsia="宋体" w:hAnsi="Times New Roman" w:cs="Times New Roman" w:hint="eastAsia"/>
          <w:snapToGrid/>
          <w:color w:val="auto"/>
          <w:kern w:val="2"/>
          <w:sz w:val="24"/>
          <w:szCs w:val="24"/>
          <w:lang w:eastAsia="zh-CN"/>
        </w:rPr>
        <w:t>4.88%</w:t>
      </w:r>
      <w:r>
        <w:rPr>
          <w:rFonts w:ascii="Times New Roman" w:eastAsia="宋体" w:hAnsi="Times New Roman" w:cs="Times New Roman" w:hint="eastAsia"/>
          <w:snapToGrid/>
          <w:color w:val="auto"/>
          <w:kern w:val="2"/>
          <w:sz w:val="24"/>
          <w:szCs w:val="24"/>
          <w:lang w:eastAsia="zh-CN"/>
        </w:rPr>
        <w:t>，翼足类</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种，占总种类数的</w:t>
      </w:r>
      <w:r>
        <w:rPr>
          <w:rFonts w:ascii="Times New Roman" w:eastAsia="宋体" w:hAnsi="Times New Roman" w:cs="Times New Roman" w:hint="eastAsia"/>
          <w:snapToGrid/>
          <w:color w:val="auto"/>
          <w:kern w:val="2"/>
          <w:sz w:val="24"/>
          <w:szCs w:val="24"/>
          <w:lang w:eastAsia="zh-CN"/>
        </w:rPr>
        <w:t>2.44%</w:t>
      </w:r>
      <w:r>
        <w:rPr>
          <w:rFonts w:ascii="Times New Roman" w:eastAsia="宋体" w:hAnsi="Times New Roman" w:cs="Times New Roman" w:hint="eastAsia"/>
          <w:snapToGrid/>
          <w:color w:val="auto"/>
          <w:kern w:val="2"/>
          <w:sz w:val="24"/>
          <w:szCs w:val="24"/>
          <w:lang w:eastAsia="zh-CN"/>
        </w:rPr>
        <w:t>，浮游幼体</w:t>
      </w:r>
      <w:r>
        <w:rPr>
          <w:rFonts w:ascii="Times New Roman" w:eastAsia="宋体" w:hAnsi="Times New Roman" w:cs="Times New Roman" w:hint="eastAsia"/>
          <w:snapToGrid/>
          <w:color w:val="auto"/>
          <w:kern w:val="2"/>
          <w:sz w:val="24"/>
          <w:szCs w:val="24"/>
          <w:lang w:eastAsia="zh-CN"/>
        </w:rPr>
        <w:t>11</w:t>
      </w:r>
      <w:r>
        <w:rPr>
          <w:rFonts w:ascii="Times New Roman" w:eastAsia="宋体" w:hAnsi="Times New Roman" w:cs="Times New Roman" w:hint="eastAsia"/>
          <w:snapToGrid/>
          <w:color w:val="auto"/>
          <w:kern w:val="2"/>
          <w:sz w:val="24"/>
          <w:szCs w:val="24"/>
          <w:lang w:eastAsia="zh-CN"/>
        </w:rPr>
        <w:t>种，占总种类数的</w:t>
      </w:r>
      <w:r>
        <w:rPr>
          <w:rFonts w:ascii="Times New Roman" w:eastAsia="宋体" w:hAnsi="Times New Roman" w:cs="Times New Roman" w:hint="eastAsia"/>
          <w:snapToGrid/>
          <w:color w:val="auto"/>
          <w:kern w:val="2"/>
          <w:sz w:val="24"/>
          <w:szCs w:val="24"/>
          <w:lang w:eastAsia="zh-CN"/>
        </w:rPr>
        <w:t>26.83%</w:t>
      </w:r>
      <w:r>
        <w:rPr>
          <w:rFonts w:ascii="Times New Roman" w:eastAsia="宋体" w:hAnsi="Times New Roman" w:cs="Times New Roman" w:hint="eastAsia"/>
          <w:snapToGrid/>
          <w:color w:val="auto"/>
          <w:kern w:val="2"/>
          <w:sz w:val="24"/>
          <w:szCs w:val="24"/>
          <w:lang w:eastAsia="zh-CN"/>
        </w:rPr>
        <w:t>。各站位调查到浮游动物种类数范围为</w:t>
      </w:r>
      <w:r>
        <w:rPr>
          <w:rFonts w:ascii="Times New Roman" w:eastAsia="宋体" w:hAnsi="Times New Roman" w:cs="Times New Roman" w:hint="eastAsia"/>
          <w:snapToGrid/>
          <w:color w:val="auto"/>
          <w:kern w:val="2"/>
          <w:sz w:val="24"/>
          <w:szCs w:val="24"/>
          <w:lang w:eastAsia="zh-CN"/>
        </w:rPr>
        <w:t>4~12</w:t>
      </w:r>
      <w:r>
        <w:rPr>
          <w:rFonts w:ascii="Times New Roman" w:eastAsia="宋体" w:hAnsi="Times New Roman" w:cs="Times New Roman" w:hint="eastAsia"/>
          <w:snapToGrid/>
          <w:color w:val="auto"/>
          <w:kern w:val="2"/>
          <w:sz w:val="24"/>
          <w:szCs w:val="24"/>
          <w:lang w:eastAsia="zh-CN"/>
        </w:rPr>
        <w:t>种，最高值在</w:t>
      </w:r>
      <w:r>
        <w:rPr>
          <w:rFonts w:ascii="Times New Roman" w:eastAsia="宋体" w:hAnsi="Times New Roman" w:cs="Times New Roman" w:hint="eastAsia"/>
          <w:snapToGrid/>
          <w:color w:val="auto"/>
          <w:kern w:val="2"/>
          <w:sz w:val="24"/>
          <w:szCs w:val="24"/>
          <w:lang w:eastAsia="zh-CN"/>
        </w:rPr>
        <w:t>S12</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S9</w:t>
      </w:r>
      <w:r>
        <w:rPr>
          <w:rFonts w:ascii="Times New Roman" w:eastAsia="宋体" w:hAnsi="Times New Roman" w:cs="Times New Roman" w:hint="eastAsia"/>
          <w:snapToGrid/>
          <w:color w:val="auto"/>
          <w:kern w:val="2"/>
          <w:sz w:val="24"/>
          <w:szCs w:val="24"/>
          <w:lang w:eastAsia="zh-CN"/>
        </w:rPr>
        <w:t>站位，平均种类数为</w:t>
      </w:r>
      <w:r>
        <w:rPr>
          <w:rFonts w:ascii="Times New Roman" w:eastAsia="宋体" w:hAnsi="Times New Roman" w:cs="Times New Roman" w:hint="eastAsia"/>
          <w:snapToGrid/>
          <w:color w:val="auto"/>
          <w:kern w:val="2"/>
          <w:sz w:val="24"/>
          <w:szCs w:val="24"/>
          <w:lang w:eastAsia="zh-CN"/>
        </w:rPr>
        <w:t>7</w:t>
      </w:r>
      <w:r>
        <w:rPr>
          <w:rFonts w:ascii="Times New Roman" w:eastAsia="宋体" w:hAnsi="Times New Roman" w:cs="Times New Roman" w:hint="eastAsia"/>
          <w:snapToGrid/>
          <w:color w:val="auto"/>
          <w:kern w:val="2"/>
          <w:sz w:val="24"/>
          <w:szCs w:val="24"/>
          <w:lang w:eastAsia="zh-CN"/>
        </w:rPr>
        <w:t>种</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宋体" w:hint="eastAsia"/>
          <w:color w:val="auto"/>
          <w:spacing w:val="-2"/>
          <w:sz w:val="24"/>
          <w:szCs w:val="24"/>
          <w:lang w:eastAsia="zh-CN"/>
        </w:rPr>
        <w:t>3.2.6-6</w:t>
      </w:r>
      <w:r>
        <w:rPr>
          <w:rFonts w:ascii="Times New Roman" w:eastAsia="宋体" w:hAnsi="Times New Roman" w:cs="Times New Roman"/>
          <w:snapToGrid/>
          <w:color w:val="auto"/>
          <w:kern w:val="2"/>
          <w:sz w:val="24"/>
          <w:szCs w:val="24"/>
          <w:lang w:eastAsia="zh-CN"/>
        </w:rPr>
        <w:t>）。</w:t>
      </w:r>
    </w:p>
    <w:p w14:paraId="56B021B9" w14:textId="77777777" w:rsidR="0075791A" w:rsidRDefault="00FB2864">
      <w:pPr>
        <w:widowControl w:val="0"/>
        <w:kinsoku/>
        <w:autoSpaceDE/>
        <w:autoSpaceDN/>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3.2.6-6</w:t>
      </w:r>
      <w:r>
        <w:rPr>
          <w:rFonts w:ascii="Times New Roman" w:eastAsia="宋体" w:hAnsi="Times New Roman" w:cs="Times New Roman" w:hint="eastAsia"/>
          <w:snapToGrid/>
          <w:color w:val="auto"/>
          <w:kern w:val="2"/>
          <w:sz w:val="24"/>
          <w:szCs w:val="24"/>
          <w:lang w:eastAsia="zh-CN"/>
        </w:rPr>
        <w:t>各站位浮游植物种类数</w:t>
      </w:r>
    </w:p>
    <w:tbl>
      <w:tblPr>
        <w:tblW w:w="4711" w:type="pct"/>
        <w:tblLook w:val="04A0" w:firstRow="1" w:lastRow="0" w:firstColumn="1" w:lastColumn="0" w:noHBand="0" w:noVBand="1"/>
      </w:tblPr>
      <w:tblGrid>
        <w:gridCol w:w="936"/>
        <w:gridCol w:w="569"/>
        <w:gridCol w:w="849"/>
        <w:gridCol w:w="569"/>
        <w:gridCol w:w="569"/>
        <w:gridCol w:w="569"/>
        <w:gridCol w:w="569"/>
        <w:gridCol w:w="571"/>
        <w:gridCol w:w="571"/>
        <w:gridCol w:w="571"/>
        <w:gridCol w:w="590"/>
        <w:gridCol w:w="590"/>
        <w:gridCol w:w="590"/>
        <w:gridCol w:w="698"/>
      </w:tblGrid>
      <w:tr w:rsidR="0075791A" w14:paraId="37A813DD" w14:textId="77777777">
        <w:trPr>
          <w:trHeight w:val="273"/>
        </w:trPr>
        <w:tc>
          <w:tcPr>
            <w:tcW w:w="497" w:type="pct"/>
            <w:tcBorders>
              <w:top w:val="single" w:sz="4" w:space="0" w:color="000000"/>
              <w:left w:val="single" w:sz="4" w:space="0" w:color="000000"/>
              <w:bottom w:val="single" w:sz="4" w:space="0" w:color="000000"/>
              <w:right w:val="single" w:sz="4" w:space="0" w:color="000000"/>
            </w:tcBorders>
            <w:noWrap/>
            <w:vAlign w:val="center"/>
          </w:tcPr>
          <w:p w14:paraId="3E0A9152"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站位</w:t>
            </w:r>
          </w:p>
        </w:tc>
        <w:tc>
          <w:tcPr>
            <w:tcW w:w="330" w:type="pct"/>
            <w:tcBorders>
              <w:top w:val="single" w:sz="4" w:space="0" w:color="000000"/>
              <w:left w:val="single" w:sz="4" w:space="0" w:color="000000"/>
              <w:bottom w:val="single" w:sz="4" w:space="0" w:color="000000"/>
              <w:right w:val="single" w:sz="4" w:space="0" w:color="000000"/>
            </w:tcBorders>
            <w:noWrap/>
            <w:vAlign w:val="center"/>
          </w:tcPr>
          <w:p w14:paraId="3675CBD5"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S1</w:t>
            </w:r>
          </w:p>
        </w:tc>
        <w:tc>
          <w:tcPr>
            <w:tcW w:w="488" w:type="pct"/>
            <w:tcBorders>
              <w:top w:val="single" w:sz="4" w:space="0" w:color="000000"/>
              <w:left w:val="single" w:sz="4" w:space="0" w:color="000000"/>
              <w:bottom w:val="single" w:sz="4" w:space="0" w:color="000000"/>
              <w:right w:val="single" w:sz="4" w:space="0" w:color="000000"/>
            </w:tcBorders>
            <w:noWrap/>
            <w:vAlign w:val="center"/>
          </w:tcPr>
          <w:p w14:paraId="60198A6F"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S2</w:t>
            </w:r>
          </w:p>
        </w:tc>
        <w:tc>
          <w:tcPr>
            <w:tcW w:w="330" w:type="pct"/>
            <w:tcBorders>
              <w:top w:val="single" w:sz="4" w:space="0" w:color="000000"/>
              <w:left w:val="single" w:sz="4" w:space="0" w:color="000000"/>
              <w:bottom w:val="single" w:sz="4" w:space="0" w:color="000000"/>
              <w:right w:val="single" w:sz="4" w:space="0" w:color="000000"/>
            </w:tcBorders>
            <w:noWrap/>
            <w:vAlign w:val="center"/>
          </w:tcPr>
          <w:p w14:paraId="4EE0BF48"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S3</w:t>
            </w:r>
          </w:p>
        </w:tc>
        <w:tc>
          <w:tcPr>
            <w:tcW w:w="330" w:type="pct"/>
            <w:tcBorders>
              <w:top w:val="single" w:sz="4" w:space="0" w:color="000000"/>
              <w:left w:val="single" w:sz="4" w:space="0" w:color="000000"/>
              <w:bottom w:val="single" w:sz="4" w:space="0" w:color="000000"/>
              <w:right w:val="single" w:sz="4" w:space="0" w:color="000000"/>
            </w:tcBorders>
            <w:noWrap/>
            <w:vAlign w:val="center"/>
          </w:tcPr>
          <w:p w14:paraId="1F1709C5"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S4</w:t>
            </w:r>
          </w:p>
        </w:tc>
        <w:tc>
          <w:tcPr>
            <w:tcW w:w="330" w:type="pct"/>
            <w:tcBorders>
              <w:top w:val="single" w:sz="4" w:space="0" w:color="000000"/>
              <w:left w:val="single" w:sz="4" w:space="0" w:color="000000"/>
              <w:bottom w:val="single" w:sz="4" w:space="0" w:color="000000"/>
              <w:right w:val="single" w:sz="4" w:space="0" w:color="000000"/>
            </w:tcBorders>
            <w:noWrap/>
            <w:vAlign w:val="center"/>
          </w:tcPr>
          <w:p w14:paraId="51DE9186"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S5</w:t>
            </w:r>
          </w:p>
        </w:tc>
        <w:tc>
          <w:tcPr>
            <w:tcW w:w="330" w:type="pct"/>
            <w:tcBorders>
              <w:top w:val="single" w:sz="4" w:space="0" w:color="000000"/>
              <w:left w:val="single" w:sz="4" w:space="0" w:color="000000"/>
              <w:bottom w:val="single" w:sz="4" w:space="0" w:color="000000"/>
              <w:right w:val="single" w:sz="4" w:space="0" w:color="000000"/>
            </w:tcBorders>
            <w:noWrap/>
            <w:vAlign w:val="center"/>
          </w:tcPr>
          <w:p w14:paraId="62819C0B"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S6</w:t>
            </w:r>
          </w:p>
        </w:tc>
        <w:tc>
          <w:tcPr>
            <w:tcW w:w="331" w:type="pct"/>
            <w:tcBorders>
              <w:top w:val="single" w:sz="4" w:space="0" w:color="000000"/>
              <w:left w:val="single" w:sz="4" w:space="0" w:color="000000"/>
              <w:bottom w:val="single" w:sz="4" w:space="0" w:color="000000"/>
              <w:right w:val="single" w:sz="4" w:space="0" w:color="000000"/>
            </w:tcBorders>
            <w:noWrap/>
            <w:vAlign w:val="center"/>
          </w:tcPr>
          <w:p w14:paraId="214C2E16"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S7</w:t>
            </w:r>
          </w:p>
        </w:tc>
        <w:tc>
          <w:tcPr>
            <w:tcW w:w="331" w:type="pct"/>
            <w:tcBorders>
              <w:top w:val="single" w:sz="4" w:space="0" w:color="000000"/>
              <w:left w:val="single" w:sz="4" w:space="0" w:color="000000"/>
              <w:bottom w:val="single" w:sz="4" w:space="0" w:color="000000"/>
              <w:right w:val="single" w:sz="4" w:space="0" w:color="000000"/>
            </w:tcBorders>
            <w:noWrap/>
            <w:vAlign w:val="center"/>
          </w:tcPr>
          <w:p w14:paraId="0290BE8A"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S8</w:t>
            </w:r>
          </w:p>
        </w:tc>
        <w:tc>
          <w:tcPr>
            <w:tcW w:w="331" w:type="pct"/>
            <w:tcBorders>
              <w:top w:val="single" w:sz="4" w:space="0" w:color="000000"/>
              <w:left w:val="single" w:sz="4" w:space="0" w:color="000000"/>
              <w:bottom w:val="single" w:sz="4" w:space="0" w:color="000000"/>
              <w:right w:val="single" w:sz="4" w:space="0" w:color="000000"/>
            </w:tcBorders>
            <w:noWrap/>
            <w:vAlign w:val="center"/>
          </w:tcPr>
          <w:p w14:paraId="05EA5E9F"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S9</w:t>
            </w:r>
          </w:p>
        </w:tc>
        <w:tc>
          <w:tcPr>
            <w:tcW w:w="331" w:type="pct"/>
            <w:tcBorders>
              <w:top w:val="single" w:sz="4" w:space="0" w:color="000000"/>
              <w:left w:val="single" w:sz="4" w:space="0" w:color="000000"/>
              <w:bottom w:val="single" w:sz="4" w:space="0" w:color="000000"/>
              <w:right w:val="single" w:sz="4" w:space="0" w:color="000000"/>
            </w:tcBorders>
            <w:noWrap/>
            <w:vAlign w:val="center"/>
          </w:tcPr>
          <w:p w14:paraId="0B3CACDE"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S10</w:t>
            </w:r>
          </w:p>
        </w:tc>
        <w:tc>
          <w:tcPr>
            <w:tcW w:w="331" w:type="pct"/>
            <w:tcBorders>
              <w:top w:val="single" w:sz="4" w:space="0" w:color="000000"/>
              <w:left w:val="single" w:sz="4" w:space="0" w:color="000000"/>
              <w:bottom w:val="single" w:sz="4" w:space="0" w:color="000000"/>
              <w:right w:val="single" w:sz="4" w:space="0" w:color="000000"/>
            </w:tcBorders>
            <w:noWrap/>
            <w:vAlign w:val="center"/>
          </w:tcPr>
          <w:p w14:paraId="31C08679"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S11</w:t>
            </w:r>
          </w:p>
        </w:tc>
        <w:tc>
          <w:tcPr>
            <w:tcW w:w="331" w:type="pct"/>
            <w:tcBorders>
              <w:top w:val="single" w:sz="4" w:space="0" w:color="000000"/>
              <w:left w:val="single" w:sz="4" w:space="0" w:color="000000"/>
              <w:bottom w:val="single" w:sz="4" w:space="0" w:color="000000"/>
              <w:right w:val="single" w:sz="4" w:space="0" w:color="000000"/>
            </w:tcBorders>
            <w:noWrap/>
            <w:vAlign w:val="center"/>
          </w:tcPr>
          <w:p w14:paraId="41F3A5A1"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S12</w:t>
            </w:r>
          </w:p>
        </w:tc>
        <w:tc>
          <w:tcPr>
            <w:tcW w:w="373" w:type="pct"/>
            <w:tcBorders>
              <w:top w:val="single" w:sz="4" w:space="0" w:color="000000"/>
              <w:left w:val="single" w:sz="4" w:space="0" w:color="000000"/>
              <w:bottom w:val="single" w:sz="4" w:space="0" w:color="000000"/>
              <w:right w:val="single" w:sz="4" w:space="0" w:color="000000"/>
            </w:tcBorders>
            <w:noWrap/>
            <w:vAlign w:val="center"/>
          </w:tcPr>
          <w:p w14:paraId="3B25E3FC"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平均</w:t>
            </w:r>
          </w:p>
        </w:tc>
      </w:tr>
      <w:tr w:rsidR="0075791A" w14:paraId="1D548D1D" w14:textId="77777777">
        <w:trPr>
          <w:trHeight w:val="286"/>
        </w:trPr>
        <w:tc>
          <w:tcPr>
            <w:tcW w:w="497" w:type="pct"/>
            <w:tcBorders>
              <w:top w:val="single" w:sz="4" w:space="0" w:color="000000"/>
              <w:left w:val="single" w:sz="4" w:space="0" w:color="000000"/>
              <w:bottom w:val="single" w:sz="4" w:space="0" w:color="000000"/>
              <w:right w:val="single" w:sz="4" w:space="0" w:color="000000"/>
            </w:tcBorders>
            <w:noWrap/>
            <w:vAlign w:val="center"/>
          </w:tcPr>
          <w:p w14:paraId="460ECC8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种类数</w:t>
            </w:r>
          </w:p>
        </w:tc>
        <w:tc>
          <w:tcPr>
            <w:tcW w:w="330" w:type="pct"/>
            <w:tcBorders>
              <w:top w:val="single" w:sz="4" w:space="0" w:color="000000"/>
              <w:left w:val="single" w:sz="4" w:space="0" w:color="000000"/>
              <w:bottom w:val="single" w:sz="4" w:space="0" w:color="000000"/>
              <w:right w:val="single" w:sz="4" w:space="0" w:color="000000"/>
            </w:tcBorders>
            <w:noWrap/>
            <w:vAlign w:val="center"/>
          </w:tcPr>
          <w:p w14:paraId="40C9C05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6</w:t>
            </w:r>
          </w:p>
        </w:tc>
        <w:tc>
          <w:tcPr>
            <w:tcW w:w="488" w:type="pct"/>
            <w:tcBorders>
              <w:top w:val="single" w:sz="4" w:space="0" w:color="000000"/>
              <w:left w:val="single" w:sz="4" w:space="0" w:color="000000"/>
              <w:bottom w:val="single" w:sz="4" w:space="0" w:color="000000"/>
              <w:right w:val="single" w:sz="4" w:space="0" w:color="000000"/>
            </w:tcBorders>
            <w:noWrap/>
            <w:vAlign w:val="center"/>
          </w:tcPr>
          <w:p w14:paraId="16E5C81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7</w:t>
            </w:r>
          </w:p>
        </w:tc>
        <w:tc>
          <w:tcPr>
            <w:tcW w:w="330" w:type="pct"/>
            <w:tcBorders>
              <w:top w:val="single" w:sz="4" w:space="0" w:color="000000"/>
              <w:left w:val="single" w:sz="4" w:space="0" w:color="000000"/>
              <w:bottom w:val="single" w:sz="4" w:space="0" w:color="000000"/>
              <w:right w:val="single" w:sz="4" w:space="0" w:color="000000"/>
            </w:tcBorders>
            <w:noWrap/>
            <w:vAlign w:val="center"/>
          </w:tcPr>
          <w:p w14:paraId="083AE4F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6</w:t>
            </w:r>
          </w:p>
        </w:tc>
        <w:tc>
          <w:tcPr>
            <w:tcW w:w="330" w:type="pct"/>
            <w:tcBorders>
              <w:top w:val="single" w:sz="4" w:space="0" w:color="000000"/>
              <w:left w:val="single" w:sz="4" w:space="0" w:color="000000"/>
              <w:bottom w:val="single" w:sz="4" w:space="0" w:color="000000"/>
              <w:right w:val="single" w:sz="4" w:space="0" w:color="000000"/>
            </w:tcBorders>
            <w:noWrap/>
            <w:vAlign w:val="center"/>
          </w:tcPr>
          <w:p w14:paraId="566DB45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8</w:t>
            </w:r>
          </w:p>
        </w:tc>
        <w:tc>
          <w:tcPr>
            <w:tcW w:w="330" w:type="pct"/>
            <w:tcBorders>
              <w:top w:val="single" w:sz="4" w:space="0" w:color="000000"/>
              <w:left w:val="single" w:sz="4" w:space="0" w:color="000000"/>
              <w:bottom w:val="single" w:sz="4" w:space="0" w:color="000000"/>
              <w:right w:val="single" w:sz="4" w:space="0" w:color="000000"/>
            </w:tcBorders>
            <w:noWrap/>
            <w:vAlign w:val="center"/>
          </w:tcPr>
          <w:p w14:paraId="49AB34D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8</w:t>
            </w:r>
          </w:p>
        </w:tc>
        <w:tc>
          <w:tcPr>
            <w:tcW w:w="330" w:type="pct"/>
            <w:tcBorders>
              <w:top w:val="single" w:sz="4" w:space="0" w:color="000000"/>
              <w:left w:val="single" w:sz="4" w:space="0" w:color="000000"/>
              <w:bottom w:val="single" w:sz="4" w:space="0" w:color="000000"/>
              <w:right w:val="single" w:sz="4" w:space="0" w:color="000000"/>
            </w:tcBorders>
            <w:noWrap/>
            <w:vAlign w:val="center"/>
          </w:tcPr>
          <w:p w14:paraId="4816AC1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6</w:t>
            </w:r>
          </w:p>
        </w:tc>
        <w:tc>
          <w:tcPr>
            <w:tcW w:w="331" w:type="pct"/>
            <w:tcBorders>
              <w:top w:val="single" w:sz="4" w:space="0" w:color="000000"/>
              <w:left w:val="single" w:sz="4" w:space="0" w:color="000000"/>
              <w:bottom w:val="single" w:sz="4" w:space="0" w:color="000000"/>
              <w:right w:val="single" w:sz="4" w:space="0" w:color="000000"/>
            </w:tcBorders>
            <w:noWrap/>
            <w:vAlign w:val="center"/>
          </w:tcPr>
          <w:p w14:paraId="28D3D61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11</w:t>
            </w:r>
          </w:p>
        </w:tc>
        <w:tc>
          <w:tcPr>
            <w:tcW w:w="331" w:type="pct"/>
            <w:tcBorders>
              <w:top w:val="single" w:sz="4" w:space="0" w:color="000000"/>
              <w:left w:val="single" w:sz="4" w:space="0" w:color="000000"/>
              <w:bottom w:val="single" w:sz="4" w:space="0" w:color="000000"/>
              <w:right w:val="single" w:sz="4" w:space="0" w:color="000000"/>
            </w:tcBorders>
            <w:noWrap/>
            <w:vAlign w:val="center"/>
          </w:tcPr>
          <w:p w14:paraId="61C979B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6</w:t>
            </w:r>
          </w:p>
        </w:tc>
        <w:tc>
          <w:tcPr>
            <w:tcW w:w="331" w:type="pct"/>
            <w:tcBorders>
              <w:top w:val="single" w:sz="4" w:space="0" w:color="000000"/>
              <w:left w:val="single" w:sz="4" w:space="0" w:color="000000"/>
              <w:bottom w:val="single" w:sz="4" w:space="0" w:color="000000"/>
              <w:right w:val="single" w:sz="4" w:space="0" w:color="000000"/>
            </w:tcBorders>
            <w:noWrap/>
            <w:vAlign w:val="center"/>
          </w:tcPr>
          <w:p w14:paraId="094E316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w:t>
            </w:r>
          </w:p>
        </w:tc>
        <w:tc>
          <w:tcPr>
            <w:tcW w:w="331" w:type="pct"/>
            <w:tcBorders>
              <w:top w:val="single" w:sz="4" w:space="0" w:color="000000"/>
              <w:left w:val="single" w:sz="4" w:space="0" w:color="000000"/>
              <w:bottom w:val="single" w:sz="4" w:space="0" w:color="000000"/>
              <w:right w:val="single" w:sz="4" w:space="0" w:color="000000"/>
            </w:tcBorders>
            <w:noWrap/>
            <w:vAlign w:val="center"/>
          </w:tcPr>
          <w:p w14:paraId="17C9F57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5</w:t>
            </w:r>
          </w:p>
        </w:tc>
        <w:tc>
          <w:tcPr>
            <w:tcW w:w="331" w:type="pct"/>
            <w:tcBorders>
              <w:top w:val="single" w:sz="4" w:space="0" w:color="000000"/>
              <w:left w:val="single" w:sz="4" w:space="0" w:color="000000"/>
              <w:bottom w:val="single" w:sz="4" w:space="0" w:color="000000"/>
              <w:right w:val="single" w:sz="4" w:space="0" w:color="000000"/>
            </w:tcBorders>
            <w:noWrap/>
            <w:vAlign w:val="center"/>
          </w:tcPr>
          <w:p w14:paraId="39D9AC4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7</w:t>
            </w:r>
          </w:p>
        </w:tc>
        <w:tc>
          <w:tcPr>
            <w:tcW w:w="331" w:type="pct"/>
            <w:tcBorders>
              <w:top w:val="single" w:sz="4" w:space="0" w:color="000000"/>
              <w:left w:val="single" w:sz="4" w:space="0" w:color="000000"/>
              <w:bottom w:val="single" w:sz="4" w:space="0" w:color="000000"/>
              <w:right w:val="single" w:sz="4" w:space="0" w:color="000000"/>
            </w:tcBorders>
            <w:noWrap/>
            <w:vAlign w:val="center"/>
          </w:tcPr>
          <w:p w14:paraId="6EB3949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12</w:t>
            </w:r>
          </w:p>
        </w:tc>
        <w:tc>
          <w:tcPr>
            <w:tcW w:w="373" w:type="pct"/>
            <w:tcBorders>
              <w:top w:val="single" w:sz="4" w:space="0" w:color="000000"/>
              <w:left w:val="single" w:sz="4" w:space="0" w:color="000000"/>
              <w:bottom w:val="single" w:sz="4" w:space="0" w:color="000000"/>
              <w:right w:val="single" w:sz="4" w:space="0" w:color="000000"/>
            </w:tcBorders>
            <w:noWrap/>
            <w:vAlign w:val="center"/>
          </w:tcPr>
          <w:p w14:paraId="7A580213"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7</w:t>
            </w:r>
          </w:p>
        </w:tc>
      </w:tr>
    </w:tbl>
    <w:p w14:paraId="4FB64EE7"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80" w:name="_Toc8326"/>
      <w:r>
        <w:rPr>
          <w:rFonts w:ascii="Times New Roman" w:eastAsia="宋体" w:hAnsi="Times New Roman" w:cs="Times New Roman" w:hint="eastAsia"/>
          <w:b/>
          <w:bCs/>
          <w:snapToGrid/>
          <w:color w:val="auto"/>
          <w:kern w:val="2"/>
          <w:sz w:val="24"/>
          <w:szCs w:val="24"/>
          <w:lang w:eastAsia="zh-CN"/>
        </w:rPr>
        <w:lastRenderedPageBreak/>
        <w:t>（</w:t>
      </w:r>
      <w:r>
        <w:rPr>
          <w:rFonts w:ascii="Times New Roman" w:eastAsia="宋体" w:hAnsi="Times New Roman" w:cs="Times New Roman" w:hint="eastAsia"/>
          <w:b/>
          <w:bCs/>
          <w:snapToGrid/>
          <w:color w:val="auto"/>
          <w:kern w:val="2"/>
          <w:sz w:val="24"/>
          <w:szCs w:val="24"/>
          <w:lang w:eastAsia="zh-CN"/>
        </w:rPr>
        <w:t>2</w:t>
      </w: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b/>
          <w:bCs/>
          <w:snapToGrid/>
          <w:color w:val="auto"/>
          <w:kern w:val="2"/>
          <w:sz w:val="24"/>
          <w:szCs w:val="24"/>
          <w:lang w:eastAsia="zh-CN"/>
        </w:rPr>
        <w:t>优势种</w:t>
      </w:r>
      <w:bookmarkEnd w:id="180"/>
    </w:p>
    <w:p w14:paraId="1FFDC4B1"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通过对浮游动物优势种计算，调查区域主要优势种有磁蟹溞状幼虫</w:t>
      </w:r>
      <w:r>
        <w:rPr>
          <w:rFonts w:ascii="Times New Roman" w:eastAsia="宋体" w:hAnsi="Times New Roman" w:cs="Times New Roman"/>
          <w:snapToGrid/>
          <w:color w:val="auto"/>
          <w:kern w:val="2"/>
          <w:sz w:val="24"/>
          <w:szCs w:val="24"/>
          <w:lang w:eastAsia="zh-CN"/>
        </w:rPr>
        <w:t>Porcellana zoea larva</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短尾类溞状幼体</w:t>
      </w:r>
      <w:r>
        <w:rPr>
          <w:rFonts w:ascii="Times New Roman" w:eastAsia="宋体" w:hAnsi="Times New Roman" w:cs="Times New Roman"/>
          <w:snapToGrid/>
          <w:color w:val="auto"/>
          <w:kern w:val="2"/>
          <w:sz w:val="24"/>
          <w:szCs w:val="24"/>
          <w:lang w:eastAsia="zh-CN"/>
        </w:rPr>
        <w:t>Brachyura zoea larva</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异尾宽水蚤</w:t>
      </w:r>
      <w:r>
        <w:rPr>
          <w:rFonts w:ascii="Times New Roman" w:eastAsia="宋体" w:hAnsi="Times New Roman" w:cs="Times New Roman"/>
          <w:snapToGrid/>
          <w:color w:val="auto"/>
          <w:kern w:val="2"/>
          <w:sz w:val="24"/>
          <w:szCs w:val="24"/>
          <w:lang w:eastAsia="zh-CN"/>
        </w:rPr>
        <w:t>Temora discaudata</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桡足类幼体</w:t>
      </w:r>
      <w:r>
        <w:rPr>
          <w:rFonts w:ascii="Times New Roman" w:eastAsia="宋体" w:hAnsi="Times New Roman" w:cs="Times New Roman"/>
          <w:snapToGrid/>
          <w:color w:val="auto"/>
          <w:kern w:val="2"/>
          <w:sz w:val="24"/>
          <w:szCs w:val="24"/>
          <w:lang w:eastAsia="zh-CN"/>
        </w:rPr>
        <w:t>Copepoda copepodite</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桡足类无节幼体</w:t>
      </w:r>
      <w:r>
        <w:rPr>
          <w:rFonts w:ascii="Times New Roman" w:eastAsia="宋体" w:hAnsi="Times New Roman" w:cs="Times New Roman"/>
          <w:snapToGrid/>
          <w:color w:val="auto"/>
          <w:kern w:val="2"/>
          <w:sz w:val="24"/>
          <w:szCs w:val="24"/>
          <w:lang w:eastAsia="zh-CN"/>
        </w:rPr>
        <w:t>Copepoda nauplius</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其中</w:t>
      </w:r>
      <w:r>
        <w:rPr>
          <w:rFonts w:ascii="Times New Roman" w:eastAsia="宋体" w:hAnsi="Times New Roman" w:cs="Times New Roman"/>
          <w:snapToGrid/>
          <w:color w:val="auto"/>
          <w:kern w:val="2"/>
          <w:sz w:val="24"/>
          <w:szCs w:val="24"/>
          <w:lang w:eastAsia="zh-CN"/>
        </w:rPr>
        <w:t>磁蟹溞状幼虫</w:t>
      </w:r>
      <w:r>
        <w:rPr>
          <w:rFonts w:ascii="Times New Roman" w:eastAsia="宋体" w:hAnsi="Times New Roman" w:cs="Times New Roman" w:hint="eastAsia"/>
          <w:snapToGrid/>
          <w:color w:val="auto"/>
          <w:kern w:val="2"/>
          <w:sz w:val="24"/>
          <w:szCs w:val="24"/>
          <w:lang w:eastAsia="zh-CN"/>
        </w:rPr>
        <w:t>优势度最高，为</w:t>
      </w:r>
      <w:r>
        <w:rPr>
          <w:rFonts w:ascii="Times New Roman" w:eastAsia="宋体" w:hAnsi="Times New Roman" w:cs="Times New Roman" w:hint="eastAsia"/>
          <w:snapToGrid/>
          <w:color w:val="auto"/>
          <w:kern w:val="2"/>
          <w:sz w:val="24"/>
          <w:szCs w:val="24"/>
          <w:lang w:eastAsia="zh-CN"/>
        </w:rPr>
        <w:t>0.51</w:t>
      </w:r>
      <w:r>
        <w:rPr>
          <w:rFonts w:ascii="Times New Roman" w:eastAsia="宋体" w:hAnsi="Times New Roman" w:cs="Times New Roman" w:hint="eastAsia"/>
          <w:snapToGrid/>
          <w:color w:val="auto"/>
          <w:kern w:val="2"/>
          <w:sz w:val="24"/>
          <w:szCs w:val="24"/>
          <w:lang w:eastAsia="zh-CN"/>
        </w:rPr>
        <w:t>，其他</w:t>
      </w:r>
      <w:r>
        <w:rPr>
          <w:rFonts w:ascii="Times New Roman" w:eastAsia="宋体" w:hAnsi="Times New Roman" w:cs="Times New Roman"/>
          <w:snapToGrid/>
          <w:color w:val="auto"/>
          <w:kern w:val="2"/>
          <w:sz w:val="24"/>
          <w:szCs w:val="24"/>
          <w:lang w:eastAsia="zh-CN"/>
        </w:rPr>
        <w:t>优势种及优势度见表</w:t>
      </w:r>
      <w:r>
        <w:rPr>
          <w:rFonts w:ascii="Times New Roman" w:eastAsia="宋体" w:hAnsi="Times New Roman" w:cs="宋体" w:hint="eastAsia"/>
          <w:color w:val="auto"/>
          <w:spacing w:val="-2"/>
          <w:sz w:val="24"/>
          <w:szCs w:val="24"/>
          <w:lang w:eastAsia="zh-CN"/>
        </w:rPr>
        <w:t>3.2.6-7</w:t>
      </w:r>
      <w:r>
        <w:rPr>
          <w:rFonts w:ascii="Times New Roman" w:eastAsia="宋体" w:hAnsi="Times New Roman" w:cs="Times New Roman"/>
          <w:snapToGrid/>
          <w:color w:val="auto"/>
          <w:kern w:val="2"/>
          <w:sz w:val="24"/>
          <w:szCs w:val="24"/>
          <w:lang w:eastAsia="zh-CN"/>
        </w:rPr>
        <w:t>。</w:t>
      </w:r>
    </w:p>
    <w:p w14:paraId="656F8CCB" w14:textId="77777777" w:rsidR="0075791A" w:rsidRDefault="00FB2864">
      <w:pPr>
        <w:widowControl w:val="0"/>
        <w:kinsoku/>
        <w:autoSpaceDE/>
        <w:autoSpaceDN/>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 xml:space="preserve">3.2.6-7 </w:t>
      </w:r>
      <w:r>
        <w:rPr>
          <w:rFonts w:ascii="Times New Roman" w:eastAsia="宋体" w:hAnsi="Times New Roman" w:cs="Times New Roman"/>
          <w:snapToGrid/>
          <w:color w:val="auto"/>
          <w:kern w:val="2"/>
          <w:sz w:val="24"/>
          <w:szCs w:val="24"/>
          <w:lang w:eastAsia="zh-CN"/>
        </w:rPr>
        <w:t>浮游动物优势种及优势度</w:t>
      </w:r>
    </w:p>
    <w:tbl>
      <w:tblPr>
        <w:tblW w:w="46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2"/>
        <w:gridCol w:w="2998"/>
        <w:gridCol w:w="1957"/>
        <w:gridCol w:w="1348"/>
      </w:tblGrid>
      <w:tr w:rsidR="0075791A" w14:paraId="53C4ED80" w14:textId="77777777">
        <w:trPr>
          <w:trHeight w:val="279"/>
          <w:tblHeader/>
          <w:jc w:val="center"/>
        </w:trPr>
        <w:tc>
          <w:tcPr>
            <w:tcW w:w="1408" w:type="pct"/>
            <w:noWrap/>
            <w:vAlign w:val="center"/>
          </w:tcPr>
          <w:p w14:paraId="0379476E"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中文种名</w:t>
            </w:r>
          </w:p>
        </w:tc>
        <w:tc>
          <w:tcPr>
            <w:tcW w:w="1707" w:type="pct"/>
            <w:noWrap/>
            <w:vAlign w:val="center"/>
          </w:tcPr>
          <w:p w14:paraId="5EB5E7DA"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拉丁种名</w:t>
            </w:r>
          </w:p>
        </w:tc>
        <w:tc>
          <w:tcPr>
            <w:tcW w:w="1114" w:type="pct"/>
            <w:noWrap/>
            <w:vAlign w:val="center"/>
          </w:tcPr>
          <w:p w14:paraId="038C8C70"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类别</w:t>
            </w:r>
          </w:p>
        </w:tc>
        <w:tc>
          <w:tcPr>
            <w:tcW w:w="768" w:type="pct"/>
            <w:noWrap/>
            <w:vAlign w:val="center"/>
          </w:tcPr>
          <w:p w14:paraId="41F449ED"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优势度</w:t>
            </w:r>
          </w:p>
        </w:tc>
      </w:tr>
      <w:tr w:rsidR="0075791A" w14:paraId="10BD2701" w14:textId="77777777">
        <w:trPr>
          <w:trHeight w:val="279"/>
          <w:jc w:val="center"/>
        </w:trPr>
        <w:tc>
          <w:tcPr>
            <w:tcW w:w="1408" w:type="pct"/>
            <w:noWrap/>
            <w:vAlign w:val="center"/>
          </w:tcPr>
          <w:p w14:paraId="44D830A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磁蟹溞状幼虫</w:t>
            </w:r>
          </w:p>
        </w:tc>
        <w:tc>
          <w:tcPr>
            <w:tcW w:w="1707" w:type="pct"/>
            <w:noWrap/>
            <w:vAlign w:val="center"/>
          </w:tcPr>
          <w:p w14:paraId="34CE3DE5"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sz w:val="24"/>
                <w:szCs w:val="18"/>
                <w:lang w:eastAsia="zh-CN"/>
              </w:rPr>
            </w:pPr>
            <w:r>
              <w:rPr>
                <w:rFonts w:ascii="Times New Roman" w:eastAsia="宋体" w:hAnsi="Times New Roman" w:cs="Times New Roman"/>
                <w:i/>
                <w:iCs/>
                <w:snapToGrid/>
                <w:color w:val="auto"/>
                <w:sz w:val="24"/>
                <w:szCs w:val="18"/>
                <w:lang w:eastAsia="zh-CN" w:bidi="ar"/>
              </w:rPr>
              <w:t>Porcellana zoea larva</w:t>
            </w:r>
          </w:p>
        </w:tc>
        <w:tc>
          <w:tcPr>
            <w:tcW w:w="1114" w:type="pct"/>
            <w:noWrap/>
            <w:vAlign w:val="center"/>
          </w:tcPr>
          <w:p w14:paraId="672956E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浮游幼体</w:t>
            </w:r>
          </w:p>
        </w:tc>
        <w:tc>
          <w:tcPr>
            <w:tcW w:w="768" w:type="pct"/>
            <w:noWrap/>
            <w:vAlign w:val="center"/>
          </w:tcPr>
          <w:p w14:paraId="37F6C3A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0.51</w:t>
            </w:r>
          </w:p>
        </w:tc>
      </w:tr>
      <w:tr w:rsidR="0075791A" w14:paraId="01963525" w14:textId="77777777">
        <w:trPr>
          <w:trHeight w:val="279"/>
          <w:jc w:val="center"/>
        </w:trPr>
        <w:tc>
          <w:tcPr>
            <w:tcW w:w="1408" w:type="pct"/>
            <w:noWrap/>
            <w:vAlign w:val="center"/>
          </w:tcPr>
          <w:p w14:paraId="438E077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短尾类溞状幼体</w:t>
            </w:r>
          </w:p>
        </w:tc>
        <w:tc>
          <w:tcPr>
            <w:tcW w:w="1707" w:type="pct"/>
            <w:noWrap/>
            <w:vAlign w:val="center"/>
          </w:tcPr>
          <w:p w14:paraId="3AC11940"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sz w:val="24"/>
                <w:szCs w:val="18"/>
                <w:lang w:eastAsia="zh-CN"/>
              </w:rPr>
            </w:pPr>
            <w:r>
              <w:rPr>
                <w:rFonts w:ascii="Times New Roman" w:eastAsia="宋体" w:hAnsi="Times New Roman" w:cs="Times New Roman"/>
                <w:i/>
                <w:iCs/>
                <w:snapToGrid/>
                <w:color w:val="auto"/>
                <w:sz w:val="24"/>
                <w:szCs w:val="18"/>
                <w:lang w:eastAsia="zh-CN" w:bidi="ar"/>
              </w:rPr>
              <w:t>Brachyura zoea larva</w:t>
            </w:r>
          </w:p>
        </w:tc>
        <w:tc>
          <w:tcPr>
            <w:tcW w:w="1114" w:type="pct"/>
            <w:noWrap/>
            <w:vAlign w:val="center"/>
          </w:tcPr>
          <w:p w14:paraId="1CF28ED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浮游幼体</w:t>
            </w:r>
          </w:p>
        </w:tc>
        <w:tc>
          <w:tcPr>
            <w:tcW w:w="768" w:type="pct"/>
            <w:noWrap/>
            <w:vAlign w:val="center"/>
          </w:tcPr>
          <w:p w14:paraId="205F42E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0.17</w:t>
            </w:r>
          </w:p>
        </w:tc>
      </w:tr>
      <w:tr w:rsidR="0075791A" w14:paraId="703C0175" w14:textId="77777777">
        <w:trPr>
          <w:trHeight w:val="279"/>
          <w:jc w:val="center"/>
        </w:trPr>
        <w:tc>
          <w:tcPr>
            <w:tcW w:w="1408" w:type="pct"/>
            <w:noWrap/>
            <w:vAlign w:val="center"/>
          </w:tcPr>
          <w:p w14:paraId="7A8179C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异尾宽水蚤</w:t>
            </w:r>
          </w:p>
        </w:tc>
        <w:tc>
          <w:tcPr>
            <w:tcW w:w="1707" w:type="pct"/>
            <w:noWrap/>
            <w:vAlign w:val="center"/>
          </w:tcPr>
          <w:p w14:paraId="542976A6"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sz w:val="24"/>
                <w:szCs w:val="18"/>
                <w:lang w:eastAsia="zh-CN"/>
              </w:rPr>
            </w:pPr>
            <w:r>
              <w:rPr>
                <w:rFonts w:ascii="Times New Roman" w:eastAsia="宋体" w:hAnsi="Times New Roman" w:cs="Times New Roman"/>
                <w:i/>
                <w:iCs/>
                <w:snapToGrid/>
                <w:color w:val="auto"/>
                <w:sz w:val="24"/>
                <w:szCs w:val="18"/>
                <w:lang w:eastAsia="zh-CN" w:bidi="ar"/>
              </w:rPr>
              <w:t>Temora discaudata</w:t>
            </w:r>
          </w:p>
        </w:tc>
        <w:tc>
          <w:tcPr>
            <w:tcW w:w="1114" w:type="pct"/>
            <w:noWrap/>
            <w:vAlign w:val="center"/>
          </w:tcPr>
          <w:p w14:paraId="55B99BE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桡足类</w:t>
            </w:r>
          </w:p>
        </w:tc>
        <w:tc>
          <w:tcPr>
            <w:tcW w:w="768" w:type="pct"/>
            <w:noWrap/>
            <w:vAlign w:val="center"/>
          </w:tcPr>
          <w:p w14:paraId="4C9E4EA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0.05</w:t>
            </w:r>
          </w:p>
        </w:tc>
      </w:tr>
      <w:tr w:rsidR="0075791A" w14:paraId="57457A13" w14:textId="77777777">
        <w:trPr>
          <w:trHeight w:val="279"/>
          <w:jc w:val="center"/>
        </w:trPr>
        <w:tc>
          <w:tcPr>
            <w:tcW w:w="1408" w:type="pct"/>
            <w:noWrap/>
            <w:vAlign w:val="center"/>
          </w:tcPr>
          <w:p w14:paraId="4910C67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桡足类幼体</w:t>
            </w:r>
          </w:p>
        </w:tc>
        <w:tc>
          <w:tcPr>
            <w:tcW w:w="1707" w:type="pct"/>
            <w:noWrap/>
            <w:vAlign w:val="center"/>
          </w:tcPr>
          <w:p w14:paraId="239A7882"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sz w:val="24"/>
                <w:szCs w:val="18"/>
                <w:lang w:eastAsia="zh-CN"/>
              </w:rPr>
            </w:pPr>
            <w:r>
              <w:rPr>
                <w:rFonts w:ascii="Times New Roman" w:eastAsia="宋体" w:hAnsi="Times New Roman" w:cs="Times New Roman"/>
                <w:i/>
                <w:iCs/>
                <w:snapToGrid/>
                <w:color w:val="auto"/>
                <w:sz w:val="24"/>
                <w:szCs w:val="18"/>
                <w:lang w:eastAsia="zh-CN" w:bidi="ar"/>
              </w:rPr>
              <w:t>Copepoda copepodite</w:t>
            </w:r>
          </w:p>
        </w:tc>
        <w:tc>
          <w:tcPr>
            <w:tcW w:w="1114" w:type="pct"/>
            <w:noWrap/>
            <w:vAlign w:val="center"/>
          </w:tcPr>
          <w:p w14:paraId="780DCC5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浮游幼体</w:t>
            </w:r>
          </w:p>
        </w:tc>
        <w:tc>
          <w:tcPr>
            <w:tcW w:w="768" w:type="pct"/>
            <w:noWrap/>
            <w:vAlign w:val="center"/>
          </w:tcPr>
          <w:p w14:paraId="44644F5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0.17</w:t>
            </w:r>
          </w:p>
        </w:tc>
      </w:tr>
      <w:tr w:rsidR="0075791A" w14:paraId="6760F24F" w14:textId="77777777">
        <w:trPr>
          <w:trHeight w:val="288"/>
          <w:jc w:val="center"/>
        </w:trPr>
        <w:tc>
          <w:tcPr>
            <w:tcW w:w="1408" w:type="pct"/>
            <w:noWrap/>
            <w:vAlign w:val="center"/>
          </w:tcPr>
          <w:p w14:paraId="1F691C3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桡足类无节幼体</w:t>
            </w:r>
          </w:p>
        </w:tc>
        <w:tc>
          <w:tcPr>
            <w:tcW w:w="1707" w:type="pct"/>
            <w:noWrap/>
            <w:vAlign w:val="center"/>
          </w:tcPr>
          <w:p w14:paraId="1E6B7638" w14:textId="77777777" w:rsidR="0075791A" w:rsidRDefault="00FB2864">
            <w:pPr>
              <w:kinsoku/>
              <w:autoSpaceDE/>
              <w:autoSpaceDN/>
              <w:adjustRightInd/>
              <w:snapToGrid/>
              <w:jc w:val="center"/>
              <w:textAlignment w:val="center"/>
              <w:rPr>
                <w:rFonts w:ascii="Times New Roman" w:eastAsia="宋体" w:hAnsi="Times New Roman" w:cs="Times New Roman"/>
                <w:i/>
                <w:iCs/>
                <w:snapToGrid/>
                <w:color w:val="auto"/>
                <w:kern w:val="2"/>
                <w:sz w:val="24"/>
                <w:szCs w:val="18"/>
                <w:lang w:eastAsia="zh-CN"/>
              </w:rPr>
            </w:pPr>
            <w:r>
              <w:rPr>
                <w:rFonts w:ascii="Times New Roman" w:eastAsia="宋体" w:hAnsi="Times New Roman" w:cs="Times New Roman"/>
                <w:i/>
                <w:iCs/>
                <w:snapToGrid/>
                <w:color w:val="auto"/>
                <w:sz w:val="24"/>
                <w:szCs w:val="18"/>
                <w:lang w:eastAsia="zh-CN" w:bidi="ar"/>
              </w:rPr>
              <w:t>Copepoda nauplius</w:t>
            </w:r>
          </w:p>
        </w:tc>
        <w:tc>
          <w:tcPr>
            <w:tcW w:w="1114" w:type="pct"/>
            <w:noWrap/>
            <w:vAlign w:val="center"/>
          </w:tcPr>
          <w:p w14:paraId="1BA303D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浮游幼体</w:t>
            </w:r>
          </w:p>
        </w:tc>
        <w:tc>
          <w:tcPr>
            <w:tcW w:w="768" w:type="pct"/>
            <w:noWrap/>
            <w:vAlign w:val="center"/>
          </w:tcPr>
          <w:p w14:paraId="57D6D2C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0.02</w:t>
            </w:r>
          </w:p>
        </w:tc>
      </w:tr>
    </w:tbl>
    <w:p w14:paraId="0D3CAE9F"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81" w:name="_Toc1618"/>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3</w:t>
      </w: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b/>
          <w:bCs/>
          <w:snapToGrid/>
          <w:color w:val="auto"/>
          <w:kern w:val="2"/>
          <w:sz w:val="24"/>
          <w:szCs w:val="24"/>
          <w:lang w:eastAsia="zh-CN"/>
        </w:rPr>
        <w:t>细胞丰度</w:t>
      </w:r>
      <w:bookmarkEnd w:id="181"/>
    </w:p>
    <w:p w14:paraId="6C03CF25"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通过对浮游动物细胞丰度统计，</w:t>
      </w:r>
      <w:r>
        <w:rPr>
          <w:rFonts w:ascii="Times New Roman" w:eastAsia="宋体" w:hAnsi="Times New Roman" w:cs="Times New Roman" w:hint="eastAsia"/>
          <w:snapToGrid/>
          <w:color w:val="auto"/>
          <w:kern w:val="2"/>
          <w:sz w:val="24"/>
          <w:szCs w:val="24"/>
          <w:lang w:eastAsia="zh-CN"/>
        </w:rPr>
        <w:t>各站位浮游动物</w:t>
      </w:r>
      <w:r>
        <w:rPr>
          <w:rFonts w:ascii="Times New Roman" w:eastAsia="宋体" w:hAnsi="Times New Roman" w:cs="Times New Roman"/>
          <w:snapToGrid/>
          <w:color w:val="auto"/>
          <w:kern w:val="2"/>
          <w:sz w:val="24"/>
          <w:szCs w:val="24"/>
          <w:lang w:eastAsia="zh-CN"/>
        </w:rPr>
        <w:t>细胞丰度</w:t>
      </w:r>
      <w:r>
        <w:rPr>
          <w:rFonts w:ascii="Times New Roman" w:eastAsia="宋体" w:hAnsi="Times New Roman" w:cs="Times New Roman" w:hint="eastAsia"/>
          <w:snapToGrid/>
          <w:color w:val="auto"/>
          <w:kern w:val="2"/>
          <w:sz w:val="24"/>
          <w:szCs w:val="24"/>
          <w:lang w:eastAsia="zh-CN"/>
        </w:rPr>
        <w:t>范围</w:t>
      </w:r>
      <w:r>
        <w:rPr>
          <w:rFonts w:ascii="Times New Roman" w:eastAsia="宋体" w:hAnsi="Times New Roman" w:cs="Times New Roman"/>
          <w:snapToGrid/>
          <w:color w:val="auto"/>
          <w:kern w:val="2"/>
          <w:sz w:val="24"/>
          <w:szCs w:val="24"/>
          <w:lang w:eastAsia="zh-CN"/>
        </w:rPr>
        <w:t>为</w:t>
      </w:r>
      <w:r>
        <w:rPr>
          <w:rFonts w:ascii="Times New Roman" w:eastAsia="宋体" w:hAnsi="Times New Roman" w:cs="Times New Roman" w:hint="eastAsia"/>
          <w:snapToGrid/>
          <w:color w:val="auto"/>
          <w:kern w:val="2"/>
          <w:sz w:val="24"/>
          <w:szCs w:val="24"/>
          <w:lang w:eastAsia="zh-CN"/>
        </w:rPr>
        <w:t>0.80~</w:t>
      </w:r>
      <w:r>
        <w:rPr>
          <w:rFonts w:ascii="Times New Roman" w:eastAsia="宋体" w:hAnsi="Times New Roman" w:cs="Times New Roman"/>
          <w:snapToGrid/>
          <w:color w:val="auto"/>
          <w:kern w:val="2"/>
          <w:sz w:val="24"/>
          <w:szCs w:val="24"/>
          <w:lang w:eastAsia="zh-CN"/>
        </w:rPr>
        <w:t>17.67</w:t>
      </w:r>
      <w:r>
        <w:rPr>
          <w:rFonts w:ascii="Times New Roman" w:eastAsia="宋体" w:hAnsi="Times New Roman" w:cs="Times New Roman" w:hint="eastAsia"/>
          <w:snapToGrid/>
          <w:color w:val="auto"/>
          <w:kern w:val="2"/>
          <w:sz w:val="24"/>
          <w:szCs w:val="24"/>
          <w:lang w:eastAsia="zh-CN"/>
        </w:rPr>
        <w:t xml:space="preserve"> </w:t>
      </w:r>
      <w:r>
        <w:rPr>
          <w:rFonts w:ascii="Times New Roman" w:eastAsia="宋体" w:hAnsi="Times New Roman" w:cs="Times New Roman"/>
          <w:snapToGrid/>
          <w:color w:val="auto"/>
          <w:kern w:val="2"/>
          <w:sz w:val="24"/>
          <w:szCs w:val="24"/>
          <w:lang w:eastAsia="zh-CN"/>
        </w:rPr>
        <w:t>ind/m</w:t>
      </w:r>
      <w:r>
        <w:rPr>
          <w:rFonts w:ascii="Times New Roman" w:eastAsia="宋体" w:hAnsi="Times New Roman" w:cs="Times New Roman"/>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S12</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S1</w:t>
      </w:r>
      <w:r>
        <w:rPr>
          <w:rFonts w:ascii="Times New Roman" w:eastAsia="宋体" w:hAnsi="Times New Roman" w:cs="Times New Roman" w:hint="eastAsia"/>
          <w:snapToGrid/>
          <w:color w:val="auto"/>
          <w:kern w:val="2"/>
          <w:sz w:val="24"/>
          <w:szCs w:val="24"/>
          <w:lang w:eastAsia="zh-CN"/>
        </w:rPr>
        <w:t>站位，平均值为</w:t>
      </w:r>
      <w:r>
        <w:rPr>
          <w:rFonts w:ascii="Times New Roman" w:eastAsia="宋体" w:hAnsi="Times New Roman" w:cs="Times New Roman" w:hint="eastAsia"/>
          <w:snapToGrid/>
          <w:color w:val="auto"/>
          <w:kern w:val="2"/>
          <w:sz w:val="24"/>
          <w:szCs w:val="24"/>
          <w:lang w:eastAsia="zh-CN"/>
        </w:rPr>
        <w:t xml:space="preserve">5.71 </w:t>
      </w:r>
      <w:r>
        <w:rPr>
          <w:rFonts w:ascii="Times New Roman" w:eastAsia="宋体" w:hAnsi="Times New Roman" w:cs="Times New Roman"/>
          <w:snapToGrid/>
          <w:color w:val="auto"/>
          <w:kern w:val="2"/>
          <w:sz w:val="24"/>
          <w:szCs w:val="24"/>
          <w:lang w:eastAsia="zh-CN"/>
        </w:rPr>
        <w:t>ind/m</w:t>
      </w:r>
      <w:r>
        <w:rPr>
          <w:rFonts w:ascii="Times New Roman" w:eastAsia="宋体" w:hAnsi="Times New Roman" w:cs="Times New Roman"/>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宋体" w:hint="eastAsia"/>
          <w:color w:val="auto"/>
          <w:spacing w:val="-2"/>
          <w:sz w:val="24"/>
          <w:szCs w:val="24"/>
          <w:lang w:eastAsia="zh-CN"/>
        </w:rPr>
        <w:t>3.2.6-8</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各类别浮游动物丰度范围在</w:t>
      </w:r>
      <w:r>
        <w:rPr>
          <w:rFonts w:ascii="Times New Roman" w:eastAsia="宋体" w:hAnsi="Times New Roman" w:cs="Times New Roman" w:hint="eastAsia"/>
          <w:snapToGrid/>
          <w:color w:val="auto"/>
          <w:kern w:val="2"/>
          <w:sz w:val="24"/>
          <w:szCs w:val="24"/>
          <w:lang w:eastAsia="zh-CN"/>
        </w:rPr>
        <w:t xml:space="preserve">0.10~28.00 </w:t>
      </w:r>
      <w:r>
        <w:rPr>
          <w:rFonts w:ascii="Times New Roman" w:eastAsia="宋体" w:hAnsi="Times New Roman" w:cs="Times New Roman"/>
          <w:snapToGrid/>
          <w:color w:val="auto"/>
          <w:kern w:val="2"/>
          <w:sz w:val="24"/>
          <w:szCs w:val="24"/>
          <w:lang w:eastAsia="zh-CN"/>
        </w:rPr>
        <w:t>ind/m</w:t>
      </w:r>
      <w:r>
        <w:rPr>
          <w:rFonts w:ascii="Times New Roman" w:eastAsia="宋体" w:hAnsi="Times New Roman" w:cs="Times New Roman"/>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，总计为</w:t>
      </w:r>
      <w:r>
        <w:rPr>
          <w:rFonts w:ascii="Times New Roman" w:eastAsia="宋体" w:hAnsi="Times New Roman" w:cs="Times New Roman" w:hint="eastAsia"/>
          <w:snapToGrid/>
          <w:color w:val="auto"/>
          <w:kern w:val="2"/>
          <w:sz w:val="24"/>
          <w:szCs w:val="24"/>
          <w:lang w:eastAsia="zh-CN"/>
        </w:rPr>
        <w:t xml:space="preserve">68.00 </w:t>
      </w:r>
      <w:r>
        <w:rPr>
          <w:rFonts w:ascii="Times New Roman" w:eastAsia="宋体" w:hAnsi="Times New Roman" w:cs="Times New Roman"/>
          <w:snapToGrid/>
          <w:color w:val="auto"/>
          <w:kern w:val="2"/>
          <w:sz w:val="24"/>
          <w:szCs w:val="24"/>
          <w:lang w:eastAsia="zh-CN"/>
        </w:rPr>
        <w:t>ind/m</w:t>
      </w:r>
      <w:r>
        <w:rPr>
          <w:rFonts w:ascii="Times New Roman" w:eastAsia="宋体" w:hAnsi="Times New Roman" w:cs="Times New Roman"/>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，各类别浮游动物丰度表现为枝角类＞浮游幼体＞桡足类＞原生动物＞水母类＞翼足类（表</w:t>
      </w:r>
      <w:r>
        <w:rPr>
          <w:rFonts w:ascii="Times New Roman" w:eastAsia="宋体" w:hAnsi="Times New Roman" w:cs="宋体" w:hint="eastAsia"/>
          <w:color w:val="auto"/>
          <w:spacing w:val="-2"/>
          <w:sz w:val="24"/>
          <w:szCs w:val="24"/>
          <w:lang w:eastAsia="zh-CN"/>
        </w:rPr>
        <w:t>3.2.6-9</w:t>
      </w:r>
      <w:r>
        <w:rPr>
          <w:rFonts w:ascii="Times New Roman" w:eastAsia="宋体" w:hAnsi="Times New Roman" w:cs="Times New Roman" w:hint="eastAsia"/>
          <w:snapToGrid/>
          <w:color w:val="auto"/>
          <w:kern w:val="2"/>
          <w:sz w:val="24"/>
          <w:szCs w:val="24"/>
          <w:lang w:eastAsia="zh-CN"/>
        </w:rPr>
        <w:t>）。</w:t>
      </w:r>
    </w:p>
    <w:p w14:paraId="692E9FEC" w14:textId="77777777" w:rsidR="0075791A" w:rsidRDefault="00FB2864">
      <w:pPr>
        <w:widowControl w:val="0"/>
        <w:kinsoku/>
        <w:autoSpaceDE/>
        <w:autoSpaceDN/>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3.2.6-8</w:t>
      </w:r>
      <w:r>
        <w:rPr>
          <w:rFonts w:ascii="Times New Roman" w:eastAsia="宋体" w:hAnsi="Times New Roman" w:cs="Times New Roman" w:hint="eastAsia"/>
          <w:snapToGrid/>
          <w:color w:val="auto"/>
          <w:kern w:val="2"/>
          <w:sz w:val="24"/>
          <w:szCs w:val="24"/>
          <w:lang w:eastAsia="zh-CN"/>
        </w:rPr>
        <w:t>站位浮游动物细胞丰度</w:t>
      </w:r>
    </w:p>
    <w:tbl>
      <w:tblPr>
        <w:tblW w:w="45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2450"/>
        <w:gridCol w:w="1838"/>
        <w:gridCol w:w="2452"/>
      </w:tblGrid>
      <w:tr w:rsidR="0075791A" w14:paraId="1DA34FA4" w14:textId="77777777">
        <w:trPr>
          <w:trHeight w:val="283"/>
          <w:jc w:val="center"/>
        </w:trPr>
        <w:tc>
          <w:tcPr>
            <w:tcW w:w="1071" w:type="pct"/>
            <w:noWrap/>
            <w:vAlign w:val="center"/>
          </w:tcPr>
          <w:p w14:paraId="3CBA06B6"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lang w:eastAsia="zh-CN" w:bidi="ar"/>
              </w:rPr>
              <w:t>站位</w:t>
            </w:r>
          </w:p>
        </w:tc>
        <w:tc>
          <w:tcPr>
            <w:tcW w:w="1428" w:type="pct"/>
            <w:noWrap/>
            <w:vAlign w:val="center"/>
          </w:tcPr>
          <w:p w14:paraId="47A05620"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lang w:eastAsia="zh-CN" w:bidi="ar"/>
              </w:rPr>
              <w:t>丰度（</w:t>
            </w:r>
            <w:r>
              <w:rPr>
                <w:rFonts w:ascii="Times New Roman" w:eastAsia="宋体" w:hAnsi="Times New Roman" w:cs="Times New Roman"/>
                <w:b/>
                <w:bCs/>
                <w:snapToGrid/>
                <w:color w:val="auto"/>
                <w:lang w:eastAsia="zh-CN" w:bidi="ar"/>
              </w:rPr>
              <w:t>ind/m</w:t>
            </w:r>
            <w:r>
              <w:rPr>
                <w:rFonts w:ascii="Times New Roman" w:eastAsia="宋体" w:hAnsi="Times New Roman" w:cs="Times New Roman"/>
                <w:b/>
                <w:bCs/>
                <w:snapToGrid/>
                <w:color w:val="auto"/>
                <w:vertAlign w:val="superscript"/>
                <w:lang w:eastAsia="zh-CN" w:bidi="ar"/>
              </w:rPr>
              <w:t>3</w:t>
            </w:r>
            <w:r>
              <w:rPr>
                <w:rFonts w:ascii="Times New Roman" w:eastAsia="宋体" w:hAnsi="Times New Roman" w:cs="Times New Roman"/>
                <w:b/>
                <w:bCs/>
                <w:snapToGrid/>
                <w:color w:val="auto"/>
                <w:lang w:eastAsia="zh-CN" w:bidi="ar"/>
              </w:rPr>
              <w:t>）</w:t>
            </w:r>
          </w:p>
        </w:tc>
        <w:tc>
          <w:tcPr>
            <w:tcW w:w="1071" w:type="pct"/>
            <w:noWrap/>
            <w:vAlign w:val="center"/>
          </w:tcPr>
          <w:p w14:paraId="6D14D394"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lang w:eastAsia="zh-CN" w:bidi="ar"/>
              </w:rPr>
              <w:t>站位</w:t>
            </w:r>
          </w:p>
        </w:tc>
        <w:tc>
          <w:tcPr>
            <w:tcW w:w="1429" w:type="pct"/>
            <w:noWrap/>
            <w:vAlign w:val="center"/>
          </w:tcPr>
          <w:p w14:paraId="5305B952"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lang w:eastAsia="zh-CN" w:bidi="ar"/>
              </w:rPr>
              <w:t>丰度（</w:t>
            </w:r>
            <w:r>
              <w:rPr>
                <w:rFonts w:ascii="Times New Roman" w:eastAsia="宋体" w:hAnsi="Times New Roman" w:cs="Times New Roman"/>
                <w:b/>
                <w:bCs/>
                <w:snapToGrid/>
                <w:color w:val="auto"/>
                <w:lang w:eastAsia="zh-CN" w:bidi="ar"/>
              </w:rPr>
              <w:t>ind/m</w:t>
            </w:r>
            <w:r>
              <w:rPr>
                <w:rFonts w:ascii="Times New Roman" w:eastAsia="宋体" w:hAnsi="Times New Roman" w:cs="Times New Roman"/>
                <w:b/>
                <w:bCs/>
                <w:snapToGrid/>
                <w:color w:val="auto"/>
                <w:vertAlign w:val="superscript"/>
                <w:lang w:eastAsia="zh-CN" w:bidi="ar"/>
              </w:rPr>
              <w:t>3</w:t>
            </w:r>
            <w:r>
              <w:rPr>
                <w:rFonts w:ascii="Times New Roman" w:eastAsia="宋体" w:hAnsi="Times New Roman" w:cs="Times New Roman"/>
                <w:b/>
                <w:bCs/>
                <w:snapToGrid/>
                <w:color w:val="auto"/>
                <w:lang w:eastAsia="zh-CN" w:bidi="ar"/>
              </w:rPr>
              <w:t>）</w:t>
            </w:r>
          </w:p>
        </w:tc>
      </w:tr>
      <w:tr w:rsidR="0075791A" w14:paraId="7129E148" w14:textId="77777777">
        <w:trPr>
          <w:trHeight w:val="283"/>
          <w:jc w:val="center"/>
        </w:trPr>
        <w:tc>
          <w:tcPr>
            <w:tcW w:w="1071" w:type="pct"/>
            <w:noWrap/>
            <w:vAlign w:val="center"/>
          </w:tcPr>
          <w:p w14:paraId="1D32F9AF"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S1</w:t>
            </w:r>
          </w:p>
        </w:tc>
        <w:tc>
          <w:tcPr>
            <w:tcW w:w="1428" w:type="pct"/>
            <w:noWrap/>
            <w:vAlign w:val="center"/>
          </w:tcPr>
          <w:p w14:paraId="47A15D6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0.80</w:t>
            </w:r>
          </w:p>
        </w:tc>
        <w:tc>
          <w:tcPr>
            <w:tcW w:w="1071" w:type="pct"/>
            <w:noWrap/>
            <w:vAlign w:val="center"/>
          </w:tcPr>
          <w:p w14:paraId="1489266A"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S8</w:t>
            </w:r>
          </w:p>
        </w:tc>
        <w:tc>
          <w:tcPr>
            <w:tcW w:w="1429" w:type="pct"/>
            <w:noWrap/>
            <w:vAlign w:val="center"/>
          </w:tcPr>
          <w:p w14:paraId="6C937CD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5.00</w:t>
            </w:r>
          </w:p>
        </w:tc>
      </w:tr>
      <w:tr w:rsidR="0075791A" w14:paraId="671E27F7" w14:textId="77777777">
        <w:trPr>
          <w:trHeight w:val="283"/>
          <w:jc w:val="center"/>
        </w:trPr>
        <w:tc>
          <w:tcPr>
            <w:tcW w:w="1071" w:type="pct"/>
            <w:noWrap/>
            <w:vAlign w:val="center"/>
          </w:tcPr>
          <w:p w14:paraId="6EB46D95"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S2</w:t>
            </w:r>
          </w:p>
        </w:tc>
        <w:tc>
          <w:tcPr>
            <w:tcW w:w="1428" w:type="pct"/>
            <w:noWrap/>
            <w:vAlign w:val="center"/>
          </w:tcPr>
          <w:p w14:paraId="1ADCD2A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1.00</w:t>
            </w:r>
          </w:p>
        </w:tc>
        <w:tc>
          <w:tcPr>
            <w:tcW w:w="1071" w:type="pct"/>
            <w:noWrap/>
            <w:vAlign w:val="center"/>
          </w:tcPr>
          <w:p w14:paraId="248A55AB"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S9</w:t>
            </w:r>
          </w:p>
        </w:tc>
        <w:tc>
          <w:tcPr>
            <w:tcW w:w="1429" w:type="pct"/>
            <w:noWrap/>
            <w:vAlign w:val="center"/>
          </w:tcPr>
          <w:p w14:paraId="6A05446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9.00</w:t>
            </w:r>
          </w:p>
        </w:tc>
      </w:tr>
      <w:tr w:rsidR="0075791A" w14:paraId="72A8DBD9" w14:textId="77777777">
        <w:trPr>
          <w:trHeight w:val="283"/>
          <w:jc w:val="center"/>
        </w:trPr>
        <w:tc>
          <w:tcPr>
            <w:tcW w:w="1071" w:type="pct"/>
            <w:noWrap/>
            <w:vAlign w:val="center"/>
          </w:tcPr>
          <w:p w14:paraId="0AF014F0"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S3</w:t>
            </w:r>
          </w:p>
        </w:tc>
        <w:tc>
          <w:tcPr>
            <w:tcW w:w="1428" w:type="pct"/>
            <w:noWrap/>
            <w:vAlign w:val="center"/>
          </w:tcPr>
          <w:p w14:paraId="375FE55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3.20</w:t>
            </w:r>
          </w:p>
        </w:tc>
        <w:tc>
          <w:tcPr>
            <w:tcW w:w="1071" w:type="pct"/>
            <w:noWrap/>
            <w:vAlign w:val="center"/>
          </w:tcPr>
          <w:p w14:paraId="74EF5177"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S10</w:t>
            </w:r>
          </w:p>
        </w:tc>
        <w:tc>
          <w:tcPr>
            <w:tcW w:w="1429" w:type="pct"/>
            <w:noWrap/>
            <w:vAlign w:val="center"/>
          </w:tcPr>
          <w:p w14:paraId="1C1527E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3.00</w:t>
            </w:r>
          </w:p>
        </w:tc>
      </w:tr>
      <w:tr w:rsidR="0075791A" w14:paraId="3D404151" w14:textId="77777777">
        <w:trPr>
          <w:trHeight w:val="283"/>
          <w:jc w:val="center"/>
        </w:trPr>
        <w:tc>
          <w:tcPr>
            <w:tcW w:w="1071" w:type="pct"/>
            <w:noWrap/>
            <w:vAlign w:val="center"/>
          </w:tcPr>
          <w:p w14:paraId="53071B9A"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S4</w:t>
            </w:r>
          </w:p>
        </w:tc>
        <w:tc>
          <w:tcPr>
            <w:tcW w:w="1428" w:type="pct"/>
            <w:noWrap/>
            <w:vAlign w:val="center"/>
          </w:tcPr>
          <w:p w14:paraId="52BAC1E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2.50</w:t>
            </w:r>
          </w:p>
        </w:tc>
        <w:tc>
          <w:tcPr>
            <w:tcW w:w="1071" w:type="pct"/>
            <w:noWrap/>
            <w:vAlign w:val="center"/>
          </w:tcPr>
          <w:p w14:paraId="61ACB3E5"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S11</w:t>
            </w:r>
          </w:p>
        </w:tc>
        <w:tc>
          <w:tcPr>
            <w:tcW w:w="1429" w:type="pct"/>
            <w:noWrap/>
            <w:vAlign w:val="center"/>
          </w:tcPr>
          <w:p w14:paraId="397E4C4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3.67</w:t>
            </w:r>
          </w:p>
        </w:tc>
      </w:tr>
      <w:tr w:rsidR="0075791A" w14:paraId="76532115" w14:textId="77777777">
        <w:trPr>
          <w:trHeight w:val="283"/>
          <w:jc w:val="center"/>
        </w:trPr>
        <w:tc>
          <w:tcPr>
            <w:tcW w:w="1071" w:type="pct"/>
            <w:noWrap/>
            <w:vAlign w:val="center"/>
          </w:tcPr>
          <w:p w14:paraId="651682E3"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S5</w:t>
            </w:r>
          </w:p>
        </w:tc>
        <w:tc>
          <w:tcPr>
            <w:tcW w:w="1428" w:type="pct"/>
            <w:noWrap/>
            <w:vAlign w:val="center"/>
          </w:tcPr>
          <w:p w14:paraId="2BA81CB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8.10</w:t>
            </w:r>
          </w:p>
        </w:tc>
        <w:tc>
          <w:tcPr>
            <w:tcW w:w="1071" w:type="pct"/>
            <w:noWrap/>
            <w:vAlign w:val="center"/>
          </w:tcPr>
          <w:p w14:paraId="6B62D260"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S12</w:t>
            </w:r>
          </w:p>
        </w:tc>
        <w:tc>
          <w:tcPr>
            <w:tcW w:w="1429" w:type="pct"/>
            <w:noWrap/>
            <w:vAlign w:val="center"/>
          </w:tcPr>
          <w:p w14:paraId="492D9FA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17.67</w:t>
            </w:r>
          </w:p>
        </w:tc>
      </w:tr>
      <w:tr w:rsidR="0075791A" w14:paraId="2EA9DDD9" w14:textId="77777777">
        <w:trPr>
          <w:trHeight w:val="283"/>
          <w:jc w:val="center"/>
        </w:trPr>
        <w:tc>
          <w:tcPr>
            <w:tcW w:w="1071" w:type="pct"/>
            <w:noWrap/>
            <w:vAlign w:val="center"/>
          </w:tcPr>
          <w:p w14:paraId="6E292B25"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S6</w:t>
            </w:r>
          </w:p>
        </w:tc>
        <w:tc>
          <w:tcPr>
            <w:tcW w:w="1428" w:type="pct"/>
            <w:noWrap/>
            <w:vAlign w:val="center"/>
          </w:tcPr>
          <w:p w14:paraId="3C6928D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10.40</w:t>
            </w:r>
          </w:p>
        </w:tc>
        <w:tc>
          <w:tcPr>
            <w:tcW w:w="1071" w:type="pct"/>
            <w:noWrap/>
            <w:vAlign w:val="center"/>
          </w:tcPr>
          <w:p w14:paraId="2950D0CB"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平均</w:t>
            </w:r>
          </w:p>
        </w:tc>
        <w:tc>
          <w:tcPr>
            <w:tcW w:w="1429" w:type="pct"/>
            <w:noWrap/>
            <w:vAlign w:val="center"/>
          </w:tcPr>
          <w:p w14:paraId="1C66CBE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5.71</w:t>
            </w:r>
          </w:p>
        </w:tc>
      </w:tr>
      <w:tr w:rsidR="0075791A" w14:paraId="78E0EFF7" w14:textId="77777777">
        <w:trPr>
          <w:trHeight w:val="283"/>
          <w:jc w:val="center"/>
        </w:trPr>
        <w:tc>
          <w:tcPr>
            <w:tcW w:w="1071" w:type="pct"/>
            <w:noWrap/>
            <w:vAlign w:val="center"/>
          </w:tcPr>
          <w:p w14:paraId="45B0A1C0"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S7</w:t>
            </w:r>
          </w:p>
        </w:tc>
        <w:tc>
          <w:tcPr>
            <w:tcW w:w="1428" w:type="pct"/>
            <w:noWrap/>
            <w:vAlign w:val="center"/>
          </w:tcPr>
          <w:p w14:paraId="243A2D6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14.00</w:t>
            </w:r>
          </w:p>
        </w:tc>
        <w:tc>
          <w:tcPr>
            <w:tcW w:w="1071" w:type="pct"/>
            <w:noWrap/>
            <w:vAlign w:val="center"/>
          </w:tcPr>
          <w:p w14:paraId="66EB818E" w14:textId="77777777" w:rsidR="0075791A" w:rsidRDefault="0075791A">
            <w:pPr>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c>
          <w:tcPr>
            <w:tcW w:w="1429" w:type="pct"/>
            <w:noWrap/>
            <w:vAlign w:val="center"/>
          </w:tcPr>
          <w:p w14:paraId="73D621F0" w14:textId="77777777" w:rsidR="0075791A" w:rsidRDefault="0075791A">
            <w:pPr>
              <w:widowControl w:val="0"/>
              <w:kinsoku/>
              <w:autoSpaceDE/>
              <w:autoSpaceDN/>
              <w:adjustRightInd/>
              <w:snapToGrid/>
              <w:jc w:val="center"/>
              <w:textAlignment w:val="auto"/>
              <w:rPr>
                <w:rFonts w:ascii="Times New Roman" w:eastAsia="宋体" w:hAnsi="Times New Roman" w:cs="Times New Roman"/>
                <w:snapToGrid/>
                <w:color w:val="auto"/>
                <w:kern w:val="2"/>
                <w:lang w:eastAsia="zh-CN"/>
              </w:rPr>
            </w:pPr>
          </w:p>
        </w:tc>
      </w:tr>
    </w:tbl>
    <w:p w14:paraId="6862D9A1" w14:textId="77777777" w:rsidR="0075791A" w:rsidRDefault="0075791A">
      <w:pPr>
        <w:widowControl w:val="0"/>
        <w:kinsoku/>
        <w:autoSpaceDE/>
        <w:autoSpaceDN/>
        <w:adjustRightInd/>
        <w:snapToGrid/>
        <w:jc w:val="center"/>
        <w:textAlignment w:val="auto"/>
        <w:rPr>
          <w:rFonts w:ascii="Times New Roman" w:eastAsia="宋体" w:hAnsi="Times New Roman" w:cs="Times New Roman"/>
          <w:snapToGrid/>
          <w:color w:val="auto"/>
          <w:kern w:val="2"/>
          <w:sz w:val="24"/>
          <w:szCs w:val="24"/>
          <w:lang w:eastAsia="zh-CN"/>
        </w:rPr>
      </w:pPr>
    </w:p>
    <w:p w14:paraId="3343DBEB" w14:textId="77777777" w:rsidR="0075791A" w:rsidRDefault="00FB2864">
      <w:pPr>
        <w:widowControl w:val="0"/>
        <w:kinsoku/>
        <w:autoSpaceDE/>
        <w:autoSpaceDN/>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3.2.6-9</w:t>
      </w:r>
      <w:r>
        <w:rPr>
          <w:rFonts w:ascii="Times New Roman" w:eastAsia="宋体" w:hAnsi="Times New Roman" w:cs="Times New Roman" w:hint="eastAsia"/>
          <w:snapToGrid/>
          <w:color w:val="auto"/>
          <w:kern w:val="2"/>
          <w:sz w:val="24"/>
          <w:szCs w:val="24"/>
          <w:lang w:eastAsia="zh-CN"/>
        </w:rPr>
        <w:t>各类别浮游动物细胞丰度</w:t>
      </w:r>
    </w:p>
    <w:tbl>
      <w:tblPr>
        <w:tblW w:w="4633" w:type="pct"/>
        <w:jc w:val="center"/>
        <w:tblLook w:val="04A0" w:firstRow="1" w:lastRow="0" w:firstColumn="1" w:lastColumn="0" w:noHBand="0" w:noVBand="1"/>
      </w:tblPr>
      <w:tblGrid>
        <w:gridCol w:w="1817"/>
        <w:gridCol w:w="939"/>
        <w:gridCol w:w="939"/>
        <w:gridCol w:w="939"/>
        <w:gridCol w:w="1180"/>
        <w:gridCol w:w="1180"/>
        <w:gridCol w:w="939"/>
        <w:gridCol w:w="756"/>
      </w:tblGrid>
      <w:tr w:rsidR="0075791A" w14:paraId="1D2EA090" w14:textId="77777777">
        <w:trPr>
          <w:trHeight w:val="316"/>
          <w:jc w:val="center"/>
        </w:trPr>
        <w:tc>
          <w:tcPr>
            <w:tcW w:w="948" w:type="pct"/>
            <w:tcBorders>
              <w:top w:val="single" w:sz="4" w:space="0" w:color="000000"/>
              <w:left w:val="single" w:sz="4" w:space="0" w:color="000000"/>
              <w:bottom w:val="single" w:sz="4" w:space="0" w:color="000000"/>
              <w:right w:val="single" w:sz="4" w:space="0" w:color="000000"/>
            </w:tcBorders>
            <w:noWrap/>
            <w:vAlign w:val="center"/>
          </w:tcPr>
          <w:p w14:paraId="4D588576"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类别</w:t>
            </w:r>
          </w:p>
        </w:tc>
        <w:tc>
          <w:tcPr>
            <w:tcW w:w="578" w:type="pct"/>
            <w:tcBorders>
              <w:top w:val="single" w:sz="4" w:space="0" w:color="000000"/>
              <w:left w:val="single" w:sz="4" w:space="0" w:color="000000"/>
              <w:bottom w:val="single" w:sz="4" w:space="0" w:color="000000"/>
              <w:right w:val="single" w:sz="4" w:space="0" w:color="000000"/>
            </w:tcBorders>
            <w:noWrap/>
            <w:vAlign w:val="center"/>
          </w:tcPr>
          <w:p w14:paraId="5804D775"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桡足类</w:t>
            </w:r>
          </w:p>
        </w:tc>
        <w:tc>
          <w:tcPr>
            <w:tcW w:w="578" w:type="pct"/>
            <w:tcBorders>
              <w:top w:val="single" w:sz="4" w:space="0" w:color="000000"/>
              <w:left w:val="single" w:sz="4" w:space="0" w:color="000000"/>
              <w:bottom w:val="single" w:sz="4" w:space="0" w:color="000000"/>
              <w:right w:val="single" w:sz="4" w:space="0" w:color="000000"/>
            </w:tcBorders>
            <w:noWrap/>
            <w:vAlign w:val="center"/>
          </w:tcPr>
          <w:p w14:paraId="4CCA8A4E"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水母类</w:t>
            </w:r>
          </w:p>
        </w:tc>
        <w:tc>
          <w:tcPr>
            <w:tcW w:w="578" w:type="pct"/>
            <w:tcBorders>
              <w:top w:val="single" w:sz="4" w:space="0" w:color="000000"/>
              <w:left w:val="single" w:sz="4" w:space="0" w:color="000000"/>
              <w:bottom w:val="single" w:sz="4" w:space="0" w:color="000000"/>
              <w:right w:val="single" w:sz="4" w:space="0" w:color="000000"/>
            </w:tcBorders>
            <w:noWrap/>
            <w:vAlign w:val="center"/>
          </w:tcPr>
          <w:p w14:paraId="1128B445"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翼足类</w:t>
            </w:r>
          </w:p>
        </w:tc>
        <w:tc>
          <w:tcPr>
            <w:tcW w:w="619" w:type="pct"/>
            <w:tcBorders>
              <w:top w:val="single" w:sz="4" w:space="0" w:color="000000"/>
              <w:left w:val="single" w:sz="4" w:space="0" w:color="000000"/>
              <w:bottom w:val="single" w:sz="4" w:space="0" w:color="000000"/>
              <w:right w:val="single" w:sz="4" w:space="0" w:color="000000"/>
            </w:tcBorders>
            <w:noWrap/>
            <w:vAlign w:val="center"/>
          </w:tcPr>
          <w:p w14:paraId="61987E0D"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原生动物</w:t>
            </w:r>
          </w:p>
        </w:tc>
        <w:tc>
          <w:tcPr>
            <w:tcW w:w="619" w:type="pct"/>
            <w:tcBorders>
              <w:top w:val="single" w:sz="4" w:space="0" w:color="000000"/>
              <w:left w:val="single" w:sz="4" w:space="0" w:color="000000"/>
              <w:bottom w:val="single" w:sz="4" w:space="0" w:color="000000"/>
              <w:right w:val="single" w:sz="4" w:space="0" w:color="000000"/>
            </w:tcBorders>
            <w:noWrap/>
            <w:vAlign w:val="center"/>
          </w:tcPr>
          <w:p w14:paraId="3228A166"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浮游幼体</w:t>
            </w:r>
          </w:p>
        </w:tc>
        <w:tc>
          <w:tcPr>
            <w:tcW w:w="496" w:type="pct"/>
            <w:tcBorders>
              <w:top w:val="single" w:sz="4" w:space="0" w:color="000000"/>
              <w:left w:val="single" w:sz="4" w:space="0" w:color="000000"/>
              <w:bottom w:val="single" w:sz="4" w:space="0" w:color="000000"/>
              <w:right w:val="single" w:sz="4" w:space="0" w:color="000000"/>
            </w:tcBorders>
            <w:noWrap/>
            <w:vAlign w:val="center"/>
          </w:tcPr>
          <w:p w14:paraId="5BC49660"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枝角类</w:t>
            </w:r>
          </w:p>
        </w:tc>
        <w:tc>
          <w:tcPr>
            <w:tcW w:w="579" w:type="pct"/>
            <w:tcBorders>
              <w:top w:val="single" w:sz="4" w:space="0" w:color="000000"/>
              <w:left w:val="single" w:sz="4" w:space="0" w:color="000000"/>
              <w:bottom w:val="single" w:sz="4" w:space="0" w:color="000000"/>
              <w:right w:val="single" w:sz="4" w:space="0" w:color="000000"/>
            </w:tcBorders>
            <w:noWrap/>
            <w:vAlign w:val="center"/>
          </w:tcPr>
          <w:p w14:paraId="1FC9D64A"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总计</w:t>
            </w:r>
          </w:p>
        </w:tc>
      </w:tr>
      <w:tr w:rsidR="0075791A" w14:paraId="6A148727" w14:textId="77777777">
        <w:trPr>
          <w:trHeight w:val="332"/>
          <w:jc w:val="center"/>
        </w:trPr>
        <w:tc>
          <w:tcPr>
            <w:tcW w:w="948" w:type="pct"/>
            <w:tcBorders>
              <w:top w:val="single" w:sz="4" w:space="0" w:color="000000"/>
              <w:left w:val="single" w:sz="4" w:space="0" w:color="000000"/>
              <w:bottom w:val="single" w:sz="4" w:space="0" w:color="000000"/>
              <w:right w:val="single" w:sz="4" w:space="0" w:color="000000"/>
            </w:tcBorders>
            <w:noWrap/>
            <w:vAlign w:val="center"/>
          </w:tcPr>
          <w:p w14:paraId="20D27953"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丰度</w:t>
            </w:r>
            <w:r>
              <w:rPr>
                <w:rFonts w:ascii="Times New Roman" w:eastAsia="宋体" w:hAnsi="Times New Roman" w:cs="Times New Roman"/>
                <w:snapToGrid/>
                <w:color w:val="auto"/>
                <w:sz w:val="24"/>
                <w:szCs w:val="18"/>
                <w:lang w:eastAsia="zh-CN" w:bidi="ar"/>
              </w:rPr>
              <w:t>（</w:t>
            </w:r>
            <w:r>
              <w:rPr>
                <w:rFonts w:ascii="Times New Roman" w:eastAsia="宋体" w:hAnsi="Times New Roman" w:cs="Times New Roman"/>
                <w:snapToGrid/>
                <w:color w:val="auto"/>
                <w:sz w:val="24"/>
                <w:szCs w:val="18"/>
                <w:lang w:eastAsia="zh-CN" w:bidi="ar"/>
              </w:rPr>
              <w:t>ind/m</w:t>
            </w:r>
            <w:r>
              <w:rPr>
                <w:rFonts w:ascii="Times New Roman" w:eastAsia="宋体" w:hAnsi="Times New Roman" w:cs="Times New Roman"/>
                <w:snapToGrid/>
                <w:color w:val="auto"/>
                <w:sz w:val="24"/>
                <w:szCs w:val="18"/>
                <w:vertAlign w:val="superscript"/>
                <w:lang w:eastAsia="zh-CN" w:bidi="ar"/>
              </w:rPr>
              <w:t>3</w:t>
            </w:r>
            <w:r>
              <w:rPr>
                <w:rFonts w:ascii="Times New Roman" w:eastAsia="宋体" w:hAnsi="Times New Roman" w:cs="Times New Roman"/>
                <w:snapToGrid/>
                <w:color w:val="auto"/>
                <w:sz w:val="24"/>
                <w:szCs w:val="18"/>
                <w:lang w:eastAsia="zh-CN" w:bidi="ar"/>
              </w:rPr>
              <w:t>）</w:t>
            </w:r>
          </w:p>
        </w:tc>
        <w:tc>
          <w:tcPr>
            <w:tcW w:w="578" w:type="pct"/>
            <w:tcBorders>
              <w:top w:val="single" w:sz="4" w:space="0" w:color="000000"/>
              <w:left w:val="single" w:sz="4" w:space="0" w:color="000000"/>
              <w:bottom w:val="single" w:sz="4" w:space="0" w:color="000000"/>
              <w:right w:val="single" w:sz="4" w:space="0" w:color="000000"/>
            </w:tcBorders>
            <w:noWrap/>
            <w:vAlign w:val="center"/>
          </w:tcPr>
          <w:p w14:paraId="458523C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15.60</w:t>
            </w:r>
          </w:p>
        </w:tc>
        <w:tc>
          <w:tcPr>
            <w:tcW w:w="578" w:type="pct"/>
            <w:tcBorders>
              <w:top w:val="single" w:sz="4" w:space="0" w:color="000000"/>
              <w:left w:val="single" w:sz="4" w:space="0" w:color="000000"/>
              <w:bottom w:val="single" w:sz="4" w:space="0" w:color="000000"/>
              <w:right w:val="single" w:sz="4" w:space="0" w:color="000000"/>
            </w:tcBorders>
            <w:noWrap/>
            <w:vAlign w:val="center"/>
          </w:tcPr>
          <w:p w14:paraId="1FBAF6E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0.53</w:t>
            </w:r>
          </w:p>
        </w:tc>
        <w:tc>
          <w:tcPr>
            <w:tcW w:w="578" w:type="pct"/>
            <w:tcBorders>
              <w:top w:val="single" w:sz="4" w:space="0" w:color="000000"/>
              <w:left w:val="single" w:sz="4" w:space="0" w:color="000000"/>
              <w:bottom w:val="single" w:sz="4" w:space="0" w:color="000000"/>
              <w:right w:val="single" w:sz="4" w:space="0" w:color="000000"/>
            </w:tcBorders>
            <w:noWrap/>
            <w:vAlign w:val="center"/>
          </w:tcPr>
          <w:p w14:paraId="629E61F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0.10</w:t>
            </w:r>
          </w:p>
        </w:tc>
        <w:tc>
          <w:tcPr>
            <w:tcW w:w="619" w:type="pct"/>
            <w:tcBorders>
              <w:top w:val="single" w:sz="4" w:space="0" w:color="000000"/>
              <w:left w:val="single" w:sz="4" w:space="0" w:color="000000"/>
              <w:bottom w:val="single" w:sz="4" w:space="0" w:color="000000"/>
              <w:right w:val="single" w:sz="4" w:space="0" w:color="000000"/>
            </w:tcBorders>
            <w:noWrap/>
            <w:vAlign w:val="center"/>
          </w:tcPr>
          <w:p w14:paraId="71222CF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0.77</w:t>
            </w:r>
          </w:p>
        </w:tc>
        <w:tc>
          <w:tcPr>
            <w:tcW w:w="619" w:type="pct"/>
            <w:tcBorders>
              <w:top w:val="single" w:sz="4" w:space="0" w:color="000000"/>
              <w:left w:val="single" w:sz="4" w:space="0" w:color="000000"/>
              <w:bottom w:val="single" w:sz="4" w:space="0" w:color="000000"/>
              <w:right w:val="single" w:sz="4" w:space="0" w:color="000000"/>
            </w:tcBorders>
            <w:noWrap/>
            <w:vAlign w:val="center"/>
          </w:tcPr>
          <w:p w14:paraId="47238B1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23.00</w:t>
            </w:r>
          </w:p>
        </w:tc>
        <w:tc>
          <w:tcPr>
            <w:tcW w:w="496" w:type="pct"/>
            <w:tcBorders>
              <w:top w:val="single" w:sz="4" w:space="0" w:color="000000"/>
              <w:left w:val="single" w:sz="4" w:space="0" w:color="000000"/>
              <w:bottom w:val="single" w:sz="4" w:space="0" w:color="000000"/>
              <w:right w:val="single" w:sz="4" w:space="0" w:color="000000"/>
            </w:tcBorders>
            <w:noWrap/>
            <w:vAlign w:val="center"/>
          </w:tcPr>
          <w:p w14:paraId="399CEF1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28.00</w:t>
            </w:r>
          </w:p>
        </w:tc>
        <w:tc>
          <w:tcPr>
            <w:tcW w:w="579" w:type="pct"/>
            <w:tcBorders>
              <w:top w:val="single" w:sz="4" w:space="0" w:color="000000"/>
              <w:left w:val="single" w:sz="4" w:space="0" w:color="000000"/>
              <w:bottom w:val="single" w:sz="4" w:space="0" w:color="000000"/>
              <w:right w:val="single" w:sz="4" w:space="0" w:color="000000"/>
            </w:tcBorders>
            <w:noWrap/>
            <w:vAlign w:val="center"/>
          </w:tcPr>
          <w:p w14:paraId="548E16F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68</w:t>
            </w:r>
            <w:r>
              <w:rPr>
                <w:rFonts w:ascii="Times New Roman" w:eastAsia="宋体" w:hAnsi="Times New Roman" w:cs="Times New Roman" w:hint="eastAsia"/>
                <w:snapToGrid/>
                <w:color w:val="auto"/>
                <w:sz w:val="24"/>
                <w:szCs w:val="18"/>
                <w:lang w:eastAsia="zh-CN" w:bidi="ar"/>
              </w:rPr>
              <w:t>.00</w:t>
            </w:r>
          </w:p>
        </w:tc>
      </w:tr>
    </w:tbl>
    <w:p w14:paraId="3091D98E"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82" w:name="_Toc211"/>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4</w:t>
      </w: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b/>
          <w:bCs/>
          <w:snapToGrid/>
          <w:color w:val="auto"/>
          <w:kern w:val="2"/>
          <w:sz w:val="24"/>
          <w:szCs w:val="24"/>
          <w:lang w:eastAsia="zh-CN"/>
        </w:rPr>
        <w:t>生物多样性</w:t>
      </w:r>
      <w:r>
        <w:rPr>
          <w:rFonts w:ascii="Times New Roman" w:eastAsia="宋体" w:hAnsi="Times New Roman" w:cs="Times New Roman" w:hint="eastAsia"/>
          <w:b/>
          <w:bCs/>
          <w:snapToGrid/>
          <w:color w:val="auto"/>
          <w:kern w:val="2"/>
          <w:sz w:val="24"/>
          <w:szCs w:val="24"/>
          <w:lang w:eastAsia="zh-CN"/>
        </w:rPr>
        <w:t>分析</w:t>
      </w:r>
      <w:bookmarkEnd w:id="182"/>
    </w:p>
    <w:p w14:paraId="6653F620"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通过对浮游动物</w:t>
      </w:r>
      <w:r>
        <w:rPr>
          <w:rFonts w:ascii="Times New Roman" w:eastAsia="宋体" w:hAnsi="Times New Roman" w:cs="Times New Roman" w:hint="eastAsia"/>
          <w:snapToGrid/>
          <w:color w:val="auto"/>
          <w:kern w:val="2"/>
          <w:sz w:val="24"/>
          <w:szCs w:val="24"/>
          <w:lang w:eastAsia="zh-CN"/>
        </w:rPr>
        <w:t>多样性分析</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各站位</w:t>
      </w:r>
      <w:r>
        <w:rPr>
          <w:rFonts w:ascii="Times New Roman" w:eastAsia="宋体" w:hAnsi="Times New Roman" w:cs="Times New Roman"/>
          <w:snapToGrid/>
          <w:color w:val="auto"/>
          <w:kern w:val="2"/>
          <w:sz w:val="24"/>
          <w:szCs w:val="24"/>
          <w:lang w:eastAsia="zh-CN"/>
        </w:rPr>
        <w:t>浮游动物</w:t>
      </w:r>
      <w:r>
        <w:rPr>
          <w:rFonts w:ascii="Times New Roman" w:eastAsia="宋体" w:hAnsi="Times New Roman" w:cs="Times New Roman" w:hint="eastAsia"/>
          <w:snapToGrid/>
          <w:color w:val="auto"/>
          <w:kern w:val="2"/>
          <w:sz w:val="24"/>
          <w:szCs w:val="24"/>
          <w:lang w:eastAsia="zh-CN"/>
        </w:rPr>
        <w:t>多样性指数范围为</w:t>
      </w:r>
      <w:r>
        <w:rPr>
          <w:rFonts w:ascii="Times New Roman" w:eastAsia="宋体" w:hAnsi="Times New Roman" w:cs="Times New Roman" w:hint="eastAsia"/>
          <w:snapToGrid/>
          <w:color w:val="auto"/>
          <w:kern w:val="2"/>
          <w:sz w:val="24"/>
          <w:szCs w:val="24"/>
          <w:lang w:eastAsia="zh-CN"/>
        </w:rPr>
        <w:t>1.29~</w:t>
      </w:r>
      <w:r>
        <w:rPr>
          <w:rFonts w:ascii="Times New Roman" w:eastAsia="宋体" w:hAnsi="Times New Roman" w:cs="Times New Roman"/>
          <w:snapToGrid/>
          <w:color w:val="auto"/>
          <w:kern w:val="2"/>
          <w:sz w:val="24"/>
          <w:szCs w:val="24"/>
          <w:lang w:eastAsia="zh-CN"/>
        </w:rPr>
        <w:t>2.64</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S7</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S5</w:t>
      </w:r>
      <w:r>
        <w:rPr>
          <w:rFonts w:ascii="Times New Roman" w:eastAsia="宋体" w:hAnsi="Times New Roman" w:cs="Times New Roman" w:hint="eastAsia"/>
          <w:snapToGrid/>
          <w:color w:val="auto"/>
          <w:kern w:val="2"/>
          <w:sz w:val="24"/>
          <w:szCs w:val="24"/>
          <w:lang w:eastAsia="zh-CN"/>
        </w:rPr>
        <w:t>站位，平均值为</w:t>
      </w:r>
      <w:r>
        <w:rPr>
          <w:rFonts w:ascii="Times New Roman" w:eastAsia="宋体" w:hAnsi="Times New Roman" w:cs="Times New Roman" w:hint="eastAsia"/>
          <w:snapToGrid/>
          <w:color w:val="auto"/>
          <w:kern w:val="2"/>
          <w:sz w:val="24"/>
          <w:szCs w:val="24"/>
          <w:lang w:eastAsia="zh-CN"/>
        </w:rPr>
        <w:t>2.05</w:t>
      </w:r>
      <w:r>
        <w:rPr>
          <w:rFonts w:ascii="Times New Roman" w:eastAsia="宋体" w:hAnsi="Times New Roman" w:cs="Times New Roman" w:hint="eastAsia"/>
          <w:snapToGrid/>
          <w:color w:val="auto"/>
          <w:kern w:val="2"/>
          <w:sz w:val="24"/>
          <w:szCs w:val="24"/>
          <w:lang w:eastAsia="zh-CN"/>
        </w:rPr>
        <w:t>；各站位</w:t>
      </w:r>
      <w:r>
        <w:rPr>
          <w:rFonts w:ascii="Times New Roman" w:eastAsia="宋体" w:hAnsi="Times New Roman" w:cs="Times New Roman"/>
          <w:snapToGrid/>
          <w:color w:val="auto"/>
          <w:kern w:val="2"/>
          <w:sz w:val="24"/>
          <w:szCs w:val="24"/>
          <w:lang w:eastAsia="zh-CN"/>
        </w:rPr>
        <w:t>浮游动物</w:t>
      </w:r>
      <w:r>
        <w:rPr>
          <w:rFonts w:ascii="Times New Roman" w:eastAsia="宋体" w:hAnsi="Times New Roman" w:cs="Times New Roman" w:hint="eastAsia"/>
          <w:snapToGrid/>
          <w:color w:val="auto"/>
          <w:kern w:val="2"/>
          <w:sz w:val="24"/>
          <w:szCs w:val="24"/>
          <w:lang w:eastAsia="zh-CN"/>
        </w:rPr>
        <w:t>均匀度指数范围为</w:t>
      </w:r>
      <w:r>
        <w:rPr>
          <w:rFonts w:ascii="Times New Roman" w:eastAsia="宋体" w:hAnsi="Times New Roman" w:cs="Times New Roman" w:hint="eastAsia"/>
          <w:snapToGrid/>
          <w:color w:val="auto"/>
          <w:kern w:val="2"/>
          <w:sz w:val="24"/>
          <w:szCs w:val="24"/>
          <w:lang w:eastAsia="zh-CN"/>
        </w:rPr>
        <w:t>0.43~0.97</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S1</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S5</w:t>
      </w:r>
      <w:r>
        <w:rPr>
          <w:rFonts w:ascii="Times New Roman" w:eastAsia="宋体" w:hAnsi="Times New Roman" w:cs="Times New Roman" w:hint="eastAsia"/>
          <w:snapToGrid/>
          <w:color w:val="auto"/>
          <w:kern w:val="2"/>
          <w:sz w:val="24"/>
          <w:szCs w:val="24"/>
          <w:lang w:eastAsia="zh-CN"/>
        </w:rPr>
        <w:t>站位，平均值为</w:t>
      </w:r>
      <w:r>
        <w:rPr>
          <w:rFonts w:ascii="Times New Roman" w:eastAsia="宋体" w:hAnsi="Times New Roman" w:cs="Times New Roman" w:hint="eastAsia"/>
          <w:snapToGrid/>
          <w:color w:val="auto"/>
          <w:kern w:val="2"/>
          <w:sz w:val="24"/>
          <w:szCs w:val="24"/>
          <w:lang w:eastAsia="zh-CN"/>
        </w:rPr>
        <w:t>0.75</w:t>
      </w:r>
      <w:r>
        <w:rPr>
          <w:rFonts w:ascii="Times New Roman" w:eastAsia="宋体" w:hAnsi="Times New Roman" w:cs="Times New Roman" w:hint="eastAsia"/>
          <w:snapToGrid/>
          <w:color w:val="auto"/>
          <w:kern w:val="2"/>
          <w:sz w:val="24"/>
          <w:szCs w:val="24"/>
          <w:lang w:eastAsia="zh-CN"/>
        </w:rPr>
        <w:t>；各站位</w:t>
      </w:r>
      <w:r>
        <w:rPr>
          <w:rFonts w:ascii="Times New Roman" w:eastAsia="宋体" w:hAnsi="Times New Roman" w:cs="Times New Roman"/>
          <w:snapToGrid/>
          <w:color w:val="auto"/>
          <w:kern w:val="2"/>
          <w:sz w:val="24"/>
          <w:szCs w:val="24"/>
          <w:lang w:eastAsia="zh-CN"/>
        </w:rPr>
        <w:t>浮游动物</w:t>
      </w:r>
      <w:r>
        <w:rPr>
          <w:rFonts w:ascii="Times New Roman" w:eastAsia="宋体" w:hAnsi="Times New Roman" w:cs="Times New Roman" w:hint="eastAsia"/>
          <w:snapToGrid/>
          <w:color w:val="auto"/>
          <w:kern w:val="2"/>
          <w:sz w:val="24"/>
          <w:szCs w:val="24"/>
          <w:lang w:eastAsia="zh-CN"/>
        </w:rPr>
        <w:t>丰富度指数范围为</w:t>
      </w:r>
      <w:r>
        <w:rPr>
          <w:rFonts w:ascii="Times New Roman" w:eastAsia="宋体" w:hAnsi="Times New Roman" w:cs="Times New Roman" w:hint="eastAsia"/>
          <w:snapToGrid/>
          <w:color w:val="auto"/>
          <w:kern w:val="2"/>
          <w:sz w:val="24"/>
          <w:szCs w:val="24"/>
          <w:lang w:eastAsia="zh-CN"/>
        </w:rPr>
        <w:t>0.23~</w:t>
      </w:r>
      <w:r>
        <w:rPr>
          <w:rFonts w:ascii="Times New Roman" w:eastAsia="宋体" w:hAnsi="Times New Roman" w:cs="Times New Roman"/>
          <w:snapToGrid/>
          <w:color w:val="auto"/>
          <w:kern w:val="2"/>
          <w:sz w:val="24"/>
          <w:szCs w:val="24"/>
          <w:lang w:eastAsia="zh-CN"/>
        </w:rPr>
        <w:t>0.73</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S7</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S9</w:t>
      </w:r>
      <w:r>
        <w:rPr>
          <w:rFonts w:ascii="Times New Roman" w:eastAsia="宋体" w:hAnsi="Times New Roman" w:cs="Times New Roman" w:hint="eastAsia"/>
          <w:snapToGrid/>
          <w:color w:val="auto"/>
          <w:kern w:val="2"/>
          <w:sz w:val="24"/>
          <w:szCs w:val="24"/>
          <w:lang w:eastAsia="zh-CN"/>
        </w:rPr>
        <w:t>站位，平均值为</w:t>
      </w:r>
      <w:r>
        <w:rPr>
          <w:rFonts w:ascii="Times New Roman" w:eastAsia="宋体" w:hAnsi="Times New Roman" w:cs="Times New Roman" w:hint="eastAsia"/>
          <w:snapToGrid/>
          <w:color w:val="auto"/>
          <w:kern w:val="2"/>
          <w:sz w:val="24"/>
          <w:szCs w:val="24"/>
          <w:lang w:eastAsia="zh-CN"/>
        </w:rPr>
        <w:t>0.49</w:t>
      </w:r>
      <w:r>
        <w:rPr>
          <w:rFonts w:ascii="Times New Roman" w:eastAsia="宋体" w:hAnsi="Times New Roman" w:cs="Times New Roman"/>
          <w:snapToGrid/>
          <w:color w:val="auto"/>
          <w:kern w:val="2"/>
          <w:sz w:val="24"/>
          <w:szCs w:val="24"/>
          <w:lang w:eastAsia="zh-CN"/>
        </w:rPr>
        <w:t>（表</w:t>
      </w:r>
      <w:r>
        <w:rPr>
          <w:rFonts w:ascii="Times New Roman" w:eastAsia="宋体" w:hAnsi="Times New Roman" w:cs="宋体" w:hint="eastAsia"/>
          <w:color w:val="auto"/>
          <w:spacing w:val="-2"/>
          <w:sz w:val="24"/>
          <w:szCs w:val="24"/>
          <w:lang w:eastAsia="zh-CN"/>
        </w:rPr>
        <w:t>3.2.6-10</w:t>
      </w:r>
      <w:r>
        <w:rPr>
          <w:rFonts w:ascii="Times New Roman" w:eastAsia="宋体" w:hAnsi="Times New Roman" w:cs="Times New Roman"/>
          <w:snapToGrid/>
          <w:color w:val="auto"/>
          <w:kern w:val="2"/>
          <w:sz w:val="24"/>
          <w:szCs w:val="24"/>
          <w:lang w:eastAsia="zh-CN"/>
        </w:rPr>
        <w:t>）。</w:t>
      </w:r>
    </w:p>
    <w:p w14:paraId="3E1605CA" w14:textId="77777777" w:rsidR="0075791A" w:rsidRDefault="00FB2864">
      <w:pPr>
        <w:widowControl w:val="0"/>
        <w:kinsoku/>
        <w:autoSpaceDE/>
        <w:autoSpaceDN/>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3.2.6-10</w:t>
      </w:r>
      <w:r>
        <w:rPr>
          <w:rFonts w:ascii="Times New Roman" w:eastAsia="宋体" w:hAnsi="Times New Roman" w:cs="Times New Roman"/>
          <w:snapToGrid/>
          <w:color w:val="auto"/>
          <w:kern w:val="2"/>
          <w:sz w:val="24"/>
          <w:szCs w:val="24"/>
          <w:lang w:eastAsia="zh-CN"/>
        </w:rPr>
        <w:t xml:space="preserve"> </w:t>
      </w:r>
      <w:r>
        <w:rPr>
          <w:rFonts w:ascii="Times New Roman" w:eastAsia="宋体" w:hAnsi="Times New Roman" w:cs="Times New Roman"/>
          <w:snapToGrid/>
          <w:color w:val="auto"/>
          <w:kern w:val="2"/>
          <w:sz w:val="24"/>
          <w:szCs w:val="24"/>
          <w:lang w:eastAsia="zh-CN"/>
        </w:rPr>
        <w:t>站位浮游动物</w:t>
      </w:r>
      <w:r>
        <w:rPr>
          <w:rFonts w:ascii="Times New Roman" w:eastAsia="宋体" w:hAnsi="Times New Roman" w:cs="Times New Roman" w:hint="eastAsia"/>
          <w:snapToGrid/>
          <w:color w:val="auto"/>
          <w:kern w:val="2"/>
          <w:sz w:val="24"/>
          <w:szCs w:val="24"/>
          <w:lang w:eastAsia="zh-CN"/>
        </w:rPr>
        <w:t>多样性分析</w:t>
      </w:r>
    </w:p>
    <w:tbl>
      <w:tblPr>
        <w:tblW w:w="4329" w:type="pct"/>
        <w:jc w:val="center"/>
        <w:tblLook w:val="04A0" w:firstRow="1" w:lastRow="0" w:firstColumn="1" w:lastColumn="0" w:noHBand="0" w:noVBand="1"/>
      </w:tblPr>
      <w:tblGrid>
        <w:gridCol w:w="2023"/>
        <w:gridCol w:w="2023"/>
        <w:gridCol w:w="2023"/>
        <w:gridCol w:w="2027"/>
      </w:tblGrid>
      <w:tr w:rsidR="0075791A" w14:paraId="588CA845" w14:textId="77777777">
        <w:trPr>
          <w:trHeight w:val="283"/>
          <w:jc w:val="center"/>
        </w:trPr>
        <w:tc>
          <w:tcPr>
            <w:tcW w:w="1249" w:type="pct"/>
            <w:tcBorders>
              <w:top w:val="single" w:sz="4" w:space="0" w:color="000000"/>
              <w:left w:val="single" w:sz="4" w:space="0" w:color="000000"/>
              <w:bottom w:val="single" w:sz="4" w:space="0" w:color="000000"/>
              <w:right w:val="single" w:sz="4" w:space="0" w:color="000000"/>
            </w:tcBorders>
            <w:noWrap/>
            <w:vAlign w:val="center"/>
          </w:tcPr>
          <w:p w14:paraId="6DE8D9E4"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lang w:eastAsia="zh-CN" w:bidi="ar"/>
              </w:rPr>
              <w:t>站位</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18FBF2EC"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lang w:eastAsia="zh-CN" w:bidi="ar"/>
              </w:rPr>
              <w:t>丰富度</w:t>
            </w:r>
            <w:r>
              <w:rPr>
                <w:rFonts w:ascii="Times New Roman" w:eastAsia="宋体" w:hAnsi="Times New Roman" w:cs="Times New Roman"/>
                <w:b/>
                <w:bCs/>
                <w:snapToGrid/>
                <w:color w:val="auto"/>
                <w:lang w:eastAsia="zh-CN" w:bidi="ar"/>
              </w:rPr>
              <w:t>D</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14A2FB37"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lang w:eastAsia="zh-CN" w:bidi="ar"/>
              </w:rPr>
              <w:t>均匀度</w:t>
            </w:r>
            <w:r>
              <w:rPr>
                <w:rFonts w:ascii="Times New Roman" w:eastAsia="宋体" w:hAnsi="Times New Roman" w:cs="Times New Roman"/>
                <w:b/>
                <w:bCs/>
                <w:snapToGrid/>
                <w:color w:val="auto"/>
                <w:lang w:eastAsia="zh-CN" w:bidi="ar"/>
              </w:rPr>
              <w:t>J'</w:t>
            </w:r>
          </w:p>
        </w:tc>
        <w:tc>
          <w:tcPr>
            <w:tcW w:w="1251" w:type="pct"/>
            <w:tcBorders>
              <w:top w:val="single" w:sz="4" w:space="0" w:color="000000"/>
              <w:left w:val="single" w:sz="4" w:space="0" w:color="000000"/>
              <w:bottom w:val="single" w:sz="4" w:space="0" w:color="000000"/>
              <w:right w:val="single" w:sz="4" w:space="0" w:color="000000"/>
            </w:tcBorders>
            <w:noWrap/>
            <w:vAlign w:val="center"/>
          </w:tcPr>
          <w:p w14:paraId="4B8C184A"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lang w:eastAsia="zh-CN"/>
              </w:rPr>
            </w:pPr>
            <w:r>
              <w:rPr>
                <w:rFonts w:ascii="Times New Roman" w:eastAsia="宋体" w:hAnsi="Times New Roman" w:cs="Times New Roman"/>
                <w:b/>
                <w:bCs/>
                <w:snapToGrid/>
                <w:color w:val="auto"/>
                <w:lang w:eastAsia="zh-CN" w:bidi="ar"/>
              </w:rPr>
              <w:t>多样性指数</w:t>
            </w:r>
            <w:r>
              <w:rPr>
                <w:rFonts w:ascii="Times New Roman" w:eastAsia="宋体" w:hAnsi="Times New Roman" w:cs="Times New Roman"/>
                <w:b/>
                <w:bCs/>
                <w:snapToGrid/>
                <w:color w:val="auto"/>
                <w:lang w:eastAsia="zh-CN" w:bidi="ar"/>
              </w:rPr>
              <w:t>H'</w:t>
            </w:r>
          </w:p>
        </w:tc>
      </w:tr>
      <w:tr w:rsidR="0075791A" w14:paraId="17D472D7" w14:textId="77777777">
        <w:trPr>
          <w:trHeight w:val="283"/>
          <w:jc w:val="center"/>
        </w:trPr>
        <w:tc>
          <w:tcPr>
            <w:tcW w:w="1249" w:type="pct"/>
            <w:tcBorders>
              <w:top w:val="single" w:sz="4" w:space="0" w:color="000000"/>
              <w:left w:val="single" w:sz="4" w:space="0" w:color="000000"/>
              <w:bottom w:val="single" w:sz="4" w:space="0" w:color="000000"/>
              <w:right w:val="single" w:sz="4" w:space="0" w:color="000000"/>
            </w:tcBorders>
            <w:noWrap/>
            <w:vAlign w:val="center"/>
          </w:tcPr>
          <w:p w14:paraId="272053A8"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lastRenderedPageBreak/>
              <w:t>S1</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1E361FC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0.52</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1D6E2E0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0.97</w:t>
            </w:r>
          </w:p>
        </w:tc>
        <w:tc>
          <w:tcPr>
            <w:tcW w:w="1251" w:type="pct"/>
            <w:tcBorders>
              <w:top w:val="single" w:sz="4" w:space="0" w:color="000000"/>
              <w:left w:val="single" w:sz="4" w:space="0" w:color="000000"/>
              <w:bottom w:val="single" w:sz="4" w:space="0" w:color="000000"/>
              <w:right w:val="single" w:sz="4" w:space="0" w:color="000000"/>
            </w:tcBorders>
            <w:noWrap/>
            <w:vAlign w:val="center"/>
          </w:tcPr>
          <w:p w14:paraId="26E7708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2.50</w:t>
            </w:r>
          </w:p>
        </w:tc>
      </w:tr>
      <w:tr w:rsidR="0075791A" w14:paraId="342003AE" w14:textId="77777777">
        <w:trPr>
          <w:trHeight w:val="283"/>
          <w:jc w:val="center"/>
        </w:trPr>
        <w:tc>
          <w:tcPr>
            <w:tcW w:w="1249" w:type="pct"/>
            <w:tcBorders>
              <w:top w:val="single" w:sz="4" w:space="0" w:color="000000"/>
              <w:left w:val="single" w:sz="4" w:space="0" w:color="000000"/>
              <w:bottom w:val="single" w:sz="4" w:space="0" w:color="000000"/>
              <w:right w:val="single" w:sz="4" w:space="0" w:color="000000"/>
            </w:tcBorders>
            <w:noWrap/>
            <w:vAlign w:val="center"/>
          </w:tcPr>
          <w:p w14:paraId="4C465163"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S2</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40AD0E0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0.60</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4A0095F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0.90</w:t>
            </w:r>
          </w:p>
        </w:tc>
        <w:tc>
          <w:tcPr>
            <w:tcW w:w="1251" w:type="pct"/>
            <w:tcBorders>
              <w:top w:val="single" w:sz="4" w:space="0" w:color="000000"/>
              <w:left w:val="single" w:sz="4" w:space="0" w:color="000000"/>
              <w:bottom w:val="single" w:sz="4" w:space="0" w:color="000000"/>
              <w:right w:val="single" w:sz="4" w:space="0" w:color="000000"/>
            </w:tcBorders>
            <w:noWrap/>
            <w:vAlign w:val="center"/>
          </w:tcPr>
          <w:p w14:paraId="1386C42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2.52</w:t>
            </w:r>
          </w:p>
        </w:tc>
      </w:tr>
      <w:tr w:rsidR="0075791A" w14:paraId="6158DBCE" w14:textId="77777777">
        <w:trPr>
          <w:trHeight w:val="283"/>
          <w:jc w:val="center"/>
        </w:trPr>
        <w:tc>
          <w:tcPr>
            <w:tcW w:w="1249" w:type="pct"/>
            <w:tcBorders>
              <w:top w:val="single" w:sz="4" w:space="0" w:color="000000"/>
              <w:left w:val="single" w:sz="4" w:space="0" w:color="000000"/>
              <w:bottom w:val="single" w:sz="4" w:space="0" w:color="000000"/>
              <w:right w:val="single" w:sz="4" w:space="0" w:color="000000"/>
            </w:tcBorders>
            <w:noWrap/>
            <w:vAlign w:val="center"/>
          </w:tcPr>
          <w:p w14:paraId="4B39F92F"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S3</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0A196B2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0.43</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0C3059F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0.60</w:t>
            </w:r>
          </w:p>
        </w:tc>
        <w:tc>
          <w:tcPr>
            <w:tcW w:w="1251" w:type="pct"/>
            <w:tcBorders>
              <w:top w:val="single" w:sz="4" w:space="0" w:color="000000"/>
              <w:left w:val="single" w:sz="4" w:space="0" w:color="000000"/>
              <w:bottom w:val="single" w:sz="4" w:space="0" w:color="000000"/>
              <w:right w:val="single" w:sz="4" w:space="0" w:color="000000"/>
            </w:tcBorders>
            <w:noWrap/>
            <w:vAlign w:val="center"/>
          </w:tcPr>
          <w:p w14:paraId="35F70A7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1.55</w:t>
            </w:r>
          </w:p>
        </w:tc>
      </w:tr>
      <w:tr w:rsidR="0075791A" w14:paraId="27AA3617" w14:textId="77777777">
        <w:trPr>
          <w:trHeight w:val="283"/>
          <w:jc w:val="center"/>
        </w:trPr>
        <w:tc>
          <w:tcPr>
            <w:tcW w:w="1249" w:type="pct"/>
            <w:tcBorders>
              <w:top w:val="single" w:sz="4" w:space="0" w:color="000000"/>
              <w:left w:val="single" w:sz="4" w:space="0" w:color="000000"/>
              <w:bottom w:val="single" w:sz="4" w:space="0" w:color="000000"/>
              <w:right w:val="single" w:sz="4" w:space="0" w:color="000000"/>
            </w:tcBorders>
            <w:noWrap/>
            <w:vAlign w:val="center"/>
          </w:tcPr>
          <w:p w14:paraId="28F55B9C"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S4</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67C8271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0.62</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049193A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0.88</w:t>
            </w:r>
          </w:p>
        </w:tc>
        <w:tc>
          <w:tcPr>
            <w:tcW w:w="1251" w:type="pct"/>
            <w:tcBorders>
              <w:top w:val="single" w:sz="4" w:space="0" w:color="000000"/>
              <w:left w:val="single" w:sz="4" w:space="0" w:color="000000"/>
              <w:bottom w:val="single" w:sz="4" w:space="0" w:color="000000"/>
              <w:right w:val="single" w:sz="4" w:space="0" w:color="000000"/>
            </w:tcBorders>
            <w:noWrap/>
            <w:vAlign w:val="center"/>
          </w:tcPr>
          <w:p w14:paraId="5FD91FE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2.63</w:t>
            </w:r>
          </w:p>
        </w:tc>
      </w:tr>
      <w:tr w:rsidR="0075791A" w14:paraId="6E08426C" w14:textId="77777777">
        <w:trPr>
          <w:trHeight w:val="283"/>
          <w:jc w:val="center"/>
        </w:trPr>
        <w:tc>
          <w:tcPr>
            <w:tcW w:w="1249" w:type="pct"/>
            <w:tcBorders>
              <w:top w:val="single" w:sz="4" w:space="0" w:color="000000"/>
              <w:left w:val="single" w:sz="4" w:space="0" w:color="000000"/>
              <w:bottom w:val="single" w:sz="4" w:space="0" w:color="000000"/>
              <w:right w:val="single" w:sz="4" w:space="0" w:color="000000"/>
            </w:tcBorders>
            <w:noWrap/>
            <w:vAlign w:val="center"/>
          </w:tcPr>
          <w:p w14:paraId="47E9E147"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S5</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7274413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0.54</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70F71F2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0.43</w:t>
            </w:r>
          </w:p>
        </w:tc>
        <w:tc>
          <w:tcPr>
            <w:tcW w:w="1251" w:type="pct"/>
            <w:tcBorders>
              <w:top w:val="single" w:sz="4" w:space="0" w:color="000000"/>
              <w:left w:val="single" w:sz="4" w:space="0" w:color="000000"/>
              <w:bottom w:val="single" w:sz="4" w:space="0" w:color="000000"/>
              <w:right w:val="single" w:sz="4" w:space="0" w:color="000000"/>
            </w:tcBorders>
            <w:noWrap/>
            <w:vAlign w:val="center"/>
          </w:tcPr>
          <w:p w14:paraId="5372969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1.29</w:t>
            </w:r>
          </w:p>
        </w:tc>
      </w:tr>
      <w:tr w:rsidR="0075791A" w14:paraId="2005CD24" w14:textId="77777777">
        <w:trPr>
          <w:trHeight w:val="283"/>
          <w:jc w:val="center"/>
        </w:trPr>
        <w:tc>
          <w:tcPr>
            <w:tcW w:w="1249" w:type="pct"/>
            <w:tcBorders>
              <w:top w:val="single" w:sz="4" w:space="0" w:color="000000"/>
              <w:left w:val="single" w:sz="4" w:space="0" w:color="000000"/>
              <w:bottom w:val="single" w:sz="4" w:space="0" w:color="000000"/>
              <w:right w:val="single" w:sz="4" w:space="0" w:color="000000"/>
            </w:tcBorders>
            <w:noWrap/>
            <w:vAlign w:val="center"/>
          </w:tcPr>
          <w:p w14:paraId="4DE91714"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S6</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02273F33"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0.37</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36B02E5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0.52</w:t>
            </w:r>
          </w:p>
        </w:tc>
        <w:tc>
          <w:tcPr>
            <w:tcW w:w="1251" w:type="pct"/>
            <w:tcBorders>
              <w:top w:val="single" w:sz="4" w:space="0" w:color="000000"/>
              <w:left w:val="single" w:sz="4" w:space="0" w:color="000000"/>
              <w:bottom w:val="single" w:sz="4" w:space="0" w:color="000000"/>
              <w:right w:val="single" w:sz="4" w:space="0" w:color="000000"/>
            </w:tcBorders>
            <w:noWrap/>
            <w:vAlign w:val="center"/>
          </w:tcPr>
          <w:p w14:paraId="1FEE9CE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1.33</w:t>
            </w:r>
          </w:p>
        </w:tc>
      </w:tr>
      <w:tr w:rsidR="0075791A" w14:paraId="276367D6" w14:textId="77777777">
        <w:trPr>
          <w:trHeight w:val="283"/>
          <w:jc w:val="center"/>
        </w:trPr>
        <w:tc>
          <w:tcPr>
            <w:tcW w:w="1249" w:type="pct"/>
            <w:tcBorders>
              <w:top w:val="single" w:sz="4" w:space="0" w:color="000000"/>
              <w:left w:val="single" w:sz="4" w:space="0" w:color="000000"/>
              <w:bottom w:val="single" w:sz="4" w:space="0" w:color="000000"/>
              <w:right w:val="single" w:sz="4" w:space="0" w:color="000000"/>
            </w:tcBorders>
            <w:noWrap/>
            <w:vAlign w:val="center"/>
          </w:tcPr>
          <w:p w14:paraId="199BB0A7"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S7</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04D4B09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0.73</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6E8753F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0.76</w:t>
            </w:r>
          </w:p>
        </w:tc>
        <w:tc>
          <w:tcPr>
            <w:tcW w:w="1251" w:type="pct"/>
            <w:tcBorders>
              <w:top w:val="single" w:sz="4" w:space="0" w:color="000000"/>
              <w:left w:val="single" w:sz="4" w:space="0" w:color="000000"/>
              <w:bottom w:val="single" w:sz="4" w:space="0" w:color="000000"/>
              <w:right w:val="single" w:sz="4" w:space="0" w:color="000000"/>
            </w:tcBorders>
            <w:noWrap/>
            <w:vAlign w:val="center"/>
          </w:tcPr>
          <w:p w14:paraId="58AE078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2.64</w:t>
            </w:r>
          </w:p>
        </w:tc>
      </w:tr>
      <w:tr w:rsidR="0075791A" w14:paraId="00D17338" w14:textId="77777777">
        <w:trPr>
          <w:trHeight w:val="283"/>
          <w:jc w:val="center"/>
        </w:trPr>
        <w:tc>
          <w:tcPr>
            <w:tcW w:w="1249" w:type="pct"/>
            <w:tcBorders>
              <w:top w:val="single" w:sz="4" w:space="0" w:color="000000"/>
              <w:left w:val="single" w:sz="4" w:space="0" w:color="000000"/>
              <w:bottom w:val="single" w:sz="4" w:space="0" w:color="000000"/>
              <w:right w:val="single" w:sz="4" w:space="0" w:color="000000"/>
            </w:tcBorders>
            <w:noWrap/>
            <w:vAlign w:val="center"/>
          </w:tcPr>
          <w:p w14:paraId="2B935383"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S8</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4DF7891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0.41</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2C53935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0.72</w:t>
            </w:r>
          </w:p>
        </w:tc>
        <w:tc>
          <w:tcPr>
            <w:tcW w:w="1251" w:type="pct"/>
            <w:tcBorders>
              <w:top w:val="single" w:sz="4" w:space="0" w:color="000000"/>
              <w:left w:val="single" w:sz="4" w:space="0" w:color="000000"/>
              <w:bottom w:val="single" w:sz="4" w:space="0" w:color="000000"/>
              <w:right w:val="single" w:sz="4" w:space="0" w:color="000000"/>
            </w:tcBorders>
            <w:noWrap/>
            <w:vAlign w:val="center"/>
          </w:tcPr>
          <w:p w14:paraId="1D487C33"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1.87</w:t>
            </w:r>
          </w:p>
        </w:tc>
      </w:tr>
      <w:tr w:rsidR="0075791A" w14:paraId="5DC70719" w14:textId="77777777">
        <w:trPr>
          <w:trHeight w:val="283"/>
          <w:jc w:val="center"/>
        </w:trPr>
        <w:tc>
          <w:tcPr>
            <w:tcW w:w="1249" w:type="pct"/>
            <w:tcBorders>
              <w:top w:val="single" w:sz="4" w:space="0" w:color="000000"/>
              <w:left w:val="single" w:sz="4" w:space="0" w:color="000000"/>
              <w:bottom w:val="single" w:sz="4" w:space="0" w:color="000000"/>
              <w:right w:val="single" w:sz="4" w:space="0" w:color="000000"/>
            </w:tcBorders>
            <w:noWrap/>
            <w:vAlign w:val="center"/>
          </w:tcPr>
          <w:p w14:paraId="7E3DD1C7"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S9</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24A5C67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0.23</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06BB9C53"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0.75</w:t>
            </w:r>
          </w:p>
        </w:tc>
        <w:tc>
          <w:tcPr>
            <w:tcW w:w="1251" w:type="pct"/>
            <w:tcBorders>
              <w:top w:val="single" w:sz="4" w:space="0" w:color="000000"/>
              <w:left w:val="single" w:sz="4" w:space="0" w:color="000000"/>
              <w:bottom w:val="single" w:sz="4" w:space="0" w:color="000000"/>
              <w:right w:val="single" w:sz="4" w:space="0" w:color="000000"/>
            </w:tcBorders>
            <w:noWrap/>
            <w:vAlign w:val="center"/>
          </w:tcPr>
          <w:p w14:paraId="6668CE8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1.49</w:t>
            </w:r>
          </w:p>
        </w:tc>
      </w:tr>
      <w:tr w:rsidR="0075791A" w14:paraId="492FDCA7" w14:textId="77777777">
        <w:trPr>
          <w:trHeight w:val="283"/>
          <w:jc w:val="center"/>
        </w:trPr>
        <w:tc>
          <w:tcPr>
            <w:tcW w:w="1249" w:type="pct"/>
            <w:tcBorders>
              <w:top w:val="single" w:sz="4" w:space="0" w:color="000000"/>
              <w:left w:val="single" w:sz="4" w:space="0" w:color="000000"/>
              <w:bottom w:val="single" w:sz="4" w:space="0" w:color="000000"/>
              <w:right w:val="single" w:sz="4" w:space="0" w:color="000000"/>
            </w:tcBorders>
            <w:noWrap/>
            <w:vAlign w:val="center"/>
          </w:tcPr>
          <w:p w14:paraId="37683AED"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S10</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34A95EB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0.35</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60A2F99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0.81</w:t>
            </w:r>
          </w:p>
        </w:tc>
        <w:tc>
          <w:tcPr>
            <w:tcW w:w="1251" w:type="pct"/>
            <w:tcBorders>
              <w:top w:val="single" w:sz="4" w:space="0" w:color="000000"/>
              <w:left w:val="single" w:sz="4" w:space="0" w:color="000000"/>
              <w:bottom w:val="single" w:sz="4" w:space="0" w:color="000000"/>
              <w:right w:val="single" w:sz="4" w:space="0" w:color="000000"/>
            </w:tcBorders>
            <w:noWrap/>
            <w:vAlign w:val="center"/>
          </w:tcPr>
          <w:p w14:paraId="674E7D7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1.88</w:t>
            </w:r>
          </w:p>
        </w:tc>
      </w:tr>
      <w:tr w:rsidR="0075791A" w14:paraId="1A0634DD" w14:textId="77777777">
        <w:trPr>
          <w:trHeight w:val="283"/>
          <w:jc w:val="center"/>
        </w:trPr>
        <w:tc>
          <w:tcPr>
            <w:tcW w:w="1249" w:type="pct"/>
            <w:tcBorders>
              <w:top w:val="single" w:sz="4" w:space="0" w:color="000000"/>
              <w:left w:val="single" w:sz="4" w:space="0" w:color="000000"/>
              <w:bottom w:val="single" w:sz="4" w:space="0" w:color="000000"/>
              <w:right w:val="single" w:sz="4" w:space="0" w:color="000000"/>
            </w:tcBorders>
            <w:noWrap/>
            <w:vAlign w:val="center"/>
          </w:tcPr>
          <w:p w14:paraId="4C30C2C4"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S11</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05ACB9B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0.42</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4E5D532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0.93</w:t>
            </w:r>
          </w:p>
        </w:tc>
        <w:tc>
          <w:tcPr>
            <w:tcW w:w="1251" w:type="pct"/>
            <w:tcBorders>
              <w:top w:val="single" w:sz="4" w:space="0" w:color="000000"/>
              <w:left w:val="single" w:sz="4" w:space="0" w:color="000000"/>
              <w:bottom w:val="single" w:sz="4" w:space="0" w:color="000000"/>
              <w:right w:val="single" w:sz="4" w:space="0" w:color="000000"/>
            </w:tcBorders>
            <w:noWrap/>
            <w:vAlign w:val="center"/>
          </w:tcPr>
          <w:p w14:paraId="6D4C0FC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2.41</w:t>
            </w:r>
          </w:p>
        </w:tc>
      </w:tr>
      <w:tr w:rsidR="0075791A" w14:paraId="497861B8" w14:textId="77777777">
        <w:trPr>
          <w:trHeight w:val="283"/>
          <w:jc w:val="center"/>
        </w:trPr>
        <w:tc>
          <w:tcPr>
            <w:tcW w:w="1249" w:type="pct"/>
            <w:tcBorders>
              <w:top w:val="single" w:sz="4" w:space="0" w:color="000000"/>
              <w:left w:val="single" w:sz="4" w:space="0" w:color="000000"/>
              <w:bottom w:val="single" w:sz="4" w:space="0" w:color="000000"/>
              <w:right w:val="single" w:sz="4" w:space="0" w:color="000000"/>
            </w:tcBorders>
            <w:noWrap/>
            <w:vAlign w:val="center"/>
          </w:tcPr>
          <w:p w14:paraId="7B26C797"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S12</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19C3ECB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0.71</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0C5DABF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0.70</w:t>
            </w:r>
          </w:p>
        </w:tc>
        <w:tc>
          <w:tcPr>
            <w:tcW w:w="1251" w:type="pct"/>
            <w:tcBorders>
              <w:top w:val="single" w:sz="4" w:space="0" w:color="000000"/>
              <w:left w:val="single" w:sz="4" w:space="0" w:color="000000"/>
              <w:bottom w:val="single" w:sz="4" w:space="0" w:color="000000"/>
              <w:right w:val="single" w:sz="4" w:space="0" w:color="000000"/>
            </w:tcBorders>
            <w:noWrap/>
            <w:vAlign w:val="center"/>
          </w:tcPr>
          <w:p w14:paraId="009AB0A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2.42</w:t>
            </w:r>
          </w:p>
        </w:tc>
      </w:tr>
      <w:tr w:rsidR="0075791A" w14:paraId="2785E510" w14:textId="77777777">
        <w:trPr>
          <w:trHeight w:val="283"/>
          <w:jc w:val="center"/>
        </w:trPr>
        <w:tc>
          <w:tcPr>
            <w:tcW w:w="1249" w:type="pct"/>
            <w:tcBorders>
              <w:top w:val="single" w:sz="4" w:space="0" w:color="000000"/>
              <w:left w:val="single" w:sz="4" w:space="0" w:color="000000"/>
              <w:bottom w:val="single" w:sz="4" w:space="0" w:color="000000"/>
              <w:right w:val="single" w:sz="4" w:space="0" w:color="000000"/>
            </w:tcBorders>
            <w:noWrap/>
            <w:vAlign w:val="center"/>
          </w:tcPr>
          <w:p w14:paraId="2A49A245" w14:textId="77777777" w:rsidR="0075791A" w:rsidRDefault="00FB2864">
            <w:pPr>
              <w:kinsoku/>
              <w:autoSpaceDE/>
              <w:autoSpaceDN/>
              <w:adjustRightInd/>
              <w:snapToGrid/>
              <w:jc w:val="center"/>
              <w:textAlignment w:val="bottom"/>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平均</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65E2E883"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0.49</w:t>
            </w:r>
          </w:p>
        </w:tc>
        <w:tc>
          <w:tcPr>
            <w:tcW w:w="1249" w:type="pct"/>
            <w:tcBorders>
              <w:top w:val="single" w:sz="4" w:space="0" w:color="000000"/>
              <w:left w:val="single" w:sz="4" w:space="0" w:color="000000"/>
              <w:bottom w:val="single" w:sz="4" w:space="0" w:color="000000"/>
              <w:right w:val="single" w:sz="4" w:space="0" w:color="000000"/>
            </w:tcBorders>
            <w:noWrap/>
            <w:vAlign w:val="center"/>
          </w:tcPr>
          <w:p w14:paraId="4CFED35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0.75</w:t>
            </w:r>
          </w:p>
        </w:tc>
        <w:tc>
          <w:tcPr>
            <w:tcW w:w="1251" w:type="pct"/>
            <w:tcBorders>
              <w:top w:val="single" w:sz="4" w:space="0" w:color="000000"/>
              <w:left w:val="single" w:sz="4" w:space="0" w:color="000000"/>
              <w:bottom w:val="single" w:sz="4" w:space="0" w:color="000000"/>
              <w:right w:val="single" w:sz="4" w:space="0" w:color="000000"/>
            </w:tcBorders>
            <w:noWrap/>
            <w:vAlign w:val="center"/>
          </w:tcPr>
          <w:p w14:paraId="66FD893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Times New Roman"/>
                <w:snapToGrid/>
                <w:color w:val="auto"/>
                <w:lang w:eastAsia="zh-CN" w:bidi="ar"/>
              </w:rPr>
              <w:t>2.05</w:t>
            </w:r>
          </w:p>
        </w:tc>
      </w:tr>
    </w:tbl>
    <w:p w14:paraId="56B167BC"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83" w:name="_Toc1558"/>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5</w:t>
      </w: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b/>
          <w:bCs/>
          <w:snapToGrid/>
          <w:color w:val="auto"/>
          <w:kern w:val="2"/>
          <w:sz w:val="24"/>
          <w:szCs w:val="24"/>
          <w:lang w:eastAsia="zh-CN"/>
        </w:rPr>
        <w:t>现状评价</w:t>
      </w:r>
      <w:bookmarkEnd w:id="183"/>
    </w:p>
    <w:p w14:paraId="6EE577BA"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调查区域</w:t>
      </w:r>
      <w:r>
        <w:rPr>
          <w:rFonts w:ascii="Times New Roman" w:eastAsia="宋体" w:hAnsi="Times New Roman" w:cs="Times New Roman"/>
          <w:snapToGrid/>
          <w:color w:val="auto"/>
          <w:kern w:val="2"/>
          <w:sz w:val="24"/>
          <w:szCs w:val="24"/>
          <w:lang w:eastAsia="zh-CN"/>
        </w:rPr>
        <w:t>浮游</w:t>
      </w:r>
      <w:r>
        <w:rPr>
          <w:rFonts w:ascii="Times New Roman" w:eastAsia="宋体" w:hAnsi="Times New Roman" w:cs="Times New Roman" w:hint="eastAsia"/>
          <w:snapToGrid/>
          <w:color w:val="auto"/>
          <w:kern w:val="2"/>
          <w:sz w:val="24"/>
          <w:szCs w:val="24"/>
          <w:lang w:eastAsia="zh-CN"/>
        </w:rPr>
        <w:t>动</w:t>
      </w:r>
      <w:r>
        <w:rPr>
          <w:rFonts w:ascii="Times New Roman" w:eastAsia="宋体" w:hAnsi="Times New Roman" w:cs="Times New Roman"/>
          <w:snapToGrid/>
          <w:color w:val="auto"/>
          <w:kern w:val="2"/>
          <w:sz w:val="24"/>
          <w:szCs w:val="24"/>
          <w:lang w:eastAsia="zh-CN"/>
        </w:rPr>
        <w:t>物生物多样性指数</w:t>
      </w:r>
      <w:r>
        <w:rPr>
          <w:rFonts w:ascii="Times New Roman" w:eastAsia="宋体" w:hAnsi="Times New Roman" w:cs="Times New Roman" w:hint="eastAsia"/>
          <w:snapToGrid/>
          <w:color w:val="auto"/>
          <w:kern w:val="2"/>
          <w:sz w:val="24"/>
          <w:szCs w:val="24"/>
          <w:lang w:eastAsia="zh-CN"/>
        </w:rPr>
        <w:t>范围为</w:t>
      </w:r>
      <w:r>
        <w:rPr>
          <w:rFonts w:ascii="Times New Roman" w:eastAsia="宋体" w:hAnsi="Times New Roman" w:cs="Times New Roman" w:hint="eastAsia"/>
          <w:snapToGrid/>
          <w:color w:val="auto"/>
          <w:kern w:val="2"/>
          <w:sz w:val="24"/>
          <w:szCs w:val="24"/>
          <w:lang w:eastAsia="zh-CN"/>
        </w:rPr>
        <w:t>1.29~</w:t>
      </w:r>
      <w:r>
        <w:rPr>
          <w:rFonts w:ascii="Times New Roman" w:eastAsia="宋体" w:hAnsi="Times New Roman" w:cs="Times New Roman"/>
          <w:snapToGrid/>
          <w:color w:val="auto"/>
          <w:kern w:val="2"/>
          <w:sz w:val="24"/>
          <w:szCs w:val="24"/>
          <w:lang w:eastAsia="zh-CN"/>
        </w:rPr>
        <w:t>2.64</w:t>
      </w:r>
      <w:r>
        <w:rPr>
          <w:rFonts w:ascii="Times New Roman" w:eastAsia="宋体" w:hAnsi="Times New Roman" w:cs="Times New Roman"/>
          <w:snapToGrid/>
          <w:color w:val="auto"/>
          <w:kern w:val="2"/>
          <w:sz w:val="24"/>
          <w:szCs w:val="24"/>
          <w:lang w:eastAsia="zh-CN"/>
        </w:rPr>
        <w:t>，水生态状况</w:t>
      </w:r>
      <w:r>
        <w:rPr>
          <w:rFonts w:ascii="Times New Roman" w:eastAsia="宋体" w:hAnsi="Times New Roman" w:cs="Times New Roman" w:hint="eastAsia"/>
          <w:snapToGrid/>
          <w:color w:val="auto"/>
          <w:kern w:val="2"/>
          <w:sz w:val="24"/>
          <w:szCs w:val="24"/>
          <w:lang w:eastAsia="zh-CN"/>
        </w:rPr>
        <w:t>表现为轻污染</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0-1</w:t>
      </w:r>
      <w:r>
        <w:rPr>
          <w:rFonts w:ascii="Times New Roman" w:eastAsia="宋体" w:hAnsi="Times New Roman" w:cs="Times New Roman"/>
          <w:snapToGrid/>
          <w:color w:val="auto"/>
          <w:kern w:val="2"/>
          <w:sz w:val="24"/>
          <w:szCs w:val="24"/>
          <w:lang w:eastAsia="zh-CN"/>
        </w:rPr>
        <w:t>重污染，</w:t>
      </w:r>
      <w:r>
        <w:rPr>
          <w:rFonts w:ascii="Times New Roman" w:eastAsia="宋体" w:hAnsi="Times New Roman" w:cs="Times New Roman"/>
          <w:snapToGrid/>
          <w:color w:val="auto"/>
          <w:kern w:val="2"/>
          <w:sz w:val="24"/>
          <w:szCs w:val="24"/>
          <w:lang w:eastAsia="zh-CN"/>
        </w:rPr>
        <w:t>1-2</w:t>
      </w:r>
      <w:r>
        <w:rPr>
          <w:rFonts w:ascii="Times New Roman" w:eastAsia="宋体" w:hAnsi="Times New Roman" w:cs="Times New Roman"/>
          <w:snapToGrid/>
          <w:color w:val="auto"/>
          <w:kern w:val="2"/>
          <w:sz w:val="24"/>
          <w:szCs w:val="24"/>
          <w:lang w:eastAsia="zh-CN"/>
        </w:rPr>
        <w:t>中污染，</w:t>
      </w:r>
      <w:r>
        <w:rPr>
          <w:rFonts w:ascii="Times New Roman" w:eastAsia="宋体" w:hAnsi="Times New Roman" w:cs="Times New Roman"/>
          <w:snapToGrid/>
          <w:color w:val="auto"/>
          <w:kern w:val="2"/>
          <w:sz w:val="24"/>
          <w:szCs w:val="24"/>
          <w:lang w:eastAsia="zh-CN"/>
        </w:rPr>
        <w:t>2-3</w:t>
      </w:r>
      <w:r>
        <w:rPr>
          <w:rFonts w:ascii="Times New Roman" w:eastAsia="宋体" w:hAnsi="Times New Roman" w:cs="Times New Roman"/>
          <w:snapToGrid/>
          <w:color w:val="auto"/>
          <w:kern w:val="2"/>
          <w:sz w:val="24"/>
          <w:szCs w:val="24"/>
          <w:lang w:eastAsia="zh-CN"/>
        </w:rPr>
        <w:t>轻污染，</w:t>
      </w:r>
      <w:r>
        <w:rPr>
          <w:rFonts w:ascii="Times New Roman" w:eastAsia="宋体" w:hAnsi="Times New Roman" w:cs="Times New Roman"/>
          <w:snapToGrid/>
          <w:color w:val="auto"/>
          <w:kern w:val="2"/>
          <w:sz w:val="24"/>
          <w:szCs w:val="24"/>
          <w:lang w:eastAsia="zh-CN"/>
        </w:rPr>
        <w:t>&gt;3</w:t>
      </w:r>
      <w:r>
        <w:rPr>
          <w:rFonts w:ascii="Times New Roman" w:eastAsia="宋体" w:hAnsi="Times New Roman" w:cs="Times New Roman"/>
          <w:snapToGrid/>
          <w:color w:val="auto"/>
          <w:kern w:val="2"/>
          <w:sz w:val="24"/>
          <w:szCs w:val="24"/>
          <w:lang w:eastAsia="zh-CN"/>
        </w:rPr>
        <w:t>清洁）</w:t>
      </w:r>
      <w:r>
        <w:rPr>
          <w:rFonts w:ascii="Times New Roman" w:eastAsia="宋体" w:hAnsi="Times New Roman" w:cs="Times New Roman" w:hint="eastAsia"/>
          <w:snapToGrid/>
          <w:color w:val="auto"/>
          <w:kern w:val="2"/>
          <w:sz w:val="24"/>
          <w:szCs w:val="24"/>
          <w:lang w:eastAsia="zh-CN"/>
        </w:rPr>
        <w:t>的站位有</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个，占总站数的</w:t>
      </w:r>
      <w:r>
        <w:rPr>
          <w:rFonts w:ascii="Times New Roman" w:eastAsia="宋体" w:hAnsi="Times New Roman" w:cs="Times New Roman" w:hint="eastAsia"/>
          <w:snapToGrid/>
          <w:color w:val="auto"/>
          <w:kern w:val="2"/>
          <w:sz w:val="24"/>
          <w:szCs w:val="24"/>
          <w:lang w:eastAsia="zh-CN"/>
        </w:rPr>
        <w:t>50%</w:t>
      </w:r>
      <w:r>
        <w:rPr>
          <w:rFonts w:ascii="Times New Roman" w:eastAsia="宋体" w:hAnsi="Times New Roman" w:cs="Times New Roman" w:hint="eastAsia"/>
          <w:snapToGrid/>
          <w:color w:val="auto"/>
          <w:kern w:val="2"/>
          <w:sz w:val="24"/>
          <w:szCs w:val="24"/>
          <w:lang w:eastAsia="zh-CN"/>
        </w:rPr>
        <w:t>，表现为中污染的站位有</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个，占总站位数的</w:t>
      </w:r>
      <w:r>
        <w:rPr>
          <w:rFonts w:ascii="Times New Roman" w:eastAsia="宋体" w:hAnsi="Times New Roman" w:cs="Times New Roman" w:hint="eastAsia"/>
          <w:snapToGrid/>
          <w:color w:val="auto"/>
          <w:kern w:val="2"/>
          <w:sz w:val="24"/>
          <w:szCs w:val="24"/>
          <w:lang w:eastAsia="zh-CN"/>
        </w:rPr>
        <w:t>50%</w:t>
      </w:r>
      <w:r>
        <w:rPr>
          <w:rFonts w:ascii="Times New Roman" w:eastAsia="宋体" w:hAnsi="Times New Roman" w:cs="Times New Roman"/>
          <w:snapToGrid/>
          <w:color w:val="auto"/>
          <w:kern w:val="2"/>
          <w:sz w:val="24"/>
          <w:szCs w:val="24"/>
          <w:lang w:eastAsia="zh-CN"/>
        </w:rPr>
        <w:t>；生物均匀性指数</w:t>
      </w:r>
      <w:r>
        <w:rPr>
          <w:rFonts w:ascii="Times New Roman" w:eastAsia="宋体" w:hAnsi="Times New Roman" w:cs="Times New Roman" w:hint="eastAsia"/>
          <w:snapToGrid/>
          <w:color w:val="auto"/>
          <w:kern w:val="2"/>
          <w:sz w:val="24"/>
          <w:szCs w:val="24"/>
          <w:lang w:eastAsia="zh-CN"/>
        </w:rPr>
        <w:t>范围为</w:t>
      </w:r>
      <w:r>
        <w:rPr>
          <w:rFonts w:ascii="Times New Roman" w:eastAsia="宋体" w:hAnsi="Times New Roman" w:cs="Times New Roman" w:hint="eastAsia"/>
          <w:snapToGrid/>
          <w:color w:val="auto"/>
          <w:kern w:val="2"/>
          <w:sz w:val="24"/>
          <w:szCs w:val="24"/>
          <w:lang w:eastAsia="zh-CN"/>
        </w:rPr>
        <w:t>0.43~0.97</w:t>
      </w:r>
      <w:r>
        <w:rPr>
          <w:rFonts w:ascii="Times New Roman" w:eastAsia="宋体" w:hAnsi="Times New Roman" w:cs="Times New Roman"/>
          <w:snapToGrid/>
          <w:color w:val="auto"/>
          <w:kern w:val="2"/>
          <w:sz w:val="24"/>
          <w:szCs w:val="24"/>
          <w:lang w:eastAsia="zh-CN"/>
        </w:rPr>
        <w:t>，水生态状况</w:t>
      </w:r>
      <w:r>
        <w:rPr>
          <w:rFonts w:ascii="Times New Roman" w:eastAsia="宋体" w:hAnsi="Times New Roman" w:cs="Times New Roman" w:hint="eastAsia"/>
          <w:snapToGrid/>
          <w:color w:val="auto"/>
          <w:kern w:val="2"/>
          <w:sz w:val="24"/>
          <w:szCs w:val="24"/>
          <w:lang w:eastAsia="zh-CN"/>
        </w:rPr>
        <w:t>表现为清洁</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8-1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0</w:t>
      </w:r>
      <w:r>
        <w:rPr>
          <w:rFonts w:ascii="Times New Roman" w:eastAsia="宋体" w:hAnsi="Times New Roman" w:cs="Times New Roman"/>
          <w:snapToGrid/>
          <w:color w:val="auto"/>
          <w:kern w:val="2"/>
          <w:sz w:val="24"/>
          <w:szCs w:val="24"/>
          <w:lang w:eastAsia="zh-CN"/>
        </w:rPr>
        <w:t>清洁，</w:t>
      </w:r>
      <w:r>
        <w:rPr>
          <w:rFonts w:ascii="Times New Roman" w:eastAsia="宋体" w:hAnsi="Times New Roman" w:cs="Times New Roman"/>
          <w:snapToGrid/>
          <w:color w:val="auto"/>
          <w:kern w:val="2"/>
          <w:sz w:val="24"/>
          <w:szCs w:val="24"/>
          <w:lang w:eastAsia="zh-CN"/>
        </w:rPr>
        <w:t>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5-0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8</w:t>
      </w:r>
      <w:r>
        <w:rPr>
          <w:rFonts w:ascii="Times New Roman" w:eastAsia="宋体" w:hAnsi="Times New Roman" w:cs="Times New Roman"/>
          <w:snapToGrid/>
          <w:color w:val="auto"/>
          <w:kern w:val="2"/>
          <w:sz w:val="24"/>
          <w:szCs w:val="24"/>
          <w:lang w:eastAsia="zh-CN"/>
        </w:rPr>
        <w:t>轻污染，</w:t>
      </w:r>
      <w:r>
        <w:rPr>
          <w:rFonts w:ascii="Times New Roman" w:eastAsia="宋体" w:hAnsi="Times New Roman" w:cs="Times New Roman"/>
          <w:snapToGrid/>
          <w:color w:val="auto"/>
          <w:kern w:val="2"/>
          <w:sz w:val="24"/>
          <w:szCs w:val="24"/>
          <w:lang w:eastAsia="zh-CN"/>
        </w:rPr>
        <w:t>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3-0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5</w:t>
      </w:r>
      <w:r>
        <w:rPr>
          <w:rFonts w:ascii="Times New Roman" w:eastAsia="宋体" w:hAnsi="Times New Roman" w:cs="Times New Roman"/>
          <w:snapToGrid/>
          <w:color w:val="auto"/>
          <w:kern w:val="2"/>
          <w:sz w:val="24"/>
          <w:szCs w:val="24"/>
          <w:lang w:eastAsia="zh-CN"/>
        </w:rPr>
        <w:t>中污染，</w:t>
      </w:r>
      <w:r>
        <w:rPr>
          <w:rFonts w:ascii="Times New Roman" w:eastAsia="宋体" w:hAnsi="Times New Roman" w:cs="Times New Roman"/>
          <w:snapToGrid/>
          <w:color w:val="auto"/>
          <w:kern w:val="2"/>
          <w:sz w:val="24"/>
          <w:szCs w:val="24"/>
          <w:lang w:eastAsia="zh-CN"/>
        </w:rPr>
        <w:t>0-0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3</w:t>
      </w:r>
      <w:r>
        <w:rPr>
          <w:rFonts w:ascii="Times New Roman" w:eastAsia="宋体" w:hAnsi="Times New Roman" w:cs="Times New Roman"/>
          <w:snapToGrid/>
          <w:color w:val="auto"/>
          <w:kern w:val="2"/>
          <w:sz w:val="24"/>
          <w:szCs w:val="24"/>
          <w:lang w:eastAsia="zh-CN"/>
        </w:rPr>
        <w:t>重污染）</w:t>
      </w:r>
      <w:r>
        <w:rPr>
          <w:rFonts w:ascii="Times New Roman" w:eastAsia="宋体" w:hAnsi="Times New Roman" w:cs="Times New Roman" w:hint="eastAsia"/>
          <w:snapToGrid/>
          <w:color w:val="auto"/>
          <w:kern w:val="2"/>
          <w:sz w:val="24"/>
          <w:szCs w:val="24"/>
          <w:lang w:eastAsia="zh-CN"/>
        </w:rPr>
        <w:t>的站位有</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个，占总站位数的</w:t>
      </w:r>
      <w:r>
        <w:rPr>
          <w:rFonts w:ascii="Times New Roman" w:eastAsia="宋体" w:hAnsi="Times New Roman" w:cs="Times New Roman" w:hint="eastAsia"/>
          <w:snapToGrid/>
          <w:color w:val="auto"/>
          <w:kern w:val="2"/>
          <w:sz w:val="24"/>
          <w:szCs w:val="24"/>
          <w:lang w:eastAsia="zh-CN"/>
        </w:rPr>
        <w:t>41.67%</w:t>
      </w:r>
      <w:r>
        <w:rPr>
          <w:rFonts w:ascii="Times New Roman" w:eastAsia="宋体" w:hAnsi="Times New Roman" w:cs="Times New Roman" w:hint="eastAsia"/>
          <w:snapToGrid/>
          <w:color w:val="auto"/>
          <w:kern w:val="2"/>
          <w:sz w:val="24"/>
          <w:szCs w:val="24"/>
          <w:lang w:eastAsia="zh-CN"/>
        </w:rPr>
        <w:t>，表现为轻污染的站位有</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个，占总站位数的</w:t>
      </w:r>
      <w:r>
        <w:rPr>
          <w:rFonts w:ascii="Times New Roman" w:eastAsia="宋体" w:hAnsi="Times New Roman" w:cs="Times New Roman" w:hint="eastAsia"/>
          <w:snapToGrid/>
          <w:color w:val="auto"/>
          <w:kern w:val="2"/>
          <w:sz w:val="24"/>
          <w:szCs w:val="24"/>
          <w:lang w:eastAsia="zh-CN"/>
        </w:rPr>
        <w:t>50%</w:t>
      </w:r>
      <w:r>
        <w:rPr>
          <w:rFonts w:ascii="Times New Roman" w:eastAsia="宋体" w:hAnsi="Times New Roman" w:cs="Times New Roman" w:hint="eastAsia"/>
          <w:snapToGrid/>
          <w:color w:val="auto"/>
          <w:kern w:val="2"/>
          <w:sz w:val="24"/>
          <w:szCs w:val="24"/>
          <w:lang w:eastAsia="zh-CN"/>
        </w:rPr>
        <w:t>，表现为中污染的站位有</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个，占总站位数的</w:t>
      </w:r>
      <w:r>
        <w:rPr>
          <w:rFonts w:ascii="Times New Roman" w:eastAsia="宋体" w:hAnsi="Times New Roman" w:cs="Times New Roman" w:hint="eastAsia"/>
          <w:snapToGrid/>
          <w:color w:val="auto"/>
          <w:kern w:val="2"/>
          <w:sz w:val="24"/>
          <w:szCs w:val="24"/>
          <w:lang w:eastAsia="zh-CN"/>
        </w:rPr>
        <w:t>8.33%</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生物</w:t>
      </w:r>
      <w:r>
        <w:rPr>
          <w:rFonts w:ascii="Times New Roman" w:eastAsia="宋体" w:hAnsi="Times New Roman" w:cs="Times New Roman" w:hint="eastAsia"/>
          <w:snapToGrid/>
          <w:color w:val="auto"/>
          <w:kern w:val="2"/>
          <w:sz w:val="24"/>
          <w:szCs w:val="24"/>
          <w:lang w:eastAsia="zh-CN"/>
        </w:rPr>
        <w:t>丰富度</w:t>
      </w:r>
      <w:r>
        <w:rPr>
          <w:rFonts w:ascii="Times New Roman" w:eastAsia="宋体" w:hAnsi="Times New Roman" w:cs="Times New Roman"/>
          <w:snapToGrid/>
          <w:color w:val="auto"/>
          <w:kern w:val="2"/>
          <w:sz w:val="24"/>
          <w:szCs w:val="24"/>
          <w:lang w:eastAsia="zh-CN"/>
        </w:rPr>
        <w:t>指数</w:t>
      </w:r>
      <w:r>
        <w:rPr>
          <w:rFonts w:ascii="Times New Roman" w:eastAsia="宋体" w:hAnsi="Times New Roman" w:cs="Times New Roman" w:hint="eastAsia"/>
          <w:snapToGrid/>
          <w:color w:val="auto"/>
          <w:kern w:val="2"/>
          <w:sz w:val="24"/>
          <w:szCs w:val="24"/>
          <w:lang w:eastAsia="zh-CN"/>
        </w:rPr>
        <w:t>范围为</w:t>
      </w:r>
      <w:r>
        <w:rPr>
          <w:rFonts w:ascii="Times New Roman" w:eastAsia="宋体" w:hAnsi="Times New Roman" w:cs="Times New Roman" w:hint="eastAsia"/>
          <w:snapToGrid/>
          <w:color w:val="auto"/>
          <w:kern w:val="2"/>
          <w:sz w:val="24"/>
          <w:szCs w:val="24"/>
          <w:lang w:eastAsia="zh-CN"/>
        </w:rPr>
        <w:t>0.23~</w:t>
      </w:r>
      <w:r>
        <w:rPr>
          <w:rFonts w:ascii="Times New Roman" w:eastAsia="宋体" w:hAnsi="Times New Roman" w:cs="Times New Roman"/>
          <w:snapToGrid/>
          <w:color w:val="auto"/>
          <w:kern w:val="2"/>
          <w:sz w:val="24"/>
          <w:szCs w:val="24"/>
          <w:lang w:eastAsia="zh-CN"/>
        </w:rPr>
        <w:t>0.73</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水生态状况</w:t>
      </w:r>
      <w:r>
        <w:rPr>
          <w:rFonts w:ascii="Times New Roman" w:eastAsia="宋体" w:hAnsi="Times New Roman" w:cs="Times New Roman" w:hint="eastAsia"/>
          <w:snapToGrid/>
          <w:color w:val="auto"/>
          <w:kern w:val="2"/>
          <w:sz w:val="24"/>
          <w:szCs w:val="24"/>
          <w:lang w:eastAsia="zh-CN"/>
        </w:rPr>
        <w:t>表现为重污染</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&gt;3</w:t>
      </w:r>
      <w:r>
        <w:rPr>
          <w:rFonts w:ascii="Times New Roman" w:eastAsia="宋体" w:hAnsi="Times New Roman" w:cs="Times New Roman"/>
          <w:snapToGrid/>
          <w:color w:val="auto"/>
          <w:kern w:val="2"/>
          <w:sz w:val="24"/>
          <w:szCs w:val="24"/>
          <w:lang w:eastAsia="zh-CN"/>
        </w:rPr>
        <w:t>清洁</w:t>
      </w:r>
      <w:r>
        <w:rPr>
          <w:rFonts w:ascii="Times New Roman" w:eastAsia="宋体" w:hAnsi="Times New Roman" w:cs="Times New Roman" w:hint="eastAsia"/>
          <w:snapToGrid/>
          <w:color w:val="auto"/>
          <w:kern w:val="2"/>
          <w:sz w:val="24"/>
          <w:szCs w:val="24"/>
          <w:lang w:eastAsia="zh-CN"/>
        </w:rPr>
        <w:t>或</w:t>
      </w:r>
      <w:r>
        <w:rPr>
          <w:rFonts w:ascii="Times New Roman" w:eastAsia="宋体" w:hAnsi="Times New Roman" w:cs="Times New Roman"/>
          <w:snapToGrid/>
          <w:color w:val="auto"/>
          <w:kern w:val="2"/>
          <w:sz w:val="24"/>
          <w:szCs w:val="24"/>
          <w:lang w:eastAsia="zh-CN"/>
        </w:rPr>
        <w:t>轻污染，</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snapToGrid/>
          <w:color w:val="auto"/>
          <w:kern w:val="2"/>
          <w:sz w:val="24"/>
          <w:szCs w:val="24"/>
          <w:lang w:eastAsia="zh-CN"/>
        </w:rPr>
        <w:t>中污染，</w:t>
      </w:r>
      <w:r>
        <w:rPr>
          <w:rFonts w:ascii="Times New Roman" w:eastAsia="宋体" w:hAnsi="Times New Roman" w:cs="Times New Roman"/>
          <w:snapToGrid/>
          <w:color w:val="auto"/>
          <w:kern w:val="2"/>
          <w:sz w:val="24"/>
          <w:szCs w:val="24"/>
          <w:lang w:eastAsia="zh-CN"/>
        </w:rPr>
        <w:t>0-</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snapToGrid/>
          <w:color w:val="auto"/>
          <w:kern w:val="2"/>
          <w:sz w:val="24"/>
          <w:szCs w:val="24"/>
          <w:lang w:eastAsia="zh-CN"/>
        </w:rPr>
        <w:t>重污染）</w:t>
      </w:r>
      <w:r>
        <w:rPr>
          <w:rFonts w:ascii="Times New Roman" w:eastAsia="宋体" w:hAnsi="Times New Roman" w:cs="Times New Roman" w:hint="eastAsia"/>
          <w:snapToGrid/>
          <w:color w:val="auto"/>
          <w:kern w:val="2"/>
          <w:sz w:val="24"/>
          <w:szCs w:val="24"/>
          <w:lang w:eastAsia="zh-CN"/>
        </w:rPr>
        <w:t>有</w:t>
      </w:r>
      <w:r>
        <w:rPr>
          <w:rFonts w:ascii="Times New Roman" w:eastAsia="宋体" w:hAnsi="Times New Roman" w:cs="Times New Roman" w:hint="eastAsia"/>
          <w:snapToGrid/>
          <w:color w:val="auto"/>
          <w:kern w:val="2"/>
          <w:sz w:val="24"/>
          <w:szCs w:val="24"/>
          <w:lang w:eastAsia="zh-CN"/>
        </w:rPr>
        <w:t>12</w:t>
      </w:r>
      <w:r>
        <w:rPr>
          <w:rFonts w:ascii="Times New Roman" w:eastAsia="宋体" w:hAnsi="Times New Roman" w:cs="Times New Roman" w:hint="eastAsia"/>
          <w:snapToGrid/>
          <w:color w:val="auto"/>
          <w:kern w:val="2"/>
          <w:sz w:val="24"/>
          <w:szCs w:val="24"/>
          <w:lang w:eastAsia="zh-CN"/>
        </w:rPr>
        <w:t>个，站总站位数的</w:t>
      </w:r>
      <w:r>
        <w:rPr>
          <w:rFonts w:ascii="Times New Roman" w:eastAsia="宋体" w:hAnsi="Times New Roman" w:cs="Times New Roman" w:hint="eastAsia"/>
          <w:snapToGrid/>
          <w:color w:val="auto"/>
          <w:kern w:val="2"/>
          <w:sz w:val="24"/>
          <w:szCs w:val="24"/>
          <w:lang w:eastAsia="zh-CN"/>
        </w:rPr>
        <w:t>100%</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可见调查水域浮游动物整体多样性状况一般。</w:t>
      </w:r>
    </w:p>
    <w:p w14:paraId="742F1201"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84" w:name="_Toc28330"/>
      <w:r>
        <w:rPr>
          <w:rFonts w:ascii="Times New Roman" w:eastAsia="宋体" w:hAnsi="Times New Roman" w:cs="Times New Roman" w:hint="eastAsia"/>
          <w:b/>
          <w:bCs/>
          <w:snapToGrid/>
          <w:color w:val="auto"/>
          <w:kern w:val="2"/>
          <w:sz w:val="24"/>
          <w:szCs w:val="24"/>
          <w:lang w:eastAsia="zh-CN"/>
        </w:rPr>
        <w:t>3.</w:t>
      </w:r>
      <w:r>
        <w:rPr>
          <w:rFonts w:ascii="Times New Roman" w:eastAsia="宋体" w:hAnsi="Times New Roman" w:cs="Times New Roman"/>
          <w:b/>
          <w:bCs/>
          <w:snapToGrid/>
          <w:color w:val="auto"/>
          <w:kern w:val="2"/>
          <w:sz w:val="24"/>
          <w:szCs w:val="24"/>
          <w:lang w:eastAsia="zh-CN"/>
        </w:rPr>
        <w:t>底栖动物</w:t>
      </w:r>
      <w:bookmarkEnd w:id="184"/>
    </w:p>
    <w:p w14:paraId="4CD29EE2"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85" w:name="_Toc1989"/>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1</w:t>
      </w: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b/>
          <w:bCs/>
          <w:snapToGrid/>
          <w:color w:val="auto"/>
          <w:kern w:val="2"/>
          <w:sz w:val="24"/>
          <w:szCs w:val="24"/>
          <w:lang w:eastAsia="zh-CN"/>
        </w:rPr>
        <w:t>种类</w:t>
      </w:r>
      <w:r>
        <w:rPr>
          <w:rFonts w:ascii="Times New Roman" w:eastAsia="宋体" w:hAnsi="Times New Roman" w:cs="Times New Roman" w:hint="eastAsia"/>
          <w:b/>
          <w:bCs/>
          <w:snapToGrid/>
          <w:color w:val="auto"/>
          <w:kern w:val="2"/>
          <w:sz w:val="24"/>
          <w:szCs w:val="24"/>
          <w:lang w:eastAsia="zh-CN"/>
        </w:rPr>
        <w:t>组成</w:t>
      </w:r>
      <w:bookmarkEnd w:id="185"/>
    </w:p>
    <w:p w14:paraId="47261AF1"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调查区域内底栖动物</w:t>
      </w:r>
      <w:r>
        <w:rPr>
          <w:rFonts w:ascii="Times New Roman" w:eastAsia="宋体" w:hAnsi="Times New Roman" w:cs="Times New Roman" w:hint="eastAsia"/>
          <w:snapToGrid/>
          <w:color w:val="auto"/>
          <w:kern w:val="2"/>
          <w:sz w:val="24"/>
          <w:szCs w:val="24"/>
          <w:lang w:eastAsia="zh-CN"/>
        </w:rPr>
        <w:t>共</w:t>
      </w:r>
      <w:r>
        <w:rPr>
          <w:rFonts w:ascii="Times New Roman" w:eastAsia="宋体" w:hAnsi="Times New Roman" w:cs="Times New Roman"/>
          <w:snapToGrid/>
          <w:color w:val="auto"/>
          <w:kern w:val="2"/>
          <w:sz w:val="24"/>
          <w:szCs w:val="24"/>
          <w:lang w:eastAsia="zh-CN"/>
        </w:rPr>
        <w:t>调查到</w:t>
      </w:r>
      <w:r>
        <w:rPr>
          <w:rFonts w:ascii="Times New Roman" w:eastAsia="宋体" w:hAnsi="Times New Roman" w:cs="Times New Roman" w:hint="eastAsia"/>
          <w:snapToGrid/>
          <w:color w:val="auto"/>
          <w:kern w:val="2"/>
          <w:sz w:val="24"/>
          <w:szCs w:val="24"/>
          <w:lang w:eastAsia="zh-CN"/>
        </w:rPr>
        <w:t>25</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39</w:t>
      </w:r>
      <w:r>
        <w:rPr>
          <w:rFonts w:ascii="Times New Roman" w:eastAsia="宋体" w:hAnsi="Times New Roman" w:cs="Times New Roman" w:hint="eastAsia"/>
          <w:snapToGrid/>
          <w:color w:val="auto"/>
          <w:kern w:val="2"/>
          <w:sz w:val="24"/>
          <w:szCs w:val="24"/>
          <w:lang w:eastAsia="zh-CN"/>
        </w:rPr>
        <w:t>属</w:t>
      </w:r>
      <w:r>
        <w:rPr>
          <w:rFonts w:ascii="Times New Roman" w:eastAsia="宋体" w:hAnsi="Times New Roman" w:cs="Times New Roman" w:hint="eastAsia"/>
          <w:snapToGrid/>
          <w:color w:val="auto"/>
          <w:kern w:val="2"/>
          <w:sz w:val="24"/>
          <w:szCs w:val="24"/>
          <w:lang w:eastAsia="zh-CN"/>
        </w:rPr>
        <w:t>48</w:t>
      </w:r>
      <w:r>
        <w:rPr>
          <w:rFonts w:ascii="Times New Roman" w:eastAsia="宋体" w:hAnsi="Times New Roman" w:cs="Times New Roman"/>
          <w:snapToGrid/>
          <w:color w:val="auto"/>
          <w:kern w:val="2"/>
          <w:sz w:val="24"/>
          <w:szCs w:val="24"/>
          <w:lang w:eastAsia="zh-CN"/>
        </w:rPr>
        <w:t>种，</w:t>
      </w:r>
      <w:r>
        <w:rPr>
          <w:rFonts w:ascii="Times New Roman" w:eastAsia="宋体" w:hAnsi="Times New Roman" w:cs="Times New Roman" w:hint="eastAsia"/>
          <w:snapToGrid/>
          <w:color w:val="auto"/>
          <w:kern w:val="2"/>
          <w:sz w:val="24"/>
          <w:szCs w:val="24"/>
          <w:lang w:eastAsia="zh-CN"/>
        </w:rPr>
        <w:t>包括奥莱彩螺</w:t>
      </w:r>
      <w:r>
        <w:rPr>
          <w:rFonts w:ascii="Times New Roman" w:eastAsia="宋体" w:hAnsi="Times New Roman" w:cs="Times New Roman" w:hint="eastAsia"/>
          <w:snapToGrid/>
          <w:color w:val="auto"/>
          <w:kern w:val="2"/>
          <w:sz w:val="24"/>
          <w:szCs w:val="24"/>
          <w:lang w:eastAsia="zh-CN"/>
        </w:rPr>
        <w:t>Clithon oualaniensis</w:t>
      </w:r>
      <w:r>
        <w:rPr>
          <w:rFonts w:ascii="Times New Roman" w:eastAsia="宋体" w:hAnsi="Times New Roman" w:cs="Times New Roman" w:hint="eastAsia"/>
          <w:snapToGrid/>
          <w:color w:val="auto"/>
          <w:kern w:val="2"/>
          <w:sz w:val="24"/>
          <w:szCs w:val="24"/>
          <w:lang w:eastAsia="zh-CN"/>
        </w:rPr>
        <w:t>、粗糙滨螺</w:t>
      </w:r>
      <w:r>
        <w:rPr>
          <w:rFonts w:ascii="Times New Roman" w:eastAsia="宋体" w:hAnsi="Times New Roman" w:cs="Times New Roman" w:hint="eastAsia"/>
          <w:snapToGrid/>
          <w:color w:val="auto"/>
          <w:kern w:val="2"/>
          <w:sz w:val="24"/>
          <w:szCs w:val="24"/>
          <w:lang w:eastAsia="zh-CN"/>
        </w:rPr>
        <w:t>Littoraria articulata</w:t>
      </w:r>
      <w:r>
        <w:rPr>
          <w:rFonts w:ascii="Times New Roman" w:eastAsia="宋体" w:hAnsi="Times New Roman" w:cs="Times New Roman" w:hint="eastAsia"/>
          <w:snapToGrid/>
          <w:color w:val="auto"/>
          <w:kern w:val="2"/>
          <w:sz w:val="24"/>
          <w:szCs w:val="24"/>
          <w:lang w:eastAsia="zh-CN"/>
        </w:rPr>
        <w:t>、珠带拟蟹守螺</w:t>
      </w:r>
      <w:r>
        <w:rPr>
          <w:rFonts w:ascii="Times New Roman" w:eastAsia="宋体" w:hAnsi="Times New Roman" w:cs="Times New Roman" w:hint="eastAsia"/>
          <w:snapToGrid/>
          <w:color w:val="auto"/>
          <w:kern w:val="2"/>
          <w:sz w:val="24"/>
          <w:szCs w:val="24"/>
          <w:lang w:eastAsia="zh-CN"/>
        </w:rPr>
        <w:t>Cerithidea cingulata</w:t>
      </w:r>
      <w:r>
        <w:rPr>
          <w:rFonts w:ascii="Times New Roman" w:eastAsia="宋体" w:hAnsi="Times New Roman" w:cs="Times New Roman" w:hint="eastAsia"/>
          <w:snapToGrid/>
          <w:color w:val="auto"/>
          <w:kern w:val="2"/>
          <w:sz w:val="24"/>
          <w:szCs w:val="24"/>
          <w:lang w:eastAsia="zh-CN"/>
        </w:rPr>
        <w:t>、查加拟蟹守螺</w:t>
      </w:r>
      <w:r>
        <w:rPr>
          <w:rFonts w:ascii="Times New Roman" w:eastAsia="宋体" w:hAnsi="Times New Roman" w:cs="Times New Roman" w:hint="eastAsia"/>
          <w:snapToGrid/>
          <w:color w:val="auto"/>
          <w:kern w:val="2"/>
          <w:sz w:val="24"/>
          <w:szCs w:val="24"/>
          <w:lang w:eastAsia="zh-CN"/>
        </w:rPr>
        <w:t>Cerithidea djadjariensis</w:t>
      </w:r>
      <w:r>
        <w:rPr>
          <w:rFonts w:ascii="Times New Roman" w:eastAsia="宋体" w:hAnsi="Times New Roman" w:cs="Times New Roman" w:hint="eastAsia"/>
          <w:snapToGrid/>
          <w:color w:val="auto"/>
          <w:kern w:val="2"/>
          <w:sz w:val="24"/>
          <w:szCs w:val="24"/>
          <w:lang w:eastAsia="zh-CN"/>
        </w:rPr>
        <w:t>、沟纹笋光螺</w:t>
      </w:r>
      <w:r>
        <w:rPr>
          <w:rFonts w:ascii="Times New Roman" w:eastAsia="宋体" w:hAnsi="Times New Roman" w:cs="Times New Roman" w:hint="eastAsia"/>
          <w:snapToGrid/>
          <w:color w:val="auto"/>
          <w:kern w:val="2"/>
          <w:sz w:val="24"/>
          <w:szCs w:val="24"/>
          <w:lang w:eastAsia="zh-CN"/>
        </w:rPr>
        <w:t>Terebralia sulcate</w:t>
      </w:r>
      <w:r>
        <w:rPr>
          <w:rFonts w:ascii="Times New Roman" w:eastAsia="宋体" w:hAnsi="Times New Roman" w:cs="Times New Roman" w:hint="eastAsia"/>
          <w:snapToGrid/>
          <w:color w:val="auto"/>
          <w:kern w:val="2"/>
          <w:sz w:val="24"/>
          <w:szCs w:val="24"/>
          <w:lang w:eastAsia="zh-CN"/>
        </w:rPr>
        <w:t>、近江牡蛎</w:t>
      </w:r>
      <w:r>
        <w:rPr>
          <w:rFonts w:ascii="Times New Roman" w:eastAsia="宋体" w:hAnsi="Times New Roman" w:cs="Times New Roman" w:hint="eastAsia"/>
          <w:snapToGrid/>
          <w:color w:val="auto"/>
          <w:kern w:val="2"/>
          <w:sz w:val="24"/>
          <w:szCs w:val="24"/>
          <w:lang w:eastAsia="zh-CN"/>
        </w:rPr>
        <w:t xml:space="preserve">Ostrea </w:t>
      </w:r>
      <w:r>
        <w:rPr>
          <w:rFonts w:ascii="Times New Roman" w:eastAsia="宋体" w:hAnsi="Times New Roman" w:cs="Times New Roman" w:hint="eastAsia"/>
          <w:snapToGrid/>
          <w:color w:val="auto"/>
          <w:kern w:val="2"/>
          <w:sz w:val="24"/>
          <w:szCs w:val="24"/>
          <w:lang w:eastAsia="zh-CN"/>
        </w:rPr>
        <w:t>rivularis</w:t>
      </w:r>
      <w:r>
        <w:rPr>
          <w:rFonts w:ascii="Times New Roman" w:eastAsia="宋体" w:hAnsi="Times New Roman" w:cs="Times New Roman" w:hint="eastAsia"/>
          <w:snapToGrid/>
          <w:color w:val="auto"/>
          <w:kern w:val="2"/>
          <w:sz w:val="24"/>
          <w:szCs w:val="24"/>
          <w:lang w:eastAsia="zh-CN"/>
        </w:rPr>
        <w:t>、红树蚬</w:t>
      </w:r>
      <w:r>
        <w:rPr>
          <w:rFonts w:ascii="Times New Roman" w:eastAsia="宋体" w:hAnsi="Times New Roman" w:cs="Times New Roman" w:hint="eastAsia"/>
          <w:snapToGrid/>
          <w:color w:val="auto"/>
          <w:kern w:val="2"/>
          <w:sz w:val="24"/>
          <w:szCs w:val="24"/>
          <w:lang w:eastAsia="zh-CN"/>
        </w:rPr>
        <w:t>Geloina coaxans</w:t>
      </w:r>
      <w:r>
        <w:rPr>
          <w:rFonts w:ascii="Times New Roman" w:eastAsia="宋体" w:hAnsi="Times New Roman" w:cs="Times New Roman" w:hint="eastAsia"/>
          <w:snapToGrid/>
          <w:color w:val="auto"/>
          <w:kern w:val="2"/>
          <w:sz w:val="24"/>
          <w:szCs w:val="24"/>
          <w:lang w:eastAsia="zh-CN"/>
        </w:rPr>
        <w:t>、凸加夫蛤</w:t>
      </w:r>
      <w:r>
        <w:rPr>
          <w:rFonts w:ascii="Times New Roman" w:eastAsia="宋体" w:hAnsi="Times New Roman" w:cs="Times New Roman" w:hint="eastAsia"/>
          <w:snapToGrid/>
          <w:color w:val="auto"/>
          <w:kern w:val="2"/>
          <w:sz w:val="24"/>
          <w:szCs w:val="24"/>
          <w:lang w:eastAsia="zh-CN"/>
        </w:rPr>
        <w:t>Gafrarium tumidum</w:t>
      </w:r>
      <w:r>
        <w:rPr>
          <w:rFonts w:ascii="Times New Roman" w:eastAsia="宋体" w:hAnsi="Times New Roman" w:cs="Times New Roman" w:hint="eastAsia"/>
          <w:snapToGrid/>
          <w:color w:val="auto"/>
          <w:kern w:val="2"/>
          <w:sz w:val="24"/>
          <w:szCs w:val="24"/>
          <w:lang w:eastAsia="zh-CN"/>
        </w:rPr>
        <w:t>等。各站位调查道底栖动物种类数范围为</w:t>
      </w:r>
      <w:r>
        <w:rPr>
          <w:rFonts w:ascii="Times New Roman" w:eastAsia="宋体" w:hAnsi="Times New Roman" w:cs="Times New Roman" w:hint="eastAsia"/>
          <w:snapToGrid/>
          <w:color w:val="auto"/>
          <w:kern w:val="2"/>
          <w:sz w:val="24"/>
          <w:szCs w:val="24"/>
          <w:lang w:eastAsia="zh-CN"/>
        </w:rPr>
        <w:t>3~12</w:t>
      </w:r>
      <w:r>
        <w:rPr>
          <w:rFonts w:ascii="Times New Roman" w:eastAsia="宋体" w:hAnsi="Times New Roman" w:cs="Times New Roman" w:hint="eastAsia"/>
          <w:snapToGrid/>
          <w:color w:val="auto"/>
          <w:kern w:val="2"/>
          <w:sz w:val="24"/>
          <w:szCs w:val="24"/>
          <w:lang w:eastAsia="zh-CN"/>
        </w:rPr>
        <w:t>种，平均种类数为</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种</w:t>
      </w:r>
      <w:r>
        <w:rPr>
          <w:rFonts w:ascii="Times New Roman" w:eastAsia="宋体" w:hAnsi="Times New Roman" w:cs="Times New Roman"/>
          <w:snapToGrid/>
          <w:color w:val="auto"/>
          <w:kern w:val="2"/>
          <w:sz w:val="24"/>
          <w:szCs w:val="24"/>
          <w:lang w:eastAsia="zh-CN"/>
        </w:rPr>
        <w:t>（表</w:t>
      </w:r>
      <w:r>
        <w:rPr>
          <w:rFonts w:ascii="Times New Roman" w:eastAsia="宋体" w:hAnsi="Times New Roman" w:cs="宋体" w:hint="eastAsia"/>
          <w:color w:val="auto"/>
          <w:spacing w:val="-2"/>
          <w:sz w:val="24"/>
          <w:szCs w:val="24"/>
          <w:lang w:eastAsia="zh-CN"/>
        </w:rPr>
        <w:t>3.2.6-11</w:t>
      </w:r>
      <w:r>
        <w:rPr>
          <w:rFonts w:ascii="Times New Roman" w:eastAsia="宋体" w:hAnsi="Times New Roman" w:cs="Times New Roman"/>
          <w:snapToGrid/>
          <w:color w:val="auto"/>
          <w:kern w:val="2"/>
          <w:sz w:val="24"/>
          <w:szCs w:val="24"/>
          <w:lang w:eastAsia="zh-CN"/>
        </w:rPr>
        <w:t>）。</w:t>
      </w:r>
    </w:p>
    <w:p w14:paraId="1BE47D66" w14:textId="77777777" w:rsidR="0075791A" w:rsidRDefault="00FB2864">
      <w:pPr>
        <w:widowControl w:val="0"/>
        <w:kinsoku/>
        <w:autoSpaceDE/>
        <w:autoSpaceDN/>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3.2.6-11</w:t>
      </w:r>
      <w:r>
        <w:rPr>
          <w:rFonts w:ascii="Times New Roman" w:eastAsia="宋体" w:hAnsi="Times New Roman" w:cs="Times New Roman" w:hint="eastAsia"/>
          <w:snapToGrid/>
          <w:color w:val="auto"/>
          <w:kern w:val="2"/>
          <w:sz w:val="24"/>
          <w:szCs w:val="24"/>
          <w:lang w:eastAsia="zh-CN"/>
        </w:rPr>
        <w:t>各站位底栖动物种类数</w:t>
      </w:r>
    </w:p>
    <w:tbl>
      <w:tblPr>
        <w:tblW w:w="4866" w:type="pct"/>
        <w:tblLayout w:type="fixed"/>
        <w:tblLook w:val="04A0" w:firstRow="1" w:lastRow="0" w:firstColumn="1" w:lastColumn="0" w:noHBand="0" w:noVBand="1"/>
      </w:tblPr>
      <w:tblGrid>
        <w:gridCol w:w="989"/>
        <w:gridCol w:w="525"/>
        <w:gridCol w:w="619"/>
        <w:gridCol w:w="619"/>
        <w:gridCol w:w="619"/>
        <w:gridCol w:w="619"/>
        <w:gridCol w:w="619"/>
        <w:gridCol w:w="619"/>
        <w:gridCol w:w="619"/>
        <w:gridCol w:w="619"/>
        <w:gridCol w:w="619"/>
        <w:gridCol w:w="619"/>
        <w:gridCol w:w="630"/>
        <w:gridCol w:w="766"/>
      </w:tblGrid>
      <w:tr w:rsidR="0075791A" w14:paraId="1FA1079C" w14:textId="77777777">
        <w:trPr>
          <w:trHeight w:val="90"/>
        </w:trPr>
        <w:tc>
          <w:tcPr>
            <w:tcW w:w="543" w:type="pct"/>
            <w:tcBorders>
              <w:top w:val="single" w:sz="4" w:space="0" w:color="000000"/>
              <w:left w:val="single" w:sz="4" w:space="0" w:color="000000"/>
              <w:bottom w:val="single" w:sz="4" w:space="0" w:color="000000"/>
              <w:right w:val="single" w:sz="4" w:space="0" w:color="000000"/>
            </w:tcBorders>
            <w:noWrap/>
            <w:vAlign w:val="center"/>
          </w:tcPr>
          <w:p w14:paraId="27AB7079"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站位</w:t>
            </w:r>
          </w:p>
        </w:tc>
        <w:tc>
          <w:tcPr>
            <w:tcW w:w="288" w:type="pct"/>
            <w:tcBorders>
              <w:top w:val="single" w:sz="4" w:space="0" w:color="000000"/>
              <w:left w:val="single" w:sz="4" w:space="0" w:color="000000"/>
              <w:bottom w:val="single" w:sz="4" w:space="0" w:color="000000"/>
              <w:right w:val="single" w:sz="4" w:space="0" w:color="000000"/>
            </w:tcBorders>
            <w:noWrap/>
            <w:vAlign w:val="center"/>
          </w:tcPr>
          <w:p w14:paraId="77069132"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S1</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51FD10B1"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S2</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747634EF"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S3</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75D99E78"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S4</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38A1664B"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S5</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22DE1919"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S6</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3D75A35B"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S7</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6508BAA4"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S8</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1AED0497"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S9</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11D5D49F"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S10</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534AA157"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S11</w:t>
            </w:r>
          </w:p>
        </w:tc>
        <w:tc>
          <w:tcPr>
            <w:tcW w:w="346" w:type="pct"/>
            <w:tcBorders>
              <w:top w:val="single" w:sz="4" w:space="0" w:color="000000"/>
              <w:left w:val="single" w:sz="4" w:space="0" w:color="000000"/>
              <w:bottom w:val="single" w:sz="4" w:space="0" w:color="000000"/>
              <w:right w:val="single" w:sz="4" w:space="0" w:color="000000"/>
            </w:tcBorders>
            <w:noWrap/>
            <w:vAlign w:val="center"/>
          </w:tcPr>
          <w:p w14:paraId="711C6EAE"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S12</w:t>
            </w:r>
          </w:p>
        </w:tc>
        <w:tc>
          <w:tcPr>
            <w:tcW w:w="421" w:type="pct"/>
            <w:tcBorders>
              <w:top w:val="single" w:sz="4" w:space="0" w:color="000000"/>
              <w:left w:val="single" w:sz="4" w:space="0" w:color="000000"/>
              <w:bottom w:val="single" w:sz="4" w:space="0" w:color="000000"/>
              <w:right w:val="single" w:sz="4" w:space="0" w:color="000000"/>
            </w:tcBorders>
            <w:noWrap/>
            <w:vAlign w:val="center"/>
          </w:tcPr>
          <w:p w14:paraId="6ACEEE83"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平均</w:t>
            </w:r>
          </w:p>
        </w:tc>
      </w:tr>
      <w:tr w:rsidR="0075791A" w14:paraId="6CB275D3" w14:textId="77777777">
        <w:trPr>
          <w:trHeight w:val="90"/>
        </w:trPr>
        <w:tc>
          <w:tcPr>
            <w:tcW w:w="543" w:type="pct"/>
            <w:tcBorders>
              <w:top w:val="single" w:sz="4" w:space="0" w:color="000000"/>
              <w:left w:val="single" w:sz="4" w:space="0" w:color="000000"/>
              <w:bottom w:val="single" w:sz="4" w:space="0" w:color="000000"/>
              <w:right w:val="single" w:sz="4" w:space="0" w:color="000000"/>
            </w:tcBorders>
            <w:noWrap/>
            <w:vAlign w:val="center"/>
          </w:tcPr>
          <w:p w14:paraId="7FADB46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种类数</w:t>
            </w:r>
          </w:p>
        </w:tc>
        <w:tc>
          <w:tcPr>
            <w:tcW w:w="288" w:type="pct"/>
            <w:tcBorders>
              <w:top w:val="single" w:sz="4" w:space="0" w:color="000000"/>
              <w:left w:val="single" w:sz="4" w:space="0" w:color="000000"/>
              <w:bottom w:val="single" w:sz="4" w:space="0" w:color="000000"/>
              <w:right w:val="single" w:sz="4" w:space="0" w:color="000000"/>
            </w:tcBorders>
            <w:noWrap/>
            <w:vAlign w:val="center"/>
          </w:tcPr>
          <w:p w14:paraId="45EFA1B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8</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151D08D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10</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15E7C0A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7</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76D7474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9</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3BD70D0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10</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441B4D8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12</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667B517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23F25A3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237BCB1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5F2B2CC3"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w:t>
            </w:r>
          </w:p>
        </w:tc>
        <w:tc>
          <w:tcPr>
            <w:tcW w:w="340" w:type="pct"/>
            <w:tcBorders>
              <w:top w:val="single" w:sz="4" w:space="0" w:color="000000"/>
              <w:left w:val="single" w:sz="4" w:space="0" w:color="000000"/>
              <w:bottom w:val="single" w:sz="4" w:space="0" w:color="000000"/>
              <w:right w:val="single" w:sz="4" w:space="0" w:color="000000"/>
            </w:tcBorders>
            <w:noWrap/>
            <w:vAlign w:val="center"/>
          </w:tcPr>
          <w:p w14:paraId="166114E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w:t>
            </w:r>
          </w:p>
        </w:tc>
        <w:tc>
          <w:tcPr>
            <w:tcW w:w="346" w:type="pct"/>
            <w:tcBorders>
              <w:top w:val="single" w:sz="4" w:space="0" w:color="000000"/>
              <w:left w:val="single" w:sz="4" w:space="0" w:color="000000"/>
              <w:bottom w:val="single" w:sz="4" w:space="0" w:color="000000"/>
              <w:right w:val="single" w:sz="4" w:space="0" w:color="000000"/>
            </w:tcBorders>
            <w:noWrap/>
            <w:vAlign w:val="center"/>
          </w:tcPr>
          <w:p w14:paraId="256B902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w:t>
            </w:r>
          </w:p>
        </w:tc>
        <w:tc>
          <w:tcPr>
            <w:tcW w:w="421" w:type="pct"/>
            <w:tcBorders>
              <w:top w:val="single" w:sz="4" w:space="0" w:color="000000"/>
              <w:left w:val="single" w:sz="4" w:space="0" w:color="000000"/>
              <w:bottom w:val="single" w:sz="4" w:space="0" w:color="000000"/>
              <w:right w:val="single" w:sz="4" w:space="0" w:color="000000"/>
            </w:tcBorders>
            <w:noWrap/>
            <w:vAlign w:val="center"/>
          </w:tcPr>
          <w:p w14:paraId="2A85DE6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6</w:t>
            </w:r>
          </w:p>
        </w:tc>
      </w:tr>
    </w:tbl>
    <w:p w14:paraId="155F2062"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86" w:name="_Toc20514"/>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2</w:t>
      </w:r>
      <w:r>
        <w:rPr>
          <w:rFonts w:ascii="Times New Roman" w:eastAsia="宋体" w:hAnsi="Times New Roman" w:cs="Times New Roman" w:hint="eastAsia"/>
          <w:b/>
          <w:bCs/>
          <w:snapToGrid/>
          <w:color w:val="auto"/>
          <w:kern w:val="2"/>
          <w:sz w:val="24"/>
          <w:szCs w:val="24"/>
          <w:lang w:eastAsia="zh-CN"/>
        </w:rPr>
        <w:t>）优势种</w:t>
      </w:r>
      <w:bookmarkEnd w:id="186"/>
    </w:p>
    <w:p w14:paraId="7D6A0579"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通过对底栖动物优势种计算，铁炉港水域优势度（</w:t>
      </w:r>
      <w:r>
        <w:rPr>
          <w:rFonts w:ascii="Times New Roman" w:eastAsia="宋体" w:hAnsi="Times New Roman" w:cs="Times New Roman" w:hint="eastAsia"/>
          <w:snapToGrid/>
          <w:color w:val="auto"/>
          <w:kern w:val="2"/>
          <w:sz w:val="24"/>
          <w:szCs w:val="24"/>
          <w:lang w:eastAsia="zh-CN"/>
        </w:rPr>
        <w:t>Y</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0.02</w:t>
      </w:r>
      <w:r>
        <w:rPr>
          <w:rFonts w:ascii="Times New Roman" w:eastAsia="宋体" w:hAnsi="Times New Roman" w:cs="Times New Roman" w:hint="eastAsia"/>
          <w:snapToGrid/>
          <w:color w:val="auto"/>
          <w:kern w:val="2"/>
          <w:sz w:val="24"/>
          <w:szCs w:val="24"/>
          <w:lang w:eastAsia="zh-CN"/>
        </w:rPr>
        <w:t>）的有绯拟沼螺、彩拟蟹守螺、奥莱彩螺、斑肋滨螺、纵带滩栖螺、放逸短沟蜷、大瓶螺、中国圆田螺、海南溪蟹，其中优势度最大的为大瓶螺，其优势度为</w:t>
      </w:r>
      <w:r>
        <w:rPr>
          <w:rFonts w:ascii="Times New Roman" w:eastAsia="宋体" w:hAnsi="Times New Roman" w:cs="Times New Roman" w:hint="eastAsia"/>
          <w:snapToGrid/>
          <w:color w:val="auto"/>
          <w:kern w:val="2"/>
          <w:sz w:val="24"/>
          <w:szCs w:val="24"/>
          <w:lang w:eastAsia="zh-CN"/>
        </w:rPr>
        <w:t>0.19</w:t>
      </w:r>
      <w:r>
        <w:rPr>
          <w:rFonts w:ascii="Times New Roman" w:eastAsia="宋体" w:hAnsi="Times New Roman" w:cs="Times New Roman" w:hint="eastAsia"/>
          <w:snapToGrid/>
          <w:color w:val="auto"/>
          <w:kern w:val="2"/>
          <w:sz w:val="24"/>
          <w:szCs w:val="24"/>
          <w:lang w:eastAsia="zh-CN"/>
        </w:rPr>
        <w:t>，其他优势种及优势度见表</w:t>
      </w:r>
      <w:r>
        <w:rPr>
          <w:rFonts w:ascii="Times New Roman" w:eastAsia="宋体" w:hAnsi="Times New Roman" w:cs="宋体" w:hint="eastAsia"/>
          <w:color w:val="auto"/>
          <w:spacing w:val="-2"/>
          <w:sz w:val="24"/>
          <w:szCs w:val="24"/>
          <w:lang w:eastAsia="zh-CN"/>
        </w:rPr>
        <w:t>3.2.6-12</w:t>
      </w:r>
      <w:r>
        <w:rPr>
          <w:rFonts w:ascii="Times New Roman" w:eastAsia="宋体" w:hAnsi="Times New Roman" w:cs="Times New Roman" w:hint="eastAsia"/>
          <w:snapToGrid/>
          <w:color w:val="auto"/>
          <w:kern w:val="2"/>
          <w:sz w:val="24"/>
          <w:szCs w:val="24"/>
          <w:lang w:eastAsia="zh-CN"/>
        </w:rPr>
        <w:t>。</w:t>
      </w:r>
    </w:p>
    <w:p w14:paraId="6760E3CC" w14:textId="77777777" w:rsidR="0075791A" w:rsidRDefault="00FB2864">
      <w:pPr>
        <w:widowControl w:val="0"/>
        <w:kinsoku/>
        <w:autoSpaceDE/>
        <w:autoSpaceDN/>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宋体" w:hint="eastAsia"/>
          <w:color w:val="auto"/>
          <w:spacing w:val="-2"/>
          <w:sz w:val="24"/>
          <w:szCs w:val="24"/>
          <w:lang w:eastAsia="zh-CN"/>
        </w:rPr>
        <w:t>3.2.6-12</w:t>
      </w:r>
      <w:r>
        <w:rPr>
          <w:rFonts w:ascii="Times New Roman" w:eastAsia="宋体" w:hAnsi="Times New Roman" w:cs="Times New Roman" w:hint="eastAsia"/>
          <w:snapToGrid/>
          <w:color w:val="auto"/>
          <w:kern w:val="2"/>
          <w:sz w:val="24"/>
          <w:szCs w:val="24"/>
          <w:lang w:eastAsia="zh-CN"/>
        </w:rPr>
        <w:t>优势种及优势度</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9"/>
        <w:gridCol w:w="847"/>
        <w:gridCol w:w="956"/>
        <w:gridCol w:w="1073"/>
        <w:gridCol w:w="900"/>
        <w:gridCol w:w="1073"/>
        <w:gridCol w:w="900"/>
        <w:gridCol w:w="900"/>
        <w:gridCol w:w="1073"/>
        <w:gridCol w:w="900"/>
      </w:tblGrid>
      <w:tr w:rsidR="0075791A" w14:paraId="3E7B14A7" w14:textId="77777777">
        <w:trPr>
          <w:trHeight w:val="517"/>
        </w:trPr>
        <w:tc>
          <w:tcPr>
            <w:tcW w:w="389" w:type="pct"/>
            <w:noWrap/>
            <w:vAlign w:val="center"/>
          </w:tcPr>
          <w:p w14:paraId="0B0FF83B"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lastRenderedPageBreak/>
              <w:t>优势种</w:t>
            </w:r>
          </w:p>
        </w:tc>
        <w:tc>
          <w:tcPr>
            <w:tcW w:w="453" w:type="pct"/>
            <w:noWrap/>
            <w:vAlign w:val="center"/>
          </w:tcPr>
          <w:p w14:paraId="7EB2B138"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大瓶螺</w:t>
            </w:r>
          </w:p>
        </w:tc>
        <w:tc>
          <w:tcPr>
            <w:tcW w:w="510" w:type="pct"/>
            <w:noWrap/>
            <w:vAlign w:val="center"/>
          </w:tcPr>
          <w:p w14:paraId="28459D9E"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放逸短沟蜷</w:t>
            </w:r>
          </w:p>
        </w:tc>
        <w:tc>
          <w:tcPr>
            <w:tcW w:w="573" w:type="pct"/>
            <w:noWrap/>
            <w:vAlign w:val="center"/>
          </w:tcPr>
          <w:p w14:paraId="11BC7C03"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中国圆田螺</w:t>
            </w:r>
          </w:p>
        </w:tc>
        <w:tc>
          <w:tcPr>
            <w:tcW w:w="481" w:type="pct"/>
            <w:noWrap/>
            <w:vAlign w:val="center"/>
          </w:tcPr>
          <w:p w14:paraId="06EE28C1"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sz w:val="24"/>
                <w:szCs w:val="18"/>
                <w:lang w:eastAsia="zh-CN" w:bidi="ar"/>
              </w:rPr>
            </w:pPr>
            <w:r>
              <w:rPr>
                <w:rFonts w:ascii="Times New Roman" w:eastAsia="宋体" w:hAnsi="Times New Roman" w:cs="Times New Roman"/>
                <w:b/>
                <w:bCs/>
                <w:snapToGrid/>
                <w:color w:val="auto"/>
                <w:sz w:val="24"/>
                <w:szCs w:val="18"/>
                <w:lang w:eastAsia="zh-CN" w:bidi="ar"/>
              </w:rPr>
              <w:t>斑肋滨螺</w:t>
            </w:r>
          </w:p>
        </w:tc>
        <w:tc>
          <w:tcPr>
            <w:tcW w:w="573" w:type="pct"/>
            <w:noWrap/>
            <w:vAlign w:val="center"/>
          </w:tcPr>
          <w:p w14:paraId="799E2749"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彩拟蟹守螺</w:t>
            </w:r>
          </w:p>
        </w:tc>
        <w:tc>
          <w:tcPr>
            <w:tcW w:w="481" w:type="pct"/>
            <w:noWrap/>
            <w:vAlign w:val="center"/>
          </w:tcPr>
          <w:p w14:paraId="43561E0B"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sz w:val="24"/>
                <w:szCs w:val="18"/>
                <w:lang w:eastAsia="zh-CN" w:bidi="ar"/>
              </w:rPr>
            </w:pPr>
            <w:r>
              <w:rPr>
                <w:rFonts w:ascii="Times New Roman" w:eastAsia="宋体" w:hAnsi="Times New Roman" w:cs="Times New Roman"/>
                <w:b/>
                <w:bCs/>
                <w:snapToGrid/>
                <w:color w:val="auto"/>
                <w:sz w:val="24"/>
                <w:szCs w:val="18"/>
                <w:lang w:eastAsia="zh-CN" w:bidi="ar"/>
              </w:rPr>
              <w:t>海南溪蟹</w:t>
            </w:r>
          </w:p>
        </w:tc>
        <w:tc>
          <w:tcPr>
            <w:tcW w:w="481" w:type="pct"/>
            <w:noWrap/>
            <w:vAlign w:val="center"/>
          </w:tcPr>
          <w:p w14:paraId="59CB7605"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奥莱彩螺</w:t>
            </w:r>
          </w:p>
        </w:tc>
        <w:tc>
          <w:tcPr>
            <w:tcW w:w="573" w:type="pct"/>
            <w:noWrap/>
            <w:vAlign w:val="center"/>
          </w:tcPr>
          <w:p w14:paraId="6D7B787A"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纵带滩栖螺</w:t>
            </w:r>
          </w:p>
        </w:tc>
        <w:tc>
          <w:tcPr>
            <w:tcW w:w="481" w:type="pct"/>
            <w:noWrap/>
            <w:vAlign w:val="center"/>
          </w:tcPr>
          <w:p w14:paraId="34C9D848"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绯拟沼螺</w:t>
            </w:r>
          </w:p>
        </w:tc>
      </w:tr>
      <w:tr w:rsidR="0075791A" w14:paraId="3AE08AFF" w14:textId="77777777">
        <w:trPr>
          <w:trHeight w:val="428"/>
        </w:trPr>
        <w:tc>
          <w:tcPr>
            <w:tcW w:w="389" w:type="pct"/>
            <w:noWrap/>
            <w:tcMar>
              <w:top w:w="0" w:type="dxa"/>
              <w:left w:w="0" w:type="dxa"/>
              <w:bottom w:w="57" w:type="dxa"/>
              <w:right w:w="0" w:type="dxa"/>
            </w:tcMar>
            <w:vAlign w:val="center"/>
          </w:tcPr>
          <w:p w14:paraId="12D423F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优势度</w:t>
            </w:r>
          </w:p>
        </w:tc>
        <w:tc>
          <w:tcPr>
            <w:tcW w:w="453" w:type="pct"/>
            <w:noWrap/>
            <w:tcMar>
              <w:top w:w="0" w:type="dxa"/>
              <w:bottom w:w="57" w:type="dxa"/>
            </w:tcMar>
            <w:vAlign w:val="center"/>
          </w:tcPr>
          <w:p w14:paraId="6F7541C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0.19</w:t>
            </w:r>
          </w:p>
        </w:tc>
        <w:tc>
          <w:tcPr>
            <w:tcW w:w="510" w:type="pct"/>
            <w:noWrap/>
            <w:tcMar>
              <w:top w:w="0" w:type="dxa"/>
              <w:bottom w:w="57" w:type="dxa"/>
            </w:tcMar>
            <w:vAlign w:val="center"/>
          </w:tcPr>
          <w:p w14:paraId="006A4BB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0.05</w:t>
            </w:r>
          </w:p>
        </w:tc>
        <w:tc>
          <w:tcPr>
            <w:tcW w:w="573" w:type="pct"/>
            <w:noWrap/>
            <w:tcMar>
              <w:top w:w="0" w:type="dxa"/>
              <w:bottom w:w="57" w:type="dxa"/>
            </w:tcMar>
            <w:vAlign w:val="center"/>
          </w:tcPr>
          <w:p w14:paraId="08E750E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0.05</w:t>
            </w:r>
          </w:p>
        </w:tc>
        <w:tc>
          <w:tcPr>
            <w:tcW w:w="481" w:type="pct"/>
            <w:noWrap/>
            <w:tcMar>
              <w:top w:w="0" w:type="dxa"/>
              <w:bottom w:w="57" w:type="dxa"/>
            </w:tcMar>
            <w:vAlign w:val="center"/>
          </w:tcPr>
          <w:p w14:paraId="2D1646F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sz w:val="24"/>
                <w:szCs w:val="18"/>
                <w:lang w:eastAsia="zh-CN" w:bidi="ar"/>
              </w:rPr>
            </w:pPr>
            <w:r>
              <w:rPr>
                <w:rFonts w:ascii="Times New Roman" w:eastAsia="宋体" w:hAnsi="Times New Roman" w:cs="Times New Roman"/>
                <w:snapToGrid/>
                <w:color w:val="auto"/>
                <w:sz w:val="24"/>
                <w:szCs w:val="18"/>
                <w:lang w:eastAsia="zh-CN" w:bidi="ar"/>
              </w:rPr>
              <w:t>0.04</w:t>
            </w:r>
          </w:p>
        </w:tc>
        <w:tc>
          <w:tcPr>
            <w:tcW w:w="573" w:type="pct"/>
            <w:noWrap/>
            <w:tcMar>
              <w:top w:w="0" w:type="dxa"/>
              <w:bottom w:w="57" w:type="dxa"/>
            </w:tcMar>
            <w:vAlign w:val="center"/>
          </w:tcPr>
          <w:p w14:paraId="4AAE444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0.03</w:t>
            </w:r>
          </w:p>
        </w:tc>
        <w:tc>
          <w:tcPr>
            <w:tcW w:w="481" w:type="pct"/>
            <w:noWrap/>
            <w:tcMar>
              <w:top w:w="0" w:type="dxa"/>
              <w:bottom w:w="57" w:type="dxa"/>
            </w:tcMar>
            <w:vAlign w:val="center"/>
          </w:tcPr>
          <w:p w14:paraId="1A7ED46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sz w:val="24"/>
                <w:szCs w:val="18"/>
                <w:lang w:eastAsia="zh-CN" w:bidi="ar"/>
              </w:rPr>
            </w:pPr>
            <w:r>
              <w:rPr>
                <w:rFonts w:ascii="Times New Roman" w:eastAsia="宋体" w:hAnsi="Times New Roman" w:cs="Times New Roman"/>
                <w:snapToGrid/>
                <w:color w:val="auto"/>
                <w:sz w:val="24"/>
                <w:szCs w:val="18"/>
                <w:lang w:eastAsia="zh-CN" w:bidi="ar"/>
              </w:rPr>
              <w:t>0.03</w:t>
            </w:r>
          </w:p>
        </w:tc>
        <w:tc>
          <w:tcPr>
            <w:tcW w:w="481" w:type="pct"/>
            <w:noWrap/>
            <w:tcMar>
              <w:top w:w="0" w:type="dxa"/>
              <w:bottom w:w="57" w:type="dxa"/>
            </w:tcMar>
            <w:vAlign w:val="center"/>
          </w:tcPr>
          <w:p w14:paraId="0EA7BC8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0.03</w:t>
            </w:r>
          </w:p>
        </w:tc>
        <w:tc>
          <w:tcPr>
            <w:tcW w:w="573" w:type="pct"/>
            <w:noWrap/>
            <w:tcMar>
              <w:top w:w="0" w:type="dxa"/>
              <w:bottom w:w="57" w:type="dxa"/>
            </w:tcMar>
            <w:vAlign w:val="center"/>
          </w:tcPr>
          <w:p w14:paraId="53F84E9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0.02</w:t>
            </w:r>
          </w:p>
        </w:tc>
        <w:tc>
          <w:tcPr>
            <w:tcW w:w="481" w:type="pct"/>
            <w:noWrap/>
            <w:tcMar>
              <w:top w:w="0" w:type="dxa"/>
              <w:bottom w:w="57" w:type="dxa"/>
            </w:tcMar>
            <w:vAlign w:val="center"/>
          </w:tcPr>
          <w:p w14:paraId="77EC2F53"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0.02</w:t>
            </w:r>
          </w:p>
        </w:tc>
      </w:tr>
    </w:tbl>
    <w:p w14:paraId="53413E9D"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87" w:name="_Toc22378"/>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3</w:t>
      </w: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b/>
          <w:bCs/>
          <w:snapToGrid/>
          <w:color w:val="auto"/>
          <w:kern w:val="2"/>
          <w:sz w:val="24"/>
          <w:szCs w:val="24"/>
          <w:lang w:eastAsia="zh-CN"/>
        </w:rPr>
        <w:t>密度及生物量</w:t>
      </w:r>
      <w:bookmarkEnd w:id="187"/>
    </w:p>
    <w:p w14:paraId="090BEF0C"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通过对调查到底栖动物的密度及生物量统计，</w:t>
      </w:r>
      <w:r>
        <w:rPr>
          <w:rFonts w:ascii="Times New Roman" w:eastAsia="宋体" w:hAnsi="Times New Roman" w:cs="Times New Roman" w:hint="eastAsia"/>
          <w:snapToGrid/>
          <w:color w:val="auto"/>
          <w:kern w:val="2"/>
          <w:sz w:val="24"/>
          <w:szCs w:val="24"/>
          <w:lang w:eastAsia="zh-CN"/>
        </w:rPr>
        <w:t>各站位</w:t>
      </w:r>
      <w:r>
        <w:rPr>
          <w:rFonts w:ascii="Times New Roman" w:eastAsia="宋体" w:hAnsi="Times New Roman" w:cs="Times New Roman"/>
          <w:snapToGrid/>
          <w:color w:val="auto"/>
          <w:kern w:val="2"/>
          <w:sz w:val="24"/>
          <w:szCs w:val="24"/>
          <w:lang w:eastAsia="zh-CN"/>
        </w:rPr>
        <w:t>底栖动物</w:t>
      </w:r>
      <w:r>
        <w:rPr>
          <w:rFonts w:ascii="Times New Roman" w:eastAsia="宋体" w:hAnsi="Times New Roman" w:cs="Times New Roman" w:hint="eastAsia"/>
          <w:snapToGrid/>
          <w:color w:val="auto"/>
          <w:kern w:val="2"/>
          <w:sz w:val="24"/>
          <w:szCs w:val="24"/>
          <w:lang w:eastAsia="zh-CN"/>
        </w:rPr>
        <w:t>栖息</w:t>
      </w:r>
      <w:r>
        <w:rPr>
          <w:rFonts w:ascii="Times New Roman" w:eastAsia="宋体" w:hAnsi="Times New Roman" w:cs="Times New Roman"/>
          <w:snapToGrid/>
          <w:color w:val="auto"/>
          <w:kern w:val="2"/>
          <w:sz w:val="24"/>
          <w:szCs w:val="24"/>
          <w:lang w:eastAsia="zh-CN"/>
        </w:rPr>
        <w:t>密度</w:t>
      </w:r>
      <w:r>
        <w:rPr>
          <w:rFonts w:ascii="Times New Roman" w:eastAsia="宋体" w:hAnsi="Times New Roman" w:cs="Times New Roman" w:hint="eastAsia"/>
          <w:snapToGrid/>
          <w:color w:val="auto"/>
          <w:kern w:val="2"/>
          <w:sz w:val="24"/>
          <w:szCs w:val="24"/>
          <w:lang w:eastAsia="zh-CN"/>
        </w:rPr>
        <w:t>范围为</w:t>
      </w:r>
      <w:r>
        <w:rPr>
          <w:rFonts w:ascii="Times New Roman" w:eastAsia="宋体" w:hAnsi="Times New Roman" w:cs="Times New Roman" w:hint="eastAsia"/>
          <w:snapToGrid/>
          <w:color w:val="auto"/>
          <w:kern w:val="2"/>
          <w:sz w:val="24"/>
          <w:szCs w:val="24"/>
          <w:lang w:eastAsia="zh-CN"/>
        </w:rPr>
        <w:t>16~128</w:t>
      </w:r>
      <w:r>
        <w:rPr>
          <w:rFonts w:ascii="Times New Roman" w:eastAsia="宋体" w:hAnsi="Times New Roman" w:cs="Times New Roman"/>
          <w:snapToGrid/>
          <w:color w:val="auto"/>
          <w:kern w:val="2"/>
          <w:sz w:val="24"/>
          <w:szCs w:val="24"/>
          <w:lang w:eastAsia="zh-CN"/>
        </w:rPr>
        <w:t xml:space="preserve"> ind./m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S6</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S7</w:t>
      </w:r>
      <w:r>
        <w:rPr>
          <w:rFonts w:ascii="Times New Roman" w:eastAsia="宋体" w:hAnsi="Times New Roman" w:cs="Times New Roman" w:hint="eastAsia"/>
          <w:snapToGrid/>
          <w:color w:val="auto"/>
          <w:kern w:val="2"/>
          <w:sz w:val="24"/>
          <w:szCs w:val="24"/>
          <w:lang w:eastAsia="zh-CN"/>
        </w:rPr>
        <w:t>站位，平均值为</w:t>
      </w:r>
      <w:r>
        <w:rPr>
          <w:rFonts w:ascii="Times New Roman" w:eastAsia="宋体" w:hAnsi="Times New Roman" w:cs="Times New Roman" w:hint="eastAsia"/>
          <w:snapToGrid/>
          <w:color w:val="auto"/>
          <w:kern w:val="2"/>
          <w:sz w:val="24"/>
          <w:szCs w:val="24"/>
          <w:lang w:eastAsia="zh-CN"/>
        </w:rPr>
        <w:t>57</w:t>
      </w:r>
      <w:r>
        <w:rPr>
          <w:rFonts w:ascii="Times New Roman" w:eastAsia="宋体" w:hAnsi="Times New Roman" w:cs="Times New Roman"/>
          <w:snapToGrid/>
          <w:color w:val="auto"/>
          <w:kern w:val="2"/>
          <w:sz w:val="24"/>
          <w:szCs w:val="24"/>
          <w:lang w:eastAsia="zh-CN"/>
        </w:rPr>
        <w:t xml:space="preserve"> ind./m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各</w:t>
      </w:r>
      <w:r>
        <w:rPr>
          <w:rFonts w:ascii="Times New Roman" w:eastAsia="宋体" w:hAnsi="Times New Roman" w:cs="Times New Roman"/>
          <w:snapToGrid/>
          <w:color w:val="auto"/>
          <w:kern w:val="2"/>
          <w:sz w:val="24"/>
          <w:szCs w:val="24"/>
          <w:lang w:eastAsia="zh-CN"/>
        </w:rPr>
        <w:t>站位底栖动物生物量</w:t>
      </w:r>
      <w:r>
        <w:rPr>
          <w:rFonts w:ascii="Times New Roman" w:eastAsia="宋体" w:hAnsi="Times New Roman" w:cs="Times New Roman" w:hint="eastAsia"/>
          <w:snapToGrid/>
          <w:color w:val="auto"/>
          <w:kern w:val="2"/>
          <w:sz w:val="24"/>
          <w:szCs w:val="24"/>
          <w:lang w:eastAsia="zh-CN"/>
        </w:rPr>
        <w:t>范围</w:t>
      </w:r>
      <w:r>
        <w:rPr>
          <w:rFonts w:ascii="Times New Roman" w:eastAsia="宋体" w:hAnsi="Times New Roman" w:cs="Times New Roman"/>
          <w:snapToGrid/>
          <w:color w:val="auto"/>
          <w:kern w:val="2"/>
          <w:sz w:val="24"/>
          <w:szCs w:val="24"/>
          <w:lang w:eastAsia="zh-CN"/>
        </w:rPr>
        <w:t>为</w:t>
      </w:r>
      <w:r>
        <w:rPr>
          <w:rFonts w:ascii="Times New Roman" w:eastAsia="宋体" w:hAnsi="Times New Roman" w:cs="Times New Roman" w:hint="eastAsia"/>
          <w:snapToGrid/>
          <w:color w:val="auto"/>
          <w:kern w:val="2"/>
          <w:sz w:val="24"/>
          <w:szCs w:val="24"/>
          <w:lang w:eastAsia="zh-CN"/>
        </w:rPr>
        <w:t>72.80~607.60</w:t>
      </w:r>
      <w:r>
        <w:rPr>
          <w:rFonts w:ascii="Times New Roman" w:eastAsia="宋体" w:hAnsi="Times New Roman" w:cs="Times New Roman"/>
          <w:snapToGrid/>
          <w:color w:val="auto"/>
          <w:kern w:val="2"/>
          <w:sz w:val="24"/>
          <w:szCs w:val="24"/>
          <w:lang w:eastAsia="zh-CN"/>
        </w:rPr>
        <w:t xml:space="preserve"> g/m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S6</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S8</w:t>
      </w:r>
      <w:r>
        <w:rPr>
          <w:rFonts w:ascii="Times New Roman" w:eastAsia="宋体" w:hAnsi="Times New Roman" w:cs="Times New Roman" w:hint="eastAsia"/>
          <w:snapToGrid/>
          <w:color w:val="auto"/>
          <w:kern w:val="2"/>
          <w:sz w:val="24"/>
          <w:szCs w:val="24"/>
          <w:lang w:eastAsia="zh-CN"/>
        </w:rPr>
        <w:t>站位，平均值</w:t>
      </w:r>
      <w:r>
        <w:rPr>
          <w:rFonts w:ascii="Times New Roman" w:eastAsia="宋体" w:hAnsi="Times New Roman" w:cs="Times New Roman"/>
          <w:snapToGrid/>
          <w:color w:val="auto"/>
          <w:kern w:val="2"/>
          <w:sz w:val="24"/>
          <w:szCs w:val="24"/>
          <w:lang w:eastAsia="zh-CN"/>
        </w:rPr>
        <w:t>为</w:t>
      </w:r>
      <w:r>
        <w:rPr>
          <w:rFonts w:ascii="Times New Roman" w:eastAsia="宋体" w:hAnsi="Times New Roman" w:cs="Times New Roman" w:hint="eastAsia"/>
          <w:snapToGrid/>
          <w:color w:val="auto"/>
          <w:kern w:val="2"/>
          <w:sz w:val="24"/>
          <w:szCs w:val="24"/>
          <w:lang w:eastAsia="zh-CN"/>
        </w:rPr>
        <w:t>300.01</w:t>
      </w:r>
      <w:r>
        <w:rPr>
          <w:rFonts w:ascii="Times New Roman" w:eastAsia="宋体" w:hAnsi="Times New Roman" w:cs="Times New Roman"/>
          <w:snapToGrid/>
          <w:color w:val="auto"/>
          <w:kern w:val="2"/>
          <w:sz w:val="24"/>
          <w:szCs w:val="24"/>
          <w:lang w:eastAsia="zh-CN"/>
        </w:rPr>
        <w:t xml:space="preserve"> g/m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宋体" w:hint="eastAsia"/>
          <w:color w:val="auto"/>
          <w:spacing w:val="-2"/>
          <w:sz w:val="24"/>
          <w:szCs w:val="24"/>
          <w:lang w:eastAsia="zh-CN"/>
        </w:rPr>
        <w:t>3.2.6-13</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w:t>
      </w:r>
    </w:p>
    <w:p w14:paraId="29DE42F4" w14:textId="77777777" w:rsidR="0075791A" w:rsidRDefault="00FB2864">
      <w:pPr>
        <w:widowControl w:val="0"/>
        <w:kinsoku/>
        <w:autoSpaceDE/>
        <w:autoSpaceDN/>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 xml:space="preserve">3.2.6-13 </w:t>
      </w:r>
      <w:r>
        <w:rPr>
          <w:rFonts w:ascii="Times New Roman" w:eastAsia="宋体" w:hAnsi="Times New Roman" w:cs="Times New Roman" w:hint="eastAsia"/>
          <w:snapToGrid/>
          <w:color w:val="auto"/>
          <w:kern w:val="2"/>
          <w:sz w:val="24"/>
          <w:szCs w:val="24"/>
          <w:lang w:eastAsia="zh-CN"/>
        </w:rPr>
        <w:t>密度及生物量</w:t>
      </w:r>
    </w:p>
    <w:tbl>
      <w:tblPr>
        <w:tblW w:w="46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2017"/>
        <w:gridCol w:w="1653"/>
        <w:gridCol w:w="730"/>
        <w:gridCol w:w="1982"/>
        <w:gridCol w:w="1653"/>
      </w:tblGrid>
      <w:tr w:rsidR="0075791A" w14:paraId="2B32CBB3" w14:textId="77777777">
        <w:trPr>
          <w:trHeight w:val="330"/>
        </w:trPr>
        <w:tc>
          <w:tcPr>
            <w:tcW w:w="398" w:type="pct"/>
            <w:noWrap/>
            <w:vAlign w:val="center"/>
          </w:tcPr>
          <w:p w14:paraId="4EBB48D5"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站位</w:t>
            </w:r>
          </w:p>
        </w:tc>
        <w:tc>
          <w:tcPr>
            <w:tcW w:w="1154" w:type="pct"/>
            <w:noWrap/>
            <w:vAlign w:val="center"/>
          </w:tcPr>
          <w:p w14:paraId="01E5E415"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栖息密度（</w:t>
            </w:r>
            <w:r>
              <w:rPr>
                <w:rFonts w:ascii="Times New Roman" w:eastAsia="宋体" w:hAnsi="Times New Roman" w:cs="Times New Roman"/>
                <w:b/>
                <w:bCs/>
                <w:snapToGrid/>
                <w:color w:val="auto"/>
                <w:sz w:val="24"/>
                <w:szCs w:val="18"/>
                <w:lang w:eastAsia="zh-CN" w:bidi="ar"/>
              </w:rPr>
              <w:t>ind./m</w:t>
            </w:r>
            <w:r>
              <w:rPr>
                <w:rFonts w:ascii="Times New Roman" w:eastAsia="宋体" w:hAnsi="Times New Roman" w:cs="Times New Roman"/>
                <w:b/>
                <w:bCs/>
                <w:snapToGrid/>
                <w:color w:val="auto"/>
                <w:sz w:val="24"/>
                <w:szCs w:val="18"/>
                <w:vertAlign w:val="superscript"/>
                <w:lang w:eastAsia="zh-CN" w:bidi="ar"/>
              </w:rPr>
              <w:t>2</w:t>
            </w:r>
            <w:r>
              <w:rPr>
                <w:rFonts w:ascii="Times New Roman" w:eastAsia="宋体" w:hAnsi="Times New Roman" w:cs="Times New Roman"/>
                <w:b/>
                <w:bCs/>
                <w:snapToGrid/>
                <w:color w:val="auto"/>
                <w:sz w:val="24"/>
                <w:szCs w:val="18"/>
                <w:lang w:eastAsia="zh-CN" w:bidi="ar"/>
              </w:rPr>
              <w:t>）</w:t>
            </w:r>
          </w:p>
        </w:tc>
        <w:tc>
          <w:tcPr>
            <w:tcW w:w="946" w:type="pct"/>
            <w:noWrap/>
            <w:vAlign w:val="center"/>
          </w:tcPr>
          <w:p w14:paraId="6B6B9ECB"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生物量（</w:t>
            </w:r>
            <w:r>
              <w:rPr>
                <w:rFonts w:ascii="Times New Roman" w:eastAsia="宋体" w:hAnsi="Times New Roman" w:cs="Times New Roman"/>
                <w:b/>
                <w:bCs/>
                <w:snapToGrid/>
                <w:color w:val="auto"/>
                <w:sz w:val="24"/>
                <w:szCs w:val="18"/>
                <w:lang w:eastAsia="zh-CN" w:bidi="ar"/>
              </w:rPr>
              <w:t>g/m</w:t>
            </w:r>
            <w:r>
              <w:rPr>
                <w:rFonts w:ascii="Times New Roman" w:eastAsia="宋体" w:hAnsi="Times New Roman" w:cs="Times New Roman"/>
                <w:b/>
                <w:bCs/>
                <w:snapToGrid/>
                <w:color w:val="auto"/>
                <w:sz w:val="24"/>
                <w:szCs w:val="18"/>
                <w:vertAlign w:val="superscript"/>
                <w:lang w:eastAsia="zh-CN" w:bidi="ar"/>
              </w:rPr>
              <w:t>2</w:t>
            </w:r>
            <w:r>
              <w:rPr>
                <w:rFonts w:ascii="Times New Roman" w:eastAsia="宋体" w:hAnsi="Times New Roman" w:cs="Times New Roman"/>
                <w:b/>
                <w:bCs/>
                <w:snapToGrid/>
                <w:color w:val="auto"/>
                <w:sz w:val="24"/>
                <w:szCs w:val="18"/>
                <w:lang w:eastAsia="zh-CN" w:bidi="ar"/>
              </w:rPr>
              <w:t>）</w:t>
            </w:r>
          </w:p>
        </w:tc>
        <w:tc>
          <w:tcPr>
            <w:tcW w:w="418" w:type="pct"/>
            <w:noWrap/>
            <w:vAlign w:val="center"/>
          </w:tcPr>
          <w:p w14:paraId="1AB7AF30"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站位</w:t>
            </w:r>
          </w:p>
        </w:tc>
        <w:tc>
          <w:tcPr>
            <w:tcW w:w="1134" w:type="pct"/>
            <w:noWrap/>
            <w:vAlign w:val="center"/>
          </w:tcPr>
          <w:p w14:paraId="13C87BF6"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栖息密度（</w:t>
            </w:r>
            <w:r>
              <w:rPr>
                <w:rFonts w:ascii="Times New Roman" w:eastAsia="宋体" w:hAnsi="Times New Roman" w:cs="Times New Roman"/>
                <w:b/>
                <w:bCs/>
                <w:snapToGrid/>
                <w:color w:val="auto"/>
                <w:sz w:val="24"/>
                <w:szCs w:val="18"/>
                <w:lang w:eastAsia="zh-CN" w:bidi="ar"/>
              </w:rPr>
              <w:t>ind./m</w:t>
            </w:r>
            <w:r>
              <w:rPr>
                <w:rFonts w:ascii="Times New Roman" w:eastAsia="宋体" w:hAnsi="Times New Roman" w:cs="Times New Roman"/>
                <w:b/>
                <w:bCs/>
                <w:snapToGrid/>
                <w:color w:val="auto"/>
                <w:sz w:val="24"/>
                <w:szCs w:val="18"/>
                <w:vertAlign w:val="superscript"/>
                <w:lang w:eastAsia="zh-CN" w:bidi="ar"/>
              </w:rPr>
              <w:t>2</w:t>
            </w:r>
            <w:r>
              <w:rPr>
                <w:rFonts w:ascii="Times New Roman" w:eastAsia="宋体" w:hAnsi="Times New Roman" w:cs="Times New Roman"/>
                <w:b/>
                <w:bCs/>
                <w:snapToGrid/>
                <w:color w:val="auto"/>
                <w:sz w:val="24"/>
                <w:szCs w:val="18"/>
                <w:lang w:eastAsia="zh-CN" w:bidi="ar"/>
              </w:rPr>
              <w:t>）</w:t>
            </w:r>
          </w:p>
        </w:tc>
        <w:tc>
          <w:tcPr>
            <w:tcW w:w="946" w:type="pct"/>
            <w:noWrap/>
            <w:vAlign w:val="center"/>
          </w:tcPr>
          <w:p w14:paraId="0D4856B3"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生物量（</w:t>
            </w:r>
            <w:r>
              <w:rPr>
                <w:rFonts w:ascii="Times New Roman" w:eastAsia="宋体" w:hAnsi="Times New Roman" w:cs="Times New Roman"/>
                <w:b/>
                <w:bCs/>
                <w:snapToGrid/>
                <w:color w:val="auto"/>
                <w:sz w:val="24"/>
                <w:szCs w:val="18"/>
                <w:lang w:eastAsia="zh-CN" w:bidi="ar"/>
              </w:rPr>
              <w:t>g/m</w:t>
            </w:r>
            <w:r>
              <w:rPr>
                <w:rFonts w:ascii="Times New Roman" w:eastAsia="宋体" w:hAnsi="Times New Roman" w:cs="Times New Roman"/>
                <w:b/>
                <w:bCs/>
                <w:snapToGrid/>
                <w:color w:val="auto"/>
                <w:sz w:val="24"/>
                <w:szCs w:val="18"/>
                <w:vertAlign w:val="superscript"/>
                <w:lang w:eastAsia="zh-CN" w:bidi="ar"/>
              </w:rPr>
              <w:t>2</w:t>
            </w:r>
            <w:r>
              <w:rPr>
                <w:rFonts w:ascii="Times New Roman" w:eastAsia="宋体" w:hAnsi="Times New Roman" w:cs="Times New Roman"/>
                <w:b/>
                <w:bCs/>
                <w:snapToGrid/>
                <w:color w:val="auto"/>
                <w:sz w:val="24"/>
                <w:szCs w:val="18"/>
                <w:lang w:eastAsia="zh-CN" w:bidi="ar"/>
              </w:rPr>
              <w:t>）</w:t>
            </w:r>
          </w:p>
        </w:tc>
      </w:tr>
      <w:tr w:rsidR="0075791A" w14:paraId="1F1EF39C" w14:textId="77777777">
        <w:trPr>
          <w:trHeight w:val="330"/>
        </w:trPr>
        <w:tc>
          <w:tcPr>
            <w:tcW w:w="398" w:type="pct"/>
            <w:noWrap/>
            <w:vAlign w:val="center"/>
          </w:tcPr>
          <w:p w14:paraId="56BD4E1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w:t>
            </w:r>
          </w:p>
        </w:tc>
        <w:tc>
          <w:tcPr>
            <w:tcW w:w="1154" w:type="pct"/>
            <w:noWrap/>
            <w:vAlign w:val="center"/>
          </w:tcPr>
          <w:p w14:paraId="376AC8A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56</w:t>
            </w:r>
          </w:p>
        </w:tc>
        <w:tc>
          <w:tcPr>
            <w:tcW w:w="946" w:type="pct"/>
            <w:noWrap/>
            <w:vAlign w:val="center"/>
          </w:tcPr>
          <w:p w14:paraId="16A0ED9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296.40</w:t>
            </w:r>
          </w:p>
        </w:tc>
        <w:tc>
          <w:tcPr>
            <w:tcW w:w="418" w:type="pct"/>
            <w:noWrap/>
            <w:vAlign w:val="center"/>
          </w:tcPr>
          <w:p w14:paraId="36C7667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S8</w:t>
            </w:r>
          </w:p>
        </w:tc>
        <w:tc>
          <w:tcPr>
            <w:tcW w:w="1134" w:type="pct"/>
            <w:noWrap/>
            <w:vAlign w:val="center"/>
          </w:tcPr>
          <w:p w14:paraId="1AB1B37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24</w:t>
            </w:r>
          </w:p>
        </w:tc>
        <w:tc>
          <w:tcPr>
            <w:tcW w:w="946" w:type="pct"/>
            <w:noWrap/>
            <w:vAlign w:val="center"/>
          </w:tcPr>
          <w:p w14:paraId="2E3E17A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72.80</w:t>
            </w:r>
          </w:p>
        </w:tc>
      </w:tr>
      <w:tr w:rsidR="0075791A" w14:paraId="30D6C429" w14:textId="77777777">
        <w:trPr>
          <w:trHeight w:val="330"/>
        </w:trPr>
        <w:tc>
          <w:tcPr>
            <w:tcW w:w="398" w:type="pct"/>
            <w:noWrap/>
            <w:vAlign w:val="center"/>
          </w:tcPr>
          <w:p w14:paraId="01745E2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S2</w:t>
            </w:r>
          </w:p>
        </w:tc>
        <w:tc>
          <w:tcPr>
            <w:tcW w:w="1154" w:type="pct"/>
            <w:noWrap/>
            <w:vAlign w:val="center"/>
          </w:tcPr>
          <w:p w14:paraId="684C8D4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80</w:t>
            </w:r>
          </w:p>
        </w:tc>
        <w:tc>
          <w:tcPr>
            <w:tcW w:w="946" w:type="pct"/>
            <w:noWrap/>
            <w:vAlign w:val="center"/>
          </w:tcPr>
          <w:p w14:paraId="5BD5B75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278.00</w:t>
            </w:r>
          </w:p>
        </w:tc>
        <w:tc>
          <w:tcPr>
            <w:tcW w:w="418" w:type="pct"/>
            <w:noWrap/>
            <w:vAlign w:val="center"/>
          </w:tcPr>
          <w:p w14:paraId="30E746E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S9</w:t>
            </w:r>
          </w:p>
        </w:tc>
        <w:tc>
          <w:tcPr>
            <w:tcW w:w="1134" w:type="pct"/>
            <w:noWrap/>
            <w:vAlign w:val="center"/>
          </w:tcPr>
          <w:p w14:paraId="339875B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40</w:t>
            </w:r>
          </w:p>
        </w:tc>
        <w:tc>
          <w:tcPr>
            <w:tcW w:w="946" w:type="pct"/>
            <w:noWrap/>
            <w:vAlign w:val="center"/>
          </w:tcPr>
          <w:p w14:paraId="7AE7FCB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242.16</w:t>
            </w:r>
          </w:p>
        </w:tc>
      </w:tr>
      <w:tr w:rsidR="0075791A" w14:paraId="7D0D91F9" w14:textId="77777777">
        <w:trPr>
          <w:trHeight w:val="330"/>
        </w:trPr>
        <w:tc>
          <w:tcPr>
            <w:tcW w:w="398" w:type="pct"/>
            <w:noWrap/>
            <w:vAlign w:val="center"/>
          </w:tcPr>
          <w:p w14:paraId="3A301E0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S3</w:t>
            </w:r>
          </w:p>
        </w:tc>
        <w:tc>
          <w:tcPr>
            <w:tcW w:w="1154" w:type="pct"/>
            <w:noWrap/>
            <w:vAlign w:val="center"/>
          </w:tcPr>
          <w:p w14:paraId="62FDCBA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60</w:t>
            </w:r>
          </w:p>
        </w:tc>
        <w:tc>
          <w:tcPr>
            <w:tcW w:w="946" w:type="pct"/>
            <w:noWrap/>
            <w:vAlign w:val="center"/>
          </w:tcPr>
          <w:p w14:paraId="3D7B04A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336.80</w:t>
            </w:r>
          </w:p>
        </w:tc>
        <w:tc>
          <w:tcPr>
            <w:tcW w:w="418" w:type="pct"/>
            <w:noWrap/>
            <w:vAlign w:val="center"/>
          </w:tcPr>
          <w:p w14:paraId="336EA14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S10</w:t>
            </w:r>
          </w:p>
        </w:tc>
        <w:tc>
          <w:tcPr>
            <w:tcW w:w="1134" w:type="pct"/>
            <w:noWrap/>
            <w:vAlign w:val="center"/>
          </w:tcPr>
          <w:p w14:paraId="362F2C5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48</w:t>
            </w:r>
          </w:p>
        </w:tc>
        <w:tc>
          <w:tcPr>
            <w:tcW w:w="946" w:type="pct"/>
            <w:noWrap/>
            <w:vAlign w:val="center"/>
          </w:tcPr>
          <w:p w14:paraId="4AC4DAE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173.20</w:t>
            </w:r>
          </w:p>
        </w:tc>
      </w:tr>
      <w:tr w:rsidR="0075791A" w14:paraId="3EE2B974" w14:textId="77777777">
        <w:trPr>
          <w:trHeight w:val="330"/>
        </w:trPr>
        <w:tc>
          <w:tcPr>
            <w:tcW w:w="398" w:type="pct"/>
            <w:noWrap/>
            <w:vAlign w:val="center"/>
          </w:tcPr>
          <w:p w14:paraId="0CA5EC0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S4</w:t>
            </w:r>
          </w:p>
        </w:tc>
        <w:tc>
          <w:tcPr>
            <w:tcW w:w="1154" w:type="pct"/>
            <w:noWrap/>
            <w:vAlign w:val="center"/>
          </w:tcPr>
          <w:p w14:paraId="545D8C7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76</w:t>
            </w:r>
          </w:p>
        </w:tc>
        <w:tc>
          <w:tcPr>
            <w:tcW w:w="946" w:type="pct"/>
            <w:noWrap/>
            <w:vAlign w:val="center"/>
          </w:tcPr>
          <w:p w14:paraId="23E24743"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314.40</w:t>
            </w:r>
          </w:p>
        </w:tc>
        <w:tc>
          <w:tcPr>
            <w:tcW w:w="418" w:type="pct"/>
            <w:noWrap/>
            <w:vAlign w:val="center"/>
          </w:tcPr>
          <w:p w14:paraId="3AD4984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S11</w:t>
            </w:r>
          </w:p>
        </w:tc>
        <w:tc>
          <w:tcPr>
            <w:tcW w:w="1134" w:type="pct"/>
            <w:noWrap/>
            <w:vAlign w:val="center"/>
          </w:tcPr>
          <w:p w14:paraId="08E1B0F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24</w:t>
            </w:r>
          </w:p>
        </w:tc>
        <w:tc>
          <w:tcPr>
            <w:tcW w:w="946" w:type="pct"/>
            <w:noWrap/>
            <w:vAlign w:val="center"/>
          </w:tcPr>
          <w:p w14:paraId="554E7B7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179.20</w:t>
            </w:r>
          </w:p>
        </w:tc>
      </w:tr>
      <w:tr w:rsidR="0075791A" w14:paraId="6A176AD2" w14:textId="77777777">
        <w:trPr>
          <w:trHeight w:val="330"/>
        </w:trPr>
        <w:tc>
          <w:tcPr>
            <w:tcW w:w="398" w:type="pct"/>
            <w:noWrap/>
            <w:vAlign w:val="center"/>
          </w:tcPr>
          <w:p w14:paraId="1AF1665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S5</w:t>
            </w:r>
          </w:p>
        </w:tc>
        <w:tc>
          <w:tcPr>
            <w:tcW w:w="1154" w:type="pct"/>
            <w:noWrap/>
            <w:vAlign w:val="center"/>
          </w:tcPr>
          <w:p w14:paraId="39EFF13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84</w:t>
            </w:r>
          </w:p>
        </w:tc>
        <w:tc>
          <w:tcPr>
            <w:tcW w:w="946" w:type="pct"/>
            <w:noWrap/>
            <w:vAlign w:val="center"/>
          </w:tcPr>
          <w:p w14:paraId="4505D47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451.20</w:t>
            </w:r>
          </w:p>
        </w:tc>
        <w:tc>
          <w:tcPr>
            <w:tcW w:w="418" w:type="pct"/>
            <w:noWrap/>
            <w:vAlign w:val="center"/>
          </w:tcPr>
          <w:p w14:paraId="0BB50BB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S12</w:t>
            </w:r>
          </w:p>
        </w:tc>
        <w:tc>
          <w:tcPr>
            <w:tcW w:w="1134" w:type="pct"/>
            <w:noWrap/>
            <w:vAlign w:val="center"/>
          </w:tcPr>
          <w:p w14:paraId="3B8F123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48</w:t>
            </w:r>
          </w:p>
        </w:tc>
        <w:tc>
          <w:tcPr>
            <w:tcW w:w="946" w:type="pct"/>
            <w:noWrap/>
            <w:vAlign w:val="center"/>
          </w:tcPr>
          <w:p w14:paraId="7ABAC4A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482.40</w:t>
            </w:r>
          </w:p>
        </w:tc>
      </w:tr>
      <w:tr w:rsidR="0075791A" w14:paraId="01C7E1A5" w14:textId="77777777">
        <w:trPr>
          <w:trHeight w:val="330"/>
        </w:trPr>
        <w:tc>
          <w:tcPr>
            <w:tcW w:w="398" w:type="pct"/>
            <w:noWrap/>
            <w:vAlign w:val="center"/>
          </w:tcPr>
          <w:p w14:paraId="1F69FBF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S6</w:t>
            </w:r>
          </w:p>
        </w:tc>
        <w:tc>
          <w:tcPr>
            <w:tcW w:w="1154" w:type="pct"/>
            <w:noWrap/>
            <w:vAlign w:val="center"/>
          </w:tcPr>
          <w:p w14:paraId="3FF502D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128</w:t>
            </w:r>
          </w:p>
        </w:tc>
        <w:tc>
          <w:tcPr>
            <w:tcW w:w="946" w:type="pct"/>
            <w:noWrap/>
            <w:vAlign w:val="center"/>
          </w:tcPr>
          <w:p w14:paraId="357B859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607.60</w:t>
            </w:r>
          </w:p>
        </w:tc>
        <w:tc>
          <w:tcPr>
            <w:tcW w:w="418" w:type="pct"/>
            <w:noWrap/>
            <w:vAlign w:val="center"/>
          </w:tcPr>
          <w:p w14:paraId="5EC1D41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平均</w:t>
            </w:r>
          </w:p>
        </w:tc>
        <w:tc>
          <w:tcPr>
            <w:tcW w:w="1134" w:type="pct"/>
            <w:noWrap/>
            <w:vAlign w:val="center"/>
          </w:tcPr>
          <w:p w14:paraId="4CF354F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57</w:t>
            </w:r>
          </w:p>
        </w:tc>
        <w:tc>
          <w:tcPr>
            <w:tcW w:w="946" w:type="pct"/>
            <w:noWrap/>
            <w:vAlign w:val="center"/>
          </w:tcPr>
          <w:p w14:paraId="2E0E9DC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300.01</w:t>
            </w:r>
          </w:p>
        </w:tc>
      </w:tr>
      <w:tr w:rsidR="0075791A" w14:paraId="407909CD" w14:textId="77777777">
        <w:trPr>
          <w:trHeight w:val="345"/>
        </w:trPr>
        <w:tc>
          <w:tcPr>
            <w:tcW w:w="398" w:type="pct"/>
            <w:noWrap/>
            <w:vAlign w:val="center"/>
          </w:tcPr>
          <w:p w14:paraId="6C281E3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S7</w:t>
            </w:r>
          </w:p>
        </w:tc>
        <w:tc>
          <w:tcPr>
            <w:tcW w:w="1154" w:type="pct"/>
            <w:noWrap/>
            <w:vAlign w:val="center"/>
          </w:tcPr>
          <w:p w14:paraId="5A1B91A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16</w:t>
            </w:r>
          </w:p>
        </w:tc>
        <w:tc>
          <w:tcPr>
            <w:tcW w:w="946" w:type="pct"/>
            <w:noWrap/>
            <w:vAlign w:val="center"/>
          </w:tcPr>
          <w:p w14:paraId="6EAE84B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166.00</w:t>
            </w:r>
          </w:p>
        </w:tc>
        <w:tc>
          <w:tcPr>
            <w:tcW w:w="418" w:type="pct"/>
            <w:noWrap/>
            <w:vAlign w:val="center"/>
          </w:tcPr>
          <w:p w14:paraId="38260EF0" w14:textId="77777777" w:rsidR="0075791A" w:rsidRDefault="0075791A">
            <w:pPr>
              <w:widowControl w:val="0"/>
              <w:kinsoku/>
              <w:autoSpaceDE/>
              <w:autoSpaceDN/>
              <w:adjustRightInd/>
              <w:snapToGrid/>
              <w:jc w:val="both"/>
              <w:textAlignment w:val="auto"/>
              <w:rPr>
                <w:rFonts w:ascii="Times New Roman" w:eastAsia="宋体" w:hAnsi="Times New Roman" w:cs="Times New Roman"/>
                <w:snapToGrid/>
                <w:color w:val="auto"/>
                <w:kern w:val="2"/>
                <w:sz w:val="24"/>
                <w:szCs w:val="18"/>
                <w:lang w:eastAsia="zh-CN"/>
              </w:rPr>
            </w:pPr>
          </w:p>
        </w:tc>
        <w:tc>
          <w:tcPr>
            <w:tcW w:w="1134" w:type="pct"/>
            <w:noWrap/>
            <w:vAlign w:val="center"/>
          </w:tcPr>
          <w:p w14:paraId="2717D858" w14:textId="77777777" w:rsidR="0075791A" w:rsidRDefault="0075791A">
            <w:pPr>
              <w:widowControl w:val="0"/>
              <w:kinsoku/>
              <w:autoSpaceDE/>
              <w:autoSpaceDN/>
              <w:adjustRightInd/>
              <w:snapToGrid/>
              <w:jc w:val="both"/>
              <w:textAlignment w:val="auto"/>
              <w:rPr>
                <w:rFonts w:ascii="Times New Roman" w:eastAsia="宋体" w:hAnsi="Times New Roman" w:cs="Times New Roman"/>
                <w:snapToGrid/>
                <w:color w:val="auto"/>
                <w:kern w:val="2"/>
                <w:sz w:val="24"/>
                <w:szCs w:val="18"/>
                <w:lang w:eastAsia="zh-CN"/>
              </w:rPr>
            </w:pPr>
          </w:p>
        </w:tc>
        <w:tc>
          <w:tcPr>
            <w:tcW w:w="946" w:type="pct"/>
            <w:noWrap/>
            <w:vAlign w:val="center"/>
          </w:tcPr>
          <w:p w14:paraId="58D36290" w14:textId="77777777" w:rsidR="0075791A" w:rsidRDefault="0075791A">
            <w:pPr>
              <w:widowControl w:val="0"/>
              <w:kinsoku/>
              <w:autoSpaceDE/>
              <w:autoSpaceDN/>
              <w:adjustRightInd/>
              <w:snapToGrid/>
              <w:jc w:val="both"/>
              <w:textAlignment w:val="auto"/>
              <w:rPr>
                <w:rFonts w:ascii="Times New Roman" w:eastAsia="宋体" w:hAnsi="Times New Roman" w:cs="Times New Roman"/>
                <w:snapToGrid/>
                <w:color w:val="auto"/>
                <w:kern w:val="2"/>
                <w:sz w:val="24"/>
                <w:szCs w:val="18"/>
                <w:lang w:eastAsia="zh-CN"/>
              </w:rPr>
            </w:pPr>
          </w:p>
        </w:tc>
      </w:tr>
    </w:tbl>
    <w:p w14:paraId="7E79CEFE"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88" w:name="_Toc3620"/>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4</w:t>
      </w: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b/>
          <w:bCs/>
          <w:snapToGrid/>
          <w:color w:val="auto"/>
          <w:kern w:val="2"/>
          <w:sz w:val="24"/>
          <w:szCs w:val="24"/>
          <w:lang w:eastAsia="zh-CN"/>
        </w:rPr>
        <w:t>多样性</w:t>
      </w:r>
      <w:r>
        <w:rPr>
          <w:rFonts w:ascii="Times New Roman" w:eastAsia="宋体" w:hAnsi="Times New Roman" w:cs="Times New Roman" w:hint="eastAsia"/>
          <w:b/>
          <w:bCs/>
          <w:snapToGrid/>
          <w:color w:val="auto"/>
          <w:kern w:val="2"/>
          <w:sz w:val="24"/>
          <w:szCs w:val="24"/>
          <w:lang w:eastAsia="zh-CN"/>
        </w:rPr>
        <w:t>分析</w:t>
      </w:r>
      <w:bookmarkEnd w:id="188"/>
    </w:p>
    <w:p w14:paraId="2206D817"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采用多样性指数、均匀度</w:t>
      </w:r>
      <w:r>
        <w:rPr>
          <w:rFonts w:ascii="Times New Roman" w:eastAsia="宋体" w:hAnsi="Times New Roman" w:cs="Times New Roman" w:hint="eastAsia"/>
          <w:snapToGrid/>
          <w:color w:val="auto"/>
          <w:kern w:val="2"/>
          <w:sz w:val="24"/>
          <w:szCs w:val="24"/>
          <w:lang w:eastAsia="zh-CN"/>
        </w:rPr>
        <w:t>及丰富度</w:t>
      </w:r>
      <w:r>
        <w:rPr>
          <w:rFonts w:ascii="Times New Roman" w:eastAsia="宋体" w:hAnsi="Times New Roman" w:cs="Times New Roman"/>
          <w:snapToGrid/>
          <w:color w:val="auto"/>
          <w:kern w:val="2"/>
          <w:sz w:val="24"/>
          <w:szCs w:val="24"/>
          <w:lang w:eastAsia="zh-CN"/>
        </w:rPr>
        <w:t>对</w:t>
      </w:r>
      <w:r>
        <w:rPr>
          <w:rFonts w:ascii="Times New Roman" w:eastAsia="宋体" w:hAnsi="Times New Roman" w:cs="Times New Roman" w:hint="eastAsia"/>
          <w:snapToGrid/>
          <w:color w:val="auto"/>
          <w:kern w:val="2"/>
          <w:sz w:val="24"/>
          <w:szCs w:val="24"/>
          <w:lang w:eastAsia="zh-CN"/>
        </w:rPr>
        <w:t>底栖</w:t>
      </w:r>
      <w:r>
        <w:rPr>
          <w:rFonts w:ascii="Times New Roman" w:eastAsia="宋体" w:hAnsi="Times New Roman" w:cs="Times New Roman"/>
          <w:snapToGrid/>
          <w:color w:val="auto"/>
          <w:kern w:val="2"/>
          <w:sz w:val="24"/>
          <w:szCs w:val="24"/>
          <w:lang w:eastAsia="zh-CN"/>
        </w:rPr>
        <w:t>生物的群落结构特征进行分析。结果表明，</w:t>
      </w:r>
      <w:r>
        <w:rPr>
          <w:rFonts w:ascii="Times New Roman" w:eastAsia="宋体" w:hAnsi="Times New Roman" w:cs="Times New Roman" w:hint="eastAsia"/>
          <w:snapToGrid/>
          <w:color w:val="auto"/>
          <w:kern w:val="2"/>
          <w:sz w:val="24"/>
          <w:szCs w:val="24"/>
          <w:lang w:eastAsia="zh-CN"/>
        </w:rPr>
        <w:t>各站位底栖</w:t>
      </w:r>
      <w:r>
        <w:rPr>
          <w:rFonts w:ascii="Times New Roman" w:eastAsia="宋体" w:hAnsi="Times New Roman" w:cs="Times New Roman"/>
          <w:snapToGrid/>
          <w:color w:val="auto"/>
          <w:kern w:val="2"/>
          <w:sz w:val="24"/>
          <w:szCs w:val="24"/>
          <w:lang w:eastAsia="zh-CN"/>
        </w:rPr>
        <w:t>生物</w:t>
      </w:r>
      <w:r>
        <w:rPr>
          <w:rFonts w:ascii="Times New Roman" w:eastAsia="宋体" w:hAnsi="Times New Roman" w:cs="Times New Roman" w:hint="eastAsia"/>
          <w:snapToGrid/>
          <w:color w:val="auto"/>
          <w:kern w:val="2"/>
          <w:sz w:val="24"/>
          <w:szCs w:val="24"/>
          <w:lang w:eastAsia="zh-CN"/>
        </w:rPr>
        <w:t>多样性指数范围为</w:t>
      </w:r>
      <w:r>
        <w:rPr>
          <w:rFonts w:ascii="Times New Roman" w:eastAsia="宋体" w:hAnsi="Times New Roman" w:cs="Times New Roman" w:hint="eastAsia"/>
          <w:snapToGrid/>
          <w:color w:val="auto"/>
          <w:kern w:val="2"/>
          <w:sz w:val="24"/>
          <w:szCs w:val="24"/>
          <w:lang w:eastAsia="zh-CN"/>
        </w:rPr>
        <w:t>1.46~3.42</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S6</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S8</w:t>
      </w:r>
      <w:r>
        <w:rPr>
          <w:rFonts w:ascii="Times New Roman" w:eastAsia="宋体" w:hAnsi="Times New Roman" w:cs="Times New Roman" w:hint="eastAsia"/>
          <w:snapToGrid/>
          <w:color w:val="auto"/>
          <w:kern w:val="2"/>
          <w:sz w:val="24"/>
          <w:szCs w:val="24"/>
          <w:lang w:eastAsia="zh-CN"/>
        </w:rPr>
        <w:t>及</w:t>
      </w:r>
      <w:r>
        <w:rPr>
          <w:rFonts w:ascii="Times New Roman" w:eastAsia="宋体" w:hAnsi="Times New Roman" w:cs="Times New Roman" w:hint="eastAsia"/>
          <w:snapToGrid/>
          <w:color w:val="auto"/>
          <w:kern w:val="2"/>
          <w:sz w:val="24"/>
          <w:szCs w:val="24"/>
          <w:lang w:eastAsia="zh-CN"/>
        </w:rPr>
        <w:t>S11</w:t>
      </w:r>
      <w:r>
        <w:rPr>
          <w:rFonts w:ascii="Times New Roman" w:eastAsia="宋体" w:hAnsi="Times New Roman" w:cs="Times New Roman" w:hint="eastAsia"/>
          <w:snapToGrid/>
          <w:color w:val="auto"/>
          <w:kern w:val="2"/>
          <w:sz w:val="24"/>
          <w:szCs w:val="24"/>
          <w:lang w:eastAsia="zh-CN"/>
        </w:rPr>
        <w:t>站位，平均值为</w:t>
      </w:r>
      <w:r>
        <w:rPr>
          <w:rFonts w:ascii="Times New Roman" w:eastAsia="宋体" w:hAnsi="Times New Roman" w:cs="Times New Roman" w:hint="eastAsia"/>
          <w:snapToGrid/>
          <w:color w:val="auto"/>
          <w:kern w:val="2"/>
          <w:sz w:val="24"/>
          <w:szCs w:val="24"/>
          <w:lang w:eastAsia="zh-CN"/>
        </w:rPr>
        <w:t>2.34</w:t>
      </w:r>
      <w:r>
        <w:rPr>
          <w:rFonts w:ascii="Times New Roman" w:eastAsia="宋体" w:hAnsi="Times New Roman" w:cs="Times New Roman" w:hint="eastAsia"/>
          <w:snapToGrid/>
          <w:color w:val="auto"/>
          <w:kern w:val="2"/>
          <w:sz w:val="24"/>
          <w:szCs w:val="24"/>
          <w:lang w:eastAsia="zh-CN"/>
        </w:rPr>
        <w:t>；各站位底栖</w:t>
      </w:r>
      <w:r>
        <w:rPr>
          <w:rFonts w:ascii="Times New Roman" w:eastAsia="宋体" w:hAnsi="Times New Roman" w:cs="Times New Roman"/>
          <w:snapToGrid/>
          <w:color w:val="auto"/>
          <w:kern w:val="2"/>
          <w:sz w:val="24"/>
          <w:szCs w:val="24"/>
          <w:lang w:eastAsia="zh-CN"/>
        </w:rPr>
        <w:t>生物</w:t>
      </w:r>
      <w:r>
        <w:rPr>
          <w:rFonts w:ascii="Times New Roman" w:eastAsia="宋体" w:hAnsi="Times New Roman" w:cs="Times New Roman" w:hint="eastAsia"/>
          <w:snapToGrid/>
          <w:color w:val="auto"/>
          <w:kern w:val="2"/>
          <w:sz w:val="24"/>
          <w:szCs w:val="24"/>
          <w:lang w:eastAsia="zh-CN"/>
        </w:rPr>
        <w:t>丰富度指数范围为</w:t>
      </w:r>
      <w:r>
        <w:rPr>
          <w:rFonts w:ascii="Times New Roman" w:eastAsia="宋体" w:hAnsi="Times New Roman" w:cs="Times New Roman" w:hint="eastAsia"/>
          <w:snapToGrid/>
          <w:color w:val="auto"/>
          <w:kern w:val="2"/>
          <w:sz w:val="24"/>
          <w:szCs w:val="24"/>
          <w:lang w:eastAsia="zh-CN"/>
        </w:rPr>
        <w:t>0.56~2.20</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S6</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S10</w:t>
      </w:r>
      <w:r>
        <w:rPr>
          <w:rFonts w:ascii="Times New Roman" w:eastAsia="宋体" w:hAnsi="Times New Roman" w:cs="Times New Roman" w:hint="eastAsia"/>
          <w:snapToGrid/>
          <w:color w:val="auto"/>
          <w:kern w:val="2"/>
          <w:sz w:val="24"/>
          <w:szCs w:val="24"/>
          <w:lang w:eastAsia="zh-CN"/>
        </w:rPr>
        <w:t>站位，平均值为</w:t>
      </w:r>
      <w:r>
        <w:rPr>
          <w:rFonts w:ascii="Times New Roman" w:eastAsia="宋体" w:hAnsi="Times New Roman" w:cs="Times New Roman" w:hint="eastAsia"/>
          <w:snapToGrid/>
          <w:color w:val="auto"/>
          <w:kern w:val="2"/>
          <w:sz w:val="24"/>
          <w:szCs w:val="24"/>
          <w:lang w:eastAsia="zh-CN"/>
        </w:rPr>
        <w:t>1.37</w:t>
      </w:r>
      <w:r>
        <w:rPr>
          <w:rFonts w:ascii="Times New Roman" w:eastAsia="宋体" w:hAnsi="Times New Roman" w:cs="Times New Roman" w:hint="eastAsia"/>
          <w:snapToGrid/>
          <w:color w:val="auto"/>
          <w:kern w:val="2"/>
          <w:sz w:val="24"/>
          <w:szCs w:val="24"/>
          <w:lang w:eastAsia="zh-CN"/>
        </w:rPr>
        <w:t>；各站位底栖</w:t>
      </w:r>
      <w:r>
        <w:rPr>
          <w:rFonts w:ascii="Times New Roman" w:eastAsia="宋体" w:hAnsi="Times New Roman" w:cs="Times New Roman"/>
          <w:snapToGrid/>
          <w:color w:val="auto"/>
          <w:kern w:val="2"/>
          <w:sz w:val="24"/>
          <w:szCs w:val="24"/>
          <w:lang w:eastAsia="zh-CN"/>
        </w:rPr>
        <w:t>生物</w:t>
      </w:r>
      <w:r>
        <w:rPr>
          <w:rFonts w:ascii="Times New Roman" w:eastAsia="宋体" w:hAnsi="Times New Roman" w:cs="Times New Roman" w:hint="eastAsia"/>
          <w:snapToGrid/>
          <w:color w:val="auto"/>
          <w:kern w:val="2"/>
          <w:sz w:val="24"/>
          <w:szCs w:val="24"/>
          <w:lang w:eastAsia="zh-CN"/>
        </w:rPr>
        <w:t>均匀度指数范围为</w:t>
      </w:r>
      <w:r>
        <w:rPr>
          <w:rFonts w:ascii="Times New Roman" w:eastAsia="宋体" w:hAnsi="Times New Roman" w:cs="Times New Roman" w:hint="eastAsia"/>
          <w:snapToGrid/>
          <w:color w:val="auto"/>
          <w:kern w:val="2"/>
          <w:sz w:val="24"/>
          <w:szCs w:val="24"/>
          <w:lang w:eastAsia="zh-CN"/>
        </w:rPr>
        <w:t>0.92~</w:t>
      </w:r>
      <w:r>
        <w:rPr>
          <w:rFonts w:ascii="Times New Roman" w:eastAsia="宋体" w:hAnsi="Times New Roman" w:cs="Times New Roman"/>
          <w:snapToGrid/>
          <w:color w:val="auto"/>
          <w:kern w:val="2"/>
          <w:sz w:val="24"/>
          <w:szCs w:val="24"/>
          <w:lang w:eastAsia="zh-CN"/>
        </w:rPr>
        <w:t>0.</w:t>
      </w:r>
      <w:r>
        <w:rPr>
          <w:rFonts w:ascii="Times New Roman" w:eastAsia="宋体" w:hAnsi="Times New Roman" w:cs="Times New Roman" w:hint="eastAsia"/>
          <w:snapToGrid/>
          <w:color w:val="auto"/>
          <w:kern w:val="2"/>
          <w:sz w:val="24"/>
          <w:szCs w:val="24"/>
          <w:lang w:eastAsia="zh-CN"/>
        </w:rPr>
        <w:t>99</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S5</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S8</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S9</w:t>
      </w:r>
      <w:r>
        <w:rPr>
          <w:rFonts w:ascii="Times New Roman" w:eastAsia="宋体" w:hAnsi="Times New Roman" w:cs="Times New Roman" w:hint="eastAsia"/>
          <w:snapToGrid/>
          <w:color w:val="auto"/>
          <w:kern w:val="2"/>
          <w:sz w:val="24"/>
          <w:szCs w:val="24"/>
          <w:lang w:eastAsia="zh-CN"/>
        </w:rPr>
        <w:t>及</w:t>
      </w:r>
      <w:r>
        <w:rPr>
          <w:rFonts w:ascii="Times New Roman" w:eastAsia="宋体" w:hAnsi="Times New Roman" w:cs="Times New Roman" w:hint="eastAsia"/>
          <w:snapToGrid/>
          <w:color w:val="auto"/>
          <w:kern w:val="2"/>
          <w:sz w:val="24"/>
          <w:szCs w:val="24"/>
          <w:lang w:eastAsia="zh-CN"/>
        </w:rPr>
        <w:t>S11</w:t>
      </w:r>
      <w:r>
        <w:rPr>
          <w:rFonts w:ascii="Times New Roman" w:eastAsia="宋体" w:hAnsi="Times New Roman" w:cs="Times New Roman" w:hint="eastAsia"/>
          <w:snapToGrid/>
          <w:color w:val="auto"/>
          <w:kern w:val="2"/>
          <w:sz w:val="24"/>
          <w:szCs w:val="24"/>
          <w:lang w:eastAsia="zh-CN"/>
        </w:rPr>
        <w:t>站位，平均值为</w:t>
      </w:r>
      <w:r>
        <w:rPr>
          <w:rFonts w:ascii="Times New Roman" w:eastAsia="宋体" w:hAnsi="Times New Roman" w:cs="Times New Roman" w:hint="eastAsia"/>
          <w:snapToGrid/>
          <w:color w:val="auto"/>
          <w:kern w:val="2"/>
          <w:sz w:val="24"/>
          <w:szCs w:val="24"/>
          <w:lang w:eastAsia="zh-CN"/>
        </w:rPr>
        <w:t>0.95</w:t>
      </w:r>
      <w:r>
        <w:rPr>
          <w:rFonts w:ascii="Times New Roman" w:eastAsia="宋体" w:hAnsi="Times New Roman" w:cs="Times New Roman"/>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3.2.6-14</w:t>
      </w:r>
      <w:r>
        <w:rPr>
          <w:rFonts w:ascii="Times New Roman" w:eastAsia="宋体" w:hAnsi="Times New Roman" w:cs="Times New Roman"/>
          <w:snapToGrid/>
          <w:color w:val="auto"/>
          <w:kern w:val="2"/>
          <w:sz w:val="24"/>
          <w:szCs w:val="24"/>
          <w:lang w:eastAsia="zh-CN"/>
        </w:rPr>
        <w:t>）。</w:t>
      </w:r>
    </w:p>
    <w:p w14:paraId="7B9CC0E5" w14:textId="77777777" w:rsidR="0075791A" w:rsidRDefault="00FB2864">
      <w:pPr>
        <w:widowControl w:val="0"/>
        <w:kinsoku/>
        <w:autoSpaceDE/>
        <w:autoSpaceDN/>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3.2.6-14</w:t>
      </w:r>
      <w:r>
        <w:rPr>
          <w:rFonts w:ascii="Times New Roman" w:eastAsia="宋体" w:hAnsi="Times New Roman" w:cs="Times New Roman"/>
          <w:snapToGrid/>
          <w:color w:val="auto"/>
          <w:kern w:val="2"/>
          <w:sz w:val="24"/>
          <w:szCs w:val="24"/>
          <w:lang w:eastAsia="zh-CN"/>
        </w:rPr>
        <w:t>多样性及均匀性</w:t>
      </w:r>
    </w:p>
    <w:tbl>
      <w:tblPr>
        <w:tblW w:w="4668" w:type="pct"/>
        <w:jc w:val="center"/>
        <w:tblLook w:val="04A0" w:firstRow="1" w:lastRow="0" w:firstColumn="1" w:lastColumn="0" w:noHBand="0" w:noVBand="1"/>
      </w:tblPr>
      <w:tblGrid>
        <w:gridCol w:w="1628"/>
        <w:gridCol w:w="2367"/>
        <w:gridCol w:w="2367"/>
        <w:gridCol w:w="2368"/>
      </w:tblGrid>
      <w:tr w:rsidR="0075791A" w14:paraId="0E936FD2" w14:textId="77777777">
        <w:trPr>
          <w:trHeight w:val="292"/>
          <w:tblHeader/>
          <w:jc w:val="center"/>
        </w:trPr>
        <w:tc>
          <w:tcPr>
            <w:tcW w:w="933" w:type="pct"/>
            <w:tcBorders>
              <w:top w:val="single" w:sz="4" w:space="0" w:color="000000"/>
              <w:left w:val="single" w:sz="4" w:space="0" w:color="000000"/>
              <w:bottom w:val="single" w:sz="4" w:space="0" w:color="000000"/>
              <w:right w:val="single" w:sz="4" w:space="0" w:color="000000"/>
            </w:tcBorders>
            <w:noWrap/>
            <w:vAlign w:val="center"/>
          </w:tcPr>
          <w:p w14:paraId="47A10987"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站位</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07F74F19"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多样性</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35A21766"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丰富度</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26686911"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均匀度</w:t>
            </w:r>
          </w:p>
        </w:tc>
      </w:tr>
      <w:tr w:rsidR="0075791A" w14:paraId="0DC1B8AC" w14:textId="77777777">
        <w:trPr>
          <w:trHeight w:val="292"/>
          <w:jc w:val="center"/>
        </w:trPr>
        <w:tc>
          <w:tcPr>
            <w:tcW w:w="933" w:type="pct"/>
            <w:tcBorders>
              <w:top w:val="single" w:sz="4" w:space="0" w:color="000000"/>
              <w:left w:val="single" w:sz="4" w:space="0" w:color="000000"/>
              <w:bottom w:val="single" w:sz="4" w:space="0" w:color="000000"/>
              <w:right w:val="single" w:sz="4" w:space="0" w:color="000000"/>
            </w:tcBorders>
            <w:noWrap/>
            <w:vAlign w:val="center"/>
          </w:tcPr>
          <w:p w14:paraId="4935791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237280B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2.90</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7AC0591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1.84</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4026060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0.97</w:t>
            </w:r>
          </w:p>
        </w:tc>
      </w:tr>
      <w:tr w:rsidR="0075791A" w14:paraId="34ACE640" w14:textId="77777777">
        <w:trPr>
          <w:trHeight w:val="292"/>
          <w:jc w:val="center"/>
        </w:trPr>
        <w:tc>
          <w:tcPr>
            <w:tcW w:w="933" w:type="pct"/>
            <w:tcBorders>
              <w:top w:val="single" w:sz="4" w:space="0" w:color="000000"/>
              <w:left w:val="single" w:sz="4" w:space="0" w:color="000000"/>
              <w:bottom w:val="single" w:sz="4" w:space="0" w:color="000000"/>
              <w:right w:val="single" w:sz="4" w:space="0" w:color="000000"/>
            </w:tcBorders>
            <w:noWrap/>
            <w:vAlign w:val="center"/>
          </w:tcPr>
          <w:p w14:paraId="5BD6639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S2</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4AB69DA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3.18</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5ACAB95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2.08</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2E34A50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0.96</w:t>
            </w:r>
          </w:p>
        </w:tc>
      </w:tr>
      <w:tr w:rsidR="0075791A" w14:paraId="75451D83" w14:textId="77777777">
        <w:trPr>
          <w:trHeight w:val="292"/>
          <w:jc w:val="center"/>
        </w:trPr>
        <w:tc>
          <w:tcPr>
            <w:tcW w:w="933" w:type="pct"/>
            <w:tcBorders>
              <w:top w:val="single" w:sz="4" w:space="0" w:color="000000"/>
              <w:left w:val="single" w:sz="4" w:space="0" w:color="000000"/>
              <w:bottom w:val="single" w:sz="4" w:space="0" w:color="000000"/>
              <w:right w:val="single" w:sz="4" w:space="0" w:color="000000"/>
            </w:tcBorders>
            <w:noWrap/>
            <w:vAlign w:val="center"/>
          </w:tcPr>
          <w:p w14:paraId="6809E8C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S3</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5F334D9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2.61</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4E338D8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1.54</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2AC8D2A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0.93</w:t>
            </w:r>
          </w:p>
        </w:tc>
      </w:tr>
      <w:tr w:rsidR="0075791A" w14:paraId="011CEF21" w14:textId="77777777">
        <w:trPr>
          <w:trHeight w:val="292"/>
          <w:jc w:val="center"/>
        </w:trPr>
        <w:tc>
          <w:tcPr>
            <w:tcW w:w="933" w:type="pct"/>
            <w:tcBorders>
              <w:top w:val="single" w:sz="4" w:space="0" w:color="000000"/>
              <w:left w:val="single" w:sz="4" w:space="0" w:color="000000"/>
              <w:bottom w:val="single" w:sz="4" w:space="0" w:color="000000"/>
              <w:right w:val="single" w:sz="4" w:space="0" w:color="000000"/>
            </w:tcBorders>
            <w:noWrap/>
            <w:vAlign w:val="center"/>
          </w:tcPr>
          <w:p w14:paraId="778A1F2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S4</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08DAF37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3.05</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52BAE84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1.88</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676DFA0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0.96</w:t>
            </w:r>
          </w:p>
        </w:tc>
      </w:tr>
      <w:tr w:rsidR="0075791A" w14:paraId="3506EA4E" w14:textId="77777777">
        <w:trPr>
          <w:trHeight w:val="292"/>
          <w:jc w:val="center"/>
        </w:trPr>
        <w:tc>
          <w:tcPr>
            <w:tcW w:w="933" w:type="pct"/>
            <w:tcBorders>
              <w:top w:val="single" w:sz="4" w:space="0" w:color="000000"/>
              <w:left w:val="single" w:sz="4" w:space="0" w:color="000000"/>
              <w:bottom w:val="single" w:sz="4" w:space="0" w:color="000000"/>
              <w:right w:val="single" w:sz="4" w:space="0" w:color="000000"/>
            </w:tcBorders>
            <w:noWrap/>
            <w:vAlign w:val="center"/>
          </w:tcPr>
          <w:p w14:paraId="4E0E74A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S5</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1B9DA58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3.27</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09E2F05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2.05</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622B5FC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0.99</w:t>
            </w:r>
          </w:p>
        </w:tc>
      </w:tr>
      <w:tr w:rsidR="0075791A" w14:paraId="1FA76BC6" w14:textId="77777777">
        <w:trPr>
          <w:trHeight w:val="292"/>
          <w:jc w:val="center"/>
        </w:trPr>
        <w:tc>
          <w:tcPr>
            <w:tcW w:w="933" w:type="pct"/>
            <w:tcBorders>
              <w:top w:val="single" w:sz="4" w:space="0" w:color="000000"/>
              <w:left w:val="single" w:sz="4" w:space="0" w:color="000000"/>
              <w:bottom w:val="single" w:sz="4" w:space="0" w:color="000000"/>
              <w:right w:val="single" w:sz="4" w:space="0" w:color="000000"/>
            </w:tcBorders>
            <w:noWrap/>
            <w:vAlign w:val="center"/>
          </w:tcPr>
          <w:p w14:paraId="655779F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S6</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67EEEB7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3.42</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53CB51C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2.20</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3A0CFF3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0.95</w:t>
            </w:r>
          </w:p>
        </w:tc>
      </w:tr>
      <w:tr w:rsidR="0075791A" w14:paraId="24B13AE8" w14:textId="77777777">
        <w:trPr>
          <w:trHeight w:val="292"/>
          <w:jc w:val="center"/>
        </w:trPr>
        <w:tc>
          <w:tcPr>
            <w:tcW w:w="933" w:type="pct"/>
            <w:tcBorders>
              <w:top w:val="single" w:sz="4" w:space="0" w:color="000000"/>
              <w:left w:val="single" w:sz="4" w:space="0" w:color="000000"/>
              <w:bottom w:val="single" w:sz="4" w:space="0" w:color="000000"/>
              <w:right w:val="single" w:sz="4" w:space="0" w:color="000000"/>
            </w:tcBorders>
            <w:noWrap/>
            <w:vAlign w:val="center"/>
          </w:tcPr>
          <w:p w14:paraId="74DE446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S7</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0DF2E31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1.50</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39FF6BE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1.00</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16DC839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0.95</w:t>
            </w:r>
          </w:p>
        </w:tc>
      </w:tr>
      <w:tr w:rsidR="0075791A" w14:paraId="22FD8D14" w14:textId="77777777">
        <w:trPr>
          <w:trHeight w:val="292"/>
          <w:jc w:val="center"/>
        </w:trPr>
        <w:tc>
          <w:tcPr>
            <w:tcW w:w="933" w:type="pct"/>
            <w:tcBorders>
              <w:top w:val="single" w:sz="4" w:space="0" w:color="000000"/>
              <w:left w:val="single" w:sz="4" w:space="0" w:color="000000"/>
              <w:bottom w:val="single" w:sz="4" w:space="0" w:color="000000"/>
              <w:right w:val="single" w:sz="4" w:space="0" w:color="000000"/>
            </w:tcBorders>
            <w:noWrap/>
            <w:vAlign w:val="center"/>
          </w:tcPr>
          <w:p w14:paraId="3E2DA43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S8</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78015B7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1.46</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671FF39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0.77</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4FD1141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0.92</w:t>
            </w:r>
          </w:p>
        </w:tc>
      </w:tr>
      <w:tr w:rsidR="0075791A" w14:paraId="6B3A3C88" w14:textId="77777777">
        <w:trPr>
          <w:trHeight w:val="292"/>
          <w:jc w:val="center"/>
        </w:trPr>
        <w:tc>
          <w:tcPr>
            <w:tcW w:w="933" w:type="pct"/>
            <w:tcBorders>
              <w:top w:val="single" w:sz="4" w:space="0" w:color="000000"/>
              <w:left w:val="single" w:sz="4" w:space="0" w:color="000000"/>
              <w:bottom w:val="single" w:sz="4" w:space="0" w:color="000000"/>
              <w:right w:val="single" w:sz="4" w:space="0" w:color="000000"/>
            </w:tcBorders>
            <w:noWrap/>
            <w:vAlign w:val="center"/>
          </w:tcPr>
          <w:p w14:paraId="741A0B5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S9</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2632B31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1.85</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020E78E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0.90</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00417BE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0.92</w:t>
            </w:r>
          </w:p>
        </w:tc>
      </w:tr>
      <w:tr w:rsidR="0075791A" w14:paraId="31E6D3F2" w14:textId="77777777">
        <w:trPr>
          <w:trHeight w:val="292"/>
          <w:jc w:val="center"/>
        </w:trPr>
        <w:tc>
          <w:tcPr>
            <w:tcW w:w="933" w:type="pct"/>
            <w:tcBorders>
              <w:top w:val="single" w:sz="4" w:space="0" w:color="000000"/>
              <w:left w:val="single" w:sz="4" w:space="0" w:color="000000"/>
              <w:bottom w:val="single" w:sz="4" w:space="0" w:color="000000"/>
              <w:right w:val="single" w:sz="4" w:space="0" w:color="000000"/>
            </w:tcBorders>
            <w:noWrap/>
            <w:vAlign w:val="center"/>
          </w:tcPr>
          <w:p w14:paraId="34311D6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S10</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5B4270C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1.48</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1EEE6DF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0.56</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3BFE9D5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0.94</w:t>
            </w:r>
          </w:p>
        </w:tc>
      </w:tr>
      <w:tr w:rsidR="0075791A" w14:paraId="2F31EFEC" w14:textId="77777777">
        <w:trPr>
          <w:trHeight w:val="292"/>
          <w:jc w:val="center"/>
        </w:trPr>
        <w:tc>
          <w:tcPr>
            <w:tcW w:w="933" w:type="pct"/>
            <w:tcBorders>
              <w:top w:val="single" w:sz="4" w:space="0" w:color="000000"/>
              <w:left w:val="single" w:sz="4" w:space="0" w:color="000000"/>
              <w:bottom w:val="single" w:sz="4" w:space="0" w:color="000000"/>
              <w:right w:val="single" w:sz="4" w:space="0" w:color="000000"/>
            </w:tcBorders>
            <w:noWrap/>
            <w:vAlign w:val="center"/>
          </w:tcPr>
          <w:p w14:paraId="7F5DAD5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S11</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47D11A2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1.46</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3BE477A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0.77</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46CFDBD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0.92</w:t>
            </w:r>
          </w:p>
        </w:tc>
      </w:tr>
      <w:tr w:rsidR="0075791A" w14:paraId="6C03246E" w14:textId="77777777">
        <w:trPr>
          <w:trHeight w:val="292"/>
          <w:jc w:val="center"/>
        </w:trPr>
        <w:tc>
          <w:tcPr>
            <w:tcW w:w="933" w:type="pct"/>
            <w:tcBorders>
              <w:top w:val="single" w:sz="4" w:space="0" w:color="000000"/>
              <w:left w:val="single" w:sz="4" w:space="0" w:color="000000"/>
              <w:bottom w:val="single" w:sz="4" w:space="0" w:color="000000"/>
              <w:right w:val="single" w:sz="4" w:space="0" w:color="000000"/>
            </w:tcBorders>
            <w:noWrap/>
            <w:vAlign w:val="center"/>
          </w:tcPr>
          <w:p w14:paraId="29CDED4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S12</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5C148DA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1.96</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1B8AA60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0.84</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3110C93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0.98</w:t>
            </w:r>
          </w:p>
        </w:tc>
      </w:tr>
      <w:tr w:rsidR="0075791A" w14:paraId="4A28C8C5" w14:textId="77777777">
        <w:trPr>
          <w:trHeight w:val="305"/>
          <w:jc w:val="center"/>
        </w:trPr>
        <w:tc>
          <w:tcPr>
            <w:tcW w:w="933" w:type="pct"/>
            <w:tcBorders>
              <w:top w:val="single" w:sz="4" w:space="0" w:color="000000"/>
              <w:left w:val="single" w:sz="4" w:space="0" w:color="000000"/>
              <w:bottom w:val="single" w:sz="4" w:space="0" w:color="000000"/>
              <w:right w:val="single" w:sz="4" w:space="0" w:color="000000"/>
            </w:tcBorders>
            <w:noWrap/>
            <w:vAlign w:val="center"/>
          </w:tcPr>
          <w:p w14:paraId="4F9982A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平均</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4F37044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2.34</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0CAC2B6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1.37</w:t>
            </w:r>
          </w:p>
        </w:tc>
        <w:tc>
          <w:tcPr>
            <w:tcW w:w="1355" w:type="pct"/>
            <w:tcBorders>
              <w:top w:val="single" w:sz="4" w:space="0" w:color="000000"/>
              <w:left w:val="single" w:sz="4" w:space="0" w:color="000000"/>
              <w:bottom w:val="single" w:sz="4" w:space="0" w:color="000000"/>
              <w:right w:val="single" w:sz="4" w:space="0" w:color="000000"/>
            </w:tcBorders>
            <w:noWrap/>
            <w:vAlign w:val="center"/>
          </w:tcPr>
          <w:p w14:paraId="4409E1D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0.95</w:t>
            </w:r>
          </w:p>
        </w:tc>
      </w:tr>
    </w:tbl>
    <w:p w14:paraId="19AB101A"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snapToGrid/>
          <w:color w:val="auto"/>
          <w:kern w:val="2"/>
          <w:sz w:val="24"/>
          <w:szCs w:val="24"/>
          <w:lang w:eastAsia="zh-CN"/>
        </w:rPr>
      </w:pPr>
      <w:bookmarkStart w:id="189" w:name="_Toc31539"/>
      <w:bookmarkStart w:id="190" w:name="_Toc28305"/>
      <w:r>
        <w:rPr>
          <w:rFonts w:ascii="Times New Roman" w:eastAsia="宋体" w:hAnsi="Times New Roman" w:cs="Times New Roman" w:hint="eastAsia"/>
          <w:b/>
          <w:bCs/>
          <w:snapToGrid/>
          <w:color w:val="auto"/>
          <w:sz w:val="24"/>
          <w:lang w:eastAsia="zh-CN" w:bidi="ar"/>
        </w:rPr>
        <w:lastRenderedPageBreak/>
        <w:t>（</w:t>
      </w:r>
      <w:r>
        <w:rPr>
          <w:rFonts w:ascii="Times New Roman" w:eastAsia="宋体" w:hAnsi="Times New Roman" w:cs="Times New Roman" w:hint="eastAsia"/>
          <w:b/>
          <w:bCs/>
          <w:snapToGrid/>
          <w:color w:val="auto"/>
          <w:sz w:val="24"/>
          <w:lang w:eastAsia="zh-CN" w:bidi="ar"/>
        </w:rPr>
        <w:t>5</w:t>
      </w:r>
      <w:r>
        <w:rPr>
          <w:rFonts w:ascii="Times New Roman" w:eastAsia="宋体" w:hAnsi="Times New Roman" w:cs="Times New Roman" w:hint="eastAsia"/>
          <w:b/>
          <w:bCs/>
          <w:snapToGrid/>
          <w:color w:val="auto"/>
          <w:sz w:val="24"/>
          <w:lang w:eastAsia="zh-CN" w:bidi="ar"/>
        </w:rPr>
        <w:t>）</w:t>
      </w:r>
      <w:r>
        <w:rPr>
          <w:rFonts w:ascii="Times New Roman" w:eastAsia="宋体" w:hAnsi="Times New Roman" w:cs="Times New Roman"/>
          <w:b/>
          <w:bCs/>
          <w:snapToGrid/>
          <w:color w:val="auto"/>
          <w:kern w:val="2"/>
          <w:sz w:val="24"/>
          <w:szCs w:val="24"/>
          <w:lang w:eastAsia="zh-CN"/>
        </w:rPr>
        <w:t>小结</w:t>
      </w:r>
      <w:bookmarkEnd w:id="189"/>
      <w:bookmarkEnd w:id="190"/>
    </w:p>
    <w:p w14:paraId="52956373"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本</w:t>
      </w:r>
      <w:r>
        <w:rPr>
          <w:rFonts w:ascii="Times New Roman" w:eastAsia="宋体" w:hAnsi="Times New Roman" w:cs="Times New Roman" w:hint="eastAsia"/>
          <w:snapToGrid/>
          <w:color w:val="auto"/>
          <w:kern w:val="2"/>
          <w:sz w:val="24"/>
          <w:szCs w:val="24"/>
          <w:lang w:eastAsia="zh-CN"/>
        </w:rPr>
        <w:t>次</w:t>
      </w:r>
      <w:r>
        <w:rPr>
          <w:rFonts w:ascii="Times New Roman" w:eastAsia="宋体" w:hAnsi="Times New Roman" w:cs="Times New Roman"/>
          <w:snapToGrid/>
          <w:color w:val="auto"/>
          <w:kern w:val="2"/>
          <w:sz w:val="24"/>
          <w:szCs w:val="24"/>
          <w:lang w:eastAsia="zh-CN"/>
        </w:rPr>
        <w:t>调查，底栖动物共调查到</w:t>
      </w:r>
      <w:r>
        <w:rPr>
          <w:rFonts w:ascii="Times New Roman" w:eastAsia="宋体" w:hAnsi="Times New Roman" w:cs="Times New Roman" w:hint="eastAsia"/>
          <w:snapToGrid/>
          <w:color w:val="auto"/>
          <w:kern w:val="2"/>
          <w:sz w:val="24"/>
          <w:szCs w:val="24"/>
          <w:lang w:eastAsia="zh-CN"/>
        </w:rPr>
        <w:t>25</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39</w:t>
      </w:r>
      <w:r>
        <w:rPr>
          <w:rFonts w:ascii="Times New Roman" w:eastAsia="宋体" w:hAnsi="Times New Roman" w:cs="Times New Roman" w:hint="eastAsia"/>
          <w:snapToGrid/>
          <w:color w:val="auto"/>
          <w:kern w:val="2"/>
          <w:sz w:val="24"/>
          <w:szCs w:val="24"/>
          <w:lang w:eastAsia="zh-CN"/>
        </w:rPr>
        <w:t>属</w:t>
      </w:r>
      <w:r>
        <w:rPr>
          <w:rFonts w:ascii="Times New Roman" w:eastAsia="宋体" w:hAnsi="Times New Roman" w:cs="Times New Roman" w:hint="eastAsia"/>
          <w:snapToGrid/>
          <w:color w:val="auto"/>
          <w:kern w:val="2"/>
          <w:sz w:val="24"/>
          <w:szCs w:val="24"/>
          <w:lang w:eastAsia="zh-CN"/>
        </w:rPr>
        <w:t>48</w:t>
      </w:r>
      <w:r>
        <w:rPr>
          <w:rFonts w:ascii="Times New Roman" w:eastAsia="宋体" w:hAnsi="Times New Roman" w:cs="Times New Roman"/>
          <w:snapToGrid/>
          <w:color w:val="auto"/>
          <w:kern w:val="2"/>
          <w:sz w:val="24"/>
          <w:szCs w:val="24"/>
          <w:lang w:eastAsia="zh-CN"/>
        </w:rPr>
        <w:t>种，绯拟沼螺、彩拟蟹守螺、奥莱彩螺、斑肋滨螺、纵带滩栖螺</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放逸短沟蜷、大瓶螺、中国圆田螺、海南溪蟹为水域优势种。密度及生物量统计结果表明，各站位底栖动物栖息密度范围为</w:t>
      </w:r>
      <w:r>
        <w:rPr>
          <w:rFonts w:ascii="Times New Roman" w:eastAsia="宋体" w:hAnsi="Times New Roman" w:cs="Times New Roman"/>
          <w:snapToGrid/>
          <w:color w:val="auto"/>
          <w:kern w:val="2"/>
          <w:sz w:val="24"/>
          <w:szCs w:val="24"/>
          <w:lang w:eastAsia="zh-CN"/>
        </w:rPr>
        <w:t>16~128 ind./m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，平均值为</w:t>
      </w:r>
      <w:r>
        <w:rPr>
          <w:rFonts w:ascii="Times New Roman" w:eastAsia="宋体" w:hAnsi="Times New Roman" w:cs="Times New Roman"/>
          <w:snapToGrid/>
          <w:color w:val="auto"/>
          <w:kern w:val="2"/>
          <w:sz w:val="24"/>
          <w:szCs w:val="24"/>
          <w:lang w:eastAsia="zh-CN"/>
        </w:rPr>
        <w:t>71 ind./m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；各站位底栖动物生物量范围为</w:t>
      </w:r>
      <w:r>
        <w:rPr>
          <w:rFonts w:ascii="Times New Roman" w:eastAsia="宋体" w:hAnsi="Times New Roman" w:cs="Times New Roman"/>
          <w:snapToGrid/>
          <w:color w:val="auto"/>
          <w:kern w:val="2"/>
          <w:sz w:val="24"/>
          <w:szCs w:val="24"/>
          <w:lang w:eastAsia="zh-CN"/>
        </w:rPr>
        <w:t>72.80~607.60 g/m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，平均值为</w:t>
      </w:r>
      <w:r>
        <w:rPr>
          <w:rFonts w:ascii="Times New Roman" w:eastAsia="宋体" w:hAnsi="Times New Roman" w:cs="Times New Roman"/>
          <w:snapToGrid/>
          <w:color w:val="auto"/>
          <w:kern w:val="2"/>
          <w:sz w:val="24"/>
          <w:szCs w:val="24"/>
          <w:lang w:eastAsia="zh-CN"/>
        </w:rPr>
        <w:t>350.06 g/m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。多样性分析结果表明，各站位底栖生物多样性指数范围为</w:t>
      </w:r>
      <w:r>
        <w:rPr>
          <w:rFonts w:ascii="Times New Roman" w:eastAsia="宋体" w:hAnsi="Times New Roman" w:cs="Times New Roman"/>
          <w:snapToGrid/>
          <w:color w:val="auto"/>
          <w:kern w:val="2"/>
          <w:sz w:val="24"/>
          <w:szCs w:val="24"/>
          <w:lang w:eastAsia="zh-CN"/>
        </w:rPr>
        <w:t>1.46~3.42</w:t>
      </w:r>
      <w:r>
        <w:rPr>
          <w:rFonts w:ascii="Times New Roman" w:eastAsia="宋体" w:hAnsi="Times New Roman" w:cs="Times New Roman"/>
          <w:snapToGrid/>
          <w:color w:val="auto"/>
          <w:kern w:val="2"/>
          <w:sz w:val="24"/>
          <w:szCs w:val="24"/>
          <w:lang w:eastAsia="zh-CN"/>
        </w:rPr>
        <w:t>，平均值为</w:t>
      </w:r>
      <w:r>
        <w:rPr>
          <w:rFonts w:ascii="Times New Roman" w:eastAsia="宋体" w:hAnsi="Times New Roman" w:cs="Times New Roman"/>
          <w:snapToGrid/>
          <w:color w:val="auto"/>
          <w:kern w:val="2"/>
          <w:sz w:val="24"/>
          <w:szCs w:val="24"/>
          <w:lang w:eastAsia="zh-CN"/>
        </w:rPr>
        <w:t>2.34</w:t>
      </w:r>
      <w:r>
        <w:rPr>
          <w:rFonts w:ascii="Times New Roman" w:eastAsia="宋体" w:hAnsi="Times New Roman" w:cs="Times New Roman"/>
          <w:snapToGrid/>
          <w:color w:val="auto"/>
          <w:kern w:val="2"/>
          <w:sz w:val="24"/>
          <w:szCs w:val="24"/>
          <w:lang w:eastAsia="zh-CN"/>
        </w:rPr>
        <w:t>；各站位底栖生物丰富度指数范围为</w:t>
      </w:r>
      <w:r>
        <w:rPr>
          <w:rFonts w:ascii="Times New Roman" w:eastAsia="宋体" w:hAnsi="Times New Roman" w:cs="Times New Roman"/>
          <w:snapToGrid/>
          <w:color w:val="auto"/>
          <w:kern w:val="2"/>
          <w:sz w:val="24"/>
          <w:szCs w:val="24"/>
          <w:lang w:eastAsia="zh-CN"/>
        </w:rPr>
        <w:t>0.56~2.20</w:t>
      </w:r>
      <w:r>
        <w:rPr>
          <w:rFonts w:ascii="Times New Roman" w:eastAsia="宋体" w:hAnsi="Times New Roman" w:cs="Times New Roman"/>
          <w:snapToGrid/>
          <w:color w:val="auto"/>
          <w:kern w:val="2"/>
          <w:sz w:val="24"/>
          <w:szCs w:val="24"/>
          <w:lang w:eastAsia="zh-CN"/>
        </w:rPr>
        <w:t>，平均值为</w:t>
      </w:r>
      <w:r>
        <w:rPr>
          <w:rFonts w:ascii="Times New Roman" w:eastAsia="宋体" w:hAnsi="Times New Roman" w:cs="Times New Roman"/>
          <w:snapToGrid/>
          <w:color w:val="auto"/>
          <w:kern w:val="2"/>
          <w:sz w:val="24"/>
          <w:szCs w:val="24"/>
          <w:lang w:eastAsia="zh-CN"/>
        </w:rPr>
        <w:t>1.37</w:t>
      </w:r>
      <w:r>
        <w:rPr>
          <w:rFonts w:ascii="Times New Roman" w:eastAsia="宋体" w:hAnsi="Times New Roman" w:cs="Times New Roman"/>
          <w:snapToGrid/>
          <w:color w:val="auto"/>
          <w:kern w:val="2"/>
          <w:sz w:val="24"/>
          <w:szCs w:val="24"/>
          <w:lang w:eastAsia="zh-CN"/>
        </w:rPr>
        <w:t>；各站位底栖生物均匀度指数范围为</w:t>
      </w:r>
      <w:r>
        <w:rPr>
          <w:rFonts w:ascii="Times New Roman" w:eastAsia="宋体" w:hAnsi="Times New Roman" w:cs="Times New Roman"/>
          <w:snapToGrid/>
          <w:color w:val="auto"/>
          <w:kern w:val="2"/>
          <w:sz w:val="24"/>
          <w:szCs w:val="24"/>
          <w:lang w:eastAsia="zh-CN"/>
        </w:rPr>
        <w:t>0.9</w:t>
      </w:r>
      <w:r>
        <w:rPr>
          <w:rFonts w:ascii="Times New Roman" w:eastAsia="宋体" w:hAnsi="Times New Roman" w:cs="Times New Roman"/>
          <w:snapToGrid/>
          <w:color w:val="auto"/>
          <w:kern w:val="2"/>
          <w:sz w:val="24"/>
          <w:szCs w:val="24"/>
          <w:lang w:eastAsia="zh-CN"/>
        </w:rPr>
        <w:t>2~0.99</w:t>
      </w:r>
      <w:r>
        <w:rPr>
          <w:rFonts w:ascii="Times New Roman" w:eastAsia="宋体" w:hAnsi="Times New Roman" w:cs="Times New Roman"/>
          <w:snapToGrid/>
          <w:color w:val="auto"/>
          <w:kern w:val="2"/>
          <w:sz w:val="24"/>
          <w:szCs w:val="24"/>
          <w:lang w:eastAsia="zh-CN"/>
        </w:rPr>
        <w:t>，平均值为</w:t>
      </w:r>
      <w:r>
        <w:rPr>
          <w:rFonts w:ascii="Times New Roman" w:eastAsia="宋体" w:hAnsi="Times New Roman" w:cs="Times New Roman"/>
          <w:snapToGrid/>
          <w:color w:val="auto"/>
          <w:kern w:val="2"/>
          <w:sz w:val="24"/>
          <w:szCs w:val="24"/>
          <w:lang w:eastAsia="zh-CN"/>
        </w:rPr>
        <w:t>0.95</w:t>
      </w:r>
      <w:r>
        <w:rPr>
          <w:rFonts w:ascii="Times New Roman" w:eastAsia="宋体" w:hAnsi="Times New Roman" w:cs="Times New Roman"/>
          <w:snapToGrid/>
          <w:color w:val="auto"/>
          <w:kern w:val="2"/>
          <w:sz w:val="24"/>
          <w:szCs w:val="24"/>
          <w:lang w:eastAsia="zh-CN"/>
        </w:rPr>
        <w:t>。</w:t>
      </w:r>
    </w:p>
    <w:p w14:paraId="481520D9"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91" w:name="_Toc23424"/>
      <w:r>
        <w:rPr>
          <w:rFonts w:ascii="Times New Roman" w:eastAsia="宋体" w:hAnsi="Times New Roman" w:cs="Times New Roman" w:hint="eastAsia"/>
          <w:b/>
          <w:bCs/>
          <w:snapToGrid/>
          <w:color w:val="auto"/>
          <w:kern w:val="2"/>
          <w:sz w:val="24"/>
          <w:szCs w:val="24"/>
          <w:lang w:eastAsia="zh-CN"/>
        </w:rPr>
        <w:t>4.</w:t>
      </w:r>
      <w:r>
        <w:rPr>
          <w:rFonts w:ascii="Times New Roman" w:eastAsia="宋体" w:hAnsi="Times New Roman" w:cs="Times New Roman"/>
          <w:b/>
          <w:bCs/>
          <w:snapToGrid/>
          <w:color w:val="auto"/>
          <w:kern w:val="2"/>
          <w:sz w:val="24"/>
          <w:szCs w:val="24"/>
          <w:lang w:eastAsia="zh-CN"/>
        </w:rPr>
        <w:t>鱼类</w:t>
      </w:r>
      <w:bookmarkEnd w:id="191"/>
    </w:p>
    <w:p w14:paraId="6D99F826"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92" w:name="_Toc29341"/>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1</w:t>
      </w: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b/>
          <w:bCs/>
          <w:snapToGrid/>
          <w:color w:val="auto"/>
          <w:kern w:val="2"/>
          <w:sz w:val="24"/>
          <w:szCs w:val="24"/>
          <w:lang w:eastAsia="zh-CN"/>
        </w:rPr>
        <w:t>种类组成</w:t>
      </w:r>
      <w:bookmarkEnd w:id="192"/>
    </w:p>
    <w:p w14:paraId="46D1C968"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调查区域内</w:t>
      </w:r>
      <w:r>
        <w:rPr>
          <w:rFonts w:ascii="Times New Roman" w:eastAsia="宋体" w:hAnsi="Times New Roman" w:cs="Times New Roman" w:hint="eastAsia"/>
          <w:snapToGrid/>
          <w:color w:val="auto"/>
          <w:kern w:val="2"/>
          <w:sz w:val="24"/>
          <w:szCs w:val="24"/>
          <w:lang w:eastAsia="zh-CN"/>
        </w:rPr>
        <w:t>鱼类共</w:t>
      </w:r>
      <w:r>
        <w:rPr>
          <w:rFonts w:ascii="Times New Roman" w:eastAsia="宋体" w:hAnsi="Times New Roman" w:cs="Times New Roman"/>
          <w:snapToGrid/>
          <w:color w:val="auto"/>
          <w:kern w:val="2"/>
          <w:sz w:val="24"/>
          <w:szCs w:val="24"/>
          <w:lang w:eastAsia="zh-CN"/>
        </w:rPr>
        <w:t>调查到</w:t>
      </w:r>
      <w:r>
        <w:rPr>
          <w:rFonts w:ascii="Times New Roman" w:eastAsia="宋体" w:hAnsi="Times New Roman" w:cs="Times New Roman" w:hint="eastAsia"/>
          <w:snapToGrid/>
          <w:color w:val="auto"/>
          <w:kern w:val="2"/>
          <w:sz w:val="24"/>
          <w:szCs w:val="24"/>
          <w:lang w:eastAsia="zh-CN"/>
        </w:rPr>
        <w:t>19</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29</w:t>
      </w:r>
      <w:r>
        <w:rPr>
          <w:rFonts w:ascii="Times New Roman" w:eastAsia="宋体" w:hAnsi="Times New Roman" w:cs="Times New Roman" w:hint="eastAsia"/>
          <w:snapToGrid/>
          <w:color w:val="auto"/>
          <w:kern w:val="2"/>
          <w:sz w:val="24"/>
          <w:szCs w:val="24"/>
          <w:lang w:eastAsia="zh-CN"/>
        </w:rPr>
        <w:t>属</w:t>
      </w:r>
      <w:r>
        <w:rPr>
          <w:rFonts w:ascii="Times New Roman" w:eastAsia="宋体" w:hAnsi="Times New Roman" w:cs="Times New Roman" w:hint="eastAsia"/>
          <w:snapToGrid/>
          <w:color w:val="auto"/>
          <w:kern w:val="2"/>
          <w:sz w:val="24"/>
          <w:szCs w:val="24"/>
          <w:lang w:eastAsia="zh-CN"/>
        </w:rPr>
        <w:t>32</w:t>
      </w:r>
      <w:r>
        <w:rPr>
          <w:rFonts w:ascii="Times New Roman" w:eastAsia="宋体" w:hAnsi="Times New Roman" w:cs="Times New Roman"/>
          <w:snapToGrid/>
          <w:color w:val="auto"/>
          <w:kern w:val="2"/>
          <w:sz w:val="24"/>
          <w:szCs w:val="24"/>
          <w:lang w:eastAsia="zh-CN"/>
        </w:rPr>
        <w:t>种，</w:t>
      </w:r>
      <w:r>
        <w:rPr>
          <w:rFonts w:ascii="Times New Roman" w:eastAsia="宋体" w:hAnsi="Times New Roman" w:cs="Times New Roman" w:hint="eastAsia"/>
          <w:snapToGrid/>
          <w:color w:val="auto"/>
          <w:kern w:val="2"/>
          <w:sz w:val="24"/>
          <w:szCs w:val="24"/>
          <w:lang w:eastAsia="zh-CN"/>
        </w:rPr>
        <w:t>包括长棘银鲈</w:t>
      </w:r>
      <w:r>
        <w:rPr>
          <w:rFonts w:ascii="Times New Roman" w:eastAsia="宋体" w:hAnsi="Times New Roman" w:cs="Times New Roman" w:hint="eastAsia"/>
          <w:snapToGrid/>
          <w:color w:val="auto"/>
          <w:kern w:val="2"/>
          <w:sz w:val="24"/>
          <w:szCs w:val="24"/>
          <w:lang w:eastAsia="zh-CN"/>
        </w:rPr>
        <w:t>Gerres filamentosus</w:t>
      </w:r>
      <w:r>
        <w:rPr>
          <w:rFonts w:ascii="Times New Roman" w:eastAsia="宋体" w:hAnsi="Times New Roman" w:cs="Times New Roman" w:hint="eastAsia"/>
          <w:snapToGrid/>
          <w:color w:val="auto"/>
          <w:kern w:val="2"/>
          <w:sz w:val="24"/>
          <w:szCs w:val="24"/>
          <w:lang w:eastAsia="zh-CN"/>
        </w:rPr>
        <w:t>、钉公鱼</w:t>
      </w:r>
      <w:r>
        <w:rPr>
          <w:rFonts w:ascii="Times New Roman" w:eastAsia="宋体" w:hAnsi="Times New Roman" w:cs="Times New Roman" w:hint="eastAsia"/>
          <w:snapToGrid/>
          <w:color w:val="auto"/>
          <w:kern w:val="2"/>
          <w:sz w:val="24"/>
          <w:szCs w:val="24"/>
          <w:lang w:eastAsia="zh-CN"/>
        </w:rPr>
        <w:t>Therapon jarbua</w:t>
      </w:r>
      <w:r>
        <w:rPr>
          <w:rFonts w:ascii="Times New Roman" w:eastAsia="宋体" w:hAnsi="Times New Roman" w:cs="Times New Roman" w:hint="eastAsia"/>
          <w:snapToGrid/>
          <w:color w:val="auto"/>
          <w:kern w:val="2"/>
          <w:sz w:val="24"/>
          <w:szCs w:val="24"/>
          <w:lang w:eastAsia="zh-CN"/>
        </w:rPr>
        <w:t>、青鳞小沙丁</w:t>
      </w:r>
      <w:r>
        <w:rPr>
          <w:rFonts w:ascii="Times New Roman" w:eastAsia="宋体" w:hAnsi="Times New Roman" w:cs="Times New Roman" w:hint="eastAsia"/>
          <w:snapToGrid/>
          <w:color w:val="auto"/>
          <w:kern w:val="2"/>
          <w:sz w:val="24"/>
          <w:szCs w:val="24"/>
          <w:lang w:eastAsia="zh-CN"/>
        </w:rPr>
        <w:t>Sardinella zunas</w:t>
      </w:r>
      <w:r>
        <w:rPr>
          <w:rFonts w:ascii="Times New Roman" w:eastAsia="宋体" w:hAnsi="Times New Roman" w:cs="Times New Roman" w:hint="eastAsia"/>
          <w:snapToGrid/>
          <w:color w:val="auto"/>
          <w:kern w:val="2"/>
          <w:sz w:val="24"/>
          <w:szCs w:val="24"/>
          <w:lang w:eastAsia="zh-CN"/>
        </w:rPr>
        <w:t>、眶刺双边鱼</w:t>
      </w:r>
      <w:r>
        <w:rPr>
          <w:rFonts w:ascii="Times New Roman" w:eastAsia="宋体" w:hAnsi="Times New Roman" w:cs="Times New Roman" w:hint="eastAsia"/>
          <w:snapToGrid/>
          <w:color w:val="auto"/>
          <w:kern w:val="2"/>
          <w:sz w:val="24"/>
          <w:szCs w:val="24"/>
          <w:lang w:eastAsia="zh-CN"/>
        </w:rPr>
        <w:t>Ambassis gymnocephalus</w:t>
      </w:r>
      <w:r>
        <w:rPr>
          <w:rFonts w:ascii="Times New Roman" w:eastAsia="宋体" w:hAnsi="Times New Roman" w:cs="Times New Roman" w:hint="eastAsia"/>
          <w:snapToGrid/>
          <w:color w:val="auto"/>
          <w:kern w:val="2"/>
          <w:sz w:val="24"/>
          <w:szCs w:val="24"/>
          <w:lang w:eastAsia="zh-CN"/>
        </w:rPr>
        <w:t>、星斑篮子鱼</w:t>
      </w:r>
      <w:r>
        <w:rPr>
          <w:rFonts w:ascii="Times New Roman" w:eastAsia="宋体" w:hAnsi="Times New Roman" w:cs="Times New Roman" w:hint="eastAsia"/>
          <w:snapToGrid/>
          <w:color w:val="auto"/>
          <w:kern w:val="2"/>
          <w:sz w:val="24"/>
          <w:szCs w:val="24"/>
          <w:lang w:eastAsia="zh-CN"/>
        </w:rPr>
        <w:t>Siganus guttatus</w:t>
      </w:r>
      <w:r>
        <w:rPr>
          <w:rFonts w:ascii="Times New Roman" w:eastAsia="宋体" w:hAnsi="Times New Roman" w:cs="Times New Roman" w:hint="eastAsia"/>
          <w:snapToGrid/>
          <w:color w:val="auto"/>
          <w:kern w:val="2"/>
          <w:sz w:val="24"/>
          <w:szCs w:val="24"/>
          <w:lang w:eastAsia="zh-CN"/>
        </w:rPr>
        <w:t>、断线双边鱼</w:t>
      </w:r>
      <w:r>
        <w:rPr>
          <w:rFonts w:ascii="Times New Roman" w:eastAsia="宋体" w:hAnsi="Times New Roman" w:cs="Times New Roman" w:hint="eastAsia"/>
          <w:snapToGrid/>
          <w:color w:val="auto"/>
          <w:kern w:val="2"/>
          <w:sz w:val="24"/>
          <w:szCs w:val="24"/>
          <w:lang w:eastAsia="zh-CN"/>
        </w:rPr>
        <w:t>Ambassis interrupta</w:t>
      </w:r>
      <w:r>
        <w:rPr>
          <w:rFonts w:ascii="Times New Roman" w:eastAsia="宋体" w:hAnsi="Times New Roman" w:cs="Times New Roman" w:hint="eastAsia"/>
          <w:snapToGrid/>
          <w:color w:val="auto"/>
          <w:kern w:val="2"/>
          <w:sz w:val="24"/>
          <w:szCs w:val="24"/>
          <w:lang w:eastAsia="zh-CN"/>
        </w:rPr>
        <w:t>、金色小沙丁</w:t>
      </w:r>
      <w:r>
        <w:rPr>
          <w:rFonts w:ascii="Times New Roman" w:eastAsia="宋体" w:hAnsi="Times New Roman" w:cs="Times New Roman" w:hint="eastAsia"/>
          <w:snapToGrid/>
          <w:color w:val="auto"/>
          <w:kern w:val="2"/>
          <w:sz w:val="24"/>
          <w:szCs w:val="24"/>
          <w:lang w:eastAsia="zh-CN"/>
        </w:rPr>
        <w:t xml:space="preserve">Sardinella </w:t>
      </w:r>
      <w:r>
        <w:rPr>
          <w:rFonts w:ascii="Times New Roman" w:eastAsia="宋体" w:hAnsi="Times New Roman" w:cs="Times New Roman" w:hint="eastAsia"/>
          <w:snapToGrid/>
          <w:color w:val="auto"/>
          <w:kern w:val="2"/>
          <w:sz w:val="24"/>
          <w:szCs w:val="24"/>
          <w:lang w:eastAsia="zh-CN"/>
        </w:rPr>
        <w:t>aurita</w:t>
      </w:r>
      <w:r>
        <w:rPr>
          <w:rFonts w:ascii="Times New Roman" w:eastAsia="宋体" w:hAnsi="Times New Roman" w:cs="Times New Roman" w:hint="eastAsia"/>
          <w:snapToGrid/>
          <w:color w:val="auto"/>
          <w:kern w:val="2"/>
          <w:sz w:val="24"/>
          <w:szCs w:val="24"/>
          <w:lang w:eastAsia="zh-CN"/>
        </w:rPr>
        <w:t>等。各站位调查到鱼类种类数范围为</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snapToGrid/>
          <w:color w:val="auto"/>
          <w:kern w:val="2"/>
          <w:sz w:val="24"/>
          <w:szCs w:val="24"/>
          <w:lang w:eastAsia="zh-CN"/>
        </w:rPr>
        <w:t>7</w:t>
      </w:r>
      <w:r>
        <w:rPr>
          <w:rFonts w:ascii="Times New Roman" w:eastAsia="宋体" w:hAnsi="Times New Roman" w:cs="Times New Roman" w:hint="eastAsia"/>
          <w:snapToGrid/>
          <w:color w:val="auto"/>
          <w:kern w:val="2"/>
          <w:sz w:val="24"/>
          <w:szCs w:val="24"/>
          <w:lang w:eastAsia="zh-CN"/>
        </w:rPr>
        <w:t>种，平均种类数为</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种</w:t>
      </w:r>
      <w:r>
        <w:rPr>
          <w:rFonts w:ascii="Times New Roman" w:eastAsia="宋体" w:hAnsi="Times New Roman" w:cs="Times New Roman"/>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3.2.6-15</w:t>
      </w:r>
      <w:r>
        <w:rPr>
          <w:rFonts w:ascii="Times New Roman" w:eastAsia="宋体" w:hAnsi="Times New Roman" w:cs="Times New Roman"/>
          <w:snapToGrid/>
          <w:color w:val="auto"/>
          <w:kern w:val="2"/>
          <w:sz w:val="24"/>
          <w:szCs w:val="24"/>
          <w:lang w:eastAsia="zh-CN"/>
        </w:rPr>
        <w:t>）。</w:t>
      </w:r>
    </w:p>
    <w:p w14:paraId="79288181" w14:textId="77777777" w:rsidR="0075791A" w:rsidRDefault="00FB2864">
      <w:pPr>
        <w:widowControl w:val="0"/>
        <w:kinsoku/>
        <w:autoSpaceDE/>
        <w:autoSpaceDN/>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 xml:space="preserve">3.2.6-15 </w:t>
      </w:r>
      <w:r>
        <w:rPr>
          <w:rFonts w:ascii="Times New Roman" w:eastAsia="宋体" w:hAnsi="Times New Roman" w:cs="Times New Roman" w:hint="eastAsia"/>
          <w:snapToGrid/>
          <w:color w:val="auto"/>
          <w:kern w:val="2"/>
          <w:sz w:val="24"/>
          <w:szCs w:val="24"/>
          <w:lang w:eastAsia="zh-CN"/>
        </w:rPr>
        <w:t>各站位鱼类种类数</w:t>
      </w:r>
    </w:p>
    <w:tbl>
      <w:tblPr>
        <w:tblW w:w="4925" w:type="pct"/>
        <w:tblLayout w:type="fixed"/>
        <w:tblLook w:val="04A0" w:firstRow="1" w:lastRow="0" w:firstColumn="1" w:lastColumn="0" w:noHBand="0" w:noVBand="1"/>
      </w:tblPr>
      <w:tblGrid>
        <w:gridCol w:w="915"/>
        <w:gridCol w:w="633"/>
        <w:gridCol w:w="633"/>
        <w:gridCol w:w="633"/>
        <w:gridCol w:w="633"/>
        <w:gridCol w:w="633"/>
        <w:gridCol w:w="633"/>
        <w:gridCol w:w="633"/>
        <w:gridCol w:w="633"/>
        <w:gridCol w:w="633"/>
        <w:gridCol w:w="633"/>
        <w:gridCol w:w="633"/>
        <w:gridCol w:w="644"/>
        <w:gridCol w:w="689"/>
      </w:tblGrid>
      <w:tr w:rsidR="0075791A" w14:paraId="1C7A8927" w14:textId="77777777">
        <w:trPr>
          <w:trHeight w:val="335"/>
        </w:trPr>
        <w:tc>
          <w:tcPr>
            <w:tcW w:w="496" w:type="pct"/>
            <w:tcBorders>
              <w:top w:val="single" w:sz="4" w:space="0" w:color="000000"/>
              <w:left w:val="single" w:sz="4" w:space="0" w:color="000000"/>
              <w:bottom w:val="single" w:sz="4" w:space="0" w:color="000000"/>
              <w:right w:val="single" w:sz="4" w:space="0" w:color="000000"/>
            </w:tcBorders>
            <w:noWrap/>
            <w:vAlign w:val="center"/>
          </w:tcPr>
          <w:p w14:paraId="21FD3331"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站位</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09A1A610"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S1</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196C5D53"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S2</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6D4504C1"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S3</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0BD44485"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S4</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69556513"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S5</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0C13840A"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S6</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63BD29F4"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S7</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6AFF69ED"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S8</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638FA5B4"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S9</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18D4C6EE"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S10</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35E05873"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S11</w:t>
            </w:r>
          </w:p>
        </w:tc>
        <w:tc>
          <w:tcPr>
            <w:tcW w:w="349" w:type="pct"/>
            <w:tcBorders>
              <w:top w:val="single" w:sz="4" w:space="0" w:color="000000"/>
              <w:left w:val="single" w:sz="4" w:space="0" w:color="000000"/>
              <w:bottom w:val="single" w:sz="4" w:space="0" w:color="000000"/>
              <w:right w:val="single" w:sz="4" w:space="0" w:color="000000"/>
            </w:tcBorders>
            <w:noWrap/>
            <w:vAlign w:val="center"/>
          </w:tcPr>
          <w:p w14:paraId="7AAE1242"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S12</w:t>
            </w:r>
          </w:p>
        </w:tc>
        <w:tc>
          <w:tcPr>
            <w:tcW w:w="373" w:type="pct"/>
            <w:tcBorders>
              <w:top w:val="single" w:sz="4" w:space="0" w:color="000000"/>
              <w:left w:val="single" w:sz="4" w:space="0" w:color="000000"/>
              <w:bottom w:val="single" w:sz="4" w:space="0" w:color="000000"/>
              <w:right w:val="single" w:sz="4" w:space="0" w:color="000000"/>
            </w:tcBorders>
            <w:noWrap/>
            <w:vAlign w:val="center"/>
          </w:tcPr>
          <w:p w14:paraId="02FF700E"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平均</w:t>
            </w:r>
          </w:p>
        </w:tc>
      </w:tr>
      <w:tr w:rsidR="0075791A" w14:paraId="52E5F35D" w14:textId="77777777">
        <w:trPr>
          <w:trHeight w:val="342"/>
        </w:trPr>
        <w:tc>
          <w:tcPr>
            <w:tcW w:w="496" w:type="pct"/>
            <w:tcBorders>
              <w:top w:val="single" w:sz="4" w:space="0" w:color="000000"/>
              <w:left w:val="single" w:sz="4" w:space="0" w:color="000000"/>
              <w:bottom w:val="single" w:sz="4" w:space="0" w:color="000000"/>
              <w:right w:val="single" w:sz="4" w:space="0" w:color="000000"/>
            </w:tcBorders>
            <w:noWrap/>
            <w:vAlign w:val="center"/>
          </w:tcPr>
          <w:p w14:paraId="23EC5C43"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种类数</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3D9C3E9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2E1944C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5</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1A7042B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5FBB1CD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6</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284E928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7</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69588C93"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6</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0515D87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5</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321D364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7</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25B70ED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5</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7AC2176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w:t>
            </w:r>
          </w:p>
        </w:tc>
        <w:tc>
          <w:tcPr>
            <w:tcW w:w="343" w:type="pct"/>
            <w:tcBorders>
              <w:top w:val="single" w:sz="4" w:space="0" w:color="000000"/>
              <w:left w:val="single" w:sz="4" w:space="0" w:color="000000"/>
              <w:bottom w:val="single" w:sz="4" w:space="0" w:color="000000"/>
              <w:right w:val="single" w:sz="4" w:space="0" w:color="000000"/>
            </w:tcBorders>
            <w:noWrap/>
            <w:vAlign w:val="center"/>
          </w:tcPr>
          <w:p w14:paraId="0309234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w:t>
            </w:r>
          </w:p>
        </w:tc>
        <w:tc>
          <w:tcPr>
            <w:tcW w:w="349" w:type="pct"/>
            <w:tcBorders>
              <w:top w:val="single" w:sz="4" w:space="0" w:color="000000"/>
              <w:left w:val="single" w:sz="4" w:space="0" w:color="000000"/>
              <w:bottom w:val="single" w:sz="4" w:space="0" w:color="000000"/>
              <w:right w:val="single" w:sz="4" w:space="0" w:color="000000"/>
            </w:tcBorders>
            <w:noWrap/>
            <w:vAlign w:val="center"/>
          </w:tcPr>
          <w:p w14:paraId="109A8E9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6</w:t>
            </w:r>
          </w:p>
        </w:tc>
        <w:tc>
          <w:tcPr>
            <w:tcW w:w="373" w:type="pct"/>
            <w:tcBorders>
              <w:top w:val="single" w:sz="4" w:space="0" w:color="000000"/>
              <w:left w:val="single" w:sz="4" w:space="0" w:color="000000"/>
              <w:bottom w:val="single" w:sz="4" w:space="0" w:color="000000"/>
              <w:right w:val="single" w:sz="4" w:space="0" w:color="000000"/>
            </w:tcBorders>
            <w:noWrap/>
            <w:vAlign w:val="center"/>
          </w:tcPr>
          <w:p w14:paraId="145D1B1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hint="eastAsia"/>
                <w:snapToGrid/>
                <w:color w:val="auto"/>
                <w:kern w:val="2"/>
                <w:sz w:val="24"/>
                <w:szCs w:val="18"/>
                <w:lang w:eastAsia="zh-CN"/>
              </w:rPr>
              <w:t>5</w:t>
            </w:r>
          </w:p>
        </w:tc>
      </w:tr>
    </w:tbl>
    <w:p w14:paraId="5AB609BB"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93" w:name="_Toc14822"/>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2</w:t>
      </w:r>
      <w:r>
        <w:rPr>
          <w:rFonts w:ascii="Times New Roman" w:eastAsia="宋体" w:hAnsi="Times New Roman" w:cs="Times New Roman" w:hint="eastAsia"/>
          <w:b/>
          <w:bCs/>
          <w:snapToGrid/>
          <w:color w:val="auto"/>
          <w:kern w:val="2"/>
          <w:sz w:val="24"/>
          <w:szCs w:val="24"/>
          <w:lang w:eastAsia="zh-CN"/>
        </w:rPr>
        <w:t>）优势种</w:t>
      </w:r>
      <w:bookmarkEnd w:id="193"/>
    </w:p>
    <w:p w14:paraId="14A027B3"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通过对底栖动物优势种计算，铁炉港水域优势度（</w:t>
      </w:r>
      <w:r>
        <w:rPr>
          <w:rFonts w:ascii="Times New Roman" w:eastAsia="宋体" w:hAnsi="Times New Roman" w:cs="Times New Roman" w:hint="eastAsia"/>
          <w:snapToGrid/>
          <w:color w:val="auto"/>
          <w:kern w:val="2"/>
          <w:sz w:val="24"/>
          <w:szCs w:val="24"/>
          <w:lang w:eastAsia="zh-CN"/>
        </w:rPr>
        <w:t>Y</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0.02</w:t>
      </w:r>
      <w:r>
        <w:rPr>
          <w:rFonts w:ascii="Times New Roman" w:eastAsia="宋体" w:hAnsi="Times New Roman" w:cs="Times New Roman" w:hint="eastAsia"/>
          <w:snapToGrid/>
          <w:color w:val="auto"/>
          <w:kern w:val="2"/>
          <w:sz w:val="24"/>
          <w:szCs w:val="24"/>
          <w:lang w:eastAsia="zh-CN"/>
        </w:rPr>
        <w:t>）的有尼罗罗非鱼、长棘银鲈、鲮、鲫鱼、眶刺双边鱼、下口鲇、花身副丽鱼、细纹鲾、五带豆娘鱼、星斑篮子鱼，其中优势度最大的为尼罗罗非鱼，其优势度为</w:t>
      </w:r>
      <w:r>
        <w:rPr>
          <w:rFonts w:ascii="Times New Roman" w:eastAsia="宋体" w:hAnsi="Times New Roman" w:cs="Times New Roman" w:hint="eastAsia"/>
          <w:snapToGrid/>
          <w:color w:val="auto"/>
          <w:kern w:val="2"/>
          <w:sz w:val="24"/>
          <w:szCs w:val="24"/>
          <w:lang w:eastAsia="zh-CN"/>
        </w:rPr>
        <w:t>0.31</w:t>
      </w:r>
      <w:r>
        <w:rPr>
          <w:rFonts w:ascii="Times New Roman" w:eastAsia="宋体" w:hAnsi="Times New Roman" w:cs="Times New Roman" w:hint="eastAsia"/>
          <w:snapToGrid/>
          <w:color w:val="auto"/>
          <w:kern w:val="2"/>
          <w:sz w:val="24"/>
          <w:szCs w:val="24"/>
          <w:lang w:eastAsia="zh-CN"/>
        </w:rPr>
        <w:t>，其他优势种及优势度见表</w:t>
      </w:r>
      <w:r>
        <w:rPr>
          <w:rFonts w:ascii="Times New Roman" w:eastAsia="宋体" w:hAnsi="Times New Roman" w:cs="Times New Roman"/>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3.2.6-16</w:t>
      </w:r>
      <w:r>
        <w:rPr>
          <w:rFonts w:ascii="Times New Roman" w:eastAsia="宋体" w:hAnsi="Times New Roman" w:cs="Times New Roman" w:hint="eastAsia"/>
          <w:snapToGrid/>
          <w:color w:val="auto"/>
          <w:kern w:val="2"/>
          <w:sz w:val="24"/>
          <w:szCs w:val="24"/>
          <w:lang w:eastAsia="zh-CN"/>
        </w:rPr>
        <w:t>。</w:t>
      </w:r>
    </w:p>
    <w:p w14:paraId="5F1FAC8E" w14:textId="77777777" w:rsidR="0075791A" w:rsidRDefault="00FB2864">
      <w:pPr>
        <w:widowControl w:val="0"/>
        <w:kinsoku/>
        <w:autoSpaceDE/>
        <w:autoSpaceDN/>
        <w:adjustRightInd/>
        <w:snapToGrid/>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 xml:space="preserve">3.2.6-16 </w:t>
      </w:r>
      <w:r>
        <w:rPr>
          <w:rFonts w:ascii="Times New Roman" w:eastAsia="宋体" w:hAnsi="Times New Roman" w:cs="Times New Roman" w:hint="eastAsia"/>
          <w:snapToGrid/>
          <w:color w:val="auto"/>
          <w:kern w:val="2"/>
          <w:sz w:val="24"/>
          <w:szCs w:val="24"/>
          <w:lang w:eastAsia="zh-CN"/>
        </w:rPr>
        <w:t>优势种及优势度</w:t>
      </w:r>
    </w:p>
    <w:tbl>
      <w:tblPr>
        <w:tblW w:w="48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4"/>
        <w:gridCol w:w="903"/>
        <w:gridCol w:w="688"/>
        <w:gridCol w:w="662"/>
        <w:gridCol w:w="662"/>
        <w:gridCol w:w="966"/>
        <w:gridCol w:w="726"/>
        <w:gridCol w:w="954"/>
        <w:gridCol w:w="725"/>
        <w:gridCol w:w="929"/>
        <w:gridCol w:w="896"/>
      </w:tblGrid>
      <w:tr w:rsidR="0075791A" w14:paraId="4E96A49B" w14:textId="77777777">
        <w:trPr>
          <w:trHeight w:val="477"/>
        </w:trPr>
        <w:tc>
          <w:tcPr>
            <w:tcW w:w="511" w:type="pct"/>
            <w:noWrap/>
            <w:vAlign w:val="center"/>
          </w:tcPr>
          <w:p w14:paraId="5D2BBC12" w14:textId="77777777" w:rsidR="0075791A" w:rsidRDefault="00FB2864">
            <w:pPr>
              <w:kinsoku/>
              <w:autoSpaceDE/>
              <w:autoSpaceDN/>
              <w:adjustRightInd/>
              <w:snapToGrid/>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优势种</w:t>
            </w:r>
          </w:p>
        </w:tc>
        <w:tc>
          <w:tcPr>
            <w:tcW w:w="499" w:type="pct"/>
            <w:noWrap/>
            <w:vAlign w:val="center"/>
          </w:tcPr>
          <w:p w14:paraId="71DADB5F"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尼罗罗非鱼</w:t>
            </w:r>
          </w:p>
        </w:tc>
        <w:tc>
          <w:tcPr>
            <w:tcW w:w="380" w:type="pct"/>
            <w:noWrap/>
            <w:vAlign w:val="center"/>
          </w:tcPr>
          <w:p w14:paraId="741ECDBC"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长棘银鲈</w:t>
            </w:r>
          </w:p>
        </w:tc>
        <w:tc>
          <w:tcPr>
            <w:tcW w:w="366" w:type="pct"/>
            <w:noWrap/>
            <w:vAlign w:val="center"/>
          </w:tcPr>
          <w:p w14:paraId="5CC799CF"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鲮</w:t>
            </w:r>
          </w:p>
        </w:tc>
        <w:tc>
          <w:tcPr>
            <w:tcW w:w="366" w:type="pct"/>
            <w:noWrap/>
            <w:vAlign w:val="center"/>
          </w:tcPr>
          <w:p w14:paraId="7064856B"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鲫鱼</w:t>
            </w:r>
          </w:p>
        </w:tc>
        <w:tc>
          <w:tcPr>
            <w:tcW w:w="534" w:type="pct"/>
            <w:noWrap/>
            <w:vAlign w:val="bottom"/>
          </w:tcPr>
          <w:p w14:paraId="5B5F574D" w14:textId="77777777" w:rsidR="0075791A" w:rsidRDefault="00FB2864">
            <w:pPr>
              <w:kinsoku/>
              <w:autoSpaceDE/>
              <w:autoSpaceDN/>
              <w:adjustRightInd/>
              <w:snapToGrid/>
              <w:jc w:val="center"/>
              <w:textAlignment w:val="bottom"/>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眶刺双边鱼</w:t>
            </w:r>
          </w:p>
        </w:tc>
        <w:tc>
          <w:tcPr>
            <w:tcW w:w="401" w:type="pct"/>
            <w:noWrap/>
            <w:vAlign w:val="center"/>
          </w:tcPr>
          <w:p w14:paraId="73A50182"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下口鲇</w:t>
            </w:r>
          </w:p>
        </w:tc>
        <w:tc>
          <w:tcPr>
            <w:tcW w:w="528" w:type="pct"/>
            <w:noWrap/>
            <w:vAlign w:val="center"/>
          </w:tcPr>
          <w:p w14:paraId="1C37BE95"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花身副丽鱼</w:t>
            </w:r>
          </w:p>
        </w:tc>
        <w:tc>
          <w:tcPr>
            <w:tcW w:w="401" w:type="pct"/>
            <w:noWrap/>
            <w:vAlign w:val="center"/>
          </w:tcPr>
          <w:p w14:paraId="21971267"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细纹鲾</w:t>
            </w:r>
          </w:p>
        </w:tc>
        <w:tc>
          <w:tcPr>
            <w:tcW w:w="514" w:type="pct"/>
            <w:noWrap/>
            <w:vAlign w:val="center"/>
          </w:tcPr>
          <w:p w14:paraId="3BA9BCB4"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五带豆娘鱼</w:t>
            </w:r>
          </w:p>
        </w:tc>
        <w:tc>
          <w:tcPr>
            <w:tcW w:w="496" w:type="pct"/>
            <w:noWrap/>
            <w:vAlign w:val="center"/>
          </w:tcPr>
          <w:p w14:paraId="79B92393"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星斑篮子鱼</w:t>
            </w:r>
          </w:p>
        </w:tc>
      </w:tr>
      <w:tr w:rsidR="0075791A" w14:paraId="4F4E2F80" w14:textId="77777777">
        <w:trPr>
          <w:trHeight w:val="357"/>
        </w:trPr>
        <w:tc>
          <w:tcPr>
            <w:tcW w:w="511" w:type="pct"/>
            <w:noWrap/>
            <w:vAlign w:val="center"/>
          </w:tcPr>
          <w:p w14:paraId="04359EDC" w14:textId="77777777" w:rsidR="0075791A" w:rsidRDefault="00FB2864">
            <w:pPr>
              <w:kinsoku/>
              <w:autoSpaceDE/>
              <w:autoSpaceDN/>
              <w:adjustRightInd/>
              <w:snapToGrid/>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优势度</w:t>
            </w:r>
          </w:p>
        </w:tc>
        <w:tc>
          <w:tcPr>
            <w:tcW w:w="499" w:type="pct"/>
            <w:noWrap/>
            <w:vAlign w:val="center"/>
          </w:tcPr>
          <w:p w14:paraId="181C1B8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0.31</w:t>
            </w:r>
          </w:p>
        </w:tc>
        <w:tc>
          <w:tcPr>
            <w:tcW w:w="380" w:type="pct"/>
            <w:noWrap/>
            <w:vAlign w:val="center"/>
          </w:tcPr>
          <w:p w14:paraId="0958564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0.13</w:t>
            </w:r>
          </w:p>
        </w:tc>
        <w:tc>
          <w:tcPr>
            <w:tcW w:w="366" w:type="pct"/>
            <w:noWrap/>
            <w:vAlign w:val="center"/>
          </w:tcPr>
          <w:p w14:paraId="1CF25B3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0.11</w:t>
            </w:r>
          </w:p>
        </w:tc>
        <w:tc>
          <w:tcPr>
            <w:tcW w:w="366" w:type="pct"/>
            <w:noWrap/>
            <w:vAlign w:val="center"/>
          </w:tcPr>
          <w:p w14:paraId="18A18DF8" w14:textId="77777777" w:rsidR="0075791A" w:rsidRDefault="00FB2864">
            <w:pPr>
              <w:kinsoku/>
              <w:autoSpaceDE/>
              <w:autoSpaceDN/>
              <w:adjustRightInd/>
              <w:snapToGrid/>
              <w:jc w:val="right"/>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0.11</w:t>
            </w:r>
          </w:p>
        </w:tc>
        <w:tc>
          <w:tcPr>
            <w:tcW w:w="534" w:type="pct"/>
            <w:noWrap/>
            <w:vAlign w:val="center"/>
          </w:tcPr>
          <w:p w14:paraId="08D01FC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0.07</w:t>
            </w:r>
          </w:p>
        </w:tc>
        <w:tc>
          <w:tcPr>
            <w:tcW w:w="401" w:type="pct"/>
            <w:noWrap/>
            <w:vAlign w:val="center"/>
          </w:tcPr>
          <w:p w14:paraId="336040C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0.06</w:t>
            </w:r>
          </w:p>
        </w:tc>
        <w:tc>
          <w:tcPr>
            <w:tcW w:w="528" w:type="pct"/>
            <w:noWrap/>
            <w:vAlign w:val="center"/>
          </w:tcPr>
          <w:p w14:paraId="0EA2F010" w14:textId="77777777" w:rsidR="0075791A" w:rsidRDefault="00FB2864">
            <w:pPr>
              <w:kinsoku/>
              <w:autoSpaceDE/>
              <w:autoSpaceDN/>
              <w:adjustRightInd/>
              <w:snapToGrid/>
              <w:ind w:firstLineChars="100" w:firstLine="240"/>
              <w:jc w:val="both"/>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0.04</w:t>
            </w:r>
          </w:p>
        </w:tc>
        <w:tc>
          <w:tcPr>
            <w:tcW w:w="401" w:type="pct"/>
            <w:noWrap/>
            <w:vAlign w:val="center"/>
          </w:tcPr>
          <w:p w14:paraId="1BE04565" w14:textId="77777777" w:rsidR="0075791A" w:rsidRDefault="00FB2864">
            <w:pPr>
              <w:kinsoku/>
              <w:autoSpaceDE/>
              <w:autoSpaceDN/>
              <w:adjustRightInd/>
              <w:snapToGrid/>
              <w:jc w:val="both"/>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0.04</w:t>
            </w:r>
          </w:p>
        </w:tc>
        <w:tc>
          <w:tcPr>
            <w:tcW w:w="514" w:type="pct"/>
            <w:noWrap/>
            <w:vAlign w:val="center"/>
          </w:tcPr>
          <w:p w14:paraId="05D2F44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0.04</w:t>
            </w:r>
          </w:p>
        </w:tc>
        <w:tc>
          <w:tcPr>
            <w:tcW w:w="496" w:type="pct"/>
            <w:noWrap/>
            <w:vAlign w:val="center"/>
          </w:tcPr>
          <w:p w14:paraId="08F237A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0.03</w:t>
            </w:r>
          </w:p>
        </w:tc>
      </w:tr>
    </w:tbl>
    <w:p w14:paraId="05812AEE" w14:textId="77777777" w:rsidR="0075791A" w:rsidRDefault="0075791A">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94" w:name="_Toc24603"/>
    </w:p>
    <w:p w14:paraId="47588F61"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3</w:t>
      </w: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b/>
          <w:bCs/>
          <w:snapToGrid/>
          <w:color w:val="auto"/>
          <w:kern w:val="2"/>
          <w:sz w:val="24"/>
          <w:szCs w:val="24"/>
          <w:lang w:eastAsia="zh-CN"/>
        </w:rPr>
        <w:t>密度及生物量</w:t>
      </w:r>
      <w:bookmarkEnd w:id="194"/>
    </w:p>
    <w:p w14:paraId="2B814871"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通过对调查区域</w:t>
      </w:r>
      <w:r>
        <w:rPr>
          <w:rFonts w:ascii="Times New Roman" w:eastAsia="宋体" w:hAnsi="Times New Roman" w:cs="Times New Roman" w:hint="eastAsia"/>
          <w:snapToGrid/>
          <w:color w:val="auto"/>
          <w:kern w:val="2"/>
          <w:sz w:val="24"/>
          <w:szCs w:val="24"/>
          <w:lang w:eastAsia="zh-CN"/>
        </w:rPr>
        <w:t>鱼类捕获</w:t>
      </w:r>
      <w:r>
        <w:rPr>
          <w:rFonts w:ascii="Times New Roman" w:eastAsia="宋体" w:hAnsi="Times New Roman" w:cs="Times New Roman"/>
          <w:snapToGrid/>
          <w:color w:val="auto"/>
          <w:kern w:val="2"/>
          <w:sz w:val="24"/>
          <w:szCs w:val="24"/>
          <w:lang w:eastAsia="zh-CN"/>
        </w:rPr>
        <w:t>密度及生物量统计，</w:t>
      </w:r>
      <w:r>
        <w:rPr>
          <w:rFonts w:ascii="Times New Roman" w:eastAsia="宋体" w:hAnsi="Times New Roman" w:cs="Times New Roman" w:hint="eastAsia"/>
          <w:snapToGrid/>
          <w:color w:val="auto"/>
          <w:kern w:val="2"/>
          <w:sz w:val="24"/>
          <w:szCs w:val="24"/>
          <w:lang w:eastAsia="zh-CN"/>
        </w:rPr>
        <w:t>各站位鱼类捕获</w:t>
      </w:r>
      <w:r>
        <w:rPr>
          <w:rFonts w:ascii="Times New Roman" w:eastAsia="宋体" w:hAnsi="Times New Roman" w:cs="Times New Roman"/>
          <w:snapToGrid/>
          <w:color w:val="auto"/>
          <w:kern w:val="2"/>
          <w:sz w:val="24"/>
          <w:szCs w:val="24"/>
          <w:lang w:eastAsia="zh-CN"/>
        </w:rPr>
        <w:t>密度</w:t>
      </w:r>
      <w:r>
        <w:rPr>
          <w:rFonts w:ascii="Times New Roman" w:eastAsia="宋体" w:hAnsi="Times New Roman" w:cs="Times New Roman" w:hint="eastAsia"/>
          <w:snapToGrid/>
          <w:color w:val="auto"/>
          <w:kern w:val="2"/>
          <w:sz w:val="24"/>
          <w:szCs w:val="24"/>
          <w:lang w:eastAsia="zh-CN"/>
        </w:rPr>
        <w:t>范围</w:t>
      </w:r>
      <w:r>
        <w:rPr>
          <w:rFonts w:ascii="Times New Roman" w:eastAsia="宋体" w:hAnsi="Times New Roman" w:cs="Times New Roman"/>
          <w:snapToGrid/>
          <w:color w:val="auto"/>
          <w:kern w:val="2"/>
          <w:sz w:val="24"/>
          <w:szCs w:val="24"/>
          <w:lang w:eastAsia="zh-CN"/>
        </w:rPr>
        <w:t>为</w:t>
      </w:r>
      <w:r>
        <w:rPr>
          <w:rFonts w:ascii="Times New Roman" w:eastAsia="宋体" w:hAnsi="Times New Roman" w:cs="Times New Roman" w:hint="eastAsia"/>
          <w:snapToGrid/>
          <w:color w:val="auto"/>
          <w:kern w:val="2"/>
          <w:sz w:val="24"/>
          <w:szCs w:val="24"/>
          <w:lang w:eastAsia="zh-CN"/>
        </w:rPr>
        <w:t xml:space="preserve">24~244 </w:t>
      </w:r>
      <w:r>
        <w:rPr>
          <w:rFonts w:ascii="Times New Roman" w:eastAsia="宋体" w:hAnsi="Times New Roman" w:cs="Times New Roman"/>
          <w:snapToGrid/>
          <w:color w:val="auto"/>
          <w:kern w:val="2"/>
          <w:sz w:val="24"/>
          <w:szCs w:val="24"/>
          <w:lang w:eastAsia="zh-CN"/>
        </w:rPr>
        <w:t>ind./</w:t>
      </w:r>
      <w:r>
        <w:rPr>
          <w:rFonts w:ascii="Times New Roman" w:eastAsia="宋体" w:hAnsi="Times New Roman" w:cs="Times New Roman"/>
          <w:snapToGrid/>
          <w:color w:val="auto"/>
          <w:kern w:val="2"/>
          <w:sz w:val="24"/>
          <w:szCs w:val="24"/>
          <w:lang w:eastAsia="zh-CN"/>
        </w:rPr>
        <w:t>网</w:t>
      </w:r>
      <w:r>
        <w:rPr>
          <w:rFonts w:ascii="Times New Roman" w:eastAsia="宋体" w:hAnsi="Times New Roman" w:cs="Times New Roman"/>
          <w:snapToGrid/>
          <w:color w:val="auto"/>
          <w:kern w:val="2"/>
          <w:sz w:val="24"/>
          <w:szCs w:val="24"/>
          <w:lang w:eastAsia="zh-CN"/>
        </w:rPr>
        <w:t>.h</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S8</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S3</w:t>
      </w:r>
      <w:r>
        <w:rPr>
          <w:rFonts w:ascii="Times New Roman" w:eastAsia="宋体" w:hAnsi="Times New Roman" w:cs="Times New Roman" w:hint="eastAsia"/>
          <w:snapToGrid/>
          <w:color w:val="auto"/>
          <w:kern w:val="2"/>
          <w:sz w:val="24"/>
          <w:szCs w:val="24"/>
          <w:lang w:eastAsia="zh-CN"/>
        </w:rPr>
        <w:t>站位，平均值为</w:t>
      </w:r>
      <w:r>
        <w:rPr>
          <w:rFonts w:ascii="Times New Roman" w:eastAsia="宋体" w:hAnsi="Times New Roman" w:cs="Times New Roman" w:hint="eastAsia"/>
          <w:snapToGrid/>
          <w:color w:val="auto"/>
          <w:kern w:val="2"/>
          <w:sz w:val="24"/>
          <w:szCs w:val="24"/>
          <w:lang w:eastAsia="zh-CN"/>
        </w:rPr>
        <w:t xml:space="preserve">95 </w:t>
      </w:r>
      <w:r>
        <w:rPr>
          <w:rFonts w:ascii="Times New Roman" w:eastAsia="宋体" w:hAnsi="Times New Roman" w:cs="Times New Roman"/>
          <w:snapToGrid/>
          <w:color w:val="auto"/>
          <w:kern w:val="2"/>
          <w:sz w:val="24"/>
          <w:szCs w:val="24"/>
          <w:lang w:eastAsia="zh-CN"/>
        </w:rPr>
        <w:t>ind./</w:t>
      </w:r>
      <w:r>
        <w:rPr>
          <w:rFonts w:ascii="Times New Roman" w:eastAsia="宋体" w:hAnsi="Times New Roman" w:cs="Times New Roman"/>
          <w:snapToGrid/>
          <w:color w:val="auto"/>
          <w:kern w:val="2"/>
          <w:sz w:val="24"/>
          <w:szCs w:val="24"/>
          <w:lang w:eastAsia="zh-CN"/>
        </w:rPr>
        <w:t>网</w:t>
      </w:r>
      <w:r>
        <w:rPr>
          <w:rFonts w:ascii="Times New Roman" w:eastAsia="宋体" w:hAnsi="Times New Roman" w:cs="Times New Roman"/>
          <w:snapToGrid/>
          <w:color w:val="auto"/>
          <w:kern w:val="2"/>
          <w:sz w:val="24"/>
          <w:szCs w:val="24"/>
          <w:lang w:eastAsia="zh-CN"/>
        </w:rPr>
        <w:t>.h</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渔获</w:t>
      </w:r>
      <w:r>
        <w:rPr>
          <w:rFonts w:ascii="Times New Roman" w:eastAsia="宋体" w:hAnsi="Times New Roman" w:cs="Times New Roman"/>
          <w:snapToGrid/>
          <w:color w:val="auto"/>
          <w:kern w:val="2"/>
          <w:sz w:val="24"/>
          <w:szCs w:val="24"/>
          <w:lang w:eastAsia="zh-CN"/>
        </w:rPr>
        <w:t>生物量</w:t>
      </w:r>
      <w:r>
        <w:rPr>
          <w:rFonts w:ascii="Times New Roman" w:eastAsia="宋体" w:hAnsi="Times New Roman" w:cs="Times New Roman" w:hint="eastAsia"/>
          <w:snapToGrid/>
          <w:color w:val="auto"/>
          <w:kern w:val="2"/>
          <w:sz w:val="24"/>
          <w:szCs w:val="24"/>
          <w:lang w:eastAsia="zh-CN"/>
        </w:rPr>
        <w:t>范围</w:t>
      </w:r>
      <w:r>
        <w:rPr>
          <w:rFonts w:ascii="Times New Roman" w:eastAsia="宋体" w:hAnsi="Times New Roman" w:cs="Times New Roman"/>
          <w:snapToGrid/>
          <w:color w:val="auto"/>
          <w:kern w:val="2"/>
          <w:sz w:val="24"/>
          <w:szCs w:val="24"/>
          <w:lang w:eastAsia="zh-CN"/>
        </w:rPr>
        <w:lastRenderedPageBreak/>
        <w:t>为</w:t>
      </w:r>
      <w:r>
        <w:rPr>
          <w:rFonts w:ascii="Times New Roman" w:eastAsia="宋体" w:hAnsi="Times New Roman" w:cs="Times New Roman" w:hint="eastAsia"/>
          <w:snapToGrid/>
          <w:color w:val="auto"/>
          <w:kern w:val="2"/>
          <w:sz w:val="24"/>
          <w:szCs w:val="24"/>
          <w:lang w:eastAsia="zh-CN"/>
        </w:rPr>
        <w:t xml:space="preserve">398.80~14960.00 </w:t>
      </w:r>
      <w:r>
        <w:rPr>
          <w:rFonts w:ascii="Times New Roman" w:eastAsia="宋体" w:hAnsi="Times New Roman" w:cs="Times New Roman"/>
          <w:snapToGrid/>
          <w:color w:val="auto"/>
          <w:kern w:val="2"/>
          <w:sz w:val="24"/>
          <w:szCs w:val="24"/>
          <w:lang w:eastAsia="zh-CN"/>
        </w:rPr>
        <w:t>g/</w:t>
      </w:r>
      <w:r>
        <w:rPr>
          <w:rFonts w:ascii="Times New Roman" w:eastAsia="宋体" w:hAnsi="Times New Roman" w:cs="Times New Roman"/>
          <w:snapToGrid/>
          <w:color w:val="auto"/>
          <w:kern w:val="2"/>
          <w:sz w:val="24"/>
          <w:szCs w:val="24"/>
          <w:lang w:eastAsia="zh-CN"/>
        </w:rPr>
        <w:t>网</w:t>
      </w:r>
      <w:r>
        <w:rPr>
          <w:rFonts w:ascii="Times New Roman" w:eastAsia="宋体" w:hAnsi="Times New Roman" w:cs="Times New Roman"/>
          <w:snapToGrid/>
          <w:color w:val="auto"/>
          <w:kern w:val="2"/>
          <w:sz w:val="24"/>
          <w:szCs w:val="24"/>
          <w:lang w:eastAsia="zh-CN"/>
        </w:rPr>
        <w:t>.h</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S8</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S1</w:t>
      </w:r>
      <w:r>
        <w:rPr>
          <w:rFonts w:ascii="Times New Roman" w:eastAsia="宋体" w:hAnsi="Times New Roman" w:cs="Times New Roman" w:hint="eastAsia"/>
          <w:snapToGrid/>
          <w:color w:val="auto"/>
          <w:kern w:val="2"/>
          <w:sz w:val="24"/>
          <w:szCs w:val="24"/>
          <w:lang w:eastAsia="zh-CN"/>
        </w:rPr>
        <w:t>站位，平均值为</w:t>
      </w:r>
      <w:r>
        <w:rPr>
          <w:rFonts w:ascii="Times New Roman" w:eastAsia="宋体" w:hAnsi="Times New Roman" w:cs="Times New Roman" w:hint="eastAsia"/>
          <w:snapToGrid/>
          <w:color w:val="auto"/>
          <w:kern w:val="2"/>
          <w:sz w:val="24"/>
          <w:szCs w:val="24"/>
          <w:lang w:eastAsia="zh-CN"/>
        </w:rPr>
        <w:t xml:space="preserve">3808.73 </w:t>
      </w:r>
      <w:r>
        <w:rPr>
          <w:rFonts w:ascii="Times New Roman" w:eastAsia="宋体" w:hAnsi="Times New Roman" w:cs="Times New Roman"/>
          <w:snapToGrid/>
          <w:color w:val="auto"/>
          <w:kern w:val="2"/>
          <w:sz w:val="24"/>
          <w:szCs w:val="24"/>
          <w:lang w:eastAsia="zh-CN"/>
        </w:rPr>
        <w:t>g/</w:t>
      </w:r>
      <w:r>
        <w:rPr>
          <w:rFonts w:ascii="Times New Roman" w:eastAsia="宋体" w:hAnsi="Times New Roman" w:cs="Times New Roman"/>
          <w:snapToGrid/>
          <w:color w:val="auto"/>
          <w:kern w:val="2"/>
          <w:sz w:val="24"/>
          <w:szCs w:val="24"/>
          <w:lang w:eastAsia="zh-CN"/>
        </w:rPr>
        <w:t>网</w:t>
      </w:r>
      <w:r>
        <w:rPr>
          <w:rFonts w:ascii="Times New Roman" w:eastAsia="宋体" w:hAnsi="Times New Roman" w:cs="Times New Roman"/>
          <w:snapToGrid/>
          <w:color w:val="auto"/>
          <w:kern w:val="2"/>
          <w:sz w:val="24"/>
          <w:szCs w:val="24"/>
          <w:lang w:eastAsia="zh-CN"/>
        </w:rPr>
        <w:t>.h</w:t>
      </w: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3.2.6-17</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w:t>
      </w:r>
    </w:p>
    <w:p w14:paraId="19C4E67A" w14:textId="77777777" w:rsidR="0075791A" w:rsidRDefault="00FB2864">
      <w:pPr>
        <w:widowControl w:val="0"/>
        <w:kinsoku/>
        <w:adjustRightInd/>
        <w:snapToGrid/>
        <w:ind w:firstLineChars="200" w:firstLine="480"/>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3.2.6-17</w:t>
      </w:r>
      <w:r>
        <w:rPr>
          <w:rFonts w:ascii="Times New Roman" w:eastAsia="宋体" w:hAnsi="Times New Roman" w:cs="Times New Roman" w:hint="eastAsia"/>
          <w:snapToGrid/>
          <w:color w:val="auto"/>
          <w:kern w:val="2"/>
          <w:sz w:val="24"/>
          <w:szCs w:val="24"/>
          <w:lang w:eastAsia="zh-CN"/>
        </w:rPr>
        <w:t>密度及生物量</w:t>
      </w:r>
    </w:p>
    <w:tbl>
      <w:tblPr>
        <w:tblW w:w="48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4"/>
        <w:gridCol w:w="1593"/>
        <w:gridCol w:w="1533"/>
        <w:gridCol w:w="1155"/>
        <w:gridCol w:w="2006"/>
        <w:gridCol w:w="1618"/>
      </w:tblGrid>
      <w:tr w:rsidR="0075791A" w14:paraId="72014913" w14:textId="77777777">
        <w:trPr>
          <w:trHeight w:val="506"/>
        </w:trPr>
        <w:tc>
          <w:tcPr>
            <w:tcW w:w="666" w:type="pct"/>
            <w:noWrap/>
            <w:vAlign w:val="center"/>
          </w:tcPr>
          <w:p w14:paraId="31CA9E7A"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站位号</w:t>
            </w:r>
          </w:p>
        </w:tc>
        <w:tc>
          <w:tcPr>
            <w:tcW w:w="733" w:type="pct"/>
            <w:noWrap/>
            <w:vAlign w:val="center"/>
          </w:tcPr>
          <w:p w14:paraId="452E8516"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sz w:val="24"/>
                <w:szCs w:val="18"/>
                <w:lang w:eastAsia="zh-CN" w:bidi="ar"/>
              </w:rPr>
            </w:pPr>
            <w:r>
              <w:rPr>
                <w:rFonts w:ascii="Times New Roman" w:eastAsia="宋体" w:hAnsi="Times New Roman" w:cs="Times New Roman"/>
                <w:b/>
                <w:bCs/>
                <w:snapToGrid/>
                <w:color w:val="auto"/>
                <w:sz w:val="24"/>
                <w:szCs w:val="18"/>
                <w:lang w:eastAsia="zh-CN" w:bidi="ar"/>
              </w:rPr>
              <w:t>捕获密度</w:t>
            </w:r>
          </w:p>
          <w:p w14:paraId="24B483DF"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w:t>
            </w:r>
            <w:r>
              <w:rPr>
                <w:rFonts w:ascii="Times New Roman" w:eastAsia="宋体" w:hAnsi="Times New Roman" w:cs="Times New Roman"/>
                <w:b/>
                <w:bCs/>
                <w:snapToGrid/>
                <w:color w:val="auto"/>
                <w:sz w:val="24"/>
                <w:szCs w:val="18"/>
                <w:lang w:eastAsia="zh-CN" w:bidi="ar"/>
              </w:rPr>
              <w:t>ind./</w:t>
            </w:r>
            <w:r>
              <w:rPr>
                <w:rFonts w:ascii="Times New Roman" w:eastAsia="宋体" w:hAnsi="Times New Roman" w:cs="Times New Roman"/>
                <w:b/>
                <w:bCs/>
                <w:snapToGrid/>
                <w:color w:val="auto"/>
                <w:sz w:val="24"/>
                <w:szCs w:val="18"/>
                <w:lang w:eastAsia="zh-CN" w:bidi="ar"/>
              </w:rPr>
              <w:t>网</w:t>
            </w:r>
            <w:r>
              <w:rPr>
                <w:rFonts w:ascii="Times New Roman" w:eastAsia="宋体" w:hAnsi="Times New Roman" w:cs="Times New Roman"/>
                <w:b/>
                <w:bCs/>
                <w:snapToGrid/>
                <w:color w:val="auto"/>
                <w:sz w:val="24"/>
                <w:szCs w:val="18"/>
                <w:lang w:eastAsia="zh-CN" w:bidi="ar"/>
              </w:rPr>
              <w:t>.h</w:t>
            </w:r>
            <w:r>
              <w:rPr>
                <w:rFonts w:ascii="Times New Roman" w:eastAsia="宋体" w:hAnsi="Times New Roman" w:cs="Times New Roman"/>
                <w:b/>
                <w:bCs/>
                <w:snapToGrid/>
                <w:color w:val="auto"/>
                <w:sz w:val="24"/>
                <w:szCs w:val="18"/>
                <w:lang w:eastAsia="zh-CN" w:bidi="ar"/>
              </w:rPr>
              <w:t>）</w:t>
            </w:r>
          </w:p>
        </w:tc>
        <w:tc>
          <w:tcPr>
            <w:tcW w:w="875" w:type="pct"/>
            <w:noWrap/>
            <w:vAlign w:val="center"/>
          </w:tcPr>
          <w:p w14:paraId="3C33C48C"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sz w:val="24"/>
                <w:szCs w:val="18"/>
                <w:lang w:eastAsia="zh-CN" w:bidi="ar"/>
              </w:rPr>
            </w:pPr>
            <w:r>
              <w:rPr>
                <w:rFonts w:ascii="Times New Roman" w:eastAsia="宋体" w:hAnsi="Times New Roman" w:cs="Times New Roman"/>
                <w:b/>
                <w:bCs/>
                <w:snapToGrid/>
                <w:color w:val="auto"/>
                <w:sz w:val="24"/>
                <w:szCs w:val="18"/>
                <w:lang w:eastAsia="zh-CN" w:bidi="ar"/>
              </w:rPr>
              <w:t>生物量</w:t>
            </w:r>
          </w:p>
          <w:p w14:paraId="29081417"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w:t>
            </w:r>
            <w:r>
              <w:rPr>
                <w:rFonts w:ascii="Times New Roman" w:eastAsia="宋体" w:hAnsi="Times New Roman" w:cs="Times New Roman"/>
                <w:b/>
                <w:bCs/>
                <w:snapToGrid/>
                <w:color w:val="auto"/>
                <w:sz w:val="24"/>
                <w:szCs w:val="18"/>
                <w:lang w:eastAsia="zh-CN" w:bidi="ar"/>
              </w:rPr>
              <w:t>g/</w:t>
            </w:r>
            <w:r>
              <w:rPr>
                <w:rFonts w:ascii="Times New Roman" w:eastAsia="宋体" w:hAnsi="Times New Roman" w:cs="Times New Roman"/>
                <w:b/>
                <w:bCs/>
                <w:snapToGrid/>
                <w:color w:val="auto"/>
                <w:sz w:val="24"/>
                <w:szCs w:val="18"/>
                <w:lang w:eastAsia="zh-CN" w:bidi="ar"/>
              </w:rPr>
              <w:t>网</w:t>
            </w:r>
            <w:r>
              <w:rPr>
                <w:rFonts w:ascii="Times New Roman" w:eastAsia="宋体" w:hAnsi="Times New Roman" w:cs="Times New Roman"/>
                <w:b/>
                <w:bCs/>
                <w:snapToGrid/>
                <w:color w:val="auto"/>
                <w:sz w:val="24"/>
                <w:szCs w:val="18"/>
                <w:lang w:eastAsia="zh-CN" w:bidi="ar"/>
              </w:rPr>
              <w:t>.h</w:t>
            </w:r>
            <w:r>
              <w:rPr>
                <w:rFonts w:ascii="Times New Roman" w:eastAsia="宋体" w:hAnsi="Times New Roman" w:cs="Times New Roman"/>
                <w:b/>
                <w:bCs/>
                <w:snapToGrid/>
                <w:color w:val="auto"/>
                <w:sz w:val="24"/>
                <w:szCs w:val="18"/>
                <w:lang w:eastAsia="zh-CN" w:bidi="ar"/>
              </w:rPr>
              <w:t>）</w:t>
            </w:r>
          </w:p>
        </w:tc>
        <w:tc>
          <w:tcPr>
            <w:tcW w:w="666" w:type="pct"/>
            <w:noWrap/>
            <w:vAlign w:val="center"/>
          </w:tcPr>
          <w:p w14:paraId="35F7790B"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站位号</w:t>
            </w:r>
          </w:p>
        </w:tc>
        <w:tc>
          <w:tcPr>
            <w:tcW w:w="1136" w:type="pct"/>
            <w:noWrap/>
            <w:vAlign w:val="center"/>
          </w:tcPr>
          <w:p w14:paraId="71EB67CB"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sz w:val="24"/>
                <w:szCs w:val="18"/>
                <w:lang w:eastAsia="zh-CN" w:bidi="ar"/>
              </w:rPr>
            </w:pPr>
            <w:r>
              <w:rPr>
                <w:rFonts w:ascii="Times New Roman" w:eastAsia="宋体" w:hAnsi="Times New Roman" w:cs="Times New Roman"/>
                <w:b/>
                <w:bCs/>
                <w:snapToGrid/>
                <w:color w:val="auto"/>
                <w:sz w:val="24"/>
                <w:szCs w:val="18"/>
                <w:lang w:eastAsia="zh-CN" w:bidi="ar"/>
              </w:rPr>
              <w:t>捕获密度</w:t>
            </w:r>
          </w:p>
          <w:p w14:paraId="6EF9DDEA"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w:t>
            </w:r>
            <w:r>
              <w:rPr>
                <w:rFonts w:ascii="Times New Roman" w:eastAsia="宋体" w:hAnsi="Times New Roman" w:cs="Times New Roman"/>
                <w:b/>
                <w:bCs/>
                <w:snapToGrid/>
                <w:color w:val="auto"/>
                <w:sz w:val="24"/>
                <w:szCs w:val="18"/>
                <w:lang w:eastAsia="zh-CN" w:bidi="ar"/>
              </w:rPr>
              <w:t>ind./</w:t>
            </w:r>
            <w:r>
              <w:rPr>
                <w:rFonts w:ascii="Times New Roman" w:eastAsia="宋体" w:hAnsi="Times New Roman" w:cs="Times New Roman"/>
                <w:b/>
                <w:bCs/>
                <w:snapToGrid/>
                <w:color w:val="auto"/>
                <w:sz w:val="24"/>
                <w:szCs w:val="18"/>
                <w:lang w:eastAsia="zh-CN" w:bidi="ar"/>
              </w:rPr>
              <w:t>网</w:t>
            </w:r>
            <w:r>
              <w:rPr>
                <w:rFonts w:ascii="Times New Roman" w:eastAsia="宋体" w:hAnsi="Times New Roman" w:cs="Times New Roman"/>
                <w:b/>
                <w:bCs/>
                <w:snapToGrid/>
                <w:color w:val="auto"/>
                <w:sz w:val="24"/>
                <w:szCs w:val="18"/>
                <w:lang w:eastAsia="zh-CN" w:bidi="ar"/>
              </w:rPr>
              <w:t>.h</w:t>
            </w:r>
            <w:r>
              <w:rPr>
                <w:rFonts w:ascii="Times New Roman" w:eastAsia="宋体" w:hAnsi="Times New Roman" w:cs="Times New Roman"/>
                <w:b/>
                <w:bCs/>
                <w:snapToGrid/>
                <w:color w:val="auto"/>
                <w:sz w:val="24"/>
                <w:szCs w:val="18"/>
                <w:lang w:eastAsia="zh-CN" w:bidi="ar"/>
              </w:rPr>
              <w:t>）</w:t>
            </w:r>
          </w:p>
        </w:tc>
        <w:tc>
          <w:tcPr>
            <w:tcW w:w="922" w:type="pct"/>
            <w:noWrap/>
            <w:vAlign w:val="center"/>
          </w:tcPr>
          <w:p w14:paraId="02C34DED"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sz w:val="24"/>
                <w:szCs w:val="18"/>
                <w:lang w:eastAsia="zh-CN" w:bidi="ar"/>
              </w:rPr>
            </w:pPr>
            <w:r>
              <w:rPr>
                <w:rFonts w:ascii="Times New Roman" w:eastAsia="宋体" w:hAnsi="Times New Roman" w:cs="Times New Roman"/>
                <w:b/>
                <w:bCs/>
                <w:snapToGrid/>
                <w:color w:val="auto"/>
                <w:sz w:val="24"/>
                <w:szCs w:val="18"/>
                <w:lang w:eastAsia="zh-CN" w:bidi="ar"/>
              </w:rPr>
              <w:t>生物量</w:t>
            </w:r>
          </w:p>
          <w:p w14:paraId="19913093"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w:t>
            </w:r>
            <w:r>
              <w:rPr>
                <w:rFonts w:ascii="Times New Roman" w:eastAsia="宋体" w:hAnsi="Times New Roman" w:cs="Times New Roman"/>
                <w:b/>
                <w:bCs/>
                <w:snapToGrid/>
                <w:color w:val="auto"/>
                <w:sz w:val="24"/>
                <w:szCs w:val="18"/>
                <w:lang w:eastAsia="zh-CN" w:bidi="ar"/>
              </w:rPr>
              <w:t>g/</w:t>
            </w:r>
            <w:r>
              <w:rPr>
                <w:rFonts w:ascii="Times New Roman" w:eastAsia="宋体" w:hAnsi="Times New Roman" w:cs="Times New Roman"/>
                <w:b/>
                <w:bCs/>
                <w:snapToGrid/>
                <w:color w:val="auto"/>
                <w:sz w:val="24"/>
                <w:szCs w:val="18"/>
                <w:lang w:eastAsia="zh-CN" w:bidi="ar"/>
              </w:rPr>
              <w:t>网</w:t>
            </w:r>
            <w:r>
              <w:rPr>
                <w:rFonts w:ascii="Times New Roman" w:eastAsia="宋体" w:hAnsi="Times New Roman" w:cs="Times New Roman"/>
                <w:b/>
                <w:bCs/>
                <w:snapToGrid/>
                <w:color w:val="auto"/>
                <w:sz w:val="24"/>
                <w:szCs w:val="18"/>
                <w:lang w:eastAsia="zh-CN" w:bidi="ar"/>
              </w:rPr>
              <w:t>.h</w:t>
            </w:r>
            <w:r>
              <w:rPr>
                <w:rFonts w:ascii="Times New Roman" w:eastAsia="宋体" w:hAnsi="Times New Roman" w:cs="Times New Roman"/>
                <w:b/>
                <w:bCs/>
                <w:snapToGrid/>
                <w:color w:val="auto"/>
                <w:sz w:val="24"/>
                <w:szCs w:val="18"/>
                <w:lang w:eastAsia="zh-CN" w:bidi="ar"/>
              </w:rPr>
              <w:t>）</w:t>
            </w:r>
          </w:p>
        </w:tc>
      </w:tr>
      <w:tr w:rsidR="0075791A" w14:paraId="4D53C85E" w14:textId="77777777">
        <w:trPr>
          <w:trHeight w:val="371"/>
        </w:trPr>
        <w:tc>
          <w:tcPr>
            <w:tcW w:w="666" w:type="pct"/>
            <w:noWrap/>
            <w:vAlign w:val="center"/>
          </w:tcPr>
          <w:p w14:paraId="365D4E4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w:t>
            </w:r>
          </w:p>
        </w:tc>
        <w:tc>
          <w:tcPr>
            <w:tcW w:w="733" w:type="pct"/>
            <w:noWrap/>
            <w:vAlign w:val="center"/>
          </w:tcPr>
          <w:p w14:paraId="34917EC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32</w:t>
            </w:r>
          </w:p>
        </w:tc>
        <w:tc>
          <w:tcPr>
            <w:tcW w:w="875" w:type="pct"/>
            <w:noWrap/>
            <w:vAlign w:val="center"/>
          </w:tcPr>
          <w:p w14:paraId="4CB9182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398.80</w:t>
            </w:r>
          </w:p>
        </w:tc>
        <w:tc>
          <w:tcPr>
            <w:tcW w:w="666" w:type="pct"/>
            <w:noWrap/>
            <w:vAlign w:val="center"/>
          </w:tcPr>
          <w:p w14:paraId="73E00F5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S8</w:t>
            </w:r>
          </w:p>
        </w:tc>
        <w:tc>
          <w:tcPr>
            <w:tcW w:w="1136" w:type="pct"/>
            <w:noWrap/>
            <w:vAlign w:val="center"/>
          </w:tcPr>
          <w:p w14:paraId="75B97CE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244</w:t>
            </w:r>
          </w:p>
        </w:tc>
        <w:tc>
          <w:tcPr>
            <w:tcW w:w="922" w:type="pct"/>
            <w:noWrap/>
            <w:vAlign w:val="center"/>
          </w:tcPr>
          <w:p w14:paraId="67F8C2B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14960.00</w:t>
            </w:r>
          </w:p>
        </w:tc>
      </w:tr>
      <w:tr w:rsidR="0075791A" w14:paraId="49DBA726" w14:textId="77777777">
        <w:trPr>
          <w:trHeight w:val="371"/>
        </w:trPr>
        <w:tc>
          <w:tcPr>
            <w:tcW w:w="666" w:type="pct"/>
            <w:noWrap/>
            <w:vAlign w:val="center"/>
          </w:tcPr>
          <w:p w14:paraId="223A93B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S2</w:t>
            </w:r>
          </w:p>
        </w:tc>
        <w:tc>
          <w:tcPr>
            <w:tcW w:w="733" w:type="pct"/>
            <w:noWrap/>
            <w:vAlign w:val="center"/>
          </w:tcPr>
          <w:p w14:paraId="3C41BDF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52</w:t>
            </w:r>
          </w:p>
        </w:tc>
        <w:tc>
          <w:tcPr>
            <w:tcW w:w="875" w:type="pct"/>
            <w:noWrap/>
            <w:vAlign w:val="center"/>
          </w:tcPr>
          <w:p w14:paraId="412117C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627.20</w:t>
            </w:r>
          </w:p>
        </w:tc>
        <w:tc>
          <w:tcPr>
            <w:tcW w:w="666" w:type="pct"/>
            <w:noWrap/>
            <w:vAlign w:val="center"/>
          </w:tcPr>
          <w:p w14:paraId="2D98FFF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S9</w:t>
            </w:r>
          </w:p>
        </w:tc>
        <w:tc>
          <w:tcPr>
            <w:tcW w:w="1136" w:type="pct"/>
            <w:noWrap/>
            <w:vAlign w:val="center"/>
          </w:tcPr>
          <w:p w14:paraId="61A13B3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156</w:t>
            </w:r>
          </w:p>
        </w:tc>
        <w:tc>
          <w:tcPr>
            <w:tcW w:w="922" w:type="pct"/>
            <w:noWrap/>
            <w:vAlign w:val="center"/>
          </w:tcPr>
          <w:p w14:paraId="0169909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10600.00</w:t>
            </w:r>
          </w:p>
        </w:tc>
      </w:tr>
      <w:tr w:rsidR="0075791A" w14:paraId="530F0D4D" w14:textId="77777777">
        <w:trPr>
          <w:trHeight w:val="371"/>
        </w:trPr>
        <w:tc>
          <w:tcPr>
            <w:tcW w:w="666" w:type="pct"/>
            <w:noWrap/>
            <w:vAlign w:val="center"/>
          </w:tcPr>
          <w:p w14:paraId="0AA8378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S3</w:t>
            </w:r>
          </w:p>
        </w:tc>
        <w:tc>
          <w:tcPr>
            <w:tcW w:w="733" w:type="pct"/>
            <w:noWrap/>
            <w:vAlign w:val="center"/>
          </w:tcPr>
          <w:p w14:paraId="7267B38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24</w:t>
            </w:r>
          </w:p>
        </w:tc>
        <w:tc>
          <w:tcPr>
            <w:tcW w:w="875" w:type="pct"/>
            <w:noWrap/>
            <w:vAlign w:val="center"/>
          </w:tcPr>
          <w:p w14:paraId="0F5F085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810.80</w:t>
            </w:r>
          </w:p>
        </w:tc>
        <w:tc>
          <w:tcPr>
            <w:tcW w:w="666" w:type="pct"/>
            <w:noWrap/>
            <w:vAlign w:val="center"/>
          </w:tcPr>
          <w:p w14:paraId="4BCF40A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S10</w:t>
            </w:r>
          </w:p>
        </w:tc>
        <w:tc>
          <w:tcPr>
            <w:tcW w:w="1136" w:type="pct"/>
            <w:noWrap/>
            <w:vAlign w:val="center"/>
          </w:tcPr>
          <w:p w14:paraId="68F1159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180</w:t>
            </w:r>
          </w:p>
        </w:tc>
        <w:tc>
          <w:tcPr>
            <w:tcW w:w="922" w:type="pct"/>
            <w:noWrap/>
            <w:vAlign w:val="center"/>
          </w:tcPr>
          <w:p w14:paraId="03D665E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5520.00</w:t>
            </w:r>
          </w:p>
        </w:tc>
      </w:tr>
      <w:tr w:rsidR="0075791A" w14:paraId="65330B38" w14:textId="77777777">
        <w:trPr>
          <w:trHeight w:val="371"/>
        </w:trPr>
        <w:tc>
          <w:tcPr>
            <w:tcW w:w="666" w:type="pct"/>
            <w:noWrap/>
            <w:vAlign w:val="center"/>
          </w:tcPr>
          <w:p w14:paraId="037E356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S4</w:t>
            </w:r>
          </w:p>
        </w:tc>
        <w:tc>
          <w:tcPr>
            <w:tcW w:w="733" w:type="pct"/>
            <w:noWrap/>
            <w:vAlign w:val="center"/>
          </w:tcPr>
          <w:p w14:paraId="1BD2FED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48</w:t>
            </w:r>
          </w:p>
        </w:tc>
        <w:tc>
          <w:tcPr>
            <w:tcW w:w="875" w:type="pct"/>
            <w:noWrap/>
            <w:vAlign w:val="center"/>
          </w:tcPr>
          <w:p w14:paraId="0886685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690.00</w:t>
            </w:r>
          </w:p>
        </w:tc>
        <w:tc>
          <w:tcPr>
            <w:tcW w:w="666" w:type="pct"/>
            <w:noWrap/>
            <w:vAlign w:val="center"/>
          </w:tcPr>
          <w:p w14:paraId="275D0E2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S11</w:t>
            </w:r>
          </w:p>
        </w:tc>
        <w:tc>
          <w:tcPr>
            <w:tcW w:w="1136" w:type="pct"/>
            <w:noWrap/>
            <w:vAlign w:val="center"/>
          </w:tcPr>
          <w:p w14:paraId="37F5758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24</w:t>
            </w:r>
          </w:p>
        </w:tc>
        <w:tc>
          <w:tcPr>
            <w:tcW w:w="922" w:type="pct"/>
            <w:noWrap/>
            <w:vAlign w:val="center"/>
          </w:tcPr>
          <w:p w14:paraId="5EAB1AE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1200.00</w:t>
            </w:r>
          </w:p>
        </w:tc>
      </w:tr>
      <w:tr w:rsidR="0075791A" w14:paraId="55663246" w14:textId="77777777">
        <w:trPr>
          <w:trHeight w:val="371"/>
        </w:trPr>
        <w:tc>
          <w:tcPr>
            <w:tcW w:w="666" w:type="pct"/>
            <w:noWrap/>
            <w:vAlign w:val="center"/>
          </w:tcPr>
          <w:p w14:paraId="7242493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S5</w:t>
            </w:r>
          </w:p>
        </w:tc>
        <w:tc>
          <w:tcPr>
            <w:tcW w:w="733" w:type="pct"/>
            <w:noWrap/>
            <w:vAlign w:val="center"/>
          </w:tcPr>
          <w:p w14:paraId="7400D0E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52</w:t>
            </w:r>
          </w:p>
        </w:tc>
        <w:tc>
          <w:tcPr>
            <w:tcW w:w="875" w:type="pct"/>
            <w:noWrap/>
            <w:vAlign w:val="center"/>
          </w:tcPr>
          <w:p w14:paraId="5E5BE23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781.20</w:t>
            </w:r>
          </w:p>
        </w:tc>
        <w:tc>
          <w:tcPr>
            <w:tcW w:w="666" w:type="pct"/>
            <w:noWrap/>
            <w:vAlign w:val="center"/>
          </w:tcPr>
          <w:p w14:paraId="0603761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S12</w:t>
            </w:r>
          </w:p>
        </w:tc>
        <w:tc>
          <w:tcPr>
            <w:tcW w:w="1136" w:type="pct"/>
            <w:noWrap/>
            <w:vAlign w:val="center"/>
          </w:tcPr>
          <w:p w14:paraId="4DD6E73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192</w:t>
            </w:r>
          </w:p>
        </w:tc>
        <w:tc>
          <w:tcPr>
            <w:tcW w:w="922" w:type="pct"/>
            <w:noWrap/>
            <w:vAlign w:val="center"/>
          </w:tcPr>
          <w:p w14:paraId="4871EB8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6824.00</w:t>
            </w:r>
          </w:p>
        </w:tc>
      </w:tr>
      <w:tr w:rsidR="0075791A" w14:paraId="579CD28D" w14:textId="77777777">
        <w:trPr>
          <w:trHeight w:val="371"/>
        </w:trPr>
        <w:tc>
          <w:tcPr>
            <w:tcW w:w="666" w:type="pct"/>
            <w:noWrap/>
            <w:vAlign w:val="center"/>
          </w:tcPr>
          <w:p w14:paraId="4CA38E2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S6</w:t>
            </w:r>
          </w:p>
        </w:tc>
        <w:tc>
          <w:tcPr>
            <w:tcW w:w="733" w:type="pct"/>
            <w:noWrap/>
            <w:vAlign w:val="center"/>
          </w:tcPr>
          <w:p w14:paraId="39916F7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40</w:t>
            </w:r>
          </w:p>
        </w:tc>
        <w:tc>
          <w:tcPr>
            <w:tcW w:w="875" w:type="pct"/>
            <w:noWrap/>
            <w:vAlign w:val="center"/>
          </w:tcPr>
          <w:p w14:paraId="1B6F223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720.80</w:t>
            </w:r>
          </w:p>
        </w:tc>
        <w:tc>
          <w:tcPr>
            <w:tcW w:w="666" w:type="pct"/>
            <w:noWrap/>
            <w:vAlign w:val="center"/>
          </w:tcPr>
          <w:p w14:paraId="11818CD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平均</w:t>
            </w:r>
          </w:p>
        </w:tc>
        <w:tc>
          <w:tcPr>
            <w:tcW w:w="1136" w:type="pct"/>
            <w:noWrap/>
            <w:vAlign w:val="center"/>
          </w:tcPr>
          <w:p w14:paraId="32044E8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sz w:val="24"/>
                <w:szCs w:val="18"/>
                <w:lang w:eastAsia="zh-CN" w:bidi="ar"/>
              </w:rPr>
            </w:pPr>
            <w:r>
              <w:rPr>
                <w:rFonts w:ascii="Times New Roman" w:eastAsia="宋体" w:hAnsi="Times New Roman" w:cs="Times New Roman" w:hint="eastAsia"/>
                <w:snapToGrid/>
                <w:color w:val="auto"/>
                <w:sz w:val="24"/>
                <w:szCs w:val="18"/>
                <w:lang w:eastAsia="zh-CN" w:bidi="ar"/>
              </w:rPr>
              <w:t xml:space="preserve">95 </w:t>
            </w:r>
          </w:p>
        </w:tc>
        <w:tc>
          <w:tcPr>
            <w:tcW w:w="922" w:type="pct"/>
            <w:noWrap/>
            <w:vAlign w:val="center"/>
          </w:tcPr>
          <w:p w14:paraId="6A4441C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sz w:val="24"/>
                <w:szCs w:val="18"/>
                <w:lang w:eastAsia="zh-CN" w:bidi="ar"/>
              </w:rPr>
            </w:pPr>
            <w:r>
              <w:rPr>
                <w:rFonts w:ascii="Times New Roman" w:eastAsia="宋体" w:hAnsi="Times New Roman" w:cs="Times New Roman" w:hint="eastAsia"/>
                <w:snapToGrid/>
                <w:color w:val="auto"/>
                <w:sz w:val="24"/>
                <w:szCs w:val="18"/>
                <w:lang w:eastAsia="zh-CN" w:bidi="ar"/>
              </w:rPr>
              <w:t>3808.73</w:t>
            </w:r>
          </w:p>
        </w:tc>
      </w:tr>
      <w:tr w:rsidR="0075791A" w14:paraId="05A0802C" w14:textId="77777777">
        <w:trPr>
          <w:trHeight w:val="379"/>
        </w:trPr>
        <w:tc>
          <w:tcPr>
            <w:tcW w:w="666" w:type="pct"/>
            <w:noWrap/>
            <w:vAlign w:val="center"/>
          </w:tcPr>
          <w:p w14:paraId="364641D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S7</w:t>
            </w:r>
          </w:p>
        </w:tc>
        <w:tc>
          <w:tcPr>
            <w:tcW w:w="733" w:type="pct"/>
            <w:noWrap/>
            <w:vAlign w:val="center"/>
          </w:tcPr>
          <w:p w14:paraId="4058AE0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100</w:t>
            </w:r>
          </w:p>
        </w:tc>
        <w:tc>
          <w:tcPr>
            <w:tcW w:w="875" w:type="pct"/>
            <w:noWrap/>
            <w:vAlign w:val="center"/>
          </w:tcPr>
          <w:p w14:paraId="2519CD2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2572.00</w:t>
            </w:r>
          </w:p>
        </w:tc>
        <w:tc>
          <w:tcPr>
            <w:tcW w:w="666" w:type="pct"/>
            <w:noWrap/>
            <w:vAlign w:val="center"/>
          </w:tcPr>
          <w:p w14:paraId="69DF9C31" w14:textId="77777777" w:rsidR="0075791A" w:rsidRDefault="0075791A">
            <w:pPr>
              <w:widowControl w:val="0"/>
              <w:kinsoku/>
              <w:autoSpaceDE/>
              <w:autoSpaceDN/>
              <w:adjustRightInd/>
              <w:snapToGrid/>
              <w:jc w:val="both"/>
              <w:textAlignment w:val="auto"/>
              <w:rPr>
                <w:rFonts w:ascii="Times New Roman" w:eastAsia="宋体" w:hAnsi="Times New Roman" w:cs="Times New Roman"/>
                <w:snapToGrid/>
                <w:color w:val="auto"/>
                <w:kern w:val="2"/>
                <w:sz w:val="24"/>
                <w:szCs w:val="18"/>
                <w:lang w:eastAsia="zh-CN"/>
              </w:rPr>
            </w:pPr>
          </w:p>
        </w:tc>
        <w:tc>
          <w:tcPr>
            <w:tcW w:w="1136" w:type="pct"/>
            <w:noWrap/>
            <w:vAlign w:val="center"/>
          </w:tcPr>
          <w:p w14:paraId="4277F3E5" w14:textId="77777777" w:rsidR="0075791A" w:rsidRDefault="0075791A">
            <w:pPr>
              <w:widowControl w:val="0"/>
              <w:kinsoku/>
              <w:autoSpaceDE/>
              <w:autoSpaceDN/>
              <w:adjustRightInd/>
              <w:snapToGrid/>
              <w:jc w:val="both"/>
              <w:textAlignment w:val="auto"/>
              <w:rPr>
                <w:rFonts w:ascii="Times New Roman" w:eastAsia="宋体" w:hAnsi="Times New Roman" w:cs="Times New Roman"/>
                <w:snapToGrid/>
                <w:color w:val="auto"/>
                <w:kern w:val="2"/>
                <w:sz w:val="24"/>
                <w:szCs w:val="18"/>
                <w:lang w:eastAsia="zh-CN"/>
              </w:rPr>
            </w:pPr>
          </w:p>
        </w:tc>
        <w:tc>
          <w:tcPr>
            <w:tcW w:w="922" w:type="pct"/>
            <w:noWrap/>
            <w:vAlign w:val="center"/>
          </w:tcPr>
          <w:p w14:paraId="0ED467D8" w14:textId="77777777" w:rsidR="0075791A" w:rsidRDefault="0075791A">
            <w:pPr>
              <w:widowControl w:val="0"/>
              <w:kinsoku/>
              <w:autoSpaceDE/>
              <w:autoSpaceDN/>
              <w:adjustRightInd/>
              <w:snapToGrid/>
              <w:jc w:val="both"/>
              <w:textAlignment w:val="auto"/>
              <w:rPr>
                <w:rFonts w:ascii="Times New Roman" w:eastAsia="宋体" w:hAnsi="Times New Roman" w:cs="Times New Roman"/>
                <w:snapToGrid/>
                <w:color w:val="auto"/>
                <w:kern w:val="2"/>
                <w:sz w:val="24"/>
                <w:szCs w:val="18"/>
                <w:lang w:eastAsia="zh-CN"/>
              </w:rPr>
            </w:pPr>
          </w:p>
        </w:tc>
      </w:tr>
    </w:tbl>
    <w:p w14:paraId="7961BC06"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95" w:name="_Toc21370"/>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4</w:t>
      </w:r>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b/>
          <w:bCs/>
          <w:snapToGrid/>
          <w:color w:val="auto"/>
          <w:kern w:val="2"/>
          <w:sz w:val="24"/>
          <w:szCs w:val="24"/>
          <w:lang w:eastAsia="zh-CN"/>
        </w:rPr>
        <w:t>生物多样性分析</w:t>
      </w:r>
      <w:bookmarkEnd w:id="195"/>
    </w:p>
    <w:p w14:paraId="35771A2E"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采用多样性指数、均匀度</w:t>
      </w:r>
      <w:r>
        <w:rPr>
          <w:rFonts w:ascii="Times New Roman" w:eastAsia="宋体" w:hAnsi="Times New Roman" w:cs="Times New Roman" w:hint="eastAsia"/>
          <w:snapToGrid/>
          <w:color w:val="auto"/>
          <w:kern w:val="2"/>
          <w:sz w:val="24"/>
          <w:szCs w:val="24"/>
          <w:lang w:eastAsia="zh-CN"/>
        </w:rPr>
        <w:t>及丰富度</w:t>
      </w:r>
      <w:r>
        <w:rPr>
          <w:rFonts w:ascii="Times New Roman" w:eastAsia="宋体" w:hAnsi="Times New Roman" w:cs="Times New Roman"/>
          <w:snapToGrid/>
          <w:color w:val="auto"/>
          <w:kern w:val="2"/>
          <w:sz w:val="24"/>
          <w:szCs w:val="24"/>
          <w:lang w:eastAsia="zh-CN"/>
        </w:rPr>
        <w:t>对</w:t>
      </w:r>
      <w:r>
        <w:rPr>
          <w:rFonts w:ascii="Times New Roman" w:eastAsia="宋体" w:hAnsi="Times New Roman" w:cs="Times New Roman" w:hint="eastAsia"/>
          <w:snapToGrid/>
          <w:color w:val="auto"/>
          <w:kern w:val="2"/>
          <w:sz w:val="24"/>
          <w:szCs w:val="24"/>
          <w:lang w:eastAsia="zh-CN"/>
        </w:rPr>
        <w:t>底栖</w:t>
      </w:r>
      <w:r>
        <w:rPr>
          <w:rFonts w:ascii="Times New Roman" w:eastAsia="宋体" w:hAnsi="Times New Roman" w:cs="Times New Roman"/>
          <w:snapToGrid/>
          <w:color w:val="auto"/>
          <w:kern w:val="2"/>
          <w:sz w:val="24"/>
          <w:szCs w:val="24"/>
          <w:lang w:eastAsia="zh-CN"/>
        </w:rPr>
        <w:t>生物的群落结构特征进行分析。结果表明，</w:t>
      </w:r>
      <w:r>
        <w:rPr>
          <w:rFonts w:ascii="Times New Roman" w:eastAsia="宋体" w:hAnsi="Times New Roman" w:cs="Times New Roman" w:hint="eastAsia"/>
          <w:snapToGrid/>
          <w:color w:val="auto"/>
          <w:kern w:val="2"/>
          <w:sz w:val="24"/>
          <w:szCs w:val="24"/>
          <w:lang w:eastAsia="zh-CN"/>
        </w:rPr>
        <w:t>各站位鱼类多样性指数范围为</w:t>
      </w:r>
      <w:r>
        <w:rPr>
          <w:rFonts w:ascii="Times New Roman" w:eastAsia="宋体" w:hAnsi="Times New Roman" w:cs="Times New Roman" w:hint="eastAsia"/>
          <w:snapToGrid/>
          <w:color w:val="auto"/>
          <w:kern w:val="2"/>
          <w:sz w:val="24"/>
          <w:szCs w:val="24"/>
          <w:lang w:eastAsia="zh-CN"/>
        </w:rPr>
        <w:t>1.49~2.57</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S5</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S10</w:t>
      </w:r>
      <w:r>
        <w:rPr>
          <w:rFonts w:ascii="Times New Roman" w:eastAsia="宋体" w:hAnsi="Times New Roman" w:cs="Times New Roman" w:hint="eastAsia"/>
          <w:snapToGrid/>
          <w:color w:val="auto"/>
          <w:kern w:val="2"/>
          <w:sz w:val="24"/>
          <w:szCs w:val="24"/>
          <w:lang w:eastAsia="zh-CN"/>
        </w:rPr>
        <w:t>站位，平均值为</w:t>
      </w:r>
      <w:r>
        <w:rPr>
          <w:rFonts w:ascii="Times New Roman" w:eastAsia="宋体" w:hAnsi="Times New Roman" w:cs="Times New Roman" w:hint="eastAsia"/>
          <w:snapToGrid/>
          <w:color w:val="auto"/>
          <w:kern w:val="2"/>
          <w:sz w:val="24"/>
          <w:szCs w:val="24"/>
          <w:lang w:eastAsia="zh-CN"/>
        </w:rPr>
        <w:t>2.00</w:t>
      </w:r>
      <w:r>
        <w:rPr>
          <w:rFonts w:ascii="Times New Roman" w:eastAsia="宋体" w:hAnsi="Times New Roman" w:cs="Times New Roman" w:hint="eastAsia"/>
          <w:snapToGrid/>
          <w:color w:val="auto"/>
          <w:kern w:val="2"/>
          <w:sz w:val="24"/>
          <w:szCs w:val="24"/>
          <w:lang w:eastAsia="zh-CN"/>
        </w:rPr>
        <w:t>；各站位鱼类丰富度指数范围为</w:t>
      </w:r>
      <w:r>
        <w:rPr>
          <w:rFonts w:ascii="Times New Roman" w:eastAsia="宋体" w:hAnsi="Times New Roman" w:cs="Times New Roman" w:hint="eastAsia"/>
          <w:snapToGrid/>
          <w:color w:val="auto"/>
          <w:kern w:val="2"/>
          <w:sz w:val="24"/>
          <w:szCs w:val="24"/>
          <w:lang w:eastAsia="zh-CN"/>
        </w:rPr>
        <w:t>0.55~1.62</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S5</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S10</w:t>
      </w:r>
      <w:r>
        <w:rPr>
          <w:rFonts w:ascii="Times New Roman" w:eastAsia="宋体" w:hAnsi="Times New Roman" w:cs="Times New Roman" w:hint="eastAsia"/>
          <w:snapToGrid/>
          <w:color w:val="auto"/>
          <w:kern w:val="2"/>
          <w:sz w:val="24"/>
          <w:szCs w:val="24"/>
          <w:lang w:eastAsia="zh-CN"/>
        </w:rPr>
        <w:t>站位，平均值为</w:t>
      </w:r>
      <w:r>
        <w:rPr>
          <w:rFonts w:ascii="Times New Roman" w:eastAsia="宋体" w:hAnsi="Times New Roman" w:cs="Times New Roman" w:hint="eastAsia"/>
          <w:snapToGrid/>
          <w:color w:val="auto"/>
          <w:kern w:val="2"/>
          <w:sz w:val="24"/>
          <w:szCs w:val="24"/>
          <w:lang w:eastAsia="zh-CN"/>
        </w:rPr>
        <w:t>1.10</w:t>
      </w:r>
      <w:r>
        <w:rPr>
          <w:rFonts w:ascii="Times New Roman" w:eastAsia="宋体" w:hAnsi="Times New Roman" w:cs="Times New Roman" w:hint="eastAsia"/>
          <w:snapToGrid/>
          <w:color w:val="auto"/>
          <w:kern w:val="2"/>
          <w:sz w:val="24"/>
          <w:szCs w:val="24"/>
          <w:lang w:eastAsia="zh-CN"/>
        </w:rPr>
        <w:t>；各站位鱼类均匀度指数范围为</w:t>
      </w:r>
      <w:r>
        <w:rPr>
          <w:rFonts w:ascii="Times New Roman" w:eastAsia="宋体" w:hAnsi="Times New Roman" w:cs="Times New Roman" w:hint="eastAsia"/>
          <w:snapToGrid/>
          <w:color w:val="auto"/>
          <w:kern w:val="2"/>
          <w:sz w:val="24"/>
          <w:szCs w:val="24"/>
          <w:lang w:eastAsia="zh-CN"/>
        </w:rPr>
        <w:t>0.62~</w:t>
      </w:r>
      <w:r>
        <w:rPr>
          <w:rFonts w:ascii="Times New Roman" w:eastAsia="宋体" w:hAnsi="Times New Roman" w:cs="Times New Roman"/>
          <w:snapToGrid/>
          <w:color w:val="auto"/>
          <w:kern w:val="2"/>
          <w:sz w:val="24"/>
          <w:szCs w:val="24"/>
          <w:lang w:eastAsia="zh-CN"/>
        </w:rPr>
        <w:t>0.</w:t>
      </w:r>
      <w:r>
        <w:rPr>
          <w:rFonts w:ascii="Times New Roman" w:eastAsia="宋体" w:hAnsi="Times New Roman" w:cs="Times New Roman" w:hint="eastAsia"/>
          <w:snapToGrid/>
          <w:color w:val="auto"/>
          <w:kern w:val="2"/>
          <w:sz w:val="24"/>
          <w:szCs w:val="24"/>
          <w:lang w:eastAsia="zh-CN"/>
        </w:rPr>
        <w:t>95</w:t>
      </w:r>
      <w:r>
        <w:rPr>
          <w:rFonts w:ascii="Times New Roman" w:eastAsia="宋体" w:hAnsi="Times New Roman" w:cs="Times New Roman" w:hint="eastAsia"/>
          <w:snapToGrid/>
          <w:color w:val="auto"/>
          <w:kern w:val="2"/>
          <w:sz w:val="24"/>
          <w:szCs w:val="24"/>
          <w:lang w:eastAsia="zh-CN"/>
        </w:rPr>
        <w:t>，最高值在</w:t>
      </w:r>
      <w:r>
        <w:rPr>
          <w:rFonts w:ascii="Times New Roman" w:eastAsia="宋体" w:hAnsi="Times New Roman" w:cs="Times New Roman" w:hint="eastAsia"/>
          <w:snapToGrid/>
          <w:color w:val="auto"/>
          <w:kern w:val="2"/>
          <w:sz w:val="24"/>
          <w:szCs w:val="24"/>
          <w:lang w:eastAsia="zh-CN"/>
        </w:rPr>
        <w:t>S4</w:t>
      </w:r>
      <w:r>
        <w:rPr>
          <w:rFonts w:ascii="Times New Roman" w:eastAsia="宋体" w:hAnsi="Times New Roman" w:cs="Times New Roman" w:hint="eastAsia"/>
          <w:snapToGrid/>
          <w:color w:val="auto"/>
          <w:kern w:val="2"/>
          <w:sz w:val="24"/>
          <w:szCs w:val="24"/>
          <w:lang w:eastAsia="zh-CN"/>
        </w:rPr>
        <w:t>站位，最低值在</w:t>
      </w:r>
      <w:r>
        <w:rPr>
          <w:rFonts w:ascii="Times New Roman" w:eastAsia="宋体" w:hAnsi="Times New Roman" w:cs="Times New Roman" w:hint="eastAsia"/>
          <w:snapToGrid/>
          <w:color w:val="auto"/>
          <w:kern w:val="2"/>
          <w:sz w:val="24"/>
          <w:szCs w:val="24"/>
          <w:lang w:eastAsia="zh-CN"/>
        </w:rPr>
        <w:t>S8</w:t>
      </w:r>
      <w:r>
        <w:rPr>
          <w:rFonts w:ascii="Times New Roman" w:eastAsia="宋体" w:hAnsi="Times New Roman" w:cs="Times New Roman" w:hint="eastAsia"/>
          <w:snapToGrid/>
          <w:color w:val="auto"/>
          <w:kern w:val="2"/>
          <w:sz w:val="24"/>
          <w:szCs w:val="24"/>
          <w:lang w:eastAsia="zh-CN"/>
        </w:rPr>
        <w:t>站位，平均值为</w:t>
      </w:r>
      <w:r>
        <w:rPr>
          <w:rFonts w:ascii="Times New Roman" w:eastAsia="宋体" w:hAnsi="Times New Roman" w:cs="Times New Roman" w:hint="eastAsia"/>
          <w:snapToGrid/>
          <w:color w:val="auto"/>
          <w:kern w:val="2"/>
          <w:sz w:val="24"/>
          <w:szCs w:val="24"/>
          <w:lang w:eastAsia="zh-CN"/>
        </w:rPr>
        <w:t>0.84</w:t>
      </w:r>
      <w:r>
        <w:rPr>
          <w:rFonts w:ascii="Times New Roman" w:eastAsia="宋体" w:hAnsi="Times New Roman" w:cs="Times New Roman"/>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3.2.6-18</w:t>
      </w:r>
      <w:r>
        <w:rPr>
          <w:rFonts w:ascii="Times New Roman" w:eastAsia="宋体" w:hAnsi="Times New Roman" w:cs="Times New Roman"/>
          <w:snapToGrid/>
          <w:color w:val="auto"/>
          <w:kern w:val="2"/>
          <w:sz w:val="24"/>
          <w:szCs w:val="24"/>
          <w:lang w:eastAsia="zh-CN"/>
        </w:rPr>
        <w:t>）。</w:t>
      </w:r>
    </w:p>
    <w:p w14:paraId="3534350C" w14:textId="77777777" w:rsidR="0075791A" w:rsidRDefault="00FB2864">
      <w:pPr>
        <w:widowControl w:val="0"/>
        <w:kinsoku/>
        <w:adjustRightInd/>
        <w:snapToGrid/>
        <w:ind w:firstLineChars="200" w:firstLine="480"/>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3.2.6-18</w:t>
      </w:r>
      <w:r>
        <w:rPr>
          <w:rFonts w:ascii="Times New Roman" w:eastAsia="宋体" w:hAnsi="Times New Roman" w:cs="Times New Roman" w:hint="eastAsia"/>
          <w:snapToGrid/>
          <w:color w:val="auto"/>
          <w:kern w:val="2"/>
          <w:sz w:val="24"/>
          <w:szCs w:val="24"/>
          <w:lang w:eastAsia="zh-CN"/>
        </w:rPr>
        <w:t>多样性分析</w:t>
      </w:r>
    </w:p>
    <w:tbl>
      <w:tblPr>
        <w:tblW w:w="46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4"/>
        <w:gridCol w:w="2501"/>
        <w:gridCol w:w="2502"/>
        <w:gridCol w:w="1877"/>
      </w:tblGrid>
      <w:tr w:rsidR="0075791A" w14:paraId="372221ED" w14:textId="77777777">
        <w:trPr>
          <w:trHeight w:val="220"/>
          <w:tblHeader/>
          <w:jc w:val="center"/>
        </w:trPr>
        <w:tc>
          <w:tcPr>
            <w:tcW w:w="1070" w:type="pct"/>
            <w:noWrap/>
            <w:vAlign w:val="center"/>
          </w:tcPr>
          <w:p w14:paraId="2EE3DB23"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站位号</w:t>
            </w:r>
          </w:p>
        </w:tc>
        <w:tc>
          <w:tcPr>
            <w:tcW w:w="1428" w:type="pct"/>
            <w:noWrap/>
            <w:vAlign w:val="center"/>
          </w:tcPr>
          <w:p w14:paraId="765A9605"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多样性</w:t>
            </w:r>
          </w:p>
        </w:tc>
        <w:tc>
          <w:tcPr>
            <w:tcW w:w="1428" w:type="pct"/>
            <w:noWrap/>
            <w:vAlign w:val="center"/>
          </w:tcPr>
          <w:p w14:paraId="0C3A2286"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丰富度</w:t>
            </w:r>
          </w:p>
        </w:tc>
        <w:tc>
          <w:tcPr>
            <w:tcW w:w="1071" w:type="pct"/>
            <w:noWrap/>
            <w:vAlign w:val="center"/>
          </w:tcPr>
          <w:p w14:paraId="2D4B26F4" w14:textId="77777777" w:rsidR="0075791A" w:rsidRDefault="00FB2864">
            <w:pPr>
              <w:kinsoku/>
              <w:autoSpaceDE/>
              <w:autoSpaceDN/>
              <w:adjustRightInd/>
              <w:snapToGrid/>
              <w:jc w:val="center"/>
              <w:textAlignment w:val="center"/>
              <w:rPr>
                <w:rFonts w:ascii="Times New Roman" w:eastAsia="宋体" w:hAnsi="Times New Roman" w:cs="Times New Roman"/>
                <w:b/>
                <w:bCs/>
                <w:snapToGrid/>
                <w:color w:val="auto"/>
                <w:kern w:val="2"/>
                <w:sz w:val="24"/>
                <w:szCs w:val="18"/>
                <w:lang w:eastAsia="zh-CN"/>
              </w:rPr>
            </w:pPr>
            <w:r>
              <w:rPr>
                <w:rFonts w:ascii="Times New Roman" w:eastAsia="宋体" w:hAnsi="Times New Roman" w:cs="Times New Roman"/>
                <w:b/>
                <w:bCs/>
                <w:snapToGrid/>
                <w:color w:val="auto"/>
                <w:sz w:val="24"/>
                <w:szCs w:val="18"/>
                <w:lang w:eastAsia="zh-CN" w:bidi="ar"/>
              </w:rPr>
              <w:t>均匀度</w:t>
            </w:r>
          </w:p>
        </w:tc>
      </w:tr>
      <w:tr w:rsidR="0075791A" w14:paraId="07E1E80A" w14:textId="77777777">
        <w:trPr>
          <w:trHeight w:val="220"/>
          <w:jc w:val="center"/>
        </w:trPr>
        <w:tc>
          <w:tcPr>
            <w:tcW w:w="1070" w:type="pct"/>
            <w:noWrap/>
            <w:vAlign w:val="center"/>
          </w:tcPr>
          <w:p w14:paraId="337C5F4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w:t>
            </w:r>
          </w:p>
        </w:tc>
        <w:tc>
          <w:tcPr>
            <w:tcW w:w="1428" w:type="pct"/>
            <w:noWrap/>
            <w:vAlign w:val="center"/>
          </w:tcPr>
          <w:p w14:paraId="4560335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1.81</w:t>
            </w:r>
          </w:p>
        </w:tc>
        <w:tc>
          <w:tcPr>
            <w:tcW w:w="1428" w:type="pct"/>
            <w:noWrap/>
            <w:vAlign w:val="center"/>
          </w:tcPr>
          <w:p w14:paraId="169F20F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1.00</w:t>
            </w:r>
          </w:p>
        </w:tc>
        <w:tc>
          <w:tcPr>
            <w:tcW w:w="1071" w:type="pct"/>
            <w:noWrap/>
            <w:vAlign w:val="center"/>
          </w:tcPr>
          <w:p w14:paraId="71C0AE0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0.91</w:t>
            </w:r>
          </w:p>
        </w:tc>
      </w:tr>
      <w:tr w:rsidR="0075791A" w14:paraId="5C4BA2EA" w14:textId="77777777">
        <w:trPr>
          <w:trHeight w:val="220"/>
          <w:jc w:val="center"/>
        </w:trPr>
        <w:tc>
          <w:tcPr>
            <w:tcW w:w="1070" w:type="pct"/>
            <w:noWrap/>
            <w:vAlign w:val="center"/>
          </w:tcPr>
          <w:p w14:paraId="008F8DD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S2</w:t>
            </w:r>
          </w:p>
        </w:tc>
        <w:tc>
          <w:tcPr>
            <w:tcW w:w="1428" w:type="pct"/>
            <w:noWrap/>
            <w:vAlign w:val="center"/>
          </w:tcPr>
          <w:p w14:paraId="1E41528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2.10</w:t>
            </w:r>
          </w:p>
        </w:tc>
        <w:tc>
          <w:tcPr>
            <w:tcW w:w="1428" w:type="pct"/>
            <w:noWrap/>
            <w:vAlign w:val="center"/>
          </w:tcPr>
          <w:p w14:paraId="4B074A8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1.08</w:t>
            </w:r>
          </w:p>
        </w:tc>
        <w:tc>
          <w:tcPr>
            <w:tcW w:w="1071" w:type="pct"/>
            <w:noWrap/>
            <w:vAlign w:val="center"/>
          </w:tcPr>
          <w:p w14:paraId="71C2E15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0.91</w:t>
            </w:r>
          </w:p>
        </w:tc>
      </w:tr>
      <w:tr w:rsidR="0075791A" w14:paraId="2DDDD675" w14:textId="77777777">
        <w:trPr>
          <w:trHeight w:val="220"/>
          <w:jc w:val="center"/>
        </w:trPr>
        <w:tc>
          <w:tcPr>
            <w:tcW w:w="1070" w:type="pct"/>
            <w:noWrap/>
            <w:vAlign w:val="center"/>
          </w:tcPr>
          <w:p w14:paraId="5CB5E2D1"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S3</w:t>
            </w:r>
          </w:p>
        </w:tc>
        <w:tc>
          <w:tcPr>
            <w:tcW w:w="1428" w:type="pct"/>
            <w:noWrap/>
            <w:vAlign w:val="center"/>
          </w:tcPr>
          <w:p w14:paraId="48CB56C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1.79</w:t>
            </w:r>
          </w:p>
        </w:tc>
        <w:tc>
          <w:tcPr>
            <w:tcW w:w="1428" w:type="pct"/>
            <w:noWrap/>
            <w:vAlign w:val="center"/>
          </w:tcPr>
          <w:p w14:paraId="3BCCC48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1.16</w:t>
            </w:r>
          </w:p>
        </w:tc>
        <w:tc>
          <w:tcPr>
            <w:tcW w:w="1071" w:type="pct"/>
            <w:noWrap/>
            <w:vAlign w:val="center"/>
          </w:tcPr>
          <w:p w14:paraId="399BECF2"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0.90</w:t>
            </w:r>
          </w:p>
        </w:tc>
      </w:tr>
      <w:tr w:rsidR="0075791A" w14:paraId="5042C8CC" w14:textId="77777777">
        <w:trPr>
          <w:trHeight w:val="220"/>
          <w:jc w:val="center"/>
        </w:trPr>
        <w:tc>
          <w:tcPr>
            <w:tcW w:w="1070" w:type="pct"/>
            <w:noWrap/>
            <w:vAlign w:val="center"/>
          </w:tcPr>
          <w:p w14:paraId="3279187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S4</w:t>
            </w:r>
          </w:p>
        </w:tc>
        <w:tc>
          <w:tcPr>
            <w:tcW w:w="1428" w:type="pct"/>
            <w:noWrap/>
            <w:vAlign w:val="center"/>
          </w:tcPr>
          <w:p w14:paraId="6AACCF3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2.46</w:t>
            </w:r>
          </w:p>
        </w:tc>
        <w:tc>
          <w:tcPr>
            <w:tcW w:w="1428" w:type="pct"/>
            <w:noWrap/>
            <w:vAlign w:val="center"/>
          </w:tcPr>
          <w:p w14:paraId="02967B7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1.39</w:t>
            </w:r>
          </w:p>
        </w:tc>
        <w:tc>
          <w:tcPr>
            <w:tcW w:w="1071" w:type="pct"/>
            <w:noWrap/>
            <w:vAlign w:val="center"/>
          </w:tcPr>
          <w:p w14:paraId="620AB80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0.95</w:t>
            </w:r>
          </w:p>
        </w:tc>
      </w:tr>
      <w:tr w:rsidR="0075791A" w14:paraId="3A0087C0" w14:textId="77777777">
        <w:trPr>
          <w:trHeight w:val="220"/>
          <w:jc w:val="center"/>
        </w:trPr>
        <w:tc>
          <w:tcPr>
            <w:tcW w:w="1070" w:type="pct"/>
            <w:noWrap/>
            <w:vAlign w:val="center"/>
          </w:tcPr>
          <w:p w14:paraId="2D1E2C4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S5</w:t>
            </w:r>
          </w:p>
        </w:tc>
        <w:tc>
          <w:tcPr>
            <w:tcW w:w="1428" w:type="pct"/>
            <w:noWrap/>
            <w:vAlign w:val="center"/>
          </w:tcPr>
          <w:p w14:paraId="799658E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2.57</w:t>
            </w:r>
          </w:p>
        </w:tc>
        <w:tc>
          <w:tcPr>
            <w:tcW w:w="1428" w:type="pct"/>
            <w:noWrap/>
            <w:vAlign w:val="center"/>
          </w:tcPr>
          <w:p w14:paraId="17DE0C23"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1.62</w:t>
            </w:r>
          </w:p>
        </w:tc>
        <w:tc>
          <w:tcPr>
            <w:tcW w:w="1071" w:type="pct"/>
            <w:noWrap/>
            <w:vAlign w:val="center"/>
          </w:tcPr>
          <w:p w14:paraId="3C844965"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0.91</w:t>
            </w:r>
          </w:p>
        </w:tc>
      </w:tr>
      <w:tr w:rsidR="0075791A" w14:paraId="7A8B7124" w14:textId="77777777">
        <w:trPr>
          <w:trHeight w:val="220"/>
          <w:jc w:val="center"/>
        </w:trPr>
        <w:tc>
          <w:tcPr>
            <w:tcW w:w="1070" w:type="pct"/>
            <w:noWrap/>
            <w:vAlign w:val="center"/>
          </w:tcPr>
          <w:p w14:paraId="4164A55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S6</w:t>
            </w:r>
          </w:p>
        </w:tc>
        <w:tc>
          <w:tcPr>
            <w:tcW w:w="1428" w:type="pct"/>
            <w:noWrap/>
            <w:vAlign w:val="center"/>
          </w:tcPr>
          <w:p w14:paraId="4D27FD9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2.37</w:t>
            </w:r>
          </w:p>
        </w:tc>
        <w:tc>
          <w:tcPr>
            <w:tcW w:w="1428" w:type="pct"/>
            <w:noWrap/>
            <w:vAlign w:val="center"/>
          </w:tcPr>
          <w:p w14:paraId="1238041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1.51</w:t>
            </w:r>
          </w:p>
        </w:tc>
        <w:tc>
          <w:tcPr>
            <w:tcW w:w="1071" w:type="pct"/>
            <w:noWrap/>
            <w:vAlign w:val="center"/>
          </w:tcPr>
          <w:p w14:paraId="0A019A5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0.92</w:t>
            </w:r>
          </w:p>
        </w:tc>
      </w:tr>
      <w:tr w:rsidR="0075791A" w14:paraId="78325F20" w14:textId="77777777">
        <w:trPr>
          <w:trHeight w:val="220"/>
          <w:jc w:val="center"/>
        </w:trPr>
        <w:tc>
          <w:tcPr>
            <w:tcW w:w="1070" w:type="pct"/>
            <w:noWrap/>
            <w:vAlign w:val="center"/>
          </w:tcPr>
          <w:p w14:paraId="52807B5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S7</w:t>
            </w:r>
          </w:p>
        </w:tc>
        <w:tc>
          <w:tcPr>
            <w:tcW w:w="1428" w:type="pct"/>
            <w:noWrap/>
            <w:vAlign w:val="center"/>
          </w:tcPr>
          <w:p w14:paraId="2608D62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1.71</w:t>
            </w:r>
          </w:p>
        </w:tc>
        <w:tc>
          <w:tcPr>
            <w:tcW w:w="1428" w:type="pct"/>
            <w:noWrap/>
            <w:vAlign w:val="center"/>
          </w:tcPr>
          <w:p w14:paraId="3C0D7C2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0.86</w:t>
            </w:r>
          </w:p>
        </w:tc>
        <w:tc>
          <w:tcPr>
            <w:tcW w:w="1071" w:type="pct"/>
            <w:noWrap/>
            <w:vAlign w:val="center"/>
          </w:tcPr>
          <w:p w14:paraId="6C619F8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0.74</w:t>
            </w:r>
          </w:p>
        </w:tc>
      </w:tr>
      <w:tr w:rsidR="0075791A" w14:paraId="57F8D78F" w14:textId="77777777">
        <w:trPr>
          <w:trHeight w:val="220"/>
          <w:jc w:val="center"/>
        </w:trPr>
        <w:tc>
          <w:tcPr>
            <w:tcW w:w="1070" w:type="pct"/>
            <w:noWrap/>
            <w:vAlign w:val="center"/>
          </w:tcPr>
          <w:p w14:paraId="3F78415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S8</w:t>
            </w:r>
          </w:p>
        </w:tc>
        <w:tc>
          <w:tcPr>
            <w:tcW w:w="1428" w:type="pct"/>
            <w:noWrap/>
            <w:vAlign w:val="center"/>
          </w:tcPr>
          <w:p w14:paraId="036F840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1.75</w:t>
            </w:r>
          </w:p>
        </w:tc>
        <w:tc>
          <w:tcPr>
            <w:tcW w:w="1428" w:type="pct"/>
            <w:noWrap/>
            <w:vAlign w:val="center"/>
          </w:tcPr>
          <w:p w14:paraId="682960E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1.01</w:t>
            </w:r>
          </w:p>
        </w:tc>
        <w:tc>
          <w:tcPr>
            <w:tcW w:w="1071" w:type="pct"/>
            <w:noWrap/>
            <w:vAlign w:val="center"/>
          </w:tcPr>
          <w:p w14:paraId="16766B23"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0.62</w:t>
            </w:r>
          </w:p>
        </w:tc>
      </w:tr>
      <w:tr w:rsidR="0075791A" w14:paraId="344F9EA1" w14:textId="77777777">
        <w:trPr>
          <w:trHeight w:val="220"/>
          <w:jc w:val="center"/>
        </w:trPr>
        <w:tc>
          <w:tcPr>
            <w:tcW w:w="1070" w:type="pct"/>
            <w:noWrap/>
            <w:vAlign w:val="center"/>
          </w:tcPr>
          <w:p w14:paraId="00726B7C"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S9</w:t>
            </w:r>
          </w:p>
        </w:tc>
        <w:tc>
          <w:tcPr>
            <w:tcW w:w="1428" w:type="pct"/>
            <w:noWrap/>
            <w:vAlign w:val="center"/>
          </w:tcPr>
          <w:p w14:paraId="4092220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1.85</w:t>
            </w:r>
          </w:p>
        </w:tc>
        <w:tc>
          <w:tcPr>
            <w:tcW w:w="1428" w:type="pct"/>
            <w:noWrap/>
            <w:vAlign w:val="center"/>
          </w:tcPr>
          <w:p w14:paraId="41313AC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0.76</w:t>
            </w:r>
          </w:p>
        </w:tc>
        <w:tc>
          <w:tcPr>
            <w:tcW w:w="1071" w:type="pct"/>
            <w:noWrap/>
            <w:vAlign w:val="center"/>
          </w:tcPr>
          <w:p w14:paraId="18A95C8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0.80</w:t>
            </w:r>
          </w:p>
        </w:tc>
      </w:tr>
      <w:tr w:rsidR="0075791A" w14:paraId="4C5AD3DE" w14:textId="77777777">
        <w:trPr>
          <w:trHeight w:val="220"/>
          <w:jc w:val="center"/>
        </w:trPr>
        <w:tc>
          <w:tcPr>
            <w:tcW w:w="1070" w:type="pct"/>
            <w:noWrap/>
            <w:vAlign w:val="center"/>
          </w:tcPr>
          <w:p w14:paraId="6D855C6E"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S10</w:t>
            </w:r>
          </w:p>
        </w:tc>
        <w:tc>
          <w:tcPr>
            <w:tcW w:w="1428" w:type="pct"/>
            <w:noWrap/>
            <w:vAlign w:val="center"/>
          </w:tcPr>
          <w:p w14:paraId="3037CEE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1.49</w:t>
            </w:r>
          </w:p>
        </w:tc>
        <w:tc>
          <w:tcPr>
            <w:tcW w:w="1428" w:type="pct"/>
            <w:noWrap/>
            <w:vAlign w:val="center"/>
          </w:tcPr>
          <w:p w14:paraId="6809B0A9"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0.55</w:t>
            </w:r>
          </w:p>
        </w:tc>
        <w:tc>
          <w:tcPr>
            <w:tcW w:w="1071" w:type="pct"/>
            <w:noWrap/>
            <w:vAlign w:val="center"/>
          </w:tcPr>
          <w:p w14:paraId="56CB3270"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0.75</w:t>
            </w:r>
          </w:p>
        </w:tc>
      </w:tr>
      <w:tr w:rsidR="0075791A" w14:paraId="3D860EE4" w14:textId="77777777">
        <w:trPr>
          <w:trHeight w:val="220"/>
          <w:jc w:val="center"/>
        </w:trPr>
        <w:tc>
          <w:tcPr>
            <w:tcW w:w="1070" w:type="pct"/>
            <w:noWrap/>
            <w:vAlign w:val="center"/>
          </w:tcPr>
          <w:p w14:paraId="537EDC0A"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S11</w:t>
            </w:r>
          </w:p>
        </w:tc>
        <w:tc>
          <w:tcPr>
            <w:tcW w:w="1428" w:type="pct"/>
            <w:noWrap/>
            <w:vAlign w:val="center"/>
          </w:tcPr>
          <w:p w14:paraId="44CC5728"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1.79</w:t>
            </w:r>
          </w:p>
        </w:tc>
        <w:tc>
          <w:tcPr>
            <w:tcW w:w="1428" w:type="pct"/>
            <w:noWrap/>
            <w:vAlign w:val="center"/>
          </w:tcPr>
          <w:p w14:paraId="6E38661B"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1.16</w:t>
            </w:r>
          </w:p>
        </w:tc>
        <w:tc>
          <w:tcPr>
            <w:tcW w:w="1071" w:type="pct"/>
            <w:noWrap/>
            <w:vAlign w:val="center"/>
          </w:tcPr>
          <w:p w14:paraId="04B20C1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0.90</w:t>
            </w:r>
          </w:p>
        </w:tc>
      </w:tr>
      <w:tr w:rsidR="0075791A" w14:paraId="193BA8B8" w14:textId="77777777">
        <w:trPr>
          <w:trHeight w:val="220"/>
          <w:jc w:val="center"/>
        </w:trPr>
        <w:tc>
          <w:tcPr>
            <w:tcW w:w="1070" w:type="pct"/>
            <w:noWrap/>
            <w:vAlign w:val="center"/>
          </w:tcPr>
          <w:p w14:paraId="5AF6206F"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S12</w:t>
            </w:r>
          </w:p>
        </w:tc>
        <w:tc>
          <w:tcPr>
            <w:tcW w:w="1428" w:type="pct"/>
            <w:noWrap/>
            <w:vAlign w:val="center"/>
          </w:tcPr>
          <w:p w14:paraId="2F4739D6"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2.25</w:t>
            </w:r>
          </w:p>
        </w:tc>
        <w:tc>
          <w:tcPr>
            <w:tcW w:w="1428" w:type="pct"/>
            <w:noWrap/>
            <w:vAlign w:val="center"/>
          </w:tcPr>
          <w:p w14:paraId="5A8295B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1.07</w:t>
            </w:r>
          </w:p>
        </w:tc>
        <w:tc>
          <w:tcPr>
            <w:tcW w:w="1071" w:type="pct"/>
            <w:noWrap/>
            <w:vAlign w:val="center"/>
          </w:tcPr>
          <w:p w14:paraId="5EB6788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0.80</w:t>
            </w:r>
          </w:p>
        </w:tc>
      </w:tr>
      <w:tr w:rsidR="0075791A" w14:paraId="39D462C7" w14:textId="77777777">
        <w:trPr>
          <w:trHeight w:val="225"/>
          <w:jc w:val="center"/>
        </w:trPr>
        <w:tc>
          <w:tcPr>
            <w:tcW w:w="1070" w:type="pct"/>
            <w:noWrap/>
            <w:vAlign w:val="center"/>
          </w:tcPr>
          <w:p w14:paraId="20C4591D"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平均</w:t>
            </w:r>
          </w:p>
        </w:tc>
        <w:tc>
          <w:tcPr>
            <w:tcW w:w="1428" w:type="pct"/>
            <w:noWrap/>
            <w:vAlign w:val="center"/>
          </w:tcPr>
          <w:p w14:paraId="279B5ED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2.00</w:t>
            </w:r>
          </w:p>
        </w:tc>
        <w:tc>
          <w:tcPr>
            <w:tcW w:w="1428" w:type="pct"/>
            <w:noWrap/>
            <w:vAlign w:val="center"/>
          </w:tcPr>
          <w:p w14:paraId="0E922584"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1.10</w:t>
            </w:r>
          </w:p>
        </w:tc>
        <w:tc>
          <w:tcPr>
            <w:tcW w:w="1071" w:type="pct"/>
            <w:noWrap/>
            <w:vAlign w:val="center"/>
          </w:tcPr>
          <w:p w14:paraId="17B5F067" w14:textId="77777777" w:rsidR="0075791A" w:rsidRDefault="00FB2864">
            <w:pPr>
              <w:kinsoku/>
              <w:autoSpaceDE/>
              <w:autoSpaceDN/>
              <w:adjustRightInd/>
              <w:snapToGrid/>
              <w:jc w:val="center"/>
              <w:textAlignment w:val="center"/>
              <w:rPr>
                <w:rFonts w:ascii="Times New Roman" w:eastAsia="宋体" w:hAnsi="Times New Roman" w:cs="Times New Roman"/>
                <w:snapToGrid/>
                <w:color w:val="auto"/>
                <w:kern w:val="2"/>
                <w:sz w:val="24"/>
                <w:szCs w:val="18"/>
                <w:lang w:eastAsia="zh-CN"/>
              </w:rPr>
            </w:pPr>
            <w:r>
              <w:rPr>
                <w:rFonts w:ascii="Times New Roman" w:eastAsia="宋体" w:hAnsi="Times New Roman" w:cs="Times New Roman"/>
                <w:snapToGrid/>
                <w:color w:val="auto"/>
                <w:sz w:val="24"/>
                <w:szCs w:val="18"/>
                <w:lang w:eastAsia="zh-CN" w:bidi="ar"/>
              </w:rPr>
              <w:t>0.84</w:t>
            </w:r>
          </w:p>
        </w:tc>
      </w:tr>
    </w:tbl>
    <w:p w14:paraId="23DE5173"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96" w:name="_Toc30932"/>
      <w:r>
        <w:rPr>
          <w:rFonts w:ascii="Times New Roman" w:eastAsia="宋体" w:hAnsi="Times New Roman" w:cs="Times New Roman" w:hint="eastAsia"/>
          <w:b/>
          <w:bCs/>
          <w:snapToGrid/>
          <w:color w:val="auto"/>
          <w:kern w:val="2"/>
          <w:sz w:val="24"/>
          <w:szCs w:val="24"/>
          <w:lang w:eastAsia="zh-CN"/>
        </w:rPr>
        <w:t>（</w:t>
      </w:r>
      <w:r>
        <w:rPr>
          <w:rFonts w:ascii="Times New Roman" w:eastAsia="宋体" w:hAnsi="Times New Roman" w:cs="Times New Roman" w:hint="eastAsia"/>
          <w:b/>
          <w:bCs/>
          <w:snapToGrid/>
          <w:color w:val="auto"/>
          <w:kern w:val="2"/>
          <w:sz w:val="24"/>
          <w:szCs w:val="24"/>
          <w:lang w:eastAsia="zh-CN"/>
        </w:rPr>
        <w:t>5</w:t>
      </w:r>
      <w:r>
        <w:rPr>
          <w:rFonts w:ascii="Times New Roman" w:eastAsia="宋体" w:hAnsi="Times New Roman" w:cs="Times New Roman" w:hint="eastAsia"/>
          <w:b/>
          <w:bCs/>
          <w:snapToGrid/>
          <w:color w:val="auto"/>
          <w:kern w:val="2"/>
          <w:sz w:val="24"/>
          <w:szCs w:val="24"/>
          <w:lang w:eastAsia="zh-CN"/>
        </w:rPr>
        <w:t>）小结</w:t>
      </w:r>
      <w:bookmarkEnd w:id="196"/>
    </w:p>
    <w:p w14:paraId="22E7647F"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lang w:eastAsia="zh-CN"/>
        </w:rPr>
      </w:pPr>
      <w:r>
        <w:rPr>
          <w:rFonts w:ascii="Times New Roman" w:eastAsia="宋体" w:hAnsi="Times New Roman" w:cs="Times New Roman" w:hint="eastAsia"/>
          <w:snapToGrid/>
          <w:color w:val="auto"/>
          <w:kern w:val="2"/>
          <w:sz w:val="24"/>
          <w:szCs w:val="24"/>
          <w:lang w:eastAsia="zh-CN"/>
        </w:rPr>
        <w:t>本次调查，鱼类共</w:t>
      </w:r>
      <w:r>
        <w:rPr>
          <w:rFonts w:ascii="Times New Roman" w:eastAsia="宋体" w:hAnsi="Times New Roman" w:cs="Times New Roman"/>
          <w:snapToGrid/>
          <w:color w:val="auto"/>
          <w:kern w:val="2"/>
          <w:sz w:val="24"/>
          <w:szCs w:val="24"/>
          <w:lang w:eastAsia="zh-CN"/>
        </w:rPr>
        <w:t>调查到</w:t>
      </w:r>
      <w:r>
        <w:rPr>
          <w:rFonts w:ascii="Times New Roman" w:eastAsia="宋体" w:hAnsi="Times New Roman" w:cs="Times New Roman" w:hint="eastAsia"/>
          <w:snapToGrid/>
          <w:color w:val="auto"/>
          <w:kern w:val="2"/>
          <w:sz w:val="24"/>
          <w:szCs w:val="24"/>
          <w:lang w:eastAsia="zh-CN"/>
        </w:rPr>
        <w:t>19</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29</w:t>
      </w:r>
      <w:r>
        <w:rPr>
          <w:rFonts w:ascii="Times New Roman" w:eastAsia="宋体" w:hAnsi="Times New Roman" w:cs="Times New Roman" w:hint="eastAsia"/>
          <w:snapToGrid/>
          <w:color w:val="auto"/>
          <w:kern w:val="2"/>
          <w:sz w:val="24"/>
          <w:szCs w:val="24"/>
          <w:lang w:eastAsia="zh-CN"/>
        </w:rPr>
        <w:t>属</w:t>
      </w:r>
      <w:r>
        <w:rPr>
          <w:rFonts w:ascii="Times New Roman" w:eastAsia="宋体" w:hAnsi="Times New Roman" w:cs="Times New Roman" w:hint="eastAsia"/>
          <w:snapToGrid/>
          <w:color w:val="auto"/>
          <w:kern w:val="2"/>
          <w:sz w:val="24"/>
          <w:szCs w:val="24"/>
          <w:lang w:eastAsia="zh-CN"/>
        </w:rPr>
        <w:t>32</w:t>
      </w:r>
      <w:r>
        <w:rPr>
          <w:rFonts w:ascii="Times New Roman" w:eastAsia="宋体" w:hAnsi="Times New Roman" w:cs="Times New Roman"/>
          <w:snapToGrid/>
          <w:color w:val="auto"/>
          <w:kern w:val="2"/>
          <w:sz w:val="24"/>
          <w:szCs w:val="24"/>
          <w:lang w:eastAsia="zh-CN"/>
        </w:rPr>
        <w:t>种，</w:t>
      </w:r>
      <w:r>
        <w:rPr>
          <w:rFonts w:ascii="Times New Roman" w:eastAsia="宋体" w:hAnsi="Times New Roman" w:cs="Times New Roman" w:hint="eastAsia"/>
          <w:snapToGrid/>
          <w:color w:val="auto"/>
          <w:kern w:val="2"/>
          <w:sz w:val="24"/>
          <w:szCs w:val="24"/>
          <w:lang w:eastAsia="zh-CN"/>
        </w:rPr>
        <w:t>尼罗罗非鱼、长棘银鲈、鲮、鲫鱼、眶刺双边鱼、下口鲇、花身副丽鱼、细纹鲾、五带豆娘鱼、星斑篮子鱼为主要优势物种。</w:t>
      </w:r>
      <w:r>
        <w:rPr>
          <w:rFonts w:ascii="Times New Roman" w:eastAsia="宋体" w:hAnsi="Times New Roman" w:cs="Times New Roman"/>
          <w:snapToGrid/>
          <w:color w:val="auto"/>
          <w:kern w:val="2"/>
          <w:sz w:val="24"/>
          <w:szCs w:val="24"/>
          <w:lang w:eastAsia="zh-CN"/>
        </w:rPr>
        <w:t>密度及生物量统计</w:t>
      </w:r>
      <w:r>
        <w:rPr>
          <w:rFonts w:ascii="Times New Roman" w:eastAsia="宋体" w:hAnsi="Times New Roman" w:cs="Times New Roman" w:hint="eastAsia"/>
          <w:snapToGrid/>
          <w:color w:val="auto"/>
          <w:kern w:val="2"/>
          <w:sz w:val="24"/>
          <w:szCs w:val="24"/>
          <w:lang w:eastAsia="zh-CN"/>
        </w:rPr>
        <w:t>结果表明</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各站位鱼类捕获</w:t>
      </w:r>
      <w:r>
        <w:rPr>
          <w:rFonts w:ascii="Times New Roman" w:eastAsia="宋体" w:hAnsi="Times New Roman" w:cs="Times New Roman"/>
          <w:snapToGrid/>
          <w:color w:val="auto"/>
          <w:kern w:val="2"/>
          <w:sz w:val="24"/>
          <w:szCs w:val="24"/>
          <w:lang w:eastAsia="zh-CN"/>
        </w:rPr>
        <w:t>密度</w:t>
      </w:r>
      <w:r>
        <w:rPr>
          <w:rFonts w:ascii="Times New Roman" w:eastAsia="宋体" w:hAnsi="Times New Roman" w:cs="Times New Roman" w:hint="eastAsia"/>
          <w:snapToGrid/>
          <w:color w:val="auto"/>
          <w:kern w:val="2"/>
          <w:sz w:val="24"/>
          <w:szCs w:val="24"/>
          <w:lang w:eastAsia="zh-CN"/>
        </w:rPr>
        <w:t>范围</w:t>
      </w:r>
      <w:r>
        <w:rPr>
          <w:rFonts w:ascii="Times New Roman" w:eastAsia="宋体" w:hAnsi="Times New Roman" w:cs="Times New Roman"/>
          <w:snapToGrid/>
          <w:color w:val="auto"/>
          <w:kern w:val="2"/>
          <w:sz w:val="24"/>
          <w:szCs w:val="24"/>
          <w:lang w:eastAsia="zh-CN"/>
        </w:rPr>
        <w:t>为</w:t>
      </w:r>
      <w:r>
        <w:rPr>
          <w:rFonts w:ascii="Times New Roman" w:eastAsia="宋体" w:hAnsi="Times New Roman" w:cs="Times New Roman" w:hint="eastAsia"/>
          <w:snapToGrid/>
          <w:color w:val="auto"/>
          <w:kern w:val="2"/>
          <w:sz w:val="24"/>
          <w:szCs w:val="24"/>
          <w:lang w:eastAsia="zh-CN"/>
        </w:rPr>
        <w:t xml:space="preserve">24~244 </w:t>
      </w:r>
      <w:r>
        <w:rPr>
          <w:rFonts w:ascii="Times New Roman" w:eastAsia="宋体" w:hAnsi="Times New Roman" w:cs="Times New Roman"/>
          <w:snapToGrid/>
          <w:color w:val="auto"/>
          <w:kern w:val="2"/>
          <w:sz w:val="24"/>
          <w:szCs w:val="24"/>
          <w:lang w:eastAsia="zh-CN"/>
        </w:rPr>
        <w:t>ind./</w:t>
      </w:r>
      <w:r>
        <w:rPr>
          <w:rFonts w:ascii="Times New Roman" w:eastAsia="宋体" w:hAnsi="Times New Roman" w:cs="Times New Roman"/>
          <w:snapToGrid/>
          <w:color w:val="auto"/>
          <w:kern w:val="2"/>
          <w:sz w:val="24"/>
          <w:szCs w:val="24"/>
          <w:lang w:eastAsia="zh-CN"/>
        </w:rPr>
        <w:t>网</w:t>
      </w:r>
      <w:r>
        <w:rPr>
          <w:rFonts w:ascii="Times New Roman" w:eastAsia="宋体" w:hAnsi="Times New Roman" w:cs="Times New Roman"/>
          <w:snapToGrid/>
          <w:color w:val="auto"/>
          <w:kern w:val="2"/>
          <w:sz w:val="24"/>
          <w:szCs w:val="24"/>
          <w:lang w:eastAsia="zh-CN"/>
        </w:rPr>
        <w:t>.h</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 xml:space="preserve">95 </w:t>
      </w:r>
      <w:r>
        <w:rPr>
          <w:rFonts w:ascii="Times New Roman" w:eastAsia="宋体" w:hAnsi="Times New Roman" w:cs="Times New Roman"/>
          <w:snapToGrid/>
          <w:color w:val="auto"/>
          <w:kern w:val="2"/>
          <w:sz w:val="24"/>
          <w:szCs w:val="24"/>
          <w:lang w:eastAsia="zh-CN"/>
        </w:rPr>
        <w:t>ind./</w:t>
      </w:r>
      <w:r>
        <w:rPr>
          <w:rFonts w:ascii="Times New Roman" w:eastAsia="宋体" w:hAnsi="Times New Roman" w:cs="Times New Roman"/>
          <w:snapToGrid/>
          <w:color w:val="auto"/>
          <w:kern w:val="2"/>
          <w:sz w:val="24"/>
          <w:szCs w:val="24"/>
          <w:lang w:eastAsia="zh-CN"/>
        </w:rPr>
        <w:t>网</w:t>
      </w:r>
      <w:r>
        <w:rPr>
          <w:rFonts w:ascii="Times New Roman" w:eastAsia="宋体" w:hAnsi="Times New Roman" w:cs="Times New Roman"/>
          <w:snapToGrid/>
          <w:color w:val="auto"/>
          <w:kern w:val="2"/>
          <w:sz w:val="24"/>
          <w:szCs w:val="24"/>
          <w:lang w:eastAsia="zh-CN"/>
        </w:rPr>
        <w:t>.h</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渔获</w:t>
      </w:r>
      <w:r>
        <w:rPr>
          <w:rFonts w:ascii="Times New Roman" w:eastAsia="宋体" w:hAnsi="Times New Roman" w:cs="Times New Roman"/>
          <w:snapToGrid/>
          <w:color w:val="auto"/>
          <w:kern w:val="2"/>
          <w:sz w:val="24"/>
          <w:szCs w:val="24"/>
          <w:lang w:eastAsia="zh-CN"/>
        </w:rPr>
        <w:t>生物量</w:t>
      </w:r>
      <w:r>
        <w:rPr>
          <w:rFonts w:ascii="Times New Roman" w:eastAsia="宋体" w:hAnsi="Times New Roman" w:cs="Times New Roman" w:hint="eastAsia"/>
          <w:snapToGrid/>
          <w:color w:val="auto"/>
          <w:kern w:val="2"/>
          <w:sz w:val="24"/>
          <w:szCs w:val="24"/>
          <w:lang w:eastAsia="zh-CN"/>
        </w:rPr>
        <w:t>范围</w:t>
      </w:r>
      <w:r>
        <w:rPr>
          <w:rFonts w:ascii="Times New Roman" w:eastAsia="宋体" w:hAnsi="Times New Roman" w:cs="Times New Roman"/>
          <w:snapToGrid/>
          <w:color w:val="auto"/>
          <w:kern w:val="2"/>
          <w:sz w:val="24"/>
          <w:szCs w:val="24"/>
          <w:lang w:eastAsia="zh-CN"/>
        </w:rPr>
        <w:t>为</w:t>
      </w:r>
      <w:r>
        <w:rPr>
          <w:rFonts w:ascii="Times New Roman" w:eastAsia="宋体" w:hAnsi="Times New Roman" w:cs="Times New Roman" w:hint="eastAsia"/>
          <w:snapToGrid/>
          <w:color w:val="auto"/>
          <w:kern w:val="2"/>
          <w:sz w:val="24"/>
          <w:szCs w:val="24"/>
          <w:lang w:eastAsia="zh-CN"/>
        </w:rPr>
        <w:t xml:space="preserve">398.80~14960.00 </w:t>
      </w:r>
      <w:r>
        <w:rPr>
          <w:rFonts w:ascii="Times New Roman" w:eastAsia="宋体" w:hAnsi="Times New Roman" w:cs="Times New Roman"/>
          <w:snapToGrid/>
          <w:color w:val="auto"/>
          <w:kern w:val="2"/>
          <w:sz w:val="24"/>
          <w:szCs w:val="24"/>
          <w:lang w:eastAsia="zh-CN"/>
        </w:rPr>
        <w:t>g/</w:t>
      </w:r>
      <w:r>
        <w:rPr>
          <w:rFonts w:ascii="Times New Roman" w:eastAsia="宋体" w:hAnsi="Times New Roman" w:cs="Times New Roman"/>
          <w:snapToGrid/>
          <w:color w:val="auto"/>
          <w:kern w:val="2"/>
          <w:sz w:val="24"/>
          <w:szCs w:val="24"/>
          <w:lang w:eastAsia="zh-CN"/>
        </w:rPr>
        <w:t>网</w:t>
      </w:r>
      <w:r>
        <w:rPr>
          <w:rFonts w:ascii="Times New Roman" w:eastAsia="宋体" w:hAnsi="Times New Roman" w:cs="Times New Roman"/>
          <w:snapToGrid/>
          <w:color w:val="auto"/>
          <w:kern w:val="2"/>
          <w:sz w:val="24"/>
          <w:szCs w:val="24"/>
          <w:lang w:eastAsia="zh-CN"/>
        </w:rPr>
        <w:t>.h</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 xml:space="preserve">3808.73 </w:t>
      </w:r>
      <w:r>
        <w:rPr>
          <w:rFonts w:ascii="Times New Roman" w:eastAsia="宋体" w:hAnsi="Times New Roman" w:cs="Times New Roman"/>
          <w:snapToGrid/>
          <w:color w:val="auto"/>
          <w:kern w:val="2"/>
          <w:sz w:val="24"/>
          <w:szCs w:val="24"/>
          <w:lang w:eastAsia="zh-CN"/>
        </w:rPr>
        <w:t>g/</w:t>
      </w:r>
      <w:r>
        <w:rPr>
          <w:rFonts w:ascii="Times New Roman" w:eastAsia="宋体" w:hAnsi="Times New Roman" w:cs="Times New Roman"/>
          <w:snapToGrid/>
          <w:color w:val="auto"/>
          <w:kern w:val="2"/>
          <w:sz w:val="24"/>
          <w:szCs w:val="24"/>
          <w:lang w:eastAsia="zh-CN"/>
        </w:rPr>
        <w:t>网</w:t>
      </w:r>
      <w:r>
        <w:rPr>
          <w:rFonts w:ascii="Times New Roman" w:eastAsia="宋体" w:hAnsi="Times New Roman" w:cs="Times New Roman"/>
          <w:snapToGrid/>
          <w:color w:val="auto"/>
          <w:kern w:val="2"/>
          <w:sz w:val="24"/>
          <w:szCs w:val="24"/>
          <w:lang w:eastAsia="zh-CN"/>
        </w:rPr>
        <w:t>.h</w:t>
      </w:r>
      <w:r>
        <w:rPr>
          <w:rFonts w:ascii="Times New Roman" w:eastAsia="宋体" w:hAnsi="Times New Roman" w:cs="Times New Roman"/>
          <w:snapToGrid/>
          <w:color w:val="auto"/>
          <w:kern w:val="2"/>
          <w:sz w:val="24"/>
          <w:szCs w:val="24"/>
          <w:lang w:eastAsia="zh-CN"/>
        </w:rPr>
        <w:t>。多样性分析结果表明，</w:t>
      </w:r>
      <w:r>
        <w:rPr>
          <w:rFonts w:ascii="Times New Roman" w:eastAsia="宋体" w:hAnsi="Times New Roman" w:cs="Times New Roman" w:hint="eastAsia"/>
          <w:snapToGrid/>
          <w:color w:val="auto"/>
          <w:kern w:val="2"/>
          <w:sz w:val="24"/>
          <w:szCs w:val="24"/>
          <w:lang w:eastAsia="zh-CN"/>
        </w:rPr>
        <w:t>各站位鱼类多样性指数范围为</w:t>
      </w:r>
      <w:r>
        <w:rPr>
          <w:rFonts w:ascii="Times New Roman" w:eastAsia="宋体" w:hAnsi="Times New Roman" w:cs="Times New Roman" w:hint="eastAsia"/>
          <w:snapToGrid/>
          <w:color w:val="auto"/>
          <w:kern w:val="2"/>
          <w:sz w:val="24"/>
          <w:szCs w:val="24"/>
          <w:lang w:eastAsia="zh-CN"/>
        </w:rPr>
        <w:t>1.49~2.57</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2.00</w:t>
      </w:r>
      <w:r>
        <w:rPr>
          <w:rFonts w:ascii="Times New Roman" w:eastAsia="宋体" w:hAnsi="Times New Roman" w:cs="Times New Roman" w:hint="eastAsia"/>
          <w:snapToGrid/>
          <w:color w:val="auto"/>
          <w:kern w:val="2"/>
          <w:sz w:val="24"/>
          <w:szCs w:val="24"/>
          <w:lang w:eastAsia="zh-CN"/>
        </w:rPr>
        <w:t>；各站位鱼类丰</w:t>
      </w:r>
      <w:r>
        <w:rPr>
          <w:rFonts w:ascii="Times New Roman" w:eastAsia="宋体" w:hAnsi="Times New Roman" w:cs="Times New Roman" w:hint="eastAsia"/>
          <w:snapToGrid/>
          <w:color w:val="auto"/>
          <w:kern w:val="2"/>
          <w:sz w:val="24"/>
          <w:szCs w:val="24"/>
          <w:lang w:eastAsia="zh-CN"/>
        </w:rPr>
        <w:lastRenderedPageBreak/>
        <w:t>富度指数范围为</w:t>
      </w:r>
      <w:r>
        <w:rPr>
          <w:rFonts w:ascii="Times New Roman" w:eastAsia="宋体" w:hAnsi="Times New Roman" w:cs="Times New Roman" w:hint="eastAsia"/>
          <w:snapToGrid/>
          <w:color w:val="auto"/>
          <w:kern w:val="2"/>
          <w:sz w:val="24"/>
          <w:szCs w:val="24"/>
          <w:lang w:eastAsia="zh-CN"/>
        </w:rPr>
        <w:t>0.55~1.62</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1.10</w:t>
      </w:r>
      <w:r>
        <w:rPr>
          <w:rFonts w:ascii="Times New Roman" w:eastAsia="宋体" w:hAnsi="Times New Roman" w:cs="Times New Roman" w:hint="eastAsia"/>
          <w:snapToGrid/>
          <w:color w:val="auto"/>
          <w:kern w:val="2"/>
          <w:sz w:val="24"/>
          <w:szCs w:val="24"/>
          <w:lang w:eastAsia="zh-CN"/>
        </w:rPr>
        <w:t>；各站位鱼类均匀度指数范围为</w:t>
      </w:r>
      <w:r>
        <w:rPr>
          <w:rFonts w:ascii="Times New Roman" w:eastAsia="宋体" w:hAnsi="Times New Roman" w:cs="Times New Roman" w:hint="eastAsia"/>
          <w:snapToGrid/>
          <w:color w:val="auto"/>
          <w:kern w:val="2"/>
          <w:sz w:val="24"/>
          <w:szCs w:val="24"/>
          <w:lang w:eastAsia="zh-CN"/>
        </w:rPr>
        <w:t>0.62~</w:t>
      </w:r>
      <w:r>
        <w:rPr>
          <w:rFonts w:ascii="Times New Roman" w:eastAsia="宋体" w:hAnsi="Times New Roman" w:cs="Times New Roman"/>
          <w:snapToGrid/>
          <w:color w:val="auto"/>
          <w:kern w:val="2"/>
          <w:sz w:val="24"/>
          <w:szCs w:val="24"/>
          <w:lang w:eastAsia="zh-CN"/>
        </w:rPr>
        <w:t>0.</w:t>
      </w:r>
      <w:r>
        <w:rPr>
          <w:rFonts w:ascii="Times New Roman" w:eastAsia="宋体" w:hAnsi="Times New Roman" w:cs="Times New Roman" w:hint="eastAsia"/>
          <w:snapToGrid/>
          <w:color w:val="auto"/>
          <w:kern w:val="2"/>
          <w:sz w:val="24"/>
          <w:szCs w:val="24"/>
          <w:lang w:eastAsia="zh-CN"/>
        </w:rPr>
        <w:t>95</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0.84</w:t>
      </w:r>
      <w:r>
        <w:rPr>
          <w:rFonts w:ascii="Times New Roman" w:eastAsia="宋体" w:hAnsi="Times New Roman" w:cs="Times New Roman"/>
          <w:snapToGrid/>
          <w:color w:val="auto"/>
          <w:kern w:val="2"/>
          <w:sz w:val="24"/>
          <w:szCs w:val="24"/>
          <w:lang w:eastAsia="zh-CN"/>
        </w:rPr>
        <w:t>。</w:t>
      </w:r>
    </w:p>
    <w:p w14:paraId="22072D10"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97" w:name="_Toc13842"/>
      <w:r>
        <w:rPr>
          <w:rFonts w:ascii="Times New Roman" w:eastAsia="宋体" w:hAnsi="Times New Roman" w:cs="Times New Roman" w:hint="eastAsia"/>
          <w:b/>
          <w:bCs/>
          <w:snapToGrid/>
          <w:color w:val="auto"/>
          <w:kern w:val="2"/>
          <w:sz w:val="24"/>
          <w:szCs w:val="24"/>
          <w:lang w:eastAsia="zh-CN"/>
        </w:rPr>
        <w:t>5.</w:t>
      </w:r>
      <w:r>
        <w:rPr>
          <w:rFonts w:ascii="Times New Roman" w:eastAsia="宋体" w:hAnsi="Times New Roman" w:cs="Times New Roman" w:hint="eastAsia"/>
          <w:b/>
          <w:bCs/>
          <w:snapToGrid/>
          <w:color w:val="auto"/>
          <w:kern w:val="2"/>
          <w:sz w:val="24"/>
          <w:szCs w:val="24"/>
          <w:lang w:eastAsia="zh-CN"/>
        </w:rPr>
        <w:t>鱼卵及仔鱼</w:t>
      </w:r>
      <w:bookmarkEnd w:id="197"/>
    </w:p>
    <w:p w14:paraId="085878E3" w14:textId="77777777" w:rsidR="0075791A" w:rsidRDefault="00FB2864">
      <w:pPr>
        <w:widowControl w:val="0"/>
        <w:kinsoku/>
        <w:autoSpaceDE/>
        <w:autoSpaceDN/>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本次调查采用流刺网捕获鱼类，未能捕获鱼卵及仔鱼，鱼卵及仔鱼数据主要来自浮游动物的样品。结果表明，仅在</w:t>
      </w:r>
      <w:r>
        <w:rPr>
          <w:rFonts w:ascii="Times New Roman" w:eastAsia="宋体" w:hAnsi="Times New Roman" w:cs="Times New Roman" w:hint="eastAsia"/>
          <w:snapToGrid/>
          <w:color w:val="auto"/>
          <w:kern w:val="2"/>
          <w:sz w:val="24"/>
          <w:szCs w:val="24"/>
          <w:lang w:eastAsia="zh-CN"/>
        </w:rPr>
        <w:t>S6</w:t>
      </w:r>
      <w:r>
        <w:rPr>
          <w:rFonts w:ascii="Times New Roman" w:eastAsia="宋体" w:hAnsi="Times New Roman" w:cs="Times New Roman" w:hint="eastAsia"/>
          <w:snapToGrid/>
          <w:color w:val="auto"/>
          <w:kern w:val="2"/>
          <w:sz w:val="24"/>
          <w:szCs w:val="24"/>
          <w:lang w:eastAsia="zh-CN"/>
        </w:rPr>
        <w:t>站位调查到鱼卵，</w:t>
      </w:r>
      <w:r>
        <w:rPr>
          <w:rFonts w:ascii="Times New Roman" w:eastAsia="宋体" w:hAnsi="Times New Roman" w:cs="Times New Roman" w:hint="eastAsia"/>
          <w:snapToGrid/>
          <w:color w:val="auto"/>
          <w:kern w:val="2"/>
          <w:sz w:val="24"/>
          <w:szCs w:val="24"/>
          <w:lang w:eastAsia="zh-CN"/>
        </w:rPr>
        <w:t>S6</w:t>
      </w:r>
      <w:r>
        <w:rPr>
          <w:rFonts w:ascii="Times New Roman" w:eastAsia="宋体" w:hAnsi="Times New Roman" w:cs="Times New Roman" w:hint="eastAsia"/>
          <w:snapToGrid/>
          <w:color w:val="auto"/>
          <w:kern w:val="2"/>
          <w:sz w:val="24"/>
          <w:szCs w:val="24"/>
          <w:lang w:eastAsia="zh-CN"/>
        </w:rPr>
        <w:t>站位鱼卵丰度为</w:t>
      </w:r>
      <w:r>
        <w:rPr>
          <w:rFonts w:ascii="Times New Roman" w:eastAsia="宋体" w:hAnsi="Times New Roman" w:cs="Times New Roman" w:hint="eastAsia"/>
          <w:snapToGrid/>
          <w:color w:val="auto"/>
          <w:kern w:val="2"/>
          <w:sz w:val="24"/>
          <w:szCs w:val="24"/>
          <w:lang w:eastAsia="zh-CN"/>
        </w:rPr>
        <w:t xml:space="preserve">0.70 </w:t>
      </w:r>
      <w:r>
        <w:rPr>
          <w:rFonts w:ascii="Times New Roman" w:eastAsia="宋体" w:hAnsi="Times New Roman" w:cs="Times New Roman"/>
          <w:snapToGrid/>
          <w:color w:val="auto"/>
          <w:kern w:val="2"/>
          <w:sz w:val="24"/>
          <w:szCs w:val="24"/>
          <w:lang w:eastAsia="zh-CN"/>
        </w:rPr>
        <w:t>ind/m</w:t>
      </w:r>
      <w:r>
        <w:rPr>
          <w:rFonts w:ascii="Times New Roman" w:eastAsia="宋体" w:hAnsi="Times New Roman" w:cs="Times New Roman"/>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；在</w:t>
      </w:r>
      <w:r>
        <w:rPr>
          <w:rFonts w:ascii="Times New Roman" w:eastAsia="宋体" w:hAnsi="Times New Roman" w:cs="Times New Roman" w:hint="eastAsia"/>
          <w:snapToGrid/>
          <w:color w:val="auto"/>
          <w:kern w:val="2"/>
          <w:sz w:val="24"/>
          <w:szCs w:val="24"/>
          <w:lang w:eastAsia="zh-CN"/>
        </w:rPr>
        <w:t>S4</w:t>
      </w:r>
      <w:r>
        <w:rPr>
          <w:rFonts w:ascii="Times New Roman" w:eastAsia="宋体" w:hAnsi="Times New Roman" w:cs="Times New Roman" w:hint="eastAsia"/>
          <w:snapToGrid/>
          <w:color w:val="auto"/>
          <w:kern w:val="2"/>
          <w:sz w:val="24"/>
          <w:szCs w:val="24"/>
          <w:lang w:eastAsia="zh-CN"/>
        </w:rPr>
        <w:t>及</w:t>
      </w:r>
      <w:r>
        <w:rPr>
          <w:rFonts w:ascii="Times New Roman" w:eastAsia="宋体" w:hAnsi="Times New Roman" w:cs="Times New Roman" w:hint="eastAsia"/>
          <w:snapToGrid/>
          <w:color w:val="auto"/>
          <w:kern w:val="2"/>
          <w:sz w:val="24"/>
          <w:szCs w:val="24"/>
          <w:lang w:eastAsia="zh-CN"/>
        </w:rPr>
        <w:t>S12</w:t>
      </w:r>
      <w:r>
        <w:rPr>
          <w:rFonts w:ascii="Times New Roman" w:eastAsia="宋体" w:hAnsi="Times New Roman" w:cs="Times New Roman" w:hint="eastAsia"/>
          <w:snapToGrid/>
          <w:color w:val="auto"/>
          <w:kern w:val="2"/>
          <w:sz w:val="24"/>
          <w:szCs w:val="24"/>
          <w:lang w:eastAsia="zh-CN"/>
        </w:rPr>
        <w:t>站位调查到仔鱼，其中</w:t>
      </w:r>
      <w:r>
        <w:rPr>
          <w:rFonts w:ascii="Times New Roman" w:eastAsia="宋体" w:hAnsi="Times New Roman" w:cs="Times New Roman" w:hint="eastAsia"/>
          <w:snapToGrid/>
          <w:color w:val="auto"/>
          <w:kern w:val="2"/>
          <w:sz w:val="24"/>
          <w:szCs w:val="24"/>
          <w:lang w:eastAsia="zh-CN"/>
        </w:rPr>
        <w:t>S4</w:t>
      </w:r>
      <w:r>
        <w:rPr>
          <w:rFonts w:ascii="Times New Roman" w:eastAsia="宋体" w:hAnsi="Times New Roman" w:cs="Times New Roman" w:hint="eastAsia"/>
          <w:snapToGrid/>
          <w:color w:val="auto"/>
          <w:kern w:val="2"/>
          <w:sz w:val="24"/>
          <w:szCs w:val="24"/>
          <w:lang w:eastAsia="zh-CN"/>
        </w:rPr>
        <w:t>站位仔鱼丰度为</w:t>
      </w:r>
      <w:r>
        <w:rPr>
          <w:rFonts w:ascii="Times New Roman" w:eastAsia="宋体" w:hAnsi="Times New Roman" w:cs="Times New Roman" w:hint="eastAsia"/>
          <w:snapToGrid/>
          <w:color w:val="auto"/>
          <w:kern w:val="2"/>
          <w:sz w:val="24"/>
          <w:szCs w:val="24"/>
          <w:lang w:eastAsia="zh-CN"/>
        </w:rPr>
        <w:t xml:space="preserve">0.30 </w:t>
      </w:r>
      <w:r>
        <w:rPr>
          <w:rFonts w:ascii="Times New Roman" w:eastAsia="宋体" w:hAnsi="Times New Roman" w:cs="Times New Roman"/>
          <w:snapToGrid/>
          <w:color w:val="auto"/>
          <w:kern w:val="2"/>
          <w:sz w:val="24"/>
          <w:szCs w:val="24"/>
          <w:lang w:eastAsia="zh-CN"/>
        </w:rPr>
        <w:t>ind/m</w:t>
      </w:r>
      <w:r>
        <w:rPr>
          <w:rFonts w:ascii="Times New Roman" w:eastAsia="宋体" w:hAnsi="Times New Roman" w:cs="Times New Roman"/>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S12</w:t>
      </w:r>
      <w:r>
        <w:rPr>
          <w:rFonts w:ascii="Times New Roman" w:eastAsia="宋体" w:hAnsi="Times New Roman" w:cs="Times New Roman" w:hint="eastAsia"/>
          <w:snapToGrid/>
          <w:color w:val="auto"/>
          <w:kern w:val="2"/>
          <w:sz w:val="24"/>
          <w:szCs w:val="24"/>
          <w:lang w:eastAsia="zh-CN"/>
        </w:rPr>
        <w:t>站位仔鱼丰度为</w:t>
      </w:r>
      <w:r>
        <w:rPr>
          <w:rFonts w:ascii="Times New Roman" w:eastAsia="宋体" w:hAnsi="Times New Roman" w:cs="Times New Roman" w:hint="eastAsia"/>
          <w:snapToGrid/>
          <w:color w:val="auto"/>
          <w:kern w:val="2"/>
          <w:sz w:val="24"/>
          <w:szCs w:val="24"/>
          <w:lang w:eastAsia="zh-CN"/>
        </w:rPr>
        <w:t xml:space="preserve">0.33 </w:t>
      </w:r>
      <w:r>
        <w:rPr>
          <w:rFonts w:ascii="Times New Roman" w:eastAsia="宋体" w:hAnsi="Times New Roman" w:cs="Times New Roman"/>
          <w:snapToGrid/>
          <w:color w:val="auto"/>
          <w:kern w:val="2"/>
          <w:sz w:val="24"/>
          <w:szCs w:val="24"/>
          <w:lang w:eastAsia="zh-CN"/>
        </w:rPr>
        <w:t>ind/m</w:t>
      </w:r>
      <w:r>
        <w:rPr>
          <w:rFonts w:ascii="Times New Roman" w:eastAsia="宋体" w:hAnsi="Times New Roman" w:cs="Times New Roman"/>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。调查到鱼卵及仔鱼均不是区域优势物种。</w:t>
      </w:r>
    </w:p>
    <w:p w14:paraId="4522472D"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98" w:name="_Toc13160"/>
      <w:r>
        <w:rPr>
          <w:rFonts w:ascii="Times New Roman" w:eastAsia="宋体" w:hAnsi="Times New Roman" w:cs="Times New Roman" w:hint="eastAsia"/>
          <w:b/>
          <w:bCs/>
          <w:snapToGrid/>
          <w:color w:val="auto"/>
          <w:kern w:val="2"/>
          <w:sz w:val="24"/>
          <w:szCs w:val="24"/>
          <w:lang w:eastAsia="zh-CN"/>
        </w:rPr>
        <w:t>6.</w:t>
      </w:r>
      <w:r>
        <w:rPr>
          <w:rFonts w:ascii="Times New Roman" w:eastAsia="宋体" w:hAnsi="Times New Roman" w:cs="Times New Roman" w:hint="eastAsia"/>
          <w:b/>
          <w:bCs/>
          <w:snapToGrid/>
          <w:color w:val="auto"/>
          <w:kern w:val="2"/>
          <w:sz w:val="24"/>
          <w:szCs w:val="24"/>
          <w:lang w:eastAsia="zh-CN"/>
        </w:rPr>
        <w:t>珍稀濒危物种</w:t>
      </w:r>
      <w:bookmarkEnd w:id="198"/>
    </w:p>
    <w:p w14:paraId="4F11515A"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本次调查，在铁炉港及龙江河水域均未调查到珍惜濒危底栖动物、鱼类等物种。</w:t>
      </w:r>
    </w:p>
    <w:p w14:paraId="666AD8E3" w14:textId="77777777" w:rsidR="0075791A" w:rsidRDefault="00FB2864">
      <w:pPr>
        <w:widowControl w:val="0"/>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bookmarkStart w:id="199" w:name="_Toc9572"/>
      <w:r>
        <w:rPr>
          <w:rFonts w:ascii="Times New Roman" w:eastAsia="宋体" w:hAnsi="Times New Roman" w:cs="Times New Roman" w:hint="eastAsia"/>
          <w:b/>
          <w:bCs/>
          <w:snapToGrid/>
          <w:color w:val="auto"/>
          <w:kern w:val="2"/>
          <w:sz w:val="24"/>
          <w:szCs w:val="24"/>
          <w:lang w:eastAsia="zh-CN"/>
        </w:rPr>
        <w:t>7.</w:t>
      </w:r>
      <w:r>
        <w:rPr>
          <w:rFonts w:ascii="Times New Roman" w:eastAsia="宋体" w:hAnsi="Times New Roman" w:cs="Times New Roman" w:hint="eastAsia"/>
          <w:b/>
          <w:bCs/>
          <w:snapToGrid/>
          <w:color w:val="auto"/>
          <w:kern w:val="2"/>
          <w:sz w:val="24"/>
          <w:szCs w:val="24"/>
          <w:lang w:eastAsia="zh-CN"/>
        </w:rPr>
        <w:t>三场一通道</w:t>
      </w:r>
      <w:bookmarkEnd w:id="199"/>
    </w:p>
    <w:p w14:paraId="2C0F6B96"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调查未发现产漂流性卵鱼类，结合鱼卵及仔鱼调查情况，认为调查水域没有产卵场；调查水域河道较浅，不适宜鱼类越冬，广盐性河口鱼类主要进入南海越冬；水生植被及底栖动物分布较多区域多为鱼类索饵场所，本次调查水域，铁炉港有零落海草及较多红树分布，可能存在索饵场，龙江河水域植物及底栖并无密集分布，没有重要索饵场分布；龙江河上游收到水闸调控，洄游通道会受到阻隔影响。综上，仅在</w:t>
      </w:r>
      <w:r>
        <w:rPr>
          <w:rFonts w:ascii="Times New Roman" w:eastAsia="宋体" w:hAnsi="Times New Roman" w:cs="Times New Roman" w:hint="eastAsia"/>
          <w:snapToGrid/>
          <w:color w:val="auto"/>
          <w:kern w:val="2"/>
          <w:sz w:val="24"/>
          <w:szCs w:val="24"/>
          <w:lang w:eastAsia="zh-CN"/>
        </w:rPr>
        <w:t>铁炉港存在索饵场，除此未发现重要水生生物的产卵场、索饵场、越冬场及洄游通道的关键栖息地。</w:t>
      </w:r>
    </w:p>
    <w:p w14:paraId="669F1B47" w14:textId="77777777" w:rsidR="0075791A" w:rsidRDefault="00FB2864">
      <w:pPr>
        <w:spacing w:line="360" w:lineRule="auto"/>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3.2.6.3 2024</w:t>
      </w:r>
      <w:r>
        <w:rPr>
          <w:rFonts w:ascii="Times New Roman" w:eastAsia="宋体" w:hAnsi="Times New Roman" w:hint="eastAsia"/>
          <w:b/>
          <w:color w:val="auto"/>
          <w:sz w:val="24"/>
          <w:szCs w:val="24"/>
          <w:lang w:eastAsia="zh-CN"/>
        </w:rPr>
        <w:t>年</w:t>
      </w:r>
      <w:r>
        <w:rPr>
          <w:rFonts w:ascii="Times New Roman" w:eastAsia="宋体" w:hAnsi="Times New Roman" w:hint="eastAsia"/>
          <w:b/>
          <w:color w:val="auto"/>
          <w:sz w:val="24"/>
          <w:szCs w:val="24"/>
          <w:lang w:eastAsia="zh-CN"/>
        </w:rPr>
        <w:t>09</w:t>
      </w:r>
      <w:r>
        <w:rPr>
          <w:rFonts w:ascii="Times New Roman" w:eastAsia="宋体" w:hAnsi="Times New Roman" w:hint="eastAsia"/>
          <w:b/>
          <w:color w:val="auto"/>
          <w:sz w:val="24"/>
          <w:szCs w:val="24"/>
          <w:lang w:eastAsia="zh-CN"/>
        </w:rPr>
        <w:t>月调查结果</w:t>
      </w:r>
    </w:p>
    <w:p w14:paraId="00E65F12"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）叶绿素</w:t>
      </w:r>
      <w:r>
        <w:rPr>
          <w:rFonts w:ascii="Times New Roman" w:eastAsia="宋体" w:hAnsi="Times New Roman" w:cs="Times New Roman" w:hint="eastAsia"/>
          <w:snapToGrid/>
          <w:color w:val="auto"/>
          <w:kern w:val="2"/>
          <w:sz w:val="24"/>
          <w:szCs w:val="24"/>
          <w:lang w:eastAsia="zh-CN"/>
        </w:rPr>
        <w:t xml:space="preserve"> a</w:t>
      </w:r>
    </w:p>
    <w:p w14:paraId="20D9D4B6"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月，调查海域各站位叶绿素</w:t>
      </w:r>
      <w:r>
        <w:rPr>
          <w:rFonts w:ascii="Times New Roman" w:eastAsia="宋体" w:hAnsi="Times New Roman" w:cs="Times New Roman" w:hint="eastAsia"/>
          <w:snapToGrid/>
          <w:color w:val="auto"/>
          <w:kern w:val="2"/>
          <w:sz w:val="24"/>
          <w:szCs w:val="24"/>
          <w:lang w:eastAsia="zh-CN"/>
        </w:rPr>
        <w:t>a</w:t>
      </w:r>
      <w:r>
        <w:rPr>
          <w:rFonts w:ascii="Times New Roman" w:eastAsia="宋体" w:hAnsi="Times New Roman" w:cs="Times New Roman" w:hint="eastAsia"/>
          <w:snapToGrid/>
          <w:color w:val="auto"/>
          <w:kern w:val="2"/>
          <w:sz w:val="24"/>
          <w:szCs w:val="24"/>
          <w:lang w:eastAsia="zh-CN"/>
        </w:rPr>
        <w:t>含量变化范围为（</w:t>
      </w:r>
      <w:r>
        <w:rPr>
          <w:rFonts w:ascii="Times New Roman" w:eastAsia="宋体" w:hAnsi="Times New Roman" w:cs="Times New Roman" w:hint="eastAsia"/>
          <w:snapToGrid/>
          <w:color w:val="auto"/>
          <w:kern w:val="2"/>
          <w:sz w:val="24"/>
          <w:szCs w:val="24"/>
          <w:lang w:eastAsia="zh-CN"/>
        </w:rPr>
        <w:t>0.29</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3.63</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μg/L</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1.48</w:t>
      </w:r>
      <w:r>
        <w:rPr>
          <w:rFonts w:ascii="Times New Roman" w:eastAsia="宋体" w:hAnsi="Times New Roman" w:cs="Times New Roman"/>
          <w:snapToGrid/>
          <w:color w:val="auto"/>
          <w:kern w:val="2"/>
          <w:sz w:val="24"/>
          <w:szCs w:val="24"/>
          <w:lang w:eastAsia="zh-CN"/>
        </w:rPr>
        <w:t>μg/L</w:t>
      </w:r>
      <w:r>
        <w:rPr>
          <w:rFonts w:ascii="Times New Roman" w:eastAsia="宋体" w:hAnsi="Times New Roman" w:cs="Times New Roman" w:hint="eastAsia"/>
          <w:snapToGrid/>
          <w:color w:val="auto"/>
          <w:kern w:val="2"/>
          <w:sz w:val="24"/>
          <w:szCs w:val="24"/>
          <w:lang w:eastAsia="zh-CN"/>
        </w:rPr>
        <w:t>，最大值位于</w:t>
      </w:r>
      <w:r>
        <w:rPr>
          <w:rFonts w:ascii="Times New Roman" w:eastAsia="宋体" w:hAnsi="Times New Roman" w:cs="Times New Roman" w:hint="eastAsia"/>
          <w:snapToGrid/>
          <w:color w:val="auto"/>
          <w:kern w:val="2"/>
          <w:sz w:val="24"/>
          <w:szCs w:val="24"/>
          <w:lang w:eastAsia="zh-CN"/>
        </w:rPr>
        <w:t>H5</w:t>
      </w:r>
      <w:r>
        <w:rPr>
          <w:rFonts w:ascii="Times New Roman" w:eastAsia="宋体" w:hAnsi="Times New Roman" w:cs="Times New Roman" w:hint="eastAsia"/>
          <w:snapToGrid/>
          <w:color w:val="auto"/>
          <w:kern w:val="2"/>
          <w:sz w:val="24"/>
          <w:szCs w:val="24"/>
          <w:lang w:eastAsia="zh-CN"/>
        </w:rPr>
        <w:t>号站位表层，最小值出现在</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号站位</w:t>
      </w:r>
      <w:r>
        <w:rPr>
          <w:rFonts w:ascii="Times New Roman" w:eastAsia="宋体" w:hAnsi="Times New Roman" w:cs="Times New Roman" w:hint="eastAsia"/>
          <w:snapToGrid/>
          <w:color w:val="auto"/>
          <w:kern w:val="2"/>
          <w:sz w:val="24"/>
          <w:szCs w:val="24"/>
          <w:lang w:eastAsia="zh-CN"/>
        </w:rPr>
        <w:t>10m</w:t>
      </w:r>
      <w:r>
        <w:rPr>
          <w:rFonts w:ascii="Times New Roman" w:eastAsia="宋体" w:hAnsi="Times New Roman" w:cs="Times New Roman" w:hint="eastAsia"/>
          <w:snapToGrid/>
          <w:color w:val="auto"/>
          <w:kern w:val="2"/>
          <w:sz w:val="24"/>
          <w:szCs w:val="24"/>
          <w:lang w:eastAsia="zh-CN"/>
        </w:rPr>
        <w:t>处；各站位表层、</w:t>
      </w:r>
      <w:r>
        <w:rPr>
          <w:rFonts w:ascii="Times New Roman" w:eastAsia="宋体" w:hAnsi="Times New Roman" w:cs="Times New Roman" w:hint="eastAsia"/>
          <w:snapToGrid/>
          <w:color w:val="auto"/>
          <w:kern w:val="2"/>
          <w:sz w:val="24"/>
          <w:szCs w:val="24"/>
          <w:lang w:eastAsia="zh-CN"/>
        </w:rPr>
        <w:t>10m</w:t>
      </w:r>
      <w:r>
        <w:rPr>
          <w:rFonts w:ascii="Times New Roman" w:eastAsia="宋体" w:hAnsi="Times New Roman" w:cs="Times New Roman" w:hint="eastAsia"/>
          <w:snapToGrid/>
          <w:color w:val="auto"/>
          <w:kern w:val="2"/>
          <w:sz w:val="24"/>
          <w:szCs w:val="24"/>
          <w:lang w:eastAsia="zh-CN"/>
        </w:rPr>
        <w:t>和底层海水叶绿素</w:t>
      </w:r>
      <w:r>
        <w:rPr>
          <w:rFonts w:ascii="Times New Roman" w:eastAsia="宋体" w:hAnsi="Times New Roman" w:cs="Times New Roman" w:hint="eastAsia"/>
          <w:snapToGrid/>
          <w:color w:val="auto"/>
          <w:kern w:val="2"/>
          <w:sz w:val="24"/>
          <w:szCs w:val="24"/>
          <w:lang w:eastAsia="zh-CN"/>
        </w:rPr>
        <w:t>a</w:t>
      </w:r>
      <w:r>
        <w:rPr>
          <w:rFonts w:ascii="Times New Roman" w:eastAsia="宋体" w:hAnsi="Times New Roman" w:cs="Times New Roman" w:hint="eastAsia"/>
          <w:snapToGrid/>
          <w:color w:val="auto"/>
          <w:kern w:val="2"/>
          <w:sz w:val="24"/>
          <w:szCs w:val="24"/>
          <w:lang w:eastAsia="zh-CN"/>
        </w:rPr>
        <w:t>含量均值分别为</w:t>
      </w:r>
      <w:r>
        <w:rPr>
          <w:rFonts w:ascii="Times New Roman" w:eastAsia="宋体" w:hAnsi="Times New Roman" w:cs="Times New Roman" w:hint="eastAsia"/>
          <w:snapToGrid/>
          <w:color w:val="auto"/>
          <w:kern w:val="2"/>
          <w:sz w:val="24"/>
          <w:szCs w:val="24"/>
          <w:lang w:eastAsia="zh-CN"/>
        </w:rPr>
        <w:t>1.79</w:t>
      </w:r>
      <w:r>
        <w:rPr>
          <w:rFonts w:ascii="Times New Roman" w:eastAsia="宋体" w:hAnsi="Times New Roman" w:cs="Times New Roman"/>
          <w:snapToGrid/>
          <w:color w:val="auto"/>
          <w:kern w:val="2"/>
          <w:sz w:val="24"/>
          <w:szCs w:val="24"/>
          <w:lang w:eastAsia="zh-CN"/>
        </w:rPr>
        <w:t>μg/L</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1.30</w:t>
      </w:r>
      <w:r>
        <w:rPr>
          <w:rFonts w:ascii="Times New Roman" w:eastAsia="宋体" w:hAnsi="Times New Roman" w:cs="Times New Roman" w:hint="eastAsia"/>
          <w:snapToGrid/>
          <w:color w:val="auto"/>
          <w:kern w:val="2"/>
          <w:sz w:val="24"/>
          <w:szCs w:val="24"/>
          <w:lang w:eastAsia="zh-CN"/>
        </w:rPr>
        <w:t>μ</w:t>
      </w:r>
      <w:r>
        <w:rPr>
          <w:rFonts w:ascii="Times New Roman" w:eastAsia="宋体" w:hAnsi="Times New Roman" w:cs="Times New Roman" w:hint="eastAsia"/>
          <w:snapToGrid/>
          <w:color w:val="auto"/>
          <w:kern w:val="2"/>
          <w:sz w:val="24"/>
          <w:szCs w:val="24"/>
          <w:lang w:eastAsia="zh-CN"/>
        </w:rPr>
        <w:t>g/L</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1.29</w:t>
      </w:r>
      <w:r>
        <w:rPr>
          <w:rFonts w:ascii="Times New Roman" w:eastAsia="宋体" w:hAnsi="Times New Roman" w:cs="Times New Roman"/>
          <w:snapToGrid/>
          <w:color w:val="auto"/>
          <w:kern w:val="2"/>
          <w:sz w:val="24"/>
          <w:szCs w:val="24"/>
          <w:lang w:eastAsia="zh-CN"/>
        </w:rPr>
        <w:t>μg/L</w:t>
      </w:r>
      <w:r>
        <w:rPr>
          <w:rFonts w:ascii="Times New Roman" w:eastAsia="宋体" w:hAnsi="Times New Roman" w:cs="Times New Roman" w:hint="eastAsia"/>
          <w:snapToGrid/>
          <w:color w:val="auto"/>
          <w:kern w:val="2"/>
          <w:sz w:val="24"/>
          <w:szCs w:val="24"/>
          <w:lang w:eastAsia="zh-CN"/>
        </w:rPr>
        <w:t>，表层叶绿素</w:t>
      </w:r>
      <w:r>
        <w:rPr>
          <w:rFonts w:ascii="Times New Roman" w:eastAsia="宋体" w:hAnsi="Times New Roman" w:cs="Times New Roman" w:hint="eastAsia"/>
          <w:snapToGrid/>
          <w:color w:val="auto"/>
          <w:kern w:val="2"/>
          <w:sz w:val="24"/>
          <w:szCs w:val="24"/>
          <w:lang w:eastAsia="zh-CN"/>
        </w:rPr>
        <w:t>a</w:t>
      </w:r>
      <w:r>
        <w:rPr>
          <w:rFonts w:ascii="Times New Roman" w:eastAsia="宋体" w:hAnsi="Times New Roman" w:cs="Times New Roman" w:hint="eastAsia"/>
          <w:snapToGrid/>
          <w:color w:val="auto"/>
          <w:kern w:val="2"/>
          <w:sz w:val="24"/>
          <w:szCs w:val="24"/>
          <w:lang w:eastAsia="zh-CN"/>
        </w:rPr>
        <w:t>含量均值稍高于</w:t>
      </w:r>
      <w:r>
        <w:rPr>
          <w:rFonts w:ascii="Times New Roman" w:eastAsia="宋体" w:hAnsi="Times New Roman" w:cs="Times New Roman" w:hint="eastAsia"/>
          <w:snapToGrid/>
          <w:color w:val="auto"/>
          <w:kern w:val="2"/>
          <w:sz w:val="24"/>
          <w:szCs w:val="24"/>
          <w:lang w:eastAsia="zh-CN"/>
        </w:rPr>
        <w:t>10m</w:t>
      </w:r>
      <w:r>
        <w:rPr>
          <w:rFonts w:ascii="Times New Roman" w:eastAsia="宋体" w:hAnsi="Times New Roman" w:cs="Times New Roman" w:hint="eastAsia"/>
          <w:snapToGrid/>
          <w:color w:val="auto"/>
          <w:kern w:val="2"/>
          <w:sz w:val="24"/>
          <w:szCs w:val="24"/>
          <w:lang w:eastAsia="zh-CN"/>
        </w:rPr>
        <w:t>和底层。</w:t>
      </w:r>
    </w:p>
    <w:p w14:paraId="5FC2132C"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宋体"/>
          <w:color w:val="auto"/>
          <w:sz w:val="24"/>
          <w:szCs w:val="24"/>
          <w:lang w:eastAsia="zh-CN"/>
        </w:rPr>
      </w:pPr>
      <w:r>
        <w:rPr>
          <w:rFonts w:ascii="Times New Roman" w:eastAsia="宋体" w:hAnsi="Times New Roman" w:cs="Times New Roman" w:hint="eastAsia"/>
          <w:snapToGrid/>
          <w:color w:val="auto"/>
          <w:kern w:val="2"/>
          <w:sz w:val="24"/>
          <w:szCs w:val="24"/>
          <w:lang w:eastAsia="zh-CN"/>
        </w:rPr>
        <w:t>各站位初级生产力变化范围为（</w:t>
      </w:r>
      <w:r>
        <w:rPr>
          <w:rFonts w:ascii="Times New Roman" w:eastAsia="宋体" w:hAnsi="Times New Roman" w:cs="Times New Roman" w:hint="eastAsia"/>
          <w:snapToGrid/>
          <w:color w:val="auto"/>
          <w:kern w:val="2"/>
          <w:sz w:val="24"/>
          <w:szCs w:val="24"/>
          <w:lang w:eastAsia="zh-CN"/>
        </w:rPr>
        <w:t>239.22~1538.28</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mg·C/m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·d</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682.19</w:t>
      </w:r>
      <w:r>
        <w:rPr>
          <w:rFonts w:ascii="Times New Roman" w:eastAsia="宋体" w:hAnsi="Times New Roman" w:cs="Times New Roman"/>
          <w:snapToGrid/>
          <w:color w:val="auto"/>
          <w:kern w:val="2"/>
          <w:sz w:val="24"/>
          <w:szCs w:val="24"/>
          <w:lang w:eastAsia="zh-CN"/>
        </w:rPr>
        <w:t>mg·C/m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·d</w:t>
      </w:r>
      <w:r>
        <w:rPr>
          <w:rFonts w:ascii="Times New Roman" w:eastAsia="宋体" w:hAnsi="Times New Roman" w:cs="Times New Roman" w:hint="eastAsia"/>
          <w:snapToGrid/>
          <w:color w:val="auto"/>
          <w:kern w:val="2"/>
          <w:sz w:val="24"/>
          <w:szCs w:val="24"/>
          <w:lang w:eastAsia="zh-CN"/>
        </w:rPr>
        <w:t>，最小值出现在</w:t>
      </w:r>
      <w:r>
        <w:rPr>
          <w:rFonts w:ascii="Times New Roman" w:eastAsia="宋体" w:hAnsi="Times New Roman" w:cs="Times New Roman" w:hint="eastAsia"/>
          <w:snapToGrid/>
          <w:color w:val="auto"/>
          <w:kern w:val="2"/>
          <w:sz w:val="24"/>
          <w:szCs w:val="24"/>
          <w:lang w:eastAsia="zh-CN"/>
        </w:rPr>
        <w:t>H6</w:t>
      </w:r>
      <w:r>
        <w:rPr>
          <w:rFonts w:ascii="Times New Roman" w:eastAsia="宋体" w:hAnsi="Times New Roman" w:cs="Times New Roman" w:hint="eastAsia"/>
          <w:snapToGrid/>
          <w:color w:val="auto"/>
          <w:kern w:val="2"/>
          <w:sz w:val="24"/>
          <w:szCs w:val="24"/>
          <w:lang w:eastAsia="zh-CN"/>
        </w:rPr>
        <w:t>站位，最大值出现</w:t>
      </w:r>
      <w:r>
        <w:rPr>
          <w:rFonts w:ascii="Times New Roman" w:eastAsia="宋体" w:hAnsi="Times New Roman" w:cs="Times New Roman" w:hint="eastAsia"/>
          <w:snapToGrid/>
          <w:color w:val="auto"/>
          <w:kern w:val="2"/>
          <w:sz w:val="24"/>
          <w:szCs w:val="24"/>
          <w:lang w:eastAsia="zh-CN"/>
        </w:rPr>
        <w:t>H5</w:t>
      </w:r>
      <w:r>
        <w:rPr>
          <w:rFonts w:ascii="Times New Roman" w:eastAsia="宋体" w:hAnsi="Times New Roman" w:cs="Times New Roman" w:hint="eastAsia"/>
          <w:snapToGrid/>
          <w:color w:val="auto"/>
          <w:kern w:val="2"/>
          <w:sz w:val="24"/>
          <w:szCs w:val="24"/>
          <w:lang w:eastAsia="zh-CN"/>
        </w:rPr>
        <w:t>站位。本次调查真光层透明度较</w:t>
      </w:r>
      <w:r>
        <w:rPr>
          <w:rFonts w:ascii="Times New Roman" w:eastAsia="宋体" w:hAnsi="Times New Roman" w:cs="宋体" w:hint="eastAsia"/>
          <w:color w:val="auto"/>
          <w:sz w:val="24"/>
          <w:szCs w:val="24"/>
          <w:lang w:eastAsia="zh-CN"/>
        </w:rPr>
        <w:t>高，故初级生产力整体含量较高。</w:t>
      </w:r>
    </w:p>
    <w:p w14:paraId="33666826" w14:textId="77777777" w:rsidR="0075791A" w:rsidRDefault="00FB2864">
      <w:pPr>
        <w:kinsoku/>
        <w:adjustRightInd/>
        <w:snapToGrid/>
        <w:ind w:firstLineChars="200" w:firstLine="480"/>
        <w:jc w:val="center"/>
        <w:textAlignment w:val="auto"/>
        <w:rPr>
          <w:rFonts w:ascii="Times New Roman" w:eastAsia="宋体" w:hAnsi="Times New Roman" w:cs="宋体"/>
          <w:color w:val="auto"/>
          <w:sz w:val="24"/>
          <w:szCs w:val="24"/>
          <w:lang w:eastAsia="zh-CN"/>
        </w:rPr>
      </w:pPr>
      <w:r>
        <w:rPr>
          <w:rFonts w:ascii="宋体" w:eastAsia="宋体" w:hAnsi="宋体" w:cs="宋体"/>
          <w:color w:val="auto"/>
          <w:sz w:val="24"/>
          <w:szCs w:val="24"/>
          <w:lang w:eastAsia="zh-CN"/>
        </w:rPr>
        <w:t>表</w:t>
      </w:r>
      <w:r>
        <w:rPr>
          <w:rFonts w:ascii="宋体" w:eastAsia="宋体" w:hAnsi="宋体" w:cs="宋体"/>
          <w:color w:val="auto"/>
          <w:spacing w:val="-61"/>
          <w:sz w:val="24"/>
          <w:szCs w:val="24"/>
          <w:lang w:eastAsia="zh-CN"/>
        </w:rPr>
        <w:t xml:space="preserve"> </w:t>
      </w:r>
      <w:r>
        <w:rPr>
          <w:rFonts w:ascii="Times New Roman" w:eastAsia="宋体" w:hAnsi="Times New Roman" w:cs="Times New Roman" w:hint="eastAsia"/>
          <w:snapToGrid/>
          <w:color w:val="auto"/>
          <w:kern w:val="2"/>
          <w:sz w:val="24"/>
          <w:szCs w:val="24"/>
          <w:lang w:eastAsia="zh-CN"/>
        </w:rPr>
        <w:t>3.2.6-19</w:t>
      </w:r>
      <w:r>
        <w:rPr>
          <w:rFonts w:ascii="宋体" w:eastAsia="宋体" w:hAnsi="宋体" w:cs="宋体"/>
          <w:color w:val="auto"/>
          <w:sz w:val="24"/>
          <w:szCs w:val="24"/>
          <w:lang w:eastAsia="zh-CN"/>
        </w:rPr>
        <w:t>调查海区叶绿素</w:t>
      </w:r>
      <w:r>
        <w:rPr>
          <w:rFonts w:ascii="宋体" w:eastAsia="宋体" w:hAnsi="宋体" w:cs="宋体"/>
          <w:color w:val="auto"/>
          <w:spacing w:val="-60"/>
          <w:sz w:val="24"/>
          <w:szCs w:val="24"/>
          <w:lang w:eastAsia="zh-CN"/>
        </w:rPr>
        <w:t xml:space="preserve"> </w:t>
      </w:r>
      <w:r>
        <w:rPr>
          <w:rFonts w:ascii="Times New Roman" w:eastAsia="Times New Roman" w:hAnsi="Times New Roman" w:cs="Times New Roman"/>
          <w:color w:val="auto"/>
          <w:sz w:val="24"/>
          <w:szCs w:val="24"/>
          <w:lang w:eastAsia="zh-CN"/>
        </w:rPr>
        <w:t>a</w:t>
      </w:r>
      <w:r>
        <w:rPr>
          <w:rFonts w:ascii="Times New Roman" w:eastAsia="Times New Roman" w:hAnsi="Times New Roman" w:cs="Times New Roman"/>
          <w:color w:val="auto"/>
          <w:spacing w:val="-2"/>
          <w:sz w:val="24"/>
          <w:szCs w:val="24"/>
          <w:lang w:eastAsia="zh-CN"/>
        </w:rPr>
        <w:t xml:space="preserve"> </w:t>
      </w:r>
      <w:r>
        <w:rPr>
          <w:rFonts w:ascii="宋体" w:eastAsia="宋体" w:hAnsi="宋体" w:cs="宋体"/>
          <w:color w:val="auto"/>
          <w:sz w:val="24"/>
          <w:szCs w:val="24"/>
          <w:lang w:eastAsia="zh-CN"/>
        </w:rPr>
        <w:t>含量和初级生产力</w:t>
      </w:r>
    </w:p>
    <w:tbl>
      <w:tblPr>
        <w:tblW w:w="0" w:type="auto"/>
        <w:tblInd w:w="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872"/>
        <w:gridCol w:w="814"/>
        <w:gridCol w:w="1265"/>
        <w:gridCol w:w="1710"/>
        <w:gridCol w:w="788"/>
        <w:gridCol w:w="835"/>
        <w:gridCol w:w="1097"/>
        <w:gridCol w:w="1458"/>
      </w:tblGrid>
      <w:tr w:rsidR="0075791A" w14:paraId="4A21202E" w14:textId="77777777">
        <w:trPr>
          <w:trHeight w:val="283"/>
        </w:trPr>
        <w:tc>
          <w:tcPr>
            <w:tcW w:w="872" w:type="dxa"/>
            <w:vMerge w:val="restart"/>
            <w:tcBorders>
              <w:tl2br w:val="nil"/>
              <w:tr2bl w:val="nil"/>
            </w:tcBorders>
            <w:vAlign w:val="center"/>
          </w:tcPr>
          <w:p w14:paraId="7AB63DD6" w14:textId="77777777" w:rsidR="0075791A" w:rsidRDefault="00FB2864">
            <w:pPr>
              <w:pStyle w:val="TableParagraph"/>
              <w:ind w:left="220"/>
              <w:rPr>
                <w:rFonts w:ascii="宋体" w:eastAsia="宋体" w:hAnsi="宋体" w:cs="宋体"/>
                <w:color w:val="auto"/>
              </w:rPr>
            </w:pPr>
            <w:r>
              <w:rPr>
                <w:rFonts w:ascii="宋体" w:eastAsia="宋体" w:hAnsi="宋体" w:cs="宋体"/>
                <w:color w:val="auto"/>
                <w:spacing w:val="-1"/>
              </w:rPr>
              <w:t>站</w:t>
            </w:r>
            <w:r>
              <w:rPr>
                <w:rFonts w:ascii="宋体" w:eastAsia="宋体" w:hAnsi="宋体" w:cs="宋体"/>
                <w:color w:val="auto"/>
              </w:rPr>
              <w:t>位</w:t>
            </w:r>
          </w:p>
        </w:tc>
        <w:tc>
          <w:tcPr>
            <w:tcW w:w="814" w:type="dxa"/>
            <w:vMerge w:val="restart"/>
            <w:tcBorders>
              <w:tl2br w:val="nil"/>
              <w:tr2bl w:val="nil"/>
            </w:tcBorders>
            <w:vAlign w:val="center"/>
          </w:tcPr>
          <w:p w14:paraId="3C6F383F" w14:textId="77777777" w:rsidR="0075791A" w:rsidRDefault="00FB2864">
            <w:pPr>
              <w:pStyle w:val="TableParagraph"/>
              <w:spacing w:line="271" w:lineRule="exact"/>
              <w:ind w:left="193"/>
              <w:rPr>
                <w:rFonts w:ascii="宋体" w:eastAsia="宋体" w:hAnsi="宋体" w:cs="宋体"/>
                <w:color w:val="auto"/>
              </w:rPr>
            </w:pPr>
            <w:r>
              <w:rPr>
                <w:rFonts w:ascii="宋体" w:eastAsia="宋体" w:hAnsi="宋体" w:cs="宋体"/>
                <w:color w:val="auto"/>
                <w:spacing w:val="-1"/>
              </w:rPr>
              <w:t>采</w:t>
            </w:r>
            <w:r>
              <w:rPr>
                <w:rFonts w:ascii="宋体" w:eastAsia="宋体" w:hAnsi="宋体" w:cs="宋体"/>
                <w:color w:val="auto"/>
              </w:rPr>
              <w:t>样</w:t>
            </w:r>
            <w:r>
              <w:rPr>
                <w:rFonts w:ascii="宋体" w:eastAsia="宋体" w:hAnsi="宋体" w:cs="宋体"/>
                <w:color w:val="auto"/>
                <w:spacing w:val="-1"/>
              </w:rPr>
              <w:t>层</w:t>
            </w:r>
            <w:r>
              <w:rPr>
                <w:rFonts w:ascii="宋体" w:eastAsia="宋体" w:hAnsi="宋体" w:cs="宋体"/>
                <w:color w:val="auto"/>
              </w:rPr>
              <w:t>次</w:t>
            </w:r>
          </w:p>
        </w:tc>
        <w:tc>
          <w:tcPr>
            <w:tcW w:w="1265" w:type="dxa"/>
            <w:tcBorders>
              <w:tl2br w:val="nil"/>
              <w:tr2bl w:val="nil"/>
            </w:tcBorders>
            <w:vAlign w:val="center"/>
          </w:tcPr>
          <w:p w14:paraId="11CDAC52" w14:textId="77777777" w:rsidR="0075791A" w:rsidRDefault="00FB2864">
            <w:pPr>
              <w:pStyle w:val="TableParagraph"/>
              <w:spacing w:line="282" w:lineRule="exact"/>
              <w:ind w:left="238"/>
              <w:rPr>
                <w:rFonts w:ascii="Times New Roman" w:eastAsia="Times New Roman" w:hAnsi="Times New Roman" w:cs="Times New Roman"/>
                <w:color w:val="auto"/>
              </w:rPr>
            </w:pPr>
            <w:r>
              <w:rPr>
                <w:rFonts w:ascii="宋体" w:eastAsia="宋体" w:hAnsi="宋体" w:cs="宋体"/>
                <w:color w:val="auto"/>
                <w:spacing w:val="-1"/>
              </w:rPr>
              <w:t>叶</w:t>
            </w:r>
            <w:r>
              <w:rPr>
                <w:rFonts w:ascii="宋体" w:eastAsia="宋体" w:hAnsi="宋体" w:cs="宋体"/>
                <w:color w:val="auto"/>
                <w:spacing w:val="2"/>
              </w:rPr>
              <w:t>绿</w:t>
            </w:r>
            <w:r>
              <w:rPr>
                <w:rFonts w:ascii="宋体" w:eastAsia="宋体" w:hAnsi="宋体" w:cs="宋体"/>
                <w:color w:val="auto"/>
              </w:rPr>
              <w:t>素</w:t>
            </w:r>
            <w:r>
              <w:rPr>
                <w:rFonts w:ascii="宋体" w:eastAsia="宋体" w:hAnsi="宋体" w:cs="宋体"/>
                <w:color w:val="auto"/>
                <w:spacing w:val="-58"/>
              </w:rPr>
              <w:t xml:space="preserve"> </w:t>
            </w:r>
            <w:r>
              <w:rPr>
                <w:rFonts w:ascii="Times New Roman" w:eastAsia="Times New Roman" w:hAnsi="Times New Roman" w:cs="Times New Roman"/>
                <w:color w:val="auto"/>
              </w:rPr>
              <w:t>a</w:t>
            </w:r>
          </w:p>
        </w:tc>
        <w:tc>
          <w:tcPr>
            <w:tcW w:w="1710" w:type="dxa"/>
            <w:tcBorders>
              <w:tl2br w:val="nil"/>
              <w:tr2bl w:val="nil"/>
            </w:tcBorders>
            <w:vAlign w:val="center"/>
          </w:tcPr>
          <w:p w14:paraId="1A587AB1" w14:textId="77777777" w:rsidR="0075791A" w:rsidRDefault="00FB2864">
            <w:pPr>
              <w:pStyle w:val="TableParagraph"/>
              <w:spacing w:line="266" w:lineRule="exact"/>
              <w:ind w:left="324"/>
              <w:rPr>
                <w:rFonts w:ascii="宋体" w:eastAsia="宋体" w:hAnsi="宋体" w:cs="宋体"/>
                <w:color w:val="auto"/>
              </w:rPr>
            </w:pPr>
            <w:r>
              <w:rPr>
                <w:rFonts w:ascii="宋体" w:eastAsia="宋体" w:hAnsi="宋体" w:cs="宋体"/>
                <w:color w:val="auto"/>
                <w:spacing w:val="-1"/>
              </w:rPr>
              <w:t>初</w:t>
            </w:r>
            <w:r>
              <w:rPr>
                <w:rFonts w:ascii="宋体" w:eastAsia="宋体" w:hAnsi="宋体" w:cs="宋体"/>
                <w:color w:val="auto"/>
                <w:spacing w:val="2"/>
              </w:rPr>
              <w:t>级</w:t>
            </w:r>
            <w:r>
              <w:rPr>
                <w:rFonts w:ascii="宋体" w:eastAsia="宋体" w:hAnsi="宋体" w:cs="宋体"/>
                <w:color w:val="auto"/>
                <w:spacing w:val="-1"/>
              </w:rPr>
              <w:t>生</w:t>
            </w:r>
            <w:r>
              <w:rPr>
                <w:rFonts w:ascii="宋体" w:eastAsia="宋体" w:hAnsi="宋体" w:cs="宋体"/>
                <w:color w:val="auto"/>
                <w:spacing w:val="2"/>
              </w:rPr>
              <w:t>产</w:t>
            </w:r>
            <w:r>
              <w:rPr>
                <w:rFonts w:ascii="宋体" w:eastAsia="宋体" w:hAnsi="宋体" w:cs="宋体"/>
                <w:color w:val="auto"/>
              </w:rPr>
              <w:t>力</w:t>
            </w:r>
          </w:p>
        </w:tc>
        <w:tc>
          <w:tcPr>
            <w:tcW w:w="788" w:type="dxa"/>
            <w:vMerge w:val="restart"/>
            <w:tcBorders>
              <w:tl2br w:val="nil"/>
              <w:tr2bl w:val="nil"/>
            </w:tcBorders>
            <w:vAlign w:val="center"/>
          </w:tcPr>
          <w:p w14:paraId="4F6794EB" w14:textId="77777777" w:rsidR="0075791A" w:rsidRDefault="00FB2864">
            <w:pPr>
              <w:pStyle w:val="TableParagraph"/>
              <w:ind w:left="179"/>
              <w:rPr>
                <w:rFonts w:ascii="宋体" w:eastAsia="宋体" w:hAnsi="宋体" w:cs="宋体"/>
                <w:color w:val="auto"/>
              </w:rPr>
            </w:pPr>
            <w:r>
              <w:rPr>
                <w:rFonts w:ascii="宋体" w:eastAsia="宋体" w:hAnsi="宋体" w:cs="宋体"/>
                <w:color w:val="auto"/>
                <w:spacing w:val="-1"/>
              </w:rPr>
              <w:t>站</w:t>
            </w:r>
            <w:r>
              <w:rPr>
                <w:rFonts w:ascii="宋体" w:eastAsia="宋体" w:hAnsi="宋体" w:cs="宋体"/>
                <w:color w:val="auto"/>
              </w:rPr>
              <w:t>位</w:t>
            </w:r>
          </w:p>
        </w:tc>
        <w:tc>
          <w:tcPr>
            <w:tcW w:w="835" w:type="dxa"/>
            <w:vMerge w:val="restart"/>
            <w:tcBorders>
              <w:tl2br w:val="nil"/>
              <w:tr2bl w:val="nil"/>
            </w:tcBorders>
            <w:vAlign w:val="center"/>
          </w:tcPr>
          <w:p w14:paraId="53C8D330" w14:textId="77777777" w:rsidR="0075791A" w:rsidRDefault="00FB2864">
            <w:pPr>
              <w:pStyle w:val="TableParagraph"/>
              <w:spacing w:line="271" w:lineRule="exact"/>
              <w:ind w:left="202"/>
              <w:rPr>
                <w:rFonts w:ascii="宋体" w:eastAsia="宋体" w:hAnsi="宋体" w:cs="宋体"/>
                <w:color w:val="auto"/>
              </w:rPr>
            </w:pPr>
            <w:r>
              <w:rPr>
                <w:rFonts w:ascii="宋体" w:eastAsia="宋体" w:hAnsi="宋体" w:cs="宋体"/>
                <w:color w:val="auto"/>
                <w:spacing w:val="-1"/>
              </w:rPr>
              <w:t>采</w:t>
            </w:r>
            <w:r>
              <w:rPr>
                <w:rFonts w:ascii="宋体" w:eastAsia="宋体" w:hAnsi="宋体" w:cs="宋体"/>
                <w:color w:val="auto"/>
              </w:rPr>
              <w:t>样</w:t>
            </w:r>
            <w:r>
              <w:rPr>
                <w:rFonts w:ascii="宋体" w:eastAsia="宋体" w:hAnsi="宋体" w:cs="宋体"/>
                <w:color w:val="auto"/>
                <w:spacing w:val="-1"/>
              </w:rPr>
              <w:t>层</w:t>
            </w:r>
            <w:r>
              <w:rPr>
                <w:rFonts w:ascii="宋体" w:eastAsia="宋体" w:hAnsi="宋体" w:cs="宋体"/>
                <w:color w:val="auto"/>
              </w:rPr>
              <w:t>次</w:t>
            </w:r>
          </w:p>
        </w:tc>
        <w:tc>
          <w:tcPr>
            <w:tcW w:w="1097" w:type="dxa"/>
            <w:tcBorders>
              <w:tl2br w:val="nil"/>
              <w:tr2bl w:val="nil"/>
            </w:tcBorders>
            <w:vAlign w:val="center"/>
          </w:tcPr>
          <w:p w14:paraId="5A5AADC8" w14:textId="77777777" w:rsidR="0075791A" w:rsidRDefault="00FB2864">
            <w:pPr>
              <w:pStyle w:val="TableParagraph"/>
              <w:spacing w:line="282" w:lineRule="exact"/>
              <w:ind w:left="154"/>
              <w:rPr>
                <w:rFonts w:ascii="Times New Roman" w:eastAsia="Times New Roman" w:hAnsi="Times New Roman" w:cs="Times New Roman"/>
                <w:color w:val="auto"/>
              </w:rPr>
            </w:pPr>
            <w:r>
              <w:rPr>
                <w:rFonts w:ascii="宋体" w:eastAsia="宋体" w:hAnsi="宋体" w:cs="宋体"/>
                <w:color w:val="auto"/>
                <w:spacing w:val="-1"/>
              </w:rPr>
              <w:t>叶</w:t>
            </w:r>
            <w:r>
              <w:rPr>
                <w:rFonts w:ascii="宋体" w:eastAsia="宋体" w:hAnsi="宋体" w:cs="宋体"/>
                <w:color w:val="auto"/>
                <w:spacing w:val="2"/>
              </w:rPr>
              <w:t>绿</w:t>
            </w:r>
            <w:r>
              <w:rPr>
                <w:rFonts w:ascii="宋体" w:eastAsia="宋体" w:hAnsi="宋体" w:cs="宋体"/>
                <w:color w:val="auto"/>
              </w:rPr>
              <w:t>素</w:t>
            </w:r>
            <w:r>
              <w:rPr>
                <w:rFonts w:ascii="宋体" w:eastAsia="宋体" w:hAnsi="宋体" w:cs="宋体"/>
                <w:color w:val="auto"/>
                <w:spacing w:val="-61"/>
              </w:rPr>
              <w:t xml:space="preserve"> </w:t>
            </w:r>
            <w:r>
              <w:rPr>
                <w:rFonts w:ascii="Times New Roman" w:eastAsia="Times New Roman" w:hAnsi="Times New Roman" w:cs="Times New Roman"/>
                <w:color w:val="auto"/>
              </w:rPr>
              <w:t>a</w:t>
            </w:r>
          </w:p>
        </w:tc>
        <w:tc>
          <w:tcPr>
            <w:tcW w:w="1458" w:type="dxa"/>
            <w:tcBorders>
              <w:tl2br w:val="nil"/>
              <w:tr2bl w:val="nil"/>
            </w:tcBorders>
            <w:vAlign w:val="center"/>
          </w:tcPr>
          <w:p w14:paraId="63C9A739" w14:textId="77777777" w:rsidR="0075791A" w:rsidRDefault="00FB2864">
            <w:pPr>
              <w:pStyle w:val="TableParagraph"/>
              <w:spacing w:line="266" w:lineRule="exact"/>
              <w:ind w:left="200"/>
              <w:rPr>
                <w:rFonts w:ascii="宋体" w:eastAsia="宋体" w:hAnsi="宋体" w:cs="宋体"/>
                <w:color w:val="auto"/>
              </w:rPr>
            </w:pPr>
            <w:r>
              <w:rPr>
                <w:rFonts w:ascii="宋体" w:eastAsia="宋体" w:hAnsi="宋体" w:cs="宋体"/>
                <w:color w:val="auto"/>
                <w:spacing w:val="-1"/>
              </w:rPr>
              <w:t>初</w:t>
            </w:r>
            <w:r>
              <w:rPr>
                <w:rFonts w:ascii="宋体" w:eastAsia="宋体" w:hAnsi="宋体" w:cs="宋体"/>
                <w:color w:val="auto"/>
                <w:spacing w:val="2"/>
              </w:rPr>
              <w:t>级</w:t>
            </w:r>
            <w:r>
              <w:rPr>
                <w:rFonts w:ascii="宋体" w:eastAsia="宋体" w:hAnsi="宋体" w:cs="宋体"/>
                <w:color w:val="auto"/>
                <w:spacing w:val="-1"/>
              </w:rPr>
              <w:t>生</w:t>
            </w:r>
            <w:r>
              <w:rPr>
                <w:rFonts w:ascii="宋体" w:eastAsia="宋体" w:hAnsi="宋体" w:cs="宋体"/>
                <w:color w:val="auto"/>
                <w:spacing w:val="2"/>
              </w:rPr>
              <w:t>产</w:t>
            </w:r>
            <w:r>
              <w:rPr>
                <w:rFonts w:ascii="宋体" w:eastAsia="宋体" w:hAnsi="宋体" w:cs="宋体"/>
                <w:color w:val="auto"/>
              </w:rPr>
              <w:t>力</w:t>
            </w:r>
          </w:p>
        </w:tc>
      </w:tr>
      <w:tr w:rsidR="0075791A" w14:paraId="15321DE2" w14:textId="77777777">
        <w:trPr>
          <w:trHeight w:val="283"/>
        </w:trPr>
        <w:tc>
          <w:tcPr>
            <w:tcW w:w="872" w:type="dxa"/>
            <w:vMerge/>
            <w:tcBorders>
              <w:tl2br w:val="nil"/>
              <w:tr2bl w:val="nil"/>
            </w:tcBorders>
            <w:vAlign w:val="center"/>
          </w:tcPr>
          <w:p w14:paraId="73DC62D1" w14:textId="77777777" w:rsidR="0075791A" w:rsidRDefault="0075791A">
            <w:pPr>
              <w:rPr>
                <w:color w:val="auto"/>
              </w:rPr>
            </w:pPr>
          </w:p>
        </w:tc>
        <w:tc>
          <w:tcPr>
            <w:tcW w:w="814" w:type="dxa"/>
            <w:vMerge/>
            <w:tcBorders>
              <w:tl2br w:val="nil"/>
              <w:tr2bl w:val="nil"/>
            </w:tcBorders>
            <w:vAlign w:val="center"/>
          </w:tcPr>
          <w:p w14:paraId="68C7F185" w14:textId="77777777" w:rsidR="0075791A" w:rsidRDefault="0075791A">
            <w:pPr>
              <w:rPr>
                <w:color w:val="auto"/>
              </w:rPr>
            </w:pPr>
          </w:p>
        </w:tc>
        <w:tc>
          <w:tcPr>
            <w:tcW w:w="1265" w:type="dxa"/>
            <w:tcBorders>
              <w:tl2br w:val="nil"/>
              <w:tr2bl w:val="nil"/>
            </w:tcBorders>
            <w:vAlign w:val="center"/>
          </w:tcPr>
          <w:p w14:paraId="5989766C" w14:textId="77777777" w:rsidR="0075791A" w:rsidRDefault="00FB2864">
            <w:pPr>
              <w:pStyle w:val="TableParagraph"/>
              <w:spacing w:before="39"/>
              <w:ind w:right="3"/>
              <w:jc w:val="center"/>
              <w:rPr>
                <w:rFonts w:ascii="Times New Roman" w:eastAsia="Times New Roman" w:hAnsi="Times New Roman" w:cs="Times New Roman"/>
                <w:color w:val="auto"/>
              </w:rPr>
            </w:pPr>
            <w:r>
              <w:rPr>
                <w:rFonts w:ascii="Times New Roman" w:eastAsia="Times New Roman" w:hAnsi="Times New Roman" w:cs="Times New Roman"/>
                <w:color w:val="auto"/>
              </w:rPr>
              <w:t>μ</w:t>
            </w:r>
            <w:r>
              <w:rPr>
                <w:rFonts w:ascii="Times New Roman" w:eastAsia="Times New Roman" w:hAnsi="Times New Roman" w:cs="Times New Roman"/>
                <w:color w:val="auto"/>
                <w:spacing w:val="-2"/>
              </w:rPr>
              <w:t>g</w:t>
            </w:r>
            <w:r>
              <w:rPr>
                <w:rFonts w:ascii="Times New Roman" w:eastAsia="Times New Roman" w:hAnsi="Times New Roman" w:cs="Times New Roman"/>
                <w:color w:val="auto"/>
                <w:spacing w:val="-1"/>
              </w:rPr>
              <w:t>/</w:t>
            </w:r>
            <w:r>
              <w:rPr>
                <w:rFonts w:ascii="Times New Roman" w:eastAsia="Times New Roman" w:hAnsi="Times New Roman" w:cs="Times New Roman"/>
                <w:color w:val="auto"/>
              </w:rPr>
              <w:t>L</w:t>
            </w:r>
          </w:p>
        </w:tc>
        <w:tc>
          <w:tcPr>
            <w:tcW w:w="1710" w:type="dxa"/>
            <w:tcBorders>
              <w:tl2br w:val="nil"/>
              <w:tr2bl w:val="nil"/>
            </w:tcBorders>
            <w:vAlign w:val="center"/>
          </w:tcPr>
          <w:p w14:paraId="0990F7C9" w14:textId="77777777" w:rsidR="0075791A" w:rsidRDefault="00FB2864">
            <w:pPr>
              <w:pStyle w:val="TableParagraph"/>
              <w:spacing w:before="39"/>
              <w:ind w:left="353"/>
              <w:rPr>
                <w:rFonts w:ascii="Times New Roman" w:eastAsia="Times New Roman" w:hAnsi="Times New Roman" w:cs="Times New Roman"/>
                <w:color w:val="auto"/>
              </w:rPr>
            </w:pPr>
            <w:r>
              <w:rPr>
                <w:rFonts w:ascii="Times New Roman" w:eastAsia="Times New Roman" w:hAnsi="Times New Roman" w:cs="Times New Roman"/>
                <w:color w:val="auto"/>
                <w:spacing w:val="-2"/>
              </w:rPr>
              <w:t>m</w:t>
            </w:r>
            <w:r>
              <w:rPr>
                <w:rFonts w:ascii="Times New Roman" w:eastAsia="Times New Roman" w:hAnsi="Times New Roman" w:cs="Times New Roman"/>
                <w:color w:val="auto"/>
                <w:spacing w:val="1"/>
              </w:rPr>
              <w:t>g</w:t>
            </w:r>
            <w:r>
              <w:rPr>
                <w:rFonts w:ascii="Times New Roman" w:eastAsia="Times New Roman" w:hAnsi="Times New Roman" w:cs="Times New Roman"/>
                <w:color w:val="auto"/>
              </w:rPr>
              <w:t>·C</w:t>
            </w:r>
            <w:r>
              <w:rPr>
                <w:rFonts w:ascii="Times New Roman" w:eastAsia="Times New Roman" w:hAnsi="Times New Roman" w:cs="Times New Roman"/>
                <w:color w:val="auto"/>
                <w:spacing w:val="-6"/>
              </w:rPr>
              <w:t xml:space="preserve"> </w:t>
            </w:r>
            <w:r>
              <w:rPr>
                <w:rFonts w:ascii="Times New Roman" w:eastAsia="Times New Roman" w:hAnsi="Times New Roman" w:cs="Times New Roman"/>
                <w:color w:val="auto"/>
                <w:spacing w:val="-1"/>
              </w:rPr>
              <w:t>/</w:t>
            </w:r>
            <w:r>
              <w:rPr>
                <w:rFonts w:ascii="Times New Roman" w:eastAsia="Times New Roman" w:hAnsi="Times New Roman" w:cs="Times New Roman"/>
                <w:color w:val="auto"/>
                <w:spacing w:val="3"/>
              </w:rPr>
              <w:t>m</w:t>
            </w:r>
            <w:r>
              <w:rPr>
                <w:rFonts w:ascii="Times New Roman" w:eastAsia="Times New Roman" w:hAnsi="Times New Roman" w:cs="Times New Roman"/>
                <w:color w:val="auto"/>
                <w:spacing w:val="-2"/>
                <w:position w:val="7"/>
                <w:sz w:val="13"/>
                <w:szCs w:val="13"/>
              </w:rPr>
              <w:t>2</w:t>
            </w:r>
            <w:r>
              <w:rPr>
                <w:rFonts w:ascii="Times New Roman" w:eastAsia="Times New Roman" w:hAnsi="Times New Roman" w:cs="Times New Roman"/>
                <w:color w:val="auto"/>
              </w:rPr>
              <w:t>·d</w:t>
            </w:r>
          </w:p>
        </w:tc>
        <w:tc>
          <w:tcPr>
            <w:tcW w:w="788" w:type="dxa"/>
            <w:vMerge/>
            <w:tcBorders>
              <w:tl2br w:val="nil"/>
              <w:tr2bl w:val="nil"/>
            </w:tcBorders>
            <w:vAlign w:val="center"/>
          </w:tcPr>
          <w:p w14:paraId="197E98BD" w14:textId="77777777" w:rsidR="0075791A" w:rsidRDefault="0075791A">
            <w:pPr>
              <w:rPr>
                <w:color w:val="auto"/>
              </w:rPr>
            </w:pPr>
          </w:p>
        </w:tc>
        <w:tc>
          <w:tcPr>
            <w:tcW w:w="835" w:type="dxa"/>
            <w:vMerge/>
            <w:tcBorders>
              <w:tl2br w:val="nil"/>
              <w:tr2bl w:val="nil"/>
            </w:tcBorders>
            <w:vAlign w:val="center"/>
          </w:tcPr>
          <w:p w14:paraId="28B63F69" w14:textId="77777777" w:rsidR="0075791A" w:rsidRDefault="0075791A">
            <w:pPr>
              <w:rPr>
                <w:color w:val="auto"/>
              </w:rPr>
            </w:pPr>
          </w:p>
        </w:tc>
        <w:tc>
          <w:tcPr>
            <w:tcW w:w="1097" w:type="dxa"/>
            <w:tcBorders>
              <w:tl2br w:val="nil"/>
              <w:tr2bl w:val="nil"/>
            </w:tcBorders>
            <w:vAlign w:val="center"/>
          </w:tcPr>
          <w:p w14:paraId="72AB742F" w14:textId="77777777" w:rsidR="0075791A" w:rsidRDefault="00FB2864">
            <w:pPr>
              <w:pStyle w:val="TableParagraph"/>
              <w:spacing w:before="39"/>
              <w:ind w:left="341"/>
              <w:rPr>
                <w:rFonts w:ascii="Times New Roman" w:eastAsia="Times New Roman" w:hAnsi="Times New Roman" w:cs="Times New Roman"/>
                <w:color w:val="auto"/>
              </w:rPr>
            </w:pPr>
            <w:r>
              <w:rPr>
                <w:rFonts w:ascii="Times New Roman" w:eastAsia="Times New Roman" w:hAnsi="Times New Roman" w:cs="Times New Roman"/>
                <w:color w:val="auto"/>
                <w:spacing w:val="-2"/>
              </w:rPr>
              <w:t>μg</w:t>
            </w:r>
            <w:r>
              <w:rPr>
                <w:rFonts w:ascii="Times New Roman" w:eastAsia="Times New Roman" w:hAnsi="Times New Roman" w:cs="Times New Roman"/>
                <w:color w:val="auto"/>
                <w:spacing w:val="2"/>
              </w:rPr>
              <w:t>/</w:t>
            </w:r>
            <w:r>
              <w:rPr>
                <w:rFonts w:ascii="Times New Roman" w:eastAsia="Times New Roman" w:hAnsi="Times New Roman" w:cs="Times New Roman"/>
                <w:color w:val="auto"/>
              </w:rPr>
              <w:t>L</w:t>
            </w:r>
          </w:p>
        </w:tc>
        <w:tc>
          <w:tcPr>
            <w:tcW w:w="1458" w:type="dxa"/>
            <w:tcBorders>
              <w:tl2br w:val="nil"/>
              <w:tr2bl w:val="nil"/>
            </w:tcBorders>
            <w:vAlign w:val="center"/>
          </w:tcPr>
          <w:p w14:paraId="3695357F" w14:textId="77777777" w:rsidR="0075791A" w:rsidRDefault="00FB2864">
            <w:pPr>
              <w:pStyle w:val="TableParagraph"/>
              <w:spacing w:before="39"/>
              <w:ind w:left="226"/>
              <w:rPr>
                <w:rFonts w:ascii="Times New Roman" w:eastAsia="Times New Roman" w:hAnsi="Times New Roman" w:cs="Times New Roman"/>
                <w:color w:val="auto"/>
              </w:rPr>
            </w:pPr>
            <w:r>
              <w:rPr>
                <w:rFonts w:ascii="Times New Roman" w:eastAsia="Times New Roman" w:hAnsi="Times New Roman" w:cs="Times New Roman"/>
                <w:color w:val="auto"/>
                <w:spacing w:val="-2"/>
              </w:rPr>
              <w:t>m</w:t>
            </w:r>
            <w:r>
              <w:rPr>
                <w:rFonts w:ascii="Times New Roman" w:eastAsia="Times New Roman" w:hAnsi="Times New Roman" w:cs="Times New Roman"/>
                <w:color w:val="auto"/>
                <w:spacing w:val="3"/>
              </w:rPr>
              <w:t>g</w:t>
            </w:r>
            <w:r>
              <w:rPr>
                <w:rFonts w:ascii="Times New Roman" w:eastAsia="Times New Roman" w:hAnsi="Times New Roman" w:cs="Times New Roman"/>
                <w:color w:val="auto"/>
              </w:rPr>
              <w:t>·C</w:t>
            </w:r>
            <w:r>
              <w:rPr>
                <w:rFonts w:ascii="Times New Roman" w:eastAsia="Times New Roman" w:hAnsi="Times New Roman" w:cs="Times New Roman"/>
                <w:color w:val="auto"/>
                <w:spacing w:val="-5"/>
              </w:rPr>
              <w:t xml:space="preserve"> </w:t>
            </w:r>
            <w:r>
              <w:rPr>
                <w:rFonts w:ascii="Times New Roman" w:eastAsia="Times New Roman" w:hAnsi="Times New Roman" w:cs="Times New Roman"/>
                <w:color w:val="auto"/>
                <w:spacing w:val="-1"/>
              </w:rPr>
              <w:t>/</w:t>
            </w:r>
            <w:r>
              <w:rPr>
                <w:rFonts w:ascii="Times New Roman" w:eastAsia="Times New Roman" w:hAnsi="Times New Roman" w:cs="Times New Roman"/>
                <w:color w:val="auto"/>
              </w:rPr>
              <w:t>m</w:t>
            </w:r>
            <w:r>
              <w:rPr>
                <w:rFonts w:ascii="Times New Roman" w:eastAsia="Times New Roman" w:hAnsi="Times New Roman" w:cs="Times New Roman"/>
                <w:color w:val="auto"/>
                <w:position w:val="7"/>
                <w:sz w:val="13"/>
                <w:szCs w:val="13"/>
              </w:rPr>
              <w:t>2</w:t>
            </w:r>
            <w:r>
              <w:rPr>
                <w:rFonts w:ascii="Times New Roman" w:eastAsia="Times New Roman" w:hAnsi="Times New Roman" w:cs="Times New Roman"/>
                <w:color w:val="auto"/>
              </w:rPr>
              <w:t>·d</w:t>
            </w:r>
          </w:p>
        </w:tc>
      </w:tr>
      <w:tr w:rsidR="0075791A" w14:paraId="2C39886B" w14:textId="77777777">
        <w:trPr>
          <w:trHeight w:val="283"/>
        </w:trPr>
        <w:tc>
          <w:tcPr>
            <w:tcW w:w="872" w:type="dxa"/>
            <w:vMerge w:val="restart"/>
            <w:tcBorders>
              <w:tl2br w:val="nil"/>
              <w:tr2bl w:val="nil"/>
            </w:tcBorders>
            <w:vAlign w:val="center"/>
          </w:tcPr>
          <w:p w14:paraId="3EB12B49" w14:textId="77777777" w:rsidR="0075791A" w:rsidRDefault="00FB2864">
            <w:pPr>
              <w:pStyle w:val="TableParagraph"/>
              <w:ind w:left="282" w:right="285"/>
              <w:jc w:val="center"/>
              <w:rPr>
                <w:rFonts w:ascii="Times New Roman" w:eastAsia="Times New Roman" w:hAnsi="Times New Roman" w:cs="Times New Roman"/>
                <w:color w:val="auto"/>
              </w:rPr>
            </w:pPr>
            <w:r>
              <w:rPr>
                <w:rFonts w:ascii="Times New Roman" w:eastAsia="Times New Roman" w:hAnsi="Times New Roman" w:cs="Times New Roman"/>
                <w:color w:val="auto"/>
              </w:rPr>
              <w:t>H1</w:t>
            </w:r>
          </w:p>
        </w:tc>
        <w:tc>
          <w:tcPr>
            <w:tcW w:w="814" w:type="dxa"/>
            <w:tcBorders>
              <w:tl2br w:val="nil"/>
              <w:tr2bl w:val="nil"/>
            </w:tcBorders>
            <w:vAlign w:val="center"/>
          </w:tcPr>
          <w:p w14:paraId="2DD67499" w14:textId="77777777" w:rsidR="0075791A" w:rsidRDefault="00FB2864">
            <w:pPr>
              <w:pStyle w:val="TableParagraph"/>
              <w:spacing w:line="266" w:lineRule="exact"/>
              <w:ind w:left="276" w:right="279"/>
              <w:jc w:val="center"/>
              <w:rPr>
                <w:rFonts w:ascii="宋体" w:eastAsia="宋体" w:hAnsi="宋体" w:cs="宋体"/>
                <w:color w:val="auto"/>
              </w:rPr>
            </w:pPr>
            <w:r>
              <w:rPr>
                <w:rFonts w:ascii="宋体" w:eastAsia="宋体" w:hAnsi="宋体" w:cs="宋体"/>
                <w:color w:val="auto"/>
              </w:rPr>
              <w:t>表</w:t>
            </w:r>
          </w:p>
        </w:tc>
        <w:tc>
          <w:tcPr>
            <w:tcW w:w="1265" w:type="dxa"/>
            <w:tcBorders>
              <w:tl2br w:val="nil"/>
              <w:tr2bl w:val="nil"/>
            </w:tcBorders>
            <w:vAlign w:val="center"/>
          </w:tcPr>
          <w:p w14:paraId="1743ECB3" w14:textId="77777777" w:rsidR="0075791A" w:rsidRDefault="00FB2864">
            <w:pPr>
              <w:pStyle w:val="TableParagraph"/>
              <w:spacing w:before="40"/>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3</w:t>
            </w:r>
          </w:p>
        </w:tc>
        <w:tc>
          <w:tcPr>
            <w:tcW w:w="1710" w:type="dxa"/>
            <w:vMerge w:val="restart"/>
            <w:tcBorders>
              <w:tl2br w:val="nil"/>
              <w:tr2bl w:val="nil"/>
            </w:tcBorders>
            <w:vAlign w:val="center"/>
          </w:tcPr>
          <w:p w14:paraId="23DC3DB6" w14:textId="77777777" w:rsidR="0075791A" w:rsidRDefault="00FB2864">
            <w:pPr>
              <w:pStyle w:val="TableParagraph"/>
              <w:ind w:left="562"/>
              <w:rPr>
                <w:rFonts w:ascii="Times New Roman" w:eastAsia="Times New Roman" w:hAnsi="Times New Roman" w:cs="Times New Roman"/>
                <w:color w:val="auto"/>
              </w:rPr>
            </w:pPr>
            <w:r>
              <w:rPr>
                <w:rFonts w:ascii="Times New Roman" w:eastAsia="Times New Roman" w:hAnsi="Times New Roman" w:cs="Times New Roman"/>
                <w:color w:val="auto"/>
                <w:spacing w:val="1"/>
              </w:rPr>
              <w:t>73</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6</w:t>
            </w:r>
          </w:p>
        </w:tc>
        <w:tc>
          <w:tcPr>
            <w:tcW w:w="788" w:type="dxa"/>
            <w:vMerge w:val="restart"/>
            <w:tcBorders>
              <w:tl2br w:val="nil"/>
              <w:tr2bl w:val="nil"/>
            </w:tcBorders>
            <w:vAlign w:val="center"/>
          </w:tcPr>
          <w:p w14:paraId="533828D0" w14:textId="77777777" w:rsidR="0075791A" w:rsidRDefault="00FB2864">
            <w:pPr>
              <w:pStyle w:val="TableParagraph"/>
              <w:ind w:left="241" w:right="242"/>
              <w:jc w:val="center"/>
              <w:rPr>
                <w:rFonts w:ascii="Times New Roman" w:eastAsia="Times New Roman" w:hAnsi="Times New Roman" w:cs="Times New Roman"/>
                <w:color w:val="auto"/>
              </w:rPr>
            </w:pPr>
            <w:r>
              <w:rPr>
                <w:rFonts w:ascii="Times New Roman" w:eastAsia="Times New Roman" w:hAnsi="Times New Roman" w:cs="Times New Roman"/>
                <w:color w:val="auto"/>
              </w:rPr>
              <w:t>H8</w:t>
            </w:r>
          </w:p>
        </w:tc>
        <w:tc>
          <w:tcPr>
            <w:tcW w:w="835" w:type="dxa"/>
            <w:tcBorders>
              <w:tl2br w:val="nil"/>
              <w:tr2bl w:val="nil"/>
            </w:tcBorders>
            <w:vAlign w:val="center"/>
          </w:tcPr>
          <w:p w14:paraId="2C828828" w14:textId="77777777" w:rsidR="0075791A" w:rsidRDefault="00FB2864">
            <w:pPr>
              <w:pStyle w:val="TableParagraph"/>
              <w:spacing w:line="266" w:lineRule="exact"/>
              <w:ind w:left="288" w:right="288"/>
              <w:jc w:val="center"/>
              <w:rPr>
                <w:rFonts w:ascii="宋体" w:eastAsia="宋体" w:hAnsi="宋体" w:cs="宋体"/>
                <w:color w:val="auto"/>
              </w:rPr>
            </w:pPr>
            <w:r>
              <w:rPr>
                <w:rFonts w:ascii="宋体" w:eastAsia="宋体" w:hAnsi="宋体" w:cs="宋体"/>
                <w:color w:val="auto"/>
              </w:rPr>
              <w:t>表</w:t>
            </w:r>
          </w:p>
        </w:tc>
        <w:tc>
          <w:tcPr>
            <w:tcW w:w="1097" w:type="dxa"/>
            <w:tcBorders>
              <w:tl2br w:val="nil"/>
              <w:tr2bl w:val="nil"/>
            </w:tcBorders>
            <w:vAlign w:val="center"/>
          </w:tcPr>
          <w:p w14:paraId="26AE4325" w14:textId="77777777" w:rsidR="0075791A" w:rsidRDefault="00FB2864">
            <w:pPr>
              <w:pStyle w:val="TableParagraph"/>
              <w:spacing w:before="40"/>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3</w:t>
            </w:r>
          </w:p>
        </w:tc>
        <w:tc>
          <w:tcPr>
            <w:tcW w:w="1458" w:type="dxa"/>
            <w:vMerge w:val="restart"/>
            <w:tcBorders>
              <w:tl2br w:val="nil"/>
              <w:tr2bl w:val="nil"/>
            </w:tcBorders>
            <w:vAlign w:val="center"/>
          </w:tcPr>
          <w:p w14:paraId="0652A967" w14:textId="77777777" w:rsidR="0075791A" w:rsidRDefault="00FB2864">
            <w:pPr>
              <w:pStyle w:val="TableParagraph"/>
              <w:ind w:left="435"/>
              <w:rPr>
                <w:rFonts w:ascii="Times New Roman" w:eastAsia="Times New Roman" w:hAnsi="Times New Roman" w:cs="Times New Roman"/>
                <w:color w:val="auto"/>
              </w:rPr>
            </w:pPr>
            <w:r>
              <w:rPr>
                <w:rFonts w:ascii="Times New Roman" w:eastAsia="Times New Roman" w:hAnsi="Times New Roman" w:cs="Times New Roman"/>
                <w:color w:val="auto"/>
                <w:spacing w:val="1"/>
              </w:rPr>
              <w:t>807</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6</w:t>
            </w:r>
            <w:r>
              <w:rPr>
                <w:rFonts w:ascii="Times New Roman" w:eastAsia="Times New Roman" w:hAnsi="Times New Roman" w:cs="Times New Roman"/>
                <w:color w:val="auto"/>
              </w:rPr>
              <w:t>8</w:t>
            </w:r>
          </w:p>
        </w:tc>
      </w:tr>
      <w:tr w:rsidR="0075791A" w14:paraId="3A0D3DC3" w14:textId="77777777">
        <w:trPr>
          <w:trHeight w:val="283"/>
        </w:trPr>
        <w:tc>
          <w:tcPr>
            <w:tcW w:w="872" w:type="dxa"/>
            <w:vMerge/>
            <w:tcBorders>
              <w:tl2br w:val="nil"/>
              <w:tr2bl w:val="nil"/>
            </w:tcBorders>
            <w:vAlign w:val="center"/>
          </w:tcPr>
          <w:p w14:paraId="36334CF5" w14:textId="77777777" w:rsidR="0075791A" w:rsidRDefault="0075791A">
            <w:pPr>
              <w:rPr>
                <w:color w:val="auto"/>
              </w:rPr>
            </w:pPr>
          </w:p>
        </w:tc>
        <w:tc>
          <w:tcPr>
            <w:tcW w:w="814" w:type="dxa"/>
            <w:tcBorders>
              <w:tl2br w:val="nil"/>
              <w:tr2bl w:val="nil"/>
            </w:tcBorders>
            <w:vAlign w:val="center"/>
          </w:tcPr>
          <w:p w14:paraId="691C35E8" w14:textId="77777777" w:rsidR="0075791A" w:rsidRDefault="00FB2864">
            <w:pPr>
              <w:pStyle w:val="TableParagraph"/>
              <w:spacing w:line="265" w:lineRule="exact"/>
              <w:ind w:left="276" w:right="279"/>
              <w:jc w:val="center"/>
              <w:rPr>
                <w:rFonts w:ascii="宋体" w:eastAsia="宋体" w:hAnsi="宋体" w:cs="宋体"/>
                <w:color w:val="auto"/>
              </w:rPr>
            </w:pPr>
            <w:r>
              <w:rPr>
                <w:rFonts w:ascii="宋体" w:eastAsia="宋体" w:hAnsi="宋体" w:cs="宋体"/>
                <w:color w:val="auto"/>
              </w:rPr>
              <w:t>底</w:t>
            </w:r>
          </w:p>
        </w:tc>
        <w:tc>
          <w:tcPr>
            <w:tcW w:w="1265" w:type="dxa"/>
            <w:tcBorders>
              <w:tl2br w:val="nil"/>
              <w:tr2bl w:val="nil"/>
            </w:tcBorders>
            <w:vAlign w:val="center"/>
          </w:tcPr>
          <w:p w14:paraId="7A4CFC7D" w14:textId="77777777" w:rsidR="0075791A" w:rsidRDefault="00FB2864">
            <w:pPr>
              <w:pStyle w:val="TableParagraph"/>
              <w:spacing w:before="39"/>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0</w:t>
            </w:r>
          </w:p>
        </w:tc>
        <w:tc>
          <w:tcPr>
            <w:tcW w:w="1710" w:type="dxa"/>
            <w:vMerge/>
            <w:tcBorders>
              <w:tl2br w:val="nil"/>
              <w:tr2bl w:val="nil"/>
            </w:tcBorders>
            <w:vAlign w:val="center"/>
          </w:tcPr>
          <w:p w14:paraId="767F473C" w14:textId="77777777" w:rsidR="0075791A" w:rsidRDefault="0075791A">
            <w:pPr>
              <w:rPr>
                <w:color w:val="auto"/>
              </w:rPr>
            </w:pPr>
          </w:p>
        </w:tc>
        <w:tc>
          <w:tcPr>
            <w:tcW w:w="788" w:type="dxa"/>
            <w:vMerge/>
            <w:tcBorders>
              <w:tl2br w:val="nil"/>
              <w:tr2bl w:val="nil"/>
            </w:tcBorders>
            <w:vAlign w:val="center"/>
          </w:tcPr>
          <w:p w14:paraId="0BDCC482" w14:textId="77777777" w:rsidR="0075791A" w:rsidRDefault="0075791A">
            <w:pPr>
              <w:rPr>
                <w:color w:val="auto"/>
              </w:rPr>
            </w:pPr>
          </w:p>
        </w:tc>
        <w:tc>
          <w:tcPr>
            <w:tcW w:w="835" w:type="dxa"/>
            <w:tcBorders>
              <w:tl2br w:val="nil"/>
              <w:tr2bl w:val="nil"/>
            </w:tcBorders>
            <w:vAlign w:val="center"/>
          </w:tcPr>
          <w:p w14:paraId="2F6B5E82" w14:textId="77777777" w:rsidR="0075791A" w:rsidRDefault="00FB2864">
            <w:pPr>
              <w:pStyle w:val="TableParagraph"/>
              <w:spacing w:before="39"/>
              <w:ind w:left="226"/>
              <w:rPr>
                <w:rFonts w:ascii="Times New Roman" w:eastAsia="Times New Roman" w:hAnsi="Times New Roman" w:cs="Times New Roman"/>
                <w:color w:val="auto"/>
              </w:rPr>
            </w:pPr>
            <w:r>
              <w:rPr>
                <w:rFonts w:ascii="Times New Roman" w:eastAsia="Times New Roman" w:hAnsi="Times New Roman" w:cs="Times New Roman"/>
                <w:color w:val="auto"/>
                <w:spacing w:val="1"/>
              </w:rPr>
              <w:t>10</w:t>
            </w:r>
            <w:r>
              <w:rPr>
                <w:rFonts w:ascii="Times New Roman" w:eastAsia="Times New Roman" w:hAnsi="Times New Roman" w:cs="Times New Roman"/>
                <w:color w:val="auto"/>
              </w:rPr>
              <w:t>m</w:t>
            </w:r>
          </w:p>
        </w:tc>
        <w:tc>
          <w:tcPr>
            <w:tcW w:w="1097" w:type="dxa"/>
            <w:tcBorders>
              <w:tl2br w:val="nil"/>
              <w:tr2bl w:val="nil"/>
            </w:tcBorders>
            <w:vAlign w:val="center"/>
          </w:tcPr>
          <w:p w14:paraId="45156C4E" w14:textId="77777777" w:rsidR="0075791A" w:rsidRDefault="00FB2864">
            <w:pPr>
              <w:pStyle w:val="TableParagraph"/>
              <w:spacing w:before="39"/>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1</w:t>
            </w:r>
          </w:p>
        </w:tc>
        <w:tc>
          <w:tcPr>
            <w:tcW w:w="1458" w:type="dxa"/>
            <w:vMerge/>
            <w:tcBorders>
              <w:tl2br w:val="nil"/>
              <w:tr2bl w:val="nil"/>
            </w:tcBorders>
            <w:vAlign w:val="center"/>
          </w:tcPr>
          <w:p w14:paraId="61E8C653" w14:textId="77777777" w:rsidR="0075791A" w:rsidRDefault="0075791A">
            <w:pPr>
              <w:rPr>
                <w:color w:val="auto"/>
              </w:rPr>
            </w:pPr>
          </w:p>
        </w:tc>
      </w:tr>
      <w:tr w:rsidR="0075791A" w14:paraId="1D57FC4F" w14:textId="77777777">
        <w:trPr>
          <w:trHeight w:val="283"/>
        </w:trPr>
        <w:tc>
          <w:tcPr>
            <w:tcW w:w="872" w:type="dxa"/>
            <w:vMerge w:val="restart"/>
            <w:tcBorders>
              <w:tl2br w:val="nil"/>
              <w:tr2bl w:val="nil"/>
            </w:tcBorders>
            <w:vAlign w:val="center"/>
          </w:tcPr>
          <w:p w14:paraId="290732FD" w14:textId="77777777" w:rsidR="0075791A" w:rsidRDefault="00FB2864">
            <w:pPr>
              <w:pStyle w:val="TableParagraph"/>
              <w:ind w:left="282" w:right="285"/>
              <w:jc w:val="center"/>
              <w:rPr>
                <w:rFonts w:ascii="Times New Roman" w:eastAsia="Times New Roman" w:hAnsi="Times New Roman" w:cs="Times New Roman"/>
                <w:color w:val="auto"/>
              </w:rPr>
            </w:pPr>
            <w:r>
              <w:rPr>
                <w:rFonts w:ascii="Times New Roman" w:eastAsia="Times New Roman" w:hAnsi="Times New Roman" w:cs="Times New Roman"/>
                <w:color w:val="auto"/>
              </w:rPr>
              <w:t>H2</w:t>
            </w:r>
          </w:p>
        </w:tc>
        <w:tc>
          <w:tcPr>
            <w:tcW w:w="814" w:type="dxa"/>
            <w:tcBorders>
              <w:tl2br w:val="nil"/>
              <w:tr2bl w:val="nil"/>
            </w:tcBorders>
            <w:vAlign w:val="center"/>
          </w:tcPr>
          <w:p w14:paraId="143BE2E3" w14:textId="77777777" w:rsidR="0075791A" w:rsidRDefault="00FB2864">
            <w:pPr>
              <w:pStyle w:val="TableParagraph"/>
              <w:spacing w:line="266" w:lineRule="exact"/>
              <w:ind w:left="276" w:right="279"/>
              <w:jc w:val="center"/>
              <w:rPr>
                <w:rFonts w:ascii="宋体" w:eastAsia="宋体" w:hAnsi="宋体" w:cs="宋体"/>
                <w:color w:val="auto"/>
              </w:rPr>
            </w:pPr>
            <w:r>
              <w:rPr>
                <w:rFonts w:ascii="宋体" w:eastAsia="宋体" w:hAnsi="宋体" w:cs="宋体"/>
                <w:color w:val="auto"/>
              </w:rPr>
              <w:t>表</w:t>
            </w:r>
          </w:p>
        </w:tc>
        <w:tc>
          <w:tcPr>
            <w:tcW w:w="1265" w:type="dxa"/>
            <w:tcBorders>
              <w:tl2br w:val="nil"/>
              <w:tr2bl w:val="nil"/>
            </w:tcBorders>
            <w:vAlign w:val="center"/>
          </w:tcPr>
          <w:p w14:paraId="587BE32C" w14:textId="77777777" w:rsidR="0075791A" w:rsidRDefault="00FB2864">
            <w:pPr>
              <w:pStyle w:val="TableParagraph"/>
              <w:spacing w:before="40"/>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8</w:t>
            </w:r>
          </w:p>
        </w:tc>
        <w:tc>
          <w:tcPr>
            <w:tcW w:w="1710" w:type="dxa"/>
            <w:vMerge w:val="restart"/>
            <w:tcBorders>
              <w:tl2br w:val="nil"/>
              <w:tr2bl w:val="nil"/>
            </w:tcBorders>
            <w:vAlign w:val="center"/>
          </w:tcPr>
          <w:p w14:paraId="23C6FE7B" w14:textId="77777777" w:rsidR="0075791A" w:rsidRDefault="00FB2864">
            <w:pPr>
              <w:pStyle w:val="TableParagraph"/>
              <w:ind w:left="562"/>
              <w:rPr>
                <w:rFonts w:ascii="Times New Roman" w:eastAsia="Times New Roman" w:hAnsi="Times New Roman" w:cs="Times New Roman"/>
                <w:color w:val="auto"/>
              </w:rPr>
            </w:pPr>
            <w:r>
              <w:rPr>
                <w:rFonts w:ascii="Times New Roman" w:eastAsia="Times New Roman" w:hAnsi="Times New Roman" w:cs="Times New Roman"/>
                <w:color w:val="auto"/>
                <w:spacing w:val="1"/>
              </w:rPr>
              <w:t>79</w:t>
            </w:r>
            <w:r>
              <w:rPr>
                <w:rFonts w:ascii="Times New Roman" w:eastAsia="Times New Roman" w:hAnsi="Times New Roman" w:cs="Times New Roman"/>
                <w:color w:val="auto"/>
                <w:spacing w:val="-2"/>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6</w:t>
            </w:r>
          </w:p>
        </w:tc>
        <w:tc>
          <w:tcPr>
            <w:tcW w:w="788" w:type="dxa"/>
            <w:vMerge/>
            <w:tcBorders>
              <w:tl2br w:val="nil"/>
              <w:tr2bl w:val="nil"/>
            </w:tcBorders>
            <w:vAlign w:val="center"/>
          </w:tcPr>
          <w:p w14:paraId="241D72F3" w14:textId="77777777" w:rsidR="0075791A" w:rsidRDefault="0075791A">
            <w:pPr>
              <w:rPr>
                <w:color w:val="auto"/>
              </w:rPr>
            </w:pPr>
          </w:p>
        </w:tc>
        <w:tc>
          <w:tcPr>
            <w:tcW w:w="835" w:type="dxa"/>
            <w:tcBorders>
              <w:tl2br w:val="nil"/>
              <w:tr2bl w:val="nil"/>
            </w:tcBorders>
            <w:vAlign w:val="center"/>
          </w:tcPr>
          <w:p w14:paraId="18CFABF2" w14:textId="77777777" w:rsidR="0075791A" w:rsidRDefault="00FB2864">
            <w:pPr>
              <w:pStyle w:val="TableParagraph"/>
              <w:spacing w:line="266" w:lineRule="exact"/>
              <w:ind w:left="288" w:right="288"/>
              <w:jc w:val="center"/>
              <w:rPr>
                <w:rFonts w:ascii="宋体" w:eastAsia="宋体" w:hAnsi="宋体" w:cs="宋体"/>
                <w:color w:val="auto"/>
              </w:rPr>
            </w:pPr>
            <w:r>
              <w:rPr>
                <w:rFonts w:ascii="宋体" w:eastAsia="宋体" w:hAnsi="宋体" w:cs="宋体"/>
                <w:color w:val="auto"/>
              </w:rPr>
              <w:t>底</w:t>
            </w:r>
          </w:p>
        </w:tc>
        <w:tc>
          <w:tcPr>
            <w:tcW w:w="1097" w:type="dxa"/>
            <w:tcBorders>
              <w:tl2br w:val="nil"/>
              <w:tr2bl w:val="nil"/>
            </w:tcBorders>
            <w:vAlign w:val="center"/>
          </w:tcPr>
          <w:p w14:paraId="72042A51" w14:textId="77777777" w:rsidR="0075791A" w:rsidRDefault="00FB2864">
            <w:pPr>
              <w:pStyle w:val="TableParagraph"/>
              <w:spacing w:before="40"/>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8</w:t>
            </w:r>
          </w:p>
        </w:tc>
        <w:tc>
          <w:tcPr>
            <w:tcW w:w="1458" w:type="dxa"/>
            <w:vMerge/>
            <w:tcBorders>
              <w:tl2br w:val="nil"/>
              <w:tr2bl w:val="nil"/>
            </w:tcBorders>
            <w:vAlign w:val="center"/>
          </w:tcPr>
          <w:p w14:paraId="24D8699A" w14:textId="77777777" w:rsidR="0075791A" w:rsidRDefault="0075791A">
            <w:pPr>
              <w:rPr>
                <w:color w:val="auto"/>
              </w:rPr>
            </w:pPr>
          </w:p>
        </w:tc>
      </w:tr>
      <w:tr w:rsidR="0075791A" w14:paraId="6E163A32" w14:textId="77777777">
        <w:trPr>
          <w:trHeight w:val="283"/>
        </w:trPr>
        <w:tc>
          <w:tcPr>
            <w:tcW w:w="872" w:type="dxa"/>
            <w:vMerge/>
            <w:tcBorders>
              <w:tl2br w:val="nil"/>
              <w:tr2bl w:val="nil"/>
            </w:tcBorders>
            <w:vAlign w:val="center"/>
          </w:tcPr>
          <w:p w14:paraId="5377217D" w14:textId="77777777" w:rsidR="0075791A" w:rsidRDefault="0075791A">
            <w:pPr>
              <w:rPr>
                <w:color w:val="auto"/>
              </w:rPr>
            </w:pPr>
          </w:p>
        </w:tc>
        <w:tc>
          <w:tcPr>
            <w:tcW w:w="814" w:type="dxa"/>
            <w:tcBorders>
              <w:tl2br w:val="nil"/>
              <w:tr2bl w:val="nil"/>
            </w:tcBorders>
            <w:vAlign w:val="center"/>
          </w:tcPr>
          <w:p w14:paraId="1C4C9A7E" w14:textId="77777777" w:rsidR="0075791A" w:rsidRDefault="00FB2864">
            <w:pPr>
              <w:pStyle w:val="TableParagraph"/>
              <w:spacing w:before="39"/>
              <w:ind w:left="214"/>
              <w:rPr>
                <w:rFonts w:ascii="Times New Roman" w:eastAsia="Times New Roman" w:hAnsi="Times New Roman" w:cs="Times New Roman"/>
                <w:color w:val="auto"/>
              </w:rPr>
            </w:pPr>
            <w:r>
              <w:rPr>
                <w:rFonts w:ascii="Times New Roman" w:eastAsia="Times New Roman" w:hAnsi="Times New Roman" w:cs="Times New Roman"/>
                <w:color w:val="auto"/>
                <w:spacing w:val="1"/>
              </w:rPr>
              <w:t>10</w:t>
            </w:r>
            <w:r>
              <w:rPr>
                <w:rFonts w:ascii="Times New Roman" w:eastAsia="Times New Roman" w:hAnsi="Times New Roman" w:cs="Times New Roman"/>
                <w:color w:val="auto"/>
              </w:rPr>
              <w:t>m</w:t>
            </w:r>
          </w:p>
        </w:tc>
        <w:tc>
          <w:tcPr>
            <w:tcW w:w="1265" w:type="dxa"/>
            <w:tcBorders>
              <w:tl2br w:val="nil"/>
              <w:tr2bl w:val="nil"/>
            </w:tcBorders>
            <w:vAlign w:val="center"/>
          </w:tcPr>
          <w:p w14:paraId="41CFA4B2" w14:textId="77777777" w:rsidR="0075791A" w:rsidRDefault="00FB2864">
            <w:pPr>
              <w:pStyle w:val="TableParagraph"/>
              <w:spacing w:before="39"/>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9</w:t>
            </w:r>
          </w:p>
        </w:tc>
        <w:tc>
          <w:tcPr>
            <w:tcW w:w="1710" w:type="dxa"/>
            <w:vMerge/>
            <w:tcBorders>
              <w:tl2br w:val="nil"/>
              <w:tr2bl w:val="nil"/>
            </w:tcBorders>
            <w:vAlign w:val="center"/>
          </w:tcPr>
          <w:p w14:paraId="55EE2119" w14:textId="77777777" w:rsidR="0075791A" w:rsidRDefault="0075791A">
            <w:pPr>
              <w:rPr>
                <w:color w:val="auto"/>
              </w:rPr>
            </w:pPr>
          </w:p>
        </w:tc>
        <w:tc>
          <w:tcPr>
            <w:tcW w:w="788" w:type="dxa"/>
            <w:vMerge w:val="restart"/>
            <w:tcBorders>
              <w:tl2br w:val="nil"/>
              <w:tr2bl w:val="nil"/>
            </w:tcBorders>
            <w:vAlign w:val="center"/>
          </w:tcPr>
          <w:p w14:paraId="2B788D28" w14:textId="77777777" w:rsidR="0075791A" w:rsidRDefault="00FB2864">
            <w:pPr>
              <w:pStyle w:val="TableParagraph"/>
              <w:ind w:left="241" w:right="242"/>
              <w:jc w:val="center"/>
              <w:rPr>
                <w:rFonts w:ascii="Times New Roman" w:eastAsia="Times New Roman" w:hAnsi="Times New Roman" w:cs="Times New Roman"/>
                <w:color w:val="auto"/>
              </w:rPr>
            </w:pPr>
            <w:r>
              <w:rPr>
                <w:rFonts w:ascii="Times New Roman" w:eastAsia="Times New Roman" w:hAnsi="Times New Roman" w:cs="Times New Roman"/>
                <w:color w:val="auto"/>
              </w:rPr>
              <w:t>H9</w:t>
            </w:r>
          </w:p>
        </w:tc>
        <w:tc>
          <w:tcPr>
            <w:tcW w:w="835" w:type="dxa"/>
            <w:tcBorders>
              <w:tl2br w:val="nil"/>
              <w:tr2bl w:val="nil"/>
            </w:tcBorders>
            <w:vAlign w:val="center"/>
          </w:tcPr>
          <w:p w14:paraId="4ACBFF89" w14:textId="77777777" w:rsidR="0075791A" w:rsidRDefault="00FB2864">
            <w:pPr>
              <w:pStyle w:val="TableParagraph"/>
              <w:spacing w:line="265" w:lineRule="exact"/>
              <w:ind w:left="288" w:right="288"/>
              <w:jc w:val="center"/>
              <w:rPr>
                <w:rFonts w:ascii="宋体" w:eastAsia="宋体" w:hAnsi="宋体" w:cs="宋体"/>
                <w:color w:val="auto"/>
              </w:rPr>
            </w:pPr>
            <w:r>
              <w:rPr>
                <w:rFonts w:ascii="宋体" w:eastAsia="宋体" w:hAnsi="宋体" w:cs="宋体"/>
                <w:color w:val="auto"/>
              </w:rPr>
              <w:t>表</w:t>
            </w:r>
          </w:p>
        </w:tc>
        <w:tc>
          <w:tcPr>
            <w:tcW w:w="1097" w:type="dxa"/>
            <w:tcBorders>
              <w:tl2br w:val="nil"/>
              <w:tr2bl w:val="nil"/>
            </w:tcBorders>
            <w:vAlign w:val="center"/>
          </w:tcPr>
          <w:p w14:paraId="0F1719F7" w14:textId="77777777" w:rsidR="0075791A" w:rsidRDefault="00FB2864">
            <w:pPr>
              <w:pStyle w:val="TableParagraph"/>
              <w:spacing w:before="39"/>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1458" w:type="dxa"/>
            <w:vMerge w:val="restart"/>
            <w:tcBorders>
              <w:tl2br w:val="nil"/>
              <w:tr2bl w:val="nil"/>
            </w:tcBorders>
            <w:vAlign w:val="center"/>
          </w:tcPr>
          <w:p w14:paraId="044BE17D" w14:textId="77777777" w:rsidR="0075791A" w:rsidRDefault="00FB2864">
            <w:pPr>
              <w:pStyle w:val="TableParagraph"/>
              <w:ind w:left="435"/>
              <w:rPr>
                <w:rFonts w:ascii="Times New Roman" w:eastAsia="Times New Roman" w:hAnsi="Times New Roman" w:cs="Times New Roman"/>
                <w:color w:val="auto"/>
              </w:rPr>
            </w:pPr>
            <w:r>
              <w:rPr>
                <w:rFonts w:ascii="Times New Roman" w:eastAsia="Times New Roman" w:hAnsi="Times New Roman" w:cs="Times New Roman"/>
                <w:color w:val="auto"/>
                <w:spacing w:val="1"/>
              </w:rPr>
              <w:t>494</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4</w:t>
            </w:r>
            <w:r>
              <w:rPr>
                <w:rFonts w:ascii="Times New Roman" w:eastAsia="Times New Roman" w:hAnsi="Times New Roman" w:cs="Times New Roman"/>
                <w:color w:val="auto"/>
              </w:rPr>
              <w:t>1</w:t>
            </w:r>
          </w:p>
        </w:tc>
      </w:tr>
      <w:tr w:rsidR="0075791A" w14:paraId="3B82A28C" w14:textId="77777777">
        <w:trPr>
          <w:trHeight w:val="283"/>
        </w:trPr>
        <w:tc>
          <w:tcPr>
            <w:tcW w:w="872" w:type="dxa"/>
            <w:vMerge/>
            <w:tcBorders>
              <w:tl2br w:val="nil"/>
              <w:tr2bl w:val="nil"/>
            </w:tcBorders>
            <w:vAlign w:val="center"/>
          </w:tcPr>
          <w:p w14:paraId="65C37C6F" w14:textId="77777777" w:rsidR="0075791A" w:rsidRDefault="0075791A">
            <w:pPr>
              <w:rPr>
                <w:color w:val="auto"/>
              </w:rPr>
            </w:pPr>
          </w:p>
        </w:tc>
        <w:tc>
          <w:tcPr>
            <w:tcW w:w="814" w:type="dxa"/>
            <w:tcBorders>
              <w:tl2br w:val="nil"/>
              <w:tr2bl w:val="nil"/>
            </w:tcBorders>
            <w:vAlign w:val="center"/>
          </w:tcPr>
          <w:p w14:paraId="17899A4C" w14:textId="77777777" w:rsidR="0075791A" w:rsidRDefault="00FB2864">
            <w:pPr>
              <w:pStyle w:val="TableParagraph"/>
              <w:spacing w:line="266" w:lineRule="exact"/>
              <w:ind w:left="276" w:right="279"/>
              <w:jc w:val="center"/>
              <w:rPr>
                <w:rFonts w:ascii="宋体" w:eastAsia="宋体" w:hAnsi="宋体" w:cs="宋体"/>
                <w:color w:val="auto"/>
              </w:rPr>
            </w:pPr>
            <w:r>
              <w:rPr>
                <w:rFonts w:ascii="宋体" w:eastAsia="宋体" w:hAnsi="宋体" w:cs="宋体"/>
                <w:color w:val="auto"/>
              </w:rPr>
              <w:t>底</w:t>
            </w:r>
          </w:p>
        </w:tc>
        <w:tc>
          <w:tcPr>
            <w:tcW w:w="1265" w:type="dxa"/>
            <w:tcBorders>
              <w:tl2br w:val="nil"/>
              <w:tr2bl w:val="nil"/>
            </w:tcBorders>
            <w:vAlign w:val="center"/>
          </w:tcPr>
          <w:p w14:paraId="14F125A3" w14:textId="77777777" w:rsidR="0075791A" w:rsidRDefault="00FB2864">
            <w:pPr>
              <w:pStyle w:val="TableParagraph"/>
              <w:spacing w:before="40"/>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6</w:t>
            </w:r>
          </w:p>
        </w:tc>
        <w:tc>
          <w:tcPr>
            <w:tcW w:w="1710" w:type="dxa"/>
            <w:vMerge/>
            <w:tcBorders>
              <w:tl2br w:val="nil"/>
              <w:tr2bl w:val="nil"/>
            </w:tcBorders>
            <w:vAlign w:val="center"/>
          </w:tcPr>
          <w:p w14:paraId="023D9165" w14:textId="77777777" w:rsidR="0075791A" w:rsidRDefault="0075791A">
            <w:pPr>
              <w:rPr>
                <w:color w:val="auto"/>
              </w:rPr>
            </w:pPr>
          </w:p>
        </w:tc>
        <w:tc>
          <w:tcPr>
            <w:tcW w:w="788" w:type="dxa"/>
            <w:vMerge/>
            <w:tcBorders>
              <w:tl2br w:val="nil"/>
              <w:tr2bl w:val="nil"/>
            </w:tcBorders>
            <w:vAlign w:val="center"/>
          </w:tcPr>
          <w:p w14:paraId="0EFF857E" w14:textId="77777777" w:rsidR="0075791A" w:rsidRDefault="0075791A">
            <w:pPr>
              <w:rPr>
                <w:color w:val="auto"/>
              </w:rPr>
            </w:pPr>
          </w:p>
        </w:tc>
        <w:tc>
          <w:tcPr>
            <w:tcW w:w="835" w:type="dxa"/>
            <w:tcBorders>
              <w:tl2br w:val="nil"/>
              <w:tr2bl w:val="nil"/>
            </w:tcBorders>
            <w:vAlign w:val="center"/>
          </w:tcPr>
          <w:p w14:paraId="7BB0F648" w14:textId="77777777" w:rsidR="0075791A" w:rsidRDefault="00FB2864">
            <w:pPr>
              <w:pStyle w:val="TableParagraph"/>
              <w:spacing w:before="40"/>
              <w:ind w:left="226"/>
              <w:rPr>
                <w:rFonts w:ascii="Times New Roman" w:eastAsia="Times New Roman" w:hAnsi="Times New Roman" w:cs="Times New Roman"/>
                <w:color w:val="auto"/>
              </w:rPr>
            </w:pPr>
            <w:r>
              <w:rPr>
                <w:rFonts w:ascii="Times New Roman" w:eastAsia="Times New Roman" w:hAnsi="Times New Roman" w:cs="Times New Roman"/>
                <w:color w:val="auto"/>
                <w:spacing w:val="1"/>
              </w:rPr>
              <w:t>10</w:t>
            </w:r>
            <w:r>
              <w:rPr>
                <w:rFonts w:ascii="Times New Roman" w:eastAsia="Times New Roman" w:hAnsi="Times New Roman" w:cs="Times New Roman"/>
                <w:color w:val="auto"/>
              </w:rPr>
              <w:t>m</w:t>
            </w:r>
          </w:p>
        </w:tc>
        <w:tc>
          <w:tcPr>
            <w:tcW w:w="1097" w:type="dxa"/>
            <w:tcBorders>
              <w:tl2br w:val="nil"/>
              <w:tr2bl w:val="nil"/>
            </w:tcBorders>
            <w:vAlign w:val="center"/>
          </w:tcPr>
          <w:p w14:paraId="4EE53240" w14:textId="77777777" w:rsidR="0075791A" w:rsidRDefault="00FB2864">
            <w:pPr>
              <w:pStyle w:val="TableParagraph"/>
              <w:spacing w:before="40"/>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9</w:t>
            </w:r>
          </w:p>
        </w:tc>
        <w:tc>
          <w:tcPr>
            <w:tcW w:w="1458" w:type="dxa"/>
            <w:vMerge/>
            <w:tcBorders>
              <w:tl2br w:val="nil"/>
              <w:tr2bl w:val="nil"/>
            </w:tcBorders>
            <w:vAlign w:val="center"/>
          </w:tcPr>
          <w:p w14:paraId="49C59219" w14:textId="77777777" w:rsidR="0075791A" w:rsidRDefault="0075791A">
            <w:pPr>
              <w:rPr>
                <w:color w:val="auto"/>
              </w:rPr>
            </w:pPr>
          </w:p>
        </w:tc>
      </w:tr>
      <w:tr w:rsidR="0075791A" w14:paraId="577FE367" w14:textId="77777777">
        <w:trPr>
          <w:trHeight w:val="283"/>
        </w:trPr>
        <w:tc>
          <w:tcPr>
            <w:tcW w:w="872" w:type="dxa"/>
            <w:vMerge w:val="restart"/>
            <w:tcBorders>
              <w:tl2br w:val="nil"/>
              <w:tr2bl w:val="nil"/>
            </w:tcBorders>
            <w:vAlign w:val="center"/>
          </w:tcPr>
          <w:p w14:paraId="1DA2AA0E" w14:textId="77777777" w:rsidR="0075791A" w:rsidRDefault="00FB2864">
            <w:pPr>
              <w:pStyle w:val="TableParagraph"/>
              <w:spacing w:before="39"/>
              <w:ind w:left="282" w:right="285"/>
              <w:jc w:val="center"/>
              <w:rPr>
                <w:rFonts w:ascii="Times New Roman" w:eastAsia="Times New Roman" w:hAnsi="Times New Roman" w:cs="Times New Roman"/>
                <w:color w:val="auto"/>
              </w:rPr>
            </w:pPr>
            <w:r>
              <w:rPr>
                <w:rFonts w:ascii="Times New Roman" w:eastAsia="Times New Roman" w:hAnsi="Times New Roman" w:cs="Times New Roman"/>
                <w:color w:val="auto"/>
              </w:rPr>
              <w:t>H3</w:t>
            </w:r>
          </w:p>
        </w:tc>
        <w:tc>
          <w:tcPr>
            <w:tcW w:w="814" w:type="dxa"/>
            <w:tcBorders>
              <w:tl2br w:val="nil"/>
              <w:tr2bl w:val="nil"/>
            </w:tcBorders>
            <w:vAlign w:val="center"/>
          </w:tcPr>
          <w:p w14:paraId="0462A2B9" w14:textId="77777777" w:rsidR="0075791A" w:rsidRDefault="00FB2864">
            <w:pPr>
              <w:pStyle w:val="TableParagraph"/>
              <w:spacing w:line="265" w:lineRule="exact"/>
              <w:ind w:left="276" w:right="279"/>
              <w:jc w:val="center"/>
              <w:rPr>
                <w:rFonts w:ascii="宋体" w:eastAsia="宋体" w:hAnsi="宋体" w:cs="宋体"/>
                <w:color w:val="auto"/>
              </w:rPr>
            </w:pPr>
            <w:r>
              <w:rPr>
                <w:rFonts w:ascii="宋体" w:eastAsia="宋体" w:hAnsi="宋体" w:cs="宋体"/>
                <w:color w:val="auto"/>
              </w:rPr>
              <w:t>表</w:t>
            </w:r>
          </w:p>
        </w:tc>
        <w:tc>
          <w:tcPr>
            <w:tcW w:w="1265" w:type="dxa"/>
            <w:tcBorders>
              <w:tl2br w:val="nil"/>
              <w:tr2bl w:val="nil"/>
            </w:tcBorders>
            <w:vAlign w:val="center"/>
          </w:tcPr>
          <w:p w14:paraId="57093932" w14:textId="77777777" w:rsidR="0075791A" w:rsidRDefault="00FB2864">
            <w:pPr>
              <w:pStyle w:val="TableParagraph"/>
              <w:spacing w:before="39"/>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3</w:t>
            </w:r>
          </w:p>
        </w:tc>
        <w:tc>
          <w:tcPr>
            <w:tcW w:w="1710" w:type="dxa"/>
            <w:vMerge w:val="restart"/>
            <w:tcBorders>
              <w:tl2br w:val="nil"/>
              <w:tr2bl w:val="nil"/>
            </w:tcBorders>
            <w:vAlign w:val="center"/>
          </w:tcPr>
          <w:p w14:paraId="17E41087" w14:textId="77777777" w:rsidR="0075791A" w:rsidRDefault="00FB2864">
            <w:pPr>
              <w:pStyle w:val="TableParagraph"/>
              <w:spacing w:before="39"/>
              <w:ind w:left="562"/>
              <w:rPr>
                <w:rFonts w:ascii="Times New Roman" w:eastAsia="Times New Roman" w:hAnsi="Times New Roman" w:cs="Times New Roman"/>
                <w:color w:val="auto"/>
              </w:rPr>
            </w:pPr>
            <w:r>
              <w:rPr>
                <w:rFonts w:ascii="Times New Roman" w:eastAsia="Times New Roman" w:hAnsi="Times New Roman" w:cs="Times New Roman"/>
                <w:color w:val="auto"/>
                <w:spacing w:val="1"/>
              </w:rPr>
              <w:t>88</w:t>
            </w:r>
            <w:r>
              <w:rPr>
                <w:rFonts w:ascii="Times New Roman" w:eastAsia="Times New Roman" w:hAnsi="Times New Roman" w:cs="Times New Roman"/>
                <w:color w:val="auto"/>
                <w:spacing w:val="-2"/>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3</w:t>
            </w:r>
          </w:p>
        </w:tc>
        <w:tc>
          <w:tcPr>
            <w:tcW w:w="788" w:type="dxa"/>
            <w:vMerge/>
            <w:tcBorders>
              <w:tl2br w:val="nil"/>
              <w:tr2bl w:val="nil"/>
            </w:tcBorders>
            <w:vAlign w:val="center"/>
          </w:tcPr>
          <w:p w14:paraId="235ACAF5" w14:textId="77777777" w:rsidR="0075791A" w:rsidRDefault="0075791A">
            <w:pPr>
              <w:rPr>
                <w:color w:val="auto"/>
              </w:rPr>
            </w:pPr>
          </w:p>
        </w:tc>
        <w:tc>
          <w:tcPr>
            <w:tcW w:w="835" w:type="dxa"/>
            <w:tcBorders>
              <w:tl2br w:val="nil"/>
              <w:tr2bl w:val="nil"/>
            </w:tcBorders>
            <w:vAlign w:val="center"/>
          </w:tcPr>
          <w:p w14:paraId="6D28F085" w14:textId="77777777" w:rsidR="0075791A" w:rsidRDefault="00FB2864">
            <w:pPr>
              <w:pStyle w:val="TableParagraph"/>
              <w:spacing w:line="265" w:lineRule="exact"/>
              <w:ind w:left="288" w:right="288"/>
              <w:jc w:val="center"/>
              <w:rPr>
                <w:rFonts w:ascii="宋体" w:eastAsia="宋体" w:hAnsi="宋体" w:cs="宋体"/>
                <w:color w:val="auto"/>
              </w:rPr>
            </w:pPr>
            <w:r>
              <w:rPr>
                <w:rFonts w:ascii="宋体" w:eastAsia="宋体" w:hAnsi="宋体" w:cs="宋体"/>
                <w:color w:val="auto"/>
              </w:rPr>
              <w:t>底</w:t>
            </w:r>
          </w:p>
        </w:tc>
        <w:tc>
          <w:tcPr>
            <w:tcW w:w="1097" w:type="dxa"/>
            <w:tcBorders>
              <w:tl2br w:val="nil"/>
              <w:tr2bl w:val="nil"/>
            </w:tcBorders>
            <w:vAlign w:val="center"/>
          </w:tcPr>
          <w:p w14:paraId="569FFE26" w14:textId="77777777" w:rsidR="0075791A" w:rsidRDefault="00FB2864">
            <w:pPr>
              <w:pStyle w:val="TableParagraph"/>
              <w:spacing w:before="39"/>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4</w:t>
            </w:r>
          </w:p>
        </w:tc>
        <w:tc>
          <w:tcPr>
            <w:tcW w:w="1458" w:type="dxa"/>
            <w:vMerge/>
            <w:tcBorders>
              <w:tl2br w:val="nil"/>
              <w:tr2bl w:val="nil"/>
            </w:tcBorders>
            <w:vAlign w:val="center"/>
          </w:tcPr>
          <w:p w14:paraId="52E5DDEE" w14:textId="77777777" w:rsidR="0075791A" w:rsidRDefault="0075791A">
            <w:pPr>
              <w:rPr>
                <w:color w:val="auto"/>
              </w:rPr>
            </w:pPr>
          </w:p>
        </w:tc>
      </w:tr>
      <w:tr w:rsidR="0075791A" w14:paraId="0CC2EBAC" w14:textId="77777777">
        <w:trPr>
          <w:trHeight w:val="283"/>
        </w:trPr>
        <w:tc>
          <w:tcPr>
            <w:tcW w:w="872" w:type="dxa"/>
            <w:vMerge/>
            <w:tcBorders>
              <w:tl2br w:val="nil"/>
              <w:tr2bl w:val="nil"/>
            </w:tcBorders>
            <w:vAlign w:val="center"/>
          </w:tcPr>
          <w:p w14:paraId="6043CE7E" w14:textId="77777777" w:rsidR="0075791A" w:rsidRDefault="0075791A">
            <w:pPr>
              <w:rPr>
                <w:color w:val="auto"/>
              </w:rPr>
            </w:pPr>
          </w:p>
        </w:tc>
        <w:tc>
          <w:tcPr>
            <w:tcW w:w="814" w:type="dxa"/>
            <w:tcBorders>
              <w:tl2br w:val="nil"/>
              <w:tr2bl w:val="nil"/>
            </w:tcBorders>
            <w:vAlign w:val="center"/>
          </w:tcPr>
          <w:p w14:paraId="24559D14" w14:textId="77777777" w:rsidR="0075791A" w:rsidRDefault="00FB2864">
            <w:pPr>
              <w:pStyle w:val="TableParagraph"/>
              <w:spacing w:before="46"/>
              <w:ind w:left="214"/>
              <w:rPr>
                <w:rFonts w:ascii="Times New Roman" w:eastAsia="Times New Roman" w:hAnsi="Times New Roman" w:cs="Times New Roman"/>
                <w:color w:val="auto"/>
              </w:rPr>
            </w:pPr>
            <w:r>
              <w:rPr>
                <w:rFonts w:ascii="Times New Roman" w:eastAsia="Times New Roman" w:hAnsi="Times New Roman" w:cs="Times New Roman"/>
                <w:color w:val="auto"/>
                <w:spacing w:val="1"/>
              </w:rPr>
              <w:t>10</w:t>
            </w:r>
            <w:r>
              <w:rPr>
                <w:rFonts w:ascii="Times New Roman" w:eastAsia="Times New Roman" w:hAnsi="Times New Roman" w:cs="Times New Roman"/>
                <w:color w:val="auto"/>
              </w:rPr>
              <w:t>m</w:t>
            </w:r>
          </w:p>
        </w:tc>
        <w:tc>
          <w:tcPr>
            <w:tcW w:w="1265" w:type="dxa"/>
            <w:tcBorders>
              <w:tl2br w:val="nil"/>
              <w:tr2bl w:val="nil"/>
            </w:tcBorders>
            <w:vAlign w:val="center"/>
          </w:tcPr>
          <w:p w14:paraId="0377D1ED" w14:textId="77777777" w:rsidR="0075791A" w:rsidRDefault="00FB2864">
            <w:pPr>
              <w:pStyle w:val="TableParagraph"/>
              <w:spacing w:before="46"/>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5</w:t>
            </w:r>
          </w:p>
        </w:tc>
        <w:tc>
          <w:tcPr>
            <w:tcW w:w="1710" w:type="dxa"/>
            <w:vMerge/>
            <w:tcBorders>
              <w:tl2br w:val="nil"/>
              <w:tr2bl w:val="nil"/>
            </w:tcBorders>
            <w:vAlign w:val="center"/>
          </w:tcPr>
          <w:p w14:paraId="26BD136B" w14:textId="77777777" w:rsidR="0075791A" w:rsidRDefault="0075791A">
            <w:pPr>
              <w:rPr>
                <w:color w:val="auto"/>
              </w:rPr>
            </w:pPr>
          </w:p>
        </w:tc>
        <w:tc>
          <w:tcPr>
            <w:tcW w:w="788" w:type="dxa"/>
            <w:vMerge w:val="restart"/>
            <w:tcBorders>
              <w:tl2br w:val="nil"/>
              <w:tr2bl w:val="nil"/>
            </w:tcBorders>
            <w:vAlign w:val="center"/>
          </w:tcPr>
          <w:p w14:paraId="3E9EAAB1" w14:textId="77777777" w:rsidR="0075791A" w:rsidRDefault="00FB2864">
            <w:pPr>
              <w:pStyle w:val="TableParagraph"/>
              <w:ind w:left="208"/>
              <w:rPr>
                <w:rFonts w:ascii="Times New Roman" w:eastAsia="Times New Roman" w:hAnsi="Times New Roman" w:cs="Times New Roman"/>
                <w:color w:val="auto"/>
              </w:rPr>
            </w:pPr>
            <w:r>
              <w:rPr>
                <w:rFonts w:ascii="Times New Roman" w:eastAsia="Times New Roman" w:hAnsi="Times New Roman" w:cs="Times New Roman"/>
                <w:color w:val="auto"/>
              </w:rPr>
              <w:t>H</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0</w:t>
            </w:r>
          </w:p>
        </w:tc>
        <w:tc>
          <w:tcPr>
            <w:tcW w:w="835" w:type="dxa"/>
            <w:tcBorders>
              <w:tl2br w:val="nil"/>
              <w:tr2bl w:val="nil"/>
            </w:tcBorders>
            <w:vAlign w:val="center"/>
          </w:tcPr>
          <w:p w14:paraId="68071254" w14:textId="77777777" w:rsidR="0075791A" w:rsidRDefault="00FB2864">
            <w:pPr>
              <w:pStyle w:val="TableParagraph"/>
              <w:spacing w:line="269" w:lineRule="exact"/>
              <w:ind w:left="288" w:right="288"/>
              <w:jc w:val="center"/>
              <w:rPr>
                <w:rFonts w:ascii="宋体" w:eastAsia="宋体" w:hAnsi="宋体" w:cs="宋体"/>
                <w:color w:val="auto"/>
              </w:rPr>
            </w:pPr>
            <w:r>
              <w:rPr>
                <w:rFonts w:ascii="宋体" w:eastAsia="宋体" w:hAnsi="宋体" w:cs="宋体"/>
                <w:color w:val="auto"/>
              </w:rPr>
              <w:t>表</w:t>
            </w:r>
          </w:p>
        </w:tc>
        <w:tc>
          <w:tcPr>
            <w:tcW w:w="1097" w:type="dxa"/>
            <w:tcBorders>
              <w:tl2br w:val="nil"/>
              <w:tr2bl w:val="nil"/>
            </w:tcBorders>
            <w:vAlign w:val="center"/>
          </w:tcPr>
          <w:p w14:paraId="72570C09" w14:textId="77777777" w:rsidR="0075791A" w:rsidRDefault="00FB2864">
            <w:pPr>
              <w:pStyle w:val="TableParagraph"/>
              <w:spacing w:before="46"/>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1458" w:type="dxa"/>
            <w:vMerge w:val="restart"/>
            <w:tcBorders>
              <w:tl2br w:val="nil"/>
              <w:tr2bl w:val="nil"/>
            </w:tcBorders>
            <w:vAlign w:val="center"/>
          </w:tcPr>
          <w:p w14:paraId="1075A836" w14:textId="77777777" w:rsidR="0075791A" w:rsidRDefault="00FB2864">
            <w:pPr>
              <w:pStyle w:val="TableParagraph"/>
              <w:ind w:left="435"/>
              <w:rPr>
                <w:rFonts w:ascii="Times New Roman" w:eastAsia="Times New Roman" w:hAnsi="Times New Roman" w:cs="Times New Roman"/>
                <w:color w:val="auto"/>
              </w:rPr>
            </w:pPr>
            <w:r>
              <w:rPr>
                <w:rFonts w:ascii="Times New Roman" w:eastAsia="Times New Roman" w:hAnsi="Times New Roman" w:cs="Times New Roman"/>
                <w:color w:val="auto"/>
                <w:spacing w:val="1"/>
              </w:rPr>
              <w:t>724</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1</w:t>
            </w:r>
            <w:r>
              <w:rPr>
                <w:rFonts w:ascii="Times New Roman" w:eastAsia="Times New Roman" w:hAnsi="Times New Roman" w:cs="Times New Roman"/>
                <w:color w:val="auto"/>
              </w:rPr>
              <w:t>5</w:t>
            </w:r>
          </w:p>
        </w:tc>
      </w:tr>
      <w:tr w:rsidR="0075791A" w14:paraId="443BA354" w14:textId="77777777">
        <w:trPr>
          <w:trHeight w:val="283"/>
        </w:trPr>
        <w:tc>
          <w:tcPr>
            <w:tcW w:w="872" w:type="dxa"/>
            <w:vMerge/>
            <w:tcBorders>
              <w:tl2br w:val="nil"/>
              <w:tr2bl w:val="nil"/>
            </w:tcBorders>
            <w:vAlign w:val="center"/>
          </w:tcPr>
          <w:p w14:paraId="2CD7E6F9" w14:textId="77777777" w:rsidR="0075791A" w:rsidRDefault="0075791A">
            <w:pPr>
              <w:rPr>
                <w:color w:val="auto"/>
              </w:rPr>
            </w:pPr>
          </w:p>
        </w:tc>
        <w:tc>
          <w:tcPr>
            <w:tcW w:w="814" w:type="dxa"/>
            <w:tcBorders>
              <w:tl2br w:val="nil"/>
              <w:tr2bl w:val="nil"/>
            </w:tcBorders>
            <w:vAlign w:val="center"/>
          </w:tcPr>
          <w:p w14:paraId="71C4AEDA" w14:textId="77777777" w:rsidR="0075791A" w:rsidRDefault="00FB2864">
            <w:pPr>
              <w:pStyle w:val="TableParagraph"/>
              <w:spacing w:line="265" w:lineRule="exact"/>
              <w:ind w:left="276" w:right="279"/>
              <w:jc w:val="center"/>
              <w:rPr>
                <w:rFonts w:ascii="宋体" w:eastAsia="宋体" w:hAnsi="宋体" w:cs="宋体"/>
                <w:color w:val="auto"/>
              </w:rPr>
            </w:pPr>
            <w:r>
              <w:rPr>
                <w:rFonts w:ascii="宋体" w:eastAsia="宋体" w:hAnsi="宋体" w:cs="宋体"/>
                <w:color w:val="auto"/>
              </w:rPr>
              <w:t>底</w:t>
            </w:r>
          </w:p>
        </w:tc>
        <w:tc>
          <w:tcPr>
            <w:tcW w:w="1265" w:type="dxa"/>
            <w:tcBorders>
              <w:tl2br w:val="nil"/>
              <w:tr2bl w:val="nil"/>
            </w:tcBorders>
            <w:vAlign w:val="center"/>
          </w:tcPr>
          <w:p w14:paraId="2174DD94" w14:textId="77777777" w:rsidR="0075791A" w:rsidRDefault="00FB2864">
            <w:pPr>
              <w:pStyle w:val="TableParagraph"/>
              <w:spacing w:before="39"/>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5</w:t>
            </w:r>
          </w:p>
        </w:tc>
        <w:tc>
          <w:tcPr>
            <w:tcW w:w="1710" w:type="dxa"/>
            <w:vMerge/>
            <w:tcBorders>
              <w:tl2br w:val="nil"/>
              <w:tr2bl w:val="nil"/>
            </w:tcBorders>
            <w:vAlign w:val="center"/>
          </w:tcPr>
          <w:p w14:paraId="1B653E53" w14:textId="77777777" w:rsidR="0075791A" w:rsidRDefault="0075791A">
            <w:pPr>
              <w:rPr>
                <w:color w:val="auto"/>
              </w:rPr>
            </w:pPr>
          </w:p>
        </w:tc>
        <w:tc>
          <w:tcPr>
            <w:tcW w:w="788" w:type="dxa"/>
            <w:vMerge/>
            <w:tcBorders>
              <w:tl2br w:val="nil"/>
              <w:tr2bl w:val="nil"/>
            </w:tcBorders>
            <w:vAlign w:val="center"/>
          </w:tcPr>
          <w:p w14:paraId="1614BB8A" w14:textId="77777777" w:rsidR="0075791A" w:rsidRDefault="0075791A">
            <w:pPr>
              <w:rPr>
                <w:color w:val="auto"/>
              </w:rPr>
            </w:pPr>
          </w:p>
        </w:tc>
        <w:tc>
          <w:tcPr>
            <w:tcW w:w="835" w:type="dxa"/>
            <w:tcBorders>
              <w:tl2br w:val="nil"/>
              <w:tr2bl w:val="nil"/>
            </w:tcBorders>
            <w:vAlign w:val="center"/>
          </w:tcPr>
          <w:p w14:paraId="346B5841" w14:textId="77777777" w:rsidR="0075791A" w:rsidRDefault="00FB2864">
            <w:pPr>
              <w:pStyle w:val="TableParagraph"/>
              <w:spacing w:line="265" w:lineRule="exact"/>
              <w:ind w:left="288" w:right="288"/>
              <w:jc w:val="center"/>
              <w:rPr>
                <w:rFonts w:ascii="宋体" w:eastAsia="宋体" w:hAnsi="宋体" w:cs="宋体"/>
                <w:color w:val="auto"/>
              </w:rPr>
            </w:pPr>
            <w:r>
              <w:rPr>
                <w:rFonts w:ascii="宋体" w:eastAsia="宋体" w:hAnsi="宋体" w:cs="宋体"/>
                <w:color w:val="auto"/>
              </w:rPr>
              <w:t>底</w:t>
            </w:r>
          </w:p>
        </w:tc>
        <w:tc>
          <w:tcPr>
            <w:tcW w:w="1097" w:type="dxa"/>
            <w:tcBorders>
              <w:tl2br w:val="nil"/>
              <w:tr2bl w:val="nil"/>
            </w:tcBorders>
            <w:vAlign w:val="center"/>
          </w:tcPr>
          <w:p w14:paraId="15257528" w14:textId="77777777" w:rsidR="0075791A" w:rsidRDefault="00FB2864">
            <w:pPr>
              <w:pStyle w:val="TableParagraph"/>
              <w:spacing w:before="39"/>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9</w:t>
            </w:r>
          </w:p>
        </w:tc>
        <w:tc>
          <w:tcPr>
            <w:tcW w:w="1458" w:type="dxa"/>
            <w:vMerge/>
            <w:tcBorders>
              <w:tl2br w:val="nil"/>
              <w:tr2bl w:val="nil"/>
            </w:tcBorders>
            <w:vAlign w:val="center"/>
          </w:tcPr>
          <w:p w14:paraId="590C3434" w14:textId="77777777" w:rsidR="0075791A" w:rsidRDefault="0075791A">
            <w:pPr>
              <w:rPr>
                <w:color w:val="auto"/>
              </w:rPr>
            </w:pPr>
          </w:p>
        </w:tc>
      </w:tr>
      <w:tr w:rsidR="0075791A" w14:paraId="70739011" w14:textId="77777777">
        <w:trPr>
          <w:trHeight w:val="283"/>
        </w:trPr>
        <w:tc>
          <w:tcPr>
            <w:tcW w:w="872" w:type="dxa"/>
            <w:vMerge w:val="restart"/>
            <w:tcBorders>
              <w:tl2br w:val="nil"/>
              <w:tr2bl w:val="nil"/>
            </w:tcBorders>
            <w:vAlign w:val="center"/>
          </w:tcPr>
          <w:p w14:paraId="3EF5B1B2" w14:textId="77777777" w:rsidR="0075791A" w:rsidRDefault="00FB2864">
            <w:pPr>
              <w:pStyle w:val="TableParagraph"/>
              <w:ind w:left="282" w:right="285"/>
              <w:jc w:val="center"/>
              <w:rPr>
                <w:rFonts w:ascii="Times New Roman" w:eastAsia="Times New Roman" w:hAnsi="Times New Roman" w:cs="Times New Roman"/>
                <w:color w:val="auto"/>
              </w:rPr>
            </w:pPr>
            <w:r>
              <w:rPr>
                <w:rFonts w:ascii="Times New Roman" w:eastAsia="Times New Roman" w:hAnsi="Times New Roman" w:cs="Times New Roman"/>
                <w:color w:val="auto"/>
              </w:rPr>
              <w:t>H4</w:t>
            </w:r>
          </w:p>
        </w:tc>
        <w:tc>
          <w:tcPr>
            <w:tcW w:w="814" w:type="dxa"/>
            <w:tcBorders>
              <w:tl2br w:val="nil"/>
              <w:tr2bl w:val="nil"/>
            </w:tcBorders>
            <w:vAlign w:val="center"/>
          </w:tcPr>
          <w:p w14:paraId="72AECDE1" w14:textId="77777777" w:rsidR="0075791A" w:rsidRDefault="00FB2864">
            <w:pPr>
              <w:pStyle w:val="TableParagraph"/>
              <w:spacing w:line="264" w:lineRule="exact"/>
              <w:ind w:left="276" w:right="279"/>
              <w:jc w:val="center"/>
              <w:rPr>
                <w:rFonts w:ascii="宋体" w:eastAsia="宋体" w:hAnsi="宋体" w:cs="宋体"/>
                <w:color w:val="auto"/>
              </w:rPr>
            </w:pPr>
            <w:r>
              <w:rPr>
                <w:rFonts w:ascii="宋体" w:eastAsia="宋体" w:hAnsi="宋体" w:cs="宋体"/>
                <w:color w:val="auto"/>
              </w:rPr>
              <w:t>表</w:t>
            </w:r>
          </w:p>
        </w:tc>
        <w:tc>
          <w:tcPr>
            <w:tcW w:w="1265" w:type="dxa"/>
            <w:tcBorders>
              <w:tl2br w:val="nil"/>
              <w:tr2bl w:val="nil"/>
            </w:tcBorders>
            <w:vAlign w:val="center"/>
          </w:tcPr>
          <w:p w14:paraId="371D373C" w14:textId="77777777" w:rsidR="0075791A" w:rsidRDefault="00FB2864">
            <w:pPr>
              <w:pStyle w:val="TableParagraph"/>
              <w:spacing w:before="40"/>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4</w:t>
            </w:r>
          </w:p>
        </w:tc>
        <w:tc>
          <w:tcPr>
            <w:tcW w:w="1710" w:type="dxa"/>
            <w:vMerge w:val="restart"/>
            <w:tcBorders>
              <w:tl2br w:val="nil"/>
              <w:tr2bl w:val="nil"/>
            </w:tcBorders>
            <w:vAlign w:val="center"/>
          </w:tcPr>
          <w:p w14:paraId="76DCD46E" w14:textId="77777777" w:rsidR="0075791A" w:rsidRDefault="00FB2864">
            <w:pPr>
              <w:pStyle w:val="TableParagraph"/>
              <w:ind w:left="562"/>
              <w:rPr>
                <w:rFonts w:ascii="Times New Roman" w:eastAsia="Times New Roman" w:hAnsi="Times New Roman" w:cs="Times New Roman"/>
                <w:color w:val="auto"/>
              </w:rPr>
            </w:pPr>
            <w:r>
              <w:rPr>
                <w:rFonts w:ascii="Times New Roman" w:eastAsia="Times New Roman" w:hAnsi="Times New Roman" w:cs="Times New Roman"/>
                <w:color w:val="auto"/>
                <w:spacing w:val="1"/>
              </w:rPr>
              <w:t>53</w:t>
            </w:r>
            <w:r>
              <w:rPr>
                <w:rFonts w:ascii="Times New Roman" w:eastAsia="Times New Roman" w:hAnsi="Times New Roman" w:cs="Times New Roman"/>
                <w:color w:val="auto"/>
                <w:spacing w:val="-2"/>
              </w:rPr>
              <w:t>9</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2</w:t>
            </w:r>
          </w:p>
        </w:tc>
        <w:tc>
          <w:tcPr>
            <w:tcW w:w="788" w:type="dxa"/>
            <w:vMerge w:val="restart"/>
            <w:tcBorders>
              <w:tl2br w:val="nil"/>
              <w:tr2bl w:val="nil"/>
            </w:tcBorders>
            <w:vAlign w:val="center"/>
          </w:tcPr>
          <w:p w14:paraId="10CE85C9" w14:textId="77777777" w:rsidR="0075791A" w:rsidRDefault="00FB2864">
            <w:pPr>
              <w:pStyle w:val="TableParagraph"/>
              <w:ind w:left="212"/>
              <w:rPr>
                <w:rFonts w:ascii="Times New Roman" w:eastAsia="Times New Roman" w:hAnsi="Times New Roman" w:cs="Times New Roman"/>
                <w:color w:val="auto"/>
              </w:rPr>
            </w:pPr>
            <w:r>
              <w:rPr>
                <w:rFonts w:ascii="Times New Roman" w:eastAsia="Times New Roman" w:hAnsi="Times New Roman" w:cs="Times New Roman"/>
                <w:color w:val="auto"/>
              </w:rPr>
              <w:t>H</w:t>
            </w:r>
            <w:r>
              <w:rPr>
                <w:rFonts w:ascii="Times New Roman" w:eastAsia="Times New Roman" w:hAnsi="Times New Roman" w:cs="Times New Roman"/>
                <w:color w:val="auto"/>
                <w:spacing w:val="-5"/>
              </w:rPr>
              <w:t>1</w:t>
            </w:r>
            <w:r>
              <w:rPr>
                <w:rFonts w:ascii="Times New Roman" w:eastAsia="Times New Roman" w:hAnsi="Times New Roman" w:cs="Times New Roman"/>
                <w:color w:val="auto"/>
              </w:rPr>
              <w:t>1</w:t>
            </w:r>
          </w:p>
        </w:tc>
        <w:tc>
          <w:tcPr>
            <w:tcW w:w="835" w:type="dxa"/>
            <w:tcBorders>
              <w:tl2br w:val="nil"/>
              <w:tr2bl w:val="nil"/>
            </w:tcBorders>
            <w:vAlign w:val="center"/>
          </w:tcPr>
          <w:p w14:paraId="5DEF3361" w14:textId="77777777" w:rsidR="0075791A" w:rsidRDefault="00FB2864">
            <w:pPr>
              <w:pStyle w:val="TableParagraph"/>
              <w:spacing w:line="264" w:lineRule="exact"/>
              <w:ind w:left="288" w:right="288"/>
              <w:jc w:val="center"/>
              <w:rPr>
                <w:rFonts w:ascii="宋体" w:eastAsia="宋体" w:hAnsi="宋体" w:cs="宋体"/>
                <w:color w:val="auto"/>
              </w:rPr>
            </w:pPr>
            <w:r>
              <w:rPr>
                <w:rFonts w:ascii="宋体" w:eastAsia="宋体" w:hAnsi="宋体" w:cs="宋体"/>
                <w:color w:val="auto"/>
              </w:rPr>
              <w:t>表</w:t>
            </w:r>
          </w:p>
        </w:tc>
        <w:tc>
          <w:tcPr>
            <w:tcW w:w="1097" w:type="dxa"/>
            <w:tcBorders>
              <w:tl2br w:val="nil"/>
              <w:tr2bl w:val="nil"/>
            </w:tcBorders>
            <w:vAlign w:val="center"/>
          </w:tcPr>
          <w:p w14:paraId="3C92F564" w14:textId="77777777" w:rsidR="0075791A" w:rsidRDefault="00FB2864">
            <w:pPr>
              <w:pStyle w:val="TableParagraph"/>
              <w:spacing w:before="40"/>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1458" w:type="dxa"/>
            <w:vMerge w:val="restart"/>
            <w:tcBorders>
              <w:tl2br w:val="nil"/>
              <w:tr2bl w:val="nil"/>
            </w:tcBorders>
            <w:vAlign w:val="center"/>
          </w:tcPr>
          <w:p w14:paraId="6CDCDF68" w14:textId="77777777" w:rsidR="0075791A" w:rsidRDefault="00FB2864">
            <w:pPr>
              <w:pStyle w:val="TableParagraph"/>
              <w:ind w:left="435"/>
              <w:rPr>
                <w:rFonts w:ascii="Times New Roman" w:eastAsia="Times New Roman" w:hAnsi="Times New Roman" w:cs="Times New Roman"/>
                <w:color w:val="auto"/>
              </w:rPr>
            </w:pPr>
            <w:r>
              <w:rPr>
                <w:rFonts w:ascii="Times New Roman" w:eastAsia="Times New Roman" w:hAnsi="Times New Roman" w:cs="Times New Roman"/>
                <w:color w:val="auto"/>
                <w:spacing w:val="1"/>
              </w:rPr>
              <w:t>577</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9</w:t>
            </w:r>
            <w:r>
              <w:rPr>
                <w:rFonts w:ascii="Times New Roman" w:eastAsia="Times New Roman" w:hAnsi="Times New Roman" w:cs="Times New Roman"/>
                <w:color w:val="auto"/>
              </w:rPr>
              <w:t>0</w:t>
            </w:r>
          </w:p>
        </w:tc>
      </w:tr>
      <w:tr w:rsidR="0075791A" w14:paraId="451D4826" w14:textId="77777777">
        <w:trPr>
          <w:trHeight w:val="283"/>
        </w:trPr>
        <w:tc>
          <w:tcPr>
            <w:tcW w:w="872" w:type="dxa"/>
            <w:vMerge/>
            <w:tcBorders>
              <w:tl2br w:val="nil"/>
              <w:tr2bl w:val="nil"/>
            </w:tcBorders>
            <w:vAlign w:val="center"/>
          </w:tcPr>
          <w:p w14:paraId="1C6ABC9C" w14:textId="77777777" w:rsidR="0075791A" w:rsidRDefault="0075791A">
            <w:pPr>
              <w:rPr>
                <w:color w:val="auto"/>
              </w:rPr>
            </w:pPr>
          </w:p>
        </w:tc>
        <w:tc>
          <w:tcPr>
            <w:tcW w:w="814" w:type="dxa"/>
            <w:tcBorders>
              <w:tl2br w:val="nil"/>
              <w:tr2bl w:val="nil"/>
            </w:tcBorders>
            <w:vAlign w:val="center"/>
          </w:tcPr>
          <w:p w14:paraId="45D27DD2" w14:textId="77777777" w:rsidR="0075791A" w:rsidRDefault="00FB2864">
            <w:pPr>
              <w:pStyle w:val="TableParagraph"/>
              <w:spacing w:line="265" w:lineRule="exact"/>
              <w:ind w:left="276" w:right="279"/>
              <w:jc w:val="center"/>
              <w:rPr>
                <w:rFonts w:ascii="宋体" w:eastAsia="宋体" w:hAnsi="宋体" w:cs="宋体"/>
                <w:color w:val="auto"/>
              </w:rPr>
            </w:pPr>
            <w:r>
              <w:rPr>
                <w:rFonts w:ascii="宋体" w:eastAsia="宋体" w:hAnsi="宋体" w:cs="宋体"/>
                <w:color w:val="auto"/>
              </w:rPr>
              <w:t>底</w:t>
            </w:r>
          </w:p>
        </w:tc>
        <w:tc>
          <w:tcPr>
            <w:tcW w:w="1265" w:type="dxa"/>
            <w:tcBorders>
              <w:tl2br w:val="nil"/>
              <w:tr2bl w:val="nil"/>
            </w:tcBorders>
            <w:vAlign w:val="center"/>
          </w:tcPr>
          <w:p w14:paraId="3731B044" w14:textId="77777777" w:rsidR="0075791A" w:rsidRDefault="00FB2864">
            <w:pPr>
              <w:pStyle w:val="TableParagraph"/>
              <w:spacing w:before="39"/>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5</w:t>
            </w:r>
          </w:p>
        </w:tc>
        <w:tc>
          <w:tcPr>
            <w:tcW w:w="1710" w:type="dxa"/>
            <w:vMerge/>
            <w:tcBorders>
              <w:tl2br w:val="nil"/>
              <w:tr2bl w:val="nil"/>
            </w:tcBorders>
            <w:vAlign w:val="center"/>
          </w:tcPr>
          <w:p w14:paraId="0843E56B" w14:textId="77777777" w:rsidR="0075791A" w:rsidRDefault="0075791A">
            <w:pPr>
              <w:rPr>
                <w:color w:val="auto"/>
              </w:rPr>
            </w:pPr>
          </w:p>
        </w:tc>
        <w:tc>
          <w:tcPr>
            <w:tcW w:w="788" w:type="dxa"/>
            <w:vMerge/>
            <w:tcBorders>
              <w:tl2br w:val="nil"/>
              <w:tr2bl w:val="nil"/>
            </w:tcBorders>
            <w:vAlign w:val="center"/>
          </w:tcPr>
          <w:p w14:paraId="2FC4DCA4" w14:textId="77777777" w:rsidR="0075791A" w:rsidRDefault="0075791A">
            <w:pPr>
              <w:rPr>
                <w:color w:val="auto"/>
              </w:rPr>
            </w:pPr>
          </w:p>
        </w:tc>
        <w:tc>
          <w:tcPr>
            <w:tcW w:w="835" w:type="dxa"/>
            <w:tcBorders>
              <w:tl2br w:val="nil"/>
              <w:tr2bl w:val="nil"/>
            </w:tcBorders>
            <w:vAlign w:val="center"/>
          </w:tcPr>
          <w:p w14:paraId="2E513DD8" w14:textId="77777777" w:rsidR="0075791A" w:rsidRDefault="00FB2864">
            <w:pPr>
              <w:pStyle w:val="TableParagraph"/>
              <w:spacing w:before="39"/>
              <w:ind w:left="226"/>
              <w:rPr>
                <w:rFonts w:ascii="Times New Roman" w:eastAsia="Times New Roman" w:hAnsi="Times New Roman" w:cs="Times New Roman"/>
                <w:color w:val="auto"/>
              </w:rPr>
            </w:pPr>
            <w:r>
              <w:rPr>
                <w:rFonts w:ascii="Times New Roman" w:eastAsia="Times New Roman" w:hAnsi="Times New Roman" w:cs="Times New Roman"/>
                <w:color w:val="auto"/>
                <w:spacing w:val="1"/>
              </w:rPr>
              <w:t>10</w:t>
            </w:r>
            <w:r>
              <w:rPr>
                <w:rFonts w:ascii="Times New Roman" w:eastAsia="Times New Roman" w:hAnsi="Times New Roman" w:cs="Times New Roman"/>
                <w:color w:val="auto"/>
              </w:rPr>
              <w:t>m</w:t>
            </w:r>
          </w:p>
        </w:tc>
        <w:tc>
          <w:tcPr>
            <w:tcW w:w="1097" w:type="dxa"/>
            <w:tcBorders>
              <w:tl2br w:val="nil"/>
              <w:tr2bl w:val="nil"/>
            </w:tcBorders>
            <w:vAlign w:val="center"/>
          </w:tcPr>
          <w:p w14:paraId="7DBE5F22" w14:textId="77777777" w:rsidR="0075791A" w:rsidRDefault="00FB2864">
            <w:pPr>
              <w:pStyle w:val="TableParagraph"/>
              <w:spacing w:before="39"/>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2</w:t>
            </w:r>
          </w:p>
        </w:tc>
        <w:tc>
          <w:tcPr>
            <w:tcW w:w="1458" w:type="dxa"/>
            <w:vMerge/>
            <w:tcBorders>
              <w:tl2br w:val="nil"/>
              <w:tr2bl w:val="nil"/>
            </w:tcBorders>
            <w:vAlign w:val="center"/>
          </w:tcPr>
          <w:p w14:paraId="0B548920" w14:textId="77777777" w:rsidR="0075791A" w:rsidRDefault="0075791A">
            <w:pPr>
              <w:rPr>
                <w:color w:val="auto"/>
              </w:rPr>
            </w:pPr>
          </w:p>
        </w:tc>
      </w:tr>
      <w:tr w:rsidR="0075791A" w14:paraId="2A8AF342" w14:textId="77777777">
        <w:trPr>
          <w:trHeight w:val="283"/>
        </w:trPr>
        <w:tc>
          <w:tcPr>
            <w:tcW w:w="872" w:type="dxa"/>
            <w:vMerge w:val="restart"/>
            <w:tcBorders>
              <w:tl2br w:val="nil"/>
              <w:tr2bl w:val="nil"/>
            </w:tcBorders>
            <w:vAlign w:val="center"/>
          </w:tcPr>
          <w:p w14:paraId="0F65A423" w14:textId="77777777" w:rsidR="0075791A" w:rsidRDefault="00FB2864">
            <w:pPr>
              <w:pStyle w:val="TableParagraph"/>
              <w:ind w:left="282" w:right="285"/>
              <w:jc w:val="center"/>
              <w:rPr>
                <w:rFonts w:ascii="Times New Roman" w:eastAsia="Times New Roman" w:hAnsi="Times New Roman" w:cs="Times New Roman"/>
                <w:color w:val="auto"/>
              </w:rPr>
            </w:pPr>
            <w:r>
              <w:rPr>
                <w:rFonts w:ascii="Times New Roman" w:eastAsia="Times New Roman" w:hAnsi="Times New Roman" w:cs="Times New Roman"/>
                <w:color w:val="auto"/>
              </w:rPr>
              <w:t>H5</w:t>
            </w:r>
          </w:p>
        </w:tc>
        <w:tc>
          <w:tcPr>
            <w:tcW w:w="814" w:type="dxa"/>
            <w:tcBorders>
              <w:tl2br w:val="nil"/>
              <w:tr2bl w:val="nil"/>
            </w:tcBorders>
            <w:vAlign w:val="center"/>
          </w:tcPr>
          <w:p w14:paraId="49568D62" w14:textId="77777777" w:rsidR="0075791A" w:rsidRDefault="00FB2864">
            <w:pPr>
              <w:pStyle w:val="TableParagraph"/>
              <w:spacing w:line="264" w:lineRule="exact"/>
              <w:ind w:left="276" w:right="279"/>
              <w:jc w:val="center"/>
              <w:rPr>
                <w:rFonts w:ascii="宋体" w:eastAsia="宋体" w:hAnsi="宋体" w:cs="宋体"/>
                <w:color w:val="auto"/>
              </w:rPr>
            </w:pPr>
            <w:r>
              <w:rPr>
                <w:rFonts w:ascii="宋体" w:eastAsia="宋体" w:hAnsi="宋体" w:cs="宋体"/>
                <w:color w:val="auto"/>
              </w:rPr>
              <w:t>表</w:t>
            </w:r>
          </w:p>
        </w:tc>
        <w:tc>
          <w:tcPr>
            <w:tcW w:w="1265" w:type="dxa"/>
            <w:tcBorders>
              <w:tl2br w:val="nil"/>
              <w:tr2bl w:val="nil"/>
            </w:tcBorders>
            <w:vAlign w:val="center"/>
          </w:tcPr>
          <w:p w14:paraId="187ACB0F" w14:textId="77777777" w:rsidR="0075791A" w:rsidRDefault="00FB2864">
            <w:pPr>
              <w:pStyle w:val="TableParagraph"/>
              <w:spacing w:before="40"/>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3</w:t>
            </w:r>
          </w:p>
        </w:tc>
        <w:tc>
          <w:tcPr>
            <w:tcW w:w="1710" w:type="dxa"/>
            <w:vMerge w:val="restart"/>
            <w:tcBorders>
              <w:tl2br w:val="nil"/>
              <w:tr2bl w:val="nil"/>
            </w:tcBorders>
            <w:vAlign w:val="center"/>
          </w:tcPr>
          <w:p w14:paraId="39CCCBDA" w14:textId="77777777" w:rsidR="0075791A" w:rsidRDefault="00FB2864">
            <w:pPr>
              <w:pStyle w:val="TableParagraph"/>
              <w:ind w:left="509"/>
              <w:rPr>
                <w:rFonts w:ascii="Times New Roman" w:eastAsia="Times New Roman" w:hAnsi="Times New Roman" w:cs="Times New Roman"/>
                <w:color w:val="auto"/>
              </w:rPr>
            </w:pPr>
            <w:r>
              <w:rPr>
                <w:rFonts w:ascii="Times New Roman" w:eastAsia="Times New Roman" w:hAnsi="Times New Roman" w:cs="Times New Roman"/>
                <w:color w:val="auto"/>
                <w:spacing w:val="1"/>
              </w:rPr>
              <w:t>15</w:t>
            </w:r>
            <w:r>
              <w:rPr>
                <w:rFonts w:ascii="Times New Roman" w:eastAsia="Times New Roman" w:hAnsi="Times New Roman" w:cs="Times New Roman"/>
                <w:color w:val="auto"/>
                <w:spacing w:val="-2"/>
              </w:rPr>
              <w:t>3</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8</w:t>
            </w:r>
          </w:p>
        </w:tc>
        <w:tc>
          <w:tcPr>
            <w:tcW w:w="788" w:type="dxa"/>
            <w:vMerge/>
            <w:tcBorders>
              <w:tl2br w:val="nil"/>
              <w:tr2bl w:val="nil"/>
            </w:tcBorders>
            <w:vAlign w:val="center"/>
          </w:tcPr>
          <w:p w14:paraId="00B53607" w14:textId="77777777" w:rsidR="0075791A" w:rsidRDefault="0075791A">
            <w:pPr>
              <w:rPr>
                <w:color w:val="auto"/>
              </w:rPr>
            </w:pPr>
          </w:p>
        </w:tc>
        <w:tc>
          <w:tcPr>
            <w:tcW w:w="835" w:type="dxa"/>
            <w:tcBorders>
              <w:tl2br w:val="nil"/>
              <w:tr2bl w:val="nil"/>
            </w:tcBorders>
            <w:vAlign w:val="center"/>
          </w:tcPr>
          <w:p w14:paraId="42E65720" w14:textId="77777777" w:rsidR="0075791A" w:rsidRDefault="00FB2864">
            <w:pPr>
              <w:pStyle w:val="TableParagraph"/>
              <w:spacing w:line="264" w:lineRule="exact"/>
              <w:ind w:left="288" w:right="288"/>
              <w:jc w:val="center"/>
              <w:rPr>
                <w:rFonts w:ascii="宋体" w:eastAsia="宋体" w:hAnsi="宋体" w:cs="宋体"/>
                <w:color w:val="auto"/>
              </w:rPr>
            </w:pPr>
            <w:r>
              <w:rPr>
                <w:rFonts w:ascii="宋体" w:eastAsia="宋体" w:hAnsi="宋体" w:cs="宋体"/>
                <w:color w:val="auto"/>
              </w:rPr>
              <w:t>底</w:t>
            </w:r>
          </w:p>
        </w:tc>
        <w:tc>
          <w:tcPr>
            <w:tcW w:w="1097" w:type="dxa"/>
            <w:tcBorders>
              <w:tl2br w:val="nil"/>
              <w:tr2bl w:val="nil"/>
            </w:tcBorders>
            <w:vAlign w:val="center"/>
          </w:tcPr>
          <w:p w14:paraId="19A94364" w14:textId="77777777" w:rsidR="0075791A" w:rsidRDefault="00FB2864">
            <w:pPr>
              <w:pStyle w:val="TableParagraph"/>
              <w:spacing w:before="40"/>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8</w:t>
            </w:r>
          </w:p>
        </w:tc>
        <w:tc>
          <w:tcPr>
            <w:tcW w:w="1458" w:type="dxa"/>
            <w:vMerge/>
            <w:tcBorders>
              <w:tl2br w:val="nil"/>
              <w:tr2bl w:val="nil"/>
            </w:tcBorders>
            <w:vAlign w:val="center"/>
          </w:tcPr>
          <w:p w14:paraId="0D8B0D53" w14:textId="77777777" w:rsidR="0075791A" w:rsidRDefault="0075791A">
            <w:pPr>
              <w:rPr>
                <w:color w:val="auto"/>
              </w:rPr>
            </w:pPr>
          </w:p>
        </w:tc>
      </w:tr>
      <w:tr w:rsidR="0075791A" w14:paraId="0782B63C" w14:textId="77777777">
        <w:trPr>
          <w:trHeight w:val="283"/>
        </w:trPr>
        <w:tc>
          <w:tcPr>
            <w:tcW w:w="872" w:type="dxa"/>
            <w:vMerge/>
            <w:tcBorders>
              <w:tl2br w:val="nil"/>
              <w:tr2bl w:val="nil"/>
            </w:tcBorders>
            <w:vAlign w:val="center"/>
          </w:tcPr>
          <w:p w14:paraId="2FA2F71B" w14:textId="77777777" w:rsidR="0075791A" w:rsidRDefault="0075791A">
            <w:pPr>
              <w:rPr>
                <w:color w:val="auto"/>
              </w:rPr>
            </w:pPr>
          </w:p>
        </w:tc>
        <w:tc>
          <w:tcPr>
            <w:tcW w:w="814" w:type="dxa"/>
            <w:tcBorders>
              <w:tl2br w:val="nil"/>
              <w:tr2bl w:val="nil"/>
            </w:tcBorders>
            <w:vAlign w:val="center"/>
          </w:tcPr>
          <w:p w14:paraId="19EE8F44" w14:textId="77777777" w:rsidR="0075791A" w:rsidRDefault="00FB2864">
            <w:pPr>
              <w:pStyle w:val="TableParagraph"/>
              <w:spacing w:before="39"/>
              <w:ind w:left="214"/>
              <w:rPr>
                <w:rFonts w:ascii="Times New Roman" w:eastAsia="Times New Roman" w:hAnsi="Times New Roman" w:cs="Times New Roman"/>
                <w:color w:val="auto"/>
              </w:rPr>
            </w:pPr>
            <w:r>
              <w:rPr>
                <w:rFonts w:ascii="Times New Roman" w:eastAsia="Times New Roman" w:hAnsi="Times New Roman" w:cs="Times New Roman"/>
                <w:color w:val="auto"/>
                <w:spacing w:val="1"/>
              </w:rPr>
              <w:t>10</w:t>
            </w:r>
            <w:r>
              <w:rPr>
                <w:rFonts w:ascii="Times New Roman" w:eastAsia="Times New Roman" w:hAnsi="Times New Roman" w:cs="Times New Roman"/>
                <w:color w:val="auto"/>
              </w:rPr>
              <w:t>m</w:t>
            </w:r>
          </w:p>
        </w:tc>
        <w:tc>
          <w:tcPr>
            <w:tcW w:w="1265" w:type="dxa"/>
            <w:tcBorders>
              <w:tl2br w:val="nil"/>
              <w:tr2bl w:val="nil"/>
            </w:tcBorders>
            <w:vAlign w:val="center"/>
          </w:tcPr>
          <w:p w14:paraId="6FFAEFFA" w14:textId="77777777" w:rsidR="0075791A" w:rsidRDefault="00FB2864">
            <w:pPr>
              <w:pStyle w:val="TableParagraph"/>
              <w:spacing w:before="39"/>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2</w:t>
            </w:r>
          </w:p>
        </w:tc>
        <w:tc>
          <w:tcPr>
            <w:tcW w:w="1710" w:type="dxa"/>
            <w:vMerge/>
            <w:tcBorders>
              <w:tl2br w:val="nil"/>
              <w:tr2bl w:val="nil"/>
            </w:tcBorders>
            <w:vAlign w:val="center"/>
          </w:tcPr>
          <w:p w14:paraId="08D54694" w14:textId="77777777" w:rsidR="0075791A" w:rsidRDefault="0075791A">
            <w:pPr>
              <w:rPr>
                <w:color w:val="auto"/>
              </w:rPr>
            </w:pPr>
          </w:p>
        </w:tc>
        <w:tc>
          <w:tcPr>
            <w:tcW w:w="788" w:type="dxa"/>
            <w:vMerge w:val="restart"/>
            <w:tcBorders>
              <w:tl2br w:val="nil"/>
              <w:tr2bl w:val="nil"/>
            </w:tcBorders>
            <w:vAlign w:val="center"/>
          </w:tcPr>
          <w:p w14:paraId="79015FDF" w14:textId="77777777" w:rsidR="0075791A" w:rsidRDefault="00FB2864">
            <w:pPr>
              <w:pStyle w:val="TableParagraph"/>
              <w:ind w:left="208"/>
              <w:rPr>
                <w:rFonts w:ascii="Times New Roman" w:eastAsia="Times New Roman" w:hAnsi="Times New Roman" w:cs="Times New Roman"/>
                <w:color w:val="auto"/>
              </w:rPr>
            </w:pPr>
            <w:r>
              <w:rPr>
                <w:rFonts w:ascii="Times New Roman" w:eastAsia="Times New Roman" w:hAnsi="Times New Roman" w:cs="Times New Roman"/>
                <w:color w:val="auto"/>
              </w:rPr>
              <w:t>H</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2</w:t>
            </w:r>
          </w:p>
        </w:tc>
        <w:tc>
          <w:tcPr>
            <w:tcW w:w="835" w:type="dxa"/>
            <w:tcBorders>
              <w:tl2br w:val="nil"/>
              <w:tr2bl w:val="nil"/>
            </w:tcBorders>
            <w:vAlign w:val="center"/>
          </w:tcPr>
          <w:p w14:paraId="44C7F27C" w14:textId="77777777" w:rsidR="0075791A" w:rsidRDefault="00FB2864">
            <w:pPr>
              <w:pStyle w:val="TableParagraph"/>
              <w:spacing w:line="265" w:lineRule="exact"/>
              <w:ind w:left="288" w:right="288"/>
              <w:jc w:val="center"/>
              <w:rPr>
                <w:rFonts w:ascii="宋体" w:eastAsia="宋体" w:hAnsi="宋体" w:cs="宋体"/>
                <w:color w:val="auto"/>
              </w:rPr>
            </w:pPr>
            <w:r>
              <w:rPr>
                <w:rFonts w:ascii="宋体" w:eastAsia="宋体" w:hAnsi="宋体" w:cs="宋体"/>
                <w:color w:val="auto"/>
              </w:rPr>
              <w:t>表</w:t>
            </w:r>
          </w:p>
        </w:tc>
        <w:tc>
          <w:tcPr>
            <w:tcW w:w="1097" w:type="dxa"/>
            <w:tcBorders>
              <w:tl2br w:val="nil"/>
              <w:tr2bl w:val="nil"/>
            </w:tcBorders>
            <w:vAlign w:val="center"/>
          </w:tcPr>
          <w:p w14:paraId="45AE5E48" w14:textId="77777777" w:rsidR="0075791A" w:rsidRDefault="00FB2864">
            <w:pPr>
              <w:pStyle w:val="TableParagraph"/>
              <w:spacing w:before="39"/>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2</w:t>
            </w:r>
          </w:p>
        </w:tc>
        <w:tc>
          <w:tcPr>
            <w:tcW w:w="1458" w:type="dxa"/>
            <w:vMerge w:val="restart"/>
            <w:tcBorders>
              <w:tl2br w:val="nil"/>
              <w:tr2bl w:val="nil"/>
            </w:tcBorders>
            <w:vAlign w:val="center"/>
          </w:tcPr>
          <w:p w14:paraId="4D63C4D3" w14:textId="77777777" w:rsidR="0075791A" w:rsidRDefault="00FB2864">
            <w:pPr>
              <w:pStyle w:val="TableParagraph"/>
              <w:ind w:left="435"/>
              <w:rPr>
                <w:rFonts w:ascii="Times New Roman" w:eastAsia="Times New Roman" w:hAnsi="Times New Roman" w:cs="Times New Roman"/>
                <w:color w:val="auto"/>
              </w:rPr>
            </w:pPr>
            <w:r>
              <w:rPr>
                <w:rFonts w:ascii="Times New Roman" w:eastAsia="Times New Roman" w:hAnsi="Times New Roman" w:cs="Times New Roman"/>
                <w:color w:val="auto"/>
                <w:spacing w:val="1"/>
              </w:rPr>
              <w:t>277</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7</w:t>
            </w:r>
            <w:r>
              <w:rPr>
                <w:rFonts w:ascii="Times New Roman" w:eastAsia="Times New Roman" w:hAnsi="Times New Roman" w:cs="Times New Roman"/>
                <w:color w:val="auto"/>
              </w:rPr>
              <w:t>4</w:t>
            </w:r>
          </w:p>
        </w:tc>
      </w:tr>
      <w:tr w:rsidR="0075791A" w14:paraId="7ADF3400" w14:textId="77777777">
        <w:trPr>
          <w:trHeight w:val="283"/>
        </w:trPr>
        <w:tc>
          <w:tcPr>
            <w:tcW w:w="872" w:type="dxa"/>
            <w:vMerge/>
            <w:tcBorders>
              <w:tl2br w:val="nil"/>
              <w:tr2bl w:val="nil"/>
            </w:tcBorders>
            <w:vAlign w:val="center"/>
          </w:tcPr>
          <w:p w14:paraId="3C95DEA2" w14:textId="77777777" w:rsidR="0075791A" w:rsidRDefault="0075791A">
            <w:pPr>
              <w:rPr>
                <w:color w:val="auto"/>
              </w:rPr>
            </w:pPr>
          </w:p>
        </w:tc>
        <w:tc>
          <w:tcPr>
            <w:tcW w:w="814" w:type="dxa"/>
            <w:tcBorders>
              <w:tl2br w:val="nil"/>
              <w:tr2bl w:val="nil"/>
            </w:tcBorders>
            <w:vAlign w:val="center"/>
          </w:tcPr>
          <w:p w14:paraId="5C8AC797" w14:textId="77777777" w:rsidR="0075791A" w:rsidRDefault="00FB2864">
            <w:pPr>
              <w:pStyle w:val="TableParagraph"/>
              <w:spacing w:line="264" w:lineRule="exact"/>
              <w:ind w:left="276" w:right="279"/>
              <w:jc w:val="center"/>
              <w:rPr>
                <w:rFonts w:ascii="宋体" w:eastAsia="宋体" w:hAnsi="宋体" w:cs="宋体"/>
                <w:color w:val="auto"/>
              </w:rPr>
            </w:pPr>
            <w:r>
              <w:rPr>
                <w:rFonts w:ascii="宋体" w:eastAsia="宋体" w:hAnsi="宋体" w:cs="宋体"/>
                <w:color w:val="auto"/>
              </w:rPr>
              <w:t>底</w:t>
            </w:r>
          </w:p>
        </w:tc>
        <w:tc>
          <w:tcPr>
            <w:tcW w:w="1265" w:type="dxa"/>
            <w:tcBorders>
              <w:tl2br w:val="nil"/>
              <w:tr2bl w:val="nil"/>
            </w:tcBorders>
            <w:vAlign w:val="center"/>
          </w:tcPr>
          <w:p w14:paraId="5317C46B" w14:textId="77777777" w:rsidR="0075791A" w:rsidRDefault="00FB2864">
            <w:pPr>
              <w:pStyle w:val="TableParagraph"/>
              <w:spacing w:before="40"/>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3</w:t>
            </w:r>
          </w:p>
        </w:tc>
        <w:tc>
          <w:tcPr>
            <w:tcW w:w="1710" w:type="dxa"/>
            <w:vMerge/>
            <w:tcBorders>
              <w:tl2br w:val="nil"/>
              <w:tr2bl w:val="nil"/>
            </w:tcBorders>
            <w:vAlign w:val="center"/>
          </w:tcPr>
          <w:p w14:paraId="51D73189" w14:textId="77777777" w:rsidR="0075791A" w:rsidRDefault="0075791A">
            <w:pPr>
              <w:rPr>
                <w:color w:val="auto"/>
              </w:rPr>
            </w:pPr>
          </w:p>
        </w:tc>
        <w:tc>
          <w:tcPr>
            <w:tcW w:w="788" w:type="dxa"/>
            <w:vMerge/>
            <w:tcBorders>
              <w:tl2br w:val="nil"/>
              <w:tr2bl w:val="nil"/>
            </w:tcBorders>
            <w:vAlign w:val="center"/>
          </w:tcPr>
          <w:p w14:paraId="4794277D" w14:textId="77777777" w:rsidR="0075791A" w:rsidRDefault="0075791A">
            <w:pPr>
              <w:rPr>
                <w:color w:val="auto"/>
              </w:rPr>
            </w:pPr>
          </w:p>
        </w:tc>
        <w:tc>
          <w:tcPr>
            <w:tcW w:w="835" w:type="dxa"/>
            <w:tcBorders>
              <w:tl2br w:val="nil"/>
              <w:tr2bl w:val="nil"/>
            </w:tcBorders>
            <w:vAlign w:val="center"/>
          </w:tcPr>
          <w:p w14:paraId="19BBD4A2" w14:textId="77777777" w:rsidR="0075791A" w:rsidRDefault="00FB2864">
            <w:pPr>
              <w:pStyle w:val="TableParagraph"/>
              <w:spacing w:before="40"/>
              <w:ind w:left="226"/>
              <w:rPr>
                <w:rFonts w:ascii="Times New Roman" w:eastAsia="Times New Roman" w:hAnsi="Times New Roman" w:cs="Times New Roman"/>
                <w:color w:val="auto"/>
              </w:rPr>
            </w:pPr>
            <w:r>
              <w:rPr>
                <w:rFonts w:ascii="Times New Roman" w:eastAsia="Times New Roman" w:hAnsi="Times New Roman" w:cs="Times New Roman"/>
                <w:color w:val="auto"/>
                <w:spacing w:val="1"/>
              </w:rPr>
              <w:t>10</w:t>
            </w:r>
            <w:r>
              <w:rPr>
                <w:rFonts w:ascii="Times New Roman" w:eastAsia="Times New Roman" w:hAnsi="Times New Roman" w:cs="Times New Roman"/>
                <w:color w:val="auto"/>
              </w:rPr>
              <w:t>m</w:t>
            </w:r>
          </w:p>
        </w:tc>
        <w:tc>
          <w:tcPr>
            <w:tcW w:w="1097" w:type="dxa"/>
            <w:tcBorders>
              <w:tl2br w:val="nil"/>
              <w:tr2bl w:val="nil"/>
            </w:tcBorders>
            <w:vAlign w:val="center"/>
          </w:tcPr>
          <w:p w14:paraId="55D905BF" w14:textId="77777777" w:rsidR="0075791A" w:rsidRDefault="00FB2864">
            <w:pPr>
              <w:pStyle w:val="TableParagraph"/>
              <w:spacing w:before="40"/>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2</w:t>
            </w:r>
          </w:p>
        </w:tc>
        <w:tc>
          <w:tcPr>
            <w:tcW w:w="1458" w:type="dxa"/>
            <w:vMerge/>
            <w:tcBorders>
              <w:tl2br w:val="nil"/>
              <w:tr2bl w:val="nil"/>
            </w:tcBorders>
            <w:vAlign w:val="center"/>
          </w:tcPr>
          <w:p w14:paraId="01BE4163" w14:textId="77777777" w:rsidR="0075791A" w:rsidRDefault="0075791A">
            <w:pPr>
              <w:rPr>
                <w:color w:val="auto"/>
              </w:rPr>
            </w:pPr>
          </w:p>
        </w:tc>
      </w:tr>
      <w:tr w:rsidR="0075791A" w14:paraId="1CFF6D0F" w14:textId="77777777">
        <w:trPr>
          <w:trHeight w:val="283"/>
        </w:trPr>
        <w:tc>
          <w:tcPr>
            <w:tcW w:w="872" w:type="dxa"/>
            <w:vMerge w:val="restart"/>
            <w:tcBorders>
              <w:tl2br w:val="nil"/>
              <w:tr2bl w:val="nil"/>
            </w:tcBorders>
            <w:vAlign w:val="center"/>
          </w:tcPr>
          <w:p w14:paraId="5FDAD751" w14:textId="77777777" w:rsidR="0075791A" w:rsidRDefault="00FB2864">
            <w:pPr>
              <w:pStyle w:val="TableParagraph"/>
              <w:ind w:left="282" w:right="285"/>
              <w:jc w:val="center"/>
              <w:rPr>
                <w:rFonts w:ascii="Times New Roman" w:eastAsia="Times New Roman" w:hAnsi="Times New Roman" w:cs="Times New Roman"/>
                <w:color w:val="auto"/>
              </w:rPr>
            </w:pPr>
            <w:r>
              <w:rPr>
                <w:rFonts w:ascii="Times New Roman" w:eastAsia="Times New Roman" w:hAnsi="Times New Roman" w:cs="Times New Roman"/>
                <w:color w:val="auto"/>
              </w:rPr>
              <w:t>H6</w:t>
            </w:r>
          </w:p>
        </w:tc>
        <w:tc>
          <w:tcPr>
            <w:tcW w:w="814" w:type="dxa"/>
            <w:tcBorders>
              <w:tl2br w:val="nil"/>
              <w:tr2bl w:val="nil"/>
            </w:tcBorders>
            <w:vAlign w:val="center"/>
          </w:tcPr>
          <w:p w14:paraId="69831DCF" w14:textId="77777777" w:rsidR="0075791A" w:rsidRDefault="00FB2864">
            <w:pPr>
              <w:pStyle w:val="TableParagraph"/>
              <w:spacing w:line="265" w:lineRule="exact"/>
              <w:ind w:left="276" w:right="279"/>
              <w:jc w:val="center"/>
              <w:rPr>
                <w:rFonts w:ascii="宋体" w:eastAsia="宋体" w:hAnsi="宋体" w:cs="宋体"/>
                <w:color w:val="auto"/>
              </w:rPr>
            </w:pPr>
            <w:r>
              <w:rPr>
                <w:rFonts w:ascii="宋体" w:eastAsia="宋体" w:hAnsi="宋体" w:cs="宋体"/>
                <w:color w:val="auto"/>
              </w:rPr>
              <w:t>表</w:t>
            </w:r>
          </w:p>
        </w:tc>
        <w:tc>
          <w:tcPr>
            <w:tcW w:w="1265" w:type="dxa"/>
            <w:tcBorders>
              <w:tl2br w:val="nil"/>
              <w:tr2bl w:val="nil"/>
            </w:tcBorders>
            <w:vAlign w:val="center"/>
          </w:tcPr>
          <w:p w14:paraId="661B70CE" w14:textId="77777777" w:rsidR="0075791A" w:rsidRDefault="00FB2864">
            <w:pPr>
              <w:pStyle w:val="TableParagraph"/>
              <w:spacing w:before="39"/>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5</w:t>
            </w:r>
          </w:p>
        </w:tc>
        <w:tc>
          <w:tcPr>
            <w:tcW w:w="1710" w:type="dxa"/>
            <w:vMerge w:val="restart"/>
            <w:tcBorders>
              <w:tl2br w:val="nil"/>
              <w:tr2bl w:val="nil"/>
            </w:tcBorders>
            <w:vAlign w:val="center"/>
          </w:tcPr>
          <w:p w14:paraId="45C36A2C" w14:textId="77777777" w:rsidR="0075791A" w:rsidRDefault="00FB2864">
            <w:pPr>
              <w:pStyle w:val="TableParagraph"/>
              <w:ind w:left="562"/>
              <w:rPr>
                <w:rFonts w:ascii="Times New Roman" w:eastAsia="Times New Roman" w:hAnsi="Times New Roman" w:cs="Times New Roman"/>
                <w:color w:val="auto"/>
              </w:rPr>
            </w:pPr>
            <w:r>
              <w:rPr>
                <w:rFonts w:ascii="Times New Roman" w:eastAsia="Times New Roman" w:hAnsi="Times New Roman" w:cs="Times New Roman"/>
                <w:color w:val="auto"/>
                <w:spacing w:val="1"/>
              </w:rPr>
              <w:t>23</w:t>
            </w:r>
            <w:r>
              <w:rPr>
                <w:rFonts w:ascii="Times New Roman" w:eastAsia="Times New Roman" w:hAnsi="Times New Roman" w:cs="Times New Roman"/>
                <w:color w:val="auto"/>
                <w:spacing w:val="-2"/>
              </w:rPr>
              <w:t>9</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2</w:t>
            </w:r>
          </w:p>
        </w:tc>
        <w:tc>
          <w:tcPr>
            <w:tcW w:w="788" w:type="dxa"/>
            <w:vMerge/>
            <w:tcBorders>
              <w:tl2br w:val="nil"/>
              <w:tr2bl w:val="nil"/>
            </w:tcBorders>
            <w:vAlign w:val="center"/>
          </w:tcPr>
          <w:p w14:paraId="74CD03EE" w14:textId="77777777" w:rsidR="0075791A" w:rsidRDefault="0075791A">
            <w:pPr>
              <w:rPr>
                <w:color w:val="auto"/>
              </w:rPr>
            </w:pPr>
          </w:p>
        </w:tc>
        <w:tc>
          <w:tcPr>
            <w:tcW w:w="835" w:type="dxa"/>
            <w:tcBorders>
              <w:tl2br w:val="nil"/>
              <w:tr2bl w:val="nil"/>
            </w:tcBorders>
            <w:vAlign w:val="center"/>
          </w:tcPr>
          <w:p w14:paraId="781CBB84" w14:textId="77777777" w:rsidR="0075791A" w:rsidRDefault="00FB2864">
            <w:pPr>
              <w:pStyle w:val="TableParagraph"/>
              <w:spacing w:line="265" w:lineRule="exact"/>
              <w:ind w:left="288" w:right="288"/>
              <w:jc w:val="center"/>
              <w:rPr>
                <w:rFonts w:ascii="宋体" w:eastAsia="宋体" w:hAnsi="宋体" w:cs="宋体"/>
                <w:color w:val="auto"/>
              </w:rPr>
            </w:pPr>
            <w:r>
              <w:rPr>
                <w:rFonts w:ascii="宋体" w:eastAsia="宋体" w:hAnsi="宋体" w:cs="宋体"/>
                <w:color w:val="auto"/>
              </w:rPr>
              <w:t>底</w:t>
            </w:r>
          </w:p>
        </w:tc>
        <w:tc>
          <w:tcPr>
            <w:tcW w:w="1097" w:type="dxa"/>
            <w:tcBorders>
              <w:tl2br w:val="nil"/>
              <w:tr2bl w:val="nil"/>
            </w:tcBorders>
            <w:vAlign w:val="center"/>
          </w:tcPr>
          <w:p w14:paraId="0152B31D" w14:textId="77777777" w:rsidR="0075791A" w:rsidRDefault="00FB2864">
            <w:pPr>
              <w:pStyle w:val="TableParagraph"/>
              <w:spacing w:before="39"/>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2</w:t>
            </w:r>
          </w:p>
        </w:tc>
        <w:tc>
          <w:tcPr>
            <w:tcW w:w="1458" w:type="dxa"/>
            <w:vMerge/>
            <w:tcBorders>
              <w:tl2br w:val="nil"/>
              <w:tr2bl w:val="nil"/>
            </w:tcBorders>
            <w:vAlign w:val="center"/>
          </w:tcPr>
          <w:p w14:paraId="5CAE1243" w14:textId="77777777" w:rsidR="0075791A" w:rsidRDefault="0075791A">
            <w:pPr>
              <w:rPr>
                <w:color w:val="auto"/>
              </w:rPr>
            </w:pPr>
          </w:p>
        </w:tc>
      </w:tr>
      <w:tr w:rsidR="0075791A" w14:paraId="12668CD1" w14:textId="77777777">
        <w:trPr>
          <w:trHeight w:val="283"/>
        </w:trPr>
        <w:tc>
          <w:tcPr>
            <w:tcW w:w="872" w:type="dxa"/>
            <w:vMerge/>
            <w:tcBorders>
              <w:tl2br w:val="nil"/>
              <w:tr2bl w:val="nil"/>
            </w:tcBorders>
            <w:vAlign w:val="center"/>
          </w:tcPr>
          <w:p w14:paraId="0E0799CA" w14:textId="77777777" w:rsidR="0075791A" w:rsidRDefault="0075791A">
            <w:pPr>
              <w:rPr>
                <w:color w:val="auto"/>
              </w:rPr>
            </w:pPr>
          </w:p>
        </w:tc>
        <w:tc>
          <w:tcPr>
            <w:tcW w:w="814" w:type="dxa"/>
            <w:tcBorders>
              <w:tl2br w:val="nil"/>
              <w:tr2bl w:val="nil"/>
            </w:tcBorders>
            <w:vAlign w:val="center"/>
          </w:tcPr>
          <w:p w14:paraId="54A39CD8" w14:textId="77777777" w:rsidR="0075791A" w:rsidRDefault="00FB2864">
            <w:pPr>
              <w:pStyle w:val="TableParagraph"/>
              <w:spacing w:before="40"/>
              <w:ind w:left="214"/>
              <w:rPr>
                <w:rFonts w:ascii="Times New Roman" w:eastAsia="Times New Roman" w:hAnsi="Times New Roman" w:cs="Times New Roman"/>
                <w:color w:val="auto"/>
              </w:rPr>
            </w:pPr>
            <w:r>
              <w:rPr>
                <w:rFonts w:ascii="Times New Roman" w:eastAsia="Times New Roman" w:hAnsi="Times New Roman" w:cs="Times New Roman"/>
                <w:color w:val="auto"/>
                <w:spacing w:val="1"/>
              </w:rPr>
              <w:t>10</w:t>
            </w:r>
            <w:r>
              <w:rPr>
                <w:rFonts w:ascii="Times New Roman" w:eastAsia="Times New Roman" w:hAnsi="Times New Roman" w:cs="Times New Roman"/>
                <w:color w:val="auto"/>
              </w:rPr>
              <w:t>m</w:t>
            </w:r>
          </w:p>
        </w:tc>
        <w:tc>
          <w:tcPr>
            <w:tcW w:w="1265" w:type="dxa"/>
            <w:tcBorders>
              <w:tl2br w:val="nil"/>
              <w:tr2bl w:val="nil"/>
            </w:tcBorders>
            <w:vAlign w:val="center"/>
          </w:tcPr>
          <w:p w14:paraId="23C4E8BB" w14:textId="77777777" w:rsidR="0075791A" w:rsidRDefault="00FB2864">
            <w:pPr>
              <w:pStyle w:val="TableParagraph"/>
              <w:spacing w:before="40"/>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9</w:t>
            </w:r>
          </w:p>
        </w:tc>
        <w:tc>
          <w:tcPr>
            <w:tcW w:w="1710" w:type="dxa"/>
            <w:vMerge/>
            <w:tcBorders>
              <w:tl2br w:val="nil"/>
              <w:tr2bl w:val="nil"/>
            </w:tcBorders>
            <w:vAlign w:val="center"/>
          </w:tcPr>
          <w:p w14:paraId="542114BD" w14:textId="77777777" w:rsidR="0075791A" w:rsidRDefault="0075791A">
            <w:pPr>
              <w:rPr>
                <w:color w:val="auto"/>
              </w:rPr>
            </w:pPr>
          </w:p>
        </w:tc>
        <w:tc>
          <w:tcPr>
            <w:tcW w:w="788" w:type="dxa"/>
            <w:vMerge w:val="restart"/>
            <w:tcBorders>
              <w:tl2br w:val="nil"/>
              <w:tr2bl w:val="nil"/>
            </w:tcBorders>
            <w:vAlign w:val="center"/>
          </w:tcPr>
          <w:p w14:paraId="14258974" w14:textId="77777777" w:rsidR="0075791A" w:rsidRDefault="00FB2864">
            <w:pPr>
              <w:pStyle w:val="TableParagraph"/>
              <w:ind w:left="208"/>
              <w:rPr>
                <w:rFonts w:ascii="Times New Roman" w:eastAsia="Times New Roman" w:hAnsi="Times New Roman" w:cs="Times New Roman"/>
                <w:color w:val="auto"/>
              </w:rPr>
            </w:pPr>
            <w:r>
              <w:rPr>
                <w:rFonts w:ascii="Times New Roman" w:eastAsia="Times New Roman" w:hAnsi="Times New Roman" w:cs="Times New Roman"/>
                <w:color w:val="auto"/>
              </w:rPr>
              <w:t>H</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3</w:t>
            </w:r>
          </w:p>
        </w:tc>
        <w:tc>
          <w:tcPr>
            <w:tcW w:w="835" w:type="dxa"/>
            <w:tcBorders>
              <w:tl2br w:val="nil"/>
              <w:tr2bl w:val="nil"/>
            </w:tcBorders>
            <w:vAlign w:val="center"/>
          </w:tcPr>
          <w:p w14:paraId="7F16E51A" w14:textId="77777777" w:rsidR="0075791A" w:rsidRDefault="00FB2864">
            <w:pPr>
              <w:pStyle w:val="TableParagraph"/>
              <w:spacing w:line="264" w:lineRule="exact"/>
              <w:ind w:left="288" w:right="288"/>
              <w:jc w:val="center"/>
              <w:rPr>
                <w:rFonts w:ascii="宋体" w:eastAsia="宋体" w:hAnsi="宋体" w:cs="宋体"/>
                <w:color w:val="auto"/>
              </w:rPr>
            </w:pPr>
            <w:r>
              <w:rPr>
                <w:rFonts w:ascii="宋体" w:eastAsia="宋体" w:hAnsi="宋体" w:cs="宋体"/>
                <w:color w:val="auto"/>
              </w:rPr>
              <w:t>表</w:t>
            </w:r>
          </w:p>
        </w:tc>
        <w:tc>
          <w:tcPr>
            <w:tcW w:w="1097" w:type="dxa"/>
            <w:tcBorders>
              <w:tl2br w:val="nil"/>
              <w:tr2bl w:val="nil"/>
            </w:tcBorders>
            <w:vAlign w:val="center"/>
          </w:tcPr>
          <w:p w14:paraId="2C601EF7" w14:textId="77777777" w:rsidR="0075791A" w:rsidRDefault="00FB2864">
            <w:pPr>
              <w:pStyle w:val="TableParagraph"/>
              <w:spacing w:before="40"/>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1</w:t>
            </w:r>
          </w:p>
        </w:tc>
        <w:tc>
          <w:tcPr>
            <w:tcW w:w="1458" w:type="dxa"/>
            <w:vMerge w:val="restart"/>
            <w:tcBorders>
              <w:tl2br w:val="nil"/>
              <w:tr2bl w:val="nil"/>
            </w:tcBorders>
            <w:vAlign w:val="center"/>
          </w:tcPr>
          <w:p w14:paraId="7E90C1C5" w14:textId="77777777" w:rsidR="0075791A" w:rsidRDefault="00FB2864">
            <w:pPr>
              <w:pStyle w:val="TableParagraph"/>
              <w:ind w:left="435"/>
              <w:rPr>
                <w:rFonts w:ascii="Times New Roman" w:eastAsia="Times New Roman" w:hAnsi="Times New Roman" w:cs="Times New Roman"/>
                <w:color w:val="auto"/>
              </w:rPr>
            </w:pPr>
            <w:r>
              <w:rPr>
                <w:rFonts w:ascii="Times New Roman" w:eastAsia="Times New Roman" w:hAnsi="Times New Roman" w:cs="Times New Roman"/>
                <w:color w:val="auto"/>
                <w:spacing w:val="1"/>
              </w:rPr>
              <w:t>943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4</w:t>
            </w:r>
            <w:r>
              <w:rPr>
                <w:rFonts w:ascii="Times New Roman" w:eastAsia="Times New Roman" w:hAnsi="Times New Roman" w:cs="Times New Roman"/>
                <w:color w:val="auto"/>
              </w:rPr>
              <w:t>1</w:t>
            </w:r>
          </w:p>
        </w:tc>
      </w:tr>
      <w:tr w:rsidR="0075791A" w14:paraId="02E2C786" w14:textId="77777777">
        <w:trPr>
          <w:trHeight w:val="283"/>
        </w:trPr>
        <w:tc>
          <w:tcPr>
            <w:tcW w:w="872" w:type="dxa"/>
            <w:vMerge/>
            <w:tcBorders>
              <w:tl2br w:val="nil"/>
              <w:tr2bl w:val="nil"/>
            </w:tcBorders>
            <w:vAlign w:val="center"/>
          </w:tcPr>
          <w:p w14:paraId="0334F749" w14:textId="77777777" w:rsidR="0075791A" w:rsidRDefault="0075791A">
            <w:pPr>
              <w:rPr>
                <w:color w:val="auto"/>
              </w:rPr>
            </w:pPr>
          </w:p>
        </w:tc>
        <w:tc>
          <w:tcPr>
            <w:tcW w:w="814" w:type="dxa"/>
            <w:tcBorders>
              <w:tl2br w:val="nil"/>
              <w:tr2bl w:val="nil"/>
            </w:tcBorders>
            <w:vAlign w:val="center"/>
          </w:tcPr>
          <w:p w14:paraId="21FF5854" w14:textId="77777777" w:rsidR="0075791A" w:rsidRDefault="00FB2864">
            <w:pPr>
              <w:pStyle w:val="TableParagraph"/>
              <w:spacing w:line="265" w:lineRule="exact"/>
              <w:ind w:left="276" w:right="279"/>
              <w:jc w:val="center"/>
              <w:rPr>
                <w:rFonts w:ascii="宋体" w:eastAsia="宋体" w:hAnsi="宋体" w:cs="宋体"/>
                <w:color w:val="auto"/>
              </w:rPr>
            </w:pPr>
            <w:r>
              <w:rPr>
                <w:rFonts w:ascii="宋体" w:eastAsia="宋体" w:hAnsi="宋体" w:cs="宋体"/>
                <w:color w:val="auto"/>
              </w:rPr>
              <w:t>底</w:t>
            </w:r>
          </w:p>
        </w:tc>
        <w:tc>
          <w:tcPr>
            <w:tcW w:w="1265" w:type="dxa"/>
            <w:tcBorders>
              <w:tl2br w:val="nil"/>
              <w:tr2bl w:val="nil"/>
            </w:tcBorders>
            <w:vAlign w:val="center"/>
          </w:tcPr>
          <w:p w14:paraId="5BEC59D2" w14:textId="77777777" w:rsidR="0075791A" w:rsidRDefault="00FB2864">
            <w:pPr>
              <w:pStyle w:val="TableParagraph"/>
              <w:spacing w:before="39"/>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7</w:t>
            </w:r>
          </w:p>
        </w:tc>
        <w:tc>
          <w:tcPr>
            <w:tcW w:w="1710" w:type="dxa"/>
            <w:vMerge/>
            <w:tcBorders>
              <w:tl2br w:val="nil"/>
              <w:tr2bl w:val="nil"/>
            </w:tcBorders>
            <w:vAlign w:val="center"/>
          </w:tcPr>
          <w:p w14:paraId="153EACD3" w14:textId="77777777" w:rsidR="0075791A" w:rsidRDefault="0075791A">
            <w:pPr>
              <w:rPr>
                <w:color w:val="auto"/>
              </w:rPr>
            </w:pPr>
          </w:p>
        </w:tc>
        <w:tc>
          <w:tcPr>
            <w:tcW w:w="788" w:type="dxa"/>
            <w:vMerge/>
            <w:tcBorders>
              <w:tl2br w:val="nil"/>
              <w:tr2bl w:val="nil"/>
            </w:tcBorders>
            <w:vAlign w:val="center"/>
          </w:tcPr>
          <w:p w14:paraId="2078E4D5" w14:textId="77777777" w:rsidR="0075791A" w:rsidRDefault="0075791A">
            <w:pPr>
              <w:rPr>
                <w:color w:val="auto"/>
              </w:rPr>
            </w:pPr>
          </w:p>
        </w:tc>
        <w:tc>
          <w:tcPr>
            <w:tcW w:w="835" w:type="dxa"/>
            <w:tcBorders>
              <w:tl2br w:val="nil"/>
              <w:tr2bl w:val="nil"/>
            </w:tcBorders>
            <w:vAlign w:val="center"/>
          </w:tcPr>
          <w:p w14:paraId="58EF9279" w14:textId="77777777" w:rsidR="0075791A" w:rsidRDefault="00FB2864">
            <w:pPr>
              <w:pStyle w:val="TableParagraph"/>
              <w:spacing w:before="39"/>
              <w:ind w:left="226"/>
              <w:rPr>
                <w:rFonts w:ascii="Times New Roman" w:eastAsia="Times New Roman" w:hAnsi="Times New Roman" w:cs="Times New Roman"/>
                <w:color w:val="auto"/>
              </w:rPr>
            </w:pPr>
            <w:r>
              <w:rPr>
                <w:rFonts w:ascii="Times New Roman" w:eastAsia="Times New Roman" w:hAnsi="Times New Roman" w:cs="Times New Roman"/>
                <w:color w:val="auto"/>
                <w:spacing w:val="1"/>
              </w:rPr>
              <w:t>10</w:t>
            </w:r>
            <w:r>
              <w:rPr>
                <w:rFonts w:ascii="Times New Roman" w:eastAsia="Times New Roman" w:hAnsi="Times New Roman" w:cs="Times New Roman"/>
                <w:color w:val="auto"/>
              </w:rPr>
              <w:t>m</w:t>
            </w:r>
          </w:p>
        </w:tc>
        <w:tc>
          <w:tcPr>
            <w:tcW w:w="1097" w:type="dxa"/>
            <w:tcBorders>
              <w:tl2br w:val="nil"/>
              <w:tr2bl w:val="nil"/>
            </w:tcBorders>
            <w:vAlign w:val="center"/>
          </w:tcPr>
          <w:p w14:paraId="79D316A7" w14:textId="77777777" w:rsidR="0075791A" w:rsidRDefault="00FB2864">
            <w:pPr>
              <w:pStyle w:val="TableParagraph"/>
              <w:spacing w:before="39"/>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4</w:t>
            </w:r>
          </w:p>
        </w:tc>
        <w:tc>
          <w:tcPr>
            <w:tcW w:w="1458" w:type="dxa"/>
            <w:vMerge/>
            <w:tcBorders>
              <w:tl2br w:val="nil"/>
              <w:tr2bl w:val="nil"/>
            </w:tcBorders>
            <w:vAlign w:val="center"/>
          </w:tcPr>
          <w:p w14:paraId="3218F7AF" w14:textId="77777777" w:rsidR="0075791A" w:rsidRDefault="0075791A">
            <w:pPr>
              <w:rPr>
                <w:color w:val="auto"/>
              </w:rPr>
            </w:pPr>
          </w:p>
        </w:tc>
      </w:tr>
      <w:tr w:rsidR="0075791A" w14:paraId="0F661C65" w14:textId="77777777">
        <w:trPr>
          <w:trHeight w:val="283"/>
        </w:trPr>
        <w:tc>
          <w:tcPr>
            <w:tcW w:w="872" w:type="dxa"/>
            <w:vMerge w:val="restart"/>
            <w:tcBorders>
              <w:tl2br w:val="nil"/>
              <w:tr2bl w:val="nil"/>
            </w:tcBorders>
            <w:vAlign w:val="center"/>
          </w:tcPr>
          <w:p w14:paraId="510D1614" w14:textId="77777777" w:rsidR="0075791A" w:rsidRDefault="00FB2864">
            <w:pPr>
              <w:pStyle w:val="TableParagraph"/>
              <w:ind w:left="282" w:right="285"/>
              <w:jc w:val="center"/>
              <w:rPr>
                <w:rFonts w:ascii="Times New Roman" w:eastAsia="Times New Roman" w:hAnsi="Times New Roman" w:cs="Times New Roman"/>
                <w:color w:val="auto"/>
              </w:rPr>
            </w:pPr>
            <w:r>
              <w:rPr>
                <w:rFonts w:ascii="Times New Roman" w:eastAsia="Times New Roman" w:hAnsi="Times New Roman" w:cs="Times New Roman"/>
                <w:color w:val="auto"/>
              </w:rPr>
              <w:t>H7</w:t>
            </w:r>
          </w:p>
        </w:tc>
        <w:tc>
          <w:tcPr>
            <w:tcW w:w="814" w:type="dxa"/>
            <w:tcBorders>
              <w:tl2br w:val="nil"/>
              <w:tr2bl w:val="nil"/>
            </w:tcBorders>
            <w:vAlign w:val="center"/>
          </w:tcPr>
          <w:p w14:paraId="7E14D229" w14:textId="77777777" w:rsidR="0075791A" w:rsidRDefault="00FB2864">
            <w:pPr>
              <w:pStyle w:val="TableParagraph"/>
              <w:spacing w:line="264" w:lineRule="exact"/>
              <w:ind w:left="276" w:right="279"/>
              <w:jc w:val="center"/>
              <w:rPr>
                <w:rFonts w:ascii="宋体" w:eastAsia="宋体" w:hAnsi="宋体" w:cs="宋体"/>
                <w:color w:val="auto"/>
              </w:rPr>
            </w:pPr>
            <w:r>
              <w:rPr>
                <w:rFonts w:ascii="宋体" w:eastAsia="宋体" w:hAnsi="宋体" w:cs="宋体"/>
                <w:color w:val="auto"/>
              </w:rPr>
              <w:t>表</w:t>
            </w:r>
          </w:p>
        </w:tc>
        <w:tc>
          <w:tcPr>
            <w:tcW w:w="1265" w:type="dxa"/>
            <w:tcBorders>
              <w:tl2br w:val="nil"/>
              <w:tr2bl w:val="nil"/>
            </w:tcBorders>
            <w:vAlign w:val="center"/>
          </w:tcPr>
          <w:p w14:paraId="7FCF5804" w14:textId="77777777" w:rsidR="0075791A" w:rsidRDefault="00FB2864">
            <w:pPr>
              <w:pStyle w:val="TableParagraph"/>
              <w:spacing w:before="40"/>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5</w:t>
            </w:r>
          </w:p>
        </w:tc>
        <w:tc>
          <w:tcPr>
            <w:tcW w:w="1710" w:type="dxa"/>
            <w:vMerge w:val="restart"/>
            <w:tcBorders>
              <w:tl2br w:val="nil"/>
              <w:tr2bl w:val="nil"/>
            </w:tcBorders>
            <w:vAlign w:val="center"/>
          </w:tcPr>
          <w:p w14:paraId="50708BA9" w14:textId="77777777" w:rsidR="0075791A" w:rsidRDefault="00FB2864">
            <w:pPr>
              <w:pStyle w:val="TableParagraph"/>
              <w:ind w:left="562"/>
              <w:rPr>
                <w:rFonts w:ascii="Times New Roman" w:eastAsia="Times New Roman" w:hAnsi="Times New Roman" w:cs="Times New Roman"/>
                <w:color w:val="auto"/>
              </w:rPr>
            </w:pPr>
            <w:r>
              <w:rPr>
                <w:rFonts w:ascii="Times New Roman" w:eastAsia="Times New Roman" w:hAnsi="Times New Roman" w:cs="Times New Roman"/>
                <w:color w:val="auto"/>
                <w:spacing w:val="1"/>
              </w:rPr>
              <w:t>31</w:t>
            </w:r>
            <w:r>
              <w:rPr>
                <w:rFonts w:ascii="Times New Roman" w:eastAsia="Times New Roman" w:hAnsi="Times New Roman" w:cs="Times New Roman"/>
                <w:color w:val="auto"/>
                <w:spacing w:val="-2"/>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7</w:t>
            </w:r>
          </w:p>
        </w:tc>
        <w:tc>
          <w:tcPr>
            <w:tcW w:w="788" w:type="dxa"/>
            <w:vMerge/>
            <w:tcBorders>
              <w:tl2br w:val="nil"/>
              <w:tr2bl w:val="nil"/>
            </w:tcBorders>
            <w:vAlign w:val="center"/>
          </w:tcPr>
          <w:p w14:paraId="08AAB621" w14:textId="77777777" w:rsidR="0075791A" w:rsidRDefault="0075791A">
            <w:pPr>
              <w:rPr>
                <w:color w:val="auto"/>
              </w:rPr>
            </w:pPr>
          </w:p>
        </w:tc>
        <w:tc>
          <w:tcPr>
            <w:tcW w:w="835" w:type="dxa"/>
            <w:tcBorders>
              <w:tl2br w:val="nil"/>
              <w:tr2bl w:val="nil"/>
            </w:tcBorders>
            <w:vAlign w:val="center"/>
          </w:tcPr>
          <w:p w14:paraId="1819BA67" w14:textId="77777777" w:rsidR="0075791A" w:rsidRDefault="00FB2864">
            <w:pPr>
              <w:pStyle w:val="TableParagraph"/>
              <w:spacing w:line="264" w:lineRule="exact"/>
              <w:ind w:left="288" w:right="288"/>
              <w:jc w:val="center"/>
              <w:rPr>
                <w:rFonts w:ascii="宋体" w:eastAsia="宋体" w:hAnsi="宋体" w:cs="宋体"/>
                <w:color w:val="auto"/>
              </w:rPr>
            </w:pPr>
            <w:r>
              <w:rPr>
                <w:rFonts w:ascii="宋体" w:eastAsia="宋体" w:hAnsi="宋体" w:cs="宋体"/>
                <w:color w:val="auto"/>
              </w:rPr>
              <w:t>底</w:t>
            </w:r>
          </w:p>
        </w:tc>
        <w:tc>
          <w:tcPr>
            <w:tcW w:w="1097" w:type="dxa"/>
            <w:tcBorders>
              <w:tl2br w:val="nil"/>
              <w:tr2bl w:val="nil"/>
            </w:tcBorders>
            <w:vAlign w:val="center"/>
          </w:tcPr>
          <w:p w14:paraId="2E10AD8D" w14:textId="77777777" w:rsidR="0075791A" w:rsidRDefault="00FB2864">
            <w:pPr>
              <w:pStyle w:val="TableParagraph"/>
              <w:spacing w:before="40"/>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8</w:t>
            </w:r>
          </w:p>
        </w:tc>
        <w:tc>
          <w:tcPr>
            <w:tcW w:w="1458" w:type="dxa"/>
            <w:vMerge/>
            <w:tcBorders>
              <w:tl2br w:val="nil"/>
              <w:tr2bl w:val="nil"/>
            </w:tcBorders>
            <w:vAlign w:val="center"/>
          </w:tcPr>
          <w:p w14:paraId="50DED389" w14:textId="77777777" w:rsidR="0075791A" w:rsidRDefault="0075791A">
            <w:pPr>
              <w:rPr>
                <w:color w:val="auto"/>
              </w:rPr>
            </w:pPr>
          </w:p>
        </w:tc>
      </w:tr>
      <w:tr w:rsidR="0075791A" w14:paraId="3682C929" w14:textId="77777777">
        <w:trPr>
          <w:trHeight w:val="283"/>
        </w:trPr>
        <w:tc>
          <w:tcPr>
            <w:tcW w:w="872" w:type="dxa"/>
            <w:vMerge/>
            <w:tcBorders>
              <w:tl2br w:val="nil"/>
              <w:tr2bl w:val="nil"/>
            </w:tcBorders>
            <w:vAlign w:val="center"/>
          </w:tcPr>
          <w:p w14:paraId="5B5BF833" w14:textId="77777777" w:rsidR="0075791A" w:rsidRDefault="0075791A">
            <w:pPr>
              <w:rPr>
                <w:color w:val="auto"/>
              </w:rPr>
            </w:pPr>
          </w:p>
        </w:tc>
        <w:tc>
          <w:tcPr>
            <w:tcW w:w="814" w:type="dxa"/>
            <w:tcBorders>
              <w:tl2br w:val="nil"/>
              <w:tr2bl w:val="nil"/>
            </w:tcBorders>
            <w:vAlign w:val="center"/>
          </w:tcPr>
          <w:p w14:paraId="724DAE7E" w14:textId="77777777" w:rsidR="0075791A" w:rsidRDefault="00FB2864">
            <w:pPr>
              <w:pStyle w:val="TableParagraph"/>
              <w:spacing w:line="265" w:lineRule="exact"/>
              <w:ind w:left="276" w:right="279"/>
              <w:jc w:val="center"/>
              <w:rPr>
                <w:rFonts w:ascii="宋体" w:eastAsia="宋体" w:hAnsi="宋体" w:cs="宋体"/>
                <w:color w:val="auto"/>
              </w:rPr>
            </w:pPr>
            <w:r>
              <w:rPr>
                <w:rFonts w:ascii="宋体" w:eastAsia="宋体" w:hAnsi="宋体" w:cs="宋体"/>
                <w:color w:val="auto"/>
              </w:rPr>
              <w:t>底</w:t>
            </w:r>
          </w:p>
        </w:tc>
        <w:tc>
          <w:tcPr>
            <w:tcW w:w="1265" w:type="dxa"/>
            <w:tcBorders>
              <w:tl2br w:val="nil"/>
              <w:tr2bl w:val="nil"/>
            </w:tcBorders>
            <w:vAlign w:val="center"/>
          </w:tcPr>
          <w:p w14:paraId="292BFC2E" w14:textId="77777777" w:rsidR="0075791A" w:rsidRDefault="00FB2864">
            <w:pPr>
              <w:pStyle w:val="TableParagraph"/>
              <w:spacing w:before="39"/>
              <w:ind w:left="422" w:right="42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6</w:t>
            </w:r>
          </w:p>
        </w:tc>
        <w:tc>
          <w:tcPr>
            <w:tcW w:w="1710" w:type="dxa"/>
            <w:vMerge/>
            <w:tcBorders>
              <w:tl2br w:val="nil"/>
              <w:tr2bl w:val="nil"/>
            </w:tcBorders>
            <w:vAlign w:val="center"/>
          </w:tcPr>
          <w:p w14:paraId="1776337A" w14:textId="77777777" w:rsidR="0075791A" w:rsidRDefault="0075791A">
            <w:pPr>
              <w:rPr>
                <w:color w:val="auto"/>
              </w:rPr>
            </w:pPr>
          </w:p>
        </w:tc>
        <w:tc>
          <w:tcPr>
            <w:tcW w:w="1623" w:type="dxa"/>
            <w:gridSpan w:val="2"/>
            <w:tcBorders>
              <w:tl2br w:val="nil"/>
              <w:tr2bl w:val="nil"/>
            </w:tcBorders>
            <w:vAlign w:val="center"/>
          </w:tcPr>
          <w:p w14:paraId="2CA17CBA" w14:textId="77777777" w:rsidR="0075791A" w:rsidRDefault="00FB2864">
            <w:pPr>
              <w:pStyle w:val="TableParagraph"/>
              <w:spacing w:before="39"/>
              <w:ind w:right="4"/>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c>
          <w:tcPr>
            <w:tcW w:w="1097" w:type="dxa"/>
            <w:tcBorders>
              <w:tl2br w:val="nil"/>
              <w:tr2bl w:val="nil"/>
            </w:tcBorders>
            <w:vAlign w:val="center"/>
          </w:tcPr>
          <w:p w14:paraId="4A3AC842" w14:textId="77777777" w:rsidR="0075791A" w:rsidRDefault="00FB2864">
            <w:pPr>
              <w:pStyle w:val="TableParagraph"/>
              <w:spacing w:before="39"/>
              <w:ind w:right="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c>
          <w:tcPr>
            <w:tcW w:w="1458" w:type="dxa"/>
            <w:tcBorders>
              <w:tl2br w:val="nil"/>
              <w:tr2bl w:val="nil"/>
            </w:tcBorders>
            <w:vAlign w:val="center"/>
          </w:tcPr>
          <w:p w14:paraId="4C2159E7" w14:textId="77777777" w:rsidR="0075791A" w:rsidRDefault="00FB2864">
            <w:pPr>
              <w:pStyle w:val="TableParagraph"/>
              <w:spacing w:before="39"/>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75791A" w14:paraId="0FEA6B04" w14:textId="77777777">
        <w:trPr>
          <w:trHeight w:val="283"/>
        </w:trPr>
        <w:tc>
          <w:tcPr>
            <w:tcW w:w="1686" w:type="dxa"/>
            <w:gridSpan w:val="2"/>
            <w:tcBorders>
              <w:tl2br w:val="nil"/>
              <w:tr2bl w:val="nil"/>
            </w:tcBorders>
            <w:vAlign w:val="center"/>
          </w:tcPr>
          <w:p w14:paraId="526C065B" w14:textId="77777777" w:rsidR="0075791A" w:rsidRDefault="00FB2864">
            <w:pPr>
              <w:pStyle w:val="TableParagraph"/>
              <w:spacing w:line="264" w:lineRule="exact"/>
              <w:ind w:left="417"/>
              <w:rPr>
                <w:rFonts w:ascii="宋体" w:eastAsia="宋体" w:hAnsi="宋体" w:cs="宋体"/>
                <w:color w:val="auto"/>
              </w:rPr>
            </w:pPr>
            <w:r>
              <w:rPr>
                <w:rFonts w:ascii="宋体" w:eastAsia="宋体" w:hAnsi="宋体" w:cs="宋体"/>
                <w:color w:val="auto"/>
                <w:spacing w:val="-1"/>
              </w:rPr>
              <w:t>变</w:t>
            </w:r>
            <w:r>
              <w:rPr>
                <w:rFonts w:ascii="宋体" w:eastAsia="宋体" w:hAnsi="宋体" w:cs="宋体"/>
                <w:color w:val="auto"/>
                <w:spacing w:val="2"/>
              </w:rPr>
              <w:t>化</w:t>
            </w:r>
            <w:r>
              <w:rPr>
                <w:rFonts w:ascii="宋体" w:eastAsia="宋体" w:hAnsi="宋体" w:cs="宋体"/>
                <w:color w:val="auto"/>
                <w:spacing w:val="-1"/>
              </w:rPr>
              <w:t>范</w:t>
            </w:r>
            <w:r>
              <w:rPr>
                <w:rFonts w:ascii="宋体" w:eastAsia="宋体" w:hAnsi="宋体" w:cs="宋体"/>
                <w:color w:val="auto"/>
              </w:rPr>
              <w:t>围</w:t>
            </w:r>
          </w:p>
        </w:tc>
        <w:tc>
          <w:tcPr>
            <w:tcW w:w="1265" w:type="dxa"/>
            <w:tcBorders>
              <w:tl2br w:val="nil"/>
              <w:tr2bl w:val="nil"/>
            </w:tcBorders>
            <w:vAlign w:val="center"/>
          </w:tcPr>
          <w:p w14:paraId="153CB072" w14:textId="77777777" w:rsidR="0075791A" w:rsidRDefault="00FB2864">
            <w:pPr>
              <w:pStyle w:val="TableParagraph"/>
              <w:spacing w:before="40"/>
              <w:ind w:left="199"/>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9</w:t>
            </w:r>
            <w:r>
              <w:rPr>
                <w:rFonts w:ascii="Times New Roman" w:eastAsia="Times New Roman" w:hAnsi="Times New Roman" w:cs="Times New Roman"/>
                <w:color w:val="auto"/>
                <w:spacing w:val="-10"/>
              </w:rPr>
              <w:t xml:space="preserve"> </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3</w:t>
            </w:r>
          </w:p>
        </w:tc>
        <w:tc>
          <w:tcPr>
            <w:tcW w:w="1710" w:type="dxa"/>
            <w:tcBorders>
              <w:tl2br w:val="nil"/>
              <w:tr2bl w:val="nil"/>
            </w:tcBorders>
            <w:vAlign w:val="center"/>
          </w:tcPr>
          <w:p w14:paraId="5449C1A8" w14:textId="77777777" w:rsidR="0075791A" w:rsidRDefault="00FB2864">
            <w:pPr>
              <w:pStyle w:val="TableParagraph"/>
              <w:spacing w:before="40"/>
              <w:ind w:left="185"/>
              <w:rPr>
                <w:rFonts w:ascii="Times New Roman" w:eastAsia="Times New Roman" w:hAnsi="Times New Roman" w:cs="Times New Roman"/>
                <w:color w:val="auto"/>
              </w:rPr>
            </w:pPr>
            <w:r>
              <w:rPr>
                <w:rFonts w:ascii="Times New Roman" w:eastAsia="Times New Roman" w:hAnsi="Times New Roman" w:cs="Times New Roman"/>
                <w:color w:val="auto"/>
                <w:spacing w:val="1"/>
              </w:rPr>
              <w:t>239</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2</w:t>
            </w:r>
            <w:r>
              <w:rPr>
                <w:rFonts w:ascii="Times New Roman" w:eastAsia="Times New Roman" w:hAnsi="Times New Roman" w:cs="Times New Roman"/>
                <w:color w:val="auto"/>
                <w:spacing w:val="1"/>
              </w:rPr>
              <w:t>2</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1538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8</w:t>
            </w:r>
          </w:p>
        </w:tc>
        <w:tc>
          <w:tcPr>
            <w:tcW w:w="1623" w:type="dxa"/>
            <w:gridSpan w:val="2"/>
            <w:tcBorders>
              <w:tl2br w:val="nil"/>
              <w:tr2bl w:val="nil"/>
            </w:tcBorders>
            <w:vAlign w:val="center"/>
          </w:tcPr>
          <w:p w14:paraId="2C97255F" w14:textId="77777777" w:rsidR="0075791A" w:rsidRDefault="00FB2864">
            <w:pPr>
              <w:pStyle w:val="TableParagraph"/>
              <w:spacing w:line="264" w:lineRule="exact"/>
              <w:ind w:right="2"/>
              <w:jc w:val="center"/>
              <w:rPr>
                <w:rFonts w:ascii="宋体" w:eastAsia="宋体" w:hAnsi="宋体" w:cs="宋体"/>
                <w:color w:val="auto"/>
              </w:rPr>
            </w:pPr>
            <w:r>
              <w:rPr>
                <w:rFonts w:ascii="宋体" w:eastAsia="宋体" w:hAnsi="宋体" w:cs="宋体"/>
                <w:color w:val="auto"/>
                <w:spacing w:val="-1"/>
              </w:rPr>
              <w:t>均</w:t>
            </w:r>
            <w:r>
              <w:rPr>
                <w:rFonts w:ascii="宋体" w:eastAsia="宋体" w:hAnsi="宋体" w:cs="宋体"/>
                <w:color w:val="auto"/>
              </w:rPr>
              <w:t>值</w:t>
            </w:r>
          </w:p>
        </w:tc>
        <w:tc>
          <w:tcPr>
            <w:tcW w:w="1097" w:type="dxa"/>
            <w:tcBorders>
              <w:tl2br w:val="nil"/>
              <w:tr2bl w:val="nil"/>
            </w:tcBorders>
            <w:vAlign w:val="center"/>
          </w:tcPr>
          <w:p w14:paraId="3D817119" w14:textId="77777777" w:rsidR="0075791A" w:rsidRDefault="00FB2864">
            <w:pPr>
              <w:pStyle w:val="TableParagraph"/>
              <w:spacing w:before="40"/>
              <w:ind w:left="358"/>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8</w:t>
            </w:r>
          </w:p>
        </w:tc>
        <w:tc>
          <w:tcPr>
            <w:tcW w:w="1458" w:type="dxa"/>
            <w:tcBorders>
              <w:tl2br w:val="nil"/>
              <w:tr2bl w:val="nil"/>
            </w:tcBorders>
            <w:vAlign w:val="center"/>
          </w:tcPr>
          <w:p w14:paraId="29DC9FC7" w14:textId="77777777" w:rsidR="0075791A" w:rsidRDefault="00FB2864">
            <w:pPr>
              <w:pStyle w:val="TableParagraph"/>
              <w:spacing w:before="40"/>
              <w:ind w:left="435"/>
              <w:rPr>
                <w:rFonts w:ascii="Times New Roman" w:eastAsia="Times New Roman" w:hAnsi="Times New Roman" w:cs="Times New Roman"/>
                <w:color w:val="auto"/>
              </w:rPr>
            </w:pPr>
            <w:r>
              <w:rPr>
                <w:rFonts w:ascii="Times New Roman" w:eastAsia="Times New Roman" w:hAnsi="Times New Roman" w:cs="Times New Roman"/>
                <w:color w:val="auto"/>
                <w:spacing w:val="1"/>
              </w:rPr>
              <w:t>682</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1</w:t>
            </w:r>
            <w:r>
              <w:rPr>
                <w:rFonts w:ascii="Times New Roman" w:eastAsia="Times New Roman" w:hAnsi="Times New Roman" w:cs="Times New Roman"/>
                <w:color w:val="auto"/>
              </w:rPr>
              <w:t>9</w:t>
            </w:r>
          </w:p>
        </w:tc>
      </w:tr>
    </w:tbl>
    <w:p w14:paraId="2F182423" w14:textId="77777777" w:rsidR="0075791A" w:rsidRDefault="0075791A">
      <w:pPr>
        <w:pStyle w:val="TableParagraph"/>
        <w:spacing w:line="295" w:lineRule="exact"/>
        <w:ind w:left="573"/>
        <w:rPr>
          <w:rFonts w:ascii="宋体" w:eastAsia="宋体" w:hAnsi="宋体" w:cs="宋体"/>
          <w:color w:val="auto"/>
          <w:sz w:val="24"/>
          <w:szCs w:val="24"/>
        </w:rPr>
      </w:pPr>
    </w:p>
    <w:p w14:paraId="4C2F2895"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）浮游植物</w:t>
      </w:r>
    </w:p>
    <w:p w14:paraId="4834BC1D"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2023</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月航次，调查海域共鉴定到浮游植物</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门</w:t>
      </w:r>
      <w:r>
        <w:rPr>
          <w:rFonts w:ascii="Times New Roman" w:eastAsia="宋体" w:hAnsi="Times New Roman" w:cs="Times New Roman" w:hint="eastAsia"/>
          <w:snapToGrid/>
          <w:color w:val="auto"/>
          <w:kern w:val="2"/>
          <w:sz w:val="24"/>
          <w:szCs w:val="24"/>
          <w:lang w:eastAsia="zh-CN"/>
        </w:rPr>
        <w:t>25</w:t>
      </w:r>
      <w:r>
        <w:rPr>
          <w:rFonts w:ascii="Times New Roman" w:eastAsia="宋体" w:hAnsi="Times New Roman" w:cs="Times New Roman" w:hint="eastAsia"/>
          <w:snapToGrid/>
          <w:color w:val="auto"/>
          <w:kern w:val="2"/>
          <w:sz w:val="24"/>
          <w:szCs w:val="24"/>
          <w:lang w:eastAsia="zh-CN"/>
        </w:rPr>
        <w:t>属</w:t>
      </w:r>
      <w:r>
        <w:rPr>
          <w:rFonts w:ascii="Times New Roman" w:eastAsia="宋体" w:hAnsi="Times New Roman" w:cs="Times New Roman" w:hint="eastAsia"/>
          <w:snapToGrid/>
          <w:color w:val="auto"/>
          <w:kern w:val="2"/>
          <w:sz w:val="24"/>
          <w:szCs w:val="24"/>
          <w:lang w:eastAsia="zh-CN"/>
        </w:rPr>
        <w:t>78</w:t>
      </w:r>
      <w:r>
        <w:rPr>
          <w:rFonts w:ascii="Times New Roman" w:eastAsia="宋体" w:hAnsi="Times New Roman" w:cs="Times New Roman" w:hint="eastAsia"/>
          <w:snapToGrid/>
          <w:color w:val="auto"/>
          <w:kern w:val="2"/>
          <w:sz w:val="24"/>
          <w:szCs w:val="24"/>
          <w:lang w:eastAsia="zh-CN"/>
        </w:rPr>
        <w:t>种（包括变型及变种）。其中，硅藻</w:t>
      </w:r>
      <w:r>
        <w:rPr>
          <w:rFonts w:ascii="Times New Roman" w:eastAsia="宋体" w:hAnsi="Times New Roman" w:cs="Times New Roman" w:hint="eastAsia"/>
          <w:snapToGrid/>
          <w:color w:val="auto"/>
          <w:kern w:val="2"/>
          <w:sz w:val="24"/>
          <w:szCs w:val="24"/>
          <w:lang w:eastAsia="zh-CN"/>
        </w:rPr>
        <w:t>21</w:t>
      </w:r>
      <w:r>
        <w:rPr>
          <w:rFonts w:ascii="Times New Roman" w:eastAsia="宋体" w:hAnsi="Times New Roman" w:cs="Times New Roman" w:hint="eastAsia"/>
          <w:snapToGrid/>
          <w:color w:val="auto"/>
          <w:kern w:val="2"/>
          <w:sz w:val="24"/>
          <w:szCs w:val="24"/>
          <w:lang w:eastAsia="zh-CN"/>
        </w:rPr>
        <w:t>属</w:t>
      </w:r>
      <w:r>
        <w:rPr>
          <w:rFonts w:ascii="Times New Roman" w:eastAsia="宋体" w:hAnsi="Times New Roman" w:cs="Times New Roman" w:hint="eastAsia"/>
          <w:snapToGrid/>
          <w:color w:val="auto"/>
          <w:kern w:val="2"/>
          <w:sz w:val="24"/>
          <w:szCs w:val="24"/>
          <w:lang w:eastAsia="zh-CN"/>
        </w:rPr>
        <w:t>66</w:t>
      </w:r>
      <w:r>
        <w:rPr>
          <w:rFonts w:ascii="Times New Roman" w:eastAsia="宋体" w:hAnsi="Times New Roman" w:cs="Times New Roman" w:hint="eastAsia"/>
          <w:snapToGrid/>
          <w:color w:val="auto"/>
          <w:kern w:val="2"/>
          <w:sz w:val="24"/>
          <w:szCs w:val="24"/>
          <w:lang w:eastAsia="zh-CN"/>
        </w:rPr>
        <w:t>种，甲藻</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属</w:t>
      </w:r>
      <w:r>
        <w:rPr>
          <w:rFonts w:ascii="Times New Roman" w:eastAsia="宋体" w:hAnsi="Times New Roman" w:cs="Times New Roman" w:hint="eastAsia"/>
          <w:snapToGrid/>
          <w:color w:val="auto"/>
          <w:kern w:val="2"/>
          <w:sz w:val="24"/>
          <w:szCs w:val="24"/>
          <w:lang w:eastAsia="zh-CN"/>
        </w:rPr>
        <w:t>11</w:t>
      </w:r>
      <w:r>
        <w:rPr>
          <w:rFonts w:ascii="Times New Roman" w:eastAsia="宋体" w:hAnsi="Times New Roman" w:cs="Times New Roman" w:hint="eastAsia"/>
          <w:snapToGrid/>
          <w:color w:val="auto"/>
          <w:kern w:val="2"/>
          <w:sz w:val="24"/>
          <w:szCs w:val="24"/>
          <w:lang w:eastAsia="zh-CN"/>
        </w:rPr>
        <w:t>种，蓝藻</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属</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种，分别占全部种类数的</w:t>
      </w:r>
      <w:r>
        <w:rPr>
          <w:rFonts w:ascii="Times New Roman" w:eastAsia="宋体" w:hAnsi="Times New Roman" w:cs="Times New Roman" w:hint="eastAsia"/>
          <w:snapToGrid/>
          <w:color w:val="auto"/>
          <w:kern w:val="2"/>
          <w:sz w:val="24"/>
          <w:szCs w:val="24"/>
          <w:lang w:eastAsia="zh-CN"/>
        </w:rPr>
        <w:t>84.62%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14.10%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1.28%</w:t>
      </w:r>
      <w:r>
        <w:rPr>
          <w:rFonts w:ascii="Times New Roman" w:eastAsia="宋体" w:hAnsi="Times New Roman" w:cs="Times New Roman" w:hint="eastAsia"/>
          <w:snapToGrid/>
          <w:color w:val="auto"/>
          <w:kern w:val="2"/>
          <w:sz w:val="24"/>
          <w:szCs w:val="24"/>
          <w:lang w:eastAsia="zh-CN"/>
        </w:rPr>
        <w:t>。</w:t>
      </w:r>
    </w:p>
    <w:p w14:paraId="2A21722A"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调查海域浮游植物优势种明显，以透明辐杆藻（</w:t>
      </w:r>
      <w:r>
        <w:rPr>
          <w:rFonts w:ascii="Times New Roman" w:eastAsia="宋体" w:hAnsi="Times New Roman" w:cs="Times New Roman" w:hint="eastAsia"/>
          <w:i/>
          <w:iCs/>
          <w:snapToGrid/>
          <w:color w:val="auto"/>
          <w:kern w:val="2"/>
          <w:sz w:val="24"/>
          <w:szCs w:val="24"/>
          <w:lang w:eastAsia="zh-CN"/>
        </w:rPr>
        <w:t>Bacteriastrum hyalinum var. hyalinum</w:t>
      </w:r>
      <w:r>
        <w:rPr>
          <w:rFonts w:ascii="Times New Roman" w:eastAsia="宋体" w:hAnsi="Times New Roman" w:cs="Times New Roman" w:hint="eastAsia"/>
          <w:snapToGrid/>
          <w:color w:val="auto"/>
          <w:kern w:val="2"/>
          <w:sz w:val="24"/>
          <w:szCs w:val="24"/>
          <w:lang w:eastAsia="zh-CN"/>
        </w:rPr>
        <w:t>）优势地位最为突出，平均细胞丰度达</w:t>
      </w:r>
      <w:r>
        <w:rPr>
          <w:rFonts w:ascii="Times New Roman" w:eastAsia="宋体" w:hAnsi="Times New Roman" w:cs="Times New Roman" w:hint="eastAsia"/>
          <w:snapToGrid/>
          <w:color w:val="auto"/>
          <w:kern w:val="2"/>
          <w:sz w:val="24"/>
          <w:szCs w:val="24"/>
          <w:lang w:eastAsia="zh-CN"/>
        </w:rPr>
        <w:t>495.61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104cells/m3</w:t>
      </w:r>
      <w:r>
        <w:rPr>
          <w:rFonts w:ascii="Times New Roman" w:eastAsia="宋体" w:hAnsi="Times New Roman" w:cs="Times New Roman" w:hint="eastAsia"/>
          <w:snapToGrid/>
          <w:color w:val="auto"/>
          <w:kern w:val="2"/>
          <w:sz w:val="24"/>
          <w:szCs w:val="24"/>
          <w:lang w:eastAsia="zh-CN"/>
        </w:rPr>
        <w:t>，占细胞总丰度的</w:t>
      </w:r>
      <w:r>
        <w:rPr>
          <w:rFonts w:ascii="Times New Roman" w:eastAsia="宋体" w:hAnsi="Times New Roman" w:cs="Times New Roman" w:hint="eastAsia"/>
          <w:snapToGrid/>
          <w:color w:val="auto"/>
          <w:kern w:val="2"/>
          <w:sz w:val="24"/>
          <w:szCs w:val="24"/>
          <w:lang w:eastAsia="zh-CN"/>
        </w:rPr>
        <w:t>45.49%</w:t>
      </w:r>
      <w:r>
        <w:rPr>
          <w:rFonts w:ascii="Times New Roman" w:eastAsia="宋体" w:hAnsi="Times New Roman" w:cs="Times New Roman" w:hint="eastAsia"/>
          <w:snapToGrid/>
          <w:color w:val="auto"/>
          <w:kern w:val="2"/>
          <w:sz w:val="24"/>
          <w:szCs w:val="24"/>
          <w:lang w:eastAsia="zh-CN"/>
        </w:rPr>
        <w:t>，优势度为</w:t>
      </w:r>
      <w:r>
        <w:rPr>
          <w:rFonts w:ascii="Times New Roman" w:eastAsia="宋体" w:hAnsi="Times New Roman" w:cs="Times New Roman" w:hint="eastAsia"/>
          <w:snapToGrid/>
          <w:color w:val="auto"/>
          <w:kern w:val="2"/>
          <w:sz w:val="24"/>
          <w:szCs w:val="24"/>
          <w:lang w:eastAsia="zh-CN"/>
        </w:rPr>
        <w:t>0.45</w:t>
      </w:r>
      <w:r>
        <w:rPr>
          <w:rFonts w:ascii="Times New Roman" w:eastAsia="宋体" w:hAnsi="Times New Roman" w:cs="Times New Roman" w:hint="eastAsia"/>
          <w:snapToGrid/>
          <w:color w:val="auto"/>
          <w:kern w:val="2"/>
          <w:sz w:val="24"/>
          <w:szCs w:val="24"/>
          <w:lang w:eastAsia="zh-CN"/>
        </w:rPr>
        <w:t>，其他的优势种类还有劳氏角毛藻（</w:t>
      </w:r>
      <w:r>
        <w:rPr>
          <w:rFonts w:ascii="Times New Roman" w:eastAsia="宋体" w:hAnsi="Times New Roman" w:cs="Times New Roman" w:hint="eastAsia"/>
          <w:i/>
          <w:iCs/>
          <w:snapToGrid/>
          <w:color w:val="auto"/>
          <w:kern w:val="2"/>
          <w:sz w:val="24"/>
          <w:szCs w:val="24"/>
          <w:lang w:eastAsia="zh-CN"/>
        </w:rPr>
        <w:t>Chaetoceros lorenzianus</w:t>
      </w:r>
      <w:r>
        <w:rPr>
          <w:rFonts w:ascii="Times New Roman" w:eastAsia="宋体" w:hAnsi="Times New Roman" w:cs="Times New Roman" w:hint="eastAsia"/>
          <w:snapToGrid/>
          <w:color w:val="auto"/>
          <w:kern w:val="2"/>
          <w:sz w:val="24"/>
          <w:szCs w:val="24"/>
          <w:lang w:eastAsia="zh-CN"/>
        </w:rPr>
        <w:t>）、扁面角</w:t>
      </w:r>
      <w:r>
        <w:rPr>
          <w:rFonts w:ascii="Times New Roman" w:eastAsia="宋体" w:hAnsi="Times New Roman" w:cs="Times New Roman" w:hint="eastAsia"/>
          <w:snapToGrid/>
          <w:color w:val="auto"/>
          <w:kern w:val="2"/>
          <w:sz w:val="24"/>
          <w:szCs w:val="24"/>
          <w:lang w:eastAsia="zh-CN"/>
        </w:rPr>
        <w:t>毛藻（</w:t>
      </w:r>
      <w:r>
        <w:rPr>
          <w:rFonts w:ascii="Times New Roman" w:eastAsia="宋体" w:hAnsi="Times New Roman" w:cs="Times New Roman" w:hint="eastAsia"/>
          <w:i/>
          <w:iCs/>
          <w:snapToGrid/>
          <w:color w:val="auto"/>
          <w:kern w:val="2"/>
          <w:sz w:val="24"/>
          <w:szCs w:val="24"/>
          <w:lang w:eastAsia="zh-CN"/>
        </w:rPr>
        <w:t>Chaetoceros comperssus</w:t>
      </w:r>
      <w:r>
        <w:rPr>
          <w:rFonts w:ascii="Times New Roman" w:eastAsia="宋体" w:hAnsi="Times New Roman" w:cs="Times New Roman" w:hint="eastAsia"/>
          <w:snapToGrid/>
          <w:color w:val="auto"/>
          <w:kern w:val="2"/>
          <w:sz w:val="24"/>
          <w:szCs w:val="24"/>
          <w:lang w:eastAsia="zh-CN"/>
        </w:rPr>
        <w:t>）、丹麦细柱藻（</w:t>
      </w:r>
      <w:r>
        <w:rPr>
          <w:rFonts w:ascii="Times New Roman" w:eastAsia="宋体" w:hAnsi="Times New Roman" w:cs="Times New Roman" w:hint="eastAsia"/>
          <w:i/>
          <w:iCs/>
          <w:snapToGrid/>
          <w:color w:val="auto"/>
          <w:kern w:val="2"/>
          <w:sz w:val="24"/>
          <w:szCs w:val="24"/>
          <w:lang w:eastAsia="zh-CN"/>
        </w:rPr>
        <w:t xml:space="preserve">Leptocylindrus danicus </w:t>
      </w:r>
      <w:r>
        <w:rPr>
          <w:rFonts w:ascii="Times New Roman" w:eastAsia="宋体" w:hAnsi="Times New Roman" w:cs="Times New Roman" w:hint="eastAsia"/>
          <w:snapToGrid/>
          <w:color w:val="auto"/>
          <w:kern w:val="2"/>
          <w:sz w:val="24"/>
          <w:szCs w:val="24"/>
          <w:lang w:eastAsia="zh-CN"/>
        </w:rPr>
        <w:t>）、扭链角毛藻（</w:t>
      </w:r>
      <w:r>
        <w:rPr>
          <w:rFonts w:ascii="Times New Roman" w:eastAsia="宋体" w:hAnsi="Times New Roman" w:cs="Times New Roman" w:hint="eastAsia"/>
          <w:snapToGrid/>
          <w:color w:val="auto"/>
          <w:kern w:val="2"/>
          <w:sz w:val="24"/>
          <w:szCs w:val="24"/>
          <w:lang w:eastAsia="zh-CN"/>
        </w:rPr>
        <w:t xml:space="preserve">Chaetoceros tortissimus </w:t>
      </w:r>
      <w:r>
        <w:rPr>
          <w:rFonts w:ascii="Times New Roman" w:eastAsia="宋体" w:hAnsi="Times New Roman" w:cs="Times New Roman" w:hint="eastAsia"/>
          <w:snapToGrid/>
          <w:color w:val="auto"/>
          <w:kern w:val="2"/>
          <w:sz w:val="24"/>
          <w:szCs w:val="24"/>
          <w:lang w:eastAsia="zh-CN"/>
        </w:rPr>
        <w:t>）、变异辐杆藻（</w:t>
      </w:r>
      <w:r>
        <w:rPr>
          <w:rFonts w:ascii="Times New Roman" w:eastAsia="宋体" w:hAnsi="Times New Roman" w:cs="Times New Roman" w:hint="eastAsia"/>
          <w:i/>
          <w:iCs/>
          <w:snapToGrid/>
          <w:color w:val="auto"/>
          <w:kern w:val="2"/>
          <w:sz w:val="24"/>
          <w:szCs w:val="24"/>
          <w:lang w:eastAsia="zh-CN"/>
        </w:rPr>
        <w:t>Bacteriastrum varians</w:t>
      </w:r>
      <w:r>
        <w:rPr>
          <w:rFonts w:ascii="Times New Roman" w:eastAsia="宋体" w:hAnsi="Times New Roman" w:cs="Times New Roman" w:hint="eastAsia"/>
          <w:snapToGrid/>
          <w:color w:val="auto"/>
          <w:kern w:val="2"/>
          <w:sz w:val="24"/>
          <w:szCs w:val="24"/>
          <w:lang w:eastAsia="zh-CN"/>
        </w:rPr>
        <w:t>）和小辐杆藻（</w:t>
      </w:r>
      <w:r>
        <w:rPr>
          <w:rFonts w:ascii="Times New Roman" w:eastAsia="宋体" w:hAnsi="Times New Roman" w:cs="Times New Roman" w:hint="eastAsia"/>
          <w:i/>
          <w:iCs/>
          <w:snapToGrid/>
          <w:color w:val="auto"/>
          <w:kern w:val="2"/>
          <w:sz w:val="24"/>
          <w:szCs w:val="24"/>
          <w:lang w:eastAsia="zh-CN"/>
        </w:rPr>
        <w:t>Bacteriastrum minus</w:t>
      </w:r>
      <w:r>
        <w:rPr>
          <w:rFonts w:ascii="Times New Roman" w:eastAsia="宋体" w:hAnsi="Times New Roman" w:cs="Times New Roman" w:hint="eastAsia"/>
          <w:snapToGrid/>
          <w:color w:val="auto"/>
          <w:kern w:val="2"/>
          <w:sz w:val="24"/>
          <w:szCs w:val="24"/>
          <w:lang w:eastAsia="zh-CN"/>
        </w:rPr>
        <w:t>）等（详见表</w:t>
      </w:r>
      <w:r>
        <w:rPr>
          <w:rFonts w:ascii="Times New Roman" w:eastAsia="宋体" w:hAnsi="Times New Roman" w:cs="Times New Roman" w:hint="eastAsia"/>
          <w:snapToGrid/>
          <w:color w:val="auto"/>
          <w:kern w:val="2"/>
          <w:sz w:val="24"/>
          <w:szCs w:val="24"/>
          <w:lang w:eastAsia="zh-CN"/>
        </w:rPr>
        <w:t>3.2.6-20</w:t>
      </w:r>
      <w:r>
        <w:rPr>
          <w:rFonts w:ascii="Times New Roman" w:eastAsia="宋体" w:hAnsi="Times New Roman" w:cs="Times New Roman" w:hint="eastAsia"/>
          <w:snapToGrid/>
          <w:color w:val="auto"/>
          <w:kern w:val="2"/>
          <w:sz w:val="24"/>
          <w:szCs w:val="24"/>
          <w:lang w:eastAsia="zh-CN"/>
        </w:rPr>
        <w:t>）</w:t>
      </w:r>
    </w:p>
    <w:p w14:paraId="60256FA0" w14:textId="77777777" w:rsidR="0075791A" w:rsidRDefault="00FB2864">
      <w:pPr>
        <w:pStyle w:val="TableParagraph"/>
        <w:spacing w:before="28"/>
        <w:ind w:left="1776"/>
        <w:rPr>
          <w:rFonts w:ascii="宋体" w:eastAsia="宋体" w:hAnsi="宋体" w:cs="宋体"/>
          <w:color w:val="auto"/>
          <w:sz w:val="24"/>
          <w:szCs w:val="24"/>
          <w:lang w:eastAsia="zh-CN"/>
        </w:rPr>
      </w:pPr>
      <w:r>
        <w:rPr>
          <w:rFonts w:ascii="宋体" w:eastAsia="宋体" w:hAnsi="宋体" w:cs="宋体"/>
          <w:color w:val="auto"/>
          <w:sz w:val="24"/>
          <w:szCs w:val="24"/>
          <w:lang w:eastAsia="zh-CN"/>
        </w:rPr>
        <w:t>表</w:t>
      </w:r>
      <w:r>
        <w:rPr>
          <w:rFonts w:ascii="Times New Roman" w:eastAsia="宋体" w:hAnsi="Times New Roman" w:cs="Times New Roman" w:hint="eastAsia"/>
          <w:snapToGrid/>
          <w:color w:val="auto"/>
          <w:kern w:val="2"/>
          <w:sz w:val="24"/>
          <w:szCs w:val="24"/>
          <w:lang w:eastAsia="zh-CN"/>
        </w:rPr>
        <w:t>3.2.6-20</w:t>
      </w:r>
      <w:r>
        <w:rPr>
          <w:rFonts w:ascii="Times New Roman" w:eastAsia="Times New Roman" w:hAnsi="Times New Roman" w:cs="Times New Roman"/>
          <w:color w:val="auto"/>
          <w:sz w:val="24"/>
          <w:szCs w:val="24"/>
          <w:lang w:eastAsia="zh-CN"/>
        </w:rPr>
        <w:t xml:space="preserve"> 2024</w:t>
      </w:r>
      <w:r>
        <w:rPr>
          <w:rFonts w:ascii="宋体" w:eastAsia="宋体" w:hAnsi="宋体" w:cs="宋体"/>
          <w:color w:val="auto"/>
          <w:sz w:val="24"/>
          <w:szCs w:val="24"/>
          <w:lang w:eastAsia="zh-CN"/>
        </w:rPr>
        <w:t>年</w:t>
      </w:r>
      <w:r>
        <w:rPr>
          <w:rFonts w:ascii="Times New Roman" w:eastAsia="Times New Roman" w:hAnsi="Times New Roman" w:cs="Times New Roman"/>
          <w:color w:val="auto"/>
          <w:sz w:val="24"/>
          <w:szCs w:val="24"/>
          <w:lang w:eastAsia="zh-CN"/>
        </w:rPr>
        <w:t>9</w:t>
      </w:r>
      <w:r>
        <w:rPr>
          <w:rFonts w:ascii="宋体" w:eastAsia="宋体" w:hAnsi="宋体" w:cs="宋体"/>
          <w:color w:val="auto"/>
          <w:sz w:val="24"/>
          <w:szCs w:val="24"/>
          <w:lang w:eastAsia="zh-CN"/>
        </w:rPr>
        <w:t>月航次浮游植物优势种类和优势度</w:t>
      </w:r>
    </w:p>
    <w:tbl>
      <w:tblPr>
        <w:tblStyle w:val="ad"/>
        <w:tblW w:w="0" w:type="dxa"/>
        <w:tblLook w:val="04A0" w:firstRow="1" w:lastRow="0" w:firstColumn="1" w:lastColumn="0" w:noHBand="0" w:noVBand="1"/>
      </w:tblPr>
      <w:tblGrid>
        <w:gridCol w:w="1832"/>
        <w:gridCol w:w="1826"/>
        <w:gridCol w:w="1852"/>
        <w:gridCol w:w="1822"/>
        <w:gridCol w:w="1813"/>
      </w:tblGrid>
      <w:tr w:rsidR="0075791A" w14:paraId="22A39436" w14:textId="77777777">
        <w:trPr>
          <w:trHeight w:hRule="exact" w:val="616"/>
        </w:trPr>
        <w:tc>
          <w:tcPr>
            <w:tcW w:w="1870" w:type="dxa"/>
            <w:tcMar>
              <w:top w:w="0" w:type="dxa"/>
              <w:left w:w="0" w:type="dxa"/>
              <w:bottom w:w="0" w:type="dxa"/>
              <w:right w:w="0" w:type="dxa"/>
            </w:tcMar>
            <w:vAlign w:val="center"/>
          </w:tcPr>
          <w:p w14:paraId="17383A13" w14:textId="77777777" w:rsidR="0075791A" w:rsidRDefault="00FB2864">
            <w:pPr>
              <w:pStyle w:val="TableParagraph"/>
              <w:widowControl/>
              <w:jc w:val="center"/>
              <w:rPr>
                <w:rFonts w:ascii="Times New Roman" w:eastAsia="Times New Roman" w:hAnsi="Times New Roman" w:cs="Times New Roman"/>
                <w:color w:val="auto"/>
                <w:spacing w:val="1"/>
                <w:lang w:eastAsia="zh-CN"/>
              </w:rPr>
            </w:pPr>
            <w:r>
              <w:rPr>
                <w:rFonts w:ascii="Times New Roman" w:eastAsia="Times New Roman" w:hAnsi="Times New Roman" w:cs="Times New Roman" w:hint="eastAsia"/>
                <w:color w:val="auto"/>
                <w:spacing w:val="1"/>
                <w:lang w:eastAsia="zh-CN"/>
              </w:rPr>
              <w:t>优势种</w:t>
            </w:r>
          </w:p>
        </w:tc>
        <w:tc>
          <w:tcPr>
            <w:tcW w:w="1870" w:type="dxa"/>
            <w:tcMar>
              <w:top w:w="0" w:type="dxa"/>
              <w:left w:w="0" w:type="dxa"/>
              <w:bottom w:w="0" w:type="dxa"/>
              <w:right w:w="0" w:type="dxa"/>
            </w:tcMar>
            <w:vAlign w:val="center"/>
          </w:tcPr>
          <w:p w14:paraId="6318A26C"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 New Roman" w:eastAsia="Times New Roman" w:hAnsi="Times New Roman" w:cs="Times New Roman" w:hint="eastAsia"/>
                <w:color w:val="auto"/>
                <w:spacing w:val="1"/>
              </w:rPr>
              <w:t>平均丰度</w:t>
            </w:r>
          </w:p>
          <w:p w14:paraId="431BF9ED"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 New Roman" w:eastAsia="Times New Roman" w:hAnsi="Times New Roman" w:cs="Times New Roman" w:hint="eastAsia"/>
                <w:color w:val="auto"/>
                <w:spacing w:val="1"/>
              </w:rPr>
              <w:t>（×10</w:t>
            </w:r>
            <w:r>
              <w:rPr>
                <w:rFonts w:ascii="Times New Roman" w:eastAsia="Times New Roman" w:hAnsi="Times New Roman" w:cs="Times New Roman" w:hint="eastAsia"/>
                <w:color w:val="auto"/>
                <w:spacing w:val="1"/>
                <w:vertAlign w:val="superscript"/>
              </w:rPr>
              <w:t>4</w:t>
            </w:r>
            <w:r>
              <w:rPr>
                <w:rFonts w:ascii="Times New Roman" w:eastAsia="Times New Roman" w:hAnsi="Times New Roman" w:cs="Times New Roman" w:hint="eastAsia"/>
                <w:color w:val="auto"/>
                <w:spacing w:val="1"/>
              </w:rPr>
              <w:t xml:space="preserve"> cells/m3）</w:t>
            </w:r>
          </w:p>
        </w:tc>
        <w:tc>
          <w:tcPr>
            <w:tcW w:w="1870" w:type="dxa"/>
            <w:tcMar>
              <w:top w:w="0" w:type="dxa"/>
              <w:left w:w="0" w:type="dxa"/>
              <w:bottom w:w="0" w:type="dxa"/>
              <w:right w:w="0" w:type="dxa"/>
            </w:tcMar>
            <w:vAlign w:val="center"/>
          </w:tcPr>
          <w:p w14:paraId="234FDA22" w14:textId="77777777" w:rsidR="0075791A" w:rsidRDefault="00FB2864">
            <w:pPr>
              <w:pStyle w:val="TableParagraph"/>
              <w:widowControl/>
              <w:jc w:val="center"/>
              <w:rPr>
                <w:rFonts w:ascii="Times New Roman" w:eastAsia="Times New Roman" w:hAnsi="Times New Roman" w:cs="Times New Roman"/>
                <w:color w:val="auto"/>
                <w:spacing w:val="1"/>
                <w:lang w:eastAsia="zh-CN"/>
              </w:rPr>
            </w:pPr>
            <w:r>
              <w:rPr>
                <w:rFonts w:ascii="Times New Roman" w:eastAsia="Times New Roman" w:hAnsi="Times New Roman" w:cs="Times New Roman" w:hint="eastAsia"/>
                <w:color w:val="auto"/>
                <w:spacing w:val="1"/>
                <w:lang w:eastAsia="zh-CN"/>
              </w:rPr>
              <w:t>占总细胞数的比</w:t>
            </w:r>
          </w:p>
          <w:p w14:paraId="49700672" w14:textId="77777777" w:rsidR="0075791A" w:rsidRDefault="00FB2864">
            <w:pPr>
              <w:pStyle w:val="TableParagraph"/>
              <w:widowControl/>
              <w:jc w:val="center"/>
              <w:rPr>
                <w:rFonts w:ascii="Times New Roman" w:eastAsia="Times New Roman" w:hAnsi="Times New Roman" w:cs="Times New Roman"/>
                <w:color w:val="auto"/>
                <w:spacing w:val="1"/>
                <w:lang w:eastAsia="zh-CN"/>
              </w:rPr>
            </w:pPr>
            <w:r>
              <w:rPr>
                <w:rFonts w:ascii="Times New Roman" w:eastAsia="Times New Roman" w:hAnsi="Times New Roman" w:cs="Times New Roman" w:hint="eastAsia"/>
                <w:color w:val="auto"/>
                <w:spacing w:val="1"/>
                <w:lang w:eastAsia="zh-CN"/>
              </w:rPr>
              <w:t>例（%）</w:t>
            </w:r>
          </w:p>
        </w:tc>
        <w:tc>
          <w:tcPr>
            <w:tcW w:w="1870" w:type="dxa"/>
            <w:tcMar>
              <w:top w:w="0" w:type="dxa"/>
              <w:left w:w="0" w:type="dxa"/>
              <w:bottom w:w="0" w:type="dxa"/>
              <w:right w:w="0" w:type="dxa"/>
            </w:tcMar>
            <w:vAlign w:val="center"/>
          </w:tcPr>
          <w:p w14:paraId="69B410D0"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 New Roman" w:eastAsia="Times New Roman" w:hAnsi="Times New Roman" w:cs="Times New Roman" w:hint="eastAsia"/>
                <w:color w:val="auto"/>
                <w:spacing w:val="1"/>
              </w:rPr>
              <w:t>出现频率</w:t>
            </w:r>
          </w:p>
          <w:p w14:paraId="3BF5EDC1"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 New Roman" w:eastAsia="Times New Roman" w:hAnsi="Times New Roman" w:cs="Times New Roman" w:hint="eastAsia"/>
                <w:color w:val="auto"/>
                <w:spacing w:val="1"/>
              </w:rPr>
              <w:t>（%）</w:t>
            </w:r>
          </w:p>
        </w:tc>
        <w:tc>
          <w:tcPr>
            <w:tcW w:w="1871" w:type="dxa"/>
            <w:tcMar>
              <w:top w:w="0" w:type="dxa"/>
              <w:left w:w="0" w:type="dxa"/>
              <w:bottom w:w="0" w:type="dxa"/>
              <w:right w:w="0" w:type="dxa"/>
            </w:tcMar>
            <w:vAlign w:val="center"/>
          </w:tcPr>
          <w:p w14:paraId="64AED80F"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 New Roman" w:eastAsia="Times New Roman" w:hAnsi="Times New Roman" w:cs="Times New Roman" w:hint="eastAsia"/>
                <w:color w:val="auto"/>
                <w:spacing w:val="1"/>
              </w:rPr>
              <w:t>优势度</w:t>
            </w:r>
          </w:p>
        </w:tc>
      </w:tr>
      <w:tr w:rsidR="0075791A" w14:paraId="15BA088A" w14:textId="77777777">
        <w:trPr>
          <w:trHeight w:hRule="exact" w:val="283"/>
        </w:trPr>
        <w:tc>
          <w:tcPr>
            <w:tcW w:w="1870" w:type="dxa"/>
            <w:tcMar>
              <w:top w:w="0" w:type="dxa"/>
              <w:left w:w="0" w:type="dxa"/>
              <w:bottom w:w="0" w:type="dxa"/>
              <w:right w:w="0" w:type="dxa"/>
            </w:tcMar>
            <w:vAlign w:val="center"/>
          </w:tcPr>
          <w:p w14:paraId="7879B082"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 New Roman" w:eastAsia="Times New Roman" w:hAnsi="Times New Roman" w:cs="Times New Roman" w:hint="eastAsia"/>
                <w:color w:val="auto"/>
                <w:spacing w:val="1"/>
              </w:rPr>
              <w:t>透明辐杆藻</w:t>
            </w:r>
          </w:p>
        </w:tc>
        <w:tc>
          <w:tcPr>
            <w:tcW w:w="1870" w:type="dxa"/>
            <w:tcMar>
              <w:top w:w="0" w:type="dxa"/>
              <w:left w:w="0" w:type="dxa"/>
              <w:bottom w:w="0" w:type="dxa"/>
              <w:right w:w="0" w:type="dxa"/>
            </w:tcMar>
            <w:vAlign w:val="center"/>
          </w:tcPr>
          <w:p w14:paraId="6F7563B5"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 New Roman" w:eastAsia="Times New Roman" w:hAnsi="Times New Roman" w:cs="Times New Roman" w:hint="eastAsia"/>
                <w:color w:val="auto"/>
                <w:spacing w:val="1"/>
              </w:rPr>
              <w:t>495.61</w:t>
            </w:r>
          </w:p>
        </w:tc>
        <w:tc>
          <w:tcPr>
            <w:tcW w:w="1870" w:type="dxa"/>
            <w:tcMar>
              <w:top w:w="0" w:type="dxa"/>
              <w:left w:w="0" w:type="dxa"/>
              <w:bottom w:w="0" w:type="dxa"/>
              <w:right w:w="0" w:type="dxa"/>
            </w:tcMar>
            <w:vAlign w:val="center"/>
          </w:tcPr>
          <w:p w14:paraId="057F19F5"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NewRomanPSMT" w:eastAsia="TimesNewRomanPSMT" w:hAnsi="TimesNewRomanPSMT" w:hint="eastAsia"/>
                <w:color w:val="auto"/>
                <w:szCs w:val="24"/>
              </w:rPr>
              <w:t>45.49</w:t>
            </w:r>
          </w:p>
        </w:tc>
        <w:tc>
          <w:tcPr>
            <w:tcW w:w="1870" w:type="dxa"/>
            <w:tcMar>
              <w:top w:w="0" w:type="dxa"/>
              <w:left w:w="0" w:type="dxa"/>
              <w:bottom w:w="0" w:type="dxa"/>
              <w:right w:w="0" w:type="dxa"/>
            </w:tcMar>
            <w:vAlign w:val="center"/>
          </w:tcPr>
          <w:p w14:paraId="78138193" w14:textId="77777777" w:rsidR="0075791A" w:rsidRDefault="00FB2864">
            <w:pPr>
              <w:pStyle w:val="TableParagraph"/>
              <w:widowControl/>
              <w:jc w:val="center"/>
              <w:rPr>
                <w:rFonts w:ascii="Times New Roman" w:eastAsia="宋体" w:hAnsi="Times New Roman" w:cs="Times New Roman"/>
                <w:color w:val="auto"/>
                <w:spacing w:val="1"/>
                <w:lang w:eastAsia="zh-CN"/>
              </w:rPr>
            </w:pPr>
            <w:r>
              <w:rPr>
                <w:rFonts w:ascii="Times New Roman" w:eastAsia="宋体" w:hAnsi="Times New Roman" w:cs="Times New Roman" w:hint="eastAsia"/>
                <w:color w:val="auto"/>
                <w:spacing w:val="1"/>
                <w:lang w:eastAsia="zh-CN"/>
              </w:rPr>
              <w:t>100.00</w:t>
            </w:r>
          </w:p>
        </w:tc>
        <w:tc>
          <w:tcPr>
            <w:tcW w:w="1871" w:type="dxa"/>
            <w:tcMar>
              <w:top w:w="0" w:type="dxa"/>
              <w:left w:w="0" w:type="dxa"/>
              <w:bottom w:w="0" w:type="dxa"/>
              <w:right w:w="0" w:type="dxa"/>
            </w:tcMar>
            <w:vAlign w:val="center"/>
          </w:tcPr>
          <w:p w14:paraId="1F5EDFBD" w14:textId="77777777" w:rsidR="0075791A" w:rsidRDefault="00FB2864">
            <w:pPr>
              <w:pStyle w:val="TableParagraph"/>
              <w:widowControl/>
              <w:jc w:val="center"/>
              <w:rPr>
                <w:rFonts w:ascii="Times New Roman" w:eastAsia="宋体" w:hAnsi="Times New Roman" w:cs="Times New Roman"/>
                <w:color w:val="auto"/>
                <w:spacing w:val="1"/>
                <w:lang w:eastAsia="zh-CN"/>
              </w:rPr>
            </w:pPr>
            <w:r>
              <w:rPr>
                <w:rFonts w:ascii="Times New Roman" w:eastAsia="宋体" w:hAnsi="Times New Roman" w:cs="Times New Roman" w:hint="eastAsia"/>
                <w:color w:val="auto"/>
                <w:spacing w:val="1"/>
                <w:lang w:eastAsia="zh-CN"/>
              </w:rPr>
              <w:t>0.45</w:t>
            </w:r>
          </w:p>
        </w:tc>
      </w:tr>
      <w:tr w:rsidR="0075791A" w14:paraId="3CF35B94" w14:textId="77777777">
        <w:trPr>
          <w:trHeight w:hRule="exact" w:val="283"/>
        </w:trPr>
        <w:tc>
          <w:tcPr>
            <w:tcW w:w="1870" w:type="dxa"/>
            <w:tcMar>
              <w:top w:w="0" w:type="dxa"/>
              <w:left w:w="0" w:type="dxa"/>
              <w:bottom w:w="0" w:type="dxa"/>
              <w:right w:w="0" w:type="dxa"/>
            </w:tcMar>
            <w:vAlign w:val="center"/>
          </w:tcPr>
          <w:p w14:paraId="1CE6566C"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 New Roman" w:eastAsia="Times New Roman" w:hAnsi="Times New Roman" w:cs="Times New Roman" w:hint="eastAsia"/>
                <w:color w:val="auto"/>
                <w:spacing w:val="1"/>
              </w:rPr>
              <w:t>劳氏角毛藻</w:t>
            </w:r>
          </w:p>
        </w:tc>
        <w:tc>
          <w:tcPr>
            <w:tcW w:w="1870" w:type="dxa"/>
            <w:tcMar>
              <w:top w:w="0" w:type="dxa"/>
              <w:left w:w="0" w:type="dxa"/>
              <w:bottom w:w="0" w:type="dxa"/>
              <w:right w:w="0" w:type="dxa"/>
            </w:tcMar>
            <w:vAlign w:val="center"/>
          </w:tcPr>
          <w:p w14:paraId="4B8E413B"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 New Roman" w:eastAsia="Times New Roman" w:hAnsi="Times New Roman" w:cs="Times New Roman" w:hint="eastAsia"/>
                <w:color w:val="auto"/>
                <w:spacing w:val="1"/>
              </w:rPr>
              <w:t>290.83</w:t>
            </w:r>
          </w:p>
        </w:tc>
        <w:tc>
          <w:tcPr>
            <w:tcW w:w="1870" w:type="dxa"/>
            <w:tcMar>
              <w:top w:w="0" w:type="dxa"/>
              <w:left w:w="0" w:type="dxa"/>
              <w:bottom w:w="0" w:type="dxa"/>
              <w:right w:w="0" w:type="dxa"/>
            </w:tcMar>
            <w:vAlign w:val="center"/>
          </w:tcPr>
          <w:p w14:paraId="2B693FAA"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NewRomanPSMT" w:eastAsia="TimesNewRomanPSMT" w:hAnsi="TimesNewRomanPSMT" w:hint="eastAsia"/>
                <w:color w:val="auto"/>
                <w:szCs w:val="24"/>
              </w:rPr>
              <w:t>26.69</w:t>
            </w:r>
          </w:p>
        </w:tc>
        <w:tc>
          <w:tcPr>
            <w:tcW w:w="1870" w:type="dxa"/>
            <w:tcMar>
              <w:top w:w="0" w:type="dxa"/>
              <w:left w:w="0" w:type="dxa"/>
              <w:bottom w:w="0" w:type="dxa"/>
              <w:right w:w="0" w:type="dxa"/>
            </w:tcMar>
            <w:vAlign w:val="center"/>
          </w:tcPr>
          <w:p w14:paraId="7FBC1E51" w14:textId="77777777" w:rsidR="0075791A" w:rsidRDefault="00FB2864">
            <w:pPr>
              <w:widowControl/>
              <w:jc w:val="center"/>
              <w:rPr>
                <w:rFonts w:ascii="Times New Roman" w:eastAsia="Times New Roman" w:hAnsi="Times New Roman" w:cs="Times New Roman"/>
                <w:color w:val="auto"/>
                <w:spacing w:val="1"/>
              </w:rPr>
            </w:pPr>
            <w:r>
              <w:rPr>
                <w:rFonts w:ascii="Times New Roman" w:eastAsia="宋体" w:hAnsi="Times New Roman" w:cs="Times New Roman" w:hint="eastAsia"/>
                <w:color w:val="auto"/>
                <w:spacing w:val="1"/>
                <w:lang w:eastAsia="zh-CN"/>
              </w:rPr>
              <w:t>100.00</w:t>
            </w:r>
          </w:p>
        </w:tc>
        <w:tc>
          <w:tcPr>
            <w:tcW w:w="1871" w:type="dxa"/>
            <w:tcMar>
              <w:top w:w="0" w:type="dxa"/>
              <w:left w:w="0" w:type="dxa"/>
              <w:bottom w:w="0" w:type="dxa"/>
              <w:right w:w="0" w:type="dxa"/>
            </w:tcMar>
            <w:vAlign w:val="center"/>
          </w:tcPr>
          <w:p w14:paraId="6EE40727" w14:textId="77777777" w:rsidR="0075791A" w:rsidRDefault="00FB2864">
            <w:pPr>
              <w:pStyle w:val="TableParagraph"/>
              <w:widowControl/>
              <w:jc w:val="center"/>
              <w:rPr>
                <w:rFonts w:ascii="Times New Roman" w:eastAsia="宋体" w:hAnsi="Times New Roman" w:cs="Times New Roman"/>
                <w:color w:val="auto"/>
                <w:spacing w:val="1"/>
                <w:lang w:eastAsia="zh-CN"/>
              </w:rPr>
            </w:pPr>
            <w:r>
              <w:rPr>
                <w:rFonts w:ascii="Times New Roman" w:eastAsia="宋体" w:hAnsi="Times New Roman" w:cs="Times New Roman" w:hint="eastAsia"/>
                <w:color w:val="auto"/>
                <w:spacing w:val="1"/>
                <w:lang w:eastAsia="zh-CN"/>
              </w:rPr>
              <w:t>0.27</w:t>
            </w:r>
          </w:p>
        </w:tc>
      </w:tr>
      <w:tr w:rsidR="0075791A" w14:paraId="7CA81F5D" w14:textId="77777777">
        <w:trPr>
          <w:trHeight w:hRule="exact" w:val="283"/>
        </w:trPr>
        <w:tc>
          <w:tcPr>
            <w:tcW w:w="1870" w:type="dxa"/>
            <w:tcMar>
              <w:top w:w="0" w:type="dxa"/>
              <w:left w:w="0" w:type="dxa"/>
              <w:bottom w:w="0" w:type="dxa"/>
              <w:right w:w="0" w:type="dxa"/>
            </w:tcMar>
            <w:vAlign w:val="center"/>
          </w:tcPr>
          <w:p w14:paraId="5F0D12B5"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 New Roman" w:eastAsia="Times New Roman" w:hAnsi="Times New Roman" w:cs="Times New Roman" w:hint="eastAsia"/>
                <w:color w:val="auto"/>
                <w:spacing w:val="1"/>
              </w:rPr>
              <w:t>扁面角毛藻</w:t>
            </w:r>
          </w:p>
        </w:tc>
        <w:tc>
          <w:tcPr>
            <w:tcW w:w="1870" w:type="dxa"/>
            <w:tcMar>
              <w:top w:w="0" w:type="dxa"/>
              <w:left w:w="0" w:type="dxa"/>
              <w:bottom w:w="0" w:type="dxa"/>
              <w:right w:w="0" w:type="dxa"/>
            </w:tcMar>
            <w:vAlign w:val="center"/>
          </w:tcPr>
          <w:p w14:paraId="139390B5"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NewRomanPSMT" w:eastAsia="TimesNewRomanPSMT" w:hAnsi="TimesNewRomanPSMT" w:hint="eastAsia"/>
                <w:color w:val="auto"/>
                <w:szCs w:val="24"/>
              </w:rPr>
              <w:t>64.45</w:t>
            </w:r>
          </w:p>
        </w:tc>
        <w:tc>
          <w:tcPr>
            <w:tcW w:w="1870" w:type="dxa"/>
            <w:tcMar>
              <w:top w:w="0" w:type="dxa"/>
              <w:left w:w="0" w:type="dxa"/>
              <w:bottom w:w="0" w:type="dxa"/>
              <w:right w:w="0" w:type="dxa"/>
            </w:tcMar>
            <w:vAlign w:val="center"/>
          </w:tcPr>
          <w:p w14:paraId="1F233943"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NewRomanPSMT" w:eastAsia="TimesNewRomanPSMT" w:hAnsi="TimesNewRomanPSMT" w:hint="eastAsia"/>
                <w:color w:val="auto"/>
                <w:szCs w:val="24"/>
              </w:rPr>
              <w:t>5.92</w:t>
            </w:r>
          </w:p>
        </w:tc>
        <w:tc>
          <w:tcPr>
            <w:tcW w:w="1870" w:type="dxa"/>
            <w:tcMar>
              <w:top w:w="0" w:type="dxa"/>
              <w:left w:w="0" w:type="dxa"/>
              <w:bottom w:w="0" w:type="dxa"/>
              <w:right w:w="0" w:type="dxa"/>
            </w:tcMar>
            <w:vAlign w:val="center"/>
          </w:tcPr>
          <w:p w14:paraId="25587A16" w14:textId="77777777" w:rsidR="0075791A" w:rsidRDefault="00FB2864">
            <w:pPr>
              <w:widowControl/>
              <w:jc w:val="center"/>
              <w:rPr>
                <w:rFonts w:ascii="Times New Roman" w:eastAsia="Times New Roman" w:hAnsi="Times New Roman" w:cs="Times New Roman"/>
                <w:color w:val="auto"/>
                <w:spacing w:val="1"/>
              </w:rPr>
            </w:pPr>
            <w:r>
              <w:rPr>
                <w:rFonts w:ascii="Times New Roman" w:eastAsia="宋体" w:hAnsi="Times New Roman" w:cs="Times New Roman" w:hint="eastAsia"/>
                <w:color w:val="auto"/>
                <w:spacing w:val="1"/>
                <w:lang w:eastAsia="zh-CN"/>
              </w:rPr>
              <w:t>100.00</w:t>
            </w:r>
          </w:p>
        </w:tc>
        <w:tc>
          <w:tcPr>
            <w:tcW w:w="1871" w:type="dxa"/>
            <w:tcMar>
              <w:top w:w="0" w:type="dxa"/>
              <w:left w:w="0" w:type="dxa"/>
              <w:bottom w:w="0" w:type="dxa"/>
              <w:right w:w="0" w:type="dxa"/>
            </w:tcMar>
            <w:vAlign w:val="center"/>
          </w:tcPr>
          <w:p w14:paraId="4E50610D" w14:textId="77777777" w:rsidR="0075791A" w:rsidRDefault="00FB2864">
            <w:pPr>
              <w:pStyle w:val="TableParagraph"/>
              <w:widowControl/>
              <w:jc w:val="center"/>
              <w:rPr>
                <w:rFonts w:ascii="Times New Roman" w:eastAsia="宋体" w:hAnsi="Times New Roman" w:cs="Times New Roman"/>
                <w:color w:val="auto"/>
                <w:spacing w:val="1"/>
                <w:lang w:eastAsia="zh-CN"/>
              </w:rPr>
            </w:pPr>
            <w:r>
              <w:rPr>
                <w:rFonts w:ascii="Times New Roman" w:eastAsia="宋体" w:hAnsi="Times New Roman" w:cs="Times New Roman" w:hint="eastAsia"/>
                <w:color w:val="auto"/>
                <w:spacing w:val="1"/>
                <w:lang w:eastAsia="zh-CN"/>
              </w:rPr>
              <w:t>0.06</w:t>
            </w:r>
          </w:p>
        </w:tc>
      </w:tr>
      <w:tr w:rsidR="0075791A" w14:paraId="070B1B93" w14:textId="77777777">
        <w:trPr>
          <w:trHeight w:hRule="exact" w:val="283"/>
        </w:trPr>
        <w:tc>
          <w:tcPr>
            <w:tcW w:w="1870" w:type="dxa"/>
            <w:tcMar>
              <w:top w:w="0" w:type="dxa"/>
              <w:left w:w="0" w:type="dxa"/>
              <w:bottom w:w="0" w:type="dxa"/>
              <w:right w:w="0" w:type="dxa"/>
            </w:tcMar>
            <w:vAlign w:val="center"/>
          </w:tcPr>
          <w:p w14:paraId="58C82559"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 New Roman" w:eastAsia="Times New Roman" w:hAnsi="Times New Roman" w:cs="Times New Roman" w:hint="eastAsia"/>
                <w:color w:val="auto"/>
                <w:spacing w:val="1"/>
              </w:rPr>
              <w:t>丹麦细柱藻</w:t>
            </w:r>
          </w:p>
        </w:tc>
        <w:tc>
          <w:tcPr>
            <w:tcW w:w="1870" w:type="dxa"/>
            <w:tcMar>
              <w:top w:w="0" w:type="dxa"/>
              <w:left w:w="0" w:type="dxa"/>
              <w:bottom w:w="0" w:type="dxa"/>
              <w:right w:w="0" w:type="dxa"/>
            </w:tcMar>
            <w:vAlign w:val="center"/>
          </w:tcPr>
          <w:p w14:paraId="114DBD33"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NewRomanPSMT" w:eastAsia="TimesNewRomanPSMT" w:hAnsi="TimesNewRomanPSMT" w:hint="eastAsia"/>
                <w:color w:val="auto"/>
                <w:szCs w:val="24"/>
              </w:rPr>
              <w:t>47.85</w:t>
            </w:r>
          </w:p>
        </w:tc>
        <w:tc>
          <w:tcPr>
            <w:tcW w:w="1870" w:type="dxa"/>
            <w:tcMar>
              <w:top w:w="0" w:type="dxa"/>
              <w:left w:w="0" w:type="dxa"/>
              <w:bottom w:w="0" w:type="dxa"/>
              <w:right w:w="0" w:type="dxa"/>
            </w:tcMar>
            <w:vAlign w:val="center"/>
          </w:tcPr>
          <w:p w14:paraId="6E5FF649"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NewRomanPSMT" w:eastAsia="TimesNewRomanPSMT" w:hAnsi="TimesNewRomanPSMT" w:hint="eastAsia"/>
                <w:color w:val="auto"/>
                <w:szCs w:val="24"/>
              </w:rPr>
              <w:t>4.39</w:t>
            </w:r>
          </w:p>
        </w:tc>
        <w:tc>
          <w:tcPr>
            <w:tcW w:w="1870" w:type="dxa"/>
            <w:tcMar>
              <w:top w:w="0" w:type="dxa"/>
              <w:left w:w="0" w:type="dxa"/>
              <w:bottom w:w="0" w:type="dxa"/>
              <w:right w:w="0" w:type="dxa"/>
            </w:tcMar>
            <w:vAlign w:val="center"/>
          </w:tcPr>
          <w:p w14:paraId="72784787" w14:textId="77777777" w:rsidR="0075791A" w:rsidRDefault="00FB2864">
            <w:pPr>
              <w:widowControl/>
              <w:jc w:val="center"/>
              <w:rPr>
                <w:rFonts w:ascii="Times New Roman" w:eastAsia="Times New Roman" w:hAnsi="Times New Roman" w:cs="Times New Roman"/>
                <w:color w:val="auto"/>
                <w:spacing w:val="1"/>
              </w:rPr>
            </w:pPr>
            <w:r>
              <w:rPr>
                <w:rFonts w:ascii="Times New Roman" w:eastAsia="宋体" w:hAnsi="Times New Roman" w:cs="Times New Roman" w:hint="eastAsia"/>
                <w:color w:val="auto"/>
                <w:spacing w:val="1"/>
                <w:lang w:eastAsia="zh-CN"/>
              </w:rPr>
              <w:t>100.00</w:t>
            </w:r>
          </w:p>
        </w:tc>
        <w:tc>
          <w:tcPr>
            <w:tcW w:w="1871" w:type="dxa"/>
            <w:tcMar>
              <w:top w:w="0" w:type="dxa"/>
              <w:left w:w="0" w:type="dxa"/>
              <w:bottom w:w="0" w:type="dxa"/>
              <w:right w:w="0" w:type="dxa"/>
            </w:tcMar>
            <w:vAlign w:val="center"/>
          </w:tcPr>
          <w:p w14:paraId="0B5CED5F" w14:textId="77777777" w:rsidR="0075791A" w:rsidRDefault="00FB2864">
            <w:pPr>
              <w:pStyle w:val="TableParagraph"/>
              <w:widowControl/>
              <w:jc w:val="center"/>
              <w:rPr>
                <w:rFonts w:ascii="Times New Roman" w:eastAsia="宋体" w:hAnsi="Times New Roman" w:cs="Times New Roman"/>
                <w:color w:val="auto"/>
                <w:spacing w:val="1"/>
                <w:lang w:eastAsia="zh-CN"/>
              </w:rPr>
            </w:pPr>
            <w:r>
              <w:rPr>
                <w:rFonts w:ascii="Times New Roman" w:eastAsia="宋体" w:hAnsi="Times New Roman" w:cs="Times New Roman" w:hint="eastAsia"/>
                <w:color w:val="auto"/>
                <w:spacing w:val="1"/>
                <w:lang w:eastAsia="zh-CN"/>
              </w:rPr>
              <w:t>0.04</w:t>
            </w:r>
          </w:p>
        </w:tc>
      </w:tr>
      <w:tr w:rsidR="0075791A" w14:paraId="56BF9F42" w14:textId="77777777">
        <w:trPr>
          <w:trHeight w:hRule="exact" w:val="283"/>
        </w:trPr>
        <w:tc>
          <w:tcPr>
            <w:tcW w:w="1870" w:type="dxa"/>
            <w:tcMar>
              <w:top w:w="0" w:type="dxa"/>
              <w:left w:w="0" w:type="dxa"/>
              <w:bottom w:w="0" w:type="dxa"/>
              <w:right w:w="0" w:type="dxa"/>
            </w:tcMar>
            <w:vAlign w:val="center"/>
          </w:tcPr>
          <w:p w14:paraId="502D8382"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 New Roman" w:eastAsia="Times New Roman" w:hAnsi="Times New Roman" w:cs="Times New Roman" w:hint="eastAsia"/>
                <w:color w:val="auto"/>
                <w:spacing w:val="1"/>
              </w:rPr>
              <w:t>扭链角毛藻</w:t>
            </w:r>
          </w:p>
        </w:tc>
        <w:tc>
          <w:tcPr>
            <w:tcW w:w="1870" w:type="dxa"/>
            <w:tcMar>
              <w:top w:w="0" w:type="dxa"/>
              <w:left w:w="0" w:type="dxa"/>
              <w:bottom w:w="0" w:type="dxa"/>
              <w:right w:w="0" w:type="dxa"/>
            </w:tcMar>
            <w:vAlign w:val="center"/>
          </w:tcPr>
          <w:p w14:paraId="7D1AF966"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NewRomanPSMT" w:eastAsia="TimesNewRomanPSMT" w:hAnsi="TimesNewRomanPSMT" w:hint="eastAsia"/>
                <w:color w:val="auto"/>
                <w:szCs w:val="24"/>
              </w:rPr>
              <w:t>46.11</w:t>
            </w:r>
          </w:p>
        </w:tc>
        <w:tc>
          <w:tcPr>
            <w:tcW w:w="1870" w:type="dxa"/>
            <w:tcMar>
              <w:top w:w="0" w:type="dxa"/>
              <w:left w:w="0" w:type="dxa"/>
              <w:bottom w:w="0" w:type="dxa"/>
              <w:right w:w="0" w:type="dxa"/>
            </w:tcMar>
            <w:vAlign w:val="center"/>
          </w:tcPr>
          <w:p w14:paraId="0EDEC2D5"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NewRomanPSMT" w:eastAsia="TimesNewRomanPSMT" w:hAnsi="TimesNewRomanPSMT" w:hint="eastAsia"/>
                <w:color w:val="auto"/>
                <w:szCs w:val="24"/>
              </w:rPr>
              <w:t>4.23</w:t>
            </w:r>
          </w:p>
        </w:tc>
        <w:tc>
          <w:tcPr>
            <w:tcW w:w="1870" w:type="dxa"/>
            <w:tcMar>
              <w:top w:w="0" w:type="dxa"/>
              <w:left w:w="0" w:type="dxa"/>
              <w:bottom w:w="0" w:type="dxa"/>
              <w:right w:w="0" w:type="dxa"/>
            </w:tcMar>
            <w:vAlign w:val="center"/>
          </w:tcPr>
          <w:p w14:paraId="12E513C3" w14:textId="77777777" w:rsidR="0075791A" w:rsidRDefault="00FB2864">
            <w:pPr>
              <w:widowControl/>
              <w:jc w:val="center"/>
              <w:rPr>
                <w:rFonts w:ascii="Times New Roman" w:eastAsia="Times New Roman" w:hAnsi="Times New Roman" w:cs="Times New Roman"/>
                <w:color w:val="auto"/>
                <w:spacing w:val="1"/>
              </w:rPr>
            </w:pPr>
            <w:r>
              <w:rPr>
                <w:rFonts w:ascii="Times New Roman" w:eastAsia="宋体" w:hAnsi="Times New Roman" w:cs="Times New Roman" w:hint="eastAsia"/>
                <w:color w:val="auto"/>
                <w:spacing w:val="1"/>
                <w:lang w:eastAsia="zh-CN"/>
              </w:rPr>
              <w:t>75.00</w:t>
            </w:r>
          </w:p>
        </w:tc>
        <w:tc>
          <w:tcPr>
            <w:tcW w:w="1871" w:type="dxa"/>
            <w:tcMar>
              <w:top w:w="0" w:type="dxa"/>
              <w:left w:w="0" w:type="dxa"/>
              <w:bottom w:w="0" w:type="dxa"/>
              <w:right w:w="0" w:type="dxa"/>
            </w:tcMar>
            <w:vAlign w:val="center"/>
          </w:tcPr>
          <w:p w14:paraId="7933E405" w14:textId="77777777" w:rsidR="0075791A" w:rsidRDefault="00FB2864">
            <w:pPr>
              <w:pStyle w:val="TableParagraph"/>
              <w:widowControl/>
              <w:jc w:val="center"/>
              <w:rPr>
                <w:rFonts w:ascii="Times New Roman" w:eastAsia="宋体" w:hAnsi="Times New Roman" w:cs="Times New Roman"/>
                <w:color w:val="auto"/>
                <w:spacing w:val="1"/>
                <w:lang w:eastAsia="zh-CN"/>
              </w:rPr>
            </w:pPr>
            <w:r>
              <w:rPr>
                <w:rFonts w:ascii="Times New Roman" w:eastAsia="宋体" w:hAnsi="Times New Roman" w:cs="Times New Roman" w:hint="eastAsia"/>
                <w:color w:val="auto"/>
                <w:spacing w:val="1"/>
                <w:lang w:eastAsia="zh-CN"/>
              </w:rPr>
              <w:t>0.03</w:t>
            </w:r>
          </w:p>
        </w:tc>
      </w:tr>
      <w:tr w:rsidR="0075791A" w14:paraId="15F466D0" w14:textId="77777777">
        <w:trPr>
          <w:trHeight w:hRule="exact" w:val="283"/>
        </w:trPr>
        <w:tc>
          <w:tcPr>
            <w:tcW w:w="1870" w:type="dxa"/>
            <w:tcMar>
              <w:top w:w="0" w:type="dxa"/>
              <w:left w:w="0" w:type="dxa"/>
              <w:bottom w:w="0" w:type="dxa"/>
              <w:right w:w="0" w:type="dxa"/>
            </w:tcMar>
            <w:vAlign w:val="center"/>
          </w:tcPr>
          <w:p w14:paraId="104D822B"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 New Roman" w:eastAsia="Times New Roman" w:hAnsi="Times New Roman" w:cs="Times New Roman" w:hint="eastAsia"/>
                <w:color w:val="auto"/>
                <w:spacing w:val="1"/>
              </w:rPr>
              <w:t>变异辐杆藻</w:t>
            </w:r>
          </w:p>
        </w:tc>
        <w:tc>
          <w:tcPr>
            <w:tcW w:w="1870" w:type="dxa"/>
            <w:tcMar>
              <w:top w:w="0" w:type="dxa"/>
              <w:left w:w="0" w:type="dxa"/>
              <w:bottom w:w="0" w:type="dxa"/>
              <w:right w:w="0" w:type="dxa"/>
            </w:tcMar>
            <w:vAlign w:val="center"/>
          </w:tcPr>
          <w:p w14:paraId="08876146"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NewRomanPSMT" w:eastAsia="TimesNewRomanPSMT" w:hAnsi="TimesNewRomanPSMT" w:hint="eastAsia"/>
                <w:color w:val="auto"/>
                <w:szCs w:val="24"/>
              </w:rPr>
              <w:t>19.24</w:t>
            </w:r>
          </w:p>
        </w:tc>
        <w:tc>
          <w:tcPr>
            <w:tcW w:w="1870" w:type="dxa"/>
            <w:tcMar>
              <w:top w:w="0" w:type="dxa"/>
              <w:left w:w="0" w:type="dxa"/>
              <w:bottom w:w="0" w:type="dxa"/>
              <w:right w:w="0" w:type="dxa"/>
            </w:tcMar>
            <w:vAlign w:val="center"/>
          </w:tcPr>
          <w:p w14:paraId="4CAB7001"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NewRomanPSMT" w:eastAsia="TimesNewRomanPSMT" w:hAnsi="TimesNewRomanPSMT" w:hint="eastAsia"/>
                <w:color w:val="auto"/>
                <w:szCs w:val="24"/>
              </w:rPr>
              <w:t>1.77</w:t>
            </w:r>
          </w:p>
        </w:tc>
        <w:tc>
          <w:tcPr>
            <w:tcW w:w="1870" w:type="dxa"/>
            <w:tcMar>
              <w:top w:w="0" w:type="dxa"/>
              <w:left w:w="0" w:type="dxa"/>
              <w:bottom w:w="0" w:type="dxa"/>
              <w:right w:w="0" w:type="dxa"/>
            </w:tcMar>
            <w:vAlign w:val="center"/>
          </w:tcPr>
          <w:p w14:paraId="67F4AB54" w14:textId="77777777" w:rsidR="0075791A" w:rsidRDefault="00FB2864">
            <w:pPr>
              <w:widowControl/>
              <w:jc w:val="center"/>
              <w:rPr>
                <w:rFonts w:ascii="Times New Roman" w:eastAsia="Times New Roman" w:hAnsi="Times New Roman" w:cs="Times New Roman"/>
                <w:color w:val="auto"/>
                <w:spacing w:val="1"/>
              </w:rPr>
            </w:pPr>
            <w:r>
              <w:rPr>
                <w:rFonts w:ascii="Times New Roman" w:eastAsia="宋体" w:hAnsi="Times New Roman" w:cs="Times New Roman" w:hint="eastAsia"/>
                <w:color w:val="auto"/>
                <w:spacing w:val="1"/>
                <w:lang w:eastAsia="zh-CN"/>
              </w:rPr>
              <w:t>100.00</w:t>
            </w:r>
          </w:p>
        </w:tc>
        <w:tc>
          <w:tcPr>
            <w:tcW w:w="1871" w:type="dxa"/>
            <w:tcMar>
              <w:top w:w="0" w:type="dxa"/>
              <w:left w:w="0" w:type="dxa"/>
              <w:bottom w:w="0" w:type="dxa"/>
              <w:right w:w="0" w:type="dxa"/>
            </w:tcMar>
            <w:vAlign w:val="center"/>
          </w:tcPr>
          <w:p w14:paraId="305DB4F8" w14:textId="77777777" w:rsidR="0075791A" w:rsidRDefault="00FB2864">
            <w:pPr>
              <w:pStyle w:val="TableParagraph"/>
              <w:widowControl/>
              <w:jc w:val="center"/>
              <w:rPr>
                <w:rFonts w:ascii="Times New Roman" w:eastAsia="宋体" w:hAnsi="Times New Roman" w:cs="Times New Roman"/>
                <w:color w:val="auto"/>
                <w:spacing w:val="1"/>
                <w:lang w:eastAsia="zh-CN"/>
              </w:rPr>
            </w:pPr>
            <w:r>
              <w:rPr>
                <w:rFonts w:ascii="Times New Roman" w:eastAsia="宋体" w:hAnsi="Times New Roman" w:cs="Times New Roman" w:hint="eastAsia"/>
                <w:color w:val="auto"/>
                <w:spacing w:val="1"/>
                <w:lang w:eastAsia="zh-CN"/>
              </w:rPr>
              <w:t>0.02</w:t>
            </w:r>
          </w:p>
        </w:tc>
      </w:tr>
      <w:tr w:rsidR="0075791A" w14:paraId="22171C45" w14:textId="77777777">
        <w:trPr>
          <w:trHeight w:hRule="exact" w:val="283"/>
        </w:trPr>
        <w:tc>
          <w:tcPr>
            <w:tcW w:w="1870" w:type="dxa"/>
            <w:tcMar>
              <w:top w:w="0" w:type="dxa"/>
              <w:left w:w="0" w:type="dxa"/>
              <w:bottom w:w="0" w:type="dxa"/>
              <w:right w:w="0" w:type="dxa"/>
            </w:tcMar>
            <w:vAlign w:val="center"/>
          </w:tcPr>
          <w:p w14:paraId="5C18EF6F"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 New Roman" w:eastAsia="Times New Roman" w:hAnsi="Times New Roman" w:cs="Times New Roman" w:hint="eastAsia"/>
                <w:color w:val="auto"/>
                <w:spacing w:val="1"/>
              </w:rPr>
              <w:t>小辐杆藻</w:t>
            </w:r>
          </w:p>
        </w:tc>
        <w:tc>
          <w:tcPr>
            <w:tcW w:w="1870" w:type="dxa"/>
            <w:tcMar>
              <w:top w:w="0" w:type="dxa"/>
              <w:left w:w="0" w:type="dxa"/>
              <w:bottom w:w="0" w:type="dxa"/>
              <w:right w:w="0" w:type="dxa"/>
            </w:tcMar>
            <w:vAlign w:val="center"/>
          </w:tcPr>
          <w:p w14:paraId="43A6662B"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NewRomanPSMT" w:eastAsia="TimesNewRomanPSMT" w:hAnsi="TimesNewRomanPSMT" w:hint="eastAsia"/>
                <w:color w:val="auto"/>
                <w:szCs w:val="24"/>
              </w:rPr>
              <w:t>17.45</w:t>
            </w:r>
          </w:p>
        </w:tc>
        <w:tc>
          <w:tcPr>
            <w:tcW w:w="1870" w:type="dxa"/>
            <w:tcMar>
              <w:top w:w="0" w:type="dxa"/>
              <w:left w:w="0" w:type="dxa"/>
              <w:bottom w:w="0" w:type="dxa"/>
              <w:right w:w="0" w:type="dxa"/>
            </w:tcMar>
            <w:vAlign w:val="center"/>
          </w:tcPr>
          <w:p w14:paraId="61AA483A"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NewRomanPSMT" w:eastAsia="TimesNewRomanPSMT" w:hAnsi="TimesNewRomanPSMT" w:hint="eastAsia"/>
                <w:color w:val="auto"/>
                <w:szCs w:val="24"/>
              </w:rPr>
              <w:t>1.60</w:t>
            </w:r>
          </w:p>
        </w:tc>
        <w:tc>
          <w:tcPr>
            <w:tcW w:w="1870" w:type="dxa"/>
            <w:tcMar>
              <w:top w:w="0" w:type="dxa"/>
              <w:left w:w="0" w:type="dxa"/>
              <w:bottom w:w="0" w:type="dxa"/>
              <w:right w:w="0" w:type="dxa"/>
            </w:tcMar>
            <w:vAlign w:val="center"/>
          </w:tcPr>
          <w:p w14:paraId="5CA1B348" w14:textId="77777777" w:rsidR="0075791A" w:rsidRDefault="00FB2864">
            <w:pPr>
              <w:widowControl/>
              <w:jc w:val="center"/>
              <w:rPr>
                <w:rFonts w:ascii="Times New Roman" w:eastAsia="Times New Roman" w:hAnsi="Times New Roman" w:cs="Times New Roman"/>
                <w:color w:val="auto"/>
                <w:spacing w:val="1"/>
              </w:rPr>
            </w:pPr>
            <w:r>
              <w:rPr>
                <w:rFonts w:ascii="Times New Roman" w:eastAsia="宋体" w:hAnsi="Times New Roman" w:cs="Times New Roman" w:hint="eastAsia"/>
                <w:color w:val="auto"/>
                <w:spacing w:val="1"/>
                <w:lang w:eastAsia="zh-CN"/>
              </w:rPr>
              <w:t>100.00</w:t>
            </w:r>
          </w:p>
        </w:tc>
        <w:tc>
          <w:tcPr>
            <w:tcW w:w="1871" w:type="dxa"/>
            <w:tcMar>
              <w:top w:w="0" w:type="dxa"/>
              <w:left w:w="0" w:type="dxa"/>
              <w:bottom w:w="0" w:type="dxa"/>
              <w:right w:w="0" w:type="dxa"/>
            </w:tcMar>
            <w:vAlign w:val="center"/>
          </w:tcPr>
          <w:p w14:paraId="4267C5AB" w14:textId="77777777" w:rsidR="0075791A" w:rsidRDefault="00FB2864">
            <w:pPr>
              <w:pStyle w:val="TableParagraph"/>
              <w:widowControl/>
              <w:jc w:val="center"/>
              <w:rPr>
                <w:rFonts w:ascii="Times New Roman" w:eastAsia="Times New Roman" w:hAnsi="Times New Roman" w:cs="Times New Roman"/>
                <w:color w:val="auto"/>
                <w:spacing w:val="1"/>
              </w:rPr>
            </w:pPr>
            <w:r>
              <w:rPr>
                <w:rFonts w:ascii="Times New Roman" w:eastAsia="宋体" w:hAnsi="Times New Roman" w:cs="Times New Roman" w:hint="eastAsia"/>
                <w:color w:val="auto"/>
                <w:spacing w:val="1"/>
                <w:lang w:eastAsia="zh-CN"/>
              </w:rPr>
              <w:t>0.02</w:t>
            </w:r>
          </w:p>
        </w:tc>
      </w:tr>
    </w:tbl>
    <w:p w14:paraId="6BA4532A" w14:textId="77777777" w:rsidR="0075791A" w:rsidRDefault="0075791A">
      <w:pPr>
        <w:pStyle w:val="TableParagraph"/>
        <w:spacing w:before="5" w:line="120" w:lineRule="exact"/>
        <w:rPr>
          <w:color w:val="auto"/>
          <w:sz w:val="12"/>
          <w:szCs w:val="12"/>
        </w:rPr>
      </w:pPr>
    </w:p>
    <w:p w14:paraId="1A1752C5" w14:textId="77777777" w:rsidR="0075791A" w:rsidRDefault="0075791A">
      <w:pPr>
        <w:pStyle w:val="TableParagraph"/>
        <w:spacing w:line="200" w:lineRule="exact"/>
        <w:rPr>
          <w:color w:val="auto"/>
          <w:sz w:val="20"/>
          <w:szCs w:val="20"/>
        </w:rPr>
      </w:pPr>
    </w:p>
    <w:p w14:paraId="0BCF013F"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调查期间，各站位鉴定到的浮游植物种类数为</w:t>
      </w:r>
      <w:r>
        <w:rPr>
          <w:rFonts w:ascii="Times New Roman" w:eastAsia="宋体" w:hAnsi="Times New Roman" w:cs="Times New Roman" w:hint="eastAsia"/>
          <w:snapToGrid/>
          <w:color w:val="auto"/>
          <w:kern w:val="2"/>
          <w:sz w:val="24"/>
          <w:szCs w:val="24"/>
          <w:lang w:eastAsia="zh-CN"/>
        </w:rPr>
        <w:t xml:space="preserve"> 30~41 </w:t>
      </w:r>
      <w:r>
        <w:rPr>
          <w:rFonts w:ascii="Times New Roman" w:eastAsia="宋体" w:hAnsi="Times New Roman" w:cs="Times New Roman" w:hint="eastAsia"/>
          <w:snapToGrid/>
          <w:color w:val="auto"/>
          <w:kern w:val="2"/>
          <w:sz w:val="24"/>
          <w:szCs w:val="24"/>
          <w:lang w:eastAsia="zh-CN"/>
        </w:rPr>
        <w:t>种，站位</w:t>
      </w:r>
      <w:r>
        <w:rPr>
          <w:rFonts w:ascii="Times New Roman" w:eastAsia="宋体" w:hAnsi="Times New Roman" w:cs="Times New Roman" w:hint="eastAsia"/>
          <w:snapToGrid/>
          <w:color w:val="auto"/>
          <w:kern w:val="2"/>
          <w:sz w:val="24"/>
          <w:szCs w:val="24"/>
          <w:lang w:eastAsia="zh-CN"/>
        </w:rPr>
        <w:t xml:space="preserve"> H2 </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 xml:space="preserve"> H9 </w:t>
      </w:r>
      <w:r>
        <w:rPr>
          <w:rFonts w:ascii="Times New Roman" w:eastAsia="宋体" w:hAnsi="Times New Roman" w:cs="Times New Roman" w:hint="eastAsia"/>
          <w:snapToGrid/>
          <w:color w:val="auto"/>
          <w:kern w:val="2"/>
          <w:sz w:val="24"/>
          <w:szCs w:val="24"/>
          <w:lang w:eastAsia="zh-CN"/>
        </w:rPr>
        <w:t>鉴定到的种类数最少，站位</w:t>
      </w:r>
      <w:r>
        <w:rPr>
          <w:rFonts w:ascii="Times New Roman" w:eastAsia="宋体" w:hAnsi="Times New Roman" w:cs="Times New Roman" w:hint="eastAsia"/>
          <w:snapToGrid/>
          <w:color w:val="auto"/>
          <w:kern w:val="2"/>
          <w:sz w:val="24"/>
          <w:szCs w:val="24"/>
          <w:lang w:eastAsia="zh-CN"/>
        </w:rPr>
        <w:t xml:space="preserve">H5 </w:t>
      </w:r>
      <w:r>
        <w:rPr>
          <w:rFonts w:ascii="Times New Roman" w:eastAsia="宋体" w:hAnsi="Times New Roman" w:cs="Times New Roman" w:hint="eastAsia"/>
          <w:snapToGrid/>
          <w:color w:val="auto"/>
          <w:kern w:val="2"/>
          <w:sz w:val="24"/>
          <w:szCs w:val="24"/>
          <w:lang w:eastAsia="zh-CN"/>
        </w:rPr>
        <w:t>鉴定到的种类数最多。调查海域浮游植物细胞丰度较高，且各站位间的丰度相差较大，介于（</w:t>
      </w:r>
      <w:r>
        <w:rPr>
          <w:rFonts w:ascii="Times New Roman" w:eastAsia="宋体" w:hAnsi="Times New Roman" w:cs="Times New Roman" w:hint="eastAsia"/>
          <w:snapToGrid/>
          <w:color w:val="auto"/>
          <w:kern w:val="2"/>
          <w:sz w:val="24"/>
          <w:szCs w:val="24"/>
          <w:lang w:eastAsia="zh-CN"/>
        </w:rPr>
        <w:t>118.61~3336.21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 xml:space="preserve">104 cells/m3 </w:t>
      </w:r>
      <w:r>
        <w:rPr>
          <w:rFonts w:ascii="Times New Roman" w:eastAsia="宋体" w:hAnsi="Times New Roman" w:cs="Times New Roman" w:hint="eastAsia"/>
          <w:snapToGrid/>
          <w:color w:val="auto"/>
          <w:kern w:val="2"/>
          <w:sz w:val="24"/>
          <w:szCs w:val="24"/>
          <w:lang w:eastAsia="zh-CN"/>
        </w:rPr>
        <w:t>之间，平均丰度为</w:t>
      </w:r>
      <w:r>
        <w:rPr>
          <w:rFonts w:ascii="Times New Roman" w:eastAsia="宋体" w:hAnsi="Times New Roman" w:cs="Times New Roman" w:hint="eastAsia"/>
          <w:snapToGrid/>
          <w:color w:val="auto"/>
          <w:kern w:val="2"/>
          <w:sz w:val="24"/>
          <w:szCs w:val="24"/>
          <w:lang w:eastAsia="zh-CN"/>
        </w:rPr>
        <w:t>1127.52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104 cells/m3</w:t>
      </w:r>
      <w:r>
        <w:rPr>
          <w:rFonts w:ascii="Times New Roman" w:eastAsia="宋体" w:hAnsi="Times New Roman" w:cs="Times New Roman" w:hint="eastAsia"/>
          <w:snapToGrid/>
          <w:color w:val="auto"/>
          <w:kern w:val="2"/>
          <w:sz w:val="24"/>
          <w:szCs w:val="24"/>
          <w:lang w:eastAsia="zh-CN"/>
        </w:rPr>
        <w:t>。站位</w:t>
      </w:r>
      <w:r>
        <w:rPr>
          <w:rFonts w:ascii="Times New Roman" w:eastAsia="宋体" w:hAnsi="Times New Roman" w:cs="Times New Roman" w:hint="eastAsia"/>
          <w:snapToGrid/>
          <w:color w:val="auto"/>
          <w:kern w:val="2"/>
          <w:sz w:val="24"/>
          <w:szCs w:val="24"/>
          <w:lang w:eastAsia="zh-CN"/>
        </w:rPr>
        <w:t xml:space="preserve">H4 </w:t>
      </w:r>
      <w:r>
        <w:rPr>
          <w:rFonts w:ascii="Times New Roman" w:eastAsia="宋体" w:hAnsi="Times New Roman" w:cs="Times New Roman" w:hint="eastAsia"/>
          <w:snapToGrid/>
          <w:color w:val="auto"/>
          <w:kern w:val="2"/>
          <w:sz w:val="24"/>
          <w:szCs w:val="24"/>
          <w:lang w:eastAsia="zh-CN"/>
        </w:rPr>
        <w:t>的细胞丰度最高，</w:t>
      </w:r>
      <w:r>
        <w:rPr>
          <w:rFonts w:ascii="Times New Roman" w:eastAsia="宋体" w:hAnsi="Times New Roman" w:cs="Times New Roman" w:hint="eastAsia"/>
          <w:snapToGrid/>
          <w:color w:val="auto"/>
          <w:kern w:val="2"/>
          <w:sz w:val="24"/>
          <w:szCs w:val="24"/>
          <w:lang w:eastAsia="zh-CN"/>
        </w:rPr>
        <w:t xml:space="preserve">H2 </w:t>
      </w:r>
      <w:r>
        <w:rPr>
          <w:rFonts w:ascii="Times New Roman" w:eastAsia="宋体" w:hAnsi="Times New Roman" w:cs="Times New Roman" w:hint="eastAsia"/>
          <w:snapToGrid/>
          <w:color w:val="auto"/>
          <w:kern w:val="2"/>
          <w:sz w:val="24"/>
          <w:szCs w:val="24"/>
          <w:lang w:eastAsia="zh-CN"/>
        </w:rPr>
        <w:t>次之，</w:t>
      </w:r>
      <w:r>
        <w:rPr>
          <w:rFonts w:ascii="Times New Roman" w:eastAsia="宋体" w:hAnsi="Times New Roman" w:cs="Times New Roman" w:hint="eastAsia"/>
          <w:snapToGrid/>
          <w:color w:val="auto"/>
          <w:kern w:val="2"/>
          <w:sz w:val="24"/>
          <w:szCs w:val="24"/>
          <w:lang w:eastAsia="zh-CN"/>
        </w:rPr>
        <w:t xml:space="preserve">H6~H9 </w:t>
      </w:r>
      <w:r>
        <w:rPr>
          <w:rFonts w:ascii="Times New Roman" w:eastAsia="宋体" w:hAnsi="Times New Roman" w:cs="Times New Roman" w:hint="eastAsia"/>
          <w:snapToGrid/>
          <w:color w:val="auto"/>
          <w:kern w:val="2"/>
          <w:sz w:val="24"/>
          <w:szCs w:val="24"/>
          <w:lang w:eastAsia="zh-CN"/>
        </w:rPr>
        <w:t>站位的细胞丰度较低（详见表</w:t>
      </w:r>
      <w:r>
        <w:rPr>
          <w:rFonts w:ascii="Times New Roman" w:eastAsia="宋体" w:hAnsi="Times New Roman" w:cs="Times New Roman" w:hint="eastAsia"/>
          <w:snapToGrid/>
          <w:color w:val="auto"/>
          <w:kern w:val="2"/>
          <w:sz w:val="24"/>
          <w:szCs w:val="24"/>
          <w:lang w:eastAsia="zh-CN"/>
        </w:rPr>
        <w:t>3.2.6-21</w:t>
      </w:r>
      <w:r>
        <w:rPr>
          <w:rFonts w:ascii="Times New Roman" w:eastAsia="宋体" w:hAnsi="Times New Roman" w:cs="Times New Roman" w:hint="eastAsia"/>
          <w:snapToGrid/>
          <w:color w:val="auto"/>
          <w:kern w:val="2"/>
          <w:sz w:val="24"/>
          <w:szCs w:val="24"/>
          <w:lang w:eastAsia="zh-CN"/>
        </w:rPr>
        <w:t>）。</w:t>
      </w:r>
    </w:p>
    <w:p w14:paraId="1F6F91C6"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lastRenderedPageBreak/>
        <w:t>各站位浮游植物的多样性指数介于</w:t>
      </w:r>
      <w:r>
        <w:rPr>
          <w:rFonts w:ascii="Times New Roman" w:eastAsia="宋体" w:hAnsi="Times New Roman" w:cs="Times New Roman" w:hint="eastAsia"/>
          <w:snapToGrid/>
          <w:color w:val="auto"/>
          <w:kern w:val="2"/>
          <w:sz w:val="24"/>
          <w:szCs w:val="24"/>
          <w:lang w:eastAsia="zh-CN"/>
        </w:rPr>
        <w:t>2.38~3.42</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2.69</w:t>
      </w:r>
      <w:r>
        <w:rPr>
          <w:rFonts w:ascii="Times New Roman" w:eastAsia="宋体" w:hAnsi="Times New Roman" w:cs="Times New Roman" w:hint="eastAsia"/>
          <w:snapToGrid/>
          <w:color w:val="auto"/>
          <w:kern w:val="2"/>
          <w:sz w:val="24"/>
          <w:szCs w:val="24"/>
          <w:lang w:eastAsia="zh-CN"/>
        </w:rPr>
        <w:t>。其中，站位</w:t>
      </w:r>
      <w:r>
        <w:rPr>
          <w:rFonts w:ascii="Times New Roman" w:eastAsia="宋体" w:hAnsi="Times New Roman" w:cs="Times New Roman" w:hint="eastAsia"/>
          <w:snapToGrid/>
          <w:color w:val="auto"/>
          <w:kern w:val="2"/>
          <w:sz w:val="24"/>
          <w:szCs w:val="24"/>
          <w:lang w:eastAsia="zh-CN"/>
        </w:rPr>
        <w:t xml:space="preserve">H7 </w:t>
      </w:r>
      <w:r>
        <w:rPr>
          <w:rFonts w:ascii="Times New Roman" w:eastAsia="宋体" w:hAnsi="Times New Roman" w:cs="Times New Roman" w:hint="eastAsia"/>
          <w:snapToGrid/>
          <w:color w:val="auto"/>
          <w:kern w:val="2"/>
          <w:sz w:val="24"/>
          <w:szCs w:val="24"/>
          <w:lang w:eastAsia="zh-CN"/>
        </w:rPr>
        <w:t>的多样性指数最高，站位</w:t>
      </w:r>
      <w:r>
        <w:rPr>
          <w:rFonts w:ascii="Times New Roman" w:eastAsia="宋体" w:hAnsi="Times New Roman" w:cs="Times New Roman" w:hint="eastAsia"/>
          <w:snapToGrid/>
          <w:color w:val="auto"/>
          <w:kern w:val="2"/>
          <w:sz w:val="24"/>
          <w:szCs w:val="24"/>
          <w:lang w:eastAsia="zh-CN"/>
        </w:rPr>
        <w:t>H5</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2.86</w:t>
      </w:r>
      <w:r>
        <w:rPr>
          <w:rFonts w:ascii="Times New Roman" w:eastAsia="宋体" w:hAnsi="Times New Roman" w:cs="Times New Roman" w:hint="eastAsia"/>
          <w:snapToGrid/>
          <w:color w:val="auto"/>
          <w:kern w:val="2"/>
          <w:sz w:val="24"/>
          <w:szCs w:val="24"/>
          <w:lang w:eastAsia="zh-CN"/>
        </w:rPr>
        <w:t>）次之，站位</w:t>
      </w:r>
      <w:r>
        <w:rPr>
          <w:rFonts w:ascii="Times New Roman" w:eastAsia="宋体" w:hAnsi="Times New Roman" w:cs="Times New Roman" w:hint="eastAsia"/>
          <w:snapToGrid/>
          <w:color w:val="auto"/>
          <w:kern w:val="2"/>
          <w:sz w:val="24"/>
          <w:szCs w:val="24"/>
          <w:lang w:eastAsia="zh-CN"/>
        </w:rPr>
        <w:t xml:space="preserve">H4 </w:t>
      </w:r>
      <w:r>
        <w:rPr>
          <w:rFonts w:ascii="Times New Roman" w:eastAsia="宋体" w:hAnsi="Times New Roman" w:cs="Times New Roman" w:hint="eastAsia"/>
          <w:snapToGrid/>
          <w:color w:val="auto"/>
          <w:kern w:val="2"/>
          <w:sz w:val="24"/>
          <w:szCs w:val="24"/>
          <w:lang w:eastAsia="zh-CN"/>
        </w:rPr>
        <w:t>的多样性指数最低，仅为</w:t>
      </w:r>
      <w:r>
        <w:rPr>
          <w:rFonts w:ascii="Times New Roman" w:eastAsia="宋体" w:hAnsi="Times New Roman" w:cs="Times New Roman" w:hint="eastAsia"/>
          <w:snapToGrid/>
          <w:color w:val="auto"/>
          <w:kern w:val="2"/>
          <w:sz w:val="24"/>
          <w:szCs w:val="24"/>
          <w:lang w:eastAsia="zh-CN"/>
        </w:rPr>
        <w:t>2.38</w:t>
      </w:r>
      <w:r>
        <w:rPr>
          <w:rFonts w:ascii="Times New Roman" w:eastAsia="宋体" w:hAnsi="Times New Roman" w:cs="Times New Roman" w:hint="eastAsia"/>
          <w:snapToGrid/>
          <w:color w:val="auto"/>
          <w:kern w:val="2"/>
          <w:sz w:val="24"/>
          <w:szCs w:val="24"/>
          <w:lang w:eastAsia="zh-CN"/>
        </w:rPr>
        <w:t>。各站位浮游植物的均匀度介于</w:t>
      </w:r>
      <w:r>
        <w:rPr>
          <w:rFonts w:ascii="Times New Roman" w:eastAsia="宋体" w:hAnsi="Times New Roman" w:cs="Times New Roman" w:hint="eastAsia"/>
          <w:snapToGrid/>
          <w:color w:val="auto"/>
          <w:kern w:val="2"/>
          <w:sz w:val="24"/>
          <w:szCs w:val="24"/>
          <w:lang w:eastAsia="zh-CN"/>
        </w:rPr>
        <w:t xml:space="preserve">0.46~0.64 </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0.52</w:t>
      </w:r>
      <w:r>
        <w:rPr>
          <w:rFonts w:ascii="Times New Roman" w:eastAsia="宋体" w:hAnsi="Times New Roman" w:cs="Times New Roman" w:hint="eastAsia"/>
          <w:snapToGrid/>
          <w:color w:val="auto"/>
          <w:kern w:val="2"/>
          <w:sz w:val="24"/>
          <w:szCs w:val="24"/>
          <w:lang w:eastAsia="zh-CN"/>
        </w:rPr>
        <w:t>。数值高低分布与多样性指数一致，最高值出现在站位</w:t>
      </w:r>
      <w:r>
        <w:rPr>
          <w:rFonts w:ascii="Times New Roman" w:eastAsia="宋体" w:hAnsi="Times New Roman" w:cs="Times New Roman" w:hint="eastAsia"/>
          <w:snapToGrid/>
          <w:color w:val="auto"/>
          <w:kern w:val="2"/>
          <w:sz w:val="24"/>
          <w:szCs w:val="24"/>
          <w:lang w:eastAsia="zh-CN"/>
        </w:rPr>
        <w:t>H7</w:t>
      </w:r>
      <w:r>
        <w:rPr>
          <w:rFonts w:ascii="Times New Roman" w:eastAsia="宋体" w:hAnsi="Times New Roman" w:cs="Times New Roman" w:hint="eastAsia"/>
          <w:snapToGrid/>
          <w:color w:val="auto"/>
          <w:kern w:val="2"/>
          <w:sz w:val="24"/>
          <w:szCs w:val="24"/>
          <w:lang w:eastAsia="zh-CN"/>
        </w:rPr>
        <w:t>，最低值出现在站位</w:t>
      </w:r>
      <w:r>
        <w:rPr>
          <w:rFonts w:ascii="Times New Roman" w:eastAsia="宋体" w:hAnsi="Times New Roman" w:cs="Times New Roman" w:hint="eastAsia"/>
          <w:snapToGrid/>
          <w:color w:val="auto"/>
          <w:kern w:val="2"/>
          <w:sz w:val="24"/>
          <w:szCs w:val="24"/>
          <w:lang w:eastAsia="zh-CN"/>
        </w:rPr>
        <w:t>H4</w:t>
      </w:r>
      <w:r>
        <w:rPr>
          <w:rFonts w:ascii="Times New Roman" w:eastAsia="宋体" w:hAnsi="Times New Roman" w:cs="Times New Roman" w:hint="eastAsia"/>
          <w:snapToGrid/>
          <w:color w:val="auto"/>
          <w:kern w:val="2"/>
          <w:sz w:val="24"/>
          <w:szCs w:val="24"/>
          <w:lang w:eastAsia="zh-CN"/>
        </w:rPr>
        <w:t>。调查海域多数站位浮游植物多样性指数和均匀度较高，浮游植物种类丰富，种间比例均匀。</w:t>
      </w:r>
    </w:p>
    <w:p w14:paraId="16382223" w14:textId="77777777" w:rsidR="0075791A" w:rsidRDefault="00FB2864">
      <w:pPr>
        <w:pStyle w:val="TableParagraph"/>
        <w:spacing w:before="28"/>
        <w:ind w:left="1776"/>
        <w:rPr>
          <w:rFonts w:ascii="宋体" w:eastAsia="宋体" w:hAnsi="宋体"/>
          <w:color w:val="auto"/>
          <w:sz w:val="24"/>
          <w:szCs w:val="24"/>
          <w:lang w:eastAsia="zh-CN"/>
        </w:rPr>
      </w:pPr>
      <w:r>
        <w:rPr>
          <w:rFonts w:ascii="宋体" w:eastAsia="宋体" w:hAnsi="宋体" w:cs="宋体" w:hint="eastAsia"/>
          <w:color w:val="auto"/>
          <w:sz w:val="24"/>
          <w:szCs w:val="24"/>
          <w:lang w:eastAsia="zh-CN"/>
        </w:rPr>
        <w:t>表</w:t>
      </w:r>
      <w:r>
        <w:rPr>
          <w:rFonts w:ascii="Times New Roman" w:eastAsia="宋体" w:hAnsi="Times New Roman" w:cs="Times New Roman" w:hint="eastAsia"/>
          <w:snapToGrid/>
          <w:color w:val="auto"/>
          <w:kern w:val="2"/>
          <w:sz w:val="24"/>
          <w:szCs w:val="24"/>
          <w:lang w:eastAsia="zh-CN"/>
        </w:rPr>
        <w:t>3.2.6-21</w:t>
      </w:r>
      <w:r>
        <w:rPr>
          <w:rFonts w:ascii="宋体" w:eastAsia="宋体" w:hAnsi="宋体" w:cs="宋体" w:hint="eastAsia"/>
          <w:color w:val="auto"/>
          <w:sz w:val="24"/>
          <w:szCs w:val="24"/>
          <w:lang w:eastAsia="zh-CN"/>
        </w:rPr>
        <w:t xml:space="preserve"> 2024 </w:t>
      </w:r>
      <w:r>
        <w:rPr>
          <w:rFonts w:ascii="宋体" w:eastAsia="宋体" w:hAnsi="宋体" w:cs="宋体" w:hint="eastAsia"/>
          <w:color w:val="auto"/>
          <w:sz w:val="24"/>
          <w:szCs w:val="24"/>
          <w:lang w:eastAsia="zh-CN"/>
        </w:rPr>
        <w:t>年</w:t>
      </w:r>
      <w:r>
        <w:rPr>
          <w:rFonts w:ascii="宋体" w:eastAsia="宋体" w:hAnsi="宋体" w:cs="宋体" w:hint="eastAsia"/>
          <w:color w:val="auto"/>
          <w:sz w:val="24"/>
          <w:szCs w:val="24"/>
          <w:lang w:eastAsia="zh-CN"/>
        </w:rPr>
        <w:t xml:space="preserve">9 </w:t>
      </w:r>
      <w:r>
        <w:rPr>
          <w:rFonts w:ascii="宋体" w:eastAsia="宋体" w:hAnsi="宋体" w:cs="宋体" w:hint="eastAsia"/>
          <w:color w:val="auto"/>
          <w:sz w:val="24"/>
          <w:szCs w:val="24"/>
          <w:lang w:eastAsia="zh-CN"/>
        </w:rPr>
        <w:t>月航次浮游植物调查结果统计</w:t>
      </w:r>
    </w:p>
    <w:tbl>
      <w:tblPr>
        <w:tblW w:w="0" w:type="auto"/>
        <w:jc w:val="center"/>
        <w:tblLayout w:type="fixed"/>
        <w:tblCellMar>
          <w:left w:w="0" w:type="dxa"/>
          <w:right w:w="0" w:type="dxa"/>
        </w:tblCellMar>
        <w:tblLook w:val="04A0" w:firstRow="1" w:lastRow="0" w:firstColumn="1" w:lastColumn="0" w:noHBand="0" w:noVBand="1"/>
      </w:tblPr>
      <w:tblGrid>
        <w:gridCol w:w="846"/>
        <w:gridCol w:w="1842"/>
        <w:gridCol w:w="1843"/>
        <w:gridCol w:w="1843"/>
        <w:gridCol w:w="1843"/>
      </w:tblGrid>
      <w:tr w:rsidR="0075791A" w14:paraId="32168286" w14:textId="77777777">
        <w:trPr>
          <w:trHeight w:hRule="exact" w:val="650"/>
          <w:jc w:val="center"/>
        </w:trPr>
        <w:tc>
          <w:tcPr>
            <w:tcW w:w="846" w:type="dxa"/>
            <w:tcBorders>
              <w:top w:val="single" w:sz="4" w:space="0" w:color="000000"/>
              <w:left w:val="single" w:sz="4" w:space="0" w:color="000000"/>
              <w:bottom w:val="single" w:sz="4" w:space="0" w:color="000000"/>
              <w:right w:val="single" w:sz="4" w:space="0" w:color="000000"/>
            </w:tcBorders>
          </w:tcPr>
          <w:p w14:paraId="02825DF4" w14:textId="77777777" w:rsidR="0075791A" w:rsidRDefault="0075791A">
            <w:pPr>
              <w:pStyle w:val="TableParagraph"/>
              <w:spacing w:before="6" w:line="130" w:lineRule="exact"/>
              <w:rPr>
                <w:color w:val="auto"/>
                <w:sz w:val="13"/>
                <w:szCs w:val="13"/>
                <w:lang w:eastAsia="zh-CN"/>
              </w:rPr>
            </w:pPr>
          </w:p>
          <w:p w14:paraId="5E5B06D2" w14:textId="77777777" w:rsidR="0075791A" w:rsidRDefault="00FB2864">
            <w:pPr>
              <w:pStyle w:val="TableParagraph"/>
              <w:ind w:left="208"/>
              <w:rPr>
                <w:rFonts w:ascii="宋体" w:eastAsia="宋体" w:hAnsi="宋体" w:cs="宋体"/>
                <w:color w:val="auto"/>
              </w:rPr>
            </w:pPr>
            <w:r>
              <w:rPr>
                <w:rFonts w:ascii="宋体" w:eastAsia="宋体" w:hAnsi="宋体" w:cs="宋体"/>
                <w:color w:val="auto"/>
                <w:spacing w:val="-1"/>
              </w:rPr>
              <w:t>站</w:t>
            </w:r>
            <w:r>
              <w:rPr>
                <w:rFonts w:ascii="宋体" w:eastAsia="宋体" w:hAnsi="宋体" w:cs="宋体"/>
                <w:color w:val="auto"/>
              </w:rPr>
              <w:t>位</w:t>
            </w:r>
          </w:p>
        </w:tc>
        <w:tc>
          <w:tcPr>
            <w:tcW w:w="1842" w:type="dxa"/>
            <w:tcBorders>
              <w:top w:val="single" w:sz="4" w:space="0" w:color="000000"/>
              <w:left w:val="single" w:sz="4" w:space="0" w:color="000000"/>
              <w:bottom w:val="single" w:sz="4" w:space="0" w:color="000000"/>
              <w:right w:val="single" w:sz="4" w:space="0" w:color="000000"/>
            </w:tcBorders>
          </w:tcPr>
          <w:p w14:paraId="6521946F" w14:textId="77777777" w:rsidR="0075791A" w:rsidRDefault="0075791A">
            <w:pPr>
              <w:pStyle w:val="TableParagraph"/>
              <w:spacing w:before="6" w:line="130" w:lineRule="exact"/>
              <w:rPr>
                <w:color w:val="auto"/>
                <w:sz w:val="13"/>
                <w:szCs w:val="13"/>
              </w:rPr>
            </w:pPr>
          </w:p>
          <w:p w14:paraId="5448579D" w14:textId="77777777" w:rsidR="0075791A" w:rsidRDefault="00FB2864">
            <w:pPr>
              <w:pStyle w:val="TableParagraph"/>
              <w:ind w:left="601"/>
              <w:rPr>
                <w:rFonts w:ascii="宋体" w:eastAsia="宋体" w:hAnsi="宋体" w:cs="宋体"/>
                <w:color w:val="auto"/>
              </w:rPr>
            </w:pPr>
            <w:r>
              <w:rPr>
                <w:rFonts w:ascii="宋体" w:eastAsia="宋体" w:hAnsi="宋体" w:cs="宋体"/>
                <w:color w:val="auto"/>
                <w:spacing w:val="-1"/>
              </w:rPr>
              <w:t>种</w:t>
            </w:r>
            <w:r>
              <w:rPr>
                <w:rFonts w:ascii="宋体" w:eastAsia="宋体" w:hAnsi="宋体" w:cs="宋体"/>
                <w:color w:val="auto"/>
                <w:spacing w:val="2"/>
              </w:rPr>
              <w:t>类</w:t>
            </w:r>
            <w:r>
              <w:rPr>
                <w:rFonts w:ascii="宋体" w:eastAsia="宋体" w:hAnsi="宋体" w:cs="宋体"/>
                <w:color w:val="auto"/>
              </w:rPr>
              <w:t>数</w:t>
            </w:r>
          </w:p>
        </w:tc>
        <w:tc>
          <w:tcPr>
            <w:tcW w:w="1843" w:type="dxa"/>
            <w:tcBorders>
              <w:top w:val="single" w:sz="4" w:space="0" w:color="000000"/>
              <w:left w:val="single" w:sz="4" w:space="0" w:color="000000"/>
              <w:bottom w:val="single" w:sz="4" w:space="0" w:color="000000"/>
              <w:right w:val="single" w:sz="4" w:space="0" w:color="000000"/>
            </w:tcBorders>
          </w:tcPr>
          <w:p w14:paraId="76561473" w14:textId="77777777" w:rsidR="0075791A" w:rsidRDefault="00FB2864">
            <w:pPr>
              <w:pStyle w:val="TableParagraph"/>
              <w:spacing w:line="285" w:lineRule="exact"/>
              <w:ind w:right="2"/>
              <w:jc w:val="center"/>
              <w:rPr>
                <w:rFonts w:ascii="宋体" w:eastAsia="宋体" w:hAnsi="宋体" w:cs="宋体"/>
                <w:color w:val="auto"/>
              </w:rPr>
            </w:pPr>
            <w:r>
              <w:rPr>
                <w:rFonts w:ascii="宋体" w:eastAsia="宋体" w:hAnsi="宋体" w:cs="宋体"/>
                <w:color w:val="auto"/>
                <w:spacing w:val="-1"/>
              </w:rPr>
              <w:t>细</w:t>
            </w:r>
            <w:r>
              <w:rPr>
                <w:rFonts w:ascii="宋体" w:eastAsia="宋体" w:hAnsi="宋体" w:cs="宋体"/>
                <w:color w:val="auto"/>
                <w:spacing w:val="2"/>
              </w:rPr>
              <w:t>胞</w:t>
            </w:r>
            <w:r>
              <w:rPr>
                <w:rFonts w:ascii="宋体" w:eastAsia="宋体" w:hAnsi="宋体" w:cs="宋体"/>
                <w:color w:val="auto"/>
                <w:spacing w:val="-1"/>
              </w:rPr>
              <w:t>丰</w:t>
            </w:r>
            <w:r>
              <w:rPr>
                <w:rFonts w:ascii="宋体" w:eastAsia="宋体" w:hAnsi="宋体" w:cs="宋体"/>
                <w:color w:val="auto"/>
              </w:rPr>
              <w:t>度</w:t>
            </w:r>
          </w:p>
          <w:p w14:paraId="5F5B67A0" w14:textId="77777777" w:rsidR="0075791A" w:rsidRDefault="00FB2864">
            <w:pPr>
              <w:pStyle w:val="TableParagraph"/>
              <w:spacing w:before="9"/>
              <w:ind w:right="2"/>
              <w:jc w:val="center"/>
              <w:rPr>
                <w:rFonts w:ascii="宋体" w:eastAsia="宋体" w:hAnsi="宋体" w:cs="宋体"/>
                <w:color w:val="auto"/>
              </w:rPr>
            </w:pPr>
            <w:r>
              <w:rPr>
                <w:rFonts w:ascii="宋体" w:eastAsia="宋体" w:hAnsi="宋体" w:cs="宋体"/>
                <w:color w:val="auto"/>
                <w:spacing w:val="2"/>
              </w:rPr>
              <w:t>（</w:t>
            </w:r>
            <w:r>
              <w:rPr>
                <w:rFonts w:ascii="Times New Roman" w:eastAsia="Times New Roman" w:hAnsi="Times New Roman" w:cs="Times New Roman"/>
                <w:color w:val="auto"/>
                <w:spacing w:val="-1"/>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spacing w:val="-2"/>
              </w:rPr>
              <w:t>0</w:t>
            </w:r>
            <w:r>
              <w:rPr>
                <w:rFonts w:ascii="Times New Roman" w:eastAsia="Times New Roman" w:hAnsi="Times New Roman" w:cs="Times New Roman"/>
                <w:color w:val="auto"/>
                <w:position w:val="7"/>
                <w:sz w:val="13"/>
                <w:szCs w:val="13"/>
              </w:rPr>
              <w:t>4</w:t>
            </w:r>
            <w:r>
              <w:rPr>
                <w:rFonts w:ascii="Times New Roman" w:eastAsia="Times New Roman" w:hAnsi="Times New Roman" w:cs="Times New Roman"/>
                <w:color w:val="auto"/>
                <w:spacing w:val="-9"/>
                <w:position w:val="7"/>
                <w:sz w:val="13"/>
                <w:szCs w:val="13"/>
              </w:rPr>
              <w:t xml:space="preserve"> </w:t>
            </w:r>
            <w:r>
              <w:rPr>
                <w:rFonts w:ascii="Times New Roman" w:eastAsia="Times New Roman" w:hAnsi="Times New Roman" w:cs="Times New Roman"/>
                <w:color w:val="auto"/>
                <w:spacing w:val="1"/>
              </w:rPr>
              <w:t>ce</w:t>
            </w:r>
            <w:r>
              <w:rPr>
                <w:rFonts w:ascii="Times New Roman" w:eastAsia="Times New Roman" w:hAnsi="Times New Roman" w:cs="Times New Roman"/>
                <w:color w:val="auto"/>
                <w:spacing w:val="-1"/>
              </w:rPr>
              <w:t>ll</w:t>
            </w:r>
            <w:r>
              <w:rPr>
                <w:rFonts w:ascii="Times New Roman" w:eastAsia="Times New Roman" w:hAnsi="Times New Roman" w:cs="Times New Roman"/>
                <w:color w:val="auto"/>
              </w:rPr>
              <w:t>s</w:t>
            </w:r>
            <w:r>
              <w:rPr>
                <w:rFonts w:ascii="Times New Roman" w:eastAsia="Times New Roman" w:hAnsi="Times New Roman" w:cs="Times New Roman"/>
                <w:color w:val="auto"/>
                <w:spacing w:val="-1"/>
              </w:rPr>
              <w:t>/</w:t>
            </w:r>
            <w:r>
              <w:rPr>
                <w:rFonts w:ascii="Times New Roman" w:eastAsia="Times New Roman" w:hAnsi="Times New Roman" w:cs="Times New Roman"/>
                <w:color w:val="auto"/>
              </w:rPr>
              <w:t>m</w:t>
            </w:r>
            <w:r>
              <w:rPr>
                <w:rFonts w:ascii="Times New Roman" w:eastAsia="Times New Roman" w:hAnsi="Times New Roman" w:cs="Times New Roman"/>
                <w:color w:val="auto"/>
                <w:spacing w:val="2"/>
              </w:rPr>
              <w:t>³</w:t>
            </w:r>
            <w:r>
              <w:rPr>
                <w:rFonts w:ascii="宋体" w:eastAsia="宋体" w:hAnsi="宋体" w:cs="宋体"/>
                <w:color w:val="auto"/>
              </w:rPr>
              <w:t>）</w:t>
            </w:r>
          </w:p>
        </w:tc>
        <w:tc>
          <w:tcPr>
            <w:tcW w:w="1843" w:type="dxa"/>
            <w:tcBorders>
              <w:top w:val="single" w:sz="4" w:space="0" w:color="000000"/>
              <w:left w:val="single" w:sz="4" w:space="0" w:color="000000"/>
              <w:bottom w:val="single" w:sz="4" w:space="0" w:color="000000"/>
              <w:right w:val="single" w:sz="4" w:space="0" w:color="000000"/>
            </w:tcBorders>
          </w:tcPr>
          <w:p w14:paraId="50A35C09" w14:textId="77777777" w:rsidR="0075791A" w:rsidRDefault="0075791A">
            <w:pPr>
              <w:pStyle w:val="TableParagraph"/>
              <w:spacing w:before="6" w:line="130" w:lineRule="exact"/>
              <w:rPr>
                <w:color w:val="auto"/>
                <w:sz w:val="13"/>
                <w:szCs w:val="13"/>
              </w:rPr>
            </w:pPr>
          </w:p>
          <w:p w14:paraId="260EA93A" w14:textId="77777777" w:rsidR="0075791A" w:rsidRDefault="00FB2864">
            <w:pPr>
              <w:pStyle w:val="TableParagraph"/>
              <w:ind w:left="266"/>
              <w:rPr>
                <w:rFonts w:ascii="Times New Roman" w:eastAsia="Times New Roman" w:hAnsi="Times New Roman" w:cs="Times New Roman"/>
                <w:color w:val="auto"/>
              </w:rPr>
            </w:pPr>
            <w:r>
              <w:rPr>
                <w:rFonts w:ascii="宋体" w:eastAsia="宋体" w:hAnsi="宋体" w:cs="宋体"/>
                <w:color w:val="auto"/>
                <w:spacing w:val="-1"/>
              </w:rPr>
              <w:t>多</w:t>
            </w:r>
            <w:r>
              <w:rPr>
                <w:rFonts w:ascii="宋体" w:eastAsia="宋体" w:hAnsi="宋体" w:cs="宋体"/>
                <w:color w:val="auto"/>
                <w:spacing w:val="2"/>
              </w:rPr>
              <w:t>样</w:t>
            </w:r>
            <w:r>
              <w:rPr>
                <w:rFonts w:ascii="宋体" w:eastAsia="宋体" w:hAnsi="宋体" w:cs="宋体"/>
                <w:color w:val="auto"/>
                <w:spacing w:val="-1"/>
              </w:rPr>
              <w:t>性</w:t>
            </w:r>
            <w:r>
              <w:rPr>
                <w:rFonts w:ascii="宋体" w:eastAsia="宋体" w:hAnsi="宋体" w:cs="宋体"/>
                <w:color w:val="auto"/>
                <w:spacing w:val="2"/>
              </w:rPr>
              <w:t>指</w:t>
            </w:r>
            <w:r>
              <w:rPr>
                <w:rFonts w:ascii="宋体" w:eastAsia="宋体" w:hAnsi="宋体" w:cs="宋体"/>
                <w:color w:val="auto"/>
              </w:rPr>
              <w:t>数</w:t>
            </w:r>
            <w:r>
              <w:rPr>
                <w:rFonts w:ascii="宋体" w:eastAsia="宋体" w:hAnsi="宋体" w:cs="宋体"/>
                <w:color w:val="auto"/>
                <w:spacing w:val="-66"/>
              </w:rPr>
              <w:t xml:space="preserve"> </w:t>
            </w:r>
            <w:r>
              <w:rPr>
                <w:rFonts w:ascii="Times New Roman" w:eastAsia="Times New Roman" w:hAnsi="Times New Roman" w:cs="Times New Roman"/>
                <w:i/>
                <w:color w:val="auto"/>
              </w:rPr>
              <w:t>H′</w:t>
            </w:r>
          </w:p>
        </w:tc>
        <w:tc>
          <w:tcPr>
            <w:tcW w:w="1843" w:type="dxa"/>
            <w:tcBorders>
              <w:top w:val="single" w:sz="4" w:space="0" w:color="000000"/>
              <w:left w:val="single" w:sz="4" w:space="0" w:color="000000"/>
              <w:bottom w:val="single" w:sz="4" w:space="0" w:color="000000"/>
              <w:right w:val="single" w:sz="4" w:space="0" w:color="000000"/>
            </w:tcBorders>
          </w:tcPr>
          <w:p w14:paraId="1B7ED563" w14:textId="77777777" w:rsidR="0075791A" w:rsidRDefault="0075791A">
            <w:pPr>
              <w:pStyle w:val="TableParagraph"/>
              <w:spacing w:before="6" w:line="130" w:lineRule="exact"/>
              <w:rPr>
                <w:color w:val="auto"/>
                <w:sz w:val="13"/>
                <w:szCs w:val="13"/>
              </w:rPr>
            </w:pPr>
          </w:p>
          <w:p w14:paraId="6BCCFD18" w14:textId="77777777" w:rsidR="0075791A" w:rsidRDefault="00FB2864">
            <w:pPr>
              <w:pStyle w:val="TableParagraph"/>
              <w:ind w:left="504"/>
              <w:rPr>
                <w:rFonts w:ascii="Times New Roman" w:eastAsia="Times New Roman" w:hAnsi="Times New Roman" w:cs="Times New Roman"/>
                <w:color w:val="auto"/>
              </w:rPr>
            </w:pPr>
            <w:r>
              <w:rPr>
                <w:rFonts w:ascii="宋体" w:eastAsia="宋体" w:hAnsi="宋体" w:cs="宋体"/>
                <w:color w:val="auto"/>
                <w:spacing w:val="-1"/>
              </w:rPr>
              <w:t>均</w:t>
            </w:r>
            <w:r>
              <w:rPr>
                <w:rFonts w:ascii="宋体" w:eastAsia="宋体" w:hAnsi="宋体" w:cs="宋体"/>
                <w:color w:val="auto"/>
                <w:spacing w:val="2"/>
              </w:rPr>
              <w:t>匀</w:t>
            </w:r>
            <w:r>
              <w:rPr>
                <w:rFonts w:ascii="宋体" w:eastAsia="宋体" w:hAnsi="宋体" w:cs="宋体"/>
                <w:color w:val="auto"/>
              </w:rPr>
              <w:t>度</w:t>
            </w:r>
            <w:r>
              <w:rPr>
                <w:rFonts w:ascii="宋体" w:eastAsia="宋体" w:hAnsi="宋体" w:cs="宋体"/>
                <w:color w:val="auto"/>
                <w:spacing w:val="-58"/>
              </w:rPr>
              <w:t xml:space="preserve"> </w:t>
            </w:r>
            <w:r>
              <w:rPr>
                <w:rFonts w:ascii="Times New Roman" w:eastAsia="Times New Roman" w:hAnsi="Times New Roman" w:cs="Times New Roman"/>
                <w:i/>
                <w:color w:val="auto"/>
                <w:spacing w:val="-2"/>
              </w:rPr>
              <w:t>J</w:t>
            </w:r>
            <w:r>
              <w:rPr>
                <w:rFonts w:ascii="Times New Roman" w:eastAsia="Times New Roman" w:hAnsi="Times New Roman" w:cs="Times New Roman"/>
                <w:i/>
                <w:color w:val="auto"/>
              </w:rPr>
              <w:t>′</w:t>
            </w:r>
          </w:p>
        </w:tc>
      </w:tr>
      <w:tr w:rsidR="0075791A" w14:paraId="0A3DBC70" w14:textId="77777777">
        <w:trPr>
          <w:trHeight w:hRule="exact" w:val="330"/>
          <w:jc w:val="center"/>
        </w:trPr>
        <w:tc>
          <w:tcPr>
            <w:tcW w:w="846" w:type="dxa"/>
            <w:tcBorders>
              <w:top w:val="single" w:sz="4" w:space="0" w:color="000000"/>
              <w:left w:val="single" w:sz="4" w:space="0" w:color="000000"/>
              <w:bottom w:val="single" w:sz="4" w:space="0" w:color="000000"/>
              <w:right w:val="single" w:sz="4" w:space="0" w:color="000000"/>
            </w:tcBorders>
          </w:tcPr>
          <w:p w14:paraId="249A0B73" w14:textId="77777777" w:rsidR="0075791A" w:rsidRDefault="00FB2864">
            <w:pPr>
              <w:pStyle w:val="TableParagraph"/>
              <w:spacing w:before="59"/>
              <w:ind w:left="270" w:right="270"/>
              <w:jc w:val="center"/>
              <w:rPr>
                <w:rFonts w:ascii="Times New Roman" w:eastAsia="Times New Roman" w:hAnsi="Times New Roman" w:cs="Times New Roman"/>
                <w:color w:val="auto"/>
              </w:rPr>
            </w:pPr>
            <w:r>
              <w:rPr>
                <w:rFonts w:ascii="Times New Roman" w:eastAsia="Times New Roman" w:hAnsi="Times New Roman" w:cs="Times New Roman"/>
                <w:color w:val="auto"/>
              </w:rPr>
              <w:t>H2</w:t>
            </w:r>
          </w:p>
        </w:tc>
        <w:tc>
          <w:tcPr>
            <w:tcW w:w="1842" w:type="dxa"/>
            <w:tcBorders>
              <w:top w:val="single" w:sz="4" w:space="0" w:color="000000"/>
              <w:left w:val="single" w:sz="4" w:space="0" w:color="000000"/>
              <w:bottom w:val="single" w:sz="4" w:space="0" w:color="000000"/>
              <w:right w:val="single" w:sz="4" w:space="0" w:color="000000"/>
            </w:tcBorders>
          </w:tcPr>
          <w:p w14:paraId="44B5FA2B" w14:textId="77777777" w:rsidR="0075791A" w:rsidRDefault="00FB2864">
            <w:pPr>
              <w:pStyle w:val="TableParagraph"/>
              <w:spacing w:before="40"/>
              <w:ind w:left="792" w:right="79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0</w:t>
            </w:r>
          </w:p>
        </w:tc>
        <w:tc>
          <w:tcPr>
            <w:tcW w:w="1843" w:type="dxa"/>
            <w:tcBorders>
              <w:top w:val="single" w:sz="4" w:space="0" w:color="000000"/>
              <w:left w:val="single" w:sz="4" w:space="0" w:color="000000"/>
              <w:bottom w:val="single" w:sz="4" w:space="0" w:color="000000"/>
              <w:right w:val="single" w:sz="4" w:space="0" w:color="000000"/>
            </w:tcBorders>
          </w:tcPr>
          <w:p w14:paraId="144B10BA" w14:textId="77777777" w:rsidR="0075791A" w:rsidRDefault="00FB2864">
            <w:pPr>
              <w:pStyle w:val="TableParagraph"/>
              <w:spacing w:before="40"/>
              <w:ind w:left="575"/>
              <w:rPr>
                <w:rFonts w:ascii="Times New Roman" w:eastAsia="Times New Roman" w:hAnsi="Times New Roman" w:cs="Times New Roman"/>
                <w:color w:val="auto"/>
              </w:rPr>
            </w:pPr>
            <w:r>
              <w:rPr>
                <w:rFonts w:ascii="Times New Roman" w:eastAsia="Times New Roman" w:hAnsi="Times New Roman" w:cs="Times New Roman"/>
                <w:color w:val="auto"/>
                <w:spacing w:val="1"/>
              </w:rPr>
              <w:t>22</w:t>
            </w:r>
            <w:r>
              <w:rPr>
                <w:rFonts w:ascii="Times New Roman" w:eastAsia="Times New Roman" w:hAnsi="Times New Roman" w:cs="Times New Roman"/>
                <w:color w:val="auto"/>
                <w:spacing w:val="-2"/>
              </w:rPr>
              <w:t>9</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7</w:t>
            </w:r>
          </w:p>
        </w:tc>
        <w:tc>
          <w:tcPr>
            <w:tcW w:w="1843" w:type="dxa"/>
            <w:tcBorders>
              <w:top w:val="single" w:sz="4" w:space="0" w:color="000000"/>
              <w:left w:val="single" w:sz="4" w:space="0" w:color="000000"/>
              <w:bottom w:val="single" w:sz="4" w:space="0" w:color="000000"/>
              <w:right w:val="single" w:sz="4" w:space="0" w:color="000000"/>
            </w:tcBorders>
          </w:tcPr>
          <w:p w14:paraId="1ECD5F87" w14:textId="77777777" w:rsidR="0075791A" w:rsidRDefault="00FB2864">
            <w:pPr>
              <w:pStyle w:val="TableParagraph"/>
              <w:spacing w:before="40"/>
              <w:ind w:left="712" w:right="7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3</w:t>
            </w:r>
          </w:p>
        </w:tc>
        <w:tc>
          <w:tcPr>
            <w:tcW w:w="1843" w:type="dxa"/>
            <w:tcBorders>
              <w:top w:val="single" w:sz="4" w:space="0" w:color="000000"/>
              <w:left w:val="single" w:sz="4" w:space="0" w:color="000000"/>
              <w:bottom w:val="single" w:sz="4" w:space="0" w:color="000000"/>
              <w:right w:val="single" w:sz="4" w:space="0" w:color="000000"/>
            </w:tcBorders>
          </w:tcPr>
          <w:p w14:paraId="47D67B1C" w14:textId="77777777" w:rsidR="0075791A" w:rsidRDefault="00FB2864">
            <w:pPr>
              <w:pStyle w:val="TableParagraph"/>
              <w:spacing w:before="40"/>
              <w:ind w:left="712" w:right="712"/>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9</w:t>
            </w:r>
          </w:p>
        </w:tc>
      </w:tr>
      <w:tr w:rsidR="0075791A" w14:paraId="02E5FE8D" w14:textId="77777777">
        <w:trPr>
          <w:trHeight w:hRule="exact" w:val="330"/>
          <w:jc w:val="center"/>
        </w:trPr>
        <w:tc>
          <w:tcPr>
            <w:tcW w:w="846" w:type="dxa"/>
            <w:tcBorders>
              <w:top w:val="single" w:sz="4" w:space="0" w:color="000000"/>
              <w:left w:val="single" w:sz="4" w:space="0" w:color="000000"/>
              <w:bottom w:val="single" w:sz="4" w:space="0" w:color="000000"/>
              <w:right w:val="single" w:sz="4" w:space="0" w:color="000000"/>
            </w:tcBorders>
          </w:tcPr>
          <w:p w14:paraId="7D72D14D" w14:textId="77777777" w:rsidR="0075791A" w:rsidRDefault="00FB2864">
            <w:pPr>
              <w:pStyle w:val="TableParagraph"/>
              <w:spacing w:before="58"/>
              <w:ind w:left="270" w:right="270"/>
              <w:jc w:val="center"/>
              <w:rPr>
                <w:rFonts w:ascii="Times New Roman" w:eastAsia="Times New Roman" w:hAnsi="Times New Roman" w:cs="Times New Roman"/>
                <w:color w:val="auto"/>
              </w:rPr>
            </w:pPr>
            <w:r>
              <w:rPr>
                <w:rFonts w:ascii="Times New Roman" w:eastAsia="Times New Roman" w:hAnsi="Times New Roman" w:cs="Times New Roman"/>
                <w:color w:val="auto"/>
              </w:rPr>
              <w:t>H4</w:t>
            </w:r>
          </w:p>
        </w:tc>
        <w:tc>
          <w:tcPr>
            <w:tcW w:w="1842" w:type="dxa"/>
            <w:tcBorders>
              <w:top w:val="single" w:sz="4" w:space="0" w:color="000000"/>
              <w:left w:val="single" w:sz="4" w:space="0" w:color="000000"/>
              <w:bottom w:val="single" w:sz="4" w:space="0" w:color="000000"/>
              <w:right w:val="single" w:sz="4" w:space="0" w:color="000000"/>
            </w:tcBorders>
          </w:tcPr>
          <w:p w14:paraId="38D47527" w14:textId="77777777" w:rsidR="0075791A" w:rsidRDefault="00FB2864">
            <w:pPr>
              <w:pStyle w:val="TableParagraph"/>
              <w:spacing w:before="39"/>
              <w:ind w:left="792" w:right="79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5</w:t>
            </w:r>
          </w:p>
        </w:tc>
        <w:tc>
          <w:tcPr>
            <w:tcW w:w="1843" w:type="dxa"/>
            <w:tcBorders>
              <w:top w:val="single" w:sz="4" w:space="0" w:color="000000"/>
              <w:left w:val="single" w:sz="4" w:space="0" w:color="000000"/>
              <w:bottom w:val="single" w:sz="4" w:space="0" w:color="000000"/>
              <w:right w:val="single" w:sz="4" w:space="0" w:color="000000"/>
            </w:tcBorders>
          </w:tcPr>
          <w:p w14:paraId="499F2E83" w14:textId="77777777" w:rsidR="0075791A" w:rsidRDefault="00FB2864">
            <w:pPr>
              <w:pStyle w:val="TableParagraph"/>
              <w:spacing w:before="39"/>
              <w:ind w:left="575"/>
              <w:rPr>
                <w:rFonts w:ascii="Times New Roman" w:eastAsia="Times New Roman" w:hAnsi="Times New Roman" w:cs="Times New Roman"/>
                <w:color w:val="auto"/>
              </w:rPr>
            </w:pPr>
            <w:r>
              <w:rPr>
                <w:rFonts w:ascii="Times New Roman" w:eastAsia="Times New Roman" w:hAnsi="Times New Roman" w:cs="Times New Roman"/>
                <w:color w:val="auto"/>
                <w:spacing w:val="1"/>
              </w:rPr>
              <w:t>33</w:t>
            </w:r>
            <w:r>
              <w:rPr>
                <w:rFonts w:ascii="Times New Roman" w:eastAsia="Times New Roman" w:hAnsi="Times New Roman" w:cs="Times New Roman"/>
                <w:color w:val="auto"/>
                <w:spacing w:val="-2"/>
              </w:rPr>
              <w:t>3</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1</w:t>
            </w:r>
          </w:p>
        </w:tc>
        <w:tc>
          <w:tcPr>
            <w:tcW w:w="1843" w:type="dxa"/>
            <w:tcBorders>
              <w:top w:val="single" w:sz="4" w:space="0" w:color="000000"/>
              <w:left w:val="single" w:sz="4" w:space="0" w:color="000000"/>
              <w:bottom w:val="single" w:sz="4" w:space="0" w:color="000000"/>
              <w:right w:val="single" w:sz="4" w:space="0" w:color="000000"/>
            </w:tcBorders>
          </w:tcPr>
          <w:p w14:paraId="7AC82D28" w14:textId="77777777" w:rsidR="0075791A" w:rsidRDefault="00FB2864">
            <w:pPr>
              <w:pStyle w:val="TableParagraph"/>
              <w:spacing w:before="39"/>
              <w:ind w:left="712" w:right="7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8</w:t>
            </w:r>
          </w:p>
        </w:tc>
        <w:tc>
          <w:tcPr>
            <w:tcW w:w="1843" w:type="dxa"/>
            <w:tcBorders>
              <w:top w:val="single" w:sz="4" w:space="0" w:color="000000"/>
              <w:left w:val="single" w:sz="4" w:space="0" w:color="000000"/>
              <w:bottom w:val="single" w:sz="4" w:space="0" w:color="000000"/>
              <w:right w:val="single" w:sz="4" w:space="0" w:color="000000"/>
            </w:tcBorders>
          </w:tcPr>
          <w:p w14:paraId="6C794201" w14:textId="77777777" w:rsidR="0075791A" w:rsidRDefault="00FB2864">
            <w:pPr>
              <w:pStyle w:val="TableParagraph"/>
              <w:spacing w:before="39"/>
              <w:ind w:left="712" w:right="712"/>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6</w:t>
            </w:r>
          </w:p>
        </w:tc>
      </w:tr>
      <w:tr w:rsidR="0075791A" w14:paraId="5C34B170" w14:textId="77777777">
        <w:trPr>
          <w:trHeight w:hRule="exact" w:val="330"/>
          <w:jc w:val="center"/>
        </w:trPr>
        <w:tc>
          <w:tcPr>
            <w:tcW w:w="846" w:type="dxa"/>
            <w:tcBorders>
              <w:top w:val="single" w:sz="4" w:space="0" w:color="000000"/>
              <w:left w:val="single" w:sz="4" w:space="0" w:color="000000"/>
              <w:bottom w:val="single" w:sz="4" w:space="0" w:color="000000"/>
              <w:right w:val="single" w:sz="4" w:space="0" w:color="000000"/>
            </w:tcBorders>
          </w:tcPr>
          <w:p w14:paraId="4C632723" w14:textId="77777777" w:rsidR="0075791A" w:rsidRDefault="00FB2864">
            <w:pPr>
              <w:pStyle w:val="TableParagraph"/>
              <w:spacing w:before="59"/>
              <w:ind w:left="270" w:right="270"/>
              <w:jc w:val="center"/>
              <w:rPr>
                <w:rFonts w:ascii="Times New Roman" w:eastAsia="Times New Roman" w:hAnsi="Times New Roman" w:cs="Times New Roman"/>
                <w:color w:val="auto"/>
              </w:rPr>
            </w:pPr>
            <w:r>
              <w:rPr>
                <w:rFonts w:ascii="Times New Roman" w:eastAsia="Times New Roman" w:hAnsi="Times New Roman" w:cs="Times New Roman"/>
                <w:color w:val="auto"/>
              </w:rPr>
              <w:t>H5</w:t>
            </w:r>
          </w:p>
        </w:tc>
        <w:tc>
          <w:tcPr>
            <w:tcW w:w="1842" w:type="dxa"/>
            <w:tcBorders>
              <w:top w:val="single" w:sz="4" w:space="0" w:color="000000"/>
              <w:left w:val="single" w:sz="4" w:space="0" w:color="000000"/>
              <w:bottom w:val="single" w:sz="4" w:space="0" w:color="000000"/>
              <w:right w:val="single" w:sz="4" w:space="0" w:color="000000"/>
            </w:tcBorders>
          </w:tcPr>
          <w:p w14:paraId="12E1413D" w14:textId="77777777" w:rsidR="0075791A" w:rsidRDefault="00FB2864">
            <w:pPr>
              <w:pStyle w:val="TableParagraph"/>
              <w:spacing w:before="40"/>
              <w:ind w:left="792" w:right="79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1</w:t>
            </w:r>
          </w:p>
        </w:tc>
        <w:tc>
          <w:tcPr>
            <w:tcW w:w="1843" w:type="dxa"/>
            <w:tcBorders>
              <w:top w:val="single" w:sz="4" w:space="0" w:color="000000"/>
              <w:left w:val="single" w:sz="4" w:space="0" w:color="000000"/>
              <w:bottom w:val="single" w:sz="4" w:space="0" w:color="000000"/>
              <w:right w:val="single" w:sz="4" w:space="0" w:color="000000"/>
            </w:tcBorders>
          </w:tcPr>
          <w:p w14:paraId="66906B45" w14:textId="77777777" w:rsidR="0075791A" w:rsidRDefault="00FB2864">
            <w:pPr>
              <w:pStyle w:val="TableParagraph"/>
              <w:spacing w:before="40"/>
              <w:ind w:left="575"/>
              <w:rPr>
                <w:rFonts w:ascii="Times New Roman" w:eastAsia="Times New Roman" w:hAnsi="Times New Roman" w:cs="Times New Roman"/>
                <w:color w:val="auto"/>
              </w:rPr>
            </w:pPr>
            <w:r>
              <w:rPr>
                <w:rFonts w:ascii="Times New Roman" w:eastAsia="Times New Roman" w:hAnsi="Times New Roman" w:cs="Times New Roman"/>
                <w:color w:val="auto"/>
                <w:spacing w:val="1"/>
              </w:rPr>
              <w:t>10</w:t>
            </w:r>
            <w:r>
              <w:rPr>
                <w:rFonts w:ascii="Times New Roman" w:eastAsia="Times New Roman" w:hAnsi="Times New Roman" w:cs="Times New Roman"/>
                <w:color w:val="auto"/>
                <w:spacing w:val="-2"/>
              </w:rPr>
              <w:t>3</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9</w:t>
            </w:r>
          </w:p>
        </w:tc>
        <w:tc>
          <w:tcPr>
            <w:tcW w:w="1843" w:type="dxa"/>
            <w:tcBorders>
              <w:top w:val="single" w:sz="4" w:space="0" w:color="000000"/>
              <w:left w:val="single" w:sz="4" w:space="0" w:color="000000"/>
              <w:bottom w:val="single" w:sz="4" w:space="0" w:color="000000"/>
              <w:right w:val="single" w:sz="4" w:space="0" w:color="000000"/>
            </w:tcBorders>
          </w:tcPr>
          <w:p w14:paraId="4D70130D" w14:textId="77777777" w:rsidR="0075791A" w:rsidRDefault="00FB2864">
            <w:pPr>
              <w:pStyle w:val="TableParagraph"/>
              <w:spacing w:before="40"/>
              <w:ind w:left="712" w:right="7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6</w:t>
            </w:r>
          </w:p>
        </w:tc>
        <w:tc>
          <w:tcPr>
            <w:tcW w:w="1843" w:type="dxa"/>
            <w:tcBorders>
              <w:top w:val="single" w:sz="4" w:space="0" w:color="000000"/>
              <w:left w:val="single" w:sz="4" w:space="0" w:color="000000"/>
              <w:bottom w:val="single" w:sz="4" w:space="0" w:color="000000"/>
              <w:right w:val="single" w:sz="4" w:space="0" w:color="000000"/>
            </w:tcBorders>
          </w:tcPr>
          <w:p w14:paraId="5F97C385" w14:textId="77777777" w:rsidR="0075791A" w:rsidRDefault="00FB2864">
            <w:pPr>
              <w:pStyle w:val="TableParagraph"/>
              <w:spacing w:before="40"/>
              <w:ind w:left="712" w:right="712"/>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3</w:t>
            </w:r>
          </w:p>
        </w:tc>
      </w:tr>
      <w:tr w:rsidR="0075791A" w14:paraId="5122890B" w14:textId="77777777">
        <w:trPr>
          <w:trHeight w:hRule="exact" w:val="330"/>
          <w:jc w:val="center"/>
        </w:trPr>
        <w:tc>
          <w:tcPr>
            <w:tcW w:w="846" w:type="dxa"/>
            <w:tcBorders>
              <w:top w:val="single" w:sz="4" w:space="0" w:color="000000"/>
              <w:left w:val="single" w:sz="4" w:space="0" w:color="000000"/>
              <w:bottom w:val="single" w:sz="4" w:space="0" w:color="000000"/>
              <w:right w:val="single" w:sz="4" w:space="0" w:color="000000"/>
            </w:tcBorders>
          </w:tcPr>
          <w:p w14:paraId="6C87F3A5" w14:textId="77777777" w:rsidR="0075791A" w:rsidRDefault="00FB2864">
            <w:pPr>
              <w:pStyle w:val="TableParagraph"/>
              <w:spacing w:before="58"/>
              <w:ind w:left="270" w:right="270"/>
              <w:jc w:val="center"/>
              <w:rPr>
                <w:rFonts w:ascii="Times New Roman" w:eastAsia="Times New Roman" w:hAnsi="Times New Roman" w:cs="Times New Roman"/>
                <w:color w:val="auto"/>
              </w:rPr>
            </w:pPr>
            <w:r>
              <w:rPr>
                <w:rFonts w:ascii="Times New Roman" w:eastAsia="Times New Roman" w:hAnsi="Times New Roman" w:cs="Times New Roman"/>
                <w:color w:val="auto"/>
              </w:rPr>
              <w:t>H6</w:t>
            </w:r>
          </w:p>
        </w:tc>
        <w:tc>
          <w:tcPr>
            <w:tcW w:w="1842" w:type="dxa"/>
            <w:tcBorders>
              <w:top w:val="single" w:sz="4" w:space="0" w:color="000000"/>
              <w:left w:val="single" w:sz="4" w:space="0" w:color="000000"/>
              <w:bottom w:val="single" w:sz="4" w:space="0" w:color="000000"/>
              <w:right w:val="single" w:sz="4" w:space="0" w:color="000000"/>
            </w:tcBorders>
          </w:tcPr>
          <w:p w14:paraId="369AF89A" w14:textId="77777777" w:rsidR="0075791A" w:rsidRDefault="00FB2864">
            <w:pPr>
              <w:pStyle w:val="TableParagraph"/>
              <w:spacing w:before="39"/>
              <w:ind w:left="792" w:right="79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9</w:t>
            </w:r>
          </w:p>
        </w:tc>
        <w:tc>
          <w:tcPr>
            <w:tcW w:w="1843" w:type="dxa"/>
            <w:tcBorders>
              <w:top w:val="single" w:sz="4" w:space="0" w:color="000000"/>
              <w:left w:val="single" w:sz="4" w:space="0" w:color="000000"/>
              <w:bottom w:val="single" w:sz="4" w:space="0" w:color="000000"/>
              <w:right w:val="single" w:sz="4" w:space="0" w:color="000000"/>
            </w:tcBorders>
          </w:tcPr>
          <w:p w14:paraId="724008EE" w14:textId="77777777" w:rsidR="0075791A" w:rsidRDefault="00FB2864">
            <w:pPr>
              <w:pStyle w:val="TableParagraph"/>
              <w:spacing w:before="39"/>
              <w:ind w:right="1"/>
              <w:jc w:val="center"/>
              <w:rPr>
                <w:rFonts w:ascii="Times New Roman" w:eastAsia="Times New Roman" w:hAnsi="Times New Roman" w:cs="Times New Roman"/>
                <w:color w:val="auto"/>
              </w:rPr>
            </w:pPr>
            <w:r>
              <w:rPr>
                <w:rFonts w:ascii="Times New Roman" w:eastAsia="Times New Roman" w:hAnsi="Times New Roman" w:cs="Times New Roman"/>
                <w:color w:val="auto"/>
                <w:spacing w:val="-5"/>
              </w:rPr>
              <w:t>1</w:t>
            </w:r>
            <w:r>
              <w:rPr>
                <w:rFonts w:ascii="Times New Roman" w:eastAsia="Times New Roman" w:hAnsi="Times New Roman" w:cs="Times New Roman"/>
                <w:color w:val="auto"/>
                <w:spacing w:val="-2"/>
              </w:rPr>
              <w:t>1</w:t>
            </w:r>
            <w:r>
              <w:rPr>
                <w:rFonts w:ascii="Times New Roman" w:eastAsia="Times New Roman" w:hAnsi="Times New Roman" w:cs="Times New Roman"/>
                <w:color w:val="auto"/>
                <w:spacing w:val="1"/>
              </w:rPr>
              <w:t>8</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1</w:t>
            </w:r>
          </w:p>
        </w:tc>
        <w:tc>
          <w:tcPr>
            <w:tcW w:w="1843" w:type="dxa"/>
            <w:tcBorders>
              <w:top w:val="single" w:sz="4" w:space="0" w:color="000000"/>
              <w:left w:val="single" w:sz="4" w:space="0" w:color="000000"/>
              <w:bottom w:val="single" w:sz="4" w:space="0" w:color="000000"/>
              <w:right w:val="single" w:sz="4" w:space="0" w:color="000000"/>
            </w:tcBorders>
          </w:tcPr>
          <w:p w14:paraId="1DA37C43" w14:textId="77777777" w:rsidR="0075791A" w:rsidRDefault="00FB2864">
            <w:pPr>
              <w:pStyle w:val="TableParagraph"/>
              <w:spacing w:before="39"/>
              <w:ind w:left="712" w:right="7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8</w:t>
            </w:r>
          </w:p>
        </w:tc>
        <w:tc>
          <w:tcPr>
            <w:tcW w:w="1843" w:type="dxa"/>
            <w:tcBorders>
              <w:top w:val="single" w:sz="4" w:space="0" w:color="000000"/>
              <w:left w:val="single" w:sz="4" w:space="0" w:color="000000"/>
              <w:bottom w:val="single" w:sz="4" w:space="0" w:color="000000"/>
              <w:right w:val="single" w:sz="4" w:space="0" w:color="000000"/>
            </w:tcBorders>
          </w:tcPr>
          <w:p w14:paraId="23E2DC1A" w14:textId="77777777" w:rsidR="0075791A" w:rsidRDefault="00FB2864">
            <w:pPr>
              <w:pStyle w:val="TableParagraph"/>
              <w:spacing w:before="39"/>
              <w:ind w:left="712" w:right="712"/>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9</w:t>
            </w:r>
          </w:p>
        </w:tc>
      </w:tr>
      <w:tr w:rsidR="0075791A" w14:paraId="228975AE" w14:textId="77777777">
        <w:trPr>
          <w:trHeight w:hRule="exact" w:val="330"/>
          <w:jc w:val="center"/>
        </w:trPr>
        <w:tc>
          <w:tcPr>
            <w:tcW w:w="846" w:type="dxa"/>
            <w:tcBorders>
              <w:top w:val="single" w:sz="4" w:space="0" w:color="000000"/>
              <w:left w:val="single" w:sz="4" w:space="0" w:color="000000"/>
              <w:bottom w:val="single" w:sz="4" w:space="0" w:color="000000"/>
              <w:right w:val="single" w:sz="4" w:space="0" w:color="000000"/>
            </w:tcBorders>
          </w:tcPr>
          <w:p w14:paraId="34F03C4B" w14:textId="77777777" w:rsidR="0075791A" w:rsidRDefault="00FB2864">
            <w:pPr>
              <w:pStyle w:val="TableParagraph"/>
              <w:spacing w:before="59"/>
              <w:ind w:left="270" w:right="270"/>
              <w:jc w:val="center"/>
              <w:rPr>
                <w:rFonts w:ascii="Times New Roman" w:eastAsia="Times New Roman" w:hAnsi="Times New Roman" w:cs="Times New Roman"/>
                <w:color w:val="auto"/>
              </w:rPr>
            </w:pPr>
            <w:r>
              <w:rPr>
                <w:rFonts w:ascii="Times New Roman" w:eastAsia="Times New Roman" w:hAnsi="Times New Roman" w:cs="Times New Roman"/>
                <w:color w:val="auto"/>
              </w:rPr>
              <w:t>H7</w:t>
            </w:r>
          </w:p>
        </w:tc>
        <w:tc>
          <w:tcPr>
            <w:tcW w:w="1842" w:type="dxa"/>
            <w:tcBorders>
              <w:top w:val="single" w:sz="4" w:space="0" w:color="000000"/>
              <w:left w:val="single" w:sz="4" w:space="0" w:color="000000"/>
              <w:bottom w:val="single" w:sz="4" w:space="0" w:color="000000"/>
              <w:right w:val="single" w:sz="4" w:space="0" w:color="000000"/>
            </w:tcBorders>
          </w:tcPr>
          <w:p w14:paraId="7F45E627" w14:textId="77777777" w:rsidR="0075791A" w:rsidRDefault="00FB2864">
            <w:pPr>
              <w:pStyle w:val="TableParagraph"/>
              <w:spacing w:before="40"/>
              <w:ind w:left="792" w:right="79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0</w:t>
            </w:r>
          </w:p>
        </w:tc>
        <w:tc>
          <w:tcPr>
            <w:tcW w:w="1843" w:type="dxa"/>
            <w:tcBorders>
              <w:top w:val="single" w:sz="4" w:space="0" w:color="000000"/>
              <w:left w:val="single" w:sz="4" w:space="0" w:color="000000"/>
              <w:bottom w:val="single" w:sz="4" w:space="0" w:color="000000"/>
              <w:right w:val="single" w:sz="4" w:space="0" w:color="000000"/>
            </w:tcBorders>
          </w:tcPr>
          <w:p w14:paraId="379B6F5D" w14:textId="77777777" w:rsidR="0075791A" w:rsidRDefault="00FB2864">
            <w:pPr>
              <w:pStyle w:val="TableParagraph"/>
              <w:spacing w:before="40"/>
              <w:ind w:left="606" w:right="61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225</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6</w:t>
            </w:r>
            <w:r>
              <w:rPr>
                <w:rFonts w:ascii="Times New Roman" w:eastAsia="Times New Roman" w:hAnsi="Times New Roman" w:cs="Times New Roman"/>
                <w:color w:val="auto"/>
              </w:rPr>
              <w:t>1</w:t>
            </w:r>
          </w:p>
        </w:tc>
        <w:tc>
          <w:tcPr>
            <w:tcW w:w="1843" w:type="dxa"/>
            <w:tcBorders>
              <w:top w:val="single" w:sz="4" w:space="0" w:color="000000"/>
              <w:left w:val="single" w:sz="4" w:space="0" w:color="000000"/>
              <w:bottom w:val="single" w:sz="4" w:space="0" w:color="000000"/>
              <w:right w:val="single" w:sz="4" w:space="0" w:color="000000"/>
            </w:tcBorders>
          </w:tcPr>
          <w:p w14:paraId="610C0CBD" w14:textId="77777777" w:rsidR="0075791A" w:rsidRDefault="00FB2864">
            <w:pPr>
              <w:pStyle w:val="TableParagraph"/>
              <w:spacing w:before="40"/>
              <w:ind w:left="712" w:right="7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2</w:t>
            </w:r>
          </w:p>
        </w:tc>
        <w:tc>
          <w:tcPr>
            <w:tcW w:w="1843" w:type="dxa"/>
            <w:tcBorders>
              <w:top w:val="single" w:sz="4" w:space="0" w:color="000000"/>
              <w:left w:val="single" w:sz="4" w:space="0" w:color="000000"/>
              <w:bottom w:val="single" w:sz="4" w:space="0" w:color="000000"/>
              <w:right w:val="single" w:sz="4" w:space="0" w:color="000000"/>
            </w:tcBorders>
          </w:tcPr>
          <w:p w14:paraId="26519337" w14:textId="77777777" w:rsidR="0075791A" w:rsidRDefault="00FB2864">
            <w:pPr>
              <w:pStyle w:val="TableParagraph"/>
              <w:spacing w:before="40"/>
              <w:ind w:left="712" w:right="712"/>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4</w:t>
            </w:r>
          </w:p>
        </w:tc>
      </w:tr>
      <w:tr w:rsidR="0075791A" w14:paraId="558177E9" w14:textId="77777777">
        <w:trPr>
          <w:trHeight w:hRule="exact" w:val="330"/>
          <w:jc w:val="center"/>
        </w:trPr>
        <w:tc>
          <w:tcPr>
            <w:tcW w:w="846" w:type="dxa"/>
            <w:tcBorders>
              <w:top w:val="single" w:sz="4" w:space="0" w:color="000000"/>
              <w:left w:val="single" w:sz="4" w:space="0" w:color="000000"/>
              <w:bottom w:val="single" w:sz="4" w:space="0" w:color="000000"/>
              <w:right w:val="single" w:sz="4" w:space="0" w:color="000000"/>
            </w:tcBorders>
          </w:tcPr>
          <w:p w14:paraId="0E745FBE" w14:textId="77777777" w:rsidR="0075791A" w:rsidRDefault="00FB2864">
            <w:pPr>
              <w:pStyle w:val="TableParagraph"/>
              <w:spacing w:before="58"/>
              <w:ind w:left="270" w:right="270"/>
              <w:jc w:val="center"/>
              <w:rPr>
                <w:rFonts w:ascii="Times New Roman" w:eastAsia="Times New Roman" w:hAnsi="Times New Roman" w:cs="Times New Roman"/>
                <w:color w:val="auto"/>
              </w:rPr>
            </w:pPr>
            <w:r>
              <w:rPr>
                <w:rFonts w:ascii="Times New Roman" w:eastAsia="Times New Roman" w:hAnsi="Times New Roman" w:cs="Times New Roman"/>
                <w:color w:val="auto"/>
              </w:rPr>
              <w:t>H8</w:t>
            </w:r>
          </w:p>
        </w:tc>
        <w:tc>
          <w:tcPr>
            <w:tcW w:w="1842" w:type="dxa"/>
            <w:tcBorders>
              <w:top w:val="single" w:sz="4" w:space="0" w:color="000000"/>
              <w:left w:val="single" w:sz="4" w:space="0" w:color="000000"/>
              <w:bottom w:val="single" w:sz="4" w:space="0" w:color="000000"/>
              <w:right w:val="single" w:sz="4" w:space="0" w:color="000000"/>
            </w:tcBorders>
          </w:tcPr>
          <w:p w14:paraId="2189B319" w14:textId="77777777" w:rsidR="0075791A" w:rsidRDefault="00FB2864">
            <w:pPr>
              <w:pStyle w:val="TableParagraph"/>
              <w:spacing w:before="39"/>
              <w:ind w:left="792" w:right="79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0</w:t>
            </w:r>
          </w:p>
        </w:tc>
        <w:tc>
          <w:tcPr>
            <w:tcW w:w="1843" w:type="dxa"/>
            <w:tcBorders>
              <w:top w:val="single" w:sz="4" w:space="0" w:color="000000"/>
              <w:left w:val="single" w:sz="4" w:space="0" w:color="000000"/>
              <w:bottom w:val="single" w:sz="4" w:space="0" w:color="000000"/>
              <w:right w:val="single" w:sz="4" w:space="0" w:color="000000"/>
            </w:tcBorders>
          </w:tcPr>
          <w:p w14:paraId="3AA88CF7" w14:textId="77777777" w:rsidR="0075791A" w:rsidRDefault="00FB2864">
            <w:pPr>
              <w:pStyle w:val="TableParagraph"/>
              <w:spacing w:before="39"/>
              <w:ind w:left="606" w:right="61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476</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8</w:t>
            </w:r>
            <w:r>
              <w:rPr>
                <w:rFonts w:ascii="Times New Roman" w:eastAsia="Times New Roman" w:hAnsi="Times New Roman" w:cs="Times New Roman"/>
                <w:color w:val="auto"/>
              </w:rPr>
              <w:t>6</w:t>
            </w:r>
          </w:p>
        </w:tc>
        <w:tc>
          <w:tcPr>
            <w:tcW w:w="1843" w:type="dxa"/>
            <w:tcBorders>
              <w:top w:val="single" w:sz="4" w:space="0" w:color="000000"/>
              <w:left w:val="single" w:sz="4" w:space="0" w:color="000000"/>
              <w:bottom w:val="single" w:sz="4" w:space="0" w:color="000000"/>
              <w:right w:val="single" w:sz="4" w:space="0" w:color="000000"/>
            </w:tcBorders>
          </w:tcPr>
          <w:p w14:paraId="6F34B320" w14:textId="77777777" w:rsidR="0075791A" w:rsidRDefault="00FB2864">
            <w:pPr>
              <w:pStyle w:val="TableParagraph"/>
              <w:spacing w:before="39"/>
              <w:ind w:left="712" w:right="7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7</w:t>
            </w:r>
          </w:p>
        </w:tc>
        <w:tc>
          <w:tcPr>
            <w:tcW w:w="1843" w:type="dxa"/>
            <w:tcBorders>
              <w:top w:val="single" w:sz="4" w:space="0" w:color="000000"/>
              <w:left w:val="single" w:sz="4" w:space="0" w:color="000000"/>
              <w:bottom w:val="single" w:sz="4" w:space="0" w:color="000000"/>
              <w:right w:val="single" w:sz="4" w:space="0" w:color="000000"/>
            </w:tcBorders>
          </w:tcPr>
          <w:p w14:paraId="53C8B2D5" w14:textId="77777777" w:rsidR="0075791A" w:rsidRDefault="00FB2864">
            <w:pPr>
              <w:pStyle w:val="TableParagraph"/>
              <w:spacing w:before="39"/>
              <w:ind w:left="712" w:right="712"/>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8</w:t>
            </w:r>
          </w:p>
        </w:tc>
      </w:tr>
      <w:tr w:rsidR="0075791A" w14:paraId="5D5376A1" w14:textId="77777777">
        <w:trPr>
          <w:trHeight w:hRule="exact" w:val="330"/>
          <w:jc w:val="center"/>
        </w:trPr>
        <w:tc>
          <w:tcPr>
            <w:tcW w:w="846" w:type="dxa"/>
            <w:tcBorders>
              <w:top w:val="single" w:sz="4" w:space="0" w:color="000000"/>
              <w:left w:val="single" w:sz="4" w:space="0" w:color="000000"/>
              <w:bottom w:val="single" w:sz="4" w:space="0" w:color="000000"/>
              <w:right w:val="single" w:sz="4" w:space="0" w:color="000000"/>
            </w:tcBorders>
          </w:tcPr>
          <w:p w14:paraId="62E1FA03" w14:textId="77777777" w:rsidR="0075791A" w:rsidRDefault="00FB2864">
            <w:pPr>
              <w:pStyle w:val="TableParagraph"/>
              <w:spacing w:before="59"/>
              <w:ind w:left="270" w:right="270"/>
              <w:jc w:val="center"/>
              <w:rPr>
                <w:rFonts w:ascii="Times New Roman" w:eastAsia="Times New Roman" w:hAnsi="Times New Roman" w:cs="Times New Roman"/>
                <w:color w:val="auto"/>
              </w:rPr>
            </w:pPr>
            <w:r>
              <w:rPr>
                <w:rFonts w:ascii="Times New Roman" w:eastAsia="Times New Roman" w:hAnsi="Times New Roman" w:cs="Times New Roman"/>
                <w:color w:val="auto"/>
              </w:rPr>
              <w:t>H9</w:t>
            </w:r>
          </w:p>
        </w:tc>
        <w:tc>
          <w:tcPr>
            <w:tcW w:w="1842" w:type="dxa"/>
            <w:tcBorders>
              <w:top w:val="single" w:sz="4" w:space="0" w:color="000000"/>
              <w:left w:val="single" w:sz="4" w:space="0" w:color="000000"/>
              <w:bottom w:val="single" w:sz="4" w:space="0" w:color="000000"/>
              <w:right w:val="single" w:sz="4" w:space="0" w:color="000000"/>
            </w:tcBorders>
          </w:tcPr>
          <w:p w14:paraId="1241332A" w14:textId="77777777" w:rsidR="0075791A" w:rsidRDefault="00FB2864">
            <w:pPr>
              <w:pStyle w:val="TableParagraph"/>
              <w:spacing w:before="40"/>
              <w:ind w:left="792" w:right="79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0</w:t>
            </w:r>
          </w:p>
        </w:tc>
        <w:tc>
          <w:tcPr>
            <w:tcW w:w="1843" w:type="dxa"/>
            <w:tcBorders>
              <w:top w:val="single" w:sz="4" w:space="0" w:color="000000"/>
              <w:left w:val="single" w:sz="4" w:space="0" w:color="000000"/>
              <w:bottom w:val="single" w:sz="4" w:space="0" w:color="000000"/>
              <w:right w:val="single" w:sz="4" w:space="0" w:color="000000"/>
            </w:tcBorders>
          </w:tcPr>
          <w:p w14:paraId="6A547F36" w14:textId="77777777" w:rsidR="0075791A" w:rsidRDefault="00FB2864">
            <w:pPr>
              <w:pStyle w:val="TableParagraph"/>
              <w:spacing w:before="40"/>
              <w:ind w:left="606" w:right="61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409</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7</w:t>
            </w:r>
            <w:r>
              <w:rPr>
                <w:rFonts w:ascii="Times New Roman" w:eastAsia="Times New Roman" w:hAnsi="Times New Roman" w:cs="Times New Roman"/>
                <w:color w:val="auto"/>
              </w:rPr>
              <w:t>7</w:t>
            </w:r>
          </w:p>
        </w:tc>
        <w:tc>
          <w:tcPr>
            <w:tcW w:w="1843" w:type="dxa"/>
            <w:tcBorders>
              <w:top w:val="single" w:sz="4" w:space="0" w:color="000000"/>
              <w:left w:val="single" w:sz="4" w:space="0" w:color="000000"/>
              <w:bottom w:val="single" w:sz="4" w:space="0" w:color="000000"/>
              <w:right w:val="single" w:sz="4" w:space="0" w:color="000000"/>
            </w:tcBorders>
          </w:tcPr>
          <w:p w14:paraId="46A13A38" w14:textId="77777777" w:rsidR="0075791A" w:rsidRDefault="00FB2864">
            <w:pPr>
              <w:pStyle w:val="TableParagraph"/>
              <w:spacing w:before="40"/>
              <w:ind w:left="712" w:right="7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1</w:t>
            </w:r>
          </w:p>
        </w:tc>
        <w:tc>
          <w:tcPr>
            <w:tcW w:w="1843" w:type="dxa"/>
            <w:tcBorders>
              <w:top w:val="single" w:sz="4" w:space="0" w:color="000000"/>
              <w:left w:val="single" w:sz="4" w:space="0" w:color="000000"/>
              <w:bottom w:val="single" w:sz="4" w:space="0" w:color="000000"/>
              <w:right w:val="single" w:sz="4" w:space="0" w:color="000000"/>
            </w:tcBorders>
          </w:tcPr>
          <w:p w14:paraId="32435CFF" w14:textId="77777777" w:rsidR="0075791A" w:rsidRDefault="00FB2864">
            <w:pPr>
              <w:pStyle w:val="TableParagraph"/>
              <w:spacing w:before="40"/>
              <w:ind w:left="712" w:right="712"/>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3</w:t>
            </w:r>
          </w:p>
        </w:tc>
      </w:tr>
      <w:tr w:rsidR="0075791A" w14:paraId="012CC41E" w14:textId="77777777">
        <w:trPr>
          <w:trHeight w:hRule="exact" w:val="330"/>
          <w:jc w:val="center"/>
        </w:trPr>
        <w:tc>
          <w:tcPr>
            <w:tcW w:w="846" w:type="dxa"/>
            <w:tcBorders>
              <w:top w:val="single" w:sz="4" w:space="0" w:color="000000"/>
              <w:left w:val="single" w:sz="4" w:space="0" w:color="000000"/>
              <w:bottom w:val="single" w:sz="4" w:space="0" w:color="000000"/>
              <w:right w:val="single" w:sz="4" w:space="0" w:color="000000"/>
            </w:tcBorders>
          </w:tcPr>
          <w:p w14:paraId="65FAF014" w14:textId="77777777" w:rsidR="0075791A" w:rsidRDefault="00FB2864">
            <w:pPr>
              <w:pStyle w:val="TableParagraph"/>
              <w:spacing w:line="284" w:lineRule="exact"/>
              <w:ind w:left="103"/>
              <w:rPr>
                <w:rFonts w:ascii="宋体" w:eastAsia="宋体" w:hAnsi="宋体" w:cs="宋体"/>
                <w:color w:val="auto"/>
              </w:rPr>
            </w:pPr>
            <w:r>
              <w:rPr>
                <w:rFonts w:ascii="宋体" w:eastAsia="宋体" w:hAnsi="宋体" w:cs="宋体"/>
                <w:color w:val="auto"/>
                <w:spacing w:val="-1"/>
              </w:rPr>
              <w:t>平</w:t>
            </w:r>
            <w:r>
              <w:rPr>
                <w:rFonts w:ascii="宋体" w:eastAsia="宋体" w:hAnsi="宋体" w:cs="宋体"/>
                <w:color w:val="auto"/>
                <w:spacing w:val="2"/>
              </w:rPr>
              <w:t>均</w:t>
            </w:r>
            <w:r>
              <w:rPr>
                <w:rFonts w:ascii="宋体" w:eastAsia="宋体" w:hAnsi="宋体" w:cs="宋体"/>
                <w:color w:val="auto"/>
              </w:rPr>
              <w:t>值</w:t>
            </w:r>
          </w:p>
        </w:tc>
        <w:tc>
          <w:tcPr>
            <w:tcW w:w="1842" w:type="dxa"/>
            <w:tcBorders>
              <w:top w:val="single" w:sz="4" w:space="0" w:color="000000"/>
              <w:left w:val="single" w:sz="4" w:space="0" w:color="000000"/>
              <w:bottom w:val="single" w:sz="4" w:space="0" w:color="000000"/>
              <w:right w:val="single" w:sz="4" w:space="0" w:color="000000"/>
            </w:tcBorders>
          </w:tcPr>
          <w:p w14:paraId="66D91730" w14:textId="77777777" w:rsidR="0075791A" w:rsidRDefault="00FB2864">
            <w:pPr>
              <w:pStyle w:val="TableParagraph"/>
              <w:spacing w:before="39"/>
              <w:ind w:left="792" w:right="79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7</w:t>
            </w:r>
          </w:p>
        </w:tc>
        <w:tc>
          <w:tcPr>
            <w:tcW w:w="1843" w:type="dxa"/>
            <w:tcBorders>
              <w:top w:val="single" w:sz="4" w:space="0" w:color="000000"/>
              <w:left w:val="single" w:sz="4" w:space="0" w:color="000000"/>
              <w:bottom w:val="single" w:sz="4" w:space="0" w:color="000000"/>
              <w:right w:val="single" w:sz="4" w:space="0" w:color="000000"/>
            </w:tcBorders>
          </w:tcPr>
          <w:p w14:paraId="315B8A2B" w14:textId="77777777" w:rsidR="0075791A" w:rsidRDefault="00FB2864">
            <w:pPr>
              <w:pStyle w:val="TableParagraph"/>
              <w:spacing w:before="39"/>
              <w:ind w:left="578"/>
              <w:rPr>
                <w:rFonts w:ascii="Times New Roman" w:eastAsia="Times New Roman" w:hAnsi="Times New Roman" w:cs="Times New Roman"/>
                <w:color w:val="auto"/>
              </w:rPr>
            </w:pPr>
            <w:r>
              <w:rPr>
                <w:rFonts w:ascii="Times New Roman" w:eastAsia="Times New Roman" w:hAnsi="Times New Roman" w:cs="Times New Roman"/>
                <w:color w:val="auto"/>
                <w:spacing w:val="-5"/>
              </w:rPr>
              <w:t>1</w:t>
            </w:r>
            <w:r>
              <w:rPr>
                <w:rFonts w:ascii="Times New Roman" w:eastAsia="Times New Roman" w:hAnsi="Times New Roman" w:cs="Times New Roman"/>
                <w:color w:val="auto"/>
                <w:spacing w:val="-2"/>
              </w:rPr>
              <w:t>1</w:t>
            </w:r>
            <w:r>
              <w:rPr>
                <w:rFonts w:ascii="Times New Roman" w:eastAsia="Times New Roman" w:hAnsi="Times New Roman" w:cs="Times New Roman"/>
                <w:color w:val="auto"/>
                <w:spacing w:val="1"/>
              </w:rPr>
              <w:t>2</w:t>
            </w:r>
            <w:r>
              <w:rPr>
                <w:rFonts w:ascii="Times New Roman" w:eastAsia="Times New Roman" w:hAnsi="Times New Roman" w:cs="Times New Roman"/>
                <w:color w:val="auto"/>
                <w:spacing w:val="-2"/>
              </w:rPr>
              <w:t>7</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2</w:t>
            </w:r>
          </w:p>
        </w:tc>
        <w:tc>
          <w:tcPr>
            <w:tcW w:w="1843" w:type="dxa"/>
            <w:tcBorders>
              <w:top w:val="single" w:sz="4" w:space="0" w:color="000000"/>
              <w:left w:val="single" w:sz="4" w:space="0" w:color="000000"/>
              <w:bottom w:val="single" w:sz="4" w:space="0" w:color="000000"/>
              <w:right w:val="single" w:sz="4" w:space="0" w:color="000000"/>
            </w:tcBorders>
          </w:tcPr>
          <w:p w14:paraId="1FD06585" w14:textId="77777777" w:rsidR="0075791A" w:rsidRDefault="00FB2864">
            <w:pPr>
              <w:pStyle w:val="TableParagraph"/>
              <w:spacing w:before="58"/>
              <w:ind w:left="712" w:right="7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9</w:t>
            </w:r>
          </w:p>
        </w:tc>
        <w:tc>
          <w:tcPr>
            <w:tcW w:w="1843" w:type="dxa"/>
            <w:tcBorders>
              <w:top w:val="single" w:sz="4" w:space="0" w:color="000000"/>
              <w:left w:val="single" w:sz="4" w:space="0" w:color="000000"/>
              <w:bottom w:val="single" w:sz="4" w:space="0" w:color="000000"/>
              <w:right w:val="single" w:sz="4" w:space="0" w:color="000000"/>
            </w:tcBorders>
          </w:tcPr>
          <w:p w14:paraId="18D36740" w14:textId="77777777" w:rsidR="0075791A" w:rsidRDefault="00FB2864">
            <w:pPr>
              <w:pStyle w:val="TableParagraph"/>
              <w:spacing w:before="58"/>
              <w:ind w:left="712" w:right="712"/>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2</w:t>
            </w:r>
          </w:p>
        </w:tc>
      </w:tr>
    </w:tbl>
    <w:p w14:paraId="2D6C596A"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）浮游动物</w:t>
      </w:r>
    </w:p>
    <w:p w14:paraId="30AEF8EC"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月航次，调查海域共鉴定到浮游动物</w:t>
      </w:r>
      <w:r>
        <w:rPr>
          <w:rFonts w:ascii="Times New Roman" w:eastAsia="宋体" w:hAnsi="Times New Roman" w:cs="Times New Roman" w:hint="eastAsia"/>
          <w:snapToGrid/>
          <w:color w:val="auto"/>
          <w:kern w:val="2"/>
          <w:sz w:val="24"/>
          <w:szCs w:val="24"/>
          <w:lang w:eastAsia="zh-CN"/>
        </w:rPr>
        <w:t>53</w:t>
      </w:r>
      <w:r>
        <w:rPr>
          <w:rFonts w:ascii="Times New Roman" w:eastAsia="宋体" w:hAnsi="Times New Roman" w:cs="Times New Roman" w:hint="eastAsia"/>
          <w:snapToGrid/>
          <w:color w:val="auto"/>
          <w:kern w:val="2"/>
          <w:sz w:val="24"/>
          <w:szCs w:val="24"/>
          <w:lang w:eastAsia="zh-CN"/>
        </w:rPr>
        <w:t>种，分属于</w:t>
      </w:r>
      <w:r>
        <w:rPr>
          <w:rFonts w:ascii="Times New Roman" w:eastAsia="宋体" w:hAnsi="Times New Roman" w:cs="Times New Roman" w:hint="eastAsia"/>
          <w:snapToGrid/>
          <w:color w:val="auto"/>
          <w:kern w:val="2"/>
          <w:sz w:val="24"/>
          <w:szCs w:val="24"/>
          <w:lang w:eastAsia="zh-CN"/>
        </w:rPr>
        <w:t>13</w:t>
      </w:r>
      <w:r>
        <w:rPr>
          <w:rFonts w:ascii="Times New Roman" w:eastAsia="宋体" w:hAnsi="Times New Roman" w:cs="Times New Roman" w:hint="eastAsia"/>
          <w:snapToGrid/>
          <w:color w:val="auto"/>
          <w:kern w:val="2"/>
          <w:sz w:val="24"/>
          <w:szCs w:val="24"/>
          <w:lang w:eastAsia="zh-CN"/>
        </w:rPr>
        <w:t>个类群（不包括浮游幼体、鱼卵及仔鱼）。其中桡足类</w:t>
      </w:r>
      <w:r>
        <w:rPr>
          <w:rFonts w:ascii="Times New Roman" w:eastAsia="宋体" w:hAnsi="Times New Roman" w:cs="Times New Roman" w:hint="eastAsia"/>
          <w:snapToGrid/>
          <w:color w:val="auto"/>
          <w:kern w:val="2"/>
          <w:sz w:val="24"/>
          <w:szCs w:val="24"/>
          <w:lang w:eastAsia="zh-CN"/>
        </w:rPr>
        <w:t>24</w:t>
      </w:r>
      <w:r>
        <w:rPr>
          <w:rFonts w:ascii="Times New Roman" w:eastAsia="宋体" w:hAnsi="Times New Roman" w:cs="Times New Roman" w:hint="eastAsia"/>
          <w:snapToGrid/>
          <w:color w:val="auto"/>
          <w:kern w:val="2"/>
          <w:sz w:val="24"/>
          <w:szCs w:val="24"/>
          <w:lang w:eastAsia="zh-CN"/>
        </w:rPr>
        <w:t>种，占浮游动物总种类数的</w:t>
      </w:r>
      <w:r>
        <w:rPr>
          <w:rFonts w:ascii="Times New Roman" w:eastAsia="宋体" w:hAnsi="Times New Roman" w:cs="Times New Roman" w:hint="eastAsia"/>
          <w:snapToGrid/>
          <w:color w:val="auto"/>
          <w:kern w:val="2"/>
          <w:sz w:val="24"/>
          <w:szCs w:val="24"/>
          <w:lang w:eastAsia="zh-CN"/>
        </w:rPr>
        <w:t>45.28%</w:t>
      </w:r>
      <w:r>
        <w:rPr>
          <w:rFonts w:ascii="Times New Roman" w:eastAsia="宋体" w:hAnsi="Times New Roman" w:cs="Times New Roman" w:hint="eastAsia"/>
          <w:snapToGrid/>
          <w:color w:val="auto"/>
          <w:kern w:val="2"/>
          <w:sz w:val="24"/>
          <w:szCs w:val="24"/>
          <w:lang w:eastAsia="zh-CN"/>
        </w:rPr>
        <w:t>；其次为管水母类和水螅水母类，占比均为</w:t>
      </w:r>
      <w:r>
        <w:rPr>
          <w:rFonts w:ascii="Times New Roman" w:eastAsia="宋体" w:hAnsi="Times New Roman" w:cs="Times New Roman" w:hint="eastAsia"/>
          <w:snapToGrid/>
          <w:color w:val="auto"/>
          <w:kern w:val="2"/>
          <w:sz w:val="24"/>
          <w:szCs w:val="24"/>
          <w:lang w:eastAsia="zh-CN"/>
        </w:rPr>
        <w:t>11.32%</w:t>
      </w:r>
      <w:r>
        <w:rPr>
          <w:rFonts w:ascii="Times New Roman" w:eastAsia="宋体" w:hAnsi="Times New Roman" w:cs="Times New Roman" w:hint="eastAsia"/>
          <w:snapToGrid/>
          <w:color w:val="auto"/>
          <w:kern w:val="2"/>
          <w:sz w:val="24"/>
          <w:szCs w:val="24"/>
          <w:lang w:eastAsia="zh-CN"/>
        </w:rPr>
        <w:t>；被囊类、端足类、多毛类、毛颚类、翼足类、钵水母、介形类、肉足虫类、十足类、枝角类占比均低于</w:t>
      </w:r>
      <w:r>
        <w:rPr>
          <w:rFonts w:ascii="Times New Roman" w:eastAsia="宋体" w:hAnsi="Times New Roman" w:cs="Times New Roman" w:hint="eastAsia"/>
          <w:snapToGrid/>
          <w:color w:val="auto"/>
          <w:kern w:val="2"/>
          <w:sz w:val="24"/>
          <w:szCs w:val="24"/>
          <w:lang w:eastAsia="zh-CN"/>
        </w:rPr>
        <w:t>7.55%</w:t>
      </w:r>
      <w:r>
        <w:rPr>
          <w:rFonts w:ascii="Times New Roman" w:eastAsia="宋体" w:hAnsi="Times New Roman" w:cs="Times New Roman" w:hint="eastAsia"/>
          <w:snapToGrid/>
          <w:color w:val="auto"/>
          <w:kern w:val="2"/>
          <w:sz w:val="24"/>
          <w:szCs w:val="24"/>
          <w:lang w:eastAsia="zh-CN"/>
        </w:rPr>
        <w:t>。此外，本次调查还记录</w:t>
      </w:r>
      <w:r>
        <w:rPr>
          <w:rFonts w:ascii="Times New Roman" w:eastAsia="宋体" w:hAnsi="Times New Roman" w:cs="Times New Roman" w:hint="eastAsia"/>
          <w:snapToGrid/>
          <w:color w:val="auto"/>
          <w:kern w:val="2"/>
          <w:sz w:val="24"/>
          <w:szCs w:val="24"/>
          <w:lang w:eastAsia="zh-CN"/>
        </w:rPr>
        <w:t>15</w:t>
      </w:r>
      <w:r>
        <w:rPr>
          <w:rFonts w:ascii="Times New Roman" w:eastAsia="宋体" w:hAnsi="Times New Roman" w:cs="Times New Roman" w:hint="eastAsia"/>
          <w:snapToGrid/>
          <w:color w:val="auto"/>
          <w:kern w:val="2"/>
          <w:sz w:val="24"/>
          <w:szCs w:val="24"/>
          <w:lang w:eastAsia="zh-CN"/>
        </w:rPr>
        <w:t>类浮游动物幼体。各站位浮游动物种类数介于</w:t>
      </w:r>
      <w:r>
        <w:rPr>
          <w:rFonts w:ascii="Times New Roman" w:eastAsia="宋体" w:hAnsi="Times New Roman" w:cs="Times New Roman" w:hint="eastAsia"/>
          <w:snapToGrid/>
          <w:color w:val="auto"/>
          <w:kern w:val="2"/>
          <w:sz w:val="24"/>
          <w:szCs w:val="24"/>
          <w:lang w:eastAsia="zh-CN"/>
        </w:rPr>
        <w:t>14~38</w:t>
      </w:r>
      <w:r>
        <w:rPr>
          <w:rFonts w:ascii="Times New Roman" w:eastAsia="宋体" w:hAnsi="Times New Roman" w:cs="Times New Roman" w:hint="eastAsia"/>
          <w:snapToGrid/>
          <w:color w:val="auto"/>
          <w:kern w:val="2"/>
          <w:sz w:val="24"/>
          <w:szCs w:val="24"/>
          <w:lang w:eastAsia="zh-CN"/>
        </w:rPr>
        <w:t>种之间（含浮游幼体），平均值为</w:t>
      </w:r>
      <w:r>
        <w:rPr>
          <w:rFonts w:ascii="Times New Roman" w:eastAsia="宋体" w:hAnsi="Times New Roman" w:cs="Times New Roman" w:hint="eastAsia"/>
          <w:snapToGrid/>
          <w:color w:val="auto"/>
          <w:kern w:val="2"/>
          <w:sz w:val="24"/>
          <w:szCs w:val="24"/>
          <w:lang w:eastAsia="zh-CN"/>
        </w:rPr>
        <w:t>29</w:t>
      </w:r>
      <w:r>
        <w:rPr>
          <w:rFonts w:ascii="Times New Roman" w:eastAsia="宋体" w:hAnsi="Times New Roman" w:cs="Times New Roman" w:hint="eastAsia"/>
          <w:snapToGrid/>
          <w:color w:val="auto"/>
          <w:kern w:val="2"/>
          <w:sz w:val="24"/>
          <w:szCs w:val="24"/>
          <w:lang w:eastAsia="zh-CN"/>
        </w:rPr>
        <w:t>种（见</w:t>
      </w:r>
      <w:r>
        <w:rPr>
          <w:rFonts w:ascii="宋体" w:eastAsia="宋体" w:hAnsi="宋体" w:cs="宋体" w:hint="eastAsia"/>
          <w:color w:val="auto"/>
          <w:sz w:val="24"/>
          <w:szCs w:val="24"/>
          <w:lang w:eastAsia="zh-CN"/>
        </w:rPr>
        <w:t>表</w:t>
      </w:r>
      <w:r>
        <w:rPr>
          <w:rFonts w:ascii="Times New Roman" w:eastAsia="宋体" w:hAnsi="Times New Roman" w:cs="Times New Roman" w:hint="eastAsia"/>
          <w:snapToGrid/>
          <w:color w:val="auto"/>
          <w:kern w:val="2"/>
          <w:sz w:val="24"/>
          <w:szCs w:val="24"/>
          <w:lang w:eastAsia="zh-CN"/>
        </w:rPr>
        <w:t>3.2.6-22</w:t>
      </w:r>
      <w:r>
        <w:rPr>
          <w:rFonts w:ascii="Times New Roman" w:eastAsia="宋体" w:hAnsi="Times New Roman" w:cs="Times New Roman" w:hint="eastAsia"/>
          <w:snapToGrid/>
          <w:color w:val="auto"/>
          <w:kern w:val="2"/>
          <w:sz w:val="24"/>
          <w:szCs w:val="24"/>
          <w:lang w:eastAsia="zh-CN"/>
        </w:rPr>
        <w:t>）。其中，浮游动物种类数最高值位于</w:t>
      </w:r>
      <w:r>
        <w:rPr>
          <w:rFonts w:ascii="Times New Roman" w:eastAsia="宋体" w:hAnsi="Times New Roman" w:cs="Times New Roman" w:hint="eastAsia"/>
          <w:snapToGrid/>
          <w:color w:val="auto"/>
          <w:kern w:val="2"/>
          <w:sz w:val="24"/>
          <w:szCs w:val="24"/>
          <w:lang w:eastAsia="zh-CN"/>
        </w:rPr>
        <w:t>H11</w:t>
      </w:r>
      <w:r>
        <w:rPr>
          <w:rFonts w:ascii="Times New Roman" w:eastAsia="宋体" w:hAnsi="Times New Roman" w:cs="Times New Roman" w:hint="eastAsia"/>
          <w:snapToGrid/>
          <w:color w:val="auto"/>
          <w:kern w:val="2"/>
          <w:sz w:val="24"/>
          <w:szCs w:val="24"/>
          <w:lang w:eastAsia="zh-CN"/>
        </w:rPr>
        <w:t>号站位；次高值位于</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号站位，种类数</w:t>
      </w:r>
      <w:r>
        <w:rPr>
          <w:rFonts w:ascii="Times New Roman" w:eastAsia="宋体" w:hAnsi="Times New Roman" w:cs="Times New Roman" w:hint="eastAsia"/>
          <w:snapToGrid/>
          <w:color w:val="auto"/>
          <w:kern w:val="2"/>
          <w:sz w:val="24"/>
          <w:szCs w:val="24"/>
          <w:lang w:eastAsia="zh-CN"/>
        </w:rPr>
        <w:t>为</w:t>
      </w:r>
      <w:r>
        <w:rPr>
          <w:rFonts w:ascii="Times New Roman" w:eastAsia="宋体" w:hAnsi="Times New Roman" w:cs="Times New Roman" w:hint="eastAsia"/>
          <w:snapToGrid/>
          <w:color w:val="auto"/>
          <w:kern w:val="2"/>
          <w:sz w:val="24"/>
          <w:szCs w:val="24"/>
          <w:lang w:eastAsia="zh-CN"/>
        </w:rPr>
        <w:t>36</w:t>
      </w:r>
      <w:r>
        <w:rPr>
          <w:rFonts w:ascii="Times New Roman" w:eastAsia="宋体" w:hAnsi="Times New Roman" w:cs="Times New Roman" w:hint="eastAsia"/>
          <w:snapToGrid/>
          <w:color w:val="auto"/>
          <w:kern w:val="2"/>
          <w:sz w:val="24"/>
          <w:szCs w:val="24"/>
          <w:lang w:eastAsia="zh-CN"/>
        </w:rPr>
        <w:t>种，两站位均以桡足类和浮游幼体为优势类群；最低值位于</w:t>
      </w:r>
      <w:r>
        <w:rPr>
          <w:rFonts w:ascii="Times New Roman" w:eastAsia="宋体" w:hAnsi="Times New Roman" w:cs="Times New Roman" w:hint="eastAsia"/>
          <w:snapToGrid/>
          <w:color w:val="auto"/>
          <w:kern w:val="2"/>
          <w:sz w:val="24"/>
          <w:szCs w:val="24"/>
          <w:lang w:eastAsia="zh-CN"/>
        </w:rPr>
        <w:t>H4</w:t>
      </w:r>
      <w:r>
        <w:rPr>
          <w:rFonts w:ascii="Times New Roman" w:eastAsia="宋体" w:hAnsi="Times New Roman" w:cs="Times New Roman" w:hint="eastAsia"/>
          <w:snapToGrid/>
          <w:color w:val="auto"/>
          <w:kern w:val="2"/>
          <w:sz w:val="24"/>
          <w:szCs w:val="24"/>
          <w:lang w:eastAsia="zh-CN"/>
        </w:rPr>
        <w:t>号站位。</w:t>
      </w:r>
    </w:p>
    <w:p w14:paraId="43904AAA"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调查海域浮游动物优势种主要为肥胖箭虫（</w:t>
      </w:r>
      <w:r>
        <w:rPr>
          <w:rFonts w:ascii="Times New Roman" w:eastAsia="宋体" w:hAnsi="Times New Roman" w:cs="Times New Roman" w:hint="eastAsia"/>
          <w:i/>
          <w:iCs/>
          <w:snapToGrid/>
          <w:color w:val="auto"/>
          <w:kern w:val="2"/>
          <w:sz w:val="24"/>
          <w:szCs w:val="24"/>
          <w:lang w:eastAsia="zh-CN"/>
        </w:rPr>
        <w:t>Sagitta enflata</w:t>
      </w:r>
      <w:r>
        <w:rPr>
          <w:rFonts w:ascii="Times New Roman" w:eastAsia="宋体" w:hAnsi="Times New Roman" w:cs="Times New Roman" w:hint="eastAsia"/>
          <w:snapToGrid/>
          <w:color w:val="auto"/>
          <w:kern w:val="2"/>
          <w:sz w:val="24"/>
          <w:szCs w:val="24"/>
          <w:lang w:eastAsia="zh-CN"/>
        </w:rPr>
        <w:t xml:space="preserve"> </w:t>
      </w:r>
      <w:r>
        <w:rPr>
          <w:rFonts w:ascii="Times New Roman" w:eastAsia="宋体" w:hAnsi="Times New Roman" w:cs="Times New Roman" w:hint="eastAsia"/>
          <w:snapToGrid/>
          <w:color w:val="auto"/>
          <w:kern w:val="2"/>
          <w:sz w:val="24"/>
          <w:szCs w:val="24"/>
          <w:lang w:eastAsia="zh-CN"/>
        </w:rPr>
        <w:t>）、拟细浅室水母（</w:t>
      </w:r>
      <w:r>
        <w:rPr>
          <w:rFonts w:ascii="Times New Roman" w:eastAsia="宋体" w:hAnsi="Times New Roman" w:cs="Times New Roman" w:hint="eastAsia"/>
          <w:i/>
          <w:iCs/>
          <w:snapToGrid/>
          <w:color w:val="auto"/>
          <w:kern w:val="2"/>
          <w:sz w:val="24"/>
          <w:szCs w:val="24"/>
          <w:lang w:eastAsia="zh-CN"/>
        </w:rPr>
        <w:t>Lensia subtiloides</w:t>
      </w:r>
      <w:r>
        <w:rPr>
          <w:rFonts w:ascii="Times New Roman" w:eastAsia="宋体" w:hAnsi="Times New Roman" w:cs="Times New Roman" w:hint="eastAsia"/>
          <w:snapToGrid/>
          <w:color w:val="auto"/>
          <w:kern w:val="2"/>
          <w:sz w:val="24"/>
          <w:szCs w:val="24"/>
          <w:lang w:eastAsia="zh-CN"/>
        </w:rPr>
        <w:t xml:space="preserve"> </w:t>
      </w:r>
      <w:r>
        <w:rPr>
          <w:rFonts w:ascii="Times New Roman" w:eastAsia="宋体" w:hAnsi="Times New Roman" w:cs="Times New Roman" w:hint="eastAsia"/>
          <w:snapToGrid/>
          <w:color w:val="auto"/>
          <w:kern w:val="2"/>
          <w:sz w:val="24"/>
          <w:szCs w:val="24"/>
          <w:lang w:eastAsia="zh-CN"/>
        </w:rPr>
        <w:t>）、亚强次真哲水蚤（</w:t>
      </w:r>
      <w:r>
        <w:rPr>
          <w:rFonts w:ascii="Times New Roman" w:eastAsia="宋体" w:hAnsi="Times New Roman" w:cs="Times New Roman" w:hint="eastAsia"/>
          <w:i/>
          <w:iCs/>
          <w:snapToGrid/>
          <w:color w:val="auto"/>
          <w:kern w:val="2"/>
          <w:sz w:val="24"/>
          <w:szCs w:val="24"/>
          <w:lang w:eastAsia="zh-CN"/>
        </w:rPr>
        <w:t>Subeucalanus subcrasus</w:t>
      </w:r>
      <w:r>
        <w:rPr>
          <w:rFonts w:ascii="Times New Roman" w:eastAsia="宋体" w:hAnsi="Times New Roman" w:cs="Times New Roman" w:hint="eastAsia"/>
          <w:snapToGrid/>
          <w:color w:val="auto"/>
          <w:kern w:val="2"/>
          <w:sz w:val="24"/>
          <w:szCs w:val="24"/>
          <w:lang w:eastAsia="zh-CN"/>
        </w:rPr>
        <w:t xml:space="preserve"> </w:t>
      </w:r>
      <w:r>
        <w:rPr>
          <w:rFonts w:ascii="Times New Roman" w:eastAsia="宋体" w:hAnsi="Times New Roman" w:cs="Times New Roman" w:hint="eastAsia"/>
          <w:snapToGrid/>
          <w:color w:val="auto"/>
          <w:kern w:val="2"/>
          <w:sz w:val="24"/>
          <w:szCs w:val="24"/>
          <w:lang w:eastAsia="zh-CN"/>
        </w:rPr>
        <w:t>）、微刺哲水蚤（</w:t>
      </w:r>
      <w:r>
        <w:rPr>
          <w:rFonts w:ascii="Times New Roman" w:eastAsia="宋体" w:hAnsi="Times New Roman" w:cs="Times New Roman" w:hint="eastAsia"/>
          <w:i/>
          <w:iCs/>
          <w:snapToGrid/>
          <w:color w:val="auto"/>
          <w:kern w:val="2"/>
          <w:sz w:val="24"/>
          <w:szCs w:val="24"/>
          <w:lang w:eastAsia="zh-CN"/>
        </w:rPr>
        <w:t>Canthocalanus pauper</w:t>
      </w:r>
      <w:r>
        <w:rPr>
          <w:rFonts w:ascii="Times New Roman" w:eastAsia="宋体" w:hAnsi="Times New Roman" w:cs="Times New Roman" w:hint="eastAsia"/>
          <w:snapToGrid/>
          <w:color w:val="auto"/>
          <w:kern w:val="2"/>
          <w:sz w:val="24"/>
          <w:szCs w:val="24"/>
          <w:lang w:eastAsia="zh-CN"/>
        </w:rPr>
        <w:t>）、精致真刺水蚤（</w:t>
      </w:r>
      <w:r>
        <w:rPr>
          <w:rFonts w:ascii="Times New Roman" w:eastAsia="宋体" w:hAnsi="Times New Roman" w:cs="Times New Roman" w:hint="eastAsia"/>
          <w:i/>
          <w:iCs/>
          <w:snapToGrid/>
          <w:color w:val="auto"/>
          <w:kern w:val="2"/>
          <w:sz w:val="24"/>
          <w:szCs w:val="24"/>
          <w:lang w:eastAsia="zh-CN"/>
        </w:rPr>
        <w:t>Euchaeta concinna</w:t>
      </w:r>
      <w:r>
        <w:rPr>
          <w:rFonts w:ascii="Times New Roman" w:eastAsia="宋体" w:hAnsi="Times New Roman" w:cs="Times New Roman" w:hint="eastAsia"/>
          <w:snapToGrid/>
          <w:color w:val="auto"/>
          <w:kern w:val="2"/>
          <w:sz w:val="24"/>
          <w:szCs w:val="24"/>
          <w:lang w:eastAsia="zh-CN"/>
        </w:rPr>
        <w:t>）、长尾住囊虫（</w:t>
      </w:r>
      <w:r>
        <w:rPr>
          <w:rFonts w:ascii="Times New Roman" w:eastAsia="宋体" w:hAnsi="Times New Roman" w:cs="Times New Roman" w:hint="eastAsia"/>
          <w:i/>
          <w:iCs/>
          <w:snapToGrid/>
          <w:color w:val="auto"/>
          <w:kern w:val="2"/>
          <w:sz w:val="24"/>
          <w:szCs w:val="24"/>
          <w:lang w:eastAsia="zh-CN"/>
        </w:rPr>
        <w:t>Oikopleuralongicauda</w:t>
      </w:r>
      <w:r>
        <w:rPr>
          <w:rFonts w:ascii="Times New Roman" w:eastAsia="宋体" w:hAnsi="Times New Roman" w:cs="Times New Roman" w:hint="eastAsia"/>
          <w:snapToGrid/>
          <w:color w:val="auto"/>
          <w:kern w:val="2"/>
          <w:sz w:val="24"/>
          <w:szCs w:val="24"/>
          <w:lang w:eastAsia="zh-CN"/>
        </w:rPr>
        <w:t>）和爪室水母（</w:t>
      </w:r>
      <w:r>
        <w:rPr>
          <w:rFonts w:ascii="Times New Roman" w:eastAsia="宋体" w:hAnsi="Times New Roman" w:cs="Times New Roman" w:hint="eastAsia"/>
          <w:i/>
          <w:iCs/>
          <w:snapToGrid/>
          <w:color w:val="auto"/>
          <w:kern w:val="2"/>
          <w:sz w:val="24"/>
          <w:szCs w:val="24"/>
          <w:lang w:eastAsia="zh-CN"/>
        </w:rPr>
        <w:t>Chelophyes appendiculata</w:t>
      </w:r>
      <w:r>
        <w:rPr>
          <w:rFonts w:ascii="Times New Roman" w:eastAsia="宋体" w:hAnsi="Times New Roman" w:cs="Times New Roman" w:hint="eastAsia"/>
          <w:snapToGrid/>
          <w:color w:val="auto"/>
          <w:kern w:val="2"/>
          <w:sz w:val="24"/>
          <w:szCs w:val="24"/>
          <w:lang w:eastAsia="zh-CN"/>
        </w:rPr>
        <w:t>）。其中以肥胖箭虫优势</w:t>
      </w:r>
      <w:r>
        <w:rPr>
          <w:rFonts w:ascii="Times New Roman" w:eastAsia="宋体" w:hAnsi="Times New Roman" w:cs="Times New Roman" w:hint="eastAsia"/>
          <w:snapToGrid/>
          <w:color w:val="auto"/>
          <w:kern w:val="2"/>
          <w:sz w:val="24"/>
          <w:szCs w:val="24"/>
          <w:lang w:eastAsia="zh-CN"/>
        </w:rPr>
        <w:t>度最高，优势度为</w:t>
      </w:r>
      <w:r>
        <w:rPr>
          <w:rFonts w:ascii="Times New Roman" w:eastAsia="宋体" w:hAnsi="Times New Roman" w:cs="Times New Roman" w:hint="eastAsia"/>
          <w:snapToGrid/>
          <w:color w:val="auto"/>
          <w:kern w:val="2"/>
          <w:sz w:val="24"/>
          <w:szCs w:val="24"/>
          <w:lang w:eastAsia="zh-CN"/>
        </w:rPr>
        <w:t>0.20</w:t>
      </w:r>
      <w:r>
        <w:rPr>
          <w:rFonts w:ascii="Times New Roman" w:eastAsia="宋体" w:hAnsi="Times New Roman" w:cs="Times New Roman" w:hint="eastAsia"/>
          <w:snapToGrid/>
          <w:color w:val="auto"/>
          <w:kern w:val="2"/>
          <w:sz w:val="24"/>
          <w:szCs w:val="24"/>
          <w:lang w:eastAsia="zh-CN"/>
        </w:rPr>
        <w:t>，平均密度为</w:t>
      </w:r>
      <w:r>
        <w:rPr>
          <w:rFonts w:ascii="Times New Roman" w:eastAsia="宋体" w:hAnsi="Times New Roman" w:cs="Times New Roman" w:hint="eastAsia"/>
          <w:snapToGrid/>
          <w:color w:val="auto"/>
          <w:kern w:val="2"/>
          <w:sz w:val="24"/>
          <w:szCs w:val="24"/>
          <w:lang w:eastAsia="zh-CN"/>
        </w:rPr>
        <w:t>5.72ind/m</w:t>
      </w:r>
      <w:r>
        <w:rPr>
          <w:rFonts w:ascii="Times New Roman" w:eastAsia="宋体" w:hAnsi="Times New Roman" w:cs="Times New Roman" w:hint="eastAsia"/>
          <w:snapToGrid/>
          <w:color w:val="auto"/>
          <w:kern w:val="2"/>
          <w:sz w:val="24"/>
          <w:szCs w:val="24"/>
          <w:lang w:eastAsia="zh-CN"/>
        </w:rPr>
        <w:t>³；其次为拟细浅室水母和亚强次真哲水蚤，优势度均为</w:t>
      </w:r>
      <w:r>
        <w:rPr>
          <w:rFonts w:ascii="Times New Roman" w:eastAsia="宋体" w:hAnsi="Times New Roman" w:cs="Times New Roman" w:hint="eastAsia"/>
          <w:snapToGrid/>
          <w:color w:val="auto"/>
          <w:kern w:val="2"/>
          <w:sz w:val="24"/>
          <w:szCs w:val="24"/>
          <w:lang w:eastAsia="zh-CN"/>
        </w:rPr>
        <w:t>0.17</w:t>
      </w:r>
      <w:r>
        <w:rPr>
          <w:rFonts w:ascii="Times New Roman" w:eastAsia="宋体" w:hAnsi="Times New Roman" w:cs="Times New Roman" w:hint="eastAsia"/>
          <w:snapToGrid/>
          <w:color w:val="auto"/>
          <w:kern w:val="2"/>
          <w:sz w:val="24"/>
          <w:szCs w:val="24"/>
          <w:lang w:eastAsia="zh-CN"/>
        </w:rPr>
        <w:t>，平均密度分为</w:t>
      </w:r>
      <w:r>
        <w:rPr>
          <w:rFonts w:ascii="Times New Roman" w:eastAsia="宋体" w:hAnsi="Times New Roman" w:cs="Times New Roman" w:hint="eastAsia"/>
          <w:snapToGrid/>
          <w:color w:val="auto"/>
          <w:kern w:val="2"/>
          <w:sz w:val="24"/>
          <w:szCs w:val="24"/>
          <w:lang w:eastAsia="zh-CN"/>
        </w:rPr>
        <w:t>5.02ind/m</w:t>
      </w:r>
      <w:r>
        <w:rPr>
          <w:rFonts w:ascii="Times New Roman" w:eastAsia="宋体" w:hAnsi="Times New Roman" w:cs="Times New Roman" w:hint="eastAsia"/>
          <w:snapToGrid/>
          <w:color w:val="auto"/>
          <w:kern w:val="2"/>
          <w:sz w:val="24"/>
          <w:szCs w:val="24"/>
          <w:lang w:eastAsia="zh-CN"/>
        </w:rPr>
        <w:t>³和</w:t>
      </w:r>
      <w:r>
        <w:rPr>
          <w:rFonts w:ascii="Times New Roman" w:eastAsia="宋体" w:hAnsi="Times New Roman" w:cs="Times New Roman" w:hint="eastAsia"/>
          <w:snapToGrid/>
          <w:color w:val="auto"/>
          <w:kern w:val="2"/>
          <w:sz w:val="24"/>
          <w:szCs w:val="24"/>
          <w:lang w:eastAsia="zh-CN"/>
        </w:rPr>
        <w:t>5.67ind/m</w:t>
      </w:r>
      <w:r>
        <w:rPr>
          <w:rFonts w:ascii="Times New Roman" w:eastAsia="宋体" w:hAnsi="Times New Roman" w:cs="Times New Roman" w:hint="eastAsia"/>
          <w:snapToGrid/>
          <w:color w:val="auto"/>
          <w:kern w:val="2"/>
          <w:sz w:val="24"/>
          <w:szCs w:val="24"/>
          <w:lang w:eastAsia="zh-CN"/>
        </w:rPr>
        <w:t>³，其余物种优势度和平均密度详见</w:t>
      </w:r>
      <w:r>
        <w:rPr>
          <w:rFonts w:ascii="宋体" w:eastAsia="宋体" w:hAnsi="宋体" w:cs="宋体" w:hint="eastAsia"/>
          <w:color w:val="auto"/>
          <w:sz w:val="24"/>
          <w:szCs w:val="24"/>
          <w:lang w:eastAsia="zh-CN"/>
        </w:rPr>
        <w:t>表</w:t>
      </w:r>
      <w:r>
        <w:rPr>
          <w:rFonts w:ascii="Times New Roman" w:eastAsia="宋体" w:hAnsi="Times New Roman" w:cs="Times New Roman" w:hint="eastAsia"/>
          <w:snapToGrid/>
          <w:color w:val="auto"/>
          <w:kern w:val="2"/>
          <w:sz w:val="24"/>
          <w:szCs w:val="24"/>
          <w:lang w:eastAsia="zh-CN"/>
        </w:rPr>
        <w:t>3.2.6-22</w:t>
      </w:r>
      <w:r>
        <w:rPr>
          <w:rFonts w:ascii="Times New Roman" w:eastAsia="宋体" w:hAnsi="Times New Roman" w:cs="Times New Roman" w:hint="eastAsia"/>
          <w:snapToGrid/>
          <w:color w:val="auto"/>
          <w:kern w:val="2"/>
          <w:sz w:val="24"/>
          <w:szCs w:val="24"/>
          <w:lang w:eastAsia="zh-CN"/>
        </w:rPr>
        <w:t>。</w:t>
      </w:r>
    </w:p>
    <w:p w14:paraId="118D448C" w14:textId="77777777" w:rsidR="0075791A" w:rsidRDefault="00FB2864">
      <w:pPr>
        <w:pStyle w:val="TableParagraph"/>
        <w:spacing w:before="28"/>
        <w:ind w:left="1776"/>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表</w:t>
      </w:r>
      <w:r>
        <w:rPr>
          <w:rFonts w:ascii="Times New Roman" w:eastAsia="宋体" w:hAnsi="Times New Roman" w:cs="Times New Roman" w:hint="eastAsia"/>
          <w:snapToGrid/>
          <w:color w:val="auto"/>
          <w:kern w:val="2"/>
          <w:sz w:val="24"/>
          <w:szCs w:val="24"/>
          <w:lang w:eastAsia="zh-CN"/>
        </w:rPr>
        <w:t>3.2.6-22</w:t>
      </w:r>
      <w:r>
        <w:rPr>
          <w:rFonts w:ascii="宋体" w:eastAsia="宋体" w:hAnsi="宋体" w:cs="宋体" w:hint="eastAsia"/>
          <w:color w:val="auto"/>
          <w:sz w:val="24"/>
          <w:szCs w:val="24"/>
          <w:lang w:eastAsia="zh-CN"/>
        </w:rPr>
        <w:t xml:space="preserve"> </w:t>
      </w:r>
      <w:r>
        <w:rPr>
          <w:rFonts w:ascii="宋体" w:eastAsia="宋体" w:hAnsi="宋体" w:cs="宋体" w:hint="eastAsia"/>
          <w:color w:val="auto"/>
          <w:sz w:val="24"/>
          <w:szCs w:val="24"/>
          <w:lang w:eastAsia="zh-CN"/>
        </w:rPr>
        <w:t>2024</w:t>
      </w:r>
      <w:r>
        <w:rPr>
          <w:rFonts w:ascii="宋体" w:eastAsia="宋体" w:hAnsi="宋体" w:cs="宋体" w:hint="eastAsia"/>
          <w:color w:val="auto"/>
          <w:sz w:val="24"/>
          <w:szCs w:val="24"/>
          <w:lang w:eastAsia="zh-CN"/>
        </w:rPr>
        <w:t>年</w:t>
      </w:r>
      <w:r>
        <w:rPr>
          <w:rFonts w:ascii="宋体" w:eastAsia="宋体" w:hAnsi="宋体" w:cs="宋体" w:hint="eastAsia"/>
          <w:color w:val="auto"/>
          <w:sz w:val="24"/>
          <w:szCs w:val="24"/>
          <w:lang w:eastAsia="zh-CN"/>
        </w:rPr>
        <w:t>9</w:t>
      </w:r>
      <w:r>
        <w:rPr>
          <w:rFonts w:ascii="宋体" w:eastAsia="宋体" w:hAnsi="宋体" w:cs="宋体" w:hint="eastAsia"/>
          <w:color w:val="auto"/>
          <w:sz w:val="24"/>
          <w:szCs w:val="24"/>
          <w:lang w:eastAsia="zh-CN"/>
        </w:rPr>
        <w:t>月航次浮游动物优势种和优势度</w:t>
      </w:r>
    </w:p>
    <w:tbl>
      <w:tblPr>
        <w:tblW w:w="0" w:type="auto"/>
        <w:tblLayout w:type="fixed"/>
        <w:tblCellMar>
          <w:left w:w="0" w:type="dxa"/>
          <w:right w:w="0" w:type="dxa"/>
        </w:tblCellMar>
        <w:tblLook w:val="04A0" w:firstRow="1" w:lastRow="0" w:firstColumn="1" w:lastColumn="0" w:noHBand="0" w:noVBand="1"/>
      </w:tblPr>
      <w:tblGrid>
        <w:gridCol w:w="2609"/>
        <w:gridCol w:w="2104"/>
        <w:gridCol w:w="2105"/>
        <w:gridCol w:w="2105"/>
      </w:tblGrid>
      <w:tr w:rsidR="0075791A" w14:paraId="74B8E90E" w14:textId="77777777">
        <w:trPr>
          <w:trHeight w:hRule="exact" w:val="330"/>
        </w:trPr>
        <w:tc>
          <w:tcPr>
            <w:tcW w:w="2609" w:type="dxa"/>
            <w:tcBorders>
              <w:top w:val="single" w:sz="4" w:space="0" w:color="000000"/>
              <w:left w:val="single" w:sz="4" w:space="0" w:color="000000"/>
              <w:bottom w:val="single" w:sz="4" w:space="0" w:color="000000"/>
              <w:right w:val="single" w:sz="4" w:space="0" w:color="000000"/>
            </w:tcBorders>
          </w:tcPr>
          <w:p w14:paraId="738B767D" w14:textId="77777777" w:rsidR="0075791A" w:rsidRDefault="00FB2864">
            <w:pPr>
              <w:pStyle w:val="TableParagraph"/>
              <w:spacing w:line="287" w:lineRule="exact"/>
              <w:ind w:right="2"/>
              <w:jc w:val="center"/>
              <w:rPr>
                <w:rFonts w:ascii="宋体" w:eastAsia="宋体" w:hAnsi="宋体" w:cs="宋体"/>
                <w:color w:val="auto"/>
              </w:rPr>
            </w:pPr>
            <w:r>
              <w:rPr>
                <w:rFonts w:ascii="宋体" w:eastAsia="宋体" w:hAnsi="宋体" w:cs="宋体"/>
                <w:color w:val="auto"/>
                <w:spacing w:val="-1"/>
              </w:rPr>
              <w:t>优</w:t>
            </w:r>
            <w:r>
              <w:rPr>
                <w:rFonts w:ascii="宋体" w:eastAsia="宋体" w:hAnsi="宋体" w:cs="宋体"/>
                <w:color w:val="auto"/>
                <w:spacing w:val="2"/>
              </w:rPr>
              <w:t>势</w:t>
            </w:r>
            <w:r>
              <w:rPr>
                <w:rFonts w:ascii="宋体" w:eastAsia="宋体" w:hAnsi="宋体" w:cs="宋体"/>
                <w:color w:val="auto"/>
              </w:rPr>
              <w:t>种</w:t>
            </w:r>
          </w:p>
        </w:tc>
        <w:tc>
          <w:tcPr>
            <w:tcW w:w="2104" w:type="dxa"/>
            <w:tcBorders>
              <w:top w:val="single" w:sz="4" w:space="0" w:color="000000"/>
              <w:left w:val="single" w:sz="4" w:space="0" w:color="000000"/>
              <w:bottom w:val="single" w:sz="4" w:space="0" w:color="000000"/>
              <w:right w:val="single" w:sz="4" w:space="0" w:color="000000"/>
            </w:tcBorders>
          </w:tcPr>
          <w:p w14:paraId="484D8C20" w14:textId="77777777" w:rsidR="0075791A" w:rsidRDefault="00FB2864">
            <w:pPr>
              <w:pStyle w:val="TableParagraph"/>
              <w:spacing w:line="303" w:lineRule="exact"/>
              <w:ind w:left="138"/>
              <w:rPr>
                <w:rFonts w:ascii="宋体" w:eastAsia="宋体" w:hAnsi="宋体" w:cs="宋体"/>
                <w:color w:val="auto"/>
              </w:rPr>
            </w:pPr>
            <w:r>
              <w:rPr>
                <w:rFonts w:ascii="宋体" w:eastAsia="宋体" w:hAnsi="宋体" w:cs="宋体"/>
                <w:color w:val="auto"/>
                <w:spacing w:val="-1"/>
              </w:rPr>
              <w:t>平</w:t>
            </w:r>
            <w:r>
              <w:rPr>
                <w:rFonts w:ascii="宋体" w:eastAsia="宋体" w:hAnsi="宋体" w:cs="宋体"/>
                <w:color w:val="auto"/>
                <w:spacing w:val="2"/>
              </w:rPr>
              <w:t>均</w:t>
            </w:r>
            <w:r>
              <w:rPr>
                <w:rFonts w:ascii="宋体" w:eastAsia="宋体" w:hAnsi="宋体" w:cs="宋体"/>
                <w:color w:val="auto"/>
                <w:spacing w:val="-1"/>
              </w:rPr>
              <w:t>丰</w:t>
            </w:r>
            <w:r>
              <w:rPr>
                <w:rFonts w:ascii="宋体" w:eastAsia="宋体" w:hAnsi="宋体" w:cs="宋体"/>
                <w:color w:val="auto"/>
                <w:spacing w:val="2"/>
              </w:rPr>
              <w:t>度</w:t>
            </w:r>
            <w:r>
              <w:rPr>
                <w:rFonts w:ascii="宋体" w:eastAsia="宋体" w:hAnsi="宋体" w:cs="宋体"/>
                <w:color w:val="auto"/>
                <w:spacing w:val="-1"/>
              </w:rPr>
              <w:t>（</w:t>
            </w:r>
            <w:r>
              <w:rPr>
                <w:rFonts w:ascii="Times New Roman" w:eastAsia="Times New Roman" w:hAnsi="Times New Roman" w:cs="Times New Roman"/>
                <w:color w:val="auto"/>
                <w:spacing w:val="-1"/>
              </w:rPr>
              <w:t>i</w:t>
            </w:r>
            <w:r>
              <w:rPr>
                <w:rFonts w:ascii="Times New Roman" w:eastAsia="Times New Roman" w:hAnsi="Times New Roman" w:cs="Times New Roman"/>
                <w:color w:val="auto"/>
                <w:spacing w:val="1"/>
              </w:rPr>
              <w:t>nd</w:t>
            </w:r>
            <w:r>
              <w:rPr>
                <w:rFonts w:ascii="Times New Roman" w:eastAsia="Times New Roman" w:hAnsi="Times New Roman" w:cs="Times New Roman"/>
                <w:color w:val="auto"/>
                <w:spacing w:val="-1"/>
              </w:rPr>
              <w:t>/</w:t>
            </w:r>
            <w:r>
              <w:rPr>
                <w:rFonts w:ascii="Times New Roman" w:eastAsia="Times New Roman" w:hAnsi="Times New Roman" w:cs="Times New Roman"/>
                <w:color w:val="auto"/>
              </w:rPr>
              <w:t>m</w:t>
            </w:r>
            <w:r>
              <w:rPr>
                <w:rFonts w:ascii="Times New Roman" w:eastAsia="Times New Roman" w:hAnsi="Times New Roman" w:cs="Times New Roman"/>
                <w:color w:val="auto"/>
                <w:position w:val="7"/>
                <w:sz w:val="13"/>
                <w:szCs w:val="13"/>
              </w:rPr>
              <w:t>3</w:t>
            </w:r>
            <w:r>
              <w:rPr>
                <w:rFonts w:ascii="宋体" w:eastAsia="宋体" w:hAnsi="宋体" w:cs="宋体"/>
                <w:color w:val="auto"/>
              </w:rPr>
              <w:t>）</w:t>
            </w:r>
          </w:p>
        </w:tc>
        <w:tc>
          <w:tcPr>
            <w:tcW w:w="2105" w:type="dxa"/>
            <w:tcBorders>
              <w:top w:val="single" w:sz="4" w:space="0" w:color="000000"/>
              <w:left w:val="single" w:sz="4" w:space="0" w:color="000000"/>
              <w:bottom w:val="single" w:sz="4" w:space="0" w:color="000000"/>
              <w:right w:val="single" w:sz="4" w:space="0" w:color="000000"/>
            </w:tcBorders>
          </w:tcPr>
          <w:p w14:paraId="6205850F" w14:textId="77777777" w:rsidR="0075791A" w:rsidRDefault="00FB2864">
            <w:pPr>
              <w:pStyle w:val="TableParagraph"/>
              <w:spacing w:line="303" w:lineRule="exact"/>
              <w:ind w:left="329"/>
              <w:rPr>
                <w:rFonts w:ascii="宋体" w:eastAsia="宋体" w:hAnsi="宋体" w:cs="宋体"/>
                <w:color w:val="auto"/>
              </w:rPr>
            </w:pPr>
            <w:r>
              <w:rPr>
                <w:rFonts w:ascii="宋体" w:eastAsia="宋体" w:hAnsi="宋体" w:cs="宋体"/>
                <w:color w:val="auto"/>
                <w:spacing w:val="-1"/>
              </w:rPr>
              <w:t>出</w:t>
            </w:r>
            <w:r>
              <w:rPr>
                <w:rFonts w:ascii="宋体" w:eastAsia="宋体" w:hAnsi="宋体" w:cs="宋体"/>
                <w:color w:val="auto"/>
                <w:spacing w:val="2"/>
              </w:rPr>
              <w:t>现</w:t>
            </w:r>
            <w:r>
              <w:rPr>
                <w:rFonts w:ascii="宋体" w:eastAsia="宋体" w:hAnsi="宋体" w:cs="宋体"/>
                <w:color w:val="auto"/>
                <w:spacing w:val="-1"/>
              </w:rPr>
              <w:t>频</w:t>
            </w:r>
            <w:r>
              <w:rPr>
                <w:rFonts w:ascii="宋体" w:eastAsia="宋体" w:hAnsi="宋体" w:cs="宋体"/>
                <w:color w:val="auto"/>
                <w:spacing w:val="2"/>
              </w:rPr>
              <w:t>率（</w:t>
            </w:r>
            <w:r>
              <w:rPr>
                <w:rFonts w:ascii="Times New Roman" w:eastAsia="Times New Roman" w:hAnsi="Times New Roman" w:cs="Times New Roman"/>
                <w:color w:val="auto"/>
                <w:spacing w:val="-2"/>
              </w:rPr>
              <w:t>%</w:t>
            </w:r>
            <w:r>
              <w:rPr>
                <w:rFonts w:ascii="宋体" w:eastAsia="宋体" w:hAnsi="宋体" w:cs="宋体"/>
                <w:color w:val="auto"/>
              </w:rPr>
              <w:t>）</w:t>
            </w:r>
          </w:p>
        </w:tc>
        <w:tc>
          <w:tcPr>
            <w:tcW w:w="2105" w:type="dxa"/>
            <w:tcBorders>
              <w:top w:val="single" w:sz="4" w:space="0" w:color="000000"/>
              <w:left w:val="single" w:sz="4" w:space="0" w:color="000000"/>
              <w:bottom w:val="single" w:sz="4" w:space="0" w:color="000000"/>
              <w:right w:val="single" w:sz="4" w:space="0" w:color="000000"/>
            </w:tcBorders>
          </w:tcPr>
          <w:p w14:paraId="08CE7DB3" w14:textId="77777777" w:rsidR="0075791A" w:rsidRDefault="00FB2864">
            <w:pPr>
              <w:pStyle w:val="TableParagraph"/>
              <w:spacing w:line="287" w:lineRule="exact"/>
              <w:ind w:right="2"/>
              <w:jc w:val="center"/>
              <w:rPr>
                <w:rFonts w:ascii="宋体" w:eastAsia="宋体" w:hAnsi="宋体" w:cs="宋体"/>
                <w:color w:val="auto"/>
              </w:rPr>
            </w:pPr>
            <w:r>
              <w:rPr>
                <w:rFonts w:ascii="宋体" w:eastAsia="宋体" w:hAnsi="宋体" w:cs="宋体"/>
                <w:color w:val="auto"/>
                <w:spacing w:val="-1"/>
              </w:rPr>
              <w:t>优</w:t>
            </w:r>
            <w:r>
              <w:rPr>
                <w:rFonts w:ascii="宋体" w:eastAsia="宋体" w:hAnsi="宋体" w:cs="宋体"/>
                <w:color w:val="auto"/>
                <w:spacing w:val="2"/>
              </w:rPr>
              <w:t>势</w:t>
            </w:r>
            <w:r>
              <w:rPr>
                <w:rFonts w:ascii="宋体" w:eastAsia="宋体" w:hAnsi="宋体" w:cs="宋体"/>
                <w:color w:val="auto"/>
              </w:rPr>
              <w:t>度</w:t>
            </w:r>
          </w:p>
        </w:tc>
      </w:tr>
      <w:tr w:rsidR="0075791A" w14:paraId="630E5B84" w14:textId="77777777">
        <w:trPr>
          <w:trHeight w:hRule="exact" w:val="330"/>
        </w:trPr>
        <w:tc>
          <w:tcPr>
            <w:tcW w:w="2609" w:type="dxa"/>
            <w:tcBorders>
              <w:top w:val="single" w:sz="4" w:space="0" w:color="000000"/>
              <w:left w:val="single" w:sz="4" w:space="0" w:color="000000"/>
              <w:bottom w:val="single" w:sz="4" w:space="0" w:color="000000"/>
              <w:right w:val="single" w:sz="4" w:space="0" w:color="000000"/>
            </w:tcBorders>
          </w:tcPr>
          <w:p w14:paraId="74D1C4A7" w14:textId="77777777" w:rsidR="0075791A" w:rsidRDefault="00FB2864">
            <w:pPr>
              <w:pStyle w:val="TableParagraph"/>
              <w:spacing w:line="289" w:lineRule="exact"/>
              <w:ind w:left="859"/>
              <w:rPr>
                <w:rFonts w:ascii="宋体" w:eastAsia="宋体" w:hAnsi="宋体" w:cs="宋体"/>
                <w:color w:val="auto"/>
                <w:sz w:val="22"/>
                <w:szCs w:val="22"/>
              </w:rPr>
            </w:pPr>
            <w:r>
              <w:rPr>
                <w:rFonts w:ascii="宋体" w:eastAsia="宋体" w:hAnsi="宋体" w:cs="宋体"/>
                <w:color w:val="auto"/>
                <w:spacing w:val="-1"/>
                <w:sz w:val="22"/>
                <w:szCs w:val="22"/>
              </w:rPr>
              <w:t>肥</w:t>
            </w:r>
            <w:r>
              <w:rPr>
                <w:rFonts w:ascii="宋体" w:eastAsia="宋体" w:hAnsi="宋体" w:cs="宋体"/>
                <w:color w:val="auto"/>
                <w:spacing w:val="-3"/>
                <w:sz w:val="22"/>
                <w:szCs w:val="22"/>
              </w:rPr>
              <w:t>胖</w:t>
            </w:r>
            <w:r>
              <w:rPr>
                <w:rFonts w:ascii="宋体" w:eastAsia="宋体" w:hAnsi="宋体" w:cs="宋体"/>
                <w:color w:val="auto"/>
                <w:spacing w:val="-1"/>
                <w:sz w:val="22"/>
                <w:szCs w:val="22"/>
              </w:rPr>
              <w:t>箭</w:t>
            </w:r>
            <w:r>
              <w:rPr>
                <w:rFonts w:ascii="宋体" w:eastAsia="宋体" w:hAnsi="宋体" w:cs="宋体"/>
                <w:color w:val="auto"/>
                <w:sz w:val="22"/>
                <w:szCs w:val="22"/>
              </w:rPr>
              <w:t>虫</w:t>
            </w:r>
          </w:p>
        </w:tc>
        <w:tc>
          <w:tcPr>
            <w:tcW w:w="2104" w:type="dxa"/>
            <w:tcBorders>
              <w:top w:val="single" w:sz="4" w:space="0" w:color="000000"/>
              <w:left w:val="single" w:sz="4" w:space="0" w:color="000000"/>
              <w:bottom w:val="single" w:sz="4" w:space="0" w:color="000000"/>
              <w:right w:val="single" w:sz="4" w:space="0" w:color="000000"/>
            </w:tcBorders>
          </w:tcPr>
          <w:p w14:paraId="2E724390" w14:textId="77777777" w:rsidR="0075791A" w:rsidRDefault="00FB2864">
            <w:pPr>
              <w:pStyle w:val="TableParagraph"/>
              <w:spacing w:before="50"/>
              <w:ind w:left="837" w:right="837"/>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5.7</w:t>
            </w:r>
            <w:r>
              <w:rPr>
                <w:rFonts w:ascii="Times New Roman" w:eastAsia="Times New Roman" w:hAnsi="Times New Roman" w:cs="Times New Roman"/>
                <w:color w:val="auto"/>
                <w:sz w:val="22"/>
                <w:szCs w:val="22"/>
              </w:rPr>
              <w:t>2</w:t>
            </w:r>
          </w:p>
        </w:tc>
        <w:tc>
          <w:tcPr>
            <w:tcW w:w="2105" w:type="dxa"/>
            <w:tcBorders>
              <w:top w:val="single" w:sz="4" w:space="0" w:color="000000"/>
              <w:left w:val="single" w:sz="4" w:space="0" w:color="000000"/>
              <w:bottom w:val="single" w:sz="4" w:space="0" w:color="000000"/>
              <w:right w:val="single" w:sz="4" w:space="0" w:color="000000"/>
            </w:tcBorders>
          </w:tcPr>
          <w:p w14:paraId="7096BFC1" w14:textId="77777777" w:rsidR="0075791A" w:rsidRDefault="00FB2864">
            <w:pPr>
              <w:pStyle w:val="TableParagraph"/>
              <w:spacing w:before="50"/>
              <w:ind w:left="773" w:right="773"/>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100</w:t>
            </w:r>
            <w:r>
              <w:rPr>
                <w:rFonts w:ascii="Times New Roman" w:eastAsia="Times New Roman" w:hAnsi="Times New Roman" w:cs="Times New Roman"/>
                <w:color w:val="auto"/>
                <w:sz w:val="22"/>
                <w:szCs w:val="22"/>
              </w:rPr>
              <w:t>%</w:t>
            </w:r>
          </w:p>
        </w:tc>
        <w:tc>
          <w:tcPr>
            <w:tcW w:w="2105" w:type="dxa"/>
            <w:tcBorders>
              <w:top w:val="single" w:sz="4" w:space="0" w:color="000000"/>
              <w:left w:val="single" w:sz="4" w:space="0" w:color="000000"/>
              <w:bottom w:val="single" w:sz="4" w:space="0" w:color="000000"/>
              <w:right w:val="single" w:sz="4" w:space="0" w:color="000000"/>
            </w:tcBorders>
          </w:tcPr>
          <w:p w14:paraId="62474426" w14:textId="77777777" w:rsidR="0075791A" w:rsidRDefault="00FB2864">
            <w:pPr>
              <w:pStyle w:val="TableParagraph"/>
              <w:spacing w:before="50"/>
              <w:ind w:left="837" w:right="837"/>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0.2</w:t>
            </w:r>
            <w:r>
              <w:rPr>
                <w:rFonts w:ascii="Times New Roman" w:eastAsia="Times New Roman" w:hAnsi="Times New Roman" w:cs="Times New Roman"/>
                <w:color w:val="auto"/>
                <w:sz w:val="22"/>
                <w:szCs w:val="22"/>
              </w:rPr>
              <w:t>0</w:t>
            </w:r>
          </w:p>
        </w:tc>
      </w:tr>
      <w:tr w:rsidR="0075791A" w14:paraId="640945F4" w14:textId="77777777">
        <w:trPr>
          <w:trHeight w:hRule="exact" w:val="330"/>
        </w:trPr>
        <w:tc>
          <w:tcPr>
            <w:tcW w:w="2609" w:type="dxa"/>
            <w:tcBorders>
              <w:top w:val="single" w:sz="4" w:space="0" w:color="000000"/>
              <w:left w:val="single" w:sz="4" w:space="0" w:color="000000"/>
              <w:bottom w:val="single" w:sz="4" w:space="0" w:color="000000"/>
              <w:right w:val="single" w:sz="4" w:space="0" w:color="000000"/>
            </w:tcBorders>
          </w:tcPr>
          <w:p w14:paraId="38D9BE81" w14:textId="77777777" w:rsidR="0075791A" w:rsidRDefault="00FB2864">
            <w:pPr>
              <w:pStyle w:val="TableParagraph"/>
              <w:spacing w:line="288" w:lineRule="exact"/>
              <w:ind w:left="638"/>
              <w:rPr>
                <w:rFonts w:ascii="宋体" w:eastAsia="宋体" w:hAnsi="宋体" w:cs="宋体"/>
                <w:color w:val="auto"/>
                <w:sz w:val="22"/>
                <w:szCs w:val="22"/>
              </w:rPr>
            </w:pPr>
            <w:r>
              <w:rPr>
                <w:rFonts w:ascii="宋体" w:eastAsia="宋体" w:hAnsi="宋体" w:cs="宋体"/>
                <w:color w:val="auto"/>
                <w:spacing w:val="-1"/>
                <w:sz w:val="22"/>
                <w:szCs w:val="22"/>
              </w:rPr>
              <w:lastRenderedPageBreak/>
              <w:t>拟</w:t>
            </w:r>
            <w:r>
              <w:rPr>
                <w:rFonts w:ascii="宋体" w:eastAsia="宋体" w:hAnsi="宋体" w:cs="宋体"/>
                <w:color w:val="auto"/>
                <w:spacing w:val="-3"/>
                <w:sz w:val="22"/>
                <w:szCs w:val="22"/>
              </w:rPr>
              <w:t>细</w:t>
            </w:r>
            <w:r>
              <w:rPr>
                <w:rFonts w:ascii="宋体" w:eastAsia="宋体" w:hAnsi="宋体" w:cs="宋体"/>
                <w:color w:val="auto"/>
                <w:spacing w:val="-1"/>
                <w:sz w:val="22"/>
                <w:szCs w:val="22"/>
              </w:rPr>
              <w:t>浅室</w:t>
            </w:r>
            <w:r>
              <w:rPr>
                <w:rFonts w:ascii="宋体" w:eastAsia="宋体" w:hAnsi="宋体" w:cs="宋体"/>
                <w:color w:val="auto"/>
                <w:spacing w:val="-3"/>
                <w:sz w:val="22"/>
                <w:szCs w:val="22"/>
              </w:rPr>
              <w:t>水</w:t>
            </w:r>
            <w:r>
              <w:rPr>
                <w:rFonts w:ascii="宋体" w:eastAsia="宋体" w:hAnsi="宋体" w:cs="宋体"/>
                <w:color w:val="auto"/>
                <w:sz w:val="22"/>
                <w:szCs w:val="22"/>
              </w:rPr>
              <w:t>母</w:t>
            </w:r>
          </w:p>
        </w:tc>
        <w:tc>
          <w:tcPr>
            <w:tcW w:w="2104" w:type="dxa"/>
            <w:tcBorders>
              <w:top w:val="single" w:sz="4" w:space="0" w:color="000000"/>
              <w:left w:val="single" w:sz="4" w:space="0" w:color="000000"/>
              <w:bottom w:val="single" w:sz="4" w:space="0" w:color="000000"/>
              <w:right w:val="single" w:sz="4" w:space="0" w:color="000000"/>
            </w:tcBorders>
          </w:tcPr>
          <w:p w14:paraId="146E35C1" w14:textId="77777777" w:rsidR="0075791A" w:rsidRDefault="00FB2864">
            <w:pPr>
              <w:pStyle w:val="TableParagraph"/>
              <w:spacing w:before="52"/>
              <w:ind w:left="837" w:right="837"/>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5.0</w:t>
            </w:r>
            <w:r>
              <w:rPr>
                <w:rFonts w:ascii="Times New Roman" w:eastAsia="Times New Roman" w:hAnsi="Times New Roman" w:cs="Times New Roman"/>
                <w:color w:val="auto"/>
                <w:sz w:val="22"/>
                <w:szCs w:val="22"/>
              </w:rPr>
              <w:t>2</w:t>
            </w:r>
          </w:p>
        </w:tc>
        <w:tc>
          <w:tcPr>
            <w:tcW w:w="2105" w:type="dxa"/>
            <w:tcBorders>
              <w:top w:val="single" w:sz="4" w:space="0" w:color="000000"/>
              <w:left w:val="single" w:sz="4" w:space="0" w:color="000000"/>
              <w:bottom w:val="single" w:sz="4" w:space="0" w:color="000000"/>
              <w:right w:val="single" w:sz="4" w:space="0" w:color="000000"/>
            </w:tcBorders>
          </w:tcPr>
          <w:p w14:paraId="6310ED40" w14:textId="77777777" w:rsidR="0075791A" w:rsidRDefault="00FB2864">
            <w:pPr>
              <w:pStyle w:val="TableParagraph"/>
              <w:spacing w:before="52"/>
              <w:ind w:left="773" w:right="773"/>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100</w:t>
            </w:r>
            <w:r>
              <w:rPr>
                <w:rFonts w:ascii="Times New Roman" w:eastAsia="Times New Roman" w:hAnsi="Times New Roman" w:cs="Times New Roman"/>
                <w:color w:val="auto"/>
                <w:sz w:val="22"/>
                <w:szCs w:val="22"/>
              </w:rPr>
              <w:t>%</w:t>
            </w:r>
          </w:p>
        </w:tc>
        <w:tc>
          <w:tcPr>
            <w:tcW w:w="2105" w:type="dxa"/>
            <w:tcBorders>
              <w:top w:val="single" w:sz="4" w:space="0" w:color="000000"/>
              <w:left w:val="single" w:sz="4" w:space="0" w:color="000000"/>
              <w:bottom w:val="single" w:sz="4" w:space="0" w:color="000000"/>
              <w:right w:val="single" w:sz="4" w:space="0" w:color="000000"/>
            </w:tcBorders>
          </w:tcPr>
          <w:p w14:paraId="1B6A9CAC" w14:textId="77777777" w:rsidR="0075791A" w:rsidRDefault="00FB2864">
            <w:pPr>
              <w:pStyle w:val="TableParagraph"/>
              <w:spacing w:before="52"/>
              <w:ind w:left="837" w:right="837"/>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0.1</w:t>
            </w:r>
            <w:r>
              <w:rPr>
                <w:rFonts w:ascii="Times New Roman" w:eastAsia="Times New Roman" w:hAnsi="Times New Roman" w:cs="Times New Roman"/>
                <w:color w:val="auto"/>
                <w:sz w:val="22"/>
                <w:szCs w:val="22"/>
              </w:rPr>
              <w:t>7</w:t>
            </w:r>
          </w:p>
        </w:tc>
      </w:tr>
      <w:tr w:rsidR="0075791A" w14:paraId="377A5ACC" w14:textId="77777777">
        <w:trPr>
          <w:trHeight w:hRule="exact" w:val="330"/>
        </w:trPr>
        <w:tc>
          <w:tcPr>
            <w:tcW w:w="2609" w:type="dxa"/>
            <w:tcBorders>
              <w:top w:val="single" w:sz="4" w:space="0" w:color="000000"/>
              <w:left w:val="single" w:sz="4" w:space="0" w:color="000000"/>
              <w:bottom w:val="single" w:sz="4" w:space="0" w:color="000000"/>
              <w:right w:val="single" w:sz="4" w:space="0" w:color="000000"/>
            </w:tcBorders>
          </w:tcPr>
          <w:p w14:paraId="52CD88D1" w14:textId="77777777" w:rsidR="0075791A" w:rsidRDefault="00FB2864">
            <w:pPr>
              <w:pStyle w:val="TableParagraph"/>
              <w:spacing w:line="289" w:lineRule="exact"/>
              <w:ind w:left="530"/>
              <w:rPr>
                <w:rFonts w:ascii="宋体" w:eastAsia="宋体" w:hAnsi="宋体" w:cs="宋体"/>
                <w:color w:val="auto"/>
                <w:sz w:val="22"/>
                <w:szCs w:val="22"/>
              </w:rPr>
            </w:pPr>
            <w:r>
              <w:rPr>
                <w:rFonts w:ascii="宋体" w:eastAsia="宋体" w:hAnsi="宋体" w:cs="宋体"/>
                <w:color w:val="auto"/>
                <w:spacing w:val="-1"/>
                <w:sz w:val="22"/>
                <w:szCs w:val="22"/>
              </w:rPr>
              <w:t>亚</w:t>
            </w:r>
            <w:r>
              <w:rPr>
                <w:rFonts w:ascii="宋体" w:eastAsia="宋体" w:hAnsi="宋体" w:cs="宋体"/>
                <w:color w:val="auto"/>
                <w:spacing w:val="-3"/>
                <w:sz w:val="22"/>
                <w:szCs w:val="22"/>
              </w:rPr>
              <w:t>强</w:t>
            </w:r>
            <w:r>
              <w:rPr>
                <w:rFonts w:ascii="宋体" w:eastAsia="宋体" w:hAnsi="宋体" w:cs="宋体"/>
                <w:color w:val="auto"/>
                <w:spacing w:val="-1"/>
                <w:sz w:val="22"/>
                <w:szCs w:val="22"/>
              </w:rPr>
              <w:t>次真</w:t>
            </w:r>
            <w:r>
              <w:rPr>
                <w:rFonts w:ascii="宋体" w:eastAsia="宋体" w:hAnsi="宋体" w:cs="宋体"/>
                <w:color w:val="auto"/>
                <w:spacing w:val="-3"/>
                <w:sz w:val="22"/>
                <w:szCs w:val="22"/>
              </w:rPr>
              <w:t>哲</w:t>
            </w:r>
            <w:r>
              <w:rPr>
                <w:rFonts w:ascii="宋体" w:eastAsia="宋体" w:hAnsi="宋体" w:cs="宋体"/>
                <w:color w:val="auto"/>
                <w:spacing w:val="-1"/>
                <w:sz w:val="22"/>
                <w:szCs w:val="22"/>
              </w:rPr>
              <w:t>水</w:t>
            </w:r>
            <w:r>
              <w:rPr>
                <w:rFonts w:ascii="宋体" w:eastAsia="宋体" w:hAnsi="宋体" w:cs="宋体"/>
                <w:color w:val="auto"/>
                <w:sz w:val="22"/>
                <w:szCs w:val="22"/>
              </w:rPr>
              <w:t>蚤</w:t>
            </w:r>
          </w:p>
        </w:tc>
        <w:tc>
          <w:tcPr>
            <w:tcW w:w="2104" w:type="dxa"/>
            <w:tcBorders>
              <w:top w:val="single" w:sz="4" w:space="0" w:color="000000"/>
              <w:left w:val="single" w:sz="4" w:space="0" w:color="000000"/>
              <w:bottom w:val="single" w:sz="4" w:space="0" w:color="000000"/>
              <w:right w:val="single" w:sz="4" w:space="0" w:color="000000"/>
            </w:tcBorders>
          </w:tcPr>
          <w:p w14:paraId="32069856" w14:textId="77777777" w:rsidR="0075791A" w:rsidRDefault="00FB2864">
            <w:pPr>
              <w:pStyle w:val="TableParagraph"/>
              <w:spacing w:before="50"/>
              <w:ind w:left="837" w:right="837"/>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5.6</w:t>
            </w:r>
            <w:r>
              <w:rPr>
                <w:rFonts w:ascii="Times New Roman" w:eastAsia="Times New Roman" w:hAnsi="Times New Roman" w:cs="Times New Roman"/>
                <w:color w:val="auto"/>
                <w:sz w:val="22"/>
                <w:szCs w:val="22"/>
              </w:rPr>
              <w:t>7</w:t>
            </w:r>
          </w:p>
        </w:tc>
        <w:tc>
          <w:tcPr>
            <w:tcW w:w="2105" w:type="dxa"/>
            <w:tcBorders>
              <w:top w:val="single" w:sz="4" w:space="0" w:color="000000"/>
              <w:left w:val="single" w:sz="4" w:space="0" w:color="000000"/>
              <w:bottom w:val="single" w:sz="4" w:space="0" w:color="000000"/>
              <w:right w:val="single" w:sz="4" w:space="0" w:color="000000"/>
            </w:tcBorders>
          </w:tcPr>
          <w:p w14:paraId="420EEFFC" w14:textId="77777777" w:rsidR="0075791A" w:rsidRDefault="00FB2864">
            <w:pPr>
              <w:pStyle w:val="TableParagraph"/>
              <w:spacing w:before="50"/>
              <w:ind w:left="827" w:right="827"/>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88</w:t>
            </w:r>
            <w:r>
              <w:rPr>
                <w:rFonts w:ascii="Times New Roman" w:eastAsia="Times New Roman" w:hAnsi="Times New Roman" w:cs="Times New Roman"/>
                <w:color w:val="auto"/>
                <w:sz w:val="22"/>
                <w:szCs w:val="22"/>
              </w:rPr>
              <w:t>%</w:t>
            </w:r>
          </w:p>
        </w:tc>
        <w:tc>
          <w:tcPr>
            <w:tcW w:w="2105" w:type="dxa"/>
            <w:tcBorders>
              <w:top w:val="single" w:sz="4" w:space="0" w:color="000000"/>
              <w:left w:val="single" w:sz="4" w:space="0" w:color="000000"/>
              <w:bottom w:val="single" w:sz="4" w:space="0" w:color="000000"/>
              <w:right w:val="single" w:sz="4" w:space="0" w:color="000000"/>
            </w:tcBorders>
          </w:tcPr>
          <w:p w14:paraId="52198118" w14:textId="77777777" w:rsidR="0075791A" w:rsidRDefault="00FB2864">
            <w:pPr>
              <w:pStyle w:val="TableParagraph"/>
              <w:spacing w:before="50"/>
              <w:ind w:left="837" w:right="837"/>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0.1</w:t>
            </w:r>
            <w:r>
              <w:rPr>
                <w:rFonts w:ascii="Times New Roman" w:eastAsia="Times New Roman" w:hAnsi="Times New Roman" w:cs="Times New Roman"/>
                <w:color w:val="auto"/>
                <w:sz w:val="22"/>
                <w:szCs w:val="22"/>
              </w:rPr>
              <w:t>7</w:t>
            </w:r>
          </w:p>
        </w:tc>
      </w:tr>
      <w:tr w:rsidR="0075791A" w14:paraId="486B1E1E" w14:textId="77777777">
        <w:trPr>
          <w:trHeight w:hRule="exact" w:val="330"/>
        </w:trPr>
        <w:tc>
          <w:tcPr>
            <w:tcW w:w="2609" w:type="dxa"/>
            <w:tcBorders>
              <w:top w:val="single" w:sz="4" w:space="0" w:color="000000"/>
              <w:left w:val="single" w:sz="4" w:space="0" w:color="000000"/>
              <w:bottom w:val="single" w:sz="4" w:space="0" w:color="000000"/>
              <w:right w:val="single" w:sz="4" w:space="0" w:color="000000"/>
            </w:tcBorders>
          </w:tcPr>
          <w:p w14:paraId="6BFA1F38" w14:textId="77777777" w:rsidR="0075791A" w:rsidRDefault="00FB2864">
            <w:pPr>
              <w:pStyle w:val="TableParagraph"/>
              <w:spacing w:line="288" w:lineRule="exact"/>
              <w:ind w:left="748"/>
              <w:rPr>
                <w:rFonts w:ascii="宋体" w:eastAsia="宋体" w:hAnsi="宋体" w:cs="宋体"/>
                <w:color w:val="auto"/>
                <w:sz w:val="22"/>
                <w:szCs w:val="22"/>
              </w:rPr>
            </w:pPr>
            <w:r>
              <w:rPr>
                <w:rFonts w:ascii="宋体" w:eastAsia="宋体" w:hAnsi="宋体" w:cs="宋体"/>
                <w:color w:val="auto"/>
                <w:spacing w:val="-1"/>
                <w:sz w:val="22"/>
                <w:szCs w:val="22"/>
              </w:rPr>
              <w:t>微</w:t>
            </w:r>
            <w:r>
              <w:rPr>
                <w:rFonts w:ascii="宋体" w:eastAsia="宋体" w:hAnsi="宋体" w:cs="宋体"/>
                <w:color w:val="auto"/>
                <w:spacing w:val="-3"/>
                <w:sz w:val="22"/>
                <w:szCs w:val="22"/>
              </w:rPr>
              <w:t>刺</w:t>
            </w:r>
            <w:r>
              <w:rPr>
                <w:rFonts w:ascii="宋体" w:eastAsia="宋体" w:hAnsi="宋体" w:cs="宋体"/>
                <w:color w:val="auto"/>
                <w:spacing w:val="-1"/>
                <w:sz w:val="22"/>
                <w:szCs w:val="22"/>
              </w:rPr>
              <w:t>哲水</w:t>
            </w:r>
            <w:r>
              <w:rPr>
                <w:rFonts w:ascii="宋体" w:eastAsia="宋体" w:hAnsi="宋体" w:cs="宋体"/>
                <w:color w:val="auto"/>
                <w:sz w:val="22"/>
                <w:szCs w:val="22"/>
              </w:rPr>
              <w:t>蚤</w:t>
            </w:r>
          </w:p>
        </w:tc>
        <w:tc>
          <w:tcPr>
            <w:tcW w:w="2104" w:type="dxa"/>
            <w:tcBorders>
              <w:top w:val="single" w:sz="4" w:space="0" w:color="000000"/>
              <w:left w:val="single" w:sz="4" w:space="0" w:color="000000"/>
              <w:bottom w:val="single" w:sz="4" w:space="0" w:color="000000"/>
              <w:right w:val="single" w:sz="4" w:space="0" w:color="000000"/>
            </w:tcBorders>
          </w:tcPr>
          <w:p w14:paraId="758CA2BF" w14:textId="77777777" w:rsidR="0075791A" w:rsidRDefault="00FB2864">
            <w:pPr>
              <w:pStyle w:val="TableParagraph"/>
              <w:spacing w:before="52"/>
              <w:ind w:left="837" w:right="837"/>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1.7</w:t>
            </w:r>
            <w:r>
              <w:rPr>
                <w:rFonts w:ascii="Times New Roman" w:eastAsia="Times New Roman" w:hAnsi="Times New Roman" w:cs="Times New Roman"/>
                <w:color w:val="auto"/>
                <w:sz w:val="22"/>
                <w:szCs w:val="22"/>
              </w:rPr>
              <w:t>5</w:t>
            </w:r>
          </w:p>
        </w:tc>
        <w:tc>
          <w:tcPr>
            <w:tcW w:w="2105" w:type="dxa"/>
            <w:tcBorders>
              <w:top w:val="single" w:sz="4" w:space="0" w:color="000000"/>
              <w:left w:val="single" w:sz="4" w:space="0" w:color="000000"/>
              <w:bottom w:val="single" w:sz="4" w:space="0" w:color="000000"/>
              <w:right w:val="single" w:sz="4" w:space="0" w:color="000000"/>
            </w:tcBorders>
          </w:tcPr>
          <w:p w14:paraId="2F4C7FE2" w14:textId="77777777" w:rsidR="0075791A" w:rsidRDefault="00FB2864">
            <w:pPr>
              <w:pStyle w:val="TableParagraph"/>
              <w:spacing w:before="52"/>
              <w:ind w:left="773" w:right="773"/>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100</w:t>
            </w:r>
            <w:r>
              <w:rPr>
                <w:rFonts w:ascii="Times New Roman" w:eastAsia="Times New Roman" w:hAnsi="Times New Roman" w:cs="Times New Roman"/>
                <w:color w:val="auto"/>
                <w:sz w:val="22"/>
                <w:szCs w:val="22"/>
              </w:rPr>
              <w:t>%</w:t>
            </w:r>
          </w:p>
        </w:tc>
        <w:tc>
          <w:tcPr>
            <w:tcW w:w="2105" w:type="dxa"/>
            <w:tcBorders>
              <w:top w:val="single" w:sz="4" w:space="0" w:color="000000"/>
              <w:left w:val="single" w:sz="4" w:space="0" w:color="000000"/>
              <w:bottom w:val="single" w:sz="4" w:space="0" w:color="000000"/>
              <w:right w:val="single" w:sz="4" w:space="0" w:color="000000"/>
            </w:tcBorders>
          </w:tcPr>
          <w:p w14:paraId="24D2DCBE" w14:textId="77777777" w:rsidR="0075791A" w:rsidRDefault="00FB2864">
            <w:pPr>
              <w:pStyle w:val="TableParagraph"/>
              <w:spacing w:before="52"/>
              <w:ind w:left="837" w:right="837"/>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0.0</w:t>
            </w:r>
            <w:r>
              <w:rPr>
                <w:rFonts w:ascii="Times New Roman" w:eastAsia="Times New Roman" w:hAnsi="Times New Roman" w:cs="Times New Roman"/>
                <w:color w:val="auto"/>
                <w:sz w:val="22"/>
                <w:szCs w:val="22"/>
              </w:rPr>
              <w:t>6</w:t>
            </w:r>
          </w:p>
        </w:tc>
      </w:tr>
      <w:tr w:rsidR="0075791A" w14:paraId="6B753D7C" w14:textId="77777777">
        <w:trPr>
          <w:trHeight w:hRule="exact" w:val="330"/>
        </w:trPr>
        <w:tc>
          <w:tcPr>
            <w:tcW w:w="2609" w:type="dxa"/>
            <w:tcBorders>
              <w:top w:val="single" w:sz="4" w:space="0" w:color="000000"/>
              <w:left w:val="single" w:sz="4" w:space="0" w:color="000000"/>
              <w:bottom w:val="single" w:sz="4" w:space="0" w:color="000000"/>
              <w:right w:val="single" w:sz="4" w:space="0" w:color="000000"/>
            </w:tcBorders>
          </w:tcPr>
          <w:p w14:paraId="506F4E79" w14:textId="77777777" w:rsidR="0075791A" w:rsidRDefault="00FB2864">
            <w:pPr>
              <w:pStyle w:val="TableParagraph"/>
              <w:spacing w:line="289" w:lineRule="exact"/>
              <w:ind w:left="638"/>
              <w:rPr>
                <w:rFonts w:ascii="宋体" w:eastAsia="宋体" w:hAnsi="宋体" w:cs="宋体"/>
                <w:color w:val="auto"/>
                <w:sz w:val="22"/>
                <w:szCs w:val="22"/>
              </w:rPr>
            </w:pPr>
            <w:r>
              <w:rPr>
                <w:rFonts w:ascii="宋体" w:eastAsia="宋体" w:hAnsi="宋体" w:cs="宋体"/>
                <w:color w:val="auto"/>
                <w:spacing w:val="-1"/>
                <w:sz w:val="22"/>
                <w:szCs w:val="22"/>
              </w:rPr>
              <w:t>精</w:t>
            </w:r>
            <w:r>
              <w:rPr>
                <w:rFonts w:ascii="宋体" w:eastAsia="宋体" w:hAnsi="宋体" w:cs="宋体"/>
                <w:color w:val="auto"/>
                <w:spacing w:val="-3"/>
                <w:sz w:val="22"/>
                <w:szCs w:val="22"/>
              </w:rPr>
              <w:t>致</w:t>
            </w:r>
            <w:r>
              <w:rPr>
                <w:rFonts w:ascii="宋体" w:eastAsia="宋体" w:hAnsi="宋体" w:cs="宋体"/>
                <w:color w:val="auto"/>
                <w:spacing w:val="-1"/>
                <w:sz w:val="22"/>
                <w:szCs w:val="22"/>
              </w:rPr>
              <w:t>真刺</w:t>
            </w:r>
            <w:r>
              <w:rPr>
                <w:rFonts w:ascii="宋体" w:eastAsia="宋体" w:hAnsi="宋体" w:cs="宋体"/>
                <w:color w:val="auto"/>
                <w:spacing w:val="-3"/>
                <w:sz w:val="22"/>
                <w:szCs w:val="22"/>
              </w:rPr>
              <w:t>水</w:t>
            </w:r>
            <w:r>
              <w:rPr>
                <w:rFonts w:ascii="宋体" w:eastAsia="宋体" w:hAnsi="宋体" w:cs="宋体"/>
                <w:color w:val="auto"/>
                <w:sz w:val="22"/>
                <w:szCs w:val="22"/>
              </w:rPr>
              <w:t>蚤</w:t>
            </w:r>
          </w:p>
        </w:tc>
        <w:tc>
          <w:tcPr>
            <w:tcW w:w="2104" w:type="dxa"/>
            <w:tcBorders>
              <w:top w:val="single" w:sz="4" w:space="0" w:color="000000"/>
              <w:left w:val="single" w:sz="4" w:space="0" w:color="000000"/>
              <w:bottom w:val="single" w:sz="4" w:space="0" w:color="000000"/>
              <w:right w:val="single" w:sz="4" w:space="0" w:color="000000"/>
            </w:tcBorders>
          </w:tcPr>
          <w:p w14:paraId="59224F2C" w14:textId="77777777" w:rsidR="0075791A" w:rsidRDefault="00FB2864">
            <w:pPr>
              <w:pStyle w:val="TableParagraph"/>
              <w:spacing w:before="50"/>
              <w:ind w:left="837" w:right="837"/>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2.5</w:t>
            </w:r>
            <w:r>
              <w:rPr>
                <w:rFonts w:ascii="Times New Roman" w:eastAsia="Times New Roman" w:hAnsi="Times New Roman" w:cs="Times New Roman"/>
                <w:color w:val="auto"/>
                <w:sz w:val="22"/>
                <w:szCs w:val="22"/>
              </w:rPr>
              <w:t>8</w:t>
            </w:r>
          </w:p>
        </w:tc>
        <w:tc>
          <w:tcPr>
            <w:tcW w:w="2105" w:type="dxa"/>
            <w:tcBorders>
              <w:top w:val="single" w:sz="4" w:space="0" w:color="000000"/>
              <w:left w:val="single" w:sz="4" w:space="0" w:color="000000"/>
              <w:bottom w:val="single" w:sz="4" w:space="0" w:color="000000"/>
              <w:right w:val="single" w:sz="4" w:space="0" w:color="000000"/>
            </w:tcBorders>
          </w:tcPr>
          <w:p w14:paraId="14443550" w14:textId="77777777" w:rsidR="0075791A" w:rsidRDefault="00FB2864">
            <w:pPr>
              <w:pStyle w:val="TableParagraph"/>
              <w:spacing w:before="50"/>
              <w:ind w:left="827" w:right="827"/>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63</w:t>
            </w:r>
            <w:r>
              <w:rPr>
                <w:rFonts w:ascii="Times New Roman" w:eastAsia="Times New Roman" w:hAnsi="Times New Roman" w:cs="Times New Roman"/>
                <w:color w:val="auto"/>
                <w:sz w:val="22"/>
                <w:szCs w:val="22"/>
              </w:rPr>
              <w:t>%</w:t>
            </w:r>
          </w:p>
        </w:tc>
        <w:tc>
          <w:tcPr>
            <w:tcW w:w="2105" w:type="dxa"/>
            <w:tcBorders>
              <w:top w:val="single" w:sz="4" w:space="0" w:color="000000"/>
              <w:left w:val="single" w:sz="4" w:space="0" w:color="000000"/>
              <w:bottom w:val="single" w:sz="4" w:space="0" w:color="000000"/>
              <w:right w:val="single" w:sz="4" w:space="0" w:color="000000"/>
            </w:tcBorders>
          </w:tcPr>
          <w:p w14:paraId="17BDE7E0" w14:textId="77777777" w:rsidR="0075791A" w:rsidRDefault="00FB2864">
            <w:pPr>
              <w:pStyle w:val="TableParagraph"/>
              <w:spacing w:before="50"/>
              <w:ind w:left="837" w:right="837"/>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0.0</w:t>
            </w:r>
            <w:r>
              <w:rPr>
                <w:rFonts w:ascii="Times New Roman" w:eastAsia="Times New Roman" w:hAnsi="Times New Roman" w:cs="Times New Roman"/>
                <w:color w:val="auto"/>
                <w:sz w:val="22"/>
                <w:szCs w:val="22"/>
              </w:rPr>
              <w:t>6</w:t>
            </w:r>
          </w:p>
        </w:tc>
      </w:tr>
      <w:tr w:rsidR="0075791A" w14:paraId="40DCEADF" w14:textId="77777777">
        <w:trPr>
          <w:trHeight w:hRule="exact" w:val="330"/>
        </w:trPr>
        <w:tc>
          <w:tcPr>
            <w:tcW w:w="2609" w:type="dxa"/>
            <w:tcBorders>
              <w:top w:val="single" w:sz="4" w:space="0" w:color="000000"/>
              <w:left w:val="single" w:sz="4" w:space="0" w:color="000000"/>
              <w:bottom w:val="single" w:sz="4" w:space="0" w:color="000000"/>
              <w:right w:val="single" w:sz="4" w:space="0" w:color="000000"/>
            </w:tcBorders>
          </w:tcPr>
          <w:p w14:paraId="0BC4B855" w14:textId="77777777" w:rsidR="0075791A" w:rsidRDefault="00FB2864">
            <w:pPr>
              <w:pStyle w:val="TableParagraph"/>
              <w:spacing w:line="288" w:lineRule="exact"/>
              <w:ind w:left="748"/>
              <w:rPr>
                <w:rFonts w:ascii="宋体" w:eastAsia="宋体" w:hAnsi="宋体" w:cs="宋体"/>
                <w:color w:val="auto"/>
                <w:sz w:val="22"/>
                <w:szCs w:val="22"/>
              </w:rPr>
            </w:pPr>
            <w:r>
              <w:rPr>
                <w:rFonts w:ascii="宋体" w:eastAsia="宋体" w:hAnsi="宋体" w:cs="宋体"/>
                <w:color w:val="auto"/>
                <w:spacing w:val="-1"/>
                <w:sz w:val="22"/>
                <w:szCs w:val="22"/>
              </w:rPr>
              <w:t>长</w:t>
            </w:r>
            <w:r>
              <w:rPr>
                <w:rFonts w:ascii="宋体" w:eastAsia="宋体" w:hAnsi="宋体" w:cs="宋体"/>
                <w:color w:val="auto"/>
                <w:spacing w:val="-3"/>
                <w:sz w:val="22"/>
                <w:szCs w:val="22"/>
              </w:rPr>
              <w:t>尾</w:t>
            </w:r>
            <w:r>
              <w:rPr>
                <w:rFonts w:ascii="宋体" w:eastAsia="宋体" w:hAnsi="宋体" w:cs="宋体"/>
                <w:color w:val="auto"/>
                <w:spacing w:val="-1"/>
                <w:sz w:val="22"/>
                <w:szCs w:val="22"/>
              </w:rPr>
              <w:t>住囊</w:t>
            </w:r>
            <w:r>
              <w:rPr>
                <w:rFonts w:ascii="宋体" w:eastAsia="宋体" w:hAnsi="宋体" w:cs="宋体"/>
                <w:color w:val="auto"/>
                <w:sz w:val="22"/>
                <w:szCs w:val="22"/>
              </w:rPr>
              <w:t>虫</w:t>
            </w:r>
          </w:p>
        </w:tc>
        <w:tc>
          <w:tcPr>
            <w:tcW w:w="2104" w:type="dxa"/>
            <w:tcBorders>
              <w:top w:val="single" w:sz="4" w:space="0" w:color="000000"/>
              <w:left w:val="single" w:sz="4" w:space="0" w:color="000000"/>
              <w:bottom w:val="single" w:sz="4" w:space="0" w:color="000000"/>
              <w:right w:val="single" w:sz="4" w:space="0" w:color="000000"/>
            </w:tcBorders>
          </w:tcPr>
          <w:p w14:paraId="14E05924" w14:textId="77777777" w:rsidR="0075791A" w:rsidRDefault="00FB2864">
            <w:pPr>
              <w:pStyle w:val="TableParagraph"/>
              <w:spacing w:before="52"/>
              <w:ind w:left="837" w:right="837"/>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0.8</w:t>
            </w:r>
            <w:r>
              <w:rPr>
                <w:rFonts w:ascii="Times New Roman" w:eastAsia="Times New Roman" w:hAnsi="Times New Roman" w:cs="Times New Roman"/>
                <w:color w:val="auto"/>
                <w:sz w:val="22"/>
                <w:szCs w:val="22"/>
              </w:rPr>
              <w:t>4</w:t>
            </w:r>
          </w:p>
        </w:tc>
        <w:tc>
          <w:tcPr>
            <w:tcW w:w="2105" w:type="dxa"/>
            <w:tcBorders>
              <w:top w:val="single" w:sz="4" w:space="0" w:color="000000"/>
              <w:left w:val="single" w:sz="4" w:space="0" w:color="000000"/>
              <w:bottom w:val="single" w:sz="4" w:space="0" w:color="000000"/>
              <w:right w:val="single" w:sz="4" w:space="0" w:color="000000"/>
            </w:tcBorders>
          </w:tcPr>
          <w:p w14:paraId="7DC87FC2" w14:textId="77777777" w:rsidR="0075791A" w:rsidRDefault="00FB2864">
            <w:pPr>
              <w:pStyle w:val="TableParagraph"/>
              <w:spacing w:before="52"/>
              <w:ind w:left="773" w:right="773"/>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100</w:t>
            </w:r>
            <w:r>
              <w:rPr>
                <w:rFonts w:ascii="Times New Roman" w:eastAsia="Times New Roman" w:hAnsi="Times New Roman" w:cs="Times New Roman"/>
                <w:color w:val="auto"/>
                <w:sz w:val="22"/>
                <w:szCs w:val="22"/>
              </w:rPr>
              <w:t>%</w:t>
            </w:r>
          </w:p>
        </w:tc>
        <w:tc>
          <w:tcPr>
            <w:tcW w:w="2105" w:type="dxa"/>
            <w:tcBorders>
              <w:top w:val="single" w:sz="4" w:space="0" w:color="000000"/>
              <w:left w:val="single" w:sz="4" w:space="0" w:color="000000"/>
              <w:bottom w:val="single" w:sz="4" w:space="0" w:color="000000"/>
              <w:right w:val="single" w:sz="4" w:space="0" w:color="000000"/>
            </w:tcBorders>
          </w:tcPr>
          <w:p w14:paraId="0FDA32D6" w14:textId="77777777" w:rsidR="0075791A" w:rsidRDefault="00FB2864">
            <w:pPr>
              <w:pStyle w:val="TableParagraph"/>
              <w:spacing w:before="52"/>
              <w:ind w:left="837" w:right="837"/>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0.0</w:t>
            </w:r>
            <w:r>
              <w:rPr>
                <w:rFonts w:ascii="Times New Roman" w:eastAsia="Times New Roman" w:hAnsi="Times New Roman" w:cs="Times New Roman"/>
                <w:color w:val="auto"/>
                <w:sz w:val="22"/>
                <w:szCs w:val="22"/>
              </w:rPr>
              <w:t>3</w:t>
            </w:r>
          </w:p>
        </w:tc>
      </w:tr>
      <w:tr w:rsidR="0075791A" w14:paraId="00C0AD0A" w14:textId="77777777">
        <w:trPr>
          <w:trHeight w:hRule="exact" w:val="373"/>
        </w:trPr>
        <w:tc>
          <w:tcPr>
            <w:tcW w:w="2609" w:type="dxa"/>
            <w:tcBorders>
              <w:top w:val="single" w:sz="4" w:space="0" w:color="000000"/>
              <w:left w:val="single" w:sz="4" w:space="0" w:color="000000"/>
              <w:bottom w:val="single" w:sz="4" w:space="0" w:color="000000"/>
              <w:right w:val="single" w:sz="4" w:space="0" w:color="000000"/>
            </w:tcBorders>
          </w:tcPr>
          <w:p w14:paraId="762B5083" w14:textId="77777777" w:rsidR="0075791A" w:rsidRDefault="00FB2864">
            <w:pPr>
              <w:pStyle w:val="TableParagraph"/>
              <w:spacing w:line="309" w:lineRule="exact"/>
              <w:ind w:left="859"/>
              <w:rPr>
                <w:rFonts w:ascii="宋体" w:eastAsia="宋体" w:hAnsi="宋体" w:cs="宋体"/>
                <w:color w:val="auto"/>
                <w:sz w:val="22"/>
                <w:szCs w:val="22"/>
              </w:rPr>
            </w:pPr>
            <w:r>
              <w:rPr>
                <w:rFonts w:ascii="宋体" w:eastAsia="宋体" w:hAnsi="宋体" w:cs="宋体"/>
                <w:color w:val="auto"/>
                <w:spacing w:val="-1"/>
                <w:sz w:val="22"/>
                <w:szCs w:val="22"/>
              </w:rPr>
              <w:t>爪</w:t>
            </w:r>
            <w:r>
              <w:rPr>
                <w:rFonts w:ascii="宋体" w:eastAsia="宋体" w:hAnsi="宋体" w:cs="宋体"/>
                <w:color w:val="auto"/>
                <w:spacing w:val="-3"/>
                <w:sz w:val="22"/>
                <w:szCs w:val="22"/>
              </w:rPr>
              <w:t>室</w:t>
            </w:r>
            <w:r>
              <w:rPr>
                <w:rFonts w:ascii="宋体" w:eastAsia="宋体" w:hAnsi="宋体" w:cs="宋体"/>
                <w:color w:val="auto"/>
                <w:spacing w:val="-1"/>
                <w:sz w:val="22"/>
                <w:szCs w:val="22"/>
              </w:rPr>
              <w:t>水</w:t>
            </w:r>
            <w:r>
              <w:rPr>
                <w:rFonts w:ascii="宋体" w:eastAsia="宋体" w:hAnsi="宋体" w:cs="宋体"/>
                <w:color w:val="auto"/>
                <w:sz w:val="22"/>
                <w:szCs w:val="22"/>
              </w:rPr>
              <w:t>母</w:t>
            </w:r>
          </w:p>
        </w:tc>
        <w:tc>
          <w:tcPr>
            <w:tcW w:w="2104" w:type="dxa"/>
            <w:tcBorders>
              <w:top w:val="single" w:sz="4" w:space="0" w:color="000000"/>
              <w:left w:val="single" w:sz="4" w:space="0" w:color="000000"/>
              <w:bottom w:val="single" w:sz="4" w:space="0" w:color="000000"/>
              <w:right w:val="single" w:sz="4" w:space="0" w:color="000000"/>
            </w:tcBorders>
          </w:tcPr>
          <w:p w14:paraId="76BCBA2E" w14:textId="77777777" w:rsidR="0075791A" w:rsidRDefault="00FB2864">
            <w:pPr>
              <w:pStyle w:val="TableParagraph"/>
              <w:spacing w:before="72"/>
              <w:ind w:left="837" w:right="837"/>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0.8</w:t>
            </w:r>
            <w:r>
              <w:rPr>
                <w:rFonts w:ascii="Times New Roman" w:eastAsia="Times New Roman" w:hAnsi="Times New Roman" w:cs="Times New Roman"/>
                <w:color w:val="auto"/>
                <w:sz w:val="22"/>
                <w:szCs w:val="22"/>
              </w:rPr>
              <w:t>8</w:t>
            </w:r>
          </w:p>
        </w:tc>
        <w:tc>
          <w:tcPr>
            <w:tcW w:w="2105" w:type="dxa"/>
            <w:tcBorders>
              <w:top w:val="single" w:sz="4" w:space="0" w:color="000000"/>
              <w:left w:val="single" w:sz="4" w:space="0" w:color="000000"/>
              <w:bottom w:val="single" w:sz="4" w:space="0" w:color="000000"/>
              <w:right w:val="single" w:sz="4" w:space="0" w:color="000000"/>
            </w:tcBorders>
          </w:tcPr>
          <w:p w14:paraId="413F7C02" w14:textId="77777777" w:rsidR="0075791A" w:rsidRDefault="00FB2864">
            <w:pPr>
              <w:pStyle w:val="TableParagraph"/>
              <w:spacing w:before="72"/>
              <w:ind w:left="827" w:right="827"/>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88</w:t>
            </w:r>
            <w:r>
              <w:rPr>
                <w:rFonts w:ascii="Times New Roman" w:eastAsia="Times New Roman" w:hAnsi="Times New Roman" w:cs="Times New Roman"/>
                <w:color w:val="auto"/>
                <w:sz w:val="22"/>
                <w:szCs w:val="22"/>
              </w:rPr>
              <w:t>%</w:t>
            </w:r>
          </w:p>
        </w:tc>
        <w:tc>
          <w:tcPr>
            <w:tcW w:w="2105" w:type="dxa"/>
            <w:tcBorders>
              <w:top w:val="single" w:sz="4" w:space="0" w:color="000000"/>
              <w:left w:val="single" w:sz="4" w:space="0" w:color="000000"/>
              <w:bottom w:val="single" w:sz="4" w:space="0" w:color="000000"/>
              <w:right w:val="single" w:sz="4" w:space="0" w:color="000000"/>
            </w:tcBorders>
          </w:tcPr>
          <w:p w14:paraId="3B8537F6" w14:textId="77777777" w:rsidR="0075791A" w:rsidRDefault="00FB2864">
            <w:pPr>
              <w:pStyle w:val="TableParagraph"/>
              <w:spacing w:before="94"/>
              <w:ind w:right="4"/>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0.0</w:t>
            </w:r>
            <w:r>
              <w:rPr>
                <w:rFonts w:ascii="Times New Roman" w:eastAsia="Times New Roman" w:hAnsi="Times New Roman" w:cs="Times New Roman"/>
                <w:color w:val="auto"/>
                <w:sz w:val="22"/>
                <w:szCs w:val="22"/>
              </w:rPr>
              <w:t>3</w:t>
            </w:r>
          </w:p>
        </w:tc>
      </w:tr>
    </w:tbl>
    <w:p w14:paraId="7ABB15D9" w14:textId="77777777" w:rsidR="0075791A" w:rsidRDefault="0075791A">
      <w:pPr>
        <w:kinsoku/>
        <w:adjustRightInd/>
        <w:snapToGrid/>
        <w:spacing w:line="360" w:lineRule="auto"/>
        <w:ind w:firstLineChars="200" w:firstLine="480"/>
        <w:jc w:val="both"/>
        <w:textAlignment w:val="auto"/>
        <w:rPr>
          <w:rFonts w:ascii="宋体" w:eastAsia="宋体" w:hAnsi="宋体"/>
          <w:color w:val="auto"/>
          <w:sz w:val="24"/>
          <w:szCs w:val="24"/>
        </w:rPr>
      </w:pPr>
    </w:p>
    <w:p w14:paraId="76420F08"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本次调查，各站位浮游动物丰度变化范围在（</w:t>
      </w:r>
      <w:r>
        <w:rPr>
          <w:rFonts w:ascii="Times New Roman" w:eastAsia="宋体" w:hAnsi="Times New Roman" w:cs="Times New Roman" w:hint="eastAsia"/>
          <w:snapToGrid/>
          <w:color w:val="auto"/>
          <w:kern w:val="2"/>
          <w:sz w:val="24"/>
          <w:szCs w:val="24"/>
          <w:lang w:eastAsia="zh-CN"/>
        </w:rPr>
        <w:t>13.44</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65.95</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ind/m</w:t>
      </w:r>
      <w:r>
        <w:rPr>
          <w:rFonts w:ascii="Times New Roman" w:eastAsia="宋体" w:hAnsi="Times New Roman" w:cs="Times New Roman" w:hint="eastAsia"/>
          <w:snapToGrid/>
          <w:color w:val="auto"/>
          <w:kern w:val="2"/>
          <w:sz w:val="24"/>
          <w:szCs w:val="24"/>
          <w:lang w:eastAsia="zh-CN"/>
        </w:rPr>
        <w:t>³之间，平均丰度为</w:t>
      </w:r>
      <w:r>
        <w:rPr>
          <w:rFonts w:ascii="Times New Roman" w:eastAsia="宋体" w:hAnsi="Times New Roman" w:cs="Times New Roman" w:hint="eastAsia"/>
          <w:snapToGrid/>
          <w:color w:val="auto"/>
          <w:kern w:val="2"/>
          <w:sz w:val="24"/>
          <w:szCs w:val="24"/>
          <w:lang w:eastAsia="zh-CN"/>
        </w:rPr>
        <w:t>36.91ind/m</w:t>
      </w:r>
      <w:r>
        <w:rPr>
          <w:rFonts w:ascii="Times New Roman" w:eastAsia="宋体" w:hAnsi="Times New Roman" w:cs="Times New Roman" w:hint="eastAsia"/>
          <w:snapToGrid/>
          <w:color w:val="auto"/>
          <w:kern w:val="2"/>
          <w:sz w:val="24"/>
          <w:szCs w:val="24"/>
          <w:lang w:eastAsia="zh-CN"/>
        </w:rPr>
        <w:t>³，部分站位丰度存在较为明显的差异，最高值位于</w:t>
      </w:r>
      <w:r>
        <w:rPr>
          <w:rFonts w:ascii="Times New Roman" w:eastAsia="宋体" w:hAnsi="Times New Roman" w:cs="Times New Roman" w:hint="eastAsia"/>
          <w:snapToGrid/>
          <w:color w:val="auto"/>
          <w:kern w:val="2"/>
          <w:sz w:val="24"/>
          <w:szCs w:val="24"/>
          <w:lang w:eastAsia="zh-CN"/>
        </w:rPr>
        <w:t>H11</w:t>
      </w:r>
      <w:r>
        <w:rPr>
          <w:rFonts w:ascii="Times New Roman" w:eastAsia="宋体" w:hAnsi="Times New Roman" w:cs="Times New Roman" w:hint="eastAsia"/>
          <w:snapToGrid/>
          <w:color w:val="auto"/>
          <w:kern w:val="2"/>
          <w:sz w:val="24"/>
          <w:szCs w:val="24"/>
          <w:lang w:eastAsia="zh-CN"/>
        </w:rPr>
        <w:t>号站位，数量方面以桡足类、毛颚类和管水母类为主；次高值位于</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号站位，为</w:t>
      </w:r>
      <w:r>
        <w:rPr>
          <w:rFonts w:ascii="Times New Roman" w:eastAsia="宋体" w:hAnsi="Times New Roman" w:cs="Times New Roman" w:hint="eastAsia"/>
          <w:snapToGrid/>
          <w:color w:val="auto"/>
          <w:kern w:val="2"/>
          <w:sz w:val="24"/>
          <w:szCs w:val="24"/>
          <w:lang w:eastAsia="zh-CN"/>
        </w:rPr>
        <w:t>54.79ind/m</w:t>
      </w:r>
      <w:r>
        <w:rPr>
          <w:rFonts w:ascii="Times New Roman" w:eastAsia="宋体" w:hAnsi="Times New Roman" w:cs="Times New Roman" w:hint="eastAsia"/>
          <w:snapToGrid/>
          <w:color w:val="auto"/>
          <w:kern w:val="2"/>
          <w:sz w:val="24"/>
          <w:szCs w:val="24"/>
          <w:lang w:eastAsia="zh-CN"/>
        </w:rPr>
        <w:t>³，以桡足类为主；而最低值则位于</w:t>
      </w:r>
      <w:r>
        <w:rPr>
          <w:rFonts w:ascii="Times New Roman" w:eastAsia="宋体" w:hAnsi="Times New Roman" w:cs="Times New Roman" w:hint="eastAsia"/>
          <w:snapToGrid/>
          <w:color w:val="auto"/>
          <w:kern w:val="2"/>
          <w:sz w:val="24"/>
          <w:szCs w:val="24"/>
          <w:lang w:eastAsia="zh-CN"/>
        </w:rPr>
        <w:t>H4</w:t>
      </w:r>
      <w:r>
        <w:rPr>
          <w:rFonts w:ascii="Times New Roman" w:eastAsia="宋体" w:hAnsi="Times New Roman" w:cs="Times New Roman" w:hint="eastAsia"/>
          <w:snapToGrid/>
          <w:color w:val="auto"/>
          <w:kern w:val="2"/>
          <w:sz w:val="24"/>
          <w:szCs w:val="24"/>
          <w:lang w:eastAsia="zh-CN"/>
        </w:rPr>
        <w:t>号站位，以浮游幼体为主。各站位浮游动物湿重生物量变化范围介于（</w:t>
      </w:r>
      <w:r>
        <w:rPr>
          <w:rFonts w:ascii="Times New Roman" w:eastAsia="宋体" w:hAnsi="Times New Roman" w:cs="Times New Roman" w:hint="eastAsia"/>
          <w:snapToGrid/>
          <w:color w:val="auto"/>
          <w:kern w:val="2"/>
          <w:sz w:val="24"/>
          <w:szCs w:val="24"/>
          <w:lang w:eastAsia="zh-CN"/>
        </w:rPr>
        <w:t>24.2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45.7</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mg/m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之间，平均生物量为</w:t>
      </w:r>
      <w:r>
        <w:rPr>
          <w:rFonts w:ascii="Times New Roman" w:eastAsia="宋体" w:hAnsi="Times New Roman" w:cs="Times New Roman" w:hint="eastAsia"/>
          <w:snapToGrid/>
          <w:color w:val="auto"/>
          <w:kern w:val="2"/>
          <w:sz w:val="24"/>
          <w:szCs w:val="24"/>
          <w:lang w:eastAsia="zh-CN"/>
        </w:rPr>
        <w:t>34.5mg/m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，部分站位生物量具有明显差异，其中</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号站位的生物量最高。此外，</w:t>
      </w:r>
      <w:r>
        <w:rPr>
          <w:rFonts w:ascii="Times New Roman" w:eastAsia="宋体" w:hAnsi="Times New Roman" w:cs="Times New Roman" w:hint="eastAsia"/>
          <w:snapToGrid/>
          <w:color w:val="auto"/>
          <w:kern w:val="2"/>
          <w:sz w:val="24"/>
          <w:szCs w:val="24"/>
          <w:lang w:eastAsia="zh-CN"/>
        </w:rPr>
        <w:t>H2</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H11</w:t>
      </w:r>
      <w:r>
        <w:rPr>
          <w:rFonts w:ascii="Times New Roman" w:eastAsia="宋体" w:hAnsi="Times New Roman" w:cs="Times New Roman" w:hint="eastAsia"/>
          <w:snapToGrid/>
          <w:color w:val="auto"/>
          <w:kern w:val="2"/>
          <w:sz w:val="24"/>
          <w:szCs w:val="24"/>
          <w:lang w:eastAsia="zh-CN"/>
        </w:rPr>
        <w:t>号站位生物量分为</w:t>
      </w:r>
      <w:r>
        <w:rPr>
          <w:rFonts w:ascii="Times New Roman" w:eastAsia="宋体" w:hAnsi="Times New Roman" w:cs="Times New Roman" w:hint="eastAsia"/>
          <w:snapToGrid/>
          <w:color w:val="auto"/>
          <w:kern w:val="2"/>
          <w:sz w:val="24"/>
          <w:szCs w:val="24"/>
          <w:lang w:eastAsia="zh-CN"/>
        </w:rPr>
        <w:t>40.2mg/m3</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40.1mg/m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。湿重生物量最低值位于</w:t>
      </w:r>
      <w:r>
        <w:rPr>
          <w:rFonts w:ascii="Times New Roman" w:eastAsia="宋体" w:hAnsi="Times New Roman" w:cs="Times New Roman" w:hint="eastAsia"/>
          <w:snapToGrid/>
          <w:color w:val="auto"/>
          <w:kern w:val="2"/>
          <w:sz w:val="24"/>
          <w:szCs w:val="24"/>
          <w:lang w:eastAsia="zh-CN"/>
        </w:rPr>
        <w:t>H8</w:t>
      </w:r>
      <w:r>
        <w:rPr>
          <w:rFonts w:ascii="Times New Roman" w:eastAsia="宋体" w:hAnsi="Times New Roman" w:cs="Times New Roman" w:hint="eastAsia"/>
          <w:snapToGrid/>
          <w:color w:val="auto"/>
          <w:kern w:val="2"/>
          <w:sz w:val="24"/>
          <w:szCs w:val="24"/>
          <w:lang w:eastAsia="zh-CN"/>
        </w:rPr>
        <w:t>号站位整体而言，三亚海棠湾生物量不高，但生物量在空间分布相对均匀（结果详见表</w:t>
      </w:r>
      <w:r>
        <w:rPr>
          <w:rFonts w:ascii="Times New Roman" w:eastAsia="宋体" w:hAnsi="Times New Roman" w:cs="Times New Roman" w:hint="eastAsia"/>
          <w:snapToGrid/>
          <w:color w:val="auto"/>
          <w:kern w:val="2"/>
          <w:sz w:val="24"/>
          <w:szCs w:val="24"/>
          <w:lang w:eastAsia="zh-CN"/>
        </w:rPr>
        <w:t>3.2.6-23</w:t>
      </w:r>
      <w:r>
        <w:rPr>
          <w:rFonts w:ascii="Times New Roman" w:eastAsia="宋体" w:hAnsi="Times New Roman" w:cs="Times New Roman" w:hint="eastAsia"/>
          <w:snapToGrid/>
          <w:color w:val="auto"/>
          <w:kern w:val="2"/>
          <w:sz w:val="24"/>
          <w:szCs w:val="24"/>
          <w:lang w:eastAsia="zh-CN"/>
        </w:rPr>
        <w:t>）。</w:t>
      </w:r>
    </w:p>
    <w:p w14:paraId="5F478C2F"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各站位浮游动物的多样性指数介于</w:t>
      </w:r>
      <w:r>
        <w:rPr>
          <w:rFonts w:ascii="Times New Roman" w:eastAsia="宋体" w:hAnsi="Times New Roman" w:cs="Times New Roman" w:hint="eastAsia"/>
          <w:snapToGrid/>
          <w:color w:val="auto"/>
          <w:kern w:val="2"/>
          <w:sz w:val="24"/>
          <w:szCs w:val="24"/>
          <w:lang w:eastAsia="zh-CN"/>
        </w:rPr>
        <w:t>3.22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3.98</w:t>
      </w:r>
      <w:r>
        <w:rPr>
          <w:rFonts w:ascii="Times New Roman" w:eastAsia="宋体" w:hAnsi="Times New Roman" w:cs="Times New Roman" w:hint="eastAsia"/>
          <w:snapToGrid/>
          <w:color w:val="auto"/>
          <w:kern w:val="2"/>
          <w:sz w:val="24"/>
          <w:szCs w:val="24"/>
          <w:lang w:eastAsia="zh-CN"/>
        </w:rPr>
        <w:t>之间，平均值为</w:t>
      </w:r>
      <w:r>
        <w:rPr>
          <w:rFonts w:ascii="Times New Roman" w:eastAsia="宋体" w:hAnsi="Times New Roman" w:cs="Times New Roman" w:hint="eastAsia"/>
          <w:snapToGrid/>
          <w:color w:val="auto"/>
          <w:kern w:val="2"/>
          <w:sz w:val="24"/>
          <w:szCs w:val="24"/>
          <w:lang w:eastAsia="zh-CN"/>
        </w:rPr>
        <w:t>3.65</w:t>
      </w:r>
      <w:r>
        <w:rPr>
          <w:rFonts w:ascii="Times New Roman" w:eastAsia="宋体" w:hAnsi="Times New Roman" w:cs="Times New Roman" w:hint="eastAsia"/>
          <w:snapToGrid/>
          <w:color w:val="auto"/>
          <w:kern w:val="2"/>
          <w:sz w:val="24"/>
          <w:szCs w:val="24"/>
          <w:lang w:eastAsia="zh-CN"/>
        </w:rPr>
        <w:t>，最高值位于</w:t>
      </w:r>
      <w:r>
        <w:rPr>
          <w:rFonts w:ascii="Times New Roman" w:eastAsia="宋体" w:hAnsi="Times New Roman" w:cs="Times New Roman" w:hint="eastAsia"/>
          <w:snapToGrid/>
          <w:color w:val="auto"/>
          <w:kern w:val="2"/>
          <w:sz w:val="24"/>
          <w:szCs w:val="24"/>
          <w:lang w:eastAsia="zh-CN"/>
        </w:rPr>
        <w:t>H7</w:t>
      </w:r>
      <w:r>
        <w:rPr>
          <w:rFonts w:ascii="Times New Roman" w:eastAsia="宋体" w:hAnsi="Times New Roman" w:cs="Times New Roman" w:hint="eastAsia"/>
          <w:snapToGrid/>
          <w:color w:val="auto"/>
          <w:kern w:val="2"/>
          <w:sz w:val="24"/>
          <w:szCs w:val="24"/>
          <w:lang w:eastAsia="zh-CN"/>
        </w:rPr>
        <w:t>号站位，最低值则位于</w:t>
      </w:r>
      <w:r>
        <w:rPr>
          <w:rFonts w:ascii="Times New Roman" w:eastAsia="宋体" w:hAnsi="Times New Roman" w:cs="Times New Roman" w:hint="eastAsia"/>
          <w:snapToGrid/>
          <w:color w:val="auto"/>
          <w:kern w:val="2"/>
          <w:sz w:val="24"/>
          <w:szCs w:val="24"/>
          <w:lang w:eastAsia="zh-CN"/>
        </w:rPr>
        <w:t>H4</w:t>
      </w:r>
      <w:r>
        <w:rPr>
          <w:rFonts w:ascii="Times New Roman" w:eastAsia="宋体" w:hAnsi="Times New Roman" w:cs="Times New Roman" w:hint="eastAsia"/>
          <w:snapToGrid/>
          <w:color w:val="auto"/>
          <w:kern w:val="2"/>
          <w:sz w:val="24"/>
          <w:szCs w:val="24"/>
          <w:lang w:eastAsia="zh-CN"/>
        </w:rPr>
        <w:t>号站位。各站位均匀度指数介于</w:t>
      </w:r>
      <w:r>
        <w:rPr>
          <w:rFonts w:ascii="Times New Roman" w:eastAsia="宋体" w:hAnsi="Times New Roman" w:cs="Times New Roman" w:hint="eastAsia"/>
          <w:snapToGrid/>
          <w:color w:val="auto"/>
          <w:kern w:val="2"/>
          <w:sz w:val="24"/>
          <w:szCs w:val="24"/>
          <w:lang w:eastAsia="zh-CN"/>
        </w:rPr>
        <w:t>0.69</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0.85</w:t>
      </w:r>
      <w:r>
        <w:rPr>
          <w:rFonts w:ascii="Times New Roman" w:eastAsia="宋体" w:hAnsi="Times New Roman" w:cs="Times New Roman" w:hint="eastAsia"/>
          <w:snapToGrid/>
          <w:color w:val="auto"/>
          <w:kern w:val="2"/>
          <w:sz w:val="24"/>
          <w:szCs w:val="24"/>
          <w:lang w:eastAsia="zh-CN"/>
        </w:rPr>
        <w:t>之间，平均值为</w:t>
      </w:r>
      <w:r>
        <w:rPr>
          <w:rFonts w:ascii="Times New Roman" w:eastAsia="宋体" w:hAnsi="Times New Roman" w:cs="Times New Roman" w:hint="eastAsia"/>
          <w:snapToGrid/>
          <w:color w:val="auto"/>
          <w:kern w:val="2"/>
          <w:sz w:val="24"/>
          <w:szCs w:val="24"/>
          <w:lang w:eastAsia="zh-CN"/>
        </w:rPr>
        <w:t>0.77</w:t>
      </w:r>
      <w:r>
        <w:rPr>
          <w:rFonts w:ascii="Times New Roman" w:eastAsia="宋体" w:hAnsi="Times New Roman" w:cs="Times New Roman" w:hint="eastAsia"/>
          <w:snapToGrid/>
          <w:color w:val="auto"/>
          <w:kern w:val="2"/>
          <w:sz w:val="24"/>
          <w:szCs w:val="24"/>
          <w:lang w:eastAsia="zh-CN"/>
        </w:rPr>
        <w:t>，最高值出现于</w:t>
      </w:r>
      <w:r>
        <w:rPr>
          <w:rFonts w:ascii="Times New Roman" w:eastAsia="宋体" w:hAnsi="Times New Roman" w:cs="Times New Roman" w:hint="eastAsia"/>
          <w:snapToGrid/>
          <w:color w:val="auto"/>
          <w:kern w:val="2"/>
          <w:sz w:val="24"/>
          <w:szCs w:val="24"/>
          <w:lang w:eastAsia="zh-CN"/>
        </w:rPr>
        <w:t>H4</w:t>
      </w:r>
      <w:r>
        <w:rPr>
          <w:rFonts w:ascii="Times New Roman" w:eastAsia="宋体" w:hAnsi="Times New Roman" w:cs="Times New Roman" w:hint="eastAsia"/>
          <w:snapToGrid/>
          <w:color w:val="auto"/>
          <w:kern w:val="2"/>
          <w:sz w:val="24"/>
          <w:szCs w:val="24"/>
          <w:lang w:eastAsia="zh-CN"/>
        </w:rPr>
        <w:t>号站位，最低值位于</w:t>
      </w:r>
      <w:r>
        <w:rPr>
          <w:rFonts w:ascii="Times New Roman" w:eastAsia="宋体" w:hAnsi="Times New Roman" w:cs="Times New Roman" w:hint="eastAsia"/>
          <w:snapToGrid/>
          <w:color w:val="auto"/>
          <w:kern w:val="2"/>
          <w:sz w:val="24"/>
          <w:szCs w:val="24"/>
          <w:lang w:eastAsia="zh-CN"/>
        </w:rPr>
        <w:t>H11</w:t>
      </w:r>
      <w:r>
        <w:rPr>
          <w:rFonts w:ascii="Times New Roman" w:eastAsia="宋体" w:hAnsi="Times New Roman" w:cs="Times New Roman" w:hint="eastAsia"/>
          <w:snapToGrid/>
          <w:color w:val="auto"/>
          <w:kern w:val="2"/>
          <w:sz w:val="24"/>
          <w:szCs w:val="24"/>
          <w:lang w:eastAsia="zh-CN"/>
        </w:rPr>
        <w:t>号站位。调查结果表明，三亚海棠湾海域浮游动物多样性指数和均匀度指数整体较高，浮游动物物种类较为丰富，种间比例分布较为均匀。</w:t>
      </w:r>
    </w:p>
    <w:p w14:paraId="56D9BEAA" w14:textId="77777777" w:rsidR="0075791A" w:rsidRDefault="00FB2864">
      <w:pPr>
        <w:pStyle w:val="TableParagraph"/>
        <w:spacing w:before="28"/>
        <w:ind w:left="1776"/>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表</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2.6-23</w:t>
      </w:r>
      <w:r>
        <w:rPr>
          <w:rFonts w:ascii="宋体" w:eastAsia="宋体" w:hAnsi="宋体" w:cs="宋体" w:hint="eastAsia"/>
          <w:color w:val="auto"/>
          <w:sz w:val="24"/>
          <w:szCs w:val="24"/>
          <w:lang w:eastAsia="zh-CN"/>
        </w:rPr>
        <w:t xml:space="preserve"> 2024</w:t>
      </w:r>
      <w:r>
        <w:rPr>
          <w:rFonts w:ascii="宋体" w:eastAsia="宋体" w:hAnsi="宋体" w:cs="宋体" w:hint="eastAsia"/>
          <w:color w:val="auto"/>
          <w:sz w:val="24"/>
          <w:szCs w:val="24"/>
          <w:lang w:eastAsia="zh-CN"/>
        </w:rPr>
        <w:t>年</w:t>
      </w:r>
      <w:r>
        <w:rPr>
          <w:rFonts w:ascii="宋体" w:eastAsia="宋体" w:hAnsi="宋体" w:cs="宋体" w:hint="eastAsia"/>
          <w:color w:val="auto"/>
          <w:sz w:val="24"/>
          <w:szCs w:val="24"/>
          <w:lang w:eastAsia="zh-CN"/>
        </w:rPr>
        <w:t>9</w:t>
      </w:r>
      <w:r>
        <w:rPr>
          <w:rFonts w:ascii="宋体" w:eastAsia="宋体" w:hAnsi="宋体" w:cs="宋体" w:hint="eastAsia"/>
          <w:color w:val="auto"/>
          <w:sz w:val="24"/>
          <w:szCs w:val="24"/>
          <w:lang w:eastAsia="zh-CN"/>
        </w:rPr>
        <w:t>月航次浮游动物调查结果统计</w:t>
      </w:r>
    </w:p>
    <w:tbl>
      <w:tblPr>
        <w:tblW w:w="0" w:type="auto"/>
        <w:tblInd w:w="97" w:type="dxa"/>
        <w:tblLayout w:type="fixed"/>
        <w:tblCellMar>
          <w:left w:w="0" w:type="dxa"/>
          <w:right w:w="0" w:type="dxa"/>
        </w:tblCellMar>
        <w:tblLook w:val="04A0" w:firstRow="1" w:lastRow="0" w:firstColumn="1" w:lastColumn="0" w:noHBand="0" w:noVBand="1"/>
      </w:tblPr>
      <w:tblGrid>
        <w:gridCol w:w="1011"/>
        <w:gridCol w:w="1601"/>
        <w:gridCol w:w="1601"/>
        <w:gridCol w:w="1654"/>
        <w:gridCol w:w="1548"/>
        <w:gridCol w:w="1600"/>
      </w:tblGrid>
      <w:tr w:rsidR="0075791A" w14:paraId="561FCA47" w14:textId="77777777">
        <w:trPr>
          <w:trHeight w:val="283"/>
        </w:trPr>
        <w:tc>
          <w:tcPr>
            <w:tcW w:w="1011" w:type="dxa"/>
            <w:tcBorders>
              <w:top w:val="single" w:sz="4" w:space="0" w:color="000000"/>
              <w:left w:val="single" w:sz="4" w:space="0" w:color="000000"/>
              <w:bottom w:val="single" w:sz="4" w:space="0" w:color="000000"/>
              <w:right w:val="single" w:sz="4" w:space="0" w:color="000000"/>
            </w:tcBorders>
            <w:vAlign w:val="center"/>
          </w:tcPr>
          <w:p w14:paraId="7A74668E"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站</w:t>
            </w:r>
            <w:r>
              <w:rPr>
                <w:rFonts w:ascii="宋体" w:eastAsia="宋体" w:hAnsi="宋体" w:cs="宋体"/>
                <w:color w:val="auto"/>
              </w:rPr>
              <w:t>号</w:t>
            </w:r>
          </w:p>
        </w:tc>
        <w:tc>
          <w:tcPr>
            <w:tcW w:w="1601" w:type="dxa"/>
            <w:tcBorders>
              <w:top w:val="single" w:sz="4" w:space="0" w:color="000000"/>
              <w:left w:val="single" w:sz="4" w:space="0" w:color="000000"/>
              <w:bottom w:val="single" w:sz="4" w:space="0" w:color="000000"/>
              <w:right w:val="single" w:sz="4" w:space="0" w:color="000000"/>
            </w:tcBorders>
            <w:vAlign w:val="center"/>
          </w:tcPr>
          <w:p w14:paraId="5E8F5DE1"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种</w:t>
            </w:r>
            <w:r>
              <w:rPr>
                <w:rFonts w:ascii="宋体" w:eastAsia="宋体" w:hAnsi="宋体" w:cs="宋体"/>
                <w:color w:val="auto"/>
                <w:spacing w:val="2"/>
              </w:rPr>
              <w:t>类</w:t>
            </w:r>
            <w:r>
              <w:rPr>
                <w:rFonts w:ascii="宋体" w:eastAsia="宋体" w:hAnsi="宋体" w:cs="宋体"/>
                <w:color w:val="auto"/>
              </w:rPr>
              <w:t>数</w:t>
            </w:r>
          </w:p>
        </w:tc>
        <w:tc>
          <w:tcPr>
            <w:tcW w:w="1601" w:type="dxa"/>
            <w:tcBorders>
              <w:top w:val="single" w:sz="4" w:space="0" w:color="000000"/>
              <w:left w:val="single" w:sz="4" w:space="0" w:color="000000"/>
              <w:bottom w:val="single" w:sz="4" w:space="0" w:color="000000"/>
              <w:right w:val="single" w:sz="4" w:space="0" w:color="000000"/>
            </w:tcBorders>
            <w:vAlign w:val="center"/>
          </w:tcPr>
          <w:p w14:paraId="3D116A2A"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丰</w:t>
            </w:r>
            <w:r>
              <w:rPr>
                <w:rFonts w:ascii="宋体" w:eastAsia="宋体" w:hAnsi="宋体" w:cs="宋体"/>
                <w:color w:val="auto"/>
              </w:rPr>
              <w:t>度</w:t>
            </w:r>
            <w:r>
              <w:rPr>
                <w:rFonts w:ascii="宋体" w:eastAsia="宋体" w:hAnsi="宋体" w:cs="宋体"/>
                <w:color w:val="auto"/>
                <w:spacing w:val="-1"/>
              </w:rPr>
              <w:t>（</w:t>
            </w:r>
            <w:r>
              <w:rPr>
                <w:rFonts w:ascii="Times New Roman" w:eastAsia="Times New Roman" w:hAnsi="Times New Roman" w:cs="Times New Roman"/>
                <w:color w:val="auto"/>
                <w:spacing w:val="-1"/>
              </w:rPr>
              <w:t>i</w:t>
            </w:r>
            <w:r>
              <w:rPr>
                <w:rFonts w:ascii="Times New Roman" w:eastAsia="Times New Roman" w:hAnsi="Times New Roman" w:cs="Times New Roman"/>
                <w:color w:val="auto"/>
                <w:spacing w:val="1"/>
              </w:rPr>
              <w:t>nd</w:t>
            </w:r>
            <w:r>
              <w:rPr>
                <w:rFonts w:ascii="Times New Roman" w:eastAsia="Times New Roman" w:hAnsi="Times New Roman" w:cs="Times New Roman"/>
                <w:color w:val="auto"/>
                <w:spacing w:val="-1"/>
              </w:rPr>
              <w:t>/</w:t>
            </w:r>
            <w:r>
              <w:rPr>
                <w:rFonts w:ascii="Times New Roman" w:eastAsia="Times New Roman" w:hAnsi="Times New Roman" w:cs="Times New Roman"/>
                <w:color w:val="auto"/>
                <w:spacing w:val="3"/>
              </w:rPr>
              <w:t>m</w:t>
            </w:r>
            <w:r>
              <w:rPr>
                <w:rFonts w:ascii="Times New Roman" w:eastAsia="Times New Roman" w:hAnsi="Times New Roman" w:cs="Times New Roman"/>
                <w:color w:val="auto"/>
                <w:spacing w:val="-2"/>
                <w:position w:val="7"/>
                <w:sz w:val="13"/>
                <w:szCs w:val="13"/>
              </w:rPr>
              <w:t>3</w:t>
            </w:r>
            <w:r>
              <w:rPr>
                <w:rFonts w:ascii="宋体" w:eastAsia="宋体" w:hAnsi="宋体" w:cs="宋体"/>
                <w:color w:val="auto"/>
              </w:rPr>
              <w:t>）</w:t>
            </w:r>
          </w:p>
        </w:tc>
        <w:tc>
          <w:tcPr>
            <w:tcW w:w="1654" w:type="dxa"/>
            <w:tcBorders>
              <w:top w:val="single" w:sz="4" w:space="0" w:color="000000"/>
              <w:left w:val="single" w:sz="4" w:space="0" w:color="000000"/>
              <w:bottom w:val="single" w:sz="4" w:space="0" w:color="000000"/>
              <w:right w:val="single" w:sz="4" w:space="0" w:color="000000"/>
            </w:tcBorders>
            <w:vAlign w:val="center"/>
          </w:tcPr>
          <w:p w14:paraId="60229689"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生</w:t>
            </w:r>
            <w:r>
              <w:rPr>
                <w:rFonts w:ascii="宋体" w:eastAsia="宋体" w:hAnsi="宋体" w:cs="宋体"/>
                <w:color w:val="auto"/>
                <w:spacing w:val="2"/>
              </w:rPr>
              <w:t>物</w:t>
            </w:r>
            <w:r>
              <w:rPr>
                <w:rFonts w:ascii="宋体" w:eastAsia="宋体" w:hAnsi="宋体" w:cs="宋体"/>
                <w:color w:val="auto"/>
              </w:rPr>
              <w:t>量</w:t>
            </w:r>
            <w:r>
              <w:rPr>
                <w:rFonts w:ascii="宋体" w:eastAsia="宋体" w:hAnsi="宋体" w:cs="宋体"/>
                <w:color w:val="auto"/>
                <w:spacing w:val="2"/>
              </w:rPr>
              <w:t>（</w:t>
            </w:r>
            <w:r>
              <w:rPr>
                <w:rFonts w:ascii="Times New Roman" w:eastAsia="Times New Roman" w:hAnsi="Times New Roman" w:cs="Times New Roman"/>
                <w:color w:val="auto"/>
                <w:spacing w:val="-2"/>
              </w:rPr>
              <w:t>mg</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3"/>
              </w:rPr>
              <w:t>m</w:t>
            </w:r>
            <w:r>
              <w:rPr>
                <w:rFonts w:ascii="Times New Roman" w:eastAsia="Times New Roman" w:hAnsi="Times New Roman" w:cs="Times New Roman"/>
                <w:color w:val="auto"/>
                <w:spacing w:val="-2"/>
                <w:position w:val="7"/>
                <w:sz w:val="13"/>
                <w:szCs w:val="13"/>
              </w:rPr>
              <w:t>3</w:t>
            </w:r>
            <w:r>
              <w:rPr>
                <w:rFonts w:ascii="宋体" w:eastAsia="宋体" w:hAnsi="宋体" w:cs="宋体"/>
                <w:color w:val="auto"/>
              </w:rPr>
              <w:t>）</w:t>
            </w:r>
          </w:p>
        </w:tc>
        <w:tc>
          <w:tcPr>
            <w:tcW w:w="1548" w:type="dxa"/>
            <w:tcBorders>
              <w:top w:val="single" w:sz="4" w:space="0" w:color="000000"/>
              <w:left w:val="single" w:sz="4" w:space="0" w:color="000000"/>
              <w:bottom w:val="single" w:sz="4" w:space="0" w:color="000000"/>
              <w:right w:val="single" w:sz="4" w:space="0" w:color="000000"/>
            </w:tcBorders>
            <w:vAlign w:val="center"/>
          </w:tcPr>
          <w:p w14:paraId="29F5F856" w14:textId="77777777" w:rsidR="0075791A" w:rsidRDefault="00FB2864">
            <w:pPr>
              <w:pStyle w:val="TableParagraph"/>
              <w:jc w:val="center"/>
              <w:rPr>
                <w:rFonts w:ascii="Times New Roman" w:eastAsia="Times New Roman" w:hAnsi="Times New Roman" w:cs="Times New Roman"/>
                <w:color w:val="auto"/>
              </w:rPr>
            </w:pPr>
            <w:r>
              <w:rPr>
                <w:rFonts w:ascii="宋体" w:eastAsia="宋体" w:hAnsi="宋体" w:cs="宋体"/>
                <w:color w:val="auto"/>
                <w:spacing w:val="-1"/>
              </w:rPr>
              <w:t>多</w:t>
            </w:r>
            <w:r>
              <w:rPr>
                <w:rFonts w:ascii="宋体" w:eastAsia="宋体" w:hAnsi="宋体" w:cs="宋体"/>
                <w:color w:val="auto"/>
                <w:spacing w:val="2"/>
              </w:rPr>
              <w:t>样</w:t>
            </w:r>
            <w:r>
              <w:rPr>
                <w:rFonts w:ascii="宋体" w:eastAsia="宋体" w:hAnsi="宋体" w:cs="宋体"/>
                <w:color w:val="auto"/>
                <w:spacing w:val="-1"/>
              </w:rPr>
              <w:t>性</w:t>
            </w:r>
            <w:r>
              <w:rPr>
                <w:rFonts w:ascii="宋体" w:eastAsia="宋体" w:hAnsi="宋体" w:cs="宋体"/>
                <w:color w:val="auto"/>
                <w:spacing w:val="2"/>
              </w:rPr>
              <w:t>指</w:t>
            </w:r>
            <w:r>
              <w:rPr>
                <w:rFonts w:ascii="宋体" w:eastAsia="宋体" w:hAnsi="宋体" w:cs="宋体"/>
                <w:color w:val="auto"/>
              </w:rPr>
              <w:t>数</w:t>
            </w:r>
            <w:r>
              <w:rPr>
                <w:rFonts w:ascii="Times New Roman" w:eastAsia="Times New Roman" w:hAnsi="Times New Roman" w:cs="Times New Roman"/>
                <w:i/>
                <w:color w:val="auto"/>
                <w:spacing w:val="2"/>
              </w:rPr>
              <w:t>H</w:t>
            </w:r>
            <w:r>
              <w:rPr>
                <w:rFonts w:ascii="Times New Roman" w:eastAsia="Times New Roman" w:hAnsi="Times New Roman" w:cs="Times New Roman"/>
                <w:i/>
                <w:color w:val="auto"/>
              </w:rPr>
              <w:t>′</w:t>
            </w:r>
          </w:p>
        </w:tc>
        <w:tc>
          <w:tcPr>
            <w:tcW w:w="1600" w:type="dxa"/>
            <w:tcBorders>
              <w:top w:val="single" w:sz="4" w:space="0" w:color="000000"/>
              <w:left w:val="single" w:sz="4" w:space="0" w:color="000000"/>
              <w:bottom w:val="single" w:sz="4" w:space="0" w:color="000000"/>
              <w:right w:val="single" w:sz="4" w:space="0" w:color="000000"/>
            </w:tcBorders>
            <w:vAlign w:val="center"/>
          </w:tcPr>
          <w:p w14:paraId="5C44CAAA" w14:textId="77777777" w:rsidR="0075791A" w:rsidRDefault="00FB2864">
            <w:pPr>
              <w:pStyle w:val="TableParagraph"/>
              <w:jc w:val="center"/>
              <w:rPr>
                <w:rFonts w:ascii="Times New Roman" w:eastAsia="Times New Roman" w:hAnsi="Times New Roman" w:cs="Times New Roman"/>
                <w:color w:val="auto"/>
              </w:rPr>
            </w:pPr>
            <w:r>
              <w:rPr>
                <w:rFonts w:ascii="宋体" w:eastAsia="宋体" w:hAnsi="宋体" w:cs="宋体"/>
                <w:color w:val="auto"/>
                <w:spacing w:val="-1"/>
              </w:rPr>
              <w:t>均</w:t>
            </w:r>
            <w:r>
              <w:rPr>
                <w:rFonts w:ascii="宋体" w:eastAsia="宋体" w:hAnsi="宋体" w:cs="宋体"/>
                <w:color w:val="auto"/>
                <w:spacing w:val="2"/>
              </w:rPr>
              <w:t>匀</w:t>
            </w:r>
            <w:r>
              <w:rPr>
                <w:rFonts w:ascii="宋体" w:eastAsia="宋体" w:hAnsi="宋体" w:cs="宋体"/>
                <w:color w:val="auto"/>
              </w:rPr>
              <w:t>度</w:t>
            </w:r>
            <w:r>
              <w:rPr>
                <w:rFonts w:ascii="Times New Roman" w:eastAsia="Times New Roman" w:hAnsi="Times New Roman" w:cs="Times New Roman"/>
                <w:i/>
                <w:color w:val="auto"/>
              </w:rPr>
              <w:t>J</w:t>
            </w:r>
          </w:p>
        </w:tc>
      </w:tr>
      <w:tr w:rsidR="0075791A" w14:paraId="6DFAB8BB" w14:textId="77777777">
        <w:trPr>
          <w:trHeight w:val="283"/>
        </w:trPr>
        <w:tc>
          <w:tcPr>
            <w:tcW w:w="1011" w:type="dxa"/>
            <w:tcBorders>
              <w:top w:val="single" w:sz="4" w:space="0" w:color="000000"/>
              <w:left w:val="single" w:sz="4" w:space="0" w:color="000000"/>
              <w:bottom w:val="single" w:sz="4" w:space="0" w:color="000000"/>
              <w:right w:val="single" w:sz="4" w:space="0" w:color="000000"/>
            </w:tcBorders>
            <w:vAlign w:val="center"/>
          </w:tcPr>
          <w:p w14:paraId="1C9FDC90"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2</w:t>
            </w:r>
          </w:p>
        </w:tc>
        <w:tc>
          <w:tcPr>
            <w:tcW w:w="1601" w:type="dxa"/>
            <w:tcBorders>
              <w:top w:val="single" w:sz="4" w:space="0" w:color="000000"/>
              <w:left w:val="single" w:sz="4" w:space="0" w:color="000000"/>
              <w:bottom w:val="single" w:sz="4" w:space="0" w:color="000000"/>
              <w:right w:val="single" w:sz="4" w:space="0" w:color="000000"/>
            </w:tcBorders>
            <w:vAlign w:val="center"/>
          </w:tcPr>
          <w:p w14:paraId="3BDD40D4"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2</w:t>
            </w:r>
            <w:r>
              <w:rPr>
                <w:rFonts w:ascii="Times New Roman" w:eastAsia="Times New Roman" w:hAnsi="Times New Roman" w:cs="Times New Roman"/>
                <w:color w:val="auto"/>
                <w:sz w:val="22"/>
                <w:szCs w:val="22"/>
              </w:rPr>
              <w:t>6</w:t>
            </w:r>
          </w:p>
        </w:tc>
        <w:tc>
          <w:tcPr>
            <w:tcW w:w="1601" w:type="dxa"/>
            <w:tcBorders>
              <w:top w:val="single" w:sz="4" w:space="0" w:color="000000"/>
              <w:left w:val="single" w:sz="4" w:space="0" w:color="000000"/>
              <w:bottom w:val="single" w:sz="4" w:space="0" w:color="000000"/>
              <w:right w:val="single" w:sz="4" w:space="0" w:color="000000"/>
            </w:tcBorders>
            <w:vAlign w:val="center"/>
          </w:tcPr>
          <w:p w14:paraId="320CC78E"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26.6</w:t>
            </w:r>
            <w:r>
              <w:rPr>
                <w:rFonts w:ascii="Times New Roman" w:eastAsia="Times New Roman" w:hAnsi="Times New Roman" w:cs="Times New Roman"/>
                <w:color w:val="auto"/>
                <w:sz w:val="22"/>
                <w:szCs w:val="22"/>
              </w:rPr>
              <w:t>2</w:t>
            </w:r>
          </w:p>
        </w:tc>
        <w:tc>
          <w:tcPr>
            <w:tcW w:w="1654" w:type="dxa"/>
            <w:tcBorders>
              <w:top w:val="single" w:sz="4" w:space="0" w:color="000000"/>
              <w:left w:val="single" w:sz="4" w:space="0" w:color="000000"/>
              <w:bottom w:val="single" w:sz="4" w:space="0" w:color="000000"/>
              <w:right w:val="single" w:sz="4" w:space="0" w:color="000000"/>
            </w:tcBorders>
            <w:vAlign w:val="center"/>
          </w:tcPr>
          <w:p w14:paraId="2F505174"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40.</w:t>
            </w:r>
            <w:r>
              <w:rPr>
                <w:rFonts w:ascii="Times New Roman" w:eastAsia="Times New Roman" w:hAnsi="Times New Roman" w:cs="Times New Roman"/>
                <w:color w:val="auto"/>
                <w:sz w:val="22"/>
                <w:szCs w:val="22"/>
              </w:rPr>
              <w:t>2</w:t>
            </w:r>
          </w:p>
        </w:tc>
        <w:tc>
          <w:tcPr>
            <w:tcW w:w="1548" w:type="dxa"/>
            <w:tcBorders>
              <w:top w:val="single" w:sz="4" w:space="0" w:color="000000"/>
              <w:left w:val="single" w:sz="4" w:space="0" w:color="000000"/>
              <w:bottom w:val="single" w:sz="4" w:space="0" w:color="000000"/>
              <w:right w:val="single" w:sz="4" w:space="0" w:color="000000"/>
            </w:tcBorders>
            <w:vAlign w:val="center"/>
          </w:tcPr>
          <w:p w14:paraId="375191D4"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3.8</w:t>
            </w:r>
            <w:r>
              <w:rPr>
                <w:rFonts w:ascii="Times New Roman" w:eastAsia="Times New Roman" w:hAnsi="Times New Roman" w:cs="Times New Roman"/>
                <w:color w:val="auto"/>
                <w:sz w:val="22"/>
                <w:szCs w:val="22"/>
              </w:rPr>
              <w:t>8</w:t>
            </w:r>
          </w:p>
        </w:tc>
        <w:tc>
          <w:tcPr>
            <w:tcW w:w="1600" w:type="dxa"/>
            <w:tcBorders>
              <w:top w:val="single" w:sz="4" w:space="0" w:color="000000"/>
              <w:left w:val="single" w:sz="4" w:space="0" w:color="000000"/>
              <w:bottom w:val="single" w:sz="4" w:space="0" w:color="000000"/>
              <w:right w:val="single" w:sz="4" w:space="0" w:color="000000"/>
            </w:tcBorders>
            <w:vAlign w:val="center"/>
          </w:tcPr>
          <w:p w14:paraId="4F543ED1"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0.8</w:t>
            </w:r>
            <w:r>
              <w:rPr>
                <w:rFonts w:ascii="Times New Roman" w:eastAsia="Times New Roman" w:hAnsi="Times New Roman" w:cs="Times New Roman"/>
                <w:color w:val="auto"/>
                <w:sz w:val="22"/>
                <w:szCs w:val="22"/>
              </w:rPr>
              <w:t>3</w:t>
            </w:r>
          </w:p>
        </w:tc>
      </w:tr>
      <w:tr w:rsidR="0075791A" w14:paraId="0F74533E" w14:textId="77777777">
        <w:trPr>
          <w:trHeight w:val="283"/>
        </w:trPr>
        <w:tc>
          <w:tcPr>
            <w:tcW w:w="1011" w:type="dxa"/>
            <w:tcBorders>
              <w:top w:val="single" w:sz="4" w:space="0" w:color="000000"/>
              <w:left w:val="single" w:sz="4" w:space="0" w:color="000000"/>
              <w:bottom w:val="single" w:sz="12" w:space="0" w:color="000000"/>
              <w:right w:val="single" w:sz="4" w:space="0" w:color="000000"/>
            </w:tcBorders>
            <w:vAlign w:val="center"/>
          </w:tcPr>
          <w:p w14:paraId="468DD1D9"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4</w:t>
            </w:r>
          </w:p>
        </w:tc>
        <w:tc>
          <w:tcPr>
            <w:tcW w:w="1601" w:type="dxa"/>
            <w:tcBorders>
              <w:top w:val="single" w:sz="4" w:space="0" w:color="000000"/>
              <w:left w:val="single" w:sz="4" w:space="0" w:color="000000"/>
              <w:bottom w:val="single" w:sz="12" w:space="0" w:color="000000"/>
              <w:right w:val="single" w:sz="4" w:space="0" w:color="000000"/>
            </w:tcBorders>
            <w:vAlign w:val="center"/>
          </w:tcPr>
          <w:p w14:paraId="49B84BAC"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w:t>
            </w:r>
            <w:r>
              <w:rPr>
                <w:rFonts w:ascii="Times New Roman" w:eastAsia="Times New Roman" w:hAnsi="Times New Roman" w:cs="Times New Roman"/>
                <w:color w:val="auto"/>
                <w:sz w:val="22"/>
                <w:szCs w:val="22"/>
              </w:rPr>
              <w:t>4</w:t>
            </w:r>
          </w:p>
        </w:tc>
        <w:tc>
          <w:tcPr>
            <w:tcW w:w="1601" w:type="dxa"/>
            <w:tcBorders>
              <w:top w:val="single" w:sz="4" w:space="0" w:color="000000"/>
              <w:left w:val="single" w:sz="4" w:space="0" w:color="000000"/>
              <w:bottom w:val="single" w:sz="12" w:space="0" w:color="000000"/>
              <w:right w:val="single" w:sz="4" w:space="0" w:color="000000"/>
            </w:tcBorders>
            <w:vAlign w:val="center"/>
          </w:tcPr>
          <w:p w14:paraId="3E3BD728"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13.4</w:t>
            </w:r>
            <w:r>
              <w:rPr>
                <w:rFonts w:ascii="Times New Roman" w:eastAsia="Times New Roman" w:hAnsi="Times New Roman" w:cs="Times New Roman"/>
                <w:color w:val="auto"/>
                <w:sz w:val="22"/>
                <w:szCs w:val="22"/>
              </w:rPr>
              <w:t>4</w:t>
            </w:r>
          </w:p>
        </w:tc>
        <w:tc>
          <w:tcPr>
            <w:tcW w:w="1654" w:type="dxa"/>
            <w:tcBorders>
              <w:top w:val="single" w:sz="4" w:space="0" w:color="000000"/>
              <w:left w:val="single" w:sz="4" w:space="0" w:color="000000"/>
              <w:bottom w:val="single" w:sz="12" w:space="0" w:color="000000"/>
              <w:right w:val="single" w:sz="4" w:space="0" w:color="000000"/>
            </w:tcBorders>
            <w:vAlign w:val="center"/>
          </w:tcPr>
          <w:p w14:paraId="18B9F2EC"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36.</w:t>
            </w:r>
            <w:r>
              <w:rPr>
                <w:rFonts w:ascii="Times New Roman" w:eastAsia="Times New Roman" w:hAnsi="Times New Roman" w:cs="Times New Roman"/>
                <w:color w:val="auto"/>
                <w:sz w:val="22"/>
                <w:szCs w:val="22"/>
              </w:rPr>
              <w:t>0</w:t>
            </w:r>
          </w:p>
        </w:tc>
        <w:tc>
          <w:tcPr>
            <w:tcW w:w="1548" w:type="dxa"/>
            <w:tcBorders>
              <w:top w:val="single" w:sz="4" w:space="0" w:color="000000"/>
              <w:left w:val="single" w:sz="4" w:space="0" w:color="000000"/>
              <w:bottom w:val="single" w:sz="12" w:space="0" w:color="000000"/>
              <w:right w:val="single" w:sz="4" w:space="0" w:color="000000"/>
            </w:tcBorders>
            <w:vAlign w:val="center"/>
          </w:tcPr>
          <w:p w14:paraId="30A915F6"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3.2</w:t>
            </w:r>
            <w:r>
              <w:rPr>
                <w:rFonts w:ascii="Times New Roman" w:eastAsia="Times New Roman" w:hAnsi="Times New Roman" w:cs="Times New Roman"/>
                <w:color w:val="auto"/>
                <w:sz w:val="22"/>
                <w:szCs w:val="22"/>
              </w:rPr>
              <w:t>2</w:t>
            </w:r>
          </w:p>
        </w:tc>
        <w:tc>
          <w:tcPr>
            <w:tcW w:w="1600" w:type="dxa"/>
            <w:tcBorders>
              <w:top w:val="single" w:sz="4" w:space="0" w:color="000000"/>
              <w:left w:val="single" w:sz="4" w:space="0" w:color="000000"/>
              <w:bottom w:val="single" w:sz="12" w:space="0" w:color="000000"/>
              <w:right w:val="single" w:sz="4" w:space="0" w:color="000000"/>
            </w:tcBorders>
            <w:vAlign w:val="center"/>
          </w:tcPr>
          <w:p w14:paraId="61BC4A1E"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0.8</w:t>
            </w:r>
            <w:r>
              <w:rPr>
                <w:rFonts w:ascii="Times New Roman" w:eastAsia="Times New Roman" w:hAnsi="Times New Roman" w:cs="Times New Roman"/>
                <w:color w:val="auto"/>
                <w:sz w:val="22"/>
                <w:szCs w:val="22"/>
              </w:rPr>
              <w:t>5</w:t>
            </w:r>
          </w:p>
        </w:tc>
      </w:tr>
      <w:tr w:rsidR="0075791A" w14:paraId="5DAC07B2" w14:textId="77777777">
        <w:trPr>
          <w:trHeight w:val="283"/>
        </w:trPr>
        <w:tc>
          <w:tcPr>
            <w:tcW w:w="1011" w:type="dxa"/>
            <w:tcBorders>
              <w:top w:val="single" w:sz="12" w:space="0" w:color="000000"/>
              <w:left w:val="single" w:sz="4" w:space="0" w:color="000000"/>
              <w:bottom w:val="single" w:sz="4" w:space="0" w:color="000000"/>
              <w:right w:val="single" w:sz="4" w:space="0" w:color="000000"/>
            </w:tcBorders>
            <w:vAlign w:val="center"/>
          </w:tcPr>
          <w:p w14:paraId="7CAA2C0A"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5</w:t>
            </w:r>
          </w:p>
        </w:tc>
        <w:tc>
          <w:tcPr>
            <w:tcW w:w="1601" w:type="dxa"/>
            <w:tcBorders>
              <w:top w:val="single" w:sz="12" w:space="0" w:color="000000"/>
              <w:left w:val="single" w:sz="4" w:space="0" w:color="000000"/>
              <w:bottom w:val="single" w:sz="4" w:space="0" w:color="000000"/>
              <w:right w:val="single" w:sz="4" w:space="0" w:color="000000"/>
            </w:tcBorders>
            <w:vAlign w:val="center"/>
          </w:tcPr>
          <w:p w14:paraId="27687684"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2</w:t>
            </w:r>
            <w:r>
              <w:rPr>
                <w:rFonts w:ascii="Times New Roman" w:eastAsia="Times New Roman" w:hAnsi="Times New Roman" w:cs="Times New Roman"/>
                <w:color w:val="auto"/>
                <w:sz w:val="22"/>
                <w:szCs w:val="22"/>
              </w:rPr>
              <w:t>5</w:t>
            </w:r>
          </w:p>
        </w:tc>
        <w:tc>
          <w:tcPr>
            <w:tcW w:w="1601" w:type="dxa"/>
            <w:tcBorders>
              <w:top w:val="single" w:sz="12" w:space="0" w:color="000000"/>
              <w:left w:val="single" w:sz="4" w:space="0" w:color="000000"/>
              <w:bottom w:val="single" w:sz="4" w:space="0" w:color="000000"/>
              <w:right w:val="single" w:sz="4" w:space="0" w:color="000000"/>
            </w:tcBorders>
            <w:vAlign w:val="center"/>
          </w:tcPr>
          <w:p w14:paraId="6D977B98"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35.1</w:t>
            </w:r>
            <w:r>
              <w:rPr>
                <w:rFonts w:ascii="Times New Roman" w:eastAsia="Times New Roman" w:hAnsi="Times New Roman" w:cs="Times New Roman"/>
                <w:color w:val="auto"/>
                <w:sz w:val="22"/>
                <w:szCs w:val="22"/>
              </w:rPr>
              <w:t>2</w:t>
            </w:r>
          </w:p>
        </w:tc>
        <w:tc>
          <w:tcPr>
            <w:tcW w:w="1654" w:type="dxa"/>
            <w:tcBorders>
              <w:top w:val="single" w:sz="12" w:space="0" w:color="000000"/>
              <w:left w:val="single" w:sz="4" w:space="0" w:color="000000"/>
              <w:bottom w:val="single" w:sz="4" w:space="0" w:color="000000"/>
              <w:right w:val="single" w:sz="4" w:space="0" w:color="000000"/>
            </w:tcBorders>
            <w:vAlign w:val="center"/>
          </w:tcPr>
          <w:p w14:paraId="676D67A8"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29.</w:t>
            </w:r>
            <w:r>
              <w:rPr>
                <w:rFonts w:ascii="Times New Roman" w:eastAsia="Times New Roman" w:hAnsi="Times New Roman" w:cs="Times New Roman"/>
                <w:color w:val="auto"/>
                <w:sz w:val="22"/>
                <w:szCs w:val="22"/>
              </w:rPr>
              <w:t>6</w:t>
            </w:r>
          </w:p>
        </w:tc>
        <w:tc>
          <w:tcPr>
            <w:tcW w:w="1548" w:type="dxa"/>
            <w:tcBorders>
              <w:top w:val="single" w:sz="12" w:space="0" w:color="000000"/>
              <w:left w:val="single" w:sz="4" w:space="0" w:color="000000"/>
              <w:bottom w:val="single" w:sz="4" w:space="0" w:color="000000"/>
              <w:right w:val="single" w:sz="4" w:space="0" w:color="000000"/>
            </w:tcBorders>
            <w:vAlign w:val="center"/>
          </w:tcPr>
          <w:p w14:paraId="6B2E9888"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3.5</w:t>
            </w:r>
            <w:r>
              <w:rPr>
                <w:rFonts w:ascii="Times New Roman" w:eastAsia="Times New Roman" w:hAnsi="Times New Roman" w:cs="Times New Roman"/>
                <w:color w:val="auto"/>
                <w:sz w:val="22"/>
                <w:szCs w:val="22"/>
              </w:rPr>
              <w:t>0</w:t>
            </w:r>
          </w:p>
        </w:tc>
        <w:tc>
          <w:tcPr>
            <w:tcW w:w="1600" w:type="dxa"/>
            <w:tcBorders>
              <w:top w:val="single" w:sz="12" w:space="0" w:color="000000"/>
              <w:left w:val="single" w:sz="4" w:space="0" w:color="000000"/>
              <w:bottom w:val="single" w:sz="4" w:space="0" w:color="000000"/>
              <w:right w:val="single" w:sz="4" w:space="0" w:color="000000"/>
            </w:tcBorders>
            <w:vAlign w:val="center"/>
          </w:tcPr>
          <w:p w14:paraId="759E86F3"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0.7</w:t>
            </w:r>
            <w:r>
              <w:rPr>
                <w:rFonts w:ascii="Times New Roman" w:eastAsia="Times New Roman" w:hAnsi="Times New Roman" w:cs="Times New Roman"/>
                <w:color w:val="auto"/>
                <w:sz w:val="22"/>
                <w:szCs w:val="22"/>
              </w:rPr>
              <w:t>5</w:t>
            </w:r>
          </w:p>
        </w:tc>
      </w:tr>
      <w:tr w:rsidR="0075791A" w14:paraId="627995E0" w14:textId="77777777">
        <w:trPr>
          <w:trHeight w:val="283"/>
        </w:trPr>
        <w:tc>
          <w:tcPr>
            <w:tcW w:w="1011" w:type="dxa"/>
            <w:tcBorders>
              <w:top w:val="single" w:sz="4" w:space="0" w:color="000000"/>
              <w:left w:val="single" w:sz="4" w:space="0" w:color="000000"/>
              <w:bottom w:val="single" w:sz="4" w:space="0" w:color="000000"/>
              <w:right w:val="single" w:sz="4" w:space="0" w:color="000000"/>
            </w:tcBorders>
            <w:vAlign w:val="center"/>
          </w:tcPr>
          <w:p w14:paraId="2BB01567"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6</w:t>
            </w:r>
          </w:p>
        </w:tc>
        <w:tc>
          <w:tcPr>
            <w:tcW w:w="1601" w:type="dxa"/>
            <w:tcBorders>
              <w:top w:val="single" w:sz="4" w:space="0" w:color="000000"/>
              <w:left w:val="single" w:sz="4" w:space="0" w:color="000000"/>
              <w:bottom w:val="single" w:sz="4" w:space="0" w:color="000000"/>
              <w:right w:val="single" w:sz="4" w:space="0" w:color="000000"/>
            </w:tcBorders>
            <w:vAlign w:val="center"/>
          </w:tcPr>
          <w:p w14:paraId="1D31CCD0"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2</w:t>
            </w:r>
            <w:r>
              <w:rPr>
                <w:rFonts w:ascii="Times New Roman" w:eastAsia="Times New Roman" w:hAnsi="Times New Roman" w:cs="Times New Roman"/>
                <w:color w:val="auto"/>
                <w:sz w:val="22"/>
                <w:szCs w:val="22"/>
              </w:rPr>
              <w:t>7</w:t>
            </w:r>
          </w:p>
        </w:tc>
        <w:tc>
          <w:tcPr>
            <w:tcW w:w="1601" w:type="dxa"/>
            <w:tcBorders>
              <w:top w:val="single" w:sz="4" w:space="0" w:color="000000"/>
              <w:left w:val="single" w:sz="4" w:space="0" w:color="000000"/>
              <w:bottom w:val="single" w:sz="4" w:space="0" w:color="000000"/>
              <w:right w:val="single" w:sz="4" w:space="0" w:color="000000"/>
            </w:tcBorders>
            <w:vAlign w:val="center"/>
          </w:tcPr>
          <w:p w14:paraId="1A8B0A7A"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30.9</w:t>
            </w:r>
            <w:r>
              <w:rPr>
                <w:rFonts w:ascii="Times New Roman" w:eastAsia="Times New Roman" w:hAnsi="Times New Roman" w:cs="Times New Roman"/>
                <w:color w:val="auto"/>
                <w:sz w:val="22"/>
                <w:szCs w:val="22"/>
              </w:rPr>
              <w:t>2</w:t>
            </w:r>
          </w:p>
        </w:tc>
        <w:tc>
          <w:tcPr>
            <w:tcW w:w="1654" w:type="dxa"/>
            <w:tcBorders>
              <w:top w:val="single" w:sz="4" w:space="0" w:color="000000"/>
              <w:left w:val="single" w:sz="4" w:space="0" w:color="000000"/>
              <w:bottom w:val="single" w:sz="4" w:space="0" w:color="000000"/>
              <w:right w:val="single" w:sz="4" w:space="0" w:color="000000"/>
            </w:tcBorders>
            <w:vAlign w:val="center"/>
          </w:tcPr>
          <w:p w14:paraId="631DA5A9"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31.</w:t>
            </w:r>
            <w:r>
              <w:rPr>
                <w:rFonts w:ascii="Times New Roman" w:eastAsia="Times New Roman" w:hAnsi="Times New Roman" w:cs="Times New Roman"/>
                <w:color w:val="auto"/>
                <w:sz w:val="22"/>
                <w:szCs w:val="22"/>
              </w:rPr>
              <w:t>2</w:t>
            </w:r>
          </w:p>
        </w:tc>
        <w:tc>
          <w:tcPr>
            <w:tcW w:w="1548" w:type="dxa"/>
            <w:tcBorders>
              <w:top w:val="single" w:sz="4" w:space="0" w:color="000000"/>
              <w:left w:val="single" w:sz="4" w:space="0" w:color="000000"/>
              <w:bottom w:val="single" w:sz="4" w:space="0" w:color="000000"/>
              <w:right w:val="single" w:sz="4" w:space="0" w:color="000000"/>
            </w:tcBorders>
            <w:vAlign w:val="center"/>
          </w:tcPr>
          <w:p w14:paraId="03693F35"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3.5</w:t>
            </w:r>
            <w:r>
              <w:rPr>
                <w:rFonts w:ascii="Times New Roman" w:eastAsia="Times New Roman" w:hAnsi="Times New Roman" w:cs="Times New Roman"/>
                <w:color w:val="auto"/>
                <w:sz w:val="22"/>
                <w:szCs w:val="22"/>
              </w:rPr>
              <w:t>6</w:t>
            </w:r>
          </w:p>
        </w:tc>
        <w:tc>
          <w:tcPr>
            <w:tcW w:w="1600" w:type="dxa"/>
            <w:tcBorders>
              <w:top w:val="single" w:sz="4" w:space="0" w:color="000000"/>
              <w:left w:val="single" w:sz="4" w:space="0" w:color="000000"/>
              <w:bottom w:val="single" w:sz="4" w:space="0" w:color="000000"/>
              <w:right w:val="single" w:sz="4" w:space="0" w:color="000000"/>
            </w:tcBorders>
            <w:vAlign w:val="center"/>
          </w:tcPr>
          <w:p w14:paraId="77AA7C90"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0.7</w:t>
            </w:r>
            <w:r>
              <w:rPr>
                <w:rFonts w:ascii="Times New Roman" w:eastAsia="Times New Roman" w:hAnsi="Times New Roman" w:cs="Times New Roman"/>
                <w:color w:val="auto"/>
                <w:sz w:val="22"/>
                <w:szCs w:val="22"/>
              </w:rPr>
              <w:t>5</w:t>
            </w:r>
          </w:p>
        </w:tc>
      </w:tr>
      <w:tr w:rsidR="0075791A" w14:paraId="34D8C92E" w14:textId="77777777">
        <w:trPr>
          <w:trHeight w:val="283"/>
        </w:trPr>
        <w:tc>
          <w:tcPr>
            <w:tcW w:w="1011" w:type="dxa"/>
            <w:tcBorders>
              <w:top w:val="single" w:sz="4" w:space="0" w:color="000000"/>
              <w:left w:val="single" w:sz="4" w:space="0" w:color="000000"/>
              <w:bottom w:val="single" w:sz="4" w:space="0" w:color="000000"/>
              <w:right w:val="single" w:sz="4" w:space="0" w:color="000000"/>
            </w:tcBorders>
            <w:vAlign w:val="center"/>
          </w:tcPr>
          <w:p w14:paraId="6D778C10"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7</w:t>
            </w:r>
          </w:p>
        </w:tc>
        <w:tc>
          <w:tcPr>
            <w:tcW w:w="1601" w:type="dxa"/>
            <w:tcBorders>
              <w:top w:val="single" w:sz="4" w:space="0" w:color="000000"/>
              <w:left w:val="single" w:sz="4" w:space="0" w:color="000000"/>
              <w:bottom w:val="single" w:sz="4" w:space="0" w:color="000000"/>
              <w:right w:val="single" w:sz="4" w:space="0" w:color="000000"/>
            </w:tcBorders>
            <w:vAlign w:val="center"/>
          </w:tcPr>
          <w:p w14:paraId="1E452BEA"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w:t>
            </w:r>
            <w:r>
              <w:rPr>
                <w:rFonts w:ascii="Times New Roman" w:eastAsia="Times New Roman" w:hAnsi="Times New Roman" w:cs="Times New Roman"/>
                <w:color w:val="auto"/>
                <w:sz w:val="22"/>
                <w:szCs w:val="22"/>
              </w:rPr>
              <w:t>2</w:t>
            </w:r>
          </w:p>
        </w:tc>
        <w:tc>
          <w:tcPr>
            <w:tcW w:w="1601" w:type="dxa"/>
            <w:tcBorders>
              <w:top w:val="single" w:sz="4" w:space="0" w:color="000000"/>
              <w:left w:val="single" w:sz="4" w:space="0" w:color="000000"/>
              <w:bottom w:val="single" w:sz="4" w:space="0" w:color="000000"/>
              <w:right w:val="single" w:sz="4" w:space="0" w:color="000000"/>
            </w:tcBorders>
            <w:vAlign w:val="center"/>
          </w:tcPr>
          <w:p w14:paraId="5EB26B46"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36.8</w:t>
            </w:r>
            <w:r>
              <w:rPr>
                <w:rFonts w:ascii="Times New Roman" w:eastAsia="Times New Roman" w:hAnsi="Times New Roman" w:cs="Times New Roman"/>
                <w:color w:val="auto"/>
                <w:sz w:val="22"/>
                <w:szCs w:val="22"/>
              </w:rPr>
              <w:t>9</w:t>
            </w:r>
          </w:p>
        </w:tc>
        <w:tc>
          <w:tcPr>
            <w:tcW w:w="1654" w:type="dxa"/>
            <w:tcBorders>
              <w:top w:val="single" w:sz="4" w:space="0" w:color="000000"/>
              <w:left w:val="single" w:sz="4" w:space="0" w:color="000000"/>
              <w:bottom w:val="single" w:sz="4" w:space="0" w:color="000000"/>
              <w:right w:val="single" w:sz="4" w:space="0" w:color="000000"/>
            </w:tcBorders>
            <w:vAlign w:val="center"/>
          </w:tcPr>
          <w:p w14:paraId="7DCA5044"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29.</w:t>
            </w:r>
            <w:r>
              <w:rPr>
                <w:rFonts w:ascii="Times New Roman" w:eastAsia="Times New Roman" w:hAnsi="Times New Roman" w:cs="Times New Roman"/>
                <w:color w:val="auto"/>
                <w:sz w:val="22"/>
                <w:szCs w:val="22"/>
              </w:rPr>
              <w:t>2</w:t>
            </w:r>
          </w:p>
        </w:tc>
        <w:tc>
          <w:tcPr>
            <w:tcW w:w="1548" w:type="dxa"/>
            <w:tcBorders>
              <w:top w:val="single" w:sz="4" w:space="0" w:color="000000"/>
              <w:left w:val="single" w:sz="4" w:space="0" w:color="000000"/>
              <w:bottom w:val="single" w:sz="4" w:space="0" w:color="000000"/>
              <w:right w:val="single" w:sz="4" w:space="0" w:color="000000"/>
            </w:tcBorders>
            <w:vAlign w:val="center"/>
          </w:tcPr>
          <w:p w14:paraId="557639DC"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3.9</w:t>
            </w:r>
            <w:r>
              <w:rPr>
                <w:rFonts w:ascii="Times New Roman" w:eastAsia="Times New Roman" w:hAnsi="Times New Roman" w:cs="Times New Roman"/>
                <w:color w:val="auto"/>
                <w:sz w:val="22"/>
                <w:szCs w:val="22"/>
              </w:rPr>
              <w:t>8</w:t>
            </w:r>
          </w:p>
        </w:tc>
        <w:tc>
          <w:tcPr>
            <w:tcW w:w="1600" w:type="dxa"/>
            <w:tcBorders>
              <w:top w:val="single" w:sz="4" w:space="0" w:color="000000"/>
              <w:left w:val="single" w:sz="4" w:space="0" w:color="000000"/>
              <w:bottom w:val="single" w:sz="4" w:space="0" w:color="000000"/>
              <w:right w:val="single" w:sz="4" w:space="0" w:color="000000"/>
            </w:tcBorders>
            <w:vAlign w:val="center"/>
          </w:tcPr>
          <w:p w14:paraId="3396A230"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0.8</w:t>
            </w:r>
            <w:r>
              <w:rPr>
                <w:rFonts w:ascii="Times New Roman" w:eastAsia="Times New Roman" w:hAnsi="Times New Roman" w:cs="Times New Roman"/>
                <w:color w:val="auto"/>
                <w:sz w:val="22"/>
                <w:szCs w:val="22"/>
              </w:rPr>
              <w:t>0</w:t>
            </w:r>
          </w:p>
        </w:tc>
      </w:tr>
      <w:tr w:rsidR="0075791A" w14:paraId="3A4745CE" w14:textId="77777777">
        <w:trPr>
          <w:trHeight w:val="283"/>
        </w:trPr>
        <w:tc>
          <w:tcPr>
            <w:tcW w:w="1011" w:type="dxa"/>
            <w:tcBorders>
              <w:top w:val="single" w:sz="4" w:space="0" w:color="000000"/>
              <w:left w:val="single" w:sz="4" w:space="0" w:color="000000"/>
              <w:bottom w:val="single" w:sz="4" w:space="0" w:color="000000"/>
              <w:right w:val="single" w:sz="4" w:space="0" w:color="000000"/>
            </w:tcBorders>
            <w:vAlign w:val="center"/>
          </w:tcPr>
          <w:p w14:paraId="7BAAB6F5"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8</w:t>
            </w:r>
          </w:p>
        </w:tc>
        <w:tc>
          <w:tcPr>
            <w:tcW w:w="1601" w:type="dxa"/>
            <w:tcBorders>
              <w:top w:val="single" w:sz="4" w:space="0" w:color="000000"/>
              <w:left w:val="single" w:sz="4" w:space="0" w:color="000000"/>
              <w:bottom w:val="single" w:sz="4" w:space="0" w:color="000000"/>
              <w:right w:val="single" w:sz="4" w:space="0" w:color="000000"/>
            </w:tcBorders>
            <w:vAlign w:val="center"/>
          </w:tcPr>
          <w:p w14:paraId="5F39DF9F"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w:t>
            </w:r>
            <w:r>
              <w:rPr>
                <w:rFonts w:ascii="Times New Roman" w:eastAsia="Times New Roman" w:hAnsi="Times New Roman" w:cs="Times New Roman"/>
                <w:color w:val="auto"/>
                <w:sz w:val="22"/>
                <w:szCs w:val="22"/>
              </w:rPr>
              <w:t>2</w:t>
            </w:r>
          </w:p>
        </w:tc>
        <w:tc>
          <w:tcPr>
            <w:tcW w:w="1601" w:type="dxa"/>
            <w:tcBorders>
              <w:top w:val="single" w:sz="4" w:space="0" w:color="000000"/>
              <w:left w:val="single" w:sz="4" w:space="0" w:color="000000"/>
              <w:bottom w:val="single" w:sz="4" w:space="0" w:color="000000"/>
              <w:right w:val="single" w:sz="4" w:space="0" w:color="000000"/>
            </w:tcBorders>
            <w:vAlign w:val="center"/>
          </w:tcPr>
          <w:p w14:paraId="4A44B219"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31.5</w:t>
            </w:r>
            <w:r>
              <w:rPr>
                <w:rFonts w:ascii="Times New Roman" w:eastAsia="Times New Roman" w:hAnsi="Times New Roman" w:cs="Times New Roman"/>
                <w:color w:val="auto"/>
                <w:sz w:val="22"/>
                <w:szCs w:val="22"/>
              </w:rPr>
              <w:t>7</w:t>
            </w:r>
          </w:p>
        </w:tc>
        <w:tc>
          <w:tcPr>
            <w:tcW w:w="1654" w:type="dxa"/>
            <w:tcBorders>
              <w:top w:val="single" w:sz="4" w:space="0" w:color="000000"/>
              <w:left w:val="single" w:sz="4" w:space="0" w:color="000000"/>
              <w:bottom w:val="single" w:sz="4" w:space="0" w:color="000000"/>
              <w:right w:val="single" w:sz="4" w:space="0" w:color="000000"/>
            </w:tcBorders>
            <w:vAlign w:val="center"/>
          </w:tcPr>
          <w:p w14:paraId="48715308"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24.</w:t>
            </w:r>
            <w:r>
              <w:rPr>
                <w:rFonts w:ascii="Times New Roman" w:eastAsia="Times New Roman" w:hAnsi="Times New Roman" w:cs="Times New Roman"/>
                <w:color w:val="auto"/>
                <w:sz w:val="22"/>
                <w:szCs w:val="22"/>
              </w:rPr>
              <w:t>2</w:t>
            </w:r>
          </w:p>
        </w:tc>
        <w:tc>
          <w:tcPr>
            <w:tcW w:w="1548" w:type="dxa"/>
            <w:tcBorders>
              <w:top w:val="single" w:sz="4" w:space="0" w:color="000000"/>
              <w:left w:val="single" w:sz="4" w:space="0" w:color="000000"/>
              <w:bottom w:val="single" w:sz="4" w:space="0" w:color="000000"/>
              <w:right w:val="single" w:sz="4" w:space="0" w:color="000000"/>
            </w:tcBorders>
            <w:vAlign w:val="center"/>
          </w:tcPr>
          <w:p w14:paraId="3E8B2D9A"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3.7</w:t>
            </w:r>
            <w:r>
              <w:rPr>
                <w:rFonts w:ascii="Times New Roman" w:eastAsia="Times New Roman" w:hAnsi="Times New Roman" w:cs="Times New Roman"/>
                <w:color w:val="auto"/>
                <w:sz w:val="22"/>
                <w:szCs w:val="22"/>
              </w:rPr>
              <w:t>3</w:t>
            </w:r>
          </w:p>
        </w:tc>
        <w:tc>
          <w:tcPr>
            <w:tcW w:w="1600" w:type="dxa"/>
            <w:tcBorders>
              <w:top w:val="single" w:sz="4" w:space="0" w:color="000000"/>
              <w:left w:val="single" w:sz="4" w:space="0" w:color="000000"/>
              <w:bottom w:val="single" w:sz="4" w:space="0" w:color="000000"/>
              <w:right w:val="single" w:sz="4" w:space="0" w:color="000000"/>
            </w:tcBorders>
            <w:vAlign w:val="center"/>
          </w:tcPr>
          <w:p w14:paraId="7C6142A9"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0.7</w:t>
            </w:r>
            <w:r>
              <w:rPr>
                <w:rFonts w:ascii="Times New Roman" w:eastAsia="Times New Roman" w:hAnsi="Times New Roman" w:cs="Times New Roman"/>
                <w:color w:val="auto"/>
                <w:sz w:val="22"/>
                <w:szCs w:val="22"/>
              </w:rPr>
              <w:t>5</w:t>
            </w:r>
          </w:p>
        </w:tc>
      </w:tr>
      <w:tr w:rsidR="0075791A" w14:paraId="6CF2421B" w14:textId="77777777">
        <w:trPr>
          <w:trHeight w:val="283"/>
        </w:trPr>
        <w:tc>
          <w:tcPr>
            <w:tcW w:w="1011" w:type="dxa"/>
            <w:tcBorders>
              <w:top w:val="single" w:sz="4" w:space="0" w:color="000000"/>
              <w:left w:val="single" w:sz="4" w:space="0" w:color="000000"/>
              <w:bottom w:val="single" w:sz="4" w:space="0" w:color="000000"/>
              <w:right w:val="single" w:sz="4" w:space="0" w:color="000000"/>
            </w:tcBorders>
            <w:vAlign w:val="center"/>
          </w:tcPr>
          <w:p w14:paraId="5B4DC5C7"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9</w:t>
            </w:r>
          </w:p>
        </w:tc>
        <w:tc>
          <w:tcPr>
            <w:tcW w:w="1601" w:type="dxa"/>
            <w:tcBorders>
              <w:top w:val="single" w:sz="4" w:space="0" w:color="000000"/>
              <w:left w:val="single" w:sz="4" w:space="0" w:color="000000"/>
              <w:bottom w:val="single" w:sz="4" w:space="0" w:color="000000"/>
              <w:right w:val="single" w:sz="4" w:space="0" w:color="000000"/>
            </w:tcBorders>
            <w:vAlign w:val="center"/>
          </w:tcPr>
          <w:p w14:paraId="51A94A3E"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w:t>
            </w:r>
            <w:r>
              <w:rPr>
                <w:rFonts w:ascii="Times New Roman" w:eastAsia="Times New Roman" w:hAnsi="Times New Roman" w:cs="Times New Roman"/>
                <w:color w:val="auto"/>
                <w:sz w:val="22"/>
                <w:szCs w:val="22"/>
              </w:rPr>
              <w:t>6</w:t>
            </w:r>
          </w:p>
        </w:tc>
        <w:tc>
          <w:tcPr>
            <w:tcW w:w="1601" w:type="dxa"/>
            <w:tcBorders>
              <w:top w:val="single" w:sz="4" w:space="0" w:color="000000"/>
              <w:left w:val="single" w:sz="4" w:space="0" w:color="000000"/>
              <w:bottom w:val="single" w:sz="4" w:space="0" w:color="000000"/>
              <w:right w:val="single" w:sz="4" w:space="0" w:color="000000"/>
            </w:tcBorders>
            <w:vAlign w:val="center"/>
          </w:tcPr>
          <w:p w14:paraId="66921C64"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54.7</w:t>
            </w:r>
            <w:r>
              <w:rPr>
                <w:rFonts w:ascii="Times New Roman" w:eastAsia="Times New Roman" w:hAnsi="Times New Roman" w:cs="Times New Roman"/>
                <w:color w:val="auto"/>
                <w:sz w:val="22"/>
                <w:szCs w:val="22"/>
              </w:rPr>
              <w:t>9</w:t>
            </w:r>
          </w:p>
        </w:tc>
        <w:tc>
          <w:tcPr>
            <w:tcW w:w="1654" w:type="dxa"/>
            <w:tcBorders>
              <w:top w:val="single" w:sz="4" w:space="0" w:color="000000"/>
              <w:left w:val="single" w:sz="4" w:space="0" w:color="000000"/>
              <w:bottom w:val="single" w:sz="4" w:space="0" w:color="000000"/>
              <w:right w:val="single" w:sz="4" w:space="0" w:color="000000"/>
            </w:tcBorders>
            <w:vAlign w:val="center"/>
          </w:tcPr>
          <w:p w14:paraId="0E580970"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45.</w:t>
            </w:r>
            <w:r>
              <w:rPr>
                <w:rFonts w:ascii="Times New Roman" w:eastAsia="Times New Roman" w:hAnsi="Times New Roman" w:cs="Times New Roman"/>
                <w:color w:val="auto"/>
                <w:sz w:val="22"/>
                <w:szCs w:val="22"/>
              </w:rPr>
              <w:t>7</w:t>
            </w:r>
          </w:p>
        </w:tc>
        <w:tc>
          <w:tcPr>
            <w:tcW w:w="1548" w:type="dxa"/>
            <w:tcBorders>
              <w:top w:val="single" w:sz="4" w:space="0" w:color="000000"/>
              <w:left w:val="single" w:sz="4" w:space="0" w:color="000000"/>
              <w:bottom w:val="single" w:sz="4" w:space="0" w:color="000000"/>
              <w:right w:val="single" w:sz="4" w:space="0" w:color="000000"/>
            </w:tcBorders>
            <w:vAlign w:val="center"/>
          </w:tcPr>
          <w:p w14:paraId="626ED0BF"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3.7</w:t>
            </w:r>
            <w:r>
              <w:rPr>
                <w:rFonts w:ascii="Times New Roman" w:eastAsia="Times New Roman" w:hAnsi="Times New Roman" w:cs="Times New Roman"/>
                <w:color w:val="auto"/>
                <w:sz w:val="22"/>
                <w:szCs w:val="22"/>
              </w:rPr>
              <w:t>1</w:t>
            </w:r>
          </w:p>
        </w:tc>
        <w:tc>
          <w:tcPr>
            <w:tcW w:w="1600" w:type="dxa"/>
            <w:tcBorders>
              <w:top w:val="single" w:sz="4" w:space="0" w:color="000000"/>
              <w:left w:val="single" w:sz="4" w:space="0" w:color="000000"/>
              <w:bottom w:val="single" w:sz="4" w:space="0" w:color="000000"/>
              <w:right w:val="single" w:sz="4" w:space="0" w:color="000000"/>
            </w:tcBorders>
            <w:vAlign w:val="center"/>
          </w:tcPr>
          <w:p w14:paraId="504B1F07"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0.7</w:t>
            </w:r>
            <w:r>
              <w:rPr>
                <w:rFonts w:ascii="Times New Roman" w:eastAsia="Times New Roman" w:hAnsi="Times New Roman" w:cs="Times New Roman"/>
                <w:color w:val="auto"/>
                <w:sz w:val="22"/>
                <w:szCs w:val="22"/>
              </w:rPr>
              <w:t>2</w:t>
            </w:r>
          </w:p>
        </w:tc>
      </w:tr>
      <w:tr w:rsidR="0075791A" w14:paraId="29C7B912" w14:textId="77777777">
        <w:trPr>
          <w:trHeight w:val="283"/>
        </w:trPr>
        <w:tc>
          <w:tcPr>
            <w:tcW w:w="1011" w:type="dxa"/>
            <w:tcBorders>
              <w:top w:val="single" w:sz="4" w:space="0" w:color="000000"/>
              <w:left w:val="single" w:sz="4" w:space="0" w:color="000000"/>
              <w:bottom w:val="single" w:sz="4" w:space="0" w:color="000000"/>
              <w:right w:val="single" w:sz="4" w:space="0" w:color="000000"/>
            </w:tcBorders>
            <w:vAlign w:val="center"/>
          </w:tcPr>
          <w:p w14:paraId="24DEFB99"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pacing w:val="-5"/>
                <w:sz w:val="22"/>
                <w:szCs w:val="22"/>
              </w:rPr>
              <w:t>1</w:t>
            </w:r>
            <w:r>
              <w:rPr>
                <w:rFonts w:ascii="Times New Roman" w:eastAsia="Times New Roman" w:hAnsi="Times New Roman" w:cs="Times New Roman"/>
                <w:color w:val="auto"/>
                <w:sz w:val="22"/>
                <w:szCs w:val="22"/>
              </w:rPr>
              <w:t>1</w:t>
            </w:r>
          </w:p>
        </w:tc>
        <w:tc>
          <w:tcPr>
            <w:tcW w:w="1601" w:type="dxa"/>
            <w:tcBorders>
              <w:top w:val="single" w:sz="4" w:space="0" w:color="000000"/>
              <w:left w:val="single" w:sz="4" w:space="0" w:color="000000"/>
              <w:bottom w:val="single" w:sz="4" w:space="0" w:color="000000"/>
              <w:right w:val="single" w:sz="4" w:space="0" w:color="000000"/>
            </w:tcBorders>
            <w:vAlign w:val="center"/>
          </w:tcPr>
          <w:p w14:paraId="1966E4BE"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w:t>
            </w:r>
            <w:r>
              <w:rPr>
                <w:rFonts w:ascii="Times New Roman" w:eastAsia="Times New Roman" w:hAnsi="Times New Roman" w:cs="Times New Roman"/>
                <w:color w:val="auto"/>
                <w:sz w:val="22"/>
                <w:szCs w:val="22"/>
              </w:rPr>
              <w:t>8</w:t>
            </w:r>
          </w:p>
        </w:tc>
        <w:tc>
          <w:tcPr>
            <w:tcW w:w="1601" w:type="dxa"/>
            <w:tcBorders>
              <w:top w:val="single" w:sz="4" w:space="0" w:color="000000"/>
              <w:left w:val="single" w:sz="4" w:space="0" w:color="000000"/>
              <w:bottom w:val="single" w:sz="4" w:space="0" w:color="000000"/>
              <w:right w:val="single" w:sz="4" w:space="0" w:color="000000"/>
            </w:tcBorders>
            <w:vAlign w:val="center"/>
          </w:tcPr>
          <w:p w14:paraId="1B61FD6E"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65.9</w:t>
            </w:r>
            <w:r>
              <w:rPr>
                <w:rFonts w:ascii="Times New Roman" w:eastAsia="Times New Roman" w:hAnsi="Times New Roman" w:cs="Times New Roman"/>
                <w:color w:val="auto"/>
                <w:sz w:val="22"/>
                <w:szCs w:val="22"/>
              </w:rPr>
              <w:t>5</w:t>
            </w:r>
          </w:p>
        </w:tc>
        <w:tc>
          <w:tcPr>
            <w:tcW w:w="1654" w:type="dxa"/>
            <w:tcBorders>
              <w:top w:val="single" w:sz="4" w:space="0" w:color="000000"/>
              <w:left w:val="single" w:sz="4" w:space="0" w:color="000000"/>
              <w:bottom w:val="single" w:sz="4" w:space="0" w:color="000000"/>
              <w:right w:val="single" w:sz="4" w:space="0" w:color="000000"/>
            </w:tcBorders>
            <w:vAlign w:val="center"/>
          </w:tcPr>
          <w:p w14:paraId="1944257A"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40.</w:t>
            </w:r>
            <w:r>
              <w:rPr>
                <w:rFonts w:ascii="Times New Roman" w:eastAsia="Times New Roman" w:hAnsi="Times New Roman" w:cs="Times New Roman"/>
                <w:color w:val="auto"/>
                <w:sz w:val="22"/>
                <w:szCs w:val="22"/>
              </w:rPr>
              <w:t>1</w:t>
            </w:r>
          </w:p>
        </w:tc>
        <w:tc>
          <w:tcPr>
            <w:tcW w:w="1548" w:type="dxa"/>
            <w:tcBorders>
              <w:top w:val="single" w:sz="4" w:space="0" w:color="000000"/>
              <w:left w:val="single" w:sz="4" w:space="0" w:color="000000"/>
              <w:bottom w:val="single" w:sz="4" w:space="0" w:color="000000"/>
              <w:right w:val="single" w:sz="4" w:space="0" w:color="000000"/>
            </w:tcBorders>
            <w:vAlign w:val="center"/>
          </w:tcPr>
          <w:p w14:paraId="665E7BDB"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3.6</w:t>
            </w:r>
            <w:r>
              <w:rPr>
                <w:rFonts w:ascii="Times New Roman" w:eastAsia="Times New Roman" w:hAnsi="Times New Roman" w:cs="Times New Roman"/>
                <w:color w:val="auto"/>
                <w:sz w:val="22"/>
                <w:szCs w:val="22"/>
              </w:rPr>
              <w:t>3</w:t>
            </w:r>
          </w:p>
        </w:tc>
        <w:tc>
          <w:tcPr>
            <w:tcW w:w="1600" w:type="dxa"/>
            <w:tcBorders>
              <w:top w:val="single" w:sz="4" w:space="0" w:color="000000"/>
              <w:left w:val="single" w:sz="4" w:space="0" w:color="000000"/>
              <w:bottom w:val="single" w:sz="4" w:space="0" w:color="000000"/>
              <w:right w:val="single" w:sz="4" w:space="0" w:color="000000"/>
            </w:tcBorders>
            <w:vAlign w:val="center"/>
          </w:tcPr>
          <w:p w14:paraId="51C265C9" w14:textId="77777777" w:rsidR="0075791A" w:rsidRDefault="00FB2864">
            <w:pPr>
              <w:pStyle w:val="TableParagraph"/>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0.6</w:t>
            </w:r>
            <w:r>
              <w:rPr>
                <w:rFonts w:ascii="Times New Roman" w:eastAsia="Times New Roman" w:hAnsi="Times New Roman" w:cs="Times New Roman"/>
                <w:color w:val="auto"/>
                <w:sz w:val="22"/>
                <w:szCs w:val="22"/>
              </w:rPr>
              <w:t>9</w:t>
            </w:r>
          </w:p>
        </w:tc>
      </w:tr>
      <w:tr w:rsidR="0075791A" w14:paraId="142A1FD8" w14:textId="77777777">
        <w:trPr>
          <w:trHeight w:hRule="exact" w:val="470"/>
        </w:trPr>
        <w:tc>
          <w:tcPr>
            <w:tcW w:w="1011" w:type="dxa"/>
            <w:tcBorders>
              <w:top w:val="single" w:sz="4" w:space="0" w:color="000000"/>
              <w:left w:val="single" w:sz="4" w:space="0" w:color="000000"/>
              <w:bottom w:val="single" w:sz="4" w:space="0" w:color="000000"/>
              <w:right w:val="single" w:sz="4" w:space="0" w:color="000000"/>
            </w:tcBorders>
            <w:vAlign w:val="center"/>
          </w:tcPr>
          <w:p w14:paraId="6E13B457" w14:textId="77777777" w:rsidR="0075791A" w:rsidRDefault="00FB2864">
            <w:pPr>
              <w:pStyle w:val="TableParagraph"/>
              <w:ind w:left="170"/>
              <w:rPr>
                <w:rFonts w:ascii="宋体" w:eastAsia="宋体" w:hAnsi="宋体" w:cs="宋体"/>
                <w:color w:val="auto"/>
                <w:sz w:val="22"/>
                <w:szCs w:val="22"/>
              </w:rPr>
            </w:pPr>
            <w:r>
              <w:rPr>
                <w:rFonts w:ascii="宋体" w:eastAsia="宋体" w:hAnsi="宋体" w:cs="宋体"/>
                <w:color w:val="auto"/>
                <w:spacing w:val="-1"/>
                <w:sz w:val="22"/>
                <w:szCs w:val="22"/>
              </w:rPr>
              <w:t>平</w:t>
            </w:r>
            <w:r>
              <w:rPr>
                <w:rFonts w:ascii="宋体" w:eastAsia="宋体" w:hAnsi="宋体" w:cs="宋体"/>
                <w:color w:val="auto"/>
                <w:spacing w:val="-3"/>
                <w:sz w:val="22"/>
                <w:szCs w:val="22"/>
              </w:rPr>
              <w:t>均</w:t>
            </w:r>
            <w:r>
              <w:rPr>
                <w:rFonts w:ascii="宋体" w:eastAsia="宋体" w:hAnsi="宋体" w:cs="宋体"/>
                <w:color w:val="auto"/>
                <w:sz w:val="22"/>
                <w:szCs w:val="22"/>
              </w:rPr>
              <w:t>值</w:t>
            </w:r>
          </w:p>
        </w:tc>
        <w:tc>
          <w:tcPr>
            <w:tcW w:w="1601" w:type="dxa"/>
            <w:tcBorders>
              <w:top w:val="single" w:sz="4" w:space="0" w:color="000000"/>
              <w:left w:val="single" w:sz="4" w:space="0" w:color="000000"/>
              <w:bottom w:val="single" w:sz="4" w:space="0" w:color="000000"/>
              <w:right w:val="single" w:sz="4" w:space="0" w:color="000000"/>
            </w:tcBorders>
            <w:vAlign w:val="center"/>
          </w:tcPr>
          <w:p w14:paraId="04FA4E6B" w14:textId="77777777" w:rsidR="0075791A" w:rsidRDefault="00FB2864">
            <w:pPr>
              <w:pStyle w:val="TableParagraph"/>
              <w:ind w:left="667" w:right="666"/>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2</w:t>
            </w:r>
            <w:r>
              <w:rPr>
                <w:rFonts w:ascii="Times New Roman" w:eastAsia="Times New Roman" w:hAnsi="Times New Roman" w:cs="Times New Roman"/>
                <w:color w:val="auto"/>
                <w:sz w:val="22"/>
                <w:szCs w:val="22"/>
              </w:rPr>
              <w:t>9</w:t>
            </w:r>
          </w:p>
        </w:tc>
        <w:tc>
          <w:tcPr>
            <w:tcW w:w="1601" w:type="dxa"/>
            <w:tcBorders>
              <w:top w:val="single" w:sz="4" w:space="0" w:color="000000"/>
              <w:left w:val="single" w:sz="4" w:space="0" w:color="000000"/>
              <w:bottom w:val="single" w:sz="4" w:space="0" w:color="000000"/>
              <w:right w:val="single" w:sz="4" w:space="0" w:color="000000"/>
            </w:tcBorders>
            <w:vAlign w:val="center"/>
          </w:tcPr>
          <w:p w14:paraId="119F0610" w14:textId="77777777" w:rsidR="0075791A" w:rsidRDefault="00FB2864">
            <w:pPr>
              <w:pStyle w:val="TableParagraph"/>
              <w:ind w:left="532" w:right="529"/>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36.9</w:t>
            </w:r>
            <w:r>
              <w:rPr>
                <w:rFonts w:ascii="Times New Roman" w:eastAsia="Times New Roman" w:hAnsi="Times New Roman" w:cs="Times New Roman"/>
                <w:color w:val="auto"/>
                <w:sz w:val="22"/>
                <w:szCs w:val="22"/>
              </w:rPr>
              <w:t>1</w:t>
            </w:r>
          </w:p>
        </w:tc>
        <w:tc>
          <w:tcPr>
            <w:tcW w:w="1654" w:type="dxa"/>
            <w:tcBorders>
              <w:top w:val="single" w:sz="4" w:space="0" w:color="000000"/>
              <w:left w:val="single" w:sz="4" w:space="0" w:color="000000"/>
              <w:bottom w:val="single" w:sz="4" w:space="0" w:color="000000"/>
              <w:right w:val="single" w:sz="4" w:space="0" w:color="000000"/>
            </w:tcBorders>
            <w:vAlign w:val="center"/>
          </w:tcPr>
          <w:p w14:paraId="1CB84737" w14:textId="77777777" w:rsidR="0075791A" w:rsidRDefault="00FB2864">
            <w:pPr>
              <w:pStyle w:val="TableParagraph"/>
              <w:ind w:left="586" w:right="584"/>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34.</w:t>
            </w:r>
            <w:r>
              <w:rPr>
                <w:rFonts w:ascii="Times New Roman" w:eastAsia="Times New Roman" w:hAnsi="Times New Roman" w:cs="Times New Roman"/>
                <w:color w:val="auto"/>
                <w:sz w:val="22"/>
                <w:szCs w:val="22"/>
              </w:rPr>
              <w:t>5</w:t>
            </w:r>
          </w:p>
        </w:tc>
        <w:tc>
          <w:tcPr>
            <w:tcW w:w="1548" w:type="dxa"/>
            <w:tcBorders>
              <w:top w:val="single" w:sz="4" w:space="0" w:color="000000"/>
              <w:left w:val="single" w:sz="4" w:space="0" w:color="000000"/>
              <w:bottom w:val="single" w:sz="4" w:space="0" w:color="000000"/>
              <w:right w:val="single" w:sz="4" w:space="0" w:color="000000"/>
            </w:tcBorders>
            <w:vAlign w:val="center"/>
          </w:tcPr>
          <w:p w14:paraId="6490D3AF" w14:textId="77777777" w:rsidR="0075791A" w:rsidRDefault="00FB2864">
            <w:pPr>
              <w:pStyle w:val="TableParagraph"/>
              <w:ind w:left="586" w:right="584"/>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3.6</w:t>
            </w:r>
            <w:r>
              <w:rPr>
                <w:rFonts w:ascii="Times New Roman" w:eastAsia="Times New Roman" w:hAnsi="Times New Roman" w:cs="Times New Roman"/>
                <w:color w:val="auto"/>
                <w:sz w:val="22"/>
                <w:szCs w:val="22"/>
              </w:rPr>
              <w:t>5</w:t>
            </w:r>
          </w:p>
        </w:tc>
        <w:tc>
          <w:tcPr>
            <w:tcW w:w="1600" w:type="dxa"/>
            <w:tcBorders>
              <w:top w:val="single" w:sz="4" w:space="0" w:color="000000"/>
              <w:left w:val="single" w:sz="4" w:space="0" w:color="000000"/>
              <w:bottom w:val="single" w:sz="4" w:space="0" w:color="000000"/>
              <w:right w:val="single" w:sz="4" w:space="0" w:color="000000"/>
            </w:tcBorders>
            <w:vAlign w:val="center"/>
          </w:tcPr>
          <w:p w14:paraId="2315BE16" w14:textId="77777777" w:rsidR="0075791A" w:rsidRDefault="00FB2864">
            <w:pPr>
              <w:pStyle w:val="TableParagraph"/>
              <w:ind w:left="585" w:right="583"/>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0.7</w:t>
            </w:r>
            <w:r>
              <w:rPr>
                <w:rFonts w:ascii="Times New Roman" w:eastAsia="Times New Roman" w:hAnsi="Times New Roman" w:cs="Times New Roman"/>
                <w:color w:val="auto"/>
                <w:sz w:val="22"/>
                <w:szCs w:val="22"/>
              </w:rPr>
              <w:t>7</w:t>
            </w:r>
          </w:p>
        </w:tc>
      </w:tr>
    </w:tbl>
    <w:p w14:paraId="2F1470BF" w14:textId="77777777" w:rsidR="0075791A" w:rsidRDefault="0075791A">
      <w:pPr>
        <w:kinsoku/>
        <w:adjustRightInd/>
        <w:snapToGrid/>
        <w:ind w:firstLineChars="200" w:firstLine="480"/>
        <w:jc w:val="both"/>
        <w:textAlignment w:val="auto"/>
        <w:rPr>
          <w:rFonts w:ascii="宋体" w:eastAsia="宋体" w:hAnsi="宋体"/>
          <w:color w:val="auto"/>
          <w:sz w:val="24"/>
          <w:szCs w:val="24"/>
        </w:rPr>
      </w:pPr>
    </w:p>
    <w:p w14:paraId="3E36099B"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）底栖生物</w:t>
      </w:r>
    </w:p>
    <w:p w14:paraId="3A1B5E51"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月航次，调查海域共采集到大型底栖生物</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类</w:t>
      </w:r>
      <w:r>
        <w:rPr>
          <w:rFonts w:ascii="Times New Roman" w:eastAsia="宋体" w:hAnsi="Times New Roman" w:cs="Times New Roman" w:hint="eastAsia"/>
          <w:snapToGrid/>
          <w:color w:val="auto"/>
          <w:kern w:val="2"/>
          <w:sz w:val="24"/>
          <w:szCs w:val="24"/>
          <w:lang w:eastAsia="zh-CN"/>
        </w:rPr>
        <w:t>42</w:t>
      </w:r>
      <w:r>
        <w:rPr>
          <w:rFonts w:ascii="Times New Roman" w:eastAsia="宋体" w:hAnsi="Times New Roman" w:cs="Times New Roman" w:hint="eastAsia"/>
          <w:snapToGrid/>
          <w:color w:val="auto"/>
          <w:kern w:val="2"/>
          <w:sz w:val="24"/>
          <w:szCs w:val="24"/>
          <w:lang w:eastAsia="zh-CN"/>
        </w:rPr>
        <w:t>种（种类名录见附录），其中甲壳类</w:t>
      </w:r>
      <w:r>
        <w:rPr>
          <w:rFonts w:ascii="Times New Roman" w:eastAsia="宋体" w:hAnsi="Times New Roman" w:cs="Times New Roman" w:hint="eastAsia"/>
          <w:snapToGrid/>
          <w:color w:val="auto"/>
          <w:kern w:val="2"/>
          <w:sz w:val="24"/>
          <w:szCs w:val="24"/>
          <w:lang w:eastAsia="zh-CN"/>
        </w:rPr>
        <w:t>20</w:t>
      </w:r>
      <w:r>
        <w:rPr>
          <w:rFonts w:ascii="Times New Roman" w:eastAsia="宋体" w:hAnsi="Times New Roman" w:cs="Times New Roman" w:hint="eastAsia"/>
          <w:snapToGrid/>
          <w:color w:val="auto"/>
          <w:kern w:val="2"/>
          <w:sz w:val="24"/>
          <w:szCs w:val="24"/>
          <w:lang w:eastAsia="zh-CN"/>
        </w:rPr>
        <w:t>种，多毛类</w:t>
      </w:r>
      <w:r>
        <w:rPr>
          <w:rFonts w:ascii="Times New Roman" w:eastAsia="宋体" w:hAnsi="Times New Roman" w:cs="Times New Roman" w:hint="eastAsia"/>
          <w:snapToGrid/>
          <w:color w:val="auto"/>
          <w:kern w:val="2"/>
          <w:sz w:val="24"/>
          <w:szCs w:val="24"/>
          <w:lang w:eastAsia="zh-CN"/>
        </w:rPr>
        <w:t>19</w:t>
      </w:r>
      <w:r>
        <w:rPr>
          <w:rFonts w:ascii="Times New Roman" w:eastAsia="宋体" w:hAnsi="Times New Roman" w:cs="Times New Roman" w:hint="eastAsia"/>
          <w:snapToGrid/>
          <w:color w:val="auto"/>
          <w:kern w:val="2"/>
          <w:sz w:val="24"/>
          <w:szCs w:val="24"/>
          <w:lang w:eastAsia="zh-CN"/>
        </w:rPr>
        <w:t>种，棘皮类</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种，软体类</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种，其他类</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种。</w:t>
      </w:r>
      <w:r>
        <w:rPr>
          <w:rFonts w:ascii="Times New Roman" w:eastAsia="宋体" w:hAnsi="Times New Roman" w:cs="Times New Roman" w:hint="eastAsia"/>
          <w:snapToGrid/>
          <w:color w:val="auto"/>
          <w:kern w:val="2"/>
          <w:sz w:val="24"/>
          <w:szCs w:val="24"/>
          <w:lang w:eastAsia="zh-CN"/>
        </w:rPr>
        <w:t>H5</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H6</w:t>
      </w:r>
      <w:r>
        <w:rPr>
          <w:rFonts w:ascii="Times New Roman" w:eastAsia="宋体" w:hAnsi="Times New Roman" w:cs="Times New Roman" w:hint="eastAsia"/>
          <w:snapToGrid/>
          <w:color w:val="auto"/>
          <w:kern w:val="2"/>
          <w:sz w:val="24"/>
          <w:szCs w:val="24"/>
          <w:lang w:eastAsia="zh-CN"/>
        </w:rPr>
        <w:t>号站位采集到的种数最多，分别为</w:t>
      </w:r>
      <w:r>
        <w:rPr>
          <w:rFonts w:ascii="Times New Roman" w:eastAsia="宋体" w:hAnsi="Times New Roman" w:cs="Times New Roman" w:hint="eastAsia"/>
          <w:snapToGrid/>
          <w:color w:val="auto"/>
          <w:kern w:val="2"/>
          <w:sz w:val="24"/>
          <w:szCs w:val="24"/>
          <w:lang w:eastAsia="zh-CN"/>
        </w:rPr>
        <w:t>12</w:t>
      </w:r>
      <w:r>
        <w:rPr>
          <w:rFonts w:ascii="Times New Roman" w:eastAsia="宋体" w:hAnsi="Times New Roman" w:cs="Times New Roman" w:hint="eastAsia"/>
          <w:snapToGrid/>
          <w:color w:val="auto"/>
          <w:kern w:val="2"/>
          <w:sz w:val="24"/>
          <w:szCs w:val="24"/>
          <w:lang w:eastAsia="zh-CN"/>
        </w:rPr>
        <w:t>种，其次为</w:t>
      </w:r>
      <w:r>
        <w:rPr>
          <w:rFonts w:ascii="Times New Roman" w:eastAsia="宋体" w:hAnsi="Times New Roman" w:cs="Times New Roman" w:hint="eastAsia"/>
          <w:snapToGrid/>
          <w:color w:val="auto"/>
          <w:kern w:val="2"/>
          <w:sz w:val="24"/>
          <w:szCs w:val="24"/>
          <w:lang w:eastAsia="zh-CN"/>
        </w:rPr>
        <w:t>H7</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号站位，分别采集到</w:t>
      </w:r>
      <w:r>
        <w:rPr>
          <w:rFonts w:ascii="Times New Roman" w:eastAsia="宋体" w:hAnsi="Times New Roman" w:cs="Times New Roman" w:hint="eastAsia"/>
          <w:snapToGrid/>
          <w:color w:val="auto"/>
          <w:kern w:val="2"/>
          <w:sz w:val="24"/>
          <w:szCs w:val="24"/>
          <w:lang w:eastAsia="zh-CN"/>
        </w:rPr>
        <w:t>11</w:t>
      </w:r>
      <w:r>
        <w:rPr>
          <w:rFonts w:ascii="Times New Roman" w:eastAsia="宋体" w:hAnsi="Times New Roman" w:cs="Times New Roman" w:hint="eastAsia"/>
          <w:snapToGrid/>
          <w:color w:val="auto"/>
          <w:kern w:val="2"/>
          <w:sz w:val="24"/>
          <w:szCs w:val="24"/>
          <w:lang w:eastAsia="zh-CN"/>
        </w:rPr>
        <w:t>种，各站位采集到的大型底栖动物以多毛类、甲壳类为主（详见</w:t>
      </w:r>
      <w:r>
        <w:rPr>
          <w:rFonts w:ascii="宋体" w:eastAsia="宋体" w:hAnsi="宋体" w:cs="宋体" w:hint="eastAsia"/>
          <w:color w:val="auto"/>
          <w:sz w:val="24"/>
          <w:szCs w:val="24"/>
          <w:lang w:eastAsia="zh-CN"/>
        </w:rPr>
        <w:t>表</w:t>
      </w:r>
      <w:r>
        <w:rPr>
          <w:rFonts w:ascii="Times New Roman" w:eastAsia="宋体" w:hAnsi="Times New Roman" w:cs="Times New Roman" w:hint="eastAsia"/>
          <w:snapToGrid/>
          <w:color w:val="auto"/>
          <w:kern w:val="2"/>
          <w:sz w:val="24"/>
          <w:szCs w:val="24"/>
          <w:lang w:eastAsia="zh-CN"/>
        </w:rPr>
        <w:t>3.2.6-24</w:t>
      </w:r>
      <w:r>
        <w:rPr>
          <w:rFonts w:ascii="Times New Roman" w:eastAsia="宋体" w:hAnsi="Times New Roman" w:cs="Times New Roman" w:hint="eastAsia"/>
          <w:snapToGrid/>
          <w:color w:val="auto"/>
          <w:kern w:val="2"/>
          <w:sz w:val="24"/>
          <w:szCs w:val="24"/>
          <w:lang w:eastAsia="zh-CN"/>
        </w:rPr>
        <w:t>）。</w:t>
      </w:r>
    </w:p>
    <w:p w14:paraId="46FE2F8E" w14:textId="77777777" w:rsidR="0075791A" w:rsidRDefault="00FB2864">
      <w:pPr>
        <w:kinsoku/>
        <w:adjustRightInd/>
        <w:snapToGrid/>
        <w:jc w:val="center"/>
        <w:textAlignment w:val="auto"/>
        <w:rPr>
          <w:rFonts w:ascii="Times New Roman" w:eastAsia="宋体" w:hAnsi="Times New Roman" w:cs="Times New Roman"/>
          <w:snapToGrid/>
          <w:color w:val="auto"/>
          <w:kern w:val="2"/>
          <w:sz w:val="24"/>
          <w:szCs w:val="24"/>
          <w:lang w:eastAsia="zh-CN"/>
        </w:rPr>
      </w:pPr>
      <w:r>
        <w:rPr>
          <w:rFonts w:ascii="宋体" w:eastAsia="宋体" w:hAnsi="宋体" w:cs="宋体" w:hint="eastAsia"/>
          <w:color w:val="auto"/>
          <w:sz w:val="24"/>
          <w:szCs w:val="24"/>
          <w:lang w:eastAsia="zh-CN"/>
        </w:rPr>
        <w:lastRenderedPageBreak/>
        <w:t>表</w:t>
      </w:r>
      <w:r>
        <w:rPr>
          <w:rFonts w:ascii="Times New Roman" w:eastAsia="宋体" w:hAnsi="Times New Roman" w:cs="Times New Roman" w:hint="eastAsia"/>
          <w:snapToGrid/>
          <w:color w:val="auto"/>
          <w:kern w:val="2"/>
          <w:sz w:val="24"/>
          <w:szCs w:val="24"/>
          <w:lang w:eastAsia="zh-CN"/>
        </w:rPr>
        <w:t>3.2.6-24</w:t>
      </w:r>
      <w:r>
        <w:rPr>
          <w:rFonts w:ascii="Times New Roman" w:eastAsia="宋体" w:hAnsi="Times New Roman" w:cs="Times New Roman" w:hint="eastAsia"/>
          <w:snapToGrid/>
          <w:color w:val="auto"/>
          <w:kern w:val="2"/>
          <w:sz w:val="24"/>
          <w:szCs w:val="24"/>
          <w:lang w:eastAsia="zh-CN"/>
        </w:rPr>
        <w:tab/>
        <w:t xml:space="preserve">2024 </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 xml:space="preserve"> 9</w:t>
      </w:r>
      <w:r>
        <w:rPr>
          <w:rFonts w:ascii="Times New Roman" w:eastAsia="宋体" w:hAnsi="Times New Roman" w:cs="Times New Roman" w:hint="eastAsia"/>
          <w:snapToGrid/>
          <w:color w:val="auto"/>
          <w:kern w:val="2"/>
          <w:sz w:val="24"/>
          <w:szCs w:val="24"/>
          <w:lang w:eastAsia="zh-CN"/>
        </w:rPr>
        <w:t>月航次各站位大型底栖生物种类数</w:t>
      </w:r>
    </w:p>
    <w:tbl>
      <w:tblPr>
        <w:tblpPr w:leftFromText="180" w:rightFromText="180" w:vertAnchor="text" w:horzAnchor="page" w:tblpX="1419" w:tblpY="40"/>
        <w:tblOverlap w:val="never"/>
        <w:tblW w:w="0" w:type="auto"/>
        <w:tblLayout w:type="fixed"/>
        <w:tblCellMar>
          <w:left w:w="0" w:type="dxa"/>
          <w:right w:w="0" w:type="dxa"/>
        </w:tblCellMar>
        <w:tblLook w:val="04A0" w:firstRow="1" w:lastRow="0" w:firstColumn="1" w:lastColumn="0" w:noHBand="0" w:noVBand="1"/>
      </w:tblPr>
      <w:tblGrid>
        <w:gridCol w:w="862"/>
        <w:gridCol w:w="1361"/>
        <w:gridCol w:w="1359"/>
        <w:gridCol w:w="1359"/>
        <w:gridCol w:w="1359"/>
        <w:gridCol w:w="1358"/>
        <w:gridCol w:w="1357"/>
      </w:tblGrid>
      <w:tr w:rsidR="0075791A" w14:paraId="78545CF6" w14:textId="77777777">
        <w:trPr>
          <w:trHeight w:hRule="exact" w:val="340"/>
        </w:trPr>
        <w:tc>
          <w:tcPr>
            <w:tcW w:w="862" w:type="dxa"/>
            <w:tcBorders>
              <w:top w:val="single" w:sz="4" w:space="0" w:color="000000"/>
              <w:left w:val="single" w:sz="4" w:space="0" w:color="000000"/>
              <w:bottom w:val="single" w:sz="4" w:space="0" w:color="000000"/>
              <w:right w:val="single" w:sz="4" w:space="0" w:color="000000"/>
            </w:tcBorders>
            <w:vAlign w:val="center"/>
          </w:tcPr>
          <w:p w14:paraId="2073242B" w14:textId="77777777" w:rsidR="0075791A" w:rsidRDefault="00FB2864">
            <w:pPr>
              <w:pStyle w:val="TableParagraph"/>
              <w:ind w:left="215"/>
              <w:jc w:val="center"/>
              <w:rPr>
                <w:rFonts w:ascii="宋体" w:eastAsia="宋体" w:hAnsi="宋体" w:cs="宋体"/>
                <w:color w:val="auto"/>
              </w:rPr>
            </w:pPr>
            <w:r>
              <w:rPr>
                <w:rFonts w:ascii="宋体" w:eastAsia="宋体" w:hAnsi="宋体" w:cs="宋体"/>
                <w:color w:val="auto"/>
                <w:spacing w:val="-1"/>
              </w:rPr>
              <w:t>站</w:t>
            </w:r>
            <w:r>
              <w:rPr>
                <w:rFonts w:ascii="宋体" w:eastAsia="宋体" w:hAnsi="宋体" w:cs="宋体"/>
                <w:color w:val="auto"/>
              </w:rPr>
              <w:t>号</w:t>
            </w:r>
          </w:p>
        </w:tc>
        <w:tc>
          <w:tcPr>
            <w:tcW w:w="1361" w:type="dxa"/>
            <w:tcBorders>
              <w:top w:val="single" w:sz="4" w:space="0" w:color="000000"/>
              <w:left w:val="single" w:sz="4" w:space="0" w:color="000000"/>
              <w:bottom w:val="single" w:sz="4" w:space="0" w:color="000000"/>
              <w:right w:val="single" w:sz="4" w:space="0" w:color="000000"/>
            </w:tcBorders>
            <w:vAlign w:val="center"/>
          </w:tcPr>
          <w:p w14:paraId="7C3F4754" w14:textId="77777777" w:rsidR="0075791A" w:rsidRDefault="00FB2864">
            <w:pPr>
              <w:pStyle w:val="TableParagraph"/>
              <w:ind w:left="359"/>
              <w:jc w:val="center"/>
              <w:rPr>
                <w:rFonts w:ascii="宋体" w:eastAsia="宋体" w:hAnsi="宋体" w:cs="宋体"/>
                <w:color w:val="auto"/>
              </w:rPr>
            </w:pPr>
            <w:r>
              <w:rPr>
                <w:rFonts w:ascii="宋体" w:eastAsia="宋体" w:hAnsi="宋体" w:cs="宋体"/>
                <w:color w:val="auto"/>
                <w:spacing w:val="-1"/>
              </w:rPr>
              <w:t>多</w:t>
            </w:r>
            <w:r>
              <w:rPr>
                <w:rFonts w:ascii="宋体" w:eastAsia="宋体" w:hAnsi="宋体" w:cs="宋体"/>
                <w:color w:val="auto"/>
                <w:spacing w:val="2"/>
              </w:rPr>
              <w:t>毛</w:t>
            </w:r>
            <w:r>
              <w:rPr>
                <w:rFonts w:ascii="宋体" w:eastAsia="宋体" w:hAnsi="宋体" w:cs="宋体"/>
                <w:color w:val="auto"/>
              </w:rPr>
              <w:t>类</w:t>
            </w:r>
          </w:p>
        </w:tc>
        <w:tc>
          <w:tcPr>
            <w:tcW w:w="1359" w:type="dxa"/>
            <w:tcBorders>
              <w:top w:val="single" w:sz="4" w:space="0" w:color="000000"/>
              <w:left w:val="single" w:sz="4" w:space="0" w:color="000000"/>
              <w:bottom w:val="single" w:sz="4" w:space="0" w:color="000000"/>
              <w:right w:val="single" w:sz="4" w:space="0" w:color="000000"/>
            </w:tcBorders>
            <w:vAlign w:val="center"/>
          </w:tcPr>
          <w:p w14:paraId="22A06D2F" w14:textId="77777777" w:rsidR="0075791A" w:rsidRDefault="00FB2864">
            <w:pPr>
              <w:pStyle w:val="TableParagraph"/>
              <w:ind w:left="359"/>
              <w:jc w:val="center"/>
              <w:rPr>
                <w:rFonts w:ascii="宋体" w:eastAsia="宋体" w:hAnsi="宋体" w:cs="宋体"/>
                <w:color w:val="auto"/>
              </w:rPr>
            </w:pPr>
            <w:r>
              <w:rPr>
                <w:rFonts w:ascii="宋体" w:eastAsia="宋体" w:hAnsi="宋体" w:cs="宋体"/>
                <w:color w:val="auto"/>
                <w:spacing w:val="-1"/>
              </w:rPr>
              <w:t>甲</w:t>
            </w:r>
            <w:r>
              <w:rPr>
                <w:rFonts w:ascii="宋体" w:eastAsia="宋体" w:hAnsi="宋体" w:cs="宋体"/>
                <w:color w:val="auto"/>
                <w:spacing w:val="2"/>
              </w:rPr>
              <w:t>壳</w:t>
            </w:r>
            <w:r>
              <w:rPr>
                <w:rFonts w:ascii="宋体" w:eastAsia="宋体" w:hAnsi="宋体" w:cs="宋体"/>
                <w:color w:val="auto"/>
              </w:rPr>
              <w:t>类</w:t>
            </w:r>
          </w:p>
        </w:tc>
        <w:tc>
          <w:tcPr>
            <w:tcW w:w="1359" w:type="dxa"/>
            <w:tcBorders>
              <w:top w:val="single" w:sz="4" w:space="0" w:color="000000"/>
              <w:left w:val="single" w:sz="4" w:space="0" w:color="000000"/>
              <w:bottom w:val="single" w:sz="4" w:space="0" w:color="000000"/>
              <w:right w:val="single" w:sz="4" w:space="0" w:color="000000"/>
            </w:tcBorders>
            <w:vAlign w:val="center"/>
          </w:tcPr>
          <w:p w14:paraId="7F896DBA" w14:textId="77777777" w:rsidR="0075791A" w:rsidRDefault="00FB2864">
            <w:pPr>
              <w:pStyle w:val="TableParagraph"/>
              <w:ind w:left="358"/>
              <w:jc w:val="center"/>
              <w:rPr>
                <w:rFonts w:ascii="宋体" w:eastAsia="宋体" w:hAnsi="宋体" w:cs="宋体"/>
                <w:color w:val="auto"/>
              </w:rPr>
            </w:pPr>
            <w:r>
              <w:rPr>
                <w:rFonts w:ascii="宋体" w:eastAsia="宋体" w:hAnsi="宋体" w:cs="宋体"/>
                <w:color w:val="auto"/>
                <w:spacing w:val="-1"/>
              </w:rPr>
              <w:t>棘</w:t>
            </w:r>
            <w:r>
              <w:rPr>
                <w:rFonts w:ascii="宋体" w:eastAsia="宋体" w:hAnsi="宋体" w:cs="宋体"/>
                <w:color w:val="auto"/>
                <w:spacing w:val="2"/>
              </w:rPr>
              <w:t>皮</w:t>
            </w:r>
            <w:r>
              <w:rPr>
                <w:rFonts w:ascii="宋体" w:eastAsia="宋体" w:hAnsi="宋体" w:cs="宋体"/>
                <w:color w:val="auto"/>
              </w:rPr>
              <w:t>类</w:t>
            </w:r>
          </w:p>
        </w:tc>
        <w:tc>
          <w:tcPr>
            <w:tcW w:w="1359" w:type="dxa"/>
            <w:tcBorders>
              <w:top w:val="single" w:sz="4" w:space="0" w:color="000000"/>
              <w:left w:val="single" w:sz="4" w:space="0" w:color="000000"/>
              <w:bottom w:val="single" w:sz="4" w:space="0" w:color="000000"/>
              <w:right w:val="single" w:sz="4" w:space="0" w:color="000000"/>
            </w:tcBorders>
            <w:vAlign w:val="center"/>
          </w:tcPr>
          <w:p w14:paraId="5643679D" w14:textId="77777777" w:rsidR="0075791A" w:rsidRDefault="00FB2864">
            <w:pPr>
              <w:pStyle w:val="TableParagraph"/>
              <w:ind w:left="358"/>
              <w:jc w:val="center"/>
              <w:rPr>
                <w:rFonts w:ascii="宋体" w:eastAsia="宋体" w:hAnsi="宋体" w:cs="宋体"/>
                <w:color w:val="auto"/>
              </w:rPr>
            </w:pPr>
            <w:r>
              <w:rPr>
                <w:rFonts w:ascii="宋体" w:eastAsia="宋体" w:hAnsi="宋体" w:cs="宋体"/>
                <w:color w:val="auto"/>
                <w:spacing w:val="-1"/>
              </w:rPr>
              <w:t>软</w:t>
            </w:r>
            <w:r>
              <w:rPr>
                <w:rFonts w:ascii="宋体" w:eastAsia="宋体" w:hAnsi="宋体" w:cs="宋体"/>
                <w:color w:val="auto"/>
                <w:spacing w:val="2"/>
              </w:rPr>
              <w:t>体</w:t>
            </w:r>
            <w:r>
              <w:rPr>
                <w:rFonts w:ascii="宋体" w:eastAsia="宋体" w:hAnsi="宋体" w:cs="宋体"/>
                <w:color w:val="auto"/>
              </w:rPr>
              <w:t>类</w:t>
            </w:r>
          </w:p>
        </w:tc>
        <w:tc>
          <w:tcPr>
            <w:tcW w:w="1358" w:type="dxa"/>
            <w:tcBorders>
              <w:top w:val="single" w:sz="4" w:space="0" w:color="000000"/>
              <w:left w:val="single" w:sz="4" w:space="0" w:color="000000"/>
              <w:bottom w:val="single" w:sz="4" w:space="0" w:color="000000"/>
              <w:right w:val="single" w:sz="4" w:space="0" w:color="000000"/>
            </w:tcBorders>
            <w:vAlign w:val="center"/>
          </w:tcPr>
          <w:p w14:paraId="72EAD35D" w14:textId="77777777" w:rsidR="0075791A" w:rsidRDefault="00FB2864">
            <w:pPr>
              <w:pStyle w:val="TableParagraph"/>
              <w:ind w:left="359"/>
              <w:jc w:val="center"/>
              <w:rPr>
                <w:rFonts w:ascii="宋体" w:eastAsia="宋体" w:hAnsi="宋体" w:cs="宋体"/>
                <w:color w:val="auto"/>
              </w:rPr>
            </w:pPr>
            <w:r>
              <w:rPr>
                <w:rFonts w:ascii="宋体" w:eastAsia="宋体" w:hAnsi="宋体" w:cs="宋体"/>
                <w:color w:val="auto"/>
                <w:spacing w:val="-1"/>
              </w:rPr>
              <w:t>其</w:t>
            </w:r>
            <w:r>
              <w:rPr>
                <w:rFonts w:ascii="宋体" w:eastAsia="宋体" w:hAnsi="宋体" w:cs="宋体"/>
                <w:color w:val="auto"/>
                <w:spacing w:val="2"/>
              </w:rPr>
              <w:t>他</w:t>
            </w:r>
            <w:r>
              <w:rPr>
                <w:rFonts w:ascii="宋体" w:eastAsia="宋体" w:hAnsi="宋体" w:cs="宋体"/>
                <w:color w:val="auto"/>
              </w:rPr>
              <w:t>类</w:t>
            </w:r>
          </w:p>
        </w:tc>
        <w:tc>
          <w:tcPr>
            <w:tcW w:w="1357" w:type="dxa"/>
            <w:tcBorders>
              <w:top w:val="single" w:sz="4" w:space="0" w:color="000000"/>
              <w:left w:val="single" w:sz="4" w:space="0" w:color="000000"/>
              <w:bottom w:val="single" w:sz="4" w:space="0" w:color="000000"/>
              <w:right w:val="single" w:sz="4" w:space="0" w:color="000000"/>
            </w:tcBorders>
            <w:vAlign w:val="center"/>
          </w:tcPr>
          <w:p w14:paraId="35BB951D" w14:textId="77777777" w:rsidR="0075791A" w:rsidRDefault="00FB2864">
            <w:pPr>
              <w:pStyle w:val="TableParagraph"/>
              <w:ind w:right="2"/>
              <w:jc w:val="center"/>
              <w:rPr>
                <w:rFonts w:ascii="宋体" w:eastAsia="宋体" w:hAnsi="宋体" w:cs="宋体"/>
                <w:color w:val="auto"/>
              </w:rPr>
            </w:pPr>
            <w:r>
              <w:rPr>
                <w:rFonts w:ascii="宋体" w:eastAsia="宋体" w:hAnsi="宋体" w:cs="宋体"/>
                <w:color w:val="auto"/>
                <w:spacing w:val="-1"/>
              </w:rPr>
              <w:t>合</w:t>
            </w:r>
            <w:r>
              <w:rPr>
                <w:rFonts w:ascii="宋体" w:eastAsia="宋体" w:hAnsi="宋体" w:cs="宋体"/>
                <w:color w:val="auto"/>
              </w:rPr>
              <w:t>计</w:t>
            </w:r>
          </w:p>
        </w:tc>
      </w:tr>
      <w:tr w:rsidR="0075791A" w14:paraId="05B4EA70" w14:textId="77777777">
        <w:trPr>
          <w:trHeight w:hRule="exact" w:val="340"/>
        </w:trPr>
        <w:tc>
          <w:tcPr>
            <w:tcW w:w="862" w:type="dxa"/>
            <w:tcBorders>
              <w:top w:val="single" w:sz="4" w:space="0" w:color="000000"/>
              <w:left w:val="single" w:sz="4" w:space="0" w:color="000000"/>
              <w:bottom w:val="single" w:sz="4" w:space="0" w:color="000000"/>
              <w:right w:val="single" w:sz="4" w:space="0" w:color="000000"/>
            </w:tcBorders>
            <w:vAlign w:val="center"/>
          </w:tcPr>
          <w:p w14:paraId="577F4AFE" w14:textId="77777777" w:rsidR="0075791A" w:rsidRDefault="00FB2864">
            <w:pPr>
              <w:pStyle w:val="TableParagraph"/>
              <w:ind w:left="272" w:right="275"/>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2</w:t>
            </w:r>
          </w:p>
        </w:tc>
        <w:tc>
          <w:tcPr>
            <w:tcW w:w="1361" w:type="dxa"/>
            <w:tcBorders>
              <w:top w:val="single" w:sz="4" w:space="0" w:color="000000"/>
              <w:left w:val="single" w:sz="4" w:space="0" w:color="000000"/>
              <w:bottom w:val="single" w:sz="4" w:space="0" w:color="000000"/>
              <w:right w:val="single" w:sz="4" w:space="0" w:color="000000"/>
            </w:tcBorders>
            <w:vAlign w:val="center"/>
          </w:tcPr>
          <w:p w14:paraId="496CD567" w14:textId="77777777" w:rsidR="0075791A" w:rsidRDefault="00FB2864">
            <w:pPr>
              <w:pStyle w:val="TableParagraph"/>
              <w:ind w:left="547" w:right="546"/>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2</w:t>
            </w:r>
          </w:p>
        </w:tc>
        <w:tc>
          <w:tcPr>
            <w:tcW w:w="1359" w:type="dxa"/>
            <w:tcBorders>
              <w:top w:val="single" w:sz="4" w:space="0" w:color="000000"/>
              <w:left w:val="single" w:sz="4" w:space="0" w:color="000000"/>
              <w:bottom w:val="single" w:sz="4" w:space="0" w:color="000000"/>
              <w:right w:val="single" w:sz="4" w:space="0" w:color="000000"/>
            </w:tcBorders>
            <w:vAlign w:val="center"/>
          </w:tcPr>
          <w:p w14:paraId="6F43B62B" w14:textId="77777777" w:rsidR="0075791A" w:rsidRDefault="00FB2864">
            <w:pPr>
              <w:pStyle w:val="TableParagraph"/>
              <w:ind w:left="599" w:right="601"/>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1</w:t>
            </w:r>
          </w:p>
        </w:tc>
        <w:tc>
          <w:tcPr>
            <w:tcW w:w="1359" w:type="dxa"/>
            <w:tcBorders>
              <w:top w:val="single" w:sz="4" w:space="0" w:color="000000"/>
              <w:left w:val="single" w:sz="4" w:space="0" w:color="000000"/>
              <w:bottom w:val="single" w:sz="4" w:space="0" w:color="000000"/>
              <w:right w:val="single" w:sz="4" w:space="0" w:color="000000"/>
            </w:tcBorders>
            <w:vAlign w:val="center"/>
          </w:tcPr>
          <w:p w14:paraId="13B08317" w14:textId="77777777" w:rsidR="0075791A" w:rsidRDefault="00FB2864">
            <w:pPr>
              <w:pStyle w:val="TableParagraph"/>
              <w:ind w:left="601" w:right="599"/>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0</w:t>
            </w:r>
          </w:p>
        </w:tc>
        <w:tc>
          <w:tcPr>
            <w:tcW w:w="1359" w:type="dxa"/>
            <w:tcBorders>
              <w:top w:val="single" w:sz="4" w:space="0" w:color="000000"/>
              <w:left w:val="single" w:sz="4" w:space="0" w:color="000000"/>
              <w:bottom w:val="single" w:sz="4" w:space="0" w:color="000000"/>
              <w:right w:val="single" w:sz="4" w:space="0" w:color="000000"/>
            </w:tcBorders>
            <w:vAlign w:val="center"/>
          </w:tcPr>
          <w:p w14:paraId="75A1B962" w14:textId="77777777" w:rsidR="0075791A" w:rsidRDefault="00FB2864">
            <w:pPr>
              <w:pStyle w:val="TableParagraph"/>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0</w:t>
            </w:r>
          </w:p>
        </w:tc>
        <w:tc>
          <w:tcPr>
            <w:tcW w:w="1358" w:type="dxa"/>
            <w:tcBorders>
              <w:top w:val="single" w:sz="4" w:space="0" w:color="000000"/>
              <w:left w:val="single" w:sz="4" w:space="0" w:color="000000"/>
              <w:bottom w:val="single" w:sz="4" w:space="0" w:color="000000"/>
              <w:right w:val="single" w:sz="4" w:space="0" w:color="000000"/>
            </w:tcBorders>
            <w:vAlign w:val="center"/>
          </w:tcPr>
          <w:p w14:paraId="5851CF00" w14:textId="77777777" w:rsidR="0075791A" w:rsidRDefault="00FB2864">
            <w:pPr>
              <w:pStyle w:val="TableParagraph"/>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0</w:t>
            </w:r>
          </w:p>
        </w:tc>
        <w:tc>
          <w:tcPr>
            <w:tcW w:w="1357" w:type="dxa"/>
            <w:tcBorders>
              <w:top w:val="single" w:sz="4" w:space="0" w:color="000000"/>
              <w:left w:val="single" w:sz="4" w:space="0" w:color="000000"/>
              <w:bottom w:val="single" w:sz="4" w:space="0" w:color="000000"/>
              <w:right w:val="single" w:sz="4" w:space="0" w:color="000000"/>
            </w:tcBorders>
            <w:vAlign w:val="center"/>
          </w:tcPr>
          <w:p w14:paraId="557F0A24" w14:textId="77777777" w:rsidR="0075791A" w:rsidRDefault="00FB2864">
            <w:pPr>
              <w:pStyle w:val="TableParagraph"/>
              <w:ind w:left="541" w:right="544"/>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3</w:t>
            </w:r>
          </w:p>
        </w:tc>
      </w:tr>
      <w:tr w:rsidR="0075791A" w14:paraId="428C0B90" w14:textId="77777777">
        <w:trPr>
          <w:trHeight w:hRule="exact" w:val="340"/>
        </w:trPr>
        <w:tc>
          <w:tcPr>
            <w:tcW w:w="862" w:type="dxa"/>
            <w:tcBorders>
              <w:top w:val="single" w:sz="4" w:space="0" w:color="000000"/>
              <w:left w:val="single" w:sz="4" w:space="0" w:color="000000"/>
              <w:bottom w:val="single" w:sz="4" w:space="0" w:color="000000"/>
              <w:right w:val="single" w:sz="4" w:space="0" w:color="000000"/>
            </w:tcBorders>
            <w:vAlign w:val="center"/>
          </w:tcPr>
          <w:p w14:paraId="0892789F" w14:textId="77777777" w:rsidR="0075791A" w:rsidRDefault="00FB2864">
            <w:pPr>
              <w:pStyle w:val="TableParagraph"/>
              <w:ind w:left="272" w:right="275"/>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4</w:t>
            </w:r>
          </w:p>
        </w:tc>
        <w:tc>
          <w:tcPr>
            <w:tcW w:w="1361" w:type="dxa"/>
            <w:tcBorders>
              <w:top w:val="single" w:sz="4" w:space="0" w:color="000000"/>
              <w:left w:val="single" w:sz="4" w:space="0" w:color="000000"/>
              <w:bottom w:val="single" w:sz="4" w:space="0" w:color="000000"/>
              <w:right w:val="single" w:sz="4" w:space="0" w:color="000000"/>
            </w:tcBorders>
            <w:vAlign w:val="center"/>
          </w:tcPr>
          <w:p w14:paraId="762A2C7F" w14:textId="77777777" w:rsidR="0075791A" w:rsidRDefault="00FB2864">
            <w:pPr>
              <w:pStyle w:val="TableParagraph"/>
              <w:ind w:left="547" w:right="546"/>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1</w:t>
            </w:r>
          </w:p>
        </w:tc>
        <w:tc>
          <w:tcPr>
            <w:tcW w:w="1359" w:type="dxa"/>
            <w:tcBorders>
              <w:top w:val="single" w:sz="4" w:space="0" w:color="000000"/>
              <w:left w:val="single" w:sz="4" w:space="0" w:color="000000"/>
              <w:bottom w:val="single" w:sz="4" w:space="0" w:color="000000"/>
              <w:right w:val="single" w:sz="4" w:space="0" w:color="000000"/>
            </w:tcBorders>
            <w:vAlign w:val="center"/>
          </w:tcPr>
          <w:p w14:paraId="4AFA01F1" w14:textId="77777777" w:rsidR="0075791A" w:rsidRDefault="00FB2864">
            <w:pPr>
              <w:pStyle w:val="TableParagraph"/>
              <w:ind w:left="599" w:right="601"/>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1</w:t>
            </w:r>
          </w:p>
        </w:tc>
        <w:tc>
          <w:tcPr>
            <w:tcW w:w="1359" w:type="dxa"/>
            <w:tcBorders>
              <w:top w:val="single" w:sz="4" w:space="0" w:color="000000"/>
              <w:left w:val="single" w:sz="4" w:space="0" w:color="000000"/>
              <w:bottom w:val="single" w:sz="4" w:space="0" w:color="000000"/>
              <w:right w:val="single" w:sz="4" w:space="0" w:color="000000"/>
            </w:tcBorders>
            <w:vAlign w:val="center"/>
          </w:tcPr>
          <w:p w14:paraId="7429537D" w14:textId="77777777" w:rsidR="0075791A" w:rsidRDefault="00FB2864">
            <w:pPr>
              <w:pStyle w:val="TableParagraph"/>
              <w:ind w:left="601" w:right="599"/>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0</w:t>
            </w:r>
          </w:p>
        </w:tc>
        <w:tc>
          <w:tcPr>
            <w:tcW w:w="1359" w:type="dxa"/>
            <w:tcBorders>
              <w:top w:val="single" w:sz="4" w:space="0" w:color="000000"/>
              <w:left w:val="single" w:sz="4" w:space="0" w:color="000000"/>
              <w:bottom w:val="single" w:sz="4" w:space="0" w:color="000000"/>
              <w:right w:val="single" w:sz="4" w:space="0" w:color="000000"/>
            </w:tcBorders>
            <w:vAlign w:val="center"/>
          </w:tcPr>
          <w:p w14:paraId="7074D38D" w14:textId="77777777" w:rsidR="0075791A" w:rsidRDefault="00FB2864">
            <w:pPr>
              <w:pStyle w:val="TableParagraph"/>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0</w:t>
            </w:r>
          </w:p>
        </w:tc>
        <w:tc>
          <w:tcPr>
            <w:tcW w:w="1358" w:type="dxa"/>
            <w:tcBorders>
              <w:top w:val="single" w:sz="4" w:space="0" w:color="000000"/>
              <w:left w:val="single" w:sz="4" w:space="0" w:color="000000"/>
              <w:bottom w:val="single" w:sz="4" w:space="0" w:color="000000"/>
              <w:right w:val="single" w:sz="4" w:space="0" w:color="000000"/>
            </w:tcBorders>
            <w:vAlign w:val="center"/>
          </w:tcPr>
          <w:p w14:paraId="4CE4ACDA" w14:textId="77777777" w:rsidR="0075791A" w:rsidRDefault="00FB2864">
            <w:pPr>
              <w:pStyle w:val="TableParagraph"/>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1</w:t>
            </w:r>
          </w:p>
        </w:tc>
        <w:tc>
          <w:tcPr>
            <w:tcW w:w="1357" w:type="dxa"/>
            <w:tcBorders>
              <w:top w:val="single" w:sz="4" w:space="0" w:color="000000"/>
              <w:left w:val="single" w:sz="4" w:space="0" w:color="000000"/>
              <w:bottom w:val="single" w:sz="4" w:space="0" w:color="000000"/>
              <w:right w:val="single" w:sz="4" w:space="0" w:color="000000"/>
            </w:tcBorders>
            <w:vAlign w:val="center"/>
          </w:tcPr>
          <w:p w14:paraId="7BC7FEEF" w14:textId="77777777" w:rsidR="0075791A" w:rsidRDefault="00FB2864">
            <w:pPr>
              <w:pStyle w:val="TableParagraph"/>
              <w:ind w:left="541" w:right="544"/>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3</w:t>
            </w:r>
          </w:p>
        </w:tc>
      </w:tr>
      <w:tr w:rsidR="0075791A" w14:paraId="633D021F" w14:textId="77777777">
        <w:trPr>
          <w:trHeight w:hRule="exact" w:val="340"/>
        </w:trPr>
        <w:tc>
          <w:tcPr>
            <w:tcW w:w="862" w:type="dxa"/>
            <w:tcBorders>
              <w:top w:val="single" w:sz="4" w:space="0" w:color="000000"/>
              <w:left w:val="single" w:sz="4" w:space="0" w:color="000000"/>
              <w:bottom w:val="single" w:sz="4" w:space="0" w:color="000000"/>
              <w:right w:val="single" w:sz="4" w:space="0" w:color="000000"/>
            </w:tcBorders>
            <w:vAlign w:val="center"/>
          </w:tcPr>
          <w:p w14:paraId="11A46D28" w14:textId="77777777" w:rsidR="0075791A" w:rsidRDefault="00FB2864">
            <w:pPr>
              <w:pStyle w:val="TableParagraph"/>
              <w:ind w:left="272" w:right="275"/>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5</w:t>
            </w:r>
          </w:p>
        </w:tc>
        <w:tc>
          <w:tcPr>
            <w:tcW w:w="1361" w:type="dxa"/>
            <w:tcBorders>
              <w:top w:val="single" w:sz="4" w:space="0" w:color="000000"/>
              <w:left w:val="single" w:sz="4" w:space="0" w:color="000000"/>
              <w:bottom w:val="single" w:sz="4" w:space="0" w:color="000000"/>
              <w:right w:val="single" w:sz="4" w:space="0" w:color="000000"/>
            </w:tcBorders>
            <w:vAlign w:val="center"/>
          </w:tcPr>
          <w:p w14:paraId="6BFC42D6" w14:textId="77777777" w:rsidR="0075791A" w:rsidRDefault="00FB2864">
            <w:pPr>
              <w:pStyle w:val="TableParagraph"/>
              <w:ind w:left="547" w:right="546"/>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3</w:t>
            </w:r>
          </w:p>
        </w:tc>
        <w:tc>
          <w:tcPr>
            <w:tcW w:w="1359" w:type="dxa"/>
            <w:tcBorders>
              <w:top w:val="single" w:sz="4" w:space="0" w:color="000000"/>
              <w:left w:val="single" w:sz="4" w:space="0" w:color="000000"/>
              <w:bottom w:val="single" w:sz="4" w:space="0" w:color="000000"/>
              <w:right w:val="single" w:sz="4" w:space="0" w:color="000000"/>
            </w:tcBorders>
            <w:vAlign w:val="center"/>
          </w:tcPr>
          <w:p w14:paraId="479D0B7F" w14:textId="77777777" w:rsidR="0075791A" w:rsidRDefault="00FB2864">
            <w:pPr>
              <w:pStyle w:val="TableParagraph"/>
              <w:ind w:left="599" w:right="601"/>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7</w:t>
            </w:r>
          </w:p>
        </w:tc>
        <w:tc>
          <w:tcPr>
            <w:tcW w:w="1359" w:type="dxa"/>
            <w:tcBorders>
              <w:top w:val="single" w:sz="4" w:space="0" w:color="000000"/>
              <w:left w:val="single" w:sz="4" w:space="0" w:color="000000"/>
              <w:bottom w:val="single" w:sz="4" w:space="0" w:color="000000"/>
              <w:right w:val="single" w:sz="4" w:space="0" w:color="000000"/>
            </w:tcBorders>
            <w:vAlign w:val="center"/>
          </w:tcPr>
          <w:p w14:paraId="6ECED56F" w14:textId="77777777" w:rsidR="0075791A" w:rsidRDefault="00FB2864">
            <w:pPr>
              <w:pStyle w:val="TableParagraph"/>
              <w:ind w:left="601" w:right="599"/>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0</w:t>
            </w:r>
          </w:p>
        </w:tc>
        <w:tc>
          <w:tcPr>
            <w:tcW w:w="1359" w:type="dxa"/>
            <w:tcBorders>
              <w:top w:val="single" w:sz="4" w:space="0" w:color="000000"/>
              <w:left w:val="single" w:sz="4" w:space="0" w:color="000000"/>
              <w:bottom w:val="single" w:sz="4" w:space="0" w:color="000000"/>
              <w:right w:val="single" w:sz="4" w:space="0" w:color="000000"/>
            </w:tcBorders>
            <w:vAlign w:val="center"/>
          </w:tcPr>
          <w:p w14:paraId="0FDEFC69" w14:textId="77777777" w:rsidR="0075791A" w:rsidRDefault="00FB2864">
            <w:pPr>
              <w:pStyle w:val="TableParagraph"/>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0</w:t>
            </w:r>
          </w:p>
        </w:tc>
        <w:tc>
          <w:tcPr>
            <w:tcW w:w="1358" w:type="dxa"/>
            <w:tcBorders>
              <w:top w:val="single" w:sz="4" w:space="0" w:color="000000"/>
              <w:left w:val="single" w:sz="4" w:space="0" w:color="000000"/>
              <w:bottom w:val="single" w:sz="4" w:space="0" w:color="000000"/>
              <w:right w:val="single" w:sz="4" w:space="0" w:color="000000"/>
            </w:tcBorders>
            <w:vAlign w:val="center"/>
          </w:tcPr>
          <w:p w14:paraId="78860FFF" w14:textId="77777777" w:rsidR="0075791A" w:rsidRDefault="00FB2864">
            <w:pPr>
              <w:pStyle w:val="TableParagraph"/>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2</w:t>
            </w:r>
          </w:p>
        </w:tc>
        <w:tc>
          <w:tcPr>
            <w:tcW w:w="1357" w:type="dxa"/>
            <w:tcBorders>
              <w:top w:val="single" w:sz="4" w:space="0" w:color="000000"/>
              <w:left w:val="single" w:sz="4" w:space="0" w:color="000000"/>
              <w:bottom w:val="single" w:sz="4" w:space="0" w:color="000000"/>
              <w:right w:val="single" w:sz="4" w:space="0" w:color="000000"/>
            </w:tcBorders>
            <w:vAlign w:val="center"/>
          </w:tcPr>
          <w:p w14:paraId="4A20B142" w14:textId="77777777" w:rsidR="0075791A" w:rsidRDefault="00FB2864">
            <w:pPr>
              <w:pStyle w:val="TableParagraph"/>
              <w:ind w:left="545" w:right="544"/>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w:t>
            </w:r>
            <w:r>
              <w:rPr>
                <w:rFonts w:ascii="Times New Roman" w:eastAsia="Times New Roman" w:hAnsi="Times New Roman" w:cs="Times New Roman"/>
                <w:color w:val="auto"/>
                <w:sz w:val="22"/>
                <w:szCs w:val="22"/>
              </w:rPr>
              <w:t>2</w:t>
            </w:r>
          </w:p>
        </w:tc>
      </w:tr>
      <w:tr w:rsidR="0075791A" w14:paraId="1A61E068" w14:textId="77777777">
        <w:trPr>
          <w:trHeight w:hRule="exact" w:val="340"/>
        </w:trPr>
        <w:tc>
          <w:tcPr>
            <w:tcW w:w="862" w:type="dxa"/>
            <w:tcBorders>
              <w:top w:val="single" w:sz="4" w:space="0" w:color="000000"/>
              <w:left w:val="single" w:sz="4" w:space="0" w:color="000000"/>
              <w:bottom w:val="single" w:sz="4" w:space="0" w:color="000000"/>
              <w:right w:val="single" w:sz="4" w:space="0" w:color="000000"/>
            </w:tcBorders>
            <w:vAlign w:val="center"/>
          </w:tcPr>
          <w:p w14:paraId="3687549A" w14:textId="77777777" w:rsidR="0075791A" w:rsidRDefault="00FB2864">
            <w:pPr>
              <w:pStyle w:val="TableParagraph"/>
              <w:spacing w:line="252" w:lineRule="exact"/>
              <w:ind w:left="272" w:right="275"/>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6</w:t>
            </w:r>
          </w:p>
        </w:tc>
        <w:tc>
          <w:tcPr>
            <w:tcW w:w="1361" w:type="dxa"/>
            <w:tcBorders>
              <w:top w:val="single" w:sz="4" w:space="0" w:color="000000"/>
              <w:left w:val="single" w:sz="4" w:space="0" w:color="000000"/>
              <w:bottom w:val="single" w:sz="4" w:space="0" w:color="000000"/>
              <w:right w:val="single" w:sz="4" w:space="0" w:color="000000"/>
            </w:tcBorders>
            <w:vAlign w:val="center"/>
          </w:tcPr>
          <w:p w14:paraId="00C55CA9" w14:textId="77777777" w:rsidR="0075791A" w:rsidRDefault="00FB2864">
            <w:pPr>
              <w:pStyle w:val="TableParagraph"/>
              <w:spacing w:line="252" w:lineRule="exact"/>
              <w:ind w:left="547" w:right="546"/>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7</w:t>
            </w:r>
          </w:p>
        </w:tc>
        <w:tc>
          <w:tcPr>
            <w:tcW w:w="1359" w:type="dxa"/>
            <w:tcBorders>
              <w:top w:val="single" w:sz="4" w:space="0" w:color="000000"/>
              <w:left w:val="single" w:sz="4" w:space="0" w:color="000000"/>
              <w:bottom w:val="single" w:sz="4" w:space="0" w:color="000000"/>
              <w:right w:val="single" w:sz="4" w:space="0" w:color="000000"/>
            </w:tcBorders>
            <w:vAlign w:val="center"/>
          </w:tcPr>
          <w:p w14:paraId="2E80622A" w14:textId="77777777" w:rsidR="0075791A" w:rsidRDefault="00FB2864">
            <w:pPr>
              <w:pStyle w:val="TableParagraph"/>
              <w:spacing w:line="252" w:lineRule="exact"/>
              <w:ind w:left="599" w:right="601"/>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2</w:t>
            </w:r>
          </w:p>
        </w:tc>
        <w:tc>
          <w:tcPr>
            <w:tcW w:w="1359" w:type="dxa"/>
            <w:tcBorders>
              <w:top w:val="single" w:sz="4" w:space="0" w:color="000000"/>
              <w:left w:val="single" w:sz="4" w:space="0" w:color="000000"/>
              <w:bottom w:val="single" w:sz="4" w:space="0" w:color="000000"/>
              <w:right w:val="single" w:sz="4" w:space="0" w:color="000000"/>
            </w:tcBorders>
            <w:vAlign w:val="center"/>
          </w:tcPr>
          <w:p w14:paraId="0E42A387" w14:textId="77777777" w:rsidR="0075791A" w:rsidRDefault="00FB2864">
            <w:pPr>
              <w:pStyle w:val="TableParagraph"/>
              <w:spacing w:line="252" w:lineRule="exact"/>
              <w:ind w:left="601" w:right="599"/>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1</w:t>
            </w:r>
          </w:p>
        </w:tc>
        <w:tc>
          <w:tcPr>
            <w:tcW w:w="1359" w:type="dxa"/>
            <w:tcBorders>
              <w:top w:val="single" w:sz="4" w:space="0" w:color="000000"/>
              <w:left w:val="single" w:sz="4" w:space="0" w:color="000000"/>
              <w:bottom w:val="single" w:sz="4" w:space="0" w:color="000000"/>
              <w:right w:val="single" w:sz="4" w:space="0" w:color="000000"/>
            </w:tcBorders>
            <w:vAlign w:val="center"/>
          </w:tcPr>
          <w:p w14:paraId="2D882ED9" w14:textId="77777777" w:rsidR="0075791A" w:rsidRDefault="00FB2864">
            <w:pPr>
              <w:pStyle w:val="TableParagraph"/>
              <w:spacing w:line="252" w:lineRule="exact"/>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1</w:t>
            </w:r>
          </w:p>
        </w:tc>
        <w:tc>
          <w:tcPr>
            <w:tcW w:w="1358" w:type="dxa"/>
            <w:tcBorders>
              <w:top w:val="single" w:sz="4" w:space="0" w:color="000000"/>
              <w:left w:val="single" w:sz="4" w:space="0" w:color="000000"/>
              <w:bottom w:val="single" w:sz="4" w:space="0" w:color="000000"/>
              <w:right w:val="single" w:sz="4" w:space="0" w:color="000000"/>
            </w:tcBorders>
            <w:vAlign w:val="center"/>
          </w:tcPr>
          <w:p w14:paraId="5C7A10E3" w14:textId="77777777" w:rsidR="0075791A" w:rsidRDefault="00FB2864">
            <w:pPr>
              <w:pStyle w:val="TableParagraph"/>
              <w:spacing w:line="252" w:lineRule="exact"/>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1</w:t>
            </w:r>
          </w:p>
        </w:tc>
        <w:tc>
          <w:tcPr>
            <w:tcW w:w="1357" w:type="dxa"/>
            <w:tcBorders>
              <w:top w:val="single" w:sz="4" w:space="0" w:color="000000"/>
              <w:left w:val="single" w:sz="4" w:space="0" w:color="000000"/>
              <w:bottom w:val="single" w:sz="4" w:space="0" w:color="000000"/>
              <w:right w:val="single" w:sz="4" w:space="0" w:color="000000"/>
            </w:tcBorders>
            <w:vAlign w:val="center"/>
          </w:tcPr>
          <w:p w14:paraId="51E6B2B0" w14:textId="77777777" w:rsidR="0075791A" w:rsidRDefault="00FB2864">
            <w:pPr>
              <w:pStyle w:val="TableParagraph"/>
              <w:spacing w:line="252" w:lineRule="exact"/>
              <w:ind w:left="545" w:right="544"/>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w:t>
            </w:r>
            <w:r>
              <w:rPr>
                <w:rFonts w:ascii="Times New Roman" w:eastAsia="Times New Roman" w:hAnsi="Times New Roman" w:cs="Times New Roman"/>
                <w:color w:val="auto"/>
                <w:sz w:val="22"/>
                <w:szCs w:val="22"/>
              </w:rPr>
              <w:t>2</w:t>
            </w:r>
          </w:p>
        </w:tc>
      </w:tr>
      <w:tr w:rsidR="0075791A" w14:paraId="1EA587AD" w14:textId="77777777">
        <w:trPr>
          <w:trHeight w:hRule="exact" w:val="340"/>
        </w:trPr>
        <w:tc>
          <w:tcPr>
            <w:tcW w:w="862" w:type="dxa"/>
            <w:tcBorders>
              <w:top w:val="single" w:sz="4" w:space="0" w:color="000000"/>
              <w:left w:val="single" w:sz="4" w:space="0" w:color="000000"/>
              <w:bottom w:val="single" w:sz="4" w:space="0" w:color="000000"/>
              <w:right w:val="single" w:sz="4" w:space="0" w:color="000000"/>
            </w:tcBorders>
            <w:vAlign w:val="center"/>
          </w:tcPr>
          <w:p w14:paraId="37EAC0C9" w14:textId="77777777" w:rsidR="0075791A" w:rsidRDefault="00FB2864">
            <w:pPr>
              <w:pStyle w:val="TableParagraph"/>
              <w:ind w:left="272" w:right="275"/>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7</w:t>
            </w:r>
          </w:p>
        </w:tc>
        <w:tc>
          <w:tcPr>
            <w:tcW w:w="1361" w:type="dxa"/>
            <w:tcBorders>
              <w:top w:val="single" w:sz="4" w:space="0" w:color="000000"/>
              <w:left w:val="single" w:sz="4" w:space="0" w:color="000000"/>
              <w:bottom w:val="single" w:sz="4" w:space="0" w:color="000000"/>
              <w:right w:val="single" w:sz="4" w:space="0" w:color="000000"/>
            </w:tcBorders>
            <w:vAlign w:val="center"/>
          </w:tcPr>
          <w:p w14:paraId="43F2B20A" w14:textId="77777777" w:rsidR="0075791A" w:rsidRDefault="00FB2864">
            <w:pPr>
              <w:pStyle w:val="TableParagraph"/>
              <w:ind w:left="547" w:right="546"/>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4</w:t>
            </w:r>
          </w:p>
        </w:tc>
        <w:tc>
          <w:tcPr>
            <w:tcW w:w="1359" w:type="dxa"/>
            <w:tcBorders>
              <w:top w:val="single" w:sz="4" w:space="0" w:color="000000"/>
              <w:left w:val="single" w:sz="4" w:space="0" w:color="000000"/>
              <w:bottom w:val="single" w:sz="4" w:space="0" w:color="000000"/>
              <w:right w:val="single" w:sz="4" w:space="0" w:color="000000"/>
            </w:tcBorders>
            <w:vAlign w:val="center"/>
          </w:tcPr>
          <w:p w14:paraId="50A50D5D" w14:textId="77777777" w:rsidR="0075791A" w:rsidRDefault="00FB2864">
            <w:pPr>
              <w:pStyle w:val="TableParagraph"/>
              <w:ind w:left="599" w:right="601"/>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5</w:t>
            </w:r>
          </w:p>
        </w:tc>
        <w:tc>
          <w:tcPr>
            <w:tcW w:w="1359" w:type="dxa"/>
            <w:tcBorders>
              <w:top w:val="single" w:sz="4" w:space="0" w:color="000000"/>
              <w:left w:val="single" w:sz="4" w:space="0" w:color="000000"/>
              <w:bottom w:val="single" w:sz="4" w:space="0" w:color="000000"/>
              <w:right w:val="single" w:sz="4" w:space="0" w:color="000000"/>
            </w:tcBorders>
            <w:vAlign w:val="center"/>
          </w:tcPr>
          <w:p w14:paraId="66FE798E" w14:textId="77777777" w:rsidR="0075791A" w:rsidRDefault="00FB2864">
            <w:pPr>
              <w:pStyle w:val="TableParagraph"/>
              <w:ind w:left="601" w:right="599"/>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1</w:t>
            </w:r>
          </w:p>
        </w:tc>
        <w:tc>
          <w:tcPr>
            <w:tcW w:w="1359" w:type="dxa"/>
            <w:tcBorders>
              <w:top w:val="single" w:sz="4" w:space="0" w:color="000000"/>
              <w:left w:val="single" w:sz="4" w:space="0" w:color="000000"/>
              <w:bottom w:val="single" w:sz="4" w:space="0" w:color="000000"/>
              <w:right w:val="single" w:sz="4" w:space="0" w:color="000000"/>
            </w:tcBorders>
            <w:vAlign w:val="center"/>
          </w:tcPr>
          <w:p w14:paraId="4B8A3572" w14:textId="77777777" w:rsidR="0075791A" w:rsidRDefault="00FB2864">
            <w:pPr>
              <w:pStyle w:val="TableParagraph"/>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0</w:t>
            </w:r>
          </w:p>
        </w:tc>
        <w:tc>
          <w:tcPr>
            <w:tcW w:w="1358" w:type="dxa"/>
            <w:tcBorders>
              <w:top w:val="single" w:sz="4" w:space="0" w:color="000000"/>
              <w:left w:val="single" w:sz="4" w:space="0" w:color="000000"/>
              <w:bottom w:val="single" w:sz="4" w:space="0" w:color="000000"/>
              <w:right w:val="single" w:sz="4" w:space="0" w:color="000000"/>
            </w:tcBorders>
            <w:vAlign w:val="center"/>
          </w:tcPr>
          <w:p w14:paraId="10312FBB" w14:textId="77777777" w:rsidR="0075791A" w:rsidRDefault="00FB2864">
            <w:pPr>
              <w:pStyle w:val="TableParagraph"/>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1</w:t>
            </w:r>
          </w:p>
        </w:tc>
        <w:tc>
          <w:tcPr>
            <w:tcW w:w="1357" w:type="dxa"/>
            <w:tcBorders>
              <w:top w:val="single" w:sz="4" w:space="0" w:color="000000"/>
              <w:left w:val="single" w:sz="4" w:space="0" w:color="000000"/>
              <w:bottom w:val="single" w:sz="4" w:space="0" w:color="000000"/>
              <w:right w:val="single" w:sz="4" w:space="0" w:color="000000"/>
            </w:tcBorders>
            <w:vAlign w:val="center"/>
          </w:tcPr>
          <w:p w14:paraId="4A00E031" w14:textId="77777777" w:rsidR="0075791A" w:rsidRDefault="00FB2864">
            <w:pPr>
              <w:pStyle w:val="TableParagraph"/>
              <w:ind w:left="545" w:right="544"/>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5"/>
                <w:sz w:val="22"/>
                <w:szCs w:val="22"/>
              </w:rPr>
              <w:t>1</w:t>
            </w:r>
            <w:r>
              <w:rPr>
                <w:rFonts w:ascii="Times New Roman" w:eastAsia="Times New Roman" w:hAnsi="Times New Roman" w:cs="Times New Roman"/>
                <w:color w:val="auto"/>
                <w:sz w:val="22"/>
                <w:szCs w:val="22"/>
              </w:rPr>
              <w:t>1</w:t>
            </w:r>
          </w:p>
        </w:tc>
      </w:tr>
      <w:tr w:rsidR="0075791A" w14:paraId="3CCE5974" w14:textId="77777777">
        <w:trPr>
          <w:trHeight w:hRule="exact" w:val="340"/>
        </w:trPr>
        <w:tc>
          <w:tcPr>
            <w:tcW w:w="862" w:type="dxa"/>
            <w:tcBorders>
              <w:top w:val="single" w:sz="4" w:space="0" w:color="000000"/>
              <w:left w:val="single" w:sz="4" w:space="0" w:color="000000"/>
              <w:bottom w:val="single" w:sz="4" w:space="0" w:color="000000"/>
              <w:right w:val="single" w:sz="4" w:space="0" w:color="000000"/>
            </w:tcBorders>
            <w:vAlign w:val="center"/>
          </w:tcPr>
          <w:p w14:paraId="4F52C373" w14:textId="77777777" w:rsidR="0075791A" w:rsidRDefault="00FB2864">
            <w:pPr>
              <w:pStyle w:val="TableParagraph"/>
              <w:ind w:left="272" w:right="275"/>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8</w:t>
            </w:r>
          </w:p>
        </w:tc>
        <w:tc>
          <w:tcPr>
            <w:tcW w:w="1361" w:type="dxa"/>
            <w:tcBorders>
              <w:top w:val="single" w:sz="4" w:space="0" w:color="000000"/>
              <w:left w:val="single" w:sz="4" w:space="0" w:color="000000"/>
              <w:bottom w:val="single" w:sz="4" w:space="0" w:color="000000"/>
              <w:right w:val="single" w:sz="4" w:space="0" w:color="000000"/>
            </w:tcBorders>
            <w:vAlign w:val="center"/>
          </w:tcPr>
          <w:p w14:paraId="3520F72F" w14:textId="77777777" w:rsidR="0075791A" w:rsidRDefault="00FB2864">
            <w:pPr>
              <w:pStyle w:val="TableParagraph"/>
              <w:ind w:left="547" w:right="546"/>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2</w:t>
            </w:r>
          </w:p>
        </w:tc>
        <w:tc>
          <w:tcPr>
            <w:tcW w:w="1359" w:type="dxa"/>
            <w:tcBorders>
              <w:top w:val="single" w:sz="4" w:space="0" w:color="000000"/>
              <w:left w:val="single" w:sz="4" w:space="0" w:color="000000"/>
              <w:bottom w:val="single" w:sz="4" w:space="0" w:color="000000"/>
              <w:right w:val="single" w:sz="4" w:space="0" w:color="000000"/>
            </w:tcBorders>
            <w:vAlign w:val="center"/>
          </w:tcPr>
          <w:p w14:paraId="4CB788D6" w14:textId="77777777" w:rsidR="0075791A" w:rsidRDefault="00FB2864">
            <w:pPr>
              <w:pStyle w:val="TableParagraph"/>
              <w:ind w:left="599" w:right="601"/>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2</w:t>
            </w:r>
          </w:p>
        </w:tc>
        <w:tc>
          <w:tcPr>
            <w:tcW w:w="1359" w:type="dxa"/>
            <w:tcBorders>
              <w:top w:val="single" w:sz="4" w:space="0" w:color="000000"/>
              <w:left w:val="single" w:sz="4" w:space="0" w:color="000000"/>
              <w:bottom w:val="single" w:sz="4" w:space="0" w:color="000000"/>
              <w:right w:val="single" w:sz="4" w:space="0" w:color="000000"/>
            </w:tcBorders>
            <w:vAlign w:val="center"/>
          </w:tcPr>
          <w:p w14:paraId="38094D83" w14:textId="77777777" w:rsidR="0075791A" w:rsidRDefault="00FB2864">
            <w:pPr>
              <w:pStyle w:val="TableParagraph"/>
              <w:ind w:left="601" w:right="599"/>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0</w:t>
            </w:r>
          </w:p>
        </w:tc>
        <w:tc>
          <w:tcPr>
            <w:tcW w:w="1359" w:type="dxa"/>
            <w:tcBorders>
              <w:top w:val="single" w:sz="4" w:space="0" w:color="000000"/>
              <w:left w:val="single" w:sz="4" w:space="0" w:color="000000"/>
              <w:bottom w:val="single" w:sz="4" w:space="0" w:color="000000"/>
              <w:right w:val="single" w:sz="4" w:space="0" w:color="000000"/>
            </w:tcBorders>
            <w:vAlign w:val="center"/>
          </w:tcPr>
          <w:p w14:paraId="57EF7746" w14:textId="77777777" w:rsidR="0075791A" w:rsidRDefault="00FB2864">
            <w:pPr>
              <w:pStyle w:val="TableParagraph"/>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0</w:t>
            </w:r>
          </w:p>
        </w:tc>
        <w:tc>
          <w:tcPr>
            <w:tcW w:w="1358" w:type="dxa"/>
            <w:tcBorders>
              <w:top w:val="single" w:sz="4" w:space="0" w:color="000000"/>
              <w:left w:val="single" w:sz="4" w:space="0" w:color="000000"/>
              <w:bottom w:val="single" w:sz="4" w:space="0" w:color="000000"/>
              <w:right w:val="single" w:sz="4" w:space="0" w:color="000000"/>
            </w:tcBorders>
            <w:vAlign w:val="center"/>
          </w:tcPr>
          <w:p w14:paraId="18BFACB9" w14:textId="77777777" w:rsidR="0075791A" w:rsidRDefault="00FB2864">
            <w:pPr>
              <w:pStyle w:val="TableParagraph"/>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1</w:t>
            </w:r>
          </w:p>
        </w:tc>
        <w:tc>
          <w:tcPr>
            <w:tcW w:w="1357" w:type="dxa"/>
            <w:tcBorders>
              <w:top w:val="single" w:sz="4" w:space="0" w:color="000000"/>
              <w:left w:val="single" w:sz="4" w:space="0" w:color="000000"/>
              <w:bottom w:val="single" w:sz="4" w:space="0" w:color="000000"/>
              <w:right w:val="single" w:sz="4" w:space="0" w:color="000000"/>
            </w:tcBorders>
            <w:vAlign w:val="center"/>
          </w:tcPr>
          <w:p w14:paraId="0C51E517" w14:textId="77777777" w:rsidR="0075791A" w:rsidRDefault="00FB2864">
            <w:pPr>
              <w:pStyle w:val="TableParagraph"/>
              <w:ind w:left="541" w:right="544"/>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5</w:t>
            </w:r>
          </w:p>
        </w:tc>
      </w:tr>
      <w:tr w:rsidR="0075791A" w14:paraId="78012E74" w14:textId="77777777">
        <w:trPr>
          <w:trHeight w:hRule="exact" w:val="340"/>
        </w:trPr>
        <w:tc>
          <w:tcPr>
            <w:tcW w:w="862" w:type="dxa"/>
            <w:tcBorders>
              <w:top w:val="single" w:sz="4" w:space="0" w:color="000000"/>
              <w:left w:val="single" w:sz="4" w:space="0" w:color="000000"/>
              <w:bottom w:val="single" w:sz="4" w:space="0" w:color="000000"/>
              <w:right w:val="single" w:sz="4" w:space="0" w:color="000000"/>
            </w:tcBorders>
            <w:vAlign w:val="center"/>
          </w:tcPr>
          <w:p w14:paraId="534A9686" w14:textId="77777777" w:rsidR="0075791A" w:rsidRDefault="00FB2864">
            <w:pPr>
              <w:pStyle w:val="TableParagraph"/>
              <w:ind w:left="272" w:right="275"/>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9</w:t>
            </w:r>
          </w:p>
        </w:tc>
        <w:tc>
          <w:tcPr>
            <w:tcW w:w="1361" w:type="dxa"/>
            <w:tcBorders>
              <w:top w:val="single" w:sz="4" w:space="0" w:color="000000"/>
              <w:left w:val="single" w:sz="4" w:space="0" w:color="000000"/>
              <w:bottom w:val="single" w:sz="4" w:space="0" w:color="000000"/>
              <w:right w:val="single" w:sz="4" w:space="0" w:color="000000"/>
            </w:tcBorders>
            <w:vAlign w:val="center"/>
          </w:tcPr>
          <w:p w14:paraId="6F7D7548" w14:textId="77777777" w:rsidR="0075791A" w:rsidRDefault="00FB2864">
            <w:pPr>
              <w:pStyle w:val="TableParagraph"/>
              <w:ind w:left="547" w:right="546"/>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7</w:t>
            </w:r>
          </w:p>
        </w:tc>
        <w:tc>
          <w:tcPr>
            <w:tcW w:w="1359" w:type="dxa"/>
            <w:tcBorders>
              <w:top w:val="single" w:sz="4" w:space="0" w:color="000000"/>
              <w:left w:val="single" w:sz="4" w:space="0" w:color="000000"/>
              <w:bottom w:val="single" w:sz="4" w:space="0" w:color="000000"/>
              <w:right w:val="single" w:sz="4" w:space="0" w:color="000000"/>
            </w:tcBorders>
            <w:vAlign w:val="center"/>
          </w:tcPr>
          <w:p w14:paraId="3B094CDC" w14:textId="77777777" w:rsidR="0075791A" w:rsidRDefault="00FB2864">
            <w:pPr>
              <w:pStyle w:val="TableParagraph"/>
              <w:ind w:left="599" w:right="601"/>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2</w:t>
            </w:r>
          </w:p>
        </w:tc>
        <w:tc>
          <w:tcPr>
            <w:tcW w:w="1359" w:type="dxa"/>
            <w:tcBorders>
              <w:top w:val="single" w:sz="4" w:space="0" w:color="000000"/>
              <w:left w:val="single" w:sz="4" w:space="0" w:color="000000"/>
              <w:bottom w:val="single" w:sz="4" w:space="0" w:color="000000"/>
              <w:right w:val="single" w:sz="4" w:space="0" w:color="000000"/>
            </w:tcBorders>
            <w:vAlign w:val="center"/>
          </w:tcPr>
          <w:p w14:paraId="6ED65794" w14:textId="77777777" w:rsidR="0075791A" w:rsidRDefault="00FB2864">
            <w:pPr>
              <w:pStyle w:val="TableParagraph"/>
              <w:ind w:left="601" w:right="599"/>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1</w:t>
            </w:r>
          </w:p>
        </w:tc>
        <w:tc>
          <w:tcPr>
            <w:tcW w:w="1359" w:type="dxa"/>
            <w:tcBorders>
              <w:top w:val="single" w:sz="4" w:space="0" w:color="000000"/>
              <w:left w:val="single" w:sz="4" w:space="0" w:color="000000"/>
              <w:bottom w:val="single" w:sz="4" w:space="0" w:color="000000"/>
              <w:right w:val="single" w:sz="4" w:space="0" w:color="000000"/>
            </w:tcBorders>
            <w:vAlign w:val="center"/>
          </w:tcPr>
          <w:p w14:paraId="2FEAC9CB" w14:textId="77777777" w:rsidR="0075791A" w:rsidRDefault="00FB2864">
            <w:pPr>
              <w:pStyle w:val="TableParagraph"/>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0</w:t>
            </w:r>
          </w:p>
        </w:tc>
        <w:tc>
          <w:tcPr>
            <w:tcW w:w="1358" w:type="dxa"/>
            <w:tcBorders>
              <w:top w:val="single" w:sz="4" w:space="0" w:color="000000"/>
              <w:left w:val="single" w:sz="4" w:space="0" w:color="000000"/>
              <w:bottom w:val="single" w:sz="4" w:space="0" w:color="000000"/>
              <w:right w:val="single" w:sz="4" w:space="0" w:color="000000"/>
            </w:tcBorders>
            <w:vAlign w:val="center"/>
          </w:tcPr>
          <w:p w14:paraId="5D4C427E" w14:textId="77777777" w:rsidR="0075791A" w:rsidRDefault="00FB2864">
            <w:pPr>
              <w:pStyle w:val="TableParagraph"/>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1</w:t>
            </w:r>
          </w:p>
        </w:tc>
        <w:tc>
          <w:tcPr>
            <w:tcW w:w="1357" w:type="dxa"/>
            <w:tcBorders>
              <w:top w:val="single" w:sz="4" w:space="0" w:color="000000"/>
              <w:left w:val="single" w:sz="4" w:space="0" w:color="000000"/>
              <w:bottom w:val="single" w:sz="4" w:space="0" w:color="000000"/>
              <w:right w:val="single" w:sz="4" w:space="0" w:color="000000"/>
            </w:tcBorders>
            <w:vAlign w:val="center"/>
          </w:tcPr>
          <w:p w14:paraId="519FBC21" w14:textId="77777777" w:rsidR="0075791A" w:rsidRDefault="00FB2864">
            <w:pPr>
              <w:pStyle w:val="TableParagraph"/>
              <w:ind w:left="545" w:right="544"/>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5"/>
                <w:sz w:val="22"/>
                <w:szCs w:val="22"/>
              </w:rPr>
              <w:t>1</w:t>
            </w:r>
            <w:r>
              <w:rPr>
                <w:rFonts w:ascii="Times New Roman" w:eastAsia="Times New Roman" w:hAnsi="Times New Roman" w:cs="Times New Roman"/>
                <w:color w:val="auto"/>
                <w:sz w:val="22"/>
                <w:szCs w:val="22"/>
              </w:rPr>
              <w:t>1</w:t>
            </w:r>
          </w:p>
        </w:tc>
      </w:tr>
      <w:tr w:rsidR="0075791A" w14:paraId="245935E1" w14:textId="77777777">
        <w:trPr>
          <w:trHeight w:hRule="exact" w:val="340"/>
        </w:trPr>
        <w:tc>
          <w:tcPr>
            <w:tcW w:w="862" w:type="dxa"/>
            <w:tcBorders>
              <w:top w:val="single" w:sz="4" w:space="0" w:color="000000"/>
              <w:left w:val="single" w:sz="4" w:space="0" w:color="000000"/>
              <w:bottom w:val="single" w:sz="4" w:space="0" w:color="000000"/>
              <w:right w:val="single" w:sz="4" w:space="0" w:color="000000"/>
            </w:tcBorders>
            <w:vAlign w:val="center"/>
          </w:tcPr>
          <w:p w14:paraId="60600AA1" w14:textId="77777777" w:rsidR="0075791A" w:rsidRDefault="00FB2864">
            <w:pPr>
              <w:pStyle w:val="TableParagraph"/>
              <w:ind w:left="239"/>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pacing w:val="-5"/>
                <w:sz w:val="22"/>
                <w:szCs w:val="22"/>
              </w:rPr>
              <w:t>1</w:t>
            </w:r>
            <w:r>
              <w:rPr>
                <w:rFonts w:ascii="Times New Roman" w:eastAsia="Times New Roman" w:hAnsi="Times New Roman" w:cs="Times New Roman"/>
                <w:color w:val="auto"/>
                <w:sz w:val="22"/>
                <w:szCs w:val="22"/>
              </w:rPr>
              <w:t>1</w:t>
            </w:r>
          </w:p>
        </w:tc>
        <w:tc>
          <w:tcPr>
            <w:tcW w:w="1361" w:type="dxa"/>
            <w:tcBorders>
              <w:top w:val="single" w:sz="4" w:space="0" w:color="000000"/>
              <w:left w:val="single" w:sz="4" w:space="0" w:color="000000"/>
              <w:bottom w:val="single" w:sz="4" w:space="0" w:color="000000"/>
              <w:right w:val="single" w:sz="4" w:space="0" w:color="000000"/>
            </w:tcBorders>
            <w:vAlign w:val="center"/>
          </w:tcPr>
          <w:p w14:paraId="5F84B14E" w14:textId="77777777" w:rsidR="0075791A" w:rsidRDefault="00FB2864">
            <w:pPr>
              <w:pStyle w:val="TableParagraph"/>
              <w:ind w:left="547" w:right="546"/>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4</w:t>
            </w:r>
          </w:p>
        </w:tc>
        <w:tc>
          <w:tcPr>
            <w:tcW w:w="1359" w:type="dxa"/>
            <w:tcBorders>
              <w:top w:val="single" w:sz="4" w:space="0" w:color="000000"/>
              <w:left w:val="single" w:sz="4" w:space="0" w:color="000000"/>
              <w:bottom w:val="single" w:sz="4" w:space="0" w:color="000000"/>
              <w:right w:val="single" w:sz="4" w:space="0" w:color="000000"/>
            </w:tcBorders>
            <w:vAlign w:val="center"/>
          </w:tcPr>
          <w:p w14:paraId="0092EFFB" w14:textId="77777777" w:rsidR="0075791A" w:rsidRDefault="00FB2864">
            <w:pPr>
              <w:pStyle w:val="TableParagraph"/>
              <w:ind w:left="599" w:right="601"/>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2</w:t>
            </w:r>
          </w:p>
        </w:tc>
        <w:tc>
          <w:tcPr>
            <w:tcW w:w="1359" w:type="dxa"/>
            <w:tcBorders>
              <w:top w:val="single" w:sz="4" w:space="0" w:color="000000"/>
              <w:left w:val="single" w:sz="4" w:space="0" w:color="000000"/>
              <w:bottom w:val="single" w:sz="4" w:space="0" w:color="000000"/>
              <w:right w:val="single" w:sz="4" w:space="0" w:color="000000"/>
            </w:tcBorders>
            <w:vAlign w:val="center"/>
          </w:tcPr>
          <w:p w14:paraId="200D2037" w14:textId="77777777" w:rsidR="0075791A" w:rsidRDefault="00FB2864">
            <w:pPr>
              <w:pStyle w:val="TableParagraph"/>
              <w:ind w:left="601" w:right="599"/>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1</w:t>
            </w:r>
          </w:p>
        </w:tc>
        <w:tc>
          <w:tcPr>
            <w:tcW w:w="1359" w:type="dxa"/>
            <w:tcBorders>
              <w:top w:val="single" w:sz="4" w:space="0" w:color="000000"/>
              <w:left w:val="single" w:sz="4" w:space="0" w:color="000000"/>
              <w:bottom w:val="single" w:sz="4" w:space="0" w:color="000000"/>
              <w:right w:val="single" w:sz="4" w:space="0" w:color="000000"/>
            </w:tcBorders>
            <w:vAlign w:val="center"/>
          </w:tcPr>
          <w:p w14:paraId="3299A205" w14:textId="77777777" w:rsidR="0075791A" w:rsidRDefault="00FB2864">
            <w:pPr>
              <w:pStyle w:val="TableParagraph"/>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0</w:t>
            </w:r>
          </w:p>
        </w:tc>
        <w:tc>
          <w:tcPr>
            <w:tcW w:w="1358" w:type="dxa"/>
            <w:tcBorders>
              <w:top w:val="single" w:sz="4" w:space="0" w:color="000000"/>
              <w:left w:val="single" w:sz="4" w:space="0" w:color="000000"/>
              <w:bottom w:val="single" w:sz="4" w:space="0" w:color="000000"/>
              <w:right w:val="single" w:sz="4" w:space="0" w:color="000000"/>
            </w:tcBorders>
            <w:vAlign w:val="center"/>
          </w:tcPr>
          <w:p w14:paraId="4AE95619" w14:textId="77777777" w:rsidR="0075791A" w:rsidRDefault="00FB2864">
            <w:pPr>
              <w:pStyle w:val="TableParagraph"/>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0</w:t>
            </w:r>
          </w:p>
        </w:tc>
        <w:tc>
          <w:tcPr>
            <w:tcW w:w="1357" w:type="dxa"/>
            <w:tcBorders>
              <w:top w:val="single" w:sz="4" w:space="0" w:color="000000"/>
              <w:left w:val="single" w:sz="4" w:space="0" w:color="000000"/>
              <w:bottom w:val="single" w:sz="4" w:space="0" w:color="000000"/>
              <w:right w:val="single" w:sz="4" w:space="0" w:color="000000"/>
            </w:tcBorders>
            <w:vAlign w:val="center"/>
          </w:tcPr>
          <w:p w14:paraId="7498C8B8" w14:textId="77777777" w:rsidR="0075791A" w:rsidRDefault="00FB2864">
            <w:pPr>
              <w:pStyle w:val="TableParagraph"/>
              <w:ind w:left="541" w:right="544"/>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7</w:t>
            </w:r>
          </w:p>
        </w:tc>
      </w:tr>
      <w:tr w:rsidR="0075791A" w14:paraId="0282DAA9" w14:textId="77777777">
        <w:trPr>
          <w:trHeight w:hRule="exact" w:val="340"/>
        </w:trPr>
        <w:tc>
          <w:tcPr>
            <w:tcW w:w="862" w:type="dxa"/>
            <w:tcBorders>
              <w:top w:val="single" w:sz="4" w:space="0" w:color="000000"/>
              <w:left w:val="single" w:sz="4" w:space="0" w:color="000000"/>
              <w:bottom w:val="single" w:sz="4" w:space="0" w:color="000000"/>
              <w:right w:val="single" w:sz="4" w:space="0" w:color="000000"/>
            </w:tcBorders>
            <w:vAlign w:val="center"/>
          </w:tcPr>
          <w:p w14:paraId="0D74B61C" w14:textId="77777777" w:rsidR="0075791A" w:rsidRDefault="00FB2864">
            <w:pPr>
              <w:pStyle w:val="TableParagraph"/>
              <w:ind w:left="206"/>
              <w:jc w:val="center"/>
              <w:rPr>
                <w:rFonts w:ascii="宋体" w:eastAsia="宋体" w:hAnsi="宋体" w:cs="宋体"/>
                <w:color w:val="auto"/>
                <w:sz w:val="22"/>
                <w:szCs w:val="22"/>
              </w:rPr>
            </w:pPr>
            <w:r>
              <w:rPr>
                <w:rFonts w:ascii="宋体" w:eastAsia="宋体" w:hAnsi="宋体" w:cs="宋体"/>
                <w:color w:val="auto"/>
                <w:spacing w:val="-1"/>
                <w:sz w:val="22"/>
                <w:szCs w:val="22"/>
              </w:rPr>
              <w:t>合</w:t>
            </w:r>
            <w:r>
              <w:rPr>
                <w:rFonts w:ascii="宋体" w:eastAsia="宋体" w:hAnsi="宋体" w:cs="宋体"/>
                <w:color w:val="auto"/>
                <w:sz w:val="22"/>
                <w:szCs w:val="22"/>
              </w:rPr>
              <w:t>计</w:t>
            </w:r>
          </w:p>
        </w:tc>
        <w:tc>
          <w:tcPr>
            <w:tcW w:w="1361" w:type="dxa"/>
            <w:tcBorders>
              <w:top w:val="single" w:sz="4" w:space="0" w:color="000000"/>
              <w:left w:val="single" w:sz="4" w:space="0" w:color="000000"/>
              <w:bottom w:val="single" w:sz="4" w:space="0" w:color="000000"/>
              <w:right w:val="single" w:sz="4" w:space="0" w:color="000000"/>
            </w:tcBorders>
            <w:vAlign w:val="center"/>
          </w:tcPr>
          <w:p w14:paraId="517AFA95" w14:textId="77777777" w:rsidR="0075791A" w:rsidRDefault="00FB2864">
            <w:pPr>
              <w:pStyle w:val="TableParagraph"/>
              <w:ind w:left="547" w:right="546"/>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w:t>
            </w:r>
            <w:r>
              <w:rPr>
                <w:rFonts w:ascii="Times New Roman" w:eastAsia="Times New Roman" w:hAnsi="Times New Roman" w:cs="Times New Roman"/>
                <w:color w:val="auto"/>
                <w:sz w:val="22"/>
                <w:szCs w:val="22"/>
              </w:rPr>
              <w:t>9</w:t>
            </w:r>
          </w:p>
        </w:tc>
        <w:tc>
          <w:tcPr>
            <w:tcW w:w="1359" w:type="dxa"/>
            <w:tcBorders>
              <w:top w:val="single" w:sz="4" w:space="0" w:color="000000"/>
              <w:left w:val="single" w:sz="4" w:space="0" w:color="000000"/>
              <w:bottom w:val="single" w:sz="4" w:space="0" w:color="000000"/>
              <w:right w:val="single" w:sz="4" w:space="0" w:color="000000"/>
            </w:tcBorders>
            <w:vAlign w:val="center"/>
          </w:tcPr>
          <w:p w14:paraId="75EBF89F" w14:textId="77777777" w:rsidR="0075791A" w:rsidRDefault="00FB2864">
            <w:pPr>
              <w:pStyle w:val="TableParagraph"/>
              <w:ind w:right="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2</w:t>
            </w:r>
            <w:r>
              <w:rPr>
                <w:rFonts w:ascii="Times New Roman" w:eastAsia="Times New Roman" w:hAnsi="Times New Roman" w:cs="Times New Roman"/>
                <w:color w:val="auto"/>
                <w:sz w:val="22"/>
                <w:szCs w:val="22"/>
              </w:rPr>
              <w:t>0</w:t>
            </w:r>
          </w:p>
        </w:tc>
        <w:tc>
          <w:tcPr>
            <w:tcW w:w="1359" w:type="dxa"/>
            <w:tcBorders>
              <w:top w:val="single" w:sz="4" w:space="0" w:color="000000"/>
              <w:left w:val="single" w:sz="4" w:space="0" w:color="000000"/>
              <w:bottom w:val="single" w:sz="4" w:space="0" w:color="000000"/>
              <w:right w:val="single" w:sz="4" w:space="0" w:color="000000"/>
            </w:tcBorders>
            <w:vAlign w:val="center"/>
          </w:tcPr>
          <w:p w14:paraId="78ADEB70" w14:textId="77777777" w:rsidR="0075791A" w:rsidRDefault="00FB2864">
            <w:pPr>
              <w:pStyle w:val="TableParagraph"/>
              <w:ind w:left="601" w:right="599"/>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6</w:t>
            </w:r>
          </w:p>
        </w:tc>
        <w:tc>
          <w:tcPr>
            <w:tcW w:w="1359" w:type="dxa"/>
            <w:tcBorders>
              <w:top w:val="single" w:sz="4" w:space="0" w:color="000000"/>
              <w:left w:val="single" w:sz="4" w:space="0" w:color="000000"/>
              <w:bottom w:val="single" w:sz="4" w:space="0" w:color="000000"/>
              <w:right w:val="single" w:sz="4" w:space="0" w:color="000000"/>
            </w:tcBorders>
            <w:vAlign w:val="center"/>
          </w:tcPr>
          <w:p w14:paraId="432E154F" w14:textId="77777777" w:rsidR="0075791A" w:rsidRDefault="00FB2864">
            <w:pPr>
              <w:pStyle w:val="TableParagraph"/>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1</w:t>
            </w:r>
          </w:p>
        </w:tc>
        <w:tc>
          <w:tcPr>
            <w:tcW w:w="1358" w:type="dxa"/>
            <w:tcBorders>
              <w:top w:val="single" w:sz="4" w:space="0" w:color="000000"/>
              <w:left w:val="single" w:sz="4" w:space="0" w:color="000000"/>
              <w:bottom w:val="single" w:sz="4" w:space="0" w:color="000000"/>
              <w:right w:val="single" w:sz="4" w:space="0" w:color="000000"/>
            </w:tcBorders>
            <w:vAlign w:val="center"/>
          </w:tcPr>
          <w:p w14:paraId="59F447A5" w14:textId="77777777" w:rsidR="0075791A" w:rsidRDefault="00FB2864">
            <w:pPr>
              <w:pStyle w:val="TableParagraph"/>
              <w:ind w:left="600" w:right="60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6</w:t>
            </w:r>
          </w:p>
        </w:tc>
        <w:tc>
          <w:tcPr>
            <w:tcW w:w="1357" w:type="dxa"/>
            <w:tcBorders>
              <w:top w:val="single" w:sz="4" w:space="0" w:color="000000"/>
              <w:left w:val="single" w:sz="4" w:space="0" w:color="000000"/>
              <w:bottom w:val="single" w:sz="4" w:space="0" w:color="000000"/>
              <w:right w:val="single" w:sz="4" w:space="0" w:color="000000"/>
            </w:tcBorders>
            <w:vAlign w:val="center"/>
          </w:tcPr>
          <w:p w14:paraId="0B6D7DE1" w14:textId="77777777" w:rsidR="0075791A" w:rsidRDefault="00FB2864">
            <w:pPr>
              <w:pStyle w:val="TableParagraph"/>
              <w:ind w:left="545" w:right="544"/>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4</w:t>
            </w:r>
            <w:r>
              <w:rPr>
                <w:rFonts w:ascii="Times New Roman" w:eastAsia="Times New Roman" w:hAnsi="Times New Roman" w:cs="Times New Roman"/>
                <w:color w:val="auto"/>
                <w:sz w:val="22"/>
                <w:szCs w:val="22"/>
              </w:rPr>
              <w:t>2</w:t>
            </w:r>
          </w:p>
        </w:tc>
      </w:tr>
    </w:tbl>
    <w:p w14:paraId="710B4887" w14:textId="77777777" w:rsidR="0075791A" w:rsidRDefault="0075791A">
      <w:pPr>
        <w:kinsoku/>
        <w:adjustRightInd/>
        <w:snapToGrid/>
        <w:spacing w:line="360" w:lineRule="auto"/>
        <w:ind w:firstLineChars="200" w:firstLine="480"/>
        <w:jc w:val="both"/>
        <w:textAlignment w:val="auto"/>
        <w:rPr>
          <w:rFonts w:ascii="宋体" w:eastAsia="宋体" w:hAnsi="宋体"/>
          <w:color w:val="auto"/>
          <w:sz w:val="24"/>
          <w:szCs w:val="24"/>
          <w:lang w:eastAsia="zh-CN"/>
        </w:rPr>
      </w:pPr>
    </w:p>
    <w:p w14:paraId="58EA59A8"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调查期间该海域大型底栖生物优势种类主要为日本和美虾（</w:t>
      </w:r>
      <w:r>
        <w:rPr>
          <w:rFonts w:ascii="Times New Roman" w:eastAsia="宋体" w:hAnsi="Times New Roman" w:cs="Times New Roman" w:hint="eastAsia"/>
          <w:i/>
          <w:iCs/>
          <w:snapToGrid/>
          <w:color w:val="auto"/>
          <w:kern w:val="2"/>
          <w:sz w:val="24"/>
          <w:szCs w:val="24"/>
          <w:lang w:eastAsia="zh-CN"/>
        </w:rPr>
        <w:t>Nihonotrypaea japonica</w:t>
      </w:r>
      <w:r>
        <w:rPr>
          <w:rFonts w:ascii="Times New Roman" w:eastAsia="宋体" w:hAnsi="Times New Roman" w:cs="Times New Roman" w:hint="eastAsia"/>
          <w:snapToGrid/>
          <w:color w:val="auto"/>
          <w:kern w:val="2"/>
          <w:sz w:val="24"/>
          <w:szCs w:val="24"/>
          <w:lang w:eastAsia="zh-CN"/>
        </w:rPr>
        <w:t>）、毡毛岩虫（</w:t>
      </w:r>
      <w:r>
        <w:rPr>
          <w:rFonts w:ascii="Times New Roman" w:eastAsia="宋体" w:hAnsi="Times New Roman" w:cs="Times New Roman" w:hint="eastAsia"/>
          <w:i/>
          <w:iCs/>
          <w:snapToGrid/>
          <w:color w:val="auto"/>
          <w:kern w:val="2"/>
          <w:sz w:val="24"/>
          <w:szCs w:val="24"/>
          <w:lang w:eastAsia="zh-CN"/>
        </w:rPr>
        <w:t>Marphysa stragulum</w:t>
      </w:r>
      <w:r>
        <w:rPr>
          <w:rFonts w:ascii="Times New Roman" w:eastAsia="宋体" w:hAnsi="Times New Roman" w:cs="Times New Roman" w:hint="eastAsia"/>
          <w:snapToGrid/>
          <w:color w:val="auto"/>
          <w:kern w:val="2"/>
          <w:sz w:val="24"/>
          <w:szCs w:val="24"/>
          <w:lang w:eastAsia="zh-CN"/>
        </w:rPr>
        <w:t>）、裸孔阳遂足（</w:t>
      </w:r>
      <w:r>
        <w:rPr>
          <w:rFonts w:ascii="Times New Roman" w:eastAsia="宋体" w:hAnsi="Times New Roman" w:cs="Times New Roman" w:hint="eastAsia"/>
          <w:i/>
          <w:iCs/>
          <w:snapToGrid/>
          <w:color w:val="auto"/>
          <w:kern w:val="2"/>
          <w:sz w:val="24"/>
          <w:szCs w:val="24"/>
          <w:lang w:eastAsia="zh-CN"/>
        </w:rPr>
        <w:t>Amphiura leptotata</w:t>
      </w:r>
      <w:r>
        <w:rPr>
          <w:rFonts w:ascii="Times New Roman" w:eastAsia="宋体" w:hAnsi="Times New Roman" w:cs="Times New Roman" w:hint="eastAsia"/>
          <w:snapToGrid/>
          <w:color w:val="auto"/>
          <w:kern w:val="2"/>
          <w:sz w:val="24"/>
          <w:szCs w:val="24"/>
          <w:lang w:eastAsia="zh-CN"/>
        </w:rPr>
        <w:t>），其中日本和美虾优势度最高（详见</w:t>
      </w:r>
      <w:r>
        <w:rPr>
          <w:rFonts w:ascii="宋体" w:eastAsia="宋体" w:hAnsi="宋体" w:cs="宋体" w:hint="eastAsia"/>
          <w:color w:val="auto"/>
          <w:sz w:val="24"/>
          <w:szCs w:val="24"/>
        </w:rPr>
        <w:t>表</w:t>
      </w:r>
      <w:r>
        <w:rPr>
          <w:rFonts w:ascii="Times New Roman" w:eastAsia="宋体" w:hAnsi="Times New Roman" w:cs="Times New Roman" w:hint="eastAsia"/>
          <w:snapToGrid/>
          <w:color w:val="auto"/>
          <w:kern w:val="2"/>
          <w:sz w:val="24"/>
          <w:szCs w:val="24"/>
          <w:lang w:eastAsia="zh-CN"/>
        </w:rPr>
        <w:t>3.2.6-25</w:t>
      </w:r>
      <w:r>
        <w:rPr>
          <w:rFonts w:ascii="Times New Roman" w:eastAsia="宋体" w:hAnsi="Times New Roman" w:cs="Times New Roman" w:hint="eastAsia"/>
          <w:snapToGrid/>
          <w:color w:val="auto"/>
          <w:kern w:val="2"/>
          <w:sz w:val="24"/>
          <w:szCs w:val="24"/>
          <w:lang w:eastAsia="zh-CN"/>
        </w:rPr>
        <w:t>）。</w:t>
      </w:r>
    </w:p>
    <w:p w14:paraId="317E611E" w14:textId="77777777" w:rsidR="0075791A" w:rsidRDefault="00FB2864">
      <w:pPr>
        <w:kinsoku/>
        <w:adjustRightInd/>
        <w:snapToGrid/>
        <w:jc w:val="center"/>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表</w:t>
      </w:r>
      <w:r>
        <w:rPr>
          <w:rFonts w:ascii="Times New Roman" w:eastAsia="宋体" w:hAnsi="Times New Roman" w:cs="Times New Roman" w:hint="eastAsia"/>
          <w:snapToGrid/>
          <w:color w:val="auto"/>
          <w:kern w:val="2"/>
          <w:sz w:val="24"/>
          <w:szCs w:val="24"/>
          <w:lang w:eastAsia="zh-CN"/>
        </w:rPr>
        <w:t>3.2.6-25</w:t>
      </w:r>
      <w:r>
        <w:rPr>
          <w:rFonts w:ascii="宋体" w:eastAsia="宋体" w:hAnsi="宋体" w:cs="宋体" w:hint="eastAsia"/>
          <w:color w:val="auto"/>
          <w:sz w:val="24"/>
          <w:szCs w:val="24"/>
          <w:lang w:eastAsia="zh-CN"/>
        </w:rPr>
        <w:t xml:space="preserve"> </w:t>
      </w:r>
      <w:r>
        <w:rPr>
          <w:rFonts w:ascii="宋体" w:eastAsia="宋体" w:hAnsi="宋体" w:cs="宋体" w:hint="eastAsia"/>
          <w:color w:val="auto"/>
          <w:sz w:val="24"/>
          <w:szCs w:val="24"/>
          <w:lang w:eastAsia="zh-CN"/>
        </w:rPr>
        <w:t>2024</w:t>
      </w:r>
      <w:r>
        <w:rPr>
          <w:rFonts w:ascii="宋体" w:eastAsia="宋体" w:hAnsi="宋体" w:cs="宋体" w:hint="eastAsia"/>
          <w:color w:val="auto"/>
          <w:sz w:val="24"/>
          <w:szCs w:val="24"/>
          <w:lang w:eastAsia="zh-CN"/>
        </w:rPr>
        <w:t>年</w:t>
      </w:r>
      <w:r>
        <w:rPr>
          <w:rFonts w:ascii="宋体" w:eastAsia="宋体" w:hAnsi="宋体" w:cs="宋体" w:hint="eastAsia"/>
          <w:color w:val="auto"/>
          <w:sz w:val="24"/>
          <w:szCs w:val="24"/>
          <w:lang w:eastAsia="zh-CN"/>
        </w:rPr>
        <w:t>9</w:t>
      </w:r>
      <w:r>
        <w:rPr>
          <w:rFonts w:ascii="宋体" w:eastAsia="宋体" w:hAnsi="宋体" w:cs="宋体" w:hint="eastAsia"/>
          <w:color w:val="auto"/>
          <w:sz w:val="24"/>
          <w:szCs w:val="24"/>
          <w:lang w:eastAsia="zh-CN"/>
        </w:rPr>
        <w:t>月航次大型底栖生物的优势种和优势度</w:t>
      </w:r>
    </w:p>
    <w:tbl>
      <w:tblPr>
        <w:tblW w:w="0" w:type="auto"/>
        <w:tblInd w:w="97" w:type="dxa"/>
        <w:tblLayout w:type="fixed"/>
        <w:tblCellMar>
          <w:left w:w="0" w:type="dxa"/>
          <w:right w:w="0" w:type="dxa"/>
        </w:tblCellMar>
        <w:tblLook w:val="04A0" w:firstRow="1" w:lastRow="0" w:firstColumn="1" w:lastColumn="0" w:noHBand="0" w:noVBand="1"/>
      </w:tblPr>
      <w:tblGrid>
        <w:gridCol w:w="2151"/>
        <w:gridCol w:w="1847"/>
        <w:gridCol w:w="1642"/>
        <w:gridCol w:w="1642"/>
        <w:gridCol w:w="1642"/>
      </w:tblGrid>
      <w:tr w:rsidR="0075791A" w14:paraId="3457BA39" w14:textId="77777777">
        <w:trPr>
          <w:trHeight w:hRule="exact" w:val="509"/>
        </w:trPr>
        <w:tc>
          <w:tcPr>
            <w:tcW w:w="2151" w:type="dxa"/>
            <w:tcBorders>
              <w:top w:val="single" w:sz="4" w:space="0" w:color="000000"/>
              <w:left w:val="single" w:sz="4" w:space="0" w:color="000000"/>
              <w:bottom w:val="single" w:sz="4" w:space="0" w:color="000000"/>
              <w:right w:val="single" w:sz="4" w:space="0" w:color="000000"/>
            </w:tcBorders>
          </w:tcPr>
          <w:p w14:paraId="586082A1" w14:textId="77777777" w:rsidR="0075791A" w:rsidRDefault="0075791A">
            <w:pPr>
              <w:pStyle w:val="TableParagraph"/>
              <w:spacing w:before="4" w:line="130" w:lineRule="exact"/>
              <w:rPr>
                <w:color w:val="auto"/>
                <w:sz w:val="13"/>
                <w:szCs w:val="13"/>
                <w:lang w:eastAsia="zh-CN"/>
              </w:rPr>
            </w:pPr>
          </w:p>
          <w:p w14:paraId="09804650"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优</w:t>
            </w:r>
            <w:r>
              <w:rPr>
                <w:rFonts w:ascii="宋体" w:eastAsia="宋体" w:hAnsi="宋体" w:cs="宋体"/>
                <w:color w:val="auto"/>
                <w:spacing w:val="2"/>
              </w:rPr>
              <w:t>势</w:t>
            </w:r>
            <w:r>
              <w:rPr>
                <w:rFonts w:ascii="宋体" w:eastAsia="宋体" w:hAnsi="宋体" w:cs="宋体"/>
                <w:color w:val="auto"/>
              </w:rPr>
              <w:t>种</w:t>
            </w:r>
          </w:p>
        </w:tc>
        <w:tc>
          <w:tcPr>
            <w:tcW w:w="1847" w:type="dxa"/>
            <w:tcBorders>
              <w:top w:val="single" w:sz="4" w:space="0" w:color="000000"/>
              <w:left w:val="single" w:sz="4" w:space="0" w:color="000000"/>
              <w:bottom w:val="single" w:sz="4" w:space="0" w:color="000000"/>
              <w:right w:val="single" w:sz="4" w:space="0" w:color="000000"/>
            </w:tcBorders>
          </w:tcPr>
          <w:p w14:paraId="19162D27" w14:textId="77777777" w:rsidR="0075791A" w:rsidRDefault="00FB2864">
            <w:pPr>
              <w:pStyle w:val="TableParagraph"/>
              <w:spacing w:line="286" w:lineRule="exact"/>
              <w:ind w:right="5"/>
              <w:jc w:val="center"/>
              <w:rPr>
                <w:rFonts w:ascii="宋体" w:eastAsia="宋体" w:hAnsi="宋体" w:cs="宋体"/>
                <w:color w:val="auto"/>
              </w:rPr>
            </w:pPr>
            <w:r>
              <w:rPr>
                <w:rFonts w:ascii="宋体" w:eastAsia="宋体" w:hAnsi="宋体" w:cs="宋体"/>
                <w:color w:val="auto"/>
                <w:spacing w:val="-1"/>
              </w:rPr>
              <w:t>平</w:t>
            </w:r>
            <w:r>
              <w:rPr>
                <w:rFonts w:ascii="宋体" w:eastAsia="宋体" w:hAnsi="宋体" w:cs="宋体"/>
                <w:color w:val="auto"/>
                <w:spacing w:val="2"/>
              </w:rPr>
              <w:t>均</w:t>
            </w:r>
            <w:r>
              <w:rPr>
                <w:rFonts w:ascii="宋体" w:eastAsia="宋体" w:hAnsi="宋体" w:cs="宋体"/>
                <w:color w:val="auto"/>
                <w:spacing w:val="-1"/>
              </w:rPr>
              <w:t>栖</w:t>
            </w:r>
            <w:r>
              <w:rPr>
                <w:rFonts w:ascii="宋体" w:eastAsia="宋体" w:hAnsi="宋体" w:cs="宋体"/>
                <w:color w:val="auto"/>
                <w:spacing w:val="2"/>
              </w:rPr>
              <w:t>息</w:t>
            </w:r>
            <w:r>
              <w:rPr>
                <w:rFonts w:ascii="宋体" w:eastAsia="宋体" w:hAnsi="宋体" w:cs="宋体"/>
                <w:color w:val="auto"/>
                <w:spacing w:val="-1"/>
              </w:rPr>
              <w:t>密</w:t>
            </w:r>
            <w:r>
              <w:rPr>
                <w:rFonts w:ascii="宋体" w:eastAsia="宋体" w:hAnsi="宋体" w:cs="宋体"/>
                <w:color w:val="auto"/>
              </w:rPr>
              <w:t>度</w:t>
            </w:r>
          </w:p>
          <w:p w14:paraId="02CEEC97" w14:textId="77777777" w:rsidR="0075791A" w:rsidRDefault="00FB2864">
            <w:pPr>
              <w:pStyle w:val="TableParagraph"/>
              <w:spacing w:before="9"/>
              <w:ind w:right="2"/>
              <w:jc w:val="center"/>
              <w:rPr>
                <w:rFonts w:ascii="宋体" w:eastAsia="宋体" w:hAnsi="宋体" w:cs="宋体"/>
                <w:color w:val="auto"/>
              </w:rPr>
            </w:pPr>
            <w:r>
              <w:rPr>
                <w:rFonts w:ascii="宋体" w:eastAsia="宋体" w:hAnsi="宋体" w:cs="宋体"/>
                <w:color w:val="auto"/>
                <w:spacing w:val="2"/>
              </w:rPr>
              <w:t>（</w:t>
            </w:r>
            <w:r>
              <w:rPr>
                <w:rFonts w:ascii="Times New Roman" w:eastAsia="Times New Roman" w:hAnsi="Times New Roman" w:cs="Times New Roman"/>
                <w:color w:val="auto"/>
                <w:spacing w:val="-1"/>
              </w:rPr>
              <w:t>i</w:t>
            </w:r>
            <w:r>
              <w:rPr>
                <w:rFonts w:ascii="Times New Roman" w:eastAsia="Times New Roman" w:hAnsi="Times New Roman" w:cs="Times New Roman"/>
                <w:color w:val="auto"/>
                <w:spacing w:val="1"/>
              </w:rPr>
              <w:t>nd</w:t>
            </w:r>
            <w:r>
              <w:rPr>
                <w:rFonts w:ascii="Times New Roman" w:eastAsia="Times New Roman" w:hAnsi="Times New Roman" w:cs="Times New Roman"/>
                <w:color w:val="auto"/>
                <w:spacing w:val="-1"/>
              </w:rPr>
              <w:t>/</w:t>
            </w:r>
            <w:r>
              <w:rPr>
                <w:rFonts w:ascii="Times New Roman" w:eastAsia="Times New Roman" w:hAnsi="Times New Roman" w:cs="Times New Roman"/>
                <w:color w:val="auto"/>
              </w:rPr>
              <w:t>m</w:t>
            </w:r>
            <w:r>
              <w:rPr>
                <w:rFonts w:ascii="Times New Roman" w:eastAsia="Times New Roman" w:hAnsi="Times New Roman" w:cs="Times New Roman"/>
                <w:color w:val="auto"/>
                <w:spacing w:val="-2"/>
                <w:position w:val="7"/>
                <w:sz w:val="13"/>
                <w:szCs w:val="13"/>
              </w:rPr>
              <w:t>2</w:t>
            </w:r>
            <w:r>
              <w:rPr>
                <w:rFonts w:ascii="宋体" w:eastAsia="宋体" w:hAnsi="宋体" w:cs="宋体"/>
                <w:color w:val="auto"/>
              </w:rPr>
              <w:t>）</w:t>
            </w:r>
          </w:p>
        </w:tc>
        <w:tc>
          <w:tcPr>
            <w:tcW w:w="1642" w:type="dxa"/>
            <w:tcBorders>
              <w:top w:val="single" w:sz="4" w:space="0" w:color="000000"/>
              <w:left w:val="single" w:sz="4" w:space="0" w:color="000000"/>
              <w:bottom w:val="single" w:sz="4" w:space="0" w:color="000000"/>
              <w:right w:val="single" w:sz="4" w:space="0" w:color="000000"/>
            </w:tcBorders>
          </w:tcPr>
          <w:p w14:paraId="575711E7" w14:textId="77777777" w:rsidR="0075791A" w:rsidRDefault="00FB2864">
            <w:pPr>
              <w:pStyle w:val="TableParagraph"/>
              <w:spacing w:line="286" w:lineRule="exact"/>
              <w:ind w:right="4"/>
              <w:jc w:val="center"/>
              <w:rPr>
                <w:rFonts w:ascii="宋体" w:eastAsia="宋体" w:hAnsi="宋体" w:cs="宋体"/>
                <w:color w:val="auto"/>
              </w:rPr>
            </w:pPr>
            <w:r>
              <w:rPr>
                <w:rFonts w:ascii="宋体" w:eastAsia="宋体" w:hAnsi="宋体" w:cs="宋体"/>
                <w:color w:val="auto"/>
                <w:spacing w:val="-1"/>
              </w:rPr>
              <w:t>比</w:t>
            </w:r>
            <w:r>
              <w:rPr>
                <w:rFonts w:ascii="宋体" w:eastAsia="宋体" w:hAnsi="宋体" w:cs="宋体"/>
                <w:color w:val="auto"/>
              </w:rPr>
              <w:t>例</w:t>
            </w:r>
          </w:p>
          <w:p w14:paraId="4256BBD6" w14:textId="77777777" w:rsidR="0075791A" w:rsidRDefault="00FB2864">
            <w:pPr>
              <w:pStyle w:val="TableParagraph"/>
              <w:spacing w:before="9"/>
              <w:ind w:right="2"/>
              <w:jc w:val="center"/>
              <w:rPr>
                <w:rFonts w:ascii="宋体" w:eastAsia="宋体" w:hAnsi="宋体" w:cs="宋体"/>
                <w:color w:val="auto"/>
              </w:rPr>
            </w:pPr>
            <w:r>
              <w:rPr>
                <w:rFonts w:ascii="宋体" w:eastAsia="宋体" w:hAnsi="宋体" w:cs="宋体"/>
                <w:color w:val="auto"/>
                <w:spacing w:val="-1"/>
              </w:rPr>
              <w:t>（</w:t>
            </w:r>
            <w:r>
              <w:rPr>
                <w:rFonts w:ascii="Times New Roman" w:eastAsia="Times New Roman" w:hAnsi="Times New Roman" w:cs="Times New Roman"/>
                <w:color w:val="auto"/>
                <w:spacing w:val="1"/>
              </w:rPr>
              <w:t>%</w:t>
            </w:r>
            <w:r>
              <w:rPr>
                <w:rFonts w:ascii="宋体" w:eastAsia="宋体" w:hAnsi="宋体" w:cs="宋体"/>
                <w:color w:val="auto"/>
              </w:rPr>
              <w:t>）</w:t>
            </w:r>
          </w:p>
        </w:tc>
        <w:tc>
          <w:tcPr>
            <w:tcW w:w="1642" w:type="dxa"/>
            <w:tcBorders>
              <w:top w:val="single" w:sz="4" w:space="0" w:color="000000"/>
              <w:left w:val="single" w:sz="4" w:space="0" w:color="000000"/>
              <w:bottom w:val="single" w:sz="4" w:space="0" w:color="000000"/>
              <w:right w:val="single" w:sz="4" w:space="0" w:color="000000"/>
            </w:tcBorders>
          </w:tcPr>
          <w:p w14:paraId="1470E752" w14:textId="77777777" w:rsidR="0075791A" w:rsidRDefault="00FB2864">
            <w:pPr>
              <w:pStyle w:val="TableParagraph"/>
              <w:spacing w:line="286" w:lineRule="exact"/>
              <w:ind w:right="3"/>
              <w:jc w:val="center"/>
              <w:rPr>
                <w:rFonts w:ascii="宋体" w:eastAsia="宋体" w:hAnsi="宋体" w:cs="宋体"/>
                <w:color w:val="auto"/>
              </w:rPr>
            </w:pPr>
            <w:r>
              <w:rPr>
                <w:rFonts w:ascii="宋体" w:eastAsia="宋体" w:hAnsi="宋体" w:cs="宋体"/>
                <w:color w:val="auto"/>
                <w:spacing w:val="-1"/>
              </w:rPr>
              <w:t>出</w:t>
            </w:r>
            <w:r>
              <w:rPr>
                <w:rFonts w:ascii="宋体" w:eastAsia="宋体" w:hAnsi="宋体" w:cs="宋体"/>
                <w:color w:val="auto"/>
                <w:spacing w:val="2"/>
              </w:rPr>
              <w:t>现</w:t>
            </w:r>
            <w:r>
              <w:rPr>
                <w:rFonts w:ascii="宋体" w:eastAsia="宋体" w:hAnsi="宋体" w:cs="宋体"/>
                <w:color w:val="auto"/>
                <w:spacing w:val="-1"/>
              </w:rPr>
              <w:t>频</w:t>
            </w:r>
            <w:r>
              <w:rPr>
                <w:rFonts w:ascii="宋体" w:eastAsia="宋体" w:hAnsi="宋体" w:cs="宋体"/>
                <w:color w:val="auto"/>
              </w:rPr>
              <w:t>率</w:t>
            </w:r>
          </w:p>
          <w:p w14:paraId="4A6701D1" w14:textId="77777777" w:rsidR="0075791A" w:rsidRDefault="00FB2864">
            <w:pPr>
              <w:pStyle w:val="TableParagraph"/>
              <w:spacing w:before="9"/>
              <w:ind w:right="3"/>
              <w:jc w:val="center"/>
              <w:rPr>
                <w:rFonts w:ascii="宋体" w:eastAsia="宋体" w:hAnsi="宋体" w:cs="宋体"/>
                <w:color w:val="auto"/>
              </w:rPr>
            </w:pPr>
            <w:r>
              <w:rPr>
                <w:rFonts w:ascii="宋体" w:eastAsia="宋体" w:hAnsi="宋体" w:cs="宋体"/>
                <w:color w:val="auto"/>
                <w:spacing w:val="-1"/>
              </w:rPr>
              <w:t>（</w:t>
            </w:r>
            <w:r>
              <w:rPr>
                <w:rFonts w:ascii="Times New Roman" w:eastAsia="Times New Roman" w:hAnsi="Times New Roman" w:cs="Times New Roman"/>
                <w:color w:val="auto"/>
                <w:spacing w:val="1"/>
              </w:rPr>
              <w:t>%</w:t>
            </w:r>
            <w:r>
              <w:rPr>
                <w:rFonts w:ascii="宋体" w:eastAsia="宋体" w:hAnsi="宋体" w:cs="宋体"/>
                <w:color w:val="auto"/>
              </w:rPr>
              <w:t>）</w:t>
            </w:r>
          </w:p>
        </w:tc>
        <w:tc>
          <w:tcPr>
            <w:tcW w:w="1642" w:type="dxa"/>
            <w:tcBorders>
              <w:top w:val="single" w:sz="4" w:space="0" w:color="000000"/>
              <w:left w:val="single" w:sz="4" w:space="0" w:color="000000"/>
              <w:bottom w:val="single" w:sz="4" w:space="0" w:color="000000"/>
              <w:right w:val="single" w:sz="4" w:space="0" w:color="000000"/>
            </w:tcBorders>
          </w:tcPr>
          <w:p w14:paraId="6CBD7E46" w14:textId="77777777" w:rsidR="0075791A" w:rsidRDefault="0075791A">
            <w:pPr>
              <w:pStyle w:val="TableParagraph"/>
              <w:spacing w:before="4" w:line="130" w:lineRule="exact"/>
              <w:rPr>
                <w:color w:val="auto"/>
                <w:sz w:val="13"/>
                <w:szCs w:val="13"/>
              </w:rPr>
            </w:pPr>
          </w:p>
          <w:p w14:paraId="3CA22AFB" w14:textId="77777777" w:rsidR="0075791A" w:rsidRDefault="00FB2864">
            <w:pPr>
              <w:pStyle w:val="TableParagraph"/>
              <w:ind w:left="501"/>
              <w:rPr>
                <w:rFonts w:ascii="宋体" w:eastAsia="宋体" w:hAnsi="宋体" w:cs="宋体"/>
                <w:color w:val="auto"/>
              </w:rPr>
            </w:pPr>
            <w:r>
              <w:rPr>
                <w:rFonts w:ascii="宋体" w:eastAsia="宋体" w:hAnsi="宋体" w:cs="宋体"/>
                <w:color w:val="auto"/>
                <w:spacing w:val="-1"/>
              </w:rPr>
              <w:t>优</w:t>
            </w:r>
            <w:r>
              <w:rPr>
                <w:rFonts w:ascii="宋体" w:eastAsia="宋体" w:hAnsi="宋体" w:cs="宋体"/>
                <w:color w:val="auto"/>
                <w:spacing w:val="2"/>
              </w:rPr>
              <w:t>势</w:t>
            </w:r>
            <w:r>
              <w:rPr>
                <w:rFonts w:ascii="宋体" w:eastAsia="宋体" w:hAnsi="宋体" w:cs="宋体"/>
                <w:color w:val="auto"/>
              </w:rPr>
              <w:t>度</w:t>
            </w:r>
          </w:p>
        </w:tc>
      </w:tr>
      <w:tr w:rsidR="0075791A" w14:paraId="2822FC4E" w14:textId="77777777">
        <w:trPr>
          <w:trHeight w:hRule="exact" w:val="345"/>
        </w:trPr>
        <w:tc>
          <w:tcPr>
            <w:tcW w:w="2151" w:type="dxa"/>
            <w:tcBorders>
              <w:top w:val="single" w:sz="4" w:space="0" w:color="000000"/>
              <w:left w:val="single" w:sz="4" w:space="0" w:color="000000"/>
              <w:bottom w:val="single" w:sz="4" w:space="0" w:color="000000"/>
              <w:right w:val="single" w:sz="4" w:space="0" w:color="000000"/>
            </w:tcBorders>
          </w:tcPr>
          <w:p w14:paraId="248FEAC9" w14:textId="77777777" w:rsidR="0075791A" w:rsidRDefault="00FB2864">
            <w:pPr>
              <w:pStyle w:val="TableParagraph"/>
              <w:spacing w:line="291" w:lineRule="exact"/>
              <w:ind w:left="544"/>
              <w:rPr>
                <w:rFonts w:ascii="宋体" w:eastAsia="宋体" w:hAnsi="宋体" w:cs="宋体"/>
                <w:color w:val="auto"/>
              </w:rPr>
            </w:pPr>
            <w:r>
              <w:rPr>
                <w:rFonts w:ascii="宋体" w:eastAsia="宋体" w:hAnsi="宋体" w:cs="宋体"/>
                <w:color w:val="auto"/>
                <w:spacing w:val="-1"/>
              </w:rPr>
              <w:t>日</w:t>
            </w:r>
            <w:r>
              <w:rPr>
                <w:rFonts w:ascii="宋体" w:eastAsia="宋体" w:hAnsi="宋体" w:cs="宋体"/>
                <w:color w:val="auto"/>
                <w:spacing w:val="2"/>
              </w:rPr>
              <w:t>本</w:t>
            </w:r>
            <w:r>
              <w:rPr>
                <w:rFonts w:ascii="宋体" w:eastAsia="宋体" w:hAnsi="宋体" w:cs="宋体"/>
                <w:color w:val="auto"/>
                <w:spacing w:val="-1"/>
              </w:rPr>
              <w:t>和</w:t>
            </w:r>
            <w:r>
              <w:rPr>
                <w:rFonts w:ascii="宋体" w:eastAsia="宋体" w:hAnsi="宋体" w:cs="宋体"/>
                <w:color w:val="auto"/>
                <w:spacing w:val="2"/>
              </w:rPr>
              <w:t>美</w:t>
            </w:r>
            <w:r>
              <w:rPr>
                <w:rFonts w:ascii="宋体" w:eastAsia="宋体" w:hAnsi="宋体" w:cs="宋体"/>
                <w:color w:val="auto"/>
              </w:rPr>
              <w:t>虾</w:t>
            </w:r>
          </w:p>
        </w:tc>
        <w:tc>
          <w:tcPr>
            <w:tcW w:w="1847" w:type="dxa"/>
            <w:tcBorders>
              <w:top w:val="single" w:sz="4" w:space="0" w:color="000000"/>
              <w:left w:val="single" w:sz="4" w:space="0" w:color="000000"/>
              <w:bottom w:val="single" w:sz="4" w:space="0" w:color="000000"/>
              <w:right w:val="single" w:sz="4" w:space="0" w:color="000000"/>
            </w:tcBorders>
          </w:tcPr>
          <w:p w14:paraId="402EDED6" w14:textId="77777777" w:rsidR="0075791A" w:rsidRDefault="00FB2864">
            <w:pPr>
              <w:pStyle w:val="TableParagraph"/>
              <w:spacing w:before="65"/>
              <w:ind w:left="10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6</w:t>
            </w:r>
          </w:p>
        </w:tc>
        <w:tc>
          <w:tcPr>
            <w:tcW w:w="1642" w:type="dxa"/>
            <w:tcBorders>
              <w:top w:val="single" w:sz="4" w:space="0" w:color="000000"/>
              <w:left w:val="single" w:sz="4" w:space="0" w:color="000000"/>
              <w:bottom w:val="single" w:sz="4" w:space="0" w:color="000000"/>
              <w:right w:val="single" w:sz="4" w:space="0" w:color="000000"/>
            </w:tcBorders>
          </w:tcPr>
          <w:p w14:paraId="61278BF6" w14:textId="77777777" w:rsidR="0075791A" w:rsidRDefault="00FB2864">
            <w:pPr>
              <w:pStyle w:val="TableParagraph"/>
              <w:spacing w:before="65"/>
              <w:ind w:left="492"/>
              <w:rPr>
                <w:rFonts w:ascii="Times New Roman" w:eastAsia="Times New Roman" w:hAnsi="Times New Roman" w:cs="Times New Roman"/>
                <w:color w:val="auto"/>
              </w:rPr>
            </w:pPr>
            <w:r>
              <w:rPr>
                <w:rFonts w:ascii="Times New Roman" w:eastAsia="Times New Roman" w:hAnsi="Times New Roman" w:cs="Times New Roman"/>
                <w:color w:val="auto"/>
                <w:spacing w:val="1"/>
              </w:rPr>
              <w:t>19</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spacing w:val="-2"/>
              </w:rPr>
              <w:t>4</w:t>
            </w:r>
            <w:r>
              <w:rPr>
                <w:rFonts w:ascii="Times New Roman" w:eastAsia="Times New Roman" w:hAnsi="Times New Roman" w:cs="Times New Roman"/>
                <w:color w:val="auto"/>
              </w:rPr>
              <w:t>%</w:t>
            </w:r>
          </w:p>
        </w:tc>
        <w:tc>
          <w:tcPr>
            <w:tcW w:w="1642" w:type="dxa"/>
            <w:tcBorders>
              <w:top w:val="single" w:sz="4" w:space="0" w:color="000000"/>
              <w:left w:val="single" w:sz="4" w:space="0" w:color="000000"/>
              <w:bottom w:val="single" w:sz="4" w:space="0" w:color="000000"/>
              <w:right w:val="single" w:sz="4" w:space="0" w:color="000000"/>
            </w:tcBorders>
          </w:tcPr>
          <w:p w14:paraId="45313C80" w14:textId="77777777" w:rsidR="0075791A" w:rsidRDefault="00FB2864">
            <w:pPr>
              <w:pStyle w:val="TableParagraph"/>
              <w:spacing w:before="65"/>
              <w:ind w:left="491"/>
              <w:rPr>
                <w:rFonts w:ascii="Times New Roman" w:eastAsia="Times New Roman" w:hAnsi="Times New Roman" w:cs="Times New Roman"/>
                <w:color w:val="auto"/>
              </w:rPr>
            </w:pPr>
            <w:r>
              <w:rPr>
                <w:rFonts w:ascii="Times New Roman" w:eastAsia="Times New Roman" w:hAnsi="Times New Roman" w:cs="Times New Roman"/>
                <w:color w:val="auto"/>
                <w:spacing w:val="1"/>
              </w:rPr>
              <w:t>75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w:t>
            </w:r>
          </w:p>
        </w:tc>
        <w:tc>
          <w:tcPr>
            <w:tcW w:w="1642" w:type="dxa"/>
            <w:tcBorders>
              <w:top w:val="single" w:sz="4" w:space="0" w:color="000000"/>
              <w:left w:val="single" w:sz="4" w:space="0" w:color="000000"/>
              <w:bottom w:val="single" w:sz="4" w:space="0" w:color="000000"/>
              <w:right w:val="single" w:sz="4" w:space="0" w:color="000000"/>
            </w:tcBorders>
          </w:tcPr>
          <w:p w14:paraId="0CEAD611" w14:textId="77777777" w:rsidR="0075791A" w:rsidRDefault="00FB2864">
            <w:pPr>
              <w:pStyle w:val="TableParagraph"/>
              <w:spacing w:before="65"/>
              <w:ind w:left="663" w:right="56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5</w:t>
            </w:r>
          </w:p>
        </w:tc>
      </w:tr>
      <w:tr w:rsidR="0075791A" w14:paraId="162FCE8F" w14:textId="77777777">
        <w:trPr>
          <w:trHeight w:hRule="exact" w:val="330"/>
        </w:trPr>
        <w:tc>
          <w:tcPr>
            <w:tcW w:w="2151" w:type="dxa"/>
            <w:tcBorders>
              <w:top w:val="single" w:sz="4" w:space="0" w:color="000000"/>
              <w:left w:val="single" w:sz="4" w:space="0" w:color="000000"/>
              <w:bottom w:val="single" w:sz="4" w:space="0" w:color="000000"/>
              <w:right w:val="single" w:sz="4" w:space="0" w:color="000000"/>
            </w:tcBorders>
          </w:tcPr>
          <w:p w14:paraId="613603AA" w14:textId="77777777" w:rsidR="0075791A" w:rsidRDefault="00FB2864">
            <w:pPr>
              <w:pStyle w:val="TableParagraph"/>
              <w:spacing w:line="287" w:lineRule="exact"/>
              <w:ind w:left="650"/>
              <w:rPr>
                <w:rFonts w:ascii="宋体" w:eastAsia="宋体" w:hAnsi="宋体" w:cs="宋体"/>
                <w:color w:val="auto"/>
              </w:rPr>
            </w:pPr>
            <w:r>
              <w:rPr>
                <w:rFonts w:ascii="宋体" w:eastAsia="宋体" w:hAnsi="宋体" w:cs="宋体"/>
                <w:color w:val="auto"/>
                <w:spacing w:val="-1"/>
              </w:rPr>
              <w:t>毡</w:t>
            </w:r>
            <w:r>
              <w:rPr>
                <w:rFonts w:ascii="宋体" w:eastAsia="宋体" w:hAnsi="宋体" w:cs="宋体"/>
                <w:color w:val="auto"/>
                <w:spacing w:val="2"/>
              </w:rPr>
              <w:t>毛</w:t>
            </w:r>
            <w:r>
              <w:rPr>
                <w:rFonts w:ascii="宋体" w:eastAsia="宋体" w:hAnsi="宋体" w:cs="宋体"/>
                <w:color w:val="auto"/>
                <w:spacing w:val="-1"/>
              </w:rPr>
              <w:t>岩</w:t>
            </w:r>
            <w:r>
              <w:rPr>
                <w:rFonts w:ascii="宋体" w:eastAsia="宋体" w:hAnsi="宋体" w:cs="宋体"/>
                <w:color w:val="auto"/>
              </w:rPr>
              <w:t>虫</w:t>
            </w:r>
          </w:p>
        </w:tc>
        <w:tc>
          <w:tcPr>
            <w:tcW w:w="1847" w:type="dxa"/>
            <w:tcBorders>
              <w:top w:val="single" w:sz="4" w:space="0" w:color="000000"/>
              <w:left w:val="single" w:sz="4" w:space="0" w:color="000000"/>
              <w:bottom w:val="single" w:sz="4" w:space="0" w:color="000000"/>
              <w:right w:val="single" w:sz="4" w:space="0" w:color="000000"/>
            </w:tcBorders>
          </w:tcPr>
          <w:p w14:paraId="70378DF6" w14:textId="77777777" w:rsidR="0075791A" w:rsidRDefault="00FB2864">
            <w:pPr>
              <w:pStyle w:val="TableParagraph"/>
              <w:spacing w:before="61"/>
              <w:ind w:left="766" w:right="662"/>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8</w:t>
            </w:r>
          </w:p>
        </w:tc>
        <w:tc>
          <w:tcPr>
            <w:tcW w:w="1642" w:type="dxa"/>
            <w:tcBorders>
              <w:top w:val="single" w:sz="4" w:space="0" w:color="000000"/>
              <w:left w:val="single" w:sz="4" w:space="0" w:color="000000"/>
              <w:bottom w:val="single" w:sz="4" w:space="0" w:color="000000"/>
              <w:right w:val="single" w:sz="4" w:space="0" w:color="000000"/>
            </w:tcBorders>
          </w:tcPr>
          <w:p w14:paraId="1E4E0437" w14:textId="77777777" w:rsidR="0075791A" w:rsidRDefault="00FB2864">
            <w:pPr>
              <w:pStyle w:val="TableParagraph"/>
              <w:spacing w:before="61"/>
              <w:ind w:left="492"/>
              <w:rPr>
                <w:rFonts w:ascii="Times New Roman" w:eastAsia="Times New Roman" w:hAnsi="Times New Roman" w:cs="Times New Roman"/>
                <w:color w:val="auto"/>
              </w:rPr>
            </w:pPr>
            <w:r>
              <w:rPr>
                <w:rFonts w:ascii="Times New Roman" w:eastAsia="Times New Roman" w:hAnsi="Times New Roman" w:cs="Times New Roman"/>
                <w:color w:val="auto"/>
                <w:spacing w:val="1"/>
              </w:rPr>
              <w:t>10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spacing w:val="-2"/>
              </w:rPr>
              <w:t>1</w:t>
            </w:r>
            <w:r>
              <w:rPr>
                <w:rFonts w:ascii="Times New Roman" w:eastAsia="Times New Roman" w:hAnsi="Times New Roman" w:cs="Times New Roman"/>
                <w:color w:val="auto"/>
              </w:rPr>
              <w:t>%</w:t>
            </w:r>
          </w:p>
        </w:tc>
        <w:tc>
          <w:tcPr>
            <w:tcW w:w="1642" w:type="dxa"/>
            <w:tcBorders>
              <w:top w:val="single" w:sz="4" w:space="0" w:color="000000"/>
              <w:left w:val="single" w:sz="4" w:space="0" w:color="000000"/>
              <w:bottom w:val="single" w:sz="4" w:space="0" w:color="000000"/>
              <w:right w:val="single" w:sz="4" w:space="0" w:color="000000"/>
            </w:tcBorders>
          </w:tcPr>
          <w:p w14:paraId="3204708C" w14:textId="77777777" w:rsidR="0075791A" w:rsidRDefault="00FB2864">
            <w:pPr>
              <w:pStyle w:val="TableParagraph"/>
              <w:spacing w:before="61"/>
              <w:ind w:left="491"/>
              <w:rPr>
                <w:rFonts w:ascii="Times New Roman" w:eastAsia="Times New Roman" w:hAnsi="Times New Roman" w:cs="Times New Roman"/>
                <w:color w:val="auto"/>
              </w:rPr>
            </w:pPr>
            <w:r>
              <w:rPr>
                <w:rFonts w:ascii="Times New Roman" w:eastAsia="Times New Roman" w:hAnsi="Times New Roman" w:cs="Times New Roman"/>
                <w:color w:val="auto"/>
                <w:spacing w:val="1"/>
              </w:rPr>
              <w:t>50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w:t>
            </w:r>
          </w:p>
        </w:tc>
        <w:tc>
          <w:tcPr>
            <w:tcW w:w="1642" w:type="dxa"/>
            <w:tcBorders>
              <w:top w:val="single" w:sz="4" w:space="0" w:color="000000"/>
              <w:left w:val="single" w:sz="4" w:space="0" w:color="000000"/>
              <w:bottom w:val="single" w:sz="4" w:space="0" w:color="000000"/>
              <w:right w:val="single" w:sz="4" w:space="0" w:color="000000"/>
            </w:tcBorders>
          </w:tcPr>
          <w:p w14:paraId="6F5E7808" w14:textId="77777777" w:rsidR="0075791A" w:rsidRDefault="00FB2864">
            <w:pPr>
              <w:pStyle w:val="TableParagraph"/>
              <w:spacing w:before="61"/>
              <w:ind w:left="663" w:right="56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5</w:t>
            </w:r>
          </w:p>
        </w:tc>
      </w:tr>
      <w:tr w:rsidR="0075791A" w14:paraId="5577D1E2" w14:textId="77777777">
        <w:trPr>
          <w:trHeight w:hRule="exact" w:val="330"/>
        </w:trPr>
        <w:tc>
          <w:tcPr>
            <w:tcW w:w="2151" w:type="dxa"/>
            <w:tcBorders>
              <w:top w:val="single" w:sz="4" w:space="0" w:color="000000"/>
              <w:left w:val="single" w:sz="4" w:space="0" w:color="000000"/>
              <w:bottom w:val="single" w:sz="4" w:space="0" w:color="000000"/>
              <w:right w:val="single" w:sz="4" w:space="0" w:color="000000"/>
            </w:tcBorders>
          </w:tcPr>
          <w:p w14:paraId="4313FCF8" w14:textId="77777777" w:rsidR="0075791A" w:rsidRDefault="00FB2864">
            <w:pPr>
              <w:pStyle w:val="TableParagraph"/>
              <w:spacing w:line="286" w:lineRule="exact"/>
              <w:ind w:left="544"/>
              <w:rPr>
                <w:rFonts w:ascii="宋体" w:eastAsia="宋体" w:hAnsi="宋体" w:cs="宋体"/>
                <w:color w:val="auto"/>
              </w:rPr>
            </w:pPr>
            <w:r>
              <w:rPr>
                <w:rFonts w:ascii="宋体" w:eastAsia="宋体" w:hAnsi="宋体" w:cs="宋体"/>
                <w:color w:val="auto"/>
                <w:spacing w:val="-1"/>
              </w:rPr>
              <w:t>裸</w:t>
            </w:r>
            <w:r>
              <w:rPr>
                <w:rFonts w:ascii="宋体" w:eastAsia="宋体" w:hAnsi="宋体" w:cs="宋体"/>
                <w:color w:val="auto"/>
                <w:spacing w:val="2"/>
              </w:rPr>
              <w:t>孔</w:t>
            </w:r>
            <w:r>
              <w:rPr>
                <w:rFonts w:ascii="宋体" w:eastAsia="宋体" w:hAnsi="宋体" w:cs="宋体"/>
                <w:color w:val="auto"/>
                <w:spacing w:val="-1"/>
              </w:rPr>
              <w:t>阳</w:t>
            </w:r>
            <w:r>
              <w:rPr>
                <w:rFonts w:ascii="宋体" w:eastAsia="宋体" w:hAnsi="宋体" w:cs="宋体"/>
                <w:color w:val="auto"/>
                <w:spacing w:val="2"/>
              </w:rPr>
              <w:t>遂</w:t>
            </w:r>
            <w:r>
              <w:rPr>
                <w:rFonts w:ascii="宋体" w:eastAsia="宋体" w:hAnsi="宋体" w:cs="宋体"/>
                <w:color w:val="auto"/>
              </w:rPr>
              <w:t>足</w:t>
            </w:r>
          </w:p>
        </w:tc>
        <w:tc>
          <w:tcPr>
            <w:tcW w:w="1847" w:type="dxa"/>
            <w:tcBorders>
              <w:top w:val="single" w:sz="4" w:space="0" w:color="000000"/>
              <w:left w:val="single" w:sz="4" w:space="0" w:color="000000"/>
              <w:bottom w:val="single" w:sz="4" w:space="0" w:color="000000"/>
              <w:right w:val="single" w:sz="4" w:space="0" w:color="000000"/>
            </w:tcBorders>
          </w:tcPr>
          <w:p w14:paraId="70DC98B2" w14:textId="77777777" w:rsidR="0075791A" w:rsidRDefault="00FB2864">
            <w:pPr>
              <w:pStyle w:val="TableParagraph"/>
              <w:spacing w:before="60"/>
              <w:ind w:left="766" w:right="662"/>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7</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8</w:t>
            </w:r>
          </w:p>
        </w:tc>
        <w:tc>
          <w:tcPr>
            <w:tcW w:w="1642" w:type="dxa"/>
            <w:tcBorders>
              <w:top w:val="single" w:sz="4" w:space="0" w:color="000000"/>
              <w:left w:val="single" w:sz="4" w:space="0" w:color="000000"/>
              <w:bottom w:val="single" w:sz="4" w:space="0" w:color="000000"/>
              <w:right w:val="single" w:sz="4" w:space="0" w:color="000000"/>
            </w:tcBorders>
          </w:tcPr>
          <w:p w14:paraId="59DAE65D" w14:textId="77777777" w:rsidR="0075791A" w:rsidRDefault="00FB2864">
            <w:pPr>
              <w:pStyle w:val="TableParagraph"/>
              <w:spacing w:before="60"/>
              <w:ind w:left="492"/>
              <w:rPr>
                <w:rFonts w:ascii="Times New Roman" w:eastAsia="Times New Roman" w:hAnsi="Times New Roman" w:cs="Times New Roman"/>
                <w:color w:val="auto"/>
              </w:rPr>
            </w:pPr>
            <w:r>
              <w:rPr>
                <w:rFonts w:ascii="Times New Roman" w:eastAsia="Times New Roman" w:hAnsi="Times New Roman" w:cs="Times New Roman"/>
                <w:color w:val="auto"/>
                <w:spacing w:val="1"/>
              </w:rPr>
              <w:t>12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w:t>
            </w:r>
          </w:p>
        </w:tc>
        <w:tc>
          <w:tcPr>
            <w:tcW w:w="1642" w:type="dxa"/>
            <w:tcBorders>
              <w:top w:val="single" w:sz="4" w:space="0" w:color="000000"/>
              <w:left w:val="single" w:sz="4" w:space="0" w:color="000000"/>
              <w:bottom w:val="single" w:sz="4" w:space="0" w:color="000000"/>
              <w:right w:val="single" w:sz="4" w:space="0" w:color="000000"/>
            </w:tcBorders>
          </w:tcPr>
          <w:p w14:paraId="3DC467CF" w14:textId="77777777" w:rsidR="0075791A" w:rsidRDefault="00FB2864">
            <w:pPr>
              <w:pStyle w:val="TableParagraph"/>
              <w:spacing w:before="60"/>
              <w:ind w:left="491"/>
              <w:rPr>
                <w:rFonts w:ascii="Times New Roman" w:eastAsia="Times New Roman" w:hAnsi="Times New Roman" w:cs="Times New Roman"/>
                <w:color w:val="auto"/>
              </w:rPr>
            </w:pPr>
            <w:r>
              <w:rPr>
                <w:rFonts w:ascii="Times New Roman" w:eastAsia="Times New Roman" w:hAnsi="Times New Roman" w:cs="Times New Roman"/>
                <w:color w:val="auto"/>
                <w:spacing w:val="1"/>
              </w:rPr>
              <w:t>37</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w:t>
            </w:r>
          </w:p>
        </w:tc>
        <w:tc>
          <w:tcPr>
            <w:tcW w:w="1642" w:type="dxa"/>
            <w:tcBorders>
              <w:top w:val="single" w:sz="4" w:space="0" w:color="000000"/>
              <w:left w:val="single" w:sz="4" w:space="0" w:color="000000"/>
              <w:bottom w:val="single" w:sz="4" w:space="0" w:color="000000"/>
              <w:right w:val="single" w:sz="4" w:space="0" w:color="000000"/>
            </w:tcBorders>
          </w:tcPr>
          <w:p w14:paraId="32CF4ADD" w14:textId="77777777" w:rsidR="0075791A" w:rsidRDefault="00FB2864">
            <w:pPr>
              <w:pStyle w:val="TableParagraph"/>
              <w:spacing w:before="60"/>
              <w:ind w:left="663" w:right="56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5</w:t>
            </w:r>
          </w:p>
        </w:tc>
      </w:tr>
    </w:tbl>
    <w:p w14:paraId="70BB9D85" w14:textId="77777777" w:rsidR="0075791A" w:rsidRDefault="00FB2864">
      <w:pPr>
        <w:kinsoku/>
        <w:adjustRightInd/>
        <w:snapToGrid/>
        <w:spacing w:beforeLines="50" w:before="120"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调查结果表明，各站位底栖生物栖息密度的范围为（</w:t>
      </w:r>
      <w:r>
        <w:rPr>
          <w:rFonts w:ascii="Times New Roman" w:eastAsia="宋体" w:hAnsi="Times New Roman" w:cs="Times New Roman" w:hint="eastAsia"/>
          <w:snapToGrid/>
          <w:color w:val="auto"/>
          <w:kern w:val="2"/>
          <w:sz w:val="24"/>
          <w:szCs w:val="24"/>
          <w:lang w:eastAsia="zh-CN"/>
        </w:rPr>
        <w:t>17.54~127.19</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ind/m2</w:t>
      </w:r>
      <w:r>
        <w:rPr>
          <w:rFonts w:ascii="Times New Roman" w:eastAsia="宋体" w:hAnsi="Times New Roman" w:cs="Times New Roman" w:hint="eastAsia"/>
          <w:snapToGrid/>
          <w:color w:val="auto"/>
          <w:kern w:val="2"/>
          <w:sz w:val="24"/>
          <w:szCs w:val="24"/>
          <w:lang w:eastAsia="zh-CN"/>
        </w:rPr>
        <w:t>，平均密度为</w:t>
      </w:r>
      <w:r>
        <w:rPr>
          <w:rFonts w:ascii="Times New Roman" w:eastAsia="宋体" w:hAnsi="Times New Roman" w:cs="Times New Roman" w:hint="eastAsia"/>
          <w:snapToGrid/>
          <w:color w:val="auto"/>
          <w:kern w:val="2"/>
          <w:sz w:val="24"/>
          <w:szCs w:val="24"/>
          <w:lang w:eastAsia="zh-CN"/>
        </w:rPr>
        <w:t>61.40ind/m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，生物量的范围为（</w:t>
      </w:r>
      <w:r>
        <w:rPr>
          <w:rFonts w:ascii="Times New Roman" w:eastAsia="宋体" w:hAnsi="Times New Roman" w:cs="Times New Roman" w:hint="eastAsia"/>
          <w:snapToGrid/>
          <w:color w:val="auto"/>
          <w:kern w:val="2"/>
          <w:sz w:val="24"/>
          <w:szCs w:val="24"/>
          <w:lang w:eastAsia="zh-CN"/>
        </w:rPr>
        <w:t>0.17~8.73</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g/m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，平均生物量为</w:t>
      </w:r>
      <w:r>
        <w:rPr>
          <w:rFonts w:ascii="Times New Roman" w:eastAsia="宋体" w:hAnsi="Times New Roman" w:cs="Times New Roman" w:hint="eastAsia"/>
          <w:snapToGrid/>
          <w:color w:val="auto"/>
          <w:kern w:val="2"/>
          <w:sz w:val="24"/>
          <w:szCs w:val="24"/>
          <w:lang w:eastAsia="zh-CN"/>
        </w:rPr>
        <w:t>2.45g/m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，均以</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号站位值最高（详见表</w:t>
      </w:r>
      <w:r>
        <w:rPr>
          <w:rFonts w:ascii="Times New Roman" w:eastAsia="宋体" w:hAnsi="Times New Roman" w:cs="Times New Roman" w:hint="eastAsia"/>
          <w:snapToGrid/>
          <w:color w:val="auto"/>
          <w:kern w:val="2"/>
          <w:sz w:val="24"/>
          <w:szCs w:val="24"/>
          <w:lang w:eastAsia="zh-CN"/>
        </w:rPr>
        <w:t>3.2.6-26</w:t>
      </w:r>
      <w:r>
        <w:rPr>
          <w:rFonts w:ascii="Times New Roman" w:eastAsia="宋体" w:hAnsi="Times New Roman" w:cs="Times New Roman" w:hint="eastAsia"/>
          <w:snapToGrid/>
          <w:color w:val="auto"/>
          <w:kern w:val="2"/>
          <w:sz w:val="24"/>
          <w:szCs w:val="24"/>
          <w:lang w:eastAsia="zh-CN"/>
        </w:rPr>
        <w:t>）。多毛类、棘皮类生物量最高的站位为</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，甲壳类生物量最高的站位为</w:t>
      </w:r>
      <w:r>
        <w:rPr>
          <w:rFonts w:ascii="Times New Roman" w:eastAsia="宋体" w:hAnsi="Times New Roman" w:cs="Times New Roman" w:hint="eastAsia"/>
          <w:snapToGrid/>
          <w:color w:val="auto"/>
          <w:kern w:val="2"/>
          <w:sz w:val="24"/>
          <w:szCs w:val="24"/>
          <w:lang w:eastAsia="zh-CN"/>
        </w:rPr>
        <w:t>H5</w:t>
      </w:r>
      <w:r>
        <w:rPr>
          <w:rFonts w:ascii="Times New Roman" w:eastAsia="宋体" w:hAnsi="Times New Roman" w:cs="Times New Roman" w:hint="eastAsia"/>
          <w:snapToGrid/>
          <w:color w:val="auto"/>
          <w:kern w:val="2"/>
          <w:sz w:val="24"/>
          <w:szCs w:val="24"/>
          <w:lang w:eastAsia="zh-CN"/>
        </w:rPr>
        <w:t>，软体类仅在</w:t>
      </w:r>
      <w:r>
        <w:rPr>
          <w:rFonts w:ascii="Times New Roman" w:eastAsia="宋体" w:hAnsi="Times New Roman" w:cs="Times New Roman" w:hint="eastAsia"/>
          <w:snapToGrid/>
          <w:color w:val="auto"/>
          <w:kern w:val="2"/>
          <w:sz w:val="24"/>
          <w:szCs w:val="24"/>
          <w:lang w:eastAsia="zh-CN"/>
        </w:rPr>
        <w:t>H6</w:t>
      </w:r>
      <w:r>
        <w:rPr>
          <w:rFonts w:ascii="Times New Roman" w:eastAsia="宋体" w:hAnsi="Times New Roman" w:cs="Times New Roman" w:hint="eastAsia"/>
          <w:snapToGrid/>
          <w:color w:val="auto"/>
          <w:kern w:val="2"/>
          <w:sz w:val="24"/>
          <w:szCs w:val="24"/>
          <w:lang w:eastAsia="zh-CN"/>
        </w:rPr>
        <w:t>号站位采集到，其他类生物量最高的站位为</w:t>
      </w:r>
      <w:r>
        <w:rPr>
          <w:rFonts w:ascii="Times New Roman" w:eastAsia="宋体" w:hAnsi="Times New Roman" w:cs="Times New Roman" w:hint="eastAsia"/>
          <w:snapToGrid/>
          <w:color w:val="auto"/>
          <w:kern w:val="2"/>
          <w:sz w:val="24"/>
          <w:szCs w:val="24"/>
          <w:lang w:eastAsia="zh-CN"/>
        </w:rPr>
        <w:t>H7</w:t>
      </w:r>
      <w:r>
        <w:rPr>
          <w:rFonts w:ascii="Times New Roman" w:eastAsia="宋体" w:hAnsi="Times New Roman" w:cs="Times New Roman" w:hint="eastAsia"/>
          <w:snapToGrid/>
          <w:color w:val="auto"/>
          <w:kern w:val="2"/>
          <w:sz w:val="24"/>
          <w:szCs w:val="24"/>
          <w:lang w:eastAsia="zh-CN"/>
        </w:rPr>
        <w:t>；多毛类、棘皮类栖息密度最高的站位为</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，甲壳类、其他类栖息密度最高的站位为</w:t>
      </w:r>
      <w:r>
        <w:rPr>
          <w:rFonts w:ascii="Times New Roman" w:eastAsia="宋体" w:hAnsi="Times New Roman" w:cs="Times New Roman" w:hint="eastAsia"/>
          <w:snapToGrid/>
          <w:color w:val="auto"/>
          <w:kern w:val="2"/>
          <w:sz w:val="24"/>
          <w:szCs w:val="24"/>
          <w:lang w:eastAsia="zh-CN"/>
        </w:rPr>
        <w:t>H5</w:t>
      </w:r>
      <w:r>
        <w:rPr>
          <w:rFonts w:ascii="Times New Roman" w:eastAsia="宋体" w:hAnsi="Times New Roman" w:cs="Times New Roman" w:hint="eastAsia"/>
          <w:snapToGrid/>
          <w:color w:val="auto"/>
          <w:kern w:val="2"/>
          <w:sz w:val="24"/>
          <w:szCs w:val="24"/>
          <w:lang w:eastAsia="zh-CN"/>
        </w:rPr>
        <w:t>，软体类仅在</w:t>
      </w:r>
      <w:r>
        <w:rPr>
          <w:rFonts w:ascii="Times New Roman" w:eastAsia="宋体" w:hAnsi="Times New Roman" w:cs="Times New Roman" w:hint="eastAsia"/>
          <w:snapToGrid/>
          <w:color w:val="auto"/>
          <w:kern w:val="2"/>
          <w:sz w:val="24"/>
          <w:szCs w:val="24"/>
          <w:lang w:eastAsia="zh-CN"/>
        </w:rPr>
        <w:t>H6</w:t>
      </w:r>
      <w:r>
        <w:rPr>
          <w:rFonts w:ascii="Times New Roman" w:eastAsia="宋体" w:hAnsi="Times New Roman" w:cs="Times New Roman" w:hint="eastAsia"/>
          <w:snapToGrid/>
          <w:color w:val="auto"/>
          <w:kern w:val="2"/>
          <w:sz w:val="24"/>
          <w:szCs w:val="24"/>
          <w:lang w:eastAsia="zh-CN"/>
        </w:rPr>
        <w:t>号站位采集到（详见表</w:t>
      </w:r>
      <w:r>
        <w:rPr>
          <w:rFonts w:ascii="Times New Roman" w:eastAsia="宋体" w:hAnsi="Times New Roman" w:cs="Times New Roman" w:hint="eastAsia"/>
          <w:snapToGrid/>
          <w:color w:val="auto"/>
          <w:kern w:val="2"/>
          <w:sz w:val="24"/>
          <w:szCs w:val="24"/>
          <w:lang w:eastAsia="zh-CN"/>
        </w:rPr>
        <w:t>3.2.6-27</w:t>
      </w:r>
      <w:r>
        <w:rPr>
          <w:rFonts w:ascii="Times New Roman" w:eastAsia="宋体" w:hAnsi="Times New Roman" w:cs="Times New Roman" w:hint="eastAsia"/>
          <w:snapToGrid/>
          <w:color w:val="auto"/>
          <w:kern w:val="2"/>
          <w:sz w:val="24"/>
          <w:szCs w:val="24"/>
          <w:lang w:eastAsia="zh-CN"/>
        </w:rPr>
        <w:t>）。</w:t>
      </w:r>
    </w:p>
    <w:p w14:paraId="6896F006"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经计算，各站位底栖生物多样性指数的变化范围为</w:t>
      </w:r>
      <w:r>
        <w:rPr>
          <w:rFonts w:ascii="Times New Roman" w:eastAsia="宋体" w:hAnsi="Times New Roman" w:cs="Times New Roman" w:hint="eastAsia"/>
          <w:snapToGrid/>
          <w:color w:val="auto"/>
          <w:kern w:val="2"/>
          <w:sz w:val="24"/>
          <w:szCs w:val="24"/>
          <w:lang w:eastAsia="zh-CN"/>
        </w:rPr>
        <w:t>1.15~3.37</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2.53</w:t>
      </w:r>
      <w:r>
        <w:rPr>
          <w:rFonts w:ascii="Times New Roman" w:eastAsia="宋体" w:hAnsi="Times New Roman" w:cs="Times New Roman" w:hint="eastAsia"/>
          <w:snapToGrid/>
          <w:color w:val="auto"/>
          <w:kern w:val="2"/>
          <w:sz w:val="24"/>
          <w:szCs w:val="24"/>
          <w:lang w:eastAsia="zh-CN"/>
        </w:rPr>
        <w:t>，其中生物多样性指数最高的站位为</w:t>
      </w:r>
      <w:r>
        <w:rPr>
          <w:rFonts w:ascii="Times New Roman" w:eastAsia="宋体" w:hAnsi="Times New Roman" w:cs="Times New Roman" w:hint="eastAsia"/>
          <w:snapToGrid/>
          <w:color w:val="auto"/>
          <w:kern w:val="2"/>
          <w:sz w:val="24"/>
          <w:szCs w:val="24"/>
          <w:lang w:eastAsia="zh-CN"/>
        </w:rPr>
        <w:t>H7</w:t>
      </w:r>
      <w:r>
        <w:rPr>
          <w:rFonts w:ascii="Times New Roman" w:eastAsia="宋体" w:hAnsi="Times New Roman" w:cs="Times New Roman" w:hint="eastAsia"/>
          <w:snapToGrid/>
          <w:color w:val="auto"/>
          <w:kern w:val="2"/>
          <w:sz w:val="24"/>
          <w:szCs w:val="24"/>
          <w:lang w:eastAsia="zh-CN"/>
        </w:rPr>
        <w:t>；均匀度指数的变化范围为</w:t>
      </w:r>
      <w:r>
        <w:rPr>
          <w:rFonts w:ascii="Times New Roman" w:eastAsia="宋体" w:hAnsi="Times New Roman" w:cs="Times New Roman" w:hint="eastAsia"/>
          <w:snapToGrid/>
          <w:color w:val="auto"/>
          <w:kern w:val="2"/>
          <w:sz w:val="24"/>
          <w:szCs w:val="24"/>
          <w:lang w:eastAsia="zh-CN"/>
        </w:rPr>
        <w:t>0.72~0.98</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0.90</w:t>
      </w:r>
      <w:r>
        <w:rPr>
          <w:rFonts w:ascii="Times New Roman" w:eastAsia="宋体" w:hAnsi="Times New Roman" w:cs="Times New Roman" w:hint="eastAsia"/>
          <w:snapToGrid/>
          <w:color w:val="auto"/>
          <w:kern w:val="2"/>
          <w:sz w:val="24"/>
          <w:szCs w:val="24"/>
          <w:lang w:eastAsia="zh-CN"/>
        </w:rPr>
        <w:t>，其中均匀度指数最高的站位为</w:t>
      </w:r>
      <w:r>
        <w:rPr>
          <w:rFonts w:ascii="Times New Roman" w:eastAsia="宋体" w:hAnsi="Times New Roman" w:cs="Times New Roman" w:hint="eastAsia"/>
          <w:snapToGrid/>
          <w:color w:val="auto"/>
          <w:kern w:val="2"/>
          <w:sz w:val="24"/>
          <w:szCs w:val="24"/>
          <w:lang w:eastAsia="zh-CN"/>
        </w:rPr>
        <w:t>H7</w:t>
      </w:r>
      <w:r>
        <w:rPr>
          <w:rFonts w:ascii="Times New Roman" w:eastAsia="宋体" w:hAnsi="Times New Roman" w:cs="Times New Roman" w:hint="eastAsia"/>
          <w:snapToGrid/>
          <w:color w:val="auto"/>
          <w:kern w:val="2"/>
          <w:sz w:val="24"/>
          <w:szCs w:val="24"/>
          <w:lang w:eastAsia="zh-CN"/>
        </w:rPr>
        <w:t>。整体而言，</w:t>
      </w:r>
      <w:r>
        <w:rPr>
          <w:rFonts w:ascii="Times New Roman" w:eastAsia="宋体" w:hAnsi="Times New Roman" w:cs="Times New Roman" w:hint="eastAsia"/>
          <w:snapToGrid/>
          <w:color w:val="auto"/>
          <w:kern w:val="2"/>
          <w:sz w:val="24"/>
          <w:szCs w:val="24"/>
          <w:lang w:eastAsia="zh-CN"/>
        </w:rPr>
        <w:t>H2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H4</w:t>
      </w:r>
      <w:r>
        <w:rPr>
          <w:rFonts w:ascii="Times New Roman" w:eastAsia="宋体" w:hAnsi="Times New Roman" w:cs="Times New Roman" w:hint="eastAsia"/>
          <w:snapToGrid/>
          <w:color w:val="auto"/>
          <w:kern w:val="2"/>
          <w:sz w:val="24"/>
          <w:szCs w:val="24"/>
          <w:lang w:eastAsia="zh-CN"/>
        </w:rPr>
        <w:t>站位多样性指数略低，而</w:t>
      </w:r>
      <w:r>
        <w:rPr>
          <w:rFonts w:ascii="Times New Roman" w:eastAsia="宋体" w:hAnsi="Times New Roman" w:cs="Times New Roman" w:hint="eastAsia"/>
          <w:snapToGrid/>
          <w:color w:val="auto"/>
          <w:kern w:val="2"/>
          <w:sz w:val="24"/>
          <w:szCs w:val="24"/>
          <w:lang w:eastAsia="zh-CN"/>
        </w:rPr>
        <w:t>H5</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H6</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H7</w:t>
      </w:r>
      <w:r>
        <w:rPr>
          <w:rFonts w:ascii="Times New Roman" w:eastAsia="宋体" w:hAnsi="Times New Roman" w:cs="Times New Roman" w:hint="eastAsia"/>
          <w:snapToGrid/>
          <w:color w:val="auto"/>
          <w:kern w:val="2"/>
          <w:sz w:val="24"/>
          <w:szCs w:val="24"/>
          <w:lang w:eastAsia="zh-CN"/>
        </w:rPr>
        <w:t>站位的多样性指数处于较高水平，物种多样性较为丰富（详见表</w:t>
      </w:r>
      <w:r>
        <w:rPr>
          <w:rFonts w:ascii="Times New Roman" w:eastAsia="宋体" w:hAnsi="Times New Roman" w:cs="Times New Roman" w:hint="eastAsia"/>
          <w:snapToGrid/>
          <w:color w:val="auto"/>
          <w:kern w:val="2"/>
          <w:sz w:val="24"/>
          <w:szCs w:val="24"/>
          <w:lang w:eastAsia="zh-CN"/>
        </w:rPr>
        <w:t>3.2.6-27</w:t>
      </w:r>
      <w:r>
        <w:rPr>
          <w:rFonts w:ascii="Times New Roman" w:eastAsia="宋体" w:hAnsi="Times New Roman" w:cs="Times New Roman" w:hint="eastAsia"/>
          <w:snapToGrid/>
          <w:color w:val="auto"/>
          <w:kern w:val="2"/>
          <w:sz w:val="24"/>
          <w:szCs w:val="24"/>
          <w:lang w:eastAsia="zh-CN"/>
        </w:rPr>
        <w:t>）。</w:t>
      </w:r>
    </w:p>
    <w:p w14:paraId="01830800" w14:textId="77777777" w:rsidR="0075791A" w:rsidRDefault="00FB2864">
      <w:pPr>
        <w:kinsoku/>
        <w:adjustRightInd/>
        <w:snapToGrid/>
        <w:jc w:val="center"/>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表</w:t>
      </w:r>
      <w:r>
        <w:rPr>
          <w:rFonts w:ascii="Times New Roman" w:eastAsia="宋体" w:hAnsi="Times New Roman" w:cs="Times New Roman" w:hint="eastAsia"/>
          <w:snapToGrid/>
          <w:color w:val="auto"/>
          <w:kern w:val="2"/>
          <w:sz w:val="24"/>
          <w:szCs w:val="24"/>
          <w:lang w:eastAsia="zh-CN"/>
        </w:rPr>
        <w:t>3.2.6-26</w:t>
      </w:r>
      <w:r>
        <w:rPr>
          <w:rFonts w:ascii="宋体" w:eastAsia="宋体" w:hAnsi="宋体" w:cs="宋体" w:hint="eastAsia"/>
          <w:color w:val="auto"/>
          <w:sz w:val="24"/>
          <w:szCs w:val="24"/>
          <w:lang w:eastAsia="zh-CN"/>
        </w:rPr>
        <w:t xml:space="preserve"> 2024</w:t>
      </w:r>
      <w:r>
        <w:rPr>
          <w:rFonts w:ascii="宋体" w:eastAsia="宋体" w:hAnsi="宋体" w:cs="宋体" w:hint="eastAsia"/>
          <w:color w:val="auto"/>
          <w:sz w:val="24"/>
          <w:szCs w:val="24"/>
          <w:lang w:eastAsia="zh-CN"/>
        </w:rPr>
        <w:t>年</w:t>
      </w:r>
      <w:r>
        <w:rPr>
          <w:rFonts w:ascii="宋体" w:eastAsia="宋体" w:hAnsi="宋体" w:cs="宋体" w:hint="eastAsia"/>
          <w:color w:val="auto"/>
          <w:sz w:val="24"/>
          <w:szCs w:val="24"/>
          <w:lang w:eastAsia="zh-CN"/>
        </w:rPr>
        <w:t>9</w:t>
      </w:r>
      <w:r>
        <w:rPr>
          <w:rFonts w:ascii="宋体" w:eastAsia="宋体" w:hAnsi="宋体" w:cs="宋体" w:hint="eastAsia"/>
          <w:color w:val="auto"/>
          <w:sz w:val="24"/>
          <w:szCs w:val="24"/>
          <w:lang w:eastAsia="zh-CN"/>
        </w:rPr>
        <w:t>月航次底栖生物调查结果统计</w:t>
      </w:r>
    </w:p>
    <w:tbl>
      <w:tblPr>
        <w:tblStyle w:val="ad"/>
        <w:tblW w:w="0" w:type="auto"/>
        <w:jc w:val="center"/>
        <w:tblLook w:val="04A0" w:firstRow="1" w:lastRow="0" w:firstColumn="1" w:lastColumn="0" w:noHBand="0" w:noVBand="1"/>
      </w:tblPr>
      <w:tblGrid>
        <w:gridCol w:w="1305"/>
        <w:gridCol w:w="1581"/>
        <w:gridCol w:w="1366"/>
        <w:gridCol w:w="1313"/>
        <w:gridCol w:w="1313"/>
      </w:tblGrid>
      <w:tr w:rsidR="0075791A" w14:paraId="40489C57" w14:textId="77777777">
        <w:trPr>
          <w:jc w:val="center"/>
        </w:trPr>
        <w:tc>
          <w:tcPr>
            <w:tcW w:w="1305" w:type="dxa"/>
          </w:tcPr>
          <w:p w14:paraId="1AD6981B"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站位</w:t>
            </w:r>
          </w:p>
        </w:tc>
        <w:tc>
          <w:tcPr>
            <w:tcW w:w="1581" w:type="dxa"/>
          </w:tcPr>
          <w:p w14:paraId="35960ED0"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栖息密度（</w:t>
            </w:r>
            <w:r>
              <w:rPr>
                <w:rFonts w:ascii="Times New Roman" w:eastAsia="宋体" w:hAnsi="Times New Roman" w:cs="Times New Roman" w:hint="eastAsia"/>
                <w:snapToGrid/>
                <w:color w:val="auto"/>
                <w:kern w:val="2"/>
                <w:lang w:eastAsia="zh-CN"/>
              </w:rPr>
              <w:t>ind/m</w:t>
            </w:r>
            <w:r>
              <w:rPr>
                <w:rFonts w:ascii="Times New Roman" w:eastAsia="宋体" w:hAnsi="Times New Roman" w:cs="Times New Roman" w:hint="eastAsia"/>
                <w:snapToGrid/>
                <w:color w:val="auto"/>
                <w:kern w:val="2"/>
                <w:vertAlign w:val="superscript"/>
                <w:lang w:eastAsia="zh-CN"/>
              </w:rPr>
              <w:t>2</w:t>
            </w:r>
            <w:r>
              <w:rPr>
                <w:rFonts w:ascii="宋体" w:eastAsia="宋体" w:hAnsi="宋体" w:cs="宋体" w:hint="eastAsia"/>
                <w:color w:val="auto"/>
                <w:lang w:eastAsia="zh-CN"/>
              </w:rPr>
              <w:t>）</w:t>
            </w:r>
          </w:p>
        </w:tc>
        <w:tc>
          <w:tcPr>
            <w:tcW w:w="1366" w:type="dxa"/>
          </w:tcPr>
          <w:p w14:paraId="58C32015"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生物量（</w:t>
            </w:r>
            <w:r>
              <w:rPr>
                <w:rFonts w:ascii="Times New Roman" w:eastAsia="宋体" w:hAnsi="Times New Roman" w:cs="Times New Roman" w:hint="eastAsia"/>
                <w:snapToGrid/>
                <w:color w:val="auto"/>
                <w:kern w:val="2"/>
                <w:lang w:eastAsia="zh-CN"/>
              </w:rPr>
              <w:t>g/m</w:t>
            </w:r>
            <w:r>
              <w:rPr>
                <w:rFonts w:ascii="Times New Roman" w:eastAsia="宋体" w:hAnsi="Times New Roman" w:cs="Times New Roman" w:hint="eastAsia"/>
                <w:snapToGrid/>
                <w:color w:val="auto"/>
                <w:kern w:val="2"/>
                <w:vertAlign w:val="superscript"/>
                <w:lang w:eastAsia="zh-CN"/>
              </w:rPr>
              <w:t>2</w:t>
            </w:r>
            <w:r>
              <w:rPr>
                <w:rFonts w:ascii="宋体" w:eastAsia="宋体" w:hAnsi="宋体" w:cs="宋体" w:hint="eastAsia"/>
                <w:color w:val="auto"/>
                <w:lang w:eastAsia="zh-CN"/>
              </w:rPr>
              <w:t>）</w:t>
            </w:r>
          </w:p>
        </w:tc>
        <w:tc>
          <w:tcPr>
            <w:tcW w:w="1313" w:type="dxa"/>
          </w:tcPr>
          <w:p w14:paraId="50B2B7F8"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多样性指数</w:t>
            </w:r>
            <w:r>
              <w:rPr>
                <w:rFonts w:ascii="宋体" w:eastAsia="宋体" w:hAnsi="宋体" w:cs="宋体" w:hint="eastAsia"/>
                <w:i/>
                <w:iCs/>
                <w:color w:val="auto"/>
                <w:lang w:eastAsia="zh-CN"/>
              </w:rPr>
              <w:t>H</w:t>
            </w:r>
            <w:r>
              <w:rPr>
                <w:rFonts w:ascii="宋体" w:eastAsia="宋体" w:hAnsi="宋体" w:cs="宋体"/>
                <w:i/>
                <w:iCs/>
                <w:color w:val="auto"/>
                <w:lang w:eastAsia="zh-CN"/>
              </w:rPr>
              <w:t>’</w:t>
            </w:r>
          </w:p>
        </w:tc>
        <w:tc>
          <w:tcPr>
            <w:tcW w:w="1313" w:type="dxa"/>
          </w:tcPr>
          <w:p w14:paraId="734885F9"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均匀度</w:t>
            </w:r>
            <w:r>
              <w:rPr>
                <w:rFonts w:ascii="宋体" w:eastAsia="宋体" w:hAnsi="宋体" w:cs="宋体" w:hint="eastAsia"/>
                <w:i/>
                <w:iCs/>
                <w:color w:val="auto"/>
                <w:lang w:eastAsia="zh-CN"/>
              </w:rPr>
              <w:t>J</w:t>
            </w:r>
          </w:p>
        </w:tc>
      </w:tr>
      <w:tr w:rsidR="0075791A" w14:paraId="7C4FD6C8" w14:textId="77777777">
        <w:trPr>
          <w:jc w:val="center"/>
        </w:trPr>
        <w:tc>
          <w:tcPr>
            <w:tcW w:w="1305" w:type="dxa"/>
          </w:tcPr>
          <w:p w14:paraId="3CA28B40"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H2</w:t>
            </w:r>
          </w:p>
        </w:tc>
        <w:tc>
          <w:tcPr>
            <w:tcW w:w="1581" w:type="dxa"/>
          </w:tcPr>
          <w:p w14:paraId="42C4E154"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30.70</w:t>
            </w:r>
          </w:p>
        </w:tc>
        <w:tc>
          <w:tcPr>
            <w:tcW w:w="1366" w:type="dxa"/>
          </w:tcPr>
          <w:p w14:paraId="16052D82"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0.17</w:t>
            </w:r>
          </w:p>
        </w:tc>
        <w:tc>
          <w:tcPr>
            <w:tcW w:w="1313" w:type="dxa"/>
          </w:tcPr>
          <w:p w14:paraId="5FAF8D78"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1.15</w:t>
            </w:r>
          </w:p>
        </w:tc>
        <w:tc>
          <w:tcPr>
            <w:tcW w:w="1313" w:type="dxa"/>
          </w:tcPr>
          <w:p w14:paraId="6CD32C1A"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0.72</w:t>
            </w:r>
          </w:p>
        </w:tc>
      </w:tr>
      <w:tr w:rsidR="0075791A" w14:paraId="1AE4581E" w14:textId="77777777">
        <w:trPr>
          <w:jc w:val="center"/>
        </w:trPr>
        <w:tc>
          <w:tcPr>
            <w:tcW w:w="1305" w:type="dxa"/>
          </w:tcPr>
          <w:p w14:paraId="1DEFA1E2"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H4</w:t>
            </w:r>
          </w:p>
        </w:tc>
        <w:tc>
          <w:tcPr>
            <w:tcW w:w="1581" w:type="dxa"/>
          </w:tcPr>
          <w:p w14:paraId="0D220BE2"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17.54</w:t>
            </w:r>
          </w:p>
        </w:tc>
        <w:tc>
          <w:tcPr>
            <w:tcW w:w="1366" w:type="dxa"/>
          </w:tcPr>
          <w:p w14:paraId="6E2E9A17"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0.38</w:t>
            </w:r>
          </w:p>
        </w:tc>
        <w:tc>
          <w:tcPr>
            <w:tcW w:w="1313" w:type="dxa"/>
          </w:tcPr>
          <w:p w14:paraId="0CDA5F04"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1.50</w:t>
            </w:r>
          </w:p>
        </w:tc>
        <w:tc>
          <w:tcPr>
            <w:tcW w:w="1313" w:type="dxa"/>
          </w:tcPr>
          <w:p w14:paraId="307BDD44"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0.95</w:t>
            </w:r>
          </w:p>
        </w:tc>
      </w:tr>
      <w:tr w:rsidR="0075791A" w14:paraId="4F28EA3E" w14:textId="77777777">
        <w:trPr>
          <w:jc w:val="center"/>
        </w:trPr>
        <w:tc>
          <w:tcPr>
            <w:tcW w:w="1305" w:type="dxa"/>
          </w:tcPr>
          <w:p w14:paraId="45152547"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H5</w:t>
            </w:r>
          </w:p>
        </w:tc>
        <w:tc>
          <w:tcPr>
            <w:tcW w:w="1581" w:type="dxa"/>
          </w:tcPr>
          <w:p w14:paraId="5743FF57"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87.72</w:t>
            </w:r>
          </w:p>
        </w:tc>
        <w:tc>
          <w:tcPr>
            <w:tcW w:w="1366" w:type="dxa"/>
          </w:tcPr>
          <w:p w14:paraId="66A791AF"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4.01</w:t>
            </w:r>
          </w:p>
        </w:tc>
        <w:tc>
          <w:tcPr>
            <w:tcW w:w="1313" w:type="dxa"/>
          </w:tcPr>
          <w:p w14:paraId="458CC1B0"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3.14</w:t>
            </w:r>
          </w:p>
        </w:tc>
        <w:tc>
          <w:tcPr>
            <w:tcW w:w="1313" w:type="dxa"/>
          </w:tcPr>
          <w:p w14:paraId="43EF51FB"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0.88</w:t>
            </w:r>
          </w:p>
        </w:tc>
      </w:tr>
      <w:tr w:rsidR="0075791A" w14:paraId="46EE79BA" w14:textId="77777777">
        <w:trPr>
          <w:jc w:val="center"/>
        </w:trPr>
        <w:tc>
          <w:tcPr>
            <w:tcW w:w="1305" w:type="dxa"/>
          </w:tcPr>
          <w:p w14:paraId="6FAF211D"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H6</w:t>
            </w:r>
          </w:p>
        </w:tc>
        <w:tc>
          <w:tcPr>
            <w:tcW w:w="1581" w:type="dxa"/>
          </w:tcPr>
          <w:p w14:paraId="2C965883"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96.49</w:t>
            </w:r>
          </w:p>
        </w:tc>
        <w:tc>
          <w:tcPr>
            <w:tcW w:w="1366" w:type="dxa"/>
          </w:tcPr>
          <w:p w14:paraId="1ECE608D"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2.50</w:t>
            </w:r>
          </w:p>
        </w:tc>
        <w:tc>
          <w:tcPr>
            <w:tcW w:w="1313" w:type="dxa"/>
          </w:tcPr>
          <w:p w14:paraId="6E5AB538"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3.30</w:t>
            </w:r>
          </w:p>
        </w:tc>
        <w:tc>
          <w:tcPr>
            <w:tcW w:w="1313" w:type="dxa"/>
          </w:tcPr>
          <w:p w14:paraId="28E727CC"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0.92</w:t>
            </w:r>
          </w:p>
        </w:tc>
      </w:tr>
      <w:tr w:rsidR="0075791A" w14:paraId="026779BE" w14:textId="77777777">
        <w:trPr>
          <w:jc w:val="center"/>
        </w:trPr>
        <w:tc>
          <w:tcPr>
            <w:tcW w:w="1305" w:type="dxa"/>
          </w:tcPr>
          <w:p w14:paraId="45C0AC63"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H7</w:t>
            </w:r>
          </w:p>
        </w:tc>
        <w:tc>
          <w:tcPr>
            <w:tcW w:w="1581" w:type="dxa"/>
          </w:tcPr>
          <w:p w14:paraId="0BA22750"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65.79</w:t>
            </w:r>
          </w:p>
        </w:tc>
        <w:tc>
          <w:tcPr>
            <w:tcW w:w="1366" w:type="dxa"/>
          </w:tcPr>
          <w:p w14:paraId="66CAD744"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1.39</w:t>
            </w:r>
          </w:p>
        </w:tc>
        <w:tc>
          <w:tcPr>
            <w:tcW w:w="1313" w:type="dxa"/>
          </w:tcPr>
          <w:p w14:paraId="0EB1362E"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3.37</w:t>
            </w:r>
          </w:p>
        </w:tc>
        <w:tc>
          <w:tcPr>
            <w:tcW w:w="1313" w:type="dxa"/>
          </w:tcPr>
          <w:p w14:paraId="3F783A75"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0.98</w:t>
            </w:r>
          </w:p>
        </w:tc>
      </w:tr>
      <w:tr w:rsidR="0075791A" w14:paraId="1A871E36" w14:textId="77777777">
        <w:trPr>
          <w:jc w:val="center"/>
        </w:trPr>
        <w:tc>
          <w:tcPr>
            <w:tcW w:w="1305" w:type="dxa"/>
          </w:tcPr>
          <w:p w14:paraId="56B61C54"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lastRenderedPageBreak/>
              <w:t>H8</w:t>
            </w:r>
          </w:p>
        </w:tc>
        <w:tc>
          <w:tcPr>
            <w:tcW w:w="1581" w:type="dxa"/>
          </w:tcPr>
          <w:p w14:paraId="2369A61A"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26.32</w:t>
            </w:r>
          </w:p>
        </w:tc>
        <w:tc>
          <w:tcPr>
            <w:tcW w:w="1366" w:type="dxa"/>
          </w:tcPr>
          <w:p w14:paraId="2715E6EC"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0.41</w:t>
            </w:r>
          </w:p>
        </w:tc>
        <w:tc>
          <w:tcPr>
            <w:tcW w:w="1313" w:type="dxa"/>
          </w:tcPr>
          <w:p w14:paraId="0E48BD69"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2.25</w:t>
            </w:r>
          </w:p>
        </w:tc>
        <w:tc>
          <w:tcPr>
            <w:tcW w:w="1313" w:type="dxa"/>
          </w:tcPr>
          <w:p w14:paraId="1797182C"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0.97</w:t>
            </w:r>
          </w:p>
        </w:tc>
      </w:tr>
      <w:tr w:rsidR="0075791A" w14:paraId="7182AE34" w14:textId="77777777">
        <w:trPr>
          <w:jc w:val="center"/>
        </w:trPr>
        <w:tc>
          <w:tcPr>
            <w:tcW w:w="1305" w:type="dxa"/>
          </w:tcPr>
          <w:p w14:paraId="4C9EC95F"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H9</w:t>
            </w:r>
          </w:p>
        </w:tc>
        <w:tc>
          <w:tcPr>
            <w:tcW w:w="1581" w:type="dxa"/>
          </w:tcPr>
          <w:p w14:paraId="02A00D7E"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127.19</w:t>
            </w:r>
          </w:p>
        </w:tc>
        <w:tc>
          <w:tcPr>
            <w:tcW w:w="1366" w:type="dxa"/>
          </w:tcPr>
          <w:p w14:paraId="5132554B"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8.73</w:t>
            </w:r>
          </w:p>
        </w:tc>
        <w:tc>
          <w:tcPr>
            <w:tcW w:w="1313" w:type="dxa"/>
          </w:tcPr>
          <w:p w14:paraId="12FEF2C5"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2.80</w:t>
            </w:r>
          </w:p>
        </w:tc>
        <w:tc>
          <w:tcPr>
            <w:tcW w:w="1313" w:type="dxa"/>
          </w:tcPr>
          <w:p w14:paraId="59B435D9"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0.81</w:t>
            </w:r>
          </w:p>
        </w:tc>
      </w:tr>
      <w:tr w:rsidR="0075791A" w14:paraId="09F2D1CB" w14:textId="77777777">
        <w:trPr>
          <w:jc w:val="center"/>
        </w:trPr>
        <w:tc>
          <w:tcPr>
            <w:tcW w:w="1305" w:type="dxa"/>
          </w:tcPr>
          <w:p w14:paraId="3D620211"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H11</w:t>
            </w:r>
          </w:p>
        </w:tc>
        <w:tc>
          <w:tcPr>
            <w:tcW w:w="1581" w:type="dxa"/>
          </w:tcPr>
          <w:p w14:paraId="73F625B5"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39.47</w:t>
            </w:r>
          </w:p>
        </w:tc>
        <w:tc>
          <w:tcPr>
            <w:tcW w:w="1366" w:type="dxa"/>
          </w:tcPr>
          <w:p w14:paraId="4511814C"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2.02</w:t>
            </w:r>
          </w:p>
        </w:tc>
        <w:tc>
          <w:tcPr>
            <w:tcW w:w="1313" w:type="dxa"/>
          </w:tcPr>
          <w:p w14:paraId="4B9A13DB"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2.73</w:t>
            </w:r>
          </w:p>
        </w:tc>
        <w:tc>
          <w:tcPr>
            <w:tcW w:w="1313" w:type="dxa"/>
          </w:tcPr>
          <w:p w14:paraId="70F88AD4"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0.97</w:t>
            </w:r>
          </w:p>
        </w:tc>
      </w:tr>
      <w:tr w:rsidR="0075791A" w14:paraId="07B8B373" w14:textId="77777777">
        <w:trPr>
          <w:jc w:val="center"/>
        </w:trPr>
        <w:tc>
          <w:tcPr>
            <w:tcW w:w="1305" w:type="dxa"/>
          </w:tcPr>
          <w:p w14:paraId="43670614"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平均值</w:t>
            </w:r>
          </w:p>
        </w:tc>
        <w:tc>
          <w:tcPr>
            <w:tcW w:w="1581" w:type="dxa"/>
          </w:tcPr>
          <w:p w14:paraId="626102FB"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61.40</w:t>
            </w:r>
          </w:p>
        </w:tc>
        <w:tc>
          <w:tcPr>
            <w:tcW w:w="1366" w:type="dxa"/>
          </w:tcPr>
          <w:p w14:paraId="3EBC4F98"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TimesNewRomanPSMT" w:eastAsia="TimesNewRomanPSMT" w:hAnsi="TimesNewRomanPSMT" w:hint="eastAsia"/>
                <w:color w:val="auto"/>
              </w:rPr>
              <w:t>2.45</w:t>
            </w:r>
          </w:p>
        </w:tc>
        <w:tc>
          <w:tcPr>
            <w:tcW w:w="1313" w:type="dxa"/>
          </w:tcPr>
          <w:p w14:paraId="59465016"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2.53</w:t>
            </w:r>
          </w:p>
        </w:tc>
        <w:tc>
          <w:tcPr>
            <w:tcW w:w="1313" w:type="dxa"/>
          </w:tcPr>
          <w:p w14:paraId="797B3BF9" w14:textId="77777777" w:rsidR="0075791A" w:rsidRDefault="00FB2864">
            <w:pPr>
              <w:widowControl/>
              <w:kinsoku/>
              <w:adjustRightInd/>
              <w:snapToGrid/>
              <w:jc w:val="center"/>
              <w:textAlignment w:val="auto"/>
              <w:rPr>
                <w:rFonts w:ascii="宋体" w:eastAsia="宋体" w:hAnsi="宋体" w:cs="宋体"/>
                <w:color w:val="auto"/>
                <w:lang w:eastAsia="zh-CN"/>
              </w:rPr>
            </w:pPr>
            <w:r>
              <w:rPr>
                <w:rFonts w:ascii="宋体" w:eastAsia="宋体" w:hAnsi="宋体" w:cs="宋体" w:hint="eastAsia"/>
                <w:color w:val="auto"/>
                <w:lang w:eastAsia="zh-CN"/>
              </w:rPr>
              <w:t>0.90</w:t>
            </w:r>
          </w:p>
        </w:tc>
      </w:tr>
    </w:tbl>
    <w:p w14:paraId="53C8FD25" w14:textId="77777777" w:rsidR="0075791A" w:rsidRDefault="0075791A">
      <w:pPr>
        <w:kinsoku/>
        <w:adjustRightInd/>
        <w:snapToGrid/>
        <w:jc w:val="center"/>
        <w:textAlignment w:val="auto"/>
        <w:rPr>
          <w:rFonts w:ascii="宋体" w:eastAsia="宋体" w:hAnsi="宋体" w:cs="宋体"/>
          <w:color w:val="auto"/>
          <w:sz w:val="24"/>
          <w:szCs w:val="24"/>
          <w:lang w:eastAsia="zh-CN"/>
        </w:rPr>
      </w:pPr>
    </w:p>
    <w:p w14:paraId="60A46163" w14:textId="77777777" w:rsidR="0075791A" w:rsidRDefault="00FB2864">
      <w:pPr>
        <w:jc w:val="center"/>
        <w:rPr>
          <w:rFonts w:ascii="Times New Roman" w:eastAsia="宋体" w:hAnsi="Times New Roman" w:cs="宋体"/>
          <w:color w:val="auto"/>
          <w:sz w:val="24"/>
          <w:szCs w:val="24"/>
          <w:lang w:eastAsia="zh-CN"/>
        </w:rPr>
      </w:pPr>
      <w:r>
        <w:rPr>
          <w:rFonts w:ascii="宋体" w:eastAsia="宋体" w:hAnsi="宋体" w:cs="宋体"/>
          <w:color w:val="auto"/>
          <w:sz w:val="24"/>
          <w:szCs w:val="24"/>
          <w:lang w:eastAsia="zh-CN"/>
        </w:rPr>
        <w:t>表</w:t>
      </w:r>
      <w:r>
        <w:rPr>
          <w:rFonts w:ascii="宋体" w:eastAsia="宋体" w:hAnsi="宋体" w:cs="宋体"/>
          <w:color w:val="auto"/>
          <w:spacing w:val="-60"/>
          <w:sz w:val="24"/>
          <w:szCs w:val="24"/>
          <w:lang w:eastAsia="zh-CN"/>
        </w:rPr>
        <w:t xml:space="preserve"> </w:t>
      </w:r>
      <w:r>
        <w:rPr>
          <w:rFonts w:ascii="Times New Roman" w:eastAsia="宋体" w:hAnsi="Times New Roman" w:cs="Times New Roman" w:hint="eastAsia"/>
          <w:snapToGrid/>
          <w:color w:val="auto"/>
          <w:kern w:val="2"/>
          <w:sz w:val="24"/>
          <w:szCs w:val="24"/>
          <w:lang w:eastAsia="zh-CN"/>
        </w:rPr>
        <w:t>3.2.6-27</w:t>
      </w:r>
      <w:r>
        <w:rPr>
          <w:rFonts w:ascii="Times New Roman" w:eastAsia="Times New Roman" w:hAnsi="Times New Roman" w:cs="Times New Roman"/>
          <w:color w:val="auto"/>
          <w:sz w:val="24"/>
          <w:szCs w:val="24"/>
          <w:lang w:eastAsia="zh-CN"/>
        </w:rPr>
        <w:t xml:space="preserve"> </w:t>
      </w:r>
      <w:r>
        <w:rPr>
          <w:rFonts w:ascii="宋体" w:eastAsia="宋体" w:hAnsi="宋体" w:cs="宋体"/>
          <w:color w:val="auto"/>
          <w:sz w:val="24"/>
          <w:szCs w:val="24"/>
          <w:lang w:eastAsia="zh-CN"/>
        </w:rPr>
        <w:t>底栖生物各站位类别栖息密度（</w:t>
      </w:r>
      <w:r>
        <w:rPr>
          <w:rFonts w:ascii="Times New Roman" w:eastAsia="Times New Roman" w:hAnsi="Times New Roman" w:cs="Times New Roman"/>
          <w:color w:val="auto"/>
          <w:sz w:val="24"/>
          <w:szCs w:val="24"/>
          <w:lang w:eastAsia="zh-CN"/>
        </w:rPr>
        <w:t>ind/</w:t>
      </w:r>
      <w:r>
        <w:rPr>
          <w:rFonts w:ascii="Times New Roman" w:eastAsia="Times New Roman" w:hAnsi="Times New Roman" w:cs="Times New Roman"/>
          <w:color w:val="auto"/>
          <w:spacing w:val="-2"/>
          <w:sz w:val="24"/>
          <w:szCs w:val="24"/>
          <w:lang w:eastAsia="zh-CN"/>
        </w:rPr>
        <w:t>m</w:t>
      </w:r>
      <w:r>
        <w:rPr>
          <w:rFonts w:ascii="Times New Roman" w:eastAsia="Times New Roman" w:hAnsi="Times New Roman" w:cs="Times New Roman"/>
          <w:color w:val="auto"/>
          <w:spacing w:val="-2"/>
          <w:position w:val="8"/>
          <w:sz w:val="15"/>
          <w:szCs w:val="15"/>
          <w:lang w:eastAsia="zh-CN"/>
        </w:rPr>
        <w:t>2</w:t>
      </w:r>
      <w:r>
        <w:rPr>
          <w:rFonts w:ascii="宋体" w:eastAsia="宋体" w:hAnsi="宋体" w:cs="宋体"/>
          <w:color w:val="auto"/>
          <w:sz w:val="24"/>
          <w:szCs w:val="24"/>
          <w:lang w:eastAsia="zh-CN"/>
        </w:rPr>
        <w:t>）和生物量（</w:t>
      </w:r>
      <w:r>
        <w:rPr>
          <w:rFonts w:ascii="Times New Roman" w:eastAsia="Times New Roman" w:hAnsi="Times New Roman" w:cs="Times New Roman"/>
          <w:color w:val="auto"/>
          <w:spacing w:val="-3"/>
          <w:sz w:val="24"/>
          <w:szCs w:val="24"/>
          <w:lang w:eastAsia="zh-CN"/>
        </w:rPr>
        <w:t>g</w:t>
      </w:r>
      <w:r>
        <w:rPr>
          <w:rFonts w:ascii="Times New Roman" w:eastAsia="Times New Roman" w:hAnsi="Times New Roman" w:cs="Times New Roman"/>
          <w:color w:val="auto"/>
          <w:sz w:val="24"/>
          <w:szCs w:val="24"/>
          <w:lang w:eastAsia="zh-CN"/>
        </w:rPr>
        <w:t>/</w:t>
      </w:r>
      <w:r>
        <w:rPr>
          <w:rFonts w:ascii="Times New Roman" w:eastAsia="Times New Roman" w:hAnsi="Times New Roman" w:cs="Times New Roman"/>
          <w:color w:val="auto"/>
          <w:spacing w:val="3"/>
          <w:sz w:val="24"/>
          <w:szCs w:val="24"/>
          <w:lang w:eastAsia="zh-CN"/>
        </w:rPr>
        <w:t>m</w:t>
      </w:r>
      <w:r>
        <w:rPr>
          <w:rFonts w:ascii="Times New Roman" w:eastAsia="Times New Roman" w:hAnsi="Times New Roman" w:cs="Times New Roman"/>
          <w:color w:val="auto"/>
          <w:spacing w:val="-2"/>
          <w:position w:val="8"/>
          <w:sz w:val="15"/>
          <w:szCs w:val="15"/>
          <w:lang w:eastAsia="zh-CN"/>
        </w:rPr>
        <w:t>2</w:t>
      </w:r>
      <w:r>
        <w:rPr>
          <w:rFonts w:ascii="宋体" w:eastAsia="宋体" w:hAnsi="宋体" w:cs="宋体"/>
          <w:color w:val="auto"/>
          <w:sz w:val="24"/>
          <w:szCs w:val="24"/>
          <w:lang w:eastAsia="zh-CN"/>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62"/>
        <w:gridCol w:w="993"/>
        <w:gridCol w:w="832"/>
        <w:gridCol w:w="833"/>
        <w:gridCol w:w="833"/>
        <w:gridCol w:w="833"/>
        <w:gridCol w:w="832"/>
        <w:gridCol w:w="833"/>
        <w:gridCol w:w="833"/>
        <w:gridCol w:w="833"/>
      </w:tblGrid>
      <w:tr w:rsidR="0075791A" w14:paraId="754126AC" w14:textId="77777777">
        <w:trPr>
          <w:trHeight w:hRule="exact" w:val="330"/>
          <w:jc w:val="center"/>
        </w:trPr>
        <w:tc>
          <w:tcPr>
            <w:tcW w:w="1555" w:type="dxa"/>
            <w:gridSpan w:val="2"/>
            <w:tcBorders>
              <w:tl2br w:val="nil"/>
              <w:tr2bl w:val="nil"/>
            </w:tcBorders>
          </w:tcPr>
          <w:p w14:paraId="1D38F0DA" w14:textId="77777777" w:rsidR="0075791A" w:rsidRDefault="00FB2864">
            <w:pPr>
              <w:pStyle w:val="TableParagraph"/>
              <w:spacing w:line="287" w:lineRule="exact"/>
              <w:jc w:val="center"/>
              <w:rPr>
                <w:rFonts w:ascii="宋体" w:eastAsia="宋体" w:hAnsi="宋体" w:cs="宋体"/>
                <w:color w:val="auto"/>
                <w:sz w:val="22"/>
                <w:szCs w:val="22"/>
              </w:rPr>
            </w:pPr>
            <w:r>
              <w:rPr>
                <w:rFonts w:ascii="宋体" w:eastAsia="宋体" w:hAnsi="宋体" w:cs="宋体"/>
                <w:color w:val="auto"/>
                <w:spacing w:val="-1"/>
                <w:sz w:val="22"/>
                <w:szCs w:val="22"/>
              </w:rPr>
              <w:t>类</w:t>
            </w:r>
            <w:r>
              <w:rPr>
                <w:rFonts w:ascii="宋体" w:eastAsia="宋体" w:hAnsi="宋体" w:cs="宋体"/>
                <w:color w:val="auto"/>
                <w:sz w:val="22"/>
                <w:szCs w:val="22"/>
              </w:rPr>
              <w:t>别</w:t>
            </w:r>
          </w:p>
        </w:tc>
        <w:tc>
          <w:tcPr>
            <w:tcW w:w="832" w:type="dxa"/>
            <w:tcBorders>
              <w:tl2br w:val="nil"/>
              <w:tr2bl w:val="nil"/>
            </w:tcBorders>
          </w:tcPr>
          <w:p w14:paraId="2C7CA587" w14:textId="77777777" w:rsidR="0075791A" w:rsidRDefault="00FB2864">
            <w:pPr>
              <w:pStyle w:val="TableParagraph"/>
              <w:spacing w:before="51"/>
              <w:ind w:right="1"/>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2</w:t>
            </w:r>
          </w:p>
        </w:tc>
        <w:tc>
          <w:tcPr>
            <w:tcW w:w="833" w:type="dxa"/>
            <w:tcBorders>
              <w:tl2br w:val="nil"/>
              <w:tr2bl w:val="nil"/>
            </w:tcBorders>
          </w:tcPr>
          <w:p w14:paraId="44E6E6B6" w14:textId="77777777" w:rsidR="0075791A" w:rsidRDefault="00FB2864">
            <w:pPr>
              <w:pStyle w:val="TableParagraph"/>
              <w:spacing w:before="51"/>
              <w:ind w:left="258" w:right="259"/>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4</w:t>
            </w:r>
          </w:p>
        </w:tc>
        <w:tc>
          <w:tcPr>
            <w:tcW w:w="833" w:type="dxa"/>
            <w:tcBorders>
              <w:tl2br w:val="nil"/>
              <w:tr2bl w:val="nil"/>
            </w:tcBorders>
          </w:tcPr>
          <w:p w14:paraId="692DB692" w14:textId="77777777" w:rsidR="0075791A" w:rsidRDefault="00FB2864">
            <w:pPr>
              <w:pStyle w:val="TableParagraph"/>
              <w:spacing w:before="51"/>
              <w:ind w:right="1"/>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5</w:t>
            </w:r>
          </w:p>
        </w:tc>
        <w:tc>
          <w:tcPr>
            <w:tcW w:w="833" w:type="dxa"/>
            <w:tcBorders>
              <w:tl2br w:val="nil"/>
              <w:tr2bl w:val="nil"/>
            </w:tcBorders>
          </w:tcPr>
          <w:p w14:paraId="19C1F2CE" w14:textId="77777777" w:rsidR="0075791A" w:rsidRDefault="00FB2864">
            <w:pPr>
              <w:pStyle w:val="TableParagraph"/>
              <w:spacing w:before="51"/>
              <w:ind w:right="1"/>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6</w:t>
            </w:r>
          </w:p>
        </w:tc>
        <w:tc>
          <w:tcPr>
            <w:tcW w:w="832" w:type="dxa"/>
            <w:tcBorders>
              <w:tl2br w:val="nil"/>
              <w:tr2bl w:val="nil"/>
            </w:tcBorders>
          </w:tcPr>
          <w:p w14:paraId="408C94AA" w14:textId="77777777" w:rsidR="0075791A" w:rsidRDefault="00FB2864">
            <w:pPr>
              <w:pStyle w:val="TableParagraph"/>
              <w:spacing w:before="51"/>
              <w:ind w:right="1"/>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7</w:t>
            </w:r>
          </w:p>
        </w:tc>
        <w:tc>
          <w:tcPr>
            <w:tcW w:w="833" w:type="dxa"/>
            <w:tcBorders>
              <w:tl2br w:val="nil"/>
              <w:tr2bl w:val="nil"/>
            </w:tcBorders>
          </w:tcPr>
          <w:p w14:paraId="6C3010B3" w14:textId="77777777" w:rsidR="0075791A" w:rsidRDefault="00FB2864">
            <w:pPr>
              <w:pStyle w:val="TableParagraph"/>
              <w:spacing w:before="51"/>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8</w:t>
            </w:r>
          </w:p>
        </w:tc>
        <w:tc>
          <w:tcPr>
            <w:tcW w:w="833" w:type="dxa"/>
            <w:tcBorders>
              <w:tl2br w:val="nil"/>
              <w:tr2bl w:val="nil"/>
            </w:tcBorders>
          </w:tcPr>
          <w:p w14:paraId="0AFDA628" w14:textId="77777777" w:rsidR="0075791A" w:rsidRDefault="00FB2864">
            <w:pPr>
              <w:pStyle w:val="TableParagraph"/>
              <w:spacing w:before="51"/>
              <w:ind w:left="258" w:right="259"/>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9</w:t>
            </w:r>
          </w:p>
        </w:tc>
        <w:tc>
          <w:tcPr>
            <w:tcW w:w="833" w:type="dxa"/>
            <w:tcBorders>
              <w:tl2br w:val="nil"/>
              <w:tr2bl w:val="nil"/>
            </w:tcBorders>
          </w:tcPr>
          <w:p w14:paraId="3FDBFB36" w14:textId="77777777" w:rsidR="0075791A" w:rsidRDefault="00FB2864">
            <w:pPr>
              <w:pStyle w:val="TableParagraph"/>
              <w:spacing w:before="51"/>
              <w:ind w:left="22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pacing w:val="-5"/>
                <w:sz w:val="22"/>
                <w:szCs w:val="22"/>
              </w:rPr>
              <w:t>1</w:t>
            </w:r>
            <w:r>
              <w:rPr>
                <w:rFonts w:ascii="Times New Roman" w:eastAsia="Times New Roman" w:hAnsi="Times New Roman" w:cs="Times New Roman"/>
                <w:color w:val="auto"/>
                <w:sz w:val="22"/>
                <w:szCs w:val="22"/>
              </w:rPr>
              <w:t>1</w:t>
            </w:r>
          </w:p>
        </w:tc>
      </w:tr>
      <w:tr w:rsidR="0075791A" w14:paraId="17580976" w14:textId="77777777">
        <w:trPr>
          <w:trHeight w:hRule="exact" w:val="330"/>
          <w:jc w:val="center"/>
        </w:trPr>
        <w:tc>
          <w:tcPr>
            <w:tcW w:w="562" w:type="dxa"/>
            <w:vMerge w:val="restart"/>
            <w:tcBorders>
              <w:tl2br w:val="nil"/>
              <w:tr2bl w:val="nil"/>
            </w:tcBorders>
          </w:tcPr>
          <w:p w14:paraId="5F758F71" w14:textId="77777777" w:rsidR="0075791A" w:rsidRDefault="00FB2864">
            <w:pPr>
              <w:pStyle w:val="TableParagraph"/>
              <w:spacing w:before="19" w:line="322" w:lineRule="exact"/>
              <w:ind w:left="165"/>
              <w:rPr>
                <w:rFonts w:ascii="宋体" w:eastAsia="宋体" w:hAnsi="宋体" w:cs="宋体"/>
                <w:color w:val="auto"/>
                <w:sz w:val="22"/>
                <w:szCs w:val="22"/>
              </w:rPr>
            </w:pPr>
            <w:r>
              <w:rPr>
                <w:rFonts w:ascii="宋体" w:eastAsia="宋体" w:hAnsi="宋体" w:cs="宋体"/>
                <w:color w:val="auto"/>
                <w:sz w:val="22"/>
                <w:szCs w:val="22"/>
              </w:rPr>
              <w:t>栖息</w:t>
            </w:r>
          </w:p>
          <w:p w14:paraId="3C0CBEBD" w14:textId="77777777" w:rsidR="0075791A" w:rsidRDefault="00FB2864">
            <w:pPr>
              <w:pStyle w:val="TableParagraph"/>
              <w:spacing w:line="286" w:lineRule="exact"/>
              <w:ind w:left="165"/>
              <w:rPr>
                <w:rFonts w:ascii="宋体" w:eastAsia="宋体" w:hAnsi="宋体" w:cs="宋体"/>
                <w:color w:val="auto"/>
                <w:sz w:val="22"/>
                <w:szCs w:val="22"/>
              </w:rPr>
            </w:pPr>
            <w:r>
              <w:rPr>
                <w:rFonts w:ascii="宋体" w:eastAsia="宋体" w:hAnsi="宋体" w:cs="宋体"/>
                <w:color w:val="auto"/>
                <w:sz w:val="22"/>
                <w:szCs w:val="22"/>
              </w:rPr>
              <w:t>密</w:t>
            </w:r>
          </w:p>
          <w:p w14:paraId="4FFE2696" w14:textId="77777777" w:rsidR="0075791A" w:rsidRDefault="00FB2864">
            <w:pPr>
              <w:pStyle w:val="TableParagraph"/>
              <w:spacing w:line="319" w:lineRule="exact"/>
              <w:ind w:left="165"/>
              <w:rPr>
                <w:rFonts w:ascii="宋体" w:eastAsia="宋体" w:hAnsi="宋体" w:cs="宋体"/>
                <w:color w:val="auto"/>
                <w:sz w:val="22"/>
                <w:szCs w:val="22"/>
              </w:rPr>
            </w:pPr>
            <w:r>
              <w:rPr>
                <w:rFonts w:ascii="宋体" w:eastAsia="宋体" w:hAnsi="宋体" w:cs="宋体"/>
                <w:color w:val="auto"/>
                <w:sz w:val="22"/>
                <w:szCs w:val="22"/>
              </w:rPr>
              <w:t>度</w:t>
            </w:r>
          </w:p>
        </w:tc>
        <w:tc>
          <w:tcPr>
            <w:tcW w:w="993" w:type="dxa"/>
            <w:tcBorders>
              <w:tl2br w:val="nil"/>
              <w:tr2bl w:val="nil"/>
            </w:tcBorders>
          </w:tcPr>
          <w:p w14:paraId="641B1EBC" w14:textId="77777777" w:rsidR="0075791A" w:rsidRDefault="00FB2864">
            <w:pPr>
              <w:pStyle w:val="TableParagraph"/>
              <w:spacing w:line="288" w:lineRule="exact"/>
              <w:ind w:left="160"/>
              <w:rPr>
                <w:rFonts w:ascii="宋体" w:eastAsia="宋体" w:hAnsi="宋体" w:cs="宋体"/>
                <w:color w:val="auto"/>
                <w:sz w:val="22"/>
                <w:szCs w:val="22"/>
              </w:rPr>
            </w:pPr>
            <w:r>
              <w:rPr>
                <w:rFonts w:ascii="宋体" w:eastAsia="宋体" w:hAnsi="宋体" w:cs="宋体"/>
                <w:color w:val="auto"/>
                <w:spacing w:val="-1"/>
                <w:sz w:val="22"/>
                <w:szCs w:val="22"/>
              </w:rPr>
              <w:t>多</w:t>
            </w:r>
            <w:r>
              <w:rPr>
                <w:rFonts w:ascii="宋体" w:eastAsia="宋体" w:hAnsi="宋体" w:cs="宋体"/>
                <w:color w:val="auto"/>
                <w:spacing w:val="-3"/>
                <w:sz w:val="22"/>
                <w:szCs w:val="22"/>
              </w:rPr>
              <w:t>毛</w:t>
            </w:r>
            <w:r>
              <w:rPr>
                <w:rFonts w:ascii="宋体" w:eastAsia="宋体" w:hAnsi="宋体" w:cs="宋体"/>
                <w:color w:val="auto"/>
                <w:sz w:val="22"/>
                <w:szCs w:val="22"/>
              </w:rPr>
              <w:t>类</w:t>
            </w:r>
          </w:p>
        </w:tc>
        <w:tc>
          <w:tcPr>
            <w:tcW w:w="832" w:type="dxa"/>
            <w:tcBorders>
              <w:tl2br w:val="nil"/>
              <w:tr2bl w:val="nil"/>
            </w:tcBorders>
          </w:tcPr>
          <w:p w14:paraId="7F76EEC1" w14:textId="77777777" w:rsidR="0075791A" w:rsidRDefault="00FB2864">
            <w:pPr>
              <w:pStyle w:val="TableParagraph"/>
              <w:spacing w:before="52"/>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8.7</w:t>
            </w:r>
            <w:r>
              <w:rPr>
                <w:rFonts w:ascii="Times New Roman" w:eastAsia="Times New Roman" w:hAnsi="Times New Roman" w:cs="Times New Roman"/>
                <w:color w:val="auto"/>
                <w:sz w:val="22"/>
                <w:szCs w:val="22"/>
              </w:rPr>
              <w:t>7</w:t>
            </w:r>
          </w:p>
        </w:tc>
        <w:tc>
          <w:tcPr>
            <w:tcW w:w="833" w:type="dxa"/>
            <w:tcBorders>
              <w:tl2br w:val="nil"/>
              <w:tr2bl w:val="nil"/>
            </w:tcBorders>
          </w:tcPr>
          <w:p w14:paraId="10B267DD" w14:textId="77777777" w:rsidR="0075791A" w:rsidRDefault="00FB2864">
            <w:pPr>
              <w:pStyle w:val="TableParagraph"/>
              <w:spacing w:before="52"/>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8.7</w:t>
            </w:r>
            <w:r>
              <w:rPr>
                <w:rFonts w:ascii="Times New Roman" w:eastAsia="Times New Roman" w:hAnsi="Times New Roman" w:cs="Times New Roman"/>
                <w:color w:val="auto"/>
                <w:sz w:val="22"/>
                <w:szCs w:val="22"/>
              </w:rPr>
              <w:t>7</w:t>
            </w:r>
          </w:p>
        </w:tc>
        <w:tc>
          <w:tcPr>
            <w:tcW w:w="833" w:type="dxa"/>
            <w:tcBorders>
              <w:tl2br w:val="nil"/>
              <w:tr2bl w:val="nil"/>
            </w:tcBorders>
          </w:tcPr>
          <w:p w14:paraId="2747459B" w14:textId="77777777" w:rsidR="0075791A" w:rsidRDefault="00FB2864">
            <w:pPr>
              <w:pStyle w:val="TableParagraph"/>
              <w:spacing w:before="52"/>
              <w:ind w:left="163"/>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13.1</w:t>
            </w:r>
            <w:r>
              <w:rPr>
                <w:rFonts w:ascii="Times New Roman" w:eastAsia="Times New Roman" w:hAnsi="Times New Roman" w:cs="Times New Roman"/>
                <w:color w:val="auto"/>
                <w:sz w:val="22"/>
                <w:szCs w:val="22"/>
              </w:rPr>
              <w:t>6</w:t>
            </w:r>
          </w:p>
        </w:tc>
        <w:tc>
          <w:tcPr>
            <w:tcW w:w="833" w:type="dxa"/>
            <w:tcBorders>
              <w:tl2br w:val="nil"/>
              <w:tr2bl w:val="nil"/>
            </w:tcBorders>
          </w:tcPr>
          <w:p w14:paraId="74460740" w14:textId="77777777" w:rsidR="0075791A" w:rsidRDefault="00FB2864">
            <w:pPr>
              <w:pStyle w:val="TableParagraph"/>
              <w:spacing w:before="52"/>
              <w:ind w:left="163"/>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48.2</w:t>
            </w:r>
            <w:r>
              <w:rPr>
                <w:rFonts w:ascii="Times New Roman" w:eastAsia="Times New Roman" w:hAnsi="Times New Roman" w:cs="Times New Roman"/>
                <w:color w:val="auto"/>
                <w:sz w:val="22"/>
                <w:szCs w:val="22"/>
              </w:rPr>
              <w:t>5</w:t>
            </w:r>
          </w:p>
        </w:tc>
        <w:tc>
          <w:tcPr>
            <w:tcW w:w="832" w:type="dxa"/>
            <w:tcBorders>
              <w:tl2br w:val="nil"/>
              <w:tr2bl w:val="nil"/>
            </w:tcBorders>
          </w:tcPr>
          <w:p w14:paraId="3D910814" w14:textId="77777777" w:rsidR="0075791A" w:rsidRDefault="00FB2864">
            <w:pPr>
              <w:pStyle w:val="TableParagraph"/>
              <w:spacing w:before="52"/>
              <w:ind w:left="163"/>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21.9</w:t>
            </w:r>
            <w:r>
              <w:rPr>
                <w:rFonts w:ascii="Times New Roman" w:eastAsia="Times New Roman" w:hAnsi="Times New Roman" w:cs="Times New Roman"/>
                <w:color w:val="auto"/>
                <w:sz w:val="22"/>
                <w:szCs w:val="22"/>
              </w:rPr>
              <w:t>3</w:t>
            </w:r>
          </w:p>
        </w:tc>
        <w:tc>
          <w:tcPr>
            <w:tcW w:w="833" w:type="dxa"/>
            <w:tcBorders>
              <w:tl2br w:val="nil"/>
              <w:tr2bl w:val="nil"/>
            </w:tcBorders>
          </w:tcPr>
          <w:p w14:paraId="7FEFBB68" w14:textId="77777777" w:rsidR="0075791A" w:rsidRDefault="00FB2864">
            <w:pPr>
              <w:pStyle w:val="TableParagraph"/>
              <w:spacing w:before="52"/>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8.7</w:t>
            </w:r>
            <w:r>
              <w:rPr>
                <w:rFonts w:ascii="Times New Roman" w:eastAsia="Times New Roman" w:hAnsi="Times New Roman" w:cs="Times New Roman"/>
                <w:color w:val="auto"/>
                <w:sz w:val="22"/>
                <w:szCs w:val="22"/>
              </w:rPr>
              <w:t>7</w:t>
            </w:r>
          </w:p>
        </w:tc>
        <w:tc>
          <w:tcPr>
            <w:tcW w:w="833" w:type="dxa"/>
            <w:tcBorders>
              <w:tl2br w:val="nil"/>
              <w:tr2bl w:val="nil"/>
            </w:tcBorders>
          </w:tcPr>
          <w:p w14:paraId="2AF58450" w14:textId="77777777" w:rsidR="0075791A" w:rsidRDefault="00FB2864">
            <w:pPr>
              <w:pStyle w:val="TableParagraph"/>
              <w:spacing w:before="52"/>
              <w:ind w:left="164"/>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57.0</w:t>
            </w:r>
            <w:r>
              <w:rPr>
                <w:rFonts w:ascii="Times New Roman" w:eastAsia="Times New Roman" w:hAnsi="Times New Roman" w:cs="Times New Roman"/>
                <w:color w:val="auto"/>
                <w:sz w:val="22"/>
                <w:szCs w:val="22"/>
              </w:rPr>
              <w:t>2</w:t>
            </w:r>
          </w:p>
        </w:tc>
        <w:tc>
          <w:tcPr>
            <w:tcW w:w="833" w:type="dxa"/>
            <w:tcBorders>
              <w:tl2br w:val="nil"/>
              <w:tr2bl w:val="nil"/>
            </w:tcBorders>
          </w:tcPr>
          <w:p w14:paraId="27E1AA89" w14:textId="77777777" w:rsidR="0075791A" w:rsidRDefault="00FB2864">
            <w:pPr>
              <w:pStyle w:val="TableParagraph"/>
              <w:spacing w:before="52"/>
              <w:ind w:left="163"/>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21.9</w:t>
            </w:r>
            <w:r>
              <w:rPr>
                <w:rFonts w:ascii="Times New Roman" w:eastAsia="Times New Roman" w:hAnsi="Times New Roman" w:cs="Times New Roman"/>
                <w:color w:val="auto"/>
                <w:sz w:val="22"/>
                <w:szCs w:val="22"/>
              </w:rPr>
              <w:t>3</w:t>
            </w:r>
          </w:p>
        </w:tc>
      </w:tr>
      <w:tr w:rsidR="0075791A" w14:paraId="6EBB3DD7" w14:textId="77777777">
        <w:trPr>
          <w:trHeight w:hRule="exact" w:val="330"/>
          <w:jc w:val="center"/>
        </w:trPr>
        <w:tc>
          <w:tcPr>
            <w:tcW w:w="562" w:type="dxa"/>
            <w:vMerge/>
            <w:tcBorders>
              <w:tl2br w:val="nil"/>
              <w:tr2bl w:val="nil"/>
            </w:tcBorders>
          </w:tcPr>
          <w:p w14:paraId="276FB67B" w14:textId="77777777" w:rsidR="0075791A" w:rsidRDefault="0075791A">
            <w:pPr>
              <w:rPr>
                <w:color w:val="auto"/>
              </w:rPr>
            </w:pPr>
          </w:p>
        </w:tc>
        <w:tc>
          <w:tcPr>
            <w:tcW w:w="993" w:type="dxa"/>
            <w:tcBorders>
              <w:tl2br w:val="nil"/>
              <w:tr2bl w:val="nil"/>
            </w:tcBorders>
          </w:tcPr>
          <w:p w14:paraId="03B85285" w14:textId="77777777" w:rsidR="0075791A" w:rsidRDefault="00FB2864">
            <w:pPr>
              <w:pStyle w:val="TableParagraph"/>
              <w:spacing w:line="287" w:lineRule="exact"/>
              <w:ind w:left="160"/>
              <w:rPr>
                <w:rFonts w:ascii="宋体" w:eastAsia="宋体" w:hAnsi="宋体" w:cs="宋体"/>
                <w:color w:val="auto"/>
                <w:sz w:val="22"/>
                <w:szCs w:val="22"/>
              </w:rPr>
            </w:pPr>
            <w:r>
              <w:rPr>
                <w:rFonts w:ascii="宋体" w:eastAsia="宋体" w:hAnsi="宋体" w:cs="宋体"/>
                <w:color w:val="auto"/>
                <w:spacing w:val="-1"/>
                <w:sz w:val="22"/>
                <w:szCs w:val="22"/>
              </w:rPr>
              <w:t>甲</w:t>
            </w:r>
            <w:r>
              <w:rPr>
                <w:rFonts w:ascii="宋体" w:eastAsia="宋体" w:hAnsi="宋体" w:cs="宋体"/>
                <w:color w:val="auto"/>
                <w:spacing w:val="-3"/>
                <w:sz w:val="22"/>
                <w:szCs w:val="22"/>
              </w:rPr>
              <w:t>壳</w:t>
            </w:r>
            <w:r>
              <w:rPr>
                <w:rFonts w:ascii="宋体" w:eastAsia="宋体" w:hAnsi="宋体" w:cs="宋体"/>
                <w:color w:val="auto"/>
                <w:sz w:val="22"/>
                <w:szCs w:val="22"/>
              </w:rPr>
              <w:t>类</w:t>
            </w:r>
          </w:p>
        </w:tc>
        <w:tc>
          <w:tcPr>
            <w:tcW w:w="832" w:type="dxa"/>
            <w:tcBorders>
              <w:tl2br w:val="nil"/>
              <w:tr2bl w:val="nil"/>
            </w:tcBorders>
          </w:tcPr>
          <w:p w14:paraId="514276E1" w14:textId="77777777" w:rsidR="0075791A" w:rsidRDefault="00FB2864">
            <w:pPr>
              <w:pStyle w:val="TableParagraph"/>
              <w:spacing w:before="51"/>
              <w:ind w:left="163"/>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21.9</w:t>
            </w:r>
            <w:r>
              <w:rPr>
                <w:rFonts w:ascii="Times New Roman" w:eastAsia="Times New Roman" w:hAnsi="Times New Roman" w:cs="Times New Roman"/>
                <w:color w:val="auto"/>
                <w:sz w:val="22"/>
                <w:szCs w:val="22"/>
              </w:rPr>
              <w:t>3</w:t>
            </w:r>
          </w:p>
        </w:tc>
        <w:tc>
          <w:tcPr>
            <w:tcW w:w="833" w:type="dxa"/>
            <w:tcBorders>
              <w:tl2br w:val="nil"/>
              <w:tr2bl w:val="nil"/>
            </w:tcBorders>
          </w:tcPr>
          <w:p w14:paraId="7DD78946" w14:textId="77777777" w:rsidR="0075791A" w:rsidRDefault="00FB2864">
            <w:pPr>
              <w:pStyle w:val="TableParagraph"/>
              <w:spacing w:before="51"/>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4.3</w:t>
            </w:r>
            <w:r>
              <w:rPr>
                <w:rFonts w:ascii="Times New Roman" w:eastAsia="Times New Roman" w:hAnsi="Times New Roman" w:cs="Times New Roman"/>
                <w:color w:val="auto"/>
                <w:sz w:val="22"/>
                <w:szCs w:val="22"/>
              </w:rPr>
              <w:t>9</w:t>
            </w:r>
          </w:p>
        </w:tc>
        <w:tc>
          <w:tcPr>
            <w:tcW w:w="833" w:type="dxa"/>
            <w:tcBorders>
              <w:tl2br w:val="nil"/>
              <w:tr2bl w:val="nil"/>
            </w:tcBorders>
          </w:tcPr>
          <w:p w14:paraId="50BA4614" w14:textId="77777777" w:rsidR="0075791A" w:rsidRDefault="00FB2864">
            <w:pPr>
              <w:pStyle w:val="TableParagraph"/>
              <w:spacing w:before="51"/>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61.</w:t>
            </w:r>
            <w:r>
              <w:rPr>
                <w:rFonts w:ascii="Times New Roman" w:eastAsia="Times New Roman" w:hAnsi="Times New Roman" w:cs="Times New Roman"/>
                <w:color w:val="auto"/>
                <w:sz w:val="22"/>
                <w:szCs w:val="22"/>
              </w:rPr>
              <w:t>4</w:t>
            </w:r>
          </w:p>
        </w:tc>
        <w:tc>
          <w:tcPr>
            <w:tcW w:w="833" w:type="dxa"/>
            <w:tcBorders>
              <w:tl2br w:val="nil"/>
              <w:tr2bl w:val="nil"/>
            </w:tcBorders>
          </w:tcPr>
          <w:p w14:paraId="151F4CA7" w14:textId="77777777" w:rsidR="0075791A" w:rsidRDefault="00FB2864">
            <w:pPr>
              <w:pStyle w:val="TableParagraph"/>
              <w:spacing w:before="51"/>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30.</w:t>
            </w:r>
            <w:r>
              <w:rPr>
                <w:rFonts w:ascii="Times New Roman" w:eastAsia="Times New Roman" w:hAnsi="Times New Roman" w:cs="Times New Roman"/>
                <w:color w:val="auto"/>
                <w:sz w:val="22"/>
                <w:szCs w:val="22"/>
              </w:rPr>
              <w:t>7</w:t>
            </w:r>
          </w:p>
        </w:tc>
        <w:tc>
          <w:tcPr>
            <w:tcW w:w="832" w:type="dxa"/>
            <w:tcBorders>
              <w:tl2br w:val="nil"/>
              <w:tr2bl w:val="nil"/>
            </w:tcBorders>
          </w:tcPr>
          <w:p w14:paraId="6CCC5EE8" w14:textId="77777777" w:rsidR="0075791A" w:rsidRDefault="00FB2864">
            <w:pPr>
              <w:pStyle w:val="TableParagraph"/>
              <w:spacing w:before="51"/>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30.</w:t>
            </w:r>
            <w:r>
              <w:rPr>
                <w:rFonts w:ascii="Times New Roman" w:eastAsia="Times New Roman" w:hAnsi="Times New Roman" w:cs="Times New Roman"/>
                <w:color w:val="auto"/>
                <w:sz w:val="22"/>
                <w:szCs w:val="22"/>
              </w:rPr>
              <w:t>7</w:t>
            </w:r>
          </w:p>
        </w:tc>
        <w:tc>
          <w:tcPr>
            <w:tcW w:w="833" w:type="dxa"/>
            <w:tcBorders>
              <w:tl2br w:val="nil"/>
              <w:tr2bl w:val="nil"/>
            </w:tcBorders>
          </w:tcPr>
          <w:p w14:paraId="7761EBFB" w14:textId="77777777" w:rsidR="0075791A" w:rsidRDefault="00FB2864">
            <w:pPr>
              <w:pStyle w:val="TableParagraph"/>
              <w:spacing w:before="51"/>
              <w:ind w:left="164"/>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13.1</w:t>
            </w:r>
            <w:r>
              <w:rPr>
                <w:rFonts w:ascii="Times New Roman" w:eastAsia="Times New Roman" w:hAnsi="Times New Roman" w:cs="Times New Roman"/>
                <w:color w:val="auto"/>
                <w:sz w:val="22"/>
                <w:szCs w:val="22"/>
              </w:rPr>
              <w:t>6</w:t>
            </w:r>
          </w:p>
        </w:tc>
        <w:tc>
          <w:tcPr>
            <w:tcW w:w="833" w:type="dxa"/>
            <w:tcBorders>
              <w:tl2br w:val="nil"/>
              <w:tr2bl w:val="nil"/>
            </w:tcBorders>
          </w:tcPr>
          <w:p w14:paraId="02A6E636" w14:textId="77777777" w:rsidR="0075791A" w:rsidRDefault="00FB2864">
            <w:pPr>
              <w:pStyle w:val="TableParagraph"/>
              <w:spacing w:before="51"/>
              <w:ind w:left="164"/>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13.1</w:t>
            </w:r>
            <w:r>
              <w:rPr>
                <w:rFonts w:ascii="Times New Roman" w:eastAsia="Times New Roman" w:hAnsi="Times New Roman" w:cs="Times New Roman"/>
                <w:color w:val="auto"/>
                <w:sz w:val="22"/>
                <w:szCs w:val="22"/>
              </w:rPr>
              <w:t>6</w:t>
            </w:r>
          </w:p>
        </w:tc>
        <w:tc>
          <w:tcPr>
            <w:tcW w:w="833" w:type="dxa"/>
            <w:tcBorders>
              <w:tl2br w:val="nil"/>
              <w:tr2bl w:val="nil"/>
            </w:tcBorders>
          </w:tcPr>
          <w:p w14:paraId="57DA59FE" w14:textId="77777777" w:rsidR="0075791A" w:rsidRDefault="00FB2864">
            <w:pPr>
              <w:pStyle w:val="TableParagraph"/>
              <w:spacing w:before="51"/>
              <w:ind w:left="163"/>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13.1</w:t>
            </w:r>
            <w:r>
              <w:rPr>
                <w:rFonts w:ascii="Times New Roman" w:eastAsia="Times New Roman" w:hAnsi="Times New Roman" w:cs="Times New Roman"/>
                <w:color w:val="auto"/>
                <w:sz w:val="22"/>
                <w:szCs w:val="22"/>
              </w:rPr>
              <w:t>6</w:t>
            </w:r>
          </w:p>
        </w:tc>
      </w:tr>
      <w:tr w:rsidR="0075791A" w14:paraId="7A4F6008" w14:textId="77777777">
        <w:trPr>
          <w:trHeight w:hRule="exact" w:val="330"/>
          <w:jc w:val="center"/>
        </w:trPr>
        <w:tc>
          <w:tcPr>
            <w:tcW w:w="562" w:type="dxa"/>
            <w:vMerge/>
            <w:tcBorders>
              <w:tl2br w:val="nil"/>
              <w:tr2bl w:val="nil"/>
            </w:tcBorders>
          </w:tcPr>
          <w:p w14:paraId="20404669" w14:textId="77777777" w:rsidR="0075791A" w:rsidRDefault="0075791A">
            <w:pPr>
              <w:rPr>
                <w:color w:val="auto"/>
              </w:rPr>
            </w:pPr>
          </w:p>
        </w:tc>
        <w:tc>
          <w:tcPr>
            <w:tcW w:w="993" w:type="dxa"/>
            <w:tcBorders>
              <w:tl2br w:val="nil"/>
              <w:tr2bl w:val="nil"/>
            </w:tcBorders>
          </w:tcPr>
          <w:p w14:paraId="5CD9F3CC" w14:textId="77777777" w:rsidR="0075791A" w:rsidRDefault="00FB2864">
            <w:pPr>
              <w:pStyle w:val="TableParagraph"/>
              <w:spacing w:line="288" w:lineRule="exact"/>
              <w:ind w:left="160"/>
              <w:rPr>
                <w:rFonts w:ascii="宋体" w:eastAsia="宋体" w:hAnsi="宋体" w:cs="宋体"/>
                <w:color w:val="auto"/>
                <w:sz w:val="22"/>
                <w:szCs w:val="22"/>
              </w:rPr>
            </w:pPr>
            <w:r>
              <w:rPr>
                <w:rFonts w:ascii="宋体" w:eastAsia="宋体" w:hAnsi="宋体" w:cs="宋体"/>
                <w:color w:val="auto"/>
                <w:spacing w:val="-1"/>
                <w:sz w:val="22"/>
                <w:szCs w:val="22"/>
              </w:rPr>
              <w:t>软</w:t>
            </w:r>
            <w:r>
              <w:rPr>
                <w:rFonts w:ascii="宋体" w:eastAsia="宋体" w:hAnsi="宋体" w:cs="宋体"/>
                <w:color w:val="auto"/>
                <w:spacing w:val="-3"/>
                <w:sz w:val="22"/>
                <w:szCs w:val="22"/>
              </w:rPr>
              <w:t>体</w:t>
            </w:r>
            <w:r>
              <w:rPr>
                <w:rFonts w:ascii="宋体" w:eastAsia="宋体" w:hAnsi="宋体" w:cs="宋体"/>
                <w:color w:val="auto"/>
                <w:sz w:val="22"/>
                <w:szCs w:val="22"/>
              </w:rPr>
              <w:t>类</w:t>
            </w:r>
          </w:p>
        </w:tc>
        <w:tc>
          <w:tcPr>
            <w:tcW w:w="832" w:type="dxa"/>
            <w:tcBorders>
              <w:tl2br w:val="nil"/>
              <w:tr2bl w:val="nil"/>
            </w:tcBorders>
          </w:tcPr>
          <w:p w14:paraId="306AC828" w14:textId="77777777" w:rsidR="0075791A" w:rsidRDefault="00FB2864">
            <w:pPr>
              <w:pStyle w:val="TableParagraph"/>
              <w:spacing w:before="52"/>
              <w:ind w:left="359"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0B8D615A" w14:textId="77777777" w:rsidR="0075791A" w:rsidRDefault="00FB2864">
            <w:pPr>
              <w:pStyle w:val="TableParagraph"/>
              <w:spacing w:before="52"/>
              <w:ind w:left="360"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49DC83B9" w14:textId="77777777" w:rsidR="0075791A" w:rsidRDefault="00FB2864">
            <w:pPr>
              <w:pStyle w:val="TableParagraph"/>
              <w:spacing w:before="52"/>
              <w:ind w:left="362" w:right="36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2BB63BBB" w14:textId="77777777" w:rsidR="0075791A" w:rsidRDefault="00FB2864">
            <w:pPr>
              <w:pStyle w:val="TableParagraph"/>
              <w:spacing w:before="52"/>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4.3</w:t>
            </w:r>
            <w:r>
              <w:rPr>
                <w:rFonts w:ascii="Times New Roman" w:eastAsia="Times New Roman" w:hAnsi="Times New Roman" w:cs="Times New Roman"/>
                <w:color w:val="auto"/>
                <w:sz w:val="22"/>
                <w:szCs w:val="22"/>
              </w:rPr>
              <w:t>9</w:t>
            </w:r>
          </w:p>
        </w:tc>
        <w:tc>
          <w:tcPr>
            <w:tcW w:w="832" w:type="dxa"/>
            <w:tcBorders>
              <w:tl2br w:val="nil"/>
              <w:tr2bl w:val="nil"/>
            </w:tcBorders>
          </w:tcPr>
          <w:p w14:paraId="091E4184" w14:textId="77777777" w:rsidR="0075791A" w:rsidRDefault="00FB2864">
            <w:pPr>
              <w:pStyle w:val="TableParagraph"/>
              <w:spacing w:before="52"/>
              <w:ind w:left="359"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68C40A7D" w14:textId="77777777" w:rsidR="0075791A" w:rsidRDefault="00FB2864">
            <w:pPr>
              <w:pStyle w:val="TableParagraph"/>
              <w:spacing w:before="52"/>
              <w:ind w:left="360"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43D35DB0" w14:textId="77777777" w:rsidR="0075791A" w:rsidRDefault="00FB2864">
            <w:pPr>
              <w:pStyle w:val="TableParagraph"/>
              <w:spacing w:before="52"/>
              <w:ind w:left="360"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1EBE0194" w14:textId="77777777" w:rsidR="0075791A" w:rsidRDefault="00FB2864">
            <w:pPr>
              <w:pStyle w:val="TableParagraph"/>
              <w:spacing w:before="52"/>
              <w:ind w:left="362" w:right="36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r>
      <w:tr w:rsidR="0075791A" w14:paraId="53F85AE0" w14:textId="77777777">
        <w:trPr>
          <w:trHeight w:hRule="exact" w:val="330"/>
          <w:jc w:val="center"/>
        </w:trPr>
        <w:tc>
          <w:tcPr>
            <w:tcW w:w="562" w:type="dxa"/>
            <w:vMerge/>
            <w:tcBorders>
              <w:tl2br w:val="nil"/>
              <w:tr2bl w:val="nil"/>
            </w:tcBorders>
          </w:tcPr>
          <w:p w14:paraId="522407DE" w14:textId="77777777" w:rsidR="0075791A" w:rsidRDefault="0075791A">
            <w:pPr>
              <w:rPr>
                <w:color w:val="auto"/>
              </w:rPr>
            </w:pPr>
          </w:p>
        </w:tc>
        <w:tc>
          <w:tcPr>
            <w:tcW w:w="993" w:type="dxa"/>
            <w:tcBorders>
              <w:tl2br w:val="nil"/>
              <w:tr2bl w:val="nil"/>
            </w:tcBorders>
          </w:tcPr>
          <w:p w14:paraId="4B4EBE51" w14:textId="77777777" w:rsidR="0075791A" w:rsidRDefault="00FB2864">
            <w:pPr>
              <w:pStyle w:val="TableParagraph"/>
              <w:spacing w:line="287" w:lineRule="exact"/>
              <w:ind w:left="160"/>
              <w:rPr>
                <w:rFonts w:ascii="宋体" w:eastAsia="宋体" w:hAnsi="宋体" w:cs="宋体"/>
                <w:color w:val="auto"/>
                <w:sz w:val="22"/>
                <w:szCs w:val="22"/>
              </w:rPr>
            </w:pPr>
            <w:r>
              <w:rPr>
                <w:rFonts w:ascii="宋体" w:eastAsia="宋体" w:hAnsi="宋体" w:cs="宋体"/>
                <w:color w:val="auto"/>
                <w:spacing w:val="-1"/>
                <w:sz w:val="22"/>
                <w:szCs w:val="22"/>
              </w:rPr>
              <w:t>其</w:t>
            </w:r>
            <w:r>
              <w:rPr>
                <w:rFonts w:ascii="宋体" w:eastAsia="宋体" w:hAnsi="宋体" w:cs="宋体"/>
                <w:color w:val="auto"/>
                <w:spacing w:val="-3"/>
                <w:sz w:val="22"/>
                <w:szCs w:val="22"/>
              </w:rPr>
              <w:t>他</w:t>
            </w:r>
            <w:r>
              <w:rPr>
                <w:rFonts w:ascii="宋体" w:eastAsia="宋体" w:hAnsi="宋体" w:cs="宋体"/>
                <w:color w:val="auto"/>
                <w:sz w:val="22"/>
                <w:szCs w:val="22"/>
              </w:rPr>
              <w:t>类</w:t>
            </w:r>
          </w:p>
        </w:tc>
        <w:tc>
          <w:tcPr>
            <w:tcW w:w="832" w:type="dxa"/>
            <w:tcBorders>
              <w:tl2br w:val="nil"/>
              <w:tr2bl w:val="nil"/>
            </w:tcBorders>
          </w:tcPr>
          <w:p w14:paraId="26E80E22" w14:textId="77777777" w:rsidR="0075791A" w:rsidRDefault="00FB2864">
            <w:pPr>
              <w:pStyle w:val="TableParagraph"/>
              <w:spacing w:before="51"/>
              <w:ind w:left="359"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2F72E6A0" w14:textId="77777777" w:rsidR="0075791A" w:rsidRDefault="00FB2864">
            <w:pPr>
              <w:pStyle w:val="TableParagraph"/>
              <w:spacing w:before="51"/>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4.3</w:t>
            </w:r>
            <w:r>
              <w:rPr>
                <w:rFonts w:ascii="Times New Roman" w:eastAsia="Times New Roman" w:hAnsi="Times New Roman" w:cs="Times New Roman"/>
                <w:color w:val="auto"/>
                <w:sz w:val="22"/>
                <w:szCs w:val="22"/>
              </w:rPr>
              <w:t>9</w:t>
            </w:r>
          </w:p>
        </w:tc>
        <w:tc>
          <w:tcPr>
            <w:tcW w:w="833" w:type="dxa"/>
            <w:tcBorders>
              <w:tl2br w:val="nil"/>
              <w:tr2bl w:val="nil"/>
            </w:tcBorders>
          </w:tcPr>
          <w:p w14:paraId="66064B69" w14:textId="77777777" w:rsidR="0075791A" w:rsidRDefault="00FB2864">
            <w:pPr>
              <w:pStyle w:val="TableParagraph"/>
              <w:spacing w:before="51"/>
              <w:ind w:left="163"/>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13.1</w:t>
            </w:r>
            <w:r>
              <w:rPr>
                <w:rFonts w:ascii="Times New Roman" w:eastAsia="Times New Roman" w:hAnsi="Times New Roman" w:cs="Times New Roman"/>
                <w:color w:val="auto"/>
                <w:sz w:val="22"/>
                <w:szCs w:val="22"/>
              </w:rPr>
              <w:t>6</w:t>
            </w:r>
          </w:p>
        </w:tc>
        <w:tc>
          <w:tcPr>
            <w:tcW w:w="833" w:type="dxa"/>
            <w:tcBorders>
              <w:tl2br w:val="nil"/>
              <w:tr2bl w:val="nil"/>
            </w:tcBorders>
          </w:tcPr>
          <w:p w14:paraId="1A87D955" w14:textId="77777777" w:rsidR="0075791A" w:rsidRDefault="00FB2864">
            <w:pPr>
              <w:pStyle w:val="TableParagraph"/>
              <w:spacing w:before="51"/>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4.3</w:t>
            </w:r>
            <w:r>
              <w:rPr>
                <w:rFonts w:ascii="Times New Roman" w:eastAsia="Times New Roman" w:hAnsi="Times New Roman" w:cs="Times New Roman"/>
                <w:color w:val="auto"/>
                <w:sz w:val="22"/>
                <w:szCs w:val="22"/>
              </w:rPr>
              <w:t>9</w:t>
            </w:r>
          </w:p>
        </w:tc>
        <w:tc>
          <w:tcPr>
            <w:tcW w:w="832" w:type="dxa"/>
            <w:tcBorders>
              <w:tl2br w:val="nil"/>
              <w:tr2bl w:val="nil"/>
            </w:tcBorders>
          </w:tcPr>
          <w:p w14:paraId="68A951B7" w14:textId="77777777" w:rsidR="0075791A" w:rsidRDefault="00FB2864">
            <w:pPr>
              <w:pStyle w:val="TableParagraph"/>
              <w:spacing w:before="51"/>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8.7</w:t>
            </w:r>
            <w:r>
              <w:rPr>
                <w:rFonts w:ascii="Times New Roman" w:eastAsia="Times New Roman" w:hAnsi="Times New Roman" w:cs="Times New Roman"/>
                <w:color w:val="auto"/>
                <w:sz w:val="22"/>
                <w:szCs w:val="22"/>
              </w:rPr>
              <w:t>7</w:t>
            </w:r>
          </w:p>
        </w:tc>
        <w:tc>
          <w:tcPr>
            <w:tcW w:w="833" w:type="dxa"/>
            <w:tcBorders>
              <w:tl2br w:val="nil"/>
              <w:tr2bl w:val="nil"/>
            </w:tcBorders>
          </w:tcPr>
          <w:p w14:paraId="42B0D064" w14:textId="77777777" w:rsidR="0075791A" w:rsidRDefault="00FB2864">
            <w:pPr>
              <w:pStyle w:val="TableParagraph"/>
              <w:spacing w:before="51"/>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4.3</w:t>
            </w:r>
            <w:r>
              <w:rPr>
                <w:rFonts w:ascii="Times New Roman" w:eastAsia="Times New Roman" w:hAnsi="Times New Roman" w:cs="Times New Roman"/>
                <w:color w:val="auto"/>
                <w:sz w:val="22"/>
                <w:szCs w:val="22"/>
              </w:rPr>
              <w:t>9</w:t>
            </w:r>
          </w:p>
        </w:tc>
        <w:tc>
          <w:tcPr>
            <w:tcW w:w="833" w:type="dxa"/>
            <w:tcBorders>
              <w:tl2br w:val="nil"/>
              <w:tr2bl w:val="nil"/>
            </w:tcBorders>
          </w:tcPr>
          <w:p w14:paraId="14377049" w14:textId="77777777" w:rsidR="0075791A" w:rsidRDefault="00FB2864">
            <w:pPr>
              <w:pStyle w:val="TableParagraph"/>
              <w:spacing w:before="51"/>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8.7</w:t>
            </w:r>
            <w:r>
              <w:rPr>
                <w:rFonts w:ascii="Times New Roman" w:eastAsia="Times New Roman" w:hAnsi="Times New Roman" w:cs="Times New Roman"/>
                <w:color w:val="auto"/>
                <w:sz w:val="22"/>
                <w:szCs w:val="22"/>
              </w:rPr>
              <w:t>7</w:t>
            </w:r>
          </w:p>
        </w:tc>
        <w:tc>
          <w:tcPr>
            <w:tcW w:w="833" w:type="dxa"/>
            <w:tcBorders>
              <w:tl2br w:val="nil"/>
              <w:tr2bl w:val="nil"/>
            </w:tcBorders>
          </w:tcPr>
          <w:p w14:paraId="2DDB5FD6" w14:textId="77777777" w:rsidR="0075791A" w:rsidRDefault="00FB2864">
            <w:pPr>
              <w:pStyle w:val="TableParagraph"/>
              <w:spacing w:before="51"/>
              <w:ind w:left="362" w:right="36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r>
      <w:tr w:rsidR="0075791A" w14:paraId="07F4C923" w14:textId="77777777">
        <w:trPr>
          <w:trHeight w:hRule="exact" w:val="330"/>
          <w:jc w:val="center"/>
        </w:trPr>
        <w:tc>
          <w:tcPr>
            <w:tcW w:w="562" w:type="dxa"/>
            <w:vMerge/>
            <w:tcBorders>
              <w:tl2br w:val="nil"/>
              <w:tr2bl w:val="nil"/>
            </w:tcBorders>
          </w:tcPr>
          <w:p w14:paraId="79C31DCF" w14:textId="77777777" w:rsidR="0075791A" w:rsidRDefault="0075791A">
            <w:pPr>
              <w:rPr>
                <w:color w:val="auto"/>
              </w:rPr>
            </w:pPr>
          </w:p>
        </w:tc>
        <w:tc>
          <w:tcPr>
            <w:tcW w:w="993" w:type="dxa"/>
            <w:tcBorders>
              <w:tl2br w:val="nil"/>
              <w:tr2bl w:val="nil"/>
            </w:tcBorders>
          </w:tcPr>
          <w:p w14:paraId="4D5B979E" w14:textId="77777777" w:rsidR="0075791A" w:rsidRDefault="00FB2864">
            <w:pPr>
              <w:pStyle w:val="TableParagraph"/>
              <w:spacing w:line="288" w:lineRule="exact"/>
              <w:ind w:left="160"/>
              <w:rPr>
                <w:rFonts w:ascii="宋体" w:eastAsia="宋体" w:hAnsi="宋体" w:cs="宋体"/>
                <w:color w:val="auto"/>
                <w:sz w:val="22"/>
                <w:szCs w:val="22"/>
              </w:rPr>
            </w:pPr>
            <w:r>
              <w:rPr>
                <w:rFonts w:ascii="宋体" w:eastAsia="宋体" w:hAnsi="宋体" w:cs="宋体"/>
                <w:color w:val="auto"/>
                <w:spacing w:val="-1"/>
                <w:sz w:val="22"/>
                <w:szCs w:val="22"/>
              </w:rPr>
              <w:t>棘</w:t>
            </w:r>
            <w:r>
              <w:rPr>
                <w:rFonts w:ascii="宋体" w:eastAsia="宋体" w:hAnsi="宋体" w:cs="宋体"/>
                <w:color w:val="auto"/>
                <w:spacing w:val="-3"/>
                <w:sz w:val="22"/>
                <w:szCs w:val="22"/>
              </w:rPr>
              <w:t>皮</w:t>
            </w:r>
            <w:r>
              <w:rPr>
                <w:rFonts w:ascii="宋体" w:eastAsia="宋体" w:hAnsi="宋体" w:cs="宋体"/>
                <w:color w:val="auto"/>
                <w:sz w:val="22"/>
                <w:szCs w:val="22"/>
              </w:rPr>
              <w:t>类</w:t>
            </w:r>
          </w:p>
        </w:tc>
        <w:tc>
          <w:tcPr>
            <w:tcW w:w="832" w:type="dxa"/>
            <w:tcBorders>
              <w:tl2br w:val="nil"/>
              <w:tr2bl w:val="nil"/>
            </w:tcBorders>
          </w:tcPr>
          <w:p w14:paraId="4DD46755" w14:textId="77777777" w:rsidR="0075791A" w:rsidRDefault="00FB2864">
            <w:pPr>
              <w:pStyle w:val="TableParagraph"/>
              <w:spacing w:before="52"/>
              <w:ind w:left="359"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688D0709" w14:textId="77777777" w:rsidR="0075791A" w:rsidRDefault="00FB2864">
            <w:pPr>
              <w:pStyle w:val="TableParagraph"/>
              <w:spacing w:before="52"/>
              <w:ind w:left="360"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0553D856" w14:textId="77777777" w:rsidR="0075791A" w:rsidRDefault="00FB2864">
            <w:pPr>
              <w:pStyle w:val="TableParagraph"/>
              <w:spacing w:before="52"/>
              <w:ind w:left="362" w:right="36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7C9F1C94" w14:textId="77777777" w:rsidR="0075791A" w:rsidRDefault="00FB2864">
            <w:pPr>
              <w:pStyle w:val="TableParagraph"/>
              <w:spacing w:before="52"/>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8.7</w:t>
            </w:r>
            <w:r>
              <w:rPr>
                <w:rFonts w:ascii="Times New Roman" w:eastAsia="Times New Roman" w:hAnsi="Times New Roman" w:cs="Times New Roman"/>
                <w:color w:val="auto"/>
                <w:sz w:val="22"/>
                <w:szCs w:val="22"/>
              </w:rPr>
              <w:t>7</w:t>
            </w:r>
          </w:p>
        </w:tc>
        <w:tc>
          <w:tcPr>
            <w:tcW w:w="832" w:type="dxa"/>
            <w:tcBorders>
              <w:tl2br w:val="nil"/>
              <w:tr2bl w:val="nil"/>
            </w:tcBorders>
          </w:tcPr>
          <w:p w14:paraId="7F184296" w14:textId="77777777" w:rsidR="0075791A" w:rsidRDefault="00FB2864">
            <w:pPr>
              <w:pStyle w:val="TableParagraph"/>
              <w:spacing w:before="52"/>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4.3</w:t>
            </w:r>
            <w:r>
              <w:rPr>
                <w:rFonts w:ascii="Times New Roman" w:eastAsia="Times New Roman" w:hAnsi="Times New Roman" w:cs="Times New Roman"/>
                <w:color w:val="auto"/>
                <w:sz w:val="22"/>
                <w:szCs w:val="22"/>
              </w:rPr>
              <w:t>9</w:t>
            </w:r>
          </w:p>
        </w:tc>
        <w:tc>
          <w:tcPr>
            <w:tcW w:w="833" w:type="dxa"/>
            <w:tcBorders>
              <w:tl2br w:val="nil"/>
              <w:tr2bl w:val="nil"/>
            </w:tcBorders>
          </w:tcPr>
          <w:p w14:paraId="60BF7930" w14:textId="77777777" w:rsidR="0075791A" w:rsidRDefault="00FB2864">
            <w:pPr>
              <w:pStyle w:val="TableParagraph"/>
              <w:spacing w:before="52"/>
              <w:ind w:left="360"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2C991AA7" w14:textId="77777777" w:rsidR="0075791A" w:rsidRDefault="00FB2864">
            <w:pPr>
              <w:pStyle w:val="TableParagraph"/>
              <w:spacing w:before="52"/>
              <w:ind w:left="164"/>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48.2</w:t>
            </w:r>
            <w:r>
              <w:rPr>
                <w:rFonts w:ascii="Times New Roman" w:eastAsia="Times New Roman" w:hAnsi="Times New Roman" w:cs="Times New Roman"/>
                <w:color w:val="auto"/>
                <w:sz w:val="22"/>
                <w:szCs w:val="22"/>
              </w:rPr>
              <w:t>5</w:t>
            </w:r>
          </w:p>
        </w:tc>
        <w:tc>
          <w:tcPr>
            <w:tcW w:w="833" w:type="dxa"/>
            <w:tcBorders>
              <w:tl2br w:val="nil"/>
              <w:tr2bl w:val="nil"/>
            </w:tcBorders>
          </w:tcPr>
          <w:p w14:paraId="08A047F2" w14:textId="77777777" w:rsidR="0075791A" w:rsidRDefault="00FB2864">
            <w:pPr>
              <w:pStyle w:val="TableParagraph"/>
              <w:spacing w:before="52"/>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4.3</w:t>
            </w:r>
            <w:r>
              <w:rPr>
                <w:rFonts w:ascii="Times New Roman" w:eastAsia="Times New Roman" w:hAnsi="Times New Roman" w:cs="Times New Roman"/>
                <w:color w:val="auto"/>
                <w:sz w:val="22"/>
                <w:szCs w:val="22"/>
              </w:rPr>
              <w:t>9</w:t>
            </w:r>
          </w:p>
        </w:tc>
      </w:tr>
      <w:tr w:rsidR="0075791A" w14:paraId="77588E3A" w14:textId="77777777">
        <w:trPr>
          <w:trHeight w:hRule="exact" w:val="330"/>
          <w:jc w:val="center"/>
        </w:trPr>
        <w:tc>
          <w:tcPr>
            <w:tcW w:w="562" w:type="dxa"/>
            <w:vMerge w:val="restart"/>
            <w:tcBorders>
              <w:tl2br w:val="nil"/>
              <w:tr2bl w:val="nil"/>
            </w:tcBorders>
          </w:tcPr>
          <w:p w14:paraId="54D4FC5C" w14:textId="77777777" w:rsidR="0075791A" w:rsidRDefault="00FB2864">
            <w:pPr>
              <w:pStyle w:val="TableParagraph"/>
              <w:spacing w:before="7" w:line="320" w:lineRule="exact"/>
              <w:ind w:left="165"/>
              <w:rPr>
                <w:rFonts w:ascii="宋体" w:eastAsia="宋体" w:hAnsi="宋体" w:cs="宋体"/>
                <w:color w:val="auto"/>
                <w:sz w:val="22"/>
                <w:szCs w:val="22"/>
              </w:rPr>
            </w:pPr>
            <w:r>
              <w:rPr>
                <w:rFonts w:ascii="宋体" w:eastAsia="宋体" w:hAnsi="宋体" w:cs="宋体"/>
                <w:color w:val="auto"/>
                <w:sz w:val="22"/>
                <w:szCs w:val="22"/>
              </w:rPr>
              <w:t>生物</w:t>
            </w:r>
          </w:p>
          <w:p w14:paraId="09E23B8E" w14:textId="77777777" w:rsidR="0075791A" w:rsidRDefault="00FB2864">
            <w:pPr>
              <w:pStyle w:val="TableParagraph"/>
              <w:spacing w:line="300" w:lineRule="exact"/>
              <w:ind w:left="165"/>
              <w:rPr>
                <w:rFonts w:ascii="宋体" w:eastAsia="宋体" w:hAnsi="宋体" w:cs="宋体"/>
                <w:color w:val="auto"/>
                <w:sz w:val="22"/>
                <w:szCs w:val="22"/>
              </w:rPr>
            </w:pPr>
            <w:r>
              <w:rPr>
                <w:rFonts w:ascii="宋体" w:eastAsia="宋体" w:hAnsi="宋体" w:cs="宋体"/>
                <w:color w:val="auto"/>
                <w:sz w:val="22"/>
                <w:szCs w:val="22"/>
              </w:rPr>
              <w:t>量</w:t>
            </w:r>
          </w:p>
        </w:tc>
        <w:tc>
          <w:tcPr>
            <w:tcW w:w="993" w:type="dxa"/>
            <w:tcBorders>
              <w:tl2br w:val="nil"/>
              <w:tr2bl w:val="nil"/>
            </w:tcBorders>
          </w:tcPr>
          <w:p w14:paraId="471359CD" w14:textId="77777777" w:rsidR="0075791A" w:rsidRDefault="00FB2864">
            <w:pPr>
              <w:pStyle w:val="TableParagraph"/>
              <w:spacing w:line="287" w:lineRule="exact"/>
              <w:ind w:left="160"/>
              <w:rPr>
                <w:rFonts w:ascii="宋体" w:eastAsia="宋体" w:hAnsi="宋体" w:cs="宋体"/>
                <w:color w:val="auto"/>
                <w:sz w:val="22"/>
                <w:szCs w:val="22"/>
              </w:rPr>
            </w:pPr>
            <w:r>
              <w:rPr>
                <w:rFonts w:ascii="宋体" w:eastAsia="宋体" w:hAnsi="宋体" w:cs="宋体"/>
                <w:color w:val="auto"/>
                <w:spacing w:val="-1"/>
                <w:sz w:val="22"/>
                <w:szCs w:val="22"/>
              </w:rPr>
              <w:t>多</w:t>
            </w:r>
            <w:r>
              <w:rPr>
                <w:rFonts w:ascii="宋体" w:eastAsia="宋体" w:hAnsi="宋体" w:cs="宋体"/>
                <w:color w:val="auto"/>
                <w:spacing w:val="-3"/>
                <w:sz w:val="22"/>
                <w:szCs w:val="22"/>
              </w:rPr>
              <w:t>毛</w:t>
            </w:r>
            <w:r>
              <w:rPr>
                <w:rFonts w:ascii="宋体" w:eastAsia="宋体" w:hAnsi="宋体" w:cs="宋体"/>
                <w:color w:val="auto"/>
                <w:sz w:val="22"/>
                <w:szCs w:val="22"/>
              </w:rPr>
              <w:t>类</w:t>
            </w:r>
          </w:p>
        </w:tc>
        <w:tc>
          <w:tcPr>
            <w:tcW w:w="832" w:type="dxa"/>
            <w:tcBorders>
              <w:tl2br w:val="nil"/>
              <w:tr2bl w:val="nil"/>
            </w:tcBorders>
          </w:tcPr>
          <w:p w14:paraId="4C68F58C" w14:textId="77777777" w:rsidR="0075791A" w:rsidRDefault="00FB2864">
            <w:pPr>
              <w:pStyle w:val="TableParagraph"/>
              <w:spacing w:before="51"/>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0.0</w:t>
            </w:r>
            <w:r>
              <w:rPr>
                <w:rFonts w:ascii="Times New Roman" w:eastAsia="Times New Roman" w:hAnsi="Times New Roman" w:cs="Times New Roman"/>
                <w:color w:val="auto"/>
                <w:sz w:val="22"/>
                <w:szCs w:val="22"/>
              </w:rPr>
              <w:t>5</w:t>
            </w:r>
          </w:p>
        </w:tc>
        <w:tc>
          <w:tcPr>
            <w:tcW w:w="833" w:type="dxa"/>
            <w:tcBorders>
              <w:tl2br w:val="nil"/>
              <w:tr2bl w:val="nil"/>
            </w:tcBorders>
          </w:tcPr>
          <w:p w14:paraId="71A0E129" w14:textId="77777777" w:rsidR="0075791A" w:rsidRDefault="00FB2864">
            <w:pPr>
              <w:pStyle w:val="TableParagraph"/>
              <w:spacing w:before="51"/>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0.0</w:t>
            </w:r>
            <w:r>
              <w:rPr>
                <w:rFonts w:ascii="Times New Roman" w:eastAsia="Times New Roman" w:hAnsi="Times New Roman" w:cs="Times New Roman"/>
                <w:color w:val="auto"/>
                <w:sz w:val="22"/>
                <w:szCs w:val="22"/>
              </w:rPr>
              <w:t>5</w:t>
            </w:r>
          </w:p>
        </w:tc>
        <w:tc>
          <w:tcPr>
            <w:tcW w:w="833" w:type="dxa"/>
            <w:tcBorders>
              <w:tl2br w:val="nil"/>
              <w:tr2bl w:val="nil"/>
            </w:tcBorders>
          </w:tcPr>
          <w:p w14:paraId="43EAD1EA" w14:textId="77777777" w:rsidR="0075791A" w:rsidRDefault="00FB2864">
            <w:pPr>
              <w:pStyle w:val="TableParagraph"/>
              <w:spacing w:before="51"/>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0.1</w:t>
            </w:r>
            <w:r>
              <w:rPr>
                <w:rFonts w:ascii="Times New Roman" w:eastAsia="Times New Roman" w:hAnsi="Times New Roman" w:cs="Times New Roman"/>
                <w:color w:val="auto"/>
                <w:sz w:val="22"/>
                <w:szCs w:val="22"/>
              </w:rPr>
              <w:t>5</w:t>
            </w:r>
          </w:p>
        </w:tc>
        <w:tc>
          <w:tcPr>
            <w:tcW w:w="833" w:type="dxa"/>
            <w:tcBorders>
              <w:tl2br w:val="nil"/>
              <w:tr2bl w:val="nil"/>
            </w:tcBorders>
          </w:tcPr>
          <w:p w14:paraId="2283C6C4" w14:textId="77777777" w:rsidR="0075791A" w:rsidRDefault="00FB2864">
            <w:pPr>
              <w:pStyle w:val="TableParagraph"/>
              <w:spacing w:before="51"/>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0.8</w:t>
            </w:r>
            <w:r>
              <w:rPr>
                <w:rFonts w:ascii="Times New Roman" w:eastAsia="Times New Roman" w:hAnsi="Times New Roman" w:cs="Times New Roman"/>
                <w:color w:val="auto"/>
                <w:sz w:val="22"/>
                <w:szCs w:val="22"/>
              </w:rPr>
              <w:t>8</w:t>
            </w:r>
          </w:p>
        </w:tc>
        <w:tc>
          <w:tcPr>
            <w:tcW w:w="832" w:type="dxa"/>
            <w:tcBorders>
              <w:tl2br w:val="nil"/>
              <w:tr2bl w:val="nil"/>
            </w:tcBorders>
          </w:tcPr>
          <w:p w14:paraId="346D0EFE" w14:textId="77777777" w:rsidR="0075791A" w:rsidRDefault="00FB2864">
            <w:pPr>
              <w:pStyle w:val="TableParagraph"/>
              <w:spacing w:before="51"/>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0.2</w:t>
            </w:r>
            <w:r>
              <w:rPr>
                <w:rFonts w:ascii="Times New Roman" w:eastAsia="Times New Roman" w:hAnsi="Times New Roman" w:cs="Times New Roman"/>
                <w:color w:val="auto"/>
                <w:sz w:val="22"/>
                <w:szCs w:val="22"/>
              </w:rPr>
              <w:t>7</w:t>
            </w:r>
          </w:p>
        </w:tc>
        <w:tc>
          <w:tcPr>
            <w:tcW w:w="833" w:type="dxa"/>
            <w:tcBorders>
              <w:tl2br w:val="nil"/>
              <w:tr2bl w:val="nil"/>
            </w:tcBorders>
          </w:tcPr>
          <w:p w14:paraId="56E4EC2E" w14:textId="77777777" w:rsidR="0075791A" w:rsidRDefault="00FB2864">
            <w:pPr>
              <w:pStyle w:val="TableParagraph"/>
              <w:spacing w:before="51"/>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0.0</w:t>
            </w:r>
            <w:r>
              <w:rPr>
                <w:rFonts w:ascii="Times New Roman" w:eastAsia="Times New Roman" w:hAnsi="Times New Roman" w:cs="Times New Roman"/>
                <w:color w:val="auto"/>
                <w:sz w:val="22"/>
                <w:szCs w:val="22"/>
              </w:rPr>
              <w:t>4</w:t>
            </w:r>
          </w:p>
        </w:tc>
        <w:tc>
          <w:tcPr>
            <w:tcW w:w="833" w:type="dxa"/>
            <w:tcBorders>
              <w:tl2br w:val="nil"/>
              <w:tr2bl w:val="nil"/>
            </w:tcBorders>
          </w:tcPr>
          <w:p w14:paraId="27458C9C" w14:textId="77777777" w:rsidR="0075791A" w:rsidRDefault="00FB2864">
            <w:pPr>
              <w:pStyle w:val="TableParagraph"/>
              <w:spacing w:before="51"/>
              <w:ind w:left="274"/>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4.</w:t>
            </w:r>
            <w:r>
              <w:rPr>
                <w:rFonts w:ascii="Times New Roman" w:eastAsia="Times New Roman" w:hAnsi="Times New Roman" w:cs="Times New Roman"/>
                <w:color w:val="auto"/>
                <w:sz w:val="22"/>
                <w:szCs w:val="22"/>
              </w:rPr>
              <w:t>8</w:t>
            </w:r>
          </w:p>
        </w:tc>
        <w:tc>
          <w:tcPr>
            <w:tcW w:w="833" w:type="dxa"/>
            <w:tcBorders>
              <w:tl2br w:val="nil"/>
              <w:tr2bl w:val="nil"/>
            </w:tcBorders>
          </w:tcPr>
          <w:p w14:paraId="323005BA" w14:textId="77777777" w:rsidR="0075791A" w:rsidRDefault="00FB2864">
            <w:pPr>
              <w:pStyle w:val="TableParagraph"/>
              <w:spacing w:before="51"/>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1.6</w:t>
            </w:r>
            <w:r>
              <w:rPr>
                <w:rFonts w:ascii="Times New Roman" w:eastAsia="Times New Roman" w:hAnsi="Times New Roman" w:cs="Times New Roman"/>
                <w:color w:val="auto"/>
                <w:sz w:val="22"/>
                <w:szCs w:val="22"/>
              </w:rPr>
              <w:t>6</w:t>
            </w:r>
          </w:p>
        </w:tc>
      </w:tr>
      <w:tr w:rsidR="0075791A" w14:paraId="7AFC8F55" w14:textId="77777777">
        <w:trPr>
          <w:trHeight w:hRule="exact" w:val="353"/>
          <w:jc w:val="center"/>
        </w:trPr>
        <w:tc>
          <w:tcPr>
            <w:tcW w:w="562" w:type="dxa"/>
            <w:vMerge/>
            <w:tcBorders>
              <w:tl2br w:val="nil"/>
              <w:tr2bl w:val="nil"/>
            </w:tcBorders>
          </w:tcPr>
          <w:p w14:paraId="1B554939" w14:textId="77777777" w:rsidR="0075791A" w:rsidRDefault="0075791A">
            <w:pPr>
              <w:rPr>
                <w:color w:val="auto"/>
              </w:rPr>
            </w:pPr>
          </w:p>
        </w:tc>
        <w:tc>
          <w:tcPr>
            <w:tcW w:w="993" w:type="dxa"/>
            <w:tcBorders>
              <w:tl2br w:val="nil"/>
              <w:tr2bl w:val="nil"/>
            </w:tcBorders>
          </w:tcPr>
          <w:p w14:paraId="31E6D6D1" w14:textId="77777777" w:rsidR="0075791A" w:rsidRDefault="00FB2864">
            <w:pPr>
              <w:pStyle w:val="TableParagraph"/>
              <w:spacing w:line="288" w:lineRule="exact"/>
              <w:ind w:left="160"/>
              <w:rPr>
                <w:rFonts w:ascii="宋体" w:eastAsia="宋体" w:hAnsi="宋体" w:cs="宋体"/>
                <w:color w:val="auto"/>
                <w:sz w:val="22"/>
                <w:szCs w:val="22"/>
              </w:rPr>
            </w:pPr>
            <w:r>
              <w:rPr>
                <w:rFonts w:ascii="宋体" w:eastAsia="宋体" w:hAnsi="宋体" w:cs="宋体"/>
                <w:color w:val="auto"/>
                <w:spacing w:val="-1"/>
                <w:sz w:val="22"/>
                <w:szCs w:val="22"/>
              </w:rPr>
              <w:t>甲</w:t>
            </w:r>
            <w:r>
              <w:rPr>
                <w:rFonts w:ascii="宋体" w:eastAsia="宋体" w:hAnsi="宋体" w:cs="宋体"/>
                <w:color w:val="auto"/>
                <w:spacing w:val="-3"/>
                <w:sz w:val="22"/>
                <w:szCs w:val="22"/>
              </w:rPr>
              <w:t>壳</w:t>
            </w:r>
            <w:r>
              <w:rPr>
                <w:rFonts w:ascii="宋体" w:eastAsia="宋体" w:hAnsi="宋体" w:cs="宋体"/>
                <w:color w:val="auto"/>
                <w:sz w:val="22"/>
                <w:szCs w:val="22"/>
              </w:rPr>
              <w:t>类</w:t>
            </w:r>
          </w:p>
        </w:tc>
        <w:tc>
          <w:tcPr>
            <w:tcW w:w="832" w:type="dxa"/>
            <w:tcBorders>
              <w:tl2br w:val="nil"/>
              <w:tr2bl w:val="nil"/>
            </w:tcBorders>
          </w:tcPr>
          <w:p w14:paraId="7FCBD1DC" w14:textId="77777777" w:rsidR="0075791A" w:rsidRDefault="00FB2864">
            <w:pPr>
              <w:pStyle w:val="TableParagraph"/>
              <w:spacing w:before="52"/>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0.1</w:t>
            </w:r>
            <w:r>
              <w:rPr>
                <w:rFonts w:ascii="Times New Roman" w:eastAsia="Times New Roman" w:hAnsi="Times New Roman" w:cs="Times New Roman"/>
                <w:color w:val="auto"/>
                <w:sz w:val="22"/>
                <w:szCs w:val="22"/>
              </w:rPr>
              <w:t>3</w:t>
            </w:r>
          </w:p>
        </w:tc>
        <w:tc>
          <w:tcPr>
            <w:tcW w:w="833" w:type="dxa"/>
            <w:tcBorders>
              <w:tl2br w:val="nil"/>
              <w:tr2bl w:val="nil"/>
            </w:tcBorders>
          </w:tcPr>
          <w:p w14:paraId="493EDF21" w14:textId="77777777" w:rsidR="0075791A" w:rsidRDefault="00FB2864">
            <w:pPr>
              <w:pStyle w:val="TableParagraph"/>
              <w:spacing w:before="52"/>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0.2</w:t>
            </w:r>
            <w:r>
              <w:rPr>
                <w:rFonts w:ascii="Times New Roman" w:eastAsia="Times New Roman" w:hAnsi="Times New Roman" w:cs="Times New Roman"/>
                <w:color w:val="auto"/>
                <w:sz w:val="22"/>
                <w:szCs w:val="22"/>
              </w:rPr>
              <w:t>8</w:t>
            </w:r>
          </w:p>
        </w:tc>
        <w:tc>
          <w:tcPr>
            <w:tcW w:w="833" w:type="dxa"/>
            <w:tcBorders>
              <w:tl2br w:val="nil"/>
              <w:tr2bl w:val="nil"/>
            </w:tcBorders>
          </w:tcPr>
          <w:p w14:paraId="0C02D8B9" w14:textId="77777777" w:rsidR="0075791A" w:rsidRDefault="00FB2864">
            <w:pPr>
              <w:pStyle w:val="TableParagraph"/>
              <w:spacing w:before="52"/>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1.9</w:t>
            </w:r>
            <w:r>
              <w:rPr>
                <w:rFonts w:ascii="Times New Roman" w:eastAsia="Times New Roman" w:hAnsi="Times New Roman" w:cs="Times New Roman"/>
                <w:color w:val="auto"/>
                <w:sz w:val="22"/>
                <w:szCs w:val="22"/>
              </w:rPr>
              <w:t>6</w:t>
            </w:r>
          </w:p>
        </w:tc>
        <w:tc>
          <w:tcPr>
            <w:tcW w:w="833" w:type="dxa"/>
            <w:tcBorders>
              <w:tl2br w:val="nil"/>
              <w:tr2bl w:val="nil"/>
            </w:tcBorders>
          </w:tcPr>
          <w:p w14:paraId="6440DB9D" w14:textId="77777777" w:rsidR="0075791A" w:rsidRDefault="00FB2864">
            <w:pPr>
              <w:pStyle w:val="TableParagraph"/>
              <w:spacing w:before="52"/>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0.6</w:t>
            </w:r>
            <w:r>
              <w:rPr>
                <w:rFonts w:ascii="Times New Roman" w:eastAsia="Times New Roman" w:hAnsi="Times New Roman" w:cs="Times New Roman"/>
                <w:color w:val="auto"/>
                <w:sz w:val="22"/>
                <w:szCs w:val="22"/>
              </w:rPr>
              <w:t>9</w:t>
            </w:r>
          </w:p>
        </w:tc>
        <w:tc>
          <w:tcPr>
            <w:tcW w:w="832" w:type="dxa"/>
            <w:tcBorders>
              <w:tl2br w:val="nil"/>
              <w:tr2bl w:val="nil"/>
            </w:tcBorders>
          </w:tcPr>
          <w:p w14:paraId="27360EE5" w14:textId="77777777" w:rsidR="0075791A" w:rsidRDefault="00FB2864">
            <w:pPr>
              <w:pStyle w:val="TableParagraph"/>
              <w:spacing w:before="52"/>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0.4</w:t>
            </w:r>
            <w:r>
              <w:rPr>
                <w:rFonts w:ascii="Times New Roman" w:eastAsia="Times New Roman" w:hAnsi="Times New Roman" w:cs="Times New Roman"/>
                <w:color w:val="auto"/>
                <w:sz w:val="22"/>
                <w:szCs w:val="22"/>
              </w:rPr>
              <w:t>8</w:t>
            </w:r>
          </w:p>
        </w:tc>
        <w:tc>
          <w:tcPr>
            <w:tcW w:w="833" w:type="dxa"/>
            <w:tcBorders>
              <w:tl2br w:val="nil"/>
              <w:tr2bl w:val="nil"/>
            </w:tcBorders>
          </w:tcPr>
          <w:p w14:paraId="5FE64081" w14:textId="77777777" w:rsidR="0075791A" w:rsidRDefault="00FB2864">
            <w:pPr>
              <w:pStyle w:val="TableParagraph"/>
              <w:spacing w:before="52"/>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0.2</w:t>
            </w:r>
            <w:r>
              <w:rPr>
                <w:rFonts w:ascii="Times New Roman" w:eastAsia="Times New Roman" w:hAnsi="Times New Roman" w:cs="Times New Roman"/>
                <w:color w:val="auto"/>
                <w:sz w:val="22"/>
                <w:szCs w:val="22"/>
              </w:rPr>
              <w:t>7</w:t>
            </w:r>
          </w:p>
        </w:tc>
        <w:tc>
          <w:tcPr>
            <w:tcW w:w="833" w:type="dxa"/>
            <w:tcBorders>
              <w:tl2br w:val="nil"/>
              <w:tr2bl w:val="nil"/>
            </w:tcBorders>
          </w:tcPr>
          <w:p w14:paraId="1F45827C" w14:textId="77777777" w:rsidR="0075791A" w:rsidRDefault="00FB2864">
            <w:pPr>
              <w:pStyle w:val="TableParagraph"/>
              <w:spacing w:before="52"/>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0.6</w:t>
            </w:r>
            <w:r>
              <w:rPr>
                <w:rFonts w:ascii="Times New Roman" w:eastAsia="Times New Roman" w:hAnsi="Times New Roman" w:cs="Times New Roman"/>
                <w:color w:val="auto"/>
                <w:sz w:val="22"/>
                <w:szCs w:val="22"/>
              </w:rPr>
              <w:t>8</w:t>
            </w:r>
          </w:p>
        </w:tc>
        <w:tc>
          <w:tcPr>
            <w:tcW w:w="833" w:type="dxa"/>
            <w:tcBorders>
              <w:tl2br w:val="nil"/>
              <w:tr2bl w:val="nil"/>
            </w:tcBorders>
          </w:tcPr>
          <w:p w14:paraId="48AB9EEC" w14:textId="77777777" w:rsidR="0075791A" w:rsidRDefault="00FB2864">
            <w:pPr>
              <w:pStyle w:val="TableParagraph"/>
              <w:spacing w:before="52"/>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0.2</w:t>
            </w:r>
            <w:r>
              <w:rPr>
                <w:rFonts w:ascii="Times New Roman" w:eastAsia="Times New Roman" w:hAnsi="Times New Roman" w:cs="Times New Roman"/>
                <w:color w:val="auto"/>
                <w:sz w:val="22"/>
                <w:szCs w:val="22"/>
              </w:rPr>
              <w:t>5</w:t>
            </w:r>
          </w:p>
        </w:tc>
      </w:tr>
      <w:tr w:rsidR="0075791A" w14:paraId="11A6F9BD" w14:textId="77777777">
        <w:trPr>
          <w:trHeight w:hRule="exact" w:val="350"/>
          <w:jc w:val="center"/>
        </w:trPr>
        <w:tc>
          <w:tcPr>
            <w:tcW w:w="562" w:type="dxa"/>
            <w:vMerge/>
            <w:tcBorders>
              <w:tl2br w:val="nil"/>
              <w:tr2bl w:val="nil"/>
            </w:tcBorders>
          </w:tcPr>
          <w:p w14:paraId="4613BAA5" w14:textId="77777777" w:rsidR="0075791A" w:rsidRDefault="0075791A">
            <w:pPr>
              <w:pStyle w:val="TableParagraph"/>
              <w:spacing w:line="300" w:lineRule="exact"/>
              <w:ind w:left="165"/>
              <w:rPr>
                <w:rFonts w:ascii="宋体" w:eastAsia="宋体" w:hAnsi="宋体" w:cs="宋体"/>
                <w:color w:val="auto"/>
                <w:sz w:val="22"/>
                <w:szCs w:val="22"/>
              </w:rPr>
            </w:pPr>
          </w:p>
        </w:tc>
        <w:tc>
          <w:tcPr>
            <w:tcW w:w="993" w:type="dxa"/>
            <w:tcBorders>
              <w:tl2br w:val="nil"/>
              <w:tr2bl w:val="nil"/>
            </w:tcBorders>
          </w:tcPr>
          <w:p w14:paraId="7DEC3510" w14:textId="77777777" w:rsidR="0075791A" w:rsidRDefault="00FB2864">
            <w:pPr>
              <w:pStyle w:val="TableParagraph"/>
              <w:spacing w:line="300" w:lineRule="exact"/>
              <w:ind w:left="160"/>
              <w:rPr>
                <w:rFonts w:ascii="宋体" w:eastAsia="宋体" w:hAnsi="宋体" w:cs="宋体"/>
                <w:color w:val="auto"/>
                <w:sz w:val="22"/>
                <w:szCs w:val="22"/>
              </w:rPr>
            </w:pPr>
            <w:r>
              <w:rPr>
                <w:rFonts w:ascii="宋体" w:eastAsia="宋体" w:hAnsi="宋体" w:cs="宋体"/>
                <w:color w:val="auto"/>
                <w:spacing w:val="-1"/>
                <w:sz w:val="22"/>
                <w:szCs w:val="22"/>
              </w:rPr>
              <w:t>软</w:t>
            </w:r>
            <w:r>
              <w:rPr>
                <w:rFonts w:ascii="宋体" w:eastAsia="宋体" w:hAnsi="宋体" w:cs="宋体"/>
                <w:color w:val="auto"/>
                <w:spacing w:val="-3"/>
                <w:sz w:val="22"/>
                <w:szCs w:val="22"/>
              </w:rPr>
              <w:t>体</w:t>
            </w:r>
            <w:r>
              <w:rPr>
                <w:rFonts w:ascii="宋体" w:eastAsia="宋体" w:hAnsi="宋体" w:cs="宋体"/>
                <w:color w:val="auto"/>
                <w:sz w:val="22"/>
                <w:szCs w:val="22"/>
              </w:rPr>
              <w:t>类</w:t>
            </w:r>
          </w:p>
        </w:tc>
        <w:tc>
          <w:tcPr>
            <w:tcW w:w="832" w:type="dxa"/>
            <w:tcBorders>
              <w:tl2br w:val="nil"/>
              <w:tr2bl w:val="nil"/>
            </w:tcBorders>
          </w:tcPr>
          <w:p w14:paraId="69BCA0F2" w14:textId="77777777" w:rsidR="0075791A" w:rsidRDefault="00FB2864">
            <w:pPr>
              <w:pStyle w:val="TableParagraph"/>
              <w:spacing w:before="61"/>
              <w:ind w:left="359"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047740C1" w14:textId="77777777" w:rsidR="0075791A" w:rsidRDefault="00FB2864">
            <w:pPr>
              <w:pStyle w:val="TableParagraph"/>
              <w:spacing w:before="61"/>
              <w:ind w:left="360"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6DFBE19C" w14:textId="77777777" w:rsidR="0075791A" w:rsidRDefault="00FB2864">
            <w:pPr>
              <w:pStyle w:val="TableParagraph"/>
              <w:spacing w:before="61"/>
              <w:ind w:left="362" w:right="36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730B1208" w14:textId="77777777" w:rsidR="0075791A" w:rsidRDefault="00FB2864">
            <w:pPr>
              <w:pStyle w:val="TableParagraph"/>
              <w:spacing w:before="61"/>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0.5</w:t>
            </w:r>
            <w:r>
              <w:rPr>
                <w:rFonts w:ascii="Times New Roman" w:eastAsia="Times New Roman" w:hAnsi="Times New Roman" w:cs="Times New Roman"/>
                <w:color w:val="auto"/>
                <w:sz w:val="22"/>
                <w:szCs w:val="22"/>
              </w:rPr>
              <w:t>4</w:t>
            </w:r>
          </w:p>
        </w:tc>
        <w:tc>
          <w:tcPr>
            <w:tcW w:w="832" w:type="dxa"/>
            <w:tcBorders>
              <w:tl2br w:val="nil"/>
              <w:tr2bl w:val="nil"/>
            </w:tcBorders>
          </w:tcPr>
          <w:p w14:paraId="0ABFC08F" w14:textId="77777777" w:rsidR="0075791A" w:rsidRDefault="00FB2864">
            <w:pPr>
              <w:pStyle w:val="TableParagraph"/>
              <w:spacing w:before="61"/>
              <w:ind w:left="359"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794AE6F7" w14:textId="77777777" w:rsidR="0075791A" w:rsidRDefault="00FB2864">
            <w:pPr>
              <w:pStyle w:val="TableParagraph"/>
              <w:spacing w:before="61"/>
              <w:ind w:left="360"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498B9AB3" w14:textId="77777777" w:rsidR="0075791A" w:rsidRDefault="00FB2864">
            <w:pPr>
              <w:pStyle w:val="TableParagraph"/>
              <w:spacing w:before="61"/>
              <w:ind w:left="360"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0BBAA05E" w14:textId="77777777" w:rsidR="0075791A" w:rsidRDefault="00FB2864">
            <w:pPr>
              <w:pStyle w:val="TableParagraph"/>
              <w:spacing w:before="61"/>
              <w:ind w:left="362" w:right="36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r>
      <w:tr w:rsidR="0075791A" w14:paraId="6D273B6C" w14:textId="77777777">
        <w:trPr>
          <w:trHeight w:hRule="exact" w:val="330"/>
          <w:jc w:val="center"/>
        </w:trPr>
        <w:tc>
          <w:tcPr>
            <w:tcW w:w="562" w:type="dxa"/>
            <w:vMerge/>
            <w:tcBorders>
              <w:tl2br w:val="nil"/>
              <w:tr2bl w:val="nil"/>
            </w:tcBorders>
          </w:tcPr>
          <w:p w14:paraId="4DC774FE" w14:textId="77777777" w:rsidR="0075791A" w:rsidRDefault="0075791A">
            <w:pPr>
              <w:rPr>
                <w:color w:val="auto"/>
              </w:rPr>
            </w:pPr>
          </w:p>
        </w:tc>
        <w:tc>
          <w:tcPr>
            <w:tcW w:w="993" w:type="dxa"/>
            <w:tcBorders>
              <w:tl2br w:val="nil"/>
              <w:tr2bl w:val="nil"/>
            </w:tcBorders>
          </w:tcPr>
          <w:p w14:paraId="77E009FD" w14:textId="77777777" w:rsidR="0075791A" w:rsidRDefault="00FB2864">
            <w:pPr>
              <w:pStyle w:val="TableParagraph"/>
              <w:spacing w:line="288" w:lineRule="exact"/>
              <w:ind w:left="160"/>
              <w:rPr>
                <w:rFonts w:ascii="宋体" w:eastAsia="宋体" w:hAnsi="宋体" w:cs="宋体"/>
                <w:color w:val="auto"/>
                <w:sz w:val="22"/>
                <w:szCs w:val="22"/>
              </w:rPr>
            </w:pPr>
            <w:r>
              <w:rPr>
                <w:rFonts w:ascii="宋体" w:eastAsia="宋体" w:hAnsi="宋体" w:cs="宋体"/>
                <w:color w:val="auto"/>
                <w:spacing w:val="-1"/>
                <w:sz w:val="22"/>
                <w:szCs w:val="22"/>
              </w:rPr>
              <w:t>其</w:t>
            </w:r>
            <w:r>
              <w:rPr>
                <w:rFonts w:ascii="宋体" w:eastAsia="宋体" w:hAnsi="宋体" w:cs="宋体"/>
                <w:color w:val="auto"/>
                <w:spacing w:val="-3"/>
                <w:sz w:val="22"/>
                <w:szCs w:val="22"/>
              </w:rPr>
              <w:t>他</w:t>
            </w:r>
            <w:r>
              <w:rPr>
                <w:rFonts w:ascii="宋体" w:eastAsia="宋体" w:hAnsi="宋体" w:cs="宋体"/>
                <w:color w:val="auto"/>
                <w:sz w:val="22"/>
                <w:szCs w:val="22"/>
              </w:rPr>
              <w:t>类</w:t>
            </w:r>
          </w:p>
        </w:tc>
        <w:tc>
          <w:tcPr>
            <w:tcW w:w="832" w:type="dxa"/>
            <w:tcBorders>
              <w:tl2br w:val="nil"/>
              <w:tr2bl w:val="nil"/>
            </w:tcBorders>
          </w:tcPr>
          <w:p w14:paraId="68EC2751" w14:textId="77777777" w:rsidR="0075791A" w:rsidRDefault="00FB2864">
            <w:pPr>
              <w:pStyle w:val="TableParagraph"/>
              <w:spacing w:before="52"/>
              <w:ind w:left="359"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46AD4ABB" w14:textId="77777777" w:rsidR="0075791A" w:rsidRDefault="00FB2864">
            <w:pPr>
              <w:pStyle w:val="TableParagraph"/>
              <w:spacing w:before="52"/>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0.0</w:t>
            </w:r>
            <w:r>
              <w:rPr>
                <w:rFonts w:ascii="Times New Roman" w:eastAsia="Times New Roman" w:hAnsi="Times New Roman" w:cs="Times New Roman"/>
                <w:color w:val="auto"/>
                <w:sz w:val="22"/>
                <w:szCs w:val="22"/>
              </w:rPr>
              <w:t>4</w:t>
            </w:r>
          </w:p>
        </w:tc>
        <w:tc>
          <w:tcPr>
            <w:tcW w:w="833" w:type="dxa"/>
            <w:tcBorders>
              <w:tl2br w:val="nil"/>
              <w:tr2bl w:val="nil"/>
            </w:tcBorders>
          </w:tcPr>
          <w:p w14:paraId="0118CEE4" w14:textId="77777777" w:rsidR="0075791A" w:rsidRDefault="00FB2864">
            <w:pPr>
              <w:pStyle w:val="TableParagraph"/>
              <w:spacing w:before="52"/>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1.8</w:t>
            </w:r>
            <w:r>
              <w:rPr>
                <w:rFonts w:ascii="Times New Roman" w:eastAsia="Times New Roman" w:hAnsi="Times New Roman" w:cs="Times New Roman"/>
                <w:color w:val="auto"/>
                <w:sz w:val="22"/>
                <w:szCs w:val="22"/>
              </w:rPr>
              <w:t>9</w:t>
            </w:r>
          </w:p>
        </w:tc>
        <w:tc>
          <w:tcPr>
            <w:tcW w:w="833" w:type="dxa"/>
            <w:tcBorders>
              <w:tl2br w:val="nil"/>
              <w:tr2bl w:val="nil"/>
            </w:tcBorders>
          </w:tcPr>
          <w:p w14:paraId="2FC5A3F9" w14:textId="77777777" w:rsidR="0075791A" w:rsidRDefault="00FB2864">
            <w:pPr>
              <w:pStyle w:val="TableParagraph"/>
              <w:spacing w:before="52"/>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0.0</w:t>
            </w:r>
            <w:r>
              <w:rPr>
                <w:rFonts w:ascii="Times New Roman" w:eastAsia="Times New Roman" w:hAnsi="Times New Roman" w:cs="Times New Roman"/>
                <w:color w:val="auto"/>
                <w:sz w:val="22"/>
                <w:szCs w:val="22"/>
              </w:rPr>
              <w:t>6</w:t>
            </w:r>
          </w:p>
        </w:tc>
        <w:tc>
          <w:tcPr>
            <w:tcW w:w="832" w:type="dxa"/>
            <w:tcBorders>
              <w:tl2br w:val="nil"/>
              <w:tr2bl w:val="nil"/>
            </w:tcBorders>
          </w:tcPr>
          <w:p w14:paraId="4C304234" w14:textId="77777777" w:rsidR="0075791A" w:rsidRDefault="00FB2864">
            <w:pPr>
              <w:pStyle w:val="TableParagraph"/>
              <w:spacing w:before="52"/>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2.1</w:t>
            </w:r>
            <w:r>
              <w:rPr>
                <w:rFonts w:ascii="Times New Roman" w:eastAsia="Times New Roman" w:hAnsi="Times New Roman" w:cs="Times New Roman"/>
                <w:color w:val="auto"/>
                <w:sz w:val="22"/>
                <w:szCs w:val="22"/>
              </w:rPr>
              <w:t>4</w:t>
            </w:r>
          </w:p>
        </w:tc>
        <w:tc>
          <w:tcPr>
            <w:tcW w:w="833" w:type="dxa"/>
            <w:tcBorders>
              <w:tl2br w:val="nil"/>
              <w:tr2bl w:val="nil"/>
            </w:tcBorders>
          </w:tcPr>
          <w:p w14:paraId="72689373" w14:textId="77777777" w:rsidR="0075791A" w:rsidRDefault="00FB2864">
            <w:pPr>
              <w:pStyle w:val="TableParagraph"/>
              <w:spacing w:before="52"/>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0.7</w:t>
            </w:r>
            <w:r>
              <w:rPr>
                <w:rFonts w:ascii="Times New Roman" w:eastAsia="Times New Roman" w:hAnsi="Times New Roman" w:cs="Times New Roman"/>
                <w:color w:val="auto"/>
                <w:sz w:val="22"/>
                <w:szCs w:val="22"/>
              </w:rPr>
              <w:t>2</w:t>
            </w:r>
          </w:p>
        </w:tc>
        <w:tc>
          <w:tcPr>
            <w:tcW w:w="833" w:type="dxa"/>
            <w:tcBorders>
              <w:tl2br w:val="nil"/>
              <w:tr2bl w:val="nil"/>
            </w:tcBorders>
          </w:tcPr>
          <w:p w14:paraId="30EDA11C" w14:textId="77777777" w:rsidR="0075791A" w:rsidRDefault="00FB2864">
            <w:pPr>
              <w:pStyle w:val="TableParagraph"/>
              <w:spacing w:before="52"/>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0.5</w:t>
            </w:r>
            <w:r>
              <w:rPr>
                <w:rFonts w:ascii="Times New Roman" w:eastAsia="Times New Roman" w:hAnsi="Times New Roman" w:cs="Times New Roman"/>
                <w:color w:val="auto"/>
                <w:sz w:val="22"/>
                <w:szCs w:val="22"/>
              </w:rPr>
              <w:t>7</w:t>
            </w:r>
          </w:p>
        </w:tc>
        <w:tc>
          <w:tcPr>
            <w:tcW w:w="833" w:type="dxa"/>
            <w:tcBorders>
              <w:tl2br w:val="nil"/>
              <w:tr2bl w:val="nil"/>
            </w:tcBorders>
          </w:tcPr>
          <w:p w14:paraId="274A6C3E" w14:textId="77777777" w:rsidR="0075791A" w:rsidRDefault="00FB2864">
            <w:pPr>
              <w:pStyle w:val="TableParagraph"/>
              <w:spacing w:before="52"/>
              <w:ind w:left="362" w:right="36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r>
      <w:tr w:rsidR="0075791A" w14:paraId="1821CADB" w14:textId="77777777">
        <w:trPr>
          <w:trHeight w:hRule="exact" w:val="330"/>
          <w:jc w:val="center"/>
        </w:trPr>
        <w:tc>
          <w:tcPr>
            <w:tcW w:w="562" w:type="dxa"/>
            <w:vMerge/>
            <w:tcBorders>
              <w:tl2br w:val="nil"/>
              <w:tr2bl w:val="nil"/>
            </w:tcBorders>
          </w:tcPr>
          <w:p w14:paraId="151F8138" w14:textId="77777777" w:rsidR="0075791A" w:rsidRDefault="0075791A">
            <w:pPr>
              <w:rPr>
                <w:color w:val="auto"/>
              </w:rPr>
            </w:pPr>
          </w:p>
        </w:tc>
        <w:tc>
          <w:tcPr>
            <w:tcW w:w="993" w:type="dxa"/>
            <w:tcBorders>
              <w:tl2br w:val="nil"/>
              <w:tr2bl w:val="nil"/>
            </w:tcBorders>
          </w:tcPr>
          <w:p w14:paraId="74ACF2DE" w14:textId="77777777" w:rsidR="0075791A" w:rsidRDefault="00FB2864">
            <w:pPr>
              <w:pStyle w:val="TableParagraph"/>
              <w:spacing w:line="289" w:lineRule="exact"/>
              <w:ind w:left="160"/>
              <w:rPr>
                <w:rFonts w:ascii="宋体" w:eastAsia="宋体" w:hAnsi="宋体" w:cs="宋体"/>
                <w:color w:val="auto"/>
                <w:sz w:val="22"/>
                <w:szCs w:val="22"/>
              </w:rPr>
            </w:pPr>
            <w:r>
              <w:rPr>
                <w:rFonts w:ascii="宋体" w:eastAsia="宋体" w:hAnsi="宋体" w:cs="宋体"/>
                <w:color w:val="auto"/>
                <w:spacing w:val="-1"/>
                <w:sz w:val="22"/>
                <w:szCs w:val="22"/>
              </w:rPr>
              <w:t>棘</w:t>
            </w:r>
            <w:r>
              <w:rPr>
                <w:rFonts w:ascii="宋体" w:eastAsia="宋体" w:hAnsi="宋体" w:cs="宋体"/>
                <w:color w:val="auto"/>
                <w:spacing w:val="-3"/>
                <w:sz w:val="22"/>
                <w:szCs w:val="22"/>
              </w:rPr>
              <w:t>皮</w:t>
            </w:r>
            <w:r>
              <w:rPr>
                <w:rFonts w:ascii="宋体" w:eastAsia="宋体" w:hAnsi="宋体" w:cs="宋体"/>
                <w:color w:val="auto"/>
                <w:sz w:val="22"/>
                <w:szCs w:val="22"/>
              </w:rPr>
              <w:t>类</w:t>
            </w:r>
          </w:p>
        </w:tc>
        <w:tc>
          <w:tcPr>
            <w:tcW w:w="832" w:type="dxa"/>
            <w:tcBorders>
              <w:tl2br w:val="nil"/>
              <w:tr2bl w:val="nil"/>
            </w:tcBorders>
          </w:tcPr>
          <w:p w14:paraId="29EE3153" w14:textId="77777777" w:rsidR="0075791A" w:rsidRDefault="00FB2864">
            <w:pPr>
              <w:pStyle w:val="TableParagraph"/>
              <w:spacing w:before="50"/>
              <w:ind w:left="359"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31E70E9A" w14:textId="77777777" w:rsidR="0075791A" w:rsidRDefault="00FB2864">
            <w:pPr>
              <w:pStyle w:val="TableParagraph"/>
              <w:spacing w:before="50"/>
              <w:ind w:left="360"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0827EE6F" w14:textId="77777777" w:rsidR="0075791A" w:rsidRDefault="00FB2864">
            <w:pPr>
              <w:pStyle w:val="TableParagraph"/>
              <w:spacing w:before="50"/>
              <w:ind w:left="362" w:right="360"/>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7EF2CC8C" w14:textId="77777777" w:rsidR="0075791A" w:rsidRDefault="00FB2864">
            <w:pPr>
              <w:pStyle w:val="TableParagraph"/>
              <w:spacing w:before="50"/>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0.3</w:t>
            </w:r>
            <w:r>
              <w:rPr>
                <w:rFonts w:ascii="Times New Roman" w:eastAsia="Times New Roman" w:hAnsi="Times New Roman" w:cs="Times New Roman"/>
                <w:color w:val="auto"/>
                <w:sz w:val="22"/>
                <w:szCs w:val="22"/>
              </w:rPr>
              <w:t>4</w:t>
            </w:r>
          </w:p>
        </w:tc>
        <w:tc>
          <w:tcPr>
            <w:tcW w:w="832" w:type="dxa"/>
            <w:tcBorders>
              <w:tl2br w:val="nil"/>
              <w:tr2bl w:val="nil"/>
            </w:tcBorders>
          </w:tcPr>
          <w:p w14:paraId="439E07DA" w14:textId="77777777" w:rsidR="0075791A" w:rsidRDefault="00FB2864">
            <w:pPr>
              <w:pStyle w:val="TableParagraph"/>
              <w:spacing w:before="50"/>
              <w:ind w:left="218"/>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0.2</w:t>
            </w:r>
            <w:r>
              <w:rPr>
                <w:rFonts w:ascii="Times New Roman" w:eastAsia="Times New Roman" w:hAnsi="Times New Roman" w:cs="Times New Roman"/>
                <w:color w:val="auto"/>
                <w:sz w:val="22"/>
                <w:szCs w:val="22"/>
              </w:rPr>
              <w:t>2</w:t>
            </w:r>
          </w:p>
        </w:tc>
        <w:tc>
          <w:tcPr>
            <w:tcW w:w="833" w:type="dxa"/>
            <w:tcBorders>
              <w:tl2br w:val="nil"/>
              <w:tr2bl w:val="nil"/>
            </w:tcBorders>
          </w:tcPr>
          <w:p w14:paraId="20A00CBD" w14:textId="77777777" w:rsidR="0075791A" w:rsidRDefault="00FB2864">
            <w:pPr>
              <w:pStyle w:val="TableParagraph"/>
              <w:spacing w:before="50"/>
              <w:ind w:left="360" w:right="36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t>
            </w:r>
          </w:p>
        </w:tc>
        <w:tc>
          <w:tcPr>
            <w:tcW w:w="833" w:type="dxa"/>
            <w:tcBorders>
              <w:tl2br w:val="nil"/>
              <w:tr2bl w:val="nil"/>
            </w:tcBorders>
          </w:tcPr>
          <w:p w14:paraId="371580A2" w14:textId="77777777" w:rsidR="0075791A" w:rsidRDefault="00FB2864">
            <w:pPr>
              <w:pStyle w:val="TableParagraph"/>
              <w:spacing w:before="50"/>
              <w:ind w:left="21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2.6</w:t>
            </w:r>
            <w:r>
              <w:rPr>
                <w:rFonts w:ascii="Times New Roman" w:eastAsia="Times New Roman" w:hAnsi="Times New Roman" w:cs="Times New Roman"/>
                <w:color w:val="auto"/>
                <w:sz w:val="22"/>
                <w:szCs w:val="22"/>
              </w:rPr>
              <w:t>8</w:t>
            </w:r>
          </w:p>
        </w:tc>
        <w:tc>
          <w:tcPr>
            <w:tcW w:w="833" w:type="dxa"/>
            <w:tcBorders>
              <w:tl2br w:val="nil"/>
              <w:tr2bl w:val="nil"/>
            </w:tcBorders>
          </w:tcPr>
          <w:p w14:paraId="4EF495C0" w14:textId="77777777" w:rsidR="0075791A" w:rsidRDefault="00FB2864">
            <w:pPr>
              <w:pStyle w:val="TableParagraph"/>
              <w:spacing w:before="50"/>
              <w:ind w:left="223"/>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w:t>
            </w:r>
            <w:r>
              <w:rPr>
                <w:rFonts w:ascii="Times New Roman" w:eastAsia="Times New Roman" w:hAnsi="Times New Roman" w:cs="Times New Roman"/>
                <w:color w:val="auto"/>
                <w:spacing w:val="-8"/>
                <w:sz w:val="22"/>
                <w:szCs w:val="22"/>
              </w:rPr>
              <w:t>1</w:t>
            </w:r>
            <w:r>
              <w:rPr>
                <w:rFonts w:ascii="Times New Roman" w:eastAsia="Times New Roman" w:hAnsi="Times New Roman" w:cs="Times New Roman"/>
                <w:color w:val="auto"/>
                <w:sz w:val="22"/>
                <w:szCs w:val="22"/>
              </w:rPr>
              <w:t>1</w:t>
            </w:r>
          </w:p>
        </w:tc>
      </w:tr>
    </w:tbl>
    <w:p w14:paraId="637000CF"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）鱼卵与仔稚鱼</w:t>
      </w:r>
    </w:p>
    <w:p w14:paraId="5ADBE974"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月航次，调查海域共鉴定到鱼卵与仔稚鱼</w:t>
      </w:r>
      <w:r>
        <w:rPr>
          <w:rFonts w:ascii="Times New Roman" w:eastAsia="宋体" w:hAnsi="Times New Roman" w:cs="Times New Roman" w:hint="eastAsia"/>
          <w:snapToGrid/>
          <w:color w:val="auto"/>
          <w:kern w:val="2"/>
          <w:sz w:val="24"/>
          <w:szCs w:val="24"/>
          <w:lang w:eastAsia="zh-CN"/>
        </w:rPr>
        <w:t>8</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12</w:t>
      </w:r>
      <w:r>
        <w:rPr>
          <w:rFonts w:ascii="Times New Roman" w:eastAsia="宋体" w:hAnsi="Times New Roman" w:cs="Times New Roman" w:hint="eastAsia"/>
          <w:snapToGrid/>
          <w:color w:val="auto"/>
          <w:kern w:val="2"/>
          <w:sz w:val="24"/>
          <w:szCs w:val="24"/>
          <w:lang w:eastAsia="zh-CN"/>
        </w:rPr>
        <w:t>种，鉴定到科的有</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种，鉴定到属于的有</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种，鉴定到种的有</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种。从发育阶段来看，鱼卵出现种类有</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种，仔稚鱼出现种类有</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种。</w:t>
      </w:r>
    </w:p>
    <w:p w14:paraId="4197E254"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本次垂直拖网共采集到鱼卵</w:t>
      </w:r>
      <w:r>
        <w:rPr>
          <w:rFonts w:ascii="Times New Roman" w:eastAsia="宋体" w:hAnsi="Times New Roman" w:cs="Times New Roman" w:hint="eastAsia"/>
          <w:snapToGrid/>
          <w:color w:val="auto"/>
          <w:kern w:val="2"/>
          <w:sz w:val="24"/>
          <w:szCs w:val="24"/>
          <w:lang w:eastAsia="zh-CN"/>
        </w:rPr>
        <w:t>57</w:t>
      </w:r>
      <w:r>
        <w:rPr>
          <w:rFonts w:ascii="Times New Roman" w:eastAsia="宋体" w:hAnsi="Times New Roman" w:cs="Times New Roman" w:hint="eastAsia"/>
          <w:snapToGrid/>
          <w:color w:val="auto"/>
          <w:kern w:val="2"/>
          <w:sz w:val="24"/>
          <w:szCs w:val="24"/>
          <w:lang w:eastAsia="zh-CN"/>
        </w:rPr>
        <w:t>粒，仔稚鱼</w:t>
      </w:r>
      <w:r>
        <w:rPr>
          <w:rFonts w:ascii="Times New Roman" w:eastAsia="宋体" w:hAnsi="Times New Roman" w:cs="Times New Roman" w:hint="eastAsia"/>
          <w:snapToGrid/>
          <w:color w:val="auto"/>
          <w:kern w:val="2"/>
          <w:sz w:val="24"/>
          <w:szCs w:val="24"/>
          <w:lang w:eastAsia="zh-CN"/>
        </w:rPr>
        <w:t>7</w:t>
      </w:r>
      <w:r>
        <w:rPr>
          <w:rFonts w:ascii="Times New Roman" w:eastAsia="宋体" w:hAnsi="Times New Roman" w:cs="Times New Roman" w:hint="eastAsia"/>
          <w:snapToGrid/>
          <w:color w:val="auto"/>
          <w:kern w:val="2"/>
          <w:sz w:val="24"/>
          <w:szCs w:val="24"/>
          <w:lang w:eastAsia="zh-CN"/>
        </w:rPr>
        <w:t>尾。鱼卵数量以小沙丁鱼具有数量上的绝对优势，占总数比例</w:t>
      </w:r>
      <w:r>
        <w:rPr>
          <w:rFonts w:ascii="Times New Roman" w:eastAsia="宋体" w:hAnsi="Times New Roman" w:cs="Times New Roman" w:hint="eastAsia"/>
          <w:snapToGrid/>
          <w:color w:val="auto"/>
          <w:kern w:val="2"/>
          <w:sz w:val="24"/>
          <w:szCs w:val="24"/>
          <w:lang w:eastAsia="zh-CN"/>
        </w:rPr>
        <w:t>28.13%</w:t>
      </w:r>
      <w:r>
        <w:rPr>
          <w:rFonts w:ascii="Times New Roman" w:eastAsia="宋体" w:hAnsi="Times New Roman" w:cs="Times New Roman" w:hint="eastAsia"/>
          <w:snapToGrid/>
          <w:color w:val="auto"/>
          <w:kern w:val="2"/>
          <w:sz w:val="24"/>
          <w:szCs w:val="24"/>
          <w:lang w:eastAsia="zh-CN"/>
        </w:rPr>
        <w:t>，隆头鱼科一种占</w:t>
      </w:r>
      <w:r>
        <w:rPr>
          <w:rFonts w:ascii="Times New Roman" w:eastAsia="宋体" w:hAnsi="Times New Roman" w:cs="Times New Roman" w:hint="eastAsia"/>
          <w:snapToGrid/>
          <w:color w:val="auto"/>
          <w:kern w:val="2"/>
          <w:sz w:val="24"/>
          <w:szCs w:val="24"/>
          <w:lang w:eastAsia="zh-CN"/>
        </w:rPr>
        <w:t>20.31%</w:t>
      </w:r>
      <w:r>
        <w:rPr>
          <w:rFonts w:ascii="Times New Roman" w:eastAsia="宋体" w:hAnsi="Times New Roman" w:cs="Times New Roman" w:hint="eastAsia"/>
          <w:snapToGrid/>
          <w:color w:val="auto"/>
          <w:kern w:val="2"/>
          <w:sz w:val="24"/>
          <w:szCs w:val="24"/>
          <w:lang w:eastAsia="zh-CN"/>
        </w:rPr>
        <w:t>，鲾占</w:t>
      </w:r>
      <w:r>
        <w:rPr>
          <w:rFonts w:ascii="Times New Roman" w:eastAsia="宋体" w:hAnsi="Times New Roman" w:cs="Times New Roman" w:hint="eastAsia"/>
          <w:snapToGrid/>
          <w:color w:val="auto"/>
          <w:kern w:val="2"/>
          <w:sz w:val="24"/>
          <w:szCs w:val="24"/>
          <w:lang w:eastAsia="zh-CN"/>
        </w:rPr>
        <w:t>18.75%</w:t>
      </w:r>
      <w:r>
        <w:rPr>
          <w:rFonts w:ascii="Times New Roman" w:eastAsia="宋体" w:hAnsi="Times New Roman" w:cs="Times New Roman" w:hint="eastAsia"/>
          <w:snapToGrid/>
          <w:color w:val="auto"/>
          <w:kern w:val="2"/>
          <w:sz w:val="24"/>
          <w:szCs w:val="24"/>
          <w:lang w:eastAsia="zh-CN"/>
        </w:rPr>
        <w:t>；仔稚鱼数量以银腰犀鳕具有数量上的绝对优势，占总数比例的</w:t>
      </w:r>
      <w:r>
        <w:rPr>
          <w:rFonts w:ascii="Times New Roman" w:eastAsia="宋体" w:hAnsi="Times New Roman" w:cs="Times New Roman" w:hint="eastAsia"/>
          <w:snapToGrid/>
          <w:color w:val="auto"/>
          <w:kern w:val="2"/>
          <w:sz w:val="24"/>
          <w:szCs w:val="24"/>
          <w:lang w:eastAsia="zh-CN"/>
        </w:rPr>
        <w:t>4.69%</w:t>
      </w:r>
      <w:r>
        <w:rPr>
          <w:rFonts w:ascii="Times New Roman" w:eastAsia="宋体" w:hAnsi="Times New Roman" w:cs="Times New Roman" w:hint="eastAsia"/>
          <w:snapToGrid/>
          <w:color w:val="auto"/>
          <w:kern w:val="2"/>
          <w:sz w:val="24"/>
          <w:szCs w:val="24"/>
          <w:lang w:eastAsia="zh-CN"/>
        </w:rPr>
        <w:t>，日本鳀占</w:t>
      </w:r>
      <w:r>
        <w:rPr>
          <w:rFonts w:ascii="Times New Roman" w:eastAsia="宋体" w:hAnsi="Times New Roman" w:cs="Times New Roman" w:hint="eastAsia"/>
          <w:snapToGrid/>
          <w:color w:val="auto"/>
          <w:kern w:val="2"/>
          <w:sz w:val="24"/>
          <w:szCs w:val="24"/>
          <w:lang w:eastAsia="zh-CN"/>
        </w:rPr>
        <w:t>3.13%</w:t>
      </w:r>
      <w:r>
        <w:rPr>
          <w:rFonts w:ascii="Times New Roman" w:eastAsia="宋体" w:hAnsi="Times New Roman" w:cs="Times New Roman" w:hint="eastAsia"/>
          <w:snapToGrid/>
          <w:color w:val="auto"/>
          <w:kern w:val="2"/>
          <w:sz w:val="24"/>
          <w:szCs w:val="24"/>
          <w:lang w:eastAsia="zh-CN"/>
        </w:rPr>
        <w:t>。</w:t>
      </w:r>
    </w:p>
    <w:p w14:paraId="7AD28C86"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本次垂直拖网调查各站位鱼卵密度范围为（</w:t>
      </w:r>
      <w:r>
        <w:rPr>
          <w:rFonts w:ascii="Times New Roman" w:eastAsia="宋体" w:hAnsi="Times New Roman" w:cs="Times New Roman" w:hint="eastAsia"/>
          <w:snapToGrid/>
          <w:color w:val="auto"/>
          <w:kern w:val="2"/>
          <w:sz w:val="24"/>
          <w:szCs w:val="24"/>
          <w:lang w:eastAsia="zh-CN"/>
        </w:rPr>
        <w:t>1.13~5.14</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ind/m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2.8</w:t>
      </w:r>
      <w:r>
        <w:rPr>
          <w:rFonts w:ascii="Times New Roman" w:eastAsia="宋体" w:hAnsi="Times New Roman" w:cs="Times New Roman" w:hint="eastAsia"/>
          <w:snapToGrid/>
          <w:color w:val="auto"/>
          <w:kern w:val="2"/>
          <w:sz w:val="24"/>
          <w:szCs w:val="24"/>
          <w:lang w:eastAsia="zh-CN"/>
        </w:rPr>
        <w:t>4ind/m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。最高值出现在站位</w:t>
      </w:r>
      <w:r>
        <w:rPr>
          <w:rFonts w:ascii="Times New Roman" w:eastAsia="宋体" w:hAnsi="Times New Roman" w:cs="Times New Roman" w:hint="eastAsia"/>
          <w:snapToGrid/>
          <w:color w:val="auto"/>
          <w:kern w:val="2"/>
          <w:sz w:val="24"/>
          <w:szCs w:val="24"/>
          <w:lang w:eastAsia="zh-CN"/>
        </w:rPr>
        <w:t>H8</w:t>
      </w:r>
      <w:r>
        <w:rPr>
          <w:rFonts w:ascii="Times New Roman" w:eastAsia="宋体" w:hAnsi="Times New Roman" w:cs="Times New Roman" w:hint="eastAsia"/>
          <w:snapToGrid/>
          <w:color w:val="auto"/>
          <w:kern w:val="2"/>
          <w:sz w:val="24"/>
          <w:szCs w:val="24"/>
          <w:lang w:eastAsia="zh-CN"/>
        </w:rPr>
        <w:t>，站位</w:t>
      </w:r>
      <w:r>
        <w:rPr>
          <w:rFonts w:ascii="Times New Roman" w:eastAsia="宋体" w:hAnsi="Times New Roman" w:cs="Times New Roman" w:hint="eastAsia"/>
          <w:snapToGrid/>
          <w:color w:val="auto"/>
          <w:kern w:val="2"/>
          <w:sz w:val="24"/>
          <w:szCs w:val="24"/>
          <w:lang w:eastAsia="zh-CN"/>
        </w:rPr>
        <w:t>H6</w:t>
      </w:r>
      <w:r>
        <w:rPr>
          <w:rFonts w:ascii="Times New Roman" w:eastAsia="宋体" w:hAnsi="Times New Roman" w:cs="Times New Roman" w:hint="eastAsia"/>
          <w:snapToGrid/>
          <w:color w:val="auto"/>
          <w:kern w:val="2"/>
          <w:sz w:val="24"/>
          <w:szCs w:val="24"/>
          <w:lang w:eastAsia="zh-CN"/>
        </w:rPr>
        <w:t>次之（</w:t>
      </w:r>
      <w:r>
        <w:rPr>
          <w:rFonts w:ascii="Times New Roman" w:eastAsia="宋体" w:hAnsi="Times New Roman" w:cs="Times New Roman" w:hint="eastAsia"/>
          <w:snapToGrid/>
          <w:color w:val="auto"/>
          <w:kern w:val="2"/>
          <w:sz w:val="24"/>
          <w:szCs w:val="24"/>
          <w:lang w:eastAsia="zh-CN"/>
        </w:rPr>
        <w:t>3.78</w:t>
      </w:r>
      <w:r>
        <w:rPr>
          <w:rFonts w:ascii="Times New Roman" w:eastAsia="宋体" w:hAnsi="Times New Roman" w:cs="Times New Roman" w:hint="eastAsia"/>
          <w:snapToGrid/>
          <w:color w:val="auto"/>
          <w:kern w:val="2"/>
          <w:sz w:val="24"/>
          <w:szCs w:val="24"/>
          <w:lang w:eastAsia="zh-CN"/>
        </w:rPr>
        <w:t>），最低值出现在站位</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。仔稚鱼密度范围为（</w:t>
      </w:r>
      <w:r>
        <w:rPr>
          <w:rFonts w:ascii="Times New Roman" w:eastAsia="宋体" w:hAnsi="Times New Roman" w:cs="Times New Roman" w:hint="eastAsia"/>
          <w:snapToGrid/>
          <w:color w:val="auto"/>
          <w:kern w:val="2"/>
          <w:sz w:val="24"/>
          <w:szCs w:val="24"/>
          <w:lang w:eastAsia="zh-CN"/>
        </w:rPr>
        <w:t>0.25~1.08</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ind/m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0.55ind/m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。最高值出现在站位</w:t>
      </w:r>
      <w:r>
        <w:rPr>
          <w:rFonts w:ascii="Times New Roman" w:eastAsia="宋体" w:hAnsi="Times New Roman" w:cs="Times New Roman" w:hint="eastAsia"/>
          <w:snapToGrid/>
          <w:color w:val="auto"/>
          <w:kern w:val="2"/>
          <w:sz w:val="24"/>
          <w:szCs w:val="24"/>
          <w:lang w:eastAsia="zh-CN"/>
        </w:rPr>
        <w:t>H11</w:t>
      </w:r>
      <w:r>
        <w:rPr>
          <w:rFonts w:ascii="Times New Roman" w:eastAsia="宋体" w:hAnsi="Times New Roman" w:cs="Times New Roman" w:hint="eastAsia"/>
          <w:snapToGrid/>
          <w:color w:val="auto"/>
          <w:kern w:val="2"/>
          <w:sz w:val="24"/>
          <w:szCs w:val="24"/>
          <w:lang w:eastAsia="zh-CN"/>
        </w:rPr>
        <w:t>，最低值出现在站位</w:t>
      </w:r>
      <w:r>
        <w:rPr>
          <w:rFonts w:ascii="Times New Roman" w:eastAsia="宋体" w:hAnsi="Times New Roman" w:cs="Times New Roman" w:hint="eastAsia"/>
          <w:snapToGrid/>
          <w:color w:val="auto"/>
          <w:kern w:val="2"/>
          <w:sz w:val="24"/>
          <w:szCs w:val="24"/>
          <w:lang w:eastAsia="zh-CN"/>
        </w:rPr>
        <w:t>H5</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H4</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H6</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H7</w:t>
      </w:r>
      <w:r>
        <w:rPr>
          <w:rFonts w:ascii="Times New Roman" w:eastAsia="宋体" w:hAnsi="Times New Roman" w:cs="Times New Roman" w:hint="eastAsia"/>
          <w:snapToGrid/>
          <w:color w:val="auto"/>
          <w:kern w:val="2"/>
          <w:sz w:val="24"/>
          <w:szCs w:val="24"/>
          <w:lang w:eastAsia="zh-CN"/>
        </w:rPr>
        <w:t>未采集到仔稚鱼（详见表</w:t>
      </w:r>
      <w:r>
        <w:rPr>
          <w:rFonts w:ascii="Times New Roman" w:eastAsia="宋体" w:hAnsi="Times New Roman" w:cs="Times New Roman" w:hint="eastAsia"/>
          <w:snapToGrid/>
          <w:color w:val="auto"/>
          <w:kern w:val="2"/>
          <w:sz w:val="24"/>
          <w:szCs w:val="24"/>
          <w:lang w:eastAsia="zh-CN"/>
        </w:rPr>
        <w:t>3.2.6-28</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w:t>
      </w:r>
    </w:p>
    <w:p w14:paraId="7A65F2FA" w14:textId="77777777" w:rsidR="0075791A" w:rsidRDefault="00FB2864">
      <w:pPr>
        <w:jc w:val="center"/>
        <w:rPr>
          <w:rFonts w:ascii="宋体" w:eastAsia="宋体" w:hAnsi="宋体"/>
          <w:color w:val="auto"/>
          <w:sz w:val="24"/>
          <w:szCs w:val="24"/>
          <w:lang w:eastAsia="zh-CN"/>
        </w:rPr>
      </w:pPr>
      <w:r>
        <w:rPr>
          <w:rFonts w:ascii="宋体" w:eastAsia="宋体" w:hAnsi="宋体" w:hint="eastAsia"/>
          <w:color w:val="auto"/>
          <w:sz w:val="24"/>
          <w:szCs w:val="24"/>
          <w:lang w:eastAsia="zh-CN"/>
        </w:rPr>
        <w:t>表</w:t>
      </w:r>
      <w:r>
        <w:rPr>
          <w:rFonts w:ascii="Times New Roman" w:eastAsia="宋体" w:hAnsi="Times New Roman" w:cs="Times New Roman" w:hint="eastAsia"/>
          <w:snapToGrid/>
          <w:color w:val="auto"/>
          <w:kern w:val="2"/>
          <w:sz w:val="24"/>
          <w:szCs w:val="24"/>
          <w:lang w:eastAsia="zh-CN"/>
        </w:rPr>
        <w:t>3.2.6-28</w:t>
      </w:r>
      <w:r>
        <w:rPr>
          <w:rFonts w:ascii="TimesNewRomanPSMT" w:eastAsia="TimesNewRomanPSMT" w:hAnsi="TimesNewRomanPSMT" w:hint="eastAsia"/>
          <w:color w:val="auto"/>
          <w:sz w:val="24"/>
          <w:szCs w:val="24"/>
          <w:lang w:eastAsia="zh-CN"/>
        </w:rPr>
        <w:t xml:space="preserve"> 2024 </w:t>
      </w:r>
      <w:r>
        <w:rPr>
          <w:rFonts w:ascii="宋体" w:eastAsia="宋体" w:hAnsi="宋体" w:hint="eastAsia"/>
          <w:color w:val="auto"/>
          <w:sz w:val="24"/>
          <w:szCs w:val="24"/>
          <w:lang w:eastAsia="zh-CN"/>
        </w:rPr>
        <w:t>年</w:t>
      </w:r>
      <w:r>
        <w:rPr>
          <w:rFonts w:ascii="TimesNewRomanPSMT" w:eastAsia="TimesNewRomanPSMT" w:hAnsi="TimesNewRomanPSMT" w:hint="eastAsia"/>
          <w:color w:val="auto"/>
          <w:sz w:val="24"/>
          <w:szCs w:val="24"/>
          <w:lang w:eastAsia="zh-CN"/>
        </w:rPr>
        <w:t xml:space="preserve">9 </w:t>
      </w:r>
      <w:r>
        <w:rPr>
          <w:rFonts w:ascii="宋体" w:eastAsia="宋体" w:hAnsi="宋体" w:hint="eastAsia"/>
          <w:color w:val="auto"/>
          <w:sz w:val="24"/>
          <w:szCs w:val="24"/>
          <w:lang w:eastAsia="zh-CN"/>
        </w:rPr>
        <w:t>月航次鱼卵和仔鱼调查结果统计</w:t>
      </w:r>
    </w:p>
    <w:tbl>
      <w:tblPr>
        <w:tblpPr w:leftFromText="180" w:rightFromText="180" w:vertAnchor="text" w:horzAnchor="page" w:tblpXSpec="center" w:tblpY="95"/>
        <w:tblOverlap w:val="never"/>
        <w:tblW w:w="0" w:type="auto"/>
        <w:jc w:val="center"/>
        <w:tblLayout w:type="fixed"/>
        <w:tblCellMar>
          <w:left w:w="0" w:type="dxa"/>
          <w:right w:w="0" w:type="dxa"/>
        </w:tblCellMar>
        <w:tblLook w:val="04A0" w:firstRow="1" w:lastRow="0" w:firstColumn="1" w:lastColumn="0" w:noHBand="0" w:noVBand="1"/>
      </w:tblPr>
      <w:tblGrid>
        <w:gridCol w:w="1025"/>
        <w:gridCol w:w="1973"/>
        <w:gridCol w:w="1974"/>
        <w:gridCol w:w="1973"/>
        <w:gridCol w:w="1973"/>
      </w:tblGrid>
      <w:tr w:rsidR="0075791A" w14:paraId="1B5A6730" w14:textId="77777777">
        <w:trPr>
          <w:trHeight w:hRule="exact" w:val="344"/>
          <w:jc w:val="center"/>
        </w:trPr>
        <w:tc>
          <w:tcPr>
            <w:tcW w:w="1025" w:type="dxa"/>
            <w:vMerge w:val="restart"/>
            <w:tcBorders>
              <w:top w:val="single" w:sz="4" w:space="0" w:color="000000"/>
              <w:left w:val="single" w:sz="4" w:space="0" w:color="000000"/>
              <w:right w:val="single" w:sz="4" w:space="0" w:color="000000"/>
            </w:tcBorders>
          </w:tcPr>
          <w:p w14:paraId="34275C3A" w14:textId="77777777" w:rsidR="0075791A" w:rsidRDefault="0075791A">
            <w:pPr>
              <w:pStyle w:val="TableParagraph"/>
              <w:spacing w:before="6" w:line="150" w:lineRule="exact"/>
              <w:rPr>
                <w:color w:val="auto"/>
                <w:sz w:val="15"/>
                <w:szCs w:val="15"/>
                <w:lang w:eastAsia="zh-CN"/>
              </w:rPr>
            </w:pPr>
          </w:p>
          <w:p w14:paraId="6509FD34" w14:textId="77777777" w:rsidR="0075791A" w:rsidRDefault="00FB2864">
            <w:pPr>
              <w:pStyle w:val="TableParagraph"/>
              <w:ind w:left="297"/>
              <w:rPr>
                <w:rFonts w:ascii="宋体" w:eastAsia="宋体" w:hAnsi="宋体" w:cs="宋体"/>
                <w:color w:val="auto"/>
              </w:rPr>
            </w:pPr>
            <w:r>
              <w:rPr>
                <w:rFonts w:ascii="宋体" w:eastAsia="宋体" w:hAnsi="宋体" w:cs="宋体"/>
                <w:color w:val="auto"/>
                <w:spacing w:val="-1"/>
              </w:rPr>
              <w:t>站</w:t>
            </w:r>
            <w:r>
              <w:rPr>
                <w:rFonts w:ascii="宋体" w:eastAsia="宋体" w:hAnsi="宋体" w:cs="宋体"/>
                <w:color w:val="auto"/>
              </w:rPr>
              <w:t>位</w:t>
            </w:r>
          </w:p>
        </w:tc>
        <w:tc>
          <w:tcPr>
            <w:tcW w:w="3947" w:type="dxa"/>
            <w:gridSpan w:val="2"/>
            <w:tcBorders>
              <w:top w:val="single" w:sz="4" w:space="0" w:color="000000"/>
              <w:left w:val="single" w:sz="4" w:space="0" w:color="000000"/>
              <w:bottom w:val="single" w:sz="4" w:space="0" w:color="000000"/>
              <w:right w:val="single" w:sz="4" w:space="0" w:color="000000"/>
            </w:tcBorders>
          </w:tcPr>
          <w:p w14:paraId="4B438F74" w14:textId="77777777" w:rsidR="0075791A" w:rsidRDefault="00FB2864">
            <w:pPr>
              <w:pStyle w:val="TableParagraph"/>
              <w:spacing w:line="293" w:lineRule="exact"/>
              <w:ind w:right="2"/>
              <w:jc w:val="center"/>
              <w:rPr>
                <w:rFonts w:ascii="宋体" w:eastAsia="宋体" w:hAnsi="宋体" w:cs="宋体"/>
                <w:color w:val="auto"/>
              </w:rPr>
            </w:pPr>
            <w:r>
              <w:rPr>
                <w:rFonts w:ascii="宋体" w:eastAsia="宋体" w:hAnsi="宋体" w:cs="宋体"/>
                <w:color w:val="auto"/>
                <w:spacing w:val="-1"/>
              </w:rPr>
              <w:t>鱼</w:t>
            </w:r>
            <w:r>
              <w:rPr>
                <w:rFonts w:ascii="宋体" w:eastAsia="宋体" w:hAnsi="宋体" w:cs="宋体"/>
                <w:color w:val="auto"/>
              </w:rPr>
              <w:t>卵</w:t>
            </w:r>
          </w:p>
        </w:tc>
        <w:tc>
          <w:tcPr>
            <w:tcW w:w="3946" w:type="dxa"/>
            <w:gridSpan w:val="2"/>
            <w:tcBorders>
              <w:top w:val="single" w:sz="4" w:space="0" w:color="000000"/>
              <w:left w:val="single" w:sz="4" w:space="0" w:color="000000"/>
              <w:bottom w:val="single" w:sz="4" w:space="0" w:color="000000"/>
              <w:right w:val="single" w:sz="4" w:space="0" w:color="000000"/>
            </w:tcBorders>
          </w:tcPr>
          <w:p w14:paraId="79E32DA1" w14:textId="77777777" w:rsidR="0075791A" w:rsidRDefault="00FB2864">
            <w:pPr>
              <w:pStyle w:val="TableParagraph"/>
              <w:spacing w:line="293" w:lineRule="exact"/>
              <w:ind w:right="1"/>
              <w:jc w:val="center"/>
              <w:rPr>
                <w:rFonts w:ascii="宋体" w:eastAsia="宋体" w:hAnsi="宋体" w:cs="宋体"/>
                <w:color w:val="auto"/>
              </w:rPr>
            </w:pPr>
            <w:r>
              <w:rPr>
                <w:rFonts w:ascii="宋体" w:eastAsia="宋体" w:hAnsi="宋体" w:cs="宋体"/>
                <w:color w:val="auto"/>
                <w:spacing w:val="-1"/>
              </w:rPr>
              <w:t>仔</w:t>
            </w:r>
            <w:r>
              <w:rPr>
                <w:rFonts w:ascii="宋体" w:eastAsia="宋体" w:hAnsi="宋体" w:cs="宋体"/>
                <w:color w:val="auto"/>
                <w:spacing w:val="2"/>
              </w:rPr>
              <w:t>、</w:t>
            </w:r>
            <w:r>
              <w:rPr>
                <w:rFonts w:ascii="宋体" w:eastAsia="宋体" w:hAnsi="宋体" w:cs="宋体"/>
                <w:color w:val="auto"/>
                <w:spacing w:val="-1"/>
              </w:rPr>
              <w:t>稚</w:t>
            </w:r>
            <w:r>
              <w:rPr>
                <w:rFonts w:ascii="宋体" w:eastAsia="宋体" w:hAnsi="宋体" w:cs="宋体"/>
                <w:color w:val="auto"/>
              </w:rPr>
              <w:t>鱼</w:t>
            </w:r>
          </w:p>
        </w:tc>
      </w:tr>
      <w:tr w:rsidR="0075791A" w14:paraId="535A3E8C" w14:textId="77777777">
        <w:trPr>
          <w:trHeight w:hRule="exact" w:val="344"/>
          <w:jc w:val="center"/>
        </w:trPr>
        <w:tc>
          <w:tcPr>
            <w:tcW w:w="1025" w:type="dxa"/>
            <w:vMerge/>
            <w:tcBorders>
              <w:left w:val="single" w:sz="4" w:space="0" w:color="000000"/>
              <w:bottom w:val="single" w:sz="4" w:space="0" w:color="000000"/>
              <w:right w:val="single" w:sz="4" w:space="0" w:color="000000"/>
            </w:tcBorders>
          </w:tcPr>
          <w:p w14:paraId="76354CEA" w14:textId="77777777" w:rsidR="0075791A" w:rsidRDefault="0075791A">
            <w:pPr>
              <w:rPr>
                <w:color w:val="auto"/>
              </w:rPr>
            </w:pPr>
          </w:p>
        </w:tc>
        <w:tc>
          <w:tcPr>
            <w:tcW w:w="1973" w:type="dxa"/>
            <w:tcBorders>
              <w:top w:val="single" w:sz="4" w:space="0" w:color="000000"/>
              <w:left w:val="single" w:sz="4" w:space="0" w:color="000000"/>
              <w:bottom w:val="single" w:sz="4" w:space="0" w:color="000000"/>
              <w:right w:val="single" w:sz="4" w:space="0" w:color="000000"/>
            </w:tcBorders>
          </w:tcPr>
          <w:p w14:paraId="75D49ADA" w14:textId="77777777" w:rsidR="0075791A" w:rsidRDefault="00FB2864">
            <w:pPr>
              <w:pStyle w:val="TableParagraph"/>
              <w:spacing w:line="292" w:lineRule="exact"/>
              <w:ind w:right="1"/>
              <w:jc w:val="center"/>
              <w:rPr>
                <w:rFonts w:ascii="宋体" w:eastAsia="宋体" w:hAnsi="宋体" w:cs="宋体"/>
                <w:color w:val="auto"/>
              </w:rPr>
            </w:pPr>
            <w:r>
              <w:rPr>
                <w:rFonts w:ascii="宋体" w:eastAsia="宋体" w:hAnsi="宋体" w:cs="宋体"/>
                <w:color w:val="auto"/>
                <w:spacing w:val="-1"/>
              </w:rPr>
              <w:t>种</w:t>
            </w:r>
            <w:r>
              <w:rPr>
                <w:rFonts w:ascii="宋体" w:eastAsia="宋体" w:hAnsi="宋体" w:cs="宋体"/>
                <w:color w:val="auto"/>
              </w:rPr>
              <w:t>类</w:t>
            </w:r>
          </w:p>
        </w:tc>
        <w:tc>
          <w:tcPr>
            <w:tcW w:w="1974" w:type="dxa"/>
            <w:tcBorders>
              <w:top w:val="single" w:sz="4" w:space="0" w:color="000000"/>
              <w:left w:val="single" w:sz="4" w:space="0" w:color="000000"/>
              <w:bottom w:val="single" w:sz="4" w:space="0" w:color="000000"/>
              <w:right w:val="single" w:sz="4" w:space="0" w:color="000000"/>
            </w:tcBorders>
          </w:tcPr>
          <w:p w14:paraId="7845821F" w14:textId="77777777" w:rsidR="0075791A" w:rsidRDefault="00FB2864">
            <w:pPr>
              <w:pStyle w:val="TableParagraph"/>
              <w:spacing w:line="308" w:lineRule="exact"/>
              <w:ind w:left="282"/>
              <w:rPr>
                <w:rFonts w:ascii="宋体" w:eastAsia="宋体" w:hAnsi="宋体" w:cs="宋体"/>
                <w:color w:val="auto"/>
              </w:rPr>
            </w:pPr>
            <w:r>
              <w:rPr>
                <w:rFonts w:ascii="宋体" w:eastAsia="宋体" w:hAnsi="宋体" w:cs="宋体"/>
                <w:color w:val="auto"/>
                <w:spacing w:val="-1"/>
              </w:rPr>
              <w:t>密</w:t>
            </w:r>
            <w:r>
              <w:rPr>
                <w:rFonts w:ascii="宋体" w:eastAsia="宋体" w:hAnsi="宋体" w:cs="宋体"/>
                <w:color w:val="auto"/>
                <w:spacing w:val="2"/>
              </w:rPr>
              <w:t>度（</w:t>
            </w:r>
            <w:r>
              <w:rPr>
                <w:rFonts w:ascii="Times New Roman" w:eastAsia="Times New Roman" w:hAnsi="Times New Roman" w:cs="Times New Roman"/>
                <w:color w:val="auto"/>
                <w:spacing w:val="-1"/>
              </w:rPr>
              <w:t>i</w:t>
            </w:r>
            <w:r>
              <w:rPr>
                <w:rFonts w:ascii="Times New Roman" w:eastAsia="Times New Roman" w:hAnsi="Times New Roman" w:cs="Times New Roman"/>
                <w:color w:val="auto"/>
                <w:spacing w:val="1"/>
              </w:rPr>
              <w:t>nd</w:t>
            </w:r>
            <w:r>
              <w:rPr>
                <w:rFonts w:ascii="Times New Roman" w:eastAsia="Times New Roman" w:hAnsi="Times New Roman" w:cs="Times New Roman"/>
                <w:color w:val="auto"/>
                <w:spacing w:val="-1"/>
              </w:rPr>
              <w:t>/</w:t>
            </w:r>
            <w:r>
              <w:rPr>
                <w:rFonts w:ascii="Times New Roman" w:eastAsia="Times New Roman" w:hAnsi="Times New Roman" w:cs="Times New Roman"/>
                <w:color w:val="auto"/>
              </w:rPr>
              <w:t>m</w:t>
            </w:r>
            <w:r>
              <w:rPr>
                <w:rFonts w:ascii="Times New Roman" w:eastAsia="Times New Roman" w:hAnsi="Times New Roman" w:cs="Times New Roman"/>
                <w:color w:val="auto"/>
                <w:spacing w:val="-2"/>
                <w:position w:val="7"/>
                <w:sz w:val="13"/>
                <w:szCs w:val="13"/>
              </w:rPr>
              <w:t>3</w:t>
            </w:r>
            <w:r>
              <w:rPr>
                <w:rFonts w:ascii="宋体" w:eastAsia="宋体" w:hAnsi="宋体" w:cs="宋体"/>
                <w:color w:val="auto"/>
              </w:rPr>
              <w:t>）</w:t>
            </w:r>
          </w:p>
        </w:tc>
        <w:tc>
          <w:tcPr>
            <w:tcW w:w="1973" w:type="dxa"/>
            <w:tcBorders>
              <w:top w:val="single" w:sz="4" w:space="0" w:color="000000"/>
              <w:left w:val="single" w:sz="4" w:space="0" w:color="000000"/>
              <w:bottom w:val="single" w:sz="4" w:space="0" w:color="000000"/>
              <w:right w:val="single" w:sz="4" w:space="0" w:color="000000"/>
            </w:tcBorders>
          </w:tcPr>
          <w:p w14:paraId="1D9DD2E1" w14:textId="77777777" w:rsidR="0075791A" w:rsidRDefault="00FB2864">
            <w:pPr>
              <w:pStyle w:val="TableParagraph"/>
              <w:spacing w:line="292" w:lineRule="exact"/>
              <w:ind w:right="4"/>
              <w:jc w:val="center"/>
              <w:rPr>
                <w:rFonts w:ascii="宋体" w:eastAsia="宋体" w:hAnsi="宋体" w:cs="宋体"/>
                <w:color w:val="auto"/>
              </w:rPr>
            </w:pPr>
            <w:r>
              <w:rPr>
                <w:rFonts w:ascii="宋体" w:eastAsia="宋体" w:hAnsi="宋体" w:cs="宋体"/>
                <w:color w:val="auto"/>
                <w:spacing w:val="-1"/>
              </w:rPr>
              <w:t>种</w:t>
            </w:r>
            <w:r>
              <w:rPr>
                <w:rFonts w:ascii="宋体" w:eastAsia="宋体" w:hAnsi="宋体" w:cs="宋体"/>
                <w:color w:val="auto"/>
              </w:rPr>
              <w:t>类</w:t>
            </w:r>
          </w:p>
        </w:tc>
        <w:tc>
          <w:tcPr>
            <w:tcW w:w="1973" w:type="dxa"/>
            <w:tcBorders>
              <w:top w:val="single" w:sz="4" w:space="0" w:color="000000"/>
              <w:left w:val="single" w:sz="4" w:space="0" w:color="000000"/>
              <w:bottom w:val="single" w:sz="4" w:space="0" w:color="000000"/>
              <w:right w:val="single" w:sz="4" w:space="0" w:color="000000"/>
            </w:tcBorders>
          </w:tcPr>
          <w:p w14:paraId="4AAFBFB4" w14:textId="77777777" w:rsidR="0075791A" w:rsidRDefault="00FB2864">
            <w:pPr>
              <w:pStyle w:val="TableParagraph"/>
              <w:spacing w:line="308" w:lineRule="exact"/>
              <w:ind w:left="281"/>
              <w:rPr>
                <w:rFonts w:ascii="宋体" w:eastAsia="宋体" w:hAnsi="宋体" w:cs="宋体"/>
                <w:color w:val="auto"/>
              </w:rPr>
            </w:pPr>
            <w:r>
              <w:rPr>
                <w:rFonts w:ascii="宋体" w:eastAsia="宋体" w:hAnsi="宋体" w:cs="宋体"/>
                <w:color w:val="auto"/>
                <w:spacing w:val="-1"/>
              </w:rPr>
              <w:t>密</w:t>
            </w:r>
            <w:r>
              <w:rPr>
                <w:rFonts w:ascii="宋体" w:eastAsia="宋体" w:hAnsi="宋体" w:cs="宋体"/>
                <w:color w:val="auto"/>
                <w:spacing w:val="2"/>
              </w:rPr>
              <w:t>度（</w:t>
            </w:r>
            <w:r>
              <w:rPr>
                <w:rFonts w:ascii="Times New Roman" w:eastAsia="Times New Roman" w:hAnsi="Times New Roman" w:cs="Times New Roman"/>
                <w:color w:val="auto"/>
                <w:spacing w:val="-1"/>
              </w:rPr>
              <w:t>i</w:t>
            </w:r>
            <w:r>
              <w:rPr>
                <w:rFonts w:ascii="Times New Roman" w:eastAsia="Times New Roman" w:hAnsi="Times New Roman" w:cs="Times New Roman"/>
                <w:color w:val="auto"/>
                <w:spacing w:val="1"/>
              </w:rPr>
              <w:t>nd</w:t>
            </w:r>
            <w:r>
              <w:rPr>
                <w:rFonts w:ascii="Times New Roman" w:eastAsia="Times New Roman" w:hAnsi="Times New Roman" w:cs="Times New Roman"/>
                <w:color w:val="auto"/>
                <w:spacing w:val="-1"/>
              </w:rPr>
              <w:t>/</w:t>
            </w:r>
            <w:r>
              <w:rPr>
                <w:rFonts w:ascii="Times New Roman" w:eastAsia="Times New Roman" w:hAnsi="Times New Roman" w:cs="Times New Roman"/>
                <w:color w:val="auto"/>
              </w:rPr>
              <w:t>m</w:t>
            </w:r>
            <w:r>
              <w:rPr>
                <w:rFonts w:ascii="Times New Roman" w:eastAsia="Times New Roman" w:hAnsi="Times New Roman" w:cs="Times New Roman"/>
                <w:color w:val="auto"/>
                <w:spacing w:val="-2"/>
                <w:position w:val="7"/>
                <w:sz w:val="13"/>
                <w:szCs w:val="13"/>
              </w:rPr>
              <w:t>3</w:t>
            </w:r>
            <w:r>
              <w:rPr>
                <w:rFonts w:ascii="宋体" w:eastAsia="宋体" w:hAnsi="宋体" w:cs="宋体"/>
                <w:color w:val="auto"/>
              </w:rPr>
              <w:t>）</w:t>
            </w:r>
          </w:p>
        </w:tc>
      </w:tr>
      <w:tr w:rsidR="0075791A" w14:paraId="2A589527" w14:textId="77777777">
        <w:trPr>
          <w:trHeight w:hRule="exact" w:val="344"/>
          <w:jc w:val="center"/>
        </w:trPr>
        <w:tc>
          <w:tcPr>
            <w:tcW w:w="1025" w:type="dxa"/>
            <w:tcBorders>
              <w:top w:val="single" w:sz="4" w:space="0" w:color="000000"/>
              <w:left w:val="single" w:sz="4" w:space="0" w:color="000000"/>
              <w:bottom w:val="single" w:sz="4" w:space="0" w:color="000000"/>
              <w:right w:val="single" w:sz="4" w:space="0" w:color="000000"/>
            </w:tcBorders>
          </w:tcPr>
          <w:p w14:paraId="481E58C0" w14:textId="77777777" w:rsidR="0075791A" w:rsidRDefault="00FB2864">
            <w:pPr>
              <w:pStyle w:val="TableParagraph"/>
              <w:spacing w:before="67"/>
              <w:ind w:left="359" w:right="361"/>
              <w:jc w:val="center"/>
              <w:rPr>
                <w:rFonts w:ascii="Times New Roman" w:eastAsia="Times New Roman" w:hAnsi="Times New Roman" w:cs="Times New Roman"/>
                <w:color w:val="auto"/>
              </w:rPr>
            </w:pPr>
            <w:r>
              <w:rPr>
                <w:rFonts w:ascii="Times New Roman" w:eastAsia="Times New Roman" w:hAnsi="Times New Roman" w:cs="Times New Roman"/>
                <w:color w:val="auto"/>
              </w:rPr>
              <w:t>H2</w:t>
            </w:r>
          </w:p>
        </w:tc>
        <w:tc>
          <w:tcPr>
            <w:tcW w:w="1973" w:type="dxa"/>
            <w:tcBorders>
              <w:top w:val="single" w:sz="4" w:space="0" w:color="000000"/>
              <w:left w:val="single" w:sz="4" w:space="0" w:color="000000"/>
              <w:bottom w:val="single" w:sz="4" w:space="0" w:color="000000"/>
              <w:right w:val="single" w:sz="4" w:space="0" w:color="000000"/>
            </w:tcBorders>
          </w:tcPr>
          <w:p w14:paraId="4F3F9A10" w14:textId="77777777" w:rsidR="0075791A" w:rsidRDefault="00FB2864">
            <w:pPr>
              <w:pStyle w:val="TableParagraph"/>
              <w:spacing w:before="67"/>
              <w:ind w:left="907" w:right="910"/>
              <w:jc w:val="center"/>
              <w:rPr>
                <w:rFonts w:ascii="Times New Roman" w:eastAsia="Times New Roman" w:hAnsi="Times New Roman" w:cs="Times New Roman"/>
                <w:color w:val="auto"/>
              </w:rPr>
            </w:pPr>
            <w:r>
              <w:rPr>
                <w:rFonts w:ascii="Times New Roman" w:eastAsia="Times New Roman" w:hAnsi="Times New Roman" w:cs="Times New Roman"/>
                <w:color w:val="auto"/>
              </w:rPr>
              <w:t>1</w:t>
            </w:r>
          </w:p>
        </w:tc>
        <w:tc>
          <w:tcPr>
            <w:tcW w:w="1974" w:type="dxa"/>
            <w:tcBorders>
              <w:top w:val="single" w:sz="4" w:space="0" w:color="000000"/>
              <w:left w:val="single" w:sz="4" w:space="0" w:color="000000"/>
              <w:bottom w:val="single" w:sz="4" w:space="0" w:color="000000"/>
              <w:right w:val="single" w:sz="4" w:space="0" w:color="000000"/>
            </w:tcBorders>
          </w:tcPr>
          <w:p w14:paraId="56062942" w14:textId="77777777" w:rsidR="0075791A" w:rsidRDefault="00FB2864">
            <w:pPr>
              <w:pStyle w:val="TableParagraph"/>
              <w:spacing w:before="67"/>
              <w:ind w:left="778" w:right="77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8</w:t>
            </w:r>
          </w:p>
        </w:tc>
        <w:tc>
          <w:tcPr>
            <w:tcW w:w="1973" w:type="dxa"/>
            <w:tcBorders>
              <w:top w:val="single" w:sz="4" w:space="0" w:color="000000"/>
              <w:left w:val="single" w:sz="4" w:space="0" w:color="000000"/>
              <w:bottom w:val="single" w:sz="4" w:space="0" w:color="000000"/>
              <w:right w:val="single" w:sz="4" w:space="0" w:color="000000"/>
            </w:tcBorders>
          </w:tcPr>
          <w:p w14:paraId="4569B3D3" w14:textId="77777777" w:rsidR="0075791A" w:rsidRDefault="00FB2864">
            <w:pPr>
              <w:pStyle w:val="TableParagraph"/>
              <w:spacing w:before="67"/>
              <w:ind w:left="933" w:right="93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c>
          <w:tcPr>
            <w:tcW w:w="1973" w:type="dxa"/>
            <w:tcBorders>
              <w:top w:val="single" w:sz="4" w:space="0" w:color="000000"/>
              <w:left w:val="single" w:sz="4" w:space="0" w:color="000000"/>
              <w:bottom w:val="single" w:sz="4" w:space="0" w:color="000000"/>
              <w:right w:val="single" w:sz="4" w:space="0" w:color="000000"/>
            </w:tcBorders>
          </w:tcPr>
          <w:p w14:paraId="0324803F" w14:textId="77777777" w:rsidR="0075791A" w:rsidRDefault="00FB2864">
            <w:pPr>
              <w:pStyle w:val="TableParagraph"/>
              <w:spacing w:before="67"/>
              <w:ind w:left="908" w:right="908"/>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75791A" w14:paraId="2DC58C42" w14:textId="77777777">
        <w:trPr>
          <w:trHeight w:hRule="exact" w:val="344"/>
          <w:jc w:val="center"/>
        </w:trPr>
        <w:tc>
          <w:tcPr>
            <w:tcW w:w="1025" w:type="dxa"/>
            <w:tcBorders>
              <w:top w:val="single" w:sz="4" w:space="0" w:color="000000"/>
              <w:left w:val="single" w:sz="4" w:space="0" w:color="000000"/>
              <w:bottom w:val="single" w:sz="4" w:space="0" w:color="000000"/>
              <w:right w:val="single" w:sz="4" w:space="0" w:color="000000"/>
            </w:tcBorders>
          </w:tcPr>
          <w:p w14:paraId="235ECFB7" w14:textId="77777777" w:rsidR="0075791A" w:rsidRDefault="00FB2864">
            <w:pPr>
              <w:pStyle w:val="TableParagraph"/>
              <w:spacing w:before="67"/>
              <w:ind w:left="359" w:right="361"/>
              <w:jc w:val="center"/>
              <w:rPr>
                <w:rFonts w:ascii="Times New Roman" w:eastAsia="Times New Roman" w:hAnsi="Times New Roman" w:cs="Times New Roman"/>
                <w:color w:val="auto"/>
              </w:rPr>
            </w:pPr>
            <w:r>
              <w:rPr>
                <w:rFonts w:ascii="Times New Roman" w:eastAsia="Times New Roman" w:hAnsi="Times New Roman" w:cs="Times New Roman"/>
                <w:color w:val="auto"/>
              </w:rPr>
              <w:t>H4</w:t>
            </w:r>
          </w:p>
        </w:tc>
        <w:tc>
          <w:tcPr>
            <w:tcW w:w="1973" w:type="dxa"/>
            <w:tcBorders>
              <w:top w:val="single" w:sz="4" w:space="0" w:color="000000"/>
              <w:left w:val="single" w:sz="4" w:space="0" w:color="000000"/>
              <w:bottom w:val="single" w:sz="4" w:space="0" w:color="000000"/>
              <w:right w:val="single" w:sz="4" w:space="0" w:color="000000"/>
            </w:tcBorders>
          </w:tcPr>
          <w:p w14:paraId="07536218" w14:textId="77777777" w:rsidR="0075791A" w:rsidRDefault="00FB2864">
            <w:pPr>
              <w:pStyle w:val="TableParagraph"/>
              <w:spacing w:before="67"/>
              <w:ind w:left="907" w:right="910"/>
              <w:jc w:val="center"/>
              <w:rPr>
                <w:rFonts w:ascii="Times New Roman" w:eastAsia="Times New Roman" w:hAnsi="Times New Roman" w:cs="Times New Roman"/>
                <w:color w:val="auto"/>
              </w:rPr>
            </w:pPr>
            <w:r>
              <w:rPr>
                <w:rFonts w:ascii="Times New Roman" w:eastAsia="Times New Roman" w:hAnsi="Times New Roman" w:cs="Times New Roman"/>
                <w:color w:val="auto"/>
              </w:rPr>
              <w:t>2</w:t>
            </w:r>
          </w:p>
        </w:tc>
        <w:tc>
          <w:tcPr>
            <w:tcW w:w="1974" w:type="dxa"/>
            <w:tcBorders>
              <w:top w:val="single" w:sz="4" w:space="0" w:color="000000"/>
              <w:left w:val="single" w:sz="4" w:space="0" w:color="000000"/>
              <w:bottom w:val="single" w:sz="4" w:space="0" w:color="000000"/>
              <w:right w:val="single" w:sz="4" w:space="0" w:color="000000"/>
            </w:tcBorders>
          </w:tcPr>
          <w:p w14:paraId="24E6F88E" w14:textId="77777777" w:rsidR="0075791A" w:rsidRDefault="00FB2864">
            <w:pPr>
              <w:pStyle w:val="TableParagraph"/>
              <w:spacing w:before="67"/>
              <w:ind w:left="778" w:right="77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5</w:t>
            </w:r>
          </w:p>
        </w:tc>
        <w:tc>
          <w:tcPr>
            <w:tcW w:w="1973" w:type="dxa"/>
            <w:tcBorders>
              <w:top w:val="single" w:sz="4" w:space="0" w:color="000000"/>
              <w:left w:val="single" w:sz="4" w:space="0" w:color="000000"/>
              <w:bottom w:val="single" w:sz="4" w:space="0" w:color="000000"/>
              <w:right w:val="single" w:sz="4" w:space="0" w:color="000000"/>
            </w:tcBorders>
          </w:tcPr>
          <w:p w14:paraId="4BDA1E27" w14:textId="77777777" w:rsidR="0075791A" w:rsidRDefault="00FB2864">
            <w:pPr>
              <w:pStyle w:val="TableParagraph"/>
              <w:spacing w:before="67"/>
              <w:ind w:left="933" w:right="93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c>
          <w:tcPr>
            <w:tcW w:w="1973" w:type="dxa"/>
            <w:tcBorders>
              <w:top w:val="single" w:sz="4" w:space="0" w:color="000000"/>
              <w:left w:val="single" w:sz="4" w:space="0" w:color="000000"/>
              <w:bottom w:val="single" w:sz="4" w:space="0" w:color="000000"/>
              <w:right w:val="single" w:sz="4" w:space="0" w:color="000000"/>
            </w:tcBorders>
          </w:tcPr>
          <w:p w14:paraId="09C38B59" w14:textId="77777777" w:rsidR="0075791A" w:rsidRDefault="00FB2864">
            <w:pPr>
              <w:pStyle w:val="TableParagraph"/>
              <w:spacing w:before="67"/>
              <w:ind w:left="908" w:right="908"/>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75791A" w14:paraId="488B1B91" w14:textId="77777777">
        <w:trPr>
          <w:trHeight w:hRule="exact" w:val="344"/>
          <w:jc w:val="center"/>
        </w:trPr>
        <w:tc>
          <w:tcPr>
            <w:tcW w:w="1025" w:type="dxa"/>
            <w:tcBorders>
              <w:top w:val="single" w:sz="4" w:space="0" w:color="000000"/>
              <w:left w:val="single" w:sz="4" w:space="0" w:color="000000"/>
              <w:bottom w:val="single" w:sz="4" w:space="0" w:color="000000"/>
              <w:right w:val="single" w:sz="4" w:space="0" w:color="000000"/>
            </w:tcBorders>
          </w:tcPr>
          <w:p w14:paraId="0EA278ED" w14:textId="77777777" w:rsidR="0075791A" w:rsidRDefault="00FB2864">
            <w:pPr>
              <w:pStyle w:val="TableParagraph"/>
              <w:spacing w:before="66"/>
              <w:ind w:left="359" w:right="361"/>
              <w:jc w:val="center"/>
              <w:rPr>
                <w:rFonts w:ascii="Times New Roman" w:eastAsia="Times New Roman" w:hAnsi="Times New Roman" w:cs="Times New Roman"/>
                <w:color w:val="auto"/>
              </w:rPr>
            </w:pPr>
            <w:r>
              <w:rPr>
                <w:rFonts w:ascii="Times New Roman" w:eastAsia="Times New Roman" w:hAnsi="Times New Roman" w:cs="Times New Roman"/>
                <w:color w:val="auto"/>
              </w:rPr>
              <w:t>H5</w:t>
            </w:r>
          </w:p>
        </w:tc>
        <w:tc>
          <w:tcPr>
            <w:tcW w:w="1973" w:type="dxa"/>
            <w:tcBorders>
              <w:top w:val="single" w:sz="4" w:space="0" w:color="000000"/>
              <w:left w:val="single" w:sz="4" w:space="0" w:color="000000"/>
              <w:bottom w:val="single" w:sz="4" w:space="0" w:color="000000"/>
              <w:right w:val="single" w:sz="4" w:space="0" w:color="000000"/>
            </w:tcBorders>
          </w:tcPr>
          <w:p w14:paraId="0A05D160" w14:textId="77777777" w:rsidR="0075791A" w:rsidRDefault="00FB2864">
            <w:pPr>
              <w:pStyle w:val="TableParagraph"/>
              <w:spacing w:before="66"/>
              <w:ind w:left="907" w:right="910"/>
              <w:jc w:val="center"/>
              <w:rPr>
                <w:rFonts w:ascii="Times New Roman" w:eastAsia="Times New Roman" w:hAnsi="Times New Roman" w:cs="Times New Roman"/>
                <w:color w:val="auto"/>
              </w:rPr>
            </w:pPr>
            <w:r>
              <w:rPr>
                <w:rFonts w:ascii="Times New Roman" w:eastAsia="Times New Roman" w:hAnsi="Times New Roman" w:cs="Times New Roman"/>
                <w:color w:val="auto"/>
              </w:rPr>
              <w:t>5</w:t>
            </w:r>
          </w:p>
        </w:tc>
        <w:tc>
          <w:tcPr>
            <w:tcW w:w="1974" w:type="dxa"/>
            <w:tcBorders>
              <w:top w:val="single" w:sz="4" w:space="0" w:color="000000"/>
              <w:left w:val="single" w:sz="4" w:space="0" w:color="000000"/>
              <w:bottom w:val="single" w:sz="4" w:space="0" w:color="000000"/>
              <w:right w:val="single" w:sz="4" w:space="0" w:color="000000"/>
            </w:tcBorders>
          </w:tcPr>
          <w:p w14:paraId="1C3E08F9" w14:textId="77777777" w:rsidR="0075791A" w:rsidRDefault="00FB2864">
            <w:pPr>
              <w:pStyle w:val="TableParagraph"/>
              <w:spacing w:before="66"/>
              <w:ind w:left="778" w:right="77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6</w:t>
            </w:r>
          </w:p>
        </w:tc>
        <w:tc>
          <w:tcPr>
            <w:tcW w:w="1973" w:type="dxa"/>
            <w:tcBorders>
              <w:top w:val="single" w:sz="4" w:space="0" w:color="000000"/>
              <w:left w:val="single" w:sz="4" w:space="0" w:color="000000"/>
              <w:bottom w:val="single" w:sz="4" w:space="0" w:color="000000"/>
              <w:right w:val="single" w:sz="4" w:space="0" w:color="000000"/>
            </w:tcBorders>
          </w:tcPr>
          <w:p w14:paraId="12EAFBAC" w14:textId="77777777" w:rsidR="0075791A" w:rsidRDefault="00FB2864">
            <w:pPr>
              <w:pStyle w:val="TableParagraph"/>
              <w:spacing w:before="66"/>
              <w:ind w:left="908" w:right="909"/>
              <w:jc w:val="center"/>
              <w:rPr>
                <w:rFonts w:ascii="Times New Roman" w:eastAsia="Times New Roman" w:hAnsi="Times New Roman" w:cs="Times New Roman"/>
                <w:color w:val="auto"/>
              </w:rPr>
            </w:pPr>
            <w:r>
              <w:rPr>
                <w:rFonts w:ascii="Times New Roman" w:eastAsia="Times New Roman" w:hAnsi="Times New Roman" w:cs="Times New Roman"/>
                <w:color w:val="auto"/>
              </w:rPr>
              <w:t>1</w:t>
            </w:r>
          </w:p>
        </w:tc>
        <w:tc>
          <w:tcPr>
            <w:tcW w:w="1973" w:type="dxa"/>
            <w:tcBorders>
              <w:top w:val="single" w:sz="4" w:space="0" w:color="000000"/>
              <w:left w:val="single" w:sz="4" w:space="0" w:color="000000"/>
              <w:bottom w:val="single" w:sz="4" w:space="0" w:color="000000"/>
              <w:right w:val="single" w:sz="4" w:space="0" w:color="000000"/>
            </w:tcBorders>
          </w:tcPr>
          <w:p w14:paraId="5BC5A656" w14:textId="77777777" w:rsidR="0075791A" w:rsidRDefault="00FB2864">
            <w:pPr>
              <w:pStyle w:val="TableParagraph"/>
              <w:spacing w:before="66"/>
              <w:ind w:left="777" w:right="778"/>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5</w:t>
            </w:r>
          </w:p>
        </w:tc>
      </w:tr>
      <w:tr w:rsidR="0075791A" w14:paraId="7E264F46" w14:textId="77777777">
        <w:trPr>
          <w:trHeight w:hRule="exact" w:val="344"/>
          <w:jc w:val="center"/>
        </w:trPr>
        <w:tc>
          <w:tcPr>
            <w:tcW w:w="1025" w:type="dxa"/>
            <w:tcBorders>
              <w:top w:val="single" w:sz="4" w:space="0" w:color="000000"/>
              <w:left w:val="single" w:sz="4" w:space="0" w:color="000000"/>
              <w:bottom w:val="single" w:sz="4" w:space="0" w:color="000000"/>
              <w:right w:val="single" w:sz="4" w:space="0" w:color="000000"/>
            </w:tcBorders>
          </w:tcPr>
          <w:p w14:paraId="1BAD59DA" w14:textId="77777777" w:rsidR="0075791A" w:rsidRDefault="00FB2864">
            <w:pPr>
              <w:pStyle w:val="TableParagraph"/>
              <w:spacing w:before="67"/>
              <w:ind w:left="359" w:right="361"/>
              <w:jc w:val="center"/>
              <w:rPr>
                <w:rFonts w:ascii="Times New Roman" w:eastAsia="Times New Roman" w:hAnsi="Times New Roman" w:cs="Times New Roman"/>
                <w:color w:val="auto"/>
              </w:rPr>
            </w:pPr>
            <w:r>
              <w:rPr>
                <w:rFonts w:ascii="Times New Roman" w:eastAsia="Times New Roman" w:hAnsi="Times New Roman" w:cs="Times New Roman"/>
                <w:color w:val="auto"/>
              </w:rPr>
              <w:t>H6</w:t>
            </w:r>
          </w:p>
        </w:tc>
        <w:tc>
          <w:tcPr>
            <w:tcW w:w="1973" w:type="dxa"/>
            <w:tcBorders>
              <w:top w:val="single" w:sz="4" w:space="0" w:color="000000"/>
              <w:left w:val="single" w:sz="4" w:space="0" w:color="000000"/>
              <w:bottom w:val="single" w:sz="4" w:space="0" w:color="000000"/>
              <w:right w:val="single" w:sz="4" w:space="0" w:color="000000"/>
            </w:tcBorders>
          </w:tcPr>
          <w:p w14:paraId="645CC14E" w14:textId="77777777" w:rsidR="0075791A" w:rsidRDefault="00FB2864">
            <w:pPr>
              <w:pStyle w:val="TableParagraph"/>
              <w:spacing w:before="67"/>
              <w:ind w:left="907" w:right="910"/>
              <w:jc w:val="center"/>
              <w:rPr>
                <w:rFonts w:ascii="Times New Roman" w:eastAsia="Times New Roman" w:hAnsi="Times New Roman" w:cs="Times New Roman"/>
                <w:color w:val="auto"/>
              </w:rPr>
            </w:pPr>
            <w:r>
              <w:rPr>
                <w:rFonts w:ascii="Times New Roman" w:eastAsia="Times New Roman" w:hAnsi="Times New Roman" w:cs="Times New Roman"/>
                <w:color w:val="auto"/>
              </w:rPr>
              <w:t>5</w:t>
            </w:r>
          </w:p>
        </w:tc>
        <w:tc>
          <w:tcPr>
            <w:tcW w:w="1974" w:type="dxa"/>
            <w:tcBorders>
              <w:top w:val="single" w:sz="4" w:space="0" w:color="000000"/>
              <w:left w:val="single" w:sz="4" w:space="0" w:color="000000"/>
              <w:bottom w:val="single" w:sz="4" w:space="0" w:color="000000"/>
              <w:right w:val="single" w:sz="4" w:space="0" w:color="000000"/>
            </w:tcBorders>
          </w:tcPr>
          <w:p w14:paraId="5570C79E" w14:textId="77777777" w:rsidR="0075791A" w:rsidRDefault="00FB2864">
            <w:pPr>
              <w:pStyle w:val="TableParagraph"/>
              <w:spacing w:before="67"/>
              <w:ind w:left="778" w:right="77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8</w:t>
            </w:r>
          </w:p>
        </w:tc>
        <w:tc>
          <w:tcPr>
            <w:tcW w:w="1973" w:type="dxa"/>
            <w:tcBorders>
              <w:top w:val="single" w:sz="4" w:space="0" w:color="000000"/>
              <w:left w:val="single" w:sz="4" w:space="0" w:color="000000"/>
              <w:bottom w:val="single" w:sz="4" w:space="0" w:color="000000"/>
              <w:right w:val="single" w:sz="4" w:space="0" w:color="000000"/>
            </w:tcBorders>
          </w:tcPr>
          <w:p w14:paraId="62A6E305" w14:textId="77777777" w:rsidR="0075791A" w:rsidRDefault="00FB2864">
            <w:pPr>
              <w:pStyle w:val="TableParagraph"/>
              <w:spacing w:before="67"/>
              <w:ind w:left="933" w:right="93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c>
          <w:tcPr>
            <w:tcW w:w="1973" w:type="dxa"/>
            <w:tcBorders>
              <w:top w:val="single" w:sz="4" w:space="0" w:color="000000"/>
              <w:left w:val="single" w:sz="4" w:space="0" w:color="000000"/>
              <w:bottom w:val="single" w:sz="4" w:space="0" w:color="000000"/>
              <w:right w:val="single" w:sz="4" w:space="0" w:color="000000"/>
            </w:tcBorders>
          </w:tcPr>
          <w:p w14:paraId="376022DD" w14:textId="77777777" w:rsidR="0075791A" w:rsidRDefault="00FB2864">
            <w:pPr>
              <w:pStyle w:val="TableParagraph"/>
              <w:spacing w:before="67"/>
              <w:ind w:left="908" w:right="908"/>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75791A" w14:paraId="05D96760" w14:textId="77777777">
        <w:trPr>
          <w:trHeight w:hRule="exact" w:val="344"/>
          <w:jc w:val="center"/>
        </w:trPr>
        <w:tc>
          <w:tcPr>
            <w:tcW w:w="1025" w:type="dxa"/>
            <w:tcBorders>
              <w:top w:val="single" w:sz="4" w:space="0" w:color="000000"/>
              <w:left w:val="single" w:sz="4" w:space="0" w:color="000000"/>
              <w:bottom w:val="single" w:sz="4" w:space="0" w:color="000000"/>
              <w:right w:val="single" w:sz="4" w:space="0" w:color="000000"/>
            </w:tcBorders>
          </w:tcPr>
          <w:p w14:paraId="1EBC2C37" w14:textId="77777777" w:rsidR="0075791A" w:rsidRDefault="00FB2864">
            <w:pPr>
              <w:pStyle w:val="TableParagraph"/>
              <w:spacing w:before="67"/>
              <w:ind w:left="359" w:right="361"/>
              <w:jc w:val="center"/>
              <w:rPr>
                <w:rFonts w:ascii="Times New Roman" w:eastAsia="Times New Roman" w:hAnsi="Times New Roman" w:cs="Times New Roman"/>
                <w:color w:val="auto"/>
              </w:rPr>
            </w:pPr>
            <w:r>
              <w:rPr>
                <w:rFonts w:ascii="Times New Roman" w:eastAsia="Times New Roman" w:hAnsi="Times New Roman" w:cs="Times New Roman"/>
                <w:color w:val="auto"/>
              </w:rPr>
              <w:t>H7</w:t>
            </w:r>
          </w:p>
        </w:tc>
        <w:tc>
          <w:tcPr>
            <w:tcW w:w="1973" w:type="dxa"/>
            <w:tcBorders>
              <w:top w:val="single" w:sz="4" w:space="0" w:color="000000"/>
              <w:left w:val="single" w:sz="4" w:space="0" w:color="000000"/>
              <w:bottom w:val="single" w:sz="4" w:space="0" w:color="000000"/>
              <w:right w:val="single" w:sz="4" w:space="0" w:color="000000"/>
            </w:tcBorders>
          </w:tcPr>
          <w:p w14:paraId="33F8F028" w14:textId="77777777" w:rsidR="0075791A" w:rsidRDefault="00FB2864">
            <w:pPr>
              <w:pStyle w:val="TableParagraph"/>
              <w:spacing w:before="67"/>
              <w:ind w:left="907" w:right="910"/>
              <w:jc w:val="center"/>
              <w:rPr>
                <w:rFonts w:ascii="Times New Roman" w:eastAsia="Times New Roman" w:hAnsi="Times New Roman" w:cs="Times New Roman"/>
                <w:color w:val="auto"/>
              </w:rPr>
            </w:pPr>
            <w:r>
              <w:rPr>
                <w:rFonts w:ascii="Times New Roman" w:eastAsia="Times New Roman" w:hAnsi="Times New Roman" w:cs="Times New Roman"/>
                <w:color w:val="auto"/>
              </w:rPr>
              <w:t>2</w:t>
            </w:r>
          </w:p>
        </w:tc>
        <w:tc>
          <w:tcPr>
            <w:tcW w:w="1974" w:type="dxa"/>
            <w:tcBorders>
              <w:top w:val="single" w:sz="4" w:space="0" w:color="000000"/>
              <w:left w:val="single" w:sz="4" w:space="0" w:color="000000"/>
              <w:bottom w:val="single" w:sz="4" w:space="0" w:color="000000"/>
              <w:right w:val="single" w:sz="4" w:space="0" w:color="000000"/>
            </w:tcBorders>
          </w:tcPr>
          <w:p w14:paraId="7021EE84" w14:textId="77777777" w:rsidR="0075791A" w:rsidRDefault="00FB2864">
            <w:pPr>
              <w:pStyle w:val="TableParagraph"/>
              <w:spacing w:before="67"/>
              <w:ind w:left="778" w:right="77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7</w:t>
            </w:r>
          </w:p>
        </w:tc>
        <w:tc>
          <w:tcPr>
            <w:tcW w:w="1973" w:type="dxa"/>
            <w:tcBorders>
              <w:top w:val="single" w:sz="4" w:space="0" w:color="000000"/>
              <w:left w:val="single" w:sz="4" w:space="0" w:color="000000"/>
              <w:bottom w:val="single" w:sz="4" w:space="0" w:color="000000"/>
              <w:right w:val="single" w:sz="4" w:space="0" w:color="000000"/>
            </w:tcBorders>
          </w:tcPr>
          <w:p w14:paraId="60C842CD" w14:textId="77777777" w:rsidR="0075791A" w:rsidRDefault="00FB2864">
            <w:pPr>
              <w:pStyle w:val="TableParagraph"/>
              <w:spacing w:before="67"/>
              <w:ind w:left="933" w:right="93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c>
          <w:tcPr>
            <w:tcW w:w="1973" w:type="dxa"/>
            <w:tcBorders>
              <w:top w:val="single" w:sz="4" w:space="0" w:color="000000"/>
              <w:left w:val="single" w:sz="4" w:space="0" w:color="000000"/>
              <w:bottom w:val="single" w:sz="4" w:space="0" w:color="000000"/>
              <w:right w:val="single" w:sz="4" w:space="0" w:color="000000"/>
            </w:tcBorders>
          </w:tcPr>
          <w:p w14:paraId="7DB78E42" w14:textId="77777777" w:rsidR="0075791A" w:rsidRDefault="00FB2864">
            <w:pPr>
              <w:pStyle w:val="TableParagraph"/>
              <w:spacing w:before="67"/>
              <w:ind w:left="908" w:right="908"/>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75791A" w14:paraId="08FBA4BE" w14:textId="77777777">
        <w:trPr>
          <w:trHeight w:hRule="exact" w:val="344"/>
          <w:jc w:val="center"/>
        </w:trPr>
        <w:tc>
          <w:tcPr>
            <w:tcW w:w="1025" w:type="dxa"/>
            <w:tcBorders>
              <w:top w:val="single" w:sz="4" w:space="0" w:color="000000"/>
              <w:left w:val="single" w:sz="4" w:space="0" w:color="000000"/>
              <w:bottom w:val="single" w:sz="4" w:space="0" w:color="000000"/>
              <w:right w:val="single" w:sz="4" w:space="0" w:color="000000"/>
            </w:tcBorders>
          </w:tcPr>
          <w:p w14:paraId="005F88D9" w14:textId="77777777" w:rsidR="0075791A" w:rsidRDefault="00FB2864">
            <w:pPr>
              <w:pStyle w:val="TableParagraph"/>
              <w:spacing w:before="66"/>
              <w:ind w:left="359" w:right="361"/>
              <w:jc w:val="center"/>
              <w:rPr>
                <w:rFonts w:ascii="Times New Roman" w:eastAsia="Times New Roman" w:hAnsi="Times New Roman" w:cs="Times New Roman"/>
                <w:color w:val="auto"/>
              </w:rPr>
            </w:pPr>
            <w:r>
              <w:rPr>
                <w:rFonts w:ascii="Times New Roman" w:eastAsia="Times New Roman" w:hAnsi="Times New Roman" w:cs="Times New Roman"/>
                <w:color w:val="auto"/>
              </w:rPr>
              <w:t>H8</w:t>
            </w:r>
          </w:p>
        </w:tc>
        <w:tc>
          <w:tcPr>
            <w:tcW w:w="1973" w:type="dxa"/>
            <w:tcBorders>
              <w:top w:val="single" w:sz="4" w:space="0" w:color="000000"/>
              <w:left w:val="single" w:sz="4" w:space="0" w:color="000000"/>
              <w:bottom w:val="single" w:sz="4" w:space="0" w:color="000000"/>
              <w:right w:val="single" w:sz="4" w:space="0" w:color="000000"/>
            </w:tcBorders>
          </w:tcPr>
          <w:p w14:paraId="6C119E6F" w14:textId="77777777" w:rsidR="0075791A" w:rsidRDefault="00FB2864">
            <w:pPr>
              <w:pStyle w:val="TableParagraph"/>
              <w:spacing w:before="66"/>
              <w:ind w:left="907" w:right="910"/>
              <w:jc w:val="center"/>
              <w:rPr>
                <w:rFonts w:ascii="Times New Roman" w:eastAsia="Times New Roman" w:hAnsi="Times New Roman" w:cs="Times New Roman"/>
                <w:color w:val="auto"/>
              </w:rPr>
            </w:pPr>
            <w:r>
              <w:rPr>
                <w:rFonts w:ascii="Times New Roman" w:eastAsia="Times New Roman" w:hAnsi="Times New Roman" w:cs="Times New Roman"/>
                <w:color w:val="auto"/>
              </w:rPr>
              <w:t>5</w:t>
            </w:r>
          </w:p>
        </w:tc>
        <w:tc>
          <w:tcPr>
            <w:tcW w:w="1974" w:type="dxa"/>
            <w:tcBorders>
              <w:top w:val="single" w:sz="4" w:space="0" w:color="000000"/>
              <w:left w:val="single" w:sz="4" w:space="0" w:color="000000"/>
              <w:bottom w:val="single" w:sz="4" w:space="0" w:color="000000"/>
              <w:right w:val="single" w:sz="4" w:space="0" w:color="000000"/>
            </w:tcBorders>
          </w:tcPr>
          <w:p w14:paraId="7AF7EB9A" w14:textId="77777777" w:rsidR="0075791A" w:rsidRDefault="00FB2864">
            <w:pPr>
              <w:pStyle w:val="TableParagraph"/>
              <w:spacing w:before="66"/>
              <w:ind w:left="778" w:right="77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4</w:t>
            </w:r>
          </w:p>
        </w:tc>
        <w:tc>
          <w:tcPr>
            <w:tcW w:w="1973" w:type="dxa"/>
            <w:tcBorders>
              <w:top w:val="single" w:sz="4" w:space="0" w:color="000000"/>
              <w:left w:val="single" w:sz="4" w:space="0" w:color="000000"/>
              <w:bottom w:val="single" w:sz="4" w:space="0" w:color="000000"/>
              <w:right w:val="single" w:sz="4" w:space="0" w:color="000000"/>
            </w:tcBorders>
          </w:tcPr>
          <w:p w14:paraId="14167519" w14:textId="77777777" w:rsidR="0075791A" w:rsidRDefault="00FB2864">
            <w:pPr>
              <w:pStyle w:val="TableParagraph"/>
              <w:spacing w:before="66"/>
              <w:ind w:left="908" w:right="909"/>
              <w:jc w:val="center"/>
              <w:rPr>
                <w:rFonts w:ascii="Times New Roman" w:eastAsia="Times New Roman" w:hAnsi="Times New Roman" w:cs="Times New Roman"/>
                <w:color w:val="auto"/>
              </w:rPr>
            </w:pPr>
            <w:r>
              <w:rPr>
                <w:rFonts w:ascii="Times New Roman" w:eastAsia="Times New Roman" w:hAnsi="Times New Roman" w:cs="Times New Roman"/>
                <w:color w:val="auto"/>
              </w:rPr>
              <w:t>2</w:t>
            </w:r>
          </w:p>
        </w:tc>
        <w:tc>
          <w:tcPr>
            <w:tcW w:w="1973" w:type="dxa"/>
            <w:tcBorders>
              <w:top w:val="single" w:sz="4" w:space="0" w:color="000000"/>
              <w:left w:val="single" w:sz="4" w:space="0" w:color="000000"/>
              <w:bottom w:val="single" w:sz="4" w:space="0" w:color="000000"/>
              <w:right w:val="single" w:sz="4" w:space="0" w:color="000000"/>
            </w:tcBorders>
          </w:tcPr>
          <w:p w14:paraId="3C970731" w14:textId="77777777" w:rsidR="0075791A" w:rsidRDefault="00FB2864">
            <w:pPr>
              <w:pStyle w:val="TableParagraph"/>
              <w:spacing w:before="66"/>
              <w:ind w:left="777" w:right="778"/>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7</w:t>
            </w:r>
          </w:p>
        </w:tc>
      </w:tr>
      <w:tr w:rsidR="0075791A" w14:paraId="680642FD" w14:textId="77777777">
        <w:trPr>
          <w:trHeight w:hRule="exact" w:val="344"/>
          <w:jc w:val="center"/>
        </w:trPr>
        <w:tc>
          <w:tcPr>
            <w:tcW w:w="1025" w:type="dxa"/>
            <w:tcBorders>
              <w:top w:val="single" w:sz="4" w:space="0" w:color="000000"/>
              <w:left w:val="single" w:sz="4" w:space="0" w:color="000000"/>
              <w:bottom w:val="single" w:sz="4" w:space="0" w:color="000000"/>
              <w:right w:val="single" w:sz="4" w:space="0" w:color="000000"/>
            </w:tcBorders>
          </w:tcPr>
          <w:p w14:paraId="38EBBA81" w14:textId="77777777" w:rsidR="0075791A" w:rsidRDefault="00FB2864">
            <w:pPr>
              <w:pStyle w:val="TableParagraph"/>
              <w:spacing w:before="67"/>
              <w:ind w:left="359" w:right="361"/>
              <w:jc w:val="center"/>
              <w:rPr>
                <w:rFonts w:ascii="Times New Roman" w:eastAsia="Times New Roman" w:hAnsi="Times New Roman" w:cs="Times New Roman"/>
                <w:color w:val="auto"/>
              </w:rPr>
            </w:pPr>
            <w:r>
              <w:rPr>
                <w:rFonts w:ascii="Times New Roman" w:eastAsia="Times New Roman" w:hAnsi="Times New Roman" w:cs="Times New Roman"/>
                <w:color w:val="auto"/>
              </w:rPr>
              <w:t>H9</w:t>
            </w:r>
          </w:p>
        </w:tc>
        <w:tc>
          <w:tcPr>
            <w:tcW w:w="1973" w:type="dxa"/>
            <w:tcBorders>
              <w:top w:val="single" w:sz="4" w:space="0" w:color="000000"/>
              <w:left w:val="single" w:sz="4" w:space="0" w:color="000000"/>
              <w:bottom w:val="single" w:sz="4" w:space="0" w:color="000000"/>
              <w:right w:val="single" w:sz="4" w:space="0" w:color="000000"/>
            </w:tcBorders>
          </w:tcPr>
          <w:p w14:paraId="465ECA85" w14:textId="77777777" w:rsidR="0075791A" w:rsidRDefault="00FB2864">
            <w:pPr>
              <w:pStyle w:val="TableParagraph"/>
              <w:spacing w:before="67"/>
              <w:ind w:left="907" w:right="910"/>
              <w:jc w:val="center"/>
              <w:rPr>
                <w:rFonts w:ascii="Times New Roman" w:eastAsia="Times New Roman" w:hAnsi="Times New Roman" w:cs="Times New Roman"/>
                <w:color w:val="auto"/>
              </w:rPr>
            </w:pPr>
            <w:r>
              <w:rPr>
                <w:rFonts w:ascii="Times New Roman" w:eastAsia="Times New Roman" w:hAnsi="Times New Roman" w:cs="Times New Roman"/>
                <w:color w:val="auto"/>
              </w:rPr>
              <w:t>3</w:t>
            </w:r>
          </w:p>
        </w:tc>
        <w:tc>
          <w:tcPr>
            <w:tcW w:w="1974" w:type="dxa"/>
            <w:tcBorders>
              <w:top w:val="single" w:sz="4" w:space="0" w:color="000000"/>
              <w:left w:val="single" w:sz="4" w:space="0" w:color="000000"/>
              <w:bottom w:val="single" w:sz="4" w:space="0" w:color="000000"/>
              <w:right w:val="single" w:sz="4" w:space="0" w:color="000000"/>
            </w:tcBorders>
          </w:tcPr>
          <w:p w14:paraId="3D8C1A1F" w14:textId="77777777" w:rsidR="0075791A" w:rsidRDefault="00FB2864">
            <w:pPr>
              <w:pStyle w:val="TableParagraph"/>
              <w:spacing w:before="67"/>
              <w:ind w:left="778" w:right="77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3</w:t>
            </w:r>
          </w:p>
        </w:tc>
        <w:tc>
          <w:tcPr>
            <w:tcW w:w="1973" w:type="dxa"/>
            <w:tcBorders>
              <w:top w:val="single" w:sz="4" w:space="0" w:color="000000"/>
              <w:left w:val="single" w:sz="4" w:space="0" w:color="000000"/>
              <w:bottom w:val="single" w:sz="4" w:space="0" w:color="000000"/>
              <w:right w:val="single" w:sz="4" w:space="0" w:color="000000"/>
            </w:tcBorders>
          </w:tcPr>
          <w:p w14:paraId="42D2EDE1" w14:textId="77777777" w:rsidR="0075791A" w:rsidRDefault="00FB2864">
            <w:pPr>
              <w:pStyle w:val="TableParagraph"/>
              <w:spacing w:before="67"/>
              <w:ind w:left="908" w:right="909"/>
              <w:jc w:val="center"/>
              <w:rPr>
                <w:rFonts w:ascii="Times New Roman" w:eastAsia="Times New Roman" w:hAnsi="Times New Roman" w:cs="Times New Roman"/>
                <w:color w:val="auto"/>
              </w:rPr>
            </w:pPr>
            <w:r>
              <w:rPr>
                <w:rFonts w:ascii="Times New Roman" w:eastAsia="Times New Roman" w:hAnsi="Times New Roman" w:cs="Times New Roman"/>
                <w:color w:val="auto"/>
              </w:rPr>
              <w:t>1</w:t>
            </w:r>
          </w:p>
        </w:tc>
        <w:tc>
          <w:tcPr>
            <w:tcW w:w="1973" w:type="dxa"/>
            <w:tcBorders>
              <w:top w:val="single" w:sz="4" w:space="0" w:color="000000"/>
              <w:left w:val="single" w:sz="4" w:space="0" w:color="000000"/>
              <w:bottom w:val="single" w:sz="4" w:space="0" w:color="000000"/>
              <w:right w:val="single" w:sz="4" w:space="0" w:color="000000"/>
            </w:tcBorders>
          </w:tcPr>
          <w:p w14:paraId="30FCA9AE" w14:textId="77777777" w:rsidR="0075791A" w:rsidRDefault="00FB2864">
            <w:pPr>
              <w:pStyle w:val="TableParagraph"/>
              <w:spacing w:before="67"/>
              <w:ind w:left="777" w:right="778"/>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8</w:t>
            </w:r>
          </w:p>
        </w:tc>
      </w:tr>
      <w:tr w:rsidR="0075791A" w14:paraId="50977C36" w14:textId="77777777">
        <w:trPr>
          <w:trHeight w:hRule="exact" w:val="344"/>
          <w:jc w:val="center"/>
        </w:trPr>
        <w:tc>
          <w:tcPr>
            <w:tcW w:w="1025" w:type="dxa"/>
            <w:tcBorders>
              <w:top w:val="single" w:sz="4" w:space="0" w:color="000000"/>
              <w:left w:val="single" w:sz="4" w:space="0" w:color="000000"/>
              <w:bottom w:val="single" w:sz="4" w:space="0" w:color="000000"/>
              <w:right w:val="single" w:sz="4" w:space="0" w:color="000000"/>
            </w:tcBorders>
          </w:tcPr>
          <w:p w14:paraId="5344C863" w14:textId="77777777" w:rsidR="0075791A" w:rsidRDefault="00FB2864">
            <w:pPr>
              <w:pStyle w:val="TableParagraph"/>
              <w:spacing w:before="67"/>
              <w:ind w:left="330"/>
              <w:rPr>
                <w:rFonts w:ascii="Times New Roman" w:eastAsia="Times New Roman" w:hAnsi="Times New Roman" w:cs="Times New Roman"/>
                <w:color w:val="auto"/>
              </w:rPr>
            </w:pPr>
            <w:r>
              <w:rPr>
                <w:rFonts w:ascii="Times New Roman" w:eastAsia="Times New Roman" w:hAnsi="Times New Roman" w:cs="Times New Roman"/>
                <w:color w:val="auto"/>
              </w:rPr>
              <w:t>H</w:t>
            </w:r>
            <w:r>
              <w:rPr>
                <w:rFonts w:ascii="Times New Roman" w:eastAsia="Times New Roman" w:hAnsi="Times New Roman" w:cs="Times New Roman"/>
                <w:color w:val="auto"/>
                <w:spacing w:val="-5"/>
              </w:rPr>
              <w:t>1</w:t>
            </w:r>
            <w:r>
              <w:rPr>
                <w:rFonts w:ascii="Times New Roman" w:eastAsia="Times New Roman" w:hAnsi="Times New Roman" w:cs="Times New Roman"/>
                <w:color w:val="auto"/>
              </w:rPr>
              <w:t>1</w:t>
            </w:r>
          </w:p>
        </w:tc>
        <w:tc>
          <w:tcPr>
            <w:tcW w:w="1973" w:type="dxa"/>
            <w:tcBorders>
              <w:top w:val="single" w:sz="4" w:space="0" w:color="000000"/>
              <w:left w:val="single" w:sz="4" w:space="0" w:color="000000"/>
              <w:bottom w:val="single" w:sz="4" w:space="0" w:color="000000"/>
              <w:right w:val="single" w:sz="4" w:space="0" w:color="000000"/>
            </w:tcBorders>
          </w:tcPr>
          <w:p w14:paraId="10C86E10" w14:textId="77777777" w:rsidR="0075791A" w:rsidRDefault="00FB2864">
            <w:pPr>
              <w:pStyle w:val="TableParagraph"/>
              <w:spacing w:before="67"/>
              <w:ind w:left="907" w:right="910"/>
              <w:jc w:val="center"/>
              <w:rPr>
                <w:rFonts w:ascii="Times New Roman" w:eastAsia="Times New Roman" w:hAnsi="Times New Roman" w:cs="Times New Roman"/>
                <w:color w:val="auto"/>
              </w:rPr>
            </w:pPr>
            <w:r>
              <w:rPr>
                <w:rFonts w:ascii="Times New Roman" w:eastAsia="Times New Roman" w:hAnsi="Times New Roman" w:cs="Times New Roman"/>
                <w:color w:val="auto"/>
              </w:rPr>
              <w:t>4</w:t>
            </w:r>
          </w:p>
        </w:tc>
        <w:tc>
          <w:tcPr>
            <w:tcW w:w="1974" w:type="dxa"/>
            <w:tcBorders>
              <w:top w:val="single" w:sz="4" w:space="0" w:color="000000"/>
              <w:left w:val="single" w:sz="4" w:space="0" w:color="000000"/>
              <w:bottom w:val="single" w:sz="4" w:space="0" w:color="000000"/>
              <w:right w:val="single" w:sz="4" w:space="0" w:color="000000"/>
            </w:tcBorders>
          </w:tcPr>
          <w:p w14:paraId="74330518" w14:textId="77777777" w:rsidR="0075791A" w:rsidRDefault="00FB2864">
            <w:pPr>
              <w:pStyle w:val="TableParagraph"/>
              <w:spacing w:before="67"/>
              <w:ind w:left="778" w:right="77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3</w:t>
            </w:r>
          </w:p>
        </w:tc>
        <w:tc>
          <w:tcPr>
            <w:tcW w:w="1973" w:type="dxa"/>
            <w:tcBorders>
              <w:top w:val="single" w:sz="4" w:space="0" w:color="000000"/>
              <w:left w:val="single" w:sz="4" w:space="0" w:color="000000"/>
              <w:bottom w:val="single" w:sz="4" w:space="0" w:color="000000"/>
              <w:right w:val="single" w:sz="4" w:space="0" w:color="000000"/>
            </w:tcBorders>
          </w:tcPr>
          <w:p w14:paraId="64576D24" w14:textId="77777777" w:rsidR="0075791A" w:rsidRDefault="00FB2864">
            <w:pPr>
              <w:pStyle w:val="TableParagraph"/>
              <w:spacing w:before="67"/>
              <w:ind w:left="908" w:right="909"/>
              <w:jc w:val="center"/>
              <w:rPr>
                <w:rFonts w:ascii="Times New Roman" w:eastAsia="Times New Roman" w:hAnsi="Times New Roman" w:cs="Times New Roman"/>
                <w:color w:val="auto"/>
              </w:rPr>
            </w:pPr>
            <w:r>
              <w:rPr>
                <w:rFonts w:ascii="Times New Roman" w:eastAsia="Times New Roman" w:hAnsi="Times New Roman" w:cs="Times New Roman"/>
                <w:color w:val="auto"/>
              </w:rPr>
              <w:t>3</w:t>
            </w:r>
          </w:p>
        </w:tc>
        <w:tc>
          <w:tcPr>
            <w:tcW w:w="1973" w:type="dxa"/>
            <w:tcBorders>
              <w:top w:val="single" w:sz="4" w:space="0" w:color="000000"/>
              <w:left w:val="single" w:sz="4" w:space="0" w:color="000000"/>
              <w:bottom w:val="single" w:sz="4" w:space="0" w:color="000000"/>
              <w:right w:val="single" w:sz="4" w:space="0" w:color="000000"/>
            </w:tcBorders>
          </w:tcPr>
          <w:p w14:paraId="0902EF00" w14:textId="77777777" w:rsidR="0075791A" w:rsidRDefault="00FB2864">
            <w:pPr>
              <w:pStyle w:val="TableParagraph"/>
              <w:spacing w:before="67"/>
              <w:ind w:left="777" w:right="778"/>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r>
      <w:tr w:rsidR="0075791A" w14:paraId="5F2974FF" w14:textId="77777777">
        <w:trPr>
          <w:trHeight w:hRule="exact" w:val="344"/>
          <w:jc w:val="center"/>
        </w:trPr>
        <w:tc>
          <w:tcPr>
            <w:tcW w:w="1025" w:type="dxa"/>
            <w:tcBorders>
              <w:top w:val="single" w:sz="4" w:space="0" w:color="000000"/>
              <w:left w:val="single" w:sz="4" w:space="0" w:color="000000"/>
              <w:bottom w:val="single" w:sz="4" w:space="0" w:color="000000"/>
              <w:right w:val="single" w:sz="4" w:space="0" w:color="000000"/>
            </w:tcBorders>
          </w:tcPr>
          <w:p w14:paraId="5E84F9B5" w14:textId="77777777" w:rsidR="0075791A" w:rsidRDefault="00FB2864">
            <w:pPr>
              <w:pStyle w:val="TableParagraph"/>
              <w:spacing w:line="292" w:lineRule="exact"/>
              <w:ind w:left="191"/>
              <w:rPr>
                <w:rFonts w:ascii="宋体" w:eastAsia="宋体" w:hAnsi="宋体" w:cs="宋体"/>
                <w:color w:val="auto"/>
              </w:rPr>
            </w:pPr>
            <w:r>
              <w:rPr>
                <w:rFonts w:ascii="宋体" w:eastAsia="宋体" w:hAnsi="宋体" w:cs="宋体"/>
                <w:color w:val="auto"/>
                <w:spacing w:val="-1"/>
              </w:rPr>
              <w:lastRenderedPageBreak/>
              <w:t>平</w:t>
            </w:r>
            <w:r>
              <w:rPr>
                <w:rFonts w:ascii="宋体" w:eastAsia="宋体" w:hAnsi="宋体" w:cs="宋体"/>
                <w:color w:val="auto"/>
                <w:spacing w:val="2"/>
              </w:rPr>
              <w:t>均</w:t>
            </w:r>
            <w:r>
              <w:rPr>
                <w:rFonts w:ascii="宋体" w:eastAsia="宋体" w:hAnsi="宋体" w:cs="宋体"/>
                <w:color w:val="auto"/>
              </w:rPr>
              <w:t>值</w:t>
            </w:r>
          </w:p>
        </w:tc>
        <w:tc>
          <w:tcPr>
            <w:tcW w:w="1973" w:type="dxa"/>
            <w:tcBorders>
              <w:top w:val="single" w:sz="4" w:space="0" w:color="000000"/>
              <w:left w:val="single" w:sz="4" w:space="0" w:color="000000"/>
              <w:bottom w:val="single" w:sz="4" w:space="0" w:color="000000"/>
              <w:right w:val="single" w:sz="4" w:space="0" w:color="000000"/>
            </w:tcBorders>
          </w:tcPr>
          <w:p w14:paraId="2E6C89A5" w14:textId="77777777" w:rsidR="0075791A" w:rsidRDefault="00FB2864">
            <w:pPr>
              <w:pStyle w:val="TableParagraph"/>
              <w:spacing w:before="66"/>
              <w:ind w:left="907" w:right="910"/>
              <w:jc w:val="center"/>
              <w:rPr>
                <w:rFonts w:ascii="Times New Roman" w:eastAsia="Times New Roman" w:hAnsi="Times New Roman" w:cs="Times New Roman"/>
                <w:color w:val="auto"/>
              </w:rPr>
            </w:pPr>
            <w:r>
              <w:rPr>
                <w:rFonts w:ascii="Times New Roman" w:eastAsia="Times New Roman" w:hAnsi="Times New Roman" w:cs="Times New Roman"/>
                <w:color w:val="auto"/>
              </w:rPr>
              <w:t>3</w:t>
            </w:r>
          </w:p>
        </w:tc>
        <w:tc>
          <w:tcPr>
            <w:tcW w:w="1974" w:type="dxa"/>
            <w:tcBorders>
              <w:top w:val="single" w:sz="4" w:space="0" w:color="000000"/>
              <w:left w:val="single" w:sz="4" w:space="0" w:color="000000"/>
              <w:bottom w:val="single" w:sz="4" w:space="0" w:color="000000"/>
              <w:right w:val="single" w:sz="4" w:space="0" w:color="000000"/>
            </w:tcBorders>
          </w:tcPr>
          <w:p w14:paraId="14E94035" w14:textId="77777777" w:rsidR="0075791A" w:rsidRDefault="00FB2864">
            <w:pPr>
              <w:pStyle w:val="TableParagraph"/>
              <w:spacing w:before="66"/>
              <w:ind w:left="778" w:right="77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4</w:t>
            </w:r>
          </w:p>
        </w:tc>
        <w:tc>
          <w:tcPr>
            <w:tcW w:w="1973" w:type="dxa"/>
            <w:tcBorders>
              <w:top w:val="single" w:sz="4" w:space="0" w:color="000000"/>
              <w:left w:val="single" w:sz="4" w:space="0" w:color="000000"/>
              <w:bottom w:val="single" w:sz="4" w:space="0" w:color="000000"/>
              <w:right w:val="single" w:sz="4" w:space="0" w:color="000000"/>
            </w:tcBorders>
          </w:tcPr>
          <w:p w14:paraId="5350ECBF" w14:textId="77777777" w:rsidR="0075791A" w:rsidRDefault="00FB2864">
            <w:pPr>
              <w:pStyle w:val="TableParagraph"/>
              <w:spacing w:before="66"/>
              <w:ind w:left="908" w:right="909"/>
              <w:jc w:val="center"/>
              <w:rPr>
                <w:rFonts w:ascii="Times New Roman" w:eastAsia="Times New Roman" w:hAnsi="Times New Roman" w:cs="Times New Roman"/>
                <w:color w:val="auto"/>
              </w:rPr>
            </w:pPr>
            <w:r>
              <w:rPr>
                <w:rFonts w:ascii="Times New Roman" w:eastAsia="Times New Roman" w:hAnsi="Times New Roman" w:cs="Times New Roman"/>
                <w:color w:val="auto"/>
              </w:rPr>
              <w:t>2</w:t>
            </w:r>
          </w:p>
        </w:tc>
        <w:tc>
          <w:tcPr>
            <w:tcW w:w="1973" w:type="dxa"/>
            <w:tcBorders>
              <w:top w:val="single" w:sz="4" w:space="0" w:color="000000"/>
              <w:left w:val="single" w:sz="4" w:space="0" w:color="000000"/>
              <w:bottom w:val="single" w:sz="4" w:space="0" w:color="000000"/>
              <w:right w:val="single" w:sz="4" w:space="0" w:color="000000"/>
            </w:tcBorders>
          </w:tcPr>
          <w:p w14:paraId="62973DC4" w14:textId="77777777" w:rsidR="0075791A" w:rsidRDefault="00FB2864">
            <w:pPr>
              <w:pStyle w:val="TableParagraph"/>
              <w:spacing w:before="66"/>
              <w:ind w:left="777" w:right="778"/>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5</w:t>
            </w:r>
          </w:p>
        </w:tc>
      </w:tr>
    </w:tbl>
    <w:p w14:paraId="547A50F3" w14:textId="77777777" w:rsidR="0075791A" w:rsidRDefault="0075791A">
      <w:pPr>
        <w:spacing w:line="355" w:lineRule="auto"/>
        <w:rPr>
          <w:rFonts w:ascii="Times New Roman" w:eastAsia="宋体" w:hAnsi="Times New Roman" w:cs="宋体"/>
          <w:color w:val="auto"/>
          <w:sz w:val="24"/>
          <w:szCs w:val="24"/>
        </w:rPr>
      </w:pPr>
    </w:p>
    <w:p w14:paraId="73804CD8" w14:textId="77777777" w:rsidR="0075791A" w:rsidRDefault="00FB2864">
      <w:pPr>
        <w:spacing w:line="355" w:lineRule="auto"/>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渔业资源</w:t>
      </w:r>
    </w:p>
    <w:p w14:paraId="1C11011E" w14:textId="77777777" w:rsidR="0075791A" w:rsidRDefault="00FB2864">
      <w:pPr>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1</w:t>
      </w:r>
      <w:r>
        <w:rPr>
          <w:rFonts w:ascii="Times New Roman" w:eastAsia="宋体" w:hAnsi="Times New Roman" w:cs="Times New Roman" w:hint="eastAsia"/>
          <w:b/>
          <w:bCs/>
          <w:snapToGrid/>
          <w:color w:val="auto"/>
          <w:kern w:val="2"/>
          <w:sz w:val="24"/>
          <w:szCs w:val="24"/>
          <w:lang w:eastAsia="zh-CN"/>
        </w:rPr>
        <w:t>．渔业资源现状</w:t>
      </w:r>
    </w:p>
    <w:p w14:paraId="53649F1C"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2024</w:t>
      </w:r>
      <w:r>
        <w:rPr>
          <w:rFonts w:ascii="Times New Roman" w:eastAsia="宋体" w:hAnsi="Times New Roman" w:cs="Times New Roman" w:hint="eastAsia"/>
          <w:snapToGrid/>
          <w:color w:val="auto"/>
          <w:kern w:val="2"/>
          <w:sz w:val="24"/>
          <w:szCs w:val="24"/>
          <w:lang w:eastAsia="zh-CN"/>
        </w:rPr>
        <w:t>年</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月航次，调查海域共采集到渔业资源</w:t>
      </w:r>
      <w:r>
        <w:rPr>
          <w:rFonts w:ascii="Times New Roman" w:eastAsia="宋体" w:hAnsi="Times New Roman" w:cs="Times New Roman" w:hint="eastAsia"/>
          <w:snapToGrid/>
          <w:color w:val="auto"/>
          <w:kern w:val="2"/>
          <w:sz w:val="24"/>
          <w:szCs w:val="24"/>
          <w:lang w:eastAsia="zh-CN"/>
        </w:rPr>
        <w:t>19</w:t>
      </w:r>
      <w:r>
        <w:rPr>
          <w:rFonts w:ascii="Times New Roman" w:eastAsia="宋体" w:hAnsi="Times New Roman" w:cs="Times New Roman" w:hint="eastAsia"/>
          <w:snapToGrid/>
          <w:color w:val="auto"/>
          <w:kern w:val="2"/>
          <w:sz w:val="24"/>
          <w:szCs w:val="24"/>
          <w:lang w:eastAsia="zh-CN"/>
        </w:rPr>
        <w:t>目</w:t>
      </w:r>
      <w:r>
        <w:rPr>
          <w:rFonts w:ascii="Times New Roman" w:eastAsia="宋体" w:hAnsi="Times New Roman" w:cs="Times New Roman" w:hint="eastAsia"/>
          <w:snapToGrid/>
          <w:color w:val="auto"/>
          <w:kern w:val="2"/>
          <w:sz w:val="24"/>
          <w:szCs w:val="24"/>
          <w:lang w:eastAsia="zh-CN"/>
        </w:rPr>
        <w:t>66</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100</w:t>
      </w:r>
      <w:r>
        <w:rPr>
          <w:rFonts w:ascii="Times New Roman" w:eastAsia="宋体" w:hAnsi="Times New Roman" w:cs="Times New Roman" w:hint="eastAsia"/>
          <w:snapToGrid/>
          <w:color w:val="auto"/>
          <w:kern w:val="2"/>
          <w:sz w:val="24"/>
          <w:szCs w:val="24"/>
          <w:lang w:eastAsia="zh-CN"/>
        </w:rPr>
        <w:t>属</w:t>
      </w:r>
      <w:r>
        <w:rPr>
          <w:rFonts w:ascii="Times New Roman" w:eastAsia="宋体" w:hAnsi="Times New Roman" w:cs="Times New Roman" w:hint="eastAsia"/>
          <w:snapToGrid/>
          <w:color w:val="auto"/>
          <w:kern w:val="2"/>
          <w:sz w:val="24"/>
          <w:szCs w:val="24"/>
          <w:lang w:eastAsia="zh-CN"/>
        </w:rPr>
        <w:t>129</w:t>
      </w:r>
      <w:r>
        <w:rPr>
          <w:rFonts w:ascii="Times New Roman" w:eastAsia="宋体" w:hAnsi="Times New Roman" w:cs="Times New Roman" w:hint="eastAsia"/>
          <w:snapToGrid/>
          <w:color w:val="auto"/>
          <w:kern w:val="2"/>
          <w:sz w:val="24"/>
          <w:szCs w:val="24"/>
          <w:lang w:eastAsia="zh-CN"/>
        </w:rPr>
        <w:t>种，其中鱼类</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目</w:t>
      </w:r>
      <w:r>
        <w:rPr>
          <w:rFonts w:ascii="Times New Roman" w:eastAsia="宋体" w:hAnsi="Times New Roman" w:cs="Times New Roman" w:hint="eastAsia"/>
          <w:snapToGrid/>
          <w:color w:val="auto"/>
          <w:kern w:val="2"/>
          <w:sz w:val="24"/>
          <w:szCs w:val="24"/>
          <w:lang w:eastAsia="zh-CN"/>
        </w:rPr>
        <w:t>45</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67</w:t>
      </w:r>
      <w:r>
        <w:rPr>
          <w:rFonts w:ascii="Times New Roman" w:eastAsia="宋体" w:hAnsi="Times New Roman" w:cs="Times New Roman" w:hint="eastAsia"/>
          <w:snapToGrid/>
          <w:color w:val="auto"/>
          <w:kern w:val="2"/>
          <w:sz w:val="24"/>
          <w:szCs w:val="24"/>
          <w:lang w:eastAsia="zh-CN"/>
        </w:rPr>
        <w:t>属</w:t>
      </w:r>
      <w:r>
        <w:rPr>
          <w:rFonts w:ascii="Times New Roman" w:eastAsia="宋体" w:hAnsi="Times New Roman" w:cs="Times New Roman" w:hint="eastAsia"/>
          <w:snapToGrid/>
          <w:color w:val="auto"/>
          <w:kern w:val="2"/>
          <w:sz w:val="24"/>
          <w:szCs w:val="24"/>
          <w:lang w:eastAsia="zh-CN"/>
        </w:rPr>
        <w:t>87</w:t>
      </w:r>
      <w:r>
        <w:rPr>
          <w:rFonts w:ascii="Times New Roman" w:eastAsia="宋体" w:hAnsi="Times New Roman" w:cs="Times New Roman" w:hint="eastAsia"/>
          <w:snapToGrid/>
          <w:color w:val="auto"/>
          <w:kern w:val="2"/>
          <w:sz w:val="24"/>
          <w:szCs w:val="24"/>
          <w:lang w:eastAsia="zh-CN"/>
        </w:rPr>
        <w:t>种，占所有种类的</w:t>
      </w:r>
      <w:r>
        <w:rPr>
          <w:rFonts w:ascii="Times New Roman" w:eastAsia="宋体" w:hAnsi="Times New Roman" w:cs="Times New Roman" w:hint="eastAsia"/>
          <w:snapToGrid/>
          <w:color w:val="auto"/>
          <w:kern w:val="2"/>
          <w:sz w:val="24"/>
          <w:szCs w:val="24"/>
          <w:lang w:eastAsia="zh-CN"/>
        </w:rPr>
        <w:t>67.44%</w:t>
      </w:r>
      <w:r>
        <w:rPr>
          <w:rFonts w:ascii="Times New Roman" w:eastAsia="宋体" w:hAnsi="Times New Roman" w:cs="Times New Roman" w:hint="eastAsia"/>
          <w:snapToGrid/>
          <w:color w:val="auto"/>
          <w:kern w:val="2"/>
          <w:sz w:val="24"/>
          <w:szCs w:val="24"/>
          <w:lang w:eastAsia="zh-CN"/>
        </w:rPr>
        <w:t>；甲壳类</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目</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20</w:t>
      </w:r>
      <w:r>
        <w:rPr>
          <w:rFonts w:ascii="Times New Roman" w:eastAsia="宋体" w:hAnsi="Times New Roman" w:cs="Times New Roman" w:hint="eastAsia"/>
          <w:snapToGrid/>
          <w:color w:val="auto"/>
          <w:kern w:val="2"/>
          <w:sz w:val="24"/>
          <w:szCs w:val="24"/>
          <w:lang w:eastAsia="zh-CN"/>
        </w:rPr>
        <w:t>属</w:t>
      </w:r>
      <w:r>
        <w:rPr>
          <w:rFonts w:ascii="Times New Roman" w:eastAsia="宋体" w:hAnsi="Times New Roman" w:cs="Times New Roman" w:hint="eastAsia"/>
          <w:snapToGrid/>
          <w:color w:val="auto"/>
          <w:kern w:val="2"/>
          <w:sz w:val="24"/>
          <w:szCs w:val="24"/>
          <w:lang w:eastAsia="zh-CN"/>
        </w:rPr>
        <w:t>27</w:t>
      </w:r>
      <w:r>
        <w:rPr>
          <w:rFonts w:ascii="Times New Roman" w:eastAsia="宋体" w:hAnsi="Times New Roman" w:cs="Times New Roman" w:hint="eastAsia"/>
          <w:snapToGrid/>
          <w:color w:val="auto"/>
          <w:kern w:val="2"/>
          <w:sz w:val="24"/>
          <w:szCs w:val="24"/>
          <w:lang w:eastAsia="zh-CN"/>
        </w:rPr>
        <w:t>种，占所有种类的</w:t>
      </w:r>
      <w:r>
        <w:rPr>
          <w:rFonts w:ascii="Times New Roman" w:eastAsia="宋体" w:hAnsi="Times New Roman" w:cs="Times New Roman" w:hint="eastAsia"/>
          <w:snapToGrid/>
          <w:color w:val="auto"/>
          <w:kern w:val="2"/>
          <w:sz w:val="24"/>
          <w:szCs w:val="24"/>
          <w:lang w:eastAsia="zh-CN"/>
        </w:rPr>
        <w:t>20.93%</w:t>
      </w:r>
      <w:r>
        <w:rPr>
          <w:rFonts w:ascii="Times New Roman" w:eastAsia="宋体" w:hAnsi="Times New Roman" w:cs="Times New Roman" w:hint="eastAsia"/>
          <w:snapToGrid/>
          <w:color w:val="auto"/>
          <w:kern w:val="2"/>
          <w:sz w:val="24"/>
          <w:szCs w:val="24"/>
          <w:lang w:eastAsia="zh-CN"/>
        </w:rPr>
        <w:t>；头足类</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目</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属</w:t>
      </w:r>
      <w:r>
        <w:rPr>
          <w:rFonts w:ascii="Times New Roman" w:eastAsia="宋体" w:hAnsi="Times New Roman" w:cs="Times New Roman" w:hint="eastAsia"/>
          <w:snapToGrid/>
          <w:color w:val="auto"/>
          <w:kern w:val="2"/>
          <w:sz w:val="24"/>
          <w:szCs w:val="24"/>
          <w:lang w:eastAsia="zh-CN"/>
        </w:rPr>
        <w:t>8</w:t>
      </w:r>
      <w:r>
        <w:rPr>
          <w:rFonts w:ascii="Times New Roman" w:eastAsia="宋体" w:hAnsi="Times New Roman" w:cs="Times New Roman" w:hint="eastAsia"/>
          <w:snapToGrid/>
          <w:color w:val="auto"/>
          <w:kern w:val="2"/>
          <w:sz w:val="24"/>
          <w:szCs w:val="24"/>
          <w:lang w:eastAsia="zh-CN"/>
        </w:rPr>
        <w:t>种，占所有种类的</w:t>
      </w:r>
      <w:r>
        <w:rPr>
          <w:rFonts w:ascii="Times New Roman" w:eastAsia="宋体" w:hAnsi="Times New Roman" w:cs="Times New Roman" w:hint="eastAsia"/>
          <w:snapToGrid/>
          <w:color w:val="auto"/>
          <w:kern w:val="2"/>
          <w:sz w:val="24"/>
          <w:szCs w:val="24"/>
          <w:lang w:eastAsia="zh-CN"/>
        </w:rPr>
        <w:t>6.20%</w:t>
      </w:r>
      <w:r>
        <w:rPr>
          <w:rFonts w:ascii="Times New Roman" w:eastAsia="宋体" w:hAnsi="Times New Roman" w:cs="Times New Roman" w:hint="eastAsia"/>
          <w:snapToGrid/>
          <w:color w:val="auto"/>
          <w:kern w:val="2"/>
          <w:sz w:val="24"/>
          <w:szCs w:val="24"/>
          <w:lang w:eastAsia="zh-CN"/>
        </w:rPr>
        <w:t>；贝类</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目</w:t>
      </w:r>
      <w:r>
        <w:rPr>
          <w:rFonts w:ascii="Times New Roman" w:eastAsia="宋体" w:hAnsi="Times New Roman" w:cs="Times New Roman" w:hint="eastAsia"/>
          <w:snapToGrid/>
          <w:color w:val="auto"/>
          <w:kern w:val="2"/>
          <w:sz w:val="24"/>
          <w:szCs w:val="24"/>
          <w:lang w:eastAsia="zh-CN"/>
        </w:rPr>
        <w:t>7</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7</w:t>
      </w:r>
      <w:r>
        <w:rPr>
          <w:rFonts w:ascii="Times New Roman" w:eastAsia="宋体" w:hAnsi="Times New Roman" w:cs="Times New Roman" w:hint="eastAsia"/>
          <w:snapToGrid/>
          <w:color w:val="auto"/>
          <w:kern w:val="2"/>
          <w:sz w:val="24"/>
          <w:szCs w:val="24"/>
          <w:lang w:eastAsia="zh-CN"/>
        </w:rPr>
        <w:t>属</w:t>
      </w:r>
      <w:r>
        <w:rPr>
          <w:rFonts w:ascii="Times New Roman" w:eastAsia="宋体" w:hAnsi="Times New Roman" w:cs="Times New Roman" w:hint="eastAsia"/>
          <w:snapToGrid/>
          <w:color w:val="auto"/>
          <w:kern w:val="2"/>
          <w:sz w:val="24"/>
          <w:szCs w:val="24"/>
          <w:lang w:eastAsia="zh-CN"/>
        </w:rPr>
        <w:t>7</w:t>
      </w:r>
      <w:r>
        <w:rPr>
          <w:rFonts w:ascii="Times New Roman" w:eastAsia="宋体" w:hAnsi="Times New Roman" w:cs="Times New Roman" w:hint="eastAsia"/>
          <w:snapToGrid/>
          <w:color w:val="auto"/>
          <w:kern w:val="2"/>
          <w:sz w:val="24"/>
          <w:szCs w:val="24"/>
          <w:lang w:eastAsia="zh-CN"/>
        </w:rPr>
        <w:t>种，占所有种类的</w:t>
      </w:r>
      <w:r>
        <w:rPr>
          <w:rFonts w:ascii="Times New Roman" w:eastAsia="宋体" w:hAnsi="Times New Roman" w:cs="Times New Roman" w:hint="eastAsia"/>
          <w:snapToGrid/>
          <w:color w:val="auto"/>
          <w:kern w:val="2"/>
          <w:sz w:val="24"/>
          <w:szCs w:val="24"/>
          <w:lang w:eastAsia="zh-CN"/>
        </w:rPr>
        <w:t>5.43%</w:t>
      </w:r>
      <w:r>
        <w:rPr>
          <w:rFonts w:ascii="Times New Roman" w:eastAsia="宋体" w:hAnsi="Times New Roman" w:cs="Times New Roman" w:hint="eastAsia"/>
          <w:snapToGrid/>
          <w:color w:val="auto"/>
          <w:kern w:val="2"/>
          <w:sz w:val="24"/>
          <w:szCs w:val="24"/>
          <w:lang w:eastAsia="zh-CN"/>
        </w:rPr>
        <w:t>。</w:t>
      </w:r>
    </w:p>
    <w:p w14:paraId="5638CC63"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本次调查共采集到渔业资源生物重量有</w:t>
      </w:r>
      <w:r>
        <w:rPr>
          <w:rFonts w:ascii="Times New Roman" w:eastAsia="宋体" w:hAnsi="Times New Roman" w:cs="Times New Roman" w:hint="eastAsia"/>
          <w:snapToGrid/>
          <w:color w:val="auto"/>
          <w:kern w:val="2"/>
          <w:sz w:val="24"/>
          <w:szCs w:val="24"/>
          <w:lang w:eastAsia="zh-CN"/>
        </w:rPr>
        <w:t>34.60kg</w:t>
      </w:r>
      <w:r>
        <w:rPr>
          <w:rFonts w:ascii="Times New Roman" w:eastAsia="宋体" w:hAnsi="Times New Roman" w:cs="Times New Roman" w:hint="eastAsia"/>
          <w:snapToGrid/>
          <w:color w:val="auto"/>
          <w:kern w:val="2"/>
          <w:sz w:val="24"/>
          <w:szCs w:val="24"/>
          <w:lang w:eastAsia="zh-CN"/>
        </w:rPr>
        <w:t>，其中，鱼类为</w:t>
      </w:r>
      <w:r>
        <w:rPr>
          <w:rFonts w:ascii="Times New Roman" w:eastAsia="宋体" w:hAnsi="Times New Roman" w:cs="Times New Roman" w:hint="eastAsia"/>
          <w:snapToGrid/>
          <w:color w:val="auto"/>
          <w:kern w:val="2"/>
          <w:sz w:val="24"/>
          <w:szCs w:val="24"/>
          <w:lang w:eastAsia="zh-CN"/>
        </w:rPr>
        <w:t>22.78kg</w:t>
      </w:r>
      <w:r>
        <w:rPr>
          <w:rFonts w:ascii="Times New Roman" w:eastAsia="宋体" w:hAnsi="Times New Roman" w:cs="Times New Roman" w:hint="eastAsia"/>
          <w:snapToGrid/>
          <w:color w:val="auto"/>
          <w:kern w:val="2"/>
          <w:sz w:val="24"/>
          <w:szCs w:val="24"/>
          <w:lang w:eastAsia="zh-CN"/>
        </w:rPr>
        <w:t>，占总渔获量的</w:t>
      </w:r>
      <w:r>
        <w:rPr>
          <w:rFonts w:ascii="Times New Roman" w:eastAsia="宋体" w:hAnsi="Times New Roman" w:cs="Times New Roman" w:hint="eastAsia"/>
          <w:snapToGrid/>
          <w:color w:val="auto"/>
          <w:kern w:val="2"/>
          <w:sz w:val="24"/>
          <w:szCs w:val="24"/>
          <w:lang w:eastAsia="zh-CN"/>
        </w:rPr>
        <w:t>65.83%</w:t>
      </w:r>
      <w:r>
        <w:rPr>
          <w:rFonts w:ascii="Times New Roman" w:eastAsia="宋体" w:hAnsi="Times New Roman" w:cs="Times New Roman" w:hint="eastAsia"/>
          <w:snapToGrid/>
          <w:color w:val="auto"/>
          <w:kern w:val="2"/>
          <w:sz w:val="24"/>
          <w:szCs w:val="24"/>
          <w:lang w:eastAsia="zh-CN"/>
        </w:rPr>
        <w:t>；甲壳类为</w:t>
      </w:r>
      <w:r>
        <w:rPr>
          <w:rFonts w:ascii="Times New Roman" w:eastAsia="宋体" w:hAnsi="Times New Roman" w:cs="Times New Roman" w:hint="eastAsia"/>
          <w:snapToGrid/>
          <w:color w:val="auto"/>
          <w:kern w:val="2"/>
          <w:sz w:val="24"/>
          <w:szCs w:val="24"/>
          <w:lang w:eastAsia="zh-CN"/>
        </w:rPr>
        <w:t>5.64kg</w:t>
      </w:r>
      <w:r>
        <w:rPr>
          <w:rFonts w:ascii="Times New Roman" w:eastAsia="宋体" w:hAnsi="Times New Roman" w:cs="Times New Roman" w:hint="eastAsia"/>
          <w:snapToGrid/>
          <w:color w:val="auto"/>
          <w:kern w:val="2"/>
          <w:sz w:val="24"/>
          <w:szCs w:val="24"/>
          <w:lang w:eastAsia="zh-CN"/>
        </w:rPr>
        <w:t>，占总渔获量的</w:t>
      </w:r>
      <w:r>
        <w:rPr>
          <w:rFonts w:ascii="Times New Roman" w:eastAsia="宋体" w:hAnsi="Times New Roman" w:cs="Times New Roman" w:hint="eastAsia"/>
          <w:snapToGrid/>
          <w:color w:val="auto"/>
          <w:kern w:val="2"/>
          <w:sz w:val="24"/>
          <w:szCs w:val="24"/>
          <w:lang w:eastAsia="zh-CN"/>
        </w:rPr>
        <w:t>16.30%</w:t>
      </w:r>
      <w:r>
        <w:rPr>
          <w:rFonts w:ascii="Times New Roman" w:eastAsia="宋体" w:hAnsi="Times New Roman" w:cs="Times New Roman" w:hint="eastAsia"/>
          <w:snapToGrid/>
          <w:color w:val="auto"/>
          <w:kern w:val="2"/>
          <w:sz w:val="24"/>
          <w:szCs w:val="24"/>
          <w:lang w:eastAsia="zh-CN"/>
        </w:rPr>
        <w:t>；头足类渔获量为</w:t>
      </w:r>
      <w:r>
        <w:rPr>
          <w:rFonts w:ascii="Times New Roman" w:eastAsia="宋体" w:hAnsi="Times New Roman" w:cs="Times New Roman" w:hint="eastAsia"/>
          <w:snapToGrid/>
          <w:color w:val="auto"/>
          <w:kern w:val="2"/>
          <w:sz w:val="24"/>
          <w:szCs w:val="24"/>
          <w:lang w:eastAsia="zh-CN"/>
        </w:rPr>
        <w:t>2.95kg</w:t>
      </w:r>
      <w:r>
        <w:rPr>
          <w:rFonts w:ascii="Times New Roman" w:eastAsia="宋体" w:hAnsi="Times New Roman" w:cs="Times New Roman" w:hint="eastAsia"/>
          <w:snapToGrid/>
          <w:color w:val="auto"/>
          <w:kern w:val="2"/>
          <w:sz w:val="24"/>
          <w:szCs w:val="24"/>
          <w:lang w:eastAsia="zh-CN"/>
        </w:rPr>
        <w:t>，占总渔获量</w:t>
      </w:r>
      <w:r>
        <w:rPr>
          <w:rFonts w:ascii="Times New Roman" w:eastAsia="宋体" w:hAnsi="Times New Roman" w:cs="Times New Roman" w:hint="eastAsia"/>
          <w:snapToGrid/>
          <w:color w:val="auto"/>
          <w:kern w:val="2"/>
          <w:sz w:val="24"/>
          <w:szCs w:val="24"/>
          <w:lang w:eastAsia="zh-CN"/>
        </w:rPr>
        <w:t>8.53%</w:t>
      </w:r>
      <w:r>
        <w:rPr>
          <w:rFonts w:ascii="Times New Roman" w:eastAsia="宋体" w:hAnsi="Times New Roman" w:cs="Times New Roman" w:hint="eastAsia"/>
          <w:snapToGrid/>
          <w:color w:val="auto"/>
          <w:kern w:val="2"/>
          <w:sz w:val="24"/>
          <w:szCs w:val="24"/>
          <w:lang w:eastAsia="zh-CN"/>
        </w:rPr>
        <w:t>，贝类渔获量为</w:t>
      </w:r>
      <w:r>
        <w:rPr>
          <w:rFonts w:ascii="Times New Roman" w:eastAsia="宋体" w:hAnsi="Times New Roman" w:cs="Times New Roman" w:hint="eastAsia"/>
          <w:snapToGrid/>
          <w:color w:val="auto"/>
          <w:kern w:val="2"/>
          <w:sz w:val="24"/>
          <w:szCs w:val="24"/>
          <w:lang w:eastAsia="zh-CN"/>
        </w:rPr>
        <w:t>3.23kg</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占总渔获量</w:t>
      </w:r>
      <w:r>
        <w:rPr>
          <w:rFonts w:ascii="Times New Roman" w:eastAsia="宋体" w:hAnsi="Times New Roman" w:cs="Times New Roman" w:hint="eastAsia"/>
          <w:snapToGrid/>
          <w:color w:val="auto"/>
          <w:kern w:val="2"/>
          <w:sz w:val="24"/>
          <w:szCs w:val="24"/>
          <w:lang w:eastAsia="zh-CN"/>
        </w:rPr>
        <w:t>9.34%</w:t>
      </w:r>
      <w:r>
        <w:rPr>
          <w:rFonts w:ascii="Times New Roman" w:eastAsia="宋体" w:hAnsi="Times New Roman" w:cs="Times New Roman" w:hint="eastAsia"/>
          <w:snapToGrid/>
          <w:color w:val="auto"/>
          <w:kern w:val="2"/>
          <w:sz w:val="24"/>
          <w:szCs w:val="24"/>
          <w:lang w:eastAsia="zh-CN"/>
        </w:rPr>
        <w:t>。共采集到个体有</w:t>
      </w:r>
      <w:r>
        <w:rPr>
          <w:rFonts w:ascii="Times New Roman" w:eastAsia="宋体" w:hAnsi="Times New Roman" w:cs="Times New Roman" w:hint="eastAsia"/>
          <w:snapToGrid/>
          <w:color w:val="auto"/>
          <w:kern w:val="2"/>
          <w:sz w:val="24"/>
          <w:szCs w:val="24"/>
          <w:lang w:eastAsia="zh-CN"/>
        </w:rPr>
        <w:t>1826ind</w:t>
      </w:r>
      <w:r>
        <w:rPr>
          <w:rFonts w:ascii="Times New Roman" w:eastAsia="宋体" w:hAnsi="Times New Roman" w:cs="Times New Roman" w:hint="eastAsia"/>
          <w:snapToGrid/>
          <w:color w:val="auto"/>
          <w:kern w:val="2"/>
          <w:sz w:val="24"/>
          <w:szCs w:val="24"/>
          <w:lang w:eastAsia="zh-CN"/>
        </w:rPr>
        <w:t>，鱼类为</w:t>
      </w:r>
      <w:r>
        <w:rPr>
          <w:rFonts w:ascii="Times New Roman" w:eastAsia="宋体" w:hAnsi="Times New Roman" w:cs="Times New Roman" w:hint="eastAsia"/>
          <w:snapToGrid/>
          <w:color w:val="auto"/>
          <w:kern w:val="2"/>
          <w:sz w:val="24"/>
          <w:szCs w:val="24"/>
          <w:lang w:eastAsia="zh-CN"/>
        </w:rPr>
        <w:t>1140ind</w:t>
      </w:r>
      <w:r>
        <w:rPr>
          <w:rFonts w:ascii="Times New Roman" w:eastAsia="宋体" w:hAnsi="Times New Roman" w:cs="Times New Roman" w:hint="eastAsia"/>
          <w:snapToGrid/>
          <w:color w:val="auto"/>
          <w:kern w:val="2"/>
          <w:sz w:val="24"/>
          <w:szCs w:val="24"/>
          <w:lang w:eastAsia="zh-CN"/>
        </w:rPr>
        <w:t>，占总个体渔获数量的</w:t>
      </w:r>
      <w:r>
        <w:rPr>
          <w:rFonts w:ascii="Times New Roman" w:eastAsia="宋体" w:hAnsi="Times New Roman" w:cs="Times New Roman" w:hint="eastAsia"/>
          <w:snapToGrid/>
          <w:color w:val="auto"/>
          <w:kern w:val="2"/>
          <w:sz w:val="24"/>
          <w:szCs w:val="24"/>
          <w:lang w:eastAsia="zh-CN"/>
        </w:rPr>
        <w:t>62.43%</w:t>
      </w:r>
      <w:r>
        <w:rPr>
          <w:rFonts w:ascii="Times New Roman" w:eastAsia="宋体" w:hAnsi="Times New Roman" w:cs="Times New Roman" w:hint="eastAsia"/>
          <w:snapToGrid/>
          <w:color w:val="auto"/>
          <w:kern w:val="2"/>
          <w:sz w:val="24"/>
          <w:szCs w:val="24"/>
          <w:lang w:eastAsia="zh-CN"/>
        </w:rPr>
        <w:t>；甲壳类为</w:t>
      </w:r>
      <w:r>
        <w:rPr>
          <w:rFonts w:ascii="Times New Roman" w:eastAsia="宋体" w:hAnsi="Times New Roman" w:cs="Times New Roman" w:hint="eastAsia"/>
          <w:snapToGrid/>
          <w:color w:val="auto"/>
          <w:kern w:val="2"/>
          <w:sz w:val="24"/>
          <w:szCs w:val="24"/>
          <w:lang w:eastAsia="zh-CN"/>
        </w:rPr>
        <w:t>537ind</w:t>
      </w:r>
      <w:r>
        <w:rPr>
          <w:rFonts w:ascii="Times New Roman" w:eastAsia="宋体" w:hAnsi="Times New Roman" w:cs="Times New Roman" w:hint="eastAsia"/>
          <w:snapToGrid/>
          <w:color w:val="auto"/>
          <w:kern w:val="2"/>
          <w:sz w:val="24"/>
          <w:szCs w:val="24"/>
          <w:lang w:eastAsia="zh-CN"/>
        </w:rPr>
        <w:t>，占总个体渔获数量的</w:t>
      </w:r>
      <w:r>
        <w:rPr>
          <w:rFonts w:ascii="Times New Roman" w:eastAsia="宋体" w:hAnsi="Times New Roman" w:cs="Times New Roman" w:hint="eastAsia"/>
          <w:snapToGrid/>
          <w:color w:val="auto"/>
          <w:kern w:val="2"/>
          <w:sz w:val="24"/>
          <w:szCs w:val="24"/>
          <w:lang w:eastAsia="zh-CN"/>
        </w:rPr>
        <w:t>29.41%</w:t>
      </w:r>
      <w:r>
        <w:rPr>
          <w:rFonts w:ascii="Times New Roman" w:eastAsia="宋体" w:hAnsi="Times New Roman" w:cs="Times New Roman" w:hint="eastAsia"/>
          <w:snapToGrid/>
          <w:color w:val="auto"/>
          <w:kern w:val="2"/>
          <w:sz w:val="24"/>
          <w:szCs w:val="24"/>
          <w:lang w:eastAsia="zh-CN"/>
        </w:rPr>
        <w:t>；头足类为</w:t>
      </w:r>
      <w:r>
        <w:rPr>
          <w:rFonts w:ascii="Times New Roman" w:eastAsia="宋体" w:hAnsi="Times New Roman" w:cs="Times New Roman" w:hint="eastAsia"/>
          <w:snapToGrid/>
          <w:color w:val="auto"/>
          <w:kern w:val="2"/>
          <w:sz w:val="24"/>
          <w:szCs w:val="24"/>
          <w:lang w:eastAsia="zh-CN"/>
        </w:rPr>
        <w:t>67ind</w:t>
      </w:r>
      <w:r>
        <w:rPr>
          <w:rFonts w:ascii="Times New Roman" w:eastAsia="宋体" w:hAnsi="Times New Roman" w:cs="Times New Roman" w:hint="eastAsia"/>
          <w:snapToGrid/>
          <w:color w:val="auto"/>
          <w:kern w:val="2"/>
          <w:sz w:val="24"/>
          <w:szCs w:val="24"/>
          <w:lang w:eastAsia="zh-CN"/>
        </w:rPr>
        <w:t>，占总个体渔获量的</w:t>
      </w:r>
      <w:r>
        <w:rPr>
          <w:rFonts w:ascii="Times New Roman" w:eastAsia="宋体" w:hAnsi="Times New Roman" w:cs="Times New Roman" w:hint="eastAsia"/>
          <w:snapToGrid/>
          <w:color w:val="auto"/>
          <w:kern w:val="2"/>
          <w:sz w:val="24"/>
          <w:szCs w:val="24"/>
          <w:lang w:eastAsia="zh-CN"/>
        </w:rPr>
        <w:t>3.67%</w:t>
      </w:r>
      <w:r>
        <w:rPr>
          <w:rFonts w:ascii="Times New Roman" w:eastAsia="宋体" w:hAnsi="Times New Roman" w:cs="Times New Roman" w:hint="eastAsia"/>
          <w:snapToGrid/>
          <w:color w:val="auto"/>
          <w:kern w:val="2"/>
          <w:sz w:val="24"/>
          <w:szCs w:val="24"/>
          <w:lang w:eastAsia="zh-CN"/>
        </w:rPr>
        <w:t>，贝类为</w:t>
      </w:r>
      <w:r>
        <w:rPr>
          <w:rFonts w:ascii="Times New Roman" w:eastAsia="宋体" w:hAnsi="Times New Roman" w:cs="Times New Roman" w:hint="eastAsia"/>
          <w:snapToGrid/>
          <w:color w:val="auto"/>
          <w:kern w:val="2"/>
          <w:sz w:val="24"/>
          <w:szCs w:val="24"/>
          <w:lang w:eastAsia="zh-CN"/>
        </w:rPr>
        <w:t>82ind</w:t>
      </w:r>
      <w:r>
        <w:rPr>
          <w:rFonts w:ascii="Times New Roman" w:eastAsia="宋体" w:hAnsi="Times New Roman" w:cs="Times New Roman" w:hint="eastAsia"/>
          <w:snapToGrid/>
          <w:color w:val="auto"/>
          <w:kern w:val="2"/>
          <w:sz w:val="24"/>
          <w:szCs w:val="24"/>
          <w:lang w:eastAsia="zh-CN"/>
        </w:rPr>
        <w:t>，占总个体渔获量的</w:t>
      </w:r>
      <w:r>
        <w:rPr>
          <w:rFonts w:ascii="Times New Roman" w:eastAsia="宋体" w:hAnsi="Times New Roman" w:cs="Times New Roman" w:hint="eastAsia"/>
          <w:snapToGrid/>
          <w:color w:val="auto"/>
          <w:kern w:val="2"/>
          <w:sz w:val="24"/>
          <w:szCs w:val="24"/>
          <w:lang w:eastAsia="zh-CN"/>
        </w:rPr>
        <w:t>4.49%</w:t>
      </w:r>
      <w:r>
        <w:rPr>
          <w:rFonts w:ascii="Times New Roman" w:eastAsia="宋体" w:hAnsi="Times New Roman" w:cs="Times New Roman" w:hint="eastAsia"/>
          <w:snapToGrid/>
          <w:color w:val="auto"/>
          <w:kern w:val="2"/>
          <w:sz w:val="24"/>
          <w:szCs w:val="24"/>
          <w:lang w:eastAsia="zh-CN"/>
        </w:rPr>
        <w:t>。</w:t>
      </w:r>
    </w:p>
    <w:p w14:paraId="5C05DC49"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渔业资源生物重量渔获率范围为</w:t>
      </w:r>
      <w:r>
        <w:rPr>
          <w:rFonts w:ascii="Times New Roman" w:eastAsia="宋体" w:hAnsi="Times New Roman" w:cs="Times New Roman" w:hint="eastAsia"/>
          <w:snapToGrid/>
          <w:color w:val="auto"/>
          <w:kern w:val="2"/>
          <w:sz w:val="24"/>
          <w:szCs w:val="24"/>
          <w:lang w:eastAsia="zh-CN"/>
        </w:rPr>
        <w:t>0.09~10.33kg/h</w:t>
      </w:r>
      <w:r>
        <w:rPr>
          <w:rFonts w:ascii="Times New Roman" w:eastAsia="宋体" w:hAnsi="Times New Roman" w:cs="Times New Roman" w:hint="eastAsia"/>
          <w:snapToGrid/>
          <w:color w:val="auto"/>
          <w:kern w:val="2"/>
          <w:sz w:val="24"/>
          <w:szCs w:val="24"/>
          <w:lang w:eastAsia="zh-CN"/>
        </w:rPr>
        <w:t>，平均为</w:t>
      </w:r>
      <w:r>
        <w:rPr>
          <w:rFonts w:ascii="Times New Roman" w:eastAsia="宋体" w:hAnsi="Times New Roman" w:cs="Times New Roman" w:hint="eastAsia"/>
          <w:snapToGrid/>
          <w:color w:val="auto"/>
          <w:kern w:val="2"/>
          <w:sz w:val="24"/>
          <w:szCs w:val="24"/>
          <w:lang w:eastAsia="zh-CN"/>
        </w:rPr>
        <w:t>5.37kg/h</w:t>
      </w:r>
      <w:r>
        <w:rPr>
          <w:rFonts w:ascii="Times New Roman" w:eastAsia="宋体" w:hAnsi="Times New Roman" w:cs="Times New Roman" w:hint="eastAsia"/>
          <w:snapToGrid/>
          <w:color w:val="auto"/>
          <w:kern w:val="2"/>
          <w:sz w:val="24"/>
          <w:szCs w:val="24"/>
          <w:lang w:eastAsia="zh-CN"/>
        </w:rPr>
        <w:t>。最高出现在</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号站位，为</w:t>
      </w:r>
      <w:r>
        <w:rPr>
          <w:rFonts w:ascii="Times New Roman" w:eastAsia="宋体" w:hAnsi="Times New Roman" w:cs="Times New Roman" w:hint="eastAsia"/>
          <w:snapToGrid/>
          <w:color w:val="auto"/>
          <w:kern w:val="2"/>
          <w:sz w:val="24"/>
          <w:szCs w:val="24"/>
          <w:lang w:eastAsia="zh-CN"/>
        </w:rPr>
        <w:t>10.33kg/h</w:t>
      </w:r>
      <w:r>
        <w:rPr>
          <w:rFonts w:ascii="Times New Roman" w:eastAsia="宋体" w:hAnsi="Times New Roman" w:cs="Times New Roman" w:hint="eastAsia"/>
          <w:snapToGrid/>
          <w:color w:val="auto"/>
          <w:kern w:val="2"/>
          <w:sz w:val="24"/>
          <w:szCs w:val="24"/>
          <w:lang w:eastAsia="zh-CN"/>
        </w:rPr>
        <w:t>，其次为</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号站位，分别为</w:t>
      </w:r>
      <w:r>
        <w:rPr>
          <w:rFonts w:ascii="Times New Roman" w:eastAsia="宋体" w:hAnsi="Times New Roman" w:cs="Times New Roman" w:hint="eastAsia"/>
          <w:snapToGrid/>
          <w:color w:val="auto"/>
          <w:kern w:val="2"/>
          <w:sz w:val="24"/>
          <w:szCs w:val="24"/>
          <w:lang w:eastAsia="zh-CN"/>
        </w:rPr>
        <w:t>6.63kg/h</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7.79kg/h</w:t>
      </w:r>
      <w:r>
        <w:rPr>
          <w:rFonts w:ascii="Times New Roman" w:eastAsia="宋体" w:hAnsi="Times New Roman" w:cs="Times New Roman" w:hint="eastAsia"/>
          <w:snapToGrid/>
          <w:color w:val="auto"/>
          <w:kern w:val="2"/>
          <w:sz w:val="24"/>
          <w:szCs w:val="24"/>
          <w:lang w:eastAsia="zh-CN"/>
        </w:rPr>
        <w:t>；由于作业方式差异性，流刺网调查站位普遍偏低，为</w:t>
      </w:r>
      <w:r>
        <w:rPr>
          <w:rFonts w:ascii="Times New Roman" w:eastAsia="宋体" w:hAnsi="Times New Roman" w:cs="Times New Roman" w:hint="eastAsia"/>
          <w:snapToGrid/>
          <w:color w:val="auto"/>
          <w:kern w:val="2"/>
          <w:sz w:val="24"/>
          <w:szCs w:val="24"/>
          <w:lang w:eastAsia="zh-CN"/>
        </w:rPr>
        <w:t>0.09kg/h</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0.</w:t>
      </w:r>
      <w:r>
        <w:rPr>
          <w:rFonts w:ascii="Times New Roman" w:eastAsia="宋体" w:hAnsi="Times New Roman" w:cs="Times New Roman" w:hint="eastAsia"/>
          <w:snapToGrid/>
          <w:color w:val="auto"/>
          <w:kern w:val="2"/>
          <w:sz w:val="24"/>
          <w:szCs w:val="24"/>
          <w:lang w:eastAsia="zh-CN"/>
        </w:rPr>
        <w:t>11kg/h</w:t>
      </w:r>
      <w:r>
        <w:rPr>
          <w:rFonts w:ascii="Times New Roman" w:eastAsia="宋体" w:hAnsi="Times New Roman" w:cs="Times New Roman" w:hint="eastAsia"/>
          <w:snapToGrid/>
          <w:color w:val="auto"/>
          <w:kern w:val="2"/>
          <w:sz w:val="24"/>
          <w:szCs w:val="24"/>
          <w:lang w:eastAsia="zh-CN"/>
        </w:rPr>
        <w:t>；平均个体渔获率范围为</w:t>
      </w:r>
      <w:r>
        <w:rPr>
          <w:rFonts w:ascii="Times New Roman" w:eastAsia="宋体" w:hAnsi="Times New Roman" w:cs="Times New Roman" w:hint="eastAsia"/>
          <w:snapToGrid/>
          <w:color w:val="auto"/>
          <w:kern w:val="2"/>
          <w:sz w:val="24"/>
          <w:szCs w:val="24"/>
          <w:lang w:eastAsia="zh-CN"/>
        </w:rPr>
        <w:t>1.07~533.18ind/h</w:t>
      </w:r>
      <w:r>
        <w:rPr>
          <w:rFonts w:ascii="Times New Roman" w:eastAsia="宋体" w:hAnsi="Times New Roman" w:cs="Times New Roman" w:hint="eastAsia"/>
          <w:snapToGrid/>
          <w:color w:val="auto"/>
          <w:kern w:val="2"/>
          <w:sz w:val="24"/>
          <w:szCs w:val="24"/>
          <w:lang w:eastAsia="zh-CN"/>
        </w:rPr>
        <w:t>，平均为</w:t>
      </w:r>
      <w:r>
        <w:rPr>
          <w:rFonts w:ascii="Times New Roman" w:eastAsia="宋体" w:hAnsi="Times New Roman" w:cs="Times New Roman" w:hint="eastAsia"/>
          <w:snapToGrid/>
          <w:color w:val="auto"/>
          <w:kern w:val="2"/>
          <w:sz w:val="24"/>
          <w:szCs w:val="24"/>
          <w:lang w:eastAsia="zh-CN"/>
        </w:rPr>
        <w:t>301.46ind/h</w:t>
      </w:r>
      <w:r>
        <w:rPr>
          <w:rFonts w:ascii="Times New Roman" w:eastAsia="宋体" w:hAnsi="Times New Roman" w:cs="Times New Roman" w:hint="eastAsia"/>
          <w:snapToGrid/>
          <w:color w:val="auto"/>
          <w:kern w:val="2"/>
          <w:sz w:val="24"/>
          <w:szCs w:val="24"/>
          <w:lang w:eastAsia="zh-CN"/>
        </w:rPr>
        <w:t>，最高出现在</w:t>
      </w:r>
      <w:r>
        <w:rPr>
          <w:rFonts w:ascii="Times New Roman" w:eastAsia="宋体" w:hAnsi="Times New Roman" w:cs="Times New Roman" w:hint="eastAsia"/>
          <w:snapToGrid/>
          <w:color w:val="auto"/>
          <w:kern w:val="2"/>
          <w:sz w:val="24"/>
          <w:szCs w:val="24"/>
          <w:lang w:eastAsia="zh-CN"/>
        </w:rPr>
        <w:t>H2</w:t>
      </w:r>
      <w:r>
        <w:rPr>
          <w:rFonts w:ascii="Times New Roman" w:eastAsia="宋体" w:hAnsi="Times New Roman" w:cs="Times New Roman" w:hint="eastAsia"/>
          <w:snapToGrid/>
          <w:color w:val="auto"/>
          <w:kern w:val="2"/>
          <w:sz w:val="24"/>
          <w:szCs w:val="24"/>
          <w:lang w:eastAsia="zh-CN"/>
        </w:rPr>
        <w:t>号站位，为</w:t>
      </w:r>
      <w:r>
        <w:rPr>
          <w:rFonts w:ascii="Times New Roman" w:eastAsia="宋体" w:hAnsi="Times New Roman" w:cs="Times New Roman" w:hint="eastAsia"/>
          <w:snapToGrid/>
          <w:color w:val="auto"/>
          <w:kern w:val="2"/>
          <w:sz w:val="24"/>
          <w:szCs w:val="24"/>
          <w:lang w:eastAsia="zh-CN"/>
        </w:rPr>
        <w:t>533.18ind/h</w:t>
      </w:r>
      <w:r>
        <w:rPr>
          <w:rFonts w:ascii="Times New Roman" w:eastAsia="宋体" w:hAnsi="Times New Roman" w:cs="Times New Roman" w:hint="eastAsia"/>
          <w:snapToGrid/>
          <w:color w:val="auto"/>
          <w:kern w:val="2"/>
          <w:sz w:val="24"/>
          <w:szCs w:val="24"/>
          <w:lang w:eastAsia="zh-CN"/>
        </w:rPr>
        <w:t>；其次为</w:t>
      </w:r>
      <w:r>
        <w:rPr>
          <w:rFonts w:ascii="Times New Roman" w:eastAsia="宋体" w:hAnsi="Times New Roman" w:cs="Times New Roman" w:hint="eastAsia"/>
          <w:snapToGrid/>
          <w:color w:val="auto"/>
          <w:kern w:val="2"/>
          <w:sz w:val="24"/>
          <w:szCs w:val="24"/>
          <w:lang w:eastAsia="zh-CN"/>
        </w:rPr>
        <w:t>H5</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H8</w:t>
      </w:r>
      <w:r>
        <w:rPr>
          <w:rFonts w:ascii="Times New Roman" w:eastAsia="宋体" w:hAnsi="Times New Roman" w:cs="Times New Roman" w:hint="eastAsia"/>
          <w:snapToGrid/>
          <w:color w:val="auto"/>
          <w:kern w:val="2"/>
          <w:sz w:val="24"/>
          <w:szCs w:val="24"/>
          <w:lang w:eastAsia="zh-CN"/>
        </w:rPr>
        <w:t>号站位，分别为</w:t>
      </w:r>
      <w:r>
        <w:rPr>
          <w:rFonts w:ascii="Times New Roman" w:eastAsia="宋体" w:hAnsi="Times New Roman" w:cs="Times New Roman" w:hint="eastAsia"/>
          <w:snapToGrid/>
          <w:color w:val="auto"/>
          <w:kern w:val="2"/>
          <w:sz w:val="24"/>
          <w:szCs w:val="24"/>
          <w:lang w:eastAsia="zh-CN"/>
        </w:rPr>
        <w:t>487.14ind/h</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404.08ind/h</w:t>
      </w:r>
      <w:r>
        <w:rPr>
          <w:rFonts w:ascii="Times New Roman" w:eastAsia="宋体" w:hAnsi="Times New Roman" w:cs="Times New Roman" w:hint="eastAsia"/>
          <w:snapToGrid/>
          <w:color w:val="auto"/>
          <w:kern w:val="2"/>
          <w:sz w:val="24"/>
          <w:szCs w:val="24"/>
          <w:lang w:eastAsia="zh-CN"/>
        </w:rPr>
        <w:t>，流刺网调查站位普遍偏低，为</w:t>
      </w:r>
      <w:r>
        <w:rPr>
          <w:rFonts w:ascii="Times New Roman" w:eastAsia="宋体" w:hAnsi="Times New Roman" w:cs="Times New Roman" w:hint="eastAsia"/>
          <w:snapToGrid/>
          <w:color w:val="auto"/>
          <w:kern w:val="2"/>
          <w:sz w:val="24"/>
          <w:szCs w:val="24"/>
          <w:lang w:eastAsia="zh-CN"/>
        </w:rPr>
        <w:t>1.07ind/h</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1.08ind/h</w:t>
      </w:r>
      <w:r>
        <w:rPr>
          <w:rFonts w:ascii="Times New Roman" w:eastAsia="宋体" w:hAnsi="Times New Roman" w:cs="Times New Roman" w:hint="eastAsia"/>
          <w:snapToGrid/>
          <w:color w:val="auto"/>
          <w:kern w:val="2"/>
          <w:sz w:val="24"/>
          <w:szCs w:val="24"/>
          <w:lang w:eastAsia="zh-CN"/>
        </w:rPr>
        <w:t>（详见表</w:t>
      </w:r>
      <w:r>
        <w:rPr>
          <w:rFonts w:ascii="Times New Roman" w:eastAsia="宋体" w:hAnsi="Times New Roman" w:cs="Times New Roman" w:hint="eastAsia"/>
          <w:snapToGrid/>
          <w:color w:val="auto"/>
          <w:kern w:val="2"/>
          <w:sz w:val="24"/>
          <w:szCs w:val="24"/>
          <w:lang w:eastAsia="zh-CN"/>
        </w:rPr>
        <w:t>3.2.6-29</w:t>
      </w:r>
      <w:r>
        <w:rPr>
          <w:rFonts w:ascii="Times New Roman" w:eastAsia="宋体" w:hAnsi="Times New Roman" w:cs="Times New Roman" w:hint="eastAsia"/>
          <w:snapToGrid/>
          <w:color w:val="auto"/>
          <w:kern w:val="2"/>
          <w:sz w:val="24"/>
          <w:szCs w:val="24"/>
          <w:lang w:eastAsia="zh-CN"/>
        </w:rPr>
        <w:t>）。</w:t>
      </w:r>
    </w:p>
    <w:p w14:paraId="67E0D30E"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项目海域共设</w:t>
      </w:r>
      <w:r>
        <w:rPr>
          <w:rFonts w:ascii="Times New Roman" w:eastAsia="宋体" w:hAnsi="Times New Roman" w:cs="Times New Roman" w:hint="eastAsia"/>
          <w:snapToGrid/>
          <w:color w:val="auto"/>
          <w:kern w:val="2"/>
          <w:sz w:val="24"/>
          <w:szCs w:val="24"/>
          <w:lang w:eastAsia="zh-CN"/>
        </w:rPr>
        <w:t>8</w:t>
      </w:r>
      <w:r>
        <w:rPr>
          <w:rFonts w:ascii="Times New Roman" w:eastAsia="宋体" w:hAnsi="Times New Roman" w:cs="Times New Roman" w:hint="eastAsia"/>
          <w:snapToGrid/>
          <w:color w:val="auto"/>
          <w:kern w:val="2"/>
          <w:sz w:val="24"/>
          <w:szCs w:val="24"/>
          <w:lang w:eastAsia="zh-CN"/>
        </w:rPr>
        <w:t>个调查站位，根据现场地形情况选择</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个站位进行拖网采样，其它</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个站位采用流刺网方式调查。调查范围基本覆盖整个评价区域。因此，评估结果能代表整个评价区域游泳动物的现存资源量。</w:t>
      </w:r>
    </w:p>
    <w:p w14:paraId="370DA790"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据估算，评价区及附近海域目前渔业资源生物的质量资源密度约为</w:t>
      </w:r>
      <w:r>
        <w:rPr>
          <w:rFonts w:ascii="Times New Roman" w:eastAsia="宋体" w:hAnsi="Times New Roman" w:cs="Times New Roman" w:hint="eastAsia"/>
          <w:snapToGrid/>
          <w:color w:val="auto"/>
          <w:kern w:val="2"/>
          <w:sz w:val="24"/>
          <w:szCs w:val="24"/>
          <w:lang w:eastAsia="zh-CN"/>
        </w:rPr>
        <w:t>356.39kg/km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，其中鱼类约为</w:t>
      </w:r>
      <w:r>
        <w:rPr>
          <w:rFonts w:ascii="Times New Roman" w:eastAsia="宋体" w:hAnsi="Times New Roman" w:cs="Times New Roman" w:hint="eastAsia"/>
          <w:snapToGrid/>
          <w:color w:val="auto"/>
          <w:kern w:val="2"/>
          <w:sz w:val="24"/>
          <w:szCs w:val="24"/>
          <w:lang w:eastAsia="zh-CN"/>
        </w:rPr>
        <w:t>243.19kg/km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，甲壳类约为</w:t>
      </w:r>
      <w:r>
        <w:rPr>
          <w:rFonts w:ascii="Times New Roman" w:eastAsia="宋体" w:hAnsi="Times New Roman" w:cs="Times New Roman" w:hint="eastAsia"/>
          <w:snapToGrid/>
          <w:color w:val="auto"/>
          <w:kern w:val="2"/>
          <w:sz w:val="24"/>
          <w:szCs w:val="24"/>
          <w:lang w:eastAsia="zh-CN"/>
        </w:rPr>
        <w:t>52.85kg/km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，头足类约为</w:t>
      </w:r>
      <w:r>
        <w:rPr>
          <w:rFonts w:ascii="Times New Roman" w:eastAsia="宋体" w:hAnsi="Times New Roman" w:cs="Times New Roman" w:hint="eastAsia"/>
          <w:snapToGrid/>
          <w:color w:val="auto"/>
          <w:kern w:val="2"/>
          <w:sz w:val="24"/>
          <w:szCs w:val="24"/>
          <w:lang w:eastAsia="zh-CN"/>
        </w:rPr>
        <w:t>28.27kg/km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，贝类约为</w:t>
      </w:r>
      <w:r>
        <w:rPr>
          <w:rFonts w:ascii="Times New Roman" w:eastAsia="宋体" w:hAnsi="Times New Roman" w:cs="Times New Roman" w:hint="eastAsia"/>
          <w:snapToGrid/>
          <w:color w:val="auto"/>
          <w:kern w:val="2"/>
          <w:sz w:val="24"/>
          <w:szCs w:val="24"/>
          <w:lang w:eastAsia="zh-CN"/>
        </w:rPr>
        <w:t>32.08kg/km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。各站中以有</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站最高（</w:t>
      </w:r>
      <w:r>
        <w:rPr>
          <w:rFonts w:ascii="Times New Roman" w:eastAsia="宋体" w:hAnsi="Times New Roman" w:cs="Times New Roman" w:hint="eastAsia"/>
          <w:snapToGrid/>
          <w:color w:val="auto"/>
          <w:kern w:val="2"/>
          <w:sz w:val="24"/>
          <w:szCs w:val="24"/>
          <w:lang w:eastAsia="zh-CN"/>
        </w:rPr>
        <w:t>531.09kg/km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H5</w:t>
      </w:r>
      <w:r>
        <w:rPr>
          <w:rFonts w:ascii="Times New Roman" w:eastAsia="宋体" w:hAnsi="Times New Roman" w:cs="Times New Roman" w:hint="eastAsia"/>
          <w:snapToGrid/>
          <w:color w:val="auto"/>
          <w:kern w:val="2"/>
          <w:sz w:val="24"/>
          <w:szCs w:val="24"/>
          <w:lang w:eastAsia="zh-CN"/>
        </w:rPr>
        <w:t>站次之（</w:t>
      </w:r>
      <w:r>
        <w:rPr>
          <w:rFonts w:ascii="Times New Roman" w:eastAsia="宋体" w:hAnsi="Times New Roman" w:cs="Times New Roman" w:hint="eastAsia"/>
          <w:snapToGrid/>
          <w:color w:val="auto"/>
          <w:kern w:val="2"/>
          <w:sz w:val="24"/>
          <w:szCs w:val="24"/>
          <w:lang w:eastAsia="zh-CN"/>
        </w:rPr>
        <w:t>400.51kg/km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H6</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H8</w:t>
      </w:r>
      <w:r>
        <w:rPr>
          <w:rFonts w:ascii="Times New Roman" w:eastAsia="宋体" w:hAnsi="Times New Roman" w:cs="Times New Roman" w:hint="eastAsia"/>
          <w:snapToGrid/>
          <w:color w:val="auto"/>
          <w:kern w:val="2"/>
          <w:sz w:val="24"/>
          <w:szCs w:val="24"/>
          <w:lang w:eastAsia="zh-CN"/>
        </w:rPr>
        <w:t>站较低（资源密度分别为</w:t>
      </w:r>
      <w:r>
        <w:rPr>
          <w:rFonts w:ascii="Times New Roman" w:eastAsia="宋体" w:hAnsi="Times New Roman" w:cs="Times New Roman" w:hint="eastAsia"/>
          <w:snapToGrid/>
          <w:color w:val="auto"/>
          <w:kern w:val="2"/>
          <w:sz w:val="24"/>
          <w:szCs w:val="24"/>
          <w:lang w:eastAsia="zh-CN"/>
        </w:rPr>
        <w:t>297.79kg/km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263.50kg/km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）。按个体计，游泳动物的资源密度约为</w:t>
      </w:r>
      <w:r>
        <w:rPr>
          <w:rFonts w:ascii="Times New Roman" w:eastAsia="宋体" w:hAnsi="Times New Roman" w:cs="Times New Roman" w:hint="eastAsia"/>
          <w:snapToGrid/>
          <w:color w:val="auto"/>
          <w:kern w:val="2"/>
          <w:sz w:val="24"/>
          <w:szCs w:val="24"/>
          <w:lang w:eastAsia="zh-CN"/>
        </w:rPr>
        <w:t>19972.35ind./km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，其中鱼类约为</w:t>
      </w:r>
      <w:r>
        <w:rPr>
          <w:rFonts w:ascii="Times New Roman" w:eastAsia="宋体" w:hAnsi="Times New Roman" w:cs="Times New Roman" w:hint="eastAsia"/>
          <w:snapToGrid/>
          <w:color w:val="auto"/>
          <w:kern w:val="2"/>
          <w:sz w:val="24"/>
          <w:szCs w:val="24"/>
          <w:lang w:eastAsia="zh-CN"/>
        </w:rPr>
        <w:t>12530.63ind./km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，甲</w:t>
      </w:r>
      <w:r>
        <w:rPr>
          <w:rFonts w:ascii="Times New Roman" w:eastAsia="宋体" w:hAnsi="Times New Roman" w:cs="Times New Roman" w:hint="eastAsia"/>
          <w:snapToGrid/>
          <w:color w:val="auto"/>
          <w:kern w:val="2"/>
          <w:sz w:val="24"/>
          <w:szCs w:val="24"/>
          <w:lang w:eastAsia="zh-CN"/>
        </w:rPr>
        <w:t>壳类约为</w:t>
      </w:r>
      <w:r>
        <w:rPr>
          <w:rFonts w:ascii="Times New Roman" w:eastAsia="宋体" w:hAnsi="Times New Roman" w:cs="Times New Roman" w:hint="eastAsia"/>
          <w:snapToGrid/>
          <w:color w:val="auto"/>
          <w:kern w:val="2"/>
          <w:sz w:val="24"/>
          <w:szCs w:val="24"/>
          <w:lang w:eastAsia="zh-CN"/>
        </w:rPr>
        <w:t>5818.57ind./km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，头足类约为</w:t>
      </w:r>
      <w:r>
        <w:rPr>
          <w:rFonts w:ascii="Times New Roman" w:eastAsia="宋体" w:hAnsi="Times New Roman" w:cs="Times New Roman" w:hint="eastAsia"/>
          <w:snapToGrid/>
          <w:color w:val="auto"/>
          <w:kern w:val="2"/>
          <w:sz w:val="24"/>
          <w:szCs w:val="24"/>
          <w:lang w:eastAsia="zh-CN"/>
        </w:rPr>
        <w:t>734.64ind./km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，贝类约为</w:t>
      </w:r>
      <w:r>
        <w:rPr>
          <w:rFonts w:ascii="Times New Roman" w:eastAsia="宋体" w:hAnsi="Times New Roman" w:cs="Times New Roman" w:hint="eastAsia"/>
          <w:snapToGrid/>
          <w:color w:val="auto"/>
          <w:kern w:val="2"/>
          <w:sz w:val="24"/>
          <w:szCs w:val="24"/>
          <w:lang w:eastAsia="zh-CN"/>
        </w:rPr>
        <w:t>888.51ind./km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。各站中以</w:t>
      </w:r>
      <w:r>
        <w:rPr>
          <w:rFonts w:ascii="Times New Roman" w:eastAsia="宋体" w:hAnsi="Times New Roman" w:cs="Times New Roman" w:hint="eastAsia"/>
          <w:snapToGrid/>
          <w:color w:val="auto"/>
          <w:kern w:val="2"/>
          <w:sz w:val="24"/>
          <w:szCs w:val="24"/>
          <w:lang w:eastAsia="zh-CN"/>
        </w:rPr>
        <w:t>H2</w:t>
      </w:r>
      <w:r>
        <w:rPr>
          <w:rFonts w:ascii="Times New Roman" w:eastAsia="宋体" w:hAnsi="Times New Roman" w:cs="Times New Roman" w:hint="eastAsia"/>
          <w:snapToGrid/>
          <w:color w:val="auto"/>
          <w:kern w:val="2"/>
          <w:sz w:val="24"/>
          <w:szCs w:val="24"/>
          <w:lang w:eastAsia="zh-CN"/>
        </w:rPr>
        <w:t>站最高（</w:t>
      </w:r>
      <w:r>
        <w:rPr>
          <w:rFonts w:ascii="Times New Roman" w:eastAsia="宋体" w:hAnsi="Times New Roman" w:cs="Times New Roman" w:hint="eastAsia"/>
          <w:snapToGrid/>
          <w:color w:val="auto"/>
          <w:kern w:val="2"/>
          <w:sz w:val="24"/>
          <w:szCs w:val="24"/>
          <w:lang w:eastAsia="zh-CN"/>
        </w:rPr>
        <w:t>26364.02ind./km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H5</w:t>
      </w:r>
      <w:r>
        <w:rPr>
          <w:rFonts w:ascii="Times New Roman" w:eastAsia="宋体" w:hAnsi="Times New Roman" w:cs="Times New Roman" w:hint="eastAsia"/>
          <w:snapToGrid/>
          <w:color w:val="auto"/>
          <w:kern w:val="2"/>
          <w:sz w:val="24"/>
          <w:szCs w:val="24"/>
          <w:lang w:eastAsia="zh-CN"/>
        </w:rPr>
        <w:t>站次之（</w:t>
      </w:r>
      <w:r>
        <w:rPr>
          <w:rFonts w:ascii="Times New Roman" w:eastAsia="宋体" w:hAnsi="Times New Roman" w:cs="Times New Roman" w:hint="eastAsia"/>
          <w:snapToGrid/>
          <w:color w:val="auto"/>
          <w:kern w:val="2"/>
          <w:sz w:val="24"/>
          <w:szCs w:val="24"/>
          <w:lang w:eastAsia="zh-CN"/>
        </w:rPr>
        <w:t>25051.06ind./km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站最低（资源密度为</w:t>
      </w:r>
      <w:r>
        <w:rPr>
          <w:rFonts w:ascii="Times New Roman" w:eastAsia="宋体" w:hAnsi="Times New Roman" w:cs="Times New Roman" w:hint="eastAsia"/>
          <w:snapToGrid/>
          <w:color w:val="auto"/>
          <w:kern w:val="2"/>
          <w:sz w:val="24"/>
          <w:szCs w:val="24"/>
          <w:lang w:eastAsia="zh-CN"/>
        </w:rPr>
        <w:t>12126.70ind./km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）（详见表</w:t>
      </w:r>
      <w:r>
        <w:rPr>
          <w:rFonts w:ascii="Times New Roman" w:eastAsia="宋体" w:hAnsi="Times New Roman" w:cs="Times New Roman" w:hint="eastAsia"/>
          <w:snapToGrid/>
          <w:color w:val="auto"/>
          <w:kern w:val="2"/>
          <w:sz w:val="24"/>
          <w:szCs w:val="24"/>
          <w:lang w:eastAsia="zh-CN"/>
        </w:rPr>
        <w:t>3.2.6-29</w:t>
      </w:r>
      <w:r>
        <w:rPr>
          <w:rFonts w:ascii="Times New Roman" w:eastAsia="宋体" w:hAnsi="Times New Roman" w:cs="Times New Roman" w:hint="eastAsia"/>
          <w:snapToGrid/>
          <w:color w:val="auto"/>
          <w:kern w:val="2"/>
          <w:sz w:val="24"/>
          <w:szCs w:val="24"/>
          <w:lang w:eastAsia="zh-CN"/>
        </w:rPr>
        <w:t>）。</w:t>
      </w:r>
    </w:p>
    <w:p w14:paraId="21E2133C" w14:textId="77777777" w:rsidR="0075791A" w:rsidRDefault="00FB2864">
      <w:pPr>
        <w:jc w:val="center"/>
        <w:rPr>
          <w:rFonts w:ascii="Times New Roman" w:eastAsia="宋体" w:hAnsi="Times New Roman" w:cs="宋体"/>
          <w:color w:val="auto"/>
          <w:sz w:val="24"/>
          <w:szCs w:val="24"/>
          <w:lang w:eastAsia="zh-CN"/>
        </w:rPr>
      </w:pP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3.2.6-29</w:t>
      </w:r>
      <w:r>
        <w:rPr>
          <w:rFonts w:ascii="Times New Roman" w:eastAsia="Times New Roman" w:hAnsi="Times New Roman" w:cs="Times New Roman"/>
          <w:color w:val="auto"/>
          <w:sz w:val="24"/>
          <w:szCs w:val="24"/>
          <w:lang w:eastAsia="zh-CN"/>
        </w:rPr>
        <w:t xml:space="preserve">2024 </w:t>
      </w:r>
      <w:r>
        <w:rPr>
          <w:rFonts w:ascii="宋体" w:eastAsia="宋体" w:hAnsi="宋体" w:cs="宋体"/>
          <w:color w:val="auto"/>
          <w:sz w:val="24"/>
          <w:szCs w:val="24"/>
          <w:lang w:eastAsia="zh-CN"/>
        </w:rPr>
        <w:t>年</w:t>
      </w:r>
      <w:r>
        <w:rPr>
          <w:rFonts w:ascii="宋体" w:eastAsia="宋体" w:hAnsi="宋体" w:cs="宋体"/>
          <w:color w:val="auto"/>
          <w:spacing w:val="-60"/>
          <w:sz w:val="24"/>
          <w:szCs w:val="24"/>
          <w:lang w:eastAsia="zh-CN"/>
        </w:rPr>
        <w:t xml:space="preserve"> </w:t>
      </w:r>
      <w:r>
        <w:rPr>
          <w:rFonts w:ascii="Times New Roman" w:eastAsia="Times New Roman" w:hAnsi="Times New Roman" w:cs="Times New Roman"/>
          <w:color w:val="auto"/>
          <w:sz w:val="24"/>
          <w:szCs w:val="24"/>
          <w:lang w:eastAsia="zh-CN"/>
        </w:rPr>
        <w:t xml:space="preserve">9 </w:t>
      </w:r>
      <w:r>
        <w:rPr>
          <w:rFonts w:ascii="宋体" w:eastAsia="宋体" w:hAnsi="宋体" w:cs="宋体"/>
          <w:color w:val="auto"/>
          <w:sz w:val="24"/>
          <w:szCs w:val="24"/>
          <w:lang w:eastAsia="zh-CN"/>
        </w:rPr>
        <w:t>月航次调查海域游泳动物渔获率和资源密度</w:t>
      </w:r>
    </w:p>
    <w:tbl>
      <w:tblPr>
        <w:tblW w:w="0" w:type="auto"/>
        <w:tblInd w:w="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52"/>
        <w:gridCol w:w="660"/>
        <w:gridCol w:w="1944"/>
        <w:gridCol w:w="2016"/>
        <w:gridCol w:w="1874"/>
        <w:gridCol w:w="1772"/>
      </w:tblGrid>
      <w:tr w:rsidR="0075791A" w14:paraId="4AA61048" w14:textId="77777777">
        <w:trPr>
          <w:trHeight w:hRule="exact" w:val="330"/>
        </w:trPr>
        <w:tc>
          <w:tcPr>
            <w:tcW w:w="652" w:type="dxa"/>
            <w:vMerge w:val="restart"/>
            <w:tcBorders>
              <w:tl2br w:val="nil"/>
              <w:tr2bl w:val="nil"/>
            </w:tcBorders>
            <w:vAlign w:val="center"/>
          </w:tcPr>
          <w:p w14:paraId="7908A90E" w14:textId="77777777" w:rsidR="0075791A" w:rsidRDefault="00FB2864">
            <w:pPr>
              <w:pStyle w:val="TableParagraph"/>
              <w:ind w:left="102"/>
              <w:rPr>
                <w:rFonts w:ascii="宋体" w:eastAsia="宋体" w:hAnsi="宋体" w:cs="宋体"/>
                <w:color w:val="auto"/>
              </w:rPr>
            </w:pPr>
            <w:r>
              <w:rPr>
                <w:rFonts w:ascii="宋体" w:eastAsia="宋体" w:hAnsi="宋体" w:cs="宋体"/>
                <w:color w:val="auto"/>
                <w:spacing w:val="-1"/>
              </w:rPr>
              <w:t>作</w:t>
            </w:r>
            <w:r>
              <w:rPr>
                <w:rFonts w:ascii="宋体" w:eastAsia="宋体" w:hAnsi="宋体" w:cs="宋体"/>
                <w:color w:val="auto"/>
                <w:spacing w:val="2"/>
              </w:rPr>
              <w:t>业</w:t>
            </w:r>
            <w:r>
              <w:rPr>
                <w:rFonts w:ascii="宋体" w:eastAsia="宋体" w:hAnsi="宋体" w:cs="宋体"/>
                <w:color w:val="auto"/>
                <w:spacing w:val="-1"/>
              </w:rPr>
              <w:lastRenderedPageBreak/>
              <w:t>方</w:t>
            </w:r>
            <w:r>
              <w:rPr>
                <w:rFonts w:ascii="宋体" w:eastAsia="宋体" w:hAnsi="宋体" w:cs="宋体"/>
                <w:color w:val="auto"/>
              </w:rPr>
              <w:t>式</w:t>
            </w:r>
          </w:p>
        </w:tc>
        <w:tc>
          <w:tcPr>
            <w:tcW w:w="660" w:type="dxa"/>
            <w:vMerge w:val="restart"/>
            <w:tcBorders>
              <w:tl2br w:val="nil"/>
              <w:tr2bl w:val="nil"/>
            </w:tcBorders>
            <w:vAlign w:val="center"/>
          </w:tcPr>
          <w:p w14:paraId="5C4A6A22" w14:textId="77777777" w:rsidR="0075791A" w:rsidRDefault="00FB2864">
            <w:pPr>
              <w:pStyle w:val="TableParagraph"/>
              <w:ind w:left="172"/>
              <w:rPr>
                <w:rFonts w:ascii="宋体" w:eastAsia="宋体" w:hAnsi="宋体" w:cs="宋体"/>
                <w:color w:val="auto"/>
              </w:rPr>
            </w:pPr>
            <w:r>
              <w:rPr>
                <w:rFonts w:ascii="宋体" w:eastAsia="宋体" w:hAnsi="宋体" w:cs="宋体"/>
                <w:color w:val="auto"/>
                <w:spacing w:val="-1"/>
              </w:rPr>
              <w:lastRenderedPageBreak/>
              <w:t>站</w:t>
            </w:r>
            <w:r>
              <w:rPr>
                <w:rFonts w:ascii="宋体" w:eastAsia="宋体" w:hAnsi="宋体" w:cs="宋体"/>
                <w:color w:val="auto"/>
              </w:rPr>
              <w:t>位</w:t>
            </w:r>
          </w:p>
        </w:tc>
        <w:tc>
          <w:tcPr>
            <w:tcW w:w="3960" w:type="dxa"/>
            <w:gridSpan w:val="2"/>
            <w:tcBorders>
              <w:tl2br w:val="nil"/>
              <w:tr2bl w:val="nil"/>
            </w:tcBorders>
            <w:vAlign w:val="center"/>
          </w:tcPr>
          <w:p w14:paraId="2DD6717F" w14:textId="77777777" w:rsidR="0075791A" w:rsidRDefault="00FB2864">
            <w:pPr>
              <w:pStyle w:val="TableParagraph"/>
              <w:spacing w:line="316" w:lineRule="exact"/>
              <w:jc w:val="center"/>
              <w:rPr>
                <w:rFonts w:ascii="Adobe 黑体 Std R" w:eastAsia="Adobe 黑体 Std R" w:hAnsi="Adobe 黑体 Std R" w:cs="Adobe 黑体 Std R"/>
                <w:color w:val="auto"/>
              </w:rPr>
            </w:pPr>
            <w:r>
              <w:rPr>
                <w:rFonts w:ascii="Adobe 黑体 Std R" w:eastAsia="Adobe 黑体 Std R" w:hAnsi="Adobe 黑体 Std R" w:cs="Adobe 黑体 Std R"/>
                <w:color w:val="auto"/>
                <w:spacing w:val="-1"/>
              </w:rPr>
              <w:t>渔</w:t>
            </w:r>
            <w:r>
              <w:rPr>
                <w:rFonts w:ascii="Adobe 黑体 Std R" w:eastAsia="Adobe 黑体 Std R" w:hAnsi="Adobe 黑体 Std R" w:cs="Adobe 黑体 Std R"/>
                <w:color w:val="auto"/>
                <w:spacing w:val="2"/>
              </w:rPr>
              <w:t>获</w:t>
            </w:r>
            <w:r>
              <w:rPr>
                <w:rFonts w:ascii="Adobe 黑体 Std R" w:eastAsia="Adobe 黑体 Std R" w:hAnsi="Adobe 黑体 Std R" w:cs="Adobe 黑体 Std R"/>
                <w:color w:val="auto"/>
              </w:rPr>
              <w:t>率</w:t>
            </w:r>
          </w:p>
        </w:tc>
        <w:tc>
          <w:tcPr>
            <w:tcW w:w="3646" w:type="dxa"/>
            <w:gridSpan w:val="2"/>
            <w:tcBorders>
              <w:tl2br w:val="nil"/>
              <w:tr2bl w:val="nil"/>
            </w:tcBorders>
            <w:vAlign w:val="center"/>
          </w:tcPr>
          <w:p w14:paraId="16CCD222" w14:textId="77777777" w:rsidR="0075791A" w:rsidRDefault="00FB2864">
            <w:pPr>
              <w:pStyle w:val="TableParagraph"/>
              <w:spacing w:line="316" w:lineRule="exact"/>
              <w:ind w:right="3"/>
              <w:jc w:val="center"/>
              <w:rPr>
                <w:rFonts w:ascii="Adobe 黑体 Std R" w:eastAsia="Adobe 黑体 Std R" w:hAnsi="Adobe 黑体 Std R" w:cs="Adobe 黑体 Std R"/>
                <w:color w:val="auto"/>
              </w:rPr>
            </w:pPr>
            <w:r>
              <w:rPr>
                <w:rFonts w:ascii="Adobe 黑体 Std R" w:eastAsia="Adobe 黑体 Std R" w:hAnsi="Adobe 黑体 Std R" w:cs="Adobe 黑体 Std R"/>
                <w:color w:val="auto"/>
                <w:spacing w:val="-1"/>
              </w:rPr>
              <w:t>资</w:t>
            </w:r>
            <w:r>
              <w:rPr>
                <w:rFonts w:ascii="Adobe 黑体 Std R" w:eastAsia="Adobe 黑体 Std R" w:hAnsi="Adobe 黑体 Std R" w:cs="Adobe 黑体 Std R"/>
                <w:color w:val="auto"/>
                <w:spacing w:val="2"/>
              </w:rPr>
              <w:t>源</w:t>
            </w:r>
            <w:r>
              <w:rPr>
                <w:rFonts w:ascii="Adobe 黑体 Std R" w:eastAsia="Adobe 黑体 Std R" w:hAnsi="Adobe 黑体 Std R" w:cs="Adobe 黑体 Std R"/>
                <w:color w:val="auto"/>
                <w:spacing w:val="-1"/>
              </w:rPr>
              <w:t>密</w:t>
            </w:r>
            <w:r>
              <w:rPr>
                <w:rFonts w:ascii="Adobe 黑体 Std R" w:eastAsia="Adobe 黑体 Std R" w:hAnsi="Adobe 黑体 Std R" w:cs="Adobe 黑体 Std R"/>
                <w:color w:val="auto"/>
              </w:rPr>
              <w:t>度</w:t>
            </w:r>
          </w:p>
        </w:tc>
      </w:tr>
      <w:tr w:rsidR="0075791A" w14:paraId="63BFC202" w14:textId="77777777">
        <w:trPr>
          <w:trHeight w:hRule="exact" w:val="652"/>
        </w:trPr>
        <w:tc>
          <w:tcPr>
            <w:tcW w:w="652" w:type="dxa"/>
            <w:vMerge/>
            <w:tcBorders>
              <w:tl2br w:val="nil"/>
              <w:tr2bl w:val="nil"/>
            </w:tcBorders>
            <w:vAlign w:val="center"/>
          </w:tcPr>
          <w:p w14:paraId="5FCB8142" w14:textId="77777777" w:rsidR="0075791A" w:rsidRDefault="0075791A">
            <w:pPr>
              <w:rPr>
                <w:color w:val="auto"/>
              </w:rPr>
            </w:pPr>
          </w:p>
        </w:tc>
        <w:tc>
          <w:tcPr>
            <w:tcW w:w="660" w:type="dxa"/>
            <w:vMerge/>
            <w:tcBorders>
              <w:tl2br w:val="nil"/>
              <w:tr2bl w:val="nil"/>
            </w:tcBorders>
            <w:vAlign w:val="center"/>
          </w:tcPr>
          <w:p w14:paraId="1D2A986C" w14:textId="77777777" w:rsidR="0075791A" w:rsidRDefault="0075791A">
            <w:pPr>
              <w:rPr>
                <w:color w:val="auto"/>
              </w:rPr>
            </w:pPr>
          </w:p>
        </w:tc>
        <w:tc>
          <w:tcPr>
            <w:tcW w:w="1944" w:type="dxa"/>
            <w:tcBorders>
              <w:tl2br w:val="nil"/>
              <w:tr2bl w:val="nil"/>
            </w:tcBorders>
            <w:tcMar>
              <w:top w:w="0" w:type="dxa"/>
              <w:left w:w="0" w:type="dxa"/>
              <w:bottom w:w="0" w:type="dxa"/>
              <w:right w:w="0" w:type="dxa"/>
            </w:tcMar>
            <w:vAlign w:val="center"/>
          </w:tcPr>
          <w:p w14:paraId="062619BD" w14:textId="77777777" w:rsidR="0075791A" w:rsidRDefault="00FB2864">
            <w:pPr>
              <w:pStyle w:val="TableParagraph"/>
              <w:spacing w:line="285" w:lineRule="exact"/>
              <w:jc w:val="center"/>
              <w:rPr>
                <w:rFonts w:ascii="宋体" w:eastAsia="宋体" w:hAnsi="宋体" w:cs="宋体"/>
                <w:color w:val="auto"/>
                <w:lang w:eastAsia="zh-CN"/>
              </w:rPr>
            </w:pPr>
            <w:r>
              <w:rPr>
                <w:rFonts w:ascii="宋体" w:eastAsia="宋体" w:hAnsi="宋体" w:cs="宋体"/>
                <w:color w:val="auto"/>
                <w:spacing w:val="-1"/>
                <w:lang w:eastAsia="zh-CN"/>
              </w:rPr>
              <w:t>重</w:t>
            </w:r>
            <w:r>
              <w:rPr>
                <w:rFonts w:ascii="宋体" w:eastAsia="宋体" w:hAnsi="宋体" w:cs="宋体"/>
                <w:color w:val="auto"/>
                <w:spacing w:val="2"/>
                <w:lang w:eastAsia="zh-CN"/>
              </w:rPr>
              <w:t>量</w:t>
            </w:r>
            <w:r>
              <w:rPr>
                <w:rFonts w:ascii="宋体" w:eastAsia="宋体" w:hAnsi="宋体" w:cs="宋体"/>
                <w:color w:val="auto"/>
                <w:spacing w:val="-1"/>
                <w:lang w:eastAsia="zh-CN"/>
              </w:rPr>
              <w:t>渔</w:t>
            </w:r>
            <w:r>
              <w:rPr>
                <w:rFonts w:ascii="宋体" w:eastAsia="宋体" w:hAnsi="宋体" w:cs="宋体"/>
                <w:color w:val="auto"/>
                <w:spacing w:val="2"/>
                <w:lang w:eastAsia="zh-CN"/>
              </w:rPr>
              <w:t>获</w:t>
            </w:r>
            <w:r>
              <w:rPr>
                <w:rFonts w:ascii="宋体" w:eastAsia="宋体" w:hAnsi="宋体" w:cs="宋体"/>
                <w:color w:val="auto"/>
                <w:lang w:eastAsia="zh-CN"/>
              </w:rPr>
              <w:t>率</w:t>
            </w:r>
            <w:r>
              <w:rPr>
                <w:rFonts w:ascii="宋体" w:eastAsia="宋体" w:hAnsi="宋体" w:cs="宋体"/>
                <w:color w:val="auto"/>
                <w:spacing w:val="-1"/>
                <w:lang w:eastAsia="zh-CN"/>
              </w:rPr>
              <w:t>（</w:t>
            </w:r>
            <w:r>
              <w:rPr>
                <w:rFonts w:ascii="Times New Roman" w:eastAsia="Times New Roman" w:hAnsi="Times New Roman" w:cs="Times New Roman"/>
                <w:color w:val="auto"/>
                <w:spacing w:val="-2"/>
                <w:lang w:eastAsia="zh-CN"/>
              </w:rPr>
              <w:t>kg</w:t>
            </w:r>
            <w:r>
              <w:rPr>
                <w:rFonts w:ascii="Times New Roman" w:eastAsia="Times New Roman" w:hAnsi="Times New Roman" w:cs="Times New Roman"/>
                <w:color w:val="auto"/>
                <w:spacing w:val="2"/>
                <w:lang w:eastAsia="zh-CN"/>
              </w:rPr>
              <w:t>/</w:t>
            </w:r>
            <w:r>
              <w:rPr>
                <w:rFonts w:ascii="Times New Roman" w:eastAsia="Times New Roman" w:hAnsi="Times New Roman" w:cs="Times New Roman"/>
                <w:color w:val="auto"/>
                <w:spacing w:val="3"/>
                <w:lang w:eastAsia="zh-CN"/>
              </w:rPr>
              <w:t>h</w:t>
            </w:r>
            <w:r>
              <w:rPr>
                <w:rFonts w:ascii="宋体" w:eastAsia="宋体" w:hAnsi="宋体" w:cs="宋体"/>
                <w:color w:val="auto"/>
                <w:lang w:eastAsia="zh-CN"/>
              </w:rPr>
              <w:t>）</w:t>
            </w:r>
          </w:p>
        </w:tc>
        <w:tc>
          <w:tcPr>
            <w:tcW w:w="2016" w:type="dxa"/>
            <w:tcBorders>
              <w:tl2br w:val="nil"/>
              <w:tr2bl w:val="nil"/>
            </w:tcBorders>
            <w:tcMar>
              <w:top w:w="0" w:type="dxa"/>
              <w:left w:w="0" w:type="dxa"/>
              <w:bottom w:w="0" w:type="dxa"/>
              <w:right w:w="0" w:type="dxa"/>
            </w:tcMar>
            <w:vAlign w:val="center"/>
          </w:tcPr>
          <w:p w14:paraId="7EB62B77" w14:textId="77777777" w:rsidR="0075791A" w:rsidRDefault="00FB2864">
            <w:pPr>
              <w:pStyle w:val="TableParagraph"/>
              <w:spacing w:line="285" w:lineRule="exact"/>
              <w:jc w:val="center"/>
              <w:rPr>
                <w:rFonts w:ascii="宋体" w:eastAsia="宋体" w:hAnsi="宋体" w:cs="宋体"/>
                <w:color w:val="auto"/>
                <w:lang w:eastAsia="zh-CN"/>
              </w:rPr>
            </w:pPr>
            <w:r>
              <w:rPr>
                <w:rFonts w:ascii="宋体" w:eastAsia="宋体" w:hAnsi="宋体" w:cs="宋体"/>
                <w:color w:val="auto"/>
                <w:spacing w:val="-1"/>
                <w:lang w:eastAsia="zh-CN"/>
              </w:rPr>
              <w:t>个</w:t>
            </w:r>
            <w:r>
              <w:rPr>
                <w:rFonts w:ascii="宋体" w:eastAsia="宋体" w:hAnsi="宋体" w:cs="宋体"/>
                <w:color w:val="auto"/>
                <w:spacing w:val="2"/>
                <w:lang w:eastAsia="zh-CN"/>
              </w:rPr>
              <w:t>体</w:t>
            </w:r>
            <w:r>
              <w:rPr>
                <w:rFonts w:ascii="宋体" w:eastAsia="宋体" w:hAnsi="宋体" w:cs="宋体"/>
                <w:color w:val="auto"/>
                <w:spacing w:val="-1"/>
                <w:lang w:eastAsia="zh-CN"/>
              </w:rPr>
              <w:t>渔</w:t>
            </w:r>
            <w:r>
              <w:rPr>
                <w:rFonts w:ascii="宋体" w:eastAsia="宋体" w:hAnsi="宋体" w:cs="宋体"/>
                <w:color w:val="auto"/>
                <w:spacing w:val="2"/>
                <w:lang w:eastAsia="zh-CN"/>
              </w:rPr>
              <w:t>获</w:t>
            </w:r>
            <w:r>
              <w:rPr>
                <w:rFonts w:ascii="宋体" w:eastAsia="宋体" w:hAnsi="宋体" w:cs="宋体"/>
                <w:color w:val="auto"/>
                <w:lang w:eastAsia="zh-CN"/>
              </w:rPr>
              <w:t>率</w:t>
            </w:r>
            <w:r>
              <w:rPr>
                <w:rFonts w:ascii="宋体" w:eastAsia="宋体" w:hAnsi="宋体" w:cs="宋体"/>
                <w:color w:val="auto"/>
                <w:spacing w:val="-1"/>
                <w:lang w:eastAsia="zh-CN"/>
              </w:rPr>
              <w:t>（</w:t>
            </w:r>
            <w:r>
              <w:rPr>
                <w:rFonts w:ascii="Times New Roman" w:eastAsia="Times New Roman" w:hAnsi="Times New Roman" w:cs="Times New Roman"/>
                <w:color w:val="auto"/>
                <w:spacing w:val="-1"/>
                <w:lang w:eastAsia="zh-CN"/>
              </w:rPr>
              <w:t>i</w:t>
            </w:r>
            <w:r>
              <w:rPr>
                <w:rFonts w:ascii="Times New Roman" w:eastAsia="Times New Roman" w:hAnsi="Times New Roman" w:cs="Times New Roman"/>
                <w:color w:val="auto"/>
                <w:spacing w:val="1"/>
                <w:lang w:eastAsia="zh-CN"/>
              </w:rPr>
              <w:t>nd</w:t>
            </w:r>
            <w:r>
              <w:rPr>
                <w:rFonts w:ascii="Times New Roman" w:eastAsia="Times New Roman" w:hAnsi="Times New Roman" w:cs="Times New Roman"/>
                <w:color w:val="auto"/>
                <w:spacing w:val="-1"/>
                <w:lang w:eastAsia="zh-CN"/>
              </w:rPr>
              <w:t>/</w:t>
            </w:r>
            <w:r>
              <w:rPr>
                <w:rFonts w:ascii="Times New Roman" w:eastAsia="Times New Roman" w:hAnsi="Times New Roman" w:cs="Times New Roman"/>
                <w:color w:val="auto"/>
                <w:spacing w:val="1"/>
                <w:lang w:eastAsia="zh-CN"/>
              </w:rPr>
              <w:t>h</w:t>
            </w:r>
            <w:r>
              <w:rPr>
                <w:rFonts w:ascii="宋体" w:eastAsia="宋体" w:hAnsi="宋体" w:cs="宋体"/>
                <w:color w:val="auto"/>
                <w:lang w:eastAsia="zh-CN"/>
              </w:rPr>
              <w:t>）</w:t>
            </w:r>
          </w:p>
        </w:tc>
        <w:tc>
          <w:tcPr>
            <w:tcW w:w="1874" w:type="dxa"/>
            <w:tcBorders>
              <w:tl2br w:val="nil"/>
              <w:tr2bl w:val="nil"/>
            </w:tcBorders>
            <w:tcMar>
              <w:top w:w="0" w:type="dxa"/>
              <w:left w:w="0" w:type="dxa"/>
              <w:bottom w:w="0" w:type="dxa"/>
              <w:right w:w="0" w:type="dxa"/>
            </w:tcMar>
            <w:vAlign w:val="center"/>
          </w:tcPr>
          <w:p w14:paraId="2DAE8332" w14:textId="77777777" w:rsidR="0075791A" w:rsidRDefault="00FB2864">
            <w:pPr>
              <w:pStyle w:val="TableParagraph"/>
              <w:spacing w:line="285" w:lineRule="exact"/>
              <w:jc w:val="center"/>
              <w:rPr>
                <w:rFonts w:ascii="宋体" w:eastAsia="宋体" w:hAnsi="宋体" w:cs="宋体"/>
                <w:color w:val="auto"/>
              </w:rPr>
            </w:pPr>
            <w:r>
              <w:rPr>
                <w:rFonts w:ascii="宋体" w:eastAsia="宋体" w:hAnsi="宋体" w:cs="宋体"/>
                <w:color w:val="auto"/>
                <w:spacing w:val="-1"/>
              </w:rPr>
              <w:t>重</w:t>
            </w:r>
            <w:r>
              <w:rPr>
                <w:rFonts w:ascii="宋体" w:eastAsia="宋体" w:hAnsi="宋体" w:cs="宋体"/>
                <w:color w:val="auto"/>
                <w:spacing w:val="2"/>
              </w:rPr>
              <w:t>量</w:t>
            </w:r>
            <w:r>
              <w:rPr>
                <w:rFonts w:ascii="宋体" w:eastAsia="宋体" w:hAnsi="宋体" w:cs="宋体"/>
                <w:color w:val="auto"/>
                <w:spacing w:val="-1"/>
              </w:rPr>
              <w:t>资</w:t>
            </w:r>
            <w:r>
              <w:rPr>
                <w:rFonts w:ascii="宋体" w:eastAsia="宋体" w:hAnsi="宋体" w:cs="宋体"/>
                <w:color w:val="auto"/>
                <w:spacing w:val="2"/>
              </w:rPr>
              <w:t>源</w:t>
            </w:r>
            <w:r>
              <w:rPr>
                <w:rFonts w:ascii="宋体" w:eastAsia="宋体" w:hAnsi="宋体" w:cs="宋体"/>
                <w:color w:val="auto"/>
                <w:spacing w:val="-1"/>
              </w:rPr>
              <w:t>密</w:t>
            </w:r>
            <w:r>
              <w:rPr>
                <w:rFonts w:ascii="宋体" w:eastAsia="宋体" w:hAnsi="宋体" w:cs="宋体"/>
                <w:color w:val="auto"/>
              </w:rPr>
              <w:t>度</w:t>
            </w:r>
          </w:p>
          <w:p w14:paraId="1AEBDE85" w14:textId="77777777" w:rsidR="0075791A" w:rsidRDefault="00FB2864">
            <w:pPr>
              <w:pStyle w:val="TableParagraph"/>
              <w:spacing w:line="285" w:lineRule="exact"/>
              <w:jc w:val="center"/>
              <w:rPr>
                <w:rFonts w:ascii="宋体" w:eastAsia="宋体" w:hAnsi="宋体" w:cs="宋体"/>
                <w:color w:val="auto"/>
              </w:rPr>
            </w:pPr>
            <w:r>
              <w:rPr>
                <w:rFonts w:ascii="宋体" w:eastAsia="宋体" w:hAnsi="宋体" w:cs="宋体"/>
                <w:color w:val="auto"/>
                <w:spacing w:val="-1"/>
              </w:rPr>
              <w:t>（</w:t>
            </w:r>
            <w:r>
              <w:rPr>
                <w:rFonts w:ascii="Times New Roman" w:eastAsia="Times New Roman" w:hAnsi="Times New Roman" w:cs="Times New Roman"/>
                <w:color w:val="auto"/>
                <w:spacing w:val="-2"/>
              </w:rPr>
              <w:t>kg</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k</w:t>
            </w:r>
            <w:r>
              <w:rPr>
                <w:rFonts w:ascii="Times New Roman" w:eastAsia="Times New Roman" w:hAnsi="Times New Roman" w:cs="Times New Roman"/>
                <w:color w:val="auto"/>
              </w:rPr>
              <w:t>m</w:t>
            </w:r>
            <w:r>
              <w:rPr>
                <w:rFonts w:ascii="Times New Roman" w:eastAsia="Times New Roman" w:hAnsi="Times New Roman" w:cs="Times New Roman"/>
                <w:color w:val="auto"/>
                <w:position w:val="7"/>
                <w:sz w:val="13"/>
                <w:szCs w:val="13"/>
              </w:rPr>
              <w:t>2</w:t>
            </w:r>
            <w:r>
              <w:rPr>
                <w:rFonts w:ascii="宋体" w:eastAsia="宋体" w:hAnsi="宋体" w:cs="宋体"/>
                <w:color w:val="auto"/>
              </w:rPr>
              <w:t>）</w:t>
            </w:r>
          </w:p>
        </w:tc>
        <w:tc>
          <w:tcPr>
            <w:tcW w:w="1772" w:type="dxa"/>
            <w:tcBorders>
              <w:tl2br w:val="nil"/>
              <w:tr2bl w:val="nil"/>
            </w:tcBorders>
            <w:tcMar>
              <w:top w:w="0" w:type="dxa"/>
              <w:left w:w="0" w:type="dxa"/>
              <w:bottom w:w="0" w:type="dxa"/>
              <w:right w:w="0" w:type="dxa"/>
            </w:tcMar>
            <w:vAlign w:val="center"/>
          </w:tcPr>
          <w:p w14:paraId="65C4677C" w14:textId="77777777" w:rsidR="0075791A" w:rsidRDefault="00FB2864">
            <w:pPr>
              <w:pStyle w:val="TableParagraph"/>
              <w:spacing w:line="285" w:lineRule="exact"/>
              <w:jc w:val="center"/>
              <w:rPr>
                <w:rFonts w:ascii="宋体" w:eastAsia="宋体" w:hAnsi="宋体" w:cs="宋体"/>
                <w:color w:val="auto"/>
              </w:rPr>
            </w:pPr>
            <w:r>
              <w:rPr>
                <w:rFonts w:ascii="宋体" w:eastAsia="宋体" w:hAnsi="宋体" w:cs="宋体"/>
                <w:color w:val="auto"/>
                <w:spacing w:val="-1"/>
              </w:rPr>
              <w:t>个</w:t>
            </w:r>
            <w:r>
              <w:rPr>
                <w:rFonts w:ascii="宋体" w:eastAsia="宋体" w:hAnsi="宋体" w:cs="宋体"/>
                <w:color w:val="auto"/>
                <w:spacing w:val="2"/>
              </w:rPr>
              <w:t>体</w:t>
            </w:r>
            <w:r>
              <w:rPr>
                <w:rFonts w:ascii="宋体" w:eastAsia="宋体" w:hAnsi="宋体" w:cs="宋体"/>
                <w:color w:val="auto"/>
                <w:spacing w:val="-1"/>
              </w:rPr>
              <w:t>资</w:t>
            </w:r>
            <w:r>
              <w:rPr>
                <w:rFonts w:ascii="宋体" w:eastAsia="宋体" w:hAnsi="宋体" w:cs="宋体"/>
                <w:color w:val="auto"/>
                <w:spacing w:val="2"/>
              </w:rPr>
              <w:t>源</w:t>
            </w:r>
            <w:r>
              <w:rPr>
                <w:rFonts w:ascii="宋体" w:eastAsia="宋体" w:hAnsi="宋体" w:cs="宋体"/>
                <w:color w:val="auto"/>
                <w:spacing w:val="-1"/>
              </w:rPr>
              <w:t>密</w:t>
            </w:r>
            <w:r>
              <w:rPr>
                <w:rFonts w:ascii="宋体" w:eastAsia="宋体" w:hAnsi="宋体" w:cs="宋体"/>
                <w:color w:val="auto"/>
              </w:rPr>
              <w:t>度</w:t>
            </w:r>
          </w:p>
          <w:p w14:paraId="3AC2F1B7" w14:textId="77777777" w:rsidR="0075791A" w:rsidRDefault="00FB2864">
            <w:pPr>
              <w:pStyle w:val="TableParagraph"/>
              <w:spacing w:line="285" w:lineRule="exact"/>
              <w:jc w:val="center"/>
              <w:rPr>
                <w:rFonts w:ascii="宋体" w:eastAsia="宋体" w:hAnsi="宋体" w:cs="宋体"/>
                <w:color w:val="auto"/>
              </w:rPr>
            </w:pPr>
            <w:r>
              <w:rPr>
                <w:rFonts w:ascii="宋体" w:eastAsia="宋体" w:hAnsi="宋体" w:cs="宋体"/>
                <w:color w:val="auto"/>
                <w:spacing w:val="-1"/>
              </w:rPr>
              <w:t>（</w:t>
            </w:r>
            <w:r>
              <w:rPr>
                <w:rFonts w:ascii="Times New Roman" w:eastAsia="Times New Roman" w:hAnsi="Times New Roman" w:cs="Times New Roman"/>
                <w:color w:val="auto"/>
                <w:spacing w:val="-1"/>
              </w:rPr>
              <w:t>i</w:t>
            </w:r>
            <w:r>
              <w:rPr>
                <w:rFonts w:ascii="Times New Roman" w:eastAsia="Times New Roman" w:hAnsi="Times New Roman" w:cs="Times New Roman"/>
                <w:color w:val="auto"/>
                <w:spacing w:val="1"/>
              </w:rPr>
              <w:t>nd</w:t>
            </w:r>
            <w:r>
              <w:rPr>
                <w:rFonts w:ascii="Times New Roman" w:eastAsia="Times New Roman" w:hAnsi="Times New Roman" w:cs="Times New Roman"/>
                <w:color w:val="auto"/>
                <w:spacing w:val="-1"/>
              </w:rPr>
              <w:t>/</w:t>
            </w:r>
            <w:r>
              <w:rPr>
                <w:rFonts w:ascii="Times New Roman" w:eastAsia="Times New Roman" w:hAnsi="Times New Roman" w:cs="Times New Roman"/>
                <w:color w:val="auto"/>
                <w:spacing w:val="-2"/>
              </w:rPr>
              <w:t>k</w:t>
            </w:r>
            <w:r>
              <w:rPr>
                <w:rFonts w:ascii="Times New Roman" w:eastAsia="Times New Roman" w:hAnsi="Times New Roman" w:cs="Times New Roman"/>
                <w:color w:val="auto"/>
                <w:spacing w:val="3"/>
              </w:rPr>
              <w:t>m</w:t>
            </w:r>
            <w:r>
              <w:rPr>
                <w:rFonts w:ascii="Times New Roman" w:eastAsia="Times New Roman" w:hAnsi="Times New Roman" w:cs="Times New Roman"/>
                <w:color w:val="auto"/>
                <w:position w:val="7"/>
                <w:sz w:val="13"/>
                <w:szCs w:val="13"/>
              </w:rPr>
              <w:t>2</w:t>
            </w:r>
            <w:r>
              <w:rPr>
                <w:rFonts w:ascii="宋体" w:eastAsia="宋体" w:hAnsi="宋体" w:cs="宋体"/>
                <w:color w:val="auto"/>
              </w:rPr>
              <w:t>）</w:t>
            </w:r>
          </w:p>
        </w:tc>
      </w:tr>
      <w:tr w:rsidR="0075791A" w14:paraId="4ABDC7E5" w14:textId="77777777">
        <w:trPr>
          <w:trHeight w:val="397"/>
        </w:trPr>
        <w:tc>
          <w:tcPr>
            <w:tcW w:w="652" w:type="dxa"/>
            <w:vMerge w:val="restart"/>
            <w:tcBorders>
              <w:tl2br w:val="nil"/>
              <w:tr2bl w:val="nil"/>
            </w:tcBorders>
            <w:vAlign w:val="center"/>
          </w:tcPr>
          <w:p w14:paraId="4E82C056" w14:textId="77777777" w:rsidR="0075791A" w:rsidRDefault="00FB2864">
            <w:pPr>
              <w:pStyle w:val="TableParagraph"/>
              <w:spacing w:line="263" w:lineRule="exact"/>
              <w:ind w:left="314"/>
              <w:rPr>
                <w:rFonts w:ascii="宋体" w:eastAsia="宋体" w:hAnsi="宋体" w:cs="宋体"/>
                <w:color w:val="auto"/>
              </w:rPr>
            </w:pPr>
            <w:r>
              <w:rPr>
                <w:rFonts w:ascii="宋体" w:eastAsia="宋体" w:hAnsi="宋体" w:cs="宋体"/>
                <w:color w:val="auto"/>
                <w:spacing w:val="-1"/>
              </w:rPr>
              <w:t>拖</w:t>
            </w:r>
            <w:r>
              <w:rPr>
                <w:rFonts w:ascii="宋体" w:eastAsia="宋体" w:hAnsi="宋体" w:cs="宋体"/>
                <w:color w:val="auto"/>
              </w:rPr>
              <w:t>网</w:t>
            </w:r>
          </w:p>
        </w:tc>
        <w:tc>
          <w:tcPr>
            <w:tcW w:w="660" w:type="dxa"/>
            <w:tcBorders>
              <w:tl2br w:val="nil"/>
              <w:tr2bl w:val="nil"/>
            </w:tcBorders>
            <w:vAlign w:val="center"/>
          </w:tcPr>
          <w:p w14:paraId="09197584" w14:textId="77777777" w:rsidR="0075791A" w:rsidRDefault="00FB2864">
            <w:pPr>
              <w:pStyle w:val="TableParagraph"/>
              <w:spacing w:before="40"/>
              <w:ind w:left="253"/>
              <w:rPr>
                <w:rFonts w:ascii="Times New Roman" w:eastAsia="Times New Roman" w:hAnsi="Times New Roman" w:cs="Times New Roman"/>
                <w:color w:val="auto"/>
              </w:rPr>
            </w:pPr>
            <w:r>
              <w:rPr>
                <w:rFonts w:ascii="Times New Roman" w:eastAsia="Times New Roman" w:hAnsi="Times New Roman" w:cs="Times New Roman"/>
                <w:color w:val="auto"/>
              </w:rPr>
              <w:t>H2</w:t>
            </w:r>
          </w:p>
        </w:tc>
        <w:tc>
          <w:tcPr>
            <w:tcW w:w="1944" w:type="dxa"/>
            <w:tcBorders>
              <w:tl2br w:val="nil"/>
              <w:tr2bl w:val="nil"/>
            </w:tcBorders>
            <w:vAlign w:val="center"/>
          </w:tcPr>
          <w:p w14:paraId="30BE0D5D" w14:textId="77777777" w:rsidR="0075791A" w:rsidRDefault="00FB2864">
            <w:pPr>
              <w:pStyle w:val="TableParagraph"/>
              <w:spacing w:before="40"/>
              <w:ind w:left="674" w:right="6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3</w:t>
            </w:r>
          </w:p>
        </w:tc>
        <w:tc>
          <w:tcPr>
            <w:tcW w:w="2016" w:type="dxa"/>
            <w:tcBorders>
              <w:tl2br w:val="nil"/>
              <w:tr2bl w:val="nil"/>
            </w:tcBorders>
            <w:vAlign w:val="center"/>
          </w:tcPr>
          <w:p w14:paraId="06137C69" w14:textId="77777777" w:rsidR="0075791A" w:rsidRDefault="00FB2864">
            <w:pPr>
              <w:pStyle w:val="TableParagraph"/>
              <w:spacing w:before="40"/>
              <w:ind w:left="571" w:right="57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533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1</w:t>
            </w:r>
            <w:r>
              <w:rPr>
                <w:rFonts w:ascii="Times New Roman" w:eastAsia="Times New Roman" w:hAnsi="Times New Roman" w:cs="Times New Roman"/>
                <w:color w:val="auto"/>
              </w:rPr>
              <w:t>8</w:t>
            </w:r>
          </w:p>
        </w:tc>
        <w:tc>
          <w:tcPr>
            <w:tcW w:w="1874" w:type="dxa"/>
            <w:tcBorders>
              <w:tl2br w:val="nil"/>
              <w:tr2bl w:val="nil"/>
            </w:tcBorders>
            <w:vAlign w:val="center"/>
          </w:tcPr>
          <w:p w14:paraId="34987088" w14:textId="77777777" w:rsidR="0075791A" w:rsidRDefault="00FB2864">
            <w:pPr>
              <w:pStyle w:val="TableParagraph"/>
              <w:spacing w:before="40"/>
              <w:ind w:left="569" w:right="57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328</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2</w:t>
            </w:r>
          </w:p>
        </w:tc>
        <w:tc>
          <w:tcPr>
            <w:tcW w:w="1772" w:type="dxa"/>
            <w:tcBorders>
              <w:tl2br w:val="nil"/>
              <w:tr2bl w:val="nil"/>
            </w:tcBorders>
            <w:vAlign w:val="center"/>
          </w:tcPr>
          <w:p w14:paraId="5721E793" w14:textId="77777777" w:rsidR="0075791A" w:rsidRDefault="00FB2864">
            <w:pPr>
              <w:pStyle w:val="TableParagraph"/>
              <w:spacing w:before="40"/>
              <w:ind w:left="488"/>
              <w:rPr>
                <w:rFonts w:ascii="Times New Roman" w:eastAsia="Times New Roman" w:hAnsi="Times New Roman" w:cs="Times New Roman"/>
                <w:color w:val="auto"/>
              </w:rPr>
            </w:pPr>
            <w:r>
              <w:rPr>
                <w:rFonts w:ascii="Times New Roman" w:eastAsia="Times New Roman" w:hAnsi="Times New Roman" w:cs="Times New Roman"/>
                <w:color w:val="auto"/>
                <w:spacing w:val="1"/>
              </w:rPr>
              <w:t>26</w:t>
            </w:r>
            <w:r>
              <w:rPr>
                <w:rFonts w:ascii="Times New Roman" w:eastAsia="Times New Roman" w:hAnsi="Times New Roman" w:cs="Times New Roman"/>
                <w:color w:val="auto"/>
                <w:spacing w:val="-2"/>
              </w:rPr>
              <w:t>3</w:t>
            </w:r>
            <w:r>
              <w:rPr>
                <w:rFonts w:ascii="Times New Roman" w:eastAsia="Times New Roman" w:hAnsi="Times New Roman" w:cs="Times New Roman"/>
                <w:color w:val="auto"/>
                <w:spacing w:val="1"/>
              </w:rPr>
              <w:t>64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2</w:t>
            </w:r>
          </w:p>
        </w:tc>
      </w:tr>
      <w:tr w:rsidR="0075791A" w14:paraId="1F9F9A32" w14:textId="77777777">
        <w:trPr>
          <w:trHeight w:val="397"/>
        </w:trPr>
        <w:tc>
          <w:tcPr>
            <w:tcW w:w="652" w:type="dxa"/>
            <w:vMerge/>
            <w:tcBorders>
              <w:tl2br w:val="nil"/>
              <w:tr2bl w:val="nil"/>
            </w:tcBorders>
            <w:vAlign w:val="center"/>
          </w:tcPr>
          <w:p w14:paraId="6DAA7FB2" w14:textId="77777777" w:rsidR="0075791A" w:rsidRDefault="0075791A">
            <w:pPr>
              <w:rPr>
                <w:color w:val="auto"/>
              </w:rPr>
            </w:pPr>
          </w:p>
        </w:tc>
        <w:tc>
          <w:tcPr>
            <w:tcW w:w="660" w:type="dxa"/>
            <w:tcBorders>
              <w:tl2br w:val="nil"/>
              <w:tr2bl w:val="nil"/>
            </w:tcBorders>
            <w:vAlign w:val="center"/>
          </w:tcPr>
          <w:p w14:paraId="40F1B1E5" w14:textId="77777777" w:rsidR="0075791A" w:rsidRDefault="00FB2864">
            <w:pPr>
              <w:pStyle w:val="TableParagraph"/>
              <w:spacing w:before="46"/>
              <w:ind w:left="253"/>
              <w:rPr>
                <w:rFonts w:ascii="Times New Roman" w:eastAsia="Times New Roman" w:hAnsi="Times New Roman" w:cs="Times New Roman"/>
                <w:color w:val="auto"/>
              </w:rPr>
            </w:pPr>
            <w:r>
              <w:rPr>
                <w:rFonts w:ascii="Times New Roman" w:eastAsia="Times New Roman" w:hAnsi="Times New Roman" w:cs="Times New Roman"/>
                <w:color w:val="auto"/>
              </w:rPr>
              <w:t>H5</w:t>
            </w:r>
          </w:p>
        </w:tc>
        <w:tc>
          <w:tcPr>
            <w:tcW w:w="1944" w:type="dxa"/>
            <w:tcBorders>
              <w:tl2br w:val="nil"/>
              <w:tr2bl w:val="nil"/>
            </w:tcBorders>
            <w:vAlign w:val="center"/>
          </w:tcPr>
          <w:p w14:paraId="13427D21" w14:textId="77777777" w:rsidR="0075791A" w:rsidRDefault="00FB2864">
            <w:pPr>
              <w:pStyle w:val="TableParagraph"/>
              <w:spacing w:before="46"/>
              <w:ind w:left="674" w:right="6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7</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9</w:t>
            </w:r>
          </w:p>
        </w:tc>
        <w:tc>
          <w:tcPr>
            <w:tcW w:w="2016" w:type="dxa"/>
            <w:tcBorders>
              <w:tl2br w:val="nil"/>
              <w:tr2bl w:val="nil"/>
            </w:tcBorders>
            <w:vAlign w:val="center"/>
          </w:tcPr>
          <w:p w14:paraId="78C713C8" w14:textId="77777777" w:rsidR="0075791A" w:rsidRDefault="00FB2864">
            <w:pPr>
              <w:pStyle w:val="TableParagraph"/>
              <w:spacing w:before="46"/>
              <w:ind w:left="571" w:right="57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487</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1</w:t>
            </w:r>
            <w:r>
              <w:rPr>
                <w:rFonts w:ascii="Times New Roman" w:eastAsia="Times New Roman" w:hAnsi="Times New Roman" w:cs="Times New Roman"/>
                <w:color w:val="auto"/>
              </w:rPr>
              <w:t>4</w:t>
            </w:r>
          </w:p>
        </w:tc>
        <w:tc>
          <w:tcPr>
            <w:tcW w:w="1874" w:type="dxa"/>
            <w:tcBorders>
              <w:tl2br w:val="nil"/>
              <w:tr2bl w:val="nil"/>
            </w:tcBorders>
            <w:vAlign w:val="center"/>
          </w:tcPr>
          <w:p w14:paraId="084ED3B9" w14:textId="77777777" w:rsidR="0075791A" w:rsidRDefault="00FB2864">
            <w:pPr>
              <w:pStyle w:val="TableParagraph"/>
              <w:spacing w:before="46"/>
              <w:ind w:left="569" w:right="57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400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5</w:t>
            </w:r>
            <w:r>
              <w:rPr>
                <w:rFonts w:ascii="Times New Roman" w:eastAsia="Times New Roman" w:hAnsi="Times New Roman" w:cs="Times New Roman"/>
                <w:color w:val="auto"/>
              </w:rPr>
              <w:t>1</w:t>
            </w:r>
          </w:p>
        </w:tc>
        <w:tc>
          <w:tcPr>
            <w:tcW w:w="1772" w:type="dxa"/>
            <w:tcBorders>
              <w:tl2br w:val="nil"/>
              <w:tr2bl w:val="nil"/>
            </w:tcBorders>
            <w:vAlign w:val="center"/>
          </w:tcPr>
          <w:p w14:paraId="531D219E" w14:textId="77777777" w:rsidR="0075791A" w:rsidRDefault="00FB2864">
            <w:pPr>
              <w:pStyle w:val="TableParagraph"/>
              <w:spacing w:before="46"/>
              <w:ind w:left="488"/>
              <w:rPr>
                <w:rFonts w:ascii="Times New Roman" w:eastAsia="Times New Roman" w:hAnsi="Times New Roman" w:cs="Times New Roman"/>
                <w:color w:val="auto"/>
              </w:rPr>
            </w:pPr>
            <w:r>
              <w:rPr>
                <w:rFonts w:ascii="Times New Roman" w:eastAsia="Times New Roman" w:hAnsi="Times New Roman" w:cs="Times New Roman"/>
                <w:color w:val="auto"/>
                <w:spacing w:val="1"/>
              </w:rPr>
              <w:t>25</w:t>
            </w:r>
            <w:r>
              <w:rPr>
                <w:rFonts w:ascii="Times New Roman" w:eastAsia="Times New Roman" w:hAnsi="Times New Roman" w:cs="Times New Roman"/>
                <w:color w:val="auto"/>
                <w:spacing w:val="-2"/>
              </w:rPr>
              <w:t>0</w:t>
            </w:r>
            <w:r>
              <w:rPr>
                <w:rFonts w:ascii="Times New Roman" w:eastAsia="Times New Roman" w:hAnsi="Times New Roman" w:cs="Times New Roman"/>
                <w:color w:val="auto"/>
                <w:spacing w:val="1"/>
              </w:rPr>
              <w:t>51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6</w:t>
            </w:r>
          </w:p>
        </w:tc>
      </w:tr>
      <w:tr w:rsidR="0075791A" w14:paraId="7B921414" w14:textId="77777777">
        <w:trPr>
          <w:trHeight w:val="397"/>
        </w:trPr>
        <w:tc>
          <w:tcPr>
            <w:tcW w:w="652" w:type="dxa"/>
            <w:vMerge/>
            <w:tcBorders>
              <w:tl2br w:val="nil"/>
              <w:tr2bl w:val="nil"/>
            </w:tcBorders>
            <w:vAlign w:val="center"/>
          </w:tcPr>
          <w:p w14:paraId="48EB23F0" w14:textId="77777777" w:rsidR="0075791A" w:rsidRDefault="0075791A">
            <w:pPr>
              <w:rPr>
                <w:color w:val="auto"/>
              </w:rPr>
            </w:pPr>
          </w:p>
        </w:tc>
        <w:tc>
          <w:tcPr>
            <w:tcW w:w="660" w:type="dxa"/>
            <w:tcBorders>
              <w:tl2br w:val="nil"/>
              <w:tr2bl w:val="nil"/>
            </w:tcBorders>
            <w:vAlign w:val="center"/>
          </w:tcPr>
          <w:p w14:paraId="7FCE9BBB" w14:textId="77777777" w:rsidR="0075791A" w:rsidRDefault="00FB2864">
            <w:pPr>
              <w:pStyle w:val="TableParagraph"/>
              <w:spacing w:before="39"/>
              <w:ind w:left="253"/>
              <w:rPr>
                <w:rFonts w:ascii="Times New Roman" w:eastAsia="Times New Roman" w:hAnsi="Times New Roman" w:cs="Times New Roman"/>
                <w:color w:val="auto"/>
              </w:rPr>
            </w:pPr>
            <w:r>
              <w:rPr>
                <w:rFonts w:ascii="Times New Roman" w:eastAsia="Times New Roman" w:hAnsi="Times New Roman" w:cs="Times New Roman"/>
                <w:color w:val="auto"/>
              </w:rPr>
              <w:t>H6</w:t>
            </w:r>
          </w:p>
        </w:tc>
        <w:tc>
          <w:tcPr>
            <w:tcW w:w="1944" w:type="dxa"/>
            <w:tcBorders>
              <w:tl2br w:val="nil"/>
              <w:tr2bl w:val="nil"/>
            </w:tcBorders>
            <w:vAlign w:val="center"/>
          </w:tcPr>
          <w:p w14:paraId="34394434" w14:textId="77777777" w:rsidR="0075791A" w:rsidRDefault="00FB2864">
            <w:pPr>
              <w:pStyle w:val="TableParagraph"/>
              <w:spacing w:before="39"/>
              <w:ind w:left="674" w:right="6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2</w:t>
            </w:r>
          </w:p>
        </w:tc>
        <w:tc>
          <w:tcPr>
            <w:tcW w:w="2016" w:type="dxa"/>
            <w:tcBorders>
              <w:tl2br w:val="nil"/>
              <w:tr2bl w:val="nil"/>
            </w:tcBorders>
            <w:vAlign w:val="center"/>
          </w:tcPr>
          <w:p w14:paraId="13FA4EB1" w14:textId="77777777" w:rsidR="0075791A" w:rsidRDefault="00FB2864">
            <w:pPr>
              <w:pStyle w:val="TableParagraph"/>
              <w:spacing w:before="39"/>
              <w:ind w:left="571" w:right="57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388</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0</w:t>
            </w:r>
          </w:p>
        </w:tc>
        <w:tc>
          <w:tcPr>
            <w:tcW w:w="1874" w:type="dxa"/>
            <w:tcBorders>
              <w:tl2br w:val="nil"/>
              <w:tr2bl w:val="nil"/>
            </w:tcBorders>
            <w:vAlign w:val="center"/>
          </w:tcPr>
          <w:p w14:paraId="04A9A0F0" w14:textId="77777777" w:rsidR="0075791A" w:rsidRDefault="00FB2864">
            <w:pPr>
              <w:pStyle w:val="TableParagraph"/>
              <w:spacing w:before="39"/>
              <w:ind w:left="569" w:right="57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297</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7</w:t>
            </w:r>
            <w:r>
              <w:rPr>
                <w:rFonts w:ascii="Times New Roman" w:eastAsia="Times New Roman" w:hAnsi="Times New Roman" w:cs="Times New Roman"/>
                <w:color w:val="auto"/>
              </w:rPr>
              <w:t>9</w:t>
            </w:r>
          </w:p>
        </w:tc>
        <w:tc>
          <w:tcPr>
            <w:tcW w:w="1772" w:type="dxa"/>
            <w:tcBorders>
              <w:tl2br w:val="nil"/>
              <w:tr2bl w:val="nil"/>
            </w:tcBorders>
            <w:vAlign w:val="center"/>
          </w:tcPr>
          <w:p w14:paraId="7A8FD959" w14:textId="77777777" w:rsidR="0075791A" w:rsidRDefault="00FB2864">
            <w:pPr>
              <w:pStyle w:val="TableParagraph"/>
              <w:spacing w:before="39"/>
              <w:ind w:left="488"/>
              <w:rPr>
                <w:rFonts w:ascii="Times New Roman" w:eastAsia="Times New Roman" w:hAnsi="Times New Roman" w:cs="Times New Roman"/>
                <w:color w:val="auto"/>
              </w:rPr>
            </w:pPr>
            <w:r>
              <w:rPr>
                <w:rFonts w:ascii="Times New Roman" w:eastAsia="Times New Roman" w:hAnsi="Times New Roman" w:cs="Times New Roman"/>
                <w:color w:val="auto"/>
                <w:spacing w:val="1"/>
              </w:rPr>
              <w:t>19</w:t>
            </w:r>
            <w:r>
              <w:rPr>
                <w:rFonts w:ascii="Times New Roman" w:eastAsia="Times New Roman" w:hAnsi="Times New Roman" w:cs="Times New Roman"/>
                <w:color w:val="auto"/>
                <w:spacing w:val="-2"/>
              </w:rPr>
              <w:t>1</w:t>
            </w:r>
            <w:r>
              <w:rPr>
                <w:rFonts w:ascii="Times New Roman" w:eastAsia="Times New Roman" w:hAnsi="Times New Roman" w:cs="Times New Roman"/>
                <w:color w:val="auto"/>
                <w:spacing w:val="1"/>
              </w:rPr>
              <w:t>85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8</w:t>
            </w:r>
          </w:p>
        </w:tc>
      </w:tr>
      <w:tr w:rsidR="0075791A" w14:paraId="46425CEE" w14:textId="77777777">
        <w:trPr>
          <w:trHeight w:val="397"/>
        </w:trPr>
        <w:tc>
          <w:tcPr>
            <w:tcW w:w="652" w:type="dxa"/>
            <w:vMerge/>
            <w:tcBorders>
              <w:tl2br w:val="nil"/>
              <w:tr2bl w:val="nil"/>
            </w:tcBorders>
            <w:vAlign w:val="center"/>
          </w:tcPr>
          <w:p w14:paraId="2E194112" w14:textId="77777777" w:rsidR="0075791A" w:rsidRDefault="0075791A">
            <w:pPr>
              <w:rPr>
                <w:color w:val="auto"/>
              </w:rPr>
            </w:pPr>
          </w:p>
        </w:tc>
        <w:tc>
          <w:tcPr>
            <w:tcW w:w="660" w:type="dxa"/>
            <w:tcBorders>
              <w:tl2br w:val="nil"/>
              <w:tr2bl w:val="nil"/>
            </w:tcBorders>
            <w:vAlign w:val="center"/>
          </w:tcPr>
          <w:p w14:paraId="19E2287B" w14:textId="77777777" w:rsidR="0075791A" w:rsidRDefault="00FB2864">
            <w:pPr>
              <w:pStyle w:val="TableParagraph"/>
              <w:spacing w:before="40"/>
              <w:ind w:left="253"/>
              <w:rPr>
                <w:rFonts w:ascii="Times New Roman" w:eastAsia="Times New Roman" w:hAnsi="Times New Roman" w:cs="Times New Roman"/>
                <w:color w:val="auto"/>
              </w:rPr>
            </w:pPr>
            <w:r>
              <w:rPr>
                <w:rFonts w:ascii="Times New Roman" w:eastAsia="Times New Roman" w:hAnsi="Times New Roman" w:cs="Times New Roman"/>
                <w:color w:val="auto"/>
              </w:rPr>
              <w:t>H8</w:t>
            </w:r>
          </w:p>
        </w:tc>
        <w:tc>
          <w:tcPr>
            <w:tcW w:w="1944" w:type="dxa"/>
            <w:tcBorders>
              <w:tl2br w:val="nil"/>
              <w:tr2bl w:val="nil"/>
            </w:tcBorders>
            <w:vAlign w:val="center"/>
          </w:tcPr>
          <w:p w14:paraId="1437C177" w14:textId="77777777" w:rsidR="0075791A" w:rsidRDefault="00FB2864">
            <w:pPr>
              <w:pStyle w:val="TableParagraph"/>
              <w:spacing w:before="40"/>
              <w:ind w:left="674" w:right="6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3</w:t>
            </w:r>
          </w:p>
        </w:tc>
        <w:tc>
          <w:tcPr>
            <w:tcW w:w="2016" w:type="dxa"/>
            <w:tcBorders>
              <w:tl2br w:val="nil"/>
              <w:tr2bl w:val="nil"/>
            </w:tcBorders>
            <w:vAlign w:val="center"/>
          </w:tcPr>
          <w:p w14:paraId="3A05B059" w14:textId="77777777" w:rsidR="0075791A" w:rsidRDefault="00FB2864">
            <w:pPr>
              <w:pStyle w:val="TableParagraph"/>
              <w:spacing w:before="40"/>
              <w:ind w:left="571" w:right="57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404</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8</w:t>
            </w:r>
          </w:p>
        </w:tc>
        <w:tc>
          <w:tcPr>
            <w:tcW w:w="1874" w:type="dxa"/>
            <w:tcBorders>
              <w:tl2br w:val="nil"/>
              <w:tr2bl w:val="nil"/>
            </w:tcBorders>
            <w:vAlign w:val="center"/>
          </w:tcPr>
          <w:p w14:paraId="074B1011" w14:textId="77777777" w:rsidR="0075791A" w:rsidRDefault="00FB2864">
            <w:pPr>
              <w:pStyle w:val="TableParagraph"/>
              <w:spacing w:before="40"/>
              <w:ind w:left="569" w:right="57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263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5</w:t>
            </w:r>
            <w:r>
              <w:rPr>
                <w:rFonts w:ascii="Times New Roman" w:eastAsia="Times New Roman" w:hAnsi="Times New Roman" w:cs="Times New Roman"/>
                <w:color w:val="auto"/>
              </w:rPr>
              <w:t>0</w:t>
            </w:r>
          </w:p>
        </w:tc>
        <w:tc>
          <w:tcPr>
            <w:tcW w:w="1772" w:type="dxa"/>
            <w:tcBorders>
              <w:tl2br w:val="nil"/>
              <w:tr2bl w:val="nil"/>
            </w:tcBorders>
            <w:vAlign w:val="center"/>
          </w:tcPr>
          <w:p w14:paraId="65B40576" w14:textId="77777777" w:rsidR="0075791A" w:rsidRDefault="00FB2864">
            <w:pPr>
              <w:pStyle w:val="TableParagraph"/>
              <w:spacing w:before="40"/>
              <w:ind w:left="488"/>
              <w:rPr>
                <w:rFonts w:ascii="Times New Roman" w:eastAsia="Times New Roman" w:hAnsi="Times New Roman" w:cs="Times New Roman"/>
                <w:color w:val="auto"/>
              </w:rPr>
            </w:pPr>
            <w:r>
              <w:rPr>
                <w:rFonts w:ascii="Times New Roman" w:eastAsia="Times New Roman" w:hAnsi="Times New Roman" w:cs="Times New Roman"/>
                <w:color w:val="auto"/>
                <w:spacing w:val="1"/>
              </w:rPr>
              <w:t>19</w:t>
            </w:r>
            <w:r>
              <w:rPr>
                <w:rFonts w:ascii="Times New Roman" w:eastAsia="Times New Roman" w:hAnsi="Times New Roman" w:cs="Times New Roman"/>
                <w:color w:val="auto"/>
                <w:spacing w:val="-2"/>
              </w:rPr>
              <w:t>2</w:t>
            </w:r>
            <w:r>
              <w:rPr>
                <w:rFonts w:ascii="Times New Roman" w:eastAsia="Times New Roman" w:hAnsi="Times New Roman" w:cs="Times New Roman"/>
                <w:color w:val="auto"/>
                <w:spacing w:val="1"/>
              </w:rPr>
              <w:t>40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4</w:t>
            </w:r>
          </w:p>
        </w:tc>
      </w:tr>
      <w:tr w:rsidR="0075791A" w14:paraId="0D7EC027" w14:textId="77777777">
        <w:trPr>
          <w:trHeight w:val="397"/>
        </w:trPr>
        <w:tc>
          <w:tcPr>
            <w:tcW w:w="652" w:type="dxa"/>
            <w:vMerge/>
            <w:tcBorders>
              <w:tl2br w:val="nil"/>
              <w:tr2bl w:val="nil"/>
            </w:tcBorders>
            <w:vAlign w:val="center"/>
          </w:tcPr>
          <w:p w14:paraId="7AF3E0DD" w14:textId="77777777" w:rsidR="0075791A" w:rsidRDefault="0075791A">
            <w:pPr>
              <w:rPr>
                <w:color w:val="auto"/>
              </w:rPr>
            </w:pPr>
          </w:p>
        </w:tc>
        <w:tc>
          <w:tcPr>
            <w:tcW w:w="660" w:type="dxa"/>
            <w:tcBorders>
              <w:tl2br w:val="nil"/>
              <w:tr2bl w:val="nil"/>
            </w:tcBorders>
            <w:vAlign w:val="center"/>
          </w:tcPr>
          <w:p w14:paraId="79066648" w14:textId="77777777" w:rsidR="0075791A" w:rsidRDefault="00FB2864">
            <w:pPr>
              <w:pStyle w:val="TableParagraph"/>
              <w:spacing w:before="39"/>
              <w:ind w:left="253"/>
              <w:rPr>
                <w:rFonts w:ascii="Times New Roman" w:eastAsia="Times New Roman" w:hAnsi="Times New Roman" w:cs="Times New Roman"/>
                <w:color w:val="auto"/>
              </w:rPr>
            </w:pPr>
            <w:r>
              <w:rPr>
                <w:rFonts w:ascii="Times New Roman" w:eastAsia="Times New Roman" w:hAnsi="Times New Roman" w:cs="Times New Roman"/>
                <w:color w:val="auto"/>
              </w:rPr>
              <w:t>H9</w:t>
            </w:r>
          </w:p>
        </w:tc>
        <w:tc>
          <w:tcPr>
            <w:tcW w:w="1944" w:type="dxa"/>
            <w:tcBorders>
              <w:tl2br w:val="nil"/>
              <w:tr2bl w:val="nil"/>
            </w:tcBorders>
            <w:vAlign w:val="center"/>
          </w:tcPr>
          <w:p w14:paraId="058EDCDC" w14:textId="77777777" w:rsidR="0075791A" w:rsidRDefault="00FB2864">
            <w:pPr>
              <w:pStyle w:val="TableParagraph"/>
              <w:spacing w:before="3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10</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3</w:t>
            </w:r>
          </w:p>
        </w:tc>
        <w:tc>
          <w:tcPr>
            <w:tcW w:w="2016" w:type="dxa"/>
            <w:tcBorders>
              <w:tl2br w:val="nil"/>
              <w:tr2bl w:val="nil"/>
            </w:tcBorders>
            <w:vAlign w:val="center"/>
          </w:tcPr>
          <w:p w14:paraId="54BB8B68" w14:textId="77777777" w:rsidR="0075791A" w:rsidRDefault="00FB2864">
            <w:pPr>
              <w:pStyle w:val="TableParagraph"/>
              <w:spacing w:before="39"/>
              <w:ind w:left="571" w:right="57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235</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8</w:t>
            </w:r>
            <w:r>
              <w:rPr>
                <w:rFonts w:ascii="Times New Roman" w:eastAsia="Times New Roman" w:hAnsi="Times New Roman" w:cs="Times New Roman"/>
                <w:color w:val="auto"/>
              </w:rPr>
              <w:t>1</w:t>
            </w:r>
          </w:p>
        </w:tc>
        <w:tc>
          <w:tcPr>
            <w:tcW w:w="1874" w:type="dxa"/>
            <w:tcBorders>
              <w:tl2br w:val="nil"/>
              <w:tr2bl w:val="nil"/>
            </w:tcBorders>
            <w:vAlign w:val="center"/>
          </w:tcPr>
          <w:p w14:paraId="39E00A6B" w14:textId="77777777" w:rsidR="0075791A" w:rsidRDefault="00FB2864">
            <w:pPr>
              <w:pStyle w:val="TableParagraph"/>
              <w:spacing w:before="39"/>
              <w:ind w:left="569" w:right="57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531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9</w:t>
            </w:r>
          </w:p>
        </w:tc>
        <w:tc>
          <w:tcPr>
            <w:tcW w:w="1772" w:type="dxa"/>
            <w:tcBorders>
              <w:tl2br w:val="nil"/>
              <w:tr2bl w:val="nil"/>
            </w:tcBorders>
            <w:vAlign w:val="center"/>
          </w:tcPr>
          <w:p w14:paraId="62FC8B74" w14:textId="77777777" w:rsidR="0075791A" w:rsidRDefault="00FB2864">
            <w:pPr>
              <w:pStyle w:val="TableParagraph"/>
              <w:spacing w:before="39"/>
              <w:ind w:left="488"/>
              <w:rPr>
                <w:rFonts w:ascii="Times New Roman" w:eastAsia="Times New Roman" w:hAnsi="Times New Roman" w:cs="Times New Roman"/>
                <w:color w:val="auto"/>
              </w:rPr>
            </w:pPr>
            <w:r>
              <w:rPr>
                <w:rFonts w:ascii="Times New Roman" w:eastAsia="Times New Roman" w:hAnsi="Times New Roman" w:cs="Times New Roman"/>
                <w:color w:val="auto"/>
                <w:spacing w:val="1"/>
              </w:rPr>
              <w:t>12</w:t>
            </w:r>
            <w:r>
              <w:rPr>
                <w:rFonts w:ascii="Times New Roman" w:eastAsia="Times New Roman" w:hAnsi="Times New Roman" w:cs="Times New Roman"/>
                <w:color w:val="auto"/>
                <w:spacing w:val="-2"/>
              </w:rPr>
              <w:t>1</w:t>
            </w:r>
            <w:r>
              <w:rPr>
                <w:rFonts w:ascii="Times New Roman" w:eastAsia="Times New Roman" w:hAnsi="Times New Roman" w:cs="Times New Roman"/>
                <w:color w:val="auto"/>
                <w:spacing w:val="1"/>
              </w:rPr>
              <w:t>26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0</w:t>
            </w:r>
          </w:p>
        </w:tc>
      </w:tr>
      <w:tr w:rsidR="0075791A" w14:paraId="7CC294B0" w14:textId="77777777">
        <w:trPr>
          <w:trHeight w:val="397"/>
        </w:trPr>
        <w:tc>
          <w:tcPr>
            <w:tcW w:w="652" w:type="dxa"/>
            <w:vMerge/>
            <w:tcBorders>
              <w:tl2br w:val="nil"/>
              <w:tr2bl w:val="nil"/>
            </w:tcBorders>
            <w:vAlign w:val="center"/>
          </w:tcPr>
          <w:p w14:paraId="529E57EE" w14:textId="77777777" w:rsidR="0075791A" w:rsidRDefault="0075791A">
            <w:pPr>
              <w:rPr>
                <w:color w:val="auto"/>
              </w:rPr>
            </w:pPr>
          </w:p>
        </w:tc>
        <w:tc>
          <w:tcPr>
            <w:tcW w:w="660" w:type="dxa"/>
            <w:tcBorders>
              <w:tl2br w:val="nil"/>
              <w:tr2bl w:val="nil"/>
            </w:tcBorders>
            <w:vAlign w:val="center"/>
          </w:tcPr>
          <w:p w14:paraId="1FA03568" w14:textId="77777777" w:rsidR="0075791A" w:rsidRDefault="00FB2864">
            <w:pPr>
              <w:pStyle w:val="TableParagraph"/>
              <w:spacing w:before="40"/>
              <w:ind w:left="205"/>
              <w:rPr>
                <w:rFonts w:ascii="Times New Roman" w:eastAsia="Times New Roman" w:hAnsi="Times New Roman" w:cs="Times New Roman"/>
                <w:color w:val="auto"/>
              </w:rPr>
            </w:pPr>
            <w:r>
              <w:rPr>
                <w:rFonts w:ascii="Times New Roman" w:eastAsia="Times New Roman" w:hAnsi="Times New Roman" w:cs="Times New Roman"/>
                <w:color w:val="auto"/>
              </w:rPr>
              <w:t>H</w:t>
            </w:r>
            <w:r>
              <w:rPr>
                <w:rFonts w:ascii="Times New Roman" w:eastAsia="Times New Roman" w:hAnsi="Times New Roman" w:cs="Times New Roman"/>
                <w:color w:val="auto"/>
                <w:spacing w:val="-5"/>
              </w:rPr>
              <w:t>1</w:t>
            </w:r>
            <w:r>
              <w:rPr>
                <w:rFonts w:ascii="Times New Roman" w:eastAsia="Times New Roman" w:hAnsi="Times New Roman" w:cs="Times New Roman"/>
                <w:color w:val="auto"/>
              </w:rPr>
              <w:t>1</w:t>
            </w:r>
          </w:p>
        </w:tc>
        <w:tc>
          <w:tcPr>
            <w:tcW w:w="1944" w:type="dxa"/>
            <w:tcBorders>
              <w:tl2br w:val="nil"/>
              <w:tr2bl w:val="nil"/>
            </w:tcBorders>
            <w:vAlign w:val="center"/>
          </w:tcPr>
          <w:p w14:paraId="602D987E" w14:textId="77777777" w:rsidR="0075791A" w:rsidRDefault="00FB2864">
            <w:pPr>
              <w:pStyle w:val="TableParagraph"/>
              <w:spacing w:before="40"/>
              <w:ind w:left="674" w:right="6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2</w:t>
            </w:r>
          </w:p>
        </w:tc>
        <w:tc>
          <w:tcPr>
            <w:tcW w:w="2016" w:type="dxa"/>
            <w:tcBorders>
              <w:tl2br w:val="nil"/>
              <w:tr2bl w:val="nil"/>
            </w:tcBorders>
            <w:vAlign w:val="center"/>
          </w:tcPr>
          <w:p w14:paraId="503FFF13" w14:textId="77777777" w:rsidR="0075791A" w:rsidRDefault="00FB2864">
            <w:pPr>
              <w:pStyle w:val="TableParagraph"/>
              <w:spacing w:before="40"/>
              <w:ind w:left="571" w:right="57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361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rPr>
              <w:t>3</w:t>
            </w:r>
          </w:p>
        </w:tc>
        <w:tc>
          <w:tcPr>
            <w:tcW w:w="1874" w:type="dxa"/>
            <w:tcBorders>
              <w:tl2br w:val="nil"/>
              <w:tr2bl w:val="nil"/>
            </w:tcBorders>
            <w:vAlign w:val="center"/>
          </w:tcPr>
          <w:p w14:paraId="42296BEC" w14:textId="77777777" w:rsidR="0075791A" w:rsidRDefault="00FB2864">
            <w:pPr>
              <w:pStyle w:val="TableParagraph"/>
              <w:spacing w:before="40"/>
              <w:ind w:left="569" w:right="57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317</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4</w:t>
            </w:r>
            <w:r>
              <w:rPr>
                <w:rFonts w:ascii="Times New Roman" w:eastAsia="Times New Roman" w:hAnsi="Times New Roman" w:cs="Times New Roman"/>
                <w:color w:val="auto"/>
              </w:rPr>
              <w:t>1</w:t>
            </w:r>
          </w:p>
        </w:tc>
        <w:tc>
          <w:tcPr>
            <w:tcW w:w="1772" w:type="dxa"/>
            <w:tcBorders>
              <w:tl2br w:val="nil"/>
              <w:tr2bl w:val="nil"/>
            </w:tcBorders>
            <w:vAlign w:val="center"/>
          </w:tcPr>
          <w:p w14:paraId="4A1E056A" w14:textId="77777777" w:rsidR="0075791A" w:rsidRDefault="00FB2864">
            <w:pPr>
              <w:pStyle w:val="TableParagraph"/>
              <w:spacing w:before="40"/>
              <w:ind w:left="488"/>
              <w:rPr>
                <w:rFonts w:ascii="Times New Roman" w:eastAsia="Times New Roman" w:hAnsi="Times New Roman" w:cs="Times New Roman"/>
                <w:color w:val="auto"/>
              </w:rPr>
            </w:pPr>
            <w:r>
              <w:rPr>
                <w:rFonts w:ascii="Times New Roman" w:eastAsia="Times New Roman" w:hAnsi="Times New Roman" w:cs="Times New Roman"/>
                <w:color w:val="auto"/>
                <w:spacing w:val="1"/>
              </w:rPr>
              <w:t>17</w:t>
            </w:r>
            <w:r>
              <w:rPr>
                <w:rFonts w:ascii="Times New Roman" w:eastAsia="Times New Roman" w:hAnsi="Times New Roman" w:cs="Times New Roman"/>
                <w:color w:val="auto"/>
                <w:spacing w:val="-2"/>
              </w:rPr>
              <w:t>8</w:t>
            </w:r>
            <w:r>
              <w:rPr>
                <w:rFonts w:ascii="Times New Roman" w:eastAsia="Times New Roman" w:hAnsi="Times New Roman" w:cs="Times New Roman"/>
                <w:color w:val="auto"/>
                <w:spacing w:val="1"/>
              </w:rPr>
              <w:t>66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0</w:t>
            </w:r>
          </w:p>
        </w:tc>
      </w:tr>
      <w:tr w:rsidR="0075791A" w14:paraId="49046F2C" w14:textId="77777777">
        <w:trPr>
          <w:trHeight w:val="397"/>
        </w:trPr>
        <w:tc>
          <w:tcPr>
            <w:tcW w:w="652" w:type="dxa"/>
            <w:vMerge w:val="restart"/>
            <w:tcBorders>
              <w:tl2br w:val="nil"/>
              <w:tr2bl w:val="nil"/>
            </w:tcBorders>
            <w:vAlign w:val="center"/>
          </w:tcPr>
          <w:p w14:paraId="4FCF1454" w14:textId="77777777" w:rsidR="0075791A" w:rsidRDefault="00FB2864">
            <w:pPr>
              <w:pStyle w:val="TableParagraph"/>
              <w:ind w:left="210"/>
              <w:rPr>
                <w:rFonts w:ascii="宋体" w:eastAsia="宋体" w:hAnsi="宋体" w:cs="宋体"/>
                <w:color w:val="auto"/>
              </w:rPr>
            </w:pPr>
            <w:r>
              <w:rPr>
                <w:rFonts w:ascii="宋体" w:eastAsia="宋体" w:hAnsi="宋体" w:cs="宋体"/>
                <w:color w:val="auto"/>
                <w:spacing w:val="-1"/>
              </w:rPr>
              <w:t>流</w:t>
            </w:r>
            <w:r>
              <w:rPr>
                <w:rFonts w:ascii="宋体" w:eastAsia="宋体" w:hAnsi="宋体" w:cs="宋体"/>
                <w:color w:val="auto"/>
                <w:spacing w:val="2"/>
              </w:rPr>
              <w:t>刺</w:t>
            </w:r>
            <w:r>
              <w:rPr>
                <w:rFonts w:ascii="宋体" w:eastAsia="宋体" w:hAnsi="宋体" w:cs="宋体"/>
                <w:color w:val="auto"/>
              </w:rPr>
              <w:t>网</w:t>
            </w:r>
          </w:p>
        </w:tc>
        <w:tc>
          <w:tcPr>
            <w:tcW w:w="660" w:type="dxa"/>
            <w:tcBorders>
              <w:tl2br w:val="nil"/>
              <w:tr2bl w:val="nil"/>
            </w:tcBorders>
            <w:vAlign w:val="center"/>
          </w:tcPr>
          <w:p w14:paraId="564BC609" w14:textId="77777777" w:rsidR="0075791A" w:rsidRDefault="00FB2864">
            <w:pPr>
              <w:pStyle w:val="TableParagraph"/>
              <w:spacing w:before="39"/>
              <w:ind w:left="253"/>
              <w:rPr>
                <w:rFonts w:ascii="Times New Roman" w:eastAsia="Times New Roman" w:hAnsi="Times New Roman" w:cs="Times New Roman"/>
                <w:color w:val="auto"/>
              </w:rPr>
            </w:pPr>
            <w:r>
              <w:rPr>
                <w:rFonts w:ascii="Times New Roman" w:eastAsia="Times New Roman" w:hAnsi="Times New Roman" w:cs="Times New Roman"/>
                <w:color w:val="auto"/>
              </w:rPr>
              <w:t>H4</w:t>
            </w:r>
          </w:p>
        </w:tc>
        <w:tc>
          <w:tcPr>
            <w:tcW w:w="1944" w:type="dxa"/>
            <w:tcBorders>
              <w:tl2br w:val="nil"/>
              <w:tr2bl w:val="nil"/>
            </w:tcBorders>
            <w:vAlign w:val="center"/>
          </w:tcPr>
          <w:p w14:paraId="33F93A36" w14:textId="77777777" w:rsidR="0075791A" w:rsidRDefault="00FB2864">
            <w:pPr>
              <w:pStyle w:val="TableParagraph"/>
              <w:spacing w:before="39"/>
              <w:ind w:left="674" w:right="6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9</w:t>
            </w:r>
          </w:p>
        </w:tc>
        <w:tc>
          <w:tcPr>
            <w:tcW w:w="2016" w:type="dxa"/>
            <w:tcBorders>
              <w:tl2br w:val="nil"/>
              <w:tr2bl w:val="nil"/>
            </w:tcBorders>
            <w:vAlign w:val="center"/>
          </w:tcPr>
          <w:p w14:paraId="7B3AF584" w14:textId="77777777" w:rsidR="0075791A" w:rsidRDefault="00FB2864">
            <w:pPr>
              <w:pStyle w:val="TableParagraph"/>
              <w:spacing w:before="39"/>
              <w:ind w:left="676" w:right="6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1874" w:type="dxa"/>
            <w:tcBorders>
              <w:tl2br w:val="nil"/>
              <w:tr2bl w:val="nil"/>
            </w:tcBorders>
            <w:vAlign w:val="center"/>
          </w:tcPr>
          <w:p w14:paraId="1FE9C93C" w14:textId="77777777" w:rsidR="0075791A" w:rsidRDefault="00FB2864">
            <w:pPr>
              <w:pStyle w:val="TableParagraph"/>
              <w:spacing w:before="39"/>
              <w:ind w:left="790" w:right="793"/>
              <w:jc w:val="center"/>
              <w:rPr>
                <w:rFonts w:ascii="Times New Roman" w:eastAsia="Times New Roman" w:hAnsi="Times New Roman" w:cs="Times New Roman"/>
                <w:color w:val="auto"/>
              </w:rPr>
            </w:pPr>
            <w:r>
              <w:rPr>
                <w:rFonts w:ascii="Times New Roman" w:eastAsia="Times New Roman" w:hAnsi="Times New Roman" w:cs="Times New Roman"/>
                <w:color w:val="auto"/>
                <w:spacing w:val="-3"/>
              </w:rPr>
              <w:t>-</w:t>
            </w:r>
            <w:r>
              <w:rPr>
                <w:rFonts w:ascii="Times New Roman" w:eastAsia="Times New Roman" w:hAnsi="Times New Roman" w:cs="Times New Roman"/>
                <w:color w:val="auto"/>
              </w:rPr>
              <w:t>-</w:t>
            </w:r>
          </w:p>
        </w:tc>
        <w:tc>
          <w:tcPr>
            <w:tcW w:w="1772" w:type="dxa"/>
            <w:tcBorders>
              <w:tl2br w:val="nil"/>
              <w:tr2bl w:val="nil"/>
            </w:tcBorders>
            <w:vAlign w:val="center"/>
          </w:tcPr>
          <w:p w14:paraId="66D9B512" w14:textId="77777777" w:rsidR="0075791A" w:rsidRDefault="00FB2864">
            <w:pPr>
              <w:pStyle w:val="TableParagraph"/>
              <w:spacing w:before="39"/>
              <w:ind w:left="792" w:right="794"/>
              <w:jc w:val="center"/>
              <w:rPr>
                <w:rFonts w:ascii="Times New Roman" w:eastAsia="Times New Roman" w:hAnsi="Times New Roman" w:cs="Times New Roman"/>
                <w:color w:val="auto"/>
              </w:rPr>
            </w:pPr>
            <w:r>
              <w:rPr>
                <w:rFonts w:ascii="Times New Roman" w:eastAsia="Times New Roman" w:hAnsi="Times New Roman" w:cs="Times New Roman"/>
                <w:color w:val="auto"/>
                <w:spacing w:val="-3"/>
              </w:rPr>
              <w:t>-</w:t>
            </w:r>
            <w:r>
              <w:rPr>
                <w:rFonts w:ascii="Times New Roman" w:eastAsia="Times New Roman" w:hAnsi="Times New Roman" w:cs="Times New Roman"/>
                <w:color w:val="auto"/>
              </w:rPr>
              <w:t>-</w:t>
            </w:r>
          </w:p>
        </w:tc>
      </w:tr>
      <w:tr w:rsidR="0075791A" w14:paraId="214919AF" w14:textId="77777777">
        <w:trPr>
          <w:trHeight w:val="397"/>
        </w:trPr>
        <w:tc>
          <w:tcPr>
            <w:tcW w:w="652" w:type="dxa"/>
            <w:vMerge/>
            <w:tcBorders>
              <w:tl2br w:val="nil"/>
              <w:tr2bl w:val="nil"/>
            </w:tcBorders>
            <w:vAlign w:val="center"/>
          </w:tcPr>
          <w:p w14:paraId="4A29B995" w14:textId="77777777" w:rsidR="0075791A" w:rsidRDefault="0075791A">
            <w:pPr>
              <w:rPr>
                <w:color w:val="auto"/>
              </w:rPr>
            </w:pPr>
          </w:p>
        </w:tc>
        <w:tc>
          <w:tcPr>
            <w:tcW w:w="660" w:type="dxa"/>
            <w:tcBorders>
              <w:tl2br w:val="nil"/>
              <w:tr2bl w:val="nil"/>
            </w:tcBorders>
            <w:vAlign w:val="center"/>
          </w:tcPr>
          <w:p w14:paraId="3DC177B9" w14:textId="77777777" w:rsidR="0075791A" w:rsidRDefault="00FB2864">
            <w:pPr>
              <w:pStyle w:val="TableParagraph"/>
              <w:spacing w:before="40"/>
              <w:ind w:left="253"/>
              <w:rPr>
                <w:rFonts w:ascii="Times New Roman" w:eastAsia="Times New Roman" w:hAnsi="Times New Roman" w:cs="Times New Roman"/>
                <w:color w:val="auto"/>
              </w:rPr>
            </w:pPr>
            <w:r>
              <w:rPr>
                <w:rFonts w:ascii="Times New Roman" w:eastAsia="Times New Roman" w:hAnsi="Times New Roman" w:cs="Times New Roman"/>
                <w:color w:val="auto"/>
              </w:rPr>
              <w:t>H7</w:t>
            </w:r>
          </w:p>
        </w:tc>
        <w:tc>
          <w:tcPr>
            <w:tcW w:w="1944" w:type="dxa"/>
            <w:tcBorders>
              <w:tl2br w:val="nil"/>
              <w:tr2bl w:val="nil"/>
            </w:tcBorders>
            <w:vAlign w:val="center"/>
          </w:tcPr>
          <w:p w14:paraId="421AD1F1" w14:textId="77777777" w:rsidR="0075791A" w:rsidRDefault="00FB2864">
            <w:pPr>
              <w:pStyle w:val="TableParagraph"/>
              <w:spacing w:before="40"/>
              <w:ind w:left="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5"/>
              </w:rPr>
              <w:t>1</w:t>
            </w:r>
            <w:r>
              <w:rPr>
                <w:rFonts w:ascii="Times New Roman" w:eastAsia="Times New Roman" w:hAnsi="Times New Roman" w:cs="Times New Roman"/>
                <w:color w:val="auto"/>
              </w:rPr>
              <w:t>1</w:t>
            </w:r>
          </w:p>
        </w:tc>
        <w:tc>
          <w:tcPr>
            <w:tcW w:w="2016" w:type="dxa"/>
            <w:tcBorders>
              <w:tl2br w:val="nil"/>
              <w:tr2bl w:val="nil"/>
            </w:tcBorders>
            <w:vAlign w:val="center"/>
          </w:tcPr>
          <w:p w14:paraId="19F4ED4F" w14:textId="77777777" w:rsidR="0075791A" w:rsidRDefault="00FB2864">
            <w:pPr>
              <w:pStyle w:val="TableParagraph"/>
              <w:spacing w:before="40"/>
              <w:ind w:left="676" w:right="6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7</w:t>
            </w:r>
          </w:p>
        </w:tc>
        <w:tc>
          <w:tcPr>
            <w:tcW w:w="1874" w:type="dxa"/>
            <w:tcBorders>
              <w:tl2br w:val="nil"/>
              <w:tr2bl w:val="nil"/>
            </w:tcBorders>
            <w:vAlign w:val="center"/>
          </w:tcPr>
          <w:p w14:paraId="6440B29C" w14:textId="77777777" w:rsidR="0075791A" w:rsidRDefault="00FB2864">
            <w:pPr>
              <w:pStyle w:val="TableParagraph"/>
              <w:spacing w:before="40"/>
              <w:ind w:left="790" w:right="793"/>
              <w:jc w:val="center"/>
              <w:rPr>
                <w:rFonts w:ascii="Times New Roman" w:eastAsia="Times New Roman" w:hAnsi="Times New Roman" w:cs="Times New Roman"/>
                <w:color w:val="auto"/>
              </w:rPr>
            </w:pPr>
            <w:r>
              <w:rPr>
                <w:rFonts w:ascii="Times New Roman" w:eastAsia="Times New Roman" w:hAnsi="Times New Roman" w:cs="Times New Roman"/>
                <w:color w:val="auto"/>
                <w:spacing w:val="-3"/>
              </w:rPr>
              <w:t>-</w:t>
            </w:r>
            <w:r>
              <w:rPr>
                <w:rFonts w:ascii="Times New Roman" w:eastAsia="Times New Roman" w:hAnsi="Times New Roman" w:cs="Times New Roman"/>
                <w:color w:val="auto"/>
              </w:rPr>
              <w:t>-</w:t>
            </w:r>
          </w:p>
        </w:tc>
        <w:tc>
          <w:tcPr>
            <w:tcW w:w="1772" w:type="dxa"/>
            <w:tcBorders>
              <w:tl2br w:val="nil"/>
              <w:tr2bl w:val="nil"/>
            </w:tcBorders>
            <w:vAlign w:val="center"/>
          </w:tcPr>
          <w:p w14:paraId="2110EC61" w14:textId="77777777" w:rsidR="0075791A" w:rsidRDefault="00FB2864">
            <w:pPr>
              <w:pStyle w:val="TableParagraph"/>
              <w:spacing w:before="40"/>
              <w:ind w:left="792" w:right="794"/>
              <w:jc w:val="center"/>
              <w:rPr>
                <w:rFonts w:ascii="Times New Roman" w:eastAsia="Times New Roman" w:hAnsi="Times New Roman" w:cs="Times New Roman"/>
                <w:color w:val="auto"/>
              </w:rPr>
            </w:pPr>
            <w:r>
              <w:rPr>
                <w:rFonts w:ascii="Times New Roman" w:eastAsia="Times New Roman" w:hAnsi="Times New Roman" w:cs="Times New Roman"/>
                <w:color w:val="auto"/>
                <w:spacing w:val="-3"/>
              </w:rPr>
              <w:t>-</w:t>
            </w:r>
            <w:r>
              <w:rPr>
                <w:rFonts w:ascii="Times New Roman" w:eastAsia="Times New Roman" w:hAnsi="Times New Roman" w:cs="Times New Roman"/>
                <w:color w:val="auto"/>
              </w:rPr>
              <w:t>-</w:t>
            </w:r>
          </w:p>
        </w:tc>
      </w:tr>
      <w:tr w:rsidR="0075791A" w14:paraId="4CC54614" w14:textId="77777777">
        <w:trPr>
          <w:trHeight w:val="397"/>
        </w:trPr>
        <w:tc>
          <w:tcPr>
            <w:tcW w:w="1312" w:type="dxa"/>
            <w:gridSpan w:val="2"/>
            <w:tcBorders>
              <w:tl2br w:val="nil"/>
              <w:tr2bl w:val="nil"/>
            </w:tcBorders>
            <w:vAlign w:val="center"/>
          </w:tcPr>
          <w:p w14:paraId="0C6B1D41" w14:textId="77777777" w:rsidR="0075791A" w:rsidRDefault="00FB2864">
            <w:pPr>
              <w:pStyle w:val="TableParagraph"/>
              <w:spacing w:line="265" w:lineRule="exact"/>
              <w:ind w:left="597"/>
              <w:rPr>
                <w:rFonts w:ascii="宋体" w:eastAsia="宋体" w:hAnsi="宋体" w:cs="宋体"/>
                <w:color w:val="auto"/>
              </w:rPr>
            </w:pPr>
            <w:r>
              <w:rPr>
                <w:rFonts w:ascii="宋体" w:eastAsia="宋体" w:hAnsi="宋体" w:cs="宋体"/>
                <w:color w:val="auto"/>
                <w:spacing w:val="-1"/>
              </w:rPr>
              <w:t>平</w:t>
            </w:r>
            <w:r>
              <w:rPr>
                <w:rFonts w:ascii="宋体" w:eastAsia="宋体" w:hAnsi="宋体" w:cs="宋体"/>
                <w:color w:val="auto"/>
                <w:spacing w:val="2"/>
              </w:rPr>
              <w:t>均</w:t>
            </w:r>
            <w:r>
              <w:rPr>
                <w:rFonts w:ascii="宋体" w:eastAsia="宋体" w:hAnsi="宋体" w:cs="宋体"/>
                <w:color w:val="auto"/>
              </w:rPr>
              <w:t>值</w:t>
            </w:r>
          </w:p>
        </w:tc>
        <w:tc>
          <w:tcPr>
            <w:tcW w:w="1944" w:type="dxa"/>
            <w:tcBorders>
              <w:tl2br w:val="nil"/>
              <w:tr2bl w:val="nil"/>
            </w:tcBorders>
            <w:vAlign w:val="center"/>
          </w:tcPr>
          <w:p w14:paraId="044DEF74" w14:textId="77777777" w:rsidR="0075791A" w:rsidRDefault="00FB2864">
            <w:pPr>
              <w:pStyle w:val="TableParagraph"/>
              <w:spacing w:before="39"/>
              <w:ind w:left="674" w:right="6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7</w:t>
            </w:r>
          </w:p>
        </w:tc>
        <w:tc>
          <w:tcPr>
            <w:tcW w:w="2016" w:type="dxa"/>
            <w:tcBorders>
              <w:tl2br w:val="nil"/>
              <w:tr2bl w:val="nil"/>
            </w:tcBorders>
            <w:vAlign w:val="center"/>
          </w:tcPr>
          <w:p w14:paraId="3CE7E864" w14:textId="77777777" w:rsidR="0075791A" w:rsidRDefault="00FB2864">
            <w:pPr>
              <w:pStyle w:val="TableParagraph"/>
              <w:spacing w:before="39"/>
              <w:ind w:left="571" w:right="57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301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4</w:t>
            </w:r>
            <w:r>
              <w:rPr>
                <w:rFonts w:ascii="Times New Roman" w:eastAsia="Times New Roman" w:hAnsi="Times New Roman" w:cs="Times New Roman"/>
                <w:color w:val="auto"/>
              </w:rPr>
              <w:t>6</w:t>
            </w:r>
          </w:p>
        </w:tc>
        <w:tc>
          <w:tcPr>
            <w:tcW w:w="1874" w:type="dxa"/>
            <w:tcBorders>
              <w:tl2br w:val="nil"/>
              <w:tr2bl w:val="nil"/>
            </w:tcBorders>
            <w:vAlign w:val="center"/>
          </w:tcPr>
          <w:p w14:paraId="27CB2776" w14:textId="77777777" w:rsidR="0075791A" w:rsidRDefault="00FB2864">
            <w:pPr>
              <w:pStyle w:val="TableParagraph"/>
              <w:spacing w:before="39"/>
              <w:ind w:left="569" w:right="57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356</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rPr>
              <w:t>9</w:t>
            </w:r>
          </w:p>
        </w:tc>
        <w:tc>
          <w:tcPr>
            <w:tcW w:w="1772" w:type="dxa"/>
            <w:tcBorders>
              <w:tl2br w:val="nil"/>
              <w:tr2bl w:val="nil"/>
            </w:tcBorders>
            <w:vAlign w:val="center"/>
          </w:tcPr>
          <w:p w14:paraId="37B59942" w14:textId="77777777" w:rsidR="0075791A" w:rsidRDefault="00FB2864">
            <w:pPr>
              <w:pStyle w:val="TableParagraph"/>
              <w:spacing w:before="39"/>
              <w:ind w:left="488"/>
              <w:rPr>
                <w:rFonts w:ascii="Times New Roman" w:eastAsia="Times New Roman" w:hAnsi="Times New Roman" w:cs="Times New Roman"/>
                <w:color w:val="auto"/>
              </w:rPr>
            </w:pPr>
            <w:r>
              <w:rPr>
                <w:rFonts w:ascii="Times New Roman" w:eastAsia="Times New Roman" w:hAnsi="Times New Roman" w:cs="Times New Roman"/>
                <w:color w:val="auto"/>
                <w:spacing w:val="1"/>
              </w:rPr>
              <w:t>19</w:t>
            </w:r>
            <w:r>
              <w:rPr>
                <w:rFonts w:ascii="Times New Roman" w:eastAsia="Times New Roman" w:hAnsi="Times New Roman" w:cs="Times New Roman"/>
                <w:color w:val="auto"/>
                <w:spacing w:val="-2"/>
              </w:rPr>
              <w:t>9</w:t>
            </w:r>
            <w:r>
              <w:rPr>
                <w:rFonts w:ascii="Times New Roman" w:eastAsia="Times New Roman" w:hAnsi="Times New Roman" w:cs="Times New Roman"/>
                <w:color w:val="auto"/>
                <w:spacing w:val="1"/>
              </w:rPr>
              <w:t>72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5</w:t>
            </w:r>
          </w:p>
        </w:tc>
      </w:tr>
    </w:tbl>
    <w:p w14:paraId="471E4395" w14:textId="77777777" w:rsidR="0075791A" w:rsidRDefault="0075791A">
      <w:pPr>
        <w:spacing w:line="355" w:lineRule="auto"/>
        <w:rPr>
          <w:rFonts w:ascii="Times New Roman" w:eastAsia="宋体" w:hAnsi="Times New Roman" w:cs="宋体"/>
          <w:color w:val="auto"/>
          <w:sz w:val="24"/>
          <w:szCs w:val="24"/>
        </w:rPr>
      </w:pPr>
    </w:p>
    <w:p w14:paraId="6F138E8E" w14:textId="0ABCA8FF"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根据相对重要性指数（</w:t>
      </w:r>
      <w:r>
        <w:rPr>
          <w:rFonts w:ascii="Times New Roman" w:eastAsia="宋体" w:hAnsi="Times New Roman" w:cs="Times New Roman" w:hint="eastAsia"/>
          <w:i/>
          <w:iCs/>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）公式计算评价调查海域内鱼类的相对重要性指标（</w:t>
      </w:r>
      <w:r>
        <w:rPr>
          <w:rFonts w:ascii="Times New Roman" w:eastAsia="宋体" w:hAnsi="Times New Roman" w:cs="Times New Roman" w:hint="eastAsia"/>
          <w:i/>
          <w:iCs/>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），并</w:t>
      </w:r>
      <w:r>
        <w:rPr>
          <w:rFonts w:ascii="Times New Roman" w:eastAsia="宋体" w:hAnsi="Times New Roman" w:cs="Times New Roman" w:hint="eastAsia"/>
          <w:snapToGrid/>
          <w:color w:val="auto"/>
          <w:kern w:val="2"/>
          <w:sz w:val="24"/>
          <w:szCs w:val="24"/>
          <w:lang w:eastAsia="zh-CN"/>
        </w:rPr>
        <w:t>以</w:t>
      </w:r>
      <w:r>
        <w:rPr>
          <w:rFonts w:ascii="Times New Roman" w:eastAsia="宋体" w:hAnsi="Times New Roman" w:cs="Times New Roman" w:hint="eastAsia"/>
          <w:i/>
          <w:iCs/>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500</w:t>
      </w:r>
      <w:r>
        <w:rPr>
          <w:rFonts w:ascii="Times New Roman" w:eastAsia="宋体" w:hAnsi="Times New Roman" w:cs="Times New Roman" w:hint="eastAsia"/>
          <w:snapToGrid/>
          <w:color w:val="auto"/>
          <w:kern w:val="2"/>
          <w:sz w:val="24"/>
          <w:szCs w:val="24"/>
          <w:lang w:eastAsia="zh-CN"/>
        </w:rPr>
        <w:t>的物种为优势种，</w:t>
      </w:r>
      <w:r>
        <w:rPr>
          <w:rFonts w:ascii="Times New Roman" w:eastAsia="宋体" w:hAnsi="Times New Roman" w:cs="Times New Roman" w:hint="eastAsia"/>
          <w:snapToGrid/>
          <w:color w:val="auto"/>
          <w:kern w:val="2"/>
          <w:sz w:val="24"/>
          <w:szCs w:val="24"/>
          <w:lang w:eastAsia="zh-CN"/>
        </w:rPr>
        <w:t>100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i/>
          <w:iCs/>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&lt;500</w:t>
      </w:r>
      <w:r>
        <w:rPr>
          <w:rFonts w:ascii="Times New Roman" w:eastAsia="宋体" w:hAnsi="Times New Roman" w:cs="Times New Roman" w:hint="eastAsia"/>
          <w:snapToGrid/>
          <w:color w:val="auto"/>
          <w:kern w:val="2"/>
          <w:sz w:val="24"/>
          <w:szCs w:val="24"/>
          <w:lang w:eastAsia="zh-CN"/>
        </w:rPr>
        <w:t>的物种为主要种，</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i/>
          <w:iCs/>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&lt;100</w:t>
      </w:r>
      <w:r>
        <w:rPr>
          <w:rFonts w:ascii="Times New Roman" w:eastAsia="宋体" w:hAnsi="Times New Roman" w:cs="Times New Roman" w:hint="eastAsia"/>
          <w:snapToGrid/>
          <w:color w:val="auto"/>
          <w:kern w:val="2"/>
          <w:sz w:val="24"/>
          <w:szCs w:val="24"/>
          <w:lang w:eastAsia="zh-CN"/>
        </w:rPr>
        <w:t>为一般种，</w:t>
      </w:r>
      <w:r>
        <w:rPr>
          <w:rFonts w:ascii="Times New Roman" w:eastAsia="宋体" w:hAnsi="Times New Roman" w:cs="Times New Roman" w:hint="eastAsia"/>
          <w:i/>
          <w:iCs/>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&lt;10</w:t>
      </w:r>
      <w:r>
        <w:rPr>
          <w:rFonts w:ascii="Times New Roman" w:eastAsia="宋体" w:hAnsi="Times New Roman" w:cs="Times New Roman" w:hint="eastAsia"/>
          <w:snapToGrid/>
          <w:color w:val="auto"/>
          <w:kern w:val="2"/>
          <w:sz w:val="24"/>
          <w:szCs w:val="24"/>
          <w:lang w:eastAsia="zh-CN"/>
        </w:rPr>
        <w:t>为少见种。本次调查的优势渔获种类共有</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种。其中，短鲽的</w:t>
      </w:r>
      <w:r>
        <w:rPr>
          <w:rFonts w:ascii="Times New Roman" w:eastAsia="宋体" w:hAnsi="Times New Roman" w:cs="Times New Roman" w:hint="eastAsia"/>
          <w:i/>
          <w:iCs/>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最高，为</w:t>
      </w:r>
      <w:r>
        <w:rPr>
          <w:rFonts w:ascii="Times New Roman" w:eastAsia="宋体" w:hAnsi="Times New Roman" w:cs="Times New Roman" w:hint="eastAsia"/>
          <w:snapToGrid/>
          <w:color w:val="auto"/>
          <w:kern w:val="2"/>
          <w:sz w:val="24"/>
          <w:szCs w:val="24"/>
          <w:lang w:eastAsia="zh-CN"/>
        </w:rPr>
        <w:t>1342.46</w:t>
      </w:r>
      <w:r>
        <w:rPr>
          <w:rFonts w:ascii="Times New Roman" w:eastAsia="宋体" w:hAnsi="Times New Roman" w:cs="Times New Roman" w:hint="eastAsia"/>
          <w:snapToGrid/>
          <w:color w:val="auto"/>
          <w:kern w:val="2"/>
          <w:sz w:val="24"/>
          <w:szCs w:val="24"/>
          <w:lang w:eastAsia="zh-CN"/>
        </w:rPr>
        <w:t>；其他优势鱼类依次为须赤虾（</w:t>
      </w:r>
      <w:r>
        <w:rPr>
          <w:rFonts w:ascii="Times New Roman" w:eastAsia="宋体" w:hAnsi="Times New Roman" w:cs="Times New Roman" w:hint="eastAsia"/>
          <w:snapToGrid/>
          <w:color w:val="auto"/>
          <w:kern w:val="2"/>
          <w:sz w:val="24"/>
          <w:szCs w:val="24"/>
          <w:lang w:eastAsia="zh-CN"/>
        </w:rPr>
        <w:t>1034.91</w:t>
      </w:r>
      <w:r>
        <w:rPr>
          <w:rFonts w:ascii="Times New Roman" w:eastAsia="宋体" w:hAnsi="Times New Roman" w:cs="Times New Roman" w:hint="eastAsia"/>
          <w:snapToGrid/>
          <w:color w:val="auto"/>
          <w:kern w:val="2"/>
          <w:sz w:val="24"/>
          <w:szCs w:val="24"/>
          <w:lang w:eastAsia="zh-CN"/>
        </w:rPr>
        <w:t>）及条纹鯻（</w:t>
      </w:r>
      <w:r>
        <w:rPr>
          <w:rFonts w:ascii="Times New Roman" w:eastAsia="宋体" w:hAnsi="Times New Roman" w:cs="Times New Roman" w:hint="eastAsia"/>
          <w:snapToGrid/>
          <w:color w:val="auto"/>
          <w:kern w:val="2"/>
          <w:sz w:val="24"/>
          <w:szCs w:val="24"/>
          <w:lang w:eastAsia="zh-CN"/>
        </w:rPr>
        <w:t>766.45</w:t>
      </w:r>
      <w:r>
        <w:rPr>
          <w:rFonts w:ascii="Times New Roman" w:eastAsia="宋体" w:hAnsi="Times New Roman" w:cs="Times New Roman" w:hint="eastAsia"/>
          <w:snapToGrid/>
          <w:color w:val="auto"/>
          <w:kern w:val="2"/>
          <w:sz w:val="24"/>
          <w:szCs w:val="24"/>
          <w:lang w:eastAsia="zh-CN"/>
        </w:rPr>
        <w:t>）。主要种有</w:t>
      </w:r>
      <w:r>
        <w:rPr>
          <w:rFonts w:ascii="Times New Roman" w:eastAsia="宋体" w:hAnsi="Times New Roman" w:cs="Times New Roman" w:hint="eastAsia"/>
          <w:snapToGrid/>
          <w:color w:val="auto"/>
          <w:kern w:val="2"/>
          <w:sz w:val="24"/>
          <w:szCs w:val="24"/>
          <w:lang w:eastAsia="zh-CN"/>
        </w:rPr>
        <w:t>24</w:t>
      </w:r>
      <w:r>
        <w:rPr>
          <w:rFonts w:ascii="Times New Roman" w:eastAsia="宋体" w:hAnsi="Times New Roman" w:cs="Times New Roman" w:hint="eastAsia"/>
          <w:snapToGrid/>
          <w:color w:val="auto"/>
          <w:kern w:val="2"/>
          <w:sz w:val="24"/>
          <w:szCs w:val="24"/>
          <w:lang w:eastAsia="zh-CN"/>
        </w:rPr>
        <w:t>种，其它种类的相对重要性指数小于</w:t>
      </w:r>
      <w:r>
        <w:rPr>
          <w:rFonts w:ascii="Times New Roman" w:eastAsia="宋体" w:hAnsi="Times New Roman" w:cs="Times New Roman" w:hint="eastAsia"/>
          <w:snapToGrid/>
          <w:color w:val="auto"/>
          <w:kern w:val="2"/>
          <w:sz w:val="24"/>
          <w:szCs w:val="24"/>
          <w:lang w:eastAsia="zh-CN"/>
        </w:rPr>
        <w:t>100</w:t>
      </w:r>
      <w:r>
        <w:rPr>
          <w:rFonts w:ascii="Times New Roman" w:eastAsia="宋体" w:hAnsi="Times New Roman" w:cs="Times New Roman" w:hint="eastAsia"/>
          <w:snapToGrid/>
          <w:color w:val="auto"/>
          <w:kern w:val="2"/>
          <w:sz w:val="24"/>
          <w:szCs w:val="24"/>
          <w:lang w:eastAsia="zh-CN"/>
        </w:rPr>
        <w:t>（详见表</w:t>
      </w:r>
      <w:r>
        <w:rPr>
          <w:rFonts w:ascii="Times New Roman" w:eastAsia="宋体" w:hAnsi="Times New Roman" w:cs="Times New Roman" w:hint="eastAsia"/>
          <w:snapToGrid/>
          <w:color w:val="auto"/>
          <w:kern w:val="2"/>
          <w:sz w:val="24"/>
          <w:szCs w:val="24"/>
          <w:lang w:eastAsia="zh-CN"/>
        </w:rPr>
        <w:t>3.2.6-30</w:t>
      </w:r>
      <w:r>
        <w:rPr>
          <w:rFonts w:ascii="Times New Roman" w:eastAsia="宋体" w:hAnsi="Times New Roman" w:cs="Times New Roman" w:hint="eastAsia"/>
          <w:snapToGrid/>
          <w:color w:val="auto"/>
          <w:kern w:val="2"/>
          <w:sz w:val="24"/>
          <w:szCs w:val="24"/>
          <w:lang w:eastAsia="zh-CN"/>
        </w:rPr>
        <w:t>）。</w:t>
      </w:r>
    </w:p>
    <w:p w14:paraId="5C50DF36" w14:textId="77777777" w:rsidR="0075791A" w:rsidRDefault="00FB2864">
      <w:pPr>
        <w:jc w:val="center"/>
        <w:rPr>
          <w:rFonts w:ascii="宋体" w:eastAsia="宋体" w:hAnsi="宋体" w:cs="宋体"/>
          <w:color w:val="auto"/>
          <w:sz w:val="24"/>
          <w:szCs w:val="24"/>
          <w:lang w:eastAsia="zh-CN"/>
        </w:rPr>
      </w:pP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3.2.6-30</w:t>
      </w:r>
      <w:r>
        <w:rPr>
          <w:rFonts w:ascii="Times New Roman" w:eastAsia="宋体" w:hAnsi="Times New Roman" w:cs="Times New Roman" w:hint="eastAsia"/>
          <w:color w:val="auto"/>
          <w:sz w:val="24"/>
          <w:szCs w:val="24"/>
          <w:lang w:eastAsia="zh-CN"/>
        </w:rPr>
        <w:t xml:space="preserve"> </w:t>
      </w:r>
      <w:r>
        <w:rPr>
          <w:rFonts w:ascii="Times New Roman" w:eastAsia="Times New Roman" w:hAnsi="Times New Roman" w:cs="Times New Roman"/>
          <w:color w:val="auto"/>
          <w:sz w:val="24"/>
          <w:szCs w:val="24"/>
          <w:lang w:eastAsia="zh-CN"/>
        </w:rPr>
        <w:t xml:space="preserve">2024 </w:t>
      </w:r>
      <w:r>
        <w:rPr>
          <w:rFonts w:ascii="宋体" w:eastAsia="宋体" w:hAnsi="宋体" w:cs="宋体"/>
          <w:color w:val="auto"/>
          <w:sz w:val="24"/>
          <w:szCs w:val="24"/>
          <w:lang w:eastAsia="zh-CN"/>
        </w:rPr>
        <w:t>年</w:t>
      </w:r>
      <w:r>
        <w:rPr>
          <w:rFonts w:ascii="宋体" w:eastAsia="宋体" w:hAnsi="宋体" w:cs="宋体"/>
          <w:color w:val="auto"/>
          <w:spacing w:val="-60"/>
          <w:sz w:val="24"/>
          <w:szCs w:val="24"/>
          <w:lang w:eastAsia="zh-CN"/>
        </w:rPr>
        <w:t xml:space="preserve"> </w:t>
      </w:r>
      <w:r>
        <w:rPr>
          <w:rFonts w:ascii="Times New Roman" w:eastAsia="Times New Roman" w:hAnsi="Times New Roman" w:cs="Times New Roman"/>
          <w:color w:val="auto"/>
          <w:sz w:val="24"/>
          <w:szCs w:val="24"/>
          <w:lang w:eastAsia="zh-CN"/>
        </w:rPr>
        <w:t xml:space="preserve">9 </w:t>
      </w:r>
      <w:r>
        <w:rPr>
          <w:rFonts w:ascii="宋体" w:eastAsia="宋体" w:hAnsi="宋体" w:cs="宋体"/>
          <w:color w:val="auto"/>
          <w:sz w:val="24"/>
          <w:szCs w:val="24"/>
          <w:lang w:eastAsia="zh-CN"/>
        </w:rPr>
        <w:t>月航次调查海域游泳动物渔获物优势种</w:t>
      </w:r>
    </w:p>
    <w:tbl>
      <w:tblPr>
        <w:tblW w:w="0" w:type="auto"/>
        <w:tblInd w:w="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28"/>
        <w:gridCol w:w="3232"/>
        <w:gridCol w:w="1064"/>
        <w:gridCol w:w="1064"/>
        <w:gridCol w:w="1064"/>
        <w:gridCol w:w="1062"/>
      </w:tblGrid>
      <w:tr w:rsidR="0075791A" w14:paraId="28570AD3" w14:textId="77777777">
        <w:trPr>
          <w:trHeight w:hRule="exact" w:val="354"/>
        </w:trPr>
        <w:tc>
          <w:tcPr>
            <w:tcW w:w="1528" w:type="dxa"/>
            <w:tcBorders>
              <w:tl2br w:val="nil"/>
              <w:tr2bl w:val="nil"/>
            </w:tcBorders>
          </w:tcPr>
          <w:p w14:paraId="258FFDC0" w14:textId="77777777" w:rsidR="0075791A" w:rsidRDefault="00FB2864">
            <w:pPr>
              <w:pStyle w:val="TableParagraph"/>
              <w:spacing w:line="278" w:lineRule="exact"/>
              <w:ind w:left="529" w:right="531"/>
              <w:jc w:val="center"/>
              <w:rPr>
                <w:rFonts w:ascii="宋体" w:eastAsia="宋体" w:hAnsi="宋体" w:cs="宋体"/>
                <w:color w:val="auto"/>
              </w:rPr>
            </w:pPr>
            <w:r>
              <w:rPr>
                <w:rFonts w:ascii="宋体" w:eastAsia="宋体" w:hAnsi="宋体" w:cs="宋体"/>
                <w:color w:val="auto"/>
                <w:spacing w:val="-1"/>
              </w:rPr>
              <w:t>种</w:t>
            </w:r>
            <w:r>
              <w:rPr>
                <w:rFonts w:ascii="宋体" w:eastAsia="宋体" w:hAnsi="宋体" w:cs="宋体"/>
                <w:color w:val="auto"/>
              </w:rPr>
              <w:t>类</w:t>
            </w:r>
          </w:p>
        </w:tc>
        <w:tc>
          <w:tcPr>
            <w:tcW w:w="3232" w:type="dxa"/>
            <w:tcBorders>
              <w:tl2br w:val="nil"/>
              <w:tr2bl w:val="nil"/>
            </w:tcBorders>
          </w:tcPr>
          <w:p w14:paraId="20066E24" w14:textId="77777777" w:rsidR="0075791A" w:rsidRDefault="00FB2864">
            <w:pPr>
              <w:pStyle w:val="TableParagraph"/>
              <w:spacing w:line="278" w:lineRule="exact"/>
              <w:ind w:right="3"/>
              <w:jc w:val="center"/>
              <w:rPr>
                <w:rFonts w:ascii="宋体" w:eastAsia="宋体" w:hAnsi="宋体" w:cs="宋体"/>
                <w:color w:val="auto"/>
              </w:rPr>
            </w:pPr>
            <w:r>
              <w:rPr>
                <w:rFonts w:ascii="宋体" w:eastAsia="宋体" w:hAnsi="宋体" w:cs="宋体"/>
                <w:color w:val="auto"/>
                <w:spacing w:val="-1"/>
              </w:rPr>
              <w:t>拉</w:t>
            </w:r>
            <w:r>
              <w:rPr>
                <w:rFonts w:ascii="宋体" w:eastAsia="宋体" w:hAnsi="宋体" w:cs="宋体"/>
                <w:color w:val="auto"/>
                <w:spacing w:val="2"/>
              </w:rPr>
              <w:t>丁</w:t>
            </w:r>
            <w:r>
              <w:rPr>
                <w:rFonts w:ascii="宋体" w:eastAsia="宋体" w:hAnsi="宋体" w:cs="宋体"/>
                <w:color w:val="auto"/>
                <w:spacing w:val="-1"/>
              </w:rPr>
              <w:t>文</w:t>
            </w:r>
            <w:r>
              <w:rPr>
                <w:rFonts w:ascii="宋体" w:eastAsia="宋体" w:hAnsi="宋体" w:cs="宋体"/>
                <w:color w:val="auto"/>
              </w:rPr>
              <w:t>名</w:t>
            </w:r>
          </w:p>
        </w:tc>
        <w:tc>
          <w:tcPr>
            <w:tcW w:w="1064" w:type="dxa"/>
            <w:tcBorders>
              <w:tl2br w:val="nil"/>
              <w:tr2bl w:val="nil"/>
            </w:tcBorders>
          </w:tcPr>
          <w:p w14:paraId="31BC282E" w14:textId="77777777" w:rsidR="0075791A" w:rsidRDefault="00FB2864">
            <w:pPr>
              <w:pStyle w:val="TableParagraph"/>
              <w:spacing w:before="52"/>
              <w:ind w:right="3"/>
              <w:jc w:val="center"/>
              <w:rPr>
                <w:rFonts w:ascii="Times New Roman" w:eastAsia="Times New Roman" w:hAnsi="Times New Roman" w:cs="Times New Roman"/>
                <w:color w:val="auto"/>
              </w:rPr>
            </w:pPr>
            <w:r>
              <w:rPr>
                <w:rFonts w:ascii="Times New Roman" w:eastAsia="Times New Roman" w:hAnsi="Times New Roman" w:cs="Times New Roman"/>
                <w:color w:val="auto"/>
              </w:rPr>
              <w:t>N</w:t>
            </w:r>
          </w:p>
        </w:tc>
        <w:tc>
          <w:tcPr>
            <w:tcW w:w="1064" w:type="dxa"/>
            <w:tcBorders>
              <w:tl2br w:val="nil"/>
              <w:tr2bl w:val="nil"/>
            </w:tcBorders>
          </w:tcPr>
          <w:p w14:paraId="1A5E4308" w14:textId="77777777" w:rsidR="0075791A" w:rsidRDefault="00FB2864">
            <w:pPr>
              <w:pStyle w:val="TableParagraph"/>
              <w:spacing w:before="52"/>
              <w:ind w:right="2"/>
              <w:jc w:val="center"/>
              <w:rPr>
                <w:rFonts w:ascii="Times New Roman" w:eastAsia="Times New Roman" w:hAnsi="Times New Roman" w:cs="Times New Roman"/>
                <w:color w:val="auto"/>
              </w:rPr>
            </w:pPr>
            <w:r>
              <w:rPr>
                <w:rFonts w:ascii="Times New Roman" w:eastAsia="Times New Roman" w:hAnsi="Times New Roman" w:cs="Times New Roman"/>
                <w:color w:val="auto"/>
              </w:rPr>
              <w:t>W</w:t>
            </w:r>
          </w:p>
        </w:tc>
        <w:tc>
          <w:tcPr>
            <w:tcW w:w="1064" w:type="dxa"/>
            <w:tcBorders>
              <w:tl2br w:val="nil"/>
              <w:tr2bl w:val="nil"/>
            </w:tcBorders>
          </w:tcPr>
          <w:p w14:paraId="2D3E46F9" w14:textId="77777777" w:rsidR="0075791A" w:rsidRDefault="00FB2864">
            <w:pPr>
              <w:pStyle w:val="TableParagraph"/>
              <w:spacing w:before="52"/>
              <w:ind w:right="3"/>
              <w:jc w:val="center"/>
              <w:rPr>
                <w:rFonts w:ascii="Times New Roman" w:eastAsia="Times New Roman" w:hAnsi="Times New Roman" w:cs="Times New Roman"/>
                <w:color w:val="auto"/>
              </w:rPr>
            </w:pPr>
            <w:r>
              <w:rPr>
                <w:rFonts w:ascii="Times New Roman" w:eastAsia="Times New Roman" w:hAnsi="Times New Roman" w:cs="Times New Roman"/>
                <w:color w:val="auto"/>
              </w:rPr>
              <w:t>F</w:t>
            </w:r>
          </w:p>
        </w:tc>
        <w:tc>
          <w:tcPr>
            <w:tcW w:w="1062" w:type="dxa"/>
            <w:tcBorders>
              <w:tl2br w:val="nil"/>
              <w:tr2bl w:val="nil"/>
            </w:tcBorders>
          </w:tcPr>
          <w:p w14:paraId="493599B8" w14:textId="77777777" w:rsidR="0075791A" w:rsidRDefault="00FB2864">
            <w:pPr>
              <w:pStyle w:val="TableParagraph"/>
              <w:spacing w:before="52"/>
              <w:ind w:right="3"/>
              <w:jc w:val="center"/>
              <w:rPr>
                <w:rFonts w:ascii="Times New Roman" w:eastAsia="Times New Roman" w:hAnsi="Times New Roman" w:cs="Times New Roman"/>
                <w:color w:val="auto"/>
              </w:rPr>
            </w:pPr>
            <w:r>
              <w:rPr>
                <w:rFonts w:ascii="Times New Roman" w:eastAsia="Times New Roman" w:hAnsi="Times New Roman" w:cs="Times New Roman"/>
                <w:color w:val="auto"/>
              </w:rPr>
              <w:t>IRI</w:t>
            </w:r>
          </w:p>
        </w:tc>
      </w:tr>
      <w:tr w:rsidR="0075791A" w14:paraId="2D295AC9" w14:textId="77777777">
        <w:trPr>
          <w:trHeight w:hRule="exact" w:val="330"/>
        </w:trPr>
        <w:tc>
          <w:tcPr>
            <w:tcW w:w="1528" w:type="dxa"/>
            <w:tcBorders>
              <w:tl2br w:val="nil"/>
              <w:tr2bl w:val="nil"/>
            </w:tcBorders>
          </w:tcPr>
          <w:p w14:paraId="2E471878" w14:textId="77777777" w:rsidR="0075791A" w:rsidRDefault="00FB2864">
            <w:pPr>
              <w:pStyle w:val="TableParagraph"/>
              <w:spacing w:line="264" w:lineRule="exact"/>
              <w:ind w:left="529" w:right="531"/>
              <w:jc w:val="center"/>
              <w:rPr>
                <w:rFonts w:ascii="宋体" w:eastAsia="宋体" w:hAnsi="宋体" w:cs="宋体"/>
                <w:color w:val="auto"/>
              </w:rPr>
            </w:pPr>
            <w:r>
              <w:rPr>
                <w:rFonts w:ascii="宋体" w:eastAsia="宋体" w:hAnsi="宋体" w:cs="宋体"/>
                <w:color w:val="auto"/>
                <w:spacing w:val="-1"/>
              </w:rPr>
              <w:t>短</w:t>
            </w:r>
            <w:r>
              <w:rPr>
                <w:rFonts w:ascii="宋体" w:eastAsia="宋体" w:hAnsi="宋体" w:cs="宋体"/>
                <w:color w:val="auto"/>
              </w:rPr>
              <w:t>鲽</w:t>
            </w:r>
          </w:p>
        </w:tc>
        <w:tc>
          <w:tcPr>
            <w:tcW w:w="3232" w:type="dxa"/>
            <w:tcBorders>
              <w:tl2br w:val="nil"/>
              <w:tr2bl w:val="nil"/>
            </w:tcBorders>
          </w:tcPr>
          <w:p w14:paraId="788288EF" w14:textId="77777777" w:rsidR="0075791A" w:rsidRDefault="00FB2864">
            <w:pPr>
              <w:pStyle w:val="TableParagraph"/>
              <w:spacing w:before="34"/>
              <w:ind w:left="245"/>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B</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1"/>
                <w:sz w:val="22"/>
                <w:szCs w:val="22"/>
              </w:rPr>
              <w:t>h</w:t>
            </w:r>
            <w:r>
              <w:rPr>
                <w:rFonts w:ascii="Times New Roman" w:eastAsia="Times New Roman" w:hAnsi="Times New Roman" w:cs="Times New Roman"/>
                <w:i/>
                <w:color w:val="auto"/>
                <w:spacing w:val="-2"/>
                <w:sz w:val="22"/>
                <w:szCs w:val="22"/>
              </w:rPr>
              <w:t>y</w:t>
            </w:r>
            <w:r>
              <w:rPr>
                <w:rFonts w:ascii="Times New Roman" w:eastAsia="Times New Roman" w:hAnsi="Times New Roman" w:cs="Times New Roman"/>
                <w:i/>
                <w:color w:val="auto"/>
                <w:spacing w:val="-1"/>
                <w:sz w:val="22"/>
                <w:szCs w:val="22"/>
              </w:rPr>
              <w:t>p</w:t>
            </w:r>
            <w:r>
              <w:rPr>
                <w:rFonts w:ascii="Times New Roman" w:eastAsia="Times New Roman" w:hAnsi="Times New Roman" w:cs="Times New Roman"/>
                <w:i/>
                <w:color w:val="auto"/>
                <w:spacing w:val="1"/>
                <w:sz w:val="22"/>
                <w:szCs w:val="22"/>
              </w:rPr>
              <w:t>l</w:t>
            </w:r>
            <w:r>
              <w:rPr>
                <w:rFonts w:ascii="Times New Roman" w:eastAsia="Times New Roman" w:hAnsi="Times New Roman" w:cs="Times New Roman"/>
                <w:i/>
                <w:color w:val="auto"/>
                <w:spacing w:val="-2"/>
                <w:sz w:val="22"/>
                <w:szCs w:val="22"/>
              </w:rPr>
              <w:t>e</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ra</w:t>
            </w:r>
            <w:r>
              <w:rPr>
                <w:rFonts w:ascii="Times New Roman" w:eastAsia="Times New Roman" w:hAnsi="Times New Roman" w:cs="Times New Roman"/>
                <w:i/>
                <w:color w:val="auto"/>
                <w:spacing w:val="-3"/>
                <w:sz w:val="22"/>
                <w:szCs w:val="22"/>
              </w:rPr>
              <w:t xml:space="preserve"> </w:t>
            </w:r>
            <w:r>
              <w:rPr>
                <w:rFonts w:ascii="Times New Roman" w:eastAsia="Times New Roman" w:hAnsi="Times New Roman" w:cs="Times New Roman"/>
                <w:i/>
                <w:color w:val="auto"/>
                <w:spacing w:val="-1"/>
                <w:sz w:val="22"/>
                <w:szCs w:val="22"/>
              </w:rPr>
              <w:t>no</w:t>
            </w:r>
            <w:r>
              <w:rPr>
                <w:rFonts w:ascii="Times New Roman" w:eastAsia="Times New Roman" w:hAnsi="Times New Roman" w:cs="Times New Roman"/>
                <w:i/>
                <w:color w:val="auto"/>
                <w:sz w:val="22"/>
                <w:szCs w:val="22"/>
              </w:rPr>
              <w:t>v</w:t>
            </w:r>
            <w:r>
              <w:rPr>
                <w:rFonts w:ascii="Times New Roman" w:eastAsia="Times New Roman" w:hAnsi="Times New Roman" w:cs="Times New Roman"/>
                <w:i/>
                <w:color w:val="auto"/>
                <w:spacing w:val="-3"/>
                <w:sz w:val="22"/>
                <w:szCs w:val="22"/>
              </w:rPr>
              <w:t>a</w:t>
            </w:r>
            <w:r>
              <w:rPr>
                <w:rFonts w:ascii="Times New Roman" w:eastAsia="Times New Roman" w:hAnsi="Times New Roman" w:cs="Times New Roman"/>
                <w:i/>
                <w:color w:val="auto"/>
                <w:sz w:val="22"/>
                <w:szCs w:val="22"/>
              </w:rPr>
              <w:t>ez</w:t>
            </w:r>
            <w:r>
              <w:rPr>
                <w:rFonts w:ascii="Times New Roman" w:eastAsia="Times New Roman" w:hAnsi="Times New Roman" w:cs="Times New Roman"/>
                <w:i/>
                <w:color w:val="auto"/>
                <w:spacing w:val="-2"/>
                <w:sz w:val="22"/>
                <w:szCs w:val="22"/>
              </w:rPr>
              <w:t>e</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1"/>
                <w:sz w:val="22"/>
                <w:szCs w:val="22"/>
              </w:rPr>
              <w:t>l</w:t>
            </w:r>
            <w:r>
              <w:rPr>
                <w:rFonts w:ascii="Times New Roman" w:eastAsia="Times New Roman" w:hAnsi="Times New Roman" w:cs="Times New Roman"/>
                <w:i/>
                <w:color w:val="auto"/>
                <w:spacing w:val="-3"/>
                <w:sz w:val="22"/>
                <w:szCs w:val="22"/>
              </w:rPr>
              <w:t>a</w:t>
            </w:r>
            <w:r>
              <w:rPr>
                <w:rFonts w:ascii="Times New Roman" w:eastAsia="Times New Roman" w:hAnsi="Times New Roman" w:cs="Times New Roman"/>
                <w:i/>
                <w:color w:val="auto"/>
                <w:spacing w:val="-1"/>
                <w:sz w:val="22"/>
                <w:szCs w:val="22"/>
              </w:rPr>
              <w:t>nd</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pacing w:val="-3"/>
                <w:sz w:val="22"/>
                <w:szCs w:val="22"/>
              </w:rPr>
              <w:t>a</w:t>
            </w:r>
            <w:r>
              <w:rPr>
                <w:rFonts w:ascii="Times New Roman" w:eastAsia="Times New Roman" w:hAnsi="Times New Roman" w:cs="Times New Roman"/>
                <w:i/>
                <w:color w:val="auto"/>
                <w:sz w:val="22"/>
                <w:szCs w:val="22"/>
              </w:rPr>
              <w:t>e</w:t>
            </w:r>
          </w:p>
        </w:tc>
        <w:tc>
          <w:tcPr>
            <w:tcW w:w="1064" w:type="dxa"/>
            <w:tcBorders>
              <w:tl2br w:val="nil"/>
              <w:tr2bl w:val="nil"/>
            </w:tcBorders>
          </w:tcPr>
          <w:p w14:paraId="42CC34C1" w14:textId="77777777" w:rsidR="0075791A" w:rsidRDefault="00FB2864">
            <w:pPr>
              <w:pStyle w:val="TableParagraph"/>
              <w:spacing w:before="41"/>
              <w:ind w:left="202"/>
              <w:rPr>
                <w:rFonts w:ascii="Times New Roman" w:eastAsia="Times New Roman" w:hAnsi="Times New Roman" w:cs="Times New Roman"/>
                <w:color w:val="auto"/>
              </w:rPr>
            </w:pPr>
            <w:r>
              <w:rPr>
                <w:rFonts w:ascii="Times New Roman" w:eastAsia="Times New Roman" w:hAnsi="Times New Roman" w:cs="Times New Roman"/>
                <w:color w:val="auto"/>
                <w:spacing w:val="1"/>
              </w:rPr>
              <w:t>12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spacing w:val="-2"/>
              </w:rPr>
              <w:t>2</w:t>
            </w:r>
            <w:r>
              <w:rPr>
                <w:rFonts w:ascii="Times New Roman" w:eastAsia="Times New Roman" w:hAnsi="Times New Roman" w:cs="Times New Roman"/>
                <w:color w:val="auto"/>
              </w:rPr>
              <w:t>%</w:t>
            </w:r>
          </w:p>
        </w:tc>
        <w:tc>
          <w:tcPr>
            <w:tcW w:w="1064" w:type="dxa"/>
            <w:tcBorders>
              <w:tl2br w:val="nil"/>
              <w:tr2bl w:val="nil"/>
            </w:tcBorders>
          </w:tcPr>
          <w:p w14:paraId="2F10BABD" w14:textId="77777777" w:rsidR="0075791A" w:rsidRDefault="00FB2864">
            <w:pPr>
              <w:pStyle w:val="TableParagraph"/>
              <w:spacing w:before="41"/>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5</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w:t>
            </w:r>
          </w:p>
        </w:tc>
        <w:tc>
          <w:tcPr>
            <w:tcW w:w="1064" w:type="dxa"/>
            <w:tcBorders>
              <w:tl2br w:val="nil"/>
              <w:tr2bl w:val="nil"/>
            </w:tcBorders>
          </w:tcPr>
          <w:p w14:paraId="2FD8AA58" w14:textId="77777777" w:rsidR="0075791A" w:rsidRDefault="00FB2864">
            <w:pPr>
              <w:pStyle w:val="TableParagraph"/>
              <w:spacing w:before="41"/>
              <w:ind w:left="342"/>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c>
          <w:tcPr>
            <w:tcW w:w="1062" w:type="dxa"/>
            <w:tcBorders>
              <w:tl2br w:val="nil"/>
              <w:tr2bl w:val="nil"/>
            </w:tcBorders>
          </w:tcPr>
          <w:p w14:paraId="260BC8F6" w14:textId="77777777" w:rsidR="0075791A" w:rsidRDefault="00FB2864">
            <w:pPr>
              <w:pStyle w:val="TableParagraph"/>
              <w:spacing w:before="41"/>
              <w:ind w:left="183"/>
              <w:rPr>
                <w:rFonts w:ascii="Times New Roman" w:eastAsia="Times New Roman" w:hAnsi="Times New Roman" w:cs="Times New Roman"/>
                <w:color w:val="auto"/>
              </w:rPr>
            </w:pPr>
            <w:r>
              <w:rPr>
                <w:rFonts w:ascii="Times New Roman" w:eastAsia="Times New Roman" w:hAnsi="Times New Roman" w:cs="Times New Roman"/>
                <w:color w:val="auto"/>
                <w:spacing w:val="1"/>
              </w:rPr>
              <w:t>134</w:t>
            </w:r>
            <w:r>
              <w:rPr>
                <w:rFonts w:ascii="Times New Roman" w:eastAsia="Times New Roman" w:hAnsi="Times New Roman" w:cs="Times New Roman"/>
                <w:color w:val="auto"/>
                <w:spacing w:val="-2"/>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6</w:t>
            </w:r>
          </w:p>
        </w:tc>
      </w:tr>
      <w:tr w:rsidR="0075791A" w14:paraId="20E5CD7F" w14:textId="77777777">
        <w:trPr>
          <w:trHeight w:hRule="exact" w:val="330"/>
        </w:trPr>
        <w:tc>
          <w:tcPr>
            <w:tcW w:w="1528" w:type="dxa"/>
            <w:tcBorders>
              <w:tl2br w:val="nil"/>
              <w:tr2bl w:val="nil"/>
            </w:tcBorders>
          </w:tcPr>
          <w:p w14:paraId="268CAD8F" w14:textId="77777777" w:rsidR="0075791A" w:rsidRDefault="00FB2864">
            <w:pPr>
              <w:pStyle w:val="TableParagraph"/>
              <w:spacing w:line="266" w:lineRule="exact"/>
              <w:ind w:left="443"/>
              <w:rPr>
                <w:rFonts w:ascii="宋体" w:eastAsia="宋体" w:hAnsi="宋体" w:cs="宋体"/>
                <w:color w:val="auto"/>
              </w:rPr>
            </w:pPr>
            <w:r>
              <w:rPr>
                <w:rFonts w:ascii="宋体" w:eastAsia="宋体" w:hAnsi="宋体" w:cs="宋体"/>
                <w:color w:val="auto"/>
                <w:spacing w:val="-1"/>
              </w:rPr>
              <w:t>须</w:t>
            </w:r>
            <w:r>
              <w:rPr>
                <w:rFonts w:ascii="宋体" w:eastAsia="宋体" w:hAnsi="宋体" w:cs="宋体"/>
                <w:color w:val="auto"/>
                <w:spacing w:val="2"/>
              </w:rPr>
              <w:t>赤</w:t>
            </w:r>
            <w:r>
              <w:rPr>
                <w:rFonts w:ascii="宋体" w:eastAsia="宋体" w:hAnsi="宋体" w:cs="宋体"/>
                <w:color w:val="auto"/>
              </w:rPr>
              <w:t>虾</w:t>
            </w:r>
          </w:p>
        </w:tc>
        <w:tc>
          <w:tcPr>
            <w:tcW w:w="3232" w:type="dxa"/>
            <w:tcBorders>
              <w:tl2br w:val="nil"/>
              <w:tr2bl w:val="nil"/>
            </w:tcBorders>
          </w:tcPr>
          <w:p w14:paraId="7DEB06EF" w14:textId="77777777" w:rsidR="0075791A" w:rsidRDefault="00FB2864">
            <w:pPr>
              <w:pStyle w:val="TableParagraph"/>
              <w:spacing w:before="33"/>
              <w:ind w:left="521"/>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2"/>
                <w:sz w:val="22"/>
                <w:szCs w:val="22"/>
              </w:rPr>
              <w:t>M</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1"/>
                <w:sz w:val="22"/>
                <w:szCs w:val="22"/>
              </w:rPr>
              <w:t>t</w:t>
            </w:r>
            <w:r>
              <w:rPr>
                <w:rFonts w:ascii="Times New Roman" w:eastAsia="Times New Roman" w:hAnsi="Times New Roman" w:cs="Times New Roman"/>
                <w:i/>
                <w:color w:val="auto"/>
                <w:spacing w:val="-3"/>
                <w:sz w:val="22"/>
                <w:szCs w:val="22"/>
              </w:rPr>
              <w:t>a</w:t>
            </w:r>
            <w:r>
              <w:rPr>
                <w:rFonts w:ascii="Times New Roman" w:eastAsia="Times New Roman" w:hAnsi="Times New Roman" w:cs="Times New Roman"/>
                <w:i/>
                <w:color w:val="auto"/>
                <w:spacing w:val="-1"/>
                <w:sz w:val="22"/>
                <w:szCs w:val="22"/>
              </w:rPr>
              <w:t>p</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1"/>
                <w:sz w:val="22"/>
                <w:szCs w:val="22"/>
              </w:rPr>
              <w:t>na</w:t>
            </w:r>
            <w:r>
              <w:rPr>
                <w:rFonts w:ascii="Times New Roman" w:eastAsia="Times New Roman" w:hAnsi="Times New Roman" w:cs="Times New Roman"/>
                <w:i/>
                <w:color w:val="auto"/>
                <w:spacing w:val="-2"/>
                <w:sz w:val="22"/>
                <w:szCs w:val="22"/>
              </w:rPr>
              <w:t>e</w:t>
            </w:r>
            <w:r>
              <w:rPr>
                <w:rFonts w:ascii="Times New Roman" w:eastAsia="Times New Roman" w:hAnsi="Times New Roman" w:cs="Times New Roman"/>
                <w:i/>
                <w:color w:val="auto"/>
                <w:spacing w:val="-1"/>
                <w:sz w:val="22"/>
                <w:szCs w:val="22"/>
              </w:rPr>
              <w:t>op</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 xml:space="preserve"> </w:t>
            </w:r>
            <w:r>
              <w:rPr>
                <w:rFonts w:ascii="Times New Roman" w:eastAsia="Times New Roman" w:hAnsi="Times New Roman" w:cs="Times New Roman"/>
                <w:i/>
                <w:color w:val="auto"/>
                <w:spacing w:val="-1"/>
                <w:sz w:val="22"/>
                <w:szCs w:val="22"/>
              </w:rPr>
              <w:t>ba</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1"/>
                <w:sz w:val="22"/>
                <w:szCs w:val="22"/>
              </w:rPr>
              <w:t>b</w:t>
            </w:r>
            <w:r>
              <w:rPr>
                <w:rFonts w:ascii="Times New Roman" w:eastAsia="Times New Roman" w:hAnsi="Times New Roman" w:cs="Times New Roman"/>
                <w:i/>
                <w:color w:val="auto"/>
                <w:spacing w:val="-3"/>
                <w:sz w:val="22"/>
                <w:szCs w:val="22"/>
              </w:rPr>
              <w:t>a</w:t>
            </w:r>
            <w:r>
              <w:rPr>
                <w:rFonts w:ascii="Times New Roman" w:eastAsia="Times New Roman" w:hAnsi="Times New Roman" w:cs="Times New Roman"/>
                <w:i/>
                <w:color w:val="auto"/>
                <w:spacing w:val="1"/>
                <w:sz w:val="22"/>
                <w:szCs w:val="22"/>
              </w:rPr>
              <w:t>t</w:t>
            </w:r>
            <w:r>
              <w:rPr>
                <w:rFonts w:ascii="Times New Roman" w:eastAsia="Times New Roman" w:hAnsi="Times New Roman" w:cs="Times New Roman"/>
                <w:i/>
                <w:color w:val="auto"/>
                <w:sz w:val="22"/>
                <w:szCs w:val="22"/>
              </w:rPr>
              <w:t>a</w:t>
            </w:r>
          </w:p>
        </w:tc>
        <w:tc>
          <w:tcPr>
            <w:tcW w:w="1064" w:type="dxa"/>
            <w:tcBorders>
              <w:tl2br w:val="nil"/>
              <w:tr2bl w:val="nil"/>
            </w:tcBorders>
          </w:tcPr>
          <w:p w14:paraId="3C7603AC" w14:textId="77777777" w:rsidR="0075791A" w:rsidRDefault="00FB2864">
            <w:pPr>
              <w:pStyle w:val="TableParagraph"/>
              <w:spacing w:before="40"/>
              <w:ind w:left="207"/>
              <w:rPr>
                <w:rFonts w:ascii="Times New Roman" w:eastAsia="Times New Roman" w:hAnsi="Times New Roman" w:cs="Times New Roman"/>
                <w:color w:val="auto"/>
              </w:rPr>
            </w:pPr>
            <w:r>
              <w:rPr>
                <w:rFonts w:ascii="Times New Roman" w:eastAsia="Times New Roman" w:hAnsi="Times New Roman" w:cs="Times New Roman"/>
                <w:color w:val="auto"/>
                <w:spacing w:val="-5"/>
              </w:rPr>
              <w:t>1</w:t>
            </w:r>
            <w:r>
              <w:rPr>
                <w:rFonts w:ascii="Times New Roman" w:eastAsia="Times New Roman" w:hAnsi="Times New Roman" w:cs="Times New Roman"/>
                <w:color w:val="auto"/>
                <w:spacing w:val="-2"/>
              </w:rPr>
              <w:t>1.</w:t>
            </w:r>
            <w:r>
              <w:rPr>
                <w:rFonts w:ascii="Times New Roman" w:eastAsia="Times New Roman" w:hAnsi="Times New Roman" w:cs="Times New Roman"/>
                <w:color w:val="auto"/>
                <w:spacing w:val="1"/>
              </w:rPr>
              <w:t>83</w:t>
            </w:r>
            <w:r>
              <w:rPr>
                <w:rFonts w:ascii="Times New Roman" w:eastAsia="Times New Roman" w:hAnsi="Times New Roman" w:cs="Times New Roman"/>
                <w:color w:val="auto"/>
              </w:rPr>
              <w:t>%</w:t>
            </w:r>
          </w:p>
        </w:tc>
        <w:tc>
          <w:tcPr>
            <w:tcW w:w="1064" w:type="dxa"/>
            <w:tcBorders>
              <w:tl2br w:val="nil"/>
              <w:tr2bl w:val="nil"/>
            </w:tcBorders>
          </w:tcPr>
          <w:p w14:paraId="1677B946" w14:textId="77777777" w:rsidR="0075791A" w:rsidRDefault="00FB2864">
            <w:pPr>
              <w:pStyle w:val="TableParagraph"/>
              <w:spacing w:before="40"/>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9</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w:t>
            </w:r>
          </w:p>
        </w:tc>
        <w:tc>
          <w:tcPr>
            <w:tcW w:w="1064" w:type="dxa"/>
            <w:tcBorders>
              <w:tl2br w:val="nil"/>
              <w:tr2bl w:val="nil"/>
            </w:tcBorders>
          </w:tcPr>
          <w:p w14:paraId="0A0B7977" w14:textId="77777777" w:rsidR="0075791A" w:rsidRDefault="00FB2864">
            <w:pPr>
              <w:pStyle w:val="TableParagraph"/>
              <w:spacing w:before="40"/>
              <w:ind w:left="342"/>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c>
          <w:tcPr>
            <w:tcW w:w="1062" w:type="dxa"/>
            <w:tcBorders>
              <w:tl2br w:val="nil"/>
              <w:tr2bl w:val="nil"/>
            </w:tcBorders>
          </w:tcPr>
          <w:p w14:paraId="753F8532" w14:textId="77777777" w:rsidR="0075791A" w:rsidRDefault="00FB2864">
            <w:pPr>
              <w:pStyle w:val="TableParagraph"/>
              <w:spacing w:before="40"/>
              <w:ind w:left="183"/>
              <w:rPr>
                <w:rFonts w:ascii="Times New Roman" w:eastAsia="Times New Roman" w:hAnsi="Times New Roman" w:cs="Times New Roman"/>
                <w:color w:val="auto"/>
              </w:rPr>
            </w:pPr>
            <w:r>
              <w:rPr>
                <w:rFonts w:ascii="Times New Roman" w:eastAsia="Times New Roman" w:hAnsi="Times New Roman" w:cs="Times New Roman"/>
                <w:color w:val="auto"/>
                <w:spacing w:val="1"/>
              </w:rPr>
              <w:t>103</w:t>
            </w:r>
            <w:r>
              <w:rPr>
                <w:rFonts w:ascii="Times New Roman" w:eastAsia="Times New Roman" w:hAnsi="Times New Roman" w:cs="Times New Roman"/>
                <w:color w:val="auto"/>
                <w:spacing w:val="-2"/>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1</w:t>
            </w:r>
          </w:p>
        </w:tc>
      </w:tr>
      <w:tr w:rsidR="0075791A" w14:paraId="5669CF59" w14:textId="77777777">
        <w:trPr>
          <w:trHeight w:hRule="exact" w:val="330"/>
        </w:trPr>
        <w:tc>
          <w:tcPr>
            <w:tcW w:w="1528" w:type="dxa"/>
            <w:tcBorders>
              <w:tl2br w:val="nil"/>
              <w:tr2bl w:val="nil"/>
            </w:tcBorders>
          </w:tcPr>
          <w:p w14:paraId="2B093E34" w14:textId="77777777" w:rsidR="0075791A" w:rsidRDefault="00FB2864">
            <w:pPr>
              <w:pStyle w:val="TableParagraph"/>
              <w:spacing w:line="264" w:lineRule="exact"/>
              <w:ind w:left="443"/>
              <w:rPr>
                <w:rFonts w:ascii="宋体" w:eastAsia="宋体" w:hAnsi="宋体" w:cs="宋体"/>
                <w:color w:val="auto"/>
              </w:rPr>
            </w:pPr>
            <w:r>
              <w:rPr>
                <w:rFonts w:ascii="宋体" w:eastAsia="宋体" w:hAnsi="宋体" w:cs="宋体"/>
                <w:color w:val="auto"/>
                <w:spacing w:val="-1"/>
              </w:rPr>
              <w:t>条</w:t>
            </w:r>
            <w:r>
              <w:rPr>
                <w:rFonts w:ascii="宋体" w:eastAsia="宋体" w:hAnsi="宋体" w:cs="宋体"/>
                <w:color w:val="auto"/>
                <w:spacing w:val="2"/>
              </w:rPr>
              <w:t>纹</w:t>
            </w:r>
            <w:r>
              <w:rPr>
                <w:rFonts w:ascii="宋体" w:eastAsia="宋体" w:hAnsi="宋体" w:cs="宋体"/>
                <w:color w:val="auto"/>
              </w:rPr>
              <w:t>鯻</w:t>
            </w:r>
          </w:p>
        </w:tc>
        <w:tc>
          <w:tcPr>
            <w:tcW w:w="3232" w:type="dxa"/>
            <w:tcBorders>
              <w:tl2br w:val="nil"/>
              <w:tr2bl w:val="nil"/>
            </w:tcBorders>
          </w:tcPr>
          <w:p w14:paraId="1CA42C28" w14:textId="77777777" w:rsidR="0075791A" w:rsidRDefault="00FB2864">
            <w:pPr>
              <w:pStyle w:val="TableParagraph"/>
              <w:spacing w:before="34"/>
              <w:ind w:left="890"/>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8"/>
                <w:sz w:val="22"/>
                <w:szCs w:val="22"/>
              </w:rPr>
              <w:t>T</w:t>
            </w:r>
            <w:r>
              <w:rPr>
                <w:rFonts w:ascii="Times New Roman" w:eastAsia="Times New Roman" w:hAnsi="Times New Roman" w:cs="Times New Roman"/>
                <w:i/>
                <w:color w:val="auto"/>
                <w:spacing w:val="-2"/>
                <w:sz w:val="22"/>
                <w:szCs w:val="22"/>
              </w:rPr>
              <w:t>er</w:t>
            </w:r>
            <w:r>
              <w:rPr>
                <w:rFonts w:ascii="Times New Roman" w:eastAsia="Times New Roman" w:hAnsi="Times New Roman" w:cs="Times New Roman"/>
                <w:i/>
                <w:color w:val="auto"/>
                <w:spacing w:val="-1"/>
                <w:sz w:val="22"/>
                <w:szCs w:val="22"/>
              </w:rPr>
              <w:t>apo</w:t>
            </w:r>
            <w:r>
              <w:rPr>
                <w:rFonts w:ascii="Times New Roman" w:eastAsia="Times New Roman" w:hAnsi="Times New Roman" w:cs="Times New Roman"/>
                <w:i/>
                <w:color w:val="auto"/>
                <w:sz w:val="22"/>
                <w:szCs w:val="22"/>
              </w:rPr>
              <w:t>n</w:t>
            </w:r>
            <w:r>
              <w:rPr>
                <w:rFonts w:ascii="Times New Roman" w:eastAsia="Times New Roman" w:hAnsi="Times New Roman" w:cs="Times New Roman"/>
                <w:i/>
                <w:color w:val="auto"/>
                <w:spacing w:val="-3"/>
                <w:sz w:val="22"/>
                <w:szCs w:val="22"/>
              </w:rPr>
              <w:t xml:space="preserve"> </w:t>
            </w:r>
            <w:r>
              <w:rPr>
                <w:rFonts w:ascii="Times New Roman" w:eastAsia="Times New Roman" w:hAnsi="Times New Roman" w:cs="Times New Roman"/>
                <w:i/>
                <w:color w:val="auto"/>
                <w:spacing w:val="1"/>
                <w:sz w:val="22"/>
                <w:szCs w:val="22"/>
              </w:rPr>
              <w:t>t</w:t>
            </w:r>
            <w:r>
              <w:rPr>
                <w:rFonts w:ascii="Times New Roman" w:eastAsia="Times New Roman" w:hAnsi="Times New Roman" w:cs="Times New Roman"/>
                <w:i/>
                <w:color w:val="auto"/>
                <w:spacing w:val="-1"/>
                <w:sz w:val="22"/>
                <w:szCs w:val="22"/>
              </w:rPr>
              <w:t>h</w:t>
            </w:r>
            <w:r>
              <w:rPr>
                <w:rFonts w:ascii="Times New Roman" w:eastAsia="Times New Roman" w:hAnsi="Times New Roman" w:cs="Times New Roman"/>
                <w:i/>
                <w:color w:val="auto"/>
                <w:spacing w:val="-2"/>
                <w:sz w:val="22"/>
                <w:szCs w:val="22"/>
              </w:rPr>
              <w:t>e</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1"/>
                <w:sz w:val="22"/>
                <w:szCs w:val="22"/>
              </w:rPr>
              <w:t>ap</w:t>
            </w:r>
            <w:r>
              <w:rPr>
                <w:rFonts w:ascii="Times New Roman" w:eastAsia="Times New Roman" w:hAnsi="Times New Roman" w:cs="Times New Roman"/>
                <w:i/>
                <w:color w:val="auto"/>
                <w:sz w:val="22"/>
                <w:szCs w:val="22"/>
              </w:rPr>
              <w:t>s</w:t>
            </w:r>
          </w:p>
        </w:tc>
        <w:tc>
          <w:tcPr>
            <w:tcW w:w="1064" w:type="dxa"/>
            <w:tcBorders>
              <w:tl2br w:val="nil"/>
              <w:tr2bl w:val="nil"/>
            </w:tcBorders>
          </w:tcPr>
          <w:p w14:paraId="613EB726" w14:textId="77777777" w:rsidR="0075791A" w:rsidRDefault="00FB2864">
            <w:pPr>
              <w:pStyle w:val="TableParagraph"/>
              <w:spacing w:before="41"/>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22</w:t>
            </w:r>
            <w:r>
              <w:rPr>
                <w:rFonts w:ascii="Times New Roman" w:eastAsia="Times New Roman" w:hAnsi="Times New Roman" w:cs="Times New Roman"/>
                <w:color w:val="auto"/>
              </w:rPr>
              <w:t>%</w:t>
            </w:r>
          </w:p>
        </w:tc>
        <w:tc>
          <w:tcPr>
            <w:tcW w:w="1064" w:type="dxa"/>
            <w:tcBorders>
              <w:tl2br w:val="nil"/>
              <w:tr2bl w:val="nil"/>
            </w:tcBorders>
          </w:tcPr>
          <w:p w14:paraId="3E05049F" w14:textId="77777777" w:rsidR="0075791A" w:rsidRDefault="00FB2864">
            <w:pPr>
              <w:pStyle w:val="TableParagraph"/>
              <w:spacing w:before="41"/>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4</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p>
        </w:tc>
        <w:tc>
          <w:tcPr>
            <w:tcW w:w="1064" w:type="dxa"/>
            <w:tcBorders>
              <w:tl2br w:val="nil"/>
              <w:tr2bl w:val="nil"/>
            </w:tcBorders>
          </w:tcPr>
          <w:p w14:paraId="618F1D1A" w14:textId="77777777" w:rsidR="0075791A" w:rsidRDefault="00FB2864">
            <w:pPr>
              <w:pStyle w:val="TableParagraph"/>
              <w:spacing w:before="41"/>
              <w:jc w:val="center"/>
              <w:rPr>
                <w:rFonts w:ascii="Times New Roman" w:eastAsia="Times New Roman" w:hAnsi="Times New Roman" w:cs="Times New Roman"/>
                <w:color w:val="auto"/>
              </w:rPr>
            </w:pPr>
            <w:r>
              <w:rPr>
                <w:rFonts w:ascii="Times New Roman" w:eastAsia="Times New Roman" w:hAnsi="Times New Roman" w:cs="Times New Roman"/>
                <w:color w:val="auto"/>
              </w:rPr>
              <w:t>1</w:t>
            </w:r>
          </w:p>
        </w:tc>
        <w:tc>
          <w:tcPr>
            <w:tcW w:w="1062" w:type="dxa"/>
            <w:tcBorders>
              <w:tl2br w:val="nil"/>
              <w:tr2bl w:val="nil"/>
            </w:tcBorders>
          </w:tcPr>
          <w:p w14:paraId="4A5C6A60" w14:textId="77777777" w:rsidR="0075791A" w:rsidRDefault="00FB2864">
            <w:pPr>
              <w:pStyle w:val="TableParagraph"/>
              <w:spacing w:before="41"/>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766</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4</w:t>
            </w:r>
            <w:r>
              <w:rPr>
                <w:rFonts w:ascii="Times New Roman" w:eastAsia="Times New Roman" w:hAnsi="Times New Roman" w:cs="Times New Roman"/>
                <w:color w:val="auto"/>
              </w:rPr>
              <w:t>5</w:t>
            </w:r>
          </w:p>
        </w:tc>
      </w:tr>
      <w:tr w:rsidR="0075791A" w14:paraId="548F4058" w14:textId="77777777">
        <w:trPr>
          <w:trHeight w:hRule="exact" w:val="330"/>
        </w:trPr>
        <w:tc>
          <w:tcPr>
            <w:tcW w:w="1528" w:type="dxa"/>
            <w:tcBorders>
              <w:tl2br w:val="nil"/>
              <w:tr2bl w:val="nil"/>
            </w:tcBorders>
          </w:tcPr>
          <w:p w14:paraId="34446771" w14:textId="77777777" w:rsidR="0075791A" w:rsidRDefault="00FB2864">
            <w:pPr>
              <w:pStyle w:val="TableParagraph"/>
              <w:spacing w:line="266" w:lineRule="exact"/>
              <w:ind w:left="338"/>
              <w:rPr>
                <w:rFonts w:ascii="宋体" w:eastAsia="宋体" w:hAnsi="宋体" w:cs="宋体"/>
                <w:color w:val="auto"/>
              </w:rPr>
            </w:pPr>
            <w:r>
              <w:rPr>
                <w:rFonts w:ascii="宋体" w:eastAsia="宋体" w:hAnsi="宋体" w:cs="宋体"/>
                <w:color w:val="auto"/>
                <w:spacing w:val="-1"/>
              </w:rPr>
              <w:t>短</w:t>
            </w:r>
            <w:r>
              <w:rPr>
                <w:rFonts w:ascii="宋体" w:eastAsia="宋体" w:hAnsi="宋体" w:cs="宋体"/>
                <w:color w:val="auto"/>
                <w:spacing w:val="2"/>
              </w:rPr>
              <w:t>穗</w:t>
            </w:r>
            <w:r>
              <w:rPr>
                <w:rFonts w:ascii="宋体" w:eastAsia="宋体" w:hAnsi="宋体" w:cs="宋体"/>
                <w:color w:val="auto"/>
                <w:spacing w:val="-1"/>
              </w:rPr>
              <w:t>乌</w:t>
            </w:r>
            <w:r>
              <w:rPr>
                <w:rFonts w:ascii="宋体" w:eastAsia="宋体" w:hAnsi="宋体" w:cs="宋体"/>
                <w:color w:val="auto"/>
              </w:rPr>
              <w:t>贼</w:t>
            </w:r>
          </w:p>
        </w:tc>
        <w:tc>
          <w:tcPr>
            <w:tcW w:w="3232" w:type="dxa"/>
            <w:tcBorders>
              <w:tl2br w:val="nil"/>
              <w:tr2bl w:val="nil"/>
            </w:tcBorders>
          </w:tcPr>
          <w:p w14:paraId="3F413949" w14:textId="77777777" w:rsidR="0075791A" w:rsidRDefault="00FB2864">
            <w:pPr>
              <w:pStyle w:val="TableParagraph"/>
              <w:spacing w:before="33"/>
              <w:ind w:left="871"/>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S</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1"/>
                <w:sz w:val="22"/>
                <w:szCs w:val="22"/>
              </w:rPr>
              <w:t>p</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z w:val="22"/>
                <w:szCs w:val="22"/>
              </w:rPr>
              <w:t>a</w:t>
            </w:r>
            <w:r>
              <w:rPr>
                <w:rFonts w:ascii="Times New Roman" w:eastAsia="Times New Roman" w:hAnsi="Times New Roman" w:cs="Times New Roman"/>
                <w:i/>
                <w:color w:val="auto"/>
                <w:spacing w:val="-3"/>
                <w:sz w:val="22"/>
                <w:szCs w:val="22"/>
              </w:rPr>
              <w:t xml:space="preserve"> </w:t>
            </w:r>
            <w:r>
              <w:rPr>
                <w:rFonts w:ascii="Times New Roman" w:eastAsia="Times New Roman" w:hAnsi="Times New Roman" w:cs="Times New Roman"/>
                <w:i/>
                <w:color w:val="auto"/>
                <w:spacing w:val="-1"/>
                <w:sz w:val="22"/>
                <w:szCs w:val="22"/>
              </w:rPr>
              <w:t>b</w:t>
            </w:r>
            <w:r>
              <w:rPr>
                <w:rFonts w:ascii="Times New Roman" w:eastAsia="Times New Roman" w:hAnsi="Times New Roman" w:cs="Times New Roman"/>
                <w:i/>
                <w:color w:val="auto"/>
                <w:spacing w:val="-5"/>
                <w:sz w:val="22"/>
                <w:szCs w:val="22"/>
              </w:rPr>
              <w:t>r</w:t>
            </w:r>
            <w:r>
              <w:rPr>
                <w:rFonts w:ascii="Times New Roman" w:eastAsia="Times New Roman" w:hAnsi="Times New Roman" w:cs="Times New Roman"/>
                <w:i/>
                <w:color w:val="auto"/>
                <w:spacing w:val="-2"/>
                <w:sz w:val="22"/>
                <w:szCs w:val="22"/>
              </w:rPr>
              <w:t>evim</w:t>
            </w:r>
            <w:r>
              <w:rPr>
                <w:rFonts w:ascii="Times New Roman" w:eastAsia="Times New Roman" w:hAnsi="Times New Roman" w:cs="Times New Roman"/>
                <w:i/>
                <w:color w:val="auto"/>
                <w:spacing w:val="-1"/>
                <w:sz w:val="22"/>
                <w:szCs w:val="22"/>
              </w:rPr>
              <w:t>an</w:t>
            </w:r>
            <w:r>
              <w:rPr>
                <w:rFonts w:ascii="Times New Roman" w:eastAsia="Times New Roman" w:hAnsi="Times New Roman" w:cs="Times New Roman"/>
                <w:i/>
                <w:color w:val="auto"/>
                <w:sz w:val="22"/>
                <w:szCs w:val="22"/>
              </w:rPr>
              <w:t>a</w:t>
            </w:r>
          </w:p>
        </w:tc>
        <w:tc>
          <w:tcPr>
            <w:tcW w:w="1064" w:type="dxa"/>
            <w:tcBorders>
              <w:tl2br w:val="nil"/>
              <w:tr2bl w:val="nil"/>
            </w:tcBorders>
          </w:tcPr>
          <w:p w14:paraId="443F7A30" w14:textId="77777777" w:rsidR="0075791A" w:rsidRDefault="00FB2864">
            <w:pPr>
              <w:pStyle w:val="TableParagraph"/>
              <w:spacing w:before="40"/>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81</w:t>
            </w:r>
            <w:r>
              <w:rPr>
                <w:rFonts w:ascii="Times New Roman" w:eastAsia="Times New Roman" w:hAnsi="Times New Roman" w:cs="Times New Roman"/>
                <w:color w:val="auto"/>
              </w:rPr>
              <w:t>%</w:t>
            </w:r>
          </w:p>
        </w:tc>
        <w:tc>
          <w:tcPr>
            <w:tcW w:w="1064" w:type="dxa"/>
            <w:tcBorders>
              <w:tl2br w:val="nil"/>
              <w:tr2bl w:val="nil"/>
            </w:tcBorders>
          </w:tcPr>
          <w:p w14:paraId="523F6704" w14:textId="77777777" w:rsidR="0075791A" w:rsidRDefault="00FB2864">
            <w:pPr>
              <w:pStyle w:val="TableParagraph"/>
              <w:spacing w:before="40"/>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w:t>
            </w:r>
          </w:p>
        </w:tc>
        <w:tc>
          <w:tcPr>
            <w:tcW w:w="1064" w:type="dxa"/>
            <w:tcBorders>
              <w:tl2br w:val="nil"/>
              <w:tr2bl w:val="nil"/>
            </w:tcBorders>
          </w:tcPr>
          <w:p w14:paraId="655FEDA7" w14:textId="77777777" w:rsidR="0075791A" w:rsidRDefault="00FB2864">
            <w:pPr>
              <w:pStyle w:val="TableParagraph"/>
              <w:spacing w:before="40"/>
              <w:ind w:left="342"/>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c>
          <w:tcPr>
            <w:tcW w:w="1062" w:type="dxa"/>
            <w:tcBorders>
              <w:tl2br w:val="nil"/>
              <w:tr2bl w:val="nil"/>
            </w:tcBorders>
          </w:tcPr>
          <w:p w14:paraId="2C2CFA68" w14:textId="77777777" w:rsidR="0075791A" w:rsidRDefault="00FB2864">
            <w:pPr>
              <w:pStyle w:val="TableParagraph"/>
              <w:spacing w:before="40"/>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441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6</w:t>
            </w:r>
            <w:r>
              <w:rPr>
                <w:rFonts w:ascii="Times New Roman" w:eastAsia="Times New Roman" w:hAnsi="Times New Roman" w:cs="Times New Roman"/>
                <w:color w:val="auto"/>
              </w:rPr>
              <w:t>9</w:t>
            </w:r>
          </w:p>
        </w:tc>
      </w:tr>
      <w:tr w:rsidR="0075791A" w14:paraId="496624C1" w14:textId="77777777">
        <w:trPr>
          <w:trHeight w:hRule="exact" w:val="330"/>
        </w:trPr>
        <w:tc>
          <w:tcPr>
            <w:tcW w:w="1528" w:type="dxa"/>
            <w:tcBorders>
              <w:tl2br w:val="nil"/>
              <w:tr2bl w:val="nil"/>
            </w:tcBorders>
          </w:tcPr>
          <w:p w14:paraId="16A464A3" w14:textId="77777777" w:rsidR="0075791A" w:rsidRDefault="00FB2864">
            <w:pPr>
              <w:pStyle w:val="TableParagraph"/>
              <w:spacing w:line="264" w:lineRule="exact"/>
              <w:ind w:left="234"/>
              <w:rPr>
                <w:rFonts w:ascii="宋体" w:eastAsia="宋体" w:hAnsi="宋体" w:cs="宋体"/>
                <w:color w:val="auto"/>
              </w:rPr>
            </w:pPr>
            <w:r>
              <w:rPr>
                <w:rFonts w:ascii="宋体" w:eastAsia="宋体" w:hAnsi="宋体" w:cs="宋体"/>
                <w:color w:val="auto"/>
                <w:spacing w:val="-1"/>
              </w:rPr>
              <w:t>棕</w:t>
            </w:r>
            <w:r>
              <w:rPr>
                <w:rFonts w:ascii="宋体" w:eastAsia="宋体" w:hAnsi="宋体" w:cs="宋体"/>
                <w:color w:val="auto"/>
                <w:spacing w:val="2"/>
              </w:rPr>
              <w:t>斑</w:t>
            </w:r>
            <w:r>
              <w:rPr>
                <w:rFonts w:ascii="宋体" w:eastAsia="宋体" w:hAnsi="宋体" w:cs="宋体"/>
                <w:color w:val="auto"/>
                <w:spacing w:val="-1"/>
              </w:rPr>
              <w:t>兔</w:t>
            </w:r>
            <w:r>
              <w:rPr>
                <w:rFonts w:ascii="宋体" w:eastAsia="宋体" w:hAnsi="宋体" w:cs="宋体"/>
                <w:color w:val="auto"/>
                <w:spacing w:val="2"/>
              </w:rPr>
              <w:t>头</w:t>
            </w:r>
            <w:r>
              <w:rPr>
                <w:rFonts w:ascii="宋体" w:eastAsia="宋体" w:hAnsi="宋体" w:cs="宋体"/>
                <w:color w:val="auto"/>
              </w:rPr>
              <w:t>魨</w:t>
            </w:r>
          </w:p>
        </w:tc>
        <w:tc>
          <w:tcPr>
            <w:tcW w:w="3232" w:type="dxa"/>
            <w:tcBorders>
              <w:tl2br w:val="nil"/>
              <w:tr2bl w:val="nil"/>
            </w:tcBorders>
          </w:tcPr>
          <w:p w14:paraId="3BB56D93" w14:textId="77777777" w:rsidR="0075791A" w:rsidRDefault="00FB2864">
            <w:pPr>
              <w:pStyle w:val="TableParagraph"/>
              <w:spacing w:before="34"/>
              <w:ind w:left="574"/>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Lago</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2"/>
                <w:sz w:val="22"/>
                <w:szCs w:val="22"/>
              </w:rPr>
              <w:t>e</w:t>
            </w:r>
            <w:r>
              <w:rPr>
                <w:rFonts w:ascii="Times New Roman" w:eastAsia="Times New Roman" w:hAnsi="Times New Roman" w:cs="Times New Roman"/>
                <w:i/>
                <w:color w:val="auto"/>
                <w:spacing w:val="-1"/>
                <w:sz w:val="22"/>
                <w:szCs w:val="22"/>
              </w:rPr>
              <w:t>pha</w:t>
            </w:r>
            <w:r>
              <w:rPr>
                <w:rFonts w:ascii="Times New Roman" w:eastAsia="Times New Roman" w:hAnsi="Times New Roman" w:cs="Times New Roman"/>
                <w:i/>
                <w:color w:val="auto"/>
                <w:spacing w:val="-2"/>
                <w:sz w:val="22"/>
                <w:szCs w:val="22"/>
              </w:rPr>
              <w:t>l</w:t>
            </w:r>
            <w:r>
              <w:rPr>
                <w:rFonts w:ascii="Times New Roman" w:eastAsia="Times New Roman" w:hAnsi="Times New Roman" w:cs="Times New Roman"/>
                <w:i/>
                <w:color w:val="auto"/>
                <w:sz w:val="22"/>
                <w:szCs w:val="22"/>
              </w:rPr>
              <w:t>u s</w:t>
            </w:r>
            <w:r>
              <w:rPr>
                <w:rFonts w:ascii="Times New Roman" w:eastAsia="Times New Roman" w:hAnsi="Times New Roman" w:cs="Times New Roman"/>
                <w:i/>
                <w:color w:val="auto"/>
                <w:spacing w:val="-1"/>
                <w:sz w:val="22"/>
                <w:szCs w:val="22"/>
              </w:rPr>
              <w:t>pa</w:t>
            </w:r>
            <w:r>
              <w:rPr>
                <w:rFonts w:ascii="Times New Roman" w:eastAsia="Times New Roman" w:hAnsi="Times New Roman" w:cs="Times New Roman"/>
                <w:i/>
                <w:color w:val="auto"/>
                <w:spacing w:val="-3"/>
                <w:sz w:val="22"/>
                <w:szCs w:val="22"/>
              </w:rPr>
              <w:t>d</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2"/>
                <w:sz w:val="22"/>
                <w:szCs w:val="22"/>
              </w:rPr>
              <w:t>e</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s</w:t>
            </w:r>
          </w:p>
        </w:tc>
        <w:tc>
          <w:tcPr>
            <w:tcW w:w="1064" w:type="dxa"/>
            <w:tcBorders>
              <w:tl2br w:val="nil"/>
              <w:tr2bl w:val="nil"/>
            </w:tcBorders>
          </w:tcPr>
          <w:p w14:paraId="3A396842" w14:textId="77777777" w:rsidR="0075791A" w:rsidRDefault="00FB2864">
            <w:pPr>
              <w:pStyle w:val="TableParagraph"/>
              <w:spacing w:before="41"/>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93</w:t>
            </w:r>
            <w:r>
              <w:rPr>
                <w:rFonts w:ascii="Times New Roman" w:eastAsia="Times New Roman" w:hAnsi="Times New Roman" w:cs="Times New Roman"/>
                <w:color w:val="auto"/>
              </w:rPr>
              <w:t>%</w:t>
            </w:r>
          </w:p>
        </w:tc>
        <w:tc>
          <w:tcPr>
            <w:tcW w:w="1064" w:type="dxa"/>
            <w:tcBorders>
              <w:tl2br w:val="nil"/>
              <w:tr2bl w:val="nil"/>
            </w:tcBorders>
          </w:tcPr>
          <w:p w14:paraId="47618D3C" w14:textId="77777777" w:rsidR="0075791A" w:rsidRDefault="00FB2864">
            <w:pPr>
              <w:pStyle w:val="TableParagraph"/>
              <w:spacing w:before="41"/>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p>
        </w:tc>
        <w:tc>
          <w:tcPr>
            <w:tcW w:w="1064" w:type="dxa"/>
            <w:tcBorders>
              <w:tl2br w:val="nil"/>
              <w:tr2bl w:val="nil"/>
            </w:tcBorders>
          </w:tcPr>
          <w:p w14:paraId="047407CC" w14:textId="77777777" w:rsidR="0075791A" w:rsidRDefault="00FB2864">
            <w:pPr>
              <w:pStyle w:val="TableParagraph"/>
              <w:spacing w:before="41"/>
              <w:ind w:left="342"/>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c>
          <w:tcPr>
            <w:tcW w:w="1062" w:type="dxa"/>
            <w:tcBorders>
              <w:tl2br w:val="nil"/>
              <w:tr2bl w:val="nil"/>
            </w:tcBorders>
          </w:tcPr>
          <w:p w14:paraId="725BDE25" w14:textId="77777777" w:rsidR="0075791A" w:rsidRDefault="00FB2864">
            <w:pPr>
              <w:pStyle w:val="TableParagraph"/>
              <w:spacing w:before="41"/>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393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9</w:t>
            </w:r>
            <w:r>
              <w:rPr>
                <w:rFonts w:ascii="Times New Roman" w:eastAsia="Times New Roman" w:hAnsi="Times New Roman" w:cs="Times New Roman"/>
                <w:color w:val="auto"/>
              </w:rPr>
              <w:t>6</w:t>
            </w:r>
          </w:p>
        </w:tc>
      </w:tr>
      <w:tr w:rsidR="0075791A" w14:paraId="1E7F3ED8" w14:textId="77777777">
        <w:trPr>
          <w:trHeight w:hRule="exact" w:val="330"/>
        </w:trPr>
        <w:tc>
          <w:tcPr>
            <w:tcW w:w="1528" w:type="dxa"/>
            <w:tcBorders>
              <w:tl2br w:val="nil"/>
              <w:tr2bl w:val="nil"/>
            </w:tcBorders>
          </w:tcPr>
          <w:p w14:paraId="6E9CEEEE" w14:textId="77777777" w:rsidR="0075791A" w:rsidRDefault="00FB2864">
            <w:pPr>
              <w:pStyle w:val="TableParagraph"/>
              <w:spacing w:line="266" w:lineRule="exact"/>
              <w:ind w:left="234"/>
              <w:rPr>
                <w:rFonts w:ascii="宋体" w:eastAsia="宋体" w:hAnsi="宋体" w:cs="宋体"/>
                <w:color w:val="auto"/>
              </w:rPr>
            </w:pPr>
            <w:r>
              <w:rPr>
                <w:rFonts w:ascii="宋体" w:eastAsia="宋体" w:hAnsi="宋体" w:cs="宋体"/>
                <w:color w:val="auto"/>
                <w:spacing w:val="-1"/>
              </w:rPr>
              <w:t>四</w:t>
            </w:r>
            <w:r>
              <w:rPr>
                <w:rFonts w:ascii="宋体" w:eastAsia="宋体" w:hAnsi="宋体" w:cs="宋体"/>
                <w:color w:val="auto"/>
                <w:spacing w:val="2"/>
              </w:rPr>
              <w:t>线</w:t>
            </w:r>
            <w:r>
              <w:rPr>
                <w:rFonts w:ascii="宋体" w:eastAsia="宋体" w:hAnsi="宋体" w:cs="宋体"/>
                <w:color w:val="auto"/>
                <w:spacing w:val="-1"/>
              </w:rPr>
              <w:t>天</w:t>
            </w:r>
            <w:r>
              <w:rPr>
                <w:rFonts w:ascii="宋体" w:eastAsia="宋体" w:hAnsi="宋体" w:cs="宋体"/>
                <w:color w:val="auto"/>
                <w:spacing w:val="2"/>
              </w:rPr>
              <w:t>竺</w:t>
            </w:r>
            <w:r>
              <w:rPr>
                <w:rFonts w:ascii="宋体" w:eastAsia="宋体" w:hAnsi="宋体" w:cs="宋体"/>
                <w:color w:val="auto"/>
              </w:rPr>
              <w:t>鲷</w:t>
            </w:r>
          </w:p>
        </w:tc>
        <w:tc>
          <w:tcPr>
            <w:tcW w:w="3232" w:type="dxa"/>
            <w:tcBorders>
              <w:tl2br w:val="nil"/>
              <w:tr2bl w:val="nil"/>
            </w:tcBorders>
          </w:tcPr>
          <w:p w14:paraId="1587131B" w14:textId="77777777" w:rsidR="0075791A" w:rsidRDefault="00FB2864">
            <w:pPr>
              <w:pStyle w:val="TableParagraph"/>
              <w:spacing w:before="33"/>
              <w:ind w:left="600"/>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2"/>
                <w:sz w:val="22"/>
                <w:szCs w:val="22"/>
              </w:rPr>
              <w:t>O</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1"/>
                <w:sz w:val="22"/>
                <w:szCs w:val="22"/>
              </w:rPr>
              <w:t>t</w:t>
            </w:r>
            <w:r>
              <w:rPr>
                <w:rFonts w:ascii="Times New Roman" w:eastAsia="Times New Roman" w:hAnsi="Times New Roman" w:cs="Times New Roman"/>
                <w:i/>
                <w:color w:val="auto"/>
                <w:spacing w:val="-1"/>
                <w:sz w:val="22"/>
                <w:szCs w:val="22"/>
              </w:rPr>
              <w:t>o</w:t>
            </w:r>
            <w:r>
              <w:rPr>
                <w:rFonts w:ascii="Times New Roman" w:eastAsia="Times New Roman" w:hAnsi="Times New Roman" w:cs="Times New Roman"/>
                <w:i/>
                <w:color w:val="auto"/>
                <w:spacing w:val="-2"/>
                <w:sz w:val="22"/>
                <w:szCs w:val="22"/>
              </w:rPr>
              <w:t>r</w:t>
            </w:r>
            <w:r>
              <w:rPr>
                <w:rFonts w:ascii="Times New Roman" w:eastAsia="Times New Roman" w:hAnsi="Times New Roman" w:cs="Times New Roman"/>
                <w:i/>
                <w:color w:val="auto"/>
                <w:spacing w:val="-3"/>
                <w:sz w:val="22"/>
                <w:szCs w:val="22"/>
              </w:rPr>
              <w:t>h</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pacing w:val="-1"/>
                <w:sz w:val="22"/>
                <w:szCs w:val="22"/>
              </w:rPr>
              <w:t>n</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3"/>
                <w:sz w:val="22"/>
                <w:szCs w:val="22"/>
              </w:rPr>
              <w:t>h</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 xml:space="preserve"> </w:t>
            </w:r>
            <w:r>
              <w:rPr>
                <w:rFonts w:ascii="Times New Roman" w:eastAsia="Times New Roman" w:hAnsi="Times New Roman" w:cs="Times New Roman"/>
                <w:i/>
                <w:color w:val="auto"/>
                <w:spacing w:val="1"/>
                <w:sz w:val="22"/>
                <w:szCs w:val="22"/>
              </w:rPr>
              <w:t>f</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pacing w:val="-2"/>
                <w:sz w:val="22"/>
                <w:szCs w:val="22"/>
              </w:rPr>
              <w:t>s</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pacing w:val="-3"/>
                <w:sz w:val="22"/>
                <w:szCs w:val="22"/>
              </w:rPr>
              <w:t>a</w:t>
            </w:r>
            <w:r>
              <w:rPr>
                <w:rFonts w:ascii="Times New Roman" w:eastAsia="Times New Roman" w:hAnsi="Times New Roman" w:cs="Times New Roman"/>
                <w:i/>
                <w:color w:val="auto"/>
                <w:spacing w:val="1"/>
                <w:sz w:val="22"/>
                <w:szCs w:val="22"/>
              </w:rPr>
              <w:t>t</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s</w:t>
            </w:r>
          </w:p>
        </w:tc>
        <w:tc>
          <w:tcPr>
            <w:tcW w:w="1064" w:type="dxa"/>
            <w:tcBorders>
              <w:tl2br w:val="nil"/>
              <w:tr2bl w:val="nil"/>
            </w:tcBorders>
          </w:tcPr>
          <w:p w14:paraId="79F4A2FC" w14:textId="77777777" w:rsidR="0075791A" w:rsidRDefault="00FB2864">
            <w:pPr>
              <w:pStyle w:val="TableParagraph"/>
              <w:spacing w:before="40"/>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18</w:t>
            </w:r>
            <w:r>
              <w:rPr>
                <w:rFonts w:ascii="Times New Roman" w:eastAsia="Times New Roman" w:hAnsi="Times New Roman" w:cs="Times New Roman"/>
                <w:color w:val="auto"/>
              </w:rPr>
              <w:t>%</w:t>
            </w:r>
          </w:p>
        </w:tc>
        <w:tc>
          <w:tcPr>
            <w:tcW w:w="1064" w:type="dxa"/>
            <w:tcBorders>
              <w:tl2br w:val="nil"/>
              <w:tr2bl w:val="nil"/>
            </w:tcBorders>
          </w:tcPr>
          <w:p w14:paraId="391D95E2" w14:textId="77777777" w:rsidR="0075791A" w:rsidRDefault="00FB2864">
            <w:pPr>
              <w:pStyle w:val="TableParagraph"/>
              <w:spacing w:before="40"/>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p>
        </w:tc>
        <w:tc>
          <w:tcPr>
            <w:tcW w:w="1064" w:type="dxa"/>
            <w:tcBorders>
              <w:tl2br w:val="nil"/>
              <w:tr2bl w:val="nil"/>
            </w:tcBorders>
          </w:tcPr>
          <w:p w14:paraId="3F0BCE27" w14:textId="77777777" w:rsidR="0075791A" w:rsidRDefault="00FB2864">
            <w:pPr>
              <w:pStyle w:val="TableParagraph"/>
              <w:spacing w:before="40"/>
              <w:ind w:left="342"/>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c>
          <w:tcPr>
            <w:tcW w:w="1062" w:type="dxa"/>
            <w:tcBorders>
              <w:tl2br w:val="nil"/>
              <w:tr2bl w:val="nil"/>
            </w:tcBorders>
          </w:tcPr>
          <w:p w14:paraId="42F079D8" w14:textId="77777777" w:rsidR="0075791A" w:rsidRDefault="00FB2864">
            <w:pPr>
              <w:pStyle w:val="TableParagraph"/>
              <w:spacing w:before="40"/>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389</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rPr>
              <w:t>8</w:t>
            </w:r>
          </w:p>
        </w:tc>
      </w:tr>
      <w:tr w:rsidR="0075791A" w14:paraId="042E55E5" w14:textId="77777777">
        <w:trPr>
          <w:trHeight w:hRule="exact" w:val="330"/>
        </w:trPr>
        <w:tc>
          <w:tcPr>
            <w:tcW w:w="1528" w:type="dxa"/>
            <w:tcBorders>
              <w:tl2br w:val="nil"/>
              <w:tr2bl w:val="nil"/>
            </w:tcBorders>
          </w:tcPr>
          <w:p w14:paraId="129AA31D" w14:textId="77777777" w:rsidR="0075791A" w:rsidRDefault="00FB2864">
            <w:pPr>
              <w:pStyle w:val="TableParagraph"/>
              <w:spacing w:line="264" w:lineRule="exact"/>
              <w:ind w:left="443"/>
              <w:rPr>
                <w:rFonts w:ascii="宋体" w:eastAsia="宋体" w:hAnsi="宋体" w:cs="宋体"/>
                <w:color w:val="auto"/>
              </w:rPr>
            </w:pPr>
            <w:r>
              <w:rPr>
                <w:rFonts w:ascii="宋体" w:eastAsia="宋体" w:hAnsi="宋体" w:cs="宋体"/>
                <w:color w:val="auto"/>
                <w:spacing w:val="-1"/>
              </w:rPr>
              <w:t>棘</w:t>
            </w:r>
            <w:r>
              <w:rPr>
                <w:rFonts w:ascii="宋体" w:eastAsia="宋体" w:hAnsi="宋体" w:cs="宋体"/>
                <w:color w:val="auto"/>
                <w:spacing w:val="2"/>
              </w:rPr>
              <w:t>线</w:t>
            </w:r>
            <w:r>
              <w:rPr>
                <w:rFonts w:ascii="宋体" w:eastAsia="宋体" w:hAnsi="宋体" w:cs="宋体"/>
                <w:color w:val="auto"/>
              </w:rPr>
              <w:t>鲬</w:t>
            </w:r>
          </w:p>
        </w:tc>
        <w:tc>
          <w:tcPr>
            <w:tcW w:w="3232" w:type="dxa"/>
            <w:tcBorders>
              <w:tl2br w:val="nil"/>
              <w:tr2bl w:val="nil"/>
            </w:tcBorders>
          </w:tcPr>
          <w:p w14:paraId="51703D51" w14:textId="77777777" w:rsidR="0075791A" w:rsidRDefault="00FB2864">
            <w:pPr>
              <w:pStyle w:val="TableParagraph"/>
              <w:spacing w:before="34"/>
              <w:ind w:left="696"/>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2"/>
                <w:sz w:val="22"/>
                <w:szCs w:val="22"/>
              </w:rPr>
              <w:t>G</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pacing w:val="-2"/>
                <w:sz w:val="22"/>
                <w:szCs w:val="22"/>
              </w:rPr>
              <w:t>mm</w:t>
            </w:r>
            <w:r>
              <w:rPr>
                <w:rFonts w:ascii="Times New Roman" w:eastAsia="Times New Roman" w:hAnsi="Times New Roman" w:cs="Times New Roman"/>
                <w:i/>
                <w:color w:val="auto"/>
                <w:spacing w:val="-1"/>
                <w:sz w:val="22"/>
                <w:szCs w:val="22"/>
              </w:rPr>
              <w:t>op</w:t>
            </w:r>
            <w:r>
              <w:rPr>
                <w:rFonts w:ascii="Times New Roman" w:eastAsia="Times New Roman" w:hAnsi="Times New Roman" w:cs="Times New Roman"/>
                <w:i/>
                <w:color w:val="auto"/>
                <w:spacing w:val="1"/>
                <w:sz w:val="22"/>
                <w:szCs w:val="22"/>
              </w:rPr>
              <w:t>l</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pacing w:val="1"/>
                <w:sz w:val="22"/>
                <w:szCs w:val="22"/>
              </w:rPr>
              <w:t>t</w:t>
            </w:r>
            <w:r>
              <w:rPr>
                <w:rFonts w:ascii="Times New Roman" w:eastAsia="Times New Roman" w:hAnsi="Times New Roman" w:cs="Times New Roman"/>
                <w:i/>
                <w:color w:val="auto"/>
                <w:spacing w:val="-2"/>
                <w:sz w:val="22"/>
                <w:szCs w:val="22"/>
              </w:rPr>
              <w:t>e</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 xml:space="preserve"> </w:t>
            </w:r>
            <w:r>
              <w:rPr>
                <w:rFonts w:ascii="Times New Roman" w:eastAsia="Times New Roman" w:hAnsi="Times New Roman" w:cs="Times New Roman"/>
                <w:i/>
                <w:color w:val="auto"/>
                <w:sz w:val="22"/>
                <w:szCs w:val="22"/>
              </w:rPr>
              <w:t>sc</w:t>
            </w:r>
            <w:r>
              <w:rPr>
                <w:rFonts w:ascii="Times New Roman" w:eastAsia="Times New Roman" w:hAnsi="Times New Roman" w:cs="Times New Roman"/>
                <w:i/>
                <w:color w:val="auto"/>
                <w:spacing w:val="-1"/>
                <w:sz w:val="22"/>
                <w:szCs w:val="22"/>
              </w:rPr>
              <w:t>ab</w:t>
            </w:r>
            <w:r>
              <w:rPr>
                <w:rFonts w:ascii="Times New Roman" w:eastAsia="Times New Roman" w:hAnsi="Times New Roman" w:cs="Times New Roman"/>
                <w:i/>
                <w:color w:val="auto"/>
                <w:spacing w:val="-2"/>
                <w:sz w:val="22"/>
                <w:szCs w:val="22"/>
              </w:rPr>
              <w:t>e</w:t>
            </w:r>
            <w:r>
              <w:rPr>
                <w:rFonts w:ascii="Times New Roman" w:eastAsia="Times New Roman" w:hAnsi="Times New Roman" w:cs="Times New Roman"/>
                <w:i/>
                <w:color w:val="auto"/>
                <w:sz w:val="22"/>
                <w:szCs w:val="22"/>
              </w:rPr>
              <w:t>r</w:t>
            </w:r>
          </w:p>
        </w:tc>
        <w:tc>
          <w:tcPr>
            <w:tcW w:w="1064" w:type="dxa"/>
            <w:tcBorders>
              <w:tl2br w:val="nil"/>
              <w:tr2bl w:val="nil"/>
            </w:tcBorders>
          </w:tcPr>
          <w:p w14:paraId="59ED2597" w14:textId="77777777" w:rsidR="0075791A" w:rsidRDefault="00FB2864">
            <w:pPr>
              <w:pStyle w:val="TableParagraph"/>
              <w:spacing w:before="41"/>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90</w:t>
            </w:r>
            <w:r>
              <w:rPr>
                <w:rFonts w:ascii="Times New Roman" w:eastAsia="Times New Roman" w:hAnsi="Times New Roman" w:cs="Times New Roman"/>
                <w:color w:val="auto"/>
              </w:rPr>
              <w:t>%</w:t>
            </w:r>
          </w:p>
        </w:tc>
        <w:tc>
          <w:tcPr>
            <w:tcW w:w="1064" w:type="dxa"/>
            <w:tcBorders>
              <w:tl2br w:val="nil"/>
              <w:tr2bl w:val="nil"/>
            </w:tcBorders>
          </w:tcPr>
          <w:p w14:paraId="79C7F189" w14:textId="77777777" w:rsidR="0075791A" w:rsidRDefault="00FB2864">
            <w:pPr>
              <w:pStyle w:val="TableParagraph"/>
              <w:spacing w:before="41"/>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8</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w:t>
            </w:r>
          </w:p>
        </w:tc>
        <w:tc>
          <w:tcPr>
            <w:tcW w:w="1064" w:type="dxa"/>
            <w:tcBorders>
              <w:tl2br w:val="nil"/>
              <w:tr2bl w:val="nil"/>
            </w:tcBorders>
          </w:tcPr>
          <w:p w14:paraId="068A1341" w14:textId="77777777" w:rsidR="0075791A" w:rsidRDefault="00FB2864">
            <w:pPr>
              <w:pStyle w:val="TableParagraph"/>
              <w:spacing w:before="41"/>
              <w:ind w:left="342"/>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c>
          <w:tcPr>
            <w:tcW w:w="1062" w:type="dxa"/>
            <w:tcBorders>
              <w:tl2br w:val="nil"/>
              <w:tr2bl w:val="nil"/>
            </w:tcBorders>
          </w:tcPr>
          <w:p w14:paraId="7A11491A" w14:textId="77777777" w:rsidR="0075791A" w:rsidRDefault="00FB2864">
            <w:pPr>
              <w:pStyle w:val="TableParagraph"/>
              <w:spacing w:before="41"/>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358</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5</w:t>
            </w:r>
          </w:p>
        </w:tc>
      </w:tr>
      <w:tr w:rsidR="0075791A" w14:paraId="24777AA8" w14:textId="77777777">
        <w:trPr>
          <w:trHeight w:hRule="exact" w:val="90"/>
        </w:trPr>
        <w:tc>
          <w:tcPr>
            <w:tcW w:w="1528" w:type="dxa"/>
            <w:tcBorders>
              <w:tl2br w:val="nil"/>
              <w:tr2bl w:val="nil"/>
            </w:tcBorders>
          </w:tcPr>
          <w:p w14:paraId="00A1F7F4" w14:textId="77777777" w:rsidR="0075791A" w:rsidRDefault="00FB2864">
            <w:pPr>
              <w:pStyle w:val="TableParagraph"/>
              <w:spacing w:line="266" w:lineRule="exact"/>
              <w:ind w:left="443"/>
              <w:rPr>
                <w:rFonts w:ascii="宋体" w:eastAsia="宋体" w:hAnsi="宋体" w:cs="宋体"/>
                <w:color w:val="auto"/>
              </w:rPr>
            </w:pPr>
            <w:r>
              <w:rPr>
                <w:rFonts w:ascii="宋体" w:eastAsia="宋体" w:hAnsi="宋体" w:cs="宋体"/>
                <w:color w:val="auto"/>
                <w:spacing w:val="-1"/>
              </w:rPr>
              <w:t>少</w:t>
            </w:r>
            <w:r>
              <w:rPr>
                <w:rFonts w:ascii="宋体" w:eastAsia="宋体" w:hAnsi="宋体" w:cs="宋体"/>
                <w:color w:val="auto"/>
                <w:spacing w:val="2"/>
              </w:rPr>
              <w:t>鳞</w:t>
            </w:r>
            <w:r>
              <w:rPr>
                <w:rFonts w:ascii="宋体" w:eastAsia="宋体" w:hAnsi="宋体" w:cs="宋体"/>
                <w:color w:val="auto"/>
              </w:rPr>
              <w:t>鰧</w:t>
            </w:r>
          </w:p>
        </w:tc>
        <w:tc>
          <w:tcPr>
            <w:tcW w:w="3232" w:type="dxa"/>
            <w:tcBorders>
              <w:tl2br w:val="nil"/>
              <w:tr2bl w:val="nil"/>
            </w:tcBorders>
          </w:tcPr>
          <w:p w14:paraId="60B2033C" w14:textId="77777777" w:rsidR="0075791A" w:rsidRDefault="00FB2864">
            <w:pPr>
              <w:pStyle w:val="TableParagraph"/>
              <w:spacing w:before="33"/>
              <w:ind w:left="562"/>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2"/>
                <w:sz w:val="22"/>
                <w:szCs w:val="22"/>
              </w:rPr>
              <w:t>U</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1"/>
                <w:sz w:val="22"/>
                <w:szCs w:val="22"/>
              </w:rPr>
              <w:t>ano</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c</w:t>
            </w:r>
            <w:r>
              <w:rPr>
                <w:rFonts w:ascii="Times New Roman" w:eastAsia="Times New Roman" w:hAnsi="Times New Roman" w:cs="Times New Roman"/>
                <w:i/>
                <w:color w:val="auto"/>
                <w:spacing w:val="-1"/>
                <w:sz w:val="22"/>
                <w:szCs w:val="22"/>
              </w:rPr>
              <w:t>opu</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 xml:space="preserve"> </w:t>
            </w:r>
            <w:r>
              <w:rPr>
                <w:rFonts w:ascii="Times New Roman" w:eastAsia="Times New Roman" w:hAnsi="Times New Roman" w:cs="Times New Roman"/>
                <w:i/>
                <w:color w:val="auto"/>
                <w:spacing w:val="-1"/>
                <w:sz w:val="22"/>
                <w:szCs w:val="22"/>
              </w:rPr>
              <w:t>o</w:t>
            </w:r>
            <w:r>
              <w:rPr>
                <w:rFonts w:ascii="Times New Roman" w:eastAsia="Times New Roman" w:hAnsi="Times New Roman" w:cs="Times New Roman"/>
                <w:i/>
                <w:color w:val="auto"/>
                <w:spacing w:val="1"/>
                <w:sz w:val="22"/>
                <w:szCs w:val="22"/>
              </w:rPr>
              <w:t>l</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pacing w:val="-1"/>
                <w:sz w:val="22"/>
                <w:szCs w:val="22"/>
              </w:rPr>
              <w:t>go</w:t>
            </w:r>
            <w:r>
              <w:rPr>
                <w:rFonts w:ascii="Times New Roman" w:eastAsia="Times New Roman" w:hAnsi="Times New Roman" w:cs="Times New Roman"/>
                <w:i/>
                <w:color w:val="auto"/>
                <w:spacing w:val="-2"/>
                <w:sz w:val="22"/>
                <w:szCs w:val="22"/>
              </w:rPr>
              <w:t>l</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1"/>
                <w:sz w:val="22"/>
                <w:szCs w:val="22"/>
              </w:rPr>
              <w:t>p</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z w:val="22"/>
                <w:szCs w:val="22"/>
              </w:rPr>
              <w:t>s</w:t>
            </w:r>
          </w:p>
        </w:tc>
        <w:tc>
          <w:tcPr>
            <w:tcW w:w="1064" w:type="dxa"/>
            <w:tcBorders>
              <w:tl2br w:val="nil"/>
              <w:tr2bl w:val="nil"/>
            </w:tcBorders>
          </w:tcPr>
          <w:p w14:paraId="28330C76" w14:textId="77777777" w:rsidR="0075791A" w:rsidRDefault="00FB2864">
            <w:pPr>
              <w:pStyle w:val="TableParagraph"/>
              <w:spacing w:before="40"/>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15</w:t>
            </w:r>
            <w:r>
              <w:rPr>
                <w:rFonts w:ascii="Times New Roman" w:eastAsia="Times New Roman" w:hAnsi="Times New Roman" w:cs="Times New Roman"/>
                <w:color w:val="auto"/>
              </w:rPr>
              <w:t>%</w:t>
            </w:r>
          </w:p>
        </w:tc>
        <w:tc>
          <w:tcPr>
            <w:tcW w:w="1064" w:type="dxa"/>
            <w:tcBorders>
              <w:tl2br w:val="nil"/>
              <w:tr2bl w:val="nil"/>
            </w:tcBorders>
          </w:tcPr>
          <w:p w14:paraId="4971CCE1" w14:textId="77777777" w:rsidR="0075791A" w:rsidRDefault="00FB2864">
            <w:pPr>
              <w:pStyle w:val="TableParagraph"/>
              <w:spacing w:before="40"/>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w:t>
            </w:r>
          </w:p>
        </w:tc>
        <w:tc>
          <w:tcPr>
            <w:tcW w:w="1064" w:type="dxa"/>
            <w:tcBorders>
              <w:tl2br w:val="nil"/>
              <w:tr2bl w:val="nil"/>
            </w:tcBorders>
          </w:tcPr>
          <w:p w14:paraId="2DCDAE8E" w14:textId="77777777" w:rsidR="0075791A" w:rsidRDefault="00FB2864">
            <w:pPr>
              <w:pStyle w:val="TableParagraph"/>
              <w:spacing w:before="40"/>
              <w:ind w:left="342"/>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c>
          <w:tcPr>
            <w:tcW w:w="1062" w:type="dxa"/>
            <w:tcBorders>
              <w:tl2br w:val="nil"/>
              <w:tr2bl w:val="nil"/>
            </w:tcBorders>
          </w:tcPr>
          <w:p w14:paraId="46AE36C2" w14:textId="77777777" w:rsidR="0075791A" w:rsidRDefault="00FB2864">
            <w:pPr>
              <w:pStyle w:val="TableParagraph"/>
              <w:spacing w:before="40"/>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340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6</w:t>
            </w:r>
          </w:p>
        </w:tc>
      </w:tr>
      <w:tr w:rsidR="0075791A" w14:paraId="186DA854" w14:textId="77777777">
        <w:trPr>
          <w:trHeight w:hRule="exact" w:val="330"/>
        </w:trPr>
        <w:tc>
          <w:tcPr>
            <w:tcW w:w="1528" w:type="dxa"/>
            <w:tcBorders>
              <w:tl2br w:val="nil"/>
              <w:tr2bl w:val="nil"/>
            </w:tcBorders>
          </w:tcPr>
          <w:p w14:paraId="16A95221" w14:textId="77777777" w:rsidR="0075791A" w:rsidRDefault="00FB2864">
            <w:pPr>
              <w:pStyle w:val="TableParagraph"/>
              <w:spacing w:line="264" w:lineRule="exact"/>
              <w:ind w:left="234"/>
              <w:rPr>
                <w:rFonts w:ascii="宋体" w:eastAsia="宋体" w:hAnsi="宋体" w:cs="宋体"/>
                <w:color w:val="auto"/>
              </w:rPr>
            </w:pPr>
            <w:r>
              <w:rPr>
                <w:rFonts w:ascii="宋体" w:eastAsia="宋体" w:hAnsi="宋体" w:cs="宋体"/>
                <w:color w:val="auto"/>
                <w:spacing w:val="-1"/>
              </w:rPr>
              <w:t>金</w:t>
            </w:r>
            <w:r>
              <w:rPr>
                <w:rFonts w:ascii="宋体" w:eastAsia="宋体" w:hAnsi="宋体" w:cs="宋体"/>
                <w:color w:val="auto"/>
                <w:spacing w:val="2"/>
              </w:rPr>
              <w:t>色</w:t>
            </w:r>
            <w:r>
              <w:rPr>
                <w:rFonts w:ascii="宋体" w:eastAsia="宋体" w:hAnsi="宋体" w:cs="宋体"/>
                <w:color w:val="auto"/>
                <w:spacing w:val="-1"/>
              </w:rPr>
              <w:t>海</w:t>
            </w:r>
            <w:r>
              <w:rPr>
                <w:rFonts w:ascii="宋体" w:eastAsia="宋体" w:hAnsi="宋体" w:cs="宋体"/>
                <w:color w:val="auto"/>
                <w:spacing w:val="2"/>
              </w:rPr>
              <w:t>猪</w:t>
            </w:r>
            <w:r>
              <w:rPr>
                <w:rFonts w:ascii="宋体" w:eastAsia="宋体" w:hAnsi="宋体" w:cs="宋体"/>
                <w:color w:val="auto"/>
              </w:rPr>
              <w:t>鱼</w:t>
            </w:r>
          </w:p>
        </w:tc>
        <w:tc>
          <w:tcPr>
            <w:tcW w:w="3232" w:type="dxa"/>
            <w:tcBorders>
              <w:tl2br w:val="nil"/>
              <w:tr2bl w:val="nil"/>
            </w:tcBorders>
          </w:tcPr>
          <w:p w14:paraId="78C08052" w14:textId="77777777" w:rsidR="0075791A" w:rsidRDefault="00FB2864">
            <w:pPr>
              <w:pStyle w:val="TableParagraph"/>
              <w:spacing w:before="34"/>
              <w:ind w:left="713"/>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2"/>
                <w:sz w:val="22"/>
                <w:szCs w:val="22"/>
              </w:rPr>
              <w:t>H</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pacing w:val="1"/>
                <w:sz w:val="22"/>
                <w:szCs w:val="22"/>
              </w:rPr>
              <w:t>l</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1"/>
                <w:sz w:val="22"/>
                <w:szCs w:val="22"/>
              </w:rPr>
              <w:t>ho</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7"/>
                <w:sz w:val="22"/>
                <w:szCs w:val="22"/>
              </w:rPr>
              <w:t>r</w:t>
            </w:r>
            <w:r>
              <w:rPr>
                <w:rFonts w:ascii="Times New Roman" w:eastAsia="Times New Roman" w:hAnsi="Times New Roman" w:cs="Times New Roman"/>
                <w:i/>
                <w:color w:val="auto"/>
                <w:spacing w:val="-2"/>
                <w:sz w:val="22"/>
                <w:szCs w:val="22"/>
              </w:rPr>
              <w:t>e</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 xml:space="preserve"> </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1"/>
                <w:sz w:val="22"/>
                <w:szCs w:val="22"/>
              </w:rPr>
              <w:t>h</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2"/>
                <w:sz w:val="22"/>
                <w:szCs w:val="22"/>
              </w:rPr>
              <w:t>y</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s</w:t>
            </w:r>
          </w:p>
        </w:tc>
        <w:tc>
          <w:tcPr>
            <w:tcW w:w="1064" w:type="dxa"/>
            <w:tcBorders>
              <w:tl2br w:val="nil"/>
              <w:tr2bl w:val="nil"/>
            </w:tcBorders>
          </w:tcPr>
          <w:p w14:paraId="0C07BCCF" w14:textId="77777777" w:rsidR="0075791A" w:rsidRDefault="00FB2864">
            <w:pPr>
              <w:pStyle w:val="TableParagraph"/>
              <w:spacing w:before="41"/>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14</w:t>
            </w:r>
            <w:r>
              <w:rPr>
                <w:rFonts w:ascii="Times New Roman" w:eastAsia="Times New Roman" w:hAnsi="Times New Roman" w:cs="Times New Roman"/>
                <w:color w:val="auto"/>
              </w:rPr>
              <w:t>%</w:t>
            </w:r>
          </w:p>
        </w:tc>
        <w:tc>
          <w:tcPr>
            <w:tcW w:w="1064" w:type="dxa"/>
            <w:tcBorders>
              <w:tl2br w:val="nil"/>
              <w:tr2bl w:val="nil"/>
            </w:tcBorders>
          </w:tcPr>
          <w:p w14:paraId="1FE2FDC9" w14:textId="77777777" w:rsidR="0075791A" w:rsidRDefault="00FB2864">
            <w:pPr>
              <w:pStyle w:val="TableParagraph"/>
              <w:spacing w:before="41"/>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7</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w:t>
            </w:r>
          </w:p>
        </w:tc>
        <w:tc>
          <w:tcPr>
            <w:tcW w:w="1064" w:type="dxa"/>
            <w:tcBorders>
              <w:tl2br w:val="nil"/>
              <w:tr2bl w:val="nil"/>
            </w:tcBorders>
          </w:tcPr>
          <w:p w14:paraId="622EBE6A" w14:textId="77777777" w:rsidR="0075791A" w:rsidRDefault="00FB2864">
            <w:pPr>
              <w:pStyle w:val="TableParagraph"/>
              <w:spacing w:before="41"/>
              <w:ind w:left="342"/>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c>
          <w:tcPr>
            <w:tcW w:w="1062" w:type="dxa"/>
            <w:tcBorders>
              <w:tl2br w:val="nil"/>
              <w:tr2bl w:val="nil"/>
            </w:tcBorders>
          </w:tcPr>
          <w:p w14:paraId="364BE3C4" w14:textId="77777777" w:rsidR="0075791A" w:rsidRDefault="00FB2864">
            <w:pPr>
              <w:pStyle w:val="TableParagraph"/>
              <w:spacing w:before="41"/>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293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6</w:t>
            </w:r>
            <w:r>
              <w:rPr>
                <w:rFonts w:ascii="Times New Roman" w:eastAsia="Times New Roman" w:hAnsi="Times New Roman" w:cs="Times New Roman"/>
                <w:color w:val="auto"/>
              </w:rPr>
              <w:t>5</w:t>
            </w:r>
          </w:p>
        </w:tc>
      </w:tr>
      <w:tr w:rsidR="0075791A" w14:paraId="4974703A" w14:textId="77777777">
        <w:trPr>
          <w:trHeight w:hRule="exact" w:val="330"/>
        </w:trPr>
        <w:tc>
          <w:tcPr>
            <w:tcW w:w="1528" w:type="dxa"/>
            <w:tcBorders>
              <w:tl2br w:val="nil"/>
              <w:tr2bl w:val="nil"/>
            </w:tcBorders>
          </w:tcPr>
          <w:p w14:paraId="41DF54FD" w14:textId="77777777" w:rsidR="0075791A" w:rsidRDefault="00FB2864">
            <w:pPr>
              <w:pStyle w:val="TableParagraph"/>
              <w:spacing w:line="266" w:lineRule="exact"/>
              <w:ind w:left="443"/>
              <w:rPr>
                <w:rFonts w:ascii="宋体" w:eastAsia="宋体" w:hAnsi="宋体" w:cs="宋体"/>
                <w:color w:val="auto"/>
              </w:rPr>
            </w:pPr>
            <w:r>
              <w:rPr>
                <w:rFonts w:ascii="宋体" w:eastAsia="宋体" w:hAnsi="宋体" w:cs="宋体"/>
                <w:color w:val="auto"/>
                <w:spacing w:val="-1"/>
              </w:rPr>
              <w:t>鹰</w:t>
            </w:r>
            <w:r>
              <w:rPr>
                <w:rFonts w:ascii="宋体" w:eastAsia="宋体" w:hAnsi="宋体" w:cs="宋体"/>
                <w:color w:val="auto"/>
                <w:spacing w:val="2"/>
              </w:rPr>
              <w:t>抓</w:t>
            </w:r>
            <w:r>
              <w:rPr>
                <w:rFonts w:ascii="宋体" w:eastAsia="宋体" w:hAnsi="宋体" w:cs="宋体"/>
                <w:color w:val="auto"/>
              </w:rPr>
              <w:t>虾</w:t>
            </w:r>
          </w:p>
        </w:tc>
        <w:tc>
          <w:tcPr>
            <w:tcW w:w="3232" w:type="dxa"/>
            <w:tcBorders>
              <w:tl2br w:val="nil"/>
              <w:tr2bl w:val="nil"/>
            </w:tcBorders>
          </w:tcPr>
          <w:p w14:paraId="2FCC49C6" w14:textId="77777777" w:rsidR="0075791A" w:rsidRDefault="00FB2864">
            <w:pPr>
              <w:pStyle w:val="TableParagraph"/>
              <w:spacing w:before="33"/>
              <w:ind w:left="408"/>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1"/>
                <w:sz w:val="22"/>
                <w:szCs w:val="22"/>
              </w:rPr>
              <w:t>T</w:t>
            </w:r>
            <w:r>
              <w:rPr>
                <w:rFonts w:ascii="Times New Roman" w:eastAsia="Times New Roman" w:hAnsi="Times New Roman" w:cs="Times New Roman"/>
                <w:i/>
                <w:color w:val="auto"/>
                <w:spacing w:val="-2"/>
                <w:sz w:val="22"/>
                <w:szCs w:val="22"/>
              </w:rPr>
              <w:t>r</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3"/>
                <w:sz w:val="22"/>
                <w:szCs w:val="22"/>
              </w:rPr>
              <w:t>h</w:t>
            </w:r>
            <w:r>
              <w:rPr>
                <w:rFonts w:ascii="Times New Roman" w:eastAsia="Times New Roman" w:hAnsi="Times New Roman" w:cs="Times New Roman"/>
                <w:i/>
                <w:color w:val="auto"/>
                <w:sz w:val="22"/>
                <w:szCs w:val="22"/>
              </w:rPr>
              <w:t>y</w:t>
            </w:r>
            <w:r>
              <w:rPr>
                <w:rFonts w:ascii="Times New Roman" w:eastAsia="Times New Roman" w:hAnsi="Times New Roman" w:cs="Times New Roman"/>
                <w:i/>
                <w:color w:val="auto"/>
                <w:spacing w:val="-1"/>
                <w:sz w:val="22"/>
                <w:szCs w:val="22"/>
              </w:rPr>
              <w:t>p</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3"/>
                <w:sz w:val="22"/>
                <w:szCs w:val="22"/>
              </w:rPr>
              <w:t>n</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 xml:space="preserve"> </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2"/>
                <w:sz w:val="22"/>
                <w:szCs w:val="22"/>
              </w:rPr>
              <w:t>v</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pacing w:val="-7"/>
                <w:sz w:val="22"/>
                <w:szCs w:val="22"/>
              </w:rPr>
              <w:t>r</w:t>
            </w:r>
            <w:r>
              <w:rPr>
                <w:rFonts w:ascii="Times New Roman" w:eastAsia="Times New Roman" w:hAnsi="Times New Roman" w:cs="Times New Roman"/>
                <w:i/>
                <w:color w:val="auto"/>
                <w:spacing w:val="-3"/>
                <w:sz w:val="22"/>
                <w:szCs w:val="22"/>
              </w:rPr>
              <w:t>o</w:t>
            </w:r>
            <w:r>
              <w:rPr>
                <w:rFonts w:ascii="Times New Roman" w:eastAsia="Times New Roman" w:hAnsi="Times New Roman" w:cs="Times New Roman"/>
                <w:i/>
                <w:color w:val="auto"/>
                <w:spacing w:val="-2"/>
                <w:sz w:val="22"/>
                <w:szCs w:val="22"/>
              </w:rPr>
              <w:t>s</w:t>
            </w:r>
            <w:r>
              <w:rPr>
                <w:rFonts w:ascii="Times New Roman" w:eastAsia="Times New Roman" w:hAnsi="Times New Roman" w:cs="Times New Roman"/>
                <w:i/>
                <w:color w:val="auto"/>
                <w:spacing w:val="1"/>
                <w:sz w:val="22"/>
                <w:szCs w:val="22"/>
              </w:rPr>
              <w:t>t</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z w:val="22"/>
                <w:szCs w:val="22"/>
              </w:rPr>
              <w:t>s</w:t>
            </w:r>
          </w:p>
        </w:tc>
        <w:tc>
          <w:tcPr>
            <w:tcW w:w="1064" w:type="dxa"/>
            <w:tcBorders>
              <w:tl2br w:val="nil"/>
              <w:tr2bl w:val="nil"/>
            </w:tcBorders>
          </w:tcPr>
          <w:p w14:paraId="4B36FEEE" w14:textId="77777777" w:rsidR="0075791A" w:rsidRDefault="00FB2864">
            <w:pPr>
              <w:pStyle w:val="TableParagraph"/>
              <w:spacing w:before="40"/>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87</w:t>
            </w:r>
            <w:r>
              <w:rPr>
                <w:rFonts w:ascii="Times New Roman" w:eastAsia="Times New Roman" w:hAnsi="Times New Roman" w:cs="Times New Roman"/>
                <w:color w:val="auto"/>
              </w:rPr>
              <w:t>%</w:t>
            </w:r>
          </w:p>
        </w:tc>
        <w:tc>
          <w:tcPr>
            <w:tcW w:w="1064" w:type="dxa"/>
            <w:tcBorders>
              <w:tl2br w:val="nil"/>
              <w:tr2bl w:val="nil"/>
            </w:tcBorders>
          </w:tcPr>
          <w:p w14:paraId="17DECDAD" w14:textId="77777777" w:rsidR="0075791A" w:rsidRDefault="00FB2864">
            <w:pPr>
              <w:pStyle w:val="TableParagraph"/>
              <w:spacing w:before="40"/>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5</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p>
        </w:tc>
        <w:tc>
          <w:tcPr>
            <w:tcW w:w="1064" w:type="dxa"/>
            <w:tcBorders>
              <w:tl2br w:val="nil"/>
              <w:tr2bl w:val="nil"/>
            </w:tcBorders>
          </w:tcPr>
          <w:p w14:paraId="598517D3" w14:textId="77777777" w:rsidR="0075791A" w:rsidRDefault="00FB2864">
            <w:pPr>
              <w:pStyle w:val="TableParagraph"/>
              <w:spacing w:before="40"/>
              <w:ind w:left="375" w:right="3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.5</w:t>
            </w:r>
          </w:p>
        </w:tc>
        <w:tc>
          <w:tcPr>
            <w:tcW w:w="1062" w:type="dxa"/>
            <w:tcBorders>
              <w:tl2br w:val="nil"/>
              <w:tr2bl w:val="nil"/>
            </w:tcBorders>
          </w:tcPr>
          <w:p w14:paraId="61EFD969" w14:textId="77777777" w:rsidR="0075791A" w:rsidRDefault="00FB2864">
            <w:pPr>
              <w:pStyle w:val="TableParagraph"/>
              <w:spacing w:before="40"/>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270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rPr>
              <w:t>5</w:t>
            </w:r>
          </w:p>
        </w:tc>
      </w:tr>
      <w:tr w:rsidR="0075791A" w14:paraId="2DCA00B2" w14:textId="77777777">
        <w:trPr>
          <w:trHeight w:hRule="exact" w:val="330"/>
        </w:trPr>
        <w:tc>
          <w:tcPr>
            <w:tcW w:w="1528" w:type="dxa"/>
            <w:tcBorders>
              <w:tl2br w:val="nil"/>
              <w:tr2bl w:val="nil"/>
            </w:tcBorders>
          </w:tcPr>
          <w:p w14:paraId="13024E2B" w14:textId="77777777" w:rsidR="0075791A" w:rsidRDefault="00FB2864">
            <w:pPr>
              <w:pStyle w:val="TableParagraph"/>
              <w:spacing w:line="264" w:lineRule="exact"/>
              <w:ind w:left="234"/>
              <w:rPr>
                <w:rFonts w:ascii="宋体" w:eastAsia="宋体" w:hAnsi="宋体" w:cs="宋体"/>
                <w:color w:val="auto"/>
              </w:rPr>
            </w:pPr>
            <w:r>
              <w:rPr>
                <w:rFonts w:ascii="宋体" w:eastAsia="宋体" w:hAnsi="宋体" w:cs="宋体"/>
                <w:color w:val="auto"/>
                <w:spacing w:val="-1"/>
              </w:rPr>
              <w:t>近</w:t>
            </w:r>
            <w:r>
              <w:rPr>
                <w:rFonts w:ascii="宋体" w:eastAsia="宋体" w:hAnsi="宋体" w:cs="宋体"/>
                <w:color w:val="auto"/>
                <w:spacing w:val="2"/>
              </w:rPr>
              <w:t>缘</w:t>
            </w:r>
            <w:r>
              <w:rPr>
                <w:rFonts w:ascii="宋体" w:eastAsia="宋体" w:hAnsi="宋体" w:cs="宋体"/>
                <w:color w:val="auto"/>
                <w:spacing w:val="-1"/>
              </w:rPr>
              <w:t>新</w:t>
            </w:r>
            <w:r>
              <w:rPr>
                <w:rFonts w:ascii="宋体" w:eastAsia="宋体" w:hAnsi="宋体" w:cs="宋体"/>
                <w:color w:val="auto"/>
                <w:spacing w:val="2"/>
              </w:rPr>
              <w:t>对</w:t>
            </w:r>
            <w:r>
              <w:rPr>
                <w:rFonts w:ascii="宋体" w:eastAsia="宋体" w:hAnsi="宋体" w:cs="宋体"/>
                <w:color w:val="auto"/>
              </w:rPr>
              <w:t>虾</w:t>
            </w:r>
          </w:p>
        </w:tc>
        <w:tc>
          <w:tcPr>
            <w:tcW w:w="3232" w:type="dxa"/>
            <w:tcBorders>
              <w:tl2br w:val="nil"/>
              <w:tr2bl w:val="nil"/>
            </w:tcBorders>
          </w:tcPr>
          <w:p w14:paraId="5A7D8D14" w14:textId="77777777" w:rsidR="0075791A" w:rsidRDefault="00FB2864">
            <w:pPr>
              <w:pStyle w:val="TableParagraph"/>
              <w:spacing w:before="34"/>
              <w:ind w:left="722"/>
              <w:rPr>
                <w:rFonts w:ascii="Times New Roman" w:eastAsia="Times New Roman" w:hAnsi="Times New Roman" w:cs="Times New Roman"/>
                <w:color w:val="auto"/>
                <w:sz w:val="22"/>
                <w:szCs w:val="22"/>
              </w:rPr>
            </w:pPr>
            <w:r>
              <w:rPr>
                <w:rFonts w:ascii="Times New Roman" w:eastAsia="Times New Roman" w:hAnsi="Times New Roman" w:cs="Times New Roman"/>
                <w:i/>
                <w:color w:val="auto"/>
                <w:sz w:val="22"/>
                <w:szCs w:val="22"/>
              </w:rPr>
              <w:t>M</w:t>
            </w:r>
            <w:r>
              <w:rPr>
                <w:rFonts w:ascii="Times New Roman" w:eastAsia="Times New Roman" w:hAnsi="Times New Roman" w:cs="Times New Roman"/>
                <w:i/>
                <w:color w:val="auto"/>
                <w:spacing w:val="-2"/>
                <w:sz w:val="22"/>
                <w:szCs w:val="22"/>
              </w:rPr>
              <w:t>e</w:t>
            </w:r>
            <w:r>
              <w:rPr>
                <w:rFonts w:ascii="Times New Roman" w:eastAsia="Times New Roman" w:hAnsi="Times New Roman" w:cs="Times New Roman"/>
                <w:i/>
                <w:color w:val="auto"/>
                <w:spacing w:val="1"/>
                <w:sz w:val="22"/>
                <w:szCs w:val="22"/>
              </w:rPr>
              <w:t>t</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pacing w:val="-3"/>
                <w:sz w:val="22"/>
                <w:szCs w:val="22"/>
              </w:rPr>
              <w:t>p</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1"/>
                <w:sz w:val="22"/>
                <w:szCs w:val="22"/>
              </w:rPr>
              <w:t>na</w:t>
            </w:r>
            <w:r>
              <w:rPr>
                <w:rFonts w:ascii="Times New Roman" w:eastAsia="Times New Roman" w:hAnsi="Times New Roman" w:cs="Times New Roman"/>
                <w:i/>
                <w:color w:val="auto"/>
                <w:spacing w:val="-2"/>
                <w:sz w:val="22"/>
                <w:szCs w:val="22"/>
              </w:rPr>
              <w:t>e</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 xml:space="preserve"> </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pacing w:val="1"/>
                <w:sz w:val="22"/>
                <w:szCs w:val="22"/>
              </w:rPr>
              <w:t>f</w:t>
            </w:r>
            <w:r>
              <w:rPr>
                <w:rFonts w:ascii="Times New Roman" w:eastAsia="Times New Roman" w:hAnsi="Times New Roman" w:cs="Times New Roman"/>
                <w:i/>
                <w:color w:val="auto"/>
                <w:spacing w:val="-2"/>
                <w:sz w:val="22"/>
                <w:szCs w:val="22"/>
              </w:rPr>
              <w:t>f</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pacing w:val="-1"/>
                <w:sz w:val="22"/>
                <w:szCs w:val="22"/>
              </w:rPr>
              <w:t>n</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z w:val="22"/>
                <w:szCs w:val="22"/>
              </w:rPr>
              <w:t>s</w:t>
            </w:r>
          </w:p>
        </w:tc>
        <w:tc>
          <w:tcPr>
            <w:tcW w:w="1064" w:type="dxa"/>
            <w:tcBorders>
              <w:tl2br w:val="nil"/>
              <w:tr2bl w:val="nil"/>
            </w:tcBorders>
          </w:tcPr>
          <w:p w14:paraId="1D9A20B8" w14:textId="77777777" w:rsidR="0075791A" w:rsidRDefault="00FB2864">
            <w:pPr>
              <w:pStyle w:val="TableParagraph"/>
              <w:spacing w:before="41"/>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57</w:t>
            </w:r>
            <w:r>
              <w:rPr>
                <w:rFonts w:ascii="Times New Roman" w:eastAsia="Times New Roman" w:hAnsi="Times New Roman" w:cs="Times New Roman"/>
                <w:color w:val="auto"/>
              </w:rPr>
              <w:t>%</w:t>
            </w:r>
          </w:p>
        </w:tc>
        <w:tc>
          <w:tcPr>
            <w:tcW w:w="1064" w:type="dxa"/>
            <w:tcBorders>
              <w:tl2br w:val="nil"/>
              <w:tr2bl w:val="nil"/>
            </w:tcBorders>
          </w:tcPr>
          <w:p w14:paraId="3CE5EE43" w14:textId="77777777" w:rsidR="0075791A" w:rsidRDefault="00FB2864">
            <w:pPr>
              <w:pStyle w:val="TableParagraph"/>
              <w:spacing w:before="41"/>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8</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w:t>
            </w:r>
          </w:p>
        </w:tc>
        <w:tc>
          <w:tcPr>
            <w:tcW w:w="1064" w:type="dxa"/>
            <w:tcBorders>
              <w:tl2br w:val="nil"/>
              <w:tr2bl w:val="nil"/>
            </w:tcBorders>
          </w:tcPr>
          <w:p w14:paraId="5BF25BC0" w14:textId="77777777" w:rsidR="0075791A" w:rsidRDefault="00FB2864">
            <w:pPr>
              <w:pStyle w:val="TableParagraph"/>
              <w:spacing w:before="41"/>
              <w:ind w:left="342"/>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c>
          <w:tcPr>
            <w:tcW w:w="1062" w:type="dxa"/>
            <w:tcBorders>
              <w:tl2br w:val="nil"/>
              <w:tr2bl w:val="nil"/>
            </w:tcBorders>
          </w:tcPr>
          <w:p w14:paraId="7BB6C5AA" w14:textId="77777777" w:rsidR="0075791A" w:rsidRDefault="00FB2864">
            <w:pPr>
              <w:pStyle w:val="TableParagraph"/>
              <w:spacing w:before="41"/>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260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1</w:t>
            </w:r>
            <w:r>
              <w:rPr>
                <w:rFonts w:ascii="Times New Roman" w:eastAsia="Times New Roman" w:hAnsi="Times New Roman" w:cs="Times New Roman"/>
                <w:color w:val="auto"/>
              </w:rPr>
              <w:t>5</w:t>
            </w:r>
          </w:p>
        </w:tc>
      </w:tr>
      <w:tr w:rsidR="0075791A" w14:paraId="23F743A2" w14:textId="77777777">
        <w:trPr>
          <w:trHeight w:hRule="exact" w:val="330"/>
        </w:trPr>
        <w:tc>
          <w:tcPr>
            <w:tcW w:w="1528" w:type="dxa"/>
            <w:tcBorders>
              <w:tl2br w:val="nil"/>
              <w:tr2bl w:val="nil"/>
            </w:tcBorders>
          </w:tcPr>
          <w:p w14:paraId="398982E8" w14:textId="77777777" w:rsidR="0075791A" w:rsidRDefault="00FB2864">
            <w:pPr>
              <w:pStyle w:val="TableParagraph"/>
              <w:spacing w:line="266" w:lineRule="exact"/>
              <w:ind w:left="529" w:right="531"/>
              <w:jc w:val="center"/>
              <w:rPr>
                <w:rFonts w:ascii="宋体" w:eastAsia="宋体" w:hAnsi="宋体" w:cs="宋体"/>
                <w:color w:val="auto"/>
              </w:rPr>
            </w:pPr>
            <w:r>
              <w:rPr>
                <w:rFonts w:ascii="宋体" w:eastAsia="宋体" w:hAnsi="宋体" w:cs="宋体"/>
                <w:color w:val="auto"/>
                <w:spacing w:val="-1"/>
              </w:rPr>
              <w:t>海</w:t>
            </w:r>
            <w:r>
              <w:rPr>
                <w:rFonts w:ascii="宋体" w:eastAsia="宋体" w:hAnsi="宋体" w:cs="宋体"/>
                <w:color w:val="auto"/>
              </w:rPr>
              <w:t>鳗</w:t>
            </w:r>
          </w:p>
        </w:tc>
        <w:tc>
          <w:tcPr>
            <w:tcW w:w="3232" w:type="dxa"/>
            <w:tcBorders>
              <w:tl2br w:val="nil"/>
              <w:tr2bl w:val="nil"/>
            </w:tcBorders>
          </w:tcPr>
          <w:p w14:paraId="6B6FDABE" w14:textId="77777777" w:rsidR="0075791A" w:rsidRDefault="00FB2864">
            <w:pPr>
              <w:pStyle w:val="TableParagraph"/>
              <w:spacing w:before="33"/>
              <w:ind w:left="670"/>
              <w:rPr>
                <w:rFonts w:ascii="Times New Roman" w:eastAsia="Times New Roman" w:hAnsi="Times New Roman" w:cs="Times New Roman"/>
                <w:color w:val="auto"/>
                <w:sz w:val="22"/>
                <w:szCs w:val="22"/>
              </w:rPr>
            </w:pPr>
            <w:r>
              <w:rPr>
                <w:rFonts w:ascii="Times New Roman" w:eastAsia="Times New Roman" w:hAnsi="Times New Roman" w:cs="Times New Roman"/>
                <w:i/>
                <w:color w:val="auto"/>
                <w:sz w:val="22"/>
                <w:szCs w:val="22"/>
              </w:rPr>
              <w:t>M</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pacing w:val="-2"/>
                <w:sz w:val="22"/>
                <w:szCs w:val="22"/>
              </w:rPr>
              <w:t>r</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1"/>
                <w:sz w:val="22"/>
                <w:szCs w:val="22"/>
              </w:rPr>
              <w:t>n</w:t>
            </w:r>
            <w:r>
              <w:rPr>
                <w:rFonts w:ascii="Times New Roman" w:eastAsia="Times New Roman" w:hAnsi="Times New Roman" w:cs="Times New Roman"/>
                <w:i/>
                <w:color w:val="auto"/>
                <w:spacing w:val="-2"/>
                <w:sz w:val="22"/>
                <w:szCs w:val="22"/>
              </w:rPr>
              <w:t>e</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1"/>
                <w:sz w:val="22"/>
                <w:szCs w:val="22"/>
              </w:rPr>
              <w:t>o</w:t>
            </w:r>
            <w:r>
              <w:rPr>
                <w:rFonts w:ascii="Times New Roman" w:eastAsia="Times New Roman" w:hAnsi="Times New Roman" w:cs="Times New Roman"/>
                <w:i/>
                <w:color w:val="auto"/>
                <w:sz w:val="22"/>
                <w:szCs w:val="22"/>
              </w:rPr>
              <w:t>x</w:t>
            </w:r>
            <w:r>
              <w:rPr>
                <w:rFonts w:ascii="Times New Roman" w:eastAsia="Times New Roman" w:hAnsi="Times New Roman" w:cs="Times New Roman"/>
                <w:i/>
                <w:color w:val="auto"/>
                <w:spacing w:val="-2"/>
                <w:sz w:val="22"/>
                <w:szCs w:val="22"/>
              </w:rPr>
              <w:t xml:space="preserve"> </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pacing w:val="-3"/>
                <w:sz w:val="22"/>
                <w:szCs w:val="22"/>
              </w:rPr>
              <w:t>n</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7"/>
                <w:sz w:val="22"/>
                <w:szCs w:val="22"/>
              </w:rPr>
              <w:t>r</w:t>
            </w:r>
            <w:r>
              <w:rPr>
                <w:rFonts w:ascii="Times New Roman" w:eastAsia="Times New Roman" w:hAnsi="Times New Roman" w:cs="Times New Roman"/>
                <w:i/>
                <w:color w:val="auto"/>
                <w:spacing w:val="-2"/>
                <w:sz w:val="22"/>
                <w:szCs w:val="22"/>
              </w:rPr>
              <w:t>e</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s</w:t>
            </w:r>
          </w:p>
        </w:tc>
        <w:tc>
          <w:tcPr>
            <w:tcW w:w="1064" w:type="dxa"/>
            <w:tcBorders>
              <w:tl2br w:val="nil"/>
              <w:tr2bl w:val="nil"/>
            </w:tcBorders>
          </w:tcPr>
          <w:p w14:paraId="3D278A68" w14:textId="77777777" w:rsidR="0075791A" w:rsidRDefault="00FB2864">
            <w:pPr>
              <w:pStyle w:val="TableParagraph"/>
              <w:spacing w:before="40"/>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55</w:t>
            </w:r>
            <w:r>
              <w:rPr>
                <w:rFonts w:ascii="Times New Roman" w:eastAsia="Times New Roman" w:hAnsi="Times New Roman" w:cs="Times New Roman"/>
                <w:color w:val="auto"/>
              </w:rPr>
              <w:t>%</w:t>
            </w:r>
          </w:p>
        </w:tc>
        <w:tc>
          <w:tcPr>
            <w:tcW w:w="1064" w:type="dxa"/>
            <w:tcBorders>
              <w:tl2br w:val="nil"/>
              <w:tr2bl w:val="nil"/>
            </w:tcBorders>
          </w:tcPr>
          <w:p w14:paraId="30F59A77" w14:textId="77777777" w:rsidR="0075791A" w:rsidRDefault="00FB2864">
            <w:pPr>
              <w:pStyle w:val="TableParagraph"/>
              <w:spacing w:before="40"/>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6</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p>
        </w:tc>
        <w:tc>
          <w:tcPr>
            <w:tcW w:w="1064" w:type="dxa"/>
            <w:tcBorders>
              <w:tl2br w:val="nil"/>
              <w:tr2bl w:val="nil"/>
            </w:tcBorders>
          </w:tcPr>
          <w:p w14:paraId="5933832C" w14:textId="77777777" w:rsidR="0075791A" w:rsidRDefault="00FB2864">
            <w:pPr>
              <w:pStyle w:val="TableParagraph"/>
              <w:spacing w:before="40"/>
              <w:ind w:left="375" w:right="3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.5</w:t>
            </w:r>
          </w:p>
        </w:tc>
        <w:tc>
          <w:tcPr>
            <w:tcW w:w="1062" w:type="dxa"/>
            <w:tcBorders>
              <w:tl2br w:val="nil"/>
              <w:tr2bl w:val="nil"/>
            </w:tcBorders>
          </w:tcPr>
          <w:p w14:paraId="283C14D0" w14:textId="77777777" w:rsidR="0075791A" w:rsidRDefault="00FB2864">
            <w:pPr>
              <w:pStyle w:val="TableParagraph"/>
              <w:spacing w:before="40"/>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260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2</w:t>
            </w:r>
          </w:p>
        </w:tc>
      </w:tr>
      <w:tr w:rsidR="0075791A" w14:paraId="3BA8F8C7" w14:textId="77777777">
        <w:trPr>
          <w:trHeight w:hRule="exact" w:val="330"/>
        </w:trPr>
        <w:tc>
          <w:tcPr>
            <w:tcW w:w="1528" w:type="dxa"/>
            <w:tcBorders>
              <w:tl2br w:val="nil"/>
              <w:tr2bl w:val="nil"/>
            </w:tcBorders>
          </w:tcPr>
          <w:p w14:paraId="5FEA700C" w14:textId="77777777" w:rsidR="0075791A" w:rsidRDefault="00FB2864">
            <w:pPr>
              <w:pStyle w:val="TableParagraph"/>
              <w:spacing w:line="264" w:lineRule="exact"/>
              <w:ind w:left="234"/>
              <w:rPr>
                <w:rFonts w:ascii="宋体" w:eastAsia="宋体" w:hAnsi="宋体" w:cs="宋体"/>
                <w:color w:val="auto"/>
              </w:rPr>
            </w:pPr>
            <w:r>
              <w:rPr>
                <w:rFonts w:ascii="宋体" w:eastAsia="宋体" w:hAnsi="宋体" w:cs="宋体"/>
                <w:color w:val="auto"/>
                <w:spacing w:val="-1"/>
              </w:rPr>
              <w:t>宽</w:t>
            </w:r>
            <w:r>
              <w:rPr>
                <w:rFonts w:ascii="宋体" w:eastAsia="宋体" w:hAnsi="宋体" w:cs="宋体"/>
                <w:color w:val="auto"/>
                <w:spacing w:val="2"/>
              </w:rPr>
              <w:t>条</w:t>
            </w:r>
            <w:r>
              <w:rPr>
                <w:rFonts w:ascii="宋体" w:eastAsia="宋体" w:hAnsi="宋体" w:cs="宋体"/>
                <w:color w:val="auto"/>
                <w:spacing w:val="-1"/>
              </w:rPr>
              <w:t>天</w:t>
            </w:r>
            <w:r>
              <w:rPr>
                <w:rFonts w:ascii="宋体" w:eastAsia="宋体" w:hAnsi="宋体" w:cs="宋体"/>
                <w:color w:val="auto"/>
                <w:spacing w:val="2"/>
              </w:rPr>
              <w:t>竺</w:t>
            </w:r>
            <w:r>
              <w:rPr>
                <w:rFonts w:ascii="宋体" w:eastAsia="宋体" w:hAnsi="宋体" w:cs="宋体"/>
                <w:color w:val="auto"/>
              </w:rPr>
              <w:t>鲷</w:t>
            </w:r>
          </w:p>
        </w:tc>
        <w:tc>
          <w:tcPr>
            <w:tcW w:w="3232" w:type="dxa"/>
            <w:tcBorders>
              <w:tl2br w:val="nil"/>
              <w:tr2bl w:val="nil"/>
            </w:tcBorders>
          </w:tcPr>
          <w:p w14:paraId="3FD9602A" w14:textId="77777777" w:rsidR="0075791A" w:rsidRDefault="00FB2864">
            <w:pPr>
              <w:pStyle w:val="TableParagraph"/>
              <w:spacing w:before="34"/>
              <w:ind w:left="598"/>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Apogon</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1"/>
                <w:sz w:val="22"/>
                <w:szCs w:val="22"/>
              </w:rPr>
              <w:t>h</w:t>
            </w:r>
            <w:r>
              <w:rPr>
                <w:rFonts w:ascii="Times New Roman" w:eastAsia="Times New Roman" w:hAnsi="Times New Roman" w:cs="Times New Roman"/>
                <w:i/>
                <w:color w:val="auto"/>
                <w:spacing w:val="-2"/>
                <w:sz w:val="22"/>
                <w:szCs w:val="22"/>
              </w:rPr>
              <w:t>t</w:t>
            </w:r>
            <w:r>
              <w:rPr>
                <w:rFonts w:ascii="Times New Roman" w:eastAsia="Times New Roman" w:hAnsi="Times New Roman" w:cs="Times New Roman"/>
                <w:i/>
                <w:color w:val="auto"/>
                <w:spacing w:val="-1"/>
                <w:sz w:val="22"/>
                <w:szCs w:val="22"/>
              </w:rPr>
              <w:t>h</w:t>
            </w:r>
            <w:r>
              <w:rPr>
                <w:rFonts w:ascii="Times New Roman" w:eastAsia="Times New Roman" w:hAnsi="Times New Roman" w:cs="Times New Roman"/>
                <w:i/>
                <w:color w:val="auto"/>
                <w:sz w:val="22"/>
                <w:szCs w:val="22"/>
              </w:rPr>
              <w:t>ys</w:t>
            </w:r>
            <w:r>
              <w:rPr>
                <w:rFonts w:ascii="Times New Roman" w:eastAsia="Times New Roman" w:hAnsi="Times New Roman" w:cs="Times New Roman"/>
                <w:i/>
                <w:color w:val="auto"/>
                <w:spacing w:val="-2"/>
                <w:sz w:val="22"/>
                <w:szCs w:val="22"/>
              </w:rPr>
              <w:t xml:space="preserve"> </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1"/>
                <w:sz w:val="22"/>
                <w:szCs w:val="22"/>
              </w:rPr>
              <w:t>t</w:t>
            </w:r>
            <w:r>
              <w:rPr>
                <w:rFonts w:ascii="Times New Roman" w:eastAsia="Times New Roman" w:hAnsi="Times New Roman" w:cs="Times New Roman"/>
                <w:i/>
                <w:color w:val="auto"/>
                <w:spacing w:val="-2"/>
                <w:sz w:val="22"/>
                <w:szCs w:val="22"/>
              </w:rPr>
              <w:t>r</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pacing w:val="-2"/>
                <w:sz w:val="22"/>
                <w:szCs w:val="22"/>
              </w:rPr>
              <w:t>t</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s</w:t>
            </w:r>
          </w:p>
        </w:tc>
        <w:tc>
          <w:tcPr>
            <w:tcW w:w="1064" w:type="dxa"/>
            <w:tcBorders>
              <w:tl2br w:val="nil"/>
              <w:tr2bl w:val="nil"/>
            </w:tcBorders>
          </w:tcPr>
          <w:p w14:paraId="114B0301" w14:textId="77777777" w:rsidR="0075791A" w:rsidRDefault="00FB2864">
            <w:pPr>
              <w:pStyle w:val="TableParagraph"/>
              <w:spacing w:before="41"/>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52</w:t>
            </w:r>
            <w:r>
              <w:rPr>
                <w:rFonts w:ascii="Times New Roman" w:eastAsia="Times New Roman" w:hAnsi="Times New Roman" w:cs="Times New Roman"/>
                <w:color w:val="auto"/>
              </w:rPr>
              <w:t>%</w:t>
            </w:r>
          </w:p>
        </w:tc>
        <w:tc>
          <w:tcPr>
            <w:tcW w:w="1064" w:type="dxa"/>
            <w:tcBorders>
              <w:tl2br w:val="nil"/>
              <w:tr2bl w:val="nil"/>
            </w:tcBorders>
          </w:tcPr>
          <w:p w14:paraId="05BEE561" w14:textId="77777777" w:rsidR="0075791A" w:rsidRDefault="00FB2864">
            <w:pPr>
              <w:pStyle w:val="TableParagraph"/>
              <w:spacing w:before="41"/>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p>
        </w:tc>
        <w:tc>
          <w:tcPr>
            <w:tcW w:w="1064" w:type="dxa"/>
            <w:tcBorders>
              <w:tl2br w:val="nil"/>
              <w:tr2bl w:val="nil"/>
            </w:tcBorders>
          </w:tcPr>
          <w:p w14:paraId="07726D91" w14:textId="77777777" w:rsidR="0075791A" w:rsidRDefault="00FB2864">
            <w:pPr>
              <w:pStyle w:val="TableParagraph"/>
              <w:spacing w:before="41"/>
              <w:ind w:left="375" w:right="3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.5</w:t>
            </w:r>
          </w:p>
        </w:tc>
        <w:tc>
          <w:tcPr>
            <w:tcW w:w="1062" w:type="dxa"/>
            <w:tcBorders>
              <w:tl2br w:val="nil"/>
              <w:tr2bl w:val="nil"/>
            </w:tcBorders>
          </w:tcPr>
          <w:p w14:paraId="4BE21769" w14:textId="77777777" w:rsidR="0075791A" w:rsidRDefault="00FB2864">
            <w:pPr>
              <w:pStyle w:val="TableParagraph"/>
              <w:spacing w:before="41"/>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226</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8</w:t>
            </w:r>
            <w:r>
              <w:rPr>
                <w:rFonts w:ascii="Times New Roman" w:eastAsia="Times New Roman" w:hAnsi="Times New Roman" w:cs="Times New Roman"/>
                <w:color w:val="auto"/>
              </w:rPr>
              <w:t>4</w:t>
            </w:r>
          </w:p>
        </w:tc>
      </w:tr>
      <w:tr w:rsidR="0075791A" w14:paraId="3987F615" w14:textId="77777777">
        <w:trPr>
          <w:trHeight w:hRule="exact" w:val="330"/>
        </w:trPr>
        <w:tc>
          <w:tcPr>
            <w:tcW w:w="1528" w:type="dxa"/>
            <w:tcBorders>
              <w:tl2br w:val="nil"/>
              <w:tr2bl w:val="nil"/>
            </w:tcBorders>
          </w:tcPr>
          <w:p w14:paraId="5C5CB7C4" w14:textId="77777777" w:rsidR="0075791A" w:rsidRDefault="00FB2864">
            <w:pPr>
              <w:pStyle w:val="TableParagraph"/>
              <w:spacing w:line="266" w:lineRule="exact"/>
              <w:ind w:left="443"/>
              <w:rPr>
                <w:rFonts w:ascii="宋体" w:eastAsia="宋体" w:hAnsi="宋体" w:cs="宋体"/>
                <w:color w:val="auto"/>
              </w:rPr>
            </w:pPr>
            <w:r>
              <w:rPr>
                <w:rFonts w:ascii="宋体" w:eastAsia="宋体" w:hAnsi="宋体" w:cs="宋体"/>
                <w:color w:val="auto"/>
                <w:spacing w:val="-1"/>
              </w:rPr>
              <w:t>尖</w:t>
            </w:r>
            <w:r>
              <w:rPr>
                <w:rFonts w:ascii="宋体" w:eastAsia="宋体" w:hAnsi="宋体" w:cs="宋体"/>
                <w:color w:val="auto"/>
                <w:spacing w:val="2"/>
              </w:rPr>
              <w:t>尾</w:t>
            </w:r>
            <w:r>
              <w:rPr>
                <w:rFonts w:ascii="宋体" w:eastAsia="宋体" w:hAnsi="宋体" w:cs="宋体"/>
                <w:color w:val="auto"/>
              </w:rPr>
              <w:t>鳗</w:t>
            </w:r>
          </w:p>
        </w:tc>
        <w:tc>
          <w:tcPr>
            <w:tcW w:w="3232" w:type="dxa"/>
            <w:tcBorders>
              <w:tl2br w:val="nil"/>
              <w:tr2bl w:val="nil"/>
            </w:tcBorders>
          </w:tcPr>
          <w:p w14:paraId="6C02D35C" w14:textId="77777777" w:rsidR="0075791A" w:rsidRDefault="00FB2864">
            <w:pPr>
              <w:pStyle w:val="TableParagraph"/>
              <w:spacing w:before="33"/>
              <w:ind w:left="744"/>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2"/>
                <w:sz w:val="22"/>
                <w:szCs w:val="22"/>
              </w:rPr>
              <w:t>U</w:t>
            </w:r>
            <w:r>
              <w:rPr>
                <w:rFonts w:ascii="Times New Roman" w:eastAsia="Times New Roman" w:hAnsi="Times New Roman" w:cs="Times New Roman"/>
                <w:i/>
                <w:color w:val="auto"/>
                <w:spacing w:val="-5"/>
                <w:sz w:val="22"/>
                <w:szCs w:val="22"/>
              </w:rPr>
              <w:t>r</w:t>
            </w:r>
            <w:r>
              <w:rPr>
                <w:rFonts w:ascii="Times New Roman" w:eastAsia="Times New Roman" w:hAnsi="Times New Roman" w:cs="Times New Roman"/>
                <w:i/>
                <w:color w:val="auto"/>
                <w:spacing w:val="-3"/>
                <w:sz w:val="22"/>
                <w:szCs w:val="22"/>
              </w:rPr>
              <w:t>o</w:t>
            </w:r>
            <w:r>
              <w:rPr>
                <w:rFonts w:ascii="Times New Roman" w:eastAsia="Times New Roman" w:hAnsi="Times New Roman" w:cs="Times New Roman"/>
                <w:i/>
                <w:color w:val="auto"/>
                <w:spacing w:val="-2"/>
                <w:sz w:val="22"/>
                <w:szCs w:val="22"/>
              </w:rPr>
              <w:t>c</w:t>
            </w:r>
            <w:r>
              <w:rPr>
                <w:rFonts w:ascii="Times New Roman" w:eastAsia="Times New Roman" w:hAnsi="Times New Roman" w:cs="Times New Roman"/>
                <w:i/>
                <w:color w:val="auto"/>
                <w:spacing w:val="-1"/>
                <w:sz w:val="22"/>
                <w:szCs w:val="22"/>
              </w:rPr>
              <w:t>ong</w:t>
            </w:r>
            <w:r>
              <w:rPr>
                <w:rFonts w:ascii="Times New Roman" w:eastAsia="Times New Roman" w:hAnsi="Times New Roman" w:cs="Times New Roman"/>
                <w:i/>
                <w:color w:val="auto"/>
                <w:sz w:val="22"/>
                <w:szCs w:val="22"/>
              </w:rPr>
              <w:t>er</w:t>
            </w:r>
            <w:r>
              <w:rPr>
                <w:rFonts w:ascii="Times New Roman" w:eastAsia="Times New Roman" w:hAnsi="Times New Roman" w:cs="Times New Roman"/>
                <w:i/>
                <w:color w:val="auto"/>
                <w:spacing w:val="-2"/>
                <w:sz w:val="22"/>
                <w:szCs w:val="22"/>
              </w:rPr>
              <w:t xml:space="preserve"> </w:t>
            </w:r>
            <w:r>
              <w:rPr>
                <w:rFonts w:ascii="Times New Roman" w:eastAsia="Times New Roman" w:hAnsi="Times New Roman" w:cs="Times New Roman"/>
                <w:i/>
                <w:color w:val="auto"/>
                <w:spacing w:val="1"/>
                <w:sz w:val="22"/>
                <w:szCs w:val="22"/>
              </w:rPr>
              <w:t>l</w:t>
            </w:r>
            <w:r>
              <w:rPr>
                <w:rFonts w:ascii="Times New Roman" w:eastAsia="Times New Roman" w:hAnsi="Times New Roman" w:cs="Times New Roman"/>
                <w:i/>
                <w:color w:val="auto"/>
                <w:spacing w:val="-2"/>
                <w:sz w:val="22"/>
                <w:szCs w:val="22"/>
              </w:rPr>
              <w:t>e</w:t>
            </w:r>
            <w:r>
              <w:rPr>
                <w:rFonts w:ascii="Times New Roman" w:eastAsia="Times New Roman" w:hAnsi="Times New Roman" w:cs="Times New Roman"/>
                <w:i/>
                <w:color w:val="auto"/>
                <w:spacing w:val="-1"/>
                <w:sz w:val="22"/>
                <w:szCs w:val="22"/>
              </w:rPr>
              <w:t>p</w:t>
            </w:r>
            <w:r>
              <w:rPr>
                <w:rFonts w:ascii="Times New Roman" w:eastAsia="Times New Roman" w:hAnsi="Times New Roman" w:cs="Times New Roman"/>
                <w:i/>
                <w:color w:val="auto"/>
                <w:spacing w:val="1"/>
                <w:sz w:val="22"/>
                <w:szCs w:val="22"/>
              </w:rPr>
              <w:t>t</w:t>
            </w:r>
            <w:r>
              <w:rPr>
                <w:rFonts w:ascii="Times New Roman" w:eastAsia="Times New Roman" w:hAnsi="Times New Roman" w:cs="Times New Roman"/>
                <w:i/>
                <w:color w:val="auto"/>
                <w:spacing w:val="-3"/>
                <w:sz w:val="22"/>
                <w:szCs w:val="22"/>
              </w:rPr>
              <w:t>u</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s</w:t>
            </w:r>
          </w:p>
        </w:tc>
        <w:tc>
          <w:tcPr>
            <w:tcW w:w="1064" w:type="dxa"/>
            <w:tcBorders>
              <w:tl2br w:val="nil"/>
              <w:tr2bl w:val="nil"/>
            </w:tcBorders>
          </w:tcPr>
          <w:p w14:paraId="4373659C" w14:textId="77777777" w:rsidR="0075791A" w:rsidRDefault="00FB2864">
            <w:pPr>
              <w:pStyle w:val="TableParagraph"/>
              <w:spacing w:before="40"/>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19</w:t>
            </w:r>
            <w:r>
              <w:rPr>
                <w:rFonts w:ascii="Times New Roman" w:eastAsia="Times New Roman" w:hAnsi="Times New Roman" w:cs="Times New Roman"/>
                <w:color w:val="auto"/>
              </w:rPr>
              <w:t>%</w:t>
            </w:r>
          </w:p>
        </w:tc>
        <w:tc>
          <w:tcPr>
            <w:tcW w:w="1064" w:type="dxa"/>
            <w:tcBorders>
              <w:tl2br w:val="nil"/>
              <w:tr2bl w:val="nil"/>
            </w:tcBorders>
          </w:tcPr>
          <w:p w14:paraId="3D0DEECF" w14:textId="77777777" w:rsidR="0075791A" w:rsidRDefault="00FB2864">
            <w:pPr>
              <w:pStyle w:val="TableParagraph"/>
              <w:spacing w:before="40"/>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2</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p>
        </w:tc>
        <w:tc>
          <w:tcPr>
            <w:tcW w:w="1064" w:type="dxa"/>
            <w:tcBorders>
              <w:tl2br w:val="nil"/>
              <w:tr2bl w:val="nil"/>
            </w:tcBorders>
          </w:tcPr>
          <w:p w14:paraId="5A8F4C92" w14:textId="77777777" w:rsidR="0075791A" w:rsidRDefault="00FB2864">
            <w:pPr>
              <w:pStyle w:val="TableParagraph"/>
              <w:spacing w:before="40"/>
              <w:ind w:left="290"/>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62</w:t>
            </w:r>
            <w:r>
              <w:rPr>
                <w:rFonts w:ascii="Times New Roman" w:eastAsia="Times New Roman" w:hAnsi="Times New Roman" w:cs="Times New Roman"/>
                <w:color w:val="auto"/>
              </w:rPr>
              <w:t>5</w:t>
            </w:r>
          </w:p>
        </w:tc>
        <w:tc>
          <w:tcPr>
            <w:tcW w:w="1062" w:type="dxa"/>
            <w:tcBorders>
              <w:tl2br w:val="nil"/>
              <w:tr2bl w:val="nil"/>
            </w:tcBorders>
          </w:tcPr>
          <w:p w14:paraId="467960EB" w14:textId="77777777" w:rsidR="0075791A" w:rsidRDefault="00FB2864">
            <w:pPr>
              <w:pStyle w:val="TableParagraph"/>
              <w:spacing w:before="40"/>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212</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6</w:t>
            </w:r>
            <w:r>
              <w:rPr>
                <w:rFonts w:ascii="Times New Roman" w:eastAsia="Times New Roman" w:hAnsi="Times New Roman" w:cs="Times New Roman"/>
                <w:color w:val="auto"/>
              </w:rPr>
              <w:t>8</w:t>
            </w:r>
          </w:p>
        </w:tc>
      </w:tr>
      <w:tr w:rsidR="0075791A" w14:paraId="558188D6" w14:textId="77777777">
        <w:trPr>
          <w:trHeight w:hRule="exact" w:val="330"/>
        </w:trPr>
        <w:tc>
          <w:tcPr>
            <w:tcW w:w="1528" w:type="dxa"/>
            <w:tcBorders>
              <w:tl2br w:val="nil"/>
              <w:tr2bl w:val="nil"/>
            </w:tcBorders>
          </w:tcPr>
          <w:p w14:paraId="2FF84DE2" w14:textId="77777777" w:rsidR="0075791A" w:rsidRDefault="00FB2864">
            <w:pPr>
              <w:pStyle w:val="TableParagraph"/>
              <w:spacing w:line="264" w:lineRule="exact"/>
              <w:ind w:left="338"/>
              <w:rPr>
                <w:rFonts w:ascii="宋体" w:eastAsia="宋体" w:hAnsi="宋体" w:cs="宋体"/>
                <w:color w:val="auto"/>
              </w:rPr>
            </w:pPr>
            <w:r>
              <w:rPr>
                <w:rFonts w:ascii="宋体" w:eastAsia="宋体" w:hAnsi="宋体" w:cs="宋体"/>
                <w:color w:val="auto"/>
                <w:spacing w:val="-1"/>
              </w:rPr>
              <w:t>勒</w:t>
            </w:r>
            <w:r>
              <w:rPr>
                <w:rFonts w:ascii="宋体" w:eastAsia="宋体" w:hAnsi="宋体" w:cs="宋体"/>
                <w:color w:val="auto"/>
                <w:spacing w:val="2"/>
              </w:rPr>
              <w:t>氏</w:t>
            </w:r>
            <w:r>
              <w:rPr>
                <w:rFonts w:ascii="宋体" w:eastAsia="宋体" w:hAnsi="宋体" w:cs="宋体"/>
                <w:color w:val="auto"/>
                <w:spacing w:val="-1"/>
              </w:rPr>
              <w:t>蓑</w:t>
            </w:r>
            <w:r>
              <w:rPr>
                <w:rFonts w:ascii="宋体" w:eastAsia="宋体" w:hAnsi="宋体" w:cs="宋体"/>
                <w:color w:val="auto"/>
              </w:rPr>
              <w:t>鲉</w:t>
            </w:r>
          </w:p>
        </w:tc>
        <w:tc>
          <w:tcPr>
            <w:tcW w:w="3232" w:type="dxa"/>
            <w:tcBorders>
              <w:tl2br w:val="nil"/>
              <w:tr2bl w:val="nil"/>
            </w:tcBorders>
          </w:tcPr>
          <w:p w14:paraId="63D0B12A" w14:textId="77777777" w:rsidR="0075791A" w:rsidRDefault="00FB2864">
            <w:pPr>
              <w:pStyle w:val="TableParagraph"/>
              <w:spacing w:before="34"/>
              <w:ind w:left="946"/>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P</w:t>
            </w:r>
            <w:r>
              <w:rPr>
                <w:rFonts w:ascii="Times New Roman" w:eastAsia="Times New Roman" w:hAnsi="Times New Roman" w:cs="Times New Roman"/>
                <w:i/>
                <w:color w:val="auto"/>
                <w:spacing w:val="1"/>
                <w:sz w:val="22"/>
                <w:szCs w:val="22"/>
              </w:rPr>
              <w:t>t</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7"/>
                <w:sz w:val="22"/>
                <w:szCs w:val="22"/>
              </w:rPr>
              <w:t>r</w:t>
            </w:r>
            <w:r>
              <w:rPr>
                <w:rFonts w:ascii="Times New Roman" w:eastAsia="Times New Roman" w:hAnsi="Times New Roman" w:cs="Times New Roman"/>
                <w:i/>
                <w:color w:val="auto"/>
                <w:spacing w:val="-3"/>
                <w:sz w:val="22"/>
                <w:szCs w:val="22"/>
              </w:rPr>
              <w:t>o</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 xml:space="preserve"> </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s</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1"/>
                <w:sz w:val="22"/>
                <w:szCs w:val="22"/>
              </w:rPr>
              <w:t>l</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z w:val="22"/>
                <w:szCs w:val="22"/>
              </w:rPr>
              <w:t>i</w:t>
            </w:r>
          </w:p>
        </w:tc>
        <w:tc>
          <w:tcPr>
            <w:tcW w:w="1064" w:type="dxa"/>
            <w:tcBorders>
              <w:tl2br w:val="nil"/>
              <w:tr2bl w:val="nil"/>
            </w:tcBorders>
          </w:tcPr>
          <w:p w14:paraId="58297ED5" w14:textId="77777777" w:rsidR="0075791A" w:rsidRDefault="00FB2864">
            <w:pPr>
              <w:pStyle w:val="TableParagraph"/>
              <w:spacing w:before="41"/>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92</w:t>
            </w:r>
            <w:r>
              <w:rPr>
                <w:rFonts w:ascii="Times New Roman" w:eastAsia="Times New Roman" w:hAnsi="Times New Roman" w:cs="Times New Roman"/>
                <w:color w:val="auto"/>
              </w:rPr>
              <w:t>%</w:t>
            </w:r>
          </w:p>
        </w:tc>
        <w:tc>
          <w:tcPr>
            <w:tcW w:w="1064" w:type="dxa"/>
            <w:tcBorders>
              <w:tl2br w:val="nil"/>
              <w:tr2bl w:val="nil"/>
            </w:tcBorders>
          </w:tcPr>
          <w:p w14:paraId="4AF3A4C5" w14:textId="77777777" w:rsidR="0075791A" w:rsidRDefault="00FB2864">
            <w:pPr>
              <w:pStyle w:val="TableParagraph"/>
              <w:spacing w:before="41"/>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1</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w:t>
            </w:r>
          </w:p>
        </w:tc>
        <w:tc>
          <w:tcPr>
            <w:tcW w:w="1064" w:type="dxa"/>
            <w:tcBorders>
              <w:tl2br w:val="nil"/>
              <w:tr2bl w:val="nil"/>
            </w:tcBorders>
          </w:tcPr>
          <w:p w14:paraId="0004E8EB" w14:textId="77777777" w:rsidR="0075791A" w:rsidRDefault="00FB2864">
            <w:pPr>
              <w:pStyle w:val="TableParagraph"/>
              <w:spacing w:before="41"/>
              <w:ind w:left="290"/>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62</w:t>
            </w:r>
            <w:r>
              <w:rPr>
                <w:rFonts w:ascii="Times New Roman" w:eastAsia="Times New Roman" w:hAnsi="Times New Roman" w:cs="Times New Roman"/>
                <w:color w:val="auto"/>
              </w:rPr>
              <w:t>5</w:t>
            </w:r>
          </w:p>
        </w:tc>
        <w:tc>
          <w:tcPr>
            <w:tcW w:w="1062" w:type="dxa"/>
            <w:tcBorders>
              <w:tl2br w:val="nil"/>
              <w:tr2bl w:val="nil"/>
            </w:tcBorders>
          </w:tcPr>
          <w:p w14:paraId="5768408F" w14:textId="77777777" w:rsidR="0075791A" w:rsidRDefault="00FB2864">
            <w:pPr>
              <w:pStyle w:val="TableParagraph"/>
              <w:spacing w:before="41"/>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193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4</w:t>
            </w:r>
            <w:r>
              <w:rPr>
                <w:rFonts w:ascii="Times New Roman" w:eastAsia="Times New Roman" w:hAnsi="Times New Roman" w:cs="Times New Roman"/>
                <w:color w:val="auto"/>
              </w:rPr>
              <w:t>2</w:t>
            </w:r>
          </w:p>
        </w:tc>
      </w:tr>
      <w:tr w:rsidR="0075791A" w14:paraId="7EDECC67" w14:textId="77777777">
        <w:trPr>
          <w:trHeight w:hRule="exact" w:val="330"/>
        </w:trPr>
        <w:tc>
          <w:tcPr>
            <w:tcW w:w="1528" w:type="dxa"/>
            <w:tcBorders>
              <w:tl2br w:val="nil"/>
              <w:tr2bl w:val="nil"/>
            </w:tcBorders>
          </w:tcPr>
          <w:p w14:paraId="656B6E1B" w14:textId="77777777" w:rsidR="0075791A" w:rsidRDefault="00FB2864">
            <w:pPr>
              <w:pStyle w:val="TableParagraph"/>
              <w:spacing w:line="266" w:lineRule="exact"/>
              <w:ind w:left="338"/>
              <w:rPr>
                <w:rFonts w:ascii="宋体" w:eastAsia="宋体" w:hAnsi="宋体" w:cs="宋体"/>
                <w:color w:val="auto"/>
              </w:rPr>
            </w:pPr>
            <w:r>
              <w:rPr>
                <w:rFonts w:ascii="宋体" w:eastAsia="宋体" w:hAnsi="宋体" w:cs="宋体"/>
                <w:color w:val="auto"/>
                <w:spacing w:val="-1"/>
              </w:rPr>
              <w:t>长</w:t>
            </w:r>
            <w:r>
              <w:rPr>
                <w:rFonts w:ascii="宋体" w:eastAsia="宋体" w:hAnsi="宋体" w:cs="宋体"/>
                <w:color w:val="auto"/>
                <w:spacing w:val="2"/>
              </w:rPr>
              <w:t>体</w:t>
            </w:r>
            <w:r>
              <w:rPr>
                <w:rFonts w:ascii="宋体" w:eastAsia="宋体" w:hAnsi="宋体" w:cs="宋体"/>
                <w:color w:val="auto"/>
                <w:spacing w:val="-1"/>
              </w:rPr>
              <w:t>银</w:t>
            </w:r>
            <w:r>
              <w:rPr>
                <w:rFonts w:ascii="宋体" w:eastAsia="宋体" w:hAnsi="宋体" w:cs="宋体"/>
                <w:color w:val="auto"/>
              </w:rPr>
              <w:t>鲈</w:t>
            </w:r>
          </w:p>
        </w:tc>
        <w:tc>
          <w:tcPr>
            <w:tcW w:w="3232" w:type="dxa"/>
            <w:tcBorders>
              <w:tl2br w:val="nil"/>
              <w:tr2bl w:val="nil"/>
            </w:tcBorders>
          </w:tcPr>
          <w:p w14:paraId="656BDF04" w14:textId="77777777" w:rsidR="0075791A" w:rsidRDefault="00FB2864">
            <w:pPr>
              <w:pStyle w:val="TableParagraph"/>
              <w:spacing w:before="33"/>
              <w:ind w:left="773"/>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2"/>
                <w:sz w:val="22"/>
                <w:szCs w:val="22"/>
              </w:rPr>
              <w:t>G</w:t>
            </w:r>
            <w:r>
              <w:rPr>
                <w:rFonts w:ascii="Times New Roman" w:eastAsia="Times New Roman" w:hAnsi="Times New Roman" w:cs="Times New Roman"/>
                <w:i/>
                <w:color w:val="auto"/>
                <w:sz w:val="22"/>
                <w:szCs w:val="22"/>
              </w:rPr>
              <w:t>er</w:t>
            </w:r>
            <w:r>
              <w:rPr>
                <w:rFonts w:ascii="Times New Roman" w:eastAsia="Times New Roman" w:hAnsi="Times New Roman" w:cs="Times New Roman"/>
                <w:i/>
                <w:color w:val="auto"/>
                <w:spacing w:val="-7"/>
                <w:sz w:val="22"/>
                <w:szCs w:val="22"/>
              </w:rPr>
              <w:t>r</w:t>
            </w:r>
            <w:r>
              <w:rPr>
                <w:rFonts w:ascii="Times New Roman" w:eastAsia="Times New Roman" w:hAnsi="Times New Roman" w:cs="Times New Roman"/>
                <w:i/>
                <w:color w:val="auto"/>
                <w:spacing w:val="-2"/>
                <w:sz w:val="22"/>
                <w:szCs w:val="22"/>
              </w:rPr>
              <w:t>e</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 xml:space="preserve"> m</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7"/>
                <w:sz w:val="22"/>
                <w:szCs w:val="22"/>
              </w:rPr>
              <w:t>r</w:t>
            </w:r>
            <w:r>
              <w:rPr>
                <w:rFonts w:ascii="Times New Roman" w:eastAsia="Times New Roman" w:hAnsi="Times New Roman" w:cs="Times New Roman"/>
                <w:i/>
                <w:color w:val="auto"/>
                <w:spacing w:val="-3"/>
                <w:sz w:val="22"/>
                <w:szCs w:val="22"/>
              </w:rPr>
              <w:t>o</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1"/>
                <w:sz w:val="22"/>
                <w:szCs w:val="22"/>
              </w:rPr>
              <w:t>o</w:t>
            </w:r>
            <w:r>
              <w:rPr>
                <w:rFonts w:ascii="Times New Roman" w:eastAsia="Times New Roman" w:hAnsi="Times New Roman" w:cs="Times New Roman"/>
                <w:i/>
                <w:color w:val="auto"/>
                <w:spacing w:val="-2"/>
                <w:sz w:val="22"/>
                <w:szCs w:val="22"/>
              </w:rPr>
              <w:t>m</w:t>
            </w:r>
            <w:r>
              <w:rPr>
                <w:rFonts w:ascii="Times New Roman" w:eastAsia="Times New Roman" w:hAnsi="Times New Roman" w:cs="Times New Roman"/>
                <w:i/>
                <w:color w:val="auto"/>
                <w:sz w:val="22"/>
                <w:szCs w:val="22"/>
              </w:rPr>
              <w:t>a</w:t>
            </w:r>
          </w:p>
        </w:tc>
        <w:tc>
          <w:tcPr>
            <w:tcW w:w="1064" w:type="dxa"/>
            <w:tcBorders>
              <w:tl2br w:val="nil"/>
              <w:tr2bl w:val="nil"/>
            </w:tcBorders>
          </w:tcPr>
          <w:p w14:paraId="76579B27" w14:textId="77777777" w:rsidR="0075791A" w:rsidRDefault="00FB2864">
            <w:pPr>
              <w:pStyle w:val="TableParagraph"/>
              <w:spacing w:before="40"/>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77</w:t>
            </w:r>
            <w:r>
              <w:rPr>
                <w:rFonts w:ascii="Times New Roman" w:eastAsia="Times New Roman" w:hAnsi="Times New Roman" w:cs="Times New Roman"/>
                <w:color w:val="auto"/>
              </w:rPr>
              <w:t>%</w:t>
            </w:r>
          </w:p>
        </w:tc>
        <w:tc>
          <w:tcPr>
            <w:tcW w:w="1064" w:type="dxa"/>
            <w:tcBorders>
              <w:tl2br w:val="nil"/>
              <w:tr2bl w:val="nil"/>
            </w:tcBorders>
          </w:tcPr>
          <w:p w14:paraId="19E82D4B" w14:textId="77777777" w:rsidR="0075791A" w:rsidRDefault="00FB2864">
            <w:pPr>
              <w:pStyle w:val="TableParagraph"/>
              <w:spacing w:before="40"/>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2</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p>
        </w:tc>
        <w:tc>
          <w:tcPr>
            <w:tcW w:w="1064" w:type="dxa"/>
            <w:tcBorders>
              <w:tl2br w:val="nil"/>
              <w:tr2bl w:val="nil"/>
            </w:tcBorders>
          </w:tcPr>
          <w:p w14:paraId="7B1E4F1D" w14:textId="77777777" w:rsidR="0075791A" w:rsidRDefault="00FB2864">
            <w:pPr>
              <w:pStyle w:val="TableParagraph"/>
              <w:spacing w:before="40"/>
              <w:ind w:left="290"/>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62</w:t>
            </w:r>
            <w:r>
              <w:rPr>
                <w:rFonts w:ascii="Times New Roman" w:eastAsia="Times New Roman" w:hAnsi="Times New Roman" w:cs="Times New Roman"/>
                <w:color w:val="auto"/>
              </w:rPr>
              <w:t>5</w:t>
            </w:r>
          </w:p>
        </w:tc>
        <w:tc>
          <w:tcPr>
            <w:tcW w:w="1062" w:type="dxa"/>
            <w:tcBorders>
              <w:tl2br w:val="nil"/>
              <w:tr2bl w:val="nil"/>
            </w:tcBorders>
          </w:tcPr>
          <w:p w14:paraId="54CE0691" w14:textId="77777777" w:rsidR="0075791A" w:rsidRDefault="00FB2864">
            <w:pPr>
              <w:pStyle w:val="TableParagraph"/>
              <w:spacing w:before="40"/>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186</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8</w:t>
            </w:r>
            <w:r>
              <w:rPr>
                <w:rFonts w:ascii="Times New Roman" w:eastAsia="Times New Roman" w:hAnsi="Times New Roman" w:cs="Times New Roman"/>
                <w:color w:val="auto"/>
              </w:rPr>
              <w:t>9</w:t>
            </w:r>
          </w:p>
        </w:tc>
      </w:tr>
      <w:tr w:rsidR="0075791A" w14:paraId="31B72E61" w14:textId="77777777">
        <w:trPr>
          <w:trHeight w:hRule="exact" w:val="330"/>
        </w:trPr>
        <w:tc>
          <w:tcPr>
            <w:tcW w:w="1528" w:type="dxa"/>
            <w:tcBorders>
              <w:tl2br w:val="nil"/>
              <w:tr2bl w:val="nil"/>
            </w:tcBorders>
          </w:tcPr>
          <w:p w14:paraId="4454828E" w14:textId="77777777" w:rsidR="0075791A" w:rsidRDefault="00FB2864">
            <w:pPr>
              <w:pStyle w:val="TableParagraph"/>
              <w:spacing w:line="264" w:lineRule="exact"/>
              <w:ind w:left="443"/>
              <w:rPr>
                <w:rFonts w:ascii="宋体" w:eastAsia="宋体" w:hAnsi="宋体" w:cs="宋体"/>
                <w:color w:val="auto"/>
              </w:rPr>
            </w:pPr>
            <w:r>
              <w:rPr>
                <w:rFonts w:ascii="宋体" w:eastAsia="宋体" w:hAnsi="宋体" w:cs="宋体"/>
                <w:color w:val="auto"/>
                <w:spacing w:val="-1"/>
              </w:rPr>
              <w:t>直</w:t>
            </w:r>
            <w:r>
              <w:rPr>
                <w:rFonts w:ascii="宋体" w:eastAsia="宋体" w:hAnsi="宋体" w:cs="宋体"/>
                <w:color w:val="auto"/>
                <w:spacing w:val="2"/>
              </w:rPr>
              <w:t>额</w:t>
            </w:r>
            <w:r>
              <w:rPr>
                <w:rFonts w:ascii="宋体" w:eastAsia="宋体" w:hAnsi="宋体" w:cs="宋体"/>
                <w:color w:val="auto"/>
              </w:rPr>
              <w:t>蟳</w:t>
            </w:r>
          </w:p>
        </w:tc>
        <w:tc>
          <w:tcPr>
            <w:tcW w:w="3232" w:type="dxa"/>
            <w:tcBorders>
              <w:tl2br w:val="nil"/>
              <w:tr2bl w:val="nil"/>
            </w:tcBorders>
          </w:tcPr>
          <w:p w14:paraId="7921543B" w14:textId="77777777" w:rsidR="0075791A" w:rsidRDefault="00FB2864">
            <w:pPr>
              <w:pStyle w:val="TableParagraph"/>
              <w:spacing w:before="34"/>
              <w:ind w:left="758"/>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Cha</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2"/>
                <w:sz w:val="22"/>
                <w:szCs w:val="22"/>
              </w:rPr>
              <w:t>y</w:t>
            </w:r>
            <w:r>
              <w:rPr>
                <w:rFonts w:ascii="Times New Roman" w:eastAsia="Times New Roman" w:hAnsi="Times New Roman" w:cs="Times New Roman"/>
                <w:i/>
                <w:color w:val="auto"/>
                <w:spacing w:val="-1"/>
                <w:sz w:val="22"/>
                <w:szCs w:val="22"/>
              </w:rPr>
              <w:t>bd</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5"/>
                <w:sz w:val="22"/>
                <w:szCs w:val="22"/>
              </w:rPr>
              <w:t xml:space="preserve"> </w:t>
            </w:r>
            <w:r>
              <w:rPr>
                <w:rFonts w:ascii="Times New Roman" w:eastAsia="Times New Roman" w:hAnsi="Times New Roman" w:cs="Times New Roman"/>
                <w:i/>
                <w:color w:val="auto"/>
                <w:spacing w:val="1"/>
                <w:sz w:val="22"/>
                <w:szCs w:val="22"/>
              </w:rPr>
              <w:t>t</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3"/>
                <w:sz w:val="22"/>
                <w:szCs w:val="22"/>
              </w:rPr>
              <w:t>u</w:t>
            </w:r>
            <w:r>
              <w:rPr>
                <w:rFonts w:ascii="Times New Roman" w:eastAsia="Times New Roman" w:hAnsi="Times New Roman" w:cs="Times New Roman"/>
                <w:i/>
                <w:color w:val="auto"/>
                <w:spacing w:val="-1"/>
                <w:sz w:val="22"/>
                <w:szCs w:val="22"/>
              </w:rPr>
              <w:t>n</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pacing w:val="-2"/>
                <w:sz w:val="22"/>
                <w:szCs w:val="22"/>
              </w:rPr>
              <w:t>t</w:t>
            </w:r>
            <w:r>
              <w:rPr>
                <w:rFonts w:ascii="Times New Roman" w:eastAsia="Times New Roman" w:hAnsi="Times New Roman" w:cs="Times New Roman"/>
                <w:i/>
                <w:color w:val="auto"/>
                <w:sz w:val="22"/>
                <w:szCs w:val="22"/>
              </w:rPr>
              <w:t>e</w:t>
            </w:r>
          </w:p>
        </w:tc>
        <w:tc>
          <w:tcPr>
            <w:tcW w:w="1064" w:type="dxa"/>
            <w:tcBorders>
              <w:tl2br w:val="nil"/>
              <w:tr2bl w:val="nil"/>
            </w:tcBorders>
          </w:tcPr>
          <w:p w14:paraId="0EA942B0" w14:textId="77777777" w:rsidR="0075791A" w:rsidRDefault="00FB2864">
            <w:pPr>
              <w:pStyle w:val="TableParagraph"/>
              <w:spacing w:before="41"/>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35</w:t>
            </w:r>
            <w:r>
              <w:rPr>
                <w:rFonts w:ascii="Times New Roman" w:eastAsia="Times New Roman" w:hAnsi="Times New Roman" w:cs="Times New Roman"/>
                <w:color w:val="auto"/>
              </w:rPr>
              <w:t>%</w:t>
            </w:r>
          </w:p>
        </w:tc>
        <w:tc>
          <w:tcPr>
            <w:tcW w:w="1064" w:type="dxa"/>
            <w:tcBorders>
              <w:tl2br w:val="nil"/>
              <w:tr2bl w:val="nil"/>
            </w:tcBorders>
          </w:tcPr>
          <w:p w14:paraId="0E70191B" w14:textId="77777777" w:rsidR="0075791A" w:rsidRDefault="00FB2864">
            <w:pPr>
              <w:pStyle w:val="TableParagraph"/>
              <w:spacing w:before="41"/>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1</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p>
        </w:tc>
        <w:tc>
          <w:tcPr>
            <w:tcW w:w="1064" w:type="dxa"/>
            <w:tcBorders>
              <w:tl2br w:val="nil"/>
              <w:tr2bl w:val="nil"/>
            </w:tcBorders>
          </w:tcPr>
          <w:p w14:paraId="7D7FD900" w14:textId="77777777" w:rsidR="0075791A" w:rsidRDefault="00FB2864">
            <w:pPr>
              <w:pStyle w:val="TableParagraph"/>
              <w:spacing w:before="41"/>
              <w:ind w:left="375" w:right="3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.5</w:t>
            </w:r>
          </w:p>
        </w:tc>
        <w:tc>
          <w:tcPr>
            <w:tcW w:w="1062" w:type="dxa"/>
            <w:tcBorders>
              <w:tl2br w:val="nil"/>
              <w:tr2bl w:val="nil"/>
            </w:tcBorders>
          </w:tcPr>
          <w:p w14:paraId="2CB4DE0C" w14:textId="77777777" w:rsidR="0075791A" w:rsidRDefault="00FB2864">
            <w:pPr>
              <w:pStyle w:val="TableParagraph"/>
              <w:spacing w:before="41"/>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173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5</w:t>
            </w:r>
            <w:r>
              <w:rPr>
                <w:rFonts w:ascii="Times New Roman" w:eastAsia="Times New Roman" w:hAnsi="Times New Roman" w:cs="Times New Roman"/>
                <w:color w:val="auto"/>
              </w:rPr>
              <w:t>6</w:t>
            </w:r>
          </w:p>
        </w:tc>
      </w:tr>
      <w:tr w:rsidR="0075791A" w14:paraId="109E5333" w14:textId="77777777">
        <w:trPr>
          <w:trHeight w:hRule="exact" w:val="330"/>
        </w:trPr>
        <w:tc>
          <w:tcPr>
            <w:tcW w:w="1528" w:type="dxa"/>
            <w:tcBorders>
              <w:tl2br w:val="nil"/>
              <w:tr2bl w:val="nil"/>
            </w:tcBorders>
          </w:tcPr>
          <w:p w14:paraId="5B7B05AB" w14:textId="77777777" w:rsidR="0075791A" w:rsidRDefault="00FB2864">
            <w:pPr>
              <w:pStyle w:val="TableParagraph"/>
              <w:spacing w:line="266" w:lineRule="exact"/>
              <w:ind w:left="234"/>
              <w:rPr>
                <w:rFonts w:ascii="宋体" w:eastAsia="宋体" w:hAnsi="宋体" w:cs="宋体"/>
                <w:color w:val="auto"/>
              </w:rPr>
            </w:pPr>
            <w:r>
              <w:rPr>
                <w:rFonts w:ascii="宋体" w:eastAsia="宋体" w:hAnsi="宋体" w:cs="宋体"/>
                <w:color w:val="auto"/>
                <w:spacing w:val="-1"/>
              </w:rPr>
              <w:t>卷</w:t>
            </w:r>
            <w:r>
              <w:rPr>
                <w:rFonts w:ascii="宋体" w:eastAsia="宋体" w:hAnsi="宋体" w:cs="宋体"/>
                <w:color w:val="auto"/>
                <w:spacing w:val="2"/>
              </w:rPr>
              <w:t>折</w:t>
            </w:r>
            <w:r>
              <w:rPr>
                <w:rFonts w:ascii="宋体" w:eastAsia="宋体" w:hAnsi="宋体" w:cs="宋体"/>
                <w:color w:val="auto"/>
                <w:spacing w:val="-1"/>
              </w:rPr>
              <w:t>馒</w:t>
            </w:r>
            <w:r>
              <w:rPr>
                <w:rFonts w:ascii="宋体" w:eastAsia="宋体" w:hAnsi="宋体" w:cs="宋体"/>
                <w:color w:val="auto"/>
                <w:spacing w:val="2"/>
              </w:rPr>
              <w:t>头</w:t>
            </w:r>
            <w:r>
              <w:rPr>
                <w:rFonts w:ascii="宋体" w:eastAsia="宋体" w:hAnsi="宋体" w:cs="宋体"/>
                <w:color w:val="auto"/>
              </w:rPr>
              <w:t>蟹</w:t>
            </w:r>
          </w:p>
        </w:tc>
        <w:tc>
          <w:tcPr>
            <w:tcW w:w="3232" w:type="dxa"/>
            <w:tcBorders>
              <w:tl2br w:val="nil"/>
              <w:tr2bl w:val="nil"/>
            </w:tcBorders>
          </w:tcPr>
          <w:p w14:paraId="1995676F" w14:textId="77777777" w:rsidR="0075791A" w:rsidRDefault="00FB2864">
            <w:pPr>
              <w:pStyle w:val="TableParagraph"/>
              <w:spacing w:before="33"/>
              <w:ind w:left="910"/>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Ca</w:t>
            </w:r>
            <w:r>
              <w:rPr>
                <w:rFonts w:ascii="Times New Roman" w:eastAsia="Times New Roman" w:hAnsi="Times New Roman" w:cs="Times New Roman"/>
                <w:i/>
                <w:color w:val="auto"/>
                <w:spacing w:val="1"/>
                <w:sz w:val="22"/>
                <w:szCs w:val="22"/>
              </w:rPr>
              <w:t>l</w:t>
            </w:r>
            <w:r>
              <w:rPr>
                <w:rFonts w:ascii="Times New Roman" w:eastAsia="Times New Roman" w:hAnsi="Times New Roman" w:cs="Times New Roman"/>
                <w:i/>
                <w:color w:val="auto"/>
                <w:spacing w:val="-1"/>
                <w:sz w:val="22"/>
                <w:szCs w:val="22"/>
              </w:rPr>
              <w:t>ap</w:t>
            </w:r>
            <w:r>
              <w:rPr>
                <w:rFonts w:ascii="Times New Roman" w:eastAsia="Times New Roman" w:hAnsi="Times New Roman" w:cs="Times New Roman"/>
                <w:i/>
                <w:color w:val="auto"/>
                <w:spacing w:val="-3"/>
                <w:sz w:val="22"/>
                <w:szCs w:val="22"/>
              </w:rPr>
              <w:t>p</w:t>
            </w:r>
            <w:r>
              <w:rPr>
                <w:rFonts w:ascii="Times New Roman" w:eastAsia="Times New Roman" w:hAnsi="Times New Roman" w:cs="Times New Roman"/>
                <w:i/>
                <w:color w:val="auto"/>
                <w:sz w:val="22"/>
                <w:szCs w:val="22"/>
              </w:rPr>
              <w:t xml:space="preserve">a </w:t>
            </w:r>
            <w:r>
              <w:rPr>
                <w:rFonts w:ascii="Times New Roman" w:eastAsia="Times New Roman" w:hAnsi="Times New Roman" w:cs="Times New Roman"/>
                <w:i/>
                <w:color w:val="auto"/>
                <w:spacing w:val="1"/>
                <w:sz w:val="22"/>
                <w:szCs w:val="22"/>
              </w:rPr>
              <w:t>l</w:t>
            </w:r>
            <w:r>
              <w:rPr>
                <w:rFonts w:ascii="Times New Roman" w:eastAsia="Times New Roman" w:hAnsi="Times New Roman" w:cs="Times New Roman"/>
                <w:i/>
                <w:color w:val="auto"/>
                <w:spacing w:val="-1"/>
                <w:sz w:val="22"/>
                <w:szCs w:val="22"/>
              </w:rPr>
              <w:t>o</w:t>
            </w:r>
            <w:r>
              <w:rPr>
                <w:rFonts w:ascii="Times New Roman" w:eastAsia="Times New Roman" w:hAnsi="Times New Roman" w:cs="Times New Roman"/>
                <w:i/>
                <w:color w:val="auto"/>
                <w:spacing w:val="-3"/>
                <w:sz w:val="22"/>
                <w:szCs w:val="22"/>
              </w:rPr>
              <w:t>p</w:t>
            </w:r>
            <w:r>
              <w:rPr>
                <w:rFonts w:ascii="Times New Roman" w:eastAsia="Times New Roman" w:hAnsi="Times New Roman" w:cs="Times New Roman"/>
                <w:i/>
                <w:color w:val="auto"/>
                <w:spacing w:val="-1"/>
                <w:sz w:val="22"/>
                <w:szCs w:val="22"/>
              </w:rPr>
              <w:t>ho</w:t>
            </w:r>
            <w:r>
              <w:rPr>
                <w:rFonts w:ascii="Times New Roman" w:eastAsia="Times New Roman" w:hAnsi="Times New Roman" w:cs="Times New Roman"/>
                <w:i/>
                <w:color w:val="auto"/>
                <w:sz w:val="22"/>
                <w:szCs w:val="22"/>
              </w:rPr>
              <w:t>s</w:t>
            </w:r>
          </w:p>
        </w:tc>
        <w:tc>
          <w:tcPr>
            <w:tcW w:w="1064" w:type="dxa"/>
            <w:tcBorders>
              <w:tl2br w:val="nil"/>
              <w:tr2bl w:val="nil"/>
            </w:tcBorders>
          </w:tcPr>
          <w:p w14:paraId="13ADDFE6" w14:textId="77777777" w:rsidR="0075791A" w:rsidRDefault="00FB2864">
            <w:pPr>
              <w:pStyle w:val="TableParagraph"/>
              <w:spacing w:before="40"/>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49</w:t>
            </w:r>
            <w:r>
              <w:rPr>
                <w:rFonts w:ascii="Times New Roman" w:eastAsia="Times New Roman" w:hAnsi="Times New Roman" w:cs="Times New Roman"/>
                <w:color w:val="auto"/>
              </w:rPr>
              <w:t>%</w:t>
            </w:r>
          </w:p>
        </w:tc>
        <w:tc>
          <w:tcPr>
            <w:tcW w:w="1064" w:type="dxa"/>
            <w:tcBorders>
              <w:tl2br w:val="nil"/>
              <w:tr2bl w:val="nil"/>
            </w:tcBorders>
          </w:tcPr>
          <w:p w14:paraId="1073347A" w14:textId="77777777" w:rsidR="0075791A" w:rsidRDefault="00FB2864">
            <w:pPr>
              <w:pStyle w:val="TableParagraph"/>
              <w:spacing w:before="40"/>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7</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p>
        </w:tc>
        <w:tc>
          <w:tcPr>
            <w:tcW w:w="1064" w:type="dxa"/>
            <w:tcBorders>
              <w:tl2br w:val="nil"/>
              <w:tr2bl w:val="nil"/>
            </w:tcBorders>
          </w:tcPr>
          <w:p w14:paraId="2EB0EF75" w14:textId="77777777" w:rsidR="0075791A" w:rsidRDefault="00FB2864">
            <w:pPr>
              <w:pStyle w:val="TableParagraph"/>
              <w:spacing w:before="40"/>
              <w:ind w:left="375" w:right="3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.5</w:t>
            </w:r>
          </w:p>
        </w:tc>
        <w:tc>
          <w:tcPr>
            <w:tcW w:w="1062" w:type="dxa"/>
            <w:tcBorders>
              <w:tl2br w:val="nil"/>
              <w:tr2bl w:val="nil"/>
            </w:tcBorders>
          </w:tcPr>
          <w:p w14:paraId="54DF2BC0" w14:textId="77777777" w:rsidR="0075791A" w:rsidRDefault="00FB2864">
            <w:pPr>
              <w:pStyle w:val="TableParagraph"/>
              <w:spacing w:before="40"/>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161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9</w:t>
            </w:r>
            <w:r>
              <w:rPr>
                <w:rFonts w:ascii="Times New Roman" w:eastAsia="Times New Roman" w:hAnsi="Times New Roman" w:cs="Times New Roman"/>
                <w:color w:val="auto"/>
              </w:rPr>
              <w:t>1</w:t>
            </w:r>
          </w:p>
        </w:tc>
      </w:tr>
      <w:tr w:rsidR="0075791A" w14:paraId="051F7E6E" w14:textId="77777777">
        <w:trPr>
          <w:trHeight w:hRule="exact" w:val="330"/>
        </w:trPr>
        <w:tc>
          <w:tcPr>
            <w:tcW w:w="1528" w:type="dxa"/>
            <w:tcBorders>
              <w:tl2br w:val="nil"/>
              <w:tr2bl w:val="nil"/>
            </w:tcBorders>
          </w:tcPr>
          <w:p w14:paraId="24EA74F7" w14:textId="77777777" w:rsidR="0075791A" w:rsidRDefault="00FB2864">
            <w:pPr>
              <w:pStyle w:val="TableParagraph"/>
              <w:spacing w:line="264" w:lineRule="exact"/>
              <w:ind w:left="234"/>
              <w:rPr>
                <w:rFonts w:ascii="宋体" w:eastAsia="宋体" w:hAnsi="宋体" w:cs="宋体"/>
                <w:color w:val="auto"/>
              </w:rPr>
            </w:pPr>
            <w:r>
              <w:rPr>
                <w:rFonts w:ascii="宋体" w:eastAsia="宋体" w:hAnsi="宋体" w:cs="宋体"/>
                <w:color w:val="auto"/>
                <w:spacing w:val="-1"/>
              </w:rPr>
              <w:t>斐</w:t>
            </w:r>
            <w:r>
              <w:rPr>
                <w:rFonts w:ascii="宋体" w:eastAsia="宋体" w:hAnsi="宋体" w:cs="宋体"/>
                <w:color w:val="auto"/>
                <w:spacing w:val="2"/>
              </w:rPr>
              <w:t>氏</w:t>
            </w:r>
            <w:r>
              <w:rPr>
                <w:rFonts w:ascii="宋体" w:eastAsia="宋体" w:hAnsi="宋体" w:cs="宋体"/>
                <w:color w:val="auto"/>
                <w:spacing w:val="-1"/>
              </w:rPr>
              <w:t>金</w:t>
            </w:r>
            <w:r>
              <w:rPr>
                <w:rFonts w:ascii="宋体" w:eastAsia="宋体" w:hAnsi="宋体" w:cs="宋体"/>
                <w:color w:val="auto"/>
                <w:spacing w:val="2"/>
              </w:rPr>
              <w:t>线</w:t>
            </w:r>
            <w:r>
              <w:rPr>
                <w:rFonts w:ascii="宋体" w:eastAsia="宋体" w:hAnsi="宋体" w:cs="宋体"/>
                <w:color w:val="auto"/>
              </w:rPr>
              <w:t>鱼</w:t>
            </w:r>
          </w:p>
        </w:tc>
        <w:tc>
          <w:tcPr>
            <w:tcW w:w="3232" w:type="dxa"/>
            <w:tcBorders>
              <w:tl2br w:val="nil"/>
              <w:tr2bl w:val="nil"/>
            </w:tcBorders>
          </w:tcPr>
          <w:p w14:paraId="5195EC5D" w14:textId="77777777" w:rsidR="0075791A" w:rsidRDefault="00FB2864">
            <w:pPr>
              <w:pStyle w:val="TableParagraph"/>
              <w:spacing w:before="34"/>
              <w:ind w:left="761"/>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N</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2"/>
                <w:sz w:val="22"/>
                <w:szCs w:val="22"/>
              </w:rPr>
              <w:t>m</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pacing w:val="-1"/>
                <w:sz w:val="22"/>
                <w:szCs w:val="22"/>
              </w:rPr>
              <w:t>p</w:t>
            </w:r>
            <w:r>
              <w:rPr>
                <w:rFonts w:ascii="Times New Roman" w:eastAsia="Times New Roman" w:hAnsi="Times New Roman" w:cs="Times New Roman"/>
                <w:i/>
                <w:color w:val="auto"/>
                <w:spacing w:val="-2"/>
                <w:sz w:val="22"/>
                <w:szCs w:val="22"/>
              </w:rPr>
              <w:t>t</w:t>
            </w:r>
            <w:r>
              <w:rPr>
                <w:rFonts w:ascii="Times New Roman" w:eastAsia="Times New Roman" w:hAnsi="Times New Roman" w:cs="Times New Roman"/>
                <w:i/>
                <w:color w:val="auto"/>
                <w:sz w:val="22"/>
                <w:szCs w:val="22"/>
              </w:rPr>
              <w:t>er</w:t>
            </w:r>
            <w:r>
              <w:rPr>
                <w:rFonts w:ascii="Times New Roman" w:eastAsia="Times New Roman" w:hAnsi="Times New Roman" w:cs="Times New Roman"/>
                <w:i/>
                <w:color w:val="auto"/>
                <w:spacing w:val="-3"/>
                <w:sz w:val="22"/>
                <w:szCs w:val="22"/>
              </w:rPr>
              <w:t>u</w:t>
            </w:r>
            <w:r>
              <w:rPr>
                <w:rFonts w:ascii="Times New Roman" w:eastAsia="Times New Roman" w:hAnsi="Times New Roman" w:cs="Times New Roman"/>
                <w:i/>
                <w:color w:val="auto"/>
                <w:sz w:val="22"/>
                <w:szCs w:val="22"/>
              </w:rPr>
              <w:t xml:space="preserve">s </w:t>
            </w:r>
            <w:r>
              <w:rPr>
                <w:rFonts w:ascii="Times New Roman" w:eastAsia="Times New Roman" w:hAnsi="Times New Roman" w:cs="Times New Roman"/>
                <w:i/>
                <w:color w:val="auto"/>
                <w:spacing w:val="-1"/>
                <w:sz w:val="22"/>
                <w:szCs w:val="22"/>
              </w:rPr>
              <w:t>p</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7"/>
                <w:sz w:val="22"/>
                <w:szCs w:val="22"/>
              </w:rPr>
              <w:t>r</w:t>
            </w:r>
            <w:r>
              <w:rPr>
                <w:rFonts w:ascii="Times New Roman" w:eastAsia="Times New Roman" w:hAnsi="Times New Roman" w:cs="Times New Roman"/>
                <w:i/>
                <w:color w:val="auto"/>
                <w:spacing w:val="-3"/>
                <w:sz w:val="22"/>
                <w:szCs w:val="22"/>
              </w:rPr>
              <w:t>o</w:t>
            </w:r>
            <w:r>
              <w:rPr>
                <w:rFonts w:ascii="Times New Roman" w:eastAsia="Times New Roman" w:hAnsi="Times New Roman" w:cs="Times New Roman"/>
                <w:i/>
                <w:color w:val="auto"/>
                <w:spacing w:val="-1"/>
                <w:sz w:val="22"/>
                <w:szCs w:val="22"/>
              </w:rPr>
              <w:t>n</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z w:val="22"/>
                <w:szCs w:val="22"/>
              </w:rPr>
              <w:t>i</w:t>
            </w:r>
          </w:p>
        </w:tc>
        <w:tc>
          <w:tcPr>
            <w:tcW w:w="1064" w:type="dxa"/>
            <w:tcBorders>
              <w:tl2br w:val="nil"/>
              <w:tr2bl w:val="nil"/>
            </w:tcBorders>
          </w:tcPr>
          <w:p w14:paraId="7F99944E" w14:textId="77777777" w:rsidR="0075791A" w:rsidRDefault="00FB2864">
            <w:pPr>
              <w:pStyle w:val="TableParagraph"/>
              <w:spacing w:before="41"/>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99</w:t>
            </w:r>
            <w:r>
              <w:rPr>
                <w:rFonts w:ascii="Times New Roman" w:eastAsia="Times New Roman" w:hAnsi="Times New Roman" w:cs="Times New Roman"/>
                <w:color w:val="auto"/>
              </w:rPr>
              <w:t>%</w:t>
            </w:r>
          </w:p>
        </w:tc>
        <w:tc>
          <w:tcPr>
            <w:tcW w:w="1064" w:type="dxa"/>
            <w:tcBorders>
              <w:tl2br w:val="nil"/>
              <w:tr2bl w:val="nil"/>
            </w:tcBorders>
          </w:tcPr>
          <w:p w14:paraId="41DB8373" w14:textId="77777777" w:rsidR="0075791A" w:rsidRDefault="00FB2864">
            <w:pPr>
              <w:pStyle w:val="TableParagraph"/>
              <w:spacing w:before="41"/>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w:t>
            </w:r>
          </w:p>
        </w:tc>
        <w:tc>
          <w:tcPr>
            <w:tcW w:w="1064" w:type="dxa"/>
            <w:tcBorders>
              <w:tl2br w:val="nil"/>
              <w:tr2bl w:val="nil"/>
            </w:tcBorders>
          </w:tcPr>
          <w:p w14:paraId="1D4EAA39" w14:textId="77777777" w:rsidR="0075791A" w:rsidRDefault="00FB2864">
            <w:pPr>
              <w:pStyle w:val="TableParagraph"/>
              <w:spacing w:before="41"/>
              <w:ind w:left="290"/>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37</w:t>
            </w:r>
            <w:r>
              <w:rPr>
                <w:rFonts w:ascii="Times New Roman" w:eastAsia="Times New Roman" w:hAnsi="Times New Roman" w:cs="Times New Roman"/>
                <w:color w:val="auto"/>
              </w:rPr>
              <w:t>5</w:t>
            </w:r>
          </w:p>
        </w:tc>
        <w:tc>
          <w:tcPr>
            <w:tcW w:w="1062" w:type="dxa"/>
            <w:tcBorders>
              <w:tl2br w:val="nil"/>
              <w:tr2bl w:val="nil"/>
            </w:tcBorders>
          </w:tcPr>
          <w:p w14:paraId="6DE4FF35" w14:textId="77777777" w:rsidR="0075791A" w:rsidRDefault="00FB2864">
            <w:pPr>
              <w:pStyle w:val="TableParagraph"/>
              <w:spacing w:before="41"/>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151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9</w:t>
            </w:r>
            <w:r>
              <w:rPr>
                <w:rFonts w:ascii="Times New Roman" w:eastAsia="Times New Roman" w:hAnsi="Times New Roman" w:cs="Times New Roman"/>
                <w:color w:val="auto"/>
              </w:rPr>
              <w:t>7</w:t>
            </w:r>
          </w:p>
        </w:tc>
      </w:tr>
      <w:tr w:rsidR="0075791A" w14:paraId="42EB9EC4" w14:textId="77777777">
        <w:trPr>
          <w:trHeight w:hRule="exact" w:val="353"/>
        </w:trPr>
        <w:tc>
          <w:tcPr>
            <w:tcW w:w="1528" w:type="dxa"/>
            <w:tcBorders>
              <w:tl2br w:val="nil"/>
              <w:tr2bl w:val="nil"/>
            </w:tcBorders>
          </w:tcPr>
          <w:p w14:paraId="24420446" w14:textId="77777777" w:rsidR="0075791A" w:rsidRDefault="00FB2864">
            <w:pPr>
              <w:pStyle w:val="TableParagraph"/>
              <w:spacing w:line="266" w:lineRule="exact"/>
              <w:ind w:left="234"/>
              <w:rPr>
                <w:rFonts w:ascii="宋体" w:eastAsia="宋体" w:hAnsi="宋体" w:cs="宋体"/>
                <w:color w:val="auto"/>
              </w:rPr>
            </w:pPr>
            <w:r>
              <w:rPr>
                <w:rFonts w:ascii="宋体" w:eastAsia="宋体" w:hAnsi="宋体" w:cs="宋体"/>
                <w:color w:val="auto"/>
                <w:spacing w:val="-1"/>
              </w:rPr>
              <w:t>逍</w:t>
            </w:r>
            <w:r>
              <w:rPr>
                <w:rFonts w:ascii="宋体" w:eastAsia="宋体" w:hAnsi="宋体" w:cs="宋体"/>
                <w:color w:val="auto"/>
                <w:spacing w:val="2"/>
              </w:rPr>
              <w:t>遥</w:t>
            </w:r>
            <w:r>
              <w:rPr>
                <w:rFonts w:ascii="宋体" w:eastAsia="宋体" w:hAnsi="宋体" w:cs="宋体"/>
                <w:color w:val="auto"/>
                <w:spacing w:val="-1"/>
              </w:rPr>
              <w:t>馒</w:t>
            </w:r>
            <w:r>
              <w:rPr>
                <w:rFonts w:ascii="宋体" w:eastAsia="宋体" w:hAnsi="宋体" w:cs="宋体"/>
                <w:color w:val="auto"/>
                <w:spacing w:val="2"/>
              </w:rPr>
              <w:t>头</w:t>
            </w:r>
            <w:r>
              <w:rPr>
                <w:rFonts w:ascii="宋体" w:eastAsia="宋体" w:hAnsi="宋体" w:cs="宋体"/>
                <w:color w:val="auto"/>
              </w:rPr>
              <w:t>蟹</w:t>
            </w:r>
          </w:p>
        </w:tc>
        <w:tc>
          <w:tcPr>
            <w:tcW w:w="3232" w:type="dxa"/>
            <w:tcBorders>
              <w:tl2br w:val="nil"/>
              <w:tr2bl w:val="nil"/>
            </w:tcBorders>
          </w:tcPr>
          <w:p w14:paraId="13AAC1C1" w14:textId="77777777" w:rsidR="0075791A" w:rsidRDefault="00FB2864">
            <w:pPr>
              <w:pStyle w:val="TableParagraph"/>
              <w:spacing w:before="33"/>
              <w:ind w:left="756"/>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Ca</w:t>
            </w:r>
            <w:r>
              <w:rPr>
                <w:rFonts w:ascii="Times New Roman" w:eastAsia="Times New Roman" w:hAnsi="Times New Roman" w:cs="Times New Roman"/>
                <w:i/>
                <w:color w:val="auto"/>
                <w:spacing w:val="1"/>
                <w:sz w:val="22"/>
                <w:szCs w:val="22"/>
              </w:rPr>
              <w:t>l</w:t>
            </w:r>
            <w:r>
              <w:rPr>
                <w:rFonts w:ascii="Times New Roman" w:eastAsia="Times New Roman" w:hAnsi="Times New Roman" w:cs="Times New Roman"/>
                <w:i/>
                <w:color w:val="auto"/>
                <w:spacing w:val="-1"/>
                <w:sz w:val="22"/>
                <w:szCs w:val="22"/>
              </w:rPr>
              <w:t>ap</w:t>
            </w:r>
            <w:r>
              <w:rPr>
                <w:rFonts w:ascii="Times New Roman" w:eastAsia="Times New Roman" w:hAnsi="Times New Roman" w:cs="Times New Roman"/>
                <w:i/>
                <w:color w:val="auto"/>
                <w:spacing w:val="-3"/>
                <w:sz w:val="22"/>
                <w:szCs w:val="22"/>
              </w:rPr>
              <w:t>p</w:t>
            </w:r>
            <w:r>
              <w:rPr>
                <w:rFonts w:ascii="Times New Roman" w:eastAsia="Times New Roman" w:hAnsi="Times New Roman" w:cs="Times New Roman"/>
                <w:i/>
                <w:color w:val="auto"/>
                <w:sz w:val="22"/>
                <w:szCs w:val="22"/>
              </w:rPr>
              <w:t>a</w:t>
            </w:r>
            <w:r>
              <w:rPr>
                <w:rFonts w:ascii="Times New Roman" w:eastAsia="Times New Roman" w:hAnsi="Times New Roman" w:cs="Times New Roman"/>
                <w:i/>
                <w:color w:val="auto"/>
                <w:spacing w:val="-3"/>
                <w:sz w:val="22"/>
                <w:szCs w:val="22"/>
              </w:rPr>
              <w:t xml:space="preserve"> </w:t>
            </w:r>
            <w:r>
              <w:rPr>
                <w:rFonts w:ascii="Times New Roman" w:eastAsia="Times New Roman" w:hAnsi="Times New Roman" w:cs="Times New Roman"/>
                <w:i/>
                <w:color w:val="auto"/>
                <w:spacing w:val="-1"/>
                <w:sz w:val="22"/>
                <w:szCs w:val="22"/>
              </w:rPr>
              <w:t>ph</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pacing w:val="-2"/>
                <w:sz w:val="22"/>
                <w:szCs w:val="22"/>
              </w:rPr>
              <w:t>l</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pacing w:val="-7"/>
                <w:sz w:val="22"/>
                <w:szCs w:val="22"/>
              </w:rPr>
              <w:t>r</w:t>
            </w:r>
            <w:r>
              <w:rPr>
                <w:rFonts w:ascii="Times New Roman" w:eastAsia="Times New Roman" w:hAnsi="Times New Roman" w:cs="Times New Roman"/>
                <w:i/>
                <w:color w:val="auto"/>
                <w:spacing w:val="-3"/>
                <w:sz w:val="22"/>
                <w:szCs w:val="22"/>
              </w:rPr>
              <w:t>g</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pacing w:val="-3"/>
                <w:sz w:val="22"/>
                <w:szCs w:val="22"/>
              </w:rPr>
              <w:t>u</w:t>
            </w:r>
            <w:r>
              <w:rPr>
                <w:rFonts w:ascii="Times New Roman" w:eastAsia="Times New Roman" w:hAnsi="Times New Roman" w:cs="Times New Roman"/>
                <w:i/>
                <w:color w:val="auto"/>
                <w:sz w:val="22"/>
                <w:szCs w:val="22"/>
              </w:rPr>
              <w:t>s</w:t>
            </w:r>
          </w:p>
        </w:tc>
        <w:tc>
          <w:tcPr>
            <w:tcW w:w="1064" w:type="dxa"/>
            <w:tcBorders>
              <w:tl2br w:val="nil"/>
              <w:tr2bl w:val="nil"/>
            </w:tcBorders>
          </w:tcPr>
          <w:p w14:paraId="18D7D82A" w14:textId="77777777" w:rsidR="0075791A" w:rsidRDefault="00FB2864">
            <w:pPr>
              <w:pStyle w:val="TableParagraph"/>
              <w:spacing w:before="40"/>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93</w:t>
            </w:r>
            <w:r>
              <w:rPr>
                <w:rFonts w:ascii="Times New Roman" w:eastAsia="Times New Roman" w:hAnsi="Times New Roman" w:cs="Times New Roman"/>
                <w:color w:val="auto"/>
              </w:rPr>
              <w:t>%</w:t>
            </w:r>
          </w:p>
        </w:tc>
        <w:tc>
          <w:tcPr>
            <w:tcW w:w="1064" w:type="dxa"/>
            <w:tcBorders>
              <w:tl2br w:val="nil"/>
              <w:tr2bl w:val="nil"/>
            </w:tcBorders>
          </w:tcPr>
          <w:p w14:paraId="2B8C8EF0" w14:textId="77777777" w:rsidR="0075791A" w:rsidRDefault="00FB2864">
            <w:pPr>
              <w:pStyle w:val="TableParagraph"/>
              <w:spacing w:before="40"/>
              <w:ind w:left="259"/>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8"/>
              </w:rPr>
              <w:t>1</w:t>
            </w:r>
            <w:r>
              <w:rPr>
                <w:rFonts w:ascii="Times New Roman" w:eastAsia="Times New Roman" w:hAnsi="Times New Roman" w:cs="Times New Roman"/>
                <w:color w:val="auto"/>
                <w:spacing w:val="-2"/>
              </w:rPr>
              <w:t>1</w:t>
            </w:r>
            <w:r>
              <w:rPr>
                <w:rFonts w:ascii="Times New Roman" w:eastAsia="Times New Roman" w:hAnsi="Times New Roman" w:cs="Times New Roman"/>
                <w:color w:val="auto"/>
              </w:rPr>
              <w:t>%</w:t>
            </w:r>
          </w:p>
        </w:tc>
        <w:tc>
          <w:tcPr>
            <w:tcW w:w="1064" w:type="dxa"/>
            <w:tcBorders>
              <w:tl2br w:val="nil"/>
              <w:tr2bl w:val="nil"/>
            </w:tcBorders>
          </w:tcPr>
          <w:p w14:paraId="4A545232" w14:textId="77777777" w:rsidR="0075791A" w:rsidRDefault="00FB2864">
            <w:pPr>
              <w:pStyle w:val="TableParagraph"/>
              <w:spacing w:before="40"/>
              <w:ind w:left="290"/>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37</w:t>
            </w:r>
            <w:r>
              <w:rPr>
                <w:rFonts w:ascii="Times New Roman" w:eastAsia="Times New Roman" w:hAnsi="Times New Roman" w:cs="Times New Roman"/>
                <w:color w:val="auto"/>
              </w:rPr>
              <w:t>5</w:t>
            </w:r>
          </w:p>
        </w:tc>
        <w:tc>
          <w:tcPr>
            <w:tcW w:w="1062" w:type="dxa"/>
            <w:tcBorders>
              <w:tl2br w:val="nil"/>
              <w:tr2bl w:val="nil"/>
            </w:tcBorders>
          </w:tcPr>
          <w:p w14:paraId="1FE22D2B" w14:textId="77777777" w:rsidR="0075791A" w:rsidRDefault="00FB2864">
            <w:pPr>
              <w:pStyle w:val="TableParagraph"/>
              <w:spacing w:before="40"/>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151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5</w:t>
            </w:r>
            <w:r>
              <w:rPr>
                <w:rFonts w:ascii="Times New Roman" w:eastAsia="Times New Roman" w:hAnsi="Times New Roman" w:cs="Times New Roman"/>
                <w:color w:val="auto"/>
              </w:rPr>
              <w:t>7</w:t>
            </w:r>
          </w:p>
        </w:tc>
      </w:tr>
      <w:tr w:rsidR="0075791A" w14:paraId="67637EAB" w14:textId="77777777">
        <w:trPr>
          <w:trHeight w:hRule="exact" w:val="345"/>
        </w:trPr>
        <w:tc>
          <w:tcPr>
            <w:tcW w:w="1528" w:type="dxa"/>
            <w:tcBorders>
              <w:tl2br w:val="nil"/>
              <w:tr2bl w:val="nil"/>
            </w:tcBorders>
          </w:tcPr>
          <w:p w14:paraId="64369E5E" w14:textId="77777777" w:rsidR="0075791A" w:rsidRDefault="00FB2864">
            <w:pPr>
              <w:pStyle w:val="TableParagraph"/>
              <w:spacing w:line="269" w:lineRule="exact"/>
              <w:ind w:left="529" w:right="531"/>
              <w:jc w:val="center"/>
              <w:rPr>
                <w:rFonts w:ascii="宋体" w:eastAsia="宋体" w:hAnsi="宋体" w:cs="宋体"/>
                <w:color w:val="auto"/>
              </w:rPr>
            </w:pPr>
            <w:r>
              <w:rPr>
                <w:rFonts w:ascii="宋体" w:eastAsia="宋体" w:hAnsi="宋体" w:cs="宋体"/>
                <w:color w:val="auto"/>
                <w:spacing w:val="-1"/>
              </w:rPr>
              <w:t>真</w:t>
            </w:r>
            <w:r>
              <w:rPr>
                <w:rFonts w:ascii="宋体" w:eastAsia="宋体" w:hAnsi="宋体" w:cs="宋体"/>
                <w:color w:val="auto"/>
              </w:rPr>
              <w:t>蛸</w:t>
            </w:r>
          </w:p>
        </w:tc>
        <w:tc>
          <w:tcPr>
            <w:tcW w:w="3232" w:type="dxa"/>
            <w:tcBorders>
              <w:tl2br w:val="nil"/>
              <w:tr2bl w:val="nil"/>
            </w:tcBorders>
          </w:tcPr>
          <w:p w14:paraId="1E665BD6" w14:textId="77777777" w:rsidR="0075791A" w:rsidRDefault="00FB2864">
            <w:pPr>
              <w:pStyle w:val="TableParagraph"/>
              <w:spacing w:before="39"/>
              <w:ind w:left="857"/>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2"/>
                <w:sz w:val="22"/>
                <w:szCs w:val="22"/>
              </w:rPr>
              <w:t>O</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2"/>
                <w:sz w:val="22"/>
                <w:szCs w:val="22"/>
              </w:rPr>
              <w:t>t</w:t>
            </w:r>
            <w:r>
              <w:rPr>
                <w:rFonts w:ascii="Times New Roman" w:eastAsia="Times New Roman" w:hAnsi="Times New Roman" w:cs="Times New Roman"/>
                <w:i/>
                <w:color w:val="auto"/>
                <w:spacing w:val="-1"/>
                <w:sz w:val="22"/>
                <w:szCs w:val="22"/>
              </w:rPr>
              <w:t>opu</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 xml:space="preserve"> </w:t>
            </w:r>
            <w:r>
              <w:rPr>
                <w:rFonts w:ascii="Times New Roman" w:eastAsia="Times New Roman" w:hAnsi="Times New Roman" w:cs="Times New Roman"/>
                <w:i/>
                <w:color w:val="auto"/>
                <w:sz w:val="22"/>
                <w:szCs w:val="22"/>
              </w:rPr>
              <w:t>v</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pacing w:val="-2"/>
                <w:sz w:val="22"/>
                <w:szCs w:val="22"/>
              </w:rPr>
              <w:t>l</w:t>
            </w:r>
            <w:r>
              <w:rPr>
                <w:rFonts w:ascii="Times New Roman" w:eastAsia="Times New Roman" w:hAnsi="Times New Roman" w:cs="Times New Roman"/>
                <w:i/>
                <w:color w:val="auto"/>
                <w:spacing w:val="-1"/>
                <w:sz w:val="22"/>
                <w:szCs w:val="22"/>
              </w:rPr>
              <w:t>ga</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z w:val="22"/>
                <w:szCs w:val="22"/>
              </w:rPr>
              <w:t>s</w:t>
            </w:r>
          </w:p>
        </w:tc>
        <w:tc>
          <w:tcPr>
            <w:tcW w:w="1064" w:type="dxa"/>
            <w:tcBorders>
              <w:tl2br w:val="nil"/>
              <w:tr2bl w:val="nil"/>
            </w:tcBorders>
          </w:tcPr>
          <w:p w14:paraId="57DDD27E" w14:textId="77777777" w:rsidR="0075791A" w:rsidRDefault="00FB2864">
            <w:pPr>
              <w:pStyle w:val="TableParagraph"/>
              <w:spacing w:before="46"/>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55</w:t>
            </w:r>
            <w:r>
              <w:rPr>
                <w:rFonts w:ascii="Times New Roman" w:eastAsia="Times New Roman" w:hAnsi="Times New Roman" w:cs="Times New Roman"/>
                <w:color w:val="auto"/>
              </w:rPr>
              <w:t>%</w:t>
            </w:r>
          </w:p>
        </w:tc>
        <w:tc>
          <w:tcPr>
            <w:tcW w:w="1064" w:type="dxa"/>
            <w:tcBorders>
              <w:tl2br w:val="nil"/>
              <w:tr2bl w:val="nil"/>
            </w:tcBorders>
          </w:tcPr>
          <w:p w14:paraId="73E11CFD" w14:textId="77777777" w:rsidR="0075791A" w:rsidRDefault="00FB2864">
            <w:pPr>
              <w:pStyle w:val="TableParagraph"/>
              <w:spacing w:before="46"/>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p>
        </w:tc>
        <w:tc>
          <w:tcPr>
            <w:tcW w:w="1064" w:type="dxa"/>
            <w:tcBorders>
              <w:tl2br w:val="nil"/>
              <w:tr2bl w:val="nil"/>
            </w:tcBorders>
          </w:tcPr>
          <w:p w14:paraId="1E22015C" w14:textId="77777777" w:rsidR="0075791A" w:rsidRDefault="00FB2864">
            <w:pPr>
              <w:pStyle w:val="TableParagraph"/>
              <w:spacing w:before="46"/>
              <w:ind w:left="375" w:right="3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.5</w:t>
            </w:r>
          </w:p>
        </w:tc>
        <w:tc>
          <w:tcPr>
            <w:tcW w:w="1062" w:type="dxa"/>
            <w:tcBorders>
              <w:tl2br w:val="nil"/>
              <w:tr2bl w:val="nil"/>
            </w:tcBorders>
          </w:tcPr>
          <w:p w14:paraId="199AEC2F" w14:textId="77777777" w:rsidR="0075791A" w:rsidRDefault="00FB2864">
            <w:pPr>
              <w:pStyle w:val="TableParagraph"/>
              <w:spacing w:before="46"/>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143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7</w:t>
            </w:r>
            <w:r>
              <w:rPr>
                <w:rFonts w:ascii="Times New Roman" w:eastAsia="Times New Roman" w:hAnsi="Times New Roman" w:cs="Times New Roman"/>
                <w:color w:val="auto"/>
              </w:rPr>
              <w:t>3</w:t>
            </w:r>
          </w:p>
        </w:tc>
      </w:tr>
      <w:tr w:rsidR="0075791A" w14:paraId="03C8E4BF" w14:textId="77777777">
        <w:trPr>
          <w:trHeight w:hRule="exact" w:val="330"/>
        </w:trPr>
        <w:tc>
          <w:tcPr>
            <w:tcW w:w="1528" w:type="dxa"/>
            <w:tcBorders>
              <w:tl2br w:val="nil"/>
              <w:tr2bl w:val="nil"/>
            </w:tcBorders>
          </w:tcPr>
          <w:p w14:paraId="6EFF5DC7" w14:textId="77777777" w:rsidR="0075791A" w:rsidRDefault="00FB2864">
            <w:pPr>
              <w:pStyle w:val="TableParagraph"/>
              <w:spacing w:line="265" w:lineRule="exact"/>
              <w:ind w:left="338"/>
              <w:rPr>
                <w:rFonts w:ascii="宋体" w:eastAsia="宋体" w:hAnsi="宋体" w:cs="宋体"/>
                <w:color w:val="auto"/>
              </w:rPr>
            </w:pPr>
            <w:r>
              <w:rPr>
                <w:rFonts w:ascii="宋体" w:eastAsia="宋体" w:hAnsi="宋体" w:cs="宋体"/>
                <w:color w:val="auto"/>
                <w:spacing w:val="-1"/>
              </w:rPr>
              <w:lastRenderedPageBreak/>
              <w:t>大</w:t>
            </w:r>
            <w:r>
              <w:rPr>
                <w:rFonts w:ascii="宋体" w:eastAsia="宋体" w:hAnsi="宋体" w:cs="宋体"/>
                <w:color w:val="auto"/>
                <w:spacing w:val="2"/>
              </w:rPr>
              <w:t>头</w:t>
            </w:r>
            <w:r>
              <w:rPr>
                <w:rFonts w:ascii="宋体" w:eastAsia="宋体" w:hAnsi="宋体" w:cs="宋体"/>
                <w:color w:val="auto"/>
                <w:spacing w:val="-1"/>
              </w:rPr>
              <w:t>狗</w:t>
            </w:r>
            <w:r>
              <w:rPr>
                <w:rFonts w:ascii="宋体" w:eastAsia="宋体" w:hAnsi="宋体" w:cs="宋体"/>
                <w:color w:val="auto"/>
              </w:rPr>
              <w:t>母</w:t>
            </w:r>
          </w:p>
        </w:tc>
        <w:tc>
          <w:tcPr>
            <w:tcW w:w="3232" w:type="dxa"/>
            <w:tcBorders>
              <w:tl2br w:val="nil"/>
              <w:tr2bl w:val="nil"/>
            </w:tcBorders>
          </w:tcPr>
          <w:p w14:paraId="55BD9E91" w14:textId="77777777" w:rsidR="0075791A" w:rsidRDefault="00FB2864">
            <w:pPr>
              <w:pStyle w:val="TableParagraph"/>
              <w:spacing w:before="35"/>
              <w:ind w:left="569"/>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1"/>
                <w:sz w:val="22"/>
                <w:szCs w:val="22"/>
              </w:rPr>
              <w:t>T</w:t>
            </w:r>
            <w:r>
              <w:rPr>
                <w:rFonts w:ascii="Times New Roman" w:eastAsia="Times New Roman" w:hAnsi="Times New Roman" w:cs="Times New Roman"/>
                <w:i/>
                <w:color w:val="auto"/>
                <w:spacing w:val="-2"/>
                <w:sz w:val="22"/>
                <w:szCs w:val="22"/>
              </w:rPr>
              <w:t>r</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3"/>
                <w:sz w:val="22"/>
                <w:szCs w:val="22"/>
              </w:rPr>
              <w:t>h</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pacing w:val="-1"/>
                <w:sz w:val="22"/>
                <w:szCs w:val="22"/>
              </w:rPr>
              <w:t>o</w:t>
            </w:r>
            <w:r>
              <w:rPr>
                <w:rFonts w:ascii="Times New Roman" w:eastAsia="Times New Roman" w:hAnsi="Times New Roman" w:cs="Times New Roman"/>
                <w:i/>
                <w:color w:val="auto"/>
                <w:spacing w:val="-2"/>
                <w:sz w:val="22"/>
                <w:szCs w:val="22"/>
              </w:rPr>
              <w:t>c</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1"/>
                <w:sz w:val="22"/>
                <w:szCs w:val="22"/>
              </w:rPr>
              <w:t>pha</w:t>
            </w:r>
            <w:r>
              <w:rPr>
                <w:rFonts w:ascii="Times New Roman" w:eastAsia="Times New Roman" w:hAnsi="Times New Roman" w:cs="Times New Roman"/>
                <w:i/>
                <w:color w:val="auto"/>
                <w:spacing w:val="-2"/>
                <w:sz w:val="22"/>
                <w:szCs w:val="22"/>
              </w:rPr>
              <w:t>l</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 xml:space="preserve"> m</w:t>
            </w:r>
            <w:r>
              <w:rPr>
                <w:rFonts w:ascii="Times New Roman" w:eastAsia="Times New Roman" w:hAnsi="Times New Roman" w:cs="Times New Roman"/>
                <w:i/>
                <w:color w:val="auto"/>
                <w:sz w:val="22"/>
                <w:szCs w:val="22"/>
              </w:rPr>
              <w:t>y</w:t>
            </w:r>
            <w:r>
              <w:rPr>
                <w:rFonts w:ascii="Times New Roman" w:eastAsia="Times New Roman" w:hAnsi="Times New Roman" w:cs="Times New Roman"/>
                <w:i/>
                <w:color w:val="auto"/>
                <w:spacing w:val="-1"/>
                <w:sz w:val="22"/>
                <w:szCs w:val="22"/>
              </w:rPr>
              <w:t>op</w:t>
            </w:r>
            <w:r>
              <w:rPr>
                <w:rFonts w:ascii="Times New Roman" w:eastAsia="Times New Roman" w:hAnsi="Times New Roman" w:cs="Times New Roman"/>
                <w:i/>
                <w:color w:val="auto"/>
                <w:sz w:val="22"/>
                <w:szCs w:val="22"/>
              </w:rPr>
              <w:t>s</w:t>
            </w:r>
          </w:p>
        </w:tc>
        <w:tc>
          <w:tcPr>
            <w:tcW w:w="1064" w:type="dxa"/>
            <w:tcBorders>
              <w:tl2br w:val="nil"/>
              <w:tr2bl w:val="nil"/>
            </w:tcBorders>
          </w:tcPr>
          <w:p w14:paraId="66790381" w14:textId="77777777" w:rsidR="0075791A" w:rsidRDefault="00FB2864">
            <w:pPr>
              <w:pStyle w:val="TableParagraph"/>
              <w:spacing w:before="39"/>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42</w:t>
            </w:r>
            <w:r>
              <w:rPr>
                <w:rFonts w:ascii="Times New Roman" w:eastAsia="Times New Roman" w:hAnsi="Times New Roman" w:cs="Times New Roman"/>
                <w:color w:val="auto"/>
              </w:rPr>
              <w:t>%</w:t>
            </w:r>
          </w:p>
        </w:tc>
        <w:tc>
          <w:tcPr>
            <w:tcW w:w="1064" w:type="dxa"/>
            <w:tcBorders>
              <w:tl2br w:val="nil"/>
              <w:tr2bl w:val="nil"/>
            </w:tcBorders>
          </w:tcPr>
          <w:p w14:paraId="4B885C1B" w14:textId="77777777" w:rsidR="0075791A" w:rsidRDefault="00FB2864">
            <w:pPr>
              <w:pStyle w:val="TableParagraph"/>
              <w:spacing w:before="39"/>
              <w:ind w:left="259"/>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8"/>
              </w:rPr>
              <w:t>1</w:t>
            </w:r>
            <w:r>
              <w:rPr>
                <w:rFonts w:ascii="Times New Roman" w:eastAsia="Times New Roman" w:hAnsi="Times New Roman" w:cs="Times New Roman"/>
                <w:color w:val="auto"/>
                <w:spacing w:val="-2"/>
              </w:rPr>
              <w:t>1</w:t>
            </w:r>
            <w:r>
              <w:rPr>
                <w:rFonts w:ascii="Times New Roman" w:eastAsia="Times New Roman" w:hAnsi="Times New Roman" w:cs="Times New Roman"/>
                <w:color w:val="auto"/>
              </w:rPr>
              <w:t>%</w:t>
            </w:r>
          </w:p>
        </w:tc>
        <w:tc>
          <w:tcPr>
            <w:tcW w:w="1064" w:type="dxa"/>
            <w:tcBorders>
              <w:tl2br w:val="nil"/>
              <w:tr2bl w:val="nil"/>
            </w:tcBorders>
          </w:tcPr>
          <w:p w14:paraId="49425565" w14:textId="77777777" w:rsidR="0075791A" w:rsidRDefault="00FB2864">
            <w:pPr>
              <w:pStyle w:val="TableParagraph"/>
              <w:spacing w:before="39"/>
              <w:ind w:left="290"/>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37</w:t>
            </w:r>
            <w:r>
              <w:rPr>
                <w:rFonts w:ascii="Times New Roman" w:eastAsia="Times New Roman" w:hAnsi="Times New Roman" w:cs="Times New Roman"/>
                <w:color w:val="auto"/>
              </w:rPr>
              <w:t>5</w:t>
            </w:r>
          </w:p>
        </w:tc>
        <w:tc>
          <w:tcPr>
            <w:tcW w:w="1062" w:type="dxa"/>
            <w:tcBorders>
              <w:tl2br w:val="nil"/>
              <w:tr2bl w:val="nil"/>
            </w:tcBorders>
          </w:tcPr>
          <w:p w14:paraId="10D2D883" w14:textId="77777777" w:rsidR="0075791A" w:rsidRDefault="00FB2864">
            <w:pPr>
              <w:pStyle w:val="TableParagraph"/>
              <w:spacing w:before="39"/>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132</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rPr>
              <w:t>6</w:t>
            </w:r>
          </w:p>
        </w:tc>
      </w:tr>
      <w:tr w:rsidR="0075791A" w14:paraId="28C4A0A8" w14:textId="77777777">
        <w:trPr>
          <w:trHeight w:hRule="exact" w:val="330"/>
        </w:trPr>
        <w:tc>
          <w:tcPr>
            <w:tcW w:w="1528" w:type="dxa"/>
            <w:tcBorders>
              <w:tl2br w:val="nil"/>
              <w:tr2bl w:val="nil"/>
            </w:tcBorders>
          </w:tcPr>
          <w:p w14:paraId="4CFC2DFB" w14:textId="77777777" w:rsidR="0075791A" w:rsidRDefault="00FB2864">
            <w:pPr>
              <w:pStyle w:val="TableParagraph"/>
              <w:spacing w:line="264" w:lineRule="exact"/>
              <w:ind w:left="338"/>
              <w:rPr>
                <w:rFonts w:ascii="宋体" w:eastAsia="宋体" w:hAnsi="宋体" w:cs="宋体"/>
                <w:color w:val="auto"/>
              </w:rPr>
            </w:pPr>
            <w:r>
              <w:rPr>
                <w:rFonts w:ascii="宋体" w:eastAsia="宋体" w:hAnsi="宋体" w:cs="宋体"/>
                <w:color w:val="auto"/>
                <w:spacing w:val="-1"/>
              </w:rPr>
              <w:t>少</w:t>
            </w:r>
            <w:r>
              <w:rPr>
                <w:rFonts w:ascii="宋体" w:eastAsia="宋体" w:hAnsi="宋体" w:cs="宋体"/>
                <w:color w:val="auto"/>
                <w:spacing w:val="2"/>
              </w:rPr>
              <w:t>牙</w:t>
            </w:r>
            <w:r>
              <w:rPr>
                <w:rFonts w:ascii="宋体" w:eastAsia="宋体" w:hAnsi="宋体" w:cs="宋体"/>
                <w:color w:val="auto"/>
                <w:spacing w:val="-1"/>
              </w:rPr>
              <w:t>斑</w:t>
            </w:r>
            <w:r>
              <w:rPr>
                <w:rFonts w:ascii="宋体" w:eastAsia="宋体" w:hAnsi="宋体" w:cs="宋体"/>
                <w:color w:val="auto"/>
              </w:rPr>
              <w:t>鲆</w:t>
            </w:r>
          </w:p>
        </w:tc>
        <w:tc>
          <w:tcPr>
            <w:tcW w:w="3232" w:type="dxa"/>
            <w:tcBorders>
              <w:tl2br w:val="nil"/>
              <w:tr2bl w:val="nil"/>
            </w:tcBorders>
          </w:tcPr>
          <w:p w14:paraId="017CD1AD" w14:textId="77777777" w:rsidR="0075791A" w:rsidRDefault="00FB2864">
            <w:pPr>
              <w:pStyle w:val="TableParagraph"/>
              <w:spacing w:before="34"/>
              <w:ind w:left="485"/>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P</w:t>
            </w:r>
            <w:r>
              <w:rPr>
                <w:rFonts w:ascii="Times New Roman" w:eastAsia="Times New Roman" w:hAnsi="Times New Roman" w:cs="Times New Roman"/>
                <w:i/>
                <w:color w:val="auto"/>
                <w:sz w:val="22"/>
                <w:szCs w:val="22"/>
              </w:rPr>
              <w:t>se</w:t>
            </w:r>
            <w:r>
              <w:rPr>
                <w:rFonts w:ascii="Times New Roman" w:eastAsia="Times New Roman" w:hAnsi="Times New Roman" w:cs="Times New Roman"/>
                <w:i/>
                <w:color w:val="auto"/>
                <w:spacing w:val="-1"/>
                <w:sz w:val="22"/>
                <w:szCs w:val="22"/>
              </w:rPr>
              <w:t>ud</w:t>
            </w:r>
            <w:r>
              <w:rPr>
                <w:rFonts w:ascii="Times New Roman" w:eastAsia="Times New Roman" w:hAnsi="Times New Roman" w:cs="Times New Roman"/>
                <w:i/>
                <w:color w:val="auto"/>
                <w:spacing w:val="-3"/>
                <w:sz w:val="22"/>
                <w:szCs w:val="22"/>
              </w:rPr>
              <w:t>o</w:t>
            </w:r>
            <w:r>
              <w:rPr>
                <w:rFonts w:ascii="Times New Roman" w:eastAsia="Times New Roman" w:hAnsi="Times New Roman" w:cs="Times New Roman"/>
                <w:i/>
                <w:color w:val="auto"/>
                <w:spacing w:val="-2"/>
                <w:sz w:val="22"/>
                <w:szCs w:val="22"/>
              </w:rPr>
              <w:t>r</w:t>
            </w:r>
            <w:r>
              <w:rPr>
                <w:rFonts w:ascii="Times New Roman" w:eastAsia="Times New Roman" w:hAnsi="Times New Roman" w:cs="Times New Roman"/>
                <w:i/>
                <w:color w:val="auto"/>
                <w:spacing w:val="-3"/>
                <w:sz w:val="22"/>
                <w:szCs w:val="22"/>
              </w:rPr>
              <w:t>h</w:t>
            </w:r>
            <w:r>
              <w:rPr>
                <w:rFonts w:ascii="Times New Roman" w:eastAsia="Times New Roman" w:hAnsi="Times New Roman" w:cs="Times New Roman"/>
                <w:i/>
                <w:color w:val="auto"/>
                <w:spacing w:val="-1"/>
                <w:sz w:val="22"/>
                <w:szCs w:val="22"/>
              </w:rPr>
              <w:t>o</w:t>
            </w:r>
            <w:r>
              <w:rPr>
                <w:rFonts w:ascii="Times New Roman" w:eastAsia="Times New Roman" w:hAnsi="Times New Roman" w:cs="Times New Roman"/>
                <w:i/>
                <w:color w:val="auto"/>
                <w:spacing w:val="-2"/>
                <w:sz w:val="22"/>
                <w:szCs w:val="22"/>
              </w:rPr>
              <w:t>m</w:t>
            </w:r>
            <w:r>
              <w:rPr>
                <w:rFonts w:ascii="Times New Roman" w:eastAsia="Times New Roman" w:hAnsi="Times New Roman" w:cs="Times New Roman"/>
                <w:i/>
                <w:color w:val="auto"/>
                <w:spacing w:val="-1"/>
                <w:sz w:val="22"/>
                <w:szCs w:val="22"/>
              </w:rPr>
              <w:t>bu</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 xml:space="preserve"> </w:t>
            </w:r>
            <w:r>
              <w:rPr>
                <w:rFonts w:ascii="Times New Roman" w:eastAsia="Times New Roman" w:hAnsi="Times New Roman" w:cs="Times New Roman"/>
                <w:i/>
                <w:color w:val="auto"/>
                <w:spacing w:val="-1"/>
                <w:sz w:val="22"/>
                <w:szCs w:val="22"/>
              </w:rPr>
              <w:t>o</w:t>
            </w:r>
            <w:r>
              <w:rPr>
                <w:rFonts w:ascii="Times New Roman" w:eastAsia="Times New Roman" w:hAnsi="Times New Roman" w:cs="Times New Roman"/>
                <w:i/>
                <w:color w:val="auto"/>
                <w:spacing w:val="-2"/>
                <w:sz w:val="22"/>
                <w:szCs w:val="22"/>
              </w:rPr>
              <w:t>l</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pacing w:val="-1"/>
                <w:sz w:val="22"/>
                <w:szCs w:val="22"/>
              </w:rPr>
              <w:t>go</w:t>
            </w:r>
            <w:r>
              <w:rPr>
                <w:rFonts w:ascii="Times New Roman" w:eastAsia="Times New Roman" w:hAnsi="Times New Roman" w:cs="Times New Roman"/>
                <w:i/>
                <w:color w:val="auto"/>
                <w:spacing w:val="-3"/>
                <w:sz w:val="22"/>
                <w:szCs w:val="22"/>
              </w:rPr>
              <w:t>d</w:t>
            </w:r>
            <w:r>
              <w:rPr>
                <w:rFonts w:ascii="Times New Roman" w:eastAsia="Times New Roman" w:hAnsi="Times New Roman" w:cs="Times New Roman"/>
                <w:i/>
                <w:color w:val="auto"/>
                <w:spacing w:val="-1"/>
                <w:sz w:val="22"/>
                <w:szCs w:val="22"/>
              </w:rPr>
              <w:t>o</w:t>
            </w:r>
            <w:r>
              <w:rPr>
                <w:rFonts w:ascii="Times New Roman" w:eastAsia="Times New Roman" w:hAnsi="Times New Roman" w:cs="Times New Roman"/>
                <w:i/>
                <w:color w:val="auto"/>
                <w:sz w:val="22"/>
                <w:szCs w:val="22"/>
              </w:rPr>
              <w:t>n</w:t>
            </w:r>
          </w:p>
        </w:tc>
        <w:tc>
          <w:tcPr>
            <w:tcW w:w="1064" w:type="dxa"/>
            <w:tcBorders>
              <w:tl2br w:val="nil"/>
              <w:tr2bl w:val="nil"/>
            </w:tcBorders>
          </w:tcPr>
          <w:p w14:paraId="2C848502" w14:textId="77777777" w:rsidR="0075791A" w:rsidRDefault="00FB2864">
            <w:pPr>
              <w:pStyle w:val="TableParagraph"/>
              <w:spacing w:before="40"/>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55</w:t>
            </w:r>
            <w:r>
              <w:rPr>
                <w:rFonts w:ascii="Times New Roman" w:eastAsia="Times New Roman" w:hAnsi="Times New Roman" w:cs="Times New Roman"/>
                <w:color w:val="auto"/>
              </w:rPr>
              <w:t>%</w:t>
            </w:r>
          </w:p>
        </w:tc>
        <w:tc>
          <w:tcPr>
            <w:tcW w:w="1064" w:type="dxa"/>
            <w:tcBorders>
              <w:tl2br w:val="nil"/>
              <w:tr2bl w:val="nil"/>
            </w:tcBorders>
          </w:tcPr>
          <w:p w14:paraId="72EF692E" w14:textId="77777777" w:rsidR="0075791A" w:rsidRDefault="00FB2864">
            <w:pPr>
              <w:pStyle w:val="TableParagraph"/>
              <w:spacing w:before="40"/>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1</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w:t>
            </w:r>
          </w:p>
        </w:tc>
        <w:tc>
          <w:tcPr>
            <w:tcW w:w="1064" w:type="dxa"/>
            <w:tcBorders>
              <w:tl2br w:val="nil"/>
              <w:tr2bl w:val="nil"/>
            </w:tcBorders>
          </w:tcPr>
          <w:p w14:paraId="65A2EBAD" w14:textId="77777777" w:rsidR="0075791A" w:rsidRDefault="00FB2864">
            <w:pPr>
              <w:pStyle w:val="TableParagraph"/>
              <w:spacing w:before="40"/>
              <w:ind w:left="342"/>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c>
          <w:tcPr>
            <w:tcW w:w="1062" w:type="dxa"/>
            <w:tcBorders>
              <w:tl2br w:val="nil"/>
              <w:tr2bl w:val="nil"/>
            </w:tcBorders>
          </w:tcPr>
          <w:p w14:paraId="36384BE7" w14:textId="77777777" w:rsidR="0075791A" w:rsidRDefault="00FB2864">
            <w:pPr>
              <w:pStyle w:val="TableParagraph"/>
              <w:spacing w:before="40"/>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129</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8</w:t>
            </w:r>
            <w:r>
              <w:rPr>
                <w:rFonts w:ascii="Times New Roman" w:eastAsia="Times New Roman" w:hAnsi="Times New Roman" w:cs="Times New Roman"/>
                <w:color w:val="auto"/>
              </w:rPr>
              <w:t>9</w:t>
            </w:r>
          </w:p>
        </w:tc>
      </w:tr>
      <w:tr w:rsidR="0075791A" w14:paraId="5A68C501" w14:textId="77777777">
        <w:trPr>
          <w:trHeight w:hRule="exact" w:val="330"/>
        </w:trPr>
        <w:tc>
          <w:tcPr>
            <w:tcW w:w="1528" w:type="dxa"/>
            <w:tcBorders>
              <w:tl2br w:val="nil"/>
              <w:tr2bl w:val="nil"/>
            </w:tcBorders>
          </w:tcPr>
          <w:p w14:paraId="1A54084D" w14:textId="77777777" w:rsidR="0075791A" w:rsidRDefault="00FB2864">
            <w:pPr>
              <w:pStyle w:val="TableParagraph"/>
              <w:spacing w:line="265" w:lineRule="exact"/>
              <w:ind w:left="338"/>
              <w:rPr>
                <w:rFonts w:ascii="宋体" w:eastAsia="宋体" w:hAnsi="宋体" w:cs="宋体"/>
                <w:color w:val="auto"/>
              </w:rPr>
            </w:pPr>
            <w:r>
              <w:rPr>
                <w:rFonts w:ascii="宋体" w:eastAsia="宋体" w:hAnsi="宋体" w:cs="宋体"/>
                <w:color w:val="auto"/>
                <w:spacing w:val="-1"/>
              </w:rPr>
              <w:t>毛</w:t>
            </w:r>
            <w:r>
              <w:rPr>
                <w:rFonts w:ascii="宋体" w:eastAsia="宋体" w:hAnsi="宋体" w:cs="宋体"/>
                <w:color w:val="auto"/>
                <w:spacing w:val="2"/>
              </w:rPr>
              <w:t>烟</w:t>
            </w:r>
            <w:r>
              <w:rPr>
                <w:rFonts w:ascii="宋体" w:eastAsia="宋体" w:hAnsi="宋体" w:cs="宋体"/>
                <w:color w:val="auto"/>
                <w:spacing w:val="-1"/>
              </w:rPr>
              <w:t>管</w:t>
            </w:r>
            <w:r>
              <w:rPr>
                <w:rFonts w:ascii="宋体" w:eastAsia="宋体" w:hAnsi="宋体" w:cs="宋体"/>
                <w:color w:val="auto"/>
              </w:rPr>
              <w:t>鱼</w:t>
            </w:r>
          </w:p>
        </w:tc>
        <w:tc>
          <w:tcPr>
            <w:tcW w:w="3232" w:type="dxa"/>
            <w:tcBorders>
              <w:tl2br w:val="nil"/>
              <w:tr2bl w:val="nil"/>
            </w:tcBorders>
          </w:tcPr>
          <w:p w14:paraId="24CF3F73" w14:textId="77777777" w:rsidR="0075791A" w:rsidRDefault="00FB2864">
            <w:pPr>
              <w:pStyle w:val="TableParagraph"/>
              <w:spacing w:before="35"/>
              <w:ind w:left="850"/>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F</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t</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pacing w:val="-2"/>
                <w:sz w:val="22"/>
                <w:szCs w:val="22"/>
              </w:rPr>
              <w:t>l</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z w:val="22"/>
                <w:szCs w:val="22"/>
              </w:rPr>
              <w:t>a v</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pacing w:val="1"/>
                <w:sz w:val="22"/>
                <w:szCs w:val="22"/>
              </w:rPr>
              <w:t>l</w:t>
            </w:r>
            <w:r>
              <w:rPr>
                <w:rFonts w:ascii="Times New Roman" w:eastAsia="Times New Roman" w:hAnsi="Times New Roman" w:cs="Times New Roman"/>
                <w:i/>
                <w:color w:val="auto"/>
                <w:spacing w:val="-2"/>
                <w:sz w:val="22"/>
                <w:szCs w:val="22"/>
              </w:rPr>
              <w:t>l</w:t>
            </w:r>
            <w:r>
              <w:rPr>
                <w:rFonts w:ascii="Times New Roman" w:eastAsia="Times New Roman" w:hAnsi="Times New Roman" w:cs="Times New Roman"/>
                <w:i/>
                <w:color w:val="auto"/>
                <w:spacing w:val="-1"/>
                <w:sz w:val="22"/>
                <w:szCs w:val="22"/>
              </w:rPr>
              <w:t>o</w:t>
            </w:r>
            <w:r>
              <w:rPr>
                <w:rFonts w:ascii="Times New Roman" w:eastAsia="Times New Roman" w:hAnsi="Times New Roman" w:cs="Times New Roman"/>
                <w:i/>
                <w:color w:val="auto"/>
                <w:sz w:val="22"/>
                <w:szCs w:val="22"/>
              </w:rPr>
              <w:t>sa</w:t>
            </w:r>
          </w:p>
        </w:tc>
        <w:tc>
          <w:tcPr>
            <w:tcW w:w="1064" w:type="dxa"/>
            <w:tcBorders>
              <w:tl2br w:val="nil"/>
              <w:tr2bl w:val="nil"/>
            </w:tcBorders>
          </w:tcPr>
          <w:p w14:paraId="3DC1F193" w14:textId="77777777" w:rsidR="0075791A" w:rsidRDefault="00FB2864">
            <w:pPr>
              <w:pStyle w:val="TableParagraph"/>
              <w:spacing w:before="39"/>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48</w:t>
            </w:r>
            <w:r>
              <w:rPr>
                <w:rFonts w:ascii="Times New Roman" w:eastAsia="Times New Roman" w:hAnsi="Times New Roman" w:cs="Times New Roman"/>
                <w:color w:val="auto"/>
              </w:rPr>
              <w:t>%</w:t>
            </w:r>
          </w:p>
        </w:tc>
        <w:tc>
          <w:tcPr>
            <w:tcW w:w="1064" w:type="dxa"/>
            <w:tcBorders>
              <w:tl2br w:val="nil"/>
              <w:tr2bl w:val="nil"/>
            </w:tcBorders>
          </w:tcPr>
          <w:p w14:paraId="545D633A" w14:textId="77777777" w:rsidR="0075791A" w:rsidRDefault="00FB2864">
            <w:pPr>
              <w:pStyle w:val="TableParagraph"/>
              <w:spacing w:before="39"/>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4</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w:t>
            </w:r>
          </w:p>
        </w:tc>
        <w:tc>
          <w:tcPr>
            <w:tcW w:w="1064" w:type="dxa"/>
            <w:tcBorders>
              <w:tl2br w:val="nil"/>
              <w:tr2bl w:val="nil"/>
            </w:tcBorders>
          </w:tcPr>
          <w:p w14:paraId="1DB48535" w14:textId="77777777" w:rsidR="0075791A" w:rsidRDefault="00FB2864">
            <w:pPr>
              <w:pStyle w:val="TableParagraph"/>
              <w:spacing w:before="39"/>
              <w:ind w:left="290"/>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62</w:t>
            </w:r>
            <w:r>
              <w:rPr>
                <w:rFonts w:ascii="Times New Roman" w:eastAsia="Times New Roman" w:hAnsi="Times New Roman" w:cs="Times New Roman"/>
                <w:color w:val="auto"/>
              </w:rPr>
              <w:t>5</w:t>
            </w:r>
          </w:p>
        </w:tc>
        <w:tc>
          <w:tcPr>
            <w:tcW w:w="1062" w:type="dxa"/>
            <w:tcBorders>
              <w:tl2br w:val="nil"/>
              <w:tr2bl w:val="nil"/>
            </w:tcBorders>
          </w:tcPr>
          <w:p w14:paraId="316713A1" w14:textId="77777777" w:rsidR="0075791A" w:rsidRDefault="00FB2864">
            <w:pPr>
              <w:pStyle w:val="TableParagraph"/>
              <w:spacing w:before="39"/>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123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rPr>
              <w:t>0</w:t>
            </w:r>
          </w:p>
        </w:tc>
      </w:tr>
      <w:tr w:rsidR="0075791A" w14:paraId="642A674B" w14:textId="77777777">
        <w:trPr>
          <w:trHeight w:hRule="exact" w:val="330"/>
        </w:trPr>
        <w:tc>
          <w:tcPr>
            <w:tcW w:w="1528" w:type="dxa"/>
            <w:tcBorders>
              <w:tl2br w:val="nil"/>
              <w:tr2bl w:val="nil"/>
            </w:tcBorders>
          </w:tcPr>
          <w:p w14:paraId="005A9614" w14:textId="77777777" w:rsidR="0075791A" w:rsidRDefault="00FB2864">
            <w:pPr>
              <w:pStyle w:val="TableParagraph"/>
              <w:spacing w:line="264" w:lineRule="exact"/>
              <w:ind w:left="443"/>
              <w:rPr>
                <w:rFonts w:ascii="宋体" w:eastAsia="宋体" w:hAnsi="宋体" w:cs="宋体"/>
                <w:color w:val="auto"/>
              </w:rPr>
            </w:pPr>
            <w:r>
              <w:rPr>
                <w:rFonts w:ascii="宋体" w:eastAsia="宋体" w:hAnsi="宋体" w:cs="宋体"/>
                <w:color w:val="auto"/>
                <w:spacing w:val="-1"/>
              </w:rPr>
              <w:t>蓝</w:t>
            </w:r>
            <w:r>
              <w:rPr>
                <w:rFonts w:ascii="宋体" w:eastAsia="宋体" w:hAnsi="宋体" w:cs="宋体"/>
                <w:color w:val="auto"/>
                <w:spacing w:val="2"/>
              </w:rPr>
              <w:t>圆</w:t>
            </w:r>
            <w:r>
              <w:rPr>
                <w:rFonts w:ascii="宋体" w:eastAsia="宋体" w:hAnsi="宋体" w:cs="宋体"/>
                <w:color w:val="auto"/>
              </w:rPr>
              <w:t>鰺</w:t>
            </w:r>
          </w:p>
        </w:tc>
        <w:tc>
          <w:tcPr>
            <w:tcW w:w="3232" w:type="dxa"/>
            <w:tcBorders>
              <w:tl2br w:val="nil"/>
              <w:tr2bl w:val="nil"/>
            </w:tcBorders>
          </w:tcPr>
          <w:p w14:paraId="2E3C2128" w14:textId="77777777" w:rsidR="0075791A" w:rsidRDefault="00FB2864">
            <w:pPr>
              <w:pStyle w:val="TableParagraph"/>
              <w:spacing w:before="34"/>
              <w:ind w:left="660"/>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2"/>
                <w:sz w:val="22"/>
                <w:szCs w:val="22"/>
              </w:rPr>
              <w:t>D</w:t>
            </w:r>
            <w:r>
              <w:rPr>
                <w:rFonts w:ascii="Times New Roman" w:eastAsia="Times New Roman" w:hAnsi="Times New Roman" w:cs="Times New Roman"/>
                <w:i/>
                <w:color w:val="auto"/>
                <w:sz w:val="22"/>
                <w:szCs w:val="22"/>
              </w:rPr>
              <w:t>ec</w:t>
            </w:r>
            <w:r>
              <w:rPr>
                <w:rFonts w:ascii="Times New Roman" w:eastAsia="Times New Roman" w:hAnsi="Times New Roman" w:cs="Times New Roman"/>
                <w:i/>
                <w:color w:val="auto"/>
                <w:spacing w:val="-1"/>
                <w:sz w:val="22"/>
                <w:szCs w:val="22"/>
              </w:rPr>
              <w:t>ap</w:t>
            </w:r>
            <w:r>
              <w:rPr>
                <w:rFonts w:ascii="Times New Roman" w:eastAsia="Times New Roman" w:hAnsi="Times New Roman" w:cs="Times New Roman"/>
                <w:i/>
                <w:color w:val="auto"/>
                <w:spacing w:val="-2"/>
                <w:sz w:val="22"/>
                <w:szCs w:val="22"/>
              </w:rPr>
              <w:t>t</w:t>
            </w:r>
            <w:r>
              <w:rPr>
                <w:rFonts w:ascii="Times New Roman" w:eastAsia="Times New Roman" w:hAnsi="Times New Roman" w:cs="Times New Roman"/>
                <w:i/>
                <w:color w:val="auto"/>
                <w:sz w:val="22"/>
                <w:szCs w:val="22"/>
              </w:rPr>
              <w:t>er</w:t>
            </w:r>
            <w:r>
              <w:rPr>
                <w:rFonts w:ascii="Times New Roman" w:eastAsia="Times New Roman" w:hAnsi="Times New Roman" w:cs="Times New Roman"/>
                <w:i/>
                <w:color w:val="auto"/>
                <w:spacing w:val="-3"/>
                <w:sz w:val="22"/>
                <w:szCs w:val="22"/>
              </w:rPr>
              <w:t>u</w:t>
            </w:r>
            <w:r>
              <w:rPr>
                <w:rFonts w:ascii="Times New Roman" w:eastAsia="Times New Roman" w:hAnsi="Times New Roman" w:cs="Times New Roman"/>
                <w:i/>
                <w:color w:val="auto"/>
                <w:sz w:val="22"/>
                <w:szCs w:val="22"/>
              </w:rPr>
              <w:t xml:space="preserve">s </w:t>
            </w:r>
            <w:r>
              <w:rPr>
                <w:rFonts w:ascii="Times New Roman" w:eastAsia="Times New Roman" w:hAnsi="Times New Roman" w:cs="Times New Roman"/>
                <w:i/>
                <w:color w:val="auto"/>
                <w:spacing w:val="-2"/>
                <w:sz w:val="22"/>
                <w:szCs w:val="22"/>
              </w:rPr>
              <w:t>m</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1"/>
                <w:sz w:val="22"/>
                <w:szCs w:val="22"/>
              </w:rPr>
              <w:t>ua</w:t>
            </w:r>
            <w:r>
              <w:rPr>
                <w:rFonts w:ascii="Times New Roman" w:eastAsia="Times New Roman" w:hAnsi="Times New Roman" w:cs="Times New Roman"/>
                <w:i/>
                <w:color w:val="auto"/>
                <w:spacing w:val="-3"/>
                <w:sz w:val="22"/>
                <w:szCs w:val="22"/>
              </w:rPr>
              <w:t>d</w:t>
            </w:r>
            <w:r>
              <w:rPr>
                <w:rFonts w:ascii="Times New Roman" w:eastAsia="Times New Roman" w:hAnsi="Times New Roman" w:cs="Times New Roman"/>
                <w:i/>
                <w:color w:val="auto"/>
                <w:sz w:val="22"/>
                <w:szCs w:val="22"/>
              </w:rPr>
              <w:t>si</w:t>
            </w:r>
          </w:p>
        </w:tc>
        <w:tc>
          <w:tcPr>
            <w:tcW w:w="1064" w:type="dxa"/>
            <w:tcBorders>
              <w:tl2br w:val="nil"/>
              <w:tr2bl w:val="nil"/>
            </w:tcBorders>
          </w:tcPr>
          <w:p w14:paraId="53D0D598" w14:textId="77777777" w:rsidR="0075791A" w:rsidRDefault="00FB2864">
            <w:pPr>
              <w:pStyle w:val="TableParagraph"/>
              <w:spacing w:before="40"/>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88</w:t>
            </w:r>
            <w:r>
              <w:rPr>
                <w:rFonts w:ascii="Times New Roman" w:eastAsia="Times New Roman" w:hAnsi="Times New Roman" w:cs="Times New Roman"/>
                <w:color w:val="auto"/>
              </w:rPr>
              <w:t>%</w:t>
            </w:r>
          </w:p>
        </w:tc>
        <w:tc>
          <w:tcPr>
            <w:tcW w:w="1064" w:type="dxa"/>
            <w:tcBorders>
              <w:tl2br w:val="nil"/>
              <w:tr2bl w:val="nil"/>
            </w:tcBorders>
          </w:tcPr>
          <w:p w14:paraId="0D9F1D2F" w14:textId="77777777" w:rsidR="0075791A" w:rsidRDefault="00FB2864">
            <w:pPr>
              <w:pStyle w:val="TableParagraph"/>
              <w:spacing w:before="40"/>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5</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p>
        </w:tc>
        <w:tc>
          <w:tcPr>
            <w:tcW w:w="1064" w:type="dxa"/>
            <w:tcBorders>
              <w:tl2br w:val="nil"/>
              <w:tr2bl w:val="nil"/>
            </w:tcBorders>
          </w:tcPr>
          <w:p w14:paraId="2C2F5C4E" w14:textId="77777777" w:rsidR="0075791A" w:rsidRDefault="00FB2864">
            <w:pPr>
              <w:pStyle w:val="TableParagraph"/>
              <w:spacing w:before="40"/>
              <w:ind w:left="375" w:right="3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.5</w:t>
            </w:r>
          </w:p>
        </w:tc>
        <w:tc>
          <w:tcPr>
            <w:tcW w:w="1062" w:type="dxa"/>
            <w:tcBorders>
              <w:tl2br w:val="nil"/>
              <w:tr2bl w:val="nil"/>
            </w:tcBorders>
          </w:tcPr>
          <w:p w14:paraId="2FF4FA13" w14:textId="77777777" w:rsidR="0075791A" w:rsidRDefault="00FB2864">
            <w:pPr>
              <w:pStyle w:val="TableParagraph"/>
              <w:spacing w:before="40"/>
              <w:ind w:left="241"/>
              <w:rPr>
                <w:rFonts w:ascii="Times New Roman" w:eastAsia="Times New Roman" w:hAnsi="Times New Roman" w:cs="Times New Roman"/>
                <w:color w:val="auto"/>
              </w:rPr>
            </w:pPr>
            <w:r>
              <w:rPr>
                <w:rFonts w:ascii="Times New Roman" w:eastAsia="Times New Roman" w:hAnsi="Times New Roman" w:cs="Times New Roman"/>
                <w:color w:val="auto"/>
                <w:spacing w:val="-5"/>
              </w:rPr>
              <w:t>1</w:t>
            </w:r>
            <w:r>
              <w:rPr>
                <w:rFonts w:ascii="Times New Roman" w:eastAsia="Times New Roman" w:hAnsi="Times New Roman" w:cs="Times New Roman"/>
                <w:color w:val="auto"/>
                <w:spacing w:val="-2"/>
              </w:rPr>
              <w:t>1</w:t>
            </w:r>
            <w:r>
              <w:rPr>
                <w:rFonts w:ascii="Times New Roman" w:eastAsia="Times New Roman" w:hAnsi="Times New Roman" w:cs="Times New Roman"/>
                <w:color w:val="auto"/>
                <w:spacing w:val="1"/>
              </w:rPr>
              <w:t>8</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3</w:t>
            </w:r>
          </w:p>
        </w:tc>
      </w:tr>
      <w:tr w:rsidR="0075791A" w14:paraId="42533C36" w14:textId="77777777">
        <w:trPr>
          <w:trHeight w:hRule="exact" w:val="330"/>
        </w:trPr>
        <w:tc>
          <w:tcPr>
            <w:tcW w:w="1528" w:type="dxa"/>
            <w:tcBorders>
              <w:tl2br w:val="nil"/>
              <w:tr2bl w:val="nil"/>
            </w:tcBorders>
          </w:tcPr>
          <w:p w14:paraId="49C99185" w14:textId="77777777" w:rsidR="0075791A" w:rsidRDefault="00FB2864">
            <w:pPr>
              <w:pStyle w:val="TableParagraph"/>
              <w:spacing w:line="265" w:lineRule="exact"/>
              <w:ind w:left="234"/>
              <w:rPr>
                <w:rFonts w:ascii="宋体" w:eastAsia="宋体" w:hAnsi="宋体" w:cs="宋体"/>
                <w:color w:val="auto"/>
              </w:rPr>
            </w:pPr>
            <w:r>
              <w:rPr>
                <w:rFonts w:ascii="宋体" w:eastAsia="宋体" w:hAnsi="宋体" w:cs="宋体"/>
                <w:color w:val="auto"/>
                <w:spacing w:val="-1"/>
              </w:rPr>
              <w:t>银</w:t>
            </w:r>
            <w:r>
              <w:rPr>
                <w:rFonts w:ascii="宋体" w:eastAsia="宋体" w:hAnsi="宋体" w:cs="宋体"/>
                <w:color w:val="auto"/>
                <w:spacing w:val="2"/>
              </w:rPr>
              <w:t>光</w:t>
            </w:r>
            <w:r>
              <w:rPr>
                <w:rFonts w:ascii="宋体" w:eastAsia="宋体" w:hAnsi="宋体" w:cs="宋体"/>
                <w:color w:val="auto"/>
                <w:spacing w:val="-1"/>
              </w:rPr>
              <w:t>梭</w:t>
            </w:r>
            <w:r>
              <w:rPr>
                <w:rFonts w:ascii="宋体" w:eastAsia="宋体" w:hAnsi="宋体" w:cs="宋体"/>
                <w:color w:val="auto"/>
                <w:spacing w:val="2"/>
              </w:rPr>
              <w:t>子</w:t>
            </w:r>
            <w:r>
              <w:rPr>
                <w:rFonts w:ascii="宋体" w:eastAsia="宋体" w:hAnsi="宋体" w:cs="宋体"/>
                <w:color w:val="auto"/>
              </w:rPr>
              <w:t>蟹</w:t>
            </w:r>
          </w:p>
        </w:tc>
        <w:tc>
          <w:tcPr>
            <w:tcW w:w="3232" w:type="dxa"/>
            <w:tcBorders>
              <w:tl2br w:val="nil"/>
              <w:tr2bl w:val="nil"/>
            </w:tcBorders>
          </w:tcPr>
          <w:p w14:paraId="54E07D06" w14:textId="77777777" w:rsidR="0075791A" w:rsidRDefault="00FB2864">
            <w:pPr>
              <w:pStyle w:val="TableParagraph"/>
              <w:spacing w:before="35"/>
              <w:ind w:left="713"/>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Po</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2"/>
                <w:sz w:val="22"/>
                <w:szCs w:val="22"/>
              </w:rPr>
              <w:t>t</w:t>
            </w:r>
            <w:r>
              <w:rPr>
                <w:rFonts w:ascii="Times New Roman" w:eastAsia="Times New Roman" w:hAnsi="Times New Roman" w:cs="Times New Roman"/>
                <w:i/>
                <w:color w:val="auto"/>
                <w:spacing w:val="-1"/>
                <w:sz w:val="22"/>
                <w:szCs w:val="22"/>
              </w:rPr>
              <w:t>unu</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 xml:space="preserve"> </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pacing w:val="-7"/>
                <w:sz w:val="22"/>
                <w:szCs w:val="22"/>
              </w:rPr>
              <w:t>r</w:t>
            </w:r>
            <w:r>
              <w:rPr>
                <w:rFonts w:ascii="Times New Roman" w:eastAsia="Times New Roman" w:hAnsi="Times New Roman" w:cs="Times New Roman"/>
                <w:i/>
                <w:color w:val="auto"/>
                <w:spacing w:val="-3"/>
                <w:sz w:val="22"/>
                <w:szCs w:val="22"/>
              </w:rPr>
              <w:t>g</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1"/>
                <w:sz w:val="22"/>
                <w:szCs w:val="22"/>
              </w:rPr>
              <w:t>n</w:t>
            </w:r>
            <w:r>
              <w:rPr>
                <w:rFonts w:ascii="Times New Roman" w:eastAsia="Times New Roman" w:hAnsi="Times New Roman" w:cs="Times New Roman"/>
                <w:i/>
                <w:color w:val="auto"/>
                <w:spacing w:val="-2"/>
                <w:sz w:val="22"/>
                <w:szCs w:val="22"/>
              </w:rPr>
              <w:t>t</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pacing w:val="-2"/>
                <w:sz w:val="22"/>
                <w:szCs w:val="22"/>
              </w:rPr>
              <w:t>t</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s</w:t>
            </w:r>
          </w:p>
        </w:tc>
        <w:tc>
          <w:tcPr>
            <w:tcW w:w="1064" w:type="dxa"/>
            <w:tcBorders>
              <w:tl2br w:val="nil"/>
              <w:tr2bl w:val="nil"/>
            </w:tcBorders>
          </w:tcPr>
          <w:p w14:paraId="432923A0" w14:textId="77777777" w:rsidR="0075791A" w:rsidRDefault="00FB2864">
            <w:pPr>
              <w:pStyle w:val="TableParagraph"/>
              <w:spacing w:before="39"/>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42</w:t>
            </w:r>
            <w:r>
              <w:rPr>
                <w:rFonts w:ascii="Times New Roman" w:eastAsia="Times New Roman" w:hAnsi="Times New Roman" w:cs="Times New Roman"/>
                <w:color w:val="auto"/>
              </w:rPr>
              <w:t>%</w:t>
            </w:r>
          </w:p>
        </w:tc>
        <w:tc>
          <w:tcPr>
            <w:tcW w:w="1064" w:type="dxa"/>
            <w:tcBorders>
              <w:tl2br w:val="nil"/>
              <w:tr2bl w:val="nil"/>
            </w:tcBorders>
          </w:tcPr>
          <w:p w14:paraId="1C487FCD" w14:textId="77777777" w:rsidR="0075791A" w:rsidRDefault="00FB2864">
            <w:pPr>
              <w:pStyle w:val="TableParagraph"/>
              <w:spacing w:before="39"/>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7</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p>
        </w:tc>
        <w:tc>
          <w:tcPr>
            <w:tcW w:w="1064" w:type="dxa"/>
            <w:tcBorders>
              <w:tl2br w:val="nil"/>
              <w:tr2bl w:val="nil"/>
            </w:tcBorders>
          </w:tcPr>
          <w:p w14:paraId="245BAAAD" w14:textId="77777777" w:rsidR="0075791A" w:rsidRDefault="00FB2864">
            <w:pPr>
              <w:pStyle w:val="TableParagraph"/>
              <w:spacing w:before="39"/>
              <w:ind w:left="375" w:right="3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.5</w:t>
            </w:r>
          </w:p>
        </w:tc>
        <w:tc>
          <w:tcPr>
            <w:tcW w:w="1062" w:type="dxa"/>
            <w:tcBorders>
              <w:tl2br w:val="nil"/>
              <w:tr2bl w:val="nil"/>
            </w:tcBorders>
          </w:tcPr>
          <w:p w14:paraId="6BAF6219" w14:textId="77777777" w:rsidR="0075791A" w:rsidRDefault="00FB2864">
            <w:pPr>
              <w:pStyle w:val="TableParagraph"/>
              <w:spacing w:before="39"/>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107</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4</w:t>
            </w:r>
            <w:r>
              <w:rPr>
                <w:rFonts w:ascii="Times New Roman" w:eastAsia="Times New Roman" w:hAnsi="Times New Roman" w:cs="Times New Roman"/>
                <w:color w:val="auto"/>
              </w:rPr>
              <w:t>2</w:t>
            </w:r>
          </w:p>
        </w:tc>
      </w:tr>
      <w:tr w:rsidR="0075791A" w14:paraId="10299155" w14:textId="77777777">
        <w:trPr>
          <w:trHeight w:hRule="exact" w:val="330"/>
        </w:trPr>
        <w:tc>
          <w:tcPr>
            <w:tcW w:w="1528" w:type="dxa"/>
            <w:tcBorders>
              <w:tl2br w:val="nil"/>
              <w:tr2bl w:val="nil"/>
            </w:tcBorders>
          </w:tcPr>
          <w:p w14:paraId="0E39C973" w14:textId="77777777" w:rsidR="0075791A" w:rsidRDefault="00FB2864">
            <w:pPr>
              <w:pStyle w:val="TableParagraph"/>
              <w:spacing w:line="264" w:lineRule="exact"/>
              <w:ind w:left="443"/>
              <w:rPr>
                <w:rFonts w:ascii="宋体" w:eastAsia="宋体" w:hAnsi="宋体" w:cs="宋体"/>
                <w:color w:val="auto"/>
              </w:rPr>
            </w:pPr>
            <w:r>
              <w:rPr>
                <w:rFonts w:ascii="宋体" w:eastAsia="宋体" w:hAnsi="宋体" w:cs="宋体"/>
                <w:color w:val="auto"/>
                <w:spacing w:val="-1"/>
              </w:rPr>
              <w:t>黄</w:t>
            </w:r>
            <w:r>
              <w:rPr>
                <w:rFonts w:ascii="宋体" w:eastAsia="宋体" w:hAnsi="宋体" w:cs="宋体"/>
                <w:color w:val="auto"/>
                <w:spacing w:val="2"/>
              </w:rPr>
              <w:t>斑</w:t>
            </w:r>
            <w:r>
              <w:rPr>
                <w:rFonts w:ascii="宋体" w:eastAsia="宋体" w:hAnsi="宋体" w:cs="宋体"/>
                <w:color w:val="auto"/>
              </w:rPr>
              <w:t>鰏</w:t>
            </w:r>
          </w:p>
        </w:tc>
        <w:tc>
          <w:tcPr>
            <w:tcW w:w="3232" w:type="dxa"/>
            <w:tcBorders>
              <w:tl2br w:val="nil"/>
              <w:tr2bl w:val="nil"/>
            </w:tcBorders>
          </w:tcPr>
          <w:p w14:paraId="59F1EE7B" w14:textId="77777777" w:rsidR="0075791A" w:rsidRDefault="00FB2864">
            <w:pPr>
              <w:pStyle w:val="TableParagraph"/>
              <w:spacing w:before="34"/>
              <w:ind w:left="746"/>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L</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pacing w:val="-1"/>
                <w:sz w:val="22"/>
                <w:szCs w:val="22"/>
              </w:rPr>
              <w:t>ogna</w:t>
            </w:r>
            <w:r>
              <w:rPr>
                <w:rFonts w:ascii="Times New Roman" w:eastAsia="Times New Roman" w:hAnsi="Times New Roman" w:cs="Times New Roman"/>
                <w:i/>
                <w:color w:val="auto"/>
                <w:spacing w:val="-2"/>
                <w:sz w:val="22"/>
                <w:szCs w:val="22"/>
              </w:rPr>
              <w:t>t</w:t>
            </w:r>
            <w:r>
              <w:rPr>
                <w:rFonts w:ascii="Times New Roman" w:eastAsia="Times New Roman" w:hAnsi="Times New Roman" w:cs="Times New Roman"/>
                <w:i/>
                <w:color w:val="auto"/>
                <w:spacing w:val="-1"/>
                <w:sz w:val="22"/>
                <w:szCs w:val="22"/>
              </w:rPr>
              <w:t>hu</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 xml:space="preserve"> </w:t>
            </w:r>
            <w:r>
              <w:rPr>
                <w:rFonts w:ascii="Times New Roman" w:eastAsia="Times New Roman" w:hAnsi="Times New Roman" w:cs="Times New Roman"/>
                <w:i/>
                <w:color w:val="auto"/>
                <w:spacing w:val="-1"/>
                <w:sz w:val="22"/>
                <w:szCs w:val="22"/>
              </w:rPr>
              <w:t>b</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pacing w:val="-1"/>
                <w:sz w:val="22"/>
                <w:szCs w:val="22"/>
              </w:rPr>
              <w:t>ndu</w:t>
            </w:r>
            <w:r>
              <w:rPr>
                <w:rFonts w:ascii="Times New Roman" w:eastAsia="Times New Roman" w:hAnsi="Times New Roman" w:cs="Times New Roman"/>
                <w:i/>
                <w:color w:val="auto"/>
                <w:sz w:val="22"/>
                <w:szCs w:val="22"/>
              </w:rPr>
              <w:t>s</w:t>
            </w:r>
          </w:p>
        </w:tc>
        <w:tc>
          <w:tcPr>
            <w:tcW w:w="1064" w:type="dxa"/>
            <w:tcBorders>
              <w:tl2br w:val="nil"/>
              <w:tr2bl w:val="nil"/>
            </w:tcBorders>
          </w:tcPr>
          <w:p w14:paraId="3156DD3F" w14:textId="77777777" w:rsidR="0075791A" w:rsidRDefault="00FB2864">
            <w:pPr>
              <w:pStyle w:val="TableParagraph"/>
              <w:spacing w:before="40"/>
              <w:ind w:left="255"/>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64</w:t>
            </w:r>
            <w:r>
              <w:rPr>
                <w:rFonts w:ascii="Times New Roman" w:eastAsia="Times New Roman" w:hAnsi="Times New Roman" w:cs="Times New Roman"/>
                <w:color w:val="auto"/>
              </w:rPr>
              <w:t>%</w:t>
            </w:r>
          </w:p>
        </w:tc>
        <w:tc>
          <w:tcPr>
            <w:tcW w:w="1064" w:type="dxa"/>
            <w:tcBorders>
              <w:tl2br w:val="nil"/>
              <w:tr2bl w:val="nil"/>
            </w:tcBorders>
          </w:tcPr>
          <w:p w14:paraId="6C727753" w14:textId="77777777" w:rsidR="0075791A" w:rsidRDefault="00FB2864">
            <w:pPr>
              <w:pStyle w:val="TableParagraph"/>
              <w:spacing w:before="40"/>
              <w:ind w:left="257"/>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4</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w:t>
            </w:r>
          </w:p>
        </w:tc>
        <w:tc>
          <w:tcPr>
            <w:tcW w:w="1064" w:type="dxa"/>
            <w:tcBorders>
              <w:tl2br w:val="nil"/>
              <w:tr2bl w:val="nil"/>
            </w:tcBorders>
          </w:tcPr>
          <w:p w14:paraId="7E58A941" w14:textId="77777777" w:rsidR="0075791A" w:rsidRDefault="00FB2864">
            <w:pPr>
              <w:pStyle w:val="TableParagraph"/>
              <w:spacing w:before="40"/>
              <w:ind w:left="375" w:right="37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.5</w:t>
            </w:r>
          </w:p>
        </w:tc>
        <w:tc>
          <w:tcPr>
            <w:tcW w:w="1062" w:type="dxa"/>
            <w:tcBorders>
              <w:tl2br w:val="nil"/>
              <w:tr2bl w:val="nil"/>
            </w:tcBorders>
          </w:tcPr>
          <w:p w14:paraId="2A62176E" w14:textId="77777777" w:rsidR="0075791A" w:rsidRDefault="00FB2864">
            <w:pPr>
              <w:pStyle w:val="TableParagraph"/>
              <w:spacing w:before="40"/>
              <w:ind w:left="236"/>
              <w:rPr>
                <w:rFonts w:ascii="Times New Roman" w:eastAsia="Times New Roman" w:hAnsi="Times New Roman" w:cs="Times New Roman"/>
                <w:color w:val="auto"/>
              </w:rPr>
            </w:pPr>
            <w:r>
              <w:rPr>
                <w:rFonts w:ascii="Times New Roman" w:eastAsia="Times New Roman" w:hAnsi="Times New Roman" w:cs="Times New Roman"/>
                <w:color w:val="auto"/>
                <w:spacing w:val="1"/>
              </w:rPr>
              <w:t>106</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6</w:t>
            </w:r>
            <w:r>
              <w:rPr>
                <w:rFonts w:ascii="Times New Roman" w:eastAsia="Times New Roman" w:hAnsi="Times New Roman" w:cs="Times New Roman"/>
                <w:color w:val="auto"/>
              </w:rPr>
              <w:t>4</w:t>
            </w:r>
          </w:p>
        </w:tc>
      </w:tr>
    </w:tbl>
    <w:p w14:paraId="25B93077" w14:textId="77777777" w:rsidR="0075791A" w:rsidRDefault="0075791A">
      <w:pPr>
        <w:spacing w:line="355" w:lineRule="auto"/>
        <w:rPr>
          <w:rFonts w:ascii="Times New Roman" w:eastAsia="宋体" w:hAnsi="Times New Roman" w:cs="宋体"/>
          <w:color w:val="auto"/>
          <w:sz w:val="24"/>
          <w:szCs w:val="24"/>
        </w:rPr>
      </w:pPr>
    </w:p>
    <w:p w14:paraId="4C84FCC0" w14:textId="77777777" w:rsidR="0075791A" w:rsidRDefault="00FB2864">
      <w:pPr>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2.</w:t>
      </w:r>
      <w:r>
        <w:rPr>
          <w:rFonts w:ascii="Times New Roman" w:eastAsia="宋体" w:hAnsi="Times New Roman" w:cs="Times New Roman" w:hint="eastAsia"/>
          <w:b/>
          <w:bCs/>
          <w:snapToGrid/>
          <w:color w:val="auto"/>
          <w:kern w:val="2"/>
          <w:sz w:val="24"/>
          <w:szCs w:val="24"/>
          <w:lang w:eastAsia="zh-CN"/>
        </w:rPr>
        <w:t>鱼类资源状况</w:t>
      </w:r>
    </w:p>
    <w:p w14:paraId="24E14272"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经鉴定，本次调查共捕获鱼类</w:t>
      </w:r>
      <w:r>
        <w:rPr>
          <w:rFonts w:ascii="Times New Roman" w:eastAsia="宋体" w:hAnsi="Times New Roman" w:cs="Times New Roman" w:hint="eastAsia"/>
          <w:snapToGrid/>
          <w:color w:val="auto"/>
          <w:kern w:val="2"/>
          <w:sz w:val="24"/>
          <w:szCs w:val="24"/>
          <w:lang w:eastAsia="zh-CN"/>
        </w:rPr>
        <w:t>87</w:t>
      </w:r>
      <w:r>
        <w:rPr>
          <w:rFonts w:ascii="Times New Roman" w:eastAsia="宋体" w:hAnsi="Times New Roman" w:cs="Times New Roman" w:hint="eastAsia"/>
          <w:snapToGrid/>
          <w:color w:val="auto"/>
          <w:kern w:val="2"/>
          <w:sz w:val="24"/>
          <w:szCs w:val="24"/>
          <w:lang w:eastAsia="zh-CN"/>
        </w:rPr>
        <w:t>种，分隶于</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目</w:t>
      </w:r>
      <w:r>
        <w:rPr>
          <w:rFonts w:ascii="Times New Roman" w:eastAsia="宋体" w:hAnsi="Times New Roman" w:cs="Times New Roman" w:hint="eastAsia"/>
          <w:snapToGrid/>
          <w:color w:val="auto"/>
          <w:kern w:val="2"/>
          <w:sz w:val="24"/>
          <w:szCs w:val="24"/>
          <w:lang w:eastAsia="zh-CN"/>
        </w:rPr>
        <w:t>45</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67</w:t>
      </w:r>
      <w:r>
        <w:rPr>
          <w:rFonts w:ascii="Times New Roman" w:eastAsia="宋体" w:hAnsi="Times New Roman" w:cs="Times New Roman" w:hint="eastAsia"/>
          <w:snapToGrid/>
          <w:color w:val="auto"/>
          <w:kern w:val="2"/>
          <w:sz w:val="24"/>
          <w:szCs w:val="24"/>
          <w:lang w:eastAsia="zh-CN"/>
        </w:rPr>
        <w:t>属。以鲈形目的种类数最多，共有</w:t>
      </w:r>
      <w:r>
        <w:rPr>
          <w:rFonts w:ascii="Times New Roman" w:eastAsia="宋体" w:hAnsi="Times New Roman" w:cs="Times New Roman" w:hint="eastAsia"/>
          <w:snapToGrid/>
          <w:color w:val="auto"/>
          <w:kern w:val="2"/>
          <w:sz w:val="24"/>
          <w:szCs w:val="24"/>
          <w:lang w:eastAsia="zh-CN"/>
        </w:rPr>
        <w:t>50</w:t>
      </w:r>
      <w:r>
        <w:rPr>
          <w:rFonts w:ascii="Times New Roman" w:eastAsia="宋体" w:hAnsi="Times New Roman" w:cs="Times New Roman" w:hint="eastAsia"/>
          <w:snapToGrid/>
          <w:color w:val="auto"/>
          <w:kern w:val="2"/>
          <w:sz w:val="24"/>
          <w:szCs w:val="24"/>
          <w:lang w:eastAsia="zh-CN"/>
        </w:rPr>
        <w:t>种，鲉形目次之，为</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lang w:eastAsia="zh-CN"/>
        </w:rPr>
        <w:t>种。其它目分别为：鲽形目</w:t>
      </w:r>
      <w:r>
        <w:rPr>
          <w:rFonts w:ascii="Times New Roman" w:eastAsia="宋体" w:hAnsi="Times New Roman" w:cs="Times New Roman" w:hint="eastAsia"/>
          <w:snapToGrid/>
          <w:color w:val="auto"/>
          <w:kern w:val="2"/>
          <w:sz w:val="24"/>
          <w:szCs w:val="24"/>
          <w:lang w:eastAsia="zh-CN"/>
        </w:rPr>
        <w:t>8</w:t>
      </w:r>
      <w:r>
        <w:rPr>
          <w:rFonts w:ascii="Times New Roman" w:eastAsia="宋体" w:hAnsi="Times New Roman" w:cs="Times New Roman" w:hint="eastAsia"/>
          <w:snapToGrid/>
          <w:color w:val="auto"/>
          <w:kern w:val="2"/>
          <w:sz w:val="24"/>
          <w:szCs w:val="24"/>
          <w:lang w:eastAsia="zh-CN"/>
        </w:rPr>
        <w:t>种，鳗鲡目</w:t>
      </w:r>
      <w:r>
        <w:rPr>
          <w:rFonts w:ascii="Times New Roman" w:eastAsia="宋体" w:hAnsi="Times New Roman" w:cs="Times New Roman" w:hint="eastAsia"/>
          <w:snapToGrid/>
          <w:color w:val="auto"/>
          <w:kern w:val="2"/>
          <w:sz w:val="24"/>
          <w:szCs w:val="24"/>
          <w:lang w:eastAsia="zh-CN"/>
        </w:rPr>
        <w:t>7</w:t>
      </w:r>
      <w:r>
        <w:rPr>
          <w:rFonts w:ascii="Times New Roman" w:eastAsia="宋体" w:hAnsi="Times New Roman" w:cs="Times New Roman" w:hint="eastAsia"/>
          <w:snapToGrid/>
          <w:color w:val="auto"/>
          <w:kern w:val="2"/>
          <w:sz w:val="24"/>
          <w:szCs w:val="24"/>
          <w:lang w:eastAsia="zh-CN"/>
        </w:rPr>
        <w:t>种，鲀形目</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种，仙鱼目</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种，鲱形目和刺鱼目为</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种，鲻形目</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种。</w:t>
      </w:r>
    </w:p>
    <w:p w14:paraId="70BECA15"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本次调查鱼类平均渔获率为</w:t>
      </w:r>
      <w:r>
        <w:rPr>
          <w:rFonts w:ascii="Times New Roman" w:eastAsia="宋体" w:hAnsi="Times New Roman" w:cs="Times New Roman" w:hint="eastAsia"/>
          <w:snapToGrid/>
          <w:color w:val="auto"/>
          <w:kern w:val="2"/>
          <w:sz w:val="24"/>
          <w:szCs w:val="24"/>
          <w:lang w:eastAsia="zh-CN"/>
        </w:rPr>
        <w:t>3.65kg/h</w:t>
      </w:r>
      <w:r>
        <w:rPr>
          <w:rFonts w:ascii="Times New Roman" w:eastAsia="宋体" w:hAnsi="Times New Roman" w:cs="Times New Roman" w:hint="eastAsia"/>
          <w:snapToGrid/>
          <w:color w:val="auto"/>
          <w:kern w:val="2"/>
          <w:sz w:val="24"/>
          <w:szCs w:val="24"/>
          <w:lang w:eastAsia="zh-CN"/>
        </w:rPr>
        <w:t>。渔获率最高的站位出现在</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站，为</w:t>
      </w:r>
      <w:r>
        <w:rPr>
          <w:rFonts w:ascii="Times New Roman" w:eastAsia="宋体" w:hAnsi="Times New Roman" w:cs="Times New Roman" w:hint="eastAsia"/>
          <w:snapToGrid/>
          <w:color w:val="auto"/>
          <w:kern w:val="2"/>
          <w:sz w:val="24"/>
          <w:szCs w:val="24"/>
          <w:lang w:eastAsia="zh-CN"/>
        </w:rPr>
        <w:t>6.34kg/h</w:t>
      </w:r>
      <w:r>
        <w:rPr>
          <w:rFonts w:ascii="Times New Roman" w:eastAsia="宋体" w:hAnsi="Times New Roman" w:cs="Times New Roman" w:hint="eastAsia"/>
          <w:snapToGrid/>
          <w:color w:val="auto"/>
          <w:kern w:val="2"/>
          <w:sz w:val="24"/>
          <w:szCs w:val="24"/>
          <w:lang w:eastAsia="zh-CN"/>
        </w:rPr>
        <w:t>。渔获率次高站出现在</w:t>
      </w:r>
      <w:r>
        <w:rPr>
          <w:rFonts w:ascii="Times New Roman" w:eastAsia="宋体" w:hAnsi="Times New Roman" w:cs="Times New Roman" w:hint="eastAsia"/>
          <w:snapToGrid/>
          <w:color w:val="auto"/>
          <w:kern w:val="2"/>
          <w:sz w:val="24"/>
          <w:szCs w:val="24"/>
          <w:lang w:eastAsia="zh-CN"/>
        </w:rPr>
        <w:t>H5</w:t>
      </w:r>
      <w:r>
        <w:rPr>
          <w:rFonts w:ascii="Times New Roman" w:eastAsia="宋体" w:hAnsi="Times New Roman" w:cs="Times New Roman" w:hint="eastAsia"/>
          <w:snapToGrid/>
          <w:color w:val="auto"/>
          <w:kern w:val="2"/>
          <w:sz w:val="24"/>
          <w:szCs w:val="24"/>
          <w:lang w:eastAsia="zh-CN"/>
        </w:rPr>
        <w:t>站，渔获率为</w:t>
      </w:r>
      <w:r>
        <w:rPr>
          <w:rFonts w:ascii="Times New Roman" w:eastAsia="宋体" w:hAnsi="Times New Roman" w:cs="Times New Roman" w:hint="eastAsia"/>
          <w:snapToGrid/>
          <w:color w:val="auto"/>
          <w:kern w:val="2"/>
          <w:sz w:val="24"/>
          <w:szCs w:val="24"/>
          <w:lang w:eastAsia="zh-CN"/>
        </w:rPr>
        <w:t>6.08kg/h</w:t>
      </w:r>
      <w:r>
        <w:rPr>
          <w:rFonts w:ascii="Times New Roman" w:eastAsia="宋体" w:hAnsi="Times New Roman" w:cs="Times New Roman" w:hint="eastAsia"/>
          <w:snapToGrid/>
          <w:color w:val="auto"/>
          <w:kern w:val="2"/>
          <w:sz w:val="24"/>
          <w:szCs w:val="24"/>
          <w:lang w:eastAsia="zh-CN"/>
        </w:rPr>
        <w:t>。按个体计，鱼类的平均个体渔获率为</w:t>
      </w:r>
      <w:r>
        <w:rPr>
          <w:rFonts w:ascii="Times New Roman" w:eastAsia="宋体" w:hAnsi="Times New Roman" w:cs="Times New Roman" w:hint="eastAsia"/>
          <w:snapToGrid/>
          <w:color w:val="auto"/>
          <w:kern w:val="2"/>
          <w:sz w:val="24"/>
          <w:szCs w:val="24"/>
          <w:lang w:eastAsia="zh-CN"/>
        </w:rPr>
        <w:t>188.85ind./h</w:t>
      </w:r>
      <w:r>
        <w:rPr>
          <w:rFonts w:ascii="Times New Roman" w:eastAsia="宋体" w:hAnsi="Times New Roman" w:cs="Times New Roman" w:hint="eastAsia"/>
          <w:snapToGrid/>
          <w:color w:val="auto"/>
          <w:kern w:val="2"/>
          <w:sz w:val="24"/>
          <w:szCs w:val="24"/>
          <w:lang w:eastAsia="zh-CN"/>
        </w:rPr>
        <w:t>，以</w:t>
      </w:r>
      <w:r>
        <w:rPr>
          <w:rFonts w:ascii="Times New Roman" w:eastAsia="宋体" w:hAnsi="Times New Roman" w:cs="Times New Roman" w:hint="eastAsia"/>
          <w:snapToGrid/>
          <w:color w:val="auto"/>
          <w:kern w:val="2"/>
          <w:sz w:val="24"/>
          <w:szCs w:val="24"/>
          <w:lang w:eastAsia="zh-CN"/>
        </w:rPr>
        <w:t>H5</w:t>
      </w:r>
      <w:r>
        <w:rPr>
          <w:rFonts w:ascii="Times New Roman" w:eastAsia="宋体" w:hAnsi="Times New Roman" w:cs="Times New Roman" w:hint="eastAsia"/>
          <w:snapToGrid/>
          <w:color w:val="auto"/>
          <w:kern w:val="2"/>
          <w:sz w:val="24"/>
          <w:szCs w:val="24"/>
          <w:lang w:eastAsia="zh-CN"/>
        </w:rPr>
        <w:t>站最高，为</w:t>
      </w:r>
      <w:r>
        <w:rPr>
          <w:rFonts w:ascii="Times New Roman" w:eastAsia="宋体" w:hAnsi="Times New Roman" w:cs="Times New Roman" w:hint="eastAsia"/>
          <w:snapToGrid/>
          <w:color w:val="auto"/>
          <w:kern w:val="2"/>
          <w:sz w:val="24"/>
          <w:szCs w:val="24"/>
          <w:lang w:eastAsia="zh-CN"/>
        </w:rPr>
        <w:t>311.43ind./h</w:t>
      </w:r>
      <w:r>
        <w:rPr>
          <w:rFonts w:ascii="Times New Roman" w:eastAsia="宋体" w:hAnsi="Times New Roman" w:cs="Times New Roman" w:hint="eastAsia"/>
          <w:snapToGrid/>
          <w:color w:val="auto"/>
          <w:kern w:val="2"/>
          <w:sz w:val="24"/>
          <w:szCs w:val="24"/>
          <w:lang w:eastAsia="zh-CN"/>
        </w:rPr>
        <w:t>；其次是</w:t>
      </w:r>
      <w:r>
        <w:rPr>
          <w:rFonts w:ascii="Times New Roman" w:eastAsia="宋体" w:hAnsi="Times New Roman" w:cs="Times New Roman" w:hint="eastAsia"/>
          <w:snapToGrid/>
          <w:color w:val="auto"/>
          <w:kern w:val="2"/>
          <w:sz w:val="24"/>
          <w:szCs w:val="24"/>
          <w:lang w:eastAsia="zh-CN"/>
        </w:rPr>
        <w:t>H6</w:t>
      </w:r>
      <w:r>
        <w:rPr>
          <w:rFonts w:ascii="Times New Roman" w:eastAsia="宋体" w:hAnsi="Times New Roman" w:cs="Times New Roman" w:hint="eastAsia"/>
          <w:snapToGrid/>
          <w:color w:val="auto"/>
          <w:kern w:val="2"/>
          <w:sz w:val="24"/>
          <w:szCs w:val="24"/>
          <w:lang w:eastAsia="zh-CN"/>
        </w:rPr>
        <w:t>站，为</w:t>
      </w:r>
      <w:r>
        <w:rPr>
          <w:rFonts w:ascii="Times New Roman" w:eastAsia="宋体" w:hAnsi="Times New Roman" w:cs="Times New Roman" w:hint="eastAsia"/>
          <w:snapToGrid/>
          <w:color w:val="auto"/>
          <w:kern w:val="2"/>
          <w:sz w:val="24"/>
          <w:szCs w:val="24"/>
          <w:lang w:eastAsia="zh-CN"/>
        </w:rPr>
        <w:t>306.67ind./h</w:t>
      </w:r>
      <w:r>
        <w:rPr>
          <w:rFonts w:ascii="Times New Roman" w:eastAsia="宋体" w:hAnsi="Times New Roman" w:cs="Times New Roman" w:hint="eastAsia"/>
          <w:snapToGrid/>
          <w:color w:val="auto"/>
          <w:kern w:val="2"/>
          <w:sz w:val="24"/>
          <w:szCs w:val="24"/>
          <w:lang w:eastAsia="zh-CN"/>
        </w:rPr>
        <w:t>（详见表</w:t>
      </w:r>
      <w:r>
        <w:rPr>
          <w:rFonts w:ascii="Times New Roman" w:eastAsia="宋体" w:hAnsi="Times New Roman" w:cs="Times New Roman" w:hint="eastAsia"/>
          <w:snapToGrid/>
          <w:color w:val="auto"/>
          <w:kern w:val="2"/>
          <w:sz w:val="24"/>
          <w:szCs w:val="24"/>
          <w:lang w:eastAsia="zh-CN"/>
        </w:rPr>
        <w:t>3.2.6-31</w:t>
      </w:r>
      <w:r>
        <w:rPr>
          <w:rFonts w:ascii="Times New Roman" w:eastAsia="宋体" w:hAnsi="Times New Roman" w:cs="Times New Roman" w:hint="eastAsia"/>
          <w:snapToGrid/>
          <w:color w:val="auto"/>
          <w:kern w:val="2"/>
          <w:sz w:val="24"/>
          <w:szCs w:val="24"/>
          <w:lang w:eastAsia="zh-CN"/>
        </w:rPr>
        <w:t>）。</w:t>
      </w:r>
    </w:p>
    <w:p w14:paraId="625B6A15"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调查海域目前鱼类的资源密度约为</w:t>
      </w:r>
      <w:r>
        <w:rPr>
          <w:rFonts w:ascii="Times New Roman" w:eastAsia="宋体" w:hAnsi="Times New Roman" w:cs="Times New Roman" w:hint="eastAsia"/>
          <w:snapToGrid/>
          <w:color w:val="auto"/>
          <w:kern w:val="2"/>
          <w:sz w:val="24"/>
          <w:szCs w:val="24"/>
          <w:lang w:eastAsia="zh-CN"/>
        </w:rPr>
        <w:t>243.19kg/km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。调查区内以</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站最高（</w:t>
      </w:r>
      <w:r>
        <w:rPr>
          <w:rFonts w:ascii="Times New Roman" w:eastAsia="宋体" w:hAnsi="Times New Roman" w:cs="Times New Roman" w:hint="eastAsia"/>
          <w:snapToGrid/>
          <w:color w:val="auto"/>
          <w:kern w:val="2"/>
          <w:sz w:val="24"/>
          <w:szCs w:val="24"/>
          <w:lang w:eastAsia="zh-CN"/>
        </w:rPr>
        <w:t>326.25kg/km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H5</w:t>
      </w:r>
      <w:r>
        <w:rPr>
          <w:rFonts w:ascii="Times New Roman" w:eastAsia="宋体" w:hAnsi="Times New Roman" w:cs="Times New Roman" w:hint="eastAsia"/>
          <w:snapToGrid/>
          <w:color w:val="auto"/>
          <w:kern w:val="2"/>
          <w:sz w:val="24"/>
          <w:szCs w:val="24"/>
          <w:lang w:eastAsia="zh-CN"/>
        </w:rPr>
        <w:t>站次之（</w:t>
      </w:r>
      <w:r>
        <w:rPr>
          <w:rFonts w:ascii="Times New Roman" w:eastAsia="宋体" w:hAnsi="Times New Roman" w:cs="Times New Roman" w:hint="eastAsia"/>
          <w:snapToGrid/>
          <w:color w:val="auto"/>
          <w:kern w:val="2"/>
          <w:sz w:val="24"/>
          <w:szCs w:val="24"/>
          <w:lang w:eastAsia="zh-CN"/>
        </w:rPr>
        <w:t>312.61kg/km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H1</w:t>
      </w:r>
      <w:r>
        <w:rPr>
          <w:rFonts w:ascii="Times New Roman" w:eastAsia="宋体" w:hAnsi="Times New Roman" w:cs="Times New Roman" w:hint="eastAsia"/>
          <w:snapToGrid/>
          <w:color w:val="auto"/>
          <w:kern w:val="2"/>
          <w:sz w:val="24"/>
          <w:szCs w:val="24"/>
          <w:lang w:eastAsia="zh-CN"/>
        </w:rPr>
        <w:t>站最低（</w:t>
      </w:r>
      <w:r>
        <w:rPr>
          <w:rFonts w:ascii="Times New Roman" w:eastAsia="宋体" w:hAnsi="Times New Roman" w:cs="Times New Roman" w:hint="eastAsia"/>
          <w:snapToGrid/>
          <w:color w:val="auto"/>
          <w:kern w:val="2"/>
          <w:sz w:val="24"/>
          <w:szCs w:val="24"/>
          <w:lang w:eastAsia="zh-CN"/>
        </w:rPr>
        <w:t>179.84kg/km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）。鱼类的个体平</w:t>
      </w:r>
      <w:r>
        <w:rPr>
          <w:rFonts w:ascii="Times New Roman" w:eastAsia="宋体" w:hAnsi="Times New Roman" w:cs="Times New Roman" w:hint="eastAsia"/>
          <w:snapToGrid/>
          <w:color w:val="auto"/>
          <w:kern w:val="2"/>
          <w:sz w:val="24"/>
          <w:szCs w:val="24"/>
          <w:lang w:eastAsia="zh-CN"/>
        </w:rPr>
        <w:t>均资源密度为</w:t>
      </w:r>
      <w:r>
        <w:rPr>
          <w:rFonts w:ascii="Times New Roman" w:eastAsia="宋体" w:hAnsi="Times New Roman" w:cs="Times New Roman" w:hint="eastAsia"/>
          <w:snapToGrid/>
          <w:color w:val="auto"/>
          <w:kern w:val="2"/>
          <w:sz w:val="24"/>
          <w:szCs w:val="24"/>
          <w:lang w:eastAsia="zh-CN"/>
        </w:rPr>
        <w:t>12530.63ind./km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，以</w:t>
      </w:r>
      <w:r>
        <w:rPr>
          <w:rFonts w:ascii="Times New Roman" w:eastAsia="宋体" w:hAnsi="Times New Roman" w:cs="Times New Roman" w:hint="eastAsia"/>
          <w:snapToGrid/>
          <w:color w:val="auto"/>
          <w:kern w:val="2"/>
          <w:sz w:val="24"/>
          <w:szCs w:val="24"/>
          <w:lang w:eastAsia="zh-CN"/>
        </w:rPr>
        <w:t>H2</w:t>
      </w:r>
      <w:r>
        <w:rPr>
          <w:rFonts w:ascii="Times New Roman" w:eastAsia="宋体" w:hAnsi="Times New Roman" w:cs="Times New Roman" w:hint="eastAsia"/>
          <w:snapToGrid/>
          <w:color w:val="auto"/>
          <w:kern w:val="2"/>
          <w:sz w:val="24"/>
          <w:szCs w:val="24"/>
          <w:lang w:eastAsia="zh-CN"/>
        </w:rPr>
        <w:t>站最高（</w:t>
      </w:r>
      <w:r>
        <w:rPr>
          <w:rFonts w:ascii="Times New Roman" w:eastAsia="宋体" w:hAnsi="Times New Roman" w:cs="Times New Roman" w:hint="eastAsia"/>
          <w:snapToGrid/>
          <w:color w:val="auto"/>
          <w:kern w:val="2"/>
          <w:sz w:val="24"/>
          <w:szCs w:val="24"/>
          <w:lang w:eastAsia="zh-CN"/>
        </w:rPr>
        <w:t>16015.05ind./km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站的资源密度最低，为</w:t>
      </w:r>
      <w:r>
        <w:rPr>
          <w:rFonts w:ascii="Times New Roman" w:eastAsia="宋体" w:hAnsi="Times New Roman" w:cs="Times New Roman" w:hint="eastAsia"/>
          <w:snapToGrid/>
          <w:color w:val="auto"/>
          <w:kern w:val="2"/>
          <w:sz w:val="24"/>
          <w:szCs w:val="24"/>
          <w:lang w:eastAsia="zh-CN"/>
        </w:rPr>
        <w:t>9256.40ind./km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（详见表</w:t>
      </w:r>
      <w:r>
        <w:rPr>
          <w:rFonts w:ascii="Times New Roman" w:eastAsia="宋体" w:hAnsi="Times New Roman" w:cs="Times New Roman" w:hint="eastAsia"/>
          <w:snapToGrid/>
          <w:color w:val="auto"/>
          <w:kern w:val="2"/>
          <w:sz w:val="24"/>
          <w:szCs w:val="24"/>
          <w:lang w:eastAsia="zh-CN"/>
        </w:rPr>
        <w:t>3.2.6-31</w:t>
      </w:r>
      <w:r>
        <w:rPr>
          <w:rFonts w:ascii="Times New Roman" w:eastAsia="宋体" w:hAnsi="Times New Roman" w:cs="Times New Roman" w:hint="eastAsia"/>
          <w:snapToGrid/>
          <w:color w:val="auto"/>
          <w:kern w:val="2"/>
          <w:sz w:val="24"/>
          <w:szCs w:val="24"/>
          <w:lang w:eastAsia="zh-CN"/>
        </w:rPr>
        <w:t>）。</w:t>
      </w:r>
    </w:p>
    <w:p w14:paraId="68019B8A" w14:textId="77777777" w:rsidR="0075791A" w:rsidRDefault="00FB2864">
      <w:pPr>
        <w:jc w:val="center"/>
        <w:rPr>
          <w:rFonts w:ascii="Times New Roman" w:eastAsia="宋体" w:hAnsi="Times New Roman" w:cs="宋体"/>
          <w:color w:val="auto"/>
          <w:sz w:val="24"/>
          <w:szCs w:val="24"/>
          <w:lang w:eastAsia="zh-CN"/>
        </w:rPr>
      </w:pPr>
      <w:r>
        <w:rPr>
          <w:rFonts w:ascii="宋体" w:eastAsia="宋体" w:hAnsi="宋体" w:cs="宋体"/>
          <w:color w:val="auto"/>
          <w:sz w:val="24"/>
          <w:szCs w:val="24"/>
          <w:lang w:eastAsia="zh-CN"/>
        </w:rPr>
        <w:t>表</w:t>
      </w:r>
      <w:r>
        <w:rPr>
          <w:rFonts w:ascii="宋体" w:eastAsia="宋体" w:hAnsi="宋体" w:cs="宋体"/>
          <w:color w:val="auto"/>
          <w:spacing w:val="-60"/>
          <w:sz w:val="24"/>
          <w:szCs w:val="24"/>
          <w:lang w:eastAsia="zh-CN"/>
        </w:rPr>
        <w:t xml:space="preserve"> </w:t>
      </w:r>
      <w:r>
        <w:rPr>
          <w:rFonts w:ascii="Times New Roman" w:eastAsia="宋体" w:hAnsi="Times New Roman" w:cs="Times New Roman" w:hint="eastAsia"/>
          <w:snapToGrid/>
          <w:color w:val="auto"/>
          <w:kern w:val="2"/>
          <w:sz w:val="24"/>
          <w:szCs w:val="24"/>
          <w:lang w:eastAsia="zh-CN"/>
        </w:rPr>
        <w:t>3.2.6-31</w:t>
      </w:r>
      <w:r>
        <w:rPr>
          <w:rFonts w:ascii="Times New Roman" w:eastAsia="Times New Roman" w:hAnsi="Times New Roman" w:cs="Times New Roman"/>
          <w:color w:val="auto"/>
          <w:sz w:val="24"/>
          <w:szCs w:val="24"/>
          <w:lang w:eastAsia="zh-CN"/>
        </w:rPr>
        <w:t xml:space="preserve">2024 </w:t>
      </w:r>
      <w:r>
        <w:rPr>
          <w:rFonts w:ascii="宋体" w:eastAsia="宋体" w:hAnsi="宋体" w:cs="宋体"/>
          <w:color w:val="auto"/>
          <w:sz w:val="24"/>
          <w:szCs w:val="24"/>
          <w:lang w:eastAsia="zh-CN"/>
        </w:rPr>
        <w:t>年</w:t>
      </w:r>
      <w:r>
        <w:rPr>
          <w:rFonts w:ascii="宋体" w:eastAsia="宋体" w:hAnsi="宋体" w:cs="宋体"/>
          <w:color w:val="auto"/>
          <w:spacing w:val="-60"/>
          <w:sz w:val="24"/>
          <w:szCs w:val="24"/>
          <w:lang w:eastAsia="zh-CN"/>
        </w:rPr>
        <w:t xml:space="preserve"> </w:t>
      </w:r>
      <w:r>
        <w:rPr>
          <w:rFonts w:ascii="Times New Roman" w:eastAsia="Times New Roman" w:hAnsi="Times New Roman" w:cs="Times New Roman"/>
          <w:color w:val="auto"/>
          <w:sz w:val="24"/>
          <w:szCs w:val="24"/>
          <w:lang w:eastAsia="zh-CN"/>
        </w:rPr>
        <w:t xml:space="preserve">9 </w:t>
      </w:r>
      <w:r>
        <w:rPr>
          <w:rFonts w:ascii="宋体" w:eastAsia="宋体" w:hAnsi="宋体" w:cs="宋体"/>
          <w:color w:val="auto"/>
          <w:sz w:val="24"/>
          <w:szCs w:val="24"/>
          <w:lang w:eastAsia="zh-CN"/>
        </w:rPr>
        <w:t>月航次调查海域鱼类的渔获率和资源密度</w:t>
      </w:r>
    </w:p>
    <w:tbl>
      <w:tblPr>
        <w:tblW w:w="0" w:type="auto"/>
        <w:tblLayout w:type="fixed"/>
        <w:tblCellMar>
          <w:left w:w="0" w:type="dxa"/>
          <w:right w:w="0" w:type="dxa"/>
        </w:tblCellMar>
        <w:tblLook w:val="04A0" w:firstRow="1" w:lastRow="0" w:firstColumn="1" w:lastColumn="0" w:noHBand="0" w:noVBand="1"/>
      </w:tblPr>
      <w:tblGrid>
        <w:gridCol w:w="1220"/>
        <w:gridCol w:w="772"/>
        <w:gridCol w:w="1732"/>
        <w:gridCol w:w="1732"/>
        <w:gridCol w:w="1732"/>
        <w:gridCol w:w="1730"/>
      </w:tblGrid>
      <w:tr w:rsidR="0075791A" w14:paraId="2467E48B" w14:textId="77777777">
        <w:trPr>
          <w:trHeight w:hRule="exact" w:val="330"/>
        </w:trPr>
        <w:tc>
          <w:tcPr>
            <w:tcW w:w="1220" w:type="dxa"/>
            <w:vMerge w:val="restart"/>
            <w:tcBorders>
              <w:top w:val="single" w:sz="4" w:space="0" w:color="000000"/>
              <w:left w:val="single" w:sz="4" w:space="0" w:color="000000"/>
              <w:right w:val="single" w:sz="4" w:space="0" w:color="000000"/>
            </w:tcBorders>
            <w:vAlign w:val="center"/>
          </w:tcPr>
          <w:p w14:paraId="20B8FD43" w14:textId="77777777" w:rsidR="0075791A" w:rsidRDefault="00FB2864">
            <w:pPr>
              <w:pStyle w:val="TableParagraph"/>
              <w:ind w:left="184"/>
              <w:rPr>
                <w:rFonts w:ascii="宋体" w:eastAsia="宋体" w:hAnsi="宋体" w:cs="宋体"/>
                <w:color w:val="auto"/>
              </w:rPr>
            </w:pPr>
            <w:r>
              <w:rPr>
                <w:rFonts w:ascii="宋体" w:eastAsia="宋体" w:hAnsi="宋体" w:cs="宋体"/>
                <w:color w:val="auto"/>
                <w:spacing w:val="-1"/>
              </w:rPr>
              <w:t>作</w:t>
            </w:r>
            <w:r>
              <w:rPr>
                <w:rFonts w:ascii="宋体" w:eastAsia="宋体" w:hAnsi="宋体" w:cs="宋体"/>
                <w:color w:val="auto"/>
                <w:spacing w:val="2"/>
              </w:rPr>
              <w:t>业</w:t>
            </w:r>
            <w:r>
              <w:rPr>
                <w:rFonts w:ascii="宋体" w:eastAsia="宋体" w:hAnsi="宋体" w:cs="宋体"/>
                <w:color w:val="auto"/>
                <w:spacing w:val="-1"/>
              </w:rPr>
              <w:t>方</w:t>
            </w:r>
            <w:r>
              <w:rPr>
                <w:rFonts w:ascii="宋体" w:eastAsia="宋体" w:hAnsi="宋体" w:cs="宋体"/>
                <w:color w:val="auto"/>
              </w:rPr>
              <w:t>式</w:t>
            </w:r>
          </w:p>
        </w:tc>
        <w:tc>
          <w:tcPr>
            <w:tcW w:w="772" w:type="dxa"/>
            <w:vMerge w:val="restart"/>
            <w:tcBorders>
              <w:top w:val="single" w:sz="4" w:space="0" w:color="000000"/>
              <w:left w:val="single" w:sz="4" w:space="0" w:color="000000"/>
              <w:right w:val="single" w:sz="4" w:space="0" w:color="000000"/>
            </w:tcBorders>
            <w:vAlign w:val="center"/>
          </w:tcPr>
          <w:p w14:paraId="73D8BE0A" w14:textId="77777777" w:rsidR="0075791A" w:rsidRDefault="00FB2864">
            <w:pPr>
              <w:pStyle w:val="TableParagraph"/>
              <w:ind w:left="171"/>
              <w:rPr>
                <w:rFonts w:ascii="宋体" w:eastAsia="宋体" w:hAnsi="宋体" w:cs="宋体"/>
                <w:color w:val="auto"/>
              </w:rPr>
            </w:pPr>
            <w:r>
              <w:rPr>
                <w:rFonts w:ascii="宋体" w:eastAsia="宋体" w:hAnsi="宋体" w:cs="宋体"/>
                <w:color w:val="auto"/>
                <w:spacing w:val="-1"/>
              </w:rPr>
              <w:t>站</w:t>
            </w:r>
            <w:r>
              <w:rPr>
                <w:rFonts w:ascii="宋体" w:eastAsia="宋体" w:hAnsi="宋体" w:cs="宋体"/>
                <w:color w:val="auto"/>
              </w:rPr>
              <w:t>位</w:t>
            </w:r>
          </w:p>
        </w:tc>
        <w:tc>
          <w:tcPr>
            <w:tcW w:w="3464" w:type="dxa"/>
            <w:gridSpan w:val="2"/>
            <w:tcBorders>
              <w:top w:val="single" w:sz="4" w:space="0" w:color="000000"/>
              <w:left w:val="single" w:sz="4" w:space="0" w:color="000000"/>
              <w:bottom w:val="single" w:sz="4" w:space="0" w:color="000000"/>
              <w:right w:val="single" w:sz="4" w:space="0" w:color="000000"/>
            </w:tcBorders>
            <w:vAlign w:val="center"/>
          </w:tcPr>
          <w:p w14:paraId="5CFF8981" w14:textId="77777777" w:rsidR="0075791A" w:rsidRDefault="00FB2864">
            <w:pPr>
              <w:pStyle w:val="TableParagraph"/>
              <w:spacing w:line="264" w:lineRule="exact"/>
              <w:ind w:left="1393" w:right="1392"/>
              <w:jc w:val="center"/>
              <w:rPr>
                <w:rFonts w:ascii="宋体" w:eastAsia="宋体" w:hAnsi="宋体" w:cs="宋体"/>
                <w:color w:val="auto"/>
              </w:rPr>
            </w:pPr>
            <w:r>
              <w:rPr>
                <w:rFonts w:ascii="宋体" w:eastAsia="宋体" w:hAnsi="宋体" w:cs="宋体"/>
                <w:color w:val="auto"/>
                <w:spacing w:val="-1"/>
              </w:rPr>
              <w:t>渔</w:t>
            </w:r>
            <w:r>
              <w:rPr>
                <w:rFonts w:ascii="宋体" w:eastAsia="宋体" w:hAnsi="宋体" w:cs="宋体"/>
                <w:color w:val="auto"/>
                <w:spacing w:val="2"/>
              </w:rPr>
              <w:t>获</w:t>
            </w:r>
            <w:r>
              <w:rPr>
                <w:rFonts w:ascii="宋体" w:eastAsia="宋体" w:hAnsi="宋体" w:cs="宋体"/>
                <w:color w:val="auto"/>
              </w:rPr>
              <w:t>率</w:t>
            </w:r>
          </w:p>
        </w:tc>
        <w:tc>
          <w:tcPr>
            <w:tcW w:w="3462" w:type="dxa"/>
            <w:gridSpan w:val="2"/>
            <w:tcBorders>
              <w:top w:val="single" w:sz="4" w:space="0" w:color="000000"/>
              <w:left w:val="single" w:sz="4" w:space="0" w:color="000000"/>
              <w:bottom w:val="single" w:sz="4" w:space="0" w:color="000000"/>
              <w:right w:val="single" w:sz="4" w:space="0" w:color="000000"/>
            </w:tcBorders>
            <w:vAlign w:val="center"/>
          </w:tcPr>
          <w:p w14:paraId="524B0E14" w14:textId="77777777" w:rsidR="0075791A" w:rsidRDefault="00FB2864">
            <w:pPr>
              <w:pStyle w:val="TableParagraph"/>
              <w:spacing w:line="264" w:lineRule="exact"/>
              <w:ind w:left="1286" w:right="1287"/>
              <w:jc w:val="center"/>
              <w:rPr>
                <w:rFonts w:ascii="宋体" w:eastAsia="宋体" w:hAnsi="宋体" w:cs="宋体"/>
                <w:color w:val="auto"/>
              </w:rPr>
            </w:pPr>
            <w:r>
              <w:rPr>
                <w:rFonts w:ascii="宋体" w:eastAsia="宋体" w:hAnsi="宋体" w:cs="宋体"/>
                <w:color w:val="auto"/>
                <w:spacing w:val="-1"/>
              </w:rPr>
              <w:t>资</w:t>
            </w:r>
            <w:r>
              <w:rPr>
                <w:rFonts w:ascii="宋体" w:eastAsia="宋体" w:hAnsi="宋体" w:cs="宋体"/>
                <w:color w:val="auto"/>
                <w:spacing w:val="2"/>
              </w:rPr>
              <w:t>源</w:t>
            </w:r>
            <w:r>
              <w:rPr>
                <w:rFonts w:ascii="宋体" w:eastAsia="宋体" w:hAnsi="宋体" w:cs="宋体"/>
                <w:color w:val="auto"/>
                <w:spacing w:val="-1"/>
              </w:rPr>
              <w:t>密</w:t>
            </w:r>
            <w:r>
              <w:rPr>
                <w:rFonts w:ascii="宋体" w:eastAsia="宋体" w:hAnsi="宋体" w:cs="宋体"/>
                <w:color w:val="auto"/>
              </w:rPr>
              <w:t>度</w:t>
            </w:r>
          </w:p>
        </w:tc>
      </w:tr>
      <w:tr w:rsidR="0075791A" w14:paraId="0B7BCE1C" w14:textId="77777777">
        <w:trPr>
          <w:trHeight w:hRule="exact" w:val="650"/>
        </w:trPr>
        <w:tc>
          <w:tcPr>
            <w:tcW w:w="1220" w:type="dxa"/>
            <w:vMerge/>
            <w:tcBorders>
              <w:left w:val="single" w:sz="4" w:space="0" w:color="000000"/>
              <w:bottom w:val="single" w:sz="4" w:space="0" w:color="000000"/>
              <w:right w:val="single" w:sz="4" w:space="0" w:color="000000"/>
            </w:tcBorders>
            <w:vAlign w:val="center"/>
          </w:tcPr>
          <w:p w14:paraId="40B762B7" w14:textId="77777777" w:rsidR="0075791A" w:rsidRDefault="0075791A">
            <w:pPr>
              <w:rPr>
                <w:color w:val="auto"/>
              </w:rPr>
            </w:pPr>
          </w:p>
        </w:tc>
        <w:tc>
          <w:tcPr>
            <w:tcW w:w="772" w:type="dxa"/>
            <w:vMerge/>
            <w:tcBorders>
              <w:left w:val="single" w:sz="4" w:space="0" w:color="000000"/>
              <w:bottom w:val="single" w:sz="4" w:space="0" w:color="000000"/>
              <w:right w:val="single" w:sz="4" w:space="0" w:color="000000"/>
            </w:tcBorders>
            <w:vAlign w:val="center"/>
          </w:tcPr>
          <w:p w14:paraId="5652E57D" w14:textId="77777777" w:rsidR="0075791A" w:rsidRDefault="0075791A">
            <w:pPr>
              <w:rPr>
                <w:color w:val="auto"/>
              </w:rPr>
            </w:pPr>
          </w:p>
        </w:tc>
        <w:tc>
          <w:tcPr>
            <w:tcW w:w="1732" w:type="dxa"/>
            <w:tcBorders>
              <w:top w:val="single" w:sz="4" w:space="0" w:color="000000"/>
              <w:left w:val="single" w:sz="4" w:space="0" w:color="000000"/>
              <w:bottom w:val="single" w:sz="4" w:space="0" w:color="000000"/>
              <w:right w:val="single" w:sz="4" w:space="0" w:color="000000"/>
            </w:tcBorders>
            <w:vAlign w:val="center"/>
          </w:tcPr>
          <w:p w14:paraId="453AD28A" w14:textId="77777777" w:rsidR="0075791A" w:rsidRDefault="00FB2864">
            <w:pPr>
              <w:pStyle w:val="TableParagraph"/>
              <w:spacing w:line="263" w:lineRule="exact"/>
              <w:ind w:left="314" w:right="316"/>
              <w:jc w:val="center"/>
              <w:rPr>
                <w:rFonts w:ascii="宋体" w:eastAsia="宋体" w:hAnsi="宋体" w:cs="宋体"/>
                <w:color w:val="auto"/>
                <w:lang w:eastAsia="zh-CN"/>
              </w:rPr>
            </w:pPr>
            <w:r>
              <w:rPr>
                <w:rFonts w:ascii="宋体" w:eastAsia="宋体" w:hAnsi="宋体" w:cs="宋体"/>
                <w:color w:val="auto"/>
                <w:spacing w:val="-1"/>
                <w:lang w:eastAsia="zh-CN"/>
              </w:rPr>
              <w:t>重</w:t>
            </w:r>
            <w:r>
              <w:rPr>
                <w:rFonts w:ascii="宋体" w:eastAsia="宋体" w:hAnsi="宋体" w:cs="宋体"/>
                <w:color w:val="auto"/>
                <w:spacing w:val="2"/>
                <w:lang w:eastAsia="zh-CN"/>
              </w:rPr>
              <w:t>量</w:t>
            </w:r>
            <w:r>
              <w:rPr>
                <w:rFonts w:ascii="宋体" w:eastAsia="宋体" w:hAnsi="宋体" w:cs="宋体"/>
                <w:color w:val="auto"/>
                <w:spacing w:val="-1"/>
                <w:lang w:eastAsia="zh-CN"/>
              </w:rPr>
              <w:t>渔</w:t>
            </w:r>
            <w:r>
              <w:rPr>
                <w:rFonts w:ascii="宋体" w:eastAsia="宋体" w:hAnsi="宋体" w:cs="宋体"/>
                <w:color w:val="auto"/>
                <w:spacing w:val="2"/>
                <w:lang w:eastAsia="zh-CN"/>
              </w:rPr>
              <w:t>获</w:t>
            </w:r>
            <w:r>
              <w:rPr>
                <w:rFonts w:ascii="宋体" w:eastAsia="宋体" w:hAnsi="宋体" w:cs="宋体"/>
                <w:color w:val="auto"/>
                <w:lang w:eastAsia="zh-CN"/>
              </w:rPr>
              <w:t>率</w:t>
            </w:r>
            <w:r>
              <w:rPr>
                <w:rFonts w:ascii="宋体" w:eastAsia="宋体" w:hAnsi="宋体" w:cs="宋体"/>
                <w:color w:val="auto"/>
                <w:spacing w:val="-1"/>
                <w:lang w:eastAsia="zh-CN"/>
              </w:rPr>
              <w:t>（</w:t>
            </w:r>
            <w:r>
              <w:rPr>
                <w:rFonts w:ascii="Times New Roman" w:eastAsia="Times New Roman" w:hAnsi="Times New Roman" w:cs="Times New Roman"/>
                <w:color w:val="auto"/>
                <w:spacing w:val="-2"/>
                <w:lang w:eastAsia="zh-CN"/>
              </w:rPr>
              <w:t>kg</w:t>
            </w:r>
            <w:r>
              <w:rPr>
                <w:rFonts w:ascii="Times New Roman" w:eastAsia="Times New Roman" w:hAnsi="Times New Roman" w:cs="Times New Roman"/>
                <w:color w:val="auto"/>
                <w:spacing w:val="2"/>
                <w:lang w:eastAsia="zh-CN"/>
              </w:rPr>
              <w:t>/</w:t>
            </w:r>
            <w:r>
              <w:rPr>
                <w:rFonts w:ascii="Times New Roman" w:eastAsia="Times New Roman" w:hAnsi="Times New Roman" w:cs="Times New Roman"/>
                <w:color w:val="auto"/>
                <w:spacing w:val="1"/>
                <w:lang w:eastAsia="zh-CN"/>
              </w:rPr>
              <w:t>h</w:t>
            </w:r>
            <w:r>
              <w:rPr>
                <w:rFonts w:ascii="宋体" w:eastAsia="宋体" w:hAnsi="宋体" w:cs="宋体"/>
                <w:color w:val="auto"/>
                <w:lang w:eastAsia="zh-CN"/>
              </w:rPr>
              <w:t>）</w:t>
            </w:r>
          </w:p>
        </w:tc>
        <w:tc>
          <w:tcPr>
            <w:tcW w:w="1732" w:type="dxa"/>
            <w:tcBorders>
              <w:top w:val="single" w:sz="4" w:space="0" w:color="000000"/>
              <w:left w:val="single" w:sz="4" w:space="0" w:color="000000"/>
              <w:bottom w:val="single" w:sz="4" w:space="0" w:color="000000"/>
              <w:right w:val="single" w:sz="4" w:space="0" w:color="000000"/>
            </w:tcBorders>
            <w:vAlign w:val="center"/>
          </w:tcPr>
          <w:p w14:paraId="7CABC1B6" w14:textId="77777777" w:rsidR="0075791A" w:rsidRDefault="00FB2864">
            <w:pPr>
              <w:pStyle w:val="TableParagraph"/>
              <w:spacing w:line="263" w:lineRule="exact"/>
              <w:ind w:left="336"/>
              <w:rPr>
                <w:rFonts w:ascii="宋体" w:eastAsia="宋体" w:hAnsi="宋体" w:cs="宋体"/>
                <w:color w:val="auto"/>
                <w:lang w:eastAsia="zh-CN"/>
              </w:rPr>
            </w:pPr>
            <w:r>
              <w:rPr>
                <w:rFonts w:ascii="宋体" w:eastAsia="宋体" w:hAnsi="宋体" w:cs="宋体"/>
                <w:color w:val="auto"/>
                <w:spacing w:val="-1"/>
                <w:lang w:eastAsia="zh-CN"/>
              </w:rPr>
              <w:t>个</w:t>
            </w:r>
            <w:r>
              <w:rPr>
                <w:rFonts w:ascii="宋体" w:eastAsia="宋体" w:hAnsi="宋体" w:cs="宋体"/>
                <w:color w:val="auto"/>
                <w:spacing w:val="2"/>
                <w:lang w:eastAsia="zh-CN"/>
              </w:rPr>
              <w:t>体</w:t>
            </w:r>
            <w:r>
              <w:rPr>
                <w:rFonts w:ascii="宋体" w:eastAsia="宋体" w:hAnsi="宋体" w:cs="宋体"/>
                <w:color w:val="auto"/>
                <w:spacing w:val="-1"/>
                <w:lang w:eastAsia="zh-CN"/>
              </w:rPr>
              <w:t>渔</w:t>
            </w:r>
            <w:r>
              <w:rPr>
                <w:rFonts w:ascii="宋体" w:eastAsia="宋体" w:hAnsi="宋体" w:cs="宋体"/>
                <w:color w:val="auto"/>
                <w:spacing w:val="2"/>
                <w:lang w:eastAsia="zh-CN"/>
              </w:rPr>
              <w:t>获</w:t>
            </w:r>
            <w:r>
              <w:rPr>
                <w:rFonts w:ascii="宋体" w:eastAsia="宋体" w:hAnsi="宋体" w:cs="宋体"/>
                <w:color w:val="auto"/>
                <w:lang w:eastAsia="zh-CN"/>
              </w:rPr>
              <w:t>率</w:t>
            </w:r>
          </w:p>
          <w:p w14:paraId="64334B31" w14:textId="77777777" w:rsidR="0075791A" w:rsidRDefault="00FB2864">
            <w:pPr>
              <w:pStyle w:val="TableParagraph"/>
              <w:spacing w:line="263" w:lineRule="exact"/>
              <w:ind w:left="336"/>
              <w:rPr>
                <w:rFonts w:ascii="宋体" w:eastAsia="宋体" w:hAnsi="宋体" w:cs="宋体"/>
                <w:color w:val="auto"/>
                <w:lang w:eastAsia="zh-CN"/>
              </w:rPr>
            </w:pPr>
            <w:r>
              <w:rPr>
                <w:rFonts w:ascii="宋体" w:eastAsia="宋体" w:hAnsi="宋体" w:cs="宋体"/>
                <w:color w:val="auto"/>
                <w:spacing w:val="2"/>
                <w:lang w:eastAsia="zh-CN"/>
              </w:rPr>
              <w:t>（</w:t>
            </w:r>
            <w:r>
              <w:rPr>
                <w:rFonts w:ascii="Times New Roman" w:eastAsia="Times New Roman" w:hAnsi="Times New Roman" w:cs="Times New Roman"/>
                <w:color w:val="auto"/>
                <w:spacing w:val="-1"/>
                <w:lang w:eastAsia="zh-CN"/>
              </w:rPr>
              <w:t>i</w:t>
            </w:r>
            <w:r>
              <w:rPr>
                <w:rFonts w:ascii="Times New Roman" w:eastAsia="Times New Roman" w:hAnsi="Times New Roman" w:cs="Times New Roman"/>
                <w:color w:val="auto"/>
                <w:spacing w:val="1"/>
                <w:lang w:eastAsia="zh-CN"/>
              </w:rPr>
              <w:t>nd</w:t>
            </w:r>
            <w:r>
              <w:rPr>
                <w:rFonts w:ascii="Times New Roman" w:eastAsia="Times New Roman" w:hAnsi="Times New Roman" w:cs="Times New Roman"/>
                <w:color w:val="auto"/>
                <w:spacing w:val="-1"/>
                <w:lang w:eastAsia="zh-CN"/>
              </w:rPr>
              <w:t>/</w:t>
            </w:r>
            <w:r>
              <w:rPr>
                <w:rFonts w:ascii="Times New Roman" w:eastAsia="Times New Roman" w:hAnsi="Times New Roman" w:cs="Times New Roman"/>
                <w:color w:val="auto"/>
                <w:spacing w:val="-2"/>
                <w:lang w:eastAsia="zh-CN"/>
              </w:rPr>
              <w:t>h</w:t>
            </w:r>
            <w:r>
              <w:rPr>
                <w:rFonts w:ascii="宋体" w:eastAsia="宋体" w:hAnsi="宋体" w:cs="宋体"/>
                <w:color w:val="auto"/>
                <w:lang w:eastAsia="zh-CN"/>
              </w:rPr>
              <w:t>）</w:t>
            </w:r>
          </w:p>
        </w:tc>
        <w:tc>
          <w:tcPr>
            <w:tcW w:w="1732" w:type="dxa"/>
            <w:tcBorders>
              <w:top w:val="single" w:sz="4" w:space="0" w:color="000000"/>
              <w:left w:val="single" w:sz="4" w:space="0" w:color="000000"/>
              <w:bottom w:val="single" w:sz="4" w:space="0" w:color="000000"/>
              <w:right w:val="single" w:sz="4" w:space="0" w:color="000000"/>
            </w:tcBorders>
            <w:vAlign w:val="center"/>
          </w:tcPr>
          <w:p w14:paraId="1ED87C2E" w14:textId="77777777" w:rsidR="0075791A" w:rsidRDefault="00FB2864">
            <w:pPr>
              <w:pStyle w:val="TableParagraph"/>
              <w:spacing w:line="263" w:lineRule="exact"/>
              <w:ind w:left="210" w:right="211"/>
              <w:jc w:val="center"/>
              <w:rPr>
                <w:rFonts w:ascii="宋体" w:eastAsia="宋体" w:hAnsi="宋体" w:cs="宋体"/>
                <w:color w:val="auto"/>
              </w:rPr>
            </w:pPr>
            <w:r>
              <w:rPr>
                <w:rFonts w:ascii="宋体" w:eastAsia="宋体" w:hAnsi="宋体" w:cs="宋体"/>
                <w:color w:val="auto"/>
                <w:spacing w:val="-1"/>
              </w:rPr>
              <w:t>重</w:t>
            </w:r>
            <w:r>
              <w:rPr>
                <w:rFonts w:ascii="宋体" w:eastAsia="宋体" w:hAnsi="宋体" w:cs="宋体"/>
                <w:color w:val="auto"/>
                <w:spacing w:val="2"/>
              </w:rPr>
              <w:t>量</w:t>
            </w:r>
            <w:r>
              <w:rPr>
                <w:rFonts w:ascii="宋体" w:eastAsia="宋体" w:hAnsi="宋体" w:cs="宋体"/>
                <w:color w:val="auto"/>
                <w:spacing w:val="-1"/>
              </w:rPr>
              <w:t>资</w:t>
            </w:r>
            <w:r>
              <w:rPr>
                <w:rFonts w:ascii="宋体" w:eastAsia="宋体" w:hAnsi="宋体" w:cs="宋体"/>
                <w:color w:val="auto"/>
                <w:spacing w:val="2"/>
              </w:rPr>
              <w:t>源</w:t>
            </w:r>
            <w:r>
              <w:rPr>
                <w:rFonts w:ascii="宋体" w:eastAsia="宋体" w:hAnsi="宋体" w:cs="宋体"/>
                <w:color w:val="auto"/>
                <w:spacing w:val="-1"/>
              </w:rPr>
              <w:t>密</w:t>
            </w:r>
            <w:r>
              <w:rPr>
                <w:rFonts w:ascii="宋体" w:eastAsia="宋体" w:hAnsi="宋体" w:cs="宋体"/>
                <w:color w:val="auto"/>
              </w:rPr>
              <w:t>度</w:t>
            </w:r>
            <w:r>
              <w:rPr>
                <w:rFonts w:ascii="宋体" w:eastAsia="宋体" w:hAnsi="宋体" w:cs="宋体"/>
                <w:color w:val="auto"/>
                <w:spacing w:val="-1"/>
              </w:rPr>
              <w:t>（</w:t>
            </w:r>
            <w:r>
              <w:rPr>
                <w:rFonts w:ascii="Times New Roman" w:eastAsia="Times New Roman" w:hAnsi="Times New Roman" w:cs="Times New Roman"/>
                <w:color w:val="auto"/>
                <w:spacing w:val="-2"/>
              </w:rPr>
              <w:t>kg</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k</w:t>
            </w:r>
            <w:r>
              <w:rPr>
                <w:rFonts w:ascii="Times New Roman" w:eastAsia="Times New Roman" w:hAnsi="Times New Roman" w:cs="Times New Roman"/>
                <w:color w:val="auto"/>
              </w:rPr>
              <w:t>m</w:t>
            </w:r>
            <w:r>
              <w:rPr>
                <w:rFonts w:ascii="Times New Roman" w:eastAsia="Times New Roman" w:hAnsi="Times New Roman" w:cs="Times New Roman"/>
                <w:color w:val="auto"/>
                <w:position w:val="7"/>
                <w:sz w:val="13"/>
                <w:szCs w:val="13"/>
              </w:rPr>
              <w:t>2</w:t>
            </w:r>
            <w:r>
              <w:rPr>
                <w:rFonts w:ascii="宋体" w:eastAsia="宋体" w:hAnsi="宋体" w:cs="宋体"/>
                <w:color w:val="auto"/>
              </w:rPr>
              <w:t>）</w:t>
            </w:r>
          </w:p>
        </w:tc>
        <w:tc>
          <w:tcPr>
            <w:tcW w:w="1730" w:type="dxa"/>
            <w:tcBorders>
              <w:top w:val="single" w:sz="4" w:space="0" w:color="000000"/>
              <w:left w:val="single" w:sz="4" w:space="0" w:color="000000"/>
              <w:bottom w:val="single" w:sz="4" w:space="0" w:color="000000"/>
              <w:right w:val="single" w:sz="4" w:space="0" w:color="000000"/>
            </w:tcBorders>
            <w:vAlign w:val="center"/>
          </w:tcPr>
          <w:p w14:paraId="7220C155" w14:textId="77777777" w:rsidR="0075791A" w:rsidRDefault="00FB2864">
            <w:pPr>
              <w:pStyle w:val="TableParagraph"/>
              <w:spacing w:line="263" w:lineRule="exact"/>
              <w:ind w:left="230"/>
              <w:rPr>
                <w:rFonts w:ascii="宋体" w:eastAsia="宋体" w:hAnsi="宋体" w:cs="宋体"/>
                <w:color w:val="auto"/>
              </w:rPr>
            </w:pPr>
            <w:r>
              <w:rPr>
                <w:rFonts w:ascii="宋体" w:eastAsia="宋体" w:hAnsi="宋体" w:cs="宋体"/>
                <w:color w:val="auto"/>
                <w:spacing w:val="-1"/>
              </w:rPr>
              <w:t>个</w:t>
            </w:r>
            <w:r>
              <w:rPr>
                <w:rFonts w:ascii="宋体" w:eastAsia="宋体" w:hAnsi="宋体" w:cs="宋体"/>
                <w:color w:val="auto"/>
                <w:spacing w:val="2"/>
              </w:rPr>
              <w:t>体</w:t>
            </w:r>
            <w:r>
              <w:rPr>
                <w:rFonts w:ascii="宋体" w:eastAsia="宋体" w:hAnsi="宋体" w:cs="宋体"/>
                <w:color w:val="auto"/>
                <w:spacing w:val="-1"/>
              </w:rPr>
              <w:t>资</w:t>
            </w:r>
            <w:r>
              <w:rPr>
                <w:rFonts w:ascii="宋体" w:eastAsia="宋体" w:hAnsi="宋体" w:cs="宋体"/>
                <w:color w:val="auto"/>
                <w:spacing w:val="2"/>
              </w:rPr>
              <w:t>源</w:t>
            </w:r>
            <w:r>
              <w:rPr>
                <w:rFonts w:ascii="宋体" w:eastAsia="宋体" w:hAnsi="宋体" w:cs="宋体"/>
                <w:color w:val="auto"/>
                <w:spacing w:val="-1"/>
              </w:rPr>
              <w:t>密</w:t>
            </w:r>
            <w:r>
              <w:rPr>
                <w:rFonts w:ascii="宋体" w:eastAsia="宋体" w:hAnsi="宋体" w:cs="宋体"/>
                <w:color w:val="auto"/>
              </w:rPr>
              <w:t>度</w:t>
            </w:r>
          </w:p>
          <w:p w14:paraId="6DA5C4CD" w14:textId="77777777" w:rsidR="0075791A" w:rsidRDefault="00FB2864">
            <w:pPr>
              <w:pStyle w:val="TableParagraph"/>
              <w:spacing w:line="263" w:lineRule="exact"/>
              <w:ind w:left="230"/>
              <w:rPr>
                <w:rFonts w:ascii="宋体" w:eastAsia="宋体" w:hAnsi="宋体" w:cs="宋体"/>
                <w:color w:val="auto"/>
              </w:rPr>
            </w:pPr>
            <w:r>
              <w:rPr>
                <w:rFonts w:ascii="宋体" w:eastAsia="宋体" w:hAnsi="宋体" w:cs="宋体"/>
                <w:color w:val="auto"/>
                <w:spacing w:val="-1"/>
              </w:rPr>
              <w:t>（</w:t>
            </w:r>
            <w:r>
              <w:rPr>
                <w:rFonts w:ascii="Times New Roman" w:eastAsia="Times New Roman" w:hAnsi="Times New Roman" w:cs="Times New Roman"/>
                <w:color w:val="auto"/>
                <w:spacing w:val="-1"/>
              </w:rPr>
              <w:t>i</w:t>
            </w:r>
            <w:r>
              <w:rPr>
                <w:rFonts w:ascii="Times New Roman" w:eastAsia="Times New Roman" w:hAnsi="Times New Roman" w:cs="Times New Roman"/>
                <w:color w:val="auto"/>
                <w:spacing w:val="1"/>
              </w:rPr>
              <w:t>nd</w:t>
            </w:r>
            <w:r>
              <w:rPr>
                <w:rFonts w:ascii="Times New Roman" w:eastAsia="Times New Roman" w:hAnsi="Times New Roman" w:cs="Times New Roman"/>
                <w:color w:val="auto"/>
                <w:spacing w:val="-1"/>
              </w:rPr>
              <w:t>/</w:t>
            </w:r>
            <w:r>
              <w:rPr>
                <w:rFonts w:ascii="Times New Roman" w:eastAsia="Times New Roman" w:hAnsi="Times New Roman" w:cs="Times New Roman"/>
                <w:color w:val="auto"/>
                <w:spacing w:val="-2"/>
              </w:rPr>
              <w:t>k</w:t>
            </w:r>
            <w:r>
              <w:rPr>
                <w:rFonts w:ascii="Times New Roman" w:eastAsia="Times New Roman" w:hAnsi="Times New Roman" w:cs="Times New Roman"/>
                <w:color w:val="auto"/>
                <w:spacing w:val="3"/>
              </w:rPr>
              <w:t>m</w:t>
            </w:r>
            <w:r>
              <w:rPr>
                <w:rFonts w:ascii="Times New Roman" w:eastAsia="Times New Roman" w:hAnsi="Times New Roman" w:cs="Times New Roman"/>
                <w:color w:val="auto"/>
                <w:spacing w:val="-2"/>
                <w:position w:val="7"/>
                <w:sz w:val="13"/>
                <w:szCs w:val="13"/>
              </w:rPr>
              <w:t>2</w:t>
            </w:r>
            <w:r>
              <w:rPr>
                <w:rFonts w:ascii="宋体" w:eastAsia="宋体" w:hAnsi="宋体" w:cs="宋体"/>
                <w:color w:val="auto"/>
              </w:rPr>
              <w:t>）</w:t>
            </w:r>
          </w:p>
        </w:tc>
      </w:tr>
      <w:tr w:rsidR="0075791A" w14:paraId="6EC00212" w14:textId="77777777">
        <w:trPr>
          <w:trHeight w:hRule="exact" w:val="330"/>
        </w:trPr>
        <w:tc>
          <w:tcPr>
            <w:tcW w:w="1220" w:type="dxa"/>
            <w:vMerge w:val="restart"/>
            <w:tcBorders>
              <w:top w:val="single" w:sz="4" w:space="0" w:color="000000"/>
              <w:left w:val="single" w:sz="4" w:space="0" w:color="000000"/>
              <w:right w:val="single" w:sz="4" w:space="0" w:color="000000"/>
            </w:tcBorders>
            <w:vAlign w:val="center"/>
          </w:tcPr>
          <w:p w14:paraId="279EAF5C" w14:textId="77777777" w:rsidR="0075791A" w:rsidRDefault="00FB2864">
            <w:pPr>
              <w:pStyle w:val="TableParagraph"/>
              <w:ind w:left="395"/>
              <w:rPr>
                <w:rFonts w:ascii="宋体" w:eastAsia="宋体" w:hAnsi="宋体" w:cs="宋体"/>
                <w:color w:val="auto"/>
              </w:rPr>
            </w:pPr>
            <w:r>
              <w:rPr>
                <w:rFonts w:ascii="宋体" w:eastAsia="宋体" w:hAnsi="宋体" w:cs="宋体"/>
                <w:color w:val="auto"/>
                <w:spacing w:val="-1"/>
              </w:rPr>
              <w:t>拖</w:t>
            </w:r>
            <w:r>
              <w:rPr>
                <w:rFonts w:ascii="宋体" w:eastAsia="宋体" w:hAnsi="宋体" w:cs="宋体"/>
                <w:color w:val="auto"/>
              </w:rPr>
              <w:t>网</w:t>
            </w:r>
          </w:p>
        </w:tc>
        <w:tc>
          <w:tcPr>
            <w:tcW w:w="772" w:type="dxa"/>
            <w:tcBorders>
              <w:top w:val="single" w:sz="4" w:space="0" w:color="000000"/>
              <w:left w:val="single" w:sz="4" w:space="0" w:color="000000"/>
              <w:bottom w:val="single" w:sz="4" w:space="0" w:color="000000"/>
              <w:right w:val="single" w:sz="4" w:space="0" w:color="000000"/>
            </w:tcBorders>
            <w:vAlign w:val="center"/>
          </w:tcPr>
          <w:p w14:paraId="0DBA3630" w14:textId="77777777" w:rsidR="0075791A" w:rsidRDefault="00FB2864">
            <w:pPr>
              <w:pStyle w:val="TableParagraph"/>
              <w:spacing w:before="33"/>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2</w:t>
            </w:r>
          </w:p>
        </w:tc>
        <w:tc>
          <w:tcPr>
            <w:tcW w:w="1732" w:type="dxa"/>
            <w:tcBorders>
              <w:top w:val="single" w:sz="4" w:space="0" w:color="000000"/>
              <w:left w:val="single" w:sz="4" w:space="0" w:color="000000"/>
              <w:bottom w:val="single" w:sz="4" w:space="0" w:color="000000"/>
              <w:right w:val="single" w:sz="4" w:space="0" w:color="000000"/>
            </w:tcBorders>
            <w:vAlign w:val="center"/>
          </w:tcPr>
          <w:p w14:paraId="3BBD9A24" w14:textId="77777777" w:rsidR="0075791A" w:rsidRDefault="00FB2864">
            <w:pPr>
              <w:pStyle w:val="TableParagraph"/>
              <w:spacing w:before="40"/>
              <w:ind w:right="1"/>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0</w:t>
            </w:r>
          </w:p>
        </w:tc>
        <w:tc>
          <w:tcPr>
            <w:tcW w:w="1732" w:type="dxa"/>
            <w:tcBorders>
              <w:top w:val="single" w:sz="4" w:space="0" w:color="000000"/>
              <w:left w:val="single" w:sz="4" w:space="0" w:color="000000"/>
              <w:bottom w:val="single" w:sz="4" w:space="0" w:color="000000"/>
              <w:right w:val="single" w:sz="4" w:space="0" w:color="000000"/>
            </w:tcBorders>
            <w:vAlign w:val="center"/>
          </w:tcPr>
          <w:p w14:paraId="73CF3496" w14:textId="77777777" w:rsidR="0075791A" w:rsidRDefault="00FB2864">
            <w:pPr>
              <w:pStyle w:val="TableParagraph"/>
              <w:spacing w:before="40"/>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69</w:t>
            </w:r>
            <w:r>
              <w:rPr>
                <w:rFonts w:ascii="Times New Roman" w:eastAsia="Times New Roman" w:hAnsi="Times New Roman" w:cs="Times New Roman"/>
                <w:color w:val="auto"/>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6F2152B4" w14:textId="77777777" w:rsidR="0075791A" w:rsidRDefault="00FB2864">
            <w:pPr>
              <w:pStyle w:val="TableParagraph"/>
              <w:spacing w:before="40"/>
              <w:ind w:left="572"/>
              <w:rPr>
                <w:rFonts w:ascii="Times New Roman" w:eastAsia="Times New Roman" w:hAnsi="Times New Roman" w:cs="Times New Roman"/>
                <w:color w:val="auto"/>
              </w:rPr>
            </w:pPr>
            <w:r>
              <w:rPr>
                <w:rFonts w:ascii="Times New Roman" w:eastAsia="Times New Roman" w:hAnsi="Times New Roman" w:cs="Times New Roman"/>
                <w:color w:val="auto"/>
                <w:spacing w:val="1"/>
              </w:rPr>
              <w:t>755</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8</w:t>
            </w:r>
            <w:r>
              <w:rPr>
                <w:rFonts w:ascii="Times New Roman" w:eastAsia="Times New Roman" w:hAnsi="Times New Roman" w:cs="Times New Roman"/>
                <w:color w:val="auto"/>
              </w:rPr>
              <w:t>7</w:t>
            </w:r>
          </w:p>
        </w:tc>
        <w:tc>
          <w:tcPr>
            <w:tcW w:w="1730" w:type="dxa"/>
            <w:tcBorders>
              <w:top w:val="single" w:sz="4" w:space="0" w:color="000000"/>
              <w:left w:val="single" w:sz="4" w:space="0" w:color="000000"/>
              <w:bottom w:val="single" w:sz="4" w:space="0" w:color="000000"/>
              <w:right w:val="single" w:sz="4" w:space="0" w:color="000000"/>
            </w:tcBorders>
            <w:vAlign w:val="center"/>
          </w:tcPr>
          <w:p w14:paraId="6C6EB91A" w14:textId="77777777" w:rsidR="0075791A" w:rsidRDefault="00FB2864">
            <w:pPr>
              <w:pStyle w:val="TableParagraph"/>
              <w:spacing w:before="40"/>
              <w:ind w:left="577" w:right="578"/>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498</w:t>
            </w:r>
            <w:r>
              <w:rPr>
                <w:rFonts w:ascii="Times New Roman" w:eastAsia="Times New Roman" w:hAnsi="Times New Roman" w:cs="Times New Roman"/>
                <w:color w:val="auto"/>
                <w:spacing w:val="-2"/>
              </w:rPr>
              <w:t>9</w:t>
            </w:r>
            <w:r>
              <w:rPr>
                <w:rFonts w:ascii="Times New Roman" w:eastAsia="Times New Roman" w:hAnsi="Times New Roman" w:cs="Times New Roman"/>
                <w:color w:val="auto"/>
              </w:rPr>
              <w:t>2</w:t>
            </w:r>
          </w:p>
        </w:tc>
      </w:tr>
      <w:tr w:rsidR="0075791A" w14:paraId="3EE9B736" w14:textId="77777777">
        <w:trPr>
          <w:trHeight w:hRule="exact" w:val="330"/>
        </w:trPr>
        <w:tc>
          <w:tcPr>
            <w:tcW w:w="1220" w:type="dxa"/>
            <w:vMerge/>
            <w:tcBorders>
              <w:left w:val="single" w:sz="4" w:space="0" w:color="000000"/>
              <w:right w:val="single" w:sz="4" w:space="0" w:color="000000"/>
            </w:tcBorders>
            <w:vAlign w:val="center"/>
          </w:tcPr>
          <w:p w14:paraId="571C4E78"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73FB3B04" w14:textId="77777777" w:rsidR="0075791A" w:rsidRDefault="00FB2864">
            <w:pPr>
              <w:pStyle w:val="TableParagraph"/>
              <w:spacing w:before="32"/>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5</w:t>
            </w:r>
          </w:p>
        </w:tc>
        <w:tc>
          <w:tcPr>
            <w:tcW w:w="1732" w:type="dxa"/>
            <w:tcBorders>
              <w:top w:val="single" w:sz="4" w:space="0" w:color="000000"/>
              <w:left w:val="single" w:sz="4" w:space="0" w:color="000000"/>
              <w:bottom w:val="single" w:sz="4" w:space="0" w:color="000000"/>
              <w:right w:val="single" w:sz="4" w:space="0" w:color="000000"/>
            </w:tcBorders>
            <w:vAlign w:val="center"/>
          </w:tcPr>
          <w:p w14:paraId="0813F81A" w14:textId="77777777" w:rsidR="0075791A" w:rsidRDefault="00FB2864">
            <w:pPr>
              <w:pStyle w:val="TableParagraph"/>
              <w:spacing w:before="39"/>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8</w:t>
            </w:r>
          </w:p>
        </w:tc>
        <w:tc>
          <w:tcPr>
            <w:tcW w:w="1732" w:type="dxa"/>
            <w:tcBorders>
              <w:top w:val="single" w:sz="4" w:space="0" w:color="000000"/>
              <w:left w:val="single" w:sz="4" w:space="0" w:color="000000"/>
              <w:bottom w:val="single" w:sz="4" w:space="0" w:color="000000"/>
              <w:right w:val="single" w:sz="4" w:space="0" w:color="000000"/>
            </w:tcBorders>
            <w:vAlign w:val="center"/>
          </w:tcPr>
          <w:p w14:paraId="0121A370" w14:textId="77777777" w:rsidR="0075791A" w:rsidRDefault="00FB2864">
            <w:pPr>
              <w:pStyle w:val="TableParagraph"/>
              <w:spacing w:before="39"/>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41</w:t>
            </w:r>
            <w:r>
              <w:rPr>
                <w:rFonts w:ascii="Times New Roman" w:eastAsia="Times New Roman" w:hAnsi="Times New Roman" w:cs="Times New Roman"/>
                <w:color w:val="auto"/>
              </w:rPr>
              <w:t>4</w:t>
            </w:r>
          </w:p>
        </w:tc>
        <w:tc>
          <w:tcPr>
            <w:tcW w:w="1732" w:type="dxa"/>
            <w:tcBorders>
              <w:top w:val="single" w:sz="4" w:space="0" w:color="000000"/>
              <w:left w:val="single" w:sz="4" w:space="0" w:color="000000"/>
              <w:bottom w:val="single" w:sz="4" w:space="0" w:color="000000"/>
              <w:right w:val="single" w:sz="4" w:space="0" w:color="000000"/>
            </w:tcBorders>
            <w:vAlign w:val="center"/>
          </w:tcPr>
          <w:p w14:paraId="0287B6B0" w14:textId="77777777" w:rsidR="0075791A" w:rsidRDefault="00FB2864">
            <w:pPr>
              <w:pStyle w:val="TableParagraph"/>
              <w:spacing w:before="39"/>
              <w:ind w:left="572"/>
              <w:rPr>
                <w:rFonts w:ascii="Times New Roman" w:eastAsia="Times New Roman" w:hAnsi="Times New Roman" w:cs="Times New Roman"/>
                <w:color w:val="auto"/>
              </w:rPr>
            </w:pPr>
            <w:r>
              <w:rPr>
                <w:rFonts w:ascii="Times New Roman" w:eastAsia="Times New Roman" w:hAnsi="Times New Roman" w:cs="Times New Roman"/>
                <w:color w:val="auto"/>
                <w:spacing w:val="1"/>
              </w:rPr>
              <w:t>480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5</w:t>
            </w:r>
            <w:r>
              <w:rPr>
                <w:rFonts w:ascii="Times New Roman" w:eastAsia="Times New Roman" w:hAnsi="Times New Roman" w:cs="Times New Roman"/>
                <w:color w:val="auto"/>
              </w:rPr>
              <w:t>6</w:t>
            </w:r>
          </w:p>
        </w:tc>
        <w:tc>
          <w:tcPr>
            <w:tcW w:w="1730" w:type="dxa"/>
            <w:tcBorders>
              <w:top w:val="single" w:sz="4" w:space="0" w:color="000000"/>
              <w:left w:val="single" w:sz="4" w:space="0" w:color="000000"/>
              <w:bottom w:val="single" w:sz="4" w:space="0" w:color="000000"/>
              <w:right w:val="single" w:sz="4" w:space="0" w:color="000000"/>
            </w:tcBorders>
            <w:vAlign w:val="center"/>
          </w:tcPr>
          <w:p w14:paraId="2B783DDB" w14:textId="77777777" w:rsidR="0075791A" w:rsidRDefault="00FB2864">
            <w:pPr>
              <w:pStyle w:val="TableParagraph"/>
              <w:spacing w:before="39"/>
              <w:ind w:left="577" w:right="578"/>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298</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6</w:t>
            </w:r>
          </w:p>
        </w:tc>
      </w:tr>
      <w:tr w:rsidR="0075791A" w14:paraId="023AE95B" w14:textId="77777777">
        <w:trPr>
          <w:trHeight w:hRule="exact" w:val="330"/>
        </w:trPr>
        <w:tc>
          <w:tcPr>
            <w:tcW w:w="1220" w:type="dxa"/>
            <w:vMerge/>
            <w:tcBorders>
              <w:left w:val="single" w:sz="4" w:space="0" w:color="000000"/>
              <w:right w:val="single" w:sz="4" w:space="0" w:color="000000"/>
            </w:tcBorders>
            <w:vAlign w:val="center"/>
          </w:tcPr>
          <w:p w14:paraId="27266A19"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07C10A37" w14:textId="77777777" w:rsidR="0075791A" w:rsidRDefault="00FB2864">
            <w:pPr>
              <w:pStyle w:val="TableParagraph"/>
              <w:spacing w:before="33"/>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6</w:t>
            </w:r>
          </w:p>
        </w:tc>
        <w:tc>
          <w:tcPr>
            <w:tcW w:w="1732" w:type="dxa"/>
            <w:tcBorders>
              <w:top w:val="single" w:sz="4" w:space="0" w:color="000000"/>
              <w:left w:val="single" w:sz="4" w:space="0" w:color="000000"/>
              <w:bottom w:val="single" w:sz="4" w:space="0" w:color="000000"/>
              <w:right w:val="single" w:sz="4" w:space="0" w:color="000000"/>
            </w:tcBorders>
            <w:vAlign w:val="center"/>
          </w:tcPr>
          <w:p w14:paraId="13B19E40" w14:textId="77777777" w:rsidR="0075791A" w:rsidRDefault="00FB2864">
            <w:pPr>
              <w:pStyle w:val="TableParagraph"/>
              <w:spacing w:before="40"/>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4</w:t>
            </w:r>
          </w:p>
        </w:tc>
        <w:tc>
          <w:tcPr>
            <w:tcW w:w="1732" w:type="dxa"/>
            <w:tcBorders>
              <w:top w:val="single" w:sz="4" w:space="0" w:color="000000"/>
              <w:left w:val="single" w:sz="4" w:space="0" w:color="000000"/>
              <w:bottom w:val="single" w:sz="4" w:space="0" w:color="000000"/>
              <w:right w:val="single" w:sz="4" w:space="0" w:color="000000"/>
            </w:tcBorders>
            <w:vAlign w:val="center"/>
          </w:tcPr>
          <w:p w14:paraId="2010AE8E" w14:textId="77777777" w:rsidR="0075791A" w:rsidRDefault="00FB2864">
            <w:pPr>
              <w:pStyle w:val="TableParagraph"/>
              <w:spacing w:before="40"/>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21</w:t>
            </w:r>
            <w:r>
              <w:rPr>
                <w:rFonts w:ascii="Times New Roman" w:eastAsia="Times New Roman" w:hAnsi="Times New Roman" w:cs="Times New Roman"/>
                <w:color w:val="auto"/>
              </w:rPr>
              <w:t>2</w:t>
            </w:r>
          </w:p>
        </w:tc>
        <w:tc>
          <w:tcPr>
            <w:tcW w:w="1732" w:type="dxa"/>
            <w:tcBorders>
              <w:top w:val="single" w:sz="4" w:space="0" w:color="000000"/>
              <w:left w:val="single" w:sz="4" w:space="0" w:color="000000"/>
              <w:bottom w:val="single" w:sz="4" w:space="0" w:color="000000"/>
              <w:right w:val="single" w:sz="4" w:space="0" w:color="000000"/>
            </w:tcBorders>
            <w:vAlign w:val="center"/>
          </w:tcPr>
          <w:p w14:paraId="3B0544FE" w14:textId="77777777" w:rsidR="0075791A" w:rsidRDefault="00FB2864">
            <w:pPr>
              <w:pStyle w:val="TableParagraph"/>
              <w:spacing w:before="40"/>
              <w:ind w:left="572"/>
              <w:rPr>
                <w:rFonts w:ascii="Times New Roman" w:eastAsia="Times New Roman" w:hAnsi="Times New Roman" w:cs="Times New Roman"/>
                <w:color w:val="auto"/>
              </w:rPr>
            </w:pPr>
            <w:r>
              <w:rPr>
                <w:rFonts w:ascii="Times New Roman" w:eastAsia="Times New Roman" w:hAnsi="Times New Roman" w:cs="Times New Roman"/>
                <w:color w:val="auto"/>
                <w:spacing w:val="1"/>
              </w:rPr>
              <w:t>297</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7</w:t>
            </w:r>
            <w:r>
              <w:rPr>
                <w:rFonts w:ascii="Times New Roman" w:eastAsia="Times New Roman" w:hAnsi="Times New Roman" w:cs="Times New Roman"/>
                <w:color w:val="auto"/>
              </w:rPr>
              <w:t>7</w:t>
            </w:r>
          </w:p>
        </w:tc>
        <w:tc>
          <w:tcPr>
            <w:tcW w:w="1730" w:type="dxa"/>
            <w:tcBorders>
              <w:top w:val="single" w:sz="4" w:space="0" w:color="000000"/>
              <w:left w:val="single" w:sz="4" w:space="0" w:color="000000"/>
              <w:bottom w:val="single" w:sz="4" w:space="0" w:color="000000"/>
              <w:right w:val="single" w:sz="4" w:space="0" w:color="000000"/>
            </w:tcBorders>
            <w:vAlign w:val="center"/>
          </w:tcPr>
          <w:p w14:paraId="5434A215" w14:textId="77777777" w:rsidR="0075791A" w:rsidRDefault="00FB2864">
            <w:pPr>
              <w:pStyle w:val="TableParagraph"/>
              <w:spacing w:before="40"/>
              <w:ind w:left="577" w:right="578"/>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152</w:t>
            </w:r>
            <w:r>
              <w:rPr>
                <w:rFonts w:ascii="Times New Roman" w:eastAsia="Times New Roman" w:hAnsi="Times New Roman" w:cs="Times New Roman"/>
                <w:color w:val="auto"/>
                <w:spacing w:val="-2"/>
              </w:rPr>
              <w:t>6</w:t>
            </w:r>
            <w:r>
              <w:rPr>
                <w:rFonts w:ascii="Times New Roman" w:eastAsia="Times New Roman" w:hAnsi="Times New Roman" w:cs="Times New Roman"/>
                <w:color w:val="auto"/>
              </w:rPr>
              <w:t>3</w:t>
            </w:r>
          </w:p>
        </w:tc>
      </w:tr>
      <w:tr w:rsidR="0075791A" w14:paraId="33504053" w14:textId="77777777">
        <w:trPr>
          <w:trHeight w:hRule="exact" w:val="330"/>
        </w:trPr>
        <w:tc>
          <w:tcPr>
            <w:tcW w:w="1220" w:type="dxa"/>
            <w:vMerge/>
            <w:tcBorders>
              <w:left w:val="single" w:sz="4" w:space="0" w:color="000000"/>
              <w:right w:val="single" w:sz="4" w:space="0" w:color="000000"/>
            </w:tcBorders>
            <w:vAlign w:val="center"/>
          </w:tcPr>
          <w:p w14:paraId="291706DA"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736E94EA" w14:textId="77777777" w:rsidR="0075791A" w:rsidRDefault="00FB2864">
            <w:pPr>
              <w:pStyle w:val="TableParagraph"/>
              <w:spacing w:before="32"/>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8</w:t>
            </w:r>
          </w:p>
        </w:tc>
        <w:tc>
          <w:tcPr>
            <w:tcW w:w="1732" w:type="dxa"/>
            <w:tcBorders>
              <w:top w:val="single" w:sz="4" w:space="0" w:color="000000"/>
              <w:left w:val="single" w:sz="4" w:space="0" w:color="000000"/>
              <w:bottom w:val="single" w:sz="4" w:space="0" w:color="000000"/>
              <w:right w:val="single" w:sz="4" w:space="0" w:color="000000"/>
            </w:tcBorders>
            <w:vAlign w:val="center"/>
          </w:tcPr>
          <w:p w14:paraId="7453BCEE" w14:textId="77777777" w:rsidR="0075791A" w:rsidRDefault="00FB2864">
            <w:pPr>
              <w:pStyle w:val="TableParagraph"/>
              <w:spacing w:before="39"/>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1</w:t>
            </w:r>
          </w:p>
        </w:tc>
        <w:tc>
          <w:tcPr>
            <w:tcW w:w="1732" w:type="dxa"/>
            <w:tcBorders>
              <w:top w:val="single" w:sz="4" w:space="0" w:color="000000"/>
              <w:left w:val="single" w:sz="4" w:space="0" w:color="000000"/>
              <w:bottom w:val="single" w:sz="4" w:space="0" w:color="000000"/>
              <w:right w:val="single" w:sz="4" w:space="0" w:color="000000"/>
            </w:tcBorders>
            <w:vAlign w:val="center"/>
          </w:tcPr>
          <w:p w14:paraId="4B83F444" w14:textId="77777777" w:rsidR="0075791A" w:rsidRDefault="00FB2864">
            <w:pPr>
              <w:pStyle w:val="TableParagraph"/>
              <w:spacing w:before="39"/>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83</w:t>
            </w:r>
            <w:r>
              <w:rPr>
                <w:rFonts w:ascii="Times New Roman" w:eastAsia="Times New Roman" w:hAnsi="Times New Roman" w:cs="Times New Roman"/>
                <w:color w:val="auto"/>
              </w:rPr>
              <w:t>7</w:t>
            </w:r>
          </w:p>
        </w:tc>
        <w:tc>
          <w:tcPr>
            <w:tcW w:w="1732" w:type="dxa"/>
            <w:tcBorders>
              <w:top w:val="single" w:sz="4" w:space="0" w:color="000000"/>
              <w:left w:val="single" w:sz="4" w:space="0" w:color="000000"/>
              <w:bottom w:val="single" w:sz="4" w:space="0" w:color="000000"/>
              <w:right w:val="single" w:sz="4" w:space="0" w:color="000000"/>
            </w:tcBorders>
            <w:vAlign w:val="center"/>
          </w:tcPr>
          <w:p w14:paraId="203EADA5" w14:textId="77777777" w:rsidR="0075791A" w:rsidRDefault="00FB2864">
            <w:pPr>
              <w:pStyle w:val="TableParagraph"/>
              <w:spacing w:before="39"/>
              <w:ind w:left="572"/>
              <w:rPr>
                <w:rFonts w:ascii="Times New Roman" w:eastAsia="Times New Roman" w:hAnsi="Times New Roman" w:cs="Times New Roman"/>
                <w:color w:val="auto"/>
              </w:rPr>
            </w:pPr>
            <w:r>
              <w:rPr>
                <w:rFonts w:ascii="Times New Roman" w:eastAsia="Times New Roman" w:hAnsi="Times New Roman" w:cs="Times New Roman"/>
                <w:color w:val="auto"/>
                <w:spacing w:val="1"/>
              </w:rPr>
              <w:t>382</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2</w:t>
            </w:r>
            <w:r>
              <w:rPr>
                <w:rFonts w:ascii="Times New Roman" w:eastAsia="Times New Roman" w:hAnsi="Times New Roman" w:cs="Times New Roman"/>
                <w:color w:val="auto"/>
              </w:rPr>
              <w:t>9</w:t>
            </w:r>
          </w:p>
        </w:tc>
        <w:tc>
          <w:tcPr>
            <w:tcW w:w="1730" w:type="dxa"/>
            <w:tcBorders>
              <w:top w:val="single" w:sz="4" w:space="0" w:color="000000"/>
              <w:left w:val="single" w:sz="4" w:space="0" w:color="000000"/>
              <w:bottom w:val="single" w:sz="4" w:space="0" w:color="000000"/>
              <w:right w:val="single" w:sz="4" w:space="0" w:color="000000"/>
            </w:tcBorders>
            <w:vAlign w:val="center"/>
          </w:tcPr>
          <w:p w14:paraId="1F985DB9" w14:textId="77777777" w:rsidR="0075791A" w:rsidRDefault="00FB2864">
            <w:pPr>
              <w:pStyle w:val="TableParagraph"/>
              <w:spacing w:before="39"/>
              <w:ind w:left="577" w:right="578"/>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602</w:t>
            </w:r>
            <w:r>
              <w:rPr>
                <w:rFonts w:ascii="Times New Roman" w:eastAsia="Times New Roman" w:hAnsi="Times New Roman" w:cs="Times New Roman"/>
                <w:color w:val="auto"/>
                <w:spacing w:val="-2"/>
              </w:rPr>
              <w:t>5</w:t>
            </w:r>
            <w:r>
              <w:rPr>
                <w:rFonts w:ascii="Times New Roman" w:eastAsia="Times New Roman" w:hAnsi="Times New Roman" w:cs="Times New Roman"/>
                <w:color w:val="auto"/>
              </w:rPr>
              <w:t>9</w:t>
            </w:r>
          </w:p>
        </w:tc>
      </w:tr>
      <w:tr w:rsidR="0075791A" w14:paraId="57E5E0FD" w14:textId="77777777">
        <w:trPr>
          <w:trHeight w:hRule="exact" w:val="330"/>
        </w:trPr>
        <w:tc>
          <w:tcPr>
            <w:tcW w:w="1220" w:type="dxa"/>
            <w:vMerge/>
            <w:tcBorders>
              <w:left w:val="single" w:sz="4" w:space="0" w:color="000000"/>
              <w:right w:val="single" w:sz="4" w:space="0" w:color="000000"/>
            </w:tcBorders>
            <w:vAlign w:val="center"/>
          </w:tcPr>
          <w:p w14:paraId="28C079E2"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7B10A2BF" w14:textId="77777777" w:rsidR="0075791A" w:rsidRDefault="00FB2864">
            <w:pPr>
              <w:pStyle w:val="TableParagraph"/>
              <w:spacing w:before="33"/>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9</w:t>
            </w:r>
          </w:p>
        </w:tc>
        <w:tc>
          <w:tcPr>
            <w:tcW w:w="1732" w:type="dxa"/>
            <w:tcBorders>
              <w:top w:val="single" w:sz="4" w:space="0" w:color="000000"/>
              <w:left w:val="single" w:sz="4" w:space="0" w:color="000000"/>
              <w:bottom w:val="single" w:sz="4" w:space="0" w:color="000000"/>
              <w:right w:val="single" w:sz="4" w:space="0" w:color="000000"/>
            </w:tcBorders>
            <w:vAlign w:val="center"/>
          </w:tcPr>
          <w:p w14:paraId="48407CD0" w14:textId="77777777" w:rsidR="0075791A" w:rsidRDefault="00FB2864">
            <w:pPr>
              <w:pStyle w:val="TableParagraph"/>
              <w:spacing w:before="40"/>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9</w:t>
            </w:r>
          </w:p>
        </w:tc>
        <w:tc>
          <w:tcPr>
            <w:tcW w:w="1732" w:type="dxa"/>
            <w:tcBorders>
              <w:top w:val="single" w:sz="4" w:space="0" w:color="000000"/>
              <w:left w:val="single" w:sz="4" w:space="0" w:color="000000"/>
              <w:bottom w:val="single" w:sz="4" w:space="0" w:color="000000"/>
              <w:right w:val="single" w:sz="4" w:space="0" w:color="000000"/>
            </w:tcBorders>
            <w:vAlign w:val="center"/>
          </w:tcPr>
          <w:p w14:paraId="6D01021D" w14:textId="77777777" w:rsidR="0075791A" w:rsidRDefault="00FB2864">
            <w:pPr>
              <w:pStyle w:val="TableParagraph"/>
              <w:spacing w:before="40"/>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12</w:t>
            </w:r>
            <w:r>
              <w:rPr>
                <w:rFonts w:ascii="Times New Roman" w:eastAsia="Times New Roman" w:hAnsi="Times New Roman" w:cs="Times New Roman"/>
                <w:color w:val="auto"/>
              </w:rPr>
              <w:t>6</w:t>
            </w:r>
          </w:p>
        </w:tc>
        <w:tc>
          <w:tcPr>
            <w:tcW w:w="1732" w:type="dxa"/>
            <w:tcBorders>
              <w:top w:val="single" w:sz="4" w:space="0" w:color="000000"/>
              <w:left w:val="single" w:sz="4" w:space="0" w:color="000000"/>
              <w:bottom w:val="single" w:sz="4" w:space="0" w:color="000000"/>
              <w:right w:val="single" w:sz="4" w:space="0" w:color="000000"/>
            </w:tcBorders>
            <w:vAlign w:val="center"/>
          </w:tcPr>
          <w:p w14:paraId="5ABB0879" w14:textId="77777777" w:rsidR="0075791A" w:rsidRDefault="00FB2864">
            <w:pPr>
              <w:pStyle w:val="TableParagraph"/>
              <w:spacing w:before="40"/>
              <w:ind w:left="572"/>
              <w:rPr>
                <w:rFonts w:ascii="Times New Roman" w:eastAsia="Times New Roman" w:hAnsi="Times New Roman" w:cs="Times New Roman"/>
                <w:color w:val="auto"/>
              </w:rPr>
            </w:pPr>
            <w:r>
              <w:rPr>
                <w:rFonts w:ascii="Times New Roman" w:eastAsia="Times New Roman" w:hAnsi="Times New Roman" w:cs="Times New Roman"/>
                <w:color w:val="auto"/>
                <w:spacing w:val="1"/>
              </w:rPr>
              <w:t>222</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rPr>
              <w:t>2</w:t>
            </w:r>
          </w:p>
        </w:tc>
        <w:tc>
          <w:tcPr>
            <w:tcW w:w="1730" w:type="dxa"/>
            <w:tcBorders>
              <w:top w:val="single" w:sz="4" w:space="0" w:color="000000"/>
              <w:left w:val="single" w:sz="4" w:space="0" w:color="000000"/>
              <w:bottom w:val="single" w:sz="4" w:space="0" w:color="000000"/>
              <w:right w:val="single" w:sz="4" w:space="0" w:color="000000"/>
            </w:tcBorders>
            <w:vAlign w:val="center"/>
          </w:tcPr>
          <w:p w14:paraId="5440E033" w14:textId="77777777" w:rsidR="0075791A" w:rsidRDefault="00FB2864">
            <w:pPr>
              <w:pStyle w:val="TableParagraph"/>
              <w:spacing w:before="40"/>
              <w:ind w:left="629" w:right="62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907</w:t>
            </w:r>
            <w:r>
              <w:rPr>
                <w:rFonts w:ascii="Times New Roman" w:eastAsia="Times New Roman" w:hAnsi="Times New Roman" w:cs="Times New Roman"/>
                <w:color w:val="auto"/>
              </w:rPr>
              <w:t>1</w:t>
            </w:r>
          </w:p>
        </w:tc>
      </w:tr>
      <w:tr w:rsidR="0075791A" w14:paraId="7F8F116C" w14:textId="77777777">
        <w:trPr>
          <w:trHeight w:hRule="exact" w:val="330"/>
        </w:trPr>
        <w:tc>
          <w:tcPr>
            <w:tcW w:w="1220" w:type="dxa"/>
            <w:vMerge/>
            <w:tcBorders>
              <w:left w:val="single" w:sz="4" w:space="0" w:color="000000"/>
              <w:bottom w:val="single" w:sz="4" w:space="0" w:color="000000"/>
              <w:right w:val="single" w:sz="4" w:space="0" w:color="000000"/>
            </w:tcBorders>
            <w:vAlign w:val="center"/>
          </w:tcPr>
          <w:p w14:paraId="28F5294C"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603E04DA" w14:textId="77777777" w:rsidR="0075791A" w:rsidRDefault="00FB2864">
            <w:pPr>
              <w:pStyle w:val="TableParagraph"/>
              <w:spacing w:before="32"/>
              <w:ind w:left="195"/>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pacing w:val="-5"/>
                <w:sz w:val="22"/>
                <w:szCs w:val="22"/>
              </w:rPr>
              <w:t>1</w:t>
            </w:r>
            <w:r>
              <w:rPr>
                <w:rFonts w:ascii="Times New Roman" w:eastAsia="Times New Roman" w:hAnsi="Times New Roman" w:cs="Times New Roman"/>
                <w:color w:val="auto"/>
                <w:sz w:val="22"/>
                <w:szCs w:val="22"/>
              </w:rPr>
              <w:t>1</w:t>
            </w:r>
          </w:p>
        </w:tc>
        <w:tc>
          <w:tcPr>
            <w:tcW w:w="1732" w:type="dxa"/>
            <w:tcBorders>
              <w:top w:val="single" w:sz="4" w:space="0" w:color="000000"/>
              <w:left w:val="single" w:sz="4" w:space="0" w:color="000000"/>
              <w:bottom w:val="single" w:sz="4" w:space="0" w:color="000000"/>
              <w:right w:val="single" w:sz="4" w:space="0" w:color="000000"/>
            </w:tcBorders>
            <w:vAlign w:val="center"/>
          </w:tcPr>
          <w:p w14:paraId="464CFA88" w14:textId="77777777" w:rsidR="0075791A" w:rsidRDefault="00FB2864">
            <w:pPr>
              <w:pStyle w:val="TableParagraph"/>
              <w:spacing w:before="39"/>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12341D5C" w14:textId="77777777" w:rsidR="0075791A" w:rsidRDefault="00FB2864">
            <w:pPr>
              <w:pStyle w:val="TableParagraph"/>
              <w:spacing w:before="39"/>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42</w:t>
            </w:r>
            <w:r>
              <w:rPr>
                <w:rFonts w:ascii="Times New Roman" w:eastAsia="Times New Roman" w:hAnsi="Times New Roman" w:cs="Times New Roman"/>
                <w:color w:val="auto"/>
              </w:rPr>
              <w:t>6</w:t>
            </w:r>
          </w:p>
        </w:tc>
        <w:tc>
          <w:tcPr>
            <w:tcW w:w="1732" w:type="dxa"/>
            <w:tcBorders>
              <w:top w:val="single" w:sz="4" w:space="0" w:color="000000"/>
              <w:left w:val="single" w:sz="4" w:space="0" w:color="000000"/>
              <w:bottom w:val="single" w:sz="4" w:space="0" w:color="000000"/>
              <w:right w:val="single" w:sz="4" w:space="0" w:color="000000"/>
            </w:tcBorders>
            <w:vAlign w:val="center"/>
          </w:tcPr>
          <w:p w14:paraId="7456FFC0" w14:textId="77777777" w:rsidR="0075791A" w:rsidRDefault="00FB2864">
            <w:pPr>
              <w:pStyle w:val="TableParagraph"/>
              <w:spacing w:before="39"/>
              <w:ind w:left="572"/>
              <w:rPr>
                <w:rFonts w:ascii="Times New Roman" w:eastAsia="Times New Roman" w:hAnsi="Times New Roman" w:cs="Times New Roman"/>
                <w:color w:val="auto"/>
              </w:rPr>
            </w:pPr>
            <w:r>
              <w:rPr>
                <w:rFonts w:ascii="Times New Roman" w:eastAsia="Times New Roman" w:hAnsi="Times New Roman" w:cs="Times New Roman"/>
                <w:color w:val="auto"/>
                <w:spacing w:val="1"/>
              </w:rPr>
              <w:t>326</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2</w:t>
            </w:r>
            <w:r>
              <w:rPr>
                <w:rFonts w:ascii="Times New Roman" w:eastAsia="Times New Roman" w:hAnsi="Times New Roman" w:cs="Times New Roman"/>
                <w:color w:val="auto"/>
              </w:rPr>
              <w:t>8</w:t>
            </w:r>
          </w:p>
        </w:tc>
        <w:tc>
          <w:tcPr>
            <w:tcW w:w="1730" w:type="dxa"/>
            <w:tcBorders>
              <w:top w:val="single" w:sz="4" w:space="0" w:color="000000"/>
              <w:left w:val="single" w:sz="4" w:space="0" w:color="000000"/>
              <w:bottom w:val="single" w:sz="4" w:space="0" w:color="000000"/>
              <w:right w:val="single" w:sz="4" w:space="0" w:color="000000"/>
            </w:tcBorders>
            <w:vAlign w:val="center"/>
          </w:tcPr>
          <w:p w14:paraId="489E64D5" w14:textId="77777777" w:rsidR="0075791A" w:rsidRDefault="00FB2864">
            <w:pPr>
              <w:pStyle w:val="TableParagraph"/>
              <w:spacing w:before="39"/>
              <w:ind w:left="577" w:right="578"/>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306</w:t>
            </w:r>
            <w:r>
              <w:rPr>
                <w:rFonts w:ascii="Times New Roman" w:eastAsia="Times New Roman" w:hAnsi="Times New Roman" w:cs="Times New Roman"/>
                <w:color w:val="auto"/>
                <w:spacing w:val="-2"/>
              </w:rPr>
              <w:t>7</w:t>
            </w:r>
            <w:r>
              <w:rPr>
                <w:rFonts w:ascii="Times New Roman" w:eastAsia="Times New Roman" w:hAnsi="Times New Roman" w:cs="Times New Roman"/>
                <w:color w:val="auto"/>
              </w:rPr>
              <w:t>0</w:t>
            </w:r>
          </w:p>
        </w:tc>
      </w:tr>
      <w:tr w:rsidR="0075791A" w14:paraId="1FE3CCD0" w14:textId="77777777">
        <w:trPr>
          <w:trHeight w:hRule="exact" w:val="330"/>
        </w:trPr>
        <w:tc>
          <w:tcPr>
            <w:tcW w:w="1220" w:type="dxa"/>
            <w:vMerge w:val="restart"/>
            <w:tcBorders>
              <w:top w:val="single" w:sz="4" w:space="0" w:color="000000"/>
              <w:left w:val="single" w:sz="4" w:space="0" w:color="000000"/>
              <w:right w:val="single" w:sz="4" w:space="0" w:color="000000"/>
            </w:tcBorders>
            <w:vAlign w:val="center"/>
          </w:tcPr>
          <w:p w14:paraId="2E9C5878" w14:textId="77777777" w:rsidR="0075791A" w:rsidRDefault="00FB2864">
            <w:pPr>
              <w:pStyle w:val="TableParagraph"/>
              <w:ind w:left="290"/>
              <w:rPr>
                <w:rFonts w:ascii="宋体" w:eastAsia="宋体" w:hAnsi="宋体" w:cs="宋体"/>
                <w:color w:val="auto"/>
              </w:rPr>
            </w:pPr>
            <w:r>
              <w:rPr>
                <w:rFonts w:ascii="宋体" w:eastAsia="宋体" w:hAnsi="宋体" w:cs="宋体"/>
                <w:color w:val="auto"/>
                <w:spacing w:val="-1"/>
              </w:rPr>
              <w:t>流</w:t>
            </w:r>
            <w:r>
              <w:rPr>
                <w:rFonts w:ascii="宋体" w:eastAsia="宋体" w:hAnsi="宋体" w:cs="宋体"/>
                <w:color w:val="auto"/>
                <w:spacing w:val="2"/>
              </w:rPr>
              <w:t>刺</w:t>
            </w:r>
            <w:r>
              <w:rPr>
                <w:rFonts w:ascii="宋体" w:eastAsia="宋体" w:hAnsi="宋体" w:cs="宋体"/>
                <w:color w:val="auto"/>
              </w:rPr>
              <w:t>网</w:t>
            </w:r>
          </w:p>
        </w:tc>
        <w:tc>
          <w:tcPr>
            <w:tcW w:w="772" w:type="dxa"/>
            <w:tcBorders>
              <w:top w:val="single" w:sz="4" w:space="0" w:color="000000"/>
              <w:left w:val="single" w:sz="4" w:space="0" w:color="000000"/>
              <w:bottom w:val="single" w:sz="4" w:space="0" w:color="000000"/>
              <w:right w:val="single" w:sz="4" w:space="0" w:color="000000"/>
            </w:tcBorders>
            <w:vAlign w:val="center"/>
          </w:tcPr>
          <w:p w14:paraId="3EFAAD5D" w14:textId="77777777" w:rsidR="0075791A" w:rsidRDefault="00FB2864">
            <w:pPr>
              <w:pStyle w:val="TableParagraph"/>
              <w:spacing w:before="33"/>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4</w:t>
            </w:r>
          </w:p>
        </w:tc>
        <w:tc>
          <w:tcPr>
            <w:tcW w:w="1732" w:type="dxa"/>
            <w:tcBorders>
              <w:top w:val="single" w:sz="4" w:space="0" w:color="000000"/>
              <w:left w:val="single" w:sz="4" w:space="0" w:color="000000"/>
              <w:bottom w:val="single" w:sz="4" w:space="0" w:color="000000"/>
              <w:right w:val="single" w:sz="4" w:space="0" w:color="000000"/>
            </w:tcBorders>
            <w:vAlign w:val="center"/>
          </w:tcPr>
          <w:p w14:paraId="31D9A459" w14:textId="77777777" w:rsidR="0075791A" w:rsidRDefault="00FB2864">
            <w:pPr>
              <w:pStyle w:val="TableParagraph"/>
              <w:spacing w:before="40"/>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7</w:t>
            </w:r>
          </w:p>
        </w:tc>
        <w:tc>
          <w:tcPr>
            <w:tcW w:w="1732" w:type="dxa"/>
            <w:tcBorders>
              <w:top w:val="single" w:sz="4" w:space="0" w:color="000000"/>
              <w:left w:val="single" w:sz="4" w:space="0" w:color="000000"/>
              <w:bottom w:val="single" w:sz="4" w:space="0" w:color="000000"/>
              <w:right w:val="single" w:sz="4" w:space="0" w:color="000000"/>
            </w:tcBorders>
            <w:vAlign w:val="center"/>
          </w:tcPr>
          <w:p w14:paraId="0582C2D4" w14:textId="77777777" w:rsidR="0075791A" w:rsidRDefault="00FB2864">
            <w:pPr>
              <w:pStyle w:val="TableParagraph"/>
              <w:spacing w:before="40"/>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49</w:t>
            </w:r>
            <w:r>
              <w:rPr>
                <w:rFonts w:ascii="Times New Roman" w:eastAsia="Times New Roman" w:hAnsi="Times New Roman" w:cs="Times New Roman"/>
                <w:color w:val="auto"/>
              </w:rPr>
              <w:t>9</w:t>
            </w:r>
          </w:p>
        </w:tc>
        <w:tc>
          <w:tcPr>
            <w:tcW w:w="1732" w:type="dxa"/>
            <w:tcBorders>
              <w:top w:val="single" w:sz="4" w:space="0" w:color="000000"/>
              <w:left w:val="single" w:sz="4" w:space="0" w:color="000000"/>
              <w:bottom w:val="single" w:sz="4" w:space="0" w:color="000000"/>
              <w:right w:val="single" w:sz="4" w:space="0" w:color="000000"/>
            </w:tcBorders>
            <w:vAlign w:val="center"/>
          </w:tcPr>
          <w:p w14:paraId="0478DFFD" w14:textId="77777777" w:rsidR="0075791A" w:rsidRDefault="00FB2864">
            <w:pPr>
              <w:pStyle w:val="TableParagraph"/>
              <w:spacing w:before="40"/>
              <w:ind w:left="572"/>
              <w:rPr>
                <w:rFonts w:ascii="Times New Roman" w:eastAsia="Times New Roman" w:hAnsi="Times New Roman" w:cs="Times New Roman"/>
                <w:color w:val="auto"/>
              </w:rPr>
            </w:pPr>
            <w:r>
              <w:rPr>
                <w:rFonts w:ascii="Times New Roman" w:eastAsia="Times New Roman" w:hAnsi="Times New Roman" w:cs="Times New Roman"/>
                <w:color w:val="auto"/>
                <w:spacing w:val="1"/>
              </w:rPr>
              <w:t>343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6</w:t>
            </w:r>
            <w:r>
              <w:rPr>
                <w:rFonts w:ascii="Times New Roman" w:eastAsia="Times New Roman" w:hAnsi="Times New Roman" w:cs="Times New Roman"/>
                <w:color w:val="auto"/>
              </w:rPr>
              <w:t>3</w:t>
            </w:r>
          </w:p>
        </w:tc>
        <w:tc>
          <w:tcPr>
            <w:tcW w:w="1730" w:type="dxa"/>
            <w:tcBorders>
              <w:top w:val="single" w:sz="4" w:space="0" w:color="000000"/>
              <w:left w:val="single" w:sz="4" w:space="0" w:color="000000"/>
              <w:bottom w:val="single" w:sz="4" w:space="0" w:color="000000"/>
              <w:right w:val="single" w:sz="4" w:space="0" w:color="000000"/>
            </w:tcBorders>
            <w:vAlign w:val="center"/>
          </w:tcPr>
          <w:p w14:paraId="2C359D64" w14:textId="77777777" w:rsidR="0075791A" w:rsidRDefault="00FB2864">
            <w:pPr>
              <w:pStyle w:val="TableParagraph"/>
              <w:spacing w:before="40"/>
              <w:ind w:left="577" w:right="578"/>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359</w:t>
            </w:r>
            <w:r>
              <w:rPr>
                <w:rFonts w:ascii="Times New Roman" w:eastAsia="Times New Roman" w:hAnsi="Times New Roman" w:cs="Times New Roman"/>
                <w:color w:val="auto"/>
                <w:spacing w:val="-2"/>
              </w:rPr>
              <w:t>2</w:t>
            </w:r>
            <w:r>
              <w:rPr>
                <w:rFonts w:ascii="Times New Roman" w:eastAsia="Times New Roman" w:hAnsi="Times New Roman" w:cs="Times New Roman"/>
                <w:color w:val="auto"/>
              </w:rPr>
              <w:t>5</w:t>
            </w:r>
          </w:p>
        </w:tc>
      </w:tr>
      <w:tr w:rsidR="0075791A" w14:paraId="649B48CA" w14:textId="77777777">
        <w:trPr>
          <w:trHeight w:hRule="exact" w:val="330"/>
        </w:trPr>
        <w:tc>
          <w:tcPr>
            <w:tcW w:w="1220" w:type="dxa"/>
            <w:vMerge/>
            <w:tcBorders>
              <w:left w:val="single" w:sz="4" w:space="0" w:color="000000"/>
              <w:bottom w:val="single" w:sz="4" w:space="0" w:color="000000"/>
              <w:right w:val="single" w:sz="4" w:space="0" w:color="000000"/>
            </w:tcBorders>
            <w:vAlign w:val="center"/>
          </w:tcPr>
          <w:p w14:paraId="013505FB"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6A332D6C" w14:textId="77777777" w:rsidR="0075791A" w:rsidRDefault="00FB2864">
            <w:pPr>
              <w:pStyle w:val="TableParagraph"/>
              <w:spacing w:before="32"/>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7</w:t>
            </w:r>
          </w:p>
        </w:tc>
        <w:tc>
          <w:tcPr>
            <w:tcW w:w="1732" w:type="dxa"/>
            <w:tcBorders>
              <w:top w:val="single" w:sz="4" w:space="0" w:color="000000"/>
              <w:left w:val="single" w:sz="4" w:space="0" w:color="000000"/>
              <w:bottom w:val="single" w:sz="4" w:space="0" w:color="000000"/>
              <w:right w:val="single" w:sz="4" w:space="0" w:color="000000"/>
            </w:tcBorders>
            <w:vAlign w:val="center"/>
          </w:tcPr>
          <w:p w14:paraId="48626DC3" w14:textId="77777777" w:rsidR="0075791A" w:rsidRDefault="00FB2864">
            <w:pPr>
              <w:pStyle w:val="TableParagraph"/>
              <w:spacing w:before="39"/>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0319BBDE" w14:textId="77777777" w:rsidR="0075791A" w:rsidRDefault="00FB2864">
            <w:pPr>
              <w:pStyle w:val="TableParagraph"/>
              <w:spacing w:before="39"/>
              <w:ind w:right="1"/>
              <w:jc w:val="center"/>
              <w:rPr>
                <w:rFonts w:ascii="Times New Roman" w:eastAsia="Times New Roman" w:hAnsi="Times New Roman" w:cs="Times New Roman"/>
                <w:color w:val="auto"/>
              </w:rPr>
            </w:pPr>
            <w:r>
              <w:rPr>
                <w:rFonts w:ascii="Times New Roman" w:eastAsia="Times New Roman" w:hAnsi="Times New Roman" w:cs="Times New Roman"/>
                <w:color w:val="auto"/>
                <w:spacing w:val="-5"/>
              </w:rPr>
              <w:t>1</w:t>
            </w:r>
            <w:r>
              <w:rPr>
                <w:rFonts w:ascii="Times New Roman" w:eastAsia="Times New Roman" w:hAnsi="Times New Roman" w:cs="Times New Roman"/>
                <w:color w:val="auto"/>
                <w:spacing w:val="-2"/>
              </w:rPr>
              <w:t>1</w:t>
            </w:r>
            <w:r>
              <w:rPr>
                <w:rFonts w:ascii="Times New Roman" w:eastAsia="Times New Roman" w:hAnsi="Times New Roman" w:cs="Times New Roman"/>
                <w:color w:val="auto"/>
              </w:rPr>
              <w:t>0</w:t>
            </w:r>
          </w:p>
        </w:tc>
        <w:tc>
          <w:tcPr>
            <w:tcW w:w="1732" w:type="dxa"/>
            <w:tcBorders>
              <w:top w:val="single" w:sz="4" w:space="0" w:color="000000"/>
              <w:left w:val="single" w:sz="4" w:space="0" w:color="000000"/>
              <w:bottom w:val="single" w:sz="4" w:space="0" w:color="000000"/>
              <w:right w:val="single" w:sz="4" w:space="0" w:color="000000"/>
            </w:tcBorders>
            <w:vAlign w:val="center"/>
          </w:tcPr>
          <w:p w14:paraId="0D48E7F4" w14:textId="77777777" w:rsidR="0075791A" w:rsidRDefault="00FB2864">
            <w:pPr>
              <w:pStyle w:val="TableParagraph"/>
              <w:spacing w:before="39"/>
              <w:ind w:left="572"/>
              <w:rPr>
                <w:rFonts w:ascii="Times New Roman" w:eastAsia="Times New Roman" w:hAnsi="Times New Roman" w:cs="Times New Roman"/>
                <w:color w:val="auto"/>
              </w:rPr>
            </w:pPr>
            <w:r>
              <w:rPr>
                <w:rFonts w:ascii="Times New Roman" w:eastAsia="Times New Roman" w:hAnsi="Times New Roman" w:cs="Times New Roman"/>
                <w:color w:val="auto"/>
                <w:spacing w:val="1"/>
              </w:rPr>
              <w:t>153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1</w:t>
            </w:r>
            <w:r>
              <w:rPr>
                <w:rFonts w:ascii="Times New Roman" w:eastAsia="Times New Roman" w:hAnsi="Times New Roman" w:cs="Times New Roman"/>
                <w:color w:val="auto"/>
              </w:rPr>
              <w:t>3</w:t>
            </w:r>
          </w:p>
        </w:tc>
        <w:tc>
          <w:tcPr>
            <w:tcW w:w="1730" w:type="dxa"/>
            <w:tcBorders>
              <w:top w:val="single" w:sz="4" w:space="0" w:color="000000"/>
              <w:left w:val="single" w:sz="4" w:space="0" w:color="000000"/>
              <w:bottom w:val="single" w:sz="4" w:space="0" w:color="000000"/>
              <w:right w:val="single" w:sz="4" w:space="0" w:color="000000"/>
            </w:tcBorders>
            <w:vAlign w:val="center"/>
          </w:tcPr>
          <w:p w14:paraId="40F726E0" w14:textId="77777777" w:rsidR="0075791A" w:rsidRDefault="00FB2864">
            <w:pPr>
              <w:pStyle w:val="TableParagraph"/>
              <w:spacing w:before="39"/>
              <w:ind w:left="629" w:right="62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791</w:t>
            </w:r>
            <w:r>
              <w:rPr>
                <w:rFonts w:ascii="Times New Roman" w:eastAsia="Times New Roman" w:hAnsi="Times New Roman" w:cs="Times New Roman"/>
                <w:color w:val="auto"/>
              </w:rPr>
              <w:t>9</w:t>
            </w:r>
          </w:p>
        </w:tc>
      </w:tr>
      <w:tr w:rsidR="0075791A" w14:paraId="615E94A3" w14:textId="77777777">
        <w:trPr>
          <w:trHeight w:hRule="exact" w:val="330"/>
        </w:trPr>
        <w:tc>
          <w:tcPr>
            <w:tcW w:w="1992" w:type="dxa"/>
            <w:gridSpan w:val="2"/>
            <w:tcBorders>
              <w:top w:val="single" w:sz="4" w:space="0" w:color="000000"/>
              <w:left w:val="single" w:sz="4" w:space="0" w:color="000000"/>
              <w:bottom w:val="single" w:sz="4" w:space="0" w:color="000000"/>
              <w:right w:val="single" w:sz="4" w:space="0" w:color="000000"/>
            </w:tcBorders>
            <w:vAlign w:val="center"/>
          </w:tcPr>
          <w:p w14:paraId="34444DBE" w14:textId="77777777" w:rsidR="0075791A" w:rsidRDefault="00FB2864">
            <w:pPr>
              <w:pStyle w:val="TableParagraph"/>
              <w:spacing w:line="264" w:lineRule="exact"/>
              <w:ind w:left="656" w:right="656"/>
              <w:jc w:val="center"/>
              <w:rPr>
                <w:rFonts w:ascii="宋体" w:eastAsia="宋体" w:hAnsi="宋体" w:cs="宋体"/>
                <w:color w:val="auto"/>
              </w:rPr>
            </w:pPr>
            <w:r>
              <w:rPr>
                <w:rFonts w:ascii="宋体" w:eastAsia="宋体" w:hAnsi="宋体" w:cs="宋体"/>
                <w:color w:val="auto"/>
                <w:spacing w:val="-1"/>
              </w:rPr>
              <w:t>平</w:t>
            </w:r>
            <w:r>
              <w:rPr>
                <w:rFonts w:ascii="宋体" w:eastAsia="宋体" w:hAnsi="宋体" w:cs="宋体"/>
                <w:color w:val="auto"/>
                <w:spacing w:val="2"/>
              </w:rPr>
              <w:t>均</w:t>
            </w:r>
            <w:r>
              <w:rPr>
                <w:rFonts w:ascii="宋体" w:eastAsia="宋体" w:hAnsi="宋体" w:cs="宋体"/>
                <w:color w:val="auto"/>
              </w:rPr>
              <w:t>值</w:t>
            </w:r>
          </w:p>
        </w:tc>
        <w:tc>
          <w:tcPr>
            <w:tcW w:w="1732" w:type="dxa"/>
            <w:tcBorders>
              <w:top w:val="single" w:sz="4" w:space="0" w:color="000000"/>
              <w:left w:val="single" w:sz="4" w:space="0" w:color="000000"/>
              <w:bottom w:val="single" w:sz="4" w:space="0" w:color="000000"/>
              <w:right w:val="single" w:sz="4" w:space="0" w:color="000000"/>
            </w:tcBorders>
            <w:vAlign w:val="center"/>
          </w:tcPr>
          <w:p w14:paraId="3B673C21" w14:textId="77777777" w:rsidR="0075791A" w:rsidRDefault="00FB2864">
            <w:pPr>
              <w:pStyle w:val="TableParagraph"/>
              <w:spacing w:before="40"/>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2</w:t>
            </w:r>
          </w:p>
        </w:tc>
        <w:tc>
          <w:tcPr>
            <w:tcW w:w="1732" w:type="dxa"/>
            <w:tcBorders>
              <w:top w:val="single" w:sz="4" w:space="0" w:color="000000"/>
              <w:left w:val="single" w:sz="4" w:space="0" w:color="000000"/>
              <w:bottom w:val="single" w:sz="4" w:space="0" w:color="000000"/>
              <w:right w:val="single" w:sz="4" w:space="0" w:color="000000"/>
            </w:tcBorders>
            <w:vAlign w:val="center"/>
          </w:tcPr>
          <w:p w14:paraId="027A8A1F" w14:textId="77777777" w:rsidR="0075791A" w:rsidRDefault="00FB2864">
            <w:pPr>
              <w:pStyle w:val="TableParagraph"/>
              <w:spacing w:before="40"/>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56</w:t>
            </w:r>
            <w:r>
              <w:rPr>
                <w:rFonts w:ascii="Times New Roman" w:eastAsia="Times New Roman" w:hAnsi="Times New Roman" w:cs="Times New Roman"/>
                <w:color w:val="auto"/>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3211695B" w14:textId="77777777" w:rsidR="0075791A" w:rsidRDefault="00FB2864">
            <w:pPr>
              <w:pStyle w:val="TableParagraph"/>
              <w:spacing w:before="40"/>
              <w:ind w:left="572"/>
              <w:rPr>
                <w:rFonts w:ascii="Times New Roman" w:eastAsia="Times New Roman" w:hAnsi="Times New Roman" w:cs="Times New Roman"/>
                <w:color w:val="auto"/>
              </w:rPr>
            </w:pPr>
            <w:r>
              <w:rPr>
                <w:rFonts w:ascii="Times New Roman" w:eastAsia="Times New Roman" w:hAnsi="Times New Roman" w:cs="Times New Roman"/>
                <w:color w:val="auto"/>
                <w:spacing w:val="1"/>
              </w:rPr>
              <w:t>383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1</w:t>
            </w:r>
            <w:r>
              <w:rPr>
                <w:rFonts w:ascii="Times New Roman" w:eastAsia="Times New Roman" w:hAnsi="Times New Roman" w:cs="Times New Roman"/>
                <w:color w:val="auto"/>
              </w:rPr>
              <w:t>2</w:t>
            </w:r>
          </w:p>
        </w:tc>
        <w:tc>
          <w:tcPr>
            <w:tcW w:w="1730" w:type="dxa"/>
            <w:tcBorders>
              <w:top w:val="single" w:sz="4" w:space="0" w:color="000000"/>
              <w:left w:val="single" w:sz="4" w:space="0" w:color="000000"/>
              <w:bottom w:val="single" w:sz="4" w:space="0" w:color="000000"/>
              <w:right w:val="single" w:sz="4" w:space="0" w:color="000000"/>
            </w:tcBorders>
            <w:vAlign w:val="center"/>
          </w:tcPr>
          <w:p w14:paraId="61039456" w14:textId="77777777" w:rsidR="0075791A" w:rsidRDefault="00FB2864">
            <w:pPr>
              <w:pStyle w:val="TableParagraph"/>
              <w:spacing w:before="40"/>
              <w:ind w:left="577" w:right="578"/>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405</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2</w:t>
            </w:r>
          </w:p>
        </w:tc>
      </w:tr>
    </w:tbl>
    <w:p w14:paraId="0479128D" w14:textId="77777777" w:rsidR="0075791A" w:rsidRDefault="0075791A">
      <w:pPr>
        <w:spacing w:line="355" w:lineRule="auto"/>
        <w:rPr>
          <w:rFonts w:ascii="Times New Roman" w:eastAsia="宋体" w:hAnsi="Times New Roman" w:cs="宋体"/>
          <w:color w:val="auto"/>
          <w:sz w:val="24"/>
          <w:szCs w:val="24"/>
        </w:rPr>
      </w:pPr>
    </w:p>
    <w:p w14:paraId="33C95CD4"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根据相对重要性指数（</w:t>
      </w:r>
      <w:r>
        <w:rPr>
          <w:rFonts w:ascii="Times New Roman" w:eastAsia="宋体" w:hAnsi="Times New Roman" w:cs="Times New Roman" w:hint="eastAsia"/>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）公式计算评价调查海域内鱼类的相对重要性指标（</w:t>
      </w:r>
      <w:r>
        <w:rPr>
          <w:rFonts w:ascii="Times New Roman" w:eastAsia="宋体" w:hAnsi="Times New Roman" w:cs="Times New Roman" w:hint="eastAsia"/>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）。本次调查的所有的优势渔获种类共有</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种，其中鱼类</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种，分别为短鲽（</w:t>
      </w:r>
      <w:r>
        <w:rPr>
          <w:rFonts w:ascii="Times New Roman" w:eastAsia="宋体" w:hAnsi="Times New Roman" w:cs="Times New Roman" w:hint="eastAsia"/>
          <w:snapToGrid/>
          <w:color w:val="auto"/>
          <w:kern w:val="2"/>
          <w:sz w:val="24"/>
          <w:szCs w:val="24"/>
          <w:lang w:eastAsia="zh-CN"/>
        </w:rPr>
        <w:t>1342.46</w:t>
      </w:r>
      <w:r>
        <w:rPr>
          <w:rFonts w:ascii="Times New Roman" w:eastAsia="宋体" w:hAnsi="Times New Roman" w:cs="Times New Roman" w:hint="eastAsia"/>
          <w:snapToGrid/>
          <w:color w:val="auto"/>
          <w:kern w:val="2"/>
          <w:sz w:val="24"/>
          <w:szCs w:val="24"/>
          <w:lang w:eastAsia="zh-CN"/>
        </w:rPr>
        <w:t>）和条纹鯻（</w:t>
      </w:r>
      <w:r>
        <w:rPr>
          <w:rFonts w:ascii="Times New Roman" w:eastAsia="宋体" w:hAnsi="Times New Roman" w:cs="Times New Roman" w:hint="eastAsia"/>
          <w:snapToGrid/>
          <w:color w:val="auto"/>
          <w:kern w:val="2"/>
          <w:sz w:val="24"/>
          <w:szCs w:val="24"/>
          <w:lang w:eastAsia="zh-CN"/>
        </w:rPr>
        <w:t>766.45</w:t>
      </w:r>
      <w:r>
        <w:rPr>
          <w:rFonts w:ascii="Times New Roman" w:eastAsia="宋体" w:hAnsi="Times New Roman" w:cs="Times New Roman" w:hint="eastAsia"/>
          <w:snapToGrid/>
          <w:color w:val="auto"/>
          <w:kern w:val="2"/>
          <w:sz w:val="24"/>
          <w:szCs w:val="24"/>
          <w:lang w:eastAsia="zh-CN"/>
        </w:rPr>
        <w:t>），主要种有</w:t>
      </w:r>
      <w:r>
        <w:rPr>
          <w:rFonts w:ascii="Times New Roman" w:eastAsia="宋体" w:hAnsi="Times New Roman" w:cs="Times New Roman" w:hint="eastAsia"/>
          <w:snapToGrid/>
          <w:color w:val="auto"/>
          <w:kern w:val="2"/>
          <w:sz w:val="24"/>
          <w:szCs w:val="24"/>
          <w:lang w:eastAsia="zh-CN"/>
        </w:rPr>
        <w:t>16</w:t>
      </w:r>
      <w:r>
        <w:rPr>
          <w:rFonts w:ascii="Times New Roman" w:eastAsia="宋体" w:hAnsi="Times New Roman" w:cs="Times New Roman" w:hint="eastAsia"/>
          <w:snapToGrid/>
          <w:color w:val="auto"/>
          <w:kern w:val="2"/>
          <w:sz w:val="24"/>
          <w:szCs w:val="24"/>
          <w:lang w:eastAsia="zh-CN"/>
        </w:rPr>
        <w:t>种（详见表</w:t>
      </w:r>
      <w:r>
        <w:rPr>
          <w:rFonts w:ascii="Times New Roman" w:eastAsia="宋体" w:hAnsi="Times New Roman" w:cs="Times New Roman" w:hint="eastAsia"/>
          <w:snapToGrid/>
          <w:color w:val="auto"/>
          <w:kern w:val="2"/>
          <w:sz w:val="24"/>
          <w:szCs w:val="24"/>
          <w:lang w:eastAsia="zh-CN"/>
        </w:rPr>
        <w:t>3.2.6-30</w:t>
      </w:r>
      <w:r>
        <w:rPr>
          <w:rFonts w:ascii="Times New Roman" w:eastAsia="宋体" w:hAnsi="Times New Roman" w:cs="Times New Roman" w:hint="eastAsia"/>
          <w:snapToGrid/>
          <w:color w:val="auto"/>
          <w:kern w:val="2"/>
          <w:sz w:val="24"/>
          <w:szCs w:val="24"/>
          <w:lang w:eastAsia="zh-CN"/>
        </w:rPr>
        <w:t>）。</w:t>
      </w:r>
    </w:p>
    <w:p w14:paraId="4EFAEDEF" w14:textId="77777777" w:rsidR="0075791A" w:rsidRDefault="00FB2864">
      <w:pPr>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3.</w:t>
      </w:r>
      <w:r>
        <w:rPr>
          <w:rFonts w:ascii="Times New Roman" w:eastAsia="宋体" w:hAnsi="Times New Roman" w:cs="Times New Roman" w:hint="eastAsia"/>
          <w:b/>
          <w:bCs/>
          <w:snapToGrid/>
          <w:color w:val="auto"/>
          <w:kern w:val="2"/>
          <w:sz w:val="24"/>
          <w:szCs w:val="24"/>
          <w:lang w:eastAsia="zh-CN"/>
        </w:rPr>
        <w:t>头足类资源状况</w:t>
      </w:r>
    </w:p>
    <w:p w14:paraId="0B86B727"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lastRenderedPageBreak/>
        <w:t>本次调查共渔获头足类</w:t>
      </w:r>
      <w:r>
        <w:rPr>
          <w:rFonts w:ascii="Times New Roman" w:eastAsia="宋体" w:hAnsi="Times New Roman" w:cs="Times New Roman" w:hint="eastAsia"/>
          <w:snapToGrid/>
          <w:color w:val="auto"/>
          <w:kern w:val="2"/>
          <w:sz w:val="24"/>
          <w:szCs w:val="24"/>
          <w:lang w:eastAsia="zh-CN"/>
        </w:rPr>
        <w:t>8</w:t>
      </w:r>
      <w:r>
        <w:rPr>
          <w:rFonts w:ascii="Times New Roman" w:eastAsia="宋体" w:hAnsi="Times New Roman" w:cs="Times New Roman" w:hint="eastAsia"/>
          <w:snapToGrid/>
          <w:color w:val="auto"/>
          <w:kern w:val="2"/>
          <w:sz w:val="24"/>
          <w:szCs w:val="24"/>
          <w:lang w:eastAsia="zh-CN"/>
        </w:rPr>
        <w:t>种，隶属</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目</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属，分别为莱氏拟乌贼、中国枪乌贼、斑点豹纹蛸、短蛸、真蛸、短穗乌贼及金乌贼，分别隶属于耳乌贼目、枪形目、八腕目和乌贼目。</w:t>
      </w:r>
    </w:p>
    <w:p w14:paraId="4A2D1807"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本次流刺网站位未能采集到头足类，因此计算结果以拖网站位计算，头足类的重量渔获率范围为</w:t>
      </w:r>
      <w:r>
        <w:rPr>
          <w:rFonts w:ascii="Times New Roman" w:eastAsia="宋体" w:hAnsi="Times New Roman" w:cs="Times New Roman" w:hint="eastAsia"/>
          <w:snapToGrid/>
          <w:color w:val="auto"/>
          <w:kern w:val="2"/>
          <w:sz w:val="24"/>
          <w:szCs w:val="24"/>
          <w:lang w:eastAsia="zh-CN"/>
        </w:rPr>
        <w:t>0~1.30kg/h</w:t>
      </w:r>
      <w:r>
        <w:rPr>
          <w:rFonts w:ascii="Times New Roman" w:eastAsia="宋体" w:hAnsi="Times New Roman" w:cs="Times New Roman" w:hint="eastAsia"/>
          <w:snapToGrid/>
          <w:color w:val="auto"/>
          <w:kern w:val="2"/>
          <w:sz w:val="24"/>
          <w:szCs w:val="24"/>
          <w:lang w:eastAsia="zh-CN"/>
        </w:rPr>
        <w:t>，平均</w:t>
      </w:r>
      <w:r>
        <w:rPr>
          <w:rFonts w:ascii="Times New Roman" w:eastAsia="宋体" w:hAnsi="Times New Roman" w:cs="Times New Roman" w:hint="eastAsia"/>
          <w:snapToGrid/>
          <w:color w:val="auto"/>
          <w:kern w:val="2"/>
          <w:sz w:val="24"/>
          <w:szCs w:val="24"/>
          <w:lang w:eastAsia="zh-CN"/>
        </w:rPr>
        <w:t>0.42kg/h</w:t>
      </w:r>
      <w:r>
        <w:rPr>
          <w:rFonts w:ascii="Times New Roman" w:eastAsia="宋体" w:hAnsi="Times New Roman" w:cs="Times New Roman" w:hint="eastAsia"/>
          <w:snapToGrid/>
          <w:color w:val="auto"/>
          <w:kern w:val="2"/>
          <w:sz w:val="24"/>
          <w:szCs w:val="24"/>
          <w:lang w:eastAsia="zh-CN"/>
        </w:rPr>
        <w:t>。渔获率以</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站最高，为</w:t>
      </w:r>
      <w:r>
        <w:rPr>
          <w:rFonts w:ascii="Times New Roman" w:eastAsia="宋体" w:hAnsi="Times New Roman" w:cs="Times New Roman" w:hint="eastAsia"/>
          <w:snapToGrid/>
          <w:color w:val="auto"/>
          <w:kern w:val="2"/>
          <w:sz w:val="24"/>
          <w:szCs w:val="24"/>
          <w:lang w:eastAsia="zh-CN"/>
        </w:rPr>
        <w:t>1.30kg/h</w:t>
      </w:r>
      <w:r>
        <w:rPr>
          <w:rFonts w:ascii="Times New Roman" w:eastAsia="宋体" w:hAnsi="Times New Roman" w:cs="Times New Roman" w:hint="eastAsia"/>
          <w:snapToGrid/>
          <w:color w:val="auto"/>
          <w:kern w:val="2"/>
          <w:sz w:val="24"/>
          <w:szCs w:val="24"/>
          <w:lang w:eastAsia="zh-CN"/>
        </w:rPr>
        <w:t>；其次是</w:t>
      </w:r>
      <w:r>
        <w:rPr>
          <w:rFonts w:ascii="Times New Roman" w:eastAsia="宋体" w:hAnsi="Times New Roman" w:cs="Times New Roman" w:hint="eastAsia"/>
          <w:snapToGrid/>
          <w:color w:val="auto"/>
          <w:kern w:val="2"/>
          <w:sz w:val="24"/>
          <w:szCs w:val="24"/>
          <w:lang w:eastAsia="zh-CN"/>
        </w:rPr>
        <w:t>H2</w:t>
      </w:r>
      <w:r>
        <w:rPr>
          <w:rFonts w:ascii="Times New Roman" w:eastAsia="宋体" w:hAnsi="Times New Roman" w:cs="Times New Roman" w:hint="eastAsia"/>
          <w:snapToGrid/>
          <w:color w:val="auto"/>
          <w:kern w:val="2"/>
          <w:sz w:val="24"/>
          <w:szCs w:val="24"/>
          <w:lang w:eastAsia="zh-CN"/>
        </w:rPr>
        <w:t>站，渔获率为</w:t>
      </w:r>
      <w:r>
        <w:rPr>
          <w:rFonts w:ascii="Times New Roman" w:eastAsia="宋体" w:hAnsi="Times New Roman" w:cs="Times New Roman" w:hint="eastAsia"/>
          <w:snapToGrid/>
          <w:color w:val="auto"/>
          <w:kern w:val="2"/>
          <w:sz w:val="24"/>
          <w:szCs w:val="24"/>
          <w:lang w:eastAsia="zh-CN"/>
        </w:rPr>
        <w:t>0.66kg/h</w:t>
      </w:r>
      <w:r>
        <w:rPr>
          <w:rFonts w:ascii="Times New Roman" w:eastAsia="宋体" w:hAnsi="Times New Roman" w:cs="Times New Roman" w:hint="eastAsia"/>
          <w:snapToGrid/>
          <w:color w:val="auto"/>
          <w:kern w:val="2"/>
          <w:sz w:val="24"/>
          <w:szCs w:val="24"/>
          <w:lang w:eastAsia="zh-CN"/>
        </w:rPr>
        <w:t>。按个体计，个体渔获率范围为</w:t>
      </w:r>
      <w:r>
        <w:rPr>
          <w:rFonts w:ascii="Times New Roman" w:eastAsia="宋体" w:hAnsi="Times New Roman" w:cs="Times New Roman" w:hint="eastAsia"/>
          <w:snapToGrid/>
          <w:color w:val="auto"/>
          <w:kern w:val="2"/>
          <w:sz w:val="24"/>
          <w:szCs w:val="24"/>
          <w:lang w:eastAsia="zh-CN"/>
        </w:rPr>
        <w:t>0~23.18ind./h</w:t>
      </w:r>
      <w:r>
        <w:rPr>
          <w:rFonts w:ascii="Times New Roman" w:eastAsia="宋体" w:hAnsi="Times New Roman" w:cs="Times New Roman" w:hint="eastAsia"/>
          <w:snapToGrid/>
          <w:color w:val="auto"/>
          <w:kern w:val="2"/>
          <w:sz w:val="24"/>
          <w:szCs w:val="24"/>
          <w:lang w:eastAsia="zh-CN"/>
        </w:rPr>
        <w:t>，平均</w:t>
      </w:r>
      <w:r>
        <w:rPr>
          <w:rFonts w:ascii="Times New Roman" w:eastAsia="宋体" w:hAnsi="Times New Roman" w:cs="Times New Roman" w:hint="eastAsia"/>
          <w:snapToGrid/>
          <w:color w:val="auto"/>
          <w:kern w:val="2"/>
          <w:sz w:val="24"/>
          <w:szCs w:val="24"/>
          <w:lang w:eastAsia="zh-CN"/>
        </w:rPr>
        <w:t>11.04ind./h</w:t>
      </w:r>
      <w:r>
        <w:rPr>
          <w:rFonts w:ascii="Times New Roman" w:eastAsia="宋体" w:hAnsi="Times New Roman" w:cs="Times New Roman" w:hint="eastAsia"/>
          <w:snapToGrid/>
          <w:color w:val="auto"/>
          <w:kern w:val="2"/>
          <w:sz w:val="24"/>
          <w:szCs w:val="24"/>
          <w:lang w:eastAsia="zh-CN"/>
        </w:rPr>
        <w:t>。个体渔获率以</w:t>
      </w:r>
      <w:r>
        <w:rPr>
          <w:rFonts w:ascii="Times New Roman" w:eastAsia="宋体" w:hAnsi="Times New Roman" w:cs="Times New Roman" w:hint="eastAsia"/>
          <w:snapToGrid/>
          <w:color w:val="auto"/>
          <w:kern w:val="2"/>
          <w:sz w:val="24"/>
          <w:szCs w:val="24"/>
          <w:lang w:eastAsia="zh-CN"/>
        </w:rPr>
        <w:t>H2</w:t>
      </w:r>
      <w:r>
        <w:rPr>
          <w:rFonts w:ascii="Times New Roman" w:eastAsia="宋体" w:hAnsi="Times New Roman" w:cs="Times New Roman" w:hint="eastAsia"/>
          <w:snapToGrid/>
          <w:color w:val="auto"/>
          <w:kern w:val="2"/>
          <w:sz w:val="24"/>
          <w:szCs w:val="24"/>
          <w:lang w:eastAsia="zh-CN"/>
        </w:rPr>
        <w:t>站最高，为</w:t>
      </w:r>
      <w:r>
        <w:rPr>
          <w:rFonts w:ascii="Times New Roman" w:eastAsia="宋体" w:hAnsi="Times New Roman" w:cs="Times New Roman" w:hint="eastAsia"/>
          <w:snapToGrid/>
          <w:color w:val="auto"/>
          <w:kern w:val="2"/>
          <w:sz w:val="24"/>
          <w:szCs w:val="24"/>
          <w:lang w:eastAsia="zh-CN"/>
        </w:rPr>
        <w:t>23.18ind./h</w:t>
      </w:r>
      <w:r>
        <w:rPr>
          <w:rFonts w:ascii="Times New Roman" w:eastAsia="宋体" w:hAnsi="Times New Roman" w:cs="Times New Roman" w:hint="eastAsia"/>
          <w:snapToGrid/>
          <w:color w:val="auto"/>
          <w:kern w:val="2"/>
          <w:sz w:val="24"/>
          <w:szCs w:val="24"/>
          <w:lang w:eastAsia="zh-CN"/>
        </w:rPr>
        <w:t>；其次为</w:t>
      </w:r>
      <w:r>
        <w:rPr>
          <w:rFonts w:ascii="Times New Roman" w:eastAsia="宋体" w:hAnsi="Times New Roman" w:cs="Times New Roman" w:hint="eastAsia"/>
          <w:snapToGrid/>
          <w:color w:val="auto"/>
          <w:kern w:val="2"/>
          <w:sz w:val="24"/>
          <w:szCs w:val="24"/>
          <w:lang w:eastAsia="zh-CN"/>
        </w:rPr>
        <w:t>H6</w:t>
      </w:r>
      <w:r>
        <w:rPr>
          <w:rFonts w:ascii="Times New Roman" w:eastAsia="宋体" w:hAnsi="Times New Roman" w:cs="Times New Roman" w:hint="eastAsia"/>
          <w:snapToGrid/>
          <w:color w:val="auto"/>
          <w:kern w:val="2"/>
          <w:sz w:val="24"/>
          <w:szCs w:val="24"/>
          <w:lang w:eastAsia="zh-CN"/>
        </w:rPr>
        <w:t>站，为</w:t>
      </w:r>
      <w:r>
        <w:rPr>
          <w:rFonts w:ascii="Times New Roman" w:eastAsia="宋体" w:hAnsi="Times New Roman" w:cs="Times New Roman" w:hint="eastAsia"/>
          <w:snapToGrid/>
          <w:color w:val="auto"/>
          <w:kern w:val="2"/>
          <w:sz w:val="24"/>
          <w:szCs w:val="24"/>
          <w:lang w:eastAsia="zh-CN"/>
        </w:rPr>
        <w:t>20.00ind./h</w:t>
      </w:r>
      <w:r>
        <w:rPr>
          <w:rFonts w:ascii="Times New Roman" w:eastAsia="宋体" w:hAnsi="Times New Roman" w:cs="Times New Roman" w:hint="eastAsia"/>
          <w:snapToGrid/>
          <w:color w:val="auto"/>
          <w:kern w:val="2"/>
          <w:sz w:val="24"/>
          <w:szCs w:val="24"/>
          <w:lang w:eastAsia="zh-CN"/>
        </w:rPr>
        <w:t>（详见表</w:t>
      </w:r>
      <w:r>
        <w:rPr>
          <w:rFonts w:ascii="Times New Roman" w:eastAsia="宋体" w:hAnsi="Times New Roman" w:cs="Times New Roman" w:hint="eastAsia"/>
          <w:snapToGrid/>
          <w:color w:val="auto"/>
          <w:kern w:val="2"/>
          <w:sz w:val="24"/>
          <w:szCs w:val="24"/>
          <w:lang w:eastAsia="zh-CN"/>
        </w:rPr>
        <w:t>3.2.6-32</w:t>
      </w:r>
      <w:r>
        <w:rPr>
          <w:rFonts w:ascii="Times New Roman" w:eastAsia="宋体" w:hAnsi="Times New Roman" w:cs="Times New Roman" w:hint="eastAsia"/>
          <w:snapToGrid/>
          <w:color w:val="auto"/>
          <w:kern w:val="2"/>
          <w:sz w:val="24"/>
          <w:szCs w:val="24"/>
          <w:lang w:eastAsia="zh-CN"/>
        </w:rPr>
        <w:t>）。</w:t>
      </w:r>
    </w:p>
    <w:p w14:paraId="3EFF9B9C"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项目区及附近海域目前头足类的资源密度约为</w:t>
      </w:r>
      <w:r>
        <w:rPr>
          <w:rFonts w:ascii="Times New Roman" w:eastAsia="宋体" w:hAnsi="Times New Roman" w:cs="Times New Roman" w:hint="eastAsia"/>
          <w:snapToGrid/>
          <w:color w:val="auto"/>
          <w:kern w:val="2"/>
          <w:sz w:val="24"/>
          <w:szCs w:val="24"/>
          <w:lang w:eastAsia="zh-CN"/>
        </w:rPr>
        <w:t>28.27kg/km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，以</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站最高，为</w:t>
      </w:r>
      <w:r>
        <w:rPr>
          <w:rFonts w:ascii="Times New Roman" w:eastAsia="宋体" w:hAnsi="Times New Roman" w:cs="Times New Roman" w:hint="eastAsia"/>
          <w:snapToGrid/>
          <w:color w:val="auto"/>
          <w:kern w:val="2"/>
          <w:sz w:val="24"/>
          <w:szCs w:val="24"/>
          <w:lang w:eastAsia="zh-CN"/>
        </w:rPr>
        <w:t>66.73kg/km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；其次是</w:t>
      </w:r>
      <w:r>
        <w:rPr>
          <w:rFonts w:ascii="Times New Roman" w:eastAsia="宋体" w:hAnsi="Times New Roman" w:cs="Times New Roman" w:hint="eastAsia"/>
          <w:snapToGrid/>
          <w:color w:val="auto"/>
          <w:kern w:val="2"/>
          <w:sz w:val="24"/>
          <w:szCs w:val="24"/>
          <w:lang w:eastAsia="zh-CN"/>
        </w:rPr>
        <w:t>H2</w:t>
      </w:r>
      <w:r>
        <w:rPr>
          <w:rFonts w:ascii="Times New Roman" w:eastAsia="宋体" w:hAnsi="Times New Roman" w:cs="Times New Roman" w:hint="eastAsia"/>
          <w:snapToGrid/>
          <w:color w:val="auto"/>
          <w:kern w:val="2"/>
          <w:sz w:val="24"/>
          <w:szCs w:val="24"/>
          <w:lang w:eastAsia="zh-CN"/>
        </w:rPr>
        <w:t>站，为</w:t>
      </w:r>
      <w:r>
        <w:rPr>
          <w:rFonts w:ascii="Times New Roman" w:eastAsia="宋体" w:hAnsi="Times New Roman" w:cs="Times New Roman" w:hint="eastAsia"/>
          <w:snapToGrid/>
          <w:color w:val="auto"/>
          <w:kern w:val="2"/>
          <w:sz w:val="24"/>
          <w:szCs w:val="24"/>
          <w:lang w:eastAsia="zh-CN"/>
        </w:rPr>
        <w:t>32.77kg/km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。个体平均资源密度为</w:t>
      </w:r>
      <w:r>
        <w:rPr>
          <w:rFonts w:ascii="Times New Roman" w:eastAsia="宋体" w:hAnsi="Times New Roman" w:cs="Times New Roman" w:hint="eastAsia"/>
          <w:snapToGrid/>
          <w:color w:val="auto"/>
          <w:kern w:val="2"/>
          <w:sz w:val="24"/>
          <w:szCs w:val="24"/>
          <w:lang w:eastAsia="zh-CN"/>
        </w:rPr>
        <w:t>734.64ind./km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，以</w:t>
      </w:r>
      <w:r>
        <w:rPr>
          <w:rFonts w:ascii="Times New Roman" w:eastAsia="宋体" w:hAnsi="Times New Roman" w:cs="Times New Roman" w:hint="eastAsia"/>
          <w:snapToGrid/>
          <w:color w:val="auto"/>
          <w:kern w:val="2"/>
          <w:sz w:val="24"/>
          <w:szCs w:val="24"/>
          <w:lang w:eastAsia="zh-CN"/>
        </w:rPr>
        <w:t>H2</w:t>
      </w:r>
      <w:r>
        <w:rPr>
          <w:rFonts w:ascii="Times New Roman" w:eastAsia="宋体" w:hAnsi="Times New Roman" w:cs="Times New Roman" w:hint="eastAsia"/>
          <w:snapToGrid/>
          <w:color w:val="auto"/>
          <w:kern w:val="2"/>
          <w:sz w:val="24"/>
          <w:szCs w:val="24"/>
          <w:lang w:eastAsia="zh-CN"/>
        </w:rPr>
        <w:t>站最高（</w:t>
      </w:r>
      <w:r>
        <w:rPr>
          <w:rFonts w:ascii="Times New Roman" w:eastAsia="宋体" w:hAnsi="Times New Roman" w:cs="Times New Roman" w:hint="eastAsia"/>
          <w:snapToGrid/>
          <w:color w:val="auto"/>
          <w:kern w:val="2"/>
          <w:sz w:val="24"/>
          <w:szCs w:val="24"/>
          <w:lang w:eastAsia="zh-CN"/>
        </w:rPr>
        <w:t>1146.26ind./km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）；其次为</w:t>
      </w:r>
      <w:r>
        <w:rPr>
          <w:rFonts w:ascii="Times New Roman" w:eastAsia="宋体" w:hAnsi="Times New Roman" w:cs="Times New Roman" w:hint="eastAsia"/>
          <w:snapToGrid/>
          <w:color w:val="auto"/>
          <w:kern w:val="2"/>
          <w:sz w:val="24"/>
          <w:szCs w:val="24"/>
          <w:lang w:eastAsia="zh-CN"/>
        </w:rPr>
        <w:t>H6</w:t>
      </w:r>
      <w:r>
        <w:rPr>
          <w:rFonts w:ascii="Times New Roman" w:eastAsia="宋体" w:hAnsi="Times New Roman" w:cs="Times New Roman" w:hint="eastAsia"/>
          <w:snapToGrid/>
          <w:color w:val="auto"/>
          <w:kern w:val="2"/>
          <w:sz w:val="24"/>
          <w:szCs w:val="24"/>
          <w:lang w:eastAsia="zh-CN"/>
        </w:rPr>
        <w:t>站，资源密度为</w:t>
      </w:r>
      <w:r>
        <w:rPr>
          <w:rFonts w:ascii="Times New Roman" w:eastAsia="宋体" w:hAnsi="Times New Roman" w:cs="Times New Roman" w:hint="eastAsia"/>
          <w:snapToGrid/>
          <w:color w:val="auto"/>
          <w:kern w:val="2"/>
          <w:sz w:val="24"/>
          <w:szCs w:val="24"/>
          <w:lang w:eastAsia="zh-CN"/>
        </w:rPr>
        <w:t>988.93ind./km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（详见表</w:t>
      </w:r>
      <w:r>
        <w:rPr>
          <w:rFonts w:ascii="Times New Roman" w:eastAsia="宋体" w:hAnsi="Times New Roman" w:cs="Times New Roman" w:hint="eastAsia"/>
          <w:snapToGrid/>
          <w:color w:val="auto"/>
          <w:kern w:val="2"/>
          <w:sz w:val="24"/>
          <w:szCs w:val="24"/>
          <w:lang w:eastAsia="zh-CN"/>
        </w:rPr>
        <w:t>3.2.6-32</w:t>
      </w:r>
      <w:r>
        <w:rPr>
          <w:rFonts w:ascii="Times New Roman" w:eastAsia="宋体" w:hAnsi="Times New Roman" w:cs="Times New Roman" w:hint="eastAsia"/>
          <w:snapToGrid/>
          <w:color w:val="auto"/>
          <w:kern w:val="2"/>
          <w:sz w:val="24"/>
          <w:szCs w:val="24"/>
          <w:lang w:eastAsia="zh-CN"/>
        </w:rPr>
        <w:t>）。</w:t>
      </w:r>
    </w:p>
    <w:p w14:paraId="6F018C0E" w14:textId="77777777" w:rsidR="0075791A" w:rsidRDefault="0075791A">
      <w:pPr>
        <w:pStyle w:val="a5"/>
        <w:rPr>
          <w:rFonts w:ascii="Times New Roman" w:eastAsia="宋体" w:hAnsi="Times New Roman" w:cs="Times New Roman"/>
          <w:snapToGrid/>
          <w:color w:val="auto"/>
          <w:kern w:val="2"/>
          <w:sz w:val="24"/>
          <w:szCs w:val="24"/>
          <w:lang w:eastAsia="zh-CN"/>
        </w:rPr>
      </w:pPr>
    </w:p>
    <w:p w14:paraId="2966F3DE" w14:textId="77777777" w:rsidR="0075791A" w:rsidRDefault="00FB2864">
      <w:pPr>
        <w:pStyle w:val="a5"/>
        <w:tabs>
          <w:tab w:val="left" w:pos="2490"/>
        </w:tabs>
        <w:jc w:val="center"/>
        <w:rPr>
          <w:color w:val="auto"/>
          <w:lang w:eastAsia="zh-CN"/>
        </w:rPr>
      </w:pPr>
      <w:r>
        <w:rPr>
          <w:color w:val="auto"/>
          <w:lang w:eastAsia="zh-CN"/>
        </w:rPr>
        <w:t>表</w:t>
      </w:r>
      <w:r>
        <w:rPr>
          <w:rFonts w:ascii="Times New Roman" w:eastAsia="宋体" w:hAnsi="Times New Roman" w:cs="Times New Roman" w:hint="eastAsia"/>
          <w:snapToGrid/>
          <w:color w:val="auto"/>
          <w:kern w:val="2"/>
          <w:sz w:val="24"/>
          <w:szCs w:val="24"/>
          <w:lang w:eastAsia="zh-CN"/>
        </w:rPr>
        <w:t xml:space="preserve">3.2.6-32 </w:t>
      </w:r>
      <w:r>
        <w:rPr>
          <w:rFonts w:ascii="Times New Roman" w:eastAsia="Times New Roman" w:hAnsi="Times New Roman" w:cs="Times New Roman"/>
          <w:color w:val="auto"/>
          <w:lang w:eastAsia="zh-CN"/>
        </w:rPr>
        <w:t xml:space="preserve">2024 </w:t>
      </w:r>
      <w:r>
        <w:rPr>
          <w:color w:val="auto"/>
          <w:lang w:eastAsia="zh-CN"/>
        </w:rPr>
        <w:t>年</w:t>
      </w:r>
      <w:r>
        <w:rPr>
          <w:color w:val="auto"/>
          <w:spacing w:val="-60"/>
          <w:lang w:eastAsia="zh-CN"/>
        </w:rPr>
        <w:t xml:space="preserve"> </w:t>
      </w:r>
      <w:r>
        <w:rPr>
          <w:rFonts w:ascii="Times New Roman" w:eastAsia="Times New Roman" w:hAnsi="Times New Roman" w:cs="Times New Roman"/>
          <w:color w:val="auto"/>
          <w:lang w:eastAsia="zh-CN"/>
        </w:rPr>
        <w:t xml:space="preserve">9 </w:t>
      </w:r>
      <w:r>
        <w:rPr>
          <w:color w:val="auto"/>
          <w:lang w:eastAsia="zh-CN"/>
        </w:rPr>
        <w:t>月航次调查海域头足类的渔获率和资源密度</w:t>
      </w:r>
    </w:p>
    <w:tbl>
      <w:tblPr>
        <w:tblW w:w="0" w:type="auto"/>
        <w:jc w:val="center"/>
        <w:tblLayout w:type="fixed"/>
        <w:tblCellMar>
          <w:left w:w="0" w:type="dxa"/>
          <w:right w:w="0" w:type="dxa"/>
        </w:tblCellMar>
        <w:tblLook w:val="04A0" w:firstRow="1" w:lastRow="0" w:firstColumn="1" w:lastColumn="0" w:noHBand="0" w:noVBand="1"/>
      </w:tblPr>
      <w:tblGrid>
        <w:gridCol w:w="1220"/>
        <w:gridCol w:w="772"/>
        <w:gridCol w:w="1732"/>
        <w:gridCol w:w="1732"/>
        <w:gridCol w:w="1732"/>
        <w:gridCol w:w="1730"/>
      </w:tblGrid>
      <w:tr w:rsidR="0075791A" w14:paraId="4D113F39" w14:textId="77777777">
        <w:trPr>
          <w:trHeight w:hRule="exact" w:val="385"/>
          <w:jc w:val="center"/>
        </w:trPr>
        <w:tc>
          <w:tcPr>
            <w:tcW w:w="1220" w:type="dxa"/>
            <w:vMerge w:val="restart"/>
            <w:tcBorders>
              <w:top w:val="single" w:sz="4" w:space="0" w:color="auto"/>
              <w:left w:val="single" w:sz="4" w:space="0" w:color="000000"/>
              <w:right w:val="single" w:sz="4" w:space="0" w:color="000000"/>
            </w:tcBorders>
            <w:vAlign w:val="center"/>
          </w:tcPr>
          <w:p w14:paraId="6DA64C02" w14:textId="77777777" w:rsidR="0075791A" w:rsidRDefault="00FB2864">
            <w:pPr>
              <w:jc w:val="center"/>
              <w:rPr>
                <w:color w:val="auto"/>
              </w:rPr>
            </w:pPr>
            <w:r>
              <w:rPr>
                <w:rFonts w:ascii="宋体" w:eastAsia="宋体" w:hAnsi="宋体" w:cs="宋体"/>
                <w:color w:val="auto"/>
                <w:spacing w:val="-1"/>
              </w:rPr>
              <w:t>作</w:t>
            </w:r>
            <w:r>
              <w:rPr>
                <w:rFonts w:ascii="宋体" w:eastAsia="宋体" w:hAnsi="宋体" w:cs="宋体"/>
                <w:color w:val="auto"/>
                <w:spacing w:val="2"/>
              </w:rPr>
              <w:t>业</w:t>
            </w:r>
            <w:r>
              <w:rPr>
                <w:rFonts w:ascii="宋体" w:eastAsia="宋体" w:hAnsi="宋体" w:cs="宋体"/>
                <w:color w:val="auto"/>
                <w:spacing w:val="-1"/>
              </w:rPr>
              <w:t>方</w:t>
            </w:r>
            <w:r>
              <w:rPr>
                <w:rFonts w:ascii="宋体" w:eastAsia="宋体" w:hAnsi="宋体" w:cs="宋体"/>
                <w:color w:val="auto"/>
              </w:rPr>
              <w:t>式</w:t>
            </w:r>
          </w:p>
        </w:tc>
        <w:tc>
          <w:tcPr>
            <w:tcW w:w="772" w:type="dxa"/>
            <w:vMerge w:val="restart"/>
            <w:tcBorders>
              <w:top w:val="single" w:sz="4" w:space="0" w:color="auto"/>
              <w:left w:val="single" w:sz="4" w:space="0" w:color="000000"/>
              <w:right w:val="single" w:sz="4" w:space="0" w:color="000000"/>
            </w:tcBorders>
            <w:vAlign w:val="center"/>
          </w:tcPr>
          <w:p w14:paraId="1FBEEA0E" w14:textId="77777777" w:rsidR="0075791A" w:rsidRDefault="00FB2864">
            <w:pPr>
              <w:jc w:val="center"/>
              <w:rPr>
                <w:color w:val="auto"/>
              </w:rPr>
            </w:pPr>
            <w:r>
              <w:rPr>
                <w:rFonts w:ascii="宋体" w:eastAsia="宋体" w:hAnsi="宋体" w:cs="宋体"/>
                <w:color w:val="auto"/>
                <w:spacing w:val="-1"/>
              </w:rPr>
              <w:t>站</w:t>
            </w:r>
            <w:r>
              <w:rPr>
                <w:rFonts w:ascii="宋体" w:eastAsia="宋体" w:hAnsi="宋体" w:cs="宋体"/>
                <w:color w:val="auto"/>
              </w:rPr>
              <w:t>位</w:t>
            </w:r>
          </w:p>
        </w:tc>
        <w:tc>
          <w:tcPr>
            <w:tcW w:w="3464" w:type="dxa"/>
            <w:gridSpan w:val="2"/>
            <w:tcBorders>
              <w:top w:val="single" w:sz="4" w:space="0" w:color="auto"/>
              <w:left w:val="single" w:sz="4" w:space="0" w:color="000000"/>
              <w:bottom w:val="single" w:sz="4" w:space="0" w:color="000000"/>
              <w:right w:val="single" w:sz="4" w:space="0" w:color="000000"/>
            </w:tcBorders>
            <w:vAlign w:val="center"/>
          </w:tcPr>
          <w:p w14:paraId="7A25E257" w14:textId="77777777" w:rsidR="0075791A" w:rsidRDefault="00FB2864">
            <w:pPr>
              <w:pStyle w:val="TableParagraph"/>
              <w:spacing w:line="265" w:lineRule="exact"/>
              <w:ind w:left="336"/>
              <w:jc w:val="center"/>
              <w:rPr>
                <w:rFonts w:ascii="宋体" w:eastAsia="宋体" w:hAnsi="宋体" w:cs="宋体"/>
                <w:color w:val="auto"/>
              </w:rPr>
            </w:pPr>
            <w:r>
              <w:rPr>
                <w:rFonts w:ascii="宋体" w:eastAsia="宋体" w:hAnsi="宋体" w:cs="宋体"/>
                <w:color w:val="auto"/>
                <w:spacing w:val="-1"/>
              </w:rPr>
              <w:t>渔</w:t>
            </w:r>
            <w:r>
              <w:rPr>
                <w:rFonts w:ascii="宋体" w:eastAsia="宋体" w:hAnsi="宋体" w:cs="宋体"/>
                <w:color w:val="auto"/>
                <w:spacing w:val="2"/>
              </w:rPr>
              <w:t>获</w:t>
            </w:r>
            <w:r>
              <w:rPr>
                <w:rFonts w:ascii="宋体" w:eastAsia="宋体" w:hAnsi="宋体" w:cs="宋体"/>
                <w:color w:val="auto"/>
              </w:rPr>
              <w:t>率</w:t>
            </w:r>
          </w:p>
        </w:tc>
        <w:tc>
          <w:tcPr>
            <w:tcW w:w="3462" w:type="dxa"/>
            <w:gridSpan w:val="2"/>
            <w:tcBorders>
              <w:top w:val="single" w:sz="4" w:space="0" w:color="000000"/>
              <w:left w:val="single" w:sz="4" w:space="0" w:color="000000"/>
              <w:bottom w:val="single" w:sz="4" w:space="0" w:color="000000"/>
              <w:right w:val="single" w:sz="4" w:space="0" w:color="000000"/>
            </w:tcBorders>
            <w:vAlign w:val="center"/>
          </w:tcPr>
          <w:p w14:paraId="1A6919D8" w14:textId="77777777" w:rsidR="0075791A" w:rsidRDefault="00FB2864">
            <w:pPr>
              <w:pStyle w:val="TableParagraph"/>
              <w:spacing w:line="265" w:lineRule="exact"/>
              <w:ind w:left="230"/>
              <w:jc w:val="center"/>
              <w:rPr>
                <w:rFonts w:ascii="宋体" w:eastAsia="宋体" w:hAnsi="宋体" w:cs="宋体"/>
                <w:color w:val="auto"/>
              </w:rPr>
            </w:pPr>
            <w:r>
              <w:rPr>
                <w:rFonts w:ascii="宋体" w:eastAsia="宋体" w:hAnsi="宋体" w:cs="宋体"/>
                <w:color w:val="auto"/>
                <w:spacing w:val="-1"/>
              </w:rPr>
              <w:t>资</w:t>
            </w:r>
            <w:r>
              <w:rPr>
                <w:rFonts w:ascii="宋体" w:eastAsia="宋体" w:hAnsi="宋体" w:cs="宋体"/>
                <w:color w:val="auto"/>
                <w:spacing w:val="2"/>
              </w:rPr>
              <w:t>源</w:t>
            </w:r>
            <w:r>
              <w:rPr>
                <w:rFonts w:ascii="宋体" w:eastAsia="宋体" w:hAnsi="宋体" w:cs="宋体"/>
                <w:color w:val="auto"/>
                <w:spacing w:val="-1"/>
              </w:rPr>
              <w:t>密</w:t>
            </w:r>
            <w:r>
              <w:rPr>
                <w:rFonts w:ascii="宋体" w:eastAsia="宋体" w:hAnsi="宋体" w:cs="宋体"/>
                <w:color w:val="auto"/>
              </w:rPr>
              <w:t>度</w:t>
            </w:r>
          </w:p>
        </w:tc>
      </w:tr>
      <w:tr w:rsidR="0075791A" w14:paraId="3233E858" w14:textId="77777777">
        <w:trPr>
          <w:trHeight w:hRule="exact" w:val="650"/>
          <w:jc w:val="center"/>
        </w:trPr>
        <w:tc>
          <w:tcPr>
            <w:tcW w:w="1220" w:type="dxa"/>
            <w:vMerge/>
            <w:tcBorders>
              <w:left w:val="single" w:sz="4" w:space="0" w:color="000000"/>
              <w:bottom w:val="single" w:sz="4" w:space="0" w:color="000000"/>
              <w:right w:val="single" w:sz="4" w:space="0" w:color="000000"/>
            </w:tcBorders>
            <w:vAlign w:val="center"/>
          </w:tcPr>
          <w:p w14:paraId="29B339B0" w14:textId="77777777" w:rsidR="0075791A" w:rsidRDefault="0075791A">
            <w:pPr>
              <w:rPr>
                <w:color w:val="auto"/>
              </w:rPr>
            </w:pPr>
          </w:p>
        </w:tc>
        <w:tc>
          <w:tcPr>
            <w:tcW w:w="772" w:type="dxa"/>
            <w:vMerge/>
            <w:tcBorders>
              <w:left w:val="single" w:sz="4" w:space="0" w:color="000000"/>
              <w:bottom w:val="single" w:sz="4" w:space="0" w:color="000000"/>
              <w:right w:val="single" w:sz="4" w:space="0" w:color="000000"/>
            </w:tcBorders>
            <w:vAlign w:val="center"/>
          </w:tcPr>
          <w:p w14:paraId="5BB8CF75" w14:textId="77777777" w:rsidR="0075791A" w:rsidRDefault="0075791A">
            <w:pPr>
              <w:rPr>
                <w:color w:val="auto"/>
              </w:rPr>
            </w:pPr>
          </w:p>
        </w:tc>
        <w:tc>
          <w:tcPr>
            <w:tcW w:w="1732" w:type="dxa"/>
            <w:tcBorders>
              <w:top w:val="single" w:sz="4" w:space="0" w:color="000000"/>
              <w:left w:val="single" w:sz="4" w:space="0" w:color="000000"/>
              <w:bottom w:val="single" w:sz="4" w:space="0" w:color="000000"/>
              <w:right w:val="single" w:sz="4" w:space="0" w:color="000000"/>
            </w:tcBorders>
            <w:vAlign w:val="center"/>
          </w:tcPr>
          <w:p w14:paraId="5BFB9006" w14:textId="77777777" w:rsidR="0075791A" w:rsidRDefault="00FB2864">
            <w:pPr>
              <w:pStyle w:val="TableParagraph"/>
              <w:spacing w:line="265" w:lineRule="exact"/>
              <w:ind w:left="314" w:right="316"/>
              <w:jc w:val="center"/>
              <w:rPr>
                <w:rFonts w:ascii="宋体" w:eastAsia="宋体" w:hAnsi="宋体" w:cs="宋体"/>
                <w:color w:val="auto"/>
                <w:spacing w:val="-1"/>
                <w:lang w:eastAsia="zh-CN"/>
              </w:rPr>
            </w:pPr>
            <w:r>
              <w:rPr>
                <w:rFonts w:ascii="宋体" w:eastAsia="宋体" w:hAnsi="宋体" w:cs="宋体"/>
                <w:color w:val="auto"/>
                <w:spacing w:val="-1"/>
                <w:lang w:eastAsia="zh-CN"/>
              </w:rPr>
              <w:t>重</w:t>
            </w:r>
            <w:r>
              <w:rPr>
                <w:rFonts w:ascii="宋体" w:eastAsia="宋体" w:hAnsi="宋体" w:cs="宋体"/>
                <w:color w:val="auto"/>
                <w:spacing w:val="2"/>
                <w:lang w:eastAsia="zh-CN"/>
              </w:rPr>
              <w:t>量</w:t>
            </w:r>
            <w:r>
              <w:rPr>
                <w:rFonts w:ascii="宋体" w:eastAsia="宋体" w:hAnsi="宋体" w:cs="宋体"/>
                <w:color w:val="auto"/>
                <w:spacing w:val="-1"/>
                <w:lang w:eastAsia="zh-CN"/>
              </w:rPr>
              <w:t>渔</w:t>
            </w:r>
            <w:r>
              <w:rPr>
                <w:rFonts w:ascii="宋体" w:eastAsia="宋体" w:hAnsi="宋体" w:cs="宋体"/>
                <w:color w:val="auto"/>
                <w:spacing w:val="2"/>
                <w:lang w:eastAsia="zh-CN"/>
              </w:rPr>
              <w:t>获</w:t>
            </w:r>
            <w:r>
              <w:rPr>
                <w:rFonts w:ascii="宋体" w:eastAsia="宋体" w:hAnsi="宋体" w:cs="宋体"/>
                <w:color w:val="auto"/>
                <w:lang w:eastAsia="zh-CN"/>
              </w:rPr>
              <w:t>率</w:t>
            </w:r>
            <w:r>
              <w:rPr>
                <w:rFonts w:ascii="宋体" w:eastAsia="宋体" w:hAnsi="宋体" w:cs="宋体"/>
                <w:color w:val="auto"/>
                <w:spacing w:val="-1"/>
                <w:lang w:eastAsia="zh-CN"/>
              </w:rPr>
              <w:t>（</w:t>
            </w:r>
            <w:r>
              <w:rPr>
                <w:rFonts w:ascii="Times New Roman" w:eastAsia="Times New Roman" w:hAnsi="Times New Roman" w:cs="Times New Roman"/>
                <w:color w:val="auto"/>
                <w:spacing w:val="-2"/>
                <w:lang w:eastAsia="zh-CN"/>
              </w:rPr>
              <w:t>kg</w:t>
            </w:r>
            <w:r>
              <w:rPr>
                <w:rFonts w:ascii="Times New Roman" w:eastAsia="Times New Roman" w:hAnsi="Times New Roman" w:cs="Times New Roman"/>
                <w:color w:val="auto"/>
                <w:spacing w:val="2"/>
                <w:lang w:eastAsia="zh-CN"/>
              </w:rPr>
              <w:t>/</w:t>
            </w:r>
            <w:r>
              <w:rPr>
                <w:rFonts w:ascii="Times New Roman" w:eastAsia="Times New Roman" w:hAnsi="Times New Roman" w:cs="Times New Roman"/>
                <w:color w:val="auto"/>
                <w:spacing w:val="1"/>
                <w:lang w:eastAsia="zh-CN"/>
              </w:rPr>
              <w:t>h</w:t>
            </w:r>
            <w:r>
              <w:rPr>
                <w:rFonts w:ascii="宋体" w:eastAsia="宋体" w:hAnsi="宋体" w:cs="宋体"/>
                <w:color w:val="auto"/>
                <w:lang w:eastAsia="zh-CN"/>
              </w:rPr>
              <w:t>）</w:t>
            </w:r>
          </w:p>
        </w:tc>
        <w:tc>
          <w:tcPr>
            <w:tcW w:w="1732" w:type="dxa"/>
            <w:tcBorders>
              <w:top w:val="single" w:sz="4" w:space="0" w:color="000000"/>
              <w:left w:val="single" w:sz="4" w:space="0" w:color="000000"/>
              <w:bottom w:val="single" w:sz="4" w:space="0" w:color="000000"/>
              <w:right w:val="single" w:sz="4" w:space="0" w:color="000000"/>
            </w:tcBorders>
            <w:vAlign w:val="center"/>
          </w:tcPr>
          <w:p w14:paraId="5CD10BD2" w14:textId="77777777" w:rsidR="0075791A" w:rsidRDefault="00FB2864">
            <w:pPr>
              <w:pStyle w:val="TableParagraph"/>
              <w:spacing w:line="265" w:lineRule="exact"/>
              <w:ind w:left="336"/>
              <w:rPr>
                <w:rFonts w:ascii="宋体" w:eastAsia="宋体" w:hAnsi="宋体" w:cs="宋体"/>
                <w:color w:val="auto"/>
                <w:spacing w:val="-1"/>
                <w:lang w:eastAsia="zh-CN"/>
              </w:rPr>
            </w:pPr>
            <w:r>
              <w:rPr>
                <w:rFonts w:ascii="宋体" w:eastAsia="宋体" w:hAnsi="宋体" w:cs="宋体"/>
                <w:color w:val="auto"/>
                <w:spacing w:val="-1"/>
                <w:lang w:eastAsia="zh-CN"/>
              </w:rPr>
              <w:t>个</w:t>
            </w:r>
            <w:r>
              <w:rPr>
                <w:rFonts w:ascii="宋体" w:eastAsia="宋体" w:hAnsi="宋体" w:cs="宋体"/>
                <w:color w:val="auto"/>
                <w:spacing w:val="2"/>
                <w:lang w:eastAsia="zh-CN"/>
              </w:rPr>
              <w:t>体</w:t>
            </w:r>
            <w:r>
              <w:rPr>
                <w:rFonts w:ascii="宋体" w:eastAsia="宋体" w:hAnsi="宋体" w:cs="宋体"/>
                <w:color w:val="auto"/>
                <w:spacing w:val="-1"/>
                <w:lang w:eastAsia="zh-CN"/>
              </w:rPr>
              <w:t>渔</w:t>
            </w:r>
            <w:r>
              <w:rPr>
                <w:rFonts w:ascii="宋体" w:eastAsia="宋体" w:hAnsi="宋体" w:cs="宋体"/>
                <w:color w:val="auto"/>
                <w:spacing w:val="2"/>
                <w:lang w:eastAsia="zh-CN"/>
              </w:rPr>
              <w:t>获</w:t>
            </w:r>
            <w:r>
              <w:rPr>
                <w:rFonts w:ascii="宋体" w:eastAsia="宋体" w:hAnsi="宋体" w:cs="宋体"/>
                <w:color w:val="auto"/>
                <w:lang w:eastAsia="zh-CN"/>
              </w:rPr>
              <w:t>率</w:t>
            </w:r>
            <w:r>
              <w:rPr>
                <w:rFonts w:ascii="宋体" w:eastAsia="宋体" w:hAnsi="宋体" w:cs="宋体"/>
                <w:color w:val="auto"/>
                <w:spacing w:val="2"/>
                <w:lang w:eastAsia="zh-CN"/>
              </w:rPr>
              <w:t>（</w:t>
            </w:r>
            <w:r>
              <w:rPr>
                <w:rFonts w:ascii="Times New Roman" w:eastAsia="Times New Roman" w:hAnsi="Times New Roman" w:cs="Times New Roman"/>
                <w:color w:val="auto"/>
                <w:spacing w:val="-1"/>
                <w:lang w:eastAsia="zh-CN"/>
              </w:rPr>
              <w:t>i</w:t>
            </w:r>
            <w:r>
              <w:rPr>
                <w:rFonts w:ascii="Times New Roman" w:eastAsia="Times New Roman" w:hAnsi="Times New Roman" w:cs="Times New Roman"/>
                <w:color w:val="auto"/>
                <w:spacing w:val="1"/>
                <w:lang w:eastAsia="zh-CN"/>
              </w:rPr>
              <w:t>nd</w:t>
            </w:r>
            <w:r>
              <w:rPr>
                <w:rFonts w:ascii="Times New Roman" w:eastAsia="Times New Roman" w:hAnsi="Times New Roman" w:cs="Times New Roman"/>
                <w:color w:val="auto"/>
                <w:spacing w:val="-1"/>
                <w:lang w:eastAsia="zh-CN"/>
              </w:rPr>
              <w:t>/</w:t>
            </w:r>
            <w:r>
              <w:rPr>
                <w:rFonts w:ascii="Times New Roman" w:eastAsia="Times New Roman" w:hAnsi="Times New Roman" w:cs="Times New Roman"/>
                <w:color w:val="auto"/>
                <w:spacing w:val="-2"/>
                <w:lang w:eastAsia="zh-CN"/>
              </w:rPr>
              <w:t>h</w:t>
            </w:r>
            <w:r>
              <w:rPr>
                <w:rFonts w:ascii="宋体" w:eastAsia="宋体" w:hAnsi="宋体" w:cs="宋体"/>
                <w:color w:val="auto"/>
                <w:lang w:eastAsia="zh-CN"/>
              </w:rPr>
              <w:t>）</w:t>
            </w:r>
          </w:p>
        </w:tc>
        <w:tc>
          <w:tcPr>
            <w:tcW w:w="1732" w:type="dxa"/>
            <w:tcBorders>
              <w:top w:val="single" w:sz="4" w:space="0" w:color="000000"/>
              <w:left w:val="single" w:sz="4" w:space="0" w:color="000000"/>
              <w:bottom w:val="single" w:sz="4" w:space="0" w:color="000000"/>
              <w:right w:val="single" w:sz="4" w:space="0" w:color="000000"/>
            </w:tcBorders>
            <w:vAlign w:val="center"/>
          </w:tcPr>
          <w:p w14:paraId="5ABF68BB" w14:textId="77777777" w:rsidR="0075791A" w:rsidRDefault="00FB2864">
            <w:pPr>
              <w:pStyle w:val="TableParagraph"/>
              <w:spacing w:line="265" w:lineRule="exact"/>
              <w:ind w:left="210" w:right="211"/>
              <w:jc w:val="center"/>
              <w:rPr>
                <w:rFonts w:ascii="宋体" w:eastAsia="宋体" w:hAnsi="宋体" w:cs="宋体"/>
                <w:color w:val="auto"/>
                <w:spacing w:val="-1"/>
              </w:rPr>
            </w:pPr>
            <w:r>
              <w:rPr>
                <w:rFonts w:ascii="宋体" w:eastAsia="宋体" w:hAnsi="宋体" w:cs="宋体"/>
                <w:color w:val="auto"/>
                <w:spacing w:val="-1"/>
              </w:rPr>
              <w:t>重</w:t>
            </w:r>
            <w:r>
              <w:rPr>
                <w:rFonts w:ascii="宋体" w:eastAsia="宋体" w:hAnsi="宋体" w:cs="宋体"/>
                <w:color w:val="auto"/>
                <w:spacing w:val="2"/>
              </w:rPr>
              <w:t>量</w:t>
            </w:r>
            <w:r>
              <w:rPr>
                <w:rFonts w:ascii="宋体" w:eastAsia="宋体" w:hAnsi="宋体" w:cs="宋体"/>
                <w:color w:val="auto"/>
                <w:spacing w:val="-1"/>
              </w:rPr>
              <w:t>资</w:t>
            </w:r>
            <w:r>
              <w:rPr>
                <w:rFonts w:ascii="宋体" w:eastAsia="宋体" w:hAnsi="宋体" w:cs="宋体"/>
                <w:color w:val="auto"/>
                <w:spacing w:val="2"/>
              </w:rPr>
              <w:t>源</w:t>
            </w:r>
            <w:r>
              <w:rPr>
                <w:rFonts w:ascii="宋体" w:eastAsia="宋体" w:hAnsi="宋体" w:cs="宋体"/>
                <w:color w:val="auto"/>
                <w:spacing w:val="-1"/>
              </w:rPr>
              <w:t>密</w:t>
            </w:r>
            <w:r>
              <w:rPr>
                <w:rFonts w:ascii="宋体" w:eastAsia="宋体" w:hAnsi="宋体" w:cs="宋体"/>
                <w:color w:val="auto"/>
              </w:rPr>
              <w:t>度</w:t>
            </w:r>
            <w:r>
              <w:rPr>
                <w:rFonts w:ascii="宋体" w:eastAsia="宋体" w:hAnsi="宋体" w:cs="宋体"/>
                <w:color w:val="auto"/>
                <w:spacing w:val="-1"/>
              </w:rPr>
              <w:t>（</w:t>
            </w:r>
            <w:r>
              <w:rPr>
                <w:rFonts w:ascii="Times New Roman" w:eastAsia="Times New Roman" w:hAnsi="Times New Roman" w:cs="Times New Roman"/>
                <w:color w:val="auto"/>
                <w:spacing w:val="-2"/>
              </w:rPr>
              <w:t>kg</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k</w:t>
            </w:r>
            <w:r>
              <w:rPr>
                <w:rFonts w:ascii="Times New Roman" w:eastAsia="Times New Roman" w:hAnsi="Times New Roman" w:cs="Times New Roman"/>
                <w:color w:val="auto"/>
              </w:rPr>
              <w:t>m</w:t>
            </w:r>
            <w:r>
              <w:rPr>
                <w:rFonts w:ascii="Times New Roman" w:eastAsia="Times New Roman" w:hAnsi="Times New Roman" w:cs="Times New Roman"/>
                <w:color w:val="auto"/>
                <w:position w:val="7"/>
                <w:sz w:val="13"/>
                <w:szCs w:val="13"/>
              </w:rPr>
              <w:t>2</w:t>
            </w:r>
            <w:r>
              <w:rPr>
                <w:rFonts w:ascii="宋体" w:eastAsia="宋体" w:hAnsi="宋体" w:cs="宋体"/>
                <w:color w:val="auto"/>
              </w:rPr>
              <w:t>）</w:t>
            </w:r>
          </w:p>
        </w:tc>
        <w:tc>
          <w:tcPr>
            <w:tcW w:w="1730" w:type="dxa"/>
            <w:tcBorders>
              <w:top w:val="single" w:sz="4" w:space="0" w:color="000000"/>
              <w:left w:val="single" w:sz="4" w:space="0" w:color="000000"/>
              <w:bottom w:val="single" w:sz="4" w:space="0" w:color="000000"/>
              <w:right w:val="single" w:sz="4" w:space="0" w:color="000000"/>
            </w:tcBorders>
            <w:vAlign w:val="center"/>
          </w:tcPr>
          <w:p w14:paraId="7C21A7EB" w14:textId="77777777" w:rsidR="0075791A" w:rsidRDefault="00FB2864">
            <w:pPr>
              <w:pStyle w:val="TableParagraph"/>
              <w:spacing w:line="265" w:lineRule="exact"/>
              <w:ind w:left="230"/>
              <w:rPr>
                <w:rFonts w:ascii="宋体" w:eastAsia="宋体" w:hAnsi="宋体" w:cs="宋体"/>
                <w:color w:val="auto"/>
                <w:spacing w:val="-1"/>
              </w:rPr>
            </w:pPr>
            <w:r>
              <w:rPr>
                <w:rFonts w:ascii="宋体" w:eastAsia="宋体" w:hAnsi="宋体" w:cs="宋体"/>
                <w:color w:val="auto"/>
                <w:spacing w:val="-1"/>
              </w:rPr>
              <w:t>个</w:t>
            </w:r>
            <w:r>
              <w:rPr>
                <w:rFonts w:ascii="宋体" w:eastAsia="宋体" w:hAnsi="宋体" w:cs="宋体"/>
                <w:color w:val="auto"/>
                <w:spacing w:val="2"/>
              </w:rPr>
              <w:t>体</w:t>
            </w:r>
            <w:r>
              <w:rPr>
                <w:rFonts w:ascii="宋体" w:eastAsia="宋体" w:hAnsi="宋体" w:cs="宋体"/>
                <w:color w:val="auto"/>
                <w:spacing w:val="-1"/>
              </w:rPr>
              <w:t>资</w:t>
            </w:r>
            <w:r>
              <w:rPr>
                <w:rFonts w:ascii="宋体" w:eastAsia="宋体" w:hAnsi="宋体" w:cs="宋体"/>
                <w:color w:val="auto"/>
                <w:spacing w:val="2"/>
              </w:rPr>
              <w:t>源</w:t>
            </w:r>
            <w:r>
              <w:rPr>
                <w:rFonts w:ascii="宋体" w:eastAsia="宋体" w:hAnsi="宋体" w:cs="宋体"/>
                <w:color w:val="auto"/>
                <w:spacing w:val="-1"/>
              </w:rPr>
              <w:t>密</w:t>
            </w:r>
            <w:r>
              <w:rPr>
                <w:rFonts w:ascii="宋体" w:eastAsia="宋体" w:hAnsi="宋体" w:cs="宋体"/>
                <w:color w:val="auto"/>
              </w:rPr>
              <w:t>度</w:t>
            </w:r>
            <w:r>
              <w:rPr>
                <w:rFonts w:ascii="宋体" w:eastAsia="宋体" w:hAnsi="宋体" w:cs="宋体"/>
                <w:color w:val="auto"/>
                <w:spacing w:val="-1"/>
              </w:rPr>
              <w:t>（</w:t>
            </w:r>
            <w:r>
              <w:rPr>
                <w:rFonts w:ascii="Times New Roman" w:eastAsia="Times New Roman" w:hAnsi="Times New Roman" w:cs="Times New Roman"/>
                <w:color w:val="auto"/>
                <w:spacing w:val="-1"/>
              </w:rPr>
              <w:t>i</w:t>
            </w:r>
            <w:r>
              <w:rPr>
                <w:rFonts w:ascii="Times New Roman" w:eastAsia="Times New Roman" w:hAnsi="Times New Roman" w:cs="Times New Roman"/>
                <w:color w:val="auto"/>
                <w:spacing w:val="1"/>
              </w:rPr>
              <w:t>nd</w:t>
            </w:r>
            <w:r>
              <w:rPr>
                <w:rFonts w:ascii="Times New Roman" w:eastAsia="Times New Roman" w:hAnsi="Times New Roman" w:cs="Times New Roman"/>
                <w:color w:val="auto"/>
                <w:spacing w:val="-1"/>
              </w:rPr>
              <w:t>/</w:t>
            </w:r>
            <w:r>
              <w:rPr>
                <w:rFonts w:ascii="Times New Roman" w:eastAsia="Times New Roman" w:hAnsi="Times New Roman" w:cs="Times New Roman"/>
                <w:color w:val="auto"/>
                <w:spacing w:val="-2"/>
              </w:rPr>
              <w:t>k</w:t>
            </w:r>
            <w:r>
              <w:rPr>
                <w:rFonts w:ascii="Times New Roman" w:eastAsia="Times New Roman" w:hAnsi="Times New Roman" w:cs="Times New Roman"/>
                <w:color w:val="auto"/>
                <w:spacing w:val="3"/>
              </w:rPr>
              <w:t>m</w:t>
            </w:r>
            <w:r>
              <w:rPr>
                <w:rFonts w:ascii="Times New Roman" w:eastAsia="Times New Roman" w:hAnsi="Times New Roman" w:cs="Times New Roman"/>
                <w:color w:val="auto"/>
                <w:spacing w:val="-2"/>
                <w:position w:val="7"/>
                <w:sz w:val="13"/>
                <w:szCs w:val="13"/>
              </w:rPr>
              <w:t>2</w:t>
            </w:r>
            <w:r>
              <w:rPr>
                <w:rFonts w:ascii="宋体" w:eastAsia="宋体" w:hAnsi="宋体" w:cs="宋体"/>
                <w:color w:val="auto"/>
              </w:rPr>
              <w:t>）</w:t>
            </w:r>
          </w:p>
        </w:tc>
      </w:tr>
      <w:tr w:rsidR="0075791A" w14:paraId="6354238B" w14:textId="77777777">
        <w:trPr>
          <w:trHeight w:hRule="exact" w:val="329"/>
          <w:jc w:val="center"/>
        </w:trPr>
        <w:tc>
          <w:tcPr>
            <w:tcW w:w="1220" w:type="dxa"/>
            <w:vMerge w:val="restart"/>
            <w:tcBorders>
              <w:top w:val="single" w:sz="4" w:space="0" w:color="000000"/>
              <w:left w:val="single" w:sz="4" w:space="0" w:color="000000"/>
              <w:right w:val="single" w:sz="4" w:space="0" w:color="000000"/>
            </w:tcBorders>
            <w:vAlign w:val="center"/>
          </w:tcPr>
          <w:p w14:paraId="0C65491F" w14:textId="77777777" w:rsidR="0075791A" w:rsidRDefault="00FB2864">
            <w:pPr>
              <w:pStyle w:val="TableParagraph"/>
              <w:ind w:left="395"/>
              <w:rPr>
                <w:rFonts w:ascii="宋体" w:eastAsia="宋体" w:hAnsi="宋体" w:cs="宋体"/>
                <w:color w:val="auto"/>
              </w:rPr>
            </w:pPr>
            <w:r>
              <w:rPr>
                <w:rFonts w:ascii="宋体" w:eastAsia="宋体" w:hAnsi="宋体" w:cs="宋体"/>
                <w:color w:val="auto"/>
                <w:spacing w:val="-1"/>
              </w:rPr>
              <w:t>拖</w:t>
            </w:r>
            <w:r>
              <w:rPr>
                <w:rFonts w:ascii="宋体" w:eastAsia="宋体" w:hAnsi="宋体" w:cs="宋体"/>
                <w:color w:val="auto"/>
              </w:rPr>
              <w:t>网</w:t>
            </w:r>
          </w:p>
        </w:tc>
        <w:tc>
          <w:tcPr>
            <w:tcW w:w="772" w:type="dxa"/>
            <w:tcBorders>
              <w:top w:val="single" w:sz="4" w:space="0" w:color="000000"/>
              <w:left w:val="single" w:sz="4" w:space="0" w:color="000000"/>
              <w:bottom w:val="single" w:sz="4" w:space="0" w:color="000000"/>
              <w:right w:val="single" w:sz="4" w:space="0" w:color="000000"/>
            </w:tcBorders>
            <w:vAlign w:val="center"/>
          </w:tcPr>
          <w:p w14:paraId="24B2D2E0" w14:textId="77777777" w:rsidR="0075791A" w:rsidRDefault="00FB2864">
            <w:pPr>
              <w:pStyle w:val="TableParagraph"/>
              <w:spacing w:before="33"/>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2</w:t>
            </w:r>
          </w:p>
        </w:tc>
        <w:tc>
          <w:tcPr>
            <w:tcW w:w="1732" w:type="dxa"/>
            <w:tcBorders>
              <w:top w:val="single" w:sz="4" w:space="0" w:color="000000"/>
              <w:left w:val="single" w:sz="4" w:space="0" w:color="000000"/>
              <w:bottom w:val="single" w:sz="4" w:space="0" w:color="000000"/>
              <w:right w:val="single" w:sz="4" w:space="0" w:color="000000"/>
            </w:tcBorders>
            <w:vAlign w:val="center"/>
          </w:tcPr>
          <w:p w14:paraId="7B50A015" w14:textId="77777777" w:rsidR="0075791A" w:rsidRDefault="00FB2864">
            <w:pPr>
              <w:pStyle w:val="TableParagraph"/>
              <w:spacing w:before="40"/>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6</w:t>
            </w:r>
          </w:p>
        </w:tc>
        <w:tc>
          <w:tcPr>
            <w:tcW w:w="1732" w:type="dxa"/>
            <w:tcBorders>
              <w:top w:val="single" w:sz="4" w:space="0" w:color="000000"/>
              <w:left w:val="single" w:sz="4" w:space="0" w:color="000000"/>
              <w:bottom w:val="single" w:sz="4" w:space="0" w:color="000000"/>
              <w:right w:val="single" w:sz="4" w:space="0" w:color="000000"/>
            </w:tcBorders>
            <w:vAlign w:val="center"/>
          </w:tcPr>
          <w:p w14:paraId="5F1A351F" w14:textId="77777777" w:rsidR="0075791A" w:rsidRDefault="00FB2864">
            <w:pPr>
              <w:pStyle w:val="TableParagraph"/>
              <w:spacing w:before="40"/>
              <w:ind w:left="210" w:right="21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8</w:t>
            </w:r>
          </w:p>
        </w:tc>
        <w:tc>
          <w:tcPr>
            <w:tcW w:w="1732" w:type="dxa"/>
            <w:tcBorders>
              <w:top w:val="single" w:sz="4" w:space="0" w:color="000000"/>
              <w:left w:val="single" w:sz="4" w:space="0" w:color="000000"/>
              <w:bottom w:val="single" w:sz="4" w:space="0" w:color="000000"/>
              <w:right w:val="single" w:sz="4" w:space="0" w:color="000000"/>
            </w:tcBorders>
            <w:vAlign w:val="center"/>
          </w:tcPr>
          <w:p w14:paraId="0B74CAE5" w14:textId="77777777" w:rsidR="0075791A" w:rsidRDefault="00FB2864">
            <w:pPr>
              <w:pStyle w:val="TableParagraph"/>
              <w:spacing w:before="40"/>
              <w:ind w:left="604" w:right="605"/>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32</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7</w:t>
            </w:r>
          </w:p>
        </w:tc>
        <w:tc>
          <w:tcPr>
            <w:tcW w:w="1730" w:type="dxa"/>
            <w:tcBorders>
              <w:top w:val="single" w:sz="4" w:space="0" w:color="000000"/>
              <w:left w:val="single" w:sz="4" w:space="0" w:color="000000"/>
              <w:bottom w:val="single" w:sz="4" w:space="0" w:color="000000"/>
              <w:right w:val="single" w:sz="4" w:space="0" w:color="000000"/>
            </w:tcBorders>
            <w:vAlign w:val="center"/>
          </w:tcPr>
          <w:p w14:paraId="1A98647F" w14:textId="77777777" w:rsidR="0075791A" w:rsidRDefault="00FB2864">
            <w:pPr>
              <w:pStyle w:val="TableParagraph"/>
              <w:spacing w:before="40"/>
              <w:ind w:left="522"/>
              <w:rPr>
                <w:rFonts w:ascii="Times New Roman" w:eastAsia="Times New Roman" w:hAnsi="Times New Roman" w:cs="Times New Roman"/>
                <w:color w:val="auto"/>
              </w:rPr>
            </w:pPr>
            <w:r>
              <w:rPr>
                <w:rFonts w:ascii="Times New Roman" w:eastAsia="Times New Roman" w:hAnsi="Times New Roman" w:cs="Times New Roman"/>
                <w:color w:val="auto"/>
                <w:spacing w:val="-5"/>
              </w:rPr>
              <w:t>1</w:t>
            </w:r>
            <w:r>
              <w:rPr>
                <w:rFonts w:ascii="Times New Roman" w:eastAsia="Times New Roman" w:hAnsi="Times New Roman" w:cs="Times New Roman"/>
                <w:color w:val="auto"/>
                <w:spacing w:val="-2"/>
              </w:rPr>
              <w:t>14</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6</w:t>
            </w:r>
          </w:p>
        </w:tc>
      </w:tr>
      <w:tr w:rsidR="0075791A" w14:paraId="627095D4" w14:textId="77777777">
        <w:trPr>
          <w:trHeight w:hRule="exact" w:val="329"/>
          <w:jc w:val="center"/>
        </w:trPr>
        <w:tc>
          <w:tcPr>
            <w:tcW w:w="1220" w:type="dxa"/>
            <w:vMerge/>
            <w:tcBorders>
              <w:left w:val="single" w:sz="4" w:space="0" w:color="000000"/>
              <w:right w:val="single" w:sz="4" w:space="0" w:color="000000"/>
            </w:tcBorders>
            <w:vAlign w:val="center"/>
          </w:tcPr>
          <w:p w14:paraId="2DE4694F"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2EA8BF10" w14:textId="77777777" w:rsidR="0075791A" w:rsidRDefault="00FB2864">
            <w:pPr>
              <w:pStyle w:val="TableParagraph"/>
              <w:spacing w:before="34"/>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5</w:t>
            </w:r>
          </w:p>
        </w:tc>
        <w:tc>
          <w:tcPr>
            <w:tcW w:w="1732" w:type="dxa"/>
            <w:tcBorders>
              <w:top w:val="single" w:sz="4" w:space="0" w:color="000000"/>
              <w:left w:val="single" w:sz="4" w:space="0" w:color="000000"/>
              <w:bottom w:val="single" w:sz="4" w:space="0" w:color="000000"/>
              <w:right w:val="single" w:sz="4" w:space="0" w:color="000000"/>
            </w:tcBorders>
            <w:vAlign w:val="center"/>
          </w:tcPr>
          <w:p w14:paraId="1AB6879B" w14:textId="77777777" w:rsidR="0075791A" w:rsidRDefault="00FB2864">
            <w:pPr>
              <w:pStyle w:val="TableParagraph"/>
              <w:spacing w:before="41"/>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0</w:t>
            </w:r>
          </w:p>
        </w:tc>
        <w:tc>
          <w:tcPr>
            <w:tcW w:w="1732" w:type="dxa"/>
            <w:tcBorders>
              <w:top w:val="single" w:sz="4" w:space="0" w:color="000000"/>
              <w:left w:val="single" w:sz="4" w:space="0" w:color="000000"/>
              <w:bottom w:val="single" w:sz="4" w:space="0" w:color="000000"/>
              <w:right w:val="single" w:sz="4" w:space="0" w:color="000000"/>
            </w:tcBorders>
            <w:vAlign w:val="center"/>
          </w:tcPr>
          <w:p w14:paraId="677D0106" w14:textId="77777777" w:rsidR="0075791A" w:rsidRDefault="00FB2864">
            <w:pPr>
              <w:pStyle w:val="TableParagraph"/>
              <w:spacing w:before="41"/>
              <w:ind w:left="210" w:right="21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7</w:t>
            </w:r>
          </w:p>
        </w:tc>
        <w:tc>
          <w:tcPr>
            <w:tcW w:w="1732" w:type="dxa"/>
            <w:tcBorders>
              <w:top w:val="single" w:sz="4" w:space="0" w:color="000000"/>
              <w:left w:val="single" w:sz="4" w:space="0" w:color="000000"/>
              <w:bottom w:val="single" w:sz="4" w:space="0" w:color="000000"/>
              <w:right w:val="single" w:sz="4" w:space="0" w:color="000000"/>
            </w:tcBorders>
            <w:vAlign w:val="center"/>
          </w:tcPr>
          <w:p w14:paraId="419D3A77" w14:textId="77777777" w:rsidR="0075791A" w:rsidRDefault="00FB2864">
            <w:pPr>
              <w:pStyle w:val="TableParagraph"/>
              <w:spacing w:before="41"/>
              <w:ind w:left="604" w:right="605"/>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25</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1</w:t>
            </w:r>
          </w:p>
        </w:tc>
        <w:tc>
          <w:tcPr>
            <w:tcW w:w="1730" w:type="dxa"/>
            <w:tcBorders>
              <w:top w:val="single" w:sz="4" w:space="0" w:color="000000"/>
              <w:left w:val="single" w:sz="4" w:space="0" w:color="000000"/>
              <w:bottom w:val="single" w:sz="4" w:space="0" w:color="000000"/>
              <w:right w:val="single" w:sz="4" w:space="0" w:color="000000"/>
            </w:tcBorders>
            <w:vAlign w:val="center"/>
          </w:tcPr>
          <w:p w14:paraId="47D8C7AA" w14:textId="77777777" w:rsidR="0075791A" w:rsidRDefault="00FB2864">
            <w:pPr>
              <w:pStyle w:val="TableParagraph"/>
              <w:spacing w:before="41"/>
              <w:ind w:left="570"/>
              <w:rPr>
                <w:rFonts w:ascii="Times New Roman" w:eastAsia="Times New Roman" w:hAnsi="Times New Roman" w:cs="Times New Roman"/>
                <w:color w:val="auto"/>
              </w:rPr>
            </w:pPr>
            <w:r>
              <w:rPr>
                <w:rFonts w:ascii="Times New Roman" w:eastAsia="Times New Roman" w:hAnsi="Times New Roman" w:cs="Times New Roman"/>
                <w:color w:val="auto"/>
                <w:spacing w:val="1"/>
              </w:rPr>
              <w:t>955</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3</w:t>
            </w:r>
          </w:p>
        </w:tc>
      </w:tr>
      <w:tr w:rsidR="0075791A" w14:paraId="2D745EF4" w14:textId="77777777">
        <w:trPr>
          <w:trHeight w:hRule="exact" w:val="329"/>
          <w:jc w:val="center"/>
        </w:trPr>
        <w:tc>
          <w:tcPr>
            <w:tcW w:w="1220" w:type="dxa"/>
            <w:vMerge/>
            <w:tcBorders>
              <w:left w:val="single" w:sz="4" w:space="0" w:color="000000"/>
              <w:right w:val="single" w:sz="4" w:space="0" w:color="000000"/>
            </w:tcBorders>
            <w:vAlign w:val="center"/>
          </w:tcPr>
          <w:p w14:paraId="1430D463"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3050A2CC" w14:textId="77777777" w:rsidR="0075791A" w:rsidRDefault="00FB2864">
            <w:pPr>
              <w:pStyle w:val="TableParagraph"/>
              <w:spacing w:before="33"/>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6</w:t>
            </w:r>
          </w:p>
        </w:tc>
        <w:tc>
          <w:tcPr>
            <w:tcW w:w="1732" w:type="dxa"/>
            <w:tcBorders>
              <w:top w:val="single" w:sz="4" w:space="0" w:color="000000"/>
              <w:left w:val="single" w:sz="4" w:space="0" w:color="000000"/>
              <w:bottom w:val="single" w:sz="4" w:space="0" w:color="000000"/>
              <w:right w:val="single" w:sz="4" w:space="0" w:color="000000"/>
            </w:tcBorders>
            <w:vAlign w:val="center"/>
          </w:tcPr>
          <w:p w14:paraId="208234DE" w14:textId="77777777" w:rsidR="0075791A" w:rsidRDefault="00FB2864">
            <w:pPr>
              <w:pStyle w:val="TableParagraph"/>
              <w:spacing w:before="40"/>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3E32EA70" w14:textId="77777777" w:rsidR="0075791A" w:rsidRDefault="00FB2864">
            <w:pPr>
              <w:pStyle w:val="TableParagraph"/>
              <w:spacing w:before="40"/>
              <w:ind w:left="210" w:right="21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1732" w:type="dxa"/>
            <w:tcBorders>
              <w:top w:val="single" w:sz="4" w:space="0" w:color="000000"/>
              <w:left w:val="single" w:sz="4" w:space="0" w:color="000000"/>
              <w:bottom w:val="single" w:sz="4" w:space="0" w:color="000000"/>
              <w:right w:val="single" w:sz="4" w:space="0" w:color="000000"/>
            </w:tcBorders>
            <w:vAlign w:val="center"/>
          </w:tcPr>
          <w:p w14:paraId="42589099" w14:textId="77777777" w:rsidR="0075791A" w:rsidRDefault="00FB2864">
            <w:pPr>
              <w:pStyle w:val="TableParagraph"/>
              <w:spacing w:before="40"/>
              <w:ind w:left="604" w:right="605"/>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21</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4</w:t>
            </w:r>
          </w:p>
        </w:tc>
        <w:tc>
          <w:tcPr>
            <w:tcW w:w="1730" w:type="dxa"/>
            <w:tcBorders>
              <w:top w:val="single" w:sz="4" w:space="0" w:color="000000"/>
              <w:left w:val="single" w:sz="4" w:space="0" w:color="000000"/>
              <w:bottom w:val="single" w:sz="4" w:space="0" w:color="000000"/>
              <w:right w:val="single" w:sz="4" w:space="0" w:color="000000"/>
            </w:tcBorders>
            <w:vAlign w:val="center"/>
          </w:tcPr>
          <w:p w14:paraId="5AB0031D" w14:textId="77777777" w:rsidR="0075791A" w:rsidRDefault="00FB2864">
            <w:pPr>
              <w:pStyle w:val="TableParagraph"/>
              <w:spacing w:before="40"/>
              <w:ind w:left="570"/>
              <w:rPr>
                <w:rFonts w:ascii="Times New Roman" w:eastAsia="Times New Roman" w:hAnsi="Times New Roman" w:cs="Times New Roman"/>
                <w:color w:val="auto"/>
              </w:rPr>
            </w:pPr>
            <w:r>
              <w:rPr>
                <w:rFonts w:ascii="Times New Roman" w:eastAsia="Times New Roman" w:hAnsi="Times New Roman" w:cs="Times New Roman"/>
                <w:color w:val="auto"/>
                <w:spacing w:val="1"/>
              </w:rPr>
              <w:t>988</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9</w:t>
            </w:r>
            <w:r>
              <w:rPr>
                <w:rFonts w:ascii="Times New Roman" w:eastAsia="Times New Roman" w:hAnsi="Times New Roman" w:cs="Times New Roman"/>
                <w:color w:val="auto"/>
              </w:rPr>
              <w:t>3</w:t>
            </w:r>
          </w:p>
        </w:tc>
      </w:tr>
      <w:tr w:rsidR="0075791A" w14:paraId="78C15C22" w14:textId="77777777">
        <w:trPr>
          <w:trHeight w:hRule="exact" w:val="329"/>
          <w:jc w:val="center"/>
        </w:trPr>
        <w:tc>
          <w:tcPr>
            <w:tcW w:w="1220" w:type="dxa"/>
            <w:vMerge/>
            <w:tcBorders>
              <w:left w:val="single" w:sz="4" w:space="0" w:color="000000"/>
              <w:right w:val="single" w:sz="4" w:space="0" w:color="000000"/>
            </w:tcBorders>
            <w:vAlign w:val="center"/>
          </w:tcPr>
          <w:p w14:paraId="646B944D"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0E2529C3" w14:textId="77777777" w:rsidR="0075791A" w:rsidRDefault="00FB2864">
            <w:pPr>
              <w:pStyle w:val="TableParagraph"/>
              <w:spacing w:before="34"/>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8</w:t>
            </w:r>
          </w:p>
        </w:tc>
        <w:tc>
          <w:tcPr>
            <w:tcW w:w="1732" w:type="dxa"/>
            <w:tcBorders>
              <w:top w:val="single" w:sz="4" w:space="0" w:color="000000"/>
              <w:left w:val="single" w:sz="4" w:space="0" w:color="000000"/>
              <w:bottom w:val="single" w:sz="4" w:space="0" w:color="000000"/>
              <w:right w:val="single" w:sz="4" w:space="0" w:color="000000"/>
            </w:tcBorders>
            <w:vAlign w:val="center"/>
          </w:tcPr>
          <w:p w14:paraId="42BFE4DF" w14:textId="77777777" w:rsidR="0075791A" w:rsidRDefault="00FB2864">
            <w:pPr>
              <w:pStyle w:val="TableParagraph"/>
              <w:spacing w:before="41"/>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2</w:t>
            </w:r>
          </w:p>
        </w:tc>
        <w:tc>
          <w:tcPr>
            <w:tcW w:w="1732" w:type="dxa"/>
            <w:tcBorders>
              <w:top w:val="single" w:sz="4" w:space="0" w:color="000000"/>
              <w:left w:val="single" w:sz="4" w:space="0" w:color="000000"/>
              <w:bottom w:val="single" w:sz="4" w:space="0" w:color="000000"/>
              <w:right w:val="single" w:sz="4" w:space="0" w:color="000000"/>
            </w:tcBorders>
            <w:vAlign w:val="center"/>
          </w:tcPr>
          <w:p w14:paraId="56BC2058" w14:textId="77777777" w:rsidR="0075791A" w:rsidRDefault="00FB2864">
            <w:pPr>
              <w:pStyle w:val="TableParagraph"/>
              <w:spacing w:before="41"/>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7</w:t>
            </w:r>
          </w:p>
        </w:tc>
        <w:tc>
          <w:tcPr>
            <w:tcW w:w="1732" w:type="dxa"/>
            <w:tcBorders>
              <w:top w:val="single" w:sz="4" w:space="0" w:color="000000"/>
              <w:left w:val="single" w:sz="4" w:space="0" w:color="000000"/>
              <w:bottom w:val="single" w:sz="4" w:space="0" w:color="000000"/>
              <w:right w:val="single" w:sz="4" w:space="0" w:color="000000"/>
            </w:tcBorders>
            <w:vAlign w:val="center"/>
          </w:tcPr>
          <w:p w14:paraId="0A31A7F0" w14:textId="77777777" w:rsidR="0075791A" w:rsidRDefault="00FB2864">
            <w:pPr>
              <w:pStyle w:val="TableParagraph"/>
              <w:spacing w:before="41"/>
              <w:ind w:left="658" w:right="65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3</w:t>
            </w:r>
          </w:p>
        </w:tc>
        <w:tc>
          <w:tcPr>
            <w:tcW w:w="1730" w:type="dxa"/>
            <w:tcBorders>
              <w:top w:val="single" w:sz="4" w:space="0" w:color="000000"/>
              <w:left w:val="single" w:sz="4" w:space="0" w:color="000000"/>
              <w:bottom w:val="single" w:sz="4" w:space="0" w:color="000000"/>
              <w:right w:val="single" w:sz="4" w:space="0" w:color="000000"/>
            </w:tcBorders>
            <w:vAlign w:val="center"/>
          </w:tcPr>
          <w:p w14:paraId="2E045F1B" w14:textId="77777777" w:rsidR="0075791A" w:rsidRDefault="00FB2864">
            <w:pPr>
              <w:pStyle w:val="TableParagraph"/>
              <w:spacing w:before="41"/>
              <w:ind w:left="570"/>
              <w:rPr>
                <w:rFonts w:ascii="Times New Roman" w:eastAsia="Times New Roman" w:hAnsi="Times New Roman" w:cs="Times New Roman"/>
                <w:color w:val="auto"/>
              </w:rPr>
            </w:pPr>
            <w:r>
              <w:rPr>
                <w:rFonts w:ascii="Times New Roman" w:eastAsia="Times New Roman" w:hAnsi="Times New Roman" w:cs="Times New Roman"/>
                <w:color w:val="auto"/>
                <w:spacing w:val="1"/>
              </w:rPr>
              <w:t>408</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1</w:t>
            </w:r>
            <w:r>
              <w:rPr>
                <w:rFonts w:ascii="Times New Roman" w:eastAsia="Times New Roman" w:hAnsi="Times New Roman" w:cs="Times New Roman"/>
                <w:color w:val="auto"/>
              </w:rPr>
              <w:t>3</w:t>
            </w:r>
          </w:p>
        </w:tc>
      </w:tr>
      <w:tr w:rsidR="0075791A" w14:paraId="2B4571C6" w14:textId="77777777">
        <w:trPr>
          <w:trHeight w:hRule="exact" w:val="329"/>
          <w:jc w:val="center"/>
        </w:trPr>
        <w:tc>
          <w:tcPr>
            <w:tcW w:w="1220" w:type="dxa"/>
            <w:vMerge/>
            <w:tcBorders>
              <w:left w:val="single" w:sz="4" w:space="0" w:color="000000"/>
              <w:right w:val="single" w:sz="4" w:space="0" w:color="000000"/>
            </w:tcBorders>
            <w:vAlign w:val="center"/>
          </w:tcPr>
          <w:p w14:paraId="2CF86F93"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51DD318B" w14:textId="77777777" w:rsidR="0075791A" w:rsidRDefault="00FB2864">
            <w:pPr>
              <w:pStyle w:val="TableParagraph"/>
              <w:spacing w:before="33"/>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9</w:t>
            </w:r>
          </w:p>
        </w:tc>
        <w:tc>
          <w:tcPr>
            <w:tcW w:w="1732" w:type="dxa"/>
            <w:tcBorders>
              <w:top w:val="single" w:sz="4" w:space="0" w:color="000000"/>
              <w:left w:val="single" w:sz="4" w:space="0" w:color="000000"/>
              <w:bottom w:val="single" w:sz="4" w:space="0" w:color="000000"/>
              <w:right w:val="single" w:sz="4" w:space="0" w:color="000000"/>
            </w:tcBorders>
            <w:vAlign w:val="center"/>
          </w:tcPr>
          <w:p w14:paraId="2DC284DA" w14:textId="77777777" w:rsidR="0075791A" w:rsidRDefault="00FB2864">
            <w:pPr>
              <w:pStyle w:val="TableParagraph"/>
              <w:spacing w:before="40"/>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0</w:t>
            </w:r>
          </w:p>
        </w:tc>
        <w:tc>
          <w:tcPr>
            <w:tcW w:w="1732" w:type="dxa"/>
            <w:tcBorders>
              <w:top w:val="single" w:sz="4" w:space="0" w:color="000000"/>
              <w:left w:val="single" w:sz="4" w:space="0" w:color="000000"/>
              <w:bottom w:val="single" w:sz="4" w:space="0" w:color="000000"/>
              <w:right w:val="single" w:sz="4" w:space="0" w:color="000000"/>
            </w:tcBorders>
            <w:vAlign w:val="center"/>
          </w:tcPr>
          <w:p w14:paraId="1A6F737E" w14:textId="77777777" w:rsidR="0075791A" w:rsidRDefault="00FB2864">
            <w:pPr>
              <w:pStyle w:val="TableParagraph"/>
              <w:spacing w:before="40"/>
              <w:ind w:left="210" w:right="21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6</w:t>
            </w:r>
          </w:p>
        </w:tc>
        <w:tc>
          <w:tcPr>
            <w:tcW w:w="1732" w:type="dxa"/>
            <w:tcBorders>
              <w:top w:val="single" w:sz="4" w:space="0" w:color="000000"/>
              <w:left w:val="single" w:sz="4" w:space="0" w:color="000000"/>
              <w:bottom w:val="single" w:sz="4" w:space="0" w:color="000000"/>
              <w:right w:val="single" w:sz="4" w:space="0" w:color="000000"/>
            </w:tcBorders>
            <w:vAlign w:val="center"/>
          </w:tcPr>
          <w:p w14:paraId="40AE6983" w14:textId="77777777" w:rsidR="0075791A" w:rsidRDefault="00FB2864">
            <w:pPr>
              <w:pStyle w:val="TableParagraph"/>
              <w:spacing w:before="40"/>
              <w:ind w:left="604" w:right="605"/>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66</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3</w:t>
            </w:r>
          </w:p>
        </w:tc>
        <w:tc>
          <w:tcPr>
            <w:tcW w:w="1730" w:type="dxa"/>
            <w:tcBorders>
              <w:top w:val="single" w:sz="4" w:space="0" w:color="000000"/>
              <w:left w:val="single" w:sz="4" w:space="0" w:color="000000"/>
              <w:bottom w:val="single" w:sz="4" w:space="0" w:color="000000"/>
              <w:right w:val="single" w:sz="4" w:space="0" w:color="000000"/>
            </w:tcBorders>
            <w:vAlign w:val="center"/>
          </w:tcPr>
          <w:p w14:paraId="7E129E07" w14:textId="77777777" w:rsidR="0075791A" w:rsidRDefault="00FB2864">
            <w:pPr>
              <w:pStyle w:val="TableParagraph"/>
              <w:spacing w:before="40"/>
              <w:ind w:left="570"/>
              <w:rPr>
                <w:rFonts w:ascii="Times New Roman" w:eastAsia="Times New Roman" w:hAnsi="Times New Roman" w:cs="Times New Roman"/>
                <w:color w:val="auto"/>
              </w:rPr>
            </w:pPr>
            <w:r>
              <w:rPr>
                <w:rFonts w:ascii="Times New Roman" w:eastAsia="Times New Roman" w:hAnsi="Times New Roman" w:cs="Times New Roman"/>
                <w:color w:val="auto"/>
                <w:spacing w:val="1"/>
              </w:rPr>
              <w:t>645</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8</w:t>
            </w:r>
            <w:r>
              <w:rPr>
                <w:rFonts w:ascii="Times New Roman" w:eastAsia="Times New Roman" w:hAnsi="Times New Roman" w:cs="Times New Roman"/>
                <w:color w:val="auto"/>
              </w:rPr>
              <w:t>0</w:t>
            </w:r>
          </w:p>
        </w:tc>
      </w:tr>
      <w:tr w:rsidR="0075791A" w14:paraId="71E94061" w14:textId="77777777">
        <w:trPr>
          <w:trHeight w:hRule="exact" w:val="329"/>
          <w:jc w:val="center"/>
        </w:trPr>
        <w:tc>
          <w:tcPr>
            <w:tcW w:w="1220" w:type="dxa"/>
            <w:vMerge/>
            <w:tcBorders>
              <w:left w:val="single" w:sz="4" w:space="0" w:color="000000"/>
              <w:bottom w:val="single" w:sz="4" w:space="0" w:color="000000"/>
              <w:right w:val="single" w:sz="4" w:space="0" w:color="000000"/>
            </w:tcBorders>
            <w:vAlign w:val="center"/>
          </w:tcPr>
          <w:p w14:paraId="222A7CE4"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53060700" w14:textId="77777777" w:rsidR="0075791A" w:rsidRDefault="00FB2864">
            <w:pPr>
              <w:pStyle w:val="TableParagraph"/>
              <w:spacing w:before="34"/>
              <w:ind w:left="195"/>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pacing w:val="-5"/>
                <w:sz w:val="22"/>
                <w:szCs w:val="22"/>
              </w:rPr>
              <w:t>1</w:t>
            </w:r>
            <w:r>
              <w:rPr>
                <w:rFonts w:ascii="Times New Roman" w:eastAsia="Times New Roman" w:hAnsi="Times New Roman" w:cs="Times New Roman"/>
                <w:color w:val="auto"/>
                <w:sz w:val="22"/>
                <w:szCs w:val="22"/>
              </w:rPr>
              <w:t>1</w:t>
            </w:r>
          </w:p>
        </w:tc>
        <w:tc>
          <w:tcPr>
            <w:tcW w:w="1732" w:type="dxa"/>
            <w:tcBorders>
              <w:top w:val="single" w:sz="4" w:space="0" w:color="000000"/>
              <w:left w:val="single" w:sz="4" w:space="0" w:color="000000"/>
              <w:bottom w:val="single" w:sz="4" w:space="0" w:color="000000"/>
              <w:right w:val="single" w:sz="4" w:space="0" w:color="000000"/>
            </w:tcBorders>
            <w:vAlign w:val="center"/>
          </w:tcPr>
          <w:p w14:paraId="2947727A" w14:textId="77777777" w:rsidR="0075791A" w:rsidRDefault="00FB2864">
            <w:pPr>
              <w:pStyle w:val="TableParagraph"/>
              <w:spacing w:before="41"/>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5</w:t>
            </w:r>
          </w:p>
        </w:tc>
        <w:tc>
          <w:tcPr>
            <w:tcW w:w="1732" w:type="dxa"/>
            <w:tcBorders>
              <w:top w:val="single" w:sz="4" w:space="0" w:color="000000"/>
              <w:left w:val="single" w:sz="4" w:space="0" w:color="000000"/>
              <w:bottom w:val="single" w:sz="4" w:space="0" w:color="000000"/>
              <w:right w:val="single" w:sz="4" w:space="0" w:color="000000"/>
            </w:tcBorders>
            <w:vAlign w:val="center"/>
          </w:tcPr>
          <w:p w14:paraId="34FF863E" w14:textId="77777777" w:rsidR="0075791A" w:rsidRDefault="00FB2864">
            <w:pPr>
              <w:pStyle w:val="TableParagraph"/>
              <w:spacing w:before="41"/>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49CDBCC8" w14:textId="77777777" w:rsidR="0075791A" w:rsidRDefault="00FB2864">
            <w:pPr>
              <w:pStyle w:val="TableParagraph"/>
              <w:spacing w:before="41"/>
              <w:ind w:left="604" w:right="605"/>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17</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5</w:t>
            </w:r>
          </w:p>
        </w:tc>
        <w:tc>
          <w:tcPr>
            <w:tcW w:w="1730" w:type="dxa"/>
            <w:tcBorders>
              <w:top w:val="single" w:sz="4" w:space="0" w:color="000000"/>
              <w:left w:val="single" w:sz="4" w:space="0" w:color="000000"/>
              <w:bottom w:val="single" w:sz="4" w:space="0" w:color="000000"/>
              <w:right w:val="single" w:sz="4" w:space="0" w:color="000000"/>
            </w:tcBorders>
            <w:vAlign w:val="center"/>
          </w:tcPr>
          <w:p w14:paraId="74D030B3" w14:textId="77777777" w:rsidR="0075791A" w:rsidRDefault="00FB2864">
            <w:pPr>
              <w:pStyle w:val="TableParagraph"/>
              <w:spacing w:before="41"/>
              <w:ind w:left="570"/>
              <w:rPr>
                <w:rFonts w:ascii="Times New Roman" w:eastAsia="Times New Roman" w:hAnsi="Times New Roman" w:cs="Times New Roman"/>
                <w:color w:val="auto"/>
              </w:rPr>
            </w:pPr>
            <w:r>
              <w:rPr>
                <w:rFonts w:ascii="Times New Roman" w:eastAsia="Times New Roman" w:hAnsi="Times New Roman" w:cs="Times New Roman"/>
                <w:color w:val="auto"/>
                <w:spacing w:val="1"/>
              </w:rPr>
              <w:t>263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7</w:t>
            </w:r>
            <w:r>
              <w:rPr>
                <w:rFonts w:ascii="Times New Roman" w:eastAsia="Times New Roman" w:hAnsi="Times New Roman" w:cs="Times New Roman"/>
                <w:color w:val="auto"/>
              </w:rPr>
              <w:t>2</w:t>
            </w:r>
          </w:p>
        </w:tc>
      </w:tr>
      <w:tr w:rsidR="0075791A" w14:paraId="4BC287FD" w14:textId="77777777">
        <w:trPr>
          <w:trHeight w:hRule="exact" w:val="329"/>
          <w:jc w:val="center"/>
        </w:trPr>
        <w:tc>
          <w:tcPr>
            <w:tcW w:w="1220" w:type="dxa"/>
            <w:vMerge w:val="restart"/>
            <w:tcBorders>
              <w:top w:val="single" w:sz="4" w:space="0" w:color="000000"/>
              <w:left w:val="single" w:sz="4" w:space="0" w:color="000000"/>
              <w:right w:val="single" w:sz="4" w:space="0" w:color="000000"/>
            </w:tcBorders>
            <w:vAlign w:val="center"/>
          </w:tcPr>
          <w:p w14:paraId="1C57C519" w14:textId="77777777" w:rsidR="0075791A" w:rsidRDefault="00FB2864">
            <w:pPr>
              <w:pStyle w:val="TableParagraph"/>
              <w:ind w:left="290"/>
              <w:rPr>
                <w:rFonts w:ascii="宋体" w:eastAsia="宋体" w:hAnsi="宋体" w:cs="宋体"/>
                <w:color w:val="auto"/>
              </w:rPr>
            </w:pPr>
            <w:r>
              <w:rPr>
                <w:rFonts w:ascii="宋体" w:eastAsia="宋体" w:hAnsi="宋体" w:cs="宋体"/>
                <w:color w:val="auto"/>
                <w:spacing w:val="-1"/>
              </w:rPr>
              <w:t>流</w:t>
            </w:r>
            <w:r>
              <w:rPr>
                <w:rFonts w:ascii="宋体" w:eastAsia="宋体" w:hAnsi="宋体" w:cs="宋体"/>
                <w:color w:val="auto"/>
                <w:spacing w:val="2"/>
              </w:rPr>
              <w:t>刺</w:t>
            </w:r>
            <w:r>
              <w:rPr>
                <w:rFonts w:ascii="宋体" w:eastAsia="宋体" w:hAnsi="宋体" w:cs="宋体"/>
                <w:color w:val="auto"/>
              </w:rPr>
              <w:t>网</w:t>
            </w:r>
          </w:p>
        </w:tc>
        <w:tc>
          <w:tcPr>
            <w:tcW w:w="772" w:type="dxa"/>
            <w:tcBorders>
              <w:top w:val="single" w:sz="4" w:space="0" w:color="000000"/>
              <w:left w:val="single" w:sz="4" w:space="0" w:color="000000"/>
              <w:bottom w:val="single" w:sz="4" w:space="0" w:color="000000"/>
              <w:right w:val="single" w:sz="4" w:space="0" w:color="000000"/>
            </w:tcBorders>
            <w:vAlign w:val="center"/>
          </w:tcPr>
          <w:p w14:paraId="6E310D4C" w14:textId="77777777" w:rsidR="0075791A" w:rsidRDefault="00FB2864">
            <w:pPr>
              <w:pStyle w:val="TableParagraph"/>
              <w:spacing w:before="33"/>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4</w:t>
            </w:r>
          </w:p>
        </w:tc>
        <w:tc>
          <w:tcPr>
            <w:tcW w:w="1732" w:type="dxa"/>
            <w:tcBorders>
              <w:top w:val="single" w:sz="4" w:space="0" w:color="000000"/>
              <w:left w:val="single" w:sz="4" w:space="0" w:color="000000"/>
              <w:bottom w:val="single" w:sz="4" w:space="0" w:color="000000"/>
              <w:right w:val="single" w:sz="4" w:space="0" w:color="000000"/>
            </w:tcBorders>
            <w:vAlign w:val="center"/>
          </w:tcPr>
          <w:p w14:paraId="6AD805CE" w14:textId="77777777" w:rsidR="0075791A" w:rsidRDefault="00FB2864">
            <w:pPr>
              <w:pStyle w:val="TableParagraph"/>
              <w:spacing w:before="40"/>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1732" w:type="dxa"/>
            <w:tcBorders>
              <w:top w:val="single" w:sz="4" w:space="0" w:color="000000"/>
              <w:left w:val="single" w:sz="4" w:space="0" w:color="000000"/>
              <w:bottom w:val="single" w:sz="4" w:space="0" w:color="000000"/>
              <w:right w:val="single" w:sz="4" w:space="0" w:color="000000"/>
            </w:tcBorders>
            <w:vAlign w:val="center"/>
          </w:tcPr>
          <w:p w14:paraId="7C63B0EF" w14:textId="77777777" w:rsidR="0075791A" w:rsidRDefault="00FB2864">
            <w:pPr>
              <w:pStyle w:val="TableParagraph"/>
              <w:spacing w:before="40"/>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1732" w:type="dxa"/>
            <w:tcBorders>
              <w:top w:val="single" w:sz="4" w:space="0" w:color="000000"/>
              <w:left w:val="single" w:sz="4" w:space="0" w:color="000000"/>
              <w:bottom w:val="single" w:sz="4" w:space="0" w:color="000000"/>
              <w:right w:val="single" w:sz="4" w:space="0" w:color="000000"/>
            </w:tcBorders>
            <w:vAlign w:val="center"/>
          </w:tcPr>
          <w:p w14:paraId="1787BFD5" w14:textId="77777777" w:rsidR="0075791A" w:rsidRDefault="00FB2864">
            <w:pPr>
              <w:pStyle w:val="TableParagraph"/>
              <w:spacing w:before="40"/>
              <w:ind w:left="771" w:right="77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c>
          <w:tcPr>
            <w:tcW w:w="1730" w:type="dxa"/>
            <w:tcBorders>
              <w:top w:val="single" w:sz="4" w:space="0" w:color="000000"/>
              <w:left w:val="single" w:sz="4" w:space="0" w:color="000000"/>
              <w:bottom w:val="single" w:sz="4" w:space="0" w:color="000000"/>
              <w:right w:val="single" w:sz="4" w:space="0" w:color="000000"/>
            </w:tcBorders>
            <w:vAlign w:val="center"/>
          </w:tcPr>
          <w:p w14:paraId="4DD6FD5C" w14:textId="77777777" w:rsidR="0075791A" w:rsidRDefault="00FB2864">
            <w:pPr>
              <w:pStyle w:val="TableParagraph"/>
              <w:spacing w:before="40"/>
              <w:ind w:left="769" w:right="77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75791A" w14:paraId="38CCCA4F" w14:textId="77777777">
        <w:trPr>
          <w:trHeight w:hRule="exact" w:val="329"/>
          <w:jc w:val="center"/>
        </w:trPr>
        <w:tc>
          <w:tcPr>
            <w:tcW w:w="1220" w:type="dxa"/>
            <w:vMerge/>
            <w:tcBorders>
              <w:left w:val="single" w:sz="4" w:space="0" w:color="000000"/>
              <w:bottom w:val="single" w:sz="4" w:space="0" w:color="000000"/>
              <w:right w:val="single" w:sz="4" w:space="0" w:color="000000"/>
            </w:tcBorders>
            <w:vAlign w:val="center"/>
          </w:tcPr>
          <w:p w14:paraId="00E7DF63"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5A7190B6" w14:textId="77777777" w:rsidR="0075791A" w:rsidRDefault="00FB2864">
            <w:pPr>
              <w:pStyle w:val="TableParagraph"/>
              <w:spacing w:before="34"/>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7</w:t>
            </w:r>
          </w:p>
        </w:tc>
        <w:tc>
          <w:tcPr>
            <w:tcW w:w="1732" w:type="dxa"/>
            <w:tcBorders>
              <w:top w:val="single" w:sz="4" w:space="0" w:color="000000"/>
              <w:left w:val="single" w:sz="4" w:space="0" w:color="000000"/>
              <w:bottom w:val="single" w:sz="4" w:space="0" w:color="000000"/>
              <w:right w:val="single" w:sz="4" w:space="0" w:color="000000"/>
            </w:tcBorders>
            <w:vAlign w:val="center"/>
          </w:tcPr>
          <w:p w14:paraId="51C9755A" w14:textId="77777777" w:rsidR="0075791A" w:rsidRDefault="00FB2864">
            <w:pPr>
              <w:pStyle w:val="TableParagraph"/>
              <w:spacing w:before="41"/>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38A7DDD4" w14:textId="77777777" w:rsidR="0075791A" w:rsidRDefault="00FB2864">
            <w:pPr>
              <w:pStyle w:val="TableParagraph"/>
              <w:spacing w:before="41"/>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1AF5E995" w14:textId="77777777" w:rsidR="0075791A" w:rsidRDefault="00FB2864">
            <w:pPr>
              <w:pStyle w:val="TableParagraph"/>
              <w:spacing w:before="41"/>
              <w:ind w:left="771" w:right="77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c>
          <w:tcPr>
            <w:tcW w:w="1730" w:type="dxa"/>
            <w:tcBorders>
              <w:top w:val="single" w:sz="4" w:space="0" w:color="000000"/>
              <w:left w:val="single" w:sz="4" w:space="0" w:color="000000"/>
              <w:bottom w:val="single" w:sz="4" w:space="0" w:color="000000"/>
              <w:right w:val="single" w:sz="4" w:space="0" w:color="000000"/>
            </w:tcBorders>
            <w:vAlign w:val="center"/>
          </w:tcPr>
          <w:p w14:paraId="670EAB41" w14:textId="77777777" w:rsidR="0075791A" w:rsidRDefault="00FB2864">
            <w:pPr>
              <w:pStyle w:val="TableParagraph"/>
              <w:spacing w:before="41"/>
              <w:ind w:left="769" w:right="77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75791A" w14:paraId="2ECE0282" w14:textId="77777777">
        <w:trPr>
          <w:trHeight w:hRule="exact" w:val="329"/>
          <w:jc w:val="center"/>
        </w:trPr>
        <w:tc>
          <w:tcPr>
            <w:tcW w:w="1992" w:type="dxa"/>
            <w:gridSpan w:val="2"/>
            <w:tcBorders>
              <w:top w:val="single" w:sz="4" w:space="0" w:color="000000"/>
              <w:left w:val="single" w:sz="4" w:space="0" w:color="000000"/>
              <w:bottom w:val="single" w:sz="4" w:space="0" w:color="000000"/>
              <w:right w:val="single" w:sz="4" w:space="0" w:color="000000"/>
            </w:tcBorders>
            <w:vAlign w:val="center"/>
          </w:tcPr>
          <w:p w14:paraId="237A0F8B" w14:textId="77777777" w:rsidR="0075791A" w:rsidRDefault="00FB2864">
            <w:pPr>
              <w:pStyle w:val="TableParagraph"/>
              <w:spacing w:line="266" w:lineRule="exact"/>
              <w:ind w:left="656" w:right="656"/>
              <w:jc w:val="center"/>
              <w:rPr>
                <w:rFonts w:ascii="宋体" w:eastAsia="宋体" w:hAnsi="宋体" w:cs="宋体"/>
                <w:color w:val="auto"/>
              </w:rPr>
            </w:pPr>
            <w:r>
              <w:rPr>
                <w:rFonts w:ascii="宋体" w:eastAsia="宋体" w:hAnsi="宋体" w:cs="宋体"/>
                <w:color w:val="auto"/>
                <w:spacing w:val="-1"/>
              </w:rPr>
              <w:t>平</w:t>
            </w:r>
            <w:r>
              <w:rPr>
                <w:rFonts w:ascii="宋体" w:eastAsia="宋体" w:hAnsi="宋体" w:cs="宋体"/>
                <w:color w:val="auto"/>
                <w:spacing w:val="2"/>
              </w:rPr>
              <w:t>均</w:t>
            </w:r>
            <w:r>
              <w:rPr>
                <w:rFonts w:ascii="宋体" w:eastAsia="宋体" w:hAnsi="宋体" w:cs="宋体"/>
                <w:color w:val="auto"/>
              </w:rPr>
              <w:t>值</w:t>
            </w:r>
          </w:p>
        </w:tc>
        <w:tc>
          <w:tcPr>
            <w:tcW w:w="1732" w:type="dxa"/>
            <w:tcBorders>
              <w:top w:val="single" w:sz="4" w:space="0" w:color="000000"/>
              <w:left w:val="single" w:sz="4" w:space="0" w:color="000000"/>
              <w:bottom w:val="single" w:sz="4" w:space="0" w:color="000000"/>
              <w:right w:val="single" w:sz="4" w:space="0" w:color="000000"/>
            </w:tcBorders>
            <w:vAlign w:val="center"/>
          </w:tcPr>
          <w:p w14:paraId="1CB30EFB" w14:textId="77777777" w:rsidR="0075791A" w:rsidRDefault="00FB2864">
            <w:pPr>
              <w:pStyle w:val="TableParagraph"/>
              <w:spacing w:before="40"/>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2</w:t>
            </w:r>
          </w:p>
        </w:tc>
        <w:tc>
          <w:tcPr>
            <w:tcW w:w="1732" w:type="dxa"/>
            <w:tcBorders>
              <w:top w:val="single" w:sz="4" w:space="0" w:color="000000"/>
              <w:left w:val="single" w:sz="4" w:space="0" w:color="000000"/>
              <w:bottom w:val="single" w:sz="4" w:space="0" w:color="000000"/>
              <w:right w:val="single" w:sz="4" w:space="0" w:color="000000"/>
            </w:tcBorders>
            <w:vAlign w:val="center"/>
          </w:tcPr>
          <w:p w14:paraId="1C52719A" w14:textId="77777777" w:rsidR="0075791A" w:rsidRDefault="00FB2864">
            <w:pPr>
              <w:pStyle w:val="TableParagraph"/>
              <w:spacing w:before="40"/>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5"/>
              </w:rPr>
              <w:t>1</w:t>
            </w:r>
            <w:r>
              <w:rPr>
                <w:rFonts w:ascii="Times New Roman" w:eastAsia="Times New Roman" w:hAnsi="Times New Roman" w:cs="Times New Roman"/>
                <w:color w:val="auto"/>
                <w:spacing w:val="-2"/>
              </w:rPr>
              <w:t>1.</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4</w:t>
            </w:r>
          </w:p>
        </w:tc>
        <w:tc>
          <w:tcPr>
            <w:tcW w:w="1732" w:type="dxa"/>
            <w:tcBorders>
              <w:top w:val="single" w:sz="4" w:space="0" w:color="000000"/>
              <w:left w:val="single" w:sz="4" w:space="0" w:color="000000"/>
              <w:bottom w:val="single" w:sz="4" w:space="0" w:color="000000"/>
              <w:right w:val="single" w:sz="4" w:space="0" w:color="000000"/>
            </w:tcBorders>
            <w:vAlign w:val="center"/>
          </w:tcPr>
          <w:p w14:paraId="21DCE030" w14:textId="77777777" w:rsidR="0075791A" w:rsidRDefault="00FB2864">
            <w:pPr>
              <w:pStyle w:val="TableParagraph"/>
              <w:spacing w:before="40"/>
              <w:ind w:left="604" w:right="605"/>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28</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7</w:t>
            </w:r>
          </w:p>
        </w:tc>
        <w:tc>
          <w:tcPr>
            <w:tcW w:w="1730" w:type="dxa"/>
            <w:tcBorders>
              <w:top w:val="single" w:sz="4" w:space="0" w:color="000000"/>
              <w:left w:val="single" w:sz="4" w:space="0" w:color="000000"/>
              <w:bottom w:val="single" w:sz="4" w:space="0" w:color="000000"/>
              <w:right w:val="single" w:sz="4" w:space="0" w:color="000000"/>
            </w:tcBorders>
            <w:vAlign w:val="center"/>
          </w:tcPr>
          <w:p w14:paraId="3191509A" w14:textId="77777777" w:rsidR="0075791A" w:rsidRDefault="00FB2864">
            <w:pPr>
              <w:pStyle w:val="TableParagraph"/>
              <w:spacing w:before="40"/>
              <w:ind w:left="570"/>
              <w:rPr>
                <w:rFonts w:ascii="Times New Roman" w:eastAsia="Times New Roman" w:hAnsi="Times New Roman" w:cs="Times New Roman"/>
                <w:color w:val="auto"/>
              </w:rPr>
            </w:pPr>
            <w:r>
              <w:rPr>
                <w:rFonts w:ascii="Times New Roman" w:eastAsia="Times New Roman" w:hAnsi="Times New Roman" w:cs="Times New Roman"/>
                <w:color w:val="auto"/>
                <w:spacing w:val="1"/>
              </w:rPr>
              <w:t>734</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6</w:t>
            </w:r>
            <w:r>
              <w:rPr>
                <w:rFonts w:ascii="Times New Roman" w:eastAsia="Times New Roman" w:hAnsi="Times New Roman" w:cs="Times New Roman"/>
                <w:color w:val="auto"/>
              </w:rPr>
              <w:t>4</w:t>
            </w:r>
          </w:p>
        </w:tc>
      </w:tr>
    </w:tbl>
    <w:p w14:paraId="3042F18C" w14:textId="77777777" w:rsidR="0075791A" w:rsidRDefault="00FB2864">
      <w:pPr>
        <w:kinsoku/>
        <w:adjustRightInd/>
        <w:snapToGrid/>
        <w:spacing w:line="312"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本次调查头足类相对重要性指数（</w:t>
      </w:r>
      <w:r>
        <w:rPr>
          <w:rFonts w:ascii="Times New Roman" w:eastAsia="宋体" w:hAnsi="Times New Roman" w:cs="Times New Roman" w:hint="eastAsia"/>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）均未达到优势种水平。渔获物有</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种，主要种</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种：短穗乌贼（</w:t>
      </w:r>
      <w:r>
        <w:rPr>
          <w:rFonts w:ascii="Times New Roman" w:eastAsia="宋体" w:hAnsi="Times New Roman" w:cs="Times New Roman" w:hint="eastAsia"/>
          <w:snapToGrid/>
          <w:color w:val="auto"/>
          <w:kern w:val="2"/>
          <w:sz w:val="24"/>
          <w:szCs w:val="24"/>
          <w:lang w:eastAsia="zh-CN"/>
        </w:rPr>
        <w:t>441.69</w:t>
      </w:r>
      <w:r>
        <w:rPr>
          <w:rFonts w:ascii="Times New Roman" w:eastAsia="宋体" w:hAnsi="Times New Roman" w:cs="Times New Roman" w:hint="eastAsia"/>
          <w:snapToGrid/>
          <w:color w:val="auto"/>
          <w:kern w:val="2"/>
          <w:sz w:val="24"/>
          <w:szCs w:val="24"/>
          <w:lang w:eastAsia="zh-CN"/>
        </w:rPr>
        <w:t>）和真蛸（</w:t>
      </w:r>
      <w:r>
        <w:rPr>
          <w:rFonts w:ascii="Times New Roman" w:eastAsia="宋体" w:hAnsi="Times New Roman" w:cs="Times New Roman" w:hint="eastAsia"/>
          <w:snapToGrid/>
          <w:color w:val="auto"/>
          <w:kern w:val="2"/>
          <w:sz w:val="24"/>
          <w:szCs w:val="24"/>
          <w:lang w:eastAsia="zh-CN"/>
        </w:rPr>
        <w:t>143.73</w:t>
      </w:r>
      <w:r>
        <w:rPr>
          <w:rFonts w:ascii="Times New Roman" w:eastAsia="宋体" w:hAnsi="Times New Roman" w:cs="Times New Roman" w:hint="eastAsia"/>
          <w:snapToGrid/>
          <w:color w:val="auto"/>
          <w:kern w:val="2"/>
          <w:sz w:val="24"/>
          <w:szCs w:val="24"/>
          <w:lang w:eastAsia="zh-CN"/>
        </w:rPr>
        <w:t>），一般种</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种：中国枪乌贼（</w:t>
      </w:r>
      <w:r>
        <w:rPr>
          <w:rFonts w:ascii="Times New Roman" w:eastAsia="宋体" w:hAnsi="Times New Roman" w:cs="Times New Roman" w:hint="eastAsia"/>
          <w:snapToGrid/>
          <w:color w:val="auto"/>
          <w:kern w:val="2"/>
          <w:sz w:val="24"/>
          <w:szCs w:val="24"/>
          <w:lang w:eastAsia="zh-CN"/>
        </w:rPr>
        <w:t>20.25</w:t>
      </w:r>
      <w:r>
        <w:rPr>
          <w:rFonts w:ascii="Times New Roman" w:eastAsia="宋体" w:hAnsi="Times New Roman" w:cs="Times New Roman" w:hint="eastAsia"/>
          <w:snapToGrid/>
          <w:color w:val="auto"/>
          <w:kern w:val="2"/>
          <w:sz w:val="24"/>
          <w:szCs w:val="24"/>
          <w:lang w:eastAsia="zh-CN"/>
        </w:rPr>
        <w:t>）和金乌贼（</w:t>
      </w:r>
      <w:r>
        <w:rPr>
          <w:rFonts w:ascii="Times New Roman" w:eastAsia="宋体" w:hAnsi="Times New Roman" w:cs="Times New Roman" w:hint="eastAsia"/>
          <w:snapToGrid/>
          <w:color w:val="auto"/>
          <w:kern w:val="2"/>
          <w:sz w:val="24"/>
          <w:szCs w:val="24"/>
          <w:lang w:eastAsia="zh-CN"/>
        </w:rPr>
        <w:t>13.33</w:t>
      </w:r>
      <w:r>
        <w:rPr>
          <w:rFonts w:ascii="Times New Roman" w:eastAsia="宋体" w:hAnsi="Times New Roman" w:cs="Times New Roman" w:hint="eastAsia"/>
          <w:snapToGrid/>
          <w:color w:val="auto"/>
          <w:kern w:val="2"/>
          <w:sz w:val="24"/>
          <w:szCs w:val="24"/>
          <w:lang w:eastAsia="zh-CN"/>
        </w:rPr>
        <w:t>），少见种</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种（详见表</w:t>
      </w:r>
      <w:r>
        <w:rPr>
          <w:rFonts w:ascii="Times New Roman" w:eastAsia="宋体" w:hAnsi="Times New Roman" w:cs="Times New Roman" w:hint="eastAsia"/>
          <w:snapToGrid/>
          <w:color w:val="auto"/>
          <w:kern w:val="2"/>
          <w:sz w:val="24"/>
          <w:szCs w:val="24"/>
          <w:lang w:eastAsia="zh-CN"/>
        </w:rPr>
        <w:t>3.2.6-30</w:t>
      </w:r>
      <w:r>
        <w:rPr>
          <w:rFonts w:ascii="Times New Roman" w:eastAsia="宋体" w:hAnsi="Times New Roman" w:cs="Times New Roman" w:hint="eastAsia"/>
          <w:snapToGrid/>
          <w:color w:val="auto"/>
          <w:kern w:val="2"/>
          <w:sz w:val="24"/>
          <w:szCs w:val="24"/>
          <w:lang w:eastAsia="zh-CN"/>
        </w:rPr>
        <w:t>）。</w:t>
      </w:r>
    </w:p>
    <w:p w14:paraId="133943CE" w14:textId="77777777" w:rsidR="0075791A" w:rsidRDefault="00FB2864">
      <w:pPr>
        <w:kinsoku/>
        <w:adjustRightInd/>
        <w:snapToGrid/>
        <w:spacing w:line="312"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4.</w:t>
      </w:r>
      <w:r>
        <w:rPr>
          <w:rFonts w:ascii="Times New Roman" w:eastAsia="宋体" w:hAnsi="Times New Roman" w:cs="Times New Roman" w:hint="eastAsia"/>
          <w:b/>
          <w:bCs/>
          <w:snapToGrid/>
          <w:color w:val="auto"/>
          <w:kern w:val="2"/>
          <w:sz w:val="24"/>
          <w:szCs w:val="24"/>
          <w:lang w:eastAsia="zh-CN"/>
        </w:rPr>
        <w:t>甲壳类资源状况</w:t>
      </w:r>
    </w:p>
    <w:p w14:paraId="16EAF54E" w14:textId="77777777" w:rsidR="0075791A" w:rsidRDefault="00FB2864">
      <w:pPr>
        <w:kinsoku/>
        <w:adjustRightInd/>
        <w:snapToGrid/>
        <w:spacing w:line="312"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经鉴定，本次调查渔获的甲壳类共</w:t>
      </w:r>
      <w:r>
        <w:rPr>
          <w:rFonts w:ascii="Times New Roman" w:eastAsia="宋体" w:hAnsi="Times New Roman" w:cs="Times New Roman" w:hint="eastAsia"/>
          <w:snapToGrid/>
          <w:color w:val="auto"/>
          <w:kern w:val="2"/>
          <w:sz w:val="24"/>
          <w:szCs w:val="24"/>
          <w:lang w:eastAsia="zh-CN"/>
        </w:rPr>
        <w:t>27</w:t>
      </w:r>
      <w:r>
        <w:rPr>
          <w:rFonts w:ascii="Times New Roman" w:eastAsia="宋体" w:hAnsi="Times New Roman" w:cs="Times New Roman" w:hint="eastAsia"/>
          <w:snapToGrid/>
          <w:color w:val="auto"/>
          <w:kern w:val="2"/>
          <w:sz w:val="24"/>
          <w:szCs w:val="24"/>
          <w:lang w:eastAsia="zh-CN"/>
        </w:rPr>
        <w:t>种，分属</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目</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20</w:t>
      </w:r>
      <w:r>
        <w:rPr>
          <w:rFonts w:ascii="Times New Roman" w:eastAsia="宋体" w:hAnsi="Times New Roman" w:cs="Times New Roman" w:hint="eastAsia"/>
          <w:snapToGrid/>
          <w:color w:val="auto"/>
          <w:kern w:val="2"/>
          <w:sz w:val="24"/>
          <w:szCs w:val="24"/>
          <w:lang w:eastAsia="zh-CN"/>
        </w:rPr>
        <w:t>属。其中虾类有</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属</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种，其中斑节对虾、近缘新对虾哈氏仿对虾为该海区的主要经济种类，鹰抓虾、须赤虾为该海域次要经济种类，是海南岛近海渔业的兼捕对象；蟹类有</w:t>
      </w:r>
      <w:r>
        <w:rPr>
          <w:rFonts w:ascii="Times New Roman" w:eastAsia="宋体" w:hAnsi="Times New Roman" w:cs="Times New Roman" w:hint="eastAsia"/>
          <w:snapToGrid/>
          <w:color w:val="auto"/>
          <w:kern w:val="2"/>
          <w:sz w:val="24"/>
          <w:szCs w:val="24"/>
          <w:lang w:eastAsia="zh-CN"/>
        </w:rPr>
        <w:t>7</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19</w:t>
      </w:r>
      <w:r>
        <w:rPr>
          <w:rFonts w:ascii="Times New Roman" w:eastAsia="宋体" w:hAnsi="Times New Roman" w:cs="Times New Roman" w:hint="eastAsia"/>
          <w:snapToGrid/>
          <w:color w:val="auto"/>
          <w:kern w:val="2"/>
          <w:sz w:val="24"/>
          <w:szCs w:val="24"/>
          <w:lang w:eastAsia="zh-CN"/>
        </w:rPr>
        <w:t>种，其中红星梭子蟹、远海梭子蟹、锈斑蟳为该海域经济种类；虾蛄类有</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种，口虾蛄和猛虾蛄为当地拖网和笼壶类作业主要捕捞对象。</w:t>
      </w:r>
    </w:p>
    <w:p w14:paraId="4ED15F0B" w14:textId="77777777" w:rsidR="0075791A" w:rsidRDefault="00FB2864">
      <w:pPr>
        <w:kinsoku/>
        <w:adjustRightInd/>
        <w:snapToGrid/>
        <w:spacing w:line="312"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调查海域甲壳类重量渔获率均值为</w:t>
      </w:r>
      <w:r>
        <w:rPr>
          <w:rFonts w:ascii="Times New Roman" w:eastAsia="宋体" w:hAnsi="Times New Roman" w:cs="Times New Roman" w:hint="eastAsia"/>
          <w:snapToGrid/>
          <w:color w:val="auto"/>
          <w:kern w:val="2"/>
          <w:sz w:val="24"/>
          <w:szCs w:val="24"/>
          <w:lang w:eastAsia="zh-CN"/>
        </w:rPr>
        <w:t>0.81kg/h</w:t>
      </w:r>
      <w:r>
        <w:rPr>
          <w:rFonts w:ascii="Times New Roman" w:eastAsia="宋体" w:hAnsi="Times New Roman" w:cs="Times New Roman" w:hint="eastAsia"/>
          <w:snapToGrid/>
          <w:color w:val="auto"/>
          <w:kern w:val="2"/>
          <w:sz w:val="24"/>
          <w:szCs w:val="24"/>
          <w:lang w:eastAsia="zh-CN"/>
        </w:rPr>
        <w:t>，渔获率以</w:t>
      </w:r>
      <w:r>
        <w:rPr>
          <w:rFonts w:ascii="Times New Roman" w:eastAsia="宋体" w:hAnsi="Times New Roman" w:cs="Times New Roman" w:hint="eastAsia"/>
          <w:snapToGrid/>
          <w:color w:val="auto"/>
          <w:kern w:val="2"/>
          <w:sz w:val="24"/>
          <w:szCs w:val="24"/>
          <w:lang w:eastAsia="zh-CN"/>
        </w:rPr>
        <w:t>H11</w:t>
      </w:r>
      <w:r>
        <w:rPr>
          <w:rFonts w:ascii="Times New Roman" w:eastAsia="宋体" w:hAnsi="Times New Roman" w:cs="Times New Roman" w:hint="eastAsia"/>
          <w:snapToGrid/>
          <w:color w:val="auto"/>
          <w:kern w:val="2"/>
          <w:sz w:val="24"/>
          <w:szCs w:val="24"/>
          <w:lang w:eastAsia="zh-CN"/>
        </w:rPr>
        <w:t>站占优势，为</w:t>
      </w:r>
      <w:r>
        <w:rPr>
          <w:rFonts w:ascii="Times New Roman" w:eastAsia="宋体" w:hAnsi="Times New Roman" w:cs="Times New Roman" w:hint="eastAsia"/>
          <w:snapToGrid/>
          <w:color w:val="auto"/>
          <w:kern w:val="2"/>
          <w:sz w:val="24"/>
          <w:szCs w:val="24"/>
          <w:lang w:eastAsia="zh-CN"/>
        </w:rPr>
        <w:t>2.03kg/h</w:t>
      </w:r>
      <w:r>
        <w:rPr>
          <w:rFonts w:ascii="Times New Roman" w:eastAsia="宋体" w:hAnsi="Times New Roman" w:cs="Times New Roman" w:hint="eastAsia"/>
          <w:snapToGrid/>
          <w:color w:val="auto"/>
          <w:kern w:val="2"/>
          <w:sz w:val="24"/>
          <w:szCs w:val="24"/>
          <w:lang w:eastAsia="zh-CN"/>
        </w:rPr>
        <w:t>；其次为</w:t>
      </w:r>
      <w:r>
        <w:rPr>
          <w:rFonts w:ascii="Times New Roman" w:eastAsia="宋体" w:hAnsi="Times New Roman" w:cs="Times New Roman" w:hint="eastAsia"/>
          <w:snapToGrid/>
          <w:color w:val="auto"/>
          <w:kern w:val="2"/>
          <w:sz w:val="24"/>
          <w:szCs w:val="24"/>
          <w:lang w:eastAsia="zh-CN"/>
        </w:rPr>
        <w:t>H2</w:t>
      </w:r>
      <w:r>
        <w:rPr>
          <w:rFonts w:ascii="Times New Roman" w:eastAsia="宋体" w:hAnsi="Times New Roman" w:cs="Times New Roman" w:hint="eastAsia"/>
          <w:snapToGrid/>
          <w:color w:val="auto"/>
          <w:kern w:val="2"/>
          <w:sz w:val="24"/>
          <w:szCs w:val="24"/>
          <w:lang w:eastAsia="zh-CN"/>
        </w:rPr>
        <w:t>站，渔获率为</w:t>
      </w:r>
      <w:r>
        <w:rPr>
          <w:rFonts w:ascii="Times New Roman" w:eastAsia="宋体" w:hAnsi="Times New Roman" w:cs="Times New Roman" w:hint="eastAsia"/>
          <w:snapToGrid/>
          <w:color w:val="auto"/>
          <w:kern w:val="2"/>
          <w:sz w:val="24"/>
          <w:szCs w:val="24"/>
          <w:lang w:eastAsia="zh-CN"/>
        </w:rPr>
        <w:t>1.30kg/h</w:t>
      </w:r>
      <w:r>
        <w:rPr>
          <w:rFonts w:ascii="Times New Roman" w:eastAsia="宋体" w:hAnsi="Times New Roman" w:cs="Times New Roman" w:hint="eastAsia"/>
          <w:snapToGrid/>
          <w:color w:val="auto"/>
          <w:kern w:val="2"/>
          <w:sz w:val="24"/>
          <w:szCs w:val="24"/>
          <w:lang w:eastAsia="zh-CN"/>
        </w:rPr>
        <w:t>。甲壳类的个体渔获率均值为</w:t>
      </w:r>
      <w:r>
        <w:rPr>
          <w:rFonts w:ascii="Times New Roman" w:eastAsia="宋体" w:hAnsi="Times New Roman" w:cs="Times New Roman" w:hint="eastAsia"/>
          <w:snapToGrid/>
          <w:color w:val="auto"/>
          <w:kern w:val="2"/>
          <w:sz w:val="24"/>
          <w:szCs w:val="24"/>
          <w:lang w:eastAsia="zh-CN"/>
        </w:rPr>
        <w:t>88.14</w:t>
      </w:r>
      <w:r>
        <w:rPr>
          <w:rFonts w:ascii="Times New Roman" w:eastAsia="宋体" w:hAnsi="Times New Roman" w:cs="Times New Roman" w:hint="eastAsia"/>
          <w:snapToGrid/>
          <w:color w:val="auto"/>
          <w:kern w:val="2"/>
          <w:sz w:val="24"/>
          <w:szCs w:val="24"/>
          <w:lang w:eastAsia="zh-CN"/>
        </w:rPr>
        <w:t>ind./h</w:t>
      </w:r>
      <w:r>
        <w:rPr>
          <w:rFonts w:ascii="Times New Roman" w:eastAsia="宋体" w:hAnsi="Times New Roman" w:cs="Times New Roman" w:hint="eastAsia"/>
          <w:snapToGrid/>
          <w:color w:val="auto"/>
          <w:kern w:val="2"/>
          <w:sz w:val="24"/>
          <w:szCs w:val="24"/>
          <w:lang w:eastAsia="zh-CN"/>
        </w:rPr>
        <w:t>，以</w:t>
      </w:r>
      <w:r>
        <w:rPr>
          <w:rFonts w:ascii="Times New Roman" w:eastAsia="宋体" w:hAnsi="Times New Roman" w:cs="Times New Roman" w:hint="eastAsia"/>
          <w:snapToGrid/>
          <w:color w:val="auto"/>
          <w:kern w:val="2"/>
          <w:sz w:val="24"/>
          <w:szCs w:val="24"/>
          <w:lang w:eastAsia="zh-CN"/>
        </w:rPr>
        <w:t>H2</w:t>
      </w:r>
      <w:r>
        <w:rPr>
          <w:rFonts w:ascii="Times New Roman" w:eastAsia="宋体" w:hAnsi="Times New Roman" w:cs="Times New Roman" w:hint="eastAsia"/>
          <w:snapToGrid/>
          <w:color w:val="auto"/>
          <w:kern w:val="2"/>
          <w:sz w:val="24"/>
          <w:szCs w:val="24"/>
          <w:lang w:eastAsia="zh-CN"/>
        </w:rPr>
        <w:t>站最高，为</w:t>
      </w:r>
      <w:r>
        <w:rPr>
          <w:rFonts w:ascii="Times New Roman" w:eastAsia="宋体" w:hAnsi="Times New Roman" w:cs="Times New Roman" w:hint="eastAsia"/>
          <w:snapToGrid/>
          <w:color w:val="auto"/>
          <w:kern w:val="2"/>
          <w:sz w:val="24"/>
          <w:szCs w:val="24"/>
          <w:lang w:eastAsia="zh-CN"/>
        </w:rPr>
        <w:t>167.731ind./h</w:t>
      </w:r>
      <w:r>
        <w:rPr>
          <w:rFonts w:ascii="Times New Roman" w:eastAsia="宋体" w:hAnsi="Times New Roman" w:cs="Times New Roman" w:hint="eastAsia"/>
          <w:snapToGrid/>
          <w:color w:val="auto"/>
          <w:kern w:val="2"/>
          <w:sz w:val="24"/>
          <w:szCs w:val="24"/>
          <w:lang w:eastAsia="zh-CN"/>
        </w:rPr>
        <w:t>；其次为</w:t>
      </w:r>
      <w:r>
        <w:rPr>
          <w:rFonts w:ascii="Times New Roman" w:eastAsia="宋体" w:hAnsi="Times New Roman" w:cs="Times New Roman" w:hint="eastAsia"/>
          <w:snapToGrid/>
          <w:color w:val="auto"/>
          <w:kern w:val="2"/>
          <w:sz w:val="24"/>
          <w:szCs w:val="24"/>
          <w:lang w:eastAsia="zh-CN"/>
        </w:rPr>
        <w:t>H5</w:t>
      </w:r>
      <w:r>
        <w:rPr>
          <w:rFonts w:ascii="Times New Roman" w:eastAsia="宋体" w:hAnsi="Times New Roman" w:cs="Times New Roman" w:hint="eastAsia"/>
          <w:snapToGrid/>
          <w:color w:val="auto"/>
          <w:kern w:val="2"/>
          <w:sz w:val="24"/>
          <w:szCs w:val="24"/>
          <w:lang w:eastAsia="zh-CN"/>
        </w:rPr>
        <w:t>站尾数渔获率均为</w:t>
      </w:r>
      <w:r>
        <w:rPr>
          <w:rFonts w:ascii="Times New Roman" w:eastAsia="宋体" w:hAnsi="Times New Roman" w:cs="Times New Roman" w:hint="eastAsia"/>
          <w:snapToGrid/>
          <w:color w:val="auto"/>
          <w:kern w:val="2"/>
          <w:sz w:val="24"/>
          <w:szCs w:val="24"/>
          <w:lang w:eastAsia="zh-CN"/>
        </w:rPr>
        <w:t>154.29ind./h</w:t>
      </w:r>
      <w:r>
        <w:rPr>
          <w:rFonts w:ascii="Times New Roman" w:eastAsia="宋体" w:hAnsi="Times New Roman" w:cs="Times New Roman" w:hint="eastAsia"/>
          <w:snapToGrid/>
          <w:color w:val="auto"/>
          <w:kern w:val="2"/>
          <w:sz w:val="24"/>
          <w:szCs w:val="24"/>
          <w:lang w:eastAsia="zh-CN"/>
        </w:rPr>
        <w:t>（详见表</w:t>
      </w:r>
      <w:r>
        <w:rPr>
          <w:rFonts w:ascii="Times New Roman" w:eastAsia="宋体" w:hAnsi="Times New Roman" w:cs="Times New Roman" w:hint="eastAsia"/>
          <w:snapToGrid/>
          <w:color w:val="auto"/>
          <w:kern w:val="2"/>
          <w:sz w:val="24"/>
          <w:szCs w:val="24"/>
          <w:lang w:eastAsia="zh-CN"/>
        </w:rPr>
        <w:t>3.2.6-32</w:t>
      </w:r>
      <w:r>
        <w:rPr>
          <w:rFonts w:ascii="Times New Roman" w:eastAsia="宋体" w:hAnsi="Times New Roman" w:cs="Times New Roman" w:hint="eastAsia"/>
          <w:snapToGrid/>
          <w:color w:val="auto"/>
          <w:kern w:val="2"/>
          <w:sz w:val="24"/>
          <w:szCs w:val="24"/>
          <w:lang w:eastAsia="zh-CN"/>
        </w:rPr>
        <w:t>）。</w:t>
      </w:r>
    </w:p>
    <w:p w14:paraId="5137FB31" w14:textId="77777777" w:rsidR="0075791A" w:rsidRDefault="00FB2864">
      <w:pPr>
        <w:kinsoku/>
        <w:adjustRightInd/>
        <w:snapToGrid/>
        <w:spacing w:line="312"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lastRenderedPageBreak/>
        <w:t>项目区及附近海域目前甲壳类的资源密度约为</w:t>
      </w:r>
      <w:r>
        <w:rPr>
          <w:rFonts w:ascii="Times New Roman" w:eastAsia="宋体" w:hAnsi="Times New Roman" w:cs="Times New Roman" w:hint="eastAsia"/>
          <w:snapToGrid/>
          <w:color w:val="auto"/>
          <w:kern w:val="2"/>
          <w:sz w:val="24"/>
          <w:szCs w:val="24"/>
          <w:lang w:eastAsia="zh-CN"/>
        </w:rPr>
        <w:t>52.85kg/km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。资源密度最高出现于</w:t>
      </w:r>
      <w:r>
        <w:rPr>
          <w:rFonts w:ascii="Times New Roman" w:eastAsia="宋体" w:hAnsi="Times New Roman" w:cs="Times New Roman" w:hint="eastAsia"/>
          <w:snapToGrid/>
          <w:color w:val="auto"/>
          <w:kern w:val="2"/>
          <w:sz w:val="24"/>
          <w:szCs w:val="24"/>
          <w:lang w:eastAsia="zh-CN"/>
        </w:rPr>
        <w:t>H11</w:t>
      </w:r>
      <w:r>
        <w:rPr>
          <w:rFonts w:ascii="Times New Roman" w:eastAsia="宋体" w:hAnsi="Times New Roman" w:cs="Times New Roman" w:hint="eastAsia"/>
          <w:snapToGrid/>
          <w:color w:val="auto"/>
          <w:kern w:val="2"/>
          <w:sz w:val="24"/>
          <w:szCs w:val="24"/>
          <w:lang w:eastAsia="zh-CN"/>
        </w:rPr>
        <w:t>站，为</w:t>
      </w:r>
      <w:r>
        <w:rPr>
          <w:rFonts w:ascii="Times New Roman" w:eastAsia="宋体" w:hAnsi="Times New Roman" w:cs="Times New Roman" w:hint="eastAsia"/>
          <w:snapToGrid/>
          <w:color w:val="auto"/>
          <w:kern w:val="2"/>
          <w:sz w:val="24"/>
          <w:szCs w:val="24"/>
          <w:lang w:eastAsia="zh-CN"/>
        </w:rPr>
        <w:t>100.13kg/km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H2</w:t>
      </w:r>
      <w:r>
        <w:rPr>
          <w:rFonts w:ascii="Times New Roman" w:eastAsia="宋体" w:hAnsi="Times New Roman" w:cs="Times New Roman" w:hint="eastAsia"/>
          <w:snapToGrid/>
          <w:color w:val="auto"/>
          <w:kern w:val="2"/>
          <w:sz w:val="24"/>
          <w:szCs w:val="24"/>
          <w:lang w:eastAsia="zh-CN"/>
        </w:rPr>
        <w:t>站列第二位，为</w:t>
      </w:r>
      <w:r>
        <w:rPr>
          <w:rFonts w:ascii="Times New Roman" w:eastAsia="宋体" w:hAnsi="Times New Roman" w:cs="Times New Roman" w:hint="eastAsia"/>
          <w:snapToGrid/>
          <w:color w:val="auto"/>
          <w:kern w:val="2"/>
          <w:sz w:val="24"/>
          <w:szCs w:val="24"/>
          <w:lang w:eastAsia="zh-CN"/>
        </w:rPr>
        <w:t>64.50kg/km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。按个体计，甲壳类的个体资源密度为</w:t>
      </w:r>
      <w:r>
        <w:rPr>
          <w:rFonts w:ascii="Times New Roman" w:eastAsia="宋体" w:hAnsi="Times New Roman" w:cs="Times New Roman" w:hint="eastAsia"/>
          <w:snapToGrid/>
          <w:color w:val="auto"/>
          <w:kern w:val="2"/>
          <w:sz w:val="24"/>
          <w:szCs w:val="24"/>
          <w:lang w:eastAsia="zh-CN"/>
        </w:rPr>
        <w:t>5818.57ind./km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，以</w:t>
      </w:r>
      <w:r>
        <w:rPr>
          <w:rFonts w:ascii="Times New Roman" w:eastAsia="宋体" w:hAnsi="Times New Roman" w:cs="Times New Roman" w:hint="eastAsia"/>
          <w:snapToGrid/>
          <w:color w:val="auto"/>
          <w:kern w:val="2"/>
          <w:sz w:val="24"/>
          <w:szCs w:val="24"/>
          <w:lang w:eastAsia="zh-CN"/>
        </w:rPr>
        <w:t>H2</w:t>
      </w:r>
      <w:r>
        <w:rPr>
          <w:rFonts w:ascii="Times New Roman" w:eastAsia="宋体" w:hAnsi="Times New Roman" w:cs="Times New Roman" w:hint="eastAsia"/>
          <w:snapToGrid/>
          <w:color w:val="auto"/>
          <w:kern w:val="2"/>
          <w:sz w:val="24"/>
          <w:szCs w:val="24"/>
          <w:lang w:eastAsia="zh-CN"/>
        </w:rPr>
        <w:t>站占绝对优势，为</w:t>
      </w:r>
      <w:r>
        <w:rPr>
          <w:rFonts w:ascii="Times New Roman" w:eastAsia="宋体" w:hAnsi="Times New Roman" w:cs="Times New Roman" w:hint="eastAsia"/>
          <w:snapToGrid/>
          <w:color w:val="auto"/>
          <w:kern w:val="2"/>
          <w:sz w:val="24"/>
          <w:szCs w:val="24"/>
          <w:lang w:eastAsia="zh-CN"/>
        </w:rPr>
        <w:t>8293.54ind./km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H5</w:t>
      </w:r>
      <w:r>
        <w:rPr>
          <w:rFonts w:ascii="Times New Roman" w:eastAsia="宋体" w:hAnsi="Times New Roman" w:cs="Times New Roman" w:hint="eastAsia"/>
          <w:snapToGrid/>
          <w:color w:val="auto"/>
          <w:kern w:val="2"/>
          <w:sz w:val="24"/>
          <w:szCs w:val="24"/>
          <w:lang w:eastAsia="zh-CN"/>
        </w:rPr>
        <w:t>站列第二位，为</w:t>
      </w:r>
      <w:r>
        <w:rPr>
          <w:rFonts w:ascii="Times New Roman" w:eastAsia="宋体" w:hAnsi="Times New Roman" w:cs="Times New Roman" w:hint="eastAsia"/>
          <w:snapToGrid/>
          <w:color w:val="auto"/>
          <w:kern w:val="2"/>
          <w:sz w:val="24"/>
          <w:szCs w:val="24"/>
          <w:lang w:eastAsia="zh-CN"/>
        </w:rPr>
        <w:t>7934.06ind./km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（详见表</w:t>
      </w:r>
      <w:r>
        <w:rPr>
          <w:rFonts w:ascii="Times New Roman" w:eastAsia="宋体" w:hAnsi="Times New Roman" w:cs="Times New Roman" w:hint="eastAsia"/>
          <w:snapToGrid/>
          <w:color w:val="auto"/>
          <w:kern w:val="2"/>
          <w:sz w:val="24"/>
          <w:szCs w:val="24"/>
          <w:lang w:eastAsia="zh-CN"/>
        </w:rPr>
        <w:t xml:space="preserve"> </w:t>
      </w:r>
      <w:r>
        <w:rPr>
          <w:rFonts w:ascii="Times New Roman" w:eastAsia="宋体" w:hAnsi="Times New Roman" w:cs="Times New Roman" w:hint="eastAsia"/>
          <w:snapToGrid/>
          <w:color w:val="auto"/>
          <w:kern w:val="2"/>
          <w:sz w:val="24"/>
          <w:szCs w:val="24"/>
          <w:lang w:eastAsia="zh-CN"/>
        </w:rPr>
        <w:t>3.2.6-33</w:t>
      </w:r>
      <w:r>
        <w:rPr>
          <w:rFonts w:ascii="Times New Roman" w:eastAsia="宋体" w:hAnsi="Times New Roman" w:cs="Times New Roman" w:hint="eastAsia"/>
          <w:snapToGrid/>
          <w:color w:val="auto"/>
          <w:kern w:val="2"/>
          <w:sz w:val="24"/>
          <w:szCs w:val="24"/>
          <w:lang w:eastAsia="zh-CN"/>
        </w:rPr>
        <w:t>）。</w:t>
      </w:r>
    </w:p>
    <w:p w14:paraId="6BAC6A9A" w14:textId="77777777" w:rsidR="0075791A" w:rsidRDefault="00FB2864">
      <w:pPr>
        <w:pStyle w:val="a5"/>
        <w:tabs>
          <w:tab w:val="left" w:pos="1339"/>
        </w:tabs>
        <w:spacing w:before="25"/>
        <w:ind w:right="23"/>
        <w:jc w:val="center"/>
        <w:rPr>
          <w:color w:val="auto"/>
          <w:lang w:eastAsia="zh-CN"/>
        </w:rPr>
      </w:pPr>
      <w:r>
        <w:rPr>
          <w:color w:val="auto"/>
          <w:lang w:eastAsia="zh-CN"/>
        </w:rPr>
        <w:t>表</w:t>
      </w:r>
      <w:r>
        <w:rPr>
          <w:rFonts w:ascii="Times New Roman" w:eastAsia="宋体" w:hAnsi="Times New Roman" w:cs="Times New Roman" w:hint="eastAsia"/>
          <w:snapToGrid/>
          <w:color w:val="auto"/>
          <w:kern w:val="2"/>
          <w:sz w:val="24"/>
          <w:szCs w:val="24"/>
          <w:lang w:eastAsia="zh-CN"/>
        </w:rPr>
        <w:t>3.2.6-33</w:t>
      </w:r>
      <w:r>
        <w:rPr>
          <w:rFonts w:ascii="Times New Roman" w:eastAsia="Times New Roman" w:hAnsi="Times New Roman" w:cs="Times New Roman"/>
          <w:color w:val="auto"/>
          <w:lang w:eastAsia="zh-CN"/>
        </w:rPr>
        <w:tab/>
        <w:t xml:space="preserve">2024 </w:t>
      </w:r>
      <w:r>
        <w:rPr>
          <w:color w:val="auto"/>
          <w:lang w:eastAsia="zh-CN"/>
        </w:rPr>
        <w:t>年</w:t>
      </w:r>
      <w:r>
        <w:rPr>
          <w:color w:val="auto"/>
          <w:spacing w:val="-60"/>
          <w:lang w:eastAsia="zh-CN"/>
        </w:rPr>
        <w:t xml:space="preserve"> </w:t>
      </w:r>
      <w:r>
        <w:rPr>
          <w:rFonts w:ascii="Times New Roman" w:eastAsia="Times New Roman" w:hAnsi="Times New Roman" w:cs="Times New Roman"/>
          <w:color w:val="auto"/>
          <w:lang w:eastAsia="zh-CN"/>
        </w:rPr>
        <w:t xml:space="preserve">9 </w:t>
      </w:r>
      <w:r>
        <w:rPr>
          <w:color w:val="auto"/>
          <w:lang w:eastAsia="zh-CN"/>
        </w:rPr>
        <w:t>月航次调查海域甲壳类的渔获率和资源密度</w:t>
      </w:r>
    </w:p>
    <w:tbl>
      <w:tblPr>
        <w:tblW w:w="0" w:type="auto"/>
        <w:tblInd w:w="108" w:type="dxa"/>
        <w:tblLayout w:type="fixed"/>
        <w:tblCellMar>
          <w:left w:w="0" w:type="dxa"/>
          <w:right w:w="0" w:type="dxa"/>
        </w:tblCellMar>
        <w:tblLook w:val="04A0" w:firstRow="1" w:lastRow="0" w:firstColumn="1" w:lastColumn="0" w:noHBand="0" w:noVBand="1"/>
      </w:tblPr>
      <w:tblGrid>
        <w:gridCol w:w="1220"/>
        <w:gridCol w:w="772"/>
        <w:gridCol w:w="1732"/>
        <w:gridCol w:w="1732"/>
        <w:gridCol w:w="1732"/>
        <w:gridCol w:w="1730"/>
      </w:tblGrid>
      <w:tr w:rsidR="0075791A" w14:paraId="16CEEF98" w14:textId="77777777">
        <w:trPr>
          <w:trHeight w:hRule="exact" w:val="245"/>
        </w:trPr>
        <w:tc>
          <w:tcPr>
            <w:tcW w:w="1220" w:type="dxa"/>
            <w:vMerge w:val="restart"/>
            <w:tcBorders>
              <w:top w:val="single" w:sz="4" w:space="0" w:color="000000"/>
              <w:left w:val="single" w:sz="4" w:space="0" w:color="000000"/>
              <w:right w:val="single" w:sz="4" w:space="0" w:color="000000"/>
            </w:tcBorders>
            <w:vAlign w:val="center"/>
          </w:tcPr>
          <w:p w14:paraId="5082940D" w14:textId="77777777" w:rsidR="0075791A" w:rsidRDefault="00FB2864">
            <w:pPr>
              <w:pStyle w:val="TableParagraph"/>
              <w:ind w:left="184"/>
              <w:rPr>
                <w:rFonts w:ascii="宋体" w:eastAsia="宋体" w:hAnsi="宋体" w:cs="宋体"/>
                <w:color w:val="auto"/>
              </w:rPr>
            </w:pPr>
            <w:r>
              <w:rPr>
                <w:rFonts w:ascii="宋体" w:eastAsia="宋体" w:hAnsi="宋体" w:cs="宋体"/>
                <w:color w:val="auto"/>
                <w:spacing w:val="-1"/>
              </w:rPr>
              <w:t>作</w:t>
            </w:r>
            <w:r>
              <w:rPr>
                <w:rFonts w:ascii="宋体" w:eastAsia="宋体" w:hAnsi="宋体" w:cs="宋体"/>
                <w:color w:val="auto"/>
                <w:spacing w:val="2"/>
              </w:rPr>
              <w:t>业</w:t>
            </w:r>
            <w:r>
              <w:rPr>
                <w:rFonts w:ascii="宋体" w:eastAsia="宋体" w:hAnsi="宋体" w:cs="宋体"/>
                <w:color w:val="auto"/>
                <w:spacing w:val="-1"/>
              </w:rPr>
              <w:t>方</w:t>
            </w:r>
            <w:r>
              <w:rPr>
                <w:rFonts w:ascii="宋体" w:eastAsia="宋体" w:hAnsi="宋体" w:cs="宋体"/>
                <w:color w:val="auto"/>
              </w:rPr>
              <w:t>式</w:t>
            </w:r>
          </w:p>
        </w:tc>
        <w:tc>
          <w:tcPr>
            <w:tcW w:w="772" w:type="dxa"/>
            <w:vMerge w:val="restart"/>
            <w:tcBorders>
              <w:top w:val="single" w:sz="4" w:space="0" w:color="000000"/>
              <w:left w:val="single" w:sz="4" w:space="0" w:color="000000"/>
              <w:right w:val="single" w:sz="4" w:space="0" w:color="000000"/>
            </w:tcBorders>
            <w:vAlign w:val="center"/>
          </w:tcPr>
          <w:p w14:paraId="3C76852C" w14:textId="77777777" w:rsidR="0075791A" w:rsidRDefault="00FB2864">
            <w:pPr>
              <w:pStyle w:val="TableParagraph"/>
              <w:ind w:left="171"/>
              <w:rPr>
                <w:rFonts w:ascii="宋体" w:eastAsia="宋体" w:hAnsi="宋体" w:cs="宋体"/>
                <w:color w:val="auto"/>
              </w:rPr>
            </w:pPr>
            <w:r>
              <w:rPr>
                <w:rFonts w:ascii="宋体" w:eastAsia="宋体" w:hAnsi="宋体" w:cs="宋体"/>
                <w:color w:val="auto"/>
                <w:spacing w:val="-1"/>
              </w:rPr>
              <w:t>站</w:t>
            </w:r>
            <w:r>
              <w:rPr>
                <w:rFonts w:ascii="宋体" w:eastAsia="宋体" w:hAnsi="宋体" w:cs="宋体"/>
                <w:color w:val="auto"/>
              </w:rPr>
              <w:t>位</w:t>
            </w:r>
          </w:p>
        </w:tc>
        <w:tc>
          <w:tcPr>
            <w:tcW w:w="3464" w:type="dxa"/>
            <w:gridSpan w:val="2"/>
            <w:tcBorders>
              <w:top w:val="single" w:sz="4" w:space="0" w:color="000000"/>
              <w:left w:val="single" w:sz="4" w:space="0" w:color="000000"/>
              <w:bottom w:val="single" w:sz="4" w:space="0" w:color="000000"/>
              <w:right w:val="single" w:sz="4" w:space="0" w:color="000000"/>
            </w:tcBorders>
            <w:vAlign w:val="center"/>
          </w:tcPr>
          <w:p w14:paraId="29DFC9A5" w14:textId="77777777" w:rsidR="0075791A" w:rsidRDefault="00FB2864">
            <w:pPr>
              <w:pStyle w:val="TableParagraph"/>
              <w:spacing w:line="265" w:lineRule="exact"/>
              <w:ind w:left="1393" w:right="1392"/>
              <w:jc w:val="center"/>
              <w:rPr>
                <w:rFonts w:ascii="宋体" w:eastAsia="宋体" w:hAnsi="宋体" w:cs="宋体"/>
                <w:color w:val="auto"/>
              </w:rPr>
            </w:pPr>
            <w:r>
              <w:rPr>
                <w:rFonts w:ascii="宋体" w:eastAsia="宋体" w:hAnsi="宋体" w:cs="宋体"/>
                <w:color w:val="auto"/>
                <w:spacing w:val="-1"/>
              </w:rPr>
              <w:t>渔</w:t>
            </w:r>
            <w:r>
              <w:rPr>
                <w:rFonts w:ascii="宋体" w:eastAsia="宋体" w:hAnsi="宋体" w:cs="宋体"/>
                <w:color w:val="auto"/>
                <w:spacing w:val="2"/>
              </w:rPr>
              <w:t>获</w:t>
            </w:r>
            <w:r>
              <w:rPr>
                <w:rFonts w:ascii="宋体" w:eastAsia="宋体" w:hAnsi="宋体" w:cs="宋体"/>
                <w:color w:val="auto"/>
              </w:rPr>
              <w:t>率</w:t>
            </w:r>
          </w:p>
        </w:tc>
        <w:tc>
          <w:tcPr>
            <w:tcW w:w="3462" w:type="dxa"/>
            <w:gridSpan w:val="2"/>
            <w:tcBorders>
              <w:top w:val="single" w:sz="4" w:space="0" w:color="000000"/>
              <w:left w:val="single" w:sz="4" w:space="0" w:color="000000"/>
              <w:bottom w:val="single" w:sz="4" w:space="0" w:color="000000"/>
              <w:right w:val="single" w:sz="4" w:space="0" w:color="000000"/>
            </w:tcBorders>
            <w:vAlign w:val="center"/>
          </w:tcPr>
          <w:p w14:paraId="09477E8F" w14:textId="77777777" w:rsidR="0075791A" w:rsidRDefault="00FB2864">
            <w:pPr>
              <w:pStyle w:val="TableParagraph"/>
              <w:spacing w:line="265" w:lineRule="exact"/>
              <w:ind w:left="1286" w:right="1287"/>
              <w:jc w:val="center"/>
              <w:rPr>
                <w:rFonts w:ascii="宋体" w:eastAsia="宋体" w:hAnsi="宋体" w:cs="宋体"/>
                <w:color w:val="auto"/>
              </w:rPr>
            </w:pPr>
            <w:r>
              <w:rPr>
                <w:rFonts w:ascii="宋体" w:eastAsia="宋体" w:hAnsi="宋体" w:cs="宋体"/>
                <w:color w:val="auto"/>
                <w:spacing w:val="-1"/>
              </w:rPr>
              <w:t>资</w:t>
            </w:r>
            <w:r>
              <w:rPr>
                <w:rFonts w:ascii="宋体" w:eastAsia="宋体" w:hAnsi="宋体" w:cs="宋体"/>
                <w:color w:val="auto"/>
                <w:spacing w:val="2"/>
              </w:rPr>
              <w:t>源</w:t>
            </w:r>
            <w:r>
              <w:rPr>
                <w:rFonts w:ascii="宋体" w:eastAsia="宋体" w:hAnsi="宋体" w:cs="宋体"/>
                <w:color w:val="auto"/>
                <w:spacing w:val="-1"/>
              </w:rPr>
              <w:t>密</w:t>
            </w:r>
            <w:r>
              <w:rPr>
                <w:rFonts w:ascii="宋体" w:eastAsia="宋体" w:hAnsi="宋体" w:cs="宋体"/>
                <w:color w:val="auto"/>
              </w:rPr>
              <w:t>度</w:t>
            </w:r>
          </w:p>
        </w:tc>
      </w:tr>
      <w:tr w:rsidR="0075791A" w14:paraId="37932838" w14:textId="77777777">
        <w:trPr>
          <w:trHeight w:hRule="exact" w:val="505"/>
        </w:trPr>
        <w:tc>
          <w:tcPr>
            <w:tcW w:w="1220" w:type="dxa"/>
            <w:vMerge/>
            <w:tcBorders>
              <w:left w:val="single" w:sz="4" w:space="0" w:color="000000"/>
              <w:bottom w:val="single" w:sz="4" w:space="0" w:color="000000"/>
              <w:right w:val="single" w:sz="4" w:space="0" w:color="000000"/>
            </w:tcBorders>
            <w:vAlign w:val="center"/>
          </w:tcPr>
          <w:p w14:paraId="1BCA642D" w14:textId="77777777" w:rsidR="0075791A" w:rsidRDefault="0075791A">
            <w:pPr>
              <w:rPr>
                <w:color w:val="auto"/>
              </w:rPr>
            </w:pPr>
          </w:p>
        </w:tc>
        <w:tc>
          <w:tcPr>
            <w:tcW w:w="772" w:type="dxa"/>
            <w:vMerge/>
            <w:tcBorders>
              <w:left w:val="single" w:sz="4" w:space="0" w:color="000000"/>
              <w:bottom w:val="single" w:sz="4" w:space="0" w:color="000000"/>
              <w:right w:val="single" w:sz="4" w:space="0" w:color="000000"/>
            </w:tcBorders>
            <w:vAlign w:val="center"/>
          </w:tcPr>
          <w:p w14:paraId="3E71D08A" w14:textId="77777777" w:rsidR="0075791A" w:rsidRDefault="0075791A">
            <w:pPr>
              <w:rPr>
                <w:color w:val="auto"/>
              </w:rPr>
            </w:pPr>
          </w:p>
        </w:tc>
        <w:tc>
          <w:tcPr>
            <w:tcW w:w="1732" w:type="dxa"/>
            <w:tcBorders>
              <w:top w:val="single" w:sz="4" w:space="0" w:color="000000"/>
              <w:left w:val="single" w:sz="4" w:space="0" w:color="000000"/>
              <w:bottom w:val="single" w:sz="4" w:space="0" w:color="000000"/>
              <w:right w:val="single" w:sz="4" w:space="0" w:color="000000"/>
            </w:tcBorders>
            <w:vAlign w:val="center"/>
          </w:tcPr>
          <w:p w14:paraId="2F5A0ED5" w14:textId="77777777" w:rsidR="0075791A" w:rsidRDefault="00FB2864">
            <w:pPr>
              <w:pStyle w:val="TableParagraph"/>
              <w:spacing w:line="266" w:lineRule="exact"/>
              <w:ind w:left="314" w:right="316"/>
              <w:jc w:val="center"/>
              <w:rPr>
                <w:rFonts w:ascii="宋体" w:eastAsia="宋体" w:hAnsi="宋体" w:cs="宋体"/>
                <w:color w:val="auto"/>
                <w:lang w:eastAsia="zh-CN"/>
              </w:rPr>
            </w:pPr>
            <w:r>
              <w:rPr>
                <w:rFonts w:ascii="宋体" w:eastAsia="宋体" w:hAnsi="宋体" w:cs="宋体"/>
                <w:color w:val="auto"/>
                <w:spacing w:val="-1"/>
                <w:lang w:eastAsia="zh-CN"/>
              </w:rPr>
              <w:t>重</w:t>
            </w:r>
            <w:r>
              <w:rPr>
                <w:rFonts w:ascii="宋体" w:eastAsia="宋体" w:hAnsi="宋体" w:cs="宋体"/>
                <w:color w:val="auto"/>
                <w:spacing w:val="2"/>
                <w:lang w:eastAsia="zh-CN"/>
              </w:rPr>
              <w:t>量</w:t>
            </w:r>
            <w:r>
              <w:rPr>
                <w:rFonts w:ascii="宋体" w:eastAsia="宋体" w:hAnsi="宋体" w:cs="宋体"/>
                <w:color w:val="auto"/>
                <w:spacing w:val="-1"/>
                <w:lang w:eastAsia="zh-CN"/>
              </w:rPr>
              <w:t>渔</w:t>
            </w:r>
            <w:r>
              <w:rPr>
                <w:rFonts w:ascii="宋体" w:eastAsia="宋体" w:hAnsi="宋体" w:cs="宋体"/>
                <w:color w:val="auto"/>
                <w:spacing w:val="2"/>
                <w:lang w:eastAsia="zh-CN"/>
              </w:rPr>
              <w:t>获</w:t>
            </w:r>
            <w:r>
              <w:rPr>
                <w:rFonts w:ascii="宋体" w:eastAsia="宋体" w:hAnsi="宋体" w:cs="宋体"/>
                <w:color w:val="auto"/>
                <w:lang w:eastAsia="zh-CN"/>
              </w:rPr>
              <w:t>率</w:t>
            </w:r>
            <w:r>
              <w:rPr>
                <w:rFonts w:ascii="宋体" w:eastAsia="宋体" w:hAnsi="宋体" w:cs="宋体"/>
                <w:color w:val="auto"/>
                <w:spacing w:val="-1"/>
                <w:lang w:eastAsia="zh-CN"/>
              </w:rPr>
              <w:t>（</w:t>
            </w:r>
            <w:r>
              <w:rPr>
                <w:rFonts w:ascii="Times New Roman" w:eastAsia="Times New Roman" w:hAnsi="Times New Roman" w:cs="Times New Roman"/>
                <w:color w:val="auto"/>
                <w:spacing w:val="-2"/>
                <w:lang w:eastAsia="zh-CN"/>
              </w:rPr>
              <w:t>kg</w:t>
            </w:r>
            <w:r>
              <w:rPr>
                <w:rFonts w:ascii="Times New Roman" w:eastAsia="Times New Roman" w:hAnsi="Times New Roman" w:cs="Times New Roman"/>
                <w:color w:val="auto"/>
                <w:spacing w:val="2"/>
                <w:lang w:eastAsia="zh-CN"/>
              </w:rPr>
              <w:t>/</w:t>
            </w:r>
            <w:r>
              <w:rPr>
                <w:rFonts w:ascii="Times New Roman" w:eastAsia="Times New Roman" w:hAnsi="Times New Roman" w:cs="Times New Roman"/>
                <w:color w:val="auto"/>
                <w:spacing w:val="1"/>
                <w:lang w:eastAsia="zh-CN"/>
              </w:rPr>
              <w:t>h</w:t>
            </w:r>
            <w:r>
              <w:rPr>
                <w:rFonts w:ascii="宋体" w:eastAsia="宋体" w:hAnsi="宋体" w:cs="宋体"/>
                <w:color w:val="auto"/>
                <w:lang w:eastAsia="zh-CN"/>
              </w:rPr>
              <w:t>）</w:t>
            </w:r>
          </w:p>
        </w:tc>
        <w:tc>
          <w:tcPr>
            <w:tcW w:w="1732" w:type="dxa"/>
            <w:tcBorders>
              <w:top w:val="single" w:sz="4" w:space="0" w:color="000000"/>
              <w:left w:val="single" w:sz="4" w:space="0" w:color="000000"/>
              <w:bottom w:val="single" w:sz="4" w:space="0" w:color="000000"/>
              <w:right w:val="single" w:sz="4" w:space="0" w:color="000000"/>
            </w:tcBorders>
            <w:vAlign w:val="center"/>
          </w:tcPr>
          <w:p w14:paraId="2CF7CCE8" w14:textId="77777777" w:rsidR="0075791A" w:rsidRDefault="00FB2864">
            <w:pPr>
              <w:pStyle w:val="TableParagraph"/>
              <w:spacing w:line="266" w:lineRule="exact"/>
              <w:ind w:left="336"/>
              <w:rPr>
                <w:rFonts w:ascii="宋体" w:eastAsia="宋体" w:hAnsi="宋体" w:cs="宋体"/>
                <w:color w:val="auto"/>
                <w:lang w:eastAsia="zh-CN"/>
              </w:rPr>
            </w:pPr>
            <w:r>
              <w:rPr>
                <w:rFonts w:ascii="宋体" w:eastAsia="宋体" w:hAnsi="宋体" w:cs="宋体"/>
                <w:color w:val="auto"/>
                <w:spacing w:val="-1"/>
                <w:lang w:eastAsia="zh-CN"/>
              </w:rPr>
              <w:t>个</w:t>
            </w:r>
            <w:r>
              <w:rPr>
                <w:rFonts w:ascii="宋体" w:eastAsia="宋体" w:hAnsi="宋体" w:cs="宋体"/>
                <w:color w:val="auto"/>
                <w:spacing w:val="2"/>
                <w:lang w:eastAsia="zh-CN"/>
              </w:rPr>
              <w:t>体</w:t>
            </w:r>
            <w:r>
              <w:rPr>
                <w:rFonts w:ascii="宋体" w:eastAsia="宋体" w:hAnsi="宋体" w:cs="宋体"/>
                <w:color w:val="auto"/>
                <w:spacing w:val="-1"/>
                <w:lang w:eastAsia="zh-CN"/>
              </w:rPr>
              <w:t>渔</w:t>
            </w:r>
            <w:r>
              <w:rPr>
                <w:rFonts w:ascii="宋体" w:eastAsia="宋体" w:hAnsi="宋体" w:cs="宋体"/>
                <w:color w:val="auto"/>
                <w:spacing w:val="2"/>
                <w:lang w:eastAsia="zh-CN"/>
              </w:rPr>
              <w:t>获</w:t>
            </w:r>
            <w:r>
              <w:rPr>
                <w:rFonts w:ascii="宋体" w:eastAsia="宋体" w:hAnsi="宋体" w:cs="宋体"/>
                <w:color w:val="auto"/>
                <w:lang w:eastAsia="zh-CN"/>
              </w:rPr>
              <w:t>率</w:t>
            </w:r>
          </w:p>
          <w:p w14:paraId="397CBDB8" w14:textId="77777777" w:rsidR="0075791A" w:rsidRDefault="00FB2864">
            <w:pPr>
              <w:pStyle w:val="TableParagraph"/>
              <w:spacing w:line="266" w:lineRule="exact"/>
              <w:ind w:left="336"/>
              <w:rPr>
                <w:rFonts w:ascii="宋体" w:eastAsia="宋体" w:hAnsi="宋体" w:cs="宋体"/>
                <w:color w:val="auto"/>
                <w:lang w:eastAsia="zh-CN"/>
              </w:rPr>
            </w:pPr>
            <w:r>
              <w:rPr>
                <w:rFonts w:ascii="宋体" w:eastAsia="宋体" w:hAnsi="宋体" w:cs="宋体"/>
                <w:color w:val="auto"/>
                <w:spacing w:val="2"/>
                <w:lang w:eastAsia="zh-CN"/>
              </w:rPr>
              <w:t>（</w:t>
            </w:r>
            <w:r>
              <w:rPr>
                <w:rFonts w:ascii="Times New Roman" w:eastAsia="Times New Roman" w:hAnsi="Times New Roman" w:cs="Times New Roman"/>
                <w:color w:val="auto"/>
                <w:spacing w:val="-1"/>
                <w:lang w:eastAsia="zh-CN"/>
              </w:rPr>
              <w:t>i</w:t>
            </w:r>
            <w:r>
              <w:rPr>
                <w:rFonts w:ascii="Times New Roman" w:eastAsia="Times New Roman" w:hAnsi="Times New Roman" w:cs="Times New Roman"/>
                <w:color w:val="auto"/>
                <w:spacing w:val="1"/>
                <w:lang w:eastAsia="zh-CN"/>
              </w:rPr>
              <w:t>nd</w:t>
            </w:r>
            <w:r>
              <w:rPr>
                <w:rFonts w:ascii="Times New Roman" w:eastAsia="Times New Roman" w:hAnsi="Times New Roman" w:cs="Times New Roman"/>
                <w:color w:val="auto"/>
                <w:spacing w:val="-1"/>
                <w:lang w:eastAsia="zh-CN"/>
              </w:rPr>
              <w:t>/</w:t>
            </w:r>
            <w:r>
              <w:rPr>
                <w:rFonts w:ascii="Times New Roman" w:eastAsia="Times New Roman" w:hAnsi="Times New Roman" w:cs="Times New Roman"/>
                <w:color w:val="auto"/>
                <w:spacing w:val="-2"/>
                <w:lang w:eastAsia="zh-CN"/>
              </w:rPr>
              <w:t>h</w:t>
            </w:r>
            <w:r>
              <w:rPr>
                <w:rFonts w:ascii="宋体" w:eastAsia="宋体" w:hAnsi="宋体" w:cs="宋体"/>
                <w:color w:val="auto"/>
                <w:lang w:eastAsia="zh-CN"/>
              </w:rPr>
              <w:t>）</w:t>
            </w:r>
          </w:p>
        </w:tc>
        <w:tc>
          <w:tcPr>
            <w:tcW w:w="1732" w:type="dxa"/>
            <w:tcBorders>
              <w:top w:val="single" w:sz="4" w:space="0" w:color="000000"/>
              <w:left w:val="single" w:sz="4" w:space="0" w:color="000000"/>
              <w:bottom w:val="single" w:sz="4" w:space="0" w:color="000000"/>
              <w:right w:val="single" w:sz="4" w:space="0" w:color="000000"/>
            </w:tcBorders>
            <w:vAlign w:val="center"/>
          </w:tcPr>
          <w:p w14:paraId="018702BB" w14:textId="77777777" w:rsidR="0075791A" w:rsidRDefault="00FB2864">
            <w:pPr>
              <w:pStyle w:val="TableParagraph"/>
              <w:spacing w:line="266" w:lineRule="exact"/>
              <w:ind w:left="210" w:right="211"/>
              <w:jc w:val="center"/>
              <w:rPr>
                <w:rFonts w:ascii="宋体" w:eastAsia="宋体" w:hAnsi="宋体" w:cs="宋体"/>
                <w:color w:val="auto"/>
              </w:rPr>
            </w:pPr>
            <w:r>
              <w:rPr>
                <w:rFonts w:ascii="宋体" w:eastAsia="宋体" w:hAnsi="宋体" w:cs="宋体"/>
                <w:color w:val="auto"/>
                <w:spacing w:val="-1"/>
              </w:rPr>
              <w:t>重</w:t>
            </w:r>
            <w:r>
              <w:rPr>
                <w:rFonts w:ascii="宋体" w:eastAsia="宋体" w:hAnsi="宋体" w:cs="宋体"/>
                <w:color w:val="auto"/>
                <w:spacing w:val="2"/>
              </w:rPr>
              <w:t>量</w:t>
            </w:r>
            <w:r>
              <w:rPr>
                <w:rFonts w:ascii="宋体" w:eastAsia="宋体" w:hAnsi="宋体" w:cs="宋体"/>
                <w:color w:val="auto"/>
                <w:spacing w:val="-1"/>
              </w:rPr>
              <w:t>资</w:t>
            </w:r>
            <w:r>
              <w:rPr>
                <w:rFonts w:ascii="宋体" w:eastAsia="宋体" w:hAnsi="宋体" w:cs="宋体"/>
                <w:color w:val="auto"/>
                <w:spacing w:val="2"/>
              </w:rPr>
              <w:t>源</w:t>
            </w:r>
            <w:r>
              <w:rPr>
                <w:rFonts w:ascii="宋体" w:eastAsia="宋体" w:hAnsi="宋体" w:cs="宋体"/>
                <w:color w:val="auto"/>
                <w:spacing w:val="-1"/>
              </w:rPr>
              <w:t>密</w:t>
            </w:r>
            <w:r>
              <w:rPr>
                <w:rFonts w:ascii="宋体" w:eastAsia="宋体" w:hAnsi="宋体" w:cs="宋体"/>
                <w:color w:val="auto"/>
              </w:rPr>
              <w:t>度</w:t>
            </w:r>
            <w:r>
              <w:rPr>
                <w:rFonts w:ascii="宋体" w:eastAsia="宋体" w:hAnsi="宋体" w:cs="宋体"/>
                <w:color w:val="auto"/>
                <w:spacing w:val="-1"/>
              </w:rPr>
              <w:t>（</w:t>
            </w:r>
            <w:r>
              <w:rPr>
                <w:rFonts w:ascii="Times New Roman" w:eastAsia="Times New Roman" w:hAnsi="Times New Roman" w:cs="Times New Roman"/>
                <w:color w:val="auto"/>
                <w:spacing w:val="-2"/>
              </w:rPr>
              <w:t>kg</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k</w:t>
            </w:r>
            <w:r>
              <w:rPr>
                <w:rFonts w:ascii="Times New Roman" w:eastAsia="Times New Roman" w:hAnsi="Times New Roman" w:cs="Times New Roman"/>
                <w:color w:val="auto"/>
              </w:rPr>
              <w:t>m</w:t>
            </w:r>
            <w:r>
              <w:rPr>
                <w:rFonts w:ascii="Times New Roman" w:eastAsia="Times New Roman" w:hAnsi="Times New Roman" w:cs="Times New Roman"/>
                <w:color w:val="auto"/>
                <w:position w:val="7"/>
                <w:sz w:val="13"/>
                <w:szCs w:val="13"/>
              </w:rPr>
              <w:t>2</w:t>
            </w:r>
            <w:r>
              <w:rPr>
                <w:rFonts w:ascii="宋体" w:eastAsia="宋体" w:hAnsi="宋体" w:cs="宋体"/>
                <w:color w:val="auto"/>
              </w:rPr>
              <w:t>）</w:t>
            </w:r>
          </w:p>
        </w:tc>
        <w:tc>
          <w:tcPr>
            <w:tcW w:w="1730" w:type="dxa"/>
            <w:tcBorders>
              <w:top w:val="single" w:sz="4" w:space="0" w:color="000000"/>
              <w:left w:val="single" w:sz="4" w:space="0" w:color="000000"/>
              <w:bottom w:val="single" w:sz="4" w:space="0" w:color="000000"/>
              <w:right w:val="single" w:sz="4" w:space="0" w:color="000000"/>
            </w:tcBorders>
            <w:vAlign w:val="center"/>
          </w:tcPr>
          <w:p w14:paraId="33806CF7" w14:textId="77777777" w:rsidR="0075791A" w:rsidRDefault="00FB2864">
            <w:pPr>
              <w:pStyle w:val="TableParagraph"/>
              <w:spacing w:line="266" w:lineRule="exact"/>
              <w:ind w:left="230"/>
              <w:rPr>
                <w:rFonts w:ascii="宋体" w:eastAsia="宋体" w:hAnsi="宋体" w:cs="宋体"/>
                <w:color w:val="auto"/>
              </w:rPr>
            </w:pPr>
            <w:r>
              <w:rPr>
                <w:rFonts w:ascii="宋体" w:eastAsia="宋体" w:hAnsi="宋体" w:cs="宋体"/>
                <w:color w:val="auto"/>
                <w:spacing w:val="-1"/>
              </w:rPr>
              <w:t>个</w:t>
            </w:r>
            <w:r>
              <w:rPr>
                <w:rFonts w:ascii="宋体" w:eastAsia="宋体" w:hAnsi="宋体" w:cs="宋体"/>
                <w:color w:val="auto"/>
                <w:spacing w:val="2"/>
              </w:rPr>
              <w:t>体</w:t>
            </w:r>
            <w:r>
              <w:rPr>
                <w:rFonts w:ascii="宋体" w:eastAsia="宋体" w:hAnsi="宋体" w:cs="宋体"/>
                <w:color w:val="auto"/>
                <w:spacing w:val="-1"/>
              </w:rPr>
              <w:t>资</w:t>
            </w:r>
            <w:r>
              <w:rPr>
                <w:rFonts w:ascii="宋体" w:eastAsia="宋体" w:hAnsi="宋体" w:cs="宋体"/>
                <w:color w:val="auto"/>
                <w:spacing w:val="2"/>
              </w:rPr>
              <w:t>源</w:t>
            </w:r>
            <w:r>
              <w:rPr>
                <w:rFonts w:ascii="宋体" w:eastAsia="宋体" w:hAnsi="宋体" w:cs="宋体"/>
                <w:color w:val="auto"/>
                <w:spacing w:val="-1"/>
              </w:rPr>
              <w:t>密</w:t>
            </w:r>
            <w:r>
              <w:rPr>
                <w:rFonts w:ascii="宋体" w:eastAsia="宋体" w:hAnsi="宋体" w:cs="宋体"/>
                <w:color w:val="auto"/>
              </w:rPr>
              <w:t>度</w:t>
            </w:r>
          </w:p>
          <w:p w14:paraId="60E11FF0" w14:textId="77777777" w:rsidR="0075791A" w:rsidRDefault="00FB2864">
            <w:pPr>
              <w:pStyle w:val="TableParagraph"/>
              <w:spacing w:line="266" w:lineRule="exact"/>
              <w:ind w:left="230"/>
              <w:rPr>
                <w:rFonts w:ascii="宋体" w:eastAsia="宋体" w:hAnsi="宋体" w:cs="宋体"/>
                <w:color w:val="auto"/>
              </w:rPr>
            </w:pPr>
            <w:r>
              <w:rPr>
                <w:rFonts w:ascii="宋体" w:eastAsia="宋体" w:hAnsi="宋体" w:cs="宋体"/>
                <w:color w:val="auto"/>
                <w:spacing w:val="-1"/>
              </w:rPr>
              <w:t>（</w:t>
            </w:r>
            <w:r>
              <w:rPr>
                <w:rFonts w:ascii="Times New Roman" w:eastAsia="Times New Roman" w:hAnsi="Times New Roman" w:cs="Times New Roman"/>
                <w:color w:val="auto"/>
                <w:spacing w:val="-1"/>
              </w:rPr>
              <w:t>i</w:t>
            </w:r>
            <w:r>
              <w:rPr>
                <w:rFonts w:ascii="Times New Roman" w:eastAsia="Times New Roman" w:hAnsi="Times New Roman" w:cs="Times New Roman"/>
                <w:color w:val="auto"/>
                <w:spacing w:val="1"/>
              </w:rPr>
              <w:t>nd</w:t>
            </w:r>
            <w:r>
              <w:rPr>
                <w:rFonts w:ascii="Times New Roman" w:eastAsia="Times New Roman" w:hAnsi="Times New Roman" w:cs="Times New Roman"/>
                <w:color w:val="auto"/>
                <w:spacing w:val="-1"/>
              </w:rPr>
              <w:t>/</w:t>
            </w:r>
            <w:r>
              <w:rPr>
                <w:rFonts w:ascii="Times New Roman" w:eastAsia="Times New Roman" w:hAnsi="Times New Roman" w:cs="Times New Roman"/>
                <w:color w:val="auto"/>
                <w:spacing w:val="-2"/>
              </w:rPr>
              <w:t>k</w:t>
            </w:r>
            <w:r>
              <w:rPr>
                <w:rFonts w:ascii="Times New Roman" w:eastAsia="Times New Roman" w:hAnsi="Times New Roman" w:cs="Times New Roman"/>
                <w:color w:val="auto"/>
                <w:spacing w:val="3"/>
              </w:rPr>
              <w:t>m</w:t>
            </w:r>
            <w:r>
              <w:rPr>
                <w:rFonts w:ascii="Times New Roman" w:eastAsia="Times New Roman" w:hAnsi="Times New Roman" w:cs="Times New Roman"/>
                <w:color w:val="auto"/>
                <w:spacing w:val="-2"/>
                <w:position w:val="7"/>
                <w:sz w:val="13"/>
                <w:szCs w:val="13"/>
              </w:rPr>
              <w:t>2</w:t>
            </w:r>
            <w:r>
              <w:rPr>
                <w:rFonts w:ascii="宋体" w:eastAsia="宋体" w:hAnsi="宋体" w:cs="宋体"/>
                <w:color w:val="auto"/>
              </w:rPr>
              <w:t>）</w:t>
            </w:r>
          </w:p>
        </w:tc>
      </w:tr>
      <w:tr w:rsidR="0075791A" w14:paraId="7139E5E8" w14:textId="77777777">
        <w:trPr>
          <w:trHeight w:hRule="exact" w:val="283"/>
        </w:trPr>
        <w:tc>
          <w:tcPr>
            <w:tcW w:w="1220" w:type="dxa"/>
            <w:vMerge w:val="restart"/>
            <w:tcBorders>
              <w:top w:val="single" w:sz="4" w:space="0" w:color="000000"/>
              <w:left w:val="single" w:sz="4" w:space="0" w:color="000000"/>
              <w:right w:val="single" w:sz="4" w:space="0" w:color="000000"/>
            </w:tcBorders>
            <w:vAlign w:val="center"/>
          </w:tcPr>
          <w:p w14:paraId="237ACF67" w14:textId="77777777" w:rsidR="0075791A" w:rsidRDefault="00FB2864">
            <w:pPr>
              <w:pStyle w:val="TableParagraph"/>
              <w:ind w:left="395"/>
              <w:rPr>
                <w:rFonts w:ascii="宋体" w:eastAsia="宋体" w:hAnsi="宋体" w:cs="宋体"/>
                <w:color w:val="auto"/>
              </w:rPr>
            </w:pPr>
            <w:r>
              <w:rPr>
                <w:rFonts w:ascii="宋体" w:eastAsia="宋体" w:hAnsi="宋体" w:cs="宋体"/>
                <w:color w:val="auto"/>
                <w:spacing w:val="-1"/>
              </w:rPr>
              <w:t>拖</w:t>
            </w:r>
            <w:r>
              <w:rPr>
                <w:rFonts w:ascii="宋体" w:eastAsia="宋体" w:hAnsi="宋体" w:cs="宋体"/>
                <w:color w:val="auto"/>
              </w:rPr>
              <w:t>网</w:t>
            </w:r>
          </w:p>
        </w:tc>
        <w:tc>
          <w:tcPr>
            <w:tcW w:w="772" w:type="dxa"/>
            <w:tcBorders>
              <w:top w:val="single" w:sz="4" w:space="0" w:color="000000"/>
              <w:left w:val="single" w:sz="4" w:space="0" w:color="000000"/>
              <w:bottom w:val="single" w:sz="4" w:space="0" w:color="000000"/>
              <w:right w:val="single" w:sz="4" w:space="0" w:color="000000"/>
            </w:tcBorders>
            <w:vAlign w:val="center"/>
          </w:tcPr>
          <w:p w14:paraId="39735AD7" w14:textId="77777777" w:rsidR="0075791A" w:rsidRDefault="00FB2864">
            <w:pPr>
              <w:pStyle w:val="TableParagraph"/>
              <w:spacing w:before="33"/>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2</w:t>
            </w:r>
          </w:p>
        </w:tc>
        <w:tc>
          <w:tcPr>
            <w:tcW w:w="1732" w:type="dxa"/>
            <w:tcBorders>
              <w:top w:val="single" w:sz="4" w:space="0" w:color="000000"/>
              <w:left w:val="single" w:sz="4" w:space="0" w:color="000000"/>
              <w:bottom w:val="single" w:sz="4" w:space="0" w:color="000000"/>
              <w:right w:val="single" w:sz="4" w:space="0" w:color="000000"/>
            </w:tcBorders>
            <w:vAlign w:val="center"/>
          </w:tcPr>
          <w:p w14:paraId="1970BB55" w14:textId="77777777" w:rsidR="0075791A" w:rsidRDefault="00FB2864">
            <w:pPr>
              <w:pStyle w:val="TableParagraph"/>
              <w:spacing w:before="40"/>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0</w:t>
            </w:r>
          </w:p>
        </w:tc>
        <w:tc>
          <w:tcPr>
            <w:tcW w:w="1732" w:type="dxa"/>
            <w:tcBorders>
              <w:top w:val="single" w:sz="4" w:space="0" w:color="000000"/>
              <w:left w:val="single" w:sz="4" w:space="0" w:color="000000"/>
              <w:bottom w:val="single" w:sz="4" w:space="0" w:color="000000"/>
              <w:right w:val="single" w:sz="4" w:space="0" w:color="000000"/>
            </w:tcBorders>
            <w:vAlign w:val="center"/>
          </w:tcPr>
          <w:p w14:paraId="14CF5B76" w14:textId="77777777" w:rsidR="0075791A" w:rsidRDefault="00FB2864">
            <w:pPr>
              <w:pStyle w:val="TableParagraph"/>
              <w:spacing w:before="40"/>
              <w:ind w:left="571"/>
              <w:rPr>
                <w:rFonts w:ascii="Times New Roman" w:eastAsia="Times New Roman" w:hAnsi="Times New Roman" w:cs="Times New Roman"/>
                <w:color w:val="auto"/>
              </w:rPr>
            </w:pPr>
            <w:r>
              <w:rPr>
                <w:rFonts w:ascii="Times New Roman" w:eastAsia="Times New Roman" w:hAnsi="Times New Roman" w:cs="Times New Roman"/>
                <w:color w:val="auto"/>
                <w:spacing w:val="1"/>
              </w:rPr>
              <w:t>167</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7</w:t>
            </w:r>
            <w:r>
              <w:rPr>
                <w:rFonts w:ascii="Times New Roman" w:eastAsia="Times New Roman" w:hAnsi="Times New Roman" w:cs="Times New Roman"/>
                <w:color w:val="auto"/>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71F47E74" w14:textId="77777777" w:rsidR="0075791A" w:rsidRDefault="00FB2864">
            <w:pPr>
              <w:pStyle w:val="TableParagraph"/>
              <w:spacing w:before="40"/>
              <w:ind w:left="604" w:right="605"/>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64</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0</w:t>
            </w:r>
          </w:p>
        </w:tc>
        <w:tc>
          <w:tcPr>
            <w:tcW w:w="1730" w:type="dxa"/>
            <w:tcBorders>
              <w:top w:val="single" w:sz="4" w:space="0" w:color="000000"/>
              <w:left w:val="single" w:sz="4" w:space="0" w:color="000000"/>
              <w:bottom w:val="single" w:sz="4" w:space="0" w:color="000000"/>
              <w:right w:val="single" w:sz="4" w:space="0" w:color="000000"/>
            </w:tcBorders>
            <w:vAlign w:val="center"/>
          </w:tcPr>
          <w:p w14:paraId="4BA41802" w14:textId="77777777" w:rsidR="0075791A" w:rsidRDefault="00FB2864">
            <w:pPr>
              <w:pStyle w:val="TableParagraph"/>
              <w:spacing w:before="40"/>
              <w:ind w:left="518"/>
              <w:rPr>
                <w:rFonts w:ascii="Times New Roman" w:eastAsia="Times New Roman" w:hAnsi="Times New Roman" w:cs="Times New Roman"/>
                <w:color w:val="auto"/>
              </w:rPr>
            </w:pPr>
            <w:r>
              <w:rPr>
                <w:rFonts w:ascii="Times New Roman" w:eastAsia="Times New Roman" w:hAnsi="Times New Roman" w:cs="Times New Roman"/>
                <w:color w:val="auto"/>
                <w:spacing w:val="1"/>
              </w:rPr>
              <w:t>829</w:t>
            </w:r>
            <w:r>
              <w:rPr>
                <w:rFonts w:ascii="Times New Roman" w:eastAsia="Times New Roman" w:hAnsi="Times New Roman" w:cs="Times New Roman"/>
                <w:color w:val="auto"/>
                <w:spacing w:val="-2"/>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4</w:t>
            </w:r>
          </w:p>
        </w:tc>
      </w:tr>
      <w:tr w:rsidR="0075791A" w14:paraId="3CDE60D7" w14:textId="77777777">
        <w:trPr>
          <w:trHeight w:hRule="exact" w:val="283"/>
        </w:trPr>
        <w:tc>
          <w:tcPr>
            <w:tcW w:w="1220" w:type="dxa"/>
            <w:vMerge/>
            <w:tcBorders>
              <w:left w:val="single" w:sz="4" w:space="0" w:color="000000"/>
              <w:right w:val="single" w:sz="4" w:space="0" w:color="000000"/>
            </w:tcBorders>
            <w:vAlign w:val="center"/>
          </w:tcPr>
          <w:p w14:paraId="5535E5AC"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0FB8E302" w14:textId="77777777" w:rsidR="0075791A" w:rsidRDefault="00FB2864">
            <w:pPr>
              <w:pStyle w:val="TableParagraph"/>
              <w:spacing w:before="35"/>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5</w:t>
            </w:r>
          </w:p>
        </w:tc>
        <w:tc>
          <w:tcPr>
            <w:tcW w:w="1732" w:type="dxa"/>
            <w:tcBorders>
              <w:top w:val="single" w:sz="4" w:space="0" w:color="000000"/>
              <w:left w:val="single" w:sz="4" w:space="0" w:color="000000"/>
              <w:bottom w:val="single" w:sz="4" w:space="0" w:color="000000"/>
              <w:right w:val="single" w:sz="4" w:space="0" w:color="000000"/>
            </w:tcBorders>
            <w:vAlign w:val="center"/>
          </w:tcPr>
          <w:p w14:paraId="42E9904E" w14:textId="77777777" w:rsidR="0075791A" w:rsidRDefault="00FB2864">
            <w:pPr>
              <w:pStyle w:val="TableParagraph"/>
              <w:spacing w:before="39"/>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4</w:t>
            </w:r>
          </w:p>
        </w:tc>
        <w:tc>
          <w:tcPr>
            <w:tcW w:w="1732" w:type="dxa"/>
            <w:tcBorders>
              <w:top w:val="single" w:sz="4" w:space="0" w:color="000000"/>
              <w:left w:val="single" w:sz="4" w:space="0" w:color="000000"/>
              <w:bottom w:val="single" w:sz="4" w:space="0" w:color="000000"/>
              <w:right w:val="single" w:sz="4" w:space="0" w:color="000000"/>
            </w:tcBorders>
            <w:vAlign w:val="center"/>
          </w:tcPr>
          <w:p w14:paraId="1551CC3E" w14:textId="77777777" w:rsidR="0075791A" w:rsidRDefault="00FB2864">
            <w:pPr>
              <w:pStyle w:val="TableParagraph"/>
              <w:spacing w:before="39"/>
              <w:ind w:left="571"/>
              <w:rPr>
                <w:rFonts w:ascii="Times New Roman" w:eastAsia="Times New Roman" w:hAnsi="Times New Roman" w:cs="Times New Roman"/>
                <w:color w:val="auto"/>
              </w:rPr>
            </w:pPr>
            <w:r>
              <w:rPr>
                <w:rFonts w:ascii="Times New Roman" w:eastAsia="Times New Roman" w:hAnsi="Times New Roman" w:cs="Times New Roman"/>
                <w:color w:val="auto"/>
                <w:spacing w:val="1"/>
              </w:rPr>
              <w:t>154</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2</w:t>
            </w:r>
            <w:r>
              <w:rPr>
                <w:rFonts w:ascii="Times New Roman" w:eastAsia="Times New Roman" w:hAnsi="Times New Roman" w:cs="Times New Roman"/>
                <w:color w:val="auto"/>
              </w:rPr>
              <w:t>9</w:t>
            </w:r>
          </w:p>
        </w:tc>
        <w:tc>
          <w:tcPr>
            <w:tcW w:w="1732" w:type="dxa"/>
            <w:tcBorders>
              <w:top w:val="single" w:sz="4" w:space="0" w:color="000000"/>
              <w:left w:val="single" w:sz="4" w:space="0" w:color="000000"/>
              <w:bottom w:val="single" w:sz="4" w:space="0" w:color="000000"/>
              <w:right w:val="single" w:sz="4" w:space="0" w:color="000000"/>
            </w:tcBorders>
            <w:vAlign w:val="center"/>
          </w:tcPr>
          <w:p w14:paraId="7E151A12" w14:textId="77777777" w:rsidR="0075791A" w:rsidRDefault="00FB2864">
            <w:pPr>
              <w:pStyle w:val="TableParagraph"/>
              <w:spacing w:before="39"/>
              <w:ind w:left="604" w:right="605"/>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58</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9</w:t>
            </w:r>
          </w:p>
        </w:tc>
        <w:tc>
          <w:tcPr>
            <w:tcW w:w="1730" w:type="dxa"/>
            <w:tcBorders>
              <w:top w:val="single" w:sz="4" w:space="0" w:color="000000"/>
              <w:left w:val="single" w:sz="4" w:space="0" w:color="000000"/>
              <w:bottom w:val="single" w:sz="4" w:space="0" w:color="000000"/>
              <w:right w:val="single" w:sz="4" w:space="0" w:color="000000"/>
            </w:tcBorders>
            <w:vAlign w:val="center"/>
          </w:tcPr>
          <w:p w14:paraId="0A96238C" w14:textId="77777777" w:rsidR="0075791A" w:rsidRDefault="00FB2864">
            <w:pPr>
              <w:pStyle w:val="TableParagraph"/>
              <w:spacing w:before="39"/>
              <w:ind w:left="518"/>
              <w:rPr>
                <w:rFonts w:ascii="Times New Roman" w:eastAsia="Times New Roman" w:hAnsi="Times New Roman" w:cs="Times New Roman"/>
                <w:color w:val="auto"/>
              </w:rPr>
            </w:pPr>
            <w:r>
              <w:rPr>
                <w:rFonts w:ascii="Times New Roman" w:eastAsia="Times New Roman" w:hAnsi="Times New Roman" w:cs="Times New Roman"/>
                <w:color w:val="auto"/>
                <w:spacing w:val="1"/>
              </w:rPr>
              <w:t>793</w:t>
            </w:r>
            <w:r>
              <w:rPr>
                <w:rFonts w:ascii="Times New Roman" w:eastAsia="Times New Roman" w:hAnsi="Times New Roman" w:cs="Times New Roman"/>
                <w:color w:val="auto"/>
                <w:spacing w:val="-2"/>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6</w:t>
            </w:r>
          </w:p>
        </w:tc>
      </w:tr>
      <w:tr w:rsidR="0075791A" w14:paraId="52C78013" w14:textId="77777777">
        <w:trPr>
          <w:trHeight w:hRule="exact" w:val="283"/>
        </w:trPr>
        <w:tc>
          <w:tcPr>
            <w:tcW w:w="1220" w:type="dxa"/>
            <w:vMerge/>
            <w:tcBorders>
              <w:left w:val="single" w:sz="4" w:space="0" w:color="000000"/>
              <w:right w:val="single" w:sz="4" w:space="0" w:color="000000"/>
            </w:tcBorders>
            <w:vAlign w:val="center"/>
          </w:tcPr>
          <w:p w14:paraId="3A35EDAD"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41EBC9F5" w14:textId="77777777" w:rsidR="0075791A" w:rsidRDefault="00FB2864">
            <w:pPr>
              <w:pStyle w:val="TableParagraph"/>
              <w:spacing w:before="33"/>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6</w:t>
            </w:r>
          </w:p>
        </w:tc>
        <w:tc>
          <w:tcPr>
            <w:tcW w:w="1732" w:type="dxa"/>
            <w:tcBorders>
              <w:top w:val="single" w:sz="4" w:space="0" w:color="000000"/>
              <w:left w:val="single" w:sz="4" w:space="0" w:color="000000"/>
              <w:bottom w:val="single" w:sz="4" w:space="0" w:color="000000"/>
              <w:right w:val="single" w:sz="4" w:space="0" w:color="000000"/>
            </w:tcBorders>
            <w:vAlign w:val="center"/>
          </w:tcPr>
          <w:p w14:paraId="0DAF9A1E" w14:textId="77777777" w:rsidR="0075791A" w:rsidRDefault="00FB2864">
            <w:pPr>
              <w:pStyle w:val="TableParagraph"/>
              <w:spacing w:before="40"/>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0</w:t>
            </w:r>
          </w:p>
        </w:tc>
        <w:tc>
          <w:tcPr>
            <w:tcW w:w="1732" w:type="dxa"/>
            <w:tcBorders>
              <w:top w:val="single" w:sz="4" w:space="0" w:color="000000"/>
              <w:left w:val="single" w:sz="4" w:space="0" w:color="000000"/>
              <w:bottom w:val="single" w:sz="4" w:space="0" w:color="000000"/>
              <w:right w:val="single" w:sz="4" w:space="0" w:color="000000"/>
            </w:tcBorders>
            <w:vAlign w:val="center"/>
          </w:tcPr>
          <w:p w14:paraId="24B829C5" w14:textId="77777777" w:rsidR="0075791A" w:rsidRDefault="00FB2864">
            <w:pPr>
              <w:pStyle w:val="TableParagraph"/>
              <w:spacing w:before="40"/>
              <w:ind w:left="210" w:right="21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57</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48273F3C" w14:textId="77777777" w:rsidR="0075791A" w:rsidRDefault="00FB2864">
            <w:pPr>
              <w:pStyle w:val="TableParagraph"/>
              <w:spacing w:before="40"/>
              <w:ind w:left="658" w:right="65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9</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2</w:t>
            </w:r>
          </w:p>
        </w:tc>
        <w:tc>
          <w:tcPr>
            <w:tcW w:w="1730" w:type="dxa"/>
            <w:tcBorders>
              <w:top w:val="single" w:sz="4" w:space="0" w:color="000000"/>
              <w:left w:val="single" w:sz="4" w:space="0" w:color="000000"/>
              <w:bottom w:val="single" w:sz="4" w:space="0" w:color="000000"/>
              <w:right w:val="single" w:sz="4" w:space="0" w:color="000000"/>
            </w:tcBorders>
            <w:vAlign w:val="center"/>
          </w:tcPr>
          <w:p w14:paraId="24B1C461" w14:textId="77777777" w:rsidR="0075791A" w:rsidRDefault="00FB2864">
            <w:pPr>
              <w:pStyle w:val="TableParagraph"/>
              <w:spacing w:before="40"/>
              <w:ind w:left="518"/>
              <w:rPr>
                <w:rFonts w:ascii="Times New Roman" w:eastAsia="Times New Roman" w:hAnsi="Times New Roman" w:cs="Times New Roman"/>
                <w:color w:val="auto"/>
              </w:rPr>
            </w:pPr>
            <w:r>
              <w:rPr>
                <w:rFonts w:ascii="Times New Roman" w:eastAsia="Times New Roman" w:hAnsi="Times New Roman" w:cs="Times New Roman"/>
                <w:color w:val="auto"/>
                <w:spacing w:val="1"/>
              </w:rPr>
              <w:t>283</w:t>
            </w:r>
            <w:r>
              <w:rPr>
                <w:rFonts w:ascii="Times New Roman" w:eastAsia="Times New Roman" w:hAnsi="Times New Roman" w:cs="Times New Roman"/>
                <w:color w:val="auto"/>
                <w:spacing w:val="-2"/>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4</w:t>
            </w:r>
          </w:p>
        </w:tc>
      </w:tr>
      <w:tr w:rsidR="0075791A" w14:paraId="76225EA7" w14:textId="77777777">
        <w:trPr>
          <w:trHeight w:hRule="exact" w:val="283"/>
        </w:trPr>
        <w:tc>
          <w:tcPr>
            <w:tcW w:w="1220" w:type="dxa"/>
            <w:vMerge/>
            <w:tcBorders>
              <w:left w:val="single" w:sz="4" w:space="0" w:color="000000"/>
              <w:right w:val="single" w:sz="4" w:space="0" w:color="000000"/>
            </w:tcBorders>
            <w:vAlign w:val="center"/>
          </w:tcPr>
          <w:p w14:paraId="4A8933A4"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0C8EF326" w14:textId="77777777" w:rsidR="0075791A" w:rsidRDefault="00FB2864">
            <w:pPr>
              <w:pStyle w:val="TableParagraph"/>
              <w:spacing w:before="35"/>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8</w:t>
            </w:r>
          </w:p>
        </w:tc>
        <w:tc>
          <w:tcPr>
            <w:tcW w:w="1732" w:type="dxa"/>
            <w:tcBorders>
              <w:top w:val="single" w:sz="4" w:space="0" w:color="000000"/>
              <w:left w:val="single" w:sz="4" w:space="0" w:color="000000"/>
              <w:bottom w:val="single" w:sz="4" w:space="0" w:color="000000"/>
              <w:right w:val="single" w:sz="4" w:space="0" w:color="000000"/>
            </w:tcBorders>
            <w:vAlign w:val="center"/>
          </w:tcPr>
          <w:p w14:paraId="6312A0BD" w14:textId="77777777" w:rsidR="0075791A" w:rsidRDefault="00FB2864">
            <w:pPr>
              <w:pStyle w:val="TableParagraph"/>
              <w:spacing w:before="39"/>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2</w:t>
            </w:r>
          </w:p>
        </w:tc>
        <w:tc>
          <w:tcPr>
            <w:tcW w:w="1732" w:type="dxa"/>
            <w:tcBorders>
              <w:top w:val="single" w:sz="4" w:space="0" w:color="000000"/>
              <w:left w:val="single" w:sz="4" w:space="0" w:color="000000"/>
              <w:bottom w:val="single" w:sz="4" w:space="0" w:color="000000"/>
              <w:right w:val="single" w:sz="4" w:space="0" w:color="000000"/>
            </w:tcBorders>
            <w:vAlign w:val="center"/>
          </w:tcPr>
          <w:p w14:paraId="5CAD6BBE" w14:textId="77777777" w:rsidR="0075791A" w:rsidRDefault="00FB2864">
            <w:pPr>
              <w:pStyle w:val="TableParagraph"/>
              <w:spacing w:before="39"/>
              <w:ind w:left="571"/>
              <w:rPr>
                <w:rFonts w:ascii="Times New Roman" w:eastAsia="Times New Roman" w:hAnsi="Times New Roman" w:cs="Times New Roman"/>
                <w:color w:val="auto"/>
              </w:rPr>
            </w:pPr>
            <w:r>
              <w:rPr>
                <w:rFonts w:ascii="Times New Roman" w:eastAsia="Times New Roman" w:hAnsi="Times New Roman" w:cs="Times New Roman"/>
                <w:color w:val="auto"/>
                <w:spacing w:val="1"/>
              </w:rPr>
              <w:t>149</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rPr>
              <w:t>9</w:t>
            </w:r>
          </w:p>
        </w:tc>
        <w:tc>
          <w:tcPr>
            <w:tcW w:w="1732" w:type="dxa"/>
            <w:tcBorders>
              <w:top w:val="single" w:sz="4" w:space="0" w:color="000000"/>
              <w:left w:val="single" w:sz="4" w:space="0" w:color="000000"/>
              <w:bottom w:val="single" w:sz="4" w:space="0" w:color="000000"/>
              <w:right w:val="single" w:sz="4" w:space="0" w:color="000000"/>
            </w:tcBorders>
            <w:vAlign w:val="center"/>
          </w:tcPr>
          <w:p w14:paraId="040B463F" w14:textId="77777777" w:rsidR="0075791A" w:rsidRDefault="00FB2864">
            <w:pPr>
              <w:pStyle w:val="TableParagraph"/>
              <w:spacing w:before="39"/>
              <w:ind w:left="604" w:right="605"/>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53</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7</w:t>
            </w:r>
          </w:p>
        </w:tc>
        <w:tc>
          <w:tcPr>
            <w:tcW w:w="1730" w:type="dxa"/>
            <w:tcBorders>
              <w:top w:val="single" w:sz="4" w:space="0" w:color="000000"/>
              <w:left w:val="single" w:sz="4" w:space="0" w:color="000000"/>
              <w:bottom w:val="single" w:sz="4" w:space="0" w:color="000000"/>
              <w:right w:val="single" w:sz="4" w:space="0" w:color="000000"/>
            </w:tcBorders>
            <w:vAlign w:val="center"/>
          </w:tcPr>
          <w:p w14:paraId="3F9299C8" w14:textId="77777777" w:rsidR="0075791A" w:rsidRDefault="00FB2864">
            <w:pPr>
              <w:pStyle w:val="TableParagraph"/>
              <w:spacing w:before="39"/>
              <w:ind w:left="522"/>
              <w:rPr>
                <w:rFonts w:ascii="Times New Roman" w:eastAsia="Times New Roman" w:hAnsi="Times New Roman" w:cs="Times New Roman"/>
                <w:color w:val="auto"/>
              </w:rPr>
            </w:pPr>
            <w:r>
              <w:rPr>
                <w:rFonts w:ascii="Times New Roman" w:eastAsia="Times New Roman" w:hAnsi="Times New Roman" w:cs="Times New Roman"/>
                <w:color w:val="auto"/>
                <w:spacing w:val="1"/>
              </w:rPr>
              <w:t>7</w:t>
            </w:r>
            <w:r>
              <w:rPr>
                <w:rFonts w:ascii="Times New Roman" w:eastAsia="Times New Roman" w:hAnsi="Times New Roman" w:cs="Times New Roman"/>
                <w:color w:val="auto"/>
                <w:spacing w:val="-5"/>
              </w:rPr>
              <w:t>1</w:t>
            </w:r>
            <w:r>
              <w:rPr>
                <w:rFonts w:ascii="Times New Roman" w:eastAsia="Times New Roman" w:hAnsi="Times New Roman" w:cs="Times New Roman"/>
                <w:color w:val="auto"/>
                <w:spacing w:val="-2"/>
              </w:rPr>
              <w:t>13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3</w:t>
            </w:r>
          </w:p>
        </w:tc>
      </w:tr>
      <w:tr w:rsidR="0075791A" w14:paraId="25F926E6" w14:textId="77777777">
        <w:trPr>
          <w:trHeight w:hRule="exact" w:val="283"/>
        </w:trPr>
        <w:tc>
          <w:tcPr>
            <w:tcW w:w="1220" w:type="dxa"/>
            <w:vMerge/>
            <w:tcBorders>
              <w:left w:val="single" w:sz="4" w:space="0" w:color="000000"/>
              <w:right w:val="single" w:sz="4" w:space="0" w:color="000000"/>
            </w:tcBorders>
            <w:vAlign w:val="center"/>
          </w:tcPr>
          <w:p w14:paraId="1F961412"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5B8CC37D" w14:textId="77777777" w:rsidR="0075791A" w:rsidRDefault="00FB2864">
            <w:pPr>
              <w:pStyle w:val="TableParagraph"/>
              <w:spacing w:before="33"/>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9</w:t>
            </w:r>
          </w:p>
        </w:tc>
        <w:tc>
          <w:tcPr>
            <w:tcW w:w="1732" w:type="dxa"/>
            <w:tcBorders>
              <w:top w:val="single" w:sz="4" w:space="0" w:color="000000"/>
              <w:left w:val="single" w:sz="4" w:space="0" w:color="000000"/>
              <w:bottom w:val="single" w:sz="4" w:space="0" w:color="000000"/>
              <w:right w:val="single" w:sz="4" w:space="0" w:color="000000"/>
            </w:tcBorders>
            <w:vAlign w:val="center"/>
          </w:tcPr>
          <w:p w14:paraId="42348128" w14:textId="77777777" w:rsidR="0075791A" w:rsidRDefault="00FB2864">
            <w:pPr>
              <w:pStyle w:val="TableParagraph"/>
              <w:spacing w:before="40"/>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9</w:t>
            </w:r>
          </w:p>
        </w:tc>
        <w:tc>
          <w:tcPr>
            <w:tcW w:w="1732" w:type="dxa"/>
            <w:tcBorders>
              <w:top w:val="single" w:sz="4" w:space="0" w:color="000000"/>
              <w:left w:val="single" w:sz="4" w:space="0" w:color="000000"/>
              <w:bottom w:val="single" w:sz="4" w:space="0" w:color="000000"/>
              <w:right w:val="single" w:sz="4" w:space="0" w:color="000000"/>
            </w:tcBorders>
            <w:vAlign w:val="center"/>
          </w:tcPr>
          <w:p w14:paraId="734BA0D6" w14:textId="77777777" w:rsidR="0075791A" w:rsidRDefault="00FB2864">
            <w:pPr>
              <w:pStyle w:val="TableParagraph"/>
              <w:spacing w:before="40"/>
              <w:ind w:left="210" w:right="21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2</w:t>
            </w:r>
          </w:p>
        </w:tc>
        <w:tc>
          <w:tcPr>
            <w:tcW w:w="1732" w:type="dxa"/>
            <w:tcBorders>
              <w:top w:val="single" w:sz="4" w:space="0" w:color="000000"/>
              <w:left w:val="single" w:sz="4" w:space="0" w:color="000000"/>
              <w:bottom w:val="single" w:sz="4" w:space="0" w:color="000000"/>
              <w:right w:val="single" w:sz="4" w:space="0" w:color="000000"/>
            </w:tcBorders>
            <w:vAlign w:val="center"/>
          </w:tcPr>
          <w:p w14:paraId="3766329F" w14:textId="77777777" w:rsidR="0075791A" w:rsidRDefault="00FB2864">
            <w:pPr>
              <w:pStyle w:val="TableParagraph"/>
              <w:spacing w:before="40"/>
              <w:ind w:left="604" w:right="605"/>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30</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7</w:t>
            </w:r>
          </w:p>
        </w:tc>
        <w:tc>
          <w:tcPr>
            <w:tcW w:w="1730" w:type="dxa"/>
            <w:tcBorders>
              <w:top w:val="single" w:sz="4" w:space="0" w:color="000000"/>
              <w:left w:val="single" w:sz="4" w:space="0" w:color="000000"/>
              <w:bottom w:val="single" w:sz="4" w:space="0" w:color="000000"/>
              <w:right w:val="single" w:sz="4" w:space="0" w:color="000000"/>
            </w:tcBorders>
            <w:vAlign w:val="center"/>
          </w:tcPr>
          <w:p w14:paraId="66B0C16C" w14:textId="77777777" w:rsidR="0075791A" w:rsidRDefault="00FB2864">
            <w:pPr>
              <w:pStyle w:val="TableParagraph"/>
              <w:spacing w:before="40"/>
              <w:ind w:left="518"/>
              <w:rPr>
                <w:rFonts w:ascii="Times New Roman" w:eastAsia="Times New Roman" w:hAnsi="Times New Roman" w:cs="Times New Roman"/>
                <w:color w:val="auto"/>
              </w:rPr>
            </w:pPr>
            <w:r>
              <w:rPr>
                <w:rFonts w:ascii="Times New Roman" w:eastAsia="Times New Roman" w:hAnsi="Times New Roman" w:cs="Times New Roman"/>
                <w:color w:val="auto"/>
                <w:spacing w:val="1"/>
              </w:rPr>
              <w:t>121</w:t>
            </w:r>
            <w:r>
              <w:rPr>
                <w:rFonts w:ascii="Times New Roman" w:eastAsia="Times New Roman" w:hAnsi="Times New Roman" w:cs="Times New Roman"/>
                <w:color w:val="auto"/>
                <w:spacing w:val="-2"/>
              </w:rPr>
              <w:t>9</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4</w:t>
            </w:r>
          </w:p>
        </w:tc>
      </w:tr>
      <w:tr w:rsidR="0075791A" w14:paraId="284C981F" w14:textId="77777777">
        <w:trPr>
          <w:trHeight w:hRule="exact" w:val="283"/>
        </w:trPr>
        <w:tc>
          <w:tcPr>
            <w:tcW w:w="1220" w:type="dxa"/>
            <w:vMerge/>
            <w:tcBorders>
              <w:left w:val="single" w:sz="4" w:space="0" w:color="000000"/>
              <w:bottom w:val="single" w:sz="4" w:space="0" w:color="000000"/>
              <w:right w:val="single" w:sz="4" w:space="0" w:color="000000"/>
            </w:tcBorders>
            <w:vAlign w:val="center"/>
          </w:tcPr>
          <w:p w14:paraId="62561726"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1BC30597" w14:textId="77777777" w:rsidR="0075791A" w:rsidRDefault="00FB2864">
            <w:pPr>
              <w:pStyle w:val="TableParagraph"/>
              <w:spacing w:before="35"/>
              <w:ind w:left="195"/>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pacing w:val="-5"/>
                <w:sz w:val="22"/>
                <w:szCs w:val="22"/>
              </w:rPr>
              <w:t>1</w:t>
            </w:r>
            <w:r>
              <w:rPr>
                <w:rFonts w:ascii="Times New Roman" w:eastAsia="Times New Roman" w:hAnsi="Times New Roman" w:cs="Times New Roman"/>
                <w:color w:val="auto"/>
                <w:sz w:val="22"/>
                <w:szCs w:val="22"/>
              </w:rPr>
              <w:t>1</w:t>
            </w:r>
          </w:p>
        </w:tc>
        <w:tc>
          <w:tcPr>
            <w:tcW w:w="1732" w:type="dxa"/>
            <w:tcBorders>
              <w:top w:val="single" w:sz="4" w:space="0" w:color="000000"/>
              <w:left w:val="single" w:sz="4" w:space="0" w:color="000000"/>
              <w:bottom w:val="single" w:sz="4" w:space="0" w:color="000000"/>
              <w:right w:val="single" w:sz="4" w:space="0" w:color="000000"/>
            </w:tcBorders>
            <w:vAlign w:val="center"/>
          </w:tcPr>
          <w:p w14:paraId="23BA4434" w14:textId="77777777" w:rsidR="0075791A" w:rsidRDefault="00FB2864">
            <w:pPr>
              <w:pStyle w:val="TableParagraph"/>
              <w:spacing w:before="39"/>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3BD74A45" w14:textId="77777777" w:rsidR="0075791A" w:rsidRDefault="00FB2864">
            <w:pPr>
              <w:pStyle w:val="TableParagraph"/>
              <w:spacing w:before="39"/>
              <w:ind w:left="571"/>
              <w:rPr>
                <w:rFonts w:ascii="Times New Roman" w:eastAsia="Times New Roman" w:hAnsi="Times New Roman" w:cs="Times New Roman"/>
                <w:color w:val="auto"/>
              </w:rPr>
            </w:pPr>
            <w:r>
              <w:rPr>
                <w:rFonts w:ascii="Times New Roman" w:eastAsia="Times New Roman" w:hAnsi="Times New Roman" w:cs="Times New Roman"/>
                <w:color w:val="auto"/>
                <w:spacing w:val="1"/>
              </w:rPr>
              <w:t>152</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0</w:t>
            </w:r>
          </w:p>
        </w:tc>
        <w:tc>
          <w:tcPr>
            <w:tcW w:w="1732" w:type="dxa"/>
            <w:tcBorders>
              <w:top w:val="single" w:sz="4" w:space="0" w:color="000000"/>
              <w:left w:val="single" w:sz="4" w:space="0" w:color="000000"/>
              <w:bottom w:val="single" w:sz="4" w:space="0" w:color="000000"/>
              <w:right w:val="single" w:sz="4" w:space="0" w:color="000000"/>
            </w:tcBorders>
            <w:vAlign w:val="center"/>
          </w:tcPr>
          <w:p w14:paraId="4D490891" w14:textId="77777777" w:rsidR="0075791A" w:rsidRDefault="00FB2864">
            <w:pPr>
              <w:pStyle w:val="TableParagraph"/>
              <w:spacing w:before="39"/>
              <w:ind w:left="572"/>
              <w:rPr>
                <w:rFonts w:ascii="Times New Roman" w:eastAsia="Times New Roman" w:hAnsi="Times New Roman" w:cs="Times New Roman"/>
                <w:color w:val="auto"/>
              </w:rPr>
            </w:pPr>
            <w:r>
              <w:rPr>
                <w:rFonts w:ascii="Times New Roman" w:eastAsia="Times New Roman" w:hAnsi="Times New Roman" w:cs="Times New Roman"/>
                <w:color w:val="auto"/>
                <w:spacing w:val="1"/>
              </w:rPr>
              <w:t>100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1</w:t>
            </w:r>
            <w:r>
              <w:rPr>
                <w:rFonts w:ascii="Times New Roman" w:eastAsia="Times New Roman" w:hAnsi="Times New Roman" w:cs="Times New Roman"/>
                <w:color w:val="auto"/>
              </w:rPr>
              <w:t>3</w:t>
            </w:r>
          </w:p>
        </w:tc>
        <w:tc>
          <w:tcPr>
            <w:tcW w:w="1730" w:type="dxa"/>
            <w:tcBorders>
              <w:top w:val="single" w:sz="4" w:space="0" w:color="000000"/>
              <w:left w:val="single" w:sz="4" w:space="0" w:color="000000"/>
              <w:bottom w:val="single" w:sz="4" w:space="0" w:color="000000"/>
              <w:right w:val="single" w:sz="4" w:space="0" w:color="000000"/>
            </w:tcBorders>
            <w:vAlign w:val="center"/>
          </w:tcPr>
          <w:p w14:paraId="05DA71CE" w14:textId="77777777" w:rsidR="0075791A" w:rsidRDefault="00FB2864">
            <w:pPr>
              <w:pStyle w:val="TableParagraph"/>
              <w:spacing w:before="39"/>
              <w:ind w:left="518"/>
              <w:rPr>
                <w:rFonts w:ascii="Times New Roman" w:eastAsia="Times New Roman" w:hAnsi="Times New Roman" w:cs="Times New Roman"/>
                <w:color w:val="auto"/>
              </w:rPr>
            </w:pPr>
            <w:r>
              <w:rPr>
                <w:rFonts w:ascii="Times New Roman" w:eastAsia="Times New Roman" w:hAnsi="Times New Roman" w:cs="Times New Roman"/>
                <w:color w:val="auto"/>
                <w:spacing w:val="1"/>
              </w:rPr>
              <w:t>751</w:t>
            </w:r>
            <w:r>
              <w:rPr>
                <w:rFonts w:ascii="Times New Roman" w:eastAsia="Times New Roman" w:hAnsi="Times New Roman" w:cs="Times New Roman"/>
                <w:color w:val="auto"/>
                <w:spacing w:val="-2"/>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8</w:t>
            </w:r>
          </w:p>
        </w:tc>
      </w:tr>
      <w:tr w:rsidR="0075791A" w14:paraId="1F87D618" w14:textId="77777777">
        <w:trPr>
          <w:trHeight w:hRule="exact" w:val="283"/>
        </w:trPr>
        <w:tc>
          <w:tcPr>
            <w:tcW w:w="1220" w:type="dxa"/>
            <w:vMerge w:val="restart"/>
            <w:tcBorders>
              <w:top w:val="single" w:sz="4" w:space="0" w:color="000000"/>
              <w:left w:val="single" w:sz="4" w:space="0" w:color="000000"/>
              <w:right w:val="single" w:sz="4" w:space="0" w:color="000000"/>
            </w:tcBorders>
            <w:vAlign w:val="center"/>
          </w:tcPr>
          <w:p w14:paraId="1D749E27" w14:textId="77777777" w:rsidR="0075791A" w:rsidRDefault="00FB2864">
            <w:pPr>
              <w:pStyle w:val="TableParagraph"/>
              <w:ind w:left="290"/>
              <w:rPr>
                <w:rFonts w:ascii="宋体" w:eastAsia="宋体" w:hAnsi="宋体" w:cs="宋体"/>
                <w:color w:val="auto"/>
              </w:rPr>
            </w:pPr>
            <w:r>
              <w:rPr>
                <w:rFonts w:ascii="宋体" w:eastAsia="宋体" w:hAnsi="宋体" w:cs="宋体"/>
                <w:color w:val="auto"/>
                <w:spacing w:val="-1"/>
              </w:rPr>
              <w:t>流</w:t>
            </w:r>
            <w:r>
              <w:rPr>
                <w:rFonts w:ascii="宋体" w:eastAsia="宋体" w:hAnsi="宋体" w:cs="宋体"/>
                <w:color w:val="auto"/>
                <w:spacing w:val="2"/>
              </w:rPr>
              <w:t>刺</w:t>
            </w:r>
            <w:r>
              <w:rPr>
                <w:rFonts w:ascii="宋体" w:eastAsia="宋体" w:hAnsi="宋体" w:cs="宋体"/>
                <w:color w:val="auto"/>
              </w:rPr>
              <w:t>网</w:t>
            </w:r>
          </w:p>
        </w:tc>
        <w:tc>
          <w:tcPr>
            <w:tcW w:w="772" w:type="dxa"/>
            <w:tcBorders>
              <w:top w:val="single" w:sz="4" w:space="0" w:color="000000"/>
              <w:left w:val="single" w:sz="4" w:space="0" w:color="000000"/>
              <w:bottom w:val="single" w:sz="4" w:space="0" w:color="000000"/>
              <w:right w:val="single" w:sz="4" w:space="0" w:color="000000"/>
            </w:tcBorders>
            <w:vAlign w:val="center"/>
          </w:tcPr>
          <w:p w14:paraId="1DE3FD2F" w14:textId="77777777" w:rsidR="0075791A" w:rsidRDefault="00FB2864">
            <w:pPr>
              <w:pStyle w:val="TableParagraph"/>
              <w:spacing w:before="33"/>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4</w:t>
            </w:r>
          </w:p>
        </w:tc>
        <w:tc>
          <w:tcPr>
            <w:tcW w:w="1732" w:type="dxa"/>
            <w:tcBorders>
              <w:top w:val="single" w:sz="4" w:space="0" w:color="000000"/>
              <w:left w:val="single" w:sz="4" w:space="0" w:color="000000"/>
              <w:bottom w:val="single" w:sz="4" w:space="0" w:color="000000"/>
              <w:right w:val="single" w:sz="4" w:space="0" w:color="000000"/>
            </w:tcBorders>
            <w:vAlign w:val="center"/>
          </w:tcPr>
          <w:p w14:paraId="4E74C4B2" w14:textId="77777777" w:rsidR="0075791A" w:rsidRDefault="00FB2864">
            <w:pPr>
              <w:pStyle w:val="TableParagraph"/>
              <w:spacing w:before="40"/>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70AACB96" w14:textId="77777777" w:rsidR="0075791A" w:rsidRDefault="00FB2864">
            <w:pPr>
              <w:pStyle w:val="TableParagraph"/>
              <w:spacing w:before="40"/>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8</w:t>
            </w:r>
          </w:p>
        </w:tc>
        <w:tc>
          <w:tcPr>
            <w:tcW w:w="1732" w:type="dxa"/>
            <w:tcBorders>
              <w:top w:val="single" w:sz="4" w:space="0" w:color="000000"/>
              <w:left w:val="single" w:sz="4" w:space="0" w:color="000000"/>
              <w:bottom w:val="single" w:sz="4" w:space="0" w:color="000000"/>
              <w:right w:val="single" w:sz="4" w:space="0" w:color="000000"/>
            </w:tcBorders>
            <w:vAlign w:val="center"/>
          </w:tcPr>
          <w:p w14:paraId="63511B0C" w14:textId="77777777" w:rsidR="0075791A" w:rsidRDefault="00FB2864">
            <w:pPr>
              <w:pStyle w:val="TableParagraph"/>
              <w:spacing w:before="40"/>
              <w:ind w:left="771" w:right="77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c>
          <w:tcPr>
            <w:tcW w:w="1730" w:type="dxa"/>
            <w:tcBorders>
              <w:top w:val="single" w:sz="4" w:space="0" w:color="000000"/>
              <w:left w:val="single" w:sz="4" w:space="0" w:color="000000"/>
              <w:bottom w:val="single" w:sz="4" w:space="0" w:color="000000"/>
              <w:right w:val="single" w:sz="4" w:space="0" w:color="000000"/>
            </w:tcBorders>
            <w:vAlign w:val="center"/>
          </w:tcPr>
          <w:p w14:paraId="39878861" w14:textId="77777777" w:rsidR="0075791A" w:rsidRDefault="00FB2864">
            <w:pPr>
              <w:pStyle w:val="TableParagraph"/>
              <w:spacing w:before="40"/>
              <w:ind w:left="769" w:right="77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75791A" w14:paraId="2FBF4DBE" w14:textId="77777777">
        <w:trPr>
          <w:trHeight w:hRule="exact" w:val="283"/>
        </w:trPr>
        <w:tc>
          <w:tcPr>
            <w:tcW w:w="1220" w:type="dxa"/>
            <w:vMerge/>
            <w:tcBorders>
              <w:left w:val="single" w:sz="4" w:space="0" w:color="000000"/>
              <w:bottom w:val="single" w:sz="4" w:space="0" w:color="000000"/>
              <w:right w:val="single" w:sz="4" w:space="0" w:color="000000"/>
            </w:tcBorders>
            <w:vAlign w:val="center"/>
          </w:tcPr>
          <w:p w14:paraId="392D1CED"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12BB9182" w14:textId="77777777" w:rsidR="0075791A" w:rsidRDefault="00FB2864">
            <w:pPr>
              <w:pStyle w:val="TableParagraph"/>
              <w:spacing w:before="35"/>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7</w:t>
            </w:r>
          </w:p>
        </w:tc>
        <w:tc>
          <w:tcPr>
            <w:tcW w:w="1732" w:type="dxa"/>
            <w:tcBorders>
              <w:top w:val="single" w:sz="4" w:space="0" w:color="000000"/>
              <w:left w:val="single" w:sz="4" w:space="0" w:color="000000"/>
              <w:bottom w:val="single" w:sz="4" w:space="0" w:color="000000"/>
              <w:right w:val="single" w:sz="4" w:space="0" w:color="000000"/>
            </w:tcBorders>
            <w:vAlign w:val="center"/>
          </w:tcPr>
          <w:p w14:paraId="40C9E0CC" w14:textId="77777777" w:rsidR="0075791A" w:rsidRDefault="00FB2864">
            <w:pPr>
              <w:pStyle w:val="TableParagraph"/>
              <w:spacing w:before="39"/>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2</w:t>
            </w:r>
          </w:p>
        </w:tc>
        <w:tc>
          <w:tcPr>
            <w:tcW w:w="1732" w:type="dxa"/>
            <w:tcBorders>
              <w:top w:val="single" w:sz="4" w:space="0" w:color="000000"/>
              <w:left w:val="single" w:sz="4" w:space="0" w:color="000000"/>
              <w:bottom w:val="single" w:sz="4" w:space="0" w:color="000000"/>
              <w:right w:val="single" w:sz="4" w:space="0" w:color="000000"/>
            </w:tcBorders>
            <w:vAlign w:val="center"/>
          </w:tcPr>
          <w:p w14:paraId="1BC1D145" w14:textId="77777777" w:rsidR="0075791A" w:rsidRDefault="00FB2864">
            <w:pPr>
              <w:pStyle w:val="TableParagraph"/>
              <w:spacing w:before="39"/>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7</w:t>
            </w:r>
          </w:p>
        </w:tc>
        <w:tc>
          <w:tcPr>
            <w:tcW w:w="1732" w:type="dxa"/>
            <w:tcBorders>
              <w:top w:val="single" w:sz="4" w:space="0" w:color="000000"/>
              <w:left w:val="single" w:sz="4" w:space="0" w:color="000000"/>
              <w:bottom w:val="single" w:sz="4" w:space="0" w:color="000000"/>
              <w:right w:val="single" w:sz="4" w:space="0" w:color="000000"/>
            </w:tcBorders>
            <w:vAlign w:val="center"/>
          </w:tcPr>
          <w:p w14:paraId="758611C4" w14:textId="77777777" w:rsidR="0075791A" w:rsidRDefault="00FB2864">
            <w:pPr>
              <w:pStyle w:val="TableParagraph"/>
              <w:spacing w:before="39"/>
              <w:ind w:left="771" w:right="77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c>
          <w:tcPr>
            <w:tcW w:w="1730" w:type="dxa"/>
            <w:tcBorders>
              <w:top w:val="single" w:sz="4" w:space="0" w:color="000000"/>
              <w:left w:val="single" w:sz="4" w:space="0" w:color="000000"/>
              <w:bottom w:val="single" w:sz="4" w:space="0" w:color="000000"/>
              <w:right w:val="single" w:sz="4" w:space="0" w:color="000000"/>
            </w:tcBorders>
            <w:vAlign w:val="center"/>
          </w:tcPr>
          <w:p w14:paraId="336473E8" w14:textId="77777777" w:rsidR="0075791A" w:rsidRDefault="00FB2864">
            <w:pPr>
              <w:pStyle w:val="TableParagraph"/>
              <w:spacing w:before="39"/>
              <w:ind w:left="769" w:right="77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75791A" w14:paraId="137DE816" w14:textId="77777777">
        <w:trPr>
          <w:trHeight w:hRule="exact" w:val="283"/>
        </w:trPr>
        <w:tc>
          <w:tcPr>
            <w:tcW w:w="1992" w:type="dxa"/>
            <w:gridSpan w:val="2"/>
            <w:tcBorders>
              <w:top w:val="single" w:sz="4" w:space="0" w:color="000000"/>
              <w:left w:val="single" w:sz="4" w:space="0" w:color="000000"/>
              <w:bottom w:val="single" w:sz="4" w:space="0" w:color="000000"/>
              <w:right w:val="single" w:sz="4" w:space="0" w:color="000000"/>
            </w:tcBorders>
            <w:vAlign w:val="center"/>
          </w:tcPr>
          <w:p w14:paraId="59165048" w14:textId="77777777" w:rsidR="0075791A" w:rsidRDefault="00FB2864">
            <w:pPr>
              <w:pStyle w:val="TableParagraph"/>
              <w:spacing w:line="264" w:lineRule="exact"/>
              <w:ind w:left="656" w:right="656"/>
              <w:jc w:val="center"/>
              <w:rPr>
                <w:rFonts w:ascii="宋体" w:eastAsia="宋体" w:hAnsi="宋体" w:cs="宋体"/>
                <w:color w:val="auto"/>
              </w:rPr>
            </w:pPr>
            <w:r>
              <w:rPr>
                <w:rFonts w:ascii="宋体" w:eastAsia="宋体" w:hAnsi="宋体" w:cs="宋体"/>
                <w:color w:val="auto"/>
                <w:spacing w:val="-1"/>
              </w:rPr>
              <w:t>平</w:t>
            </w:r>
            <w:r>
              <w:rPr>
                <w:rFonts w:ascii="宋体" w:eastAsia="宋体" w:hAnsi="宋体" w:cs="宋体"/>
                <w:color w:val="auto"/>
                <w:spacing w:val="2"/>
              </w:rPr>
              <w:t>均</w:t>
            </w:r>
            <w:r>
              <w:rPr>
                <w:rFonts w:ascii="宋体" w:eastAsia="宋体" w:hAnsi="宋体" w:cs="宋体"/>
                <w:color w:val="auto"/>
              </w:rPr>
              <w:t>值</w:t>
            </w:r>
          </w:p>
        </w:tc>
        <w:tc>
          <w:tcPr>
            <w:tcW w:w="1732" w:type="dxa"/>
            <w:tcBorders>
              <w:top w:val="single" w:sz="4" w:space="0" w:color="000000"/>
              <w:left w:val="single" w:sz="4" w:space="0" w:color="000000"/>
              <w:bottom w:val="single" w:sz="4" w:space="0" w:color="000000"/>
              <w:right w:val="single" w:sz="4" w:space="0" w:color="000000"/>
            </w:tcBorders>
            <w:vAlign w:val="center"/>
          </w:tcPr>
          <w:p w14:paraId="4812C754" w14:textId="77777777" w:rsidR="0075791A" w:rsidRDefault="00FB2864">
            <w:pPr>
              <w:pStyle w:val="TableParagraph"/>
              <w:spacing w:before="40"/>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1</w:t>
            </w:r>
          </w:p>
        </w:tc>
        <w:tc>
          <w:tcPr>
            <w:tcW w:w="1732" w:type="dxa"/>
            <w:tcBorders>
              <w:top w:val="single" w:sz="4" w:space="0" w:color="000000"/>
              <w:left w:val="single" w:sz="4" w:space="0" w:color="000000"/>
              <w:bottom w:val="single" w:sz="4" w:space="0" w:color="000000"/>
              <w:right w:val="single" w:sz="4" w:space="0" w:color="000000"/>
            </w:tcBorders>
            <w:vAlign w:val="center"/>
          </w:tcPr>
          <w:p w14:paraId="1375ADF2" w14:textId="77777777" w:rsidR="0075791A" w:rsidRDefault="00FB2864">
            <w:pPr>
              <w:pStyle w:val="TableParagraph"/>
              <w:spacing w:before="40"/>
              <w:ind w:left="210" w:right="21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88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4</w:t>
            </w:r>
          </w:p>
        </w:tc>
        <w:tc>
          <w:tcPr>
            <w:tcW w:w="1732" w:type="dxa"/>
            <w:tcBorders>
              <w:top w:val="single" w:sz="4" w:space="0" w:color="000000"/>
              <w:left w:val="single" w:sz="4" w:space="0" w:color="000000"/>
              <w:bottom w:val="single" w:sz="4" w:space="0" w:color="000000"/>
              <w:right w:val="single" w:sz="4" w:space="0" w:color="000000"/>
            </w:tcBorders>
            <w:vAlign w:val="center"/>
          </w:tcPr>
          <w:p w14:paraId="249EDAE2" w14:textId="77777777" w:rsidR="0075791A" w:rsidRDefault="00FB2864">
            <w:pPr>
              <w:pStyle w:val="TableParagraph"/>
              <w:spacing w:before="40"/>
              <w:ind w:left="604" w:right="605"/>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52</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5</w:t>
            </w:r>
          </w:p>
        </w:tc>
        <w:tc>
          <w:tcPr>
            <w:tcW w:w="1730" w:type="dxa"/>
            <w:tcBorders>
              <w:top w:val="single" w:sz="4" w:space="0" w:color="000000"/>
              <w:left w:val="single" w:sz="4" w:space="0" w:color="000000"/>
              <w:bottom w:val="single" w:sz="4" w:space="0" w:color="000000"/>
              <w:right w:val="single" w:sz="4" w:space="0" w:color="000000"/>
            </w:tcBorders>
            <w:vAlign w:val="center"/>
          </w:tcPr>
          <w:p w14:paraId="7D3FCBE4" w14:textId="77777777" w:rsidR="0075791A" w:rsidRDefault="00FB2864">
            <w:pPr>
              <w:pStyle w:val="TableParagraph"/>
              <w:spacing w:before="40"/>
              <w:ind w:left="518"/>
              <w:rPr>
                <w:rFonts w:ascii="Times New Roman" w:eastAsia="Times New Roman" w:hAnsi="Times New Roman" w:cs="Times New Roman"/>
                <w:color w:val="auto"/>
              </w:rPr>
            </w:pPr>
            <w:r>
              <w:rPr>
                <w:rFonts w:ascii="Times New Roman" w:eastAsia="Times New Roman" w:hAnsi="Times New Roman" w:cs="Times New Roman"/>
                <w:color w:val="auto"/>
                <w:spacing w:val="1"/>
              </w:rPr>
              <w:t>581</w:t>
            </w:r>
            <w:r>
              <w:rPr>
                <w:rFonts w:ascii="Times New Roman" w:eastAsia="Times New Roman" w:hAnsi="Times New Roman" w:cs="Times New Roman"/>
                <w:color w:val="auto"/>
                <w:spacing w:val="-2"/>
              </w:rPr>
              <w:t>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7</w:t>
            </w:r>
          </w:p>
        </w:tc>
      </w:tr>
    </w:tbl>
    <w:p w14:paraId="603D4A04"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根据相对重要性指数（</w:t>
      </w:r>
      <w:r>
        <w:rPr>
          <w:rFonts w:ascii="Times New Roman" w:eastAsia="宋体" w:hAnsi="Times New Roman" w:cs="Times New Roman" w:hint="eastAsia"/>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）公式计算评价调查海域内甲壳类的相对重要性指标（</w:t>
      </w:r>
      <w:r>
        <w:rPr>
          <w:rFonts w:ascii="Times New Roman" w:eastAsia="宋体" w:hAnsi="Times New Roman" w:cs="Times New Roman" w:hint="eastAsia"/>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），本次调查的共采集到甲壳类</w:t>
      </w:r>
      <w:r>
        <w:rPr>
          <w:rFonts w:ascii="Times New Roman" w:eastAsia="宋体" w:hAnsi="Times New Roman" w:cs="Times New Roman" w:hint="eastAsia"/>
          <w:snapToGrid/>
          <w:color w:val="auto"/>
          <w:kern w:val="2"/>
          <w:sz w:val="24"/>
          <w:szCs w:val="24"/>
          <w:lang w:eastAsia="zh-CN"/>
        </w:rPr>
        <w:t>19</w:t>
      </w:r>
      <w:r>
        <w:rPr>
          <w:rFonts w:ascii="Times New Roman" w:eastAsia="宋体" w:hAnsi="Times New Roman" w:cs="Times New Roman" w:hint="eastAsia"/>
          <w:snapToGrid/>
          <w:color w:val="auto"/>
          <w:kern w:val="2"/>
          <w:sz w:val="24"/>
          <w:szCs w:val="24"/>
          <w:lang w:eastAsia="zh-CN"/>
        </w:rPr>
        <w:t>种，均未达到优势种水平。其中，主要种</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种，一般种</w:t>
      </w:r>
      <w:r>
        <w:rPr>
          <w:rFonts w:ascii="Times New Roman" w:eastAsia="宋体" w:hAnsi="Times New Roman" w:cs="Times New Roman" w:hint="eastAsia"/>
          <w:snapToGrid/>
          <w:color w:val="auto"/>
          <w:kern w:val="2"/>
          <w:sz w:val="24"/>
          <w:szCs w:val="24"/>
          <w:lang w:eastAsia="zh-CN"/>
        </w:rPr>
        <w:t>7</w:t>
      </w:r>
      <w:r>
        <w:rPr>
          <w:rFonts w:ascii="Times New Roman" w:eastAsia="宋体" w:hAnsi="Times New Roman" w:cs="Times New Roman" w:hint="eastAsia"/>
          <w:snapToGrid/>
          <w:color w:val="auto"/>
          <w:kern w:val="2"/>
          <w:sz w:val="24"/>
          <w:szCs w:val="24"/>
          <w:lang w:eastAsia="zh-CN"/>
        </w:rPr>
        <w:t>种（详见表</w:t>
      </w:r>
      <w:r>
        <w:rPr>
          <w:rFonts w:ascii="Times New Roman" w:eastAsia="宋体" w:hAnsi="Times New Roman" w:cs="Times New Roman" w:hint="eastAsia"/>
          <w:snapToGrid/>
          <w:color w:val="auto"/>
          <w:kern w:val="2"/>
          <w:sz w:val="24"/>
          <w:szCs w:val="24"/>
          <w:lang w:eastAsia="zh-CN"/>
        </w:rPr>
        <w:t>3.2.6-30</w:t>
      </w:r>
      <w:r>
        <w:rPr>
          <w:rFonts w:ascii="Times New Roman" w:eastAsia="宋体" w:hAnsi="Times New Roman" w:cs="Times New Roman" w:hint="eastAsia"/>
          <w:snapToGrid/>
          <w:color w:val="auto"/>
          <w:kern w:val="2"/>
          <w:sz w:val="24"/>
          <w:szCs w:val="24"/>
          <w:lang w:eastAsia="zh-CN"/>
        </w:rPr>
        <w:t>）。</w:t>
      </w:r>
    </w:p>
    <w:p w14:paraId="2A4D53DF" w14:textId="77777777" w:rsidR="0075791A" w:rsidRDefault="00FB2864">
      <w:pPr>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5.</w:t>
      </w:r>
      <w:r>
        <w:rPr>
          <w:rFonts w:ascii="Times New Roman" w:eastAsia="宋体" w:hAnsi="Times New Roman" w:cs="Times New Roman" w:hint="eastAsia"/>
          <w:b/>
          <w:bCs/>
          <w:snapToGrid/>
          <w:color w:val="auto"/>
          <w:kern w:val="2"/>
          <w:sz w:val="24"/>
          <w:szCs w:val="24"/>
          <w:lang w:eastAsia="zh-CN"/>
        </w:rPr>
        <w:t>贝类资源状况</w:t>
      </w:r>
    </w:p>
    <w:p w14:paraId="7397525F" w14:textId="77777777" w:rsidR="0075791A" w:rsidRDefault="00FB2864">
      <w:pPr>
        <w:kinsoku/>
        <w:adjustRightInd/>
        <w:snapToGrid/>
        <w:spacing w:line="348"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本次调查共渔获头足类</w:t>
      </w:r>
      <w:r>
        <w:rPr>
          <w:rFonts w:ascii="Times New Roman" w:eastAsia="宋体" w:hAnsi="Times New Roman" w:cs="Times New Roman" w:hint="eastAsia"/>
          <w:snapToGrid/>
          <w:color w:val="auto"/>
          <w:kern w:val="2"/>
          <w:sz w:val="24"/>
          <w:szCs w:val="24"/>
          <w:lang w:eastAsia="zh-CN"/>
        </w:rPr>
        <w:t>7</w:t>
      </w:r>
      <w:r>
        <w:rPr>
          <w:rFonts w:ascii="Times New Roman" w:eastAsia="宋体" w:hAnsi="Times New Roman" w:cs="Times New Roman" w:hint="eastAsia"/>
          <w:snapToGrid/>
          <w:color w:val="auto"/>
          <w:kern w:val="2"/>
          <w:sz w:val="24"/>
          <w:szCs w:val="24"/>
          <w:lang w:eastAsia="zh-CN"/>
        </w:rPr>
        <w:t>种，隶属</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目</w:t>
      </w:r>
      <w:r>
        <w:rPr>
          <w:rFonts w:ascii="Times New Roman" w:eastAsia="宋体" w:hAnsi="Times New Roman" w:cs="Times New Roman" w:hint="eastAsia"/>
          <w:snapToGrid/>
          <w:color w:val="auto"/>
          <w:kern w:val="2"/>
          <w:sz w:val="24"/>
          <w:szCs w:val="24"/>
          <w:lang w:eastAsia="zh-CN"/>
        </w:rPr>
        <w:t>7</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7</w:t>
      </w:r>
      <w:r>
        <w:rPr>
          <w:rFonts w:ascii="Times New Roman" w:eastAsia="宋体" w:hAnsi="Times New Roman" w:cs="Times New Roman" w:hint="eastAsia"/>
          <w:snapToGrid/>
          <w:color w:val="auto"/>
          <w:kern w:val="2"/>
          <w:sz w:val="24"/>
          <w:szCs w:val="24"/>
          <w:lang w:eastAsia="zh-CN"/>
        </w:rPr>
        <w:t>属，分别为竖琴螺、鼠芋螺、见习赤蛙螺、沟鹑螺、长肋日月贝、网纹扭螺和鬘螺，分别隶属于新腹足目、异足目、珍珠贝目和中腹足目。</w:t>
      </w:r>
    </w:p>
    <w:p w14:paraId="0F4007D7" w14:textId="77777777" w:rsidR="0075791A" w:rsidRDefault="00FB2864">
      <w:pPr>
        <w:kinsoku/>
        <w:adjustRightInd/>
        <w:snapToGrid/>
        <w:spacing w:line="348"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本次流刺网站位未能采集到头足类，因此计算结果以拖网站位计算，贝类的重量渔获率范围为</w:t>
      </w:r>
      <w:r>
        <w:rPr>
          <w:rFonts w:ascii="Times New Roman" w:eastAsia="宋体" w:hAnsi="Times New Roman" w:cs="Times New Roman" w:hint="eastAsia"/>
          <w:snapToGrid/>
          <w:color w:val="auto"/>
          <w:kern w:val="2"/>
          <w:sz w:val="24"/>
          <w:szCs w:val="24"/>
          <w:lang w:eastAsia="zh-CN"/>
        </w:rPr>
        <w:t>0~2.09kg/h</w:t>
      </w:r>
      <w:r>
        <w:rPr>
          <w:rFonts w:ascii="Times New Roman" w:eastAsia="宋体" w:hAnsi="Times New Roman" w:cs="Times New Roman" w:hint="eastAsia"/>
          <w:snapToGrid/>
          <w:color w:val="auto"/>
          <w:kern w:val="2"/>
          <w:sz w:val="24"/>
          <w:szCs w:val="24"/>
          <w:lang w:eastAsia="zh-CN"/>
        </w:rPr>
        <w:t>，平均</w:t>
      </w:r>
      <w:r>
        <w:rPr>
          <w:rFonts w:ascii="Times New Roman" w:eastAsia="宋体" w:hAnsi="Times New Roman" w:cs="Times New Roman" w:hint="eastAsia"/>
          <w:snapToGrid/>
          <w:color w:val="auto"/>
          <w:kern w:val="2"/>
          <w:sz w:val="24"/>
          <w:szCs w:val="24"/>
          <w:lang w:eastAsia="zh-CN"/>
        </w:rPr>
        <w:t>0.48kg/h</w:t>
      </w:r>
      <w:r>
        <w:rPr>
          <w:rFonts w:ascii="Times New Roman" w:eastAsia="宋体" w:hAnsi="Times New Roman" w:cs="Times New Roman" w:hint="eastAsia"/>
          <w:snapToGrid/>
          <w:color w:val="auto"/>
          <w:kern w:val="2"/>
          <w:sz w:val="24"/>
          <w:szCs w:val="24"/>
          <w:lang w:eastAsia="zh-CN"/>
        </w:rPr>
        <w:t>。渔获率以</w:t>
      </w:r>
      <w:r>
        <w:rPr>
          <w:rFonts w:ascii="Times New Roman" w:eastAsia="宋体" w:hAnsi="Times New Roman" w:cs="Times New Roman" w:hint="eastAsia"/>
          <w:snapToGrid/>
          <w:color w:val="auto"/>
          <w:kern w:val="2"/>
          <w:sz w:val="24"/>
          <w:szCs w:val="24"/>
          <w:lang w:eastAsia="zh-CN"/>
        </w:rPr>
        <w:t>H</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站最高，为</w:t>
      </w:r>
      <w:r>
        <w:rPr>
          <w:rFonts w:ascii="Times New Roman" w:eastAsia="宋体" w:hAnsi="Times New Roman" w:cs="Times New Roman" w:hint="eastAsia"/>
          <w:snapToGrid/>
          <w:color w:val="auto"/>
          <w:kern w:val="2"/>
          <w:sz w:val="24"/>
          <w:szCs w:val="24"/>
          <w:lang w:eastAsia="zh-CN"/>
        </w:rPr>
        <w:t>2.09kg/h</w:t>
      </w:r>
      <w:r>
        <w:rPr>
          <w:rFonts w:ascii="Times New Roman" w:eastAsia="宋体" w:hAnsi="Times New Roman" w:cs="Times New Roman" w:hint="eastAsia"/>
          <w:snapToGrid/>
          <w:color w:val="auto"/>
          <w:kern w:val="2"/>
          <w:sz w:val="24"/>
          <w:szCs w:val="24"/>
          <w:lang w:eastAsia="zh-CN"/>
        </w:rPr>
        <w:t>；其次是</w:t>
      </w:r>
      <w:r>
        <w:rPr>
          <w:rFonts w:ascii="Times New Roman" w:eastAsia="宋体" w:hAnsi="Times New Roman" w:cs="Times New Roman" w:hint="eastAsia"/>
          <w:snapToGrid/>
          <w:color w:val="auto"/>
          <w:kern w:val="2"/>
          <w:sz w:val="24"/>
          <w:szCs w:val="24"/>
          <w:lang w:eastAsia="zh-CN"/>
        </w:rPr>
        <w:t>H2</w:t>
      </w:r>
      <w:r>
        <w:rPr>
          <w:rFonts w:ascii="Times New Roman" w:eastAsia="宋体" w:hAnsi="Times New Roman" w:cs="Times New Roman" w:hint="eastAsia"/>
          <w:snapToGrid/>
          <w:color w:val="auto"/>
          <w:kern w:val="2"/>
          <w:sz w:val="24"/>
          <w:szCs w:val="24"/>
          <w:lang w:eastAsia="zh-CN"/>
        </w:rPr>
        <w:t>站，渔获率为</w:t>
      </w:r>
      <w:r>
        <w:rPr>
          <w:rFonts w:ascii="Times New Roman" w:eastAsia="宋体" w:hAnsi="Times New Roman" w:cs="Times New Roman" w:hint="eastAsia"/>
          <w:snapToGrid/>
          <w:color w:val="auto"/>
          <w:kern w:val="2"/>
          <w:sz w:val="24"/>
          <w:szCs w:val="24"/>
          <w:lang w:eastAsia="zh-CN"/>
        </w:rPr>
        <w:t>1.03kg/h</w:t>
      </w:r>
      <w:r>
        <w:rPr>
          <w:rFonts w:ascii="Times New Roman" w:eastAsia="宋体" w:hAnsi="Times New Roman" w:cs="Times New Roman" w:hint="eastAsia"/>
          <w:snapToGrid/>
          <w:color w:val="auto"/>
          <w:kern w:val="2"/>
          <w:sz w:val="24"/>
          <w:szCs w:val="24"/>
          <w:lang w:eastAsia="zh-CN"/>
        </w:rPr>
        <w:t>。按个体计，个体渔获率范围为</w:t>
      </w:r>
      <w:r>
        <w:rPr>
          <w:rFonts w:ascii="Times New Roman" w:eastAsia="宋体" w:hAnsi="Times New Roman" w:cs="Times New Roman" w:hint="eastAsia"/>
          <w:snapToGrid/>
          <w:color w:val="auto"/>
          <w:kern w:val="2"/>
          <w:sz w:val="24"/>
          <w:szCs w:val="24"/>
          <w:lang w:eastAsia="zh-CN"/>
        </w:rPr>
        <w:t>0~72.27ind./h</w:t>
      </w:r>
      <w:r>
        <w:rPr>
          <w:rFonts w:ascii="Times New Roman" w:eastAsia="宋体" w:hAnsi="Times New Roman" w:cs="Times New Roman" w:hint="eastAsia"/>
          <w:snapToGrid/>
          <w:color w:val="auto"/>
          <w:kern w:val="2"/>
          <w:sz w:val="24"/>
          <w:szCs w:val="24"/>
          <w:lang w:eastAsia="zh-CN"/>
        </w:rPr>
        <w:t>，平均</w:t>
      </w:r>
      <w:r>
        <w:rPr>
          <w:rFonts w:ascii="Times New Roman" w:eastAsia="宋体" w:hAnsi="Times New Roman" w:cs="Times New Roman" w:hint="eastAsia"/>
          <w:snapToGrid/>
          <w:color w:val="auto"/>
          <w:kern w:val="2"/>
          <w:sz w:val="24"/>
          <w:szCs w:val="24"/>
          <w:lang w:eastAsia="zh-CN"/>
        </w:rPr>
        <w:t>13.43ind./h</w:t>
      </w:r>
      <w:r>
        <w:rPr>
          <w:rFonts w:ascii="Times New Roman" w:eastAsia="宋体" w:hAnsi="Times New Roman" w:cs="Times New Roman" w:hint="eastAsia"/>
          <w:snapToGrid/>
          <w:color w:val="auto"/>
          <w:kern w:val="2"/>
          <w:sz w:val="24"/>
          <w:szCs w:val="24"/>
          <w:lang w:eastAsia="zh-CN"/>
        </w:rPr>
        <w:t>。个体渔获率以</w:t>
      </w:r>
      <w:r>
        <w:rPr>
          <w:rFonts w:ascii="Times New Roman" w:eastAsia="宋体" w:hAnsi="Times New Roman" w:cs="Times New Roman" w:hint="eastAsia"/>
          <w:snapToGrid/>
          <w:color w:val="auto"/>
          <w:kern w:val="2"/>
          <w:sz w:val="24"/>
          <w:szCs w:val="24"/>
          <w:lang w:eastAsia="zh-CN"/>
        </w:rPr>
        <w:t>H2</w:t>
      </w:r>
      <w:r>
        <w:rPr>
          <w:rFonts w:ascii="Times New Roman" w:eastAsia="宋体" w:hAnsi="Times New Roman" w:cs="Times New Roman" w:hint="eastAsia"/>
          <w:snapToGrid/>
          <w:color w:val="auto"/>
          <w:kern w:val="2"/>
          <w:sz w:val="24"/>
          <w:szCs w:val="24"/>
          <w:lang w:eastAsia="zh-CN"/>
        </w:rPr>
        <w:t>站最高，为</w:t>
      </w:r>
      <w:r>
        <w:rPr>
          <w:rFonts w:ascii="Times New Roman" w:eastAsia="宋体" w:hAnsi="Times New Roman" w:cs="Times New Roman" w:hint="eastAsia"/>
          <w:snapToGrid/>
          <w:color w:val="auto"/>
          <w:kern w:val="2"/>
          <w:sz w:val="24"/>
          <w:szCs w:val="24"/>
          <w:lang w:eastAsia="zh-CN"/>
        </w:rPr>
        <w:t>72.27ind./h</w:t>
      </w:r>
      <w:r>
        <w:rPr>
          <w:rFonts w:ascii="Times New Roman" w:eastAsia="宋体" w:hAnsi="Times New Roman" w:cs="Times New Roman" w:hint="eastAsia"/>
          <w:snapToGrid/>
          <w:color w:val="auto"/>
          <w:kern w:val="2"/>
          <w:sz w:val="24"/>
          <w:szCs w:val="24"/>
          <w:lang w:eastAsia="zh-CN"/>
        </w:rPr>
        <w:t>；其次为</w:t>
      </w:r>
      <w:r>
        <w:rPr>
          <w:rFonts w:ascii="Times New Roman" w:eastAsia="宋体" w:hAnsi="Times New Roman" w:cs="Times New Roman" w:hint="eastAsia"/>
          <w:snapToGrid/>
          <w:color w:val="auto"/>
          <w:kern w:val="2"/>
          <w:sz w:val="24"/>
          <w:szCs w:val="24"/>
          <w:lang w:eastAsia="zh-CN"/>
        </w:rPr>
        <w:t>H9</w:t>
      </w:r>
      <w:r>
        <w:rPr>
          <w:rFonts w:ascii="Times New Roman" w:eastAsia="宋体" w:hAnsi="Times New Roman" w:cs="Times New Roman" w:hint="eastAsia"/>
          <w:snapToGrid/>
          <w:color w:val="auto"/>
          <w:kern w:val="2"/>
          <w:sz w:val="24"/>
          <w:szCs w:val="24"/>
          <w:lang w:eastAsia="zh-CN"/>
        </w:rPr>
        <w:t>站，为</w:t>
      </w:r>
      <w:r>
        <w:rPr>
          <w:rFonts w:ascii="Times New Roman" w:eastAsia="宋体" w:hAnsi="Times New Roman" w:cs="Times New Roman" w:hint="eastAsia"/>
          <w:snapToGrid/>
          <w:color w:val="auto"/>
          <w:kern w:val="2"/>
          <w:sz w:val="24"/>
          <w:szCs w:val="24"/>
          <w:lang w:eastAsia="zh-CN"/>
        </w:rPr>
        <w:t>19.53ind./h</w:t>
      </w:r>
      <w:r>
        <w:rPr>
          <w:rFonts w:ascii="Times New Roman" w:eastAsia="宋体" w:hAnsi="Times New Roman" w:cs="Times New Roman" w:hint="eastAsia"/>
          <w:snapToGrid/>
          <w:color w:val="auto"/>
          <w:kern w:val="2"/>
          <w:sz w:val="24"/>
          <w:szCs w:val="24"/>
          <w:lang w:eastAsia="zh-CN"/>
        </w:rPr>
        <w:t>（详见表</w:t>
      </w:r>
      <w:r>
        <w:rPr>
          <w:rFonts w:ascii="Times New Roman" w:eastAsia="宋体" w:hAnsi="Times New Roman" w:cs="Times New Roman" w:hint="eastAsia"/>
          <w:snapToGrid/>
          <w:color w:val="auto"/>
          <w:kern w:val="2"/>
          <w:sz w:val="24"/>
          <w:szCs w:val="24"/>
          <w:lang w:eastAsia="zh-CN"/>
        </w:rPr>
        <w:t>3.2.6-34</w:t>
      </w:r>
      <w:r>
        <w:rPr>
          <w:rFonts w:ascii="Times New Roman" w:eastAsia="宋体" w:hAnsi="Times New Roman" w:cs="Times New Roman" w:hint="eastAsia"/>
          <w:snapToGrid/>
          <w:color w:val="auto"/>
          <w:kern w:val="2"/>
          <w:sz w:val="24"/>
          <w:szCs w:val="24"/>
          <w:lang w:eastAsia="zh-CN"/>
        </w:rPr>
        <w:t>）。</w:t>
      </w:r>
    </w:p>
    <w:p w14:paraId="26798A5D" w14:textId="77777777" w:rsidR="0075791A" w:rsidRDefault="00FB2864">
      <w:pPr>
        <w:kinsoku/>
        <w:adjustRightInd/>
        <w:snapToGrid/>
        <w:spacing w:line="348"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项目区及附近海域目前贝类的资源密度约为</w:t>
      </w:r>
      <w:r>
        <w:rPr>
          <w:rFonts w:ascii="Times New Roman" w:eastAsia="宋体" w:hAnsi="Times New Roman" w:cs="Times New Roman" w:hint="eastAsia"/>
          <w:snapToGrid/>
          <w:color w:val="auto"/>
          <w:kern w:val="2"/>
          <w:sz w:val="24"/>
          <w:szCs w:val="24"/>
          <w:lang w:eastAsia="zh-CN"/>
        </w:rPr>
        <w:t>32.08kg/km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，以</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站最高，为</w:t>
      </w:r>
      <w:r>
        <w:rPr>
          <w:rFonts w:ascii="Times New Roman" w:eastAsia="宋体" w:hAnsi="Times New Roman" w:cs="Times New Roman" w:hint="eastAsia"/>
          <w:snapToGrid/>
          <w:color w:val="auto"/>
          <w:kern w:val="2"/>
          <w:sz w:val="24"/>
          <w:szCs w:val="24"/>
          <w:lang w:eastAsia="zh-CN"/>
        </w:rPr>
        <w:t>107.63kg/km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；其次是</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站，为</w:t>
      </w:r>
      <w:r>
        <w:rPr>
          <w:rFonts w:ascii="Times New Roman" w:eastAsia="宋体" w:hAnsi="Times New Roman" w:cs="Times New Roman" w:hint="eastAsia"/>
          <w:snapToGrid/>
          <w:color w:val="auto"/>
          <w:kern w:val="2"/>
          <w:sz w:val="24"/>
          <w:szCs w:val="24"/>
          <w:lang w:eastAsia="zh-CN"/>
        </w:rPr>
        <w:t>50.91kg/km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。个体平均资源密度为</w:t>
      </w:r>
      <w:r>
        <w:rPr>
          <w:rFonts w:ascii="Times New Roman" w:eastAsia="宋体" w:hAnsi="Times New Roman" w:cs="Times New Roman" w:hint="eastAsia"/>
          <w:snapToGrid/>
          <w:color w:val="auto"/>
          <w:kern w:val="2"/>
          <w:sz w:val="24"/>
          <w:szCs w:val="24"/>
          <w:lang w:eastAsia="zh-CN"/>
        </w:rPr>
        <w:t>888.51ind./km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，以</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站最高（</w:t>
      </w:r>
      <w:r>
        <w:rPr>
          <w:rFonts w:ascii="Times New Roman" w:eastAsia="宋体" w:hAnsi="Times New Roman" w:cs="Times New Roman" w:hint="eastAsia"/>
          <w:snapToGrid/>
          <w:color w:val="auto"/>
          <w:kern w:val="2"/>
          <w:sz w:val="24"/>
          <w:szCs w:val="24"/>
          <w:lang w:eastAsia="zh-CN"/>
        </w:rPr>
        <w:t>3573.64ind./km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）；其次为</w:t>
      </w:r>
      <w:r>
        <w:rPr>
          <w:rFonts w:ascii="Times New Roman" w:eastAsia="宋体" w:hAnsi="Times New Roman" w:cs="Times New Roman" w:hint="eastAsia"/>
          <w:snapToGrid/>
          <w:color w:val="auto"/>
          <w:kern w:val="2"/>
          <w:sz w:val="24"/>
          <w:szCs w:val="24"/>
          <w:lang w:eastAsia="zh-CN"/>
        </w:rPr>
        <w:t>9</w:t>
      </w:r>
      <w:r>
        <w:rPr>
          <w:rFonts w:ascii="Times New Roman" w:eastAsia="宋体" w:hAnsi="Times New Roman" w:cs="Times New Roman" w:hint="eastAsia"/>
          <w:snapToGrid/>
          <w:color w:val="auto"/>
          <w:kern w:val="2"/>
          <w:sz w:val="24"/>
          <w:szCs w:val="24"/>
          <w:lang w:eastAsia="zh-CN"/>
        </w:rPr>
        <w:t>站，资源密度为</w:t>
      </w:r>
      <w:r>
        <w:rPr>
          <w:rFonts w:ascii="Times New Roman" w:eastAsia="宋体" w:hAnsi="Times New Roman" w:cs="Times New Roman" w:hint="eastAsia"/>
          <w:snapToGrid/>
          <w:color w:val="auto"/>
          <w:kern w:val="2"/>
          <w:sz w:val="24"/>
          <w:szCs w:val="24"/>
          <w:lang w:eastAsia="zh-CN"/>
        </w:rPr>
        <w:t>1004.57ind./km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（详见表</w:t>
      </w:r>
      <w:r>
        <w:rPr>
          <w:rFonts w:ascii="Times New Roman" w:eastAsia="宋体" w:hAnsi="Times New Roman" w:cs="Times New Roman" w:hint="eastAsia"/>
          <w:snapToGrid/>
          <w:color w:val="auto"/>
          <w:kern w:val="2"/>
          <w:sz w:val="24"/>
          <w:szCs w:val="24"/>
          <w:lang w:eastAsia="zh-CN"/>
        </w:rPr>
        <w:t>3.2.6-34</w:t>
      </w:r>
      <w:r>
        <w:rPr>
          <w:rFonts w:ascii="Times New Roman" w:eastAsia="宋体" w:hAnsi="Times New Roman" w:cs="Times New Roman" w:hint="eastAsia"/>
          <w:snapToGrid/>
          <w:color w:val="auto"/>
          <w:kern w:val="2"/>
          <w:sz w:val="24"/>
          <w:szCs w:val="24"/>
          <w:lang w:eastAsia="zh-CN"/>
        </w:rPr>
        <w:t>）。</w:t>
      </w:r>
    </w:p>
    <w:p w14:paraId="1FBDE1A9" w14:textId="77777777" w:rsidR="0075791A" w:rsidRDefault="00FB2864">
      <w:pPr>
        <w:kinsoku/>
        <w:adjustRightInd/>
        <w:snapToGrid/>
        <w:spacing w:line="348"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本次调查贝类相对重要性指数（</w:t>
      </w:r>
      <w:r>
        <w:rPr>
          <w:rFonts w:ascii="Times New Roman" w:eastAsia="宋体" w:hAnsi="Times New Roman" w:cs="Times New Roman" w:hint="eastAsia"/>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）均未达到优势种水平。渔获物有</w:t>
      </w:r>
      <w:r>
        <w:rPr>
          <w:rFonts w:ascii="Times New Roman" w:eastAsia="宋体" w:hAnsi="Times New Roman" w:cs="Times New Roman" w:hint="eastAsia"/>
          <w:snapToGrid/>
          <w:color w:val="auto"/>
          <w:kern w:val="2"/>
          <w:sz w:val="24"/>
          <w:szCs w:val="24"/>
          <w:lang w:eastAsia="zh-CN"/>
        </w:rPr>
        <w:t>7</w:t>
      </w:r>
      <w:r>
        <w:rPr>
          <w:rFonts w:ascii="Times New Roman" w:eastAsia="宋体" w:hAnsi="Times New Roman" w:cs="Times New Roman" w:hint="eastAsia"/>
          <w:snapToGrid/>
          <w:color w:val="auto"/>
          <w:kern w:val="2"/>
          <w:sz w:val="24"/>
          <w:szCs w:val="24"/>
          <w:lang w:eastAsia="zh-CN"/>
        </w:rPr>
        <w:t>种，一般种</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种，少见种</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种（详见表</w:t>
      </w:r>
      <w:r>
        <w:rPr>
          <w:rFonts w:ascii="Times New Roman" w:eastAsia="宋体" w:hAnsi="Times New Roman" w:cs="Times New Roman" w:hint="eastAsia"/>
          <w:snapToGrid/>
          <w:color w:val="auto"/>
          <w:kern w:val="2"/>
          <w:sz w:val="24"/>
          <w:szCs w:val="24"/>
          <w:lang w:eastAsia="zh-CN"/>
        </w:rPr>
        <w:t>3.2.6-35</w:t>
      </w:r>
      <w:r>
        <w:rPr>
          <w:rFonts w:ascii="Times New Roman" w:eastAsia="宋体" w:hAnsi="Times New Roman" w:cs="Times New Roman" w:hint="eastAsia"/>
          <w:snapToGrid/>
          <w:color w:val="auto"/>
          <w:kern w:val="2"/>
          <w:sz w:val="24"/>
          <w:szCs w:val="24"/>
          <w:lang w:eastAsia="zh-CN"/>
        </w:rPr>
        <w:t>）。</w:t>
      </w:r>
    </w:p>
    <w:p w14:paraId="5286DBFF" w14:textId="77777777" w:rsidR="0075791A" w:rsidRDefault="00FB2864">
      <w:pPr>
        <w:pStyle w:val="a5"/>
        <w:tabs>
          <w:tab w:val="left" w:pos="1339"/>
        </w:tabs>
        <w:spacing w:line="240" w:lineRule="exact"/>
        <w:jc w:val="center"/>
        <w:rPr>
          <w:color w:val="auto"/>
          <w:sz w:val="24"/>
          <w:szCs w:val="24"/>
          <w:lang w:eastAsia="zh-CN"/>
        </w:rPr>
      </w:pPr>
      <w:r>
        <w:rPr>
          <w:color w:val="auto"/>
          <w:sz w:val="24"/>
          <w:szCs w:val="24"/>
          <w:lang w:eastAsia="zh-CN"/>
        </w:rPr>
        <w:t>表</w:t>
      </w:r>
      <w:r>
        <w:rPr>
          <w:color w:val="auto"/>
          <w:spacing w:val="-60"/>
          <w:sz w:val="24"/>
          <w:szCs w:val="24"/>
          <w:lang w:eastAsia="zh-CN"/>
        </w:rPr>
        <w:t xml:space="preserve"> </w:t>
      </w:r>
      <w:r>
        <w:rPr>
          <w:rFonts w:ascii="Times New Roman" w:eastAsia="宋体" w:hAnsi="Times New Roman" w:cs="Times New Roman" w:hint="eastAsia"/>
          <w:snapToGrid/>
          <w:color w:val="auto"/>
          <w:kern w:val="2"/>
          <w:sz w:val="24"/>
          <w:szCs w:val="24"/>
          <w:lang w:eastAsia="zh-CN"/>
        </w:rPr>
        <w:t xml:space="preserve">3.2.6-34  </w:t>
      </w:r>
      <w:r>
        <w:rPr>
          <w:rFonts w:ascii="Times New Roman" w:eastAsia="Times New Roman" w:hAnsi="Times New Roman" w:cs="Times New Roman"/>
          <w:color w:val="auto"/>
          <w:sz w:val="24"/>
          <w:szCs w:val="24"/>
          <w:lang w:eastAsia="zh-CN"/>
        </w:rPr>
        <w:t xml:space="preserve">2024 </w:t>
      </w:r>
      <w:r>
        <w:rPr>
          <w:color w:val="auto"/>
          <w:sz w:val="24"/>
          <w:szCs w:val="24"/>
          <w:lang w:eastAsia="zh-CN"/>
        </w:rPr>
        <w:t>年</w:t>
      </w:r>
      <w:r>
        <w:rPr>
          <w:color w:val="auto"/>
          <w:spacing w:val="-60"/>
          <w:sz w:val="24"/>
          <w:szCs w:val="24"/>
          <w:lang w:eastAsia="zh-CN"/>
        </w:rPr>
        <w:t xml:space="preserve"> </w:t>
      </w:r>
      <w:r>
        <w:rPr>
          <w:rFonts w:ascii="Times New Roman" w:eastAsia="Times New Roman" w:hAnsi="Times New Roman" w:cs="Times New Roman"/>
          <w:color w:val="auto"/>
          <w:sz w:val="24"/>
          <w:szCs w:val="24"/>
          <w:lang w:eastAsia="zh-CN"/>
        </w:rPr>
        <w:t xml:space="preserve">9 </w:t>
      </w:r>
      <w:r>
        <w:rPr>
          <w:color w:val="auto"/>
          <w:sz w:val="24"/>
          <w:szCs w:val="24"/>
          <w:lang w:eastAsia="zh-CN"/>
        </w:rPr>
        <w:t>月航次调查海域贝类的渔获率和资源密度</w:t>
      </w:r>
    </w:p>
    <w:tbl>
      <w:tblPr>
        <w:tblW w:w="0" w:type="auto"/>
        <w:tblInd w:w="108" w:type="dxa"/>
        <w:tblLayout w:type="fixed"/>
        <w:tblCellMar>
          <w:left w:w="0" w:type="dxa"/>
          <w:right w:w="0" w:type="dxa"/>
        </w:tblCellMar>
        <w:tblLook w:val="04A0" w:firstRow="1" w:lastRow="0" w:firstColumn="1" w:lastColumn="0" w:noHBand="0" w:noVBand="1"/>
      </w:tblPr>
      <w:tblGrid>
        <w:gridCol w:w="1220"/>
        <w:gridCol w:w="772"/>
        <w:gridCol w:w="1732"/>
        <w:gridCol w:w="1732"/>
        <w:gridCol w:w="1732"/>
        <w:gridCol w:w="1730"/>
      </w:tblGrid>
      <w:tr w:rsidR="0075791A" w14:paraId="01160AC3" w14:textId="77777777">
        <w:trPr>
          <w:trHeight w:hRule="exact" w:val="260"/>
        </w:trPr>
        <w:tc>
          <w:tcPr>
            <w:tcW w:w="1220" w:type="dxa"/>
            <w:vMerge w:val="restart"/>
            <w:tcBorders>
              <w:top w:val="single" w:sz="4" w:space="0" w:color="000000"/>
              <w:left w:val="single" w:sz="4" w:space="0" w:color="000000"/>
              <w:right w:val="single" w:sz="4" w:space="0" w:color="000000"/>
            </w:tcBorders>
            <w:vAlign w:val="center"/>
          </w:tcPr>
          <w:p w14:paraId="1AB2AA0B" w14:textId="77777777" w:rsidR="0075791A" w:rsidRDefault="00FB2864">
            <w:pPr>
              <w:pStyle w:val="TableParagraph"/>
              <w:ind w:left="184"/>
              <w:rPr>
                <w:rFonts w:ascii="宋体" w:eastAsia="宋体" w:hAnsi="宋体" w:cs="宋体"/>
                <w:color w:val="auto"/>
              </w:rPr>
            </w:pPr>
            <w:r>
              <w:rPr>
                <w:rFonts w:ascii="宋体" w:eastAsia="宋体" w:hAnsi="宋体" w:cs="宋体"/>
                <w:color w:val="auto"/>
                <w:spacing w:val="-1"/>
              </w:rPr>
              <w:t>作</w:t>
            </w:r>
            <w:r>
              <w:rPr>
                <w:rFonts w:ascii="宋体" w:eastAsia="宋体" w:hAnsi="宋体" w:cs="宋体"/>
                <w:color w:val="auto"/>
                <w:spacing w:val="2"/>
              </w:rPr>
              <w:t>业</w:t>
            </w:r>
            <w:r>
              <w:rPr>
                <w:rFonts w:ascii="宋体" w:eastAsia="宋体" w:hAnsi="宋体" w:cs="宋体"/>
                <w:color w:val="auto"/>
                <w:spacing w:val="-1"/>
              </w:rPr>
              <w:t>方</w:t>
            </w:r>
            <w:r>
              <w:rPr>
                <w:rFonts w:ascii="宋体" w:eastAsia="宋体" w:hAnsi="宋体" w:cs="宋体"/>
                <w:color w:val="auto"/>
              </w:rPr>
              <w:t>式</w:t>
            </w:r>
          </w:p>
        </w:tc>
        <w:tc>
          <w:tcPr>
            <w:tcW w:w="772" w:type="dxa"/>
            <w:vMerge w:val="restart"/>
            <w:tcBorders>
              <w:top w:val="single" w:sz="4" w:space="0" w:color="000000"/>
              <w:left w:val="single" w:sz="4" w:space="0" w:color="000000"/>
              <w:right w:val="single" w:sz="4" w:space="0" w:color="000000"/>
            </w:tcBorders>
            <w:vAlign w:val="center"/>
          </w:tcPr>
          <w:p w14:paraId="53322AC2" w14:textId="77777777" w:rsidR="0075791A" w:rsidRDefault="0075791A">
            <w:pPr>
              <w:pStyle w:val="TableParagraph"/>
              <w:spacing w:before="19" w:line="260" w:lineRule="exact"/>
              <w:rPr>
                <w:color w:val="auto"/>
                <w:sz w:val="26"/>
                <w:szCs w:val="26"/>
              </w:rPr>
            </w:pPr>
          </w:p>
          <w:p w14:paraId="469F283F" w14:textId="77777777" w:rsidR="0075791A" w:rsidRDefault="00FB2864">
            <w:pPr>
              <w:pStyle w:val="TableParagraph"/>
              <w:ind w:left="171"/>
              <w:rPr>
                <w:rFonts w:ascii="宋体" w:eastAsia="宋体" w:hAnsi="宋体" w:cs="宋体"/>
                <w:color w:val="auto"/>
              </w:rPr>
            </w:pPr>
            <w:r>
              <w:rPr>
                <w:rFonts w:ascii="宋体" w:eastAsia="宋体" w:hAnsi="宋体" w:cs="宋体"/>
                <w:color w:val="auto"/>
                <w:spacing w:val="-1"/>
              </w:rPr>
              <w:t>站</w:t>
            </w:r>
            <w:r>
              <w:rPr>
                <w:rFonts w:ascii="宋体" w:eastAsia="宋体" w:hAnsi="宋体" w:cs="宋体"/>
                <w:color w:val="auto"/>
              </w:rPr>
              <w:t>位</w:t>
            </w:r>
          </w:p>
        </w:tc>
        <w:tc>
          <w:tcPr>
            <w:tcW w:w="3464" w:type="dxa"/>
            <w:gridSpan w:val="2"/>
            <w:tcBorders>
              <w:top w:val="single" w:sz="4" w:space="0" w:color="000000"/>
              <w:left w:val="single" w:sz="4" w:space="0" w:color="000000"/>
              <w:bottom w:val="single" w:sz="4" w:space="0" w:color="000000"/>
              <w:right w:val="single" w:sz="4" w:space="0" w:color="000000"/>
            </w:tcBorders>
            <w:vAlign w:val="center"/>
          </w:tcPr>
          <w:p w14:paraId="62D7D592" w14:textId="77777777" w:rsidR="0075791A" w:rsidRDefault="00FB2864">
            <w:pPr>
              <w:pStyle w:val="TableParagraph"/>
              <w:spacing w:line="265" w:lineRule="exact"/>
              <w:ind w:left="1393" w:right="1392"/>
              <w:jc w:val="center"/>
              <w:rPr>
                <w:rFonts w:ascii="宋体" w:eastAsia="宋体" w:hAnsi="宋体" w:cs="宋体"/>
                <w:color w:val="auto"/>
              </w:rPr>
            </w:pPr>
            <w:r>
              <w:rPr>
                <w:rFonts w:ascii="宋体" w:eastAsia="宋体" w:hAnsi="宋体" w:cs="宋体"/>
                <w:color w:val="auto"/>
                <w:spacing w:val="-1"/>
              </w:rPr>
              <w:t>渔</w:t>
            </w:r>
            <w:r>
              <w:rPr>
                <w:rFonts w:ascii="宋体" w:eastAsia="宋体" w:hAnsi="宋体" w:cs="宋体"/>
                <w:color w:val="auto"/>
                <w:spacing w:val="2"/>
              </w:rPr>
              <w:t>获</w:t>
            </w:r>
            <w:r>
              <w:rPr>
                <w:rFonts w:ascii="宋体" w:eastAsia="宋体" w:hAnsi="宋体" w:cs="宋体"/>
                <w:color w:val="auto"/>
              </w:rPr>
              <w:t>率</w:t>
            </w:r>
          </w:p>
        </w:tc>
        <w:tc>
          <w:tcPr>
            <w:tcW w:w="3462" w:type="dxa"/>
            <w:gridSpan w:val="2"/>
            <w:tcBorders>
              <w:top w:val="single" w:sz="4" w:space="0" w:color="000000"/>
              <w:left w:val="single" w:sz="4" w:space="0" w:color="000000"/>
              <w:bottom w:val="single" w:sz="4" w:space="0" w:color="000000"/>
              <w:right w:val="single" w:sz="4" w:space="0" w:color="000000"/>
            </w:tcBorders>
            <w:vAlign w:val="center"/>
          </w:tcPr>
          <w:p w14:paraId="0D293655" w14:textId="77777777" w:rsidR="0075791A" w:rsidRDefault="00FB2864">
            <w:pPr>
              <w:pStyle w:val="TableParagraph"/>
              <w:spacing w:line="265" w:lineRule="exact"/>
              <w:ind w:left="1286" w:right="1287"/>
              <w:jc w:val="center"/>
              <w:rPr>
                <w:rFonts w:ascii="宋体" w:eastAsia="宋体" w:hAnsi="宋体" w:cs="宋体"/>
                <w:color w:val="auto"/>
              </w:rPr>
            </w:pPr>
            <w:r>
              <w:rPr>
                <w:rFonts w:ascii="宋体" w:eastAsia="宋体" w:hAnsi="宋体" w:cs="宋体"/>
                <w:color w:val="auto"/>
                <w:spacing w:val="-1"/>
              </w:rPr>
              <w:t>资</w:t>
            </w:r>
            <w:r>
              <w:rPr>
                <w:rFonts w:ascii="宋体" w:eastAsia="宋体" w:hAnsi="宋体" w:cs="宋体"/>
                <w:color w:val="auto"/>
                <w:spacing w:val="2"/>
              </w:rPr>
              <w:t>源</w:t>
            </w:r>
            <w:r>
              <w:rPr>
                <w:rFonts w:ascii="宋体" w:eastAsia="宋体" w:hAnsi="宋体" w:cs="宋体"/>
                <w:color w:val="auto"/>
                <w:spacing w:val="-1"/>
              </w:rPr>
              <w:t>密</w:t>
            </w:r>
            <w:r>
              <w:rPr>
                <w:rFonts w:ascii="宋体" w:eastAsia="宋体" w:hAnsi="宋体" w:cs="宋体"/>
                <w:color w:val="auto"/>
              </w:rPr>
              <w:t>度</w:t>
            </w:r>
          </w:p>
        </w:tc>
      </w:tr>
      <w:tr w:rsidR="0075791A" w14:paraId="4D18EF36" w14:textId="77777777">
        <w:trPr>
          <w:trHeight w:hRule="exact" w:val="508"/>
        </w:trPr>
        <w:tc>
          <w:tcPr>
            <w:tcW w:w="1220" w:type="dxa"/>
            <w:vMerge/>
            <w:tcBorders>
              <w:left w:val="single" w:sz="4" w:space="0" w:color="000000"/>
              <w:bottom w:val="single" w:sz="4" w:space="0" w:color="000000"/>
              <w:right w:val="single" w:sz="4" w:space="0" w:color="000000"/>
            </w:tcBorders>
            <w:vAlign w:val="center"/>
          </w:tcPr>
          <w:p w14:paraId="45A790F0" w14:textId="77777777" w:rsidR="0075791A" w:rsidRDefault="0075791A">
            <w:pPr>
              <w:rPr>
                <w:color w:val="auto"/>
              </w:rPr>
            </w:pPr>
          </w:p>
        </w:tc>
        <w:tc>
          <w:tcPr>
            <w:tcW w:w="772" w:type="dxa"/>
            <w:vMerge/>
            <w:tcBorders>
              <w:left w:val="single" w:sz="4" w:space="0" w:color="000000"/>
              <w:bottom w:val="single" w:sz="4" w:space="0" w:color="000000"/>
              <w:right w:val="single" w:sz="4" w:space="0" w:color="000000"/>
            </w:tcBorders>
            <w:vAlign w:val="center"/>
          </w:tcPr>
          <w:p w14:paraId="48702692" w14:textId="77777777" w:rsidR="0075791A" w:rsidRDefault="0075791A">
            <w:pPr>
              <w:rPr>
                <w:color w:val="auto"/>
              </w:rPr>
            </w:pPr>
          </w:p>
        </w:tc>
        <w:tc>
          <w:tcPr>
            <w:tcW w:w="1732" w:type="dxa"/>
            <w:tcBorders>
              <w:top w:val="single" w:sz="4" w:space="0" w:color="000000"/>
              <w:left w:val="single" w:sz="4" w:space="0" w:color="000000"/>
              <w:bottom w:val="single" w:sz="4" w:space="0" w:color="000000"/>
              <w:right w:val="single" w:sz="4" w:space="0" w:color="000000"/>
            </w:tcBorders>
            <w:vAlign w:val="center"/>
          </w:tcPr>
          <w:p w14:paraId="11849D1D" w14:textId="77777777" w:rsidR="0075791A" w:rsidRDefault="00FB2864">
            <w:pPr>
              <w:pStyle w:val="TableParagraph"/>
              <w:spacing w:line="264" w:lineRule="exact"/>
              <w:ind w:left="314" w:right="316"/>
              <w:jc w:val="center"/>
              <w:rPr>
                <w:rFonts w:ascii="宋体" w:eastAsia="宋体" w:hAnsi="宋体" w:cs="宋体"/>
                <w:color w:val="auto"/>
                <w:lang w:eastAsia="zh-CN"/>
              </w:rPr>
            </w:pPr>
            <w:r>
              <w:rPr>
                <w:rFonts w:ascii="宋体" w:eastAsia="宋体" w:hAnsi="宋体" w:cs="宋体"/>
                <w:color w:val="auto"/>
                <w:spacing w:val="-1"/>
                <w:lang w:eastAsia="zh-CN"/>
              </w:rPr>
              <w:t>重</w:t>
            </w:r>
            <w:r>
              <w:rPr>
                <w:rFonts w:ascii="宋体" w:eastAsia="宋体" w:hAnsi="宋体" w:cs="宋体"/>
                <w:color w:val="auto"/>
                <w:spacing w:val="2"/>
                <w:lang w:eastAsia="zh-CN"/>
              </w:rPr>
              <w:t>量</w:t>
            </w:r>
            <w:r>
              <w:rPr>
                <w:rFonts w:ascii="宋体" w:eastAsia="宋体" w:hAnsi="宋体" w:cs="宋体"/>
                <w:color w:val="auto"/>
                <w:spacing w:val="-1"/>
                <w:lang w:eastAsia="zh-CN"/>
              </w:rPr>
              <w:t>渔</w:t>
            </w:r>
            <w:r>
              <w:rPr>
                <w:rFonts w:ascii="宋体" w:eastAsia="宋体" w:hAnsi="宋体" w:cs="宋体"/>
                <w:color w:val="auto"/>
                <w:spacing w:val="2"/>
                <w:lang w:eastAsia="zh-CN"/>
              </w:rPr>
              <w:t>获</w:t>
            </w:r>
            <w:r>
              <w:rPr>
                <w:rFonts w:ascii="宋体" w:eastAsia="宋体" w:hAnsi="宋体" w:cs="宋体"/>
                <w:color w:val="auto"/>
                <w:lang w:eastAsia="zh-CN"/>
              </w:rPr>
              <w:t>率</w:t>
            </w:r>
          </w:p>
          <w:p w14:paraId="278C0E7E" w14:textId="77777777" w:rsidR="0075791A" w:rsidRDefault="00FB2864">
            <w:pPr>
              <w:pStyle w:val="TableParagraph"/>
              <w:spacing w:before="12"/>
              <w:ind w:left="444" w:right="447"/>
              <w:jc w:val="center"/>
              <w:rPr>
                <w:rFonts w:ascii="宋体" w:eastAsia="宋体" w:hAnsi="宋体" w:cs="宋体"/>
                <w:color w:val="auto"/>
                <w:lang w:eastAsia="zh-CN"/>
              </w:rPr>
            </w:pPr>
            <w:r>
              <w:rPr>
                <w:rFonts w:ascii="宋体" w:eastAsia="宋体" w:hAnsi="宋体" w:cs="宋体"/>
                <w:color w:val="auto"/>
                <w:spacing w:val="-1"/>
                <w:lang w:eastAsia="zh-CN"/>
              </w:rPr>
              <w:t>（</w:t>
            </w:r>
            <w:r>
              <w:rPr>
                <w:rFonts w:ascii="Times New Roman" w:eastAsia="Times New Roman" w:hAnsi="Times New Roman" w:cs="Times New Roman"/>
                <w:color w:val="auto"/>
                <w:spacing w:val="-2"/>
                <w:lang w:eastAsia="zh-CN"/>
              </w:rPr>
              <w:t>kg</w:t>
            </w:r>
            <w:r>
              <w:rPr>
                <w:rFonts w:ascii="Times New Roman" w:eastAsia="Times New Roman" w:hAnsi="Times New Roman" w:cs="Times New Roman"/>
                <w:color w:val="auto"/>
                <w:spacing w:val="2"/>
                <w:lang w:eastAsia="zh-CN"/>
              </w:rPr>
              <w:t>/</w:t>
            </w:r>
            <w:r>
              <w:rPr>
                <w:rFonts w:ascii="Times New Roman" w:eastAsia="Times New Roman" w:hAnsi="Times New Roman" w:cs="Times New Roman"/>
                <w:color w:val="auto"/>
                <w:spacing w:val="1"/>
                <w:lang w:eastAsia="zh-CN"/>
              </w:rPr>
              <w:t>h</w:t>
            </w:r>
            <w:r>
              <w:rPr>
                <w:rFonts w:ascii="宋体" w:eastAsia="宋体" w:hAnsi="宋体" w:cs="宋体"/>
                <w:color w:val="auto"/>
                <w:lang w:eastAsia="zh-CN"/>
              </w:rPr>
              <w:t>）</w:t>
            </w:r>
          </w:p>
        </w:tc>
        <w:tc>
          <w:tcPr>
            <w:tcW w:w="1732" w:type="dxa"/>
            <w:tcBorders>
              <w:top w:val="single" w:sz="4" w:space="0" w:color="000000"/>
              <w:left w:val="single" w:sz="4" w:space="0" w:color="000000"/>
              <w:bottom w:val="single" w:sz="4" w:space="0" w:color="000000"/>
              <w:right w:val="single" w:sz="4" w:space="0" w:color="000000"/>
            </w:tcBorders>
            <w:vAlign w:val="center"/>
          </w:tcPr>
          <w:p w14:paraId="4314D103" w14:textId="77777777" w:rsidR="0075791A" w:rsidRDefault="00FB2864">
            <w:pPr>
              <w:pStyle w:val="TableParagraph"/>
              <w:spacing w:line="264" w:lineRule="exact"/>
              <w:ind w:left="336"/>
              <w:rPr>
                <w:rFonts w:ascii="宋体" w:eastAsia="宋体" w:hAnsi="宋体" w:cs="宋体"/>
                <w:color w:val="auto"/>
                <w:lang w:eastAsia="zh-CN"/>
              </w:rPr>
            </w:pPr>
            <w:r>
              <w:rPr>
                <w:rFonts w:ascii="宋体" w:eastAsia="宋体" w:hAnsi="宋体" w:cs="宋体"/>
                <w:color w:val="auto"/>
                <w:spacing w:val="-1"/>
                <w:lang w:eastAsia="zh-CN"/>
              </w:rPr>
              <w:t>个</w:t>
            </w:r>
            <w:r>
              <w:rPr>
                <w:rFonts w:ascii="宋体" w:eastAsia="宋体" w:hAnsi="宋体" w:cs="宋体"/>
                <w:color w:val="auto"/>
                <w:spacing w:val="2"/>
                <w:lang w:eastAsia="zh-CN"/>
              </w:rPr>
              <w:t>体</w:t>
            </w:r>
            <w:r>
              <w:rPr>
                <w:rFonts w:ascii="宋体" w:eastAsia="宋体" w:hAnsi="宋体" w:cs="宋体"/>
                <w:color w:val="auto"/>
                <w:spacing w:val="-1"/>
                <w:lang w:eastAsia="zh-CN"/>
              </w:rPr>
              <w:t>渔</w:t>
            </w:r>
            <w:r>
              <w:rPr>
                <w:rFonts w:ascii="宋体" w:eastAsia="宋体" w:hAnsi="宋体" w:cs="宋体"/>
                <w:color w:val="auto"/>
                <w:spacing w:val="2"/>
                <w:lang w:eastAsia="zh-CN"/>
              </w:rPr>
              <w:t>获</w:t>
            </w:r>
            <w:r>
              <w:rPr>
                <w:rFonts w:ascii="宋体" w:eastAsia="宋体" w:hAnsi="宋体" w:cs="宋体"/>
                <w:color w:val="auto"/>
                <w:lang w:eastAsia="zh-CN"/>
              </w:rPr>
              <w:t>率</w:t>
            </w:r>
          </w:p>
          <w:p w14:paraId="10A346BF" w14:textId="77777777" w:rsidR="0075791A" w:rsidRDefault="00FB2864">
            <w:pPr>
              <w:pStyle w:val="TableParagraph"/>
              <w:spacing w:before="12"/>
              <w:ind w:left="434"/>
              <w:rPr>
                <w:rFonts w:ascii="宋体" w:eastAsia="宋体" w:hAnsi="宋体" w:cs="宋体"/>
                <w:color w:val="auto"/>
                <w:lang w:eastAsia="zh-CN"/>
              </w:rPr>
            </w:pPr>
            <w:r>
              <w:rPr>
                <w:rFonts w:ascii="宋体" w:eastAsia="宋体" w:hAnsi="宋体" w:cs="宋体"/>
                <w:color w:val="auto"/>
                <w:spacing w:val="2"/>
                <w:lang w:eastAsia="zh-CN"/>
              </w:rPr>
              <w:t>（</w:t>
            </w:r>
            <w:r>
              <w:rPr>
                <w:rFonts w:ascii="Times New Roman" w:eastAsia="Times New Roman" w:hAnsi="Times New Roman" w:cs="Times New Roman"/>
                <w:color w:val="auto"/>
                <w:spacing w:val="-1"/>
                <w:lang w:eastAsia="zh-CN"/>
              </w:rPr>
              <w:t>i</w:t>
            </w:r>
            <w:r>
              <w:rPr>
                <w:rFonts w:ascii="Times New Roman" w:eastAsia="Times New Roman" w:hAnsi="Times New Roman" w:cs="Times New Roman"/>
                <w:color w:val="auto"/>
                <w:spacing w:val="1"/>
                <w:lang w:eastAsia="zh-CN"/>
              </w:rPr>
              <w:t>nd</w:t>
            </w:r>
            <w:r>
              <w:rPr>
                <w:rFonts w:ascii="Times New Roman" w:eastAsia="Times New Roman" w:hAnsi="Times New Roman" w:cs="Times New Roman"/>
                <w:color w:val="auto"/>
                <w:spacing w:val="-1"/>
                <w:lang w:eastAsia="zh-CN"/>
              </w:rPr>
              <w:t>/</w:t>
            </w:r>
            <w:r>
              <w:rPr>
                <w:rFonts w:ascii="Times New Roman" w:eastAsia="Times New Roman" w:hAnsi="Times New Roman" w:cs="Times New Roman"/>
                <w:color w:val="auto"/>
                <w:spacing w:val="-2"/>
                <w:lang w:eastAsia="zh-CN"/>
              </w:rPr>
              <w:t>h</w:t>
            </w:r>
            <w:r>
              <w:rPr>
                <w:rFonts w:ascii="宋体" w:eastAsia="宋体" w:hAnsi="宋体" w:cs="宋体"/>
                <w:color w:val="auto"/>
                <w:lang w:eastAsia="zh-CN"/>
              </w:rPr>
              <w:t>）</w:t>
            </w:r>
          </w:p>
        </w:tc>
        <w:tc>
          <w:tcPr>
            <w:tcW w:w="1732" w:type="dxa"/>
            <w:tcBorders>
              <w:top w:val="single" w:sz="4" w:space="0" w:color="000000"/>
              <w:left w:val="single" w:sz="4" w:space="0" w:color="000000"/>
              <w:bottom w:val="single" w:sz="4" w:space="0" w:color="000000"/>
              <w:right w:val="single" w:sz="4" w:space="0" w:color="000000"/>
            </w:tcBorders>
            <w:vAlign w:val="center"/>
          </w:tcPr>
          <w:p w14:paraId="62DDBB04" w14:textId="77777777" w:rsidR="0075791A" w:rsidRDefault="00FB2864">
            <w:pPr>
              <w:pStyle w:val="TableParagraph"/>
              <w:spacing w:line="264" w:lineRule="exact"/>
              <w:ind w:left="210" w:right="211"/>
              <w:jc w:val="center"/>
              <w:rPr>
                <w:rFonts w:ascii="宋体" w:eastAsia="宋体" w:hAnsi="宋体" w:cs="宋体"/>
                <w:color w:val="auto"/>
              </w:rPr>
            </w:pPr>
            <w:r>
              <w:rPr>
                <w:rFonts w:ascii="宋体" w:eastAsia="宋体" w:hAnsi="宋体" w:cs="宋体"/>
                <w:color w:val="auto"/>
                <w:spacing w:val="-1"/>
              </w:rPr>
              <w:t>重</w:t>
            </w:r>
            <w:r>
              <w:rPr>
                <w:rFonts w:ascii="宋体" w:eastAsia="宋体" w:hAnsi="宋体" w:cs="宋体"/>
                <w:color w:val="auto"/>
                <w:spacing w:val="2"/>
              </w:rPr>
              <w:t>量</w:t>
            </w:r>
            <w:r>
              <w:rPr>
                <w:rFonts w:ascii="宋体" w:eastAsia="宋体" w:hAnsi="宋体" w:cs="宋体"/>
                <w:color w:val="auto"/>
                <w:spacing w:val="-1"/>
              </w:rPr>
              <w:t>资</w:t>
            </w:r>
            <w:r>
              <w:rPr>
                <w:rFonts w:ascii="宋体" w:eastAsia="宋体" w:hAnsi="宋体" w:cs="宋体"/>
                <w:color w:val="auto"/>
                <w:spacing w:val="2"/>
              </w:rPr>
              <w:t>源</w:t>
            </w:r>
            <w:r>
              <w:rPr>
                <w:rFonts w:ascii="宋体" w:eastAsia="宋体" w:hAnsi="宋体" w:cs="宋体"/>
                <w:color w:val="auto"/>
                <w:spacing w:val="-1"/>
              </w:rPr>
              <w:t>密</w:t>
            </w:r>
            <w:r>
              <w:rPr>
                <w:rFonts w:ascii="宋体" w:eastAsia="宋体" w:hAnsi="宋体" w:cs="宋体"/>
                <w:color w:val="auto"/>
              </w:rPr>
              <w:t>度</w:t>
            </w:r>
          </w:p>
          <w:p w14:paraId="6F5C7A0B" w14:textId="77777777" w:rsidR="0075791A" w:rsidRDefault="00FB2864">
            <w:pPr>
              <w:pStyle w:val="TableParagraph"/>
              <w:spacing w:before="12"/>
              <w:ind w:left="331" w:right="332"/>
              <w:jc w:val="center"/>
              <w:rPr>
                <w:rFonts w:ascii="宋体" w:eastAsia="宋体" w:hAnsi="宋体" w:cs="宋体"/>
                <w:color w:val="auto"/>
              </w:rPr>
            </w:pPr>
            <w:r>
              <w:rPr>
                <w:rFonts w:ascii="宋体" w:eastAsia="宋体" w:hAnsi="宋体" w:cs="宋体"/>
                <w:color w:val="auto"/>
                <w:spacing w:val="-1"/>
              </w:rPr>
              <w:t>（</w:t>
            </w:r>
            <w:r>
              <w:rPr>
                <w:rFonts w:ascii="Times New Roman" w:eastAsia="Times New Roman" w:hAnsi="Times New Roman" w:cs="Times New Roman"/>
                <w:color w:val="auto"/>
                <w:spacing w:val="-2"/>
              </w:rPr>
              <w:t>kg</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k</w:t>
            </w:r>
            <w:r>
              <w:rPr>
                <w:rFonts w:ascii="Times New Roman" w:eastAsia="Times New Roman" w:hAnsi="Times New Roman" w:cs="Times New Roman"/>
                <w:color w:val="auto"/>
              </w:rPr>
              <w:t>m</w:t>
            </w:r>
            <w:r>
              <w:rPr>
                <w:rFonts w:ascii="Times New Roman" w:eastAsia="Times New Roman" w:hAnsi="Times New Roman" w:cs="Times New Roman"/>
                <w:color w:val="auto"/>
                <w:position w:val="7"/>
                <w:sz w:val="13"/>
                <w:szCs w:val="13"/>
              </w:rPr>
              <w:t>2</w:t>
            </w:r>
            <w:r>
              <w:rPr>
                <w:rFonts w:ascii="宋体" w:eastAsia="宋体" w:hAnsi="宋体" w:cs="宋体"/>
                <w:color w:val="auto"/>
              </w:rPr>
              <w:t>）</w:t>
            </w:r>
          </w:p>
        </w:tc>
        <w:tc>
          <w:tcPr>
            <w:tcW w:w="1730" w:type="dxa"/>
            <w:tcBorders>
              <w:top w:val="single" w:sz="4" w:space="0" w:color="000000"/>
              <w:left w:val="single" w:sz="4" w:space="0" w:color="000000"/>
              <w:bottom w:val="single" w:sz="4" w:space="0" w:color="000000"/>
              <w:right w:val="single" w:sz="4" w:space="0" w:color="000000"/>
            </w:tcBorders>
            <w:vAlign w:val="center"/>
          </w:tcPr>
          <w:p w14:paraId="49C2DFEC" w14:textId="77777777" w:rsidR="0075791A" w:rsidRDefault="00FB2864">
            <w:pPr>
              <w:pStyle w:val="TableParagraph"/>
              <w:spacing w:line="264" w:lineRule="exact"/>
              <w:ind w:left="230"/>
              <w:rPr>
                <w:rFonts w:ascii="宋体" w:eastAsia="宋体" w:hAnsi="宋体" w:cs="宋体"/>
                <w:color w:val="auto"/>
              </w:rPr>
            </w:pPr>
            <w:r>
              <w:rPr>
                <w:rFonts w:ascii="宋体" w:eastAsia="宋体" w:hAnsi="宋体" w:cs="宋体"/>
                <w:color w:val="auto"/>
                <w:spacing w:val="-1"/>
              </w:rPr>
              <w:t>个</w:t>
            </w:r>
            <w:r>
              <w:rPr>
                <w:rFonts w:ascii="宋体" w:eastAsia="宋体" w:hAnsi="宋体" w:cs="宋体"/>
                <w:color w:val="auto"/>
                <w:spacing w:val="2"/>
              </w:rPr>
              <w:t>体</w:t>
            </w:r>
            <w:r>
              <w:rPr>
                <w:rFonts w:ascii="宋体" w:eastAsia="宋体" w:hAnsi="宋体" w:cs="宋体"/>
                <w:color w:val="auto"/>
                <w:spacing w:val="-1"/>
              </w:rPr>
              <w:t>资</w:t>
            </w:r>
            <w:r>
              <w:rPr>
                <w:rFonts w:ascii="宋体" w:eastAsia="宋体" w:hAnsi="宋体" w:cs="宋体"/>
                <w:color w:val="auto"/>
                <w:spacing w:val="2"/>
              </w:rPr>
              <w:t>源</w:t>
            </w:r>
            <w:r>
              <w:rPr>
                <w:rFonts w:ascii="宋体" w:eastAsia="宋体" w:hAnsi="宋体" w:cs="宋体"/>
                <w:color w:val="auto"/>
                <w:spacing w:val="-1"/>
              </w:rPr>
              <w:t>密</w:t>
            </w:r>
            <w:r>
              <w:rPr>
                <w:rFonts w:ascii="宋体" w:eastAsia="宋体" w:hAnsi="宋体" w:cs="宋体"/>
                <w:color w:val="auto"/>
              </w:rPr>
              <w:t>度</w:t>
            </w:r>
          </w:p>
          <w:p w14:paraId="5415382D" w14:textId="77777777" w:rsidR="0075791A" w:rsidRDefault="00FB2864">
            <w:pPr>
              <w:pStyle w:val="TableParagraph"/>
              <w:spacing w:before="12"/>
              <w:ind w:left="318"/>
              <w:rPr>
                <w:rFonts w:ascii="宋体" w:eastAsia="宋体" w:hAnsi="宋体" w:cs="宋体"/>
                <w:color w:val="auto"/>
              </w:rPr>
            </w:pPr>
            <w:r>
              <w:rPr>
                <w:rFonts w:ascii="宋体" w:eastAsia="宋体" w:hAnsi="宋体" w:cs="宋体"/>
                <w:color w:val="auto"/>
                <w:spacing w:val="-1"/>
              </w:rPr>
              <w:t>（</w:t>
            </w:r>
            <w:r>
              <w:rPr>
                <w:rFonts w:ascii="Times New Roman" w:eastAsia="Times New Roman" w:hAnsi="Times New Roman" w:cs="Times New Roman"/>
                <w:color w:val="auto"/>
                <w:spacing w:val="-1"/>
              </w:rPr>
              <w:t>i</w:t>
            </w:r>
            <w:r>
              <w:rPr>
                <w:rFonts w:ascii="Times New Roman" w:eastAsia="Times New Roman" w:hAnsi="Times New Roman" w:cs="Times New Roman"/>
                <w:color w:val="auto"/>
                <w:spacing w:val="1"/>
              </w:rPr>
              <w:t>nd</w:t>
            </w:r>
            <w:r>
              <w:rPr>
                <w:rFonts w:ascii="Times New Roman" w:eastAsia="Times New Roman" w:hAnsi="Times New Roman" w:cs="Times New Roman"/>
                <w:color w:val="auto"/>
                <w:spacing w:val="-1"/>
              </w:rPr>
              <w:t>/</w:t>
            </w:r>
            <w:r>
              <w:rPr>
                <w:rFonts w:ascii="Times New Roman" w:eastAsia="Times New Roman" w:hAnsi="Times New Roman" w:cs="Times New Roman"/>
                <w:color w:val="auto"/>
                <w:spacing w:val="-2"/>
              </w:rPr>
              <w:t>k</w:t>
            </w:r>
            <w:r>
              <w:rPr>
                <w:rFonts w:ascii="Times New Roman" w:eastAsia="Times New Roman" w:hAnsi="Times New Roman" w:cs="Times New Roman"/>
                <w:color w:val="auto"/>
                <w:spacing w:val="3"/>
              </w:rPr>
              <w:t>m</w:t>
            </w:r>
            <w:r>
              <w:rPr>
                <w:rFonts w:ascii="Times New Roman" w:eastAsia="Times New Roman" w:hAnsi="Times New Roman" w:cs="Times New Roman"/>
                <w:color w:val="auto"/>
                <w:spacing w:val="-2"/>
                <w:position w:val="7"/>
                <w:sz w:val="13"/>
                <w:szCs w:val="13"/>
              </w:rPr>
              <w:t>2</w:t>
            </w:r>
            <w:r>
              <w:rPr>
                <w:rFonts w:ascii="宋体" w:eastAsia="宋体" w:hAnsi="宋体" w:cs="宋体"/>
                <w:color w:val="auto"/>
              </w:rPr>
              <w:t>）</w:t>
            </w:r>
          </w:p>
        </w:tc>
      </w:tr>
      <w:tr w:rsidR="0075791A" w14:paraId="574EE958" w14:textId="77777777">
        <w:trPr>
          <w:trHeight w:hRule="exact" w:val="340"/>
        </w:trPr>
        <w:tc>
          <w:tcPr>
            <w:tcW w:w="1220" w:type="dxa"/>
            <w:vMerge w:val="restart"/>
            <w:tcBorders>
              <w:top w:val="single" w:sz="4" w:space="0" w:color="000000"/>
              <w:left w:val="single" w:sz="4" w:space="0" w:color="000000"/>
              <w:right w:val="single" w:sz="4" w:space="0" w:color="000000"/>
            </w:tcBorders>
            <w:vAlign w:val="center"/>
          </w:tcPr>
          <w:p w14:paraId="509DD4CA" w14:textId="77777777" w:rsidR="0075791A" w:rsidRDefault="00FB2864">
            <w:pPr>
              <w:pStyle w:val="TableParagraph"/>
              <w:ind w:left="395"/>
              <w:rPr>
                <w:rFonts w:ascii="宋体" w:eastAsia="宋体" w:hAnsi="宋体" w:cs="宋体"/>
                <w:color w:val="auto"/>
              </w:rPr>
            </w:pPr>
            <w:r>
              <w:rPr>
                <w:rFonts w:eastAsia="宋体" w:hint="eastAsia"/>
                <w:color w:val="auto"/>
                <w:sz w:val="18"/>
                <w:szCs w:val="18"/>
                <w:lang w:eastAsia="zh-CN"/>
              </w:rPr>
              <w:t xml:space="preserve"> </w:t>
            </w:r>
            <w:r>
              <w:rPr>
                <w:rFonts w:ascii="宋体" w:eastAsia="宋体" w:hAnsi="宋体" w:cs="宋体"/>
                <w:color w:val="auto"/>
                <w:spacing w:val="-1"/>
              </w:rPr>
              <w:t>拖</w:t>
            </w:r>
            <w:r>
              <w:rPr>
                <w:rFonts w:ascii="宋体" w:eastAsia="宋体" w:hAnsi="宋体" w:cs="宋体"/>
                <w:color w:val="auto"/>
              </w:rPr>
              <w:t>网</w:t>
            </w:r>
          </w:p>
        </w:tc>
        <w:tc>
          <w:tcPr>
            <w:tcW w:w="772" w:type="dxa"/>
            <w:tcBorders>
              <w:top w:val="single" w:sz="4" w:space="0" w:color="000000"/>
              <w:left w:val="single" w:sz="4" w:space="0" w:color="000000"/>
              <w:bottom w:val="single" w:sz="4" w:space="0" w:color="000000"/>
              <w:right w:val="single" w:sz="4" w:space="0" w:color="000000"/>
            </w:tcBorders>
            <w:vAlign w:val="center"/>
          </w:tcPr>
          <w:p w14:paraId="51F931FB" w14:textId="77777777" w:rsidR="0075791A" w:rsidRDefault="00FB2864">
            <w:pPr>
              <w:pStyle w:val="TableParagraph"/>
              <w:spacing w:before="34"/>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2</w:t>
            </w:r>
          </w:p>
        </w:tc>
        <w:tc>
          <w:tcPr>
            <w:tcW w:w="1732" w:type="dxa"/>
            <w:tcBorders>
              <w:top w:val="single" w:sz="4" w:space="0" w:color="000000"/>
              <w:left w:val="single" w:sz="4" w:space="0" w:color="000000"/>
              <w:bottom w:val="single" w:sz="4" w:space="0" w:color="000000"/>
              <w:right w:val="single" w:sz="4" w:space="0" w:color="000000"/>
            </w:tcBorders>
            <w:vAlign w:val="center"/>
          </w:tcPr>
          <w:p w14:paraId="5FFF59E6" w14:textId="77777777" w:rsidR="0075791A" w:rsidRDefault="00FB2864">
            <w:pPr>
              <w:pStyle w:val="TableParagraph"/>
              <w:spacing w:before="38"/>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6228C616" w14:textId="77777777" w:rsidR="0075791A" w:rsidRDefault="00FB2864">
            <w:pPr>
              <w:pStyle w:val="TableParagraph"/>
              <w:spacing w:before="38"/>
              <w:ind w:left="210" w:right="21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72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7</w:t>
            </w:r>
          </w:p>
        </w:tc>
        <w:tc>
          <w:tcPr>
            <w:tcW w:w="1732" w:type="dxa"/>
            <w:tcBorders>
              <w:top w:val="single" w:sz="4" w:space="0" w:color="000000"/>
              <w:left w:val="single" w:sz="4" w:space="0" w:color="000000"/>
              <w:bottom w:val="single" w:sz="4" w:space="0" w:color="000000"/>
              <w:right w:val="single" w:sz="4" w:space="0" w:color="000000"/>
            </w:tcBorders>
            <w:vAlign w:val="center"/>
          </w:tcPr>
          <w:p w14:paraId="51442BA8" w14:textId="77777777" w:rsidR="0075791A" w:rsidRDefault="00FB2864">
            <w:pPr>
              <w:pStyle w:val="TableParagraph"/>
              <w:spacing w:before="38"/>
              <w:ind w:left="604" w:right="605"/>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50</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1</w:t>
            </w:r>
          </w:p>
        </w:tc>
        <w:tc>
          <w:tcPr>
            <w:tcW w:w="1730" w:type="dxa"/>
            <w:tcBorders>
              <w:top w:val="single" w:sz="4" w:space="0" w:color="000000"/>
              <w:left w:val="single" w:sz="4" w:space="0" w:color="000000"/>
              <w:bottom w:val="single" w:sz="4" w:space="0" w:color="000000"/>
              <w:right w:val="single" w:sz="4" w:space="0" w:color="000000"/>
            </w:tcBorders>
            <w:vAlign w:val="center"/>
          </w:tcPr>
          <w:p w14:paraId="3F4BBAED" w14:textId="77777777" w:rsidR="0075791A" w:rsidRDefault="00FB2864">
            <w:pPr>
              <w:pStyle w:val="TableParagraph"/>
              <w:spacing w:before="38"/>
              <w:ind w:left="518"/>
              <w:rPr>
                <w:rFonts w:ascii="Times New Roman" w:eastAsia="Times New Roman" w:hAnsi="Times New Roman" w:cs="Times New Roman"/>
                <w:color w:val="auto"/>
              </w:rPr>
            </w:pPr>
            <w:r>
              <w:rPr>
                <w:rFonts w:ascii="Times New Roman" w:eastAsia="Times New Roman" w:hAnsi="Times New Roman" w:cs="Times New Roman"/>
                <w:color w:val="auto"/>
                <w:spacing w:val="1"/>
              </w:rPr>
              <w:t>357</w:t>
            </w:r>
            <w:r>
              <w:rPr>
                <w:rFonts w:ascii="Times New Roman" w:eastAsia="Times New Roman" w:hAnsi="Times New Roman" w:cs="Times New Roman"/>
                <w:color w:val="auto"/>
                <w:spacing w:val="-2"/>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4</w:t>
            </w:r>
          </w:p>
        </w:tc>
      </w:tr>
      <w:tr w:rsidR="0075791A" w14:paraId="7A117ADB" w14:textId="77777777">
        <w:trPr>
          <w:trHeight w:hRule="exact" w:val="340"/>
        </w:trPr>
        <w:tc>
          <w:tcPr>
            <w:tcW w:w="1220" w:type="dxa"/>
            <w:vMerge/>
            <w:tcBorders>
              <w:left w:val="single" w:sz="4" w:space="0" w:color="000000"/>
              <w:right w:val="single" w:sz="4" w:space="0" w:color="000000"/>
            </w:tcBorders>
            <w:vAlign w:val="center"/>
          </w:tcPr>
          <w:p w14:paraId="095AA73E"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75CEB9EE" w14:textId="77777777" w:rsidR="0075791A" w:rsidRDefault="00FB2864">
            <w:pPr>
              <w:pStyle w:val="TableParagraph"/>
              <w:spacing w:before="33"/>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5</w:t>
            </w:r>
          </w:p>
        </w:tc>
        <w:tc>
          <w:tcPr>
            <w:tcW w:w="1732" w:type="dxa"/>
            <w:tcBorders>
              <w:top w:val="single" w:sz="4" w:space="0" w:color="000000"/>
              <w:left w:val="single" w:sz="4" w:space="0" w:color="000000"/>
              <w:bottom w:val="single" w:sz="4" w:space="0" w:color="000000"/>
              <w:right w:val="single" w:sz="4" w:space="0" w:color="000000"/>
            </w:tcBorders>
            <w:vAlign w:val="center"/>
          </w:tcPr>
          <w:p w14:paraId="16BFD972" w14:textId="77777777" w:rsidR="0075791A" w:rsidRDefault="00FB2864">
            <w:pPr>
              <w:pStyle w:val="TableParagraph"/>
              <w:spacing w:before="39"/>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6</w:t>
            </w:r>
          </w:p>
        </w:tc>
        <w:tc>
          <w:tcPr>
            <w:tcW w:w="1732" w:type="dxa"/>
            <w:tcBorders>
              <w:top w:val="single" w:sz="4" w:space="0" w:color="000000"/>
              <w:left w:val="single" w:sz="4" w:space="0" w:color="000000"/>
              <w:bottom w:val="single" w:sz="4" w:space="0" w:color="000000"/>
              <w:right w:val="single" w:sz="4" w:space="0" w:color="000000"/>
            </w:tcBorders>
            <w:vAlign w:val="center"/>
          </w:tcPr>
          <w:p w14:paraId="5905B92A" w14:textId="77777777" w:rsidR="0075791A" w:rsidRDefault="00FB2864">
            <w:pPr>
              <w:pStyle w:val="TableParagraph"/>
              <w:spacing w:before="39"/>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6</w:t>
            </w:r>
          </w:p>
        </w:tc>
        <w:tc>
          <w:tcPr>
            <w:tcW w:w="1732" w:type="dxa"/>
            <w:tcBorders>
              <w:top w:val="single" w:sz="4" w:space="0" w:color="000000"/>
              <w:left w:val="single" w:sz="4" w:space="0" w:color="000000"/>
              <w:bottom w:val="single" w:sz="4" w:space="0" w:color="000000"/>
              <w:right w:val="single" w:sz="4" w:space="0" w:color="000000"/>
            </w:tcBorders>
            <w:vAlign w:val="center"/>
          </w:tcPr>
          <w:p w14:paraId="4B9D566D" w14:textId="77777777" w:rsidR="0075791A" w:rsidRDefault="00FB2864">
            <w:pPr>
              <w:pStyle w:val="TableParagraph"/>
              <w:spacing w:before="39"/>
              <w:ind w:left="658" w:right="65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1</w:t>
            </w:r>
          </w:p>
        </w:tc>
        <w:tc>
          <w:tcPr>
            <w:tcW w:w="1730" w:type="dxa"/>
            <w:tcBorders>
              <w:top w:val="single" w:sz="4" w:space="0" w:color="000000"/>
              <w:left w:val="single" w:sz="4" w:space="0" w:color="000000"/>
              <w:bottom w:val="single" w:sz="4" w:space="0" w:color="000000"/>
              <w:right w:val="single" w:sz="4" w:space="0" w:color="000000"/>
            </w:tcBorders>
            <w:vAlign w:val="center"/>
          </w:tcPr>
          <w:p w14:paraId="6E096917" w14:textId="77777777" w:rsidR="0075791A" w:rsidRDefault="00FB2864">
            <w:pPr>
              <w:pStyle w:val="TableParagraph"/>
              <w:spacing w:before="39"/>
              <w:ind w:left="570"/>
              <w:rPr>
                <w:rFonts w:ascii="Times New Roman" w:eastAsia="Times New Roman" w:hAnsi="Times New Roman" w:cs="Times New Roman"/>
                <w:color w:val="auto"/>
              </w:rPr>
            </w:pPr>
            <w:r>
              <w:rPr>
                <w:rFonts w:ascii="Times New Roman" w:eastAsia="Times New Roman" w:hAnsi="Times New Roman" w:cs="Times New Roman"/>
                <w:color w:val="auto"/>
                <w:spacing w:val="1"/>
              </w:rPr>
              <w:t>146</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9</w:t>
            </w:r>
            <w:r>
              <w:rPr>
                <w:rFonts w:ascii="Times New Roman" w:eastAsia="Times New Roman" w:hAnsi="Times New Roman" w:cs="Times New Roman"/>
                <w:color w:val="auto"/>
              </w:rPr>
              <w:t>3</w:t>
            </w:r>
          </w:p>
        </w:tc>
      </w:tr>
      <w:tr w:rsidR="0075791A" w14:paraId="7599617F" w14:textId="77777777">
        <w:trPr>
          <w:trHeight w:hRule="exact" w:val="340"/>
        </w:trPr>
        <w:tc>
          <w:tcPr>
            <w:tcW w:w="1220" w:type="dxa"/>
            <w:vMerge/>
            <w:tcBorders>
              <w:left w:val="single" w:sz="4" w:space="0" w:color="000000"/>
              <w:right w:val="single" w:sz="4" w:space="0" w:color="000000"/>
            </w:tcBorders>
            <w:vAlign w:val="center"/>
          </w:tcPr>
          <w:p w14:paraId="0BA32C28"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0DE1B31B" w14:textId="77777777" w:rsidR="0075791A" w:rsidRDefault="00FB2864">
            <w:pPr>
              <w:pStyle w:val="TableParagraph"/>
              <w:spacing w:before="34"/>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6</w:t>
            </w:r>
          </w:p>
        </w:tc>
        <w:tc>
          <w:tcPr>
            <w:tcW w:w="1732" w:type="dxa"/>
            <w:tcBorders>
              <w:top w:val="single" w:sz="4" w:space="0" w:color="000000"/>
              <w:left w:val="single" w:sz="4" w:space="0" w:color="000000"/>
              <w:bottom w:val="single" w:sz="4" w:space="0" w:color="000000"/>
              <w:right w:val="single" w:sz="4" w:space="0" w:color="000000"/>
            </w:tcBorders>
            <w:vAlign w:val="center"/>
          </w:tcPr>
          <w:p w14:paraId="26A0CB9B" w14:textId="77777777" w:rsidR="0075791A" w:rsidRDefault="00FB2864">
            <w:pPr>
              <w:pStyle w:val="TableParagraph"/>
              <w:spacing w:before="38"/>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4</w:t>
            </w:r>
          </w:p>
        </w:tc>
        <w:tc>
          <w:tcPr>
            <w:tcW w:w="1732" w:type="dxa"/>
            <w:tcBorders>
              <w:top w:val="single" w:sz="4" w:space="0" w:color="000000"/>
              <w:left w:val="single" w:sz="4" w:space="0" w:color="000000"/>
              <w:bottom w:val="single" w:sz="4" w:space="0" w:color="000000"/>
              <w:right w:val="single" w:sz="4" w:space="0" w:color="000000"/>
            </w:tcBorders>
            <w:vAlign w:val="center"/>
          </w:tcPr>
          <w:p w14:paraId="01AFC703" w14:textId="77777777" w:rsidR="0075791A" w:rsidRDefault="00FB2864">
            <w:pPr>
              <w:pStyle w:val="TableParagraph"/>
              <w:spacing w:before="38"/>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1732" w:type="dxa"/>
            <w:tcBorders>
              <w:top w:val="single" w:sz="4" w:space="0" w:color="000000"/>
              <w:left w:val="single" w:sz="4" w:space="0" w:color="000000"/>
              <w:bottom w:val="single" w:sz="4" w:space="0" w:color="000000"/>
              <w:right w:val="single" w:sz="4" w:space="0" w:color="000000"/>
            </w:tcBorders>
            <w:vAlign w:val="center"/>
          </w:tcPr>
          <w:p w14:paraId="4F727F6D" w14:textId="77777777" w:rsidR="0075791A" w:rsidRDefault="00FB2864">
            <w:pPr>
              <w:pStyle w:val="TableParagraph"/>
              <w:spacing w:before="38"/>
              <w:ind w:left="658" w:right="65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2</w:t>
            </w:r>
          </w:p>
        </w:tc>
        <w:tc>
          <w:tcPr>
            <w:tcW w:w="1730" w:type="dxa"/>
            <w:tcBorders>
              <w:top w:val="single" w:sz="4" w:space="0" w:color="000000"/>
              <w:left w:val="single" w:sz="4" w:space="0" w:color="000000"/>
              <w:bottom w:val="single" w:sz="4" w:space="0" w:color="000000"/>
              <w:right w:val="single" w:sz="4" w:space="0" w:color="000000"/>
            </w:tcBorders>
            <w:vAlign w:val="center"/>
          </w:tcPr>
          <w:p w14:paraId="768F616C" w14:textId="77777777" w:rsidR="0075791A" w:rsidRDefault="00FB2864">
            <w:pPr>
              <w:pStyle w:val="TableParagraph"/>
              <w:spacing w:before="38"/>
              <w:ind w:left="570"/>
              <w:rPr>
                <w:rFonts w:ascii="Times New Roman" w:eastAsia="Times New Roman" w:hAnsi="Times New Roman" w:cs="Times New Roman"/>
                <w:color w:val="auto"/>
              </w:rPr>
            </w:pPr>
            <w:r>
              <w:rPr>
                <w:rFonts w:ascii="Times New Roman" w:eastAsia="Times New Roman" w:hAnsi="Times New Roman" w:cs="Times New Roman"/>
                <w:color w:val="auto"/>
                <w:spacing w:val="1"/>
              </w:rPr>
              <w:t>197</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7</w:t>
            </w:r>
            <w:r>
              <w:rPr>
                <w:rFonts w:ascii="Times New Roman" w:eastAsia="Times New Roman" w:hAnsi="Times New Roman" w:cs="Times New Roman"/>
                <w:color w:val="auto"/>
              </w:rPr>
              <w:t>9</w:t>
            </w:r>
          </w:p>
        </w:tc>
      </w:tr>
      <w:tr w:rsidR="0075791A" w14:paraId="748706E1" w14:textId="77777777">
        <w:trPr>
          <w:trHeight w:hRule="exact" w:val="340"/>
        </w:trPr>
        <w:tc>
          <w:tcPr>
            <w:tcW w:w="1220" w:type="dxa"/>
            <w:vMerge/>
            <w:tcBorders>
              <w:left w:val="single" w:sz="4" w:space="0" w:color="000000"/>
              <w:right w:val="single" w:sz="4" w:space="0" w:color="000000"/>
            </w:tcBorders>
            <w:vAlign w:val="center"/>
          </w:tcPr>
          <w:p w14:paraId="183E2952"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23C3DCB9" w14:textId="77777777" w:rsidR="0075791A" w:rsidRDefault="00FB2864">
            <w:pPr>
              <w:pStyle w:val="TableParagraph"/>
              <w:spacing w:before="33"/>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8</w:t>
            </w:r>
          </w:p>
        </w:tc>
        <w:tc>
          <w:tcPr>
            <w:tcW w:w="1732" w:type="dxa"/>
            <w:tcBorders>
              <w:top w:val="single" w:sz="4" w:space="0" w:color="000000"/>
              <w:left w:val="single" w:sz="4" w:space="0" w:color="000000"/>
              <w:bottom w:val="single" w:sz="4" w:space="0" w:color="000000"/>
              <w:right w:val="single" w:sz="4" w:space="0" w:color="000000"/>
            </w:tcBorders>
            <w:vAlign w:val="center"/>
          </w:tcPr>
          <w:p w14:paraId="2BF765F2" w14:textId="77777777" w:rsidR="0075791A" w:rsidRDefault="00FB2864">
            <w:pPr>
              <w:pStyle w:val="TableParagraph"/>
              <w:spacing w:before="39"/>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0</w:t>
            </w:r>
          </w:p>
        </w:tc>
        <w:tc>
          <w:tcPr>
            <w:tcW w:w="1732" w:type="dxa"/>
            <w:tcBorders>
              <w:top w:val="single" w:sz="4" w:space="0" w:color="000000"/>
              <w:left w:val="single" w:sz="4" w:space="0" w:color="000000"/>
              <w:bottom w:val="single" w:sz="4" w:space="0" w:color="000000"/>
              <w:right w:val="single" w:sz="4" w:space="0" w:color="000000"/>
            </w:tcBorders>
            <w:vAlign w:val="center"/>
          </w:tcPr>
          <w:p w14:paraId="4D0ECC5B" w14:textId="77777777" w:rsidR="0075791A" w:rsidRDefault="00FB2864">
            <w:pPr>
              <w:pStyle w:val="TableParagraph"/>
              <w:spacing w:before="39"/>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7</w:t>
            </w:r>
          </w:p>
        </w:tc>
        <w:tc>
          <w:tcPr>
            <w:tcW w:w="1732" w:type="dxa"/>
            <w:tcBorders>
              <w:top w:val="single" w:sz="4" w:space="0" w:color="000000"/>
              <w:left w:val="single" w:sz="4" w:space="0" w:color="000000"/>
              <w:bottom w:val="single" w:sz="4" w:space="0" w:color="000000"/>
              <w:right w:val="single" w:sz="4" w:space="0" w:color="000000"/>
            </w:tcBorders>
            <w:vAlign w:val="center"/>
          </w:tcPr>
          <w:p w14:paraId="4BC297EC" w14:textId="77777777" w:rsidR="0075791A" w:rsidRDefault="00FB2864">
            <w:pPr>
              <w:pStyle w:val="TableParagraph"/>
              <w:spacing w:before="39"/>
              <w:ind w:left="604" w:right="605"/>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23</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0</w:t>
            </w:r>
          </w:p>
        </w:tc>
        <w:tc>
          <w:tcPr>
            <w:tcW w:w="1730" w:type="dxa"/>
            <w:tcBorders>
              <w:top w:val="single" w:sz="4" w:space="0" w:color="000000"/>
              <w:left w:val="single" w:sz="4" w:space="0" w:color="000000"/>
              <w:bottom w:val="single" w:sz="4" w:space="0" w:color="000000"/>
              <w:right w:val="single" w:sz="4" w:space="0" w:color="000000"/>
            </w:tcBorders>
            <w:vAlign w:val="center"/>
          </w:tcPr>
          <w:p w14:paraId="034B22E9" w14:textId="77777777" w:rsidR="0075791A" w:rsidRDefault="00FB2864">
            <w:pPr>
              <w:pStyle w:val="TableParagraph"/>
              <w:spacing w:before="39"/>
              <w:ind w:left="570"/>
              <w:rPr>
                <w:rFonts w:ascii="Times New Roman" w:eastAsia="Times New Roman" w:hAnsi="Times New Roman" w:cs="Times New Roman"/>
                <w:color w:val="auto"/>
              </w:rPr>
            </w:pPr>
            <w:r>
              <w:rPr>
                <w:rFonts w:ascii="Times New Roman" w:eastAsia="Times New Roman" w:hAnsi="Times New Roman" w:cs="Times New Roman"/>
                <w:color w:val="auto"/>
                <w:spacing w:val="1"/>
              </w:rPr>
              <w:t>408</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1</w:t>
            </w:r>
            <w:r>
              <w:rPr>
                <w:rFonts w:ascii="Times New Roman" w:eastAsia="Times New Roman" w:hAnsi="Times New Roman" w:cs="Times New Roman"/>
                <w:color w:val="auto"/>
              </w:rPr>
              <w:t>3</w:t>
            </w:r>
          </w:p>
        </w:tc>
      </w:tr>
      <w:tr w:rsidR="0075791A" w14:paraId="32673E99" w14:textId="77777777">
        <w:trPr>
          <w:trHeight w:hRule="exact" w:val="340"/>
        </w:trPr>
        <w:tc>
          <w:tcPr>
            <w:tcW w:w="1220" w:type="dxa"/>
            <w:vMerge/>
            <w:tcBorders>
              <w:left w:val="single" w:sz="4" w:space="0" w:color="000000"/>
              <w:right w:val="single" w:sz="4" w:space="0" w:color="000000"/>
            </w:tcBorders>
            <w:vAlign w:val="center"/>
          </w:tcPr>
          <w:p w14:paraId="7B1FD575"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0F4CD3AE" w14:textId="77777777" w:rsidR="0075791A" w:rsidRDefault="00FB2864">
            <w:pPr>
              <w:pStyle w:val="TableParagraph"/>
              <w:spacing w:before="34"/>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9</w:t>
            </w:r>
          </w:p>
        </w:tc>
        <w:tc>
          <w:tcPr>
            <w:tcW w:w="1732" w:type="dxa"/>
            <w:tcBorders>
              <w:top w:val="single" w:sz="4" w:space="0" w:color="000000"/>
              <w:left w:val="single" w:sz="4" w:space="0" w:color="000000"/>
              <w:bottom w:val="single" w:sz="4" w:space="0" w:color="000000"/>
              <w:right w:val="single" w:sz="4" w:space="0" w:color="000000"/>
            </w:tcBorders>
            <w:vAlign w:val="center"/>
          </w:tcPr>
          <w:p w14:paraId="11617C87" w14:textId="77777777" w:rsidR="0075791A" w:rsidRDefault="00FB2864">
            <w:pPr>
              <w:pStyle w:val="TableParagraph"/>
              <w:spacing w:before="38"/>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9</w:t>
            </w:r>
          </w:p>
        </w:tc>
        <w:tc>
          <w:tcPr>
            <w:tcW w:w="1732" w:type="dxa"/>
            <w:tcBorders>
              <w:top w:val="single" w:sz="4" w:space="0" w:color="000000"/>
              <w:left w:val="single" w:sz="4" w:space="0" w:color="000000"/>
              <w:bottom w:val="single" w:sz="4" w:space="0" w:color="000000"/>
              <w:right w:val="single" w:sz="4" w:space="0" w:color="000000"/>
            </w:tcBorders>
            <w:vAlign w:val="center"/>
          </w:tcPr>
          <w:p w14:paraId="63F2F100" w14:textId="77777777" w:rsidR="0075791A" w:rsidRDefault="00FB2864">
            <w:pPr>
              <w:pStyle w:val="TableParagraph"/>
              <w:spacing w:before="38"/>
              <w:ind w:left="210" w:right="21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19</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7A148269" w14:textId="77777777" w:rsidR="0075791A" w:rsidRDefault="00FB2864">
            <w:pPr>
              <w:pStyle w:val="TableParagraph"/>
              <w:spacing w:before="38"/>
              <w:ind w:left="572"/>
              <w:rPr>
                <w:rFonts w:ascii="Times New Roman" w:eastAsia="Times New Roman" w:hAnsi="Times New Roman" w:cs="Times New Roman"/>
                <w:color w:val="auto"/>
              </w:rPr>
            </w:pPr>
            <w:r>
              <w:rPr>
                <w:rFonts w:ascii="Times New Roman" w:eastAsia="Times New Roman" w:hAnsi="Times New Roman" w:cs="Times New Roman"/>
                <w:color w:val="auto"/>
                <w:spacing w:val="1"/>
              </w:rPr>
              <w:t>107</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6</w:t>
            </w:r>
            <w:r>
              <w:rPr>
                <w:rFonts w:ascii="Times New Roman" w:eastAsia="Times New Roman" w:hAnsi="Times New Roman" w:cs="Times New Roman"/>
                <w:color w:val="auto"/>
              </w:rPr>
              <w:t>3</w:t>
            </w:r>
          </w:p>
        </w:tc>
        <w:tc>
          <w:tcPr>
            <w:tcW w:w="1730" w:type="dxa"/>
            <w:tcBorders>
              <w:top w:val="single" w:sz="4" w:space="0" w:color="000000"/>
              <w:left w:val="single" w:sz="4" w:space="0" w:color="000000"/>
              <w:bottom w:val="single" w:sz="4" w:space="0" w:color="000000"/>
              <w:right w:val="single" w:sz="4" w:space="0" w:color="000000"/>
            </w:tcBorders>
            <w:vAlign w:val="center"/>
          </w:tcPr>
          <w:p w14:paraId="7FDBE82F" w14:textId="77777777" w:rsidR="0075791A" w:rsidRDefault="00FB2864">
            <w:pPr>
              <w:pStyle w:val="TableParagraph"/>
              <w:spacing w:before="38"/>
              <w:ind w:left="518"/>
              <w:rPr>
                <w:rFonts w:ascii="Times New Roman" w:eastAsia="Times New Roman" w:hAnsi="Times New Roman" w:cs="Times New Roman"/>
                <w:color w:val="auto"/>
              </w:rPr>
            </w:pPr>
            <w:r>
              <w:rPr>
                <w:rFonts w:ascii="Times New Roman" w:eastAsia="Times New Roman" w:hAnsi="Times New Roman" w:cs="Times New Roman"/>
                <w:color w:val="auto"/>
                <w:spacing w:val="1"/>
              </w:rPr>
              <w:t>100</w:t>
            </w:r>
            <w:r>
              <w:rPr>
                <w:rFonts w:ascii="Times New Roman" w:eastAsia="Times New Roman" w:hAnsi="Times New Roman" w:cs="Times New Roman"/>
                <w:color w:val="auto"/>
                <w:spacing w:val="-2"/>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7</w:t>
            </w:r>
          </w:p>
        </w:tc>
      </w:tr>
      <w:tr w:rsidR="0075791A" w14:paraId="6FCE1C7A" w14:textId="77777777">
        <w:trPr>
          <w:trHeight w:hRule="exact" w:val="340"/>
        </w:trPr>
        <w:tc>
          <w:tcPr>
            <w:tcW w:w="1220" w:type="dxa"/>
            <w:vMerge/>
            <w:tcBorders>
              <w:left w:val="single" w:sz="4" w:space="0" w:color="000000"/>
              <w:bottom w:val="single" w:sz="4" w:space="0" w:color="000000"/>
              <w:right w:val="single" w:sz="4" w:space="0" w:color="000000"/>
            </w:tcBorders>
            <w:vAlign w:val="center"/>
          </w:tcPr>
          <w:p w14:paraId="3DD9403C"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528210AB" w14:textId="77777777" w:rsidR="0075791A" w:rsidRDefault="00FB2864">
            <w:pPr>
              <w:pStyle w:val="TableParagraph"/>
              <w:spacing w:before="33"/>
              <w:ind w:left="195"/>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pacing w:val="-5"/>
                <w:sz w:val="22"/>
                <w:szCs w:val="22"/>
              </w:rPr>
              <w:t>1</w:t>
            </w:r>
            <w:r>
              <w:rPr>
                <w:rFonts w:ascii="Times New Roman" w:eastAsia="Times New Roman" w:hAnsi="Times New Roman" w:cs="Times New Roman"/>
                <w:color w:val="auto"/>
                <w:sz w:val="22"/>
                <w:szCs w:val="22"/>
              </w:rPr>
              <w:t>1</w:t>
            </w:r>
          </w:p>
        </w:tc>
        <w:tc>
          <w:tcPr>
            <w:tcW w:w="1732" w:type="dxa"/>
            <w:tcBorders>
              <w:top w:val="single" w:sz="4" w:space="0" w:color="000000"/>
              <w:left w:val="single" w:sz="4" w:space="0" w:color="000000"/>
              <w:bottom w:val="single" w:sz="4" w:space="0" w:color="000000"/>
              <w:right w:val="single" w:sz="4" w:space="0" w:color="000000"/>
            </w:tcBorders>
            <w:vAlign w:val="center"/>
          </w:tcPr>
          <w:p w14:paraId="62C645EA" w14:textId="77777777" w:rsidR="0075791A" w:rsidRDefault="00FB2864">
            <w:pPr>
              <w:pStyle w:val="TableParagraph"/>
              <w:spacing w:before="39"/>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1732" w:type="dxa"/>
            <w:tcBorders>
              <w:top w:val="single" w:sz="4" w:space="0" w:color="000000"/>
              <w:left w:val="single" w:sz="4" w:space="0" w:color="000000"/>
              <w:bottom w:val="single" w:sz="4" w:space="0" w:color="000000"/>
              <w:right w:val="single" w:sz="4" w:space="0" w:color="000000"/>
            </w:tcBorders>
            <w:vAlign w:val="center"/>
          </w:tcPr>
          <w:p w14:paraId="6B74FB05" w14:textId="77777777" w:rsidR="0075791A" w:rsidRDefault="00FB2864">
            <w:pPr>
              <w:pStyle w:val="TableParagraph"/>
              <w:spacing w:before="39"/>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1732" w:type="dxa"/>
            <w:tcBorders>
              <w:top w:val="single" w:sz="4" w:space="0" w:color="000000"/>
              <w:left w:val="single" w:sz="4" w:space="0" w:color="000000"/>
              <w:bottom w:val="single" w:sz="4" w:space="0" w:color="000000"/>
              <w:right w:val="single" w:sz="4" w:space="0" w:color="000000"/>
            </w:tcBorders>
            <w:vAlign w:val="center"/>
          </w:tcPr>
          <w:p w14:paraId="01CEE6EE" w14:textId="77777777" w:rsidR="0075791A" w:rsidRDefault="00FB2864">
            <w:pPr>
              <w:pStyle w:val="TableParagraph"/>
              <w:spacing w:before="39"/>
              <w:ind w:left="658" w:right="656"/>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1730" w:type="dxa"/>
            <w:tcBorders>
              <w:top w:val="single" w:sz="4" w:space="0" w:color="000000"/>
              <w:left w:val="single" w:sz="4" w:space="0" w:color="000000"/>
              <w:bottom w:val="single" w:sz="4" w:space="0" w:color="000000"/>
              <w:right w:val="single" w:sz="4" w:space="0" w:color="000000"/>
            </w:tcBorders>
            <w:vAlign w:val="center"/>
          </w:tcPr>
          <w:p w14:paraId="797DF287" w14:textId="77777777" w:rsidR="0075791A" w:rsidRDefault="00FB2864">
            <w:pPr>
              <w:pStyle w:val="TableParagraph"/>
              <w:spacing w:before="3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r>
      <w:tr w:rsidR="0075791A" w14:paraId="690B171F" w14:textId="77777777">
        <w:trPr>
          <w:trHeight w:hRule="exact" w:val="340"/>
        </w:trPr>
        <w:tc>
          <w:tcPr>
            <w:tcW w:w="1220" w:type="dxa"/>
            <w:vMerge w:val="restart"/>
            <w:tcBorders>
              <w:top w:val="single" w:sz="4" w:space="0" w:color="000000"/>
              <w:left w:val="single" w:sz="4" w:space="0" w:color="000000"/>
              <w:right w:val="single" w:sz="4" w:space="0" w:color="000000"/>
            </w:tcBorders>
            <w:vAlign w:val="center"/>
          </w:tcPr>
          <w:p w14:paraId="512779C4" w14:textId="77777777" w:rsidR="0075791A" w:rsidRDefault="00FB2864">
            <w:pPr>
              <w:pStyle w:val="TableParagraph"/>
              <w:ind w:left="290"/>
              <w:rPr>
                <w:rFonts w:ascii="宋体" w:eastAsia="宋体" w:hAnsi="宋体" w:cs="宋体"/>
                <w:color w:val="auto"/>
              </w:rPr>
            </w:pPr>
            <w:r>
              <w:rPr>
                <w:rFonts w:eastAsia="宋体" w:hint="eastAsia"/>
                <w:color w:val="auto"/>
                <w:sz w:val="12"/>
                <w:szCs w:val="12"/>
                <w:lang w:eastAsia="zh-CN"/>
              </w:rPr>
              <w:t xml:space="preserve"> </w:t>
            </w:r>
            <w:r>
              <w:rPr>
                <w:rFonts w:ascii="宋体" w:eastAsia="宋体" w:hAnsi="宋体" w:cs="宋体"/>
                <w:color w:val="auto"/>
                <w:spacing w:val="-1"/>
              </w:rPr>
              <w:t>流</w:t>
            </w:r>
            <w:r>
              <w:rPr>
                <w:rFonts w:ascii="宋体" w:eastAsia="宋体" w:hAnsi="宋体" w:cs="宋体"/>
                <w:color w:val="auto"/>
                <w:spacing w:val="2"/>
              </w:rPr>
              <w:t>刺</w:t>
            </w:r>
            <w:r>
              <w:rPr>
                <w:rFonts w:ascii="宋体" w:eastAsia="宋体" w:hAnsi="宋体" w:cs="宋体"/>
                <w:color w:val="auto"/>
              </w:rPr>
              <w:t>网</w:t>
            </w:r>
          </w:p>
        </w:tc>
        <w:tc>
          <w:tcPr>
            <w:tcW w:w="772" w:type="dxa"/>
            <w:tcBorders>
              <w:top w:val="single" w:sz="4" w:space="0" w:color="000000"/>
              <w:left w:val="single" w:sz="4" w:space="0" w:color="000000"/>
              <w:bottom w:val="single" w:sz="4" w:space="0" w:color="000000"/>
              <w:right w:val="single" w:sz="4" w:space="0" w:color="000000"/>
            </w:tcBorders>
            <w:vAlign w:val="center"/>
          </w:tcPr>
          <w:p w14:paraId="7277415F" w14:textId="77777777" w:rsidR="0075791A" w:rsidRDefault="00FB2864">
            <w:pPr>
              <w:pStyle w:val="TableParagraph"/>
              <w:spacing w:before="34"/>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4</w:t>
            </w:r>
          </w:p>
        </w:tc>
        <w:tc>
          <w:tcPr>
            <w:tcW w:w="1732" w:type="dxa"/>
            <w:tcBorders>
              <w:top w:val="single" w:sz="4" w:space="0" w:color="000000"/>
              <w:left w:val="single" w:sz="4" w:space="0" w:color="000000"/>
              <w:bottom w:val="single" w:sz="4" w:space="0" w:color="000000"/>
              <w:right w:val="single" w:sz="4" w:space="0" w:color="000000"/>
            </w:tcBorders>
            <w:vAlign w:val="center"/>
          </w:tcPr>
          <w:p w14:paraId="6413CC4D" w14:textId="77777777" w:rsidR="0075791A" w:rsidRDefault="00FB2864">
            <w:pPr>
              <w:pStyle w:val="TableParagraph"/>
              <w:spacing w:before="38"/>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2</w:t>
            </w:r>
          </w:p>
        </w:tc>
        <w:tc>
          <w:tcPr>
            <w:tcW w:w="1732" w:type="dxa"/>
            <w:tcBorders>
              <w:top w:val="single" w:sz="4" w:space="0" w:color="000000"/>
              <w:left w:val="single" w:sz="4" w:space="0" w:color="000000"/>
              <w:bottom w:val="single" w:sz="4" w:space="0" w:color="000000"/>
              <w:right w:val="single" w:sz="4" w:space="0" w:color="000000"/>
            </w:tcBorders>
            <w:vAlign w:val="center"/>
          </w:tcPr>
          <w:p w14:paraId="66918A4D" w14:textId="77777777" w:rsidR="0075791A" w:rsidRDefault="00FB2864">
            <w:pPr>
              <w:pStyle w:val="TableParagraph"/>
              <w:spacing w:before="38"/>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78738E20" w14:textId="77777777" w:rsidR="0075791A" w:rsidRDefault="00FB2864">
            <w:pPr>
              <w:pStyle w:val="TableParagraph"/>
              <w:spacing w:before="38"/>
              <w:ind w:left="771" w:right="77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c>
          <w:tcPr>
            <w:tcW w:w="1730" w:type="dxa"/>
            <w:tcBorders>
              <w:top w:val="single" w:sz="4" w:space="0" w:color="000000"/>
              <w:left w:val="single" w:sz="4" w:space="0" w:color="000000"/>
              <w:bottom w:val="single" w:sz="4" w:space="0" w:color="000000"/>
              <w:right w:val="single" w:sz="4" w:space="0" w:color="000000"/>
            </w:tcBorders>
            <w:vAlign w:val="center"/>
          </w:tcPr>
          <w:p w14:paraId="04205FE2" w14:textId="77777777" w:rsidR="0075791A" w:rsidRDefault="00FB2864">
            <w:pPr>
              <w:pStyle w:val="TableParagraph"/>
              <w:spacing w:before="38"/>
              <w:ind w:left="769" w:right="77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75791A" w14:paraId="59478101" w14:textId="77777777">
        <w:trPr>
          <w:trHeight w:hRule="exact" w:val="340"/>
        </w:trPr>
        <w:tc>
          <w:tcPr>
            <w:tcW w:w="1220" w:type="dxa"/>
            <w:vMerge/>
            <w:tcBorders>
              <w:left w:val="single" w:sz="4" w:space="0" w:color="000000"/>
              <w:bottom w:val="single" w:sz="4" w:space="0" w:color="000000"/>
              <w:right w:val="single" w:sz="4" w:space="0" w:color="000000"/>
            </w:tcBorders>
            <w:vAlign w:val="center"/>
          </w:tcPr>
          <w:p w14:paraId="6982FF0A" w14:textId="77777777" w:rsidR="0075791A" w:rsidRDefault="0075791A">
            <w:pPr>
              <w:rPr>
                <w:color w:val="auto"/>
              </w:rPr>
            </w:pPr>
          </w:p>
        </w:tc>
        <w:tc>
          <w:tcPr>
            <w:tcW w:w="772" w:type="dxa"/>
            <w:tcBorders>
              <w:top w:val="single" w:sz="4" w:space="0" w:color="000000"/>
              <w:left w:val="single" w:sz="4" w:space="0" w:color="000000"/>
              <w:bottom w:val="single" w:sz="4" w:space="0" w:color="000000"/>
              <w:right w:val="single" w:sz="4" w:space="0" w:color="000000"/>
            </w:tcBorders>
            <w:vAlign w:val="center"/>
          </w:tcPr>
          <w:p w14:paraId="617F095C" w14:textId="77777777" w:rsidR="0075791A" w:rsidRDefault="00FB2864">
            <w:pPr>
              <w:pStyle w:val="TableParagraph"/>
              <w:spacing w:before="33"/>
              <w:ind w:left="246"/>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H</w:t>
            </w:r>
            <w:r>
              <w:rPr>
                <w:rFonts w:ascii="Times New Roman" w:eastAsia="Times New Roman" w:hAnsi="Times New Roman" w:cs="Times New Roman"/>
                <w:color w:val="auto"/>
                <w:sz w:val="22"/>
                <w:szCs w:val="22"/>
              </w:rPr>
              <w:t>7</w:t>
            </w:r>
          </w:p>
        </w:tc>
        <w:tc>
          <w:tcPr>
            <w:tcW w:w="1732" w:type="dxa"/>
            <w:tcBorders>
              <w:top w:val="single" w:sz="4" w:space="0" w:color="000000"/>
              <w:left w:val="single" w:sz="4" w:space="0" w:color="000000"/>
              <w:bottom w:val="single" w:sz="4" w:space="0" w:color="000000"/>
              <w:right w:val="single" w:sz="4" w:space="0" w:color="000000"/>
            </w:tcBorders>
            <w:vAlign w:val="center"/>
          </w:tcPr>
          <w:p w14:paraId="6196E962" w14:textId="77777777" w:rsidR="0075791A" w:rsidRDefault="00FB2864">
            <w:pPr>
              <w:pStyle w:val="TableParagraph"/>
              <w:spacing w:before="39"/>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1</w:t>
            </w:r>
          </w:p>
        </w:tc>
        <w:tc>
          <w:tcPr>
            <w:tcW w:w="1732" w:type="dxa"/>
            <w:tcBorders>
              <w:top w:val="single" w:sz="4" w:space="0" w:color="000000"/>
              <w:left w:val="single" w:sz="4" w:space="0" w:color="000000"/>
              <w:bottom w:val="single" w:sz="4" w:space="0" w:color="000000"/>
              <w:right w:val="single" w:sz="4" w:space="0" w:color="000000"/>
            </w:tcBorders>
            <w:vAlign w:val="center"/>
          </w:tcPr>
          <w:p w14:paraId="75844212" w14:textId="77777777" w:rsidR="0075791A" w:rsidRDefault="00FB2864">
            <w:pPr>
              <w:pStyle w:val="TableParagraph"/>
              <w:spacing w:before="39"/>
              <w:ind w:left="609" w:right="609"/>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7</w:t>
            </w:r>
          </w:p>
        </w:tc>
        <w:tc>
          <w:tcPr>
            <w:tcW w:w="1732" w:type="dxa"/>
            <w:tcBorders>
              <w:top w:val="single" w:sz="4" w:space="0" w:color="000000"/>
              <w:left w:val="single" w:sz="4" w:space="0" w:color="000000"/>
              <w:bottom w:val="single" w:sz="4" w:space="0" w:color="000000"/>
              <w:right w:val="single" w:sz="4" w:space="0" w:color="000000"/>
            </w:tcBorders>
            <w:vAlign w:val="center"/>
          </w:tcPr>
          <w:p w14:paraId="6DE794D6" w14:textId="77777777" w:rsidR="0075791A" w:rsidRDefault="00FB2864">
            <w:pPr>
              <w:pStyle w:val="TableParagraph"/>
              <w:spacing w:before="39"/>
              <w:ind w:left="771" w:right="77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c>
          <w:tcPr>
            <w:tcW w:w="1730" w:type="dxa"/>
            <w:tcBorders>
              <w:top w:val="single" w:sz="4" w:space="0" w:color="000000"/>
              <w:left w:val="single" w:sz="4" w:space="0" w:color="000000"/>
              <w:bottom w:val="single" w:sz="4" w:space="0" w:color="000000"/>
              <w:right w:val="single" w:sz="4" w:space="0" w:color="000000"/>
            </w:tcBorders>
            <w:vAlign w:val="center"/>
          </w:tcPr>
          <w:p w14:paraId="6845CFF3" w14:textId="77777777" w:rsidR="0075791A" w:rsidRDefault="00FB2864">
            <w:pPr>
              <w:pStyle w:val="TableParagraph"/>
              <w:spacing w:before="39"/>
              <w:ind w:left="769" w:right="77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75791A" w14:paraId="35DF1EB7" w14:textId="77777777">
        <w:trPr>
          <w:trHeight w:hRule="exact" w:val="340"/>
        </w:trPr>
        <w:tc>
          <w:tcPr>
            <w:tcW w:w="1992" w:type="dxa"/>
            <w:gridSpan w:val="2"/>
            <w:tcBorders>
              <w:top w:val="single" w:sz="4" w:space="0" w:color="000000"/>
              <w:left w:val="single" w:sz="4" w:space="0" w:color="000000"/>
              <w:bottom w:val="single" w:sz="4" w:space="0" w:color="000000"/>
              <w:right w:val="single" w:sz="4" w:space="0" w:color="000000"/>
            </w:tcBorders>
            <w:vAlign w:val="center"/>
          </w:tcPr>
          <w:p w14:paraId="272CFA80" w14:textId="77777777" w:rsidR="0075791A" w:rsidRDefault="00FB2864">
            <w:pPr>
              <w:pStyle w:val="TableParagraph"/>
              <w:spacing w:line="264" w:lineRule="exact"/>
              <w:ind w:left="656" w:right="656"/>
              <w:jc w:val="center"/>
              <w:rPr>
                <w:rFonts w:ascii="宋体" w:eastAsia="宋体" w:hAnsi="宋体" w:cs="宋体"/>
                <w:color w:val="auto"/>
              </w:rPr>
            </w:pPr>
            <w:r>
              <w:rPr>
                <w:rFonts w:ascii="宋体" w:eastAsia="宋体" w:hAnsi="宋体" w:cs="宋体"/>
                <w:color w:val="auto"/>
                <w:spacing w:val="-1"/>
              </w:rPr>
              <w:t>平</w:t>
            </w:r>
            <w:r>
              <w:rPr>
                <w:rFonts w:ascii="宋体" w:eastAsia="宋体" w:hAnsi="宋体" w:cs="宋体"/>
                <w:color w:val="auto"/>
                <w:spacing w:val="2"/>
              </w:rPr>
              <w:t>均</w:t>
            </w:r>
            <w:r>
              <w:rPr>
                <w:rFonts w:ascii="宋体" w:eastAsia="宋体" w:hAnsi="宋体" w:cs="宋体"/>
                <w:color w:val="auto"/>
              </w:rPr>
              <w:t>值</w:t>
            </w:r>
          </w:p>
        </w:tc>
        <w:tc>
          <w:tcPr>
            <w:tcW w:w="1732" w:type="dxa"/>
            <w:tcBorders>
              <w:top w:val="single" w:sz="4" w:space="0" w:color="000000"/>
              <w:left w:val="single" w:sz="4" w:space="0" w:color="000000"/>
              <w:bottom w:val="single" w:sz="4" w:space="0" w:color="000000"/>
              <w:right w:val="single" w:sz="4" w:space="0" w:color="000000"/>
            </w:tcBorders>
            <w:vAlign w:val="center"/>
          </w:tcPr>
          <w:p w14:paraId="0392D300" w14:textId="77777777" w:rsidR="0075791A" w:rsidRDefault="00FB2864">
            <w:pPr>
              <w:pStyle w:val="TableParagraph"/>
              <w:spacing w:before="38"/>
              <w:ind w:left="656" w:right="657"/>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8</w:t>
            </w:r>
          </w:p>
        </w:tc>
        <w:tc>
          <w:tcPr>
            <w:tcW w:w="1732" w:type="dxa"/>
            <w:tcBorders>
              <w:top w:val="single" w:sz="4" w:space="0" w:color="000000"/>
              <w:left w:val="single" w:sz="4" w:space="0" w:color="000000"/>
              <w:bottom w:val="single" w:sz="4" w:space="0" w:color="000000"/>
              <w:right w:val="single" w:sz="4" w:space="0" w:color="000000"/>
            </w:tcBorders>
            <w:vAlign w:val="center"/>
          </w:tcPr>
          <w:p w14:paraId="32B559F4" w14:textId="77777777" w:rsidR="0075791A" w:rsidRDefault="00FB2864">
            <w:pPr>
              <w:pStyle w:val="TableParagraph"/>
              <w:spacing w:before="38"/>
              <w:ind w:left="210" w:right="210"/>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7248ACE5" w14:textId="77777777" w:rsidR="0075791A" w:rsidRDefault="00FB2864">
            <w:pPr>
              <w:pStyle w:val="TableParagraph"/>
              <w:spacing w:before="38"/>
              <w:ind w:left="604" w:right="605"/>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32</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1730" w:type="dxa"/>
            <w:tcBorders>
              <w:top w:val="single" w:sz="4" w:space="0" w:color="000000"/>
              <w:left w:val="single" w:sz="4" w:space="0" w:color="000000"/>
              <w:bottom w:val="single" w:sz="4" w:space="0" w:color="000000"/>
              <w:right w:val="single" w:sz="4" w:space="0" w:color="000000"/>
            </w:tcBorders>
            <w:vAlign w:val="center"/>
          </w:tcPr>
          <w:p w14:paraId="691DC36D" w14:textId="77777777" w:rsidR="0075791A" w:rsidRDefault="00FB2864">
            <w:pPr>
              <w:pStyle w:val="TableParagraph"/>
              <w:spacing w:before="38"/>
              <w:ind w:left="570"/>
              <w:rPr>
                <w:rFonts w:ascii="Times New Roman" w:eastAsia="Times New Roman" w:hAnsi="Times New Roman" w:cs="Times New Roman"/>
                <w:color w:val="auto"/>
              </w:rPr>
            </w:pPr>
            <w:r>
              <w:rPr>
                <w:rFonts w:ascii="Times New Roman" w:eastAsia="Times New Roman" w:hAnsi="Times New Roman" w:cs="Times New Roman"/>
                <w:color w:val="auto"/>
                <w:spacing w:val="1"/>
              </w:rPr>
              <w:t>888</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5</w:t>
            </w:r>
            <w:r>
              <w:rPr>
                <w:rFonts w:ascii="Times New Roman" w:eastAsia="Times New Roman" w:hAnsi="Times New Roman" w:cs="Times New Roman"/>
                <w:color w:val="auto"/>
              </w:rPr>
              <w:t>1</w:t>
            </w:r>
          </w:p>
        </w:tc>
      </w:tr>
    </w:tbl>
    <w:p w14:paraId="4BAA1E75" w14:textId="77777777" w:rsidR="0075791A" w:rsidRDefault="00FB2864">
      <w:pPr>
        <w:pStyle w:val="a5"/>
        <w:tabs>
          <w:tab w:val="left" w:pos="2610"/>
        </w:tabs>
        <w:spacing w:beforeLines="50" w:before="120" w:line="292" w:lineRule="exact"/>
        <w:jc w:val="center"/>
        <w:rPr>
          <w:color w:val="auto"/>
          <w:sz w:val="24"/>
          <w:szCs w:val="24"/>
          <w:lang w:eastAsia="zh-CN"/>
        </w:rPr>
      </w:pPr>
      <w:r>
        <w:rPr>
          <w:color w:val="auto"/>
          <w:sz w:val="24"/>
          <w:szCs w:val="24"/>
          <w:lang w:eastAsia="zh-CN"/>
        </w:rPr>
        <w:t>表</w:t>
      </w:r>
      <w:r>
        <w:rPr>
          <w:rFonts w:ascii="Times New Roman" w:eastAsia="宋体" w:hAnsi="Times New Roman" w:cs="Times New Roman" w:hint="eastAsia"/>
          <w:snapToGrid/>
          <w:color w:val="auto"/>
          <w:kern w:val="2"/>
          <w:sz w:val="24"/>
          <w:szCs w:val="24"/>
          <w:lang w:eastAsia="zh-CN"/>
        </w:rPr>
        <w:t xml:space="preserve">3.2.6-35  </w:t>
      </w:r>
      <w:r>
        <w:rPr>
          <w:rFonts w:ascii="Times New Roman" w:eastAsia="Times New Roman" w:hAnsi="Times New Roman" w:cs="Times New Roman"/>
          <w:color w:val="auto"/>
          <w:sz w:val="24"/>
          <w:szCs w:val="24"/>
          <w:lang w:eastAsia="zh-CN"/>
        </w:rPr>
        <w:t xml:space="preserve">2024 </w:t>
      </w:r>
      <w:r>
        <w:rPr>
          <w:color w:val="auto"/>
          <w:sz w:val="24"/>
          <w:szCs w:val="24"/>
          <w:lang w:eastAsia="zh-CN"/>
        </w:rPr>
        <w:t>年</w:t>
      </w:r>
      <w:r>
        <w:rPr>
          <w:color w:val="auto"/>
          <w:spacing w:val="-60"/>
          <w:sz w:val="24"/>
          <w:szCs w:val="24"/>
          <w:lang w:eastAsia="zh-CN"/>
        </w:rPr>
        <w:t xml:space="preserve"> </w:t>
      </w:r>
      <w:r>
        <w:rPr>
          <w:rFonts w:ascii="Times New Roman" w:eastAsia="Times New Roman" w:hAnsi="Times New Roman" w:cs="Times New Roman"/>
          <w:color w:val="auto"/>
          <w:sz w:val="24"/>
          <w:szCs w:val="24"/>
          <w:lang w:eastAsia="zh-CN"/>
        </w:rPr>
        <w:t xml:space="preserve">9 </w:t>
      </w:r>
      <w:r>
        <w:rPr>
          <w:color w:val="auto"/>
          <w:sz w:val="24"/>
          <w:szCs w:val="24"/>
          <w:lang w:eastAsia="zh-CN"/>
        </w:rPr>
        <w:t>月航次调查海域贝类种类优势地位及组成</w:t>
      </w:r>
    </w:p>
    <w:tbl>
      <w:tblPr>
        <w:tblW w:w="0" w:type="auto"/>
        <w:tblInd w:w="496" w:type="dxa"/>
        <w:tblLayout w:type="fixed"/>
        <w:tblCellMar>
          <w:left w:w="0" w:type="dxa"/>
          <w:right w:w="0" w:type="dxa"/>
        </w:tblCellMar>
        <w:tblLook w:val="04A0" w:firstRow="1" w:lastRow="0" w:firstColumn="1" w:lastColumn="0" w:noHBand="0" w:noVBand="1"/>
      </w:tblPr>
      <w:tblGrid>
        <w:gridCol w:w="1418"/>
        <w:gridCol w:w="2551"/>
        <w:gridCol w:w="1063"/>
        <w:gridCol w:w="1063"/>
        <w:gridCol w:w="1063"/>
        <w:gridCol w:w="1064"/>
      </w:tblGrid>
      <w:tr w:rsidR="0075791A" w14:paraId="1F42073C" w14:textId="77777777">
        <w:trPr>
          <w:trHeight w:hRule="exact" w:val="286"/>
        </w:trPr>
        <w:tc>
          <w:tcPr>
            <w:tcW w:w="1418" w:type="dxa"/>
            <w:tcBorders>
              <w:top w:val="single" w:sz="4" w:space="0" w:color="000000"/>
              <w:left w:val="single" w:sz="4" w:space="0" w:color="000000"/>
              <w:bottom w:val="single" w:sz="4" w:space="0" w:color="000000"/>
              <w:right w:val="single" w:sz="4" w:space="0" w:color="000000"/>
            </w:tcBorders>
          </w:tcPr>
          <w:p w14:paraId="585F4F63" w14:textId="77777777" w:rsidR="0075791A" w:rsidRDefault="00FB2864">
            <w:pPr>
              <w:pStyle w:val="TableParagraph"/>
              <w:spacing w:line="288" w:lineRule="exact"/>
              <w:ind w:left="466" w:right="464"/>
              <w:jc w:val="center"/>
              <w:rPr>
                <w:rFonts w:ascii="宋体" w:eastAsia="宋体" w:hAnsi="宋体" w:cs="宋体"/>
                <w:color w:val="auto"/>
                <w:sz w:val="22"/>
                <w:szCs w:val="22"/>
              </w:rPr>
            </w:pPr>
            <w:r>
              <w:rPr>
                <w:rFonts w:ascii="宋体" w:eastAsia="宋体" w:hAnsi="宋体" w:cs="宋体"/>
                <w:color w:val="auto"/>
                <w:spacing w:val="-1"/>
                <w:sz w:val="22"/>
                <w:szCs w:val="22"/>
              </w:rPr>
              <w:t>种</w:t>
            </w:r>
            <w:r>
              <w:rPr>
                <w:rFonts w:ascii="宋体" w:eastAsia="宋体" w:hAnsi="宋体" w:cs="宋体"/>
                <w:color w:val="auto"/>
                <w:sz w:val="22"/>
                <w:szCs w:val="22"/>
              </w:rPr>
              <w:t>类</w:t>
            </w:r>
          </w:p>
        </w:tc>
        <w:tc>
          <w:tcPr>
            <w:tcW w:w="2551" w:type="dxa"/>
            <w:tcBorders>
              <w:top w:val="single" w:sz="4" w:space="0" w:color="000000"/>
              <w:left w:val="single" w:sz="4" w:space="0" w:color="000000"/>
              <w:bottom w:val="single" w:sz="4" w:space="0" w:color="000000"/>
              <w:right w:val="single" w:sz="4" w:space="0" w:color="000000"/>
            </w:tcBorders>
          </w:tcPr>
          <w:p w14:paraId="5B755D7C" w14:textId="77777777" w:rsidR="0075791A" w:rsidRDefault="00FB2864">
            <w:pPr>
              <w:pStyle w:val="TableParagraph"/>
              <w:spacing w:line="288" w:lineRule="exact"/>
              <w:jc w:val="center"/>
              <w:rPr>
                <w:rFonts w:ascii="宋体" w:eastAsia="宋体" w:hAnsi="宋体" w:cs="宋体"/>
                <w:color w:val="auto"/>
                <w:sz w:val="22"/>
                <w:szCs w:val="22"/>
              </w:rPr>
            </w:pPr>
            <w:r>
              <w:rPr>
                <w:rFonts w:ascii="宋体" w:eastAsia="宋体" w:hAnsi="宋体" w:cs="宋体"/>
                <w:color w:val="auto"/>
                <w:spacing w:val="-1"/>
                <w:sz w:val="22"/>
                <w:szCs w:val="22"/>
              </w:rPr>
              <w:t>拉</w:t>
            </w:r>
            <w:r>
              <w:rPr>
                <w:rFonts w:ascii="宋体" w:eastAsia="宋体" w:hAnsi="宋体" w:cs="宋体"/>
                <w:color w:val="auto"/>
                <w:spacing w:val="-3"/>
                <w:sz w:val="22"/>
                <w:szCs w:val="22"/>
              </w:rPr>
              <w:t>丁</w:t>
            </w:r>
            <w:r>
              <w:rPr>
                <w:rFonts w:ascii="宋体" w:eastAsia="宋体" w:hAnsi="宋体" w:cs="宋体"/>
                <w:color w:val="auto"/>
                <w:sz w:val="22"/>
                <w:szCs w:val="22"/>
              </w:rPr>
              <w:t>名</w:t>
            </w:r>
          </w:p>
        </w:tc>
        <w:tc>
          <w:tcPr>
            <w:tcW w:w="1063" w:type="dxa"/>
            <w:tcBorders>
              <w:top w:val="single" w:sz="4" w:space="0" w:color="000000"/>
              <w:left w:val="single" w:sz="4" w:space="0" w:color="000000"/>
              <w:bottom w:val="single" w:sz="4" w:space="0" w:color="000000"/>
              <w:right w:val="single" w:sz="4" w:space="0" w:color="000000"/>
            </w:tcBorders>
          </w:tcPr>
          <w:p w14:paraId="409033B1" w14:textId="77777777" w:rsidR="0075791A" w:rsidRDefault="00FB2864">
            <w:pPr>
              <w:pStyle w:val="TableParagraph"/>
              <w:spacing w:before="51"/>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N</w:t>
            </w:r>
          </w:p>
        </w:tc>
        <w:tc>
          <w:tcPr>
            <w:tcW w:w="1063" w:type="dxa"/>
            <w:tcBorders>
              <w:top w:val="single" w:sz="4" w:space="0" w:color="000000"/>
              <w:left w:val="single" w:sz="4" w:space="0" w:color="000000"/>
              <w:bottom w:val="single" w:sz="4" w:space="0" w:color="000000"/>
              <w:right w:val="single" w:sz="4" w:space="0" w:color="000000"/>
            </w:tcBorders>
          </w:tcPr>
          <w:p w14:paraId="771BD860" w14:textId="77777777" w:rsidR="0075791A" w:rsidRDefault="00FB2864">
            <w:pPr>
              <w:pStyle w:val="TableParagraph"/>
              <w:spacing w:before="51"/>
              <w:ind w:left="1"/>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W</w:t>
            </w:r>
          </w:p>
        </w:tc>
        <w:tc>
          <w:tcPr>
            <w:tcW w:w="1063" w:type="dxa"/>
            <w:tcBorders>
              <w:top w:val="single" w:sz="4" w:space="0" w:color="000000"/>
              <w:left w:val="single" w:sz="4" w:space="0" w:color="000000"/>
              <w:bottom w:val="single" w:sz="4" w:space="0" w:color="000000"/>
              <w:right w:val="single" w:sz="4" w:space="0" w:color="000000"/>
            </w:tcBorders>
          </w:tcPr>
          <w:p w14:paraId="0248DB3B" w14:textId="77777777" w:rsidR="0075791A" w:rsidRDefault="00FB2864">
            <w:pPr>
              <w:pStyle w:val="TableParagraph"/>
              <w:spacing w:before="51"/>
              <w:ind w:right="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F</w:t>
            </w:r>
          </w:p>
        </w:tc>
        <w:tc>
          <w:tcPr>
            <w:tcW w:w="1064" w:type="dxa"/>
            <w:tcBorders>
              <w:top w:val="single" w:sz="4" w:space="0" w:color="000000"/>
              <w:left w:val="single" w:sz="4" w:space="0" w:color="000000"/>
              <w:bottom w:val="single" w:sz="4" w:space="0" w:color="000000"/>
              <w:right w:val="single" w:sz="4" w:space="0" w:color="000000"/>
            </w:tcBorders>
          </w:tcPr>
          <w:p w14:paraId="400F1FC1" w14:textId="77777777" w:rsidR="0075791A" w:rsidRDefault="00FB2864">
            <w:pPr>
              <w:pStyle w:val="TableParagraph"/>
              <w:spacing w:before="51"/>
              <w:ind w:right="2"/>
              <w:jc w:val="center"/>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2"/>
                <w:sz w:val="22"/>
                <w:szCs w:val="22"/>
              </w:rPr>
              <w:t>I</w:t>
            </w:r>
            <w:r>
              <w:rPr>
                <w:rFonts w:ascii="Times New Roman" w:eastAsia="Times New Roman" w:hAnsi="Times New Roman" w:cs="Times New Roman"/>
                <w:color w:val="auto"/>
                <w:spacing w:val="-1"/>
                <w:sz w:val="22"/>
                <w:szCs w:val="22"/>
              </w:rPr>
              <w:t>R</w:t>
            </w:r>
            <w:r>
              <w:rPr>
                <w:rFonts w:ascii="Times New Roman" w:eastAsia="Times New Roman" w:hAnsi="Times New Roman" w:cs="Times New Roman"/>
                <w:color w:val="auto"/>
                <w:sz w:val="22"/>
                <w:szCs w:val="22"/>
              </w:rPr>
              <w:t>I</w:t>
            </w:r>
          </w:p>
        </w:tc>
      </w:tr>
      <w:tr w:rsidR="0075791A" w14:paraId="34981B9C" w14:textId="77777777">
        <w:trPr>
          <w:trHeight w:hRule="exact" w:val="330"/>
        </w:trPr>
        <w:tc>
          <w:tcPr>
            <w:tcW w:w="1418" w:type="dxa"/>
            <w:tcBorders>
              <w:top w:val="single" w:sz="4" w:space="0" w:color="000000"/>
              <w:left w:val="single" w:sz="4" w:space="0" w:color="000000"/>
              <w:bottom w:val="single" w:sz="4" w:space="0" w:color="000000"/>
              <w:right w:val="single" w:sz="4" w:space="0" w:color="000000"/>
            </w:tcBorders>
          </w:tcPr>
          <w:p w14:paraId="431C444A" w14:textId="77777777" w:rsidR="0075791A" w:rsidRDefault="00FB2864">
            <w:pPr>
              <w:pStyle w:val="TableParagraph"/>
              <w:spacing w:line="289" w:lineRule="exact"/>
              <w:ind w:left="374"/>
              <w:rPr>
                <w:rFonts w:ascii="宋体" w:eastAsia="宋体" w:hAnsi="宋体" w:cs="宋体"/>
                <w:color w:val="auto"/>
                <w:sz w:val="22"/>
                <w:szCs w:val="22"/>
              </w:rPr>
            </w:pPr>
            <w:r>
              <w:rPr>
                <w:rFonts w:ascii="宋体" w:eastAsia="宋体" w:hAnsi="宋体" w:cs="宋体"/>
                <w:color w:val="auto"/>
                <w:spacing w:val="-1"/>
                <w:sz w:val="22"/>
                <w:szCs w:val="22"/>
              </w:rPr>
              <w:t>沟</w:t>
            </w:r>
            <w:r>
              <w:rPr>
                <w:rFonts w:ascii="宋体" w:eastAsia="宋体" w:hAnsi="宋体" w:cs="宋体"/>
                <w:color w:val="auto"/>
                <w:spacing w:val="-3"/>
                <w:sz w:val="22"/>
                <w:szCs w:val="22"/>
              </w:rPr>
              <w:t>鹑</w:t>
            </w:r>
            <w:r>
              <w:rPr>
                <w:rFonts w:ascii="宋体" w:eastAsia="宋体" w:hAnsi="宋体" w:cs="宋体"/>
                <w:color w:val="auto"/>
                <w:sz w:val="22"/>
                <w:szCs w:val="22"/>
              </w:rPr>
              <w:t>螺</w:t>
            </w:r>
          </w:p>
        </w:tc>
        <w:tc>
          <w:tcPr>
            <w:tcW w:w="2551" w:type="dxa"/>
            <w:tcBorders>
              <w:top w:val="single" w:sz="4" w:space="0" w:color="000000"/>
              <w:left w:val="single" w:sz="4" w:space="0" w:color="000000"/>
              <w:bottom w:val="single" w:sz="4" w:space="0" w:color="000000"/>
              <w:right w:val="single" w:sz="4" w:space="0" w:color="000000"/>
            </w:tcBorders>
          </w:tcPr>
          <w:p w14:paraId="2E74AD44" w14:textId="77777777" w:rsidR="0075791A" w:rsidRDefault="00FB2864">
            <w:pPr>
              <w:pStyle w:val="TableParagraph"/>
              <w:spacing w:before="50"/>
              <w:ind w:left="641"/>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8"/>
                <w:sz w:val="22"/>
                <w:szCs w:val="22"/>
              </w:rPr>
              <w:t>T</w:t>
            </w:r>
            <w:r>
              <w:rPr>
                <w:rFonts w:ascii="Times New Roman" w:eastAsia="Times New Roman" w:hAnsi="Times New Roman" w:cs="Times New Roman"/>
                <w:i/>
                <w:color w:val="auto"/>
                <w:spacing w:val="-3"/>
                <w:sz w:val="22"/>
                <w:szCs w:val="22"/>
              </w:rPr>
              <w:t>o</w:t>
            </w:r>
            <w:r>
              <w:rPr>
                <w:rFonts w:ascii="Times New Roman" w:eastAsia="Times New Roman" w:hAnsi="Times New Roman" w:cs="Times New Roman"/>
                <w:i/>
                <w:color w:val="auto"/>
                <w:spacing w:val="-1"/>
                <w:sz w:val="22"/>
                <w:szCs w:val="22"/>
              </w:rPr>
              <w:t>nn</w:t>
            </w:r>
            <w:r>
              <w:rPr>
                <w:rFonts w:ascii="Times New Roman" w:eastAsia="Times New Roman" w:hAnsi="Times New Roman" w:cs="Times New Roman"/>
                <w:i/>
                <w:color w:val="auto"/>
                <w:sz w:val="22"/>
                <w:szCs w:val="22"/>
              </w:rPr>
              <w:t>a</w:t>
            </w:r>
            <w:r>
              <w:rPr>
                <w:rFonts w:ascii="Times New Roman" w:eastAsia="Times New Roman" w:hAnsi="Times New Roman" w:cs="Times New Roman"/>
                <w:i/>
                <w:color w:val="auto"/>
                <w:spacing w:val="-3"/>
                <w:sz w:val="22"/>
                <w:szCs w:val="22"/>
              </w:rPr>
              <w:t xml:space="preserve"> </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pacing w:val="-2"/>
                <w:sz w:val="22"/>
                <w:szCs w:val="22"/>
              </w:rPr>
              <w:t>l</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1"/>
                <w:sz w:val="22"/>
                <w:szCs w:val="22"/>
              </w:rPr>
              <w:t>o</w:t>
            </w:r>
            <w:r>
              <w:rPr>
                <w:rFonts w:ascii="Times New Roman" w:eastAsia="Times New Roman" w:hAnsi="Times New Roman" w:cs="Times New Roman"/>
                <w:i/>
                <w:color w:val="auto"/>
                <w:sz w:val="22"/>
                <w:szCs w:val="22"/>
              </w:rPr>
              <w:t>sa</w:t>
            </w:r>
          </w:p>
        </w:tc>
        <w:tc>
          <w:tcPr>
            <w:tcW w:w="1063" w:type="dxa"/>
            <w:tcBorders>
              <w:top w:val="single" w:sz="4" w:space="0" w:color="000000"/>
              <w:left w:val="single" w:sz="4" w:space="0" w:color="000000"/>
              <w:bottom w:val="single" w:sz="4" w:space="0" w:color="000000"/>
              <w:right w:val="single" w:sz="4" w:space="0" w:color="000000"/>
            </w:tcBorders>
          </w:tcPr>
          <w:p w14:paraId="4D27D023" w14:textId="77777777" w:rsidR="0075791A" w:rsidRDefault="00FB2864">
            <w:pPr>
              <w:pStyle w:val="TableParagraph"/>
              <w:spacing w:before="50"/>
              <w:ind w:left="242"/>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0.38</w:t>
            </w:r>
            <w:r>
              <w:rPr>
                <w:rFonts w:ascii="Times New Roman" w:eastAsia="Times New Roman" w:hAnsi="Times New Roman" w:cs="Times New Roman"/>
                <w:color w:val="auto"/>
                <w:sz w:val="22"/>
                <w:szCs w:val="22"/>
              </w:rPr>
              <w:t>%</w:t>
            </w:r>
          </w:p>
        </w:tc>
        <w:tc>
          <w:tcPr>
            <w:tcW w:w="1063" w:type="dxa"/>
            <w:tcBorders>
              <w:top w:val="single" w:sz="4" w:space="0" w:color="000000"/>
              <w:left w:val="single" w:sz="4" w:space="0" w:color="000000"/>
              <w:bottom w:val="single" w:sz="4" w:space="0" w:color="000000"/>
              <w:right w:val="single" w:sz="4" w:space="0" w:color="000000"/>
            </w:tcBorders>
          </w:tcPr>
          <w:p w14:paraId="0B689EAB" w14:textId="77777777" w:rsidR="0075791A" w:rsidRDefault="00FB2864">
            <w:pPr>
              <w:pStyle w:val="TableParagraph"/>
              <w:spacing w:before="50"/>
              <w:ind w:left="243"/>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1.99</w:t>
            </w:r>
            <w:r>
              <w:rPr>
                <w:rFonts w:ascii="Times New Roman" w:eastAsia="Times New Roman" w:hAnsi="Times New Roman" w:cs="Times New Roman"/>
                <w:color w:val="auto"/>
                <w:sz w:val="22"/>
                <w:szCs w:val="22"/>
              </w:rPr>
              <w:t>%</w:t>
            </w:r>
          </w:p>
        </w:tc>
        <w:tc>
          <w:tcPr>
            <w:tcW w:w="1063" w:type="dxa"/>
            <w:tcBorders>
              <w:top w:val="single" w:sz="4" w:space="0" w:color="000000"/>
              <w:left w:val="single" w:sz="4" w:space="0" w:color="000000"/>
              <w:bottom w:val="single" w:sz="4" w:space="0" w:color="000000"/>
              <w:right w:val="single" w:sz="4" w:space="0" w:color="000000"/>
            </w:tcBorders>
          </w:tcPr>
          <w:p w14:paraId="479BB254" w14:textId="77777777" w:rsidR="0075791A" w:rsidRDefault="00FB2864">
            <w:pPr>
              <w:pStyle w:val="TableParagraph"/>
              <w:spacing w:before="50"/>
              <w:ind w:left="334"/>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0.3</w:t>
            </w:r>
            <w:r>
              <w:rPr>
                <w:rFonts w:ascii="Times New Roman" w:eastAsia="Times New Roman" w:hAnsi="Times New Roman" w:cs="Times New Roman"/>
                <w:color w:val="auto"/>
                <w:sz w:val="22"/>
                <w:szCs w:val="22"/>
              </w:rPr>
              <w:t>8</w:t>
            </w:r>
          </w:p>
        </w:tc>
        <w:tc>
          <w:tcPr>
            <w:tcW w:w="1064" w:type="dxa"/>
            <w:tcBorders>
              <w:top w:val="single" w:sz="4" w:space="0" w:color="000000"/>
              <w:left w:val="single" w:sz="4" w:space="0" w:color="000000"/>
              <w:bottom w:val="single" w:sz="4" w:space="0" w:color="000000"/>
              <w:right w:val="single" w:sz="4" w:space="0" w:color="000000"/>
            </w:tcBorders>
          </w:tcPr>
          <w:p w14:paraId="3B1520CD" w14:textId="77777777" w:rsidR="0075791A" w:rsidRDefault="00FB2864">
            <w:pPr>
              <w:pStyle w:val="TableParagraph"/>
              <w:spacing w:before="50"/>
              <w:ind w:left="27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88.9</w:t>
            </w:r>
            <w:r>
              <w:rPr>
                <w:rFonts w:ascii="Times New Roman" w:eastAsia="Times New Roman" w:hAnsi="Times New Roman" w:cs="Times New Roman"/>
                <w:color w:val="auto"/>
                <w:sz w:val="22"/>
                <w:szCs w:val="22"/>
              </w:rPr>
              <w:t>3</w:t>
            </w:r>
          </w:p>
        </w:tc>
      </w:tr>
      <w:tr w:rsidR="0075791A" w14:paraId="42655245" w14:textId="77777777">
        <w:trPr>
          <w:trHeight w:hRule="exact" w:val="330"/>
        </w:trPr>
        <w:tc>
          <w:tcPr>
            <w:tcW w:w="1418" w:type="dxa"/>
            <w:tcBorders>
              <w:top w:val="single" w:sz="4" w:space="0" w:color="000000"/>
              <w:left w:val="single" w:sz="4" w:space="0" w:color="000000"/>
              <w:bottom w:val="single" w:sz="4" w:space="0" w:color="000000"/>
              <w:right w:val="single" w:sz="4" w:space="0" w:color="000000"/>
            </w:tcBorders>
          </w:tcPr>
          <w:p w14:paraId="4A67FFEB" w14:textId="77777777" w:rsidR="0075791A" w:rsidRDefault="00FB2864">
            <w:pPr>
              <w:pStyle w:val="TableParagraph"/>
              <w:spacing w:line="288" w:lineRule="exact"/>
              <w:ind w:left="263"/>
              <w:rPr>
                <w:rFonts w:ascii="宋体" w:eastAsia="宋体" w:hAnsi="宋体" w:cs="宋体"/>
                <w:color w:val="auto"/>
                <w:sz w:val="22"/>
                <w:szCs w:val="22"/>
              </w:rPr>
            </w:pPr>
            <w:r>
              <w:rPr>
                <w:rFonts w:ascii="宋体" w:eastAsia="宋体" w:hAnsi="宋体" w:cs="宋体"/>
                <w:color w:val="auto"/>
                <w:spacing w:val="-1"/>
                <w:sz w:val="22"/>
                <w:szCs w:val="22"/>
              </w:rPr>
              <w:t>网</w:t>
            </w:r>
            <w:r>
              <w:rPr>
                <w:rFonts w:ascii="宋体" w:eastAsia="宋体" w:hAnsi="宋体" w:cs="宋体"/>
                <w:color w:val="auto"/>
                <w:spacing w:val="-3"/>
                <w:sz w:val="22"/>
                <w:szCs w:val="22"/>
              </w:rPr>
              <w:t>纹</w:t>
            </w:r>
            <w:r>
              <w:rPr>
                <w:rFonts w:ascii="宋体" w:eastAsia="宋体" w:hAnsi="宋体" w:cs="宋体"/>
                <w:color w:val="auto"/>
                <w:spacing w:val="-1"/>
                <w:sz w:val="22"/>
                <w:szCs w:val="22"/>
              </w:rPr>
              <w:t>扭</w:t>
            </w:r>
            <w:r>
              <w:rPr>
                <w:rFonts w:ascii="宋体" w:eastAsia="宋体" w:hAnsi="宋体" w:cs="宋体"/>
                <w:color w:val="auto"/>
                <w:sz w:val="22"/>
                <w:szCs w:val="22"/>
              </w:rPr>
              <w:t>螺</w:t>
            </w:r>
          </w:p>
        </w:tc>
        <w:tc>
          <w:tcPr>
            <w:tcW w:w="2551" w:type="dxa"/>
            <w:tcBorders>
              <w:top w:val="single" w:sz="4" w:space="0" w:color="000000"/>
              <w:left w:val="single" w:sz="4" w:space="0" w:color="000000"/>
              <w:bottom w:val="single" w:sz="4" w:space="0" w:color="000000"/>
              <w:right w:val="single" w:sz="4" w:space="0" w:color="000000"/>
            </w:tcBorders>
          </w:tcPr>
          <w:p w14:paraId="12D1C8D2" w14:textId="77777777" w:rsidR="0075791A" w:rsidRDefault="00FB2864">
            <w:pPr>
              <w:pStyle w:val="TableParagraph"/>
              <w:spacing w:before="51"/>
              <w:ind w:left="410"/>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2"/>
                <w:sz w:val="22"/>
                <w:szCs w:val="22"/>
              </w:rPr>
              <w:t>D</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t</w:t>
            </w:r>
            <w:r>
              <w:rPr>
                <w:rFonts w:ascii="Times New Roman" w:eastAsia="Times New Roman" w:hAnsi="Times New Roman" w:cs="Times New Roman"/>
                <w:i/>
                <w:color w:val="auto"/>
                <w:spacing w:val="-1"/>
                <w:sz w:val="22"/>
                <w:szCs w:val="22"/>
              </w:rPr>
              <w:t>o</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2"/>
                <w:sz w:val="22"/>
                <w:szCs w:val="22"/>
              </w:rPr>
              <w:t>s</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z w:val="22"/>
                <w:szCs w:val="22"/>
              </w:rPr>
              <w:t>o</w:t>
            </w:r>
            <w:r>
              <w:rPr>
                <w:rFonts w:ascii="Times New Roman" w:eastAsia="Times New Roman" w:hAnsi="Times New Roman" w:cs="Times New Roman"/>
                <w:i/>
                <w:color w:val="auto"/>
                <w:spacing w:val="-3"/>
                <w:sz w:val="22"/>
                <w:szCs w:val="22"/>
              </w:rPr>
              <w:t xml:space="preserve"> </w:t>
            </w:r>
            <w:r>
              <w:rPr>
                <w:rFonts w:ascii="Times New Roman" w:eastAsia="Times New Roman" w:hAnsi="Times New Roman" w:cs="Times New Roman"/>
                <w:i/>
                <w:color w:val="auto"/>
                <w:spacing w:val="-5"/>
                <w:sz w:val="22"/>
                <w:szCs w:val="22"/>
              </w:rPr>
              <w:t>r</w:t>
            </w:r>
            <w:r>
              <w:rPr>
                <w:rFonts w:ascii="Times New Roman" w:eastAsia="Times New Roman" w:hAnsi="Times New Roman" w:cs="Times New Roman"/>
                <w:i/>
                <w:color w:val="auto"/>
                <w:spacing w:val="-2"/>
                <w:sz w:val="22"/>
                <w:szCs w:val="22"/>
              </w:rPr>
              <w:t>eti</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pacing w:val="-2"/>
                <w:sz w:val="22"/>
                <w:szCs w:val="22"/>
              </w:rPr>
              <w:t>l</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pacing w:val="1"/>
                <w:sz w:val="22"/>
                <w:szCs w:val="22"/>
              </w:rPr>
              <w:t>t</w:t>
            </w:r>
            <w:r>
              <w:rPr>
                <w:rFonts w:ascii="Times New Roman" w:eastAsia="Times New Roman" w:hAnsi="Times New Roman" w:cs="Times New Roman"/>
                <w:i/>
                <w:color w:val="auto"/>
                <w:sz w:val="22"/>
                <w:szCs w:val="22"/>
              </w:rPr>
              <w:t>a</w:t>
            </w:r>
          </w:p>
        </w:tc>
        <w:tc>
          <w:tcPr>
            <w:tcW w:w="1063" w:type="dxa"/>
            <w:tcBorders>
              <w:top w:val="single" w:sz="4" w:space="0" w:color="000000"/>
              <w:left w:val="single" w:sz="4" w:space="0" w:color="000000"/>
              <w:bottom w:val="single" w:sz="4" w:space="0" w:color="000000"/>
              <w:right w:val="single" w:sz="4" w:space="0" w:color="000000"/>
            </w:tcBorders>
          </w:tcPr>
          <w:p w14:paraId="1511C9BA" w14:textId="77777777" w:rsidR="0075791A" w:rsidRDefault="00FB2864">
            <w:pPr>
              <w:pStyle w:val="TableParagraph"/>
              <w:spacing w:before="51"/>
              <w:ind w:left="242"/>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2.52</w:t>
            </w:r>
            <w:r>
              <w:rPr>
                <w:rFonts w:ascii="Times New Roman" w:eastAsia="Times New Roman" w:hAnsi="Times New Roman" w:cs="Times New Roman"/>
                <w:color w:val="auto"/>
                <w:sz w:val="22"/>
                <w:szCs w:val="22"/>
              </w:rPr>
              <w:t>%</w:t>
            </w:r>
          </w:p>
        </w:tc>
        <w:tc>
          <w:tcPr>
            <w:tcW w:w="1063" w:type="dxa"/>
            <w:tcBorders>
              <w:top w:val="single" w:sz="4" w:space="0" w:color="000000"/>
              <w:left w:val="single" w:sz="4" w:space="0" w:color="000000"/>
              <w:bottom w:val="single" w:sz="4" w:space="0" w:color="000000"/>
              <w:right w:val="single" w:sz="4" w:space="0" w:color="000000"/>
            </w:tcBorders>
          </w:tcPr>
          <w:p w14:paraId="6674A934" w14:textId="77777777" w:rsidR="0075791A" w:rsidRDefault="00FB2864">
            <w:pPr>
              <w:pStyle w:val="TableParagraph"/>
              <w:spacing w:before="51"/>
              <w:ind w:left="243"/>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0.93</w:t>
            </w:r>
            <w:r>
              <w:rPr>
                <w:rFonts w:ascii="Times New Roman" w:eastAsia="Times New Roman" w:hAnsi="Times New Roman" w:cs="Times New Roman"/>
                <w:color w:val="auto"/>
                <w:sz w:val="22"/>
                <w:szCs w:val="22"/>
              </w:rPr>
              <w:t>%</w:t>
            </w:r>
          </w:p>
        </w:tc>
        <w:tc>
          <w:tcPr>
            <w:tcW w:w="1063" w:type="dxa"/>
            <w:tcBorders>
              <w:top w:val="single" w:sz="4" w:space="0" w:color="000000"/>
              <w:left w:val="single" w:sz="4" w:space="0" w:color="000000"/>
              <w:bottom w:val="single" w:sz="4" w:space="0" w:color="000000"/>
              <w:right w:val="single" w:sz="4" w:space="0" w:color="000000"/>
            </w:tcBorders>
          </w:tcPr>
          <w:p w14:paraId="248C186B" w14:textId="77777777" w:rsidR="0075791A" w:rsidRDefault="00FB2864">
            <w:pPr>
              <w:pStyle w:val="TableParagraph"/>
              <w:spacing w:before="51"/>
              <w:ind w:left="334"/>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0.2</w:t>
            </w:r>
            <w:r>
              <w:rPr>
                <w:rFonts w:ascii="Times New Roman" w:eastAsia="Times New Roman" w:hAnsi="Times New Roman" w:cs="Times New Roman"/>
                <w:color w:val="auto"/>
                <w:sz w:val="22"/>
                <w:szCs w:val="22"/>
              </w:rPr>
              <w:t>5</w:t>
            </w:r>
          </w:p>
        </w:tc>
        <w:tc>
          <w:tcPr>
            <w:tcW w:w="1064" w:type="dxa"/>
            <w:tcBorders>
              <w:top w:val="single" w:sz="4" w:space="0" w:color="000000"/>
              <w:left w:val="single" w:sz="4" w:space="0" w:color="000000"/>
              <w:bottom w:val="single" w:sz="4" w:space="0" w:color="000000"/>
              <w:right w:val="single" w:sz="4" w:space="0" w:color="000000"/>
            </w:tcBorders>
          </w:tcPr>
          <w:p w14:paraId="2D918342" w14:textId="77777777" w:rsidR="0075791A" w:rsidRDefault="00FB2864">
            <w:pPr>
              <w:pStyle w:val="TableParagraph"/>
              <w:spacing w:before="51"/>
              <w:ind w:left="27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86.1</w:t>
            </w:r>
            <w:r>
              <w:rPr>
                <w:rFonts w:ascii="Times New Roman" w:eastAsia="Times New Roman" w:hAnsi="Times New Roman" w:cs="Times New Roman"/>
                <w:color w:val="auto"/>
                <w:sz w:val="22"/>
                <w:szCs w:val="22"/>
              </w:rPr>
              <w:t>3</w:t>
            </w:r>
          </w:p>
        </w:tc>
      </w:tr>
      <w:tr w:rsidR="0075791A" w14:paraId="01704A93" w14:textId="77777777">
        <w:trPr>
          <w:trHeight w:hRule="exact" w:val="330"/>
        </w:trPr>
        <w:tc>
          <w:tcPr>
            <w:tcW w:w="1418" w:type="dxa"/>
            <w:tcBorders>
              <w:top w:val="single" w:sz="4" w:space="0" w:color="000000"/>
              <w:left w:val="single" w:sz="4" w:space="0" w:color="000000"/>
              <w:bottom w:val="single" w:sz="4" w:space="0" w:color="000000"/>
              <w:right w:val="single" w:sz="4" w:space="0" w:color="000000"/>
            </w:tcBorders>
          </w:tcPr>
          <w:p w14:paraId="4411EBFF" w14:textId="77777777" w:rsidR="0075791A" w:rsidRDefault="00FB2864">
            <w:pPr>
              <w:pStyle w:val="TableParagraph"/>
              <w:spacing w:line="289" w:lineRule="exact"/>
              <w:ind w:left="153"/>
              <w:rPr>
                <w:rFonts w:ascii="宋体" w:eastAsia="宋体" w:hAnsi="宋体" w:cs="宋体"/>
                <w:color w:val="auto"/>
                <w:sz w:val="22"/>
                <w:szCs w:val="22"/>
              </w:rPr>
            </w:pPr>
            <w:r>
              <w:rPr>
                <w:rFonts w:ascii="宋体" w:eastAsia="宋体" w:hAnsi="宋体" w:cs="宋体"/>
                <w:color w:val="auto"/>
                <w:spacing w:val="-1"/>
                <w:sz w:val="22"/>
                <w:szCs w:val="22"/>
              </w:rPr>
              <w:t>见</w:t>
            </w:r>
            <w:r>
              <w:rPr>
                <w:rFonts w:ascii="宋体" w:eastAsia="宋体" w:hAnsi="宋体" w:cs="宋体"/>
                <w:color w:val="auto"/>
                <w:spacing w:val="-3"/>
                <w:sz w:val="22"/>
                <w:szCs w:val="22"/>
              </w:rPr>
              <w:t>习</w:t>
            </w:r>
            <w:r>
              <w:rPr>
                <w:rFonts w:ascii="宋体" w:eastAsia="宋体" w:hAnsi="宋体" w:cs="宋体"/>
                <w:color w:val="auto"/>
                <w:spacing w:val="-1"/>
                <w:sz w:val="22"/>
                <w:szCs w:val="22"/>
              </w:rPr>
              <w:t>赤蛙</w:t>
            </w:r>
            <w:r>
              <w:rPr>
                <w:rFonts w:ascii="宋体" w:eastAsia="宋体" w:hAnsi="宋体" w:cs="宋体"/>
                <w:color w:val="auto"/>
                <w:sz w:val="22"/>
                <w:szCs w:val="22"/>
              </w:rPr>
              <w:t>螺</w:t>
            </w:r>
          </w:p>
        </w:tc>
        <w:tc>
          <w:tcPr>
            <w:tcW w:w="2551" w:type="dxa"/>
            <w:tcBorders>
              <w:top w:val="single" w:sz="4" w:space="0" w:color="000000"/>
              <w:left w:val="single" w:sz="4" w:space="0" w:color="000000"/>
              <w:bottom w:val="single" w:sz="4" w:space="0" w:color="000000"/>
              <w:right w:val="single" w:sz="4" w:space="0" w:color="000000"/>
            </w:tcBorders>
          </w:tcPr>
          <w:p w14:paraId="7E9761AF" w14:textId="77777777" w:rsidR="0075791A" w:rsidRDefault="00FB2864">
            <w:pPr>
              <w:pStyle w:val="TableParagraph"/>
              <w:spacing w:before="50"/>
              <w:ind w:left="588"/>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Bu</w:t>
            </w:r>
            <w:r>
              <w:rPr>
                <w:rFonts w:ascii="Times New Roman" w:eastAsia="Times New Roman" w:hAnsi="Times New Roman" w:cs="Times New Roman"/>
                <w:i/>
                <w:color w:val="auto"/>
                <w:spacing w:val="1"/>
                <w:sz w:val="22"/>
                <w:szCs w:val="22"/>
              </w:rPr>
              <w:t>f</w:t>
            </w:r>
            <w:r>
              <w:rPr>
                <w:rFonts w:ascii="Times New Roman" w:eastAsia="Times New Roman" w:hAnsi="Times New Roman" w:cs="Times New Roman"/>
                <w:i/>
                <w:color w:val="auto"/>
                <w:spacing w:val="-1"/>
                <w:sz w:val="22"/>
                <w:szCs w:val="22"/>
              </w:rPr>
              <w:t>o</w:t>
            </w:r>
            <w:r>
              <w:rPr>
                <w:rFonts w:ascii="Times New Roman" w:eastAsia="Times New Roman" w:hAnsi="Times New Roman" w:cs="Times New Roman"/>
                <w:i/>
                <w:color w:val="auto"/>
                <w:spacing w:val="-3"/>
                <w:sz w:val="22"/>
                <w:szCs w:val="22"/>
              </w:rPr>
              <w:t>n</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z w:val="22"/>
                <w:szCs w:val="22"/>
              </w:rPr>
              <w:t>a r</w:t>
            </w:r>
            <w:r>
              <w:rPr>
                <w:rFonts w:ascii="Times New Roman" w:eastAsia="Times New Roman" w:hAnsi="Times New Roman" w:cs="Times New Roman"/>
                <w:i/>
                <w:color w:val="auto"/>
                <w:spacing w:val="-1"/>
                <w:sz w:val="22"/>
                <w:szCs w:val="22"/>
              </w:rPr>
              <w:t>an</w:t>
            </w:r>
            <w:r>
              <w:rPr>
                <w:rFonts w:ascii="Times New Roman" w:eastAsia="Times New Roman" w:hAnsi="Times New Roman" w:cs="Times New Roman"/>
                <w:i/>
                <w:color w:val="auto"/>
                <w:sz w:val="22"/>
                <w:szCs w:val="22"/>
              </w:rPr>
              <w:t>a</w:t>
            </w:r>
          </w:p>
        </w:tc>
        <w:tc>
          <w:tcPr>
            <w:tcW w:w="1063" w:type="dxa"/>
            <w:tcBorders>
              <w:top w:val="single" w:sz="4" w:space="0" w:color="000000"/>
              <w:left w:val="single" w:sz="4" w:space="0" w:color="000000"/>
              <w:bottom w:val="single" w:sz="4" w:space="0" w:color="000000"/>
              <w:right w:val="single" w:sz="4" w:space="0" w:color="000000"/>
            </w:tcBorders>
          </w:tcPr>
          <w:p w14:paraId="108B84CB" w14:textId="77777777" w:rsidR="0075791A" w:rsidRDefault="00FB2864">
            <w:pPr>
              <w:pStyle w:val="TableParagraph"/>
              <w:spacing w:before="50"/>
              <w:ind w:left="242"/>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0.55</w:t>
            </w:r>
            <w:r>
              <w:rPr>
                <w:rFonts w:ascii="Times New Roman" w:eastAsia="Times New Roman" w:hAnsi="Times New Roman" w:cs="Times New Roman"/>
                <w:color w:val="auto"/>
                <w:sz w:val="22"/>
                <w:szCs w:val="22"/>
              </w:rPr>
              <w:t>%</w:t>
            </w:r>
          </w:p>
        </w:tc>
        <w:tc>
          <w:tcPr>
            <w:tcW w:w="1063" w:type="dxa"/>
            <w:tcBorders>
              <w:top w:val="single" w:sz="4" w:space="0" w:color="000000"/>
              <w:left w:val="single" w:sz="4" w:space="0" w:color="000000"/>
              <w:bottom w:val="single" w:sz="4" w:space="0" w:color="000000"/>
              <w:right w:val="single" w:sz="4" w:space="0" w:color="000000"/>
            </w:tcBorders>
          </w:tcPr>
          <w:p w14:paraId="537209EE" w14:textId="77777777" w:rsidR="0075791A" w:rsidRDefault="00FB2864">
            <w:pPr>
              <w:pStyle w:val="TableParagraph"/>
              <w:spacing w:before="50"/>
              <w:ind w:left="243"/>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0.79</w:t>
            </w:r>
            <w:r>
              <w:rPr>
                <w:rFonts w:ascii="Times New Roman" w:eastAsia="Times New Roman" w:hAnsi="Times New Roman" w:cs="Times New Roman"/>
                <w:color w:val="auto"/>
                <w:sz w:val="22"/>
                <w:szCs w:val="22"/>
              </w:rPr>
              <w:t>%</w:t>
            </w:r>
          </w:p>
        </w:tc>
        <w:tc>
          <w:tcPr>
            <w:tcW w:w="1063" w:type="dxa"/>
            <w:tcBorders>
              <w:top w:val="single" w:sz="4" w:space="0" w:color="000000"/>
              <w:left w:val="single" w:sz="4" w:space="0" w:color="000000"/>
              <w:bottom w:val="single" w:sz="4" w:space="0" w:color="000000"/>
              <w:right w:val="single" w:sz="4" w:space="0" w:color="000000"/>
            </w:tcBorders>
          </w:tcPr>
          <w:p w14:paraId="58F3D36A" w14:textId="77777777" w:rsidR="0075791A" w:rsidRDefault="00FB2864">
            <w:pPr>
              <w:pStyle w:val="TableParagraph"/>
              <w:spacing w:before="50"/>
              <w:ind w:left="334"/>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0.5</w:t>
            </w:r>
            <w:r>
              <w:rPr>
                <w:rFonts w:ascii="Times New Roman" w:eastAsia="Times New Roman" w:hAnsi="Times New Roman" w:cs="Times New Roman"/>
                <w:color w:val="auto"/>
                <w:sz w:val="22"/>
                <w:szCs w:val="22"/>
              </w:rPr>
              <w:t>0</w:t>
            </w:r>
          </w:p>
        </w:tc>
        <w:tc>
          <w:tcPr>
            <w:tcW w:w="1064" w:type="dxa"/>
            <w:tcBorders>
              <w:top w:val="single" w:sz="4" w:space="0" w:color="000000"/>
              <w:left w:val="single" w:sz="4" w:space="0" w:color="000000"/>
              <w:bottom w:val="single" w:sz="4" w:space="0" w:color="000000"/>
              <w:right w:val="single" w:sz="4" w:space="0" w:color="000000"/>
            </w:tcBorders>
          </w:tcPr>
          <w:p w14:paraId="1D026F30" w14:textId="77777777" w:rsidR="0075791A" w:rsidRDefault="00FB2864">
            <w:pPr>
              <w:pStyle w:val="TableParagraph"/>
              <w:spacing w:before="50"/>
              <w:ind w:left="27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67.0</w:t>
            </w:r>
            <w:r>
              <w:rPr>
                <w:rFonts w:ascii="Times New Roman" w:eastAsia="Times New Roman" w:hAnsi="Times New Roman" w:cs="Times New Roman"/>
                <w:color w:val="auto"/>
                <w:sz w:val="22"/>
                <w:szCs w:val="22"/>
              </w:rPr>
              <w:t>0</w:t>
            </w:r>
          </w:p>
        </w:tc>
      </w:tr>
      <w:tr w:rsidR="0075791A" w14:paraId="00C5E2EA" w14:textId="77777777">
        <w:trPr>
          <w:trHeight w:hRule="exact" w:val="330"/>
        </w:trPr>
        <w:tc>
          <w:tcPr>
            <w:tcW w:w="1418" w:type="dxa"/>
            <w:tcBorders>
              <w:top w:val="single" w:sz="4" w:space="0" w:color="000000"/>
              <w:left w:val="single" w:sz="4" w:space="0" w:color="000000"/>
              <w:bottom w:val="single" w:sz="4" w:space="0" w:color="000000"/>
              <w:right w:val="single" w:sz="4" w:space="0" w:color="000000"/>
            </w:tcBorders>
          </w:tcPr>
          <w:p w14:paraId="4BE99D7A" w14:textId="77777777" w:rsidR="0075791A" w:rsidRDefault="00FB2864">
            <w:pPr>
              <w:pStyle w:val="TableParagraph"/>
              <w:spacing w:line="288" w:lineRule="exact"/>
              <w:ind w:left="374"/>
              <w:rPr>
                <w:rFonts w:ascii="宋体" w:eastAsia="宋体" w:hAnsi="宋体" w:cs="宋体"/>
                <w:color w:val="auto"/>
                <w:sz w:val="22"/>
                <w:szCs w:val="22"/>
              </w:rPr>
            </w:pPr>
            <w:r>
              <w:rPr>
                <w:rFonts w:ascii="宋体" w:eastAsia="宋体" w:hAnsi="宋体" w:cs="宋体"/>
                <w:color w:val="auto"/>
                <w:spacing w:val="-1"/>
                <w:sz w:val="22"/>
                <w:szCs w:val="22"/>
              </w:rPr>
              <w:t>鼠</w:t>
            </w:r>
            <w:r>
              <w:rPr>
                <w:rFonts w:ascii="宋体" w:eastAsia="宋体" w:hAnsi="宋体" w:cs="宋体"/>
                <w:color w:val="auto"/>
                <w:spacing w:val="-3"/>
                <w:sz w:val="22"/>
                <w:szCs w:val="22"/>
              </w:rPr>
              <w:t>芋</w:t>
            </w:r>
            <w:r>
              <w:rPr>
                <w:rFonts w:ascii="宋体" w:eastAsia="宋体" w:hAnsi="宋体" w:cs="宋体"/>
                <w:color w:val="auto"/>
                <w:sz w:val="22"/>
                <w:szCs w:val="22"/>
              </w:rPr>
              <w:t>螺</w:t>
            </w:r>
          </w:p>
        </w:tc>
        <w:tc>
          <w:tcPr>
            <w:tcW w:w="2551" w:type="dxa"/>
            <w:tcBorders>
              <w:top w:val="single" w:sz="4" w:space="0" w:color="000000"/>
              <w:left w:val="single" w:sz="4" w:space="0" w:color="000000"/>
              <w:bottom w:val="single" w:sz="4" w:space="0" w:color="000000"/>
              <w:right w:val="single" w:sz="4" w:space="0" w:color="000000"/>
            </w:tcBorders>
          </w:tcPr>
          <w:p w14:paraId="5C4B3460" w14:textId="77777777" w:rsidR="0075791A" w:rsidRDefault="00FB2864">
            <w:pPr>
              <w:pStyle w:val="TableParagraph"/>
              <w:spacing w:before="51"/>
              <w:ind w:left="705"/>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Conu</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 xml:space="preserve"> </w:t>
            </w:r>
            <w:r>
              <w:rPr>
                <w:rFonts w:ascii="Times New Roman" w:eastAsia="Times New Roman" w:hAnsi="Times New Roman" w:cs="Times New Roman"/>
                <w:i/>
                <w:color w:val="auto"/>
                <w:sz w:val="22"/>
                <w:szCs w:val="22"/>
              </w:rPr>
              <w:t>r</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pacing w:val="-2"/>
                <w:sz w:val="22"/>
                <w:szCs w:val="22"/>
              </w:rPr>
              <w:t>t</w:t>
            </w:r>
            <w:r>
              <w:rPr>
                <w:rFonts w:ascii="Times New Roman" w:eastAsia="Times New Roman" w:hAnsi="Times New Roman" w:cs="Times New Roman"/>
                <w:i/>
                <w:color w:val="auto"/>
                <w:spacing w:val="1"/>
                <w:sz w:val="22"/>
                <w:szCs w:val="22"/>
              </w:rPr>
              <w:t>t</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s</w:t>
            </w:r>
          </w:p>
        </w:tc>
        <w:tc>
          <w:tcPr>
            <w:tcW w:w="1063" w:type="dxa"/>
            <w:tcBorders>
              <w:top w:val="single" w:sz="4" w:space="0" w:color="000000"/>
              <w:left w:val="single" w:sz="4" w:space="0" w:color="000000"/>
              <w:bottom w:val="single" w:sz="4" w:space="0" w:color="000000"/>
              <w:right w:val="single" w:sz="4" w:space="0" w:color="000000"/>
            </w:tcBorders>
          </w:tcPr>
          <w:p w14:paraId="4C25311F" w14:textId="77777777" w:rsidR="0075791A" w:rsidRDefault="00FB2864">
            <w:pPr>
              <w:pStyle w:val="TableParagraph"/>
              <w:spacing w:before="51"/>
              <w:ind w:left="242"/>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0.49</w:t>
            </w:r>
            <w:r>
              <w:rPr>
                <w:rFonts w:ascii="Times New Roman" w:eastAsia="Times New Roman" w:hAnsi="Times New Roman" w:cs="Times New Roman"/>
                <w:color w:val="auto"/>
                <w:sz w:val="22"/>
                <w:szCs w:val="22"/>
              </w:rPr>
              <w:t>%</w:t>
            </w:r>
          </w:p>
        </w:tc>
        <w:tc>
          <w:tcPr>
            <w:tcW w:w="1063" w:type="dxa"/>
            <w:tcBorders>
              <w:top w:val="single" w:sz="4" w:space="0" w:color="000000"/>
              <w:left w:val="single" w:sz="4" w:space="0" w:color="000000"/>
              <w:bottom w:val="single" w:sz="4" w:space="0" w:color="000000"/>
              <w:right w:val="single" w:sz="4" w:space="0" w:color="000000"/>
            </w:tcBorders>
          </w:tcPr>
          <w:p w14:paraId="49DA61D4" w14:textId="77777777" w:rsidR="0075791A" w:rsidRDefault="00FB2864">
            <w:pPr>
              <w:pStyle w:val="TableParagraph"/>
              <w:spacing w:before="51"/>
              <w:ind w:left="243"/>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3.58</w:t>
            </w:r>
            <w:r>
              <w:rPr>
                <w:rFonts w:ascii="Times New Roman" w:eastAsia="Times New Roman" w:hAnsi="Times New Roman" w:cs="Times New Roman"/>
                <w:color w:val="auto"/>
                <w:sz w:val="22"/>
                <w:szCs w:val="22"/>
              </w:rPr>
              <w:t>%</w:t>
            </w:r>
          </w:p>
        </w:tc>
        <w:tc>
          <w:tcPr>
            <w:tcW w:w="1063" w:type="dxa"/>
            <w:tcBorders>
              <w:top w:val="single" w:sz="4" w:space="0" w:color="000000"/>
              <w:left w:val="single" w:sz="4" w:space="0" w:color="000000"/>
              <w:bottom w:val="single" w:sz="4" w:space="0" w:color="000000"/>
              <w:right w:val="single" w:sz="4" w:space="0" w:color="000000"/>
            </w:tcBorders>
          </w:tcPr>
          <w:p w14:paraId="59E7ED9D" w14:textId="77777777" w:rsidR="0075791A" w:rsidRDefault="00FB2864">
            <w:pPr>
              <w:pStyle w:val="TableParagraph"/>
              <w:spacing w:before="51"/>
              <w:ind w:left="334"/>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0.1</w:t>
            </w:r>
            <w:r>
              <w:rPr>
                <w:rFonts w:ascii="Times New Roman" w:eastAsia="Times New Roman" w:hAnsi="Times New Roman" w:cs="Times New Roman"/>
                <w:color w:val="auto"/>
                <w:sz w:val="22"/>
                <w:szCs w:val="22"/>
              </w:rPr>
              <w:t>3</w:t>
            </w:r>
          </w:p>
        </w:tc>
        <w:tc>
          <w:tcPr>
            <w:tcW w:w="1064" w:type="dxa"/>
            <w:tcBorders>
              <w:top w:val="single" w:sz="4" w:space="0" w:color="000000"/>
              <w:left w:val="single" w:sz="4" w:space="0" w:color="000000"/>
              <w:bottom w:val="single" w:sz="4" w:space="0" w:color="000000"/>
              <w:right w:val="single" w:sz="4" w:space="0" w:color="000000"/>
            </w:tcBorders>
          </w:tcPr>
          <w:p w14:paraId="31937395" w14:textId="77777777" w:rsidR="0075791A" w:rsidRDefault="00FB2864">
            <w:pPr>
              <w:pStyle w:val="TableParagraph"/>
              <w:spacing w:before="51"/>
              <w:ind w:left="27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50.9</w:t>
            </w:r>
            <w:r>
              <w:rPr>
                <w:rFonts w:ascii="Times New Roman" w:eastAsia="Times New Roman" w:hAnsi="Times New Roman" w:cs="Times New Roman"/>
                <w:color w:val="auto"/>
                <w:sz w:val="22"/>
                <w:szCs w:val="22"/>
              </w:rPr>
              <w:t>5</w:t>
            </w:r>
          </w:p>
        </w:tc>
      </w:tr>
      <w:tr w:rsidR="0075791A" w14:paraId="6F6B24A0" w14:textId="77777777">
        <w:trPr>
          <w:trHeight w:hRule="exact" w:val="330"/>
        </w:trPr>
        <w:tc>
          <w:tcPr>
            <w:tcW w:w="1418" w:type="dxa"/>
            <w:tcBorders>
              <w:top w:val="single" w:sz="4" w:space="0" w:color="000000"/>
              <w:left w:val="single" w:sz="4" w:space="0" w:color="000000"/>
              <w:bottom w:val="single" w:sz="4" w:space="0" w:color="000000"/>
              <w:right w:val="single" w:sz="4" w:space="0" w:color="000000"/>
            </w:tcBorders>
          </w:tcPr>
          <w:p w14:paraId="429EDEEF" w14:textId="77777777" w:rsidR="0075791A" w:rsidRDefault="00FB2864">
            <w:pPr>
              <w:pStyle w:val="TableParagraph"/>
              <w:spacing w:line="289" w:lineRule="exact"/>
              <w:ind w:left="153"/>
              <w:rPr>
                <w:rFonts w:ascii="宋体" w:eastAsia="宋体" w:hAnsi="宋体" w:cs="宋体"/>
                <w:color w:val="auto"/>
                <w:sz w:val="22"/>
                <w:szCs w:val="22"/>
              </w:rPr>
            </w:pPr>
            <w:r>
              <w:rPr>
                <w:rFonts w:ascii="宋体" w:eastAsia="宋体" w:hAnsi="宋体" w:cs="宋体"/>
                <w:color w:val="auto"/>
                <w:spacing w:val="-1"/>
                <w:sz w:val="22"/>
                <w:szCs w:val="22"/>
              </w:rPr>
              <w:t>长</w:t>
            </w:r>
            <w:r>
              <w:rPr>
                <w:rFonts w:ascii="宋体" w:eastAsia="宋体" w:hAnsi="宋体" w:cs="宋体"/>
                <w:color w:val="auto"/>
                <w:spacing w:val="-3"/>
                <w:sz w:val="22"/>
                <w:szCs w:val="22"/>
              </w:rPr>
              <w:t>肋</w:t>
            </w:r>
            <w:r>
              <w:rPr>
                <w:rFonts w:ascii="宋体" w:eastAsia="宋体" w:hAnsi="宋体" w:cs="宋体"/>
                <w:color w:val="auto"/>
                <w:spacing w:val="-1"/>
                <w:sz w:val="22"/>
                <w:szCs w:val="22"/>
              </w:rPr>
              <w:t>日月</w:t>
            </w:r>
            <w:r>
              <w:rPr>
                <w:rFonts w:ascii="宋体" w:eastAsia="宋体" w:hAnsi="宋体" w:cs="宋体"/>
                <w:color w:val="auto"/>
                <w:sz w:val="22"/>
                <w:szCs w:val="22"/>
              </w:rPr>
              <w:t>贝</w:t>
            </w:r>
          </w:p>
        </w:tc>
        <w:tc>
          <w:tcPr>
            <w:tcW w:w="2551" w:type="dxa"/>
            <w:tcBorders>
              <w:top w:val="single" w:sz="4" w:space="0" w:color="000000"/>
              <w:left w:val="single" w:sz="4" w:space="0" w:color="000000"/>
              <w:bottom w:val="single" w:sz="4" w:space="0" w:color="000000"/>
              <w:right w:val="single" w:sz="4" w:space="0" w:color="000000"/>
            </w:tcBorders>
          </w:tcPr>
          <w:p w14:paraId="63DB4BF1" w14:textId="77777777" w:rsidR="0075791A" w:rsidRDefault="00FB2864">
            <w:pPr>
              <w:pStyle w:val="TableParagraph"/>
              <w:spacing w:before="50"/>
              <w:ind w:left="221"/>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pacing w:val="-2"/>
                <w:sz w:val="22"/>
                <w:szCs w:val="22"/>
              </w:rPr>
              <w:t>m</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s</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m</w:t>
            </w:r>
            <w:r>
              <w:rPr>
                <w:rFonts w:ascii="Times New Roman" w:eastAsia="Times New Roman" w:hAnsi="Times New Roman" w:cs="Times New Roman"/>
                <w:i/>
                <w:color w:val="auto"/>
                <w:spacing w:val="-4"/>
                <w:sz w:val="22"/>
                <w:szCs w:val="22"/>
              </w:rPr>
              <w:t xml:space="preserve"> </w:t>
            </w:r>
            <w:r>
              <w:rPr>
                <w:rFonts w:ascii="Times New Roman" w:eastAsia="Times New Roman" w:hAnsi="Times New Roman" w:cs="Times New Roman"/>
                <w:i/>
                <w:color w:val="auto"/>
                <w:spacing w:val="-1"/>
                <w:sz w:val="22"/>
                <w:szCs w:val="22"/>
              </w:rPr>
              <w:t>p</w:t>
            </w:r>
            <w:r>
              <w:rPr>
                <w:rFonts w:ascii="Times New Roman" w:eastAsia="Times New Roman" w:hAnsi="Times New Roman" w:cs="Times New Roman"/>
                <w:i/>
                <w:color w:val="auto"/>
                <w:spacing w:val="1"/>
                <w:sz w:val="22"/>
                <w:szCs w:val="22"/>
              </w:rPr>
              <w:t>l</w:t>
            </w:r>
            <w:r>
              <w:rPr>
                <w:rFonts w:ascii="Times New Roman" w:eastAsia="Times New Roman" w:hAnsi="Times New Roman" w:cs="Times New Roman"/>
                <w:i/>
                <w:color w:val="auto"/>
                <w:spacing w:val="-2"/>
                <w:sz w:val="22"/>
                <w:szCs w:val="22"/>
              </w:rPr>
              <w:t>e</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pacing w:val="-5"/>
                <w:sz w:val="22"/>
                <w:szCs w:val="22"/>
              </w:rPr>
              <w:t>r</w:t>
            </w:r>
            <w:r>
              <w:rPr>
                <w:rFonts w:ascii="Times New Roman" w:eastAsia="Times New Roman" w:hAnsi="Times New Roman" w:cs="Times New Roman"/>
                <w:i/>
                <w:color w:val="auto"/>
                <w:spacing w:val="-3"/>
                <w:sz w:val="22"/>
                <w:szCs w:val="22"/>
              </w:rPr>
              <w:t>on</w:t>
            </w:r>
            <w:r>
              <w:rPr>
                <w:rFonts w:ascii="Times New Roman" w:eastAsia="Times New Roman" w:hAnsi="Times New Roman" w:cs="Times New Roman"/>
                <w:i/>
                <w:color w:val="auto"/>
                <w:spacing w:val="-1"/>
                <w:sz w:val="22"/>
                <w:szCs w:val="22"/>
              </w:rPr>
              <w:t>d</w:t>
            </w:r>
            <w:r>
              <w:rPr>
                <w:rFonts w:ascii="Times New Roman" w:eastAsia="Times New Roman" w:hAnsi="Times New Roman" w:cs="Times New Roman"/>
                <w:i/>
                <w:color w:val="auto"/>
                <w:sz w:val="22"/>
                <w:szCs w:val="22"/>
              </w:rPr>
              <w:t>e</w:t>
            </w:r>
            <w:r>
              <w:rPr>
                <w:rFonts w:ascii="Times New Roman" w:eastAsia="Times New Roman" w:hAnsi="Times New Roman" w:cs="Times New Roman"/>
                <w:i/>
                <w:color w:val="auto"/>
                <w:spacing w:val="-2"/>
                <w:sz w:val="22"/>
                <w:szCs w:val="22"/>
              </w:rPr>
              <w:t>c</w:t>
            </w:r>
            <w:r>
              <w:rPr>
                <w:rFonts w:ascii="Times New Roman" w:eastAsia="Times New Roman" w:hAnsi="Times New Roman" w:cs="Times New Roman"/>
                <w:i/>
                <w:color w:val="auto"/>
                <w:spacing w:val="1"/>
                <w:sz w:val="22"/>
                <w:szCs w:val="22"/>
              </w:rPr>
              <w:t>t</w:t>
            </w:r>
            <w:r>
              <w:rPr>
                <w:rFonts w:ascii="Times New Roman" w:eastAsia="Times New Roman" w:hAnsi="Times New Roman" w:cs="Times New Roman"/>
                <w:i/>
                <w:color w:val="auto"/>
                <w:sz w:val="22"/>
                <w:szCs w:val="22"/>
              </w:rPr>
              <w:t>es</w:t>
            </w:r>
          </w:p>
        </w:tc>
        <w:tc>
          <w:tcPr>
            <w:tcW w:w="1063" w:type="dxa"/>
            <w:tcBorders>
              <w:top w:val="single" w:sz="4" w:space="0" w:color="000000"/>
              <w:left w:val="single" w:sz="4" w:space="0" w:color="000000"/>
              <w:bottom w:val="single" w:sz="4" w:space="0" w:color="000000"/>
              <w:right w:val="single" w:sz="4" w:space="0" w:color="000000"/>
            </w:tcBorders>
          </w:tcPr>
          <w:p w14:paraId="6EFD4F0A" w14:textId="77777777" w:rsidR="0075791A" w:rsidRDefault="00FB2864">
            <w:pPr>
              <w:pStyle w:val="TableParagraph"/>
              <w:spacing w:before="50"/>
              <w:ind w:left="242"/>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0.38</w:t>
            </w:r>
            <w:r>
              <w:rPr>
                <w:rFonts w:ascii="Times New Roman" w:eastAsia="Times New Roman" w:hAnsi="Times New Roman" w:cs="Times New Roman"/>
                <w:color w:val="auto"/>
                <w:sz w:val="22"/>
                <w:szCs w:val="22"/>
              </w:rPr>
              <w:t>%</w:t>
            </w:r>
          </w:p>
        </w:tc>
        <w:tc>
          <w:tcPr>
            <w:tcW w:w="1063" w:type="dxa"/>
            <w:tcBorders>
              <w:top w:val="single" w:sz="4" w:space="0" w:color="000000"/>
              <w:left w:val="single" w:sz="4" w:space="0" w:color="000000"/>
              <w:bottom w:val="single" w:sz="4" w:space="0" w:color="000000"/>
              <w:right w:val="single" w:sz="4" w:space="0" w:color="000000"/>
            </w:tcBorders>
          </w:tcPr>
          <w:p w14:paraId="06CE2175" w14:textId="77777777" w:rsidR="0075791A" w:rsidRDefault="00FB2864">
            <w:pPr>
              <w:pStyle w:val="TableParagraph"/>
              <w:spacing w:before="50"/>
              <w:ind w:left="243"/>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0.84</w:t>
            </w:r>
            <w:r>
              <w:rPr>
                <w:rFonts w:ascii="Times New Roman" w:eastAsia="Times New Roman" w:hAnsi="Times New Roman" w:cs="Times New Roman"/>
                <w:color w:val="auto"/>
                <w:sz w:val="22"/>
                <w:szCs w:val="22"/>
              </w:rPr>
              <w:t>%</w:t>
            </w:r>
          </w:p>
        </w:tc>
        <w:tc>
          <w:tcPr>
            <w:tcW w:w="1063" w:type="dxa"/>
            <w:tcBorders>
              <w:top w:val="single" w:sz="4" w:space="0" w:color="000000"/>
              <w:left w:val="single" w:sz="4" w:space="0" w:color="000000"/>
              <w:bottom w:val="single" w:sz="4" w:space="0" w:color="000000"/>
              <w:right w:val="single" w:sz="4" w:space="0" w:color="000000"/>
            </w:tcBorders>
          </w:tcPr>
          <w:p w14:paraId="2CE62B7E" w14:textId="77777777" w:rsidR="0075791A" w:rsidRDefault="00FB2864">
            <w:pPr>
              <w:pStyle w:val="TableParagraph"/>
              <w:spacing w:before="50"/>
              <w:ind w:left="334"/>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0.3</w:t>
            </w:r>
            <w:r>
              <w:rPr>
                <w:rFonts w:ascii="Times New Roman" w:eastAsia="Times New Roman" w:hAnsi="Times New Roman" w:cs="Times New Roman"/>
                <w:color w:val="auto"/>
                <w:sz w:val="22"/>
                <w:szCs w:val="22"/>
              </w:rPr>
              <w:t>8</w:t>
            </w:r>
          </w:p>
        </w:tc>
        <w:tc>
          <w:tcPr>
            <w:tcW w:w="1064" w:type="dxa"/>
            <w:tcBorders>
              <w:top w:val="single" w:sz="4" w:space="0" w:color="000000"/>
              <w:left w:val="single" w:sz="4" w:space="0" w:color="000000"/>
              <w:bottom w:val="single" w:sz="4" w:space="0" w:color="000000"/>
              <w:right w:val="single" w:sz="4" w:space="0" w:color="000000"/>
            </w:tcBorders>
          </w:tcPr>
          <w:p w14:paraId="151F5E23" w14:textId="77777777" w:rsidR="0075791A" w:rsidRDefault="00FB2864">
            <w:pPr>
              <w:pStyle w:val="TableParagraph"/>
              <w:spacing w:before="50"/>
              <w:ind w:left="27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45.7</w:t>
            </w:r>
            <w:r>
              <w:rPr>
                <w:rFonts w:ascii="Times New Roman" w:eastAsia="Times New Roman" w:hAnsi="Times New Roman" w:cs="Times New Roman"/>
                <w:color w:val="auto"/>
                <w:sz w:val="22"/>
                <w:szCs w:val="22"/>
              </w:rPr>
              <w:t>3</w:t>
            </w:r>
          </w:p>
        </w:tc>
      </w:tr>
      <w:tr w:rsidR="0075791A" w14:paraId="2E7B4108" w14:textId="77777777">
        <w:trPr>
          <w:trHeight w:hRule="exact" w:val="330"/>
        </w:trPr>
        <w:tc>
          <w:tcPr>
            <w:tcW w:w="1418" w:type="dxa"/>
            <w:tcBorders>
              <w:top w:val="single" w:sz="4" w:space="0" w:color="000000"/>
              <w:left w:val="single" w:sz="4" w:space="0" w:color="000000"/>
              <w:bottom w:val="single" w:sz="4" w:space="0" w:color="000000"/>
              <w:right w:val="single" w:sz="4" w:space="0" w:color="000000"/>
            </w:tcBorders>
          </w:tcPr>
          <w:p w14:paraId="7C690C00" w14:textId="77777777" w:rsidR="0075791A" w:rsidRDefault="00FB2864">
            <w:pPr>
              <w:pStyle w:val="TableParagraph"/>
              <w:spacing w:line="288" w:lineRule="exact"/>
              <w:ind w:left="374"/>
              <w:rPr>
                <w:rFonts w:ascii="宋体" w:eastAsia="宋体" w:hAnsi="宋体" w:cs="宋体"/>
                <w:color w:val="auto"/>
                <w:sz w:val="22"/>
                <w:szCs w:val="22"/>
              </w:rPr>
            </w:pPr>
            <w:r>
              <w:rPr>
                <w:rFonts w:ascii="宋体" w:eastAsia="宋体" w:hAnsi="宋体" w:cs="宋体"/>
                <w:color w:val="auto"/>
                <w:spacing w:val="-1"/>
                <w:sz w:val="22"/>
                <w:szCs w:val="22"/>
              </w:rPr>
              <w:t>竖</w:t>
            </w:r>
            <w:r>
              <w:rPr>
                <w:rFonts w:ascii="宋体" w:eastAsia="宋体" w:hAnsi="宋体" w:cs="宋体"/>
                <w:color w:val="auto"/>
                <w:spacing w:val="-3"/>
                <w:sz w:val="22"/>
                <w:szCs w:val="22"/>
              </w:rPr>
              <w:t>琴</w:t>
            </w:r>
            <w:r>
              <w:rPr>
                <w:rFonts w:ascii="宋体" w:eastAsia="宋体" w:hAnsi="宋体" w:cs="宋体"/>
                <w:color w:val="auto"/>
                <w:sz w:val="22"/>
                <w:szCs w:val="22"/>
              </w:rPr>
              <w:t>螺</w:t>
            </w:r>
          </w:p>
        </w:tc>
        <w:tc>
          <w:tcPr>
            <w:tcW w:w="2551" w:type="dxa"/>
            <w:tcBorders>
              <w:top w:val="single" w:sz="4" w:space="0" w:color="000000"/>
              <w:left w:val="single" w:sz="4" w:space="0" w:color="000000"/>
              <w:bottom w:val="single" w:sz="4" w:space="0" w:color="000000"/>
              <w:right w:val="single" w:sz="4" w:space="0" w:color="000000"/>
            </w:tcBorders>
          </w:tcPr>
          <w:p w14:paraId="64FE6232" w14:textId="77777777" w:rsidR="0075791A" w:rsidRDefault="00FB2864">
            <w:pPr>
              <w:pStyle w:val="TableParagraph"/>
              <w:spacing w:before="51"/>
              <w:ind w:left="552"/>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2"/>
                <w:sz w:val="22"/>
                <w:szCs w:val="22"/>
              </w:rPr>
              <w:t>H</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z w:val="22"/>
                <w:szCs w:val="22"/>
              </w:rPr>
              <w:t>rp</w:t>
            </w:r>
            <w:r>
              <w:rPr>
                <w:rFonts w:ascii="Times New Roman" w:eastAsia="Times New Roman" w:hAnsi="Times New Roman" w:cs="Times New Roman"/>
                <w:i/>
                <w:color w:val="auto"/>
                <w:spacing w:val="-3"/>
                <w:sz w:val="22"/>
                <w:szCs w:val="22"/>
              </w:rPr>
              <w:t xml:space="preserve"> </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1"/>
                <w:sz w:val="22"/>
                <w:szCs w:val="22"/>
              </w:rPr>
              <w:t>ono</w:t>
            </w:r>
            <w:r>
              <w:rPr>
                <w:rFonts w:ascii="Times New Roman" w:eastAsia="Times New Roman" w:hAnsi="Times New Roman" w:cs="Times New Roman"/>
                <w:i/>
                <w:color w:val="auto"/>
                <w:spacing w:val="-2"/>
                <w:sz w:val="22"/>
                <w:szCs w:val="22"/>
              </w:rPr>
              <w:t>i</w:t>
            </w:r>
            <w:r>
              <w:rPr>
                <w:rFonts w:ascii="Times New Roman" w:eastAsia="Times New Roman" w:hAnsi="Times New Roman" w:cs="Times New Roman"/>
                <w:i/>
                <w:color w:val="auto"/>
                <w:spacing w:val="-1"/>
                <w:sz w:val="22"/>
                <w:szCs w:val="22"/>
              </w:rPr>
              <w:t>da</w:t>
            </w:r>
            <w:r>
              <w:rPr>
                <w:rFonts w:ascii="Times New Roman" w:eastAsia="Times New Roman" w:hAnsi="Times New Roman" w:cs="Times New Roman"/>
                <w:i/>
                <w:color w:val="auto"/>
                <w:spacing w:val="-2"/>
                <w:sz w:val="22"/>
                <w:szCs w:val="22"/>
              </w:rPr>
              <w:t>l</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z w:val="22"/>
                <w:szCs w:val="22"/>
              </w:rPr>
              <w:t>s</w:t>
            </w:r>
          </w:p>
        </w:tc>
        <w:tc>
          <w:tcPr>
            <w:tcW w:w="1063" w:type="dxa"/>
            <w:tcBorders>
              <w:top w:val="single" w:sz="4" w:space="0" w:color="000000"/>
              <w:left w:val="single" w:sz="4" w:space="0" w:color="000000"/>
              <w:bottom w:val="single" w:sz="4" w:space="0" w:color="000000"/>
              <w:right w:val="single" w:sz="4" w:space="0" w:color="000000"/>
            </w:tcBorders>
          </w:tcPr>
          <w:p w14:paraId="0E09FE4B" w14:textId="77777777" w:rsidR="0075791A" w:rsidRDefault="00FB2864">
            <w:pPr>
              <w:pStyle w:val="TableParagraph"/>
              <w:spacing w:before="51"/>
              <w:ind w:left="245"/>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w:t>
            </w:r>
            <w:r>
              <w:rPr>
                <w:rFonts w:ascii="Times New Roman" w:eastAsia="Times New Roman" w:hAnsi="Times New Roman" w:cs="Times New Roman"/>
                <w:color w:val="auto"/>
                <w:spacing w:val="-5"/>
                <w:sz w:val="22"/>
                <w:szCs w:val="22"/>
              </w:rPr>
              <w:t>1</w:t>
            </w:r>
            <w:r>
              <w:rPr>
                <w:rFonts w:ascii="Times New Roman" w:eastAsia="Times New Roman" w:hAnsi="Times New Roman" w:cs="Times New Roman"/>
                <w:color w:val="auto"/>
                <w:spacing w:val="-3"/>
                <w:sz w:val="22"/>
                <w:szCs w:val="22"/>
              </w:rPr>
              <w:t>1</w:t>
            </w:r>
            <w:r>
              <w:rPr>
                <w:rFonts w:ascii="Times New Roman" w:eastAsia="Times New Roman" w:hAnsi="Times New Roman" w:cs="Times New Roman"/>
                <w:color w:val="auto"/>
                <w:sz w:val="22"/>
                <w:szCs w:val="22"/>
              </w:rPr>
              <w:t>%</w:t>
            </w:r>
          </w:p>
        </w:tc>
        <w:tc>
          <w:tcPr>
            <w:tcW w:w="1063" w:type="dxa"/>
            <w:tcBorders>
              <w:top w:val="single" w:sz="4" w:space="0" w:color="000000"/>
              <w:left w:val="single" w:sz="4" w:space="0" w:color="000000"/>
              <w:bottom w:val="single" w:sz="4" w:space="0" w:color="000000"/>
              <w:right w:val="single" w:sz="4" w:space="0" w:color="000000"/>
            </w:tcBorders>
          </w:tcPr>
          <w:p w14:paraId="306D4CD4" w14:textId="77777777" w:rsidR="0075791A" w:rsidRDefault="00FB2864">
            <w:pPr>
              <w:pStyle w:val="TableParagraph"/>
              <w:spacing w:before="51"/>
              <w:ind w:left="243"/>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0.75</w:t>
            </w:r>
            <w:r>
              <w:rPr>
                <w:rFonts w:ascii="Times New Roman" w:eastAsia="Times New Roman" w:hAnsi="Times New Roman" w:cs="Times New Roman"/>
                <w:color w:val="auto"/>
                <w:sz w:val="22"/>
                <w:szCs w:val="22"/>
              </w:rPr>
              <w:t>%</w:t>
            </w:r>
          </w:p>
        </w:tc>
        <w:tc>
          <w:tcPr>
            <w:tcW w:w="1063" w:type="dxa"/>
            <w:tcBorders>
              <w:top w:val="single" w:sz="4" w:space="0" w:color="000000"/>
              <w:left w:val="single" w:sz="4" w:space="0" w:color="000000"/>
              <w:bottom w:val="single" w:sz="4" w:space="0" w:color="000000"/>
              <w:right w:val="single" w:sz="4" w:space="0" w:color="000000"/>
            </w:tcBorders>
          </w:tcPr>
          <w:p w14:paraId="6C2922BA" w14:textId="77777777" w:rsidR="0075791A" w:rsidRDefault="00FB2864">
            <w:pPr>
              <w:pStyle w:val="TableParagraph"/>
              <w:spacing w:before="51"/>
              <w:ind w:left="334"/>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0.1</w:t>
            </w:r>
            <w:r>
              <w:rPr>
                <w:rFonts w:ascii="Times New Roman" w:eastAsia="Times New Roman" w:hAnsi="Times New Roman" w:cs="Times New Roman"/>
                <w:color w:val="auto"/>
                <w:sz w:val="22"/>
                <w:szCs w:val="22"/>
              </w:rPr>
              <w:t>3</w:t>
            </w:r>
          </w:p>
        </w:tc>
        <w:tc>
          <w:tcPr>
            <w:tcW w:w="1064" w:type="dxa"/>
            <w:tcBorders>
              <w:top w:val="single" w:sz="4" w:space="0" w:color="000000"/>
              <w:left w:val="single" w:sz="4" w:space="0" w:color="000000"/>
              <w:bottom w:val="single" w:sz="4" w:space="0" w:color="000000"/>
              <w:right w:val="single" w:sz="4" w:space="0" w:color="000000"/>
            </w:tcBorders>
          </w:tcPr>
          <w:p w14:paraId="01261EE1" w14:textId="77777777" w:rsidR="0075791A" w:rsidRDefault="00FB2864">
            <w:pPr>
              <w:pStyle w:val="TableParagraph"/>
              <w:spacing w:before="51"/>
              <w:ind w:left="279"/>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10.7</w:t>
            </w:r>
            <w:r>
              <w:rPr>
                <w:rFonts w:ascii="Times New Roman" w:eastAsia="Times New Roman" w:hAnsi="Times New Roman" w:cs="Times New Roman"/>
                <w:color w:val="auto"/>
                <w:sz w:val="22"/>
                <w:szCs w:val="22"/>
              </w:rPr>
              <w:t>6</w:t>
            </w:r>
          </w:p>
        </w:tc>
      </w:tr>
      <w:tr w:rsidR="0075791A" w14:paraId="3A05726D" w14:textId="77777777">
        <w:trPr>
          <w:trHeight w:hRule="exact" w:val="330"/>
        </w:trPr>
        <w:tc>
          <w:tcPr>
            <w:tcW w:w="1418" w:type="dxa"/>
            <w:tcBorders>
              <w:top w:val="single" w:sz="4" w:space="0" w:color="000000"/>
              <w:left w:val="single" w:sz="4" w:space="0" w:color="000000"/>
              <w:bottom w:val="single" w:sz="4" w:space="0" w:color="000000"/>
              <w:right w:val="single" w:sz="4" w:space="0" w:color="000000"/>
            </w:tcBorders>
          </w:tcPr>
          <w:p w14:paraId="497A9896" w14:textId="77777777" w:rsidR="0075791A" w:rsidRDefault="00FB2864">
            <w:pPr>
              <w:pStyle w:val="TableParagraph"/>
              <w:spacing w:line="289" w:lineRule="exact"/>
              <w:ind w:left="466" w:right="464"/>
              <w:jc w:val="center"/>
              <w:rPr>
                <w:rFonts w:ascii="宋体" w:eastAsia="宋体" w:hAnsi="宋体" w:cs="宋体"/>
                <w:color w:val="auto"/>
                <w:sz w:val="22"/>
                <w:szCs w:val="22"/>
              </w:rPr>
            </w:pPr>
            <w:r>
              <w:rPr>
                <w:rFonts w:ascii="宋体" w:eastAsia="宋体" w:hAnsi="宋体" w:cs="宋体"/>
                <w:color w:val="auto"/>
                <w:spacing w:val="-1"/>
                <w:sz w:val="22"/>
                <w:szCs w:val="22"/>
              </w:rPr>
              <w:t>鬘</w:t>
            </w:r>
            <w:r>
              <w:rPr>
                <w:rFonts w:ascii="宋体" w:eastAsia="宋体" w:hAnsi="宋体" w:cs="宋体"/>
                <w:color w:val="auto"/>
                <w:sz w:val="22"/>
                <w:szCs w:val="22"/>
              </w:rPr>
              <w:t>螺</w:t>
            </w:r>
          </w:p>
        </w:tc>
        <w:tc>
          <w:tcPr>
            <w:tcW w:w="2551" w:type="dxa"/>
            <w:tcBorders>
              <w:top w:val="single" w:sz="4" w:space="0" w:color="000000"/>
              <w:left w:val="single" w:sz="4" w:space="0" w:color="000000"/>
              <w:bottom w:val="single" w:sz="4" w:space="0" w:color="000000"/>
              <w:right w:val="single" w:sz="4" w:space="0" w:color="000000"/>
            </w:tcBorders>
          </w:tcPr>
          <w:p w14:paraId="7F3C9F2C" w14:textId="77777777" w:rsidR="0075791A" w:rsidRDefault="00FB2864">
            <w:pPr>
              <w:pStyle w:val="TableParagraph"/>
              <w:spacing w:before="50"/>
              <w:ind w:left="492"/>
              <w:rPr>
                <w:rFonts w:ascii="Times New Roman" w:eastAsia="Times New Roman" w:hAnsi="Times New Roman" w:cs="Times New Roman"/>
                <w:color w:val="auto"/>
                <w:sz w:val="22"/>
                <w:szCs w:val="22"/>
              </w:rPr>
            </w:pPr>
            <w:r>
              <w:rPr>
                <w:rFonts w:ascii="Times New Roman" w:eastAsia="Times New Roman" w:hAnsi="Times New Roman" w:cs="Times New Roman"/>
                <w:i/>
                <w:color w:val="auto"/>
                <w:spacing w:val="-1"/>
                <w:sz w:val="22"/>
                <w:szCs w:val="22"/>
              </w:rPr>
              <w:t>Pha</w:t>
            </w:r>
            <w:r>
              <w:rPr>
                <w:rFonts w:ascii="Times New Roman" w:eastAsia="Times New Roman" w:hAnsi="Times New Roman" w:cs="Times New Roman"/>
                <w:i/>
                <w:color w:val="auto"/>
                <w:spacing w:val="-2"/>
                <w:sz w:val="22"/>
                <w:szCs w:val="22"/>
              </w:rPr>
              <w:t>l</w:t>
            </w:r>
            <w:r>
              <w:rPr>
                <w:rFonts w:ascii="Times New Roman" w:eastAsia="Times New Roman" w:hAnsi="Times New Roman" w:cs="Times New Roman"/>
                <w:i/>
                <w:color w:val="auto"/>
                <w:spacing w:val="1"/>
                <w:sz w:val="22"/>
                <w:szCs w:val="22"/>
              </w:rPr>
              <w:t>i</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m</w:t>
            </w:r>
            <w:r>
              <w:rPr>
                <w:rFonts w:ascii="Times New Roman" w:eastAsia="Times New Roman" w:hAnsi="Times New Roman" w:cs="Times New Roman"/>
                <w:i/>
                <w:color w:val="auto"/>
                <w:spacing w:val="-4"/>
                <w:sz w:val="22"/>
                <w:szCs w:val="22"/>
              </w:rPr>
              <w:t xml:space="preserve"> </w:t>
            </w:r>
            <w:r>
              <w:rPr>
                <w:rFonts w:ascii="Times New Roman" w:eastAsia="Times New Roman" w:hAnsi="Times New Roman" w:cs="Times New Roman"/>
                <w:i/>
                <w:color w:val="auto"/>
                <w:spacing w:val="-1"/>
                <w:sz w:val="22"/>
                <w:szCs w:val="22"/>
              </w:rPr>
              <w:t>g</w:t>
            </w:r>
            <w:r>
              <w:rPr>
                <w:rFonts w:ascii="Times New Roman" w:eastAsia="Times New Roman" w:hAnsi="Times New Roman" w:cs="Times New Roman"/>
                <w:i/>
                <w:color w:val="auto"/>
                <w:spacing w:val="1"/>
                <w:sz w:val="22"/>
                <w:szCs w:val="22"/>
              </w:rPr>
              <w:t>l</w:t>
            </w:r>
            <w:r>
              <w:rPr>
                <w:rFonts w:ascii="Times New Roman" w:eastAsia="Times New Roman" w:hAnsi="Times New Roman" w:cs="Times New Roman"/>
                <w:i/>
                <w:color w:val="auto"/>
                <w:spacing w:val="-1"/>
                <w:sz w:val="22"/>
                <w:szCs w:val="22"/>
              </w:rPr>
              <w:t>a</w:t>
            </w:r>
            <w:r>
              <w:rPr>
                <w:rFonts w:ascii="Times New Roman" w:eastAsia="Times New Roman" w:hAnsi="Times New Roman" w:cs="Times New Roman"/>
                <w:i/>
                <w:color w:val="auto"/>
                <w:spacing w:val="-3"/>
                <w:sz w:val="22"/>
                <w:szCs w:val="22"/>
              </w:rPr>
              <w:t>u</w:t>
            </w:r>
            <w:r>
              <w:rPr>
                <w:rFonts w:ascii="Times New Roman" w:eastAsia="Times New Roman" w:hAnsi="Times New Roman" w:cs="Times New Roman"/>
                <w:i/>
                <w:color w:val="auto"/>
                <w:sz w:val="22"/>
                <w:szCs w:val="22"/>
              </w:rPr>
              <w:t>c</w:t>
            </w:r>
            <w:r>
              <w:rPr>
                <w:rFonts w:ascii="Times New Roman" w:eastAsia="Times New Roman" w:hAnsi="Times New Roman" w:cs="Times New Roman"/>
                <w:i/>
                <w:color w:val="auto"/>
                <w:spacing w:val="-1"/>
                <w:sz w:val="22"/>
                <w:szCs w:val="22"/>
              </w:rPr>
              <w:t>u</w:t>
            </w:r>
            <w:r>
              <w:rPr>
                <w:rFonts w:ascii="Times New Roman" w:eastAsia="Times New Roman" w:hAnsi="Times New Roman" w:cs="Times New Roman"/>
                <w:i/>
                <w:color w:val="auto"/>
                <w:sz w:val="22"/>
                <w:szCs w:val="22"/>
              </w:rPr>
              <w:t>m</w:t>
            </w:r>
          </w:p>
        </w:tc>
        <w:tc>
          <w:tcPr>
            <w:tcW w:w="1063" w:type="dxa"/>
            <w:tcBorders>
              <w:top w:val="single" w:sz="4" w:space="0" w:color="000000"/>
              <w:left w:val="single" w:sz="4" w:space="0" w:color="000000"/>
              <w:bottom w:val="single" w:sz="4" w:space="0" w:color="000000"/>
              <w:right w:val="single" w:sz="4" w:space="0" w:color="000000"/>
            </w:tcBorders>
          </w:tcPr>
          <w:p w14:paraId="53B35A10" w14:textId="77777777" w:rsidR="0075791A" w:rsidRDefault="00FB2864">
            <w:pPr>
              <w:pStyle w:val="TableParagraph"/>
              <w:spacing w:before="50"/>
              <w:ind w:left="242"/>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0.05</w:t>
            </w:r>
            <w:r>
              <w:rPr>
                <w:rFonts w:ascii="Times New Roman" w:eastAsia="Times New Roman" w:hAnsi="Times New Roman" w:cs="Times New Roman"/>
                <w:color w:val="auto"/>
                <w:sz w:val="22"/>
                <w:szCs w:val="22"/>
              </w:rPr>
              <w:t>%</w:t>
            </w:r>
          </w:p>
        </w:tc>
        <w:tc>
          <w:tcPr>
            <w:tcW w:w="1063" w:type="dxa"/>
            <w:tcBorders>
              <w:top w:val="single" w:sz="4" w:space="0" w:color="000000"/>
              <w:left w:val="single" w:sz="4" w:space="0" w:color="000000"/>
              <w:bottom w:val="single" w:sz="4" w:space="0" w:color="000000"/>
              <w:right w:val="single" w:sz="4" w:space="0" w:color="000000"/>
            </w:tcBorders>
          </w:tcPr>
          <w:p w14:paraId="2292F40D" w14:textId="77777777" w:rsidR="0075791A" w:rsidRDefault="00FB2864">
            <w:pPr>
              <w:pStyle w:val="TableParagraph"/>
              <w:spacing w:before="50"/>
              <w:ind w:left="243"/>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0.46</w:t>
            </w:r>
            <w:r>
              <w:rPr>
                <w:rFonts w:ascii="Times New Roman" w:eastAsia="Times New Roman" w:hAnsi="Times New Roman" w:cs="Times New Roman"/>
                <w:color w:val="auto"/>
                <w:sz w:val="22"/>
                <w:szCs w:val="22"/>
              </w:rPr>
              <w:t>%</w:t>
            </w:r>
          </w:p>
        </w:tc>
        <w:tc>
          <w:tcPr>
            <w:tcW w:w="1063" w:type="dxa"/>
            <w:tcBorders>
              <w:top w:val="single" w:sz="4" w:space="0" w:color="000000"/>
              <w:left w:val="single" w:sz="4" w:space="0" w:color="000000"/>
              <w:bottom w:val="single" w:sz="4" w:space="0" w:color="000000"/>
              <w:right w:val="single" w:sz="4" w:space="0" w:color="000000"/>
            </w:tcBorders>
          </w:tcPr>
          <w:p w14:paraId="7AA96133" w14:textId="77777777" w:rsidR="0075791A" w:rsidRDefault="00FB2864">
            <w:pPr>
              <w:pStyle w:val="TableParagraph"/>
              <w:spacing w:before="50"/>
              <w:ind w:left="334"/>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0.1</w:t>
            </w:r>
            <w:r>
              <w:rPr>
                <w:rFonts w:ascii="Times New Roman" w:eastAsia="Times New Roman" w:hAnsi="Times New Roman" w:cs="Times New Roman"/>
                <w:color w:val="auto"/>
                <w:sz w:val="22"/>
                <w:szCs w:val="22"/>
              </w:rPr>
              <w:t>3</w:t>
            </w:r>
          </w:p>
        </w:tc>
        <w:tc>
          <w:tcPr>
            <w:tcW w:w="1064" w:type="dxa"/>
            <w:tcBorders>
              <w:top w:val="single" w:sz="4" w:space="0" w:color="000000"/>
              <w:left w:val="single" w:sz="4" w:space="0" w:color="000000"/>
              <w:bottom w:val="single" w:sz="4" w:space="0" w:color="000000"/>
              <w:right w:val="single" w:sz="4" w:space="0" w:color="000000"/>
            </w:tcBorders>
          </w:tcPr>
          <w:p w14:paraId="4F02D07F" w14:textId="77777777" w:rsidR="0075791A" w:rsidRDefault="00FB2864">
            <w:pPr>
              <w:pStyle w:val="TableParagraph"/>
              <w:spacing w:before="50"/>
              <w:ind w:left="334"/>
              <w:rPr>
                <w:rFonts w:ascii="Times New Roman" w:eastAsia="Times New Roman" w:hAnsi="Times New Roman" w:cs="Times New Roman"/>
                <w:color w:val="auto"/>
                <w:sz w:val="22"/>
                <w:szCs w:val="22"/>
              </w:rPr>
            </w:pPr>
            <w:r>
              <w:rPr>
                <w:rFonts w:ascii="Times New Roman" w:eastAsia="Times New Roman" w:hAnsi="Times New Roman" w:cs="Times New Roman"/>
                <w:color w:val="auto"/>
                <w:spacing w:val="-1"/>
                <w:sz w:val="22"/>
                <w:szCs w:val="22"/>
              </w:rPr>
              <w:t>6.4</w:t>
            </w:r>
            <w:r>
              <w:rPr>
                <w:rFonts w:ascii="Times New Roman" w:eastAsia="Times New Roman" w:hAnsi="Times New Roman" w:cs="Times New Roman"/>
                <w:color w:val="auto"/>
                <w:sz w:val="22"/>
                <w:szCs w:val="22"/>
              </w:rPr>
              <w:t>6</w:t>
            </w:r>
          </w:p>
        </w:tc>
      </w:tr>
    </w:tbl>
    <w:p w14:paraId="7E0394B6" w14:textId="77777777" w:rsidR="0075791A" w:rsidRDefault="00FB2864">
      <w:pPr>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 xml:space="preserve">6. </w:t>
      </w:r>
      <w:r>
        <w:rPr>
          <w:rFonts w:ascii="Times New Roman" w:eastAsia="宋体" w:hAnsi="Times New Roman" w:cs="Times New Roman" w:hint="eastAsia"/>
          <w:b/>
          <w:bCs/>
          <w:snapToGrid/>
          <w:color w:val="auto"/>
          <w:kern w:val="2"/>
          <w:sz w:val="24"/>
          <w:szCs w:val="24"/>
          <w:lang w:eastAsia="zh-CN"/>
        </w:rPr>
        <w:t>物种多样性分析</w:t>
      </w:r>
    </w:p>
    <w:p w14:paraId="6A6D1781"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丰富度指数（</w:t>
      </w:r>
      <w:r>
        <w:rPr>
          <w:rFonts w:ascii="Times New Roman" w:eastAsia="宋体" w:hAnsi="Times New Roman" w:cs="Times New Roman" w:hint="eastAsia"/>
          <w:snapToGrid/>
          <w:color w:val="auto"/>
          <w:kern w:val="2"/>
          <w:sz w:val="24"/>
          <w:szCs w:val="24"/>
          <w:lang w:eastAsia="zh-CN"/>
        </w:rPr>
        <w:t>D</w:t>
      </w:r>
      <w:r>
        <w:rPr>
          <w:rFonts w:ascii="Times New Roman" w:eastAsia="宋体" w:hAnsi="Times New Roman" w:cs="Times New Roman" w:hint="eastAsia"/>
          <w:snapToGrid/>
          <w:color w:val="auto"/>
          <w:kern w:val="2"/>
          <w:sz w:val="24"/>
          <w:szCs w:val="24"/>
          <w:lang w:eastAsia="zh-CN"/>
        </w:rPr>
        <w:t>）均值为</w:t>
      </w:r>
      <w:r>
        <w:rPr>
          <w:rFonts w:ascii="Times New Roman" w:eastAsia="宋体" w:hAnsi="Times New Roman" w:cs="Times New Roman" w:hint="eastAsia"/>
          <w:snapToGrid/>
          <w:color w:val="auto"/>
          <w:kern w:val="2"/>
          <w:sz w:val="24"/>
          <w:szCs w:val="24"/>
          <w:lang w:eastAsia="zh-CN"/>
        </w:rPr>
        <w:t>5.42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1.47-7.25</w:t>
      </w:r>
      <w:r>
        <w:rPr>
          <w:rFonts w:ascii="Times New Roman" w:eastAsia="宋体" w:hAnsi="Times New Roman" w:cs="Times New Roman" w:hint="eastAsia"/>
          <w:snapToGrid/>
          <w:color w:val="auto"/>
          <w:kern w:val="2"/>
          <w:sz w:val="24"/>
          <w:szCs w:val="24"/>
          <w:lang w:eastAsia="zh-CN"/>
        </w:rPr>
        <w:t>），单纯度指数（</w:t>
      </w:r>
      <w:r>
        <w:rPr>
          <w:rFonts w:ascii="Times New Roman" w:eastAsia="宋体" w:hAnsi="Times New Roman" w:cs="Times New Roman" w:hint="eastAsia"/>
          <w:snapToGrid/>
          <w:color w:val="auto"/>
          <w:kern w:val="2"/>
          <w:sz w:val="24"/>
          <w:szCs w:val="24"/>
          <w:lang w:eastAsia="zh-CN"/>
        </w:rPr>
        <w:t>C</w:t>
      </w:r>
      <w:r>
        <w:rPr>
          <w:rFonts w:ascii="Times New Roman" w:eastAsia="宋体" w:hAnsi="Times New Roman" w:cs="Times New Roman" w:hint="eastAsia"/>
          <w:snapToGrid/>
          <w:color w:val="auto"/>
          <w:kern w:val="2"/>
          <w:sz w:val="24"/>
          <w:szCs w:val="24"/>
          <w:lang w:eastAsia="zh-CN"/>
        </w:rPr>
        <w:t>）均值为</w:t>
      </w:r>
      <w:r>
        <w:rPr>
          <w:rFonts w:ascii="Times New Roman" w:eastAsia="宋体" w:hAnsi="Times New Roman" w:cs="Times New Roman" w:hint="eastAsia"/>
          <w:snapToGrid/>
          <w:color w:val="auto"/>
          <w:kern w:val="2"/>
          <w:sz w:val="24"/>
          <w:szCs w:val="24"/>
          <w:lang w:eastAsia="zh-CN"/>
        </w:rPr>
        <w:t>0.08</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0.04-0.18</w:t>
      </w:r>
      <w:r>
        <w:rPr>
          <w:rFonts w:ascii="Times New Roman" w:eastAsia="宋体" w:hAnsi="Times New Roman" w:cs="Times New Roman" w:hint="eastAsia"/>
          <w:snapToGrid/>
          <w:color w:val="auto"/>
          <w:kern w:val="2"/>
          <w:sz w:val="24"/>
          <w:szCs w:val="24"/>
          <w:lang w:eastAsia="zh-CN"/>
        </w:rPr>
        <w:t>），多样性指数（</w:t>
      </w:r>
      <w:r>
        <w:rPr>
          <w:rFonts w:ascii="Times New Roman" w:eastAsia="宋体" w:hAnsi="Times New Roman" w:cs="Times New Roman" w:hint="eastAsia"/>
          <w:snapToGrid/>
          <w:color w:val="auto"/>
          <w:kern w:val="2"/>
          <w:sz w:val="24"/>
          <w:szCs w:val="24"/>
          <w:lang w:eastAsia="zh-CN"/>
        </w:rPr>
        <w:t>H'</w:t>
      </w:r>
      <w:r>
        <w:rPr>
          <w:rFonts w:ascii="Times New Roman" w:eastAsia="宋体" w:hAnsi="Times New Roman" w:cs="Times New Roman" w:hint="eastAsia"/>
          <w:snapToGrid/>
          <w:color w:val="auto"/>
          <w:kern w:val="2"/>
          <w:sz w:val="24"/>
          <w:szCs w:val="24"/>
          <w:lang w:eastAsia="zh-CN"/>
        </w:rPr>
        <w:t>）均值为</w:t>
      </w:r>
      <w:r>
        <w:rPr>
          <w:rFonts w:ascii="Times New Roman" w:eastAsia="宋体" w:hAnsi="Times New Roman" w:cs="Times New Roman" w:hint="eastAsia"/>
          <w:snapToGrid/>
          <w:color w:val="auto"/>
          <w:kern w:val="2"/>
          <w:sz w:val="24"/>
          <w:szCs w:val="24"/>
          <w:lang w:eastAsia="zh-CN"/>
        </w:rPr>
        <w:t>4.35</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2.61-5.03</w:t>
      </w:r>
      <w:r>
        <w:rPr>
          <w:rFonts w:ascii="Times New Roman" w:eastAsia="宋体" w:hAnsi="Times New Roman" w:cs="Times New Roman" w:hint="eastAsia"/>
          <w:snapToGrid/>
          <w:color w:val="auto"/>
          <w:kern w:val="2"/>
          <w:sz w:val="24"/>
          <w:szCs w:val="24"/>
          <w:lang w:eastAsia="zh-CN"/>
        </w:rPr>
        <w:t>）），均匀度指数（</w:t>
      </w:r>
      <w:r>
        <w:rPr>
          <w:rFonts w:ascii="Times New Roman" w:eastAsia="宋体" w:hAnsi="Times New Roman" w:cs="Times New Roman" w:hint="eastAsia"/>
          <w:snapToGrid/>
          <w:color w:val="auto"/>
          <w:kern w:val="2"/>
          <w:sz w:val="24"/>
          <w:szCs w:val="24"/>
          <w:lang w:eastAsia="zh-CN"/>
        </w:rPr>
        <w:t>J'</w:t>
      </w:r>
      <w:r>
        <w:rPr>
          <w:rFonts w:ascii="Times New Roman" w:eastAsia="宋体" w:hAnsi="Times New Roman" w:cs="Times New Roman" w:hint="eastAsia"/>
          <w:snapToGrid/>
          <w:color w:val="auto"/>
          <w:kern w:val="2"/>
          <w:sz w:val="24"/>
          <w:szCs w:val="24"/>
          <w:lang w:eastAsia="zh-CN"/>
        </w:rPr>
        <w:t>）均值为</w:t>
      </w:r>
      <w:r>
        <w:rPr>
          <w:rFonts w:ascii="Times New Roman" w:eastAsia="宋体" w:hAnsi="Times New Roman" w:cs="Times New Roman" w:hint="eastAsia"/>
          <w:snapToGrid/>
          <w:color w:val="auto"/>
          <w:kern w:val="2"/>
          <w:sz w:val="24"/>
          <w:szCs w:val="24"/>
          <w:lang w:eastAsia="zh-CN"/>
        </w:rPr>
        <w:t>0.86</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0.75-0.98</w:t>
      </w:r>
      <w:r>
        <w:rPr>
          <w:rFonts w:ascii="Times New Roman" w:eastAsia="宋体" w:hAnsi="Times New Roman" w:cs="Times New Roman" w:hint="eastAsia"/>
          <w:snapToGrid/>
          <w:color w:val="auto"/>
          <w:kern w:val="2"/>
          <w:sz w:val="24"/>
          <w:szCs w:val="24"/>
          <w:lang w:eastAsia="zh-CN"/>
        </w:rPr>
        <w:t>）（详见表</w:t>
      </w:r>
      <w:r>
        <w:rPr>
          <w:rFonts w:ascii="Times New Roman" w:eastAsia="宋体" w:hAnsi="Times New Roman" w:cs="Times New Roman" w:hint="eastAsia"/>
          <w:snapToGrid/>
          <w:color w:val="auto"/>
          <w:kern w:val="2"/>
          <w:sz w:val="24"/>
          <w:szCs w:val="24"/>
          <w:lang w:eastAsia="zh-CN"/>
        </w:rPr>
        <w:t>3.2.6-36</w:t>
      </w:r>
      <w:r>
        <w:rPr>
          <w:rFonts w:ascii="Times New Roman" w:eastAsia="宋体" w:hAnsi="Times New Roman" w:cs="Times New Roman" w:hint="eastAsia"/>
          <w:snapToGrid/>
          <w:color w:val="auto"/>
          <w:kern w:val="2"/>
          <w:sz w:val="24"/>
          <w:szCs w:val="24"/>
          <w:lang w:eastAsia="zh-CN"/>
        </w:rPr>
        <w:t>）。</w:t>
      </w:r>
    </w:p>
    <w:p w14:paraId="762BA6C6" w14:textId="77777777" w:rsidR="0075791A" w:rsidRDefault="00FB2864">
      <w:pPr>
        <w:spacing w:line="240" w:lineRule="exact"/>
        <w:jc w:val="center"/>
        <w:rPr>
          <w:rFonts w:ascii="Times New Roman" w:eastAsia="宋体" w:hAnsi="Times New Roman" w:cs="宋体"/>
          <w:color w:val="auto"/>
          <w:sz w:val="24"/>
          <w:szCs w:val="24"/>
          <w:lang w:eastAsia="zh-CN"/>
        </w:rPr>
      </w:pP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 xml:space="preserve">3.2.6-36  </w:t>
      </w:r>
      <w:r>
        <w:rPr>
          <w:rFonts w:ascii="Times New Roman" w:eastAsia="Times New Roman" w:hAnsi="Times New Roman" w:cs="Times New Roman"/>
          <w:color w:val="auto"/>
          <w:sz w:val="24"/>
          <w:szCs w:val="24"/>
          <w:lang w:eastAsia="zh-CN"/>
        </w:rPr>
        <w:t>2024</w:t>
      </w:r>
      <w:r>
        <w:rPr>
          <w:rFonts w:ascii="宋体" w:eastAsia="宋体" w:hAnsi="宋体" w:cs="宋体"/>
          <w:color w:val="auto"/>
          <w:sz w:val="24"/>
          <w:szCs w:val="24"/>
          <w:lang w:eastAsia="zh-CN"/>
        </w:rPr>
        <w:t>年</w:t>
      </w:r>
      <w:r>
        <w:rPr>
          <w:rFonts w:ascii="Times New Roman" w:eastAsia="Times New Roman" w:hAnsi="Times New Roman" w:cs="Times New Roman"/>
          <w:color w:val="auto"/>
          <w:sz w:val="24"/>
          <w:szCs w:val="24"/>
          <w:lang w:eastAsia="zh-CN"/>
        </w:rPr>
        <w:t>9</w:t>
      </w:r>
      <w:r>
        <w:rPr>
          <w:rFonts w:ascii="宋体" w:eastAsia="宋体" w:hAnsi="宋体" w:cs="宋体"/>
          <w:color w:val="auto"/>
          <w:sz w:val="24"/>
          <w:szCs w:val="24"/>
          <w:lang w:eastAsia="zh-CN"/>
        </w:rPr>
        <w:t>月航次调查海域游泳动物渔获物多样性指数</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208"/>
        <w:gridCol w:w="1063"/>
        <w:gridCol w:w="1443"/>
        <w:gridCol w:w="1443"/>
        <w:gridCol w:w="1443"/>
        <w:gridCol w:w="1646"/>
      </w:tblGrid>
      <w:tr w:rsidR="0075791A" w14:paraId="7D8FA125" w14:textId="77777777">
        <w:trPr>
          <w:trHeight w:hRule="exact" w:val="330"/>
          <w:jc w:val="center"/>
        </w:trPr>
        <w:tc>
          <w:tcPr>
            <w:tcW w:w="1208" w:type="dxa"/>
            <w:tcBorders>
              <w:tl2br w:val="nil"/>
              <w:tr2bl w:val="nil"/>
            </w:tcBorders>
            <w:vAlign w:val="center"/>
          </w:tcPr>
          <w:p w14:paraId="03A9DDE3" w14:textId="77777777" w:rsidR="0075791A" w:rsidRDefault="00FB2864">
            <w:pPr>
              <w:pStyle w:val="TableParagraph"/>
              <w:spacing w:line="285" w:lineRule="exact"/>
              <w:ind w:left="179"/>
              <w:jc w:val="center"/>
              <w:rPr>
                <w:rFonts w:ascii="宋体" w:eastAsia="宋体" w:hAnsi="宋体" w:cs="宋体"/>
                <w:color w:val="auto"/>
              </w:rPr>
            </w:pPr>
            <w:r>
              <w:rPr>
                <w:rFonts w:ascii="宋体" w:eastAsia="宋体" w:hAnsi="宋体" w:cs="宋体"/>
                <w:color w:val="auto"/>
                <w:spacing w:val="-1"/>
              </w:rPr>
              <w:t>作</w:t>
            </w:r>
            <w:r>
              <w:rPr>
                <w:rFonts w:ascii="宋体" w:eastAsia="宋体" w:hAnsi="宋体" w:cs="宋体"/>
                <w:color w:val="auto"/>
                <w:spacing w:val="2"/>
              </w:rPr>
              <w:t>业</w:t>
            </w:r>
            <w:r>
              <w:rPr>
                <w:rFonts w:ascii="宋体" w:eastAsia="宋体" w:hAnsi="宋体" w:cs="宋体"/>
                <w:color w:val="auto"/>
                <w:spacing w:val="-1"/>
              </w:rPr>
              <w:t>方</w:t>
            </w:r>
            <w:r>
              <w:rPr>
                <w:rFonts w:ascii="宋体" w:eastAsia="宋体" w:hAnsi="宋体" w:cs="宋体"/>
                <w:color w:val="auto"/>
              </w:rPr>
              <w:t>式</w:t>
            </w:r>
          </w:p>
        </w:tc>
        <w:tc>
          <w:tcPr>
            <w:tcW w:w="1063" w:type="dxa"/>
            <w:tcBorders>
              <w:tl2br w:val="nil"/>
              <w:tr2bl w:val="nil"/>
            </w:tcBorders>
            <w:vAlign w:val="center"/>
          </w:tcPr>
          <w:p w14:paraId="26B20CEE" w14:textId="77777777" w:rsidR="0075791A" w:rsidRDefault="00FB2864">
            <w:pPr>
              <w:pStyle w:val="TableParagraph"/>
              <w:spacing w:line="285" w:lineRule="exact"/>
              <w:ind w:left="315"/>
              <w:jc w:val="center"/>
              <w:rPr>
                <w:rFonts w:ascii="宋体" w:eastAsia="宋体" w:hAnsi="宋体" w:cs="宋体"/>
                <w:color w:val="auto"/>
              </w:rPr>
            </w:pPr>
            <w:r>
              <w:rPr>
                <w:rFonts w:ascii="宋体" w:eastAsia="宋体" w:hAnsi="宋体" w:cs="宋体"/>
                <w:color w:val="auto"/>
                <w:spacing w:val="-1"/>
              </w:rPr>
              <w:t>站</w:t>
            </w:r>
            <w:r>
              <w:rPr>
                <w:rFonts w:ascii="宋体" w:eastAsia="宋体" w:hAnsi="宋体" w:cs="宋体"/>
                <w:color w:val="auto"/>
              </w:rPr>
              <w:t>位</w:t>
            </w:r>
          </w:p>
        </w:tc>
        <w:tc>
          <w:tcPr>
            <w:tcW w:w="1443" w:type="dxa"/>
            <w:tcBorders>
              <w:tl2br w:val="nil"/>
              <w:tr2bl w:val="nil"/>
            </w:tcBorders>
            <w:vAlign w:val="center"/>
          </w:tcPr>
          <w:p w14:paraId="17A6DA89" w14:textId="77777777" w:rsidR="0075791A" w:rsidRDefault="00FB2864">
            <w:pPr>
              <w:pStyle w:val="TableParagraph"/>
              <w:spacing w:line="301" w:lineRule="exact"/>
              <w:ind w:left="299"/>
              <w:jc w:val="center"/>
              <w:rPr>
                <w:rFonts w:ascii="Times New Roman" w:eastAsia="Times New Roman" w:hAnsi="Times New Roman" w:cs="Times New Roman"/>
                <w:color w:val="auto"/>
              </w:rPr>
            </w:pPr>
            <w:r>
              <w:rPr>
                <w:rFonts w:ascii="宋体" w:eastAsia="宋体" w:hAnsi="宋体" w:cs="宋体"/>
                <w:color w:val="auto"/>
                <w:spacing w:val="-1"/>
              </w:rPr>
              <w:t>丰</w:t>
            </w:r>
            <w:r>
              <w:rPr>
                <w:rFonts w:ascii="宋体" w:eastAsia="宋体" w:hAnsi="宋体" w:cs="宋体"/>
                <w:color w:val="auto"/>
                <w:spacing w:val="2"/>
              </w:rPr>
              <w:t>富</w:t>
            </w:r>
            <w:r>
              <w:rPr>
                <w:rFonts w:ascii="宋体" w:eastAsia="宋体" w:hAnsi="宋体" w:cs="宋体"/>
                <w:color w:val="auto"/>
              </w:rPr>
              <w:t>度</w:t>
            </w:r>
            <w:r>
              <w:rPr>
                <w:rFonts w:ascii="宋体" w:eastAsia="宋体" w:hAnsi="宋体" w:cs="宋体"/>
                <w:color w:val="auto"/>
                <w:spacing w:val="-61"/>
              </w:rPr>
              <w:t xml:space="preserve"> </w:t>
            </w:r>
            <w:r>
              <w:rPr>
                <w:rFonts w:ascii="Times New Roman" w:eastAsia="Times New Roman" w:hAnsi="Times New Roman" w:cs="Times New Roman"/>
                <w:i/>
                <w:color w:val="auto"/>
              </w:rPr>
              <w:t>D</w:t>
            </w:r>
          </w:p>
        </w:tc>
        <w:tc>
          <w:tcPr>
            <w:tcW w:w="1443" w:type="dxa"/>
            <w:tcBorders>
              <w:tl2br w:val="nil"/>
              <w:tr2bl w:val="nil"/>
            </w:tcBorders>
            <w:vAlign w:val="center"/>
          </w:tcPr>
          <w:p w14:paraId="771A6599" w14:textId="77777777" w:rsidR="0075791A" w:rsidRDefault="00FB2864">
            <w:pPr>
              <w:pStyle w:val="TableParagraph"/>
              <w:spacing w:line="301" w:lineRule="exact"/>
              <w:ind w:left="279"/>
              <w:jc w:val="center"/>
              <w:rPr>
                <w:rFonts w:ascii="Times New Roman" w:eastAsia="Times New Roman" w:hAnsi="Times New Roman" w:cs="Times New Roman"/>
                <w:color w:val="auto"/>
              </w:rPr>
            </w:pPr>
            <w:r>
              <w:rPr>
                <w:rFonts w:ascii="宋体" w:eastAsia="宋体" w:hAnsi="宋体" w:cs="宋体"/>
                <w:color w:val="auto"/>
                <w:spacing w:val="-1"/>
              </w:rPr>
              <w:t>优</w:t>
            </w:r>
            <w:r>
              <w:rPr>
                <w:rFonts w:ascii="宋体" w:eastAsia="宋体" w:hAnsi="宋体" w:cs="宋体"/>
                <w:color w:val="auto"/>
                <w:spacing w:val="2"/>
              </w:rPr>
              <w:t>势</w:t>
            </w:r>
            <w:r>
              <w:rPr>
                <w:rFonts w:ascii="宋体" w:eastAsia="宋体" w:hAnsi="宋体" w:cs="宋体"/>
                <w:color w:val="auto"/>
              </w:rPr>
              <w:t>度</w:t>
            </w:r>
            <w:r>
              <w:rPr>
                <w:rFonts w:ascii="宋体" w:eastAsia="宋体" w:hAnsi="宋体" w:cs="宋体"/>
                <w:color w:val="auto"/>
                <w:spacing w:val="-8"/>
              </w:rPr>
              <w:t xml:space="preserve"> </w:t>
            </w:r>
            <w:r>
              <w:rPr>
                <w:rFonts w:ascii="Times New Roman" w:eastAsia="Times New Roman" w:hAnsi="Times New Roman" w:cs="Times New Roman"/>
                <w:i/>
                <w:color w:val="auto"/>
              </w:rPr>
              <w:t>C</w:t>
            </w:r>
          </w:p>
        </w:tc>
        <w:tc>
          <w:tcPr>
            <w:tcW w:w="1443" w:type="dxa"/>
            <w:tcBorders>
              <w:tl2br w:val="nil"/>
              <w:tr2bl w:val="nil"/>
            </w:tcBorders>
            <w:vAlign w:val="center"/>
          </w:tcPr>
          <w:p w14:paraId="4AB8A8C0" w14:textId="77777777" w:rsidR="0075791A" w:rsidRDefault="00FB2864">
            <w:pPr>
              <w:pStyle w:val="TableParagraph"/>
              <w:spacing w:line="301" w:lineRule="exact"/>
              <w:ind w:left="250"/>
              <w:jc w:val="center"/>
              <w:rPr>
                <w:rFonts w:ascii="Times New Roman" w:eastAsia="Times New Roman" w:hAnsi="Times New Roman" w:cs="Times New Roman"/>
                <w:color w:val="auto"/>
              </w:rPr>
            </w:pPr>
            <w:r>
              <w:rPr>
                <w:rFonts w:ascii="宋体" w:eastAsia="宋体" w:hAnsi="宋体" w:cs="宋体"/>
                <w:color w:val="auto"/>
                <w:spacing w:val="-1"/>
              </w:rPr>
              <w:t>多</w:t>
            </w:r>
            <w:r>
              <w:rPr>
                <w:rFonts w:ascii="宋体" w:eastAsia="宋体" w:hAnsi="宋体" w:cs="宋体"/>
                <w:color w:val="auto"/>
                <w:spacing w:val="2"/>
              </w:rPr>
              <w:t>样</w:t>
            </w:r>
            <w:r>
              <w:rPr>
                <w:rFonts w:ascii="宋体" w:eastAsia="宋体" w:hAnsi="宋体" w:cs="宋体"/>
                <w:color w:val="auto"/>
              </w:rPr>
              <w:t>性</w:t>
            </w:r>
            <w:r>
              <w:rPr>
                <w:rFonts w:ascii="宋体" w:eastAsia="宋体" w:hAnsi="宋体" w:cs="宋体"/>
                <w:color w:val="auto"/>
                <w:spacing w:val="-9"/>
              </w:rPr>
              <w:t xml:space="preserve"> </w:t>
            </w:r>
            <w:r>
              <w:rPr>
                <w:rFonts w:ascii="Times New Roman" w:eastAsia="Times New Roman" w:hAnsi="Times New Roman" w:cs="Times New Roman"/>
                <w:i/>
                <w:color w:val="auto"/>
              </w:rPr>
              <w:t>H'</w:t>
            </w:r>
          </w:p>
        </w:tc>
        <w:tc>
          <w:tcPr>
            <w:tcW w:w="1646" w:type="dxa"/>
            <w:tcBorders>
              <w:tl2br w:val="nil"/>
              <w:tr2bl w:val="nil"/>
            </w:tcBorders>
            <w:vAlign w:val="center"/>
          </w:tcPr>
          <w:p w14:paraId="292EA57E" w14:textId="77777777" w:rsidR="0075791A" w:rsidRDefault="00FB2864">
            <w:pPr>
              <w:pStyle w:val="TableParagraph"/>
              <w:spacing w:line="301" w:lineRule="exact"/>
              <w:ind w:left="395"/>
              <w:jc w:val="center"/>
              <w:rPr>
                <w:rFonts w:ascii="Times New Roman" w:eastAsia="Times New Roman" w:hAnsi="Times New Roman" w:cs="Times New Roman"/>
                <w:color w:val="auto"/>
              </w:rPr>
            </w:pPr>
            <w:r>
              <w:rPr>
                <w:rFonts w:ascii="宋体" w:eastAsia="宋体" w:hAnsi="宋体" w:cs="宋体"/>
                <w:color w:val="auto"/>
                <w:spacing w:val="-1"/>
              </w:rPr>
              <w:t>均</w:t>
            </w:r>
            <w:r>
              <w:rPr>
                <w:rFonts w:ascii="宋体" w:eastAsia="宋体" w:hAnsi="宋体" w:cs="宋体"/>
                <w:color w:val="auto"/>
                <w:spacing w:val="2"/>
              </w:rPr>
              <w:t>匀</w:t>
            </w:r>
            <w:r>
              <w:rPr>
                <w:rFonts w:ascii="宋体" w:eastAsia="宋体" w:hAnsi="宋体" w:cs="宋体"/>
                <w:color w:val="auto"/>
              </w:rPr>
              <w:t>度</w:t>
            </w:r>
            <w:r>
              <w:rPr>
                <w:rFonts w:ascii="宋体" w:eastAsia="宋体" w:hAnsi="宋体" w:cs="宋体"/>
                <w:color w:val="auto"/>
                <w:spacing w:val="-61"/>
              </w:rPr>
              <w:t xml:space="preserve"> </w:t>
            </w:r>
            <w:r>
              <w:rPr>
                <w:rFonts w:ascii="Times New Roman" w:eastAsia="Times New Roman" w:hAnsi="Times New Roman" w:cs="Times New Roman"/>
                <w:i/>
                <w:color w:val="auto"/>
                <w:spacing w:val="1"/>
              </w:rPr>
              <w:t>J</w:t>
            </w:r>
            <w:r>
              <w:rPr>
                <w:rFonts w:ascii="Times New Roman" w:eastAsia="Times New Roman" w:hAnsi="Times New Roman" w:cs="Times New Roman"/>
                <w:i/>
                <w:color w:val="auto"/>
              </w:rPr>
              <w:t>’</w:t>
            </w:r>
          </w:p>
        </w:tc>
      </w:tr>
      <w:tr w:rsidR="0075791A" w14:paraId="5C85B2F4" w14:textId="77777777">
        <w:trPr>
          <w:trHeight w:val="227"/>
          <w:jc w:val="center"/>
        </w:trPr>
        <w:tc>
          <w:tcPr>
            <w:tcW w:w="1208" w:type="dxa"/>
            <w:vMerge w:val="restart"/>
            <w:tcBorders>
              <w:tl2br w:val="nil"/>
              <w:tr2bl w:val="nil"/>
            </w:tcBorders>
            <w:vAlign w:val="center"/>
          </w:tcPr>
          <w:p w14:paraId="0A26087F" w14:textId="77777777" w:rsidR="0075791A" w:rsidRDefault="00FB2864">
            <w:pPr>
              <w:pStyle w:val="TableParagraph"/>
              <w:ind w:left="388"/>
              <w:jc w:val="center"/>
              <w:rPr>
                <w:rFonts w:ascii="宋体" w:eastAsia="宋体" w:hAnsi="宋体" w:cs="宋体"/>
                <w:color w:val="auto"/>
              </w:rPr>
            </w:pPr>
            <w:r>
              <w:rPr>
                <w:rFonts w:ascii="宋体" w:eastAsia="宋体" w:hAnsi="宋体" w:cs="宋体"/>
                <w:color w:val="auto"/>
                <w:spacing w:val="-1"/>
              </w:rPr>
              <w:t>拖</w:t>
            </w:r>
            <w:r>
              <w:rPr>
                <w:rFonts w:ascii="宋体" w:eastAsia="宋体" w:hAnsi="宋体" w:cs="宋体"/>
                <w:color w:val="auto"/>
              </w:rPr>
              <w:t>网</w:t>
            </w:r>
          </w:p>
        </w:tc>
        <w:tc>
          <w:tcPr>
            <w:tcW w:w="1063" w:type="dxa"/>
            <w:tcBorders>
              <w:tl2br w:val="nil"/>
              <w:tr2bl w:val="nil"/>
            </w:tcBorders>
            <w:vAlign w:val="center"/>
          </w:tcPr>
          <w:p w14:paraId="7020B3F2" w14:textId="77777777" w:rsidR="0075791A" w:rsidRDefault="00FB2864">
            <w:pPr>
              <w:pStyle w:val="TableParagraph"/>
              <w:spacing w:before="60"/>
              <w:ind w:left="377" w:right="380"/>
              <w:jc w:val="center"/>
              <w:rPr>
                <w:rFonts w:ascii="Times New Roman" w:eastAsia="Times New Roman" w:hAnsi="Times New Roman" w:cs="Times New Roman"/>
                <w:color w:val="auto"/>
              </w:rPr>
            </w:pPr>
            <w:r>
              <w:rPr>
                <w:rFonts w:ascii="Times New Roman" w:eastAsia="Times New Roman" w:hAnsi="Times New Roman" w:cs="Times New Roman"/>
                <w:color w:val="auto"/>
              </w:rPr>
              <w:t>H2</w:t>
            </w:r>
          </w:p>
        </w:tc>
        <w:tc>
          <w:tcPr>
            <w:tcW w:w="1443" w:type="dxa"/>
            <w:tcBorders>
              <w:tl2br w:val="nil"/>
              <w:tr2bl w:val="nil"/>
            </w:tcBorders>
            <w:vAlign w:val="center"/>
          </w:tcPr>
          <w:p w14:paraId="31A43384" w14:textId="77777777" w:rsidR="0075791A" w:rsidRDefault="00FB2864">
            <w:pPr>
              <w:pStyle w:val="TableParagraph"/>
              <w:spacing w:before="60"/>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4</w:t>
            </w:r>
          </w:p>
        </w:tc>
        <w:tc>
          <w:tcPr>
            <w:tcW w:w="1443" w:type="dxa"/>
            <w:tcBorders>
              <w:tl2br w:val="nil"/>
              <w:tr2bl w:val="nil"/>
            </w:tcBorders>
            <w:vAlign w:val="center"/>
          </w:tcPr>
          <w:p w14:paraId="03591850" w14:textId="77777777" w:rsidR="0075791A" w:rsidRDefault="00FB2864">
            <w:pPr>
              <w:pStyle w:val="TableParagraph"/>
              <w:spacing w:before="60"/>
              <w:ind w:left="511"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9</w:t>
            </w:r>
          </w:p>
        </w:tc>
        <w:tc>
          <w:tcPr>
            <w:tcW w:w="1443" w:type="dxa"/>
            <w:tcBorders>
              <w:tl2br w:val="nil"/>
              <w:tr2bl w:val="nil"/>
            </w:tcBorders>
            <w:vAlign w:val="center"/>
          </w:tcPr>
          <w:p w14:paraId="0C0661E0" w14:textId="77777777" w:rsidR="0075791A" w:rsidRDefault="00FB2864">
            <w:pPr>
              <w:pStyle w:val="TableParagraph"/>
              <w:spacing w:before="60"/>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4</w:t>
            </w:r>
            <w:r>
              <w:rPr>
                <w:rFonts w:ascii="Times New Roman" w:eastAsia="Times New Roman" w:hAnsi="Times New Roman" w:cs="Times New Roman"/>
                <w:color w:val="auto"/>
              </w:rPr>
              <w:t>2</w:t>
            </w:r>
          </w:p>
        </w:tc>
        <w:tc>
          <w:tcPr>
            <w:tcW w:w="1646" w:type="dxa"/>
            <w:tcBorders>
              <w:tl2br w:val="nil"/>
              <w:tr2bl w:val="nil"/>
            </w:tcBorders>
            <w:vAlign w:val="center"/>
          </w:tcPr>
          <w:p w14:paraId="6BE57350" w14:textId="77777777" w:rsidR="0075791A" w:rsidRDefault="00FB2864">
            <w:pPr>
              <w:pStyle w:val="TableParagraph"/>
              <w:spacing w:before="60"/>
              <w:ind w:left="613" w:right="61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r>
      <w:tr w:rsidR="0075791A" w14:paraId="06A189F4" w14:textId="77777777">
        <w:trPr>
          <w:trHeight w:val="227"/>
          <w:jc w:val="center"/>
        </w:trPr>
        <w:tc>
          <w:tcPr>
            <w:tcW w:w="1208" w:type="dxa"/>
            <w:vMerge/>
            <w:tcBorders>
              <w:tl2br w:val="nil"/>
              <w:tr2bl w:val="nil"/>
            </w:tcBorders>
            <w:vAlign w:val="center"/>
          </w:tcPr>
          <w:p w14:paraId="102F3441" w14:textId="77777777" w:rsidR="0075791A" w:rsidRDefault="0075791A">
            <w:pPr>
              <w:jc w:val="center"/>
              <w:rPr>
                <w:color w:val="auto"/>
              </w:rPr>
            </w:pPr>
          </w:p>
        </w:tc>
        <w:tc>
          <w:tcPr>
            <w:tcW w:w="1063" w:type="dxa"/>
            <w:tcBorders>
              <w:tl2br w:val="nil"/>
              <w:tr2bl w:val="nil"/>
            </w:tcBorders>
            <w:vAlign w:val="center"/>
          </w:tcPr>
          <w:p w14:paraId="7DF44D85" w14:textId="77777777" w:rsidR="0075791A" w:rsidRDefault="00FB2864">
            <w:pPr>
              <w:pStyle w:val="TableParagraph"/>
              <w:spacing w:before="59"/>
              <w:ind w:left="377" w:right="380"/>
              <w:jc w:val="center"/>
              <w:rPr>
                <w:rFonts w:ascii="Times New Roman" w:eastAsia="Times New Roman" w:hAnsi="Times New Roman" w:cs="Times New Roman"/>
                <w:color w:val="auto"/>
              </w:rPr>
            </w:pPr>
            <w:r>
              <w:rPr>
                <w:rFonts w:ascii="Times New Roman" w:eastAsia="Times New Roman" w:hAnsi="Times New Roman" w:cs="Times New Roman"/>
                <w:color w:val="auto"/>
              </w:rPr>
              <w:t>H5</w:t>
            </w:r>
          </w:p>
        </w:tc>
        <w:tc>
          <w:tcPr>
            <w:tcW w:w="1443" w:type="dxa"/>
            <w:tcBorders>
              <w:tl2br w:val="nil"/>
              <w:tr2bl w:val="nil"/>
            </w:tcBorders>
            <w:vAlign w:val="center"/>
          </w:tcPr>
          <w:p w14:paraId="204ED217" w14:textId="77777777" w:rsidR="0075791A" w:rsidRDefault="00FB2864">
            <w:pPr>
              <w:pStyle w:val="TableParagraph"/>
              <w:spacing w:before="59"/>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7</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5</w:t>
            </w:r>
          </w:p>
        </w:tc>
        <w:tc>
          <w:tcPr>
            <w:tcW w:w="1443" w:type="dxa"/>
            <w:tcBorders>
              <w:tl2br w:val="nil"/>
              <w:tr2bl w:val="nil"/>
            </w:tcBorders>
            <w:vAlign w:val="center"/>
          </w:tcPr>
          <w:p w14:paraId="0ADE900E" w14:textId="77777777" w:rsidR="0075791A" w:rsidRDefault="00FB2864">
            <w:pPr>
              <w:pStyle w:val="TableParagraph"/>
              <w:spacing w:before="59"/>
              <w:ind w:left="511"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7</w:t>
            </w:r>
          </w:p>
        </w:tc>
        <w:tc>
          <w:tcPr>
            <w:tcW w:w="1443" w:type="dxa"/>
            <w:tcBorders>
              <w:tl2br w:val="nil"/>
              <w:tr2bl w:val="nil"/>
            </w:tcBorders>
            <w:vAlign w:val="center"/>
          </w:tcPr>
          <w:p w14:paraId="17491872" w14:textId="77777777" w:rsidR="0075791A" w:rsidRDefault="00FB2864">
            <w:pPr>
              <w:pStyle w:val="TableParagraph"/>
              <w:spacing w:before="59"/>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7</w:t>
            </w:r>
            <w:r>
              <w:rPr>
                <w:rFonts w:ascii="Times New Roman" w:eastAsia="Times New Roman" w:hAnsi="Times New Roman" w:cs="Times New Roman"/>
                <w:color w:val="auto"/>
              </w:rPr>
              <w:t>6</w:t>
            </w:r>
          </w:p>
        </w:tc>
        <w:tc>
          <w:tcPr>
            <w:tcW w:w="1646" w:type="dxa"/>
            <w:tcBorders>
              <w:tl2br w:val="nil"/>
              <w:tr2bl w:val="nil"/>
            </w:tcBorders>
            <w:vAlign w:val="center"/>
          </w:tcPr>
          <w:p w14:paraId="6A3B7918" w14:textId="77777777" w:rsidR="0075791A" w:rsidRDefault="00FB2864">
            <w:pPr>
              <w:pStyle w:val="TableParagraph"/>
              <w:spacing w:before="59"/>
              <w:ind w:left="613" w:right="61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0</w:t>
            </w:r>
          </w:p>
        </w:tc>
      </w:tr>
      <w:tr w:rsidR="0075791A" w14:paraId="7B0FE8C8" w14:textId="77777777">
        <w:trPr>
          <w:trHeight w:val="227"/>
          <w:jc w:val="center"/>
        </w:trPr>
        <w:tc>
          <w:tcPr>
            <w:tcW w:w="1208" w:type="dxa"/>
            <w:vMerge/>
            <w:tcBorders>
              <w:tl2br w:val="nil"/>
              <w:tr2bl w:val="nil"/>
            </w:tcBorders>
            <w:vAlign w:val="center"/>
          </w:tcPr>
          <w:p w14:paraId="7E360F42" w14:textId="77777777" w:rsidR="0075791A" w:rsidRDefault="0075791A">
            <w:pPr>
              <w:jc w:val="center"/>
              <w:rPr>
                <w:color w:val="auto"/>
              </w:rPr>
            </w:pPr>
          </w:p>
        </w:tc>
        <w:tc>
          <w:tcPr>
            <w:tcW w:w="1063" w:type="dxa"/>
            <w:tcBorders>
              <w:tl2br w:val="nil"/>
              <w:tr2bl w:val="nil"/>
            </w:tcBorders>
            <w:vAlign w:val="center"/>
          </w:tcPr>
          <w:p w14:paraId="7AF44AF6" w14:textId="77777777" w:rsidR="0075791A" w:rsidRDefault="00FB2864">
            <w:pPr>
              <w:pStyle w:val="TableParagraph"/>
              <w:spacing w:before="60"/>
              <w:ind w:left="377" w:right="380"/>
              <w:jc w:val="center"/>
              <w:rPr>
                <w:rFonts w:ascii="Times New Roman" w:eastAsia="Times New Roman" w:hAnsi="Times New Roman" w:cs="Times New Roman"/>
                <w:color w:val="auto"/>
              </w:rPr>
            </w:pPr>
            <w:r>
              <w:rPr>
                <w:rFonts w:ascii="Times New Roman" w:eastAsia="Times New Roman" w:hAnsi="Times New Roman" w:cs="Times New Roman"/>
                <w:color w:val="auto"/>
              </w:rPr>
              <w:t>H6</w:t>
            </w:r>
          </w:p>
        </w:tc>
        <w:tc>
          <w:tcPr>
            <w:tcW w:w="1443" w:type="dxa"/>
            <w:tcBorders>
              <w:tl2br w:val="nil"/>
              <w:tr2bl w:val="nil"/>
            </w:tcBorders>
            <w:vAlign w:val="center"/>
          </w:tcPr>
          <w:p w14:paraId="08ECC677" w14:textId="77777777" w:rsidR="0075791A" w:rsidRDefault="00FB2864">
            <w:pPr>
              <w:pStyle w:val="TableParagraph"/>
              <w:spacing w:before="60"/>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6</w:t>
            </w:r>
          </w:p>
        </w:tc>
        <w:tc>
          <w:tcPr>
            <w:tcW w:w="1443" w:type="dxa"/>
            <w:tcBorders>
              <w:tl2br w:val="nil"/>
              <w:tr2bl w:val="nil"/>
            </w:tcBorders>
            <w:vAlign w:val="center"/>
          </w:tcPr>
          <w:p w14:paraId="7E8689E2" w14:textId="77777777" w:rsidR="0075791A" w:rsidRDefault="00FB2864">
            <w:pPr>
              <w:pStyle w:val="TableParagraph"/>
              <w:spacing w:before="60"/>
              <w:ind w:left="511"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1443" w:type="dxa"/>
            <w:tcBorders>
              <w:tl2br w:val="nil"/>
              <w:tr2bl w:val="nil"/>
            </w:tcBorders>
            <w:vAlign w:val="center"/>
          </w:tcPr>
          <w:p w14:paraId="0A64AE52" w14:textId="77777777" w:rsidR="0075791A" w:rsidRDefault="00FB2864">
            <w:pPr>
              <w:pStyle w:val="TableParagraph"/>
              <w:spacing w:before="60"/>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6</w:t>
            </w:r>
            <w:r>
              <w:rPr>
                <w:rFonts w:ascii="Times New Roman" w:eastAsia="Times New Roman" w:hAnsi="Times New Roman" w:cs="Times New Roman"/>
                <w:color w:val="auto"/>
              </w:rPr>
              <w:t>0</w:t>
            </w:r>
          </w:p>
        </w:tc>
        <w:tc>
          <w:tcPr>
            <w:tcW w:w="1646" w:type="dxa"/>
            <w:tcBorders>
              <w:tl2br w:val="nil"/>
              <w:tr2bl w:val="nil"/>
            </w:tcBorders>
            <w:vAlign w:val="center"/>
          </w:tcPr>
          <w:p w14:paraId="53804625" w14:textId="77777777" w:rsidR="0075791A" w:rsidRDefault="00FB2864">
            <w:pPr>
              <w:pStyle w:val="TableParagraph"/>
              <w:spacing w:before="60"/>
              <w:ind w:left="613" w:right="61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2</w:t>
            </w:r>
          </w:p>
        </w:tc>
      </w:tr>
      <w:tr w:rsidR="0075791A" w14:paraId="6F68DA39" w14:textId="77777777">
        <w:trPr>
          <w:trHeight w:val="227"/>
          <w:jc w:val="center"/>
        </w:trPr>
        <w:tc>
          <w:tcPr>
            <w:tcW w:w="1208" w:type="dxa"/>
            <w:vMerge/>
            <w:tcBorders>
              <w:tl2br w:val="nil"/>
              <w:tr2bl w:val="nil"/>
            </w:tcBorders>
            <w:vAlign w:val="center"/>
          </w:tcPr>
          <w:p w14:paraId="2C623DB7" w14:textId="77777777" w:rsidR="0075791A" w:rsidRDefault="0075791A">
            <w:pPr>
              <w:jc w:val="center"/>
              <w:rPr>
                <w:color w:val="auto"/>
              </w:rPr>
            </w:pPr>
          </w:p>
        </w:tc>
        <w:tc>
          <w:tcPr>
            <w:tcW w:w="1063" w:type="dxa"/>
            <w:tcBorders>
              <w:tl2br w:val="nil"/>
              <w:tr2bl w:val="nil"/>
            </w:tcBorders>
            <w:vAlign w:val="center"/>
          </w:tcPr>
          <w:p w14:paraId="4FE64F1A" w14:textId="77777777" w:rsidR="0075791A" w:rsidRDefault="00FB2864">
            <w:pPr>
              <w:pStyle w:val="TableParagraph"/>
              <w:spacing w:before="59"/>
              <w:ind w:left="377" w:right="380"/>
              <w:jc w:val="center"/>
              <w:rPr>
                <w:rFonts w:ascii="Times New Roman" w:eastAsia="Times New Roman" w:hAnsi="Times New Roman" w:cs="Times New Roman"/>
                <w:color w:val="auto"/>
              </w:rPr>
            </w:pPr>
            <w:r>
              <w:rPr>
                <w:rFonts w:ascii="Times New Roman" w:eastAsia="Times New Roman" w:hAnsi="Times New Roman" w:cs="Times New Roman"/>
                <w:color w:val="auto"/>
              </w:rPr>
              <w:t>H8</w:t>
            </w:r>
          </w:p>
        </w:tc>
        <w:tc>
          <w:tcPr>
            <w:tcW w:w="1443" w:type="dxa"/>
            <w:tcBorders>
              <w:tl2br w:val="nil"/>
              <w:tr2bl w:val="nil"/>
            </w:tcBorders>
            <w:vAlign w:val="center"/>
          </w:tcPr>
          <w:p w14:paraId="51756612" w14:textId="77777777" w:rsidR="0075791A" w:rsidRDefault="00FB2864">
            <w:pPr>
              <w:pStyle w:val="TableParagraph"/>
              <w:spacing w:before="59"/>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1</w:t>
            </w:r>
          </w:p>
        </w:tc>
        <w:tc>
          <w:tcPr>
            <w:tcW w:w="1443" w:type="dxa"/>
            <w:tcBorders>
              <w:tl2br w:val="nil"/>
              <w:tr2bl w:val="nil"/>
            </w:tcBorders>
            <w:vAlign w:val="center"/>
          </w:tcPr>
          <w:p w14:paraId="1FD9A146" w14:textId="77777777" w:rsidR="0075791A" w:rsidRDefault="00FB2864">
            <w:pPr>
              <w:pStyle w:val="TableParagraph"/>
              <w:spacing w:before="59"/>
              <w:ind w:left="511"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5</w:t>
            </w:r>
          </w:p>
        </w:tc>
        <w:tc>
          <w:tcPr>
            <w:tcW w:w="1443" w:type="dxa"/>
            <w:tcBorders>
              <w:tl2br w:val="nil"/>
              <w:tr2bl w:val="nil"/>
            </w:tcBorders>
            <w:vAlign w:val="center"/>
          </w:tcPr>
          <w:p w14:paraId="7B0CC102" w14:textId="77777777" w:rsidR="0075791A" w:rsidRDefault="00FB2864">
            <w:pPr>
              <w:pStyle w:val="TableParagraph"/>
              <w:spacing w:before="59"/>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9</w:t>
            </w:r>
            <w:r>
              <w:rPr>
                <w:rFonts w:ascii="Times New Roman" w:eastAsia="Times New Roman" w:hAnsi="Times New Roman" w:cs="Times New Roman"/>
                <w:color w:val="auto"/>
              </w:rPr>
              <w:t>7</w:t>
            </w:r>
          </w:p>
        </w:tc>
        <w:tc>
          <w:tcPr>
            <w:tcW w:w="1646" w:type="dxa"/>
            <w:tcBorders>
              <w:tl2br w:val="nil"/>
              <w:tr2bl w:val="nil"/>
            </w:tcBorders>
            <w:vAlign w:val="center"/>
          </w:tcPr>
          <w:p w14:paraId="33556DFA" w14:textId="77777777" w:rsidR="0075791A" w:rsidRDefault="00FB2864">
            <w:pPr>
              <w:pStyle w:val="TableParagraph"/>
              <w:spacing w:before="59"/>
              <w:ind w:left="613" w:right="61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5</w:t>
            </w:r>
          </w:p>
        </w:tc>
      </w:tr>
      <w:tr w:rsidR="0075791A" w14:paraId="5C89591C" w14:textId="77777777">
        <w:trPr>
          <w:trHeight w:val="227"/>
          <w:jc w:val="center"/>
        </w:trPr>
        <w:tc>
          <w:tcPr>
            <w:tcW w:w="1208" w:type="dxa"/>
            <w:vMerge/>
            <w:tcBorders>
              <w:tl2br w:val="nil"/>
              <w:tr2bl w:val="nil"/>
            </w:tcBorders>
            <w:vAlign w:val="center"/>
          </w:tcPr>
          <w:p w14:paraId="2488A4B6" w14:textId="77777777" w:rsidR="0075791A" w:rsidRDefault="0075791A">
            <w:pPr>
              <w:jc w:val="center"/>
              <w:rPr>
                <w:color w:val="auto"/>
              </w:rPr>
            </w:pPr>
          </w:p>
        </w:tc>
        <w:tc>
          <w:tcPr>
            <w:tcW w:w="1063" w:type="dxa"/>
            <w:tcBorders>
              <w:tl2br w:val="nil"/>
              <w:tr2bl w:val="nil"/>
            </w:tcBorders>
            <w:vAlign w:val="center"/>
          </w:tcPr>
          <w:p w14:paraId="29239217" w14:textId="77777777" w:rsidR="0075791A" w:rsidRDefault="00FB2864">
            <w:pPr>
              <w:pStyle w:val="TableParagraph"/>
              <w:spacing w:before="60"/>
              <w:ind w:left="377" w:right="380"/>
              <w:jc w:val="center"/>
              <w:rPr>
                <w:rFonts w:ascii="Times New Roman" w:eastAsia="Times New Roman" w:hAnsi="Times New Roman" w:cs="Times New Roman"/>
                <w:color w:val="auto"/>
              </w:rPr>
            </w:pPr>
            <w:r>
              <w:rPr>
                <w:rFonts w:ascii="Times New Roman" w:eastAsia="Times New Roman" w:hAnsi="Times New Roman" w:cs="Times New Roman"/>
                <w:color w:val="auto"/>
              </w:rPr>
              <w:t>H9</w:t>
            </w:r>
          </w:p>
        </w:tc>
        <w:tc>
          <w:tcPr>
            <w:tcW w:w="1443" w:type="dxa"/>
            <w:tcBorders>
              <w:tl2br w:val="nil"/>
              <w:tr2bl w:val="nil"/>
            </w:tcBorders>
            <w:vAlign w:val="center"/>
          </w:tcPr>
          <w:p w14:paraId="54A84A21" w14:textId="77777777" w:rsidR="0075791A" w:rsidRDefault="00FB2864">
            <w:pPr>
              <w:pStyle w:val="TableParagraph"/>
              <w:spacing w:before="60"/>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1443" w:type="dxa"/>
            <w:tcBorders>
              <w:tl2br w:val="nil"/>
              <w:tr2bl w:val="nil"/>
            </w:tcBorders>
            <w:vAlign w:val="center"/>
          </w:tcPr>
          <w:p w14:paraId="5730C2A8" w14:textId="77777777" w:rsidR="0075791A" w:rsidRDefault="00FB2864">
            <w:pPr>
              <w:pStyle w:val="TableParagraph"/>
              <w:spacing w:before="60"/>
              <w:ind w:left="511"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4</w:t>
            </w:r>
          </w:p>
        </w:tc>
        <w:tc>
          <w:tcPr>
            <w:tcW w:w="1443" w:type="dxa"/>
            <w:tcBorders>
              <w:tl2br w:val="nil"/>
              <w:tr2bl w:val="nil"/>
            </w:tcBorders>
            <w:vAlign w:val="center"/>
          </w:tcPr>
          <w:p w14:paraId="04A88BBD" w14:textId="77777777" w:rsidR="0075791A" w:rsidRDefault="00FB2864">
            <w:pPr>
              <w:pStyle w:val="TableParagraph"/>
              <w:spacing w:before="60"/>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3</w:t>
            </w:r>
          </w:p>
        </w:tc>
        <w:tc>
          <w:tcPr>
            <w:tcW w:w="1646" w:type="dxa"/>
            <w:tcBorders>
              <w:tl2br w:val="nil"/>
              <w:tr2bl w:val="nil"/>
            </w:tcBorders>
            <w:vAlign w:val="center"/>
          </w:tcPr>
          <w:p w14:paraId="510589EE" w14:textId="77777777" w:rsidR="0075791A" w:rsidRDefault="00FB2864">
            <w:pPr>
              <w:pStyle w:val="TableParagraph"/>
              <w:spacing w:before="60"/>
              <w:ind w:left="613" w:right="61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1</w:t>
            </w:r>
          </w:p>
        </w:tc>
      </w:tr>
      <w:tr w:rsidR="0075791A" w14:paraId="2B89CAB4" w14:textId="77777777">
        <w:trPr>
          <w:trHeight w:val="227"/>
          <w:jc w:val="center"/>
        </w:trPr>
        <w:tc>
          <w:tcPr>
            <w:tcW w:w="1208" w:type="dxa"/>
            <w:vMerge/>
            <w:tcBorders>
              <w:tl2br w:val="nil"/>
              <w:tr2bl w:val="nil"/>
            </w:tcBorders>
            <w:vAlign w:val="center"/>
          </w:tcPr>
          <w:p w14:paraId="1C2C655C" w14:textId="77777777" w:rsidR="0075791A" w:rsidRDefault="0075791A">
            <w:pPr>
              <w:jc w:val="center"/>
              <w:rPr>
                <w:color w:val="auto"/>
              </w:rPr>
            </w:pPr>
          </w:p>
        </w:tc>
        <w:tc>
          <w:tcPr>
            <w:tcW w:w="1063" w:type="dxa"/>
            <w:tcBorders>
              <w:tl2br w:val="nil"/>
              <w:tr2bl w:val="nil"/>
            </w:tcBorders>
            <w:vAlign w:val="center"/>
          </w:tcPr>
          <w:p w14:paraId="6E393A42" w14:textId="77777777" w:rsidR="0075791A" w:rsidRDefault="00FB2864">
            <w:pPr>
              <w:pStyle w:val="TableParagraph"/>
              <w:spacing w:before="59"/>
              <w:ind w:left="349"/>
              <w:jc w:val="center"/>
              <w:rPr>
                <w:rFonts w:ascii="Times New Roman" w:eastAsia="Times New Roman" w:hAnsi="Times New Roman" w:cs="Times New Roman"/>
                <w:color w:val="auto"/>
              </w:rPr>
            </w:pPr>
            <w:r>
              <w:rPr>
                <w:rFonts w:ascii="Times New Roman" w:eastAsia="Times New Roman" w:hAnsi="Times New Roman" w:cs="Times New Roman"/>
                <w:color w:val="auto"/>
              </w:rPr>
              <w:t>H</w:t>
            </w:r>
            <w:r>
              <w:rPr>
                <w:rFonts w:ascii="Times New Roman" w:eastAsia="Times New Roman" w:hAnsi="Times New Roman" w:cs="Times New Roman"/>
                <w:color w:val="auto"/>
                <w:spacing w:val="-5"/>
              </w:rPr>
              <w:t>1</w:t>
            </w:r>
            <w:r>
              <w:rPr>
                <w:rFonts w:ascii="Times New Roman" w:eastAsia="Times New Roman" w:hAnsi="Times New Roman" w:cs="Times New Roman"/>
                <w:color w:val="auto"/>
              </w:rPr>
              <w:t>1</w:t>
            </w:r>
          </w:p>
        </w:tc>
        <w:tc>
          <w:tcPr>
            <w:tcW w:w="1443" w:type="dxa"/>
            <w:tcBorders>
              <w:tl2br w:val="nil"/>
              <w:tr2bl w:val="nil"/>
            </w:tcBorders>
            <w:vAlign w:val="center"/>
          </w:tcPr>
          <w:p w14:paraId="247CECE4" w14:textId="77777777" w:rsidR="0075791A" w:rsidRDefault="00FB2864">
            <w:pPr>
              <w:pStyle w:val="TableParagraph"/>
              <w:spacing w:before="59"/>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3</w:t>
            </w:r>
          </w:p>
        </w:tc>
        <w:tc>
          <w:tcPr>
            <w:tcW w:w="1443" w:type="dxa"/>
            <w:tcBorders>
              <w:tl2br w:val="nil"/>
              <w:tr2bl w:val="nil"/>
            </w:tcBorders>
            <w:vAlign w:val="center"/>
          </w:tcPr>
          <w:p w14:paraId="6798A47E" w14:textId="77777777" w:rsidR="0075791A" w:rsidRDefault="00FB2864">
            <w:pPr>
              <w:pStyle w:val="TableParagraph"/>
              <w:spacing w:before="59"/>
              <w:ind w:left="511"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5</w:t>
            </w:r>
          </w:p>
        </w:tc>
        <w:tc>
          <w:tcPr>
            <w:tcW w:w="1443" w:type="dxa"/>
            <w:tcBorders>
              <w:tl2br w:val="nil"/>
              <w:tr2bl w:val="nil"/>
            </w:tcBorders>
            <w:vAlign w:val="center"/>
          </w:tcPr>
          <w:p w14:paraId="65EB626B" w14:textId="77777777" w:rsidR="0075791A" w:rsidRDefault="00FB2864">
            <w:pPr>
              <w:pStyle w:val="TableParagraph"/>
              <w:spacing w:before="59"/>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9</w:t>
            </w:r>
            <w:r>
              <w:rPr>
                <w:rFonts w:ascii="Times New Roman" w:eastAsia="Times New Roman" w:hAnsi="Times New Roman" w:cs="Times New Roman"/>
                <w:color w:val="auto"/>
              </w:rPr>
              <w:t>3</w:t>
            </w:r>
          </w:p>
        </w:tc>
        <w:tc>
          <w:tcPr>
            <w:tcW w:w="1646" w:type="dxa"/>
            <w:tcBorders>
              <w:tl2br w:val="nil"/>
              <w:tr2bl w:val="nil"/>
            </w:tcBorders>
            <w:vAlign w:val="center"/>
          </w:tcPr>
          <w:p w14:paraId="122B8B40" w14:textId="77777777" w:rsidR="0075791A" w:rsidRDefault="00FB2864">
            <w:pPr>
              <w:pStyle w:val="TableParagraph"/>
              <w:spacing w:before="59"/>
              <w:ind w:left="613" w:right="61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6</w:t>
            </w:r>
          </w:p>
        </w:tc>
      </w:tr>
      <w:tr w:rsidR="0075791A" w14:paraId="59DF81A0" w14:textId="77777777">
        <w:trPr>
          <w:trHeight w:val="227"/>
          <w:jc w:val="center"/>
        </w:trPr>
        <w:tc>
          <w:tcPr>
            <w:tcW w:w="1208" w:type="dxa"/>
            <w:vMerge w:val="restart"/>
            <w:tcBorders>
              <w:tl2br w:val="nil"/>
              <w:tr2bl w:val="nil"/>
            </w:tcBorders>
            <w:vAlign w:val="center"/>
          </w:tcPr>
          <w:p w14:paraId="6032148F" w14:textId="77777777" w:rsidR="0075791A" w:rsidRDefault="00FB2864">
            <w:pPr>
              <w:pStyle w:val="TableParagraph"/>
              <w:ind w:left="283"/>
              <w:jc w:val="center"/>
              <w:rPr>
                <w:rFonts w:ascii="宋体" w:eastAsia="宋体" w:hAnsi="宋体" w:cs="宋体"/>
                <w:color w:val="auto"/>
              </w:rPr>
            </w:pPr>
            <w:r>
              <w:rPr>
                <w:rFonts w:ascii="宋体" w:eastAsia="宋体" w:hAnsi="宋体" w:cs="宋体"/>
                <w:color w:val="auto"/>
                <w:spacing w:val="-1"/>
              </w:rPr>
              <w:t>流</w:t>
            </w:r>
            <w:r>
              <w:rPr>
                <w:rFonts w:ascii="宋体" w:eastAsia="宋体" w:hAnsi="宋体" w:cs="宋体"/>
                <w:color w:val="auto"/>
                <w:spacing w:val="2"/>
              </w:rPr>
              <w:t>刺</w:t>
            </w:r>
            <w:r>
              <w:rPr>
                <w:rFonts w:ascii="宋体" w:eastAsia="宋体" w:hAnsi="宋体" w:cs="宋体"/>
                <w:color w:val="auto"/>
              </w:rPr>
              <w:t>网</w:t>
            </w:r>
          </w:p>
        </w:tc>
        <w:tc>
          <w:tcPr>
            <w:tcW w:w="1063" w:type="dxa"/>
            <w:tcBorders>
              <w:tl2br w:val="nil"/>
              <w:tr2bl w:val="nil"/>
            </w:tcBorders>
            <w:vAlign w:val="center"/>
          </w:tcPr>
          <w:p w14:paraId="7C4BA27D" w14:textId="77777777" w:rsidR="0075791A" w:rsidRDefault="00FB2864">
            <w:pPr>
              <w:pStyle w:val="TableParagraph"/>
              <w:spacing w:before="60"/>
              <w:ind w:left="377" w:right="380"/>
              <w:jc w:val="center"/>
              <w:rPr>
                <w:rFonts w:ascii="Times New Roman" w:eastAsia="Times New Roman" w:hAnsi="Times New Roman" w:cs="Times New Roman"/>
                <w:color w:val="auto"/>
              </w:rPr>
            </w:pPr>
            <w:r>
              <w:rPr>
                <w:rFonts w:ascii="Times New Roman" w:eastAsia="Times New Roman" w:hAnsi="Times New Roman" w:cs="Times New Roman"/>
                <w:color w:val="auto"/>
              </w:rPr>
              <w:t>H4</w:t>
            </w:r>
          </w:p>
        </w:tc>
        <w:tc>
          <w:tcPr>
            <w:tcW w:w="1443" w:type="dxa"/>
            <w:tcBorders>
              <w:tl2br w:val="nil"/>
              <w:tr2bl w:val="nil"/>
            </w:tcBorders>
            <w:vAlign w:val="center"/>
          </w:tcPr>
          <w:p w14:paraId="7CA58EDE" w14:textId="77777777" w:rsidR="0075791A" w:rsidRDefault="00FB2864">
            <w:pPr>
              <w:pStyle w:val="TableParagraph"/>
              <w:spacing w:before="60"/>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7</w:t>
            </w:r>
          </w:p>
        </w:tc>
        <w:tc>
          <w:tcPr>
            <w:tcW w:w="1443" w:type="dxa"/>
            <w:tcBorders>
              <w:tl2br w:val="nil"/>
              <w:tr2bl w:val="nil"/>
            </w:tcBorders>
            <w:vAlign w:val="center"/>
          </w:tcPr>
          <w:p w14:paraId="7666C56B" w14:textId="77777777" w:rsidR="0075791A" w:rsidRDefault="00FB2864">
            <w:pPr>
              <w:pStyle w:val="TableParagraph"/>
              <w:spacing w:before="60"/>
              <w:ind w:left="511"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8</w:t>
            </w:r>
          </w:p>
        </w:tc>
        <w:tc>
          <w:tcPr>
            <w:tcW w:w="1443" w:type="dxa"/>
            <w:tcBorders>
              <w:tl2br w:val="nil"/>
              <w:tr2bl w:val="nil"/>
            </w:tcBorders>
            <w:vAlign w:val="center"/>
          </w:tcPr>
          <w:p w14:paraId="5FB093ED" w14:textId="77777777" w:rsidR="0075791A" w:rsidRDefault="00FB2864">
            <w:pPr>
              <w:pStyle w:val="TableParagraph"/>
              <w:spacing w:before="60"/>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6</w:t>
            </w:r>
            <w:r>
              <w:rPr>
                <w:rFonts w:ascii="Times New Roman" w:eastAsia="Times New Roman" w:hAnsi="Times New Roman" w:cs="Times New Roman"/>
                <w:color w:val="auto"/>
              </w:rPr>
              <w:t>1</w:t>
            </w:r>
          </w:p>
        </w:tc>
        <w:tc>
          <w:tcPr>
            <w:tcW w:w="1646" w:type="dxa"/>
            <w:tcBorders>
              <w:tl2br w:val="nil"/>
              <w:tr2bl w:val="nil"/>
            </w:tcBorders>
            <w:vAlign w:val="center"/>
          </w:tcPr>
          <w:p w14:paraId="1427E742" w14:textId="77777777" w:rsidR="0075791A" w:rsidRDefault="00FB2864">
            <w:pPr>
              <w:pStyle w:val="TableParagraph"/>
              <w:spacing w:before="60"/>
              <w:ind w:left="613" w:right="61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3</w:t>
            </w:r>
          </w:p>
        </w:tc>
      </w:tr>
      <w:tr w:rsidR="0075791A" w14:paraId="541CED81" w14:textId="77777777">
        <w:trPr>
          <w:trHeight w:val="227"/>
          <w:jc w:val="center"/>
        </w:trPr>
        <w:tc>
          <w:tcPr>
            <w:tcW w:w="1208" w:type="dxa"/>
            <w:vMerge/>
            <w:tcBorders>
              <w:tl2br w:val="nil"/>
              <w:tr2bl w:val="nil"/>
            </w:tcBorders>
            <w:vAlign w:val="center"/>
          </w:tcPr>
          <w:p w14:paraId="6E7CCF3C" w14:textId="77777777" w:rsidR="0075791A" w:rsidRDefault="0075791A">
            <w:pPr>
              <w:jc w:val="center"/>
              <w:rPr>
                <w:color w:val="auto"/>
              </w:rPr>
            </w:pPr>
          </w:p>
        </w:tc>
        <w:tc>
          <w:tcPr>
            <w:tcW w:w="1063" w:type="dxa"/>
            <w:tcBorders>
              <w:tl2br w:val="nil"/>
              <w:tr2bl w:val="nil"/>
            </w:tcBorders>
            <w:vAlign w:val="center"/>
          </w:tcPr>
          <w:p w14:paraId="45271128" w14:textId="77777777" w:rsidR="0075791A" w:rsidRDefault="00FB2864">
            <w:pPr>
              <w:pStyle w:val="TableParagraph"/>
              <w:spacing w:before="59"/>
              <w:ind w:left="377" w:right="380"/>
              <w:jc w:val="center"/>
              <w:rPr>
                <w:rFonts w:ascii="Times New Roman" w:eastAsia="Times New Roman" w:hAnsi="Times New Roman" w:cs="Times New Roman"/>
                <w:color w:val="auto"/>
              </w:rPr>
            </w:pPr>
            <w:r>
              <w:rPr>
                <w:rFonts w:ascii="Times New Roman" w:eastAsia="Times New Roman" w:hAnsi="Times New Roman" w:cs="Times New Roman"/>
                <w:color w:val="auto"/>
              </w:rPr>
              <w:t>H7</w:t>
            </w:r>
          </w:p>
        </w:tc>
        <w:tc>
          <w:tcPr>
            <w:tcW w:w="1443" w:type="dxa"/>
            <w:tcBorders>
              <w:tl2br w:val="nil"/>
              <w:tr2bl w:val="nil"/>
            </w:tcBorders>
            <w:vAlign w:val="center"/>
          </w:tcPr>
          <w:p w14:paraId="06C9F5CA" w14:textId="77777777" w:rsidR="0075791A" w:rsidRDefault="00FB2864">
            <w:pPr>
              <w:pStyle w:val="TableParagraph"/>
              <w:spacing w:before="59"/>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c>
          <w:tcPr>
            <w:tcW w:w="1443" w:type="dxa"/>
            <w:tcBorders>
              <w:tl2br w:val="nil"/>
              <w:tr2bl w:val="nil"/>
            </w:tcBorders>
            <w:vAlign w:val="center"/>
          </w:tcPr>
          <w:p w14:paraId="0CE6FA16" w14:textId="77777777" w:rsidR="0075791A" w:rsidRDefault="00FB2864">
            <w:pPr>
              <w:pStyle w:val="TableParagraph"/>
              <w:spacing w:before="59"/>
              <w:ind w:left="511"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9</w:t>
            </w:r>
          </w:p>
        </w:tc>
        <w:tc>
          <w:tcPr>
            <w:tcW w:w="1443" w:type="dxa"/>
            <w:tcBorders>
              <w:tl2br w:val="nil"/>
              <w:tr2bl w:val="nil"/>
            </w:tcBorders>
            <w:vAlign w:val="center"/>
          </w:tcPr>
          <w:p w14:paraId="1414DE35" w14:textId="77777777" w:rsidR="0075791A" w:rsidRDefault="00FB2864">
            <w:pPr>
              <w:pStyle w:val="TableParagraph"/>
              <w:spacing w:before="59"/>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5</w:t>
            </w:r>
            <w:r>
              <w:rPr>
                <w:rFonts w:ascii="Times New Roman" w:eastAsia="Times New Roman" w:hAnsi="Times New Roman" w:cs="Times New Roman"/>
                <w:color w:val="auto"/>
              </w:rPr>
              <w:t>0</w:t>
            </w:r>
          </w:p>
        </w:tc>
        <w:tc>
          <w:tcPr>
            <w:tcW w:w="1646" w:type="dxa"/>
            <w:tcBorders>
              <w:tl2br w:val="nil"/>
              <w:tr2bl w:val="nil"/>
            </w:tcBorders>
            <w:vAlign w:val="center"/>
          </w:tcPr>
          <w:p w14:paraId="7F9D6447" w14:textId="77777777" w:rsidR="0075791A" w:rsidRDefault="00FB2864">
            <w:pPr>
              <w:pStyle w:val="TableParagraph"/>
              <w:spacing w:before="59"/>
              <w:ind w:left="613" w:right="61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8</w:t>
            </w:r>
          </w:p>
        </w:tc>
      </w:tr>
      <w:tr w:rsidR="0075791A" w14:paraId="06686430" w14:textId="77777777">
        <w:trPr>
          <w:trHeight w:val="227"/>
          <w:jc w:val="center"/>
        </w:trPr>
        <w:tc>
          <w:tcPr>
            <w:tcW w:w="2271" w:type="dxa"/>
            <w:gridSpan w:val="2"/>
            <w:tcBorders>
              <w:tl2br w:val="nil"/>
              <w:tr2bl w:val="nil"/>
            </w:tcBorders>
            <w:vAlign w:val="center"/>
          </w:tcPr>
          <w:p w14:paraId="74D0557C" w14:textId="77777777" w:rsidR="0075791A" w:rsidRDefault="00FB2864">
            <w:pPr>
              <w:pStyle w:val="TableParagraph"/>
              <w:spacing w:line="305" w:lineRule="exact"/>
              <w:jc w:val="center"/>
              <w:rPr>
                <w:rFonts w:ascii="宋体" w:eastAsia="宋体" w:hAnsi="宋体" w:cs="宋体"/>
                <w:color w:val="auto"/>
              </w:rPr>
            </w:pPr>
            <w:r>
              <w:rPr>
                <w:rFonts w:ascii="宋体" w:eastAsia="宋体" w:hAnsi="宋体" w:cs="宋体"/>
                <w:color w:val="auto"/>
                <w:spacing w:val="-1"/>
              </w:rPr>
              <w:t>平</w:t>
            </w:r>
            <w:r>
              <w:rPr>
                <w:rFonts w:ascii="宋体" w:eastAsia="宋体" w:hAnsi="宋体" w:cs="宋体"/>
                <w:color w:val="auto"/>
                <w:spacing w:val="2"/>
              </w:rPr>
              <w:t>均</w:t>
            </w:r>
            <w:r>
              <w:rPr>
                <w:rFonts w:ascii="宋体" w:eastAsia="宋体" w:hAnsi="宋体" w:cs="宋体"/>
                <w:color w:val="auto"/>
              </w:rPr>
              <w:t>值</w:t>
            </w:r>
          </w:p>
        </w:tc>
        <w:tc>
          <w:tcPr>
            <w:tcW w:w="1443" w:type="dxa"/>
            <w:tcBorders>
              <w:tl2br w:val="nil"/>
              <w:tr2bl w:val="nil"/>
            </w:tcBorders>
            <w:vAlign w:val="center"/>
          </w:tcPr>
          <w:p w14:paraId="776C7E43" w14:textId="77777777" w:rsidR="0075791A" w:rsidRDefault="00FB2864">
            <w:pPr>
              <w:pStyle w:val="TableParagraph"/>
              <w:spacing w:before="79"/>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2</w:t>
            </w:r>
          </w:p>
        </w:tc>
        <w:tc>
          <w:tcPr>
            <w:tcW w:w="1443" w:type="dxa"/>
            <w:tcBorders>
              <w:tl2br w:val="nil"/>
              <w:tr2bl w:val="nil"/>
            </w:tcBorders>
            <w:vAlign w:val="center"/>
          </w:tcPr>
          <w:p w14:paraId="1834D93D" w14:textId="77777777" w:rsidR="0075791A" w:rsidRDefault="00FB2864">
            <w:pPr>
              <w:pStyle w:val="TableParagraph"/>
              <w:spacing w:before="79"/>
              <w:ind w:left="511"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1443" w:type="dxa"/>
            <w:tcBorders>
              <w:tl2br w:val="nil"/>
              <w:tr2bl w:val="nil"/>
            </w:tcBorders>
            <w:vAlign w:val="center"/>
          </w:tcPr>
          <w:p w14:paraId="3E7EA73E" w14:textId="77777777" w:rsidR="0075791A" w:rsidRDefault="00FB2864">
            <w:pPr>
              <w:pStyle w:val="TableParagraph"/>
              <w:spacing w:before="79"/>
              <w:ind w:left="512" w:right="513"/>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rPr>
              <w:t>5</w:t>
            </w:r>
          </w:p>
        </w:tc>
        <w:tc>
          <w:tcPr>
            <w:tcW w:w="1646" w:type="dxa"/>
            <w:tcBorders>
              <w:tl2br w:val="nil"/>
              <w:tr2bl w:val="nil"/>
            </w:tcBorders>
            <w:vAlign w:val="center"/>
          </w:tcPr>
          <w:p w14:paraId="1BE2C433" w14:textId="77777777" w:rsidR="0075791A" w:rsidRDefault="0075791A">
            <w:pPr>
              <w:pStyle w:val="TableParagraph"/>
              <w:spacing w:before="1" w:line="100" w:lineRule="exact"/>
              <w:jc w:val="center"/>
              <w:rPr>
                <w:color w:val="auto"/>
                <w:sz w:val="10"/>
                <w:szCs w:val="10"/>
              </w:rPr>
            </w:pPr>
          </w:p>
          <w:p w14:paraId="658DA7B9" w14:textId="77777777" w:rsidR="0075791A" w:rsidRDefault="00FB2864">
            <w:pPr>
              <w:pStyle w:val="TableParagraph"/>
              <w:ind w:left="613" w:right="614"/>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6</w:t>
            </w:r>
          </w:p>
        </w:tc>
      </w:tr>
    </w:tbl>
    <w:p w14:paraId="6DD84234" w14:textId="77777777" w:rsidR="0075791A" w:rsidRDefault="00FB2864">
      <w:pPr>
        <w:kinsoku/>
        <w:adjustRightInd/>
        <w:snapToGrid/>
        <w:spacing w:line="360" w:lineRule="auto"/>
        <w:ind w:firstLineChars="200" w:firstLine="482"/>
        <w:jc w:val="both"/>
        <w:textAlignment w:val="auto"/>
        <w:rPr>
          <w:rFonts w:ascii="Times New Roman" w:eastAsia="宋体" w:hAnsi="Times New Roman" w:cs="Times New Roman"/>
          <w:b/>
          <w:bCs/>
          <w:snapToGrid/>
          <w:color w:val="auto"/>
          <w:kern w:val="2"/>
          <w:sz w:val="24"/>
          <w:szCs w:val="24"/>
          <w:lang w:eastAsia="zh-CN"/>
        </w:rPr>
      </w:pPr>
      <w:r>
        <w:rPr>
          <w:rFonts w:ascii="Times New Roman" w:eastAsia="宋体" w:hAnsi="Times New Roman" w:cs="Times New Roman" w:hint="eastAsia"/>
          <w:b/>
          <w:bCs/>
          <w:snapToGrid/>
          <w:color w:val="auto"/>
          <w:kern w:val="2"/>
          <w:sz w:val="24"/>
          <w:szCs w:val="24"/>
          <w:lang w:eastAsia="zh-CN"/>
        </w:rPr>
        <w:t>7.</w:t>
      </w:r>
      <w:r>
        <w:rPr>
          <w:rFonts w:ascii="Times New Roman" w:eastAsia="宋体" w:hAnsi="Times New Roman" w:cs="Times New Roman" w:hint="eastAsia"/>
          <w:b/>
          <w:bCs/>
          <w:snapToGrid/>
          <w:color w:val="auto"/>
          <w:kern w:val="2"/>
          <w:sz w:val="24"/>
          <w:szCs w:val="24"/>
          <w:lang w:eastAsia="zh-CN"/>
        </w:rPr>
        <w:t>渔获物体重、体长和幼体比例</w:t>
      </w:r>
    </w:p>
    <w:p w14:paraId="1C70AAA5"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本次调查渔获中，主要经济种类占比较少，幼鱼比例均值为</w:t>
      </w:r>
      <w:r>
        <w:rPr>
          <w:rFonts w:ascii="Times New Roman" w:eastAsia="宋体" w:hAnsi="Times New Roman" w:cs="Times New Roman" w:hint="eastAsia"/>
          <w:snapToGrid/>
          <w:color w:val="auto"/>
          <w:kern w:val="2"/>
          <w:sz w:val="24"/>
          <w:szCs w:val="24"/>
          <w:lang w:eastAsia="zh-CN"/>
        </w:rPr>
        <w:t>57.35%</w:t>
      </w:r>
      <w:r>
        <w:rPr>
          <w:rFonts w:ascii="Times New Roman" w:eastAsia="宋体" w:hAnsi="Times New Roman" w:cs="Times New Roman" w:hint="eastAsia"/>
          <w:snapToGrid/>
          <w:color w:val="auto"/>
          <w:kern w:val="2"/>
          <w:sz w:val="24"/>
          <w:szCs w:val="24"/>
          <w:lang w:eastAsia="zh-CN"/>
        </w:rPr>
        <w:t>（详见表</w:t>
      </w:r>
      <w:r>
        <w:rPr>
          <w:rFonts w:ascii="Times New Roman" w:eastAsia="宋体" w:hAnsi="Times New Roman" w:cs="Times New Roman" w:hint="eastAsia"/>
          <w:snapToGrid/>
          <w:color w:val="auto"/>
          <w:kern w:val="2"/>
          <w:sz w:val="24"/>
          <w:szCs w:val="24"/>
          <w:lang w:eastAsia="zh-CN"/>
        </w:rPr>
        <w:t>3.2.6-37</w:t>
      </w:r>
      <w:r>
        <w:rPr>
          <w:rFonts w:ascii="Times New Roman" w:eastAsia="宋体" w:hAnsi="Times New Roman" w:cs="Times New Roman" w:hint="eastAsia"/>
          <w:snapToGrid/>
          <w:color w:val="auto"/>
          <w:kern w:val="2"/>
          <w:sz w:val="24"/>
          <w:szCs w:val="24"/>
          <w:lang w:eastAsia="zh-CN"/>
        </w:rPr>
        <w:t>）。</w:t>
      </w:r>
    </w:p>
    <w:p w14:paraId="294F4932" w14:textId="77777777" w:rsidR="0075791A" w:rsidRDefault="00FB2864">
      <w:pPr>
        <w:jc w:val="center"/>
        <w:rPr>
          <w:rFonts w:ascii="Times New Roman" w:eastAsia="宋体" w:hAnsi="Times New Roman" w:cs="宋体"/>
          <w:color w:val="auto"/>
          <w:sz w:val="24"/>
          <w:szCs w:val="24"/>
          <w:lang w:eastAsia="zh-CN"/>
        </w:rPr>
      </w:pPr>
      <w:r>
        <w:rPr>
          <w:rFonts w:ascii="宋体" w:eastAsia="宋体" w:hAnsi="宋体" w:cs="宋体"/>
          <w:color w:val="auto"/>
          <w:sz w:val="24"/>
          <w:szCs w:val="24"/>
          <w:lang w:eastAsia="zh-CN"/>
        </w:rPr>
        <w:t>表</w:t>
      </w:r>
      <w:r>
        <w:rPr>
          <w:rFonts w:ascii="宋体" w:eastAsia="宋体" w:hAnsi="宋体" w:cs="宋体"/>
          <w:color w:val="auto"/>
          <w:spacing w:val="-60"/>
          <w:sz w:val="24"/>
          <w:szCs w:val="24"/>
          <w:lang w:eastAsia="zh-CN"/>
        </w:rPr>
        <w:t xml:space="preserve"> </w:t>
      </w:r>
      <w:r>
        <w:rPr>
          <w:rFonts w:ascii="Times New Roman" w:eastAsia="宋体" w:hAnsi="Times New Roman" w:cs="Times New Roman" w:hint="eastAsia"/>
          <w:snapToGrid/>
          <w:color w:val="auto"/>
          <w:kern w:val="2"/>
          <w:sz w:val="24"/>
          <w:szCs w:val="24"/>
          <w:lang w:eastAsia="zh-CN"/>
        </w:rPr>
        <w:t>3.2.6-37</w:t>
      </w:r>
      <w:r>
        <w:rPr>
          <w:rFonts w:ascii="Times New Roman" w:eastAsia="Times New Roman" w:hAnsi="Times New Roman" w:cs="Times New Roman"/>
          <w:color w:val="auto"/>
          <w:sz w:val="24"/>
          <w:szCs w:val="24"/>
          <w:lang w:eastAsia="zh-CN"/>
        </w:rPr>
        <w:tab/>
        <w:t>202</w:t>
      </w:r>
      <w:r>
        <w:rPr>
          <w:rFonts w:ascii="Times New Roman" w:eastAsia="宋体" w:hAnsi="Times New Roman" w:cs="Times New Roman" w:hint="eastAsia"/>
          <w:color w:val="auto"/>
          <w:sz w:val="24"/>
          <w:szCs w:val="24"/>
          <w:lang w:eastAsia="zh-CN"/>
        </w:rPr>
        <w:t>4</w:t>
      </w:r>
      <w:r>
        <w:rPr>
          <w:rFonts w:ascii="宋体" w:eastAsia="宋体" w:hAnsi="宋体" w:cs="宋体"/>
          <w:color w:val="auto"/>
          <w:sz w:val="24"/>
          <w:szCs w:val="24"/>
          <w:lang w:eastAsia="zh-CN"/>
        </w:rPr>
        <w:t>年</w:t>
      </w:r>
      <w:r>
        <w:rPr>
          <w:rFonts w:ascii="宋体" w:eastAsia="宋体" w:hAnsi="宋体" w:cs="宋体" w:hint="eastAsia"/>
          <w:color w:val="auto"/>
          <w:spacing w:val="-60"/>
          <w:sz w:val="24"/>
          <w:szCs w:val="24"/>
          <w:lang w:eastAsia="zh-CN"/>
        </w:rPr>
        <w:t>9</w:t>
      </w:r>
      <w:r>
        <w:rPr>
          <w:rFonts w:ascii="宋体" w:eastAsia="宋体" w:hAnsi="宋体" w:cs="宋体"/>
          <w:color w:val="auto"/>
          <w:sz w:val="24"/>
          <w:szCs w:val="24"/>
          <w:lang w:eastAsia="zh-CN"/>
        </w:rPr>
        <w:t>月航次调查海域游泳动物主要渔获种类幼体比例</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357"/>
        <w:gridCol w:w="1377"/>
        <w:gridCol w:w="1378"/>
        <w:gridCol w:w="1378"/>
        <w:gridCol w:w="1378"/>
        <w:gridCol w:w="1378"/>
      </w:tblGrid>
      <w:tr w:rsidR="0075791A" w14:paraId="7B2DDF77" w14:textId="77777777">
        <w:trPr>
          <w:trHeight w:hRule="exact" w:val="550"/>
          <w:jc w:val="center"/>
        </w:trPr>
        <w:tc>
          <w:tcPr>
            <w:tcW w:w="1357" w:type="dxa"/>
            <w:tcBorders>
              <w:tl2br w:val="nil"/>
              <w:tr2bl w:val="nil"/>
            </w:tcBorders>
          </w:tcPr>
          <w:p w14:paraId="61B7C10E" w14:textId="77777777" w:rsidR="0075791A" w:rsidRDefault="0075791A">
            <w:pPr>
              <w:pStyle w:val="TableParagraph"/>
              <w:spacing w:before="5" w:line="130" w:lineRule="exact"/>
              <w:rPr>
                <w:color w:val="auto"/>
                <w:sz w:val="13"/>
                <w:szCs w:val="13"/>
                <w:lang w:eastAsia="zh-CN"/>
              </w:rPr>
            </w:pPr>
          </w:p>
          <w:p w14:paraId="61761146" w14:textId="77777777" w:rsidR="0075791A" w:rsidRDefault="00FB2864">
            <w:pPr>
              <w:pStyle w:val="TableParagraph"/>
              <w:ind w:left="443" w:right="446"/>
              <w:jc w:val="center"/>
              <w:rPr>
                <w:rFonts w:ascii="宋体" w:eastAsia="宋体" w:hAnsi="宋体" w:cs="宋体"/>
                <w:color w:val="auto"/>
              </w:rPr>
            </w:pPr>
            <w:r>
              <w:rPr>
                <w:rFonts w:ascii="宋体" w:eastAsia="宋体" w:hAnsi="宋体" w:cs="宋体"/>
                <w:color w:val="auto"/>
                <w:spacing w:val="-1"/>
              </w:rPr>
              <w:t>种</w:t>
            </w:r>
            <w:r>
              <w:rPr>
                <w:rFonts w:ascii="宋体" w:eastAsia="宋体" w:hAnsi="宋体" w:cs="宋体"/>
                <w:color w:val="auto"/>
              </w:rPr>
              <w:t>类</w:t>
            </w:r>
          </w:p>
        </w:tc>
        <w:tc>
          <w:tcPr>
            <w:tcW w:w="1377" w:type="dxa"/>
            <w:tcBorders>
              <w:tl2br w:val="nil"/>
              <w:tr2bl w:val="nil"/>
            </w:tcBorders>
          </w:tcPr>
          <w:p w14:paraId="09818672" w14:textId="77777777" w:rsidR="0075791A" w:rsidRDefault="00FB2864">
            <w:pPr>
              <w:pStyle w:val="TableParagraph"/>
              <w:spacing w:line="286" w:lineRule="exact"/>
              <w:ind w:left="262"/>
              <w:rPr>
                <w:rFonts w:ascii="宋体" w:eastAsia="宋体" w:hAnsi="宋体" w:cs="宋体"/>
                <w:color w:val="auto"/>
              </w:rPr>
            </w:pPr>
            <w:r>
              <w:rPr>
                <w:rFonts w:ascii="宋体" w:eastAsia="宋体" w:hAnsi="宋体" w:cs="宋体"/>
                <w:color w:val="auto"/>
                <w:spacing w:val="-1"/>
              </w:rPr>
              <w:t>长</w:t>
            </w:r>
            <w:r>
              <w:rPr>
                <w:rFonts w:ascii="宋体" w:eastAsia="宋体" w:hAnsi="宋体" w:cs="宋体"/>
                <w:color w:val="auto"/>
                <w:spacing w:val="2"/>
              </w:rPr>
              <w:t>度</w:t>
            </w:r>
            <w:r>
              <w:rPr>
                <w:rFonts w:ascii="宋体" w:eastAsia="宋体" w:hAnsi="宋体" w:cs="宋体"/>
                <w:color w:val="auto"/>
                <w:spacing w:val="-1"/>
              </w:rPr>
              <w:t>范</w:t>
            </w:r>
            <w:r>
              <w:rPr>
                <w:rFonts w:ascii="宋体" w:eastAsia="宋体" w:hAnsi="宋体" w:cs="宋体"/>
                <w:color w:val="auto"/>
              </w:rPr>
              <w:t>围</w:t>
            </w:r>
          </w:p>
          <w:p w14:paraId="490F78FD" w14:textId="77777777" w:rsidR="0075791A" w:rsidRDefault="00FB2864">
            <w:pPr>
              <w:pStyle w:val="TableParagraph"/>
              <w:spacing w:before="9"/>
              <w:ind w:left="310"/>
              <w:rPr>
                <w:rFonts w:ascii="宋体" w:eastAsia="宋体" w:hAnsi="宋体" w:cs="宋体"/>
                <w:color w:val="auto"/>
              </w:rPr>
            </w:pPr>
            <w:r>
              <w:rPr>
                <w:rFonts w:ascii="宋体" w:eastAsia="宋体" w:hAnsi="宋体" w:cs="宋体"/>
                <w:color w:val="auto"/>
                <w:spacing w:val="-1"/>
              </w:rPr>
              <w:t>（</w:t>
            </w:r>
            <w:r>
              <w:rPr>
                <w:rFonts w:ascii="Times New Roman" w:eastAsia="Times New Roman" w:hAnsi="Times New Roman" w:cs="Times New Roman"/>
                <w:color w:val="auto"/>
              </w:rPr>
              <w:t>mm</w:t>
            </w:r>
            <w:r>
              <w:rPr>
                <w:rFonts w:ascii="宋体" w:eastAsia="宋体" w:hAnsi="宋体" w:cs="宋体"/>
                <w:color w:val="auto"/>
              </w:rPr>
              <w:t>）</w:t>
            </w:r>
          </w:p>
        </w:tc>
        <w:tc>
          <w:tcPr>
            <w:tcW w:w="1378" w:type="dxa"/>
            <w:tcBorders>
              <w:tl2br w:val="nil"/>
              <w:tr2bl w:val="nil"/>
            </w:tcBorders>
          </w:tcPr>
          <w:p w14:paraId="71A156E0" w14:textId="77777777" w:rsidR="0075791A" w:rsidRDefault="0075791A">
            <w:pPr>
              <w:pStyle w:val="TableParagraph"/>
              <w:spacing w:before="5" w:line="130" w:lineRule="exact"/>
              <w:rPr>
                <w:color w:val="auto"/>
                <w:sz w:val="13"/>
                <w:szCs w:val="13"/>
              </w:rPr>
            </w:pPr>
          </w:p>
          <w:p w14:paraId="558ECED4" w14:textId="77777777" w:rsidR="0075791A" w:rsidRDefault="00FB2864">
            <w:pPr>
              <w:pStyle w:val="TableParagraph"/>
              <w:ind w:right="1"/>
              <w:jc w:val="center"/>
              <w:rPr>
                <w:rFonts w:ascii="宋体" w:eastAsia="宋体" w:hAnsi="宋体" w:cs="宋体"/>
                <w:color w:val="auto"/>
              </w:rPr>
            </w:pPr>
            <w:r>
              <w:rPr>
                <w:rFonts w:ascii="宋体" w:eastAsia="宋体" w:hAnsi="宋体" w:cs="宋体"/>
                <w:color w:val="auto"/>
                <w:spacing w:val="-1"/>
              </w:rPr>
              <w:t>均</w:t>
            </w:r>
            <w:r>
              <w:rPr>
                <w:rFonts w:ascii="宋体" w:eastAsia="宋体" w:hAnsi="宋体" w:cs="宋体"/>
                <w:color w:val="auto"/>
              </w:rPr>
              <w:t>值</w:t>
            </w:r>
          </w:p>
        </w:tc>
        <w:tc>
          <w:tcPr>
            <w:tcW w:w="1378" w:type="dxa"/>
            <w:tcBorders>
              <w:tl2br w:val="nil"/>
              <w:tr2bl w:val="nil"/>
            </w:tcBorders>
          </w:tcPr>
          <w:p w14:paraId="62A173CE" w14:textId="77777777" w:rsidR="0075791A" w:rsidRDefault="00FB2864">
            <w:pPr>
              <w:pStyle w:val="TableParagraph"/>
              <w:spacing w:line="286" w:lineRule="exact"/>
              <w:ind w:right="4"/>
              <w:jc w:val="center"/>
              <w:rPr>
                <w:rFonts w:ascii="宋体" w:eastAsia="宋体" w:hAnsi="宋体" w:cs="宋体"/>
                <w:color w:val="auto"/>
              </w:rPr>
            </w:pPr>
            <w:r>
              <w:rPr>
                <w:rFonts w:ascii="宋体" w:eastAsia="宋体" w:hAnsi="宋体" w:cs="宋体"/>
                <w:color w:val="auto"/>
                <w:spacing w:val="-1"/>
              </w:rPr>
              <w:t>重</w:t>
            </w:r>
            <w:r>
              <w:rPr>
                <w:rFonts w:ascii="宋体" w:eastAsia="宋体" w:hAnsi="宋体" w:cs="宋体"/>
                <w:color w:val="auto"/>
                <w:spacing w:val="2"/>
              </w:rPr>
              <w:t>量</w:t>
            </w:r>
            <w:r>
              <w:rPr>
                <w:rFonts w:ascii="宋体" w:eastAsia="宋体" w:hAnsi="宋体" w:cs="宋体"/>
                <w:color w:val="auto"/>
                <w:spacing w:val="-1"/>
              </w:rPr>
              <w:t>范</w:t>
            </w:r>
            <w:r>
              <w:rPr>
                <w:rFonts w:ascii="宋体" w:eastAsia="宋体" w:hAnsi="宋体" w:cs="宋体"/>
                <w:color w:val="auto"/>
              </w:rPr>
              <w:t>围</w:t>
            </w:r>
          </w:p>
          <w:p w14:paraId="66E4890A" w14:textId="77777777" w:rsidR="0075791A" w:rsidRDefault="00FB2864">
            <w:pPr>
              <w:pStyle w:val="TableParagraph"/>
              <w:spacing w:before="9"/>
              <w:ind w:right="2"/>
              <w:jc w:val="center"/>
              <w:rPr>
                <w:rFonts w:ascii="宋体" w:eastAsia="宋体" w:hAnsi="宋体" w:cs="宋体"/>
                <w:color w:val="auto"/>
              </w:rPr>
            </w:pPr>
            <w:r>
              <w:rPr>
                <w:rFonts w:ascii="宋体" w:eastAsia="宋体" w:hAnsi="宋体" w:cs="宋体"/>
                <w:color w:val="auto"/>
                <w:spacing w:val="-1"/>
              </w:rPr>
              <w:t>（</w:t>
            </w:r>
            <w:r>
              <w:rPr>
                <w:rFonts w:ascii="Times New Roman" w:eastAsia="Times New Roman" w:hAnsi="Times New Roman" w:cs="Times New Roman"/>
                <w:color w:val="auto"/>
                <w:spacing w:val="1"/>
              </w:rPr>
              <w:t>g</w:t>
            </w:r>
            <w:r>
              <w:rPr>
                <w:rFonts w:ascii="宋体" w:eastAsia="宋体" w:hAnsi="宋体" w:cs="宋体"/>
                <w:color w:val="auto"/>
              </w:rPr>
              <w:t>）</w:t>
            </w:r>
          </w:p>
        </w:tc>
        <w:tc>
          <w:tcPr>
            <w:tcW w:w="1378" w:type="dxa"/>
            <w:tcBorders>
              <w:tl2br w:val="nil"/>
              <w:tr2bl w:val="nil"/>
            </w:tcBorders>
          </w:tcPr>
          <w:p w14:paraId="686A315A" w14:textId="77777777" w:rsidR="0075791A" w:rsidRDefault="0075791A">
            <w:pPr>
              <w:pStyle w:val="TableParagraph"/>
              <w:spacing w:before="5" w:line="130" w:lineRule="exact"/>
              <w:rPr>
                <w:color w:val="auto"/>
                <w:sz w:val="13"/>
                <w:szCs w:val="13"/>
              </w:rPr>
            </w:pPr>
          </w:p>
          <w:p w14:paraId="4CF4390A" w14:textId="77777777" w:rsidR="0075791A" w:rsidRDefault="00FB2864">
            <w:pPr>
              <w:pStyle w:val="TableParagraph"/>
              <w:ind w:right="3"/>
              <w:jc w:val="center"/>
              <w:rPr>
                <w:rFonts w:ascii="宋体" w:eastAsia="宋体" w:hAnsi="宋体" w:cs="宋体"/>
                <w:color w:val="auto"/>
              </w:rPr>
            </w:pPr>
            <w:r>
              <w:rPr>
                <w:rFonts w:ascii="宋体" w:eastAsia="宋体" w:hAnsi="宋体" w:cs="宋体"/>
                <w:color w:val="auto"/>
                <w:spacing w:val="-1"/>
              </w:rPr>
              <w:t>均</w:t>
            </w:r>
            <w:r>
              <w:rPr>
                <w:rFonts w:ascii="宋体" w:eastAsia="宋体" w:hAnsi="宋体" w:cs="宋体"/>
                <w:color w:val="auto"/>
              </w:rPr>
              <w:t>值</w:t>
            </w:r>
          </w:p>
        </w:tc>
        <w:tc>
          <w:tcPr>
            <w:tcW w:w="1378" w:type="dxa"/>
            <w:tcBorders>
              <w:tl2br w:val="nil"/>
              <w:tr2bl w:val="nil"/>
            </w:tcBorders>
          </w:tcPr>
          <w:p w14:paraId="503D0B53" w14:textId="77777777" w:rsidR="0075791A" w:rsidRDefault="0075791A">
            <w:pPr>
              <w:pStyle w:val="TableParagraph"/>
              <w:spacing w:before="5" w:line="130" w:lineRule="exact"/>
              <w:rPr>
                <w:color w:val="auto"/>
                <w:sz w:val="13"/>
                <w:szCs w:val="13"/>
              </w:rPr>
            </w:pPr>
          </w:p>
          <w:p w14:paraId="50E84F0F" w14:textId="77777777" w:rsidR="0075791A" w:rsidRDefault="00FB2864">
            <w:pPr>
              <w:pStyle w:val="TableParagraph"/>
              <w:ind w:left="264"/>
              <w:rPr>
                <w:rFonts w:ascii="宋体" w:eastAsia="宋体" w:hAnsi="宋体" w:cs="宋体"/>
                <w:color w:val="auto"/>
              </w:rPr>
            </w:pPr>
            <w:r>
              <w:rPr>
                <w:rFonts w:ascii="宋体" w:eastAsia="宋体" w:hAnsi="宋体" w:cs="宋体"/>
                <w:color w:val="auto"/>
                <w:spacing w:val="-1"/>
              </w:rPr>
              <w:t>幼</w:t>
            </w:r>
            <w:r>
              <w:rPr>
                <w:rFonts w:ascii="宋体" w:eastAsia="宋体" w:hAnsi="宋体" w:cs="宋体"/>
                <w:color w:val="auto"/>
                <w:spacing w:val="2"/>
              </w:rPr>
              <w:t>鱼</w:t>
            </w:r>
            <w:r>
              <w:rPr>
                <w:rFonts w:ascii="宋体" w:eastAsia="宋体" w:hAnsi="宋体" w:cs="宋体"/>
                <w:color w:val="auto"/>
                <w:spacing w:val="-1"/>
              </w:rPr>
              <w:t>比</w:t>
            </w:r>
            <w:r>
              <w:rPr>
                <w:rFonts w:ascii="宋体" w:eastAsia="宋体" w:hAnsi="宋体" w:cs="宋体"/>
                <w:color w:val="auto"/>
              </w:rPr>
              <w:t>例</w:t>
            </w:r>
          </w:p>
        </w:tc>
      </w:tr>
      <w:tr w:rsidR="0075791A" w14:paraId="6B05A29C" w14:textId="77777777">
        <w:trPr>
          <w:trHeight w:val="255"/>
          <w:jc w:val="center"/>
        </w:trPr>
        <w:tc>
          <w:tcPr>
            <w:tcW w:w="1357" w:type="dxa"/>
            <w:tcBorders>
              <w:tl2br w:val="nil"/>
              <w:tr2bl w:val="nil"/>
            </w:tcBorders>
          </w:tcPr>
          <w:p w14:paraId="29E2E373" w14:textId="77777777" w:rsidR="0075791A" w:rsidRDefault="00FB2864">
            <w:pPr>
              <w:pStyle w:val="TableParagraph"/>
              <w:spacing w:line="284" w:lineRule="exact"/>
              <w:ind w:left="443" w:right="446"/>
              <w:jc w:val="center"/>
              <w:rPr>
                <w:rFonts w:ascii="宋体" w:eastAsia="宋体" w:hAnsi="宋体" w:cs="宋体"/>
                <w:color w:val="auto"/>
              </w:rPr>
            </w:pPr>
            <w:r>
              <w:rPr>
                <w:rFonts w:ascii="宋体" w:eastAsia="宋体" w:hAnsi="宋体" w:cs="宋体"/>
                <w:color w:val="auto"/>
                <w:spacing w:val="-1"/>
              </w:rPr>
              <w:t>乌</w:t>
            </w:r>
            <w:r>
              <w:rPr>
                <w:rFonts w:ascii="宋体" w:eastAsia="宋体" w:hAnsi="宋体" w:cs="宋体"/>
                <w:color w:val="auto"/>
              </w:rPr>
              <w:t>鯧</w:t>
            </w:r>
          </w:p>
        </w:tc>
        <w:tc>
          <w:tcPr>
            <w:tcW w:w="1377" w:type="dxa"/>
            <w:tcBorders>
              <w:tl2br w:val="nil"/>
              <w:tr2bl w:val="nil"/>
            </w:tcBorders>
          </w:tcPr>
          <w:p w14:paraId="003C7924" w14:textId="77777777" w:rsidR="0075791A" w:rsidRDefault="00FB2864">
            <w:pPr>
              <w:pStyle w:val="TableParagraph"/>
              <w:spacing w:before="58"/>
              <w:ind w:left="438"/>
              <w:rPr>
                <w:rFonts w:ascii="Times New Roman" w:eastAsia="Times New Roman" w:hAnsi="Times New Roman" w:cs="Times New Roman"/>
                <w:color w:val="auto"/>
              </w:rPr>
            </w:pPr>
            <w:r>
              <w:rPr>
                <w:rFonts w:ascii="Times New Roman" w:eastAsia="Times New Roman" w:hAnsi="Times New Roman" w:cs="Times New Roman"/>
                <w:color w:val="auto"/>
                <w:spacing w:val="1"/>
              </w:rPr>
              <w:t>55</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5</w:t>
            </w:r>
          </w:p>
        </w:tc>
        <w:tc>
          <w:tcPr>
            <w:tcW w:w="1378" w:type="dxa"/>
            <w:tcBorders>
              <w:tl2br w:val="nil"/>
              <w:tr2bl w:val="nil"/>
            </w:tcBorders>
          </w:tcPr>
          <w:p w14:paraId="2AFFFCB2" w14:textId="77777777" w:rsidR="0075791A" w:rsidRDefault="00FB2864">
            <w:pPr>
              <w:pStyle w:val="TableParagraph"/>
              <w:spacing w:before="58"/>
              <w:ind w:left="448"/>
              <w:rPr>
                <w:rFonts w:ascii="Times New Roman" w:eastAsia="Times New Roman" w:hAnsi="Times New Roman" w:cs="Times New Roman"/>
                <w:color w:val="auto"/>
              </w:rPr>
            </w:pPr>
            <w:r>
              <w:rPr>
                <w:rFonts w:ascii="Times New Roman" w:eastAsia="Times New Roman" w:hAnsi="Times New Roman" w:cs="Times New Roman"/>
                <w:color w:val="auto"/>
                <w:spacing w:val="1"/>
              </w:rPr>
              <w:t>75</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1378" w:type="dxa"/>
            <w:tcBorders>
              <w:tl2br w:val="nil"/>
              <w:tr2bl w:val="nil"/>
            </w:tcBorders>
          </w:tcPr>
          <w:p w14:paraId="398E0F5C" w14:textId="77777777" w:rsidR="0075791A" w:rsidRDefault="00FB2864">
            <w:pPr>
              <w:pStyle w:val="TableParagraph"/>
              <w:spacing w:before="58"/>
              <w:ind w:left="335"/>
              <w:rPr>
                <w:rFonts w:ascii="Times New Roman" w:eastAsia="Times New Roman" w:hAnsi="Times New Roman" w:cs="Times New Roman"/>
                <w:color w:val="auto"/>
              </w:rPr>
            </w:pPr>
            <w:r>
              <w:rPr>
                <w:rFonts w:ascii="Times New Roman" w:eastAsia="Times New Roman" w:hAnsi="Times New Roman" w:cs="Times New Roman"/>
                <w:color w:val="auto"/>
                <w:spacing w:val="1"/>
              </w:rPr>
              <w:t>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34</w:t>
            </w:r>
            <w:r>
              <w:rPr>
                <w:rFonts w:ascii="Times New Roman" w:eastAsia="Times New Roman" w:hAnsi="Times New Roman" w:cs="Times New Roman"/>
                <w:color w:val="auto"/>
              </w:rPr>
              <w:t>.7</w:t>
            </w:r>
          </w:p>
        </w:tc>
        <w:tc>
          <w:tcPr>
            <w:tcW w:w="1378" w:type="dxa"/>
            <w:tcBorders>
              <w:tl2br w:val="nil"/>
              <w:tr2bl w:val="nil"/>
            </w:tcBorders>
          </w:tcPr>
          <w:p w14:paraId="19F0045B" w14:textId="77777777" w:rsidR="0075791A" w:rsidRDefault="00FB2864">
            <w:pPr>
              <w:pStyle w:val="TableParagraph"/>
              <w:spacing w:before="58"/>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21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0</w:t>
            </w:r>
          </w:p>
        </w:tc>
        <w:tc>
          <w:tcPr>
            <w:tcW w:w="1378" w:type="dxa"/>
            <w:tcBorders>
              <w:tl2br w:val="nil"/>
              <w:tr2bl w:val="nil"/>
            </w:tcBorders>
          </w:tcPr>
          <w:p w14:paraId="27E3D8EC" w14:textId="77777777" w:rsidR="0075791A" w:rsidRDefault="00FB2864">
            <w:pPr>
              <w:pStyle w:val="TableParagraph"/>
              <w:spacing w:before="58"/>
              <w:ind w:left="307"/>
              <w:rPr>
                <w:rFonts w:ascii="Times New Roman" w:eastAsia="Times New Roman" w:hAnsi="Times New Roman" w:cs="Times New Roman"/>
                <w:color w:val="auto"/>
              </w:rPr>
            </w:pPr>
            <w:r>
              <w:rPr>
                <w:rFonts w:ascii="Times New Roman" w:eastAsia="Times New Roman" w:hAnsi="Times New Roman" w:cs="Times New Roman"/>
                <w:color w:val="auto"/>
                <w:spacing w:val="1"/>
              </w:rPr>
              <w:t>100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p>
        </w:tc>
      </w:tr>
      <w:tr w:rsidR="0075791A" w14:paraId="45E458AD" w14:textId="77777777">
        <w:trPr>
          <w:trHeight w:val="255"/>
          <w:jc w:val="center"/>
        </w:trPr>
        <w:tc>
          <w:tcPr>
            <w:tcW w:w="1357" w:type="dxa"/>
            <w:tcBorders>
              <w:tl2br w:val="nil"/>
              <w:tr2bl w:val="nil"/>
            </w:tcBorders>
          </w:tcPr>
          <w:p w14:paraId="523C2272" w14:textId="77777777" w:rsidR="0075791A" w:rsidRDefault="00FB2864">
            <w:pPr>
              <w:pStyle w:val="TableParagraph"/>
              <w:spacing w:line="285" w:lineRule="exact"/>
              <w:ind w:left="148"/>
              <w:rPr>
                <w:rFonts w:ascii="宋体" w:eastAsia="宋体" w:hAnsi="宋体" w:cs="宋体"/>
                <w:color w:val="auto"/>
              </w:rPr>
            </w:pPr>
            <w:r>
              <w:rPr>
                <w:rFonts w:ascii="宋体" w:eastAsia="宋体" w:hAnsi="宋体" w:cs="宋体"/>
                <w:color w:val="auto"/>
                <w:spacing w:val="-1"/>
              </w:rPr>
              <w:t>短</w:t>
            </w:r>
            <w:r>
              <w:rPr>
                <w:rFonts w:ascii="宋体" w:eastAsia="宋体" w:hAnsi="宋体" w:cs="宋体"/>
                <w:color w:val="auto"/>
                <w:spacing w:val="2"/>
              </w:rPr>
              <w:t>尾</w:t>
            </w:r>
            <w:r>
              <w:rPr>
                <w:rFonts w:ascii="宋体" w:eastAsia="宋体" w:hAnsi="宋体" w:cs="宋体"/>
                <w:color w:val="auto"/>
                <w:spacing w:val="-1"/>
              </w:rPr>
              <w:t>大</w:t>
            </w:r>
            <w:r>
              <w:rPr>
                <w:rFonts w:ascii="宋体" w:eastAsia="宋体" w:hAnsi="宋体" w:cs="宋体"/>
                <w:color w:val="auto"/>
                <w:spacing w:val="2"/>
              </w:rPr>
              <w:t>眼</w:t>
            </w:r>
            <w:r>
              <w:rPr>
                <w:rFonts w:ascii="宋体" w:eastAsia="宋体" w:hAnsi="宋体" w:cs="宋体"/>
                <w:color w:val="auto"/>
              </w:rPr>
              <w:t>鲷</w:t>
            </w:r>
          </w:p>
        </w:tc>
        <w:tc>
          <w:tcPr>
            <w:tcW w:w="1377" w:type="dxa"/>
            <w:tcBorders>
              <w:tl2br w:val="nil"/>
              <w:tr2bl w:val="nil"/>
            </w:tcBorders>
          </w:tcPr>
          <w:p w14:paraId="68025F48" w14:textId="77777777" w:rsidR="0075791A" w:rsidRDefault="00FB2864">
            <w:pPr>
              <w:pStyle w:val="TableParagraph"/>
              <w:spacing w:before="59"/>
              <w:ind w:left="438"/>
              <w:rPr>
                <w:rFonts w:ascii="Times New Roman" w:eastAsia="Times New Roman" w:hAnsi="Times New Roman" w:cs="Times New Roman"/>
                <w:color w:val="auto"/>
              </w:rPr>
            </w:pPr>
            <w:r>
              <w:rPr>
                <w:rFonts w:ascii="Times New Roman" w:eastAsia="Times New Roman" w:hAnsi="Times New Roman" w:cs="Times New Roman"/>
                <w:color w:val="auto"/>
                <w:spacing w:val="1"/>
              </w:rPr>
              <w:t>72</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9</w:t>
            </w:r>
          </w:p>
        </w:tc>
        <w:tc>
          <w:tcPr>
            <w:tcW w:w="1378" w:type="dxa"/>
            <w:tcBorders>
              <w:tl2br w:val="nil"/>
              <w:tr2bl w:val="nil"/>
            </w:tcBorders>
          </w:tcPr>
          <w:p w14:paraId="3E0E2E44" w14:textId="77777777" w:rsidR="0075791A" w:rsidRDefault="00FB2864">
            <w:pPr>
              <w:pStyle w:val="TableParagraph"/>
              <w:spacing w:before="59"/>
              <w:ind w:left="448"/>
              <w:rPr>
                <w:rFonts w:ascii="Times New Roman" w:eastAsia="Times New Roman" w:hAnsi="Times New Roman" w:cs="Times New Roman"/>
                <w:color w:val="auto"/>
              </w:rPr>
            </w:pPr>
            <w:r>
              <w:rPr>
                <w:rFonts w:ascii="Times New Roman" w:eastAsia="Times New Roman" w:hAnsi="Times New Roman" w:cs="Times New Roman"/>
                <w:color w:val="auto"/>
                <w:spacing w:val="1"/>
              </w:rPr>
              <w:t>80</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8</w:t>
            </w:r>
          </w:p>
        </w:tc>
        <w:tc>
          <w:tcPr>
            <w:tcW w:w="1378" w:type="dxa"/>
            <w:tcBorders>
              <w:tl2br w:val="nil"/>
              <w:tr2bl w:val="nil"/>
            </w:tcBorders>
          </w:tcPr>
          <w:p w14:paraId="4111A9C4" w14:textId="77777777" w:rsidR="0075791A" w:rsidRDefault="00FB2864">
            <w:pPr>
              <w:pStyle w:val="TableParagraph"/>
              <w:spacing w:before="59"/>
              <w:ind w:left="282"/>
              <w:rPr>
                <w:rFonts w:ascii="Times New Roman" w:eastAsia="Times New Roman" w:hAnsi="Times New Roman" w:cs="Times New Roman"/>
                <w:color w:val="auto"/>
              </w:rPr>
            </w:pPr>
            <w:r>
              <w:rPr>
                <w:rFonts w:ascii="Times New Roman" w:eastAsia="Times New Roman" w:hAnsi="Times New Roman" w:cs="Times New Roman"/>
                <w:color w:val="auto"/>
                <w:spacing w:val="1"/>
              </w:rPr>
              <w:t>10</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17</w:t>
            </w:r>
            <w:r>
              <w:rPr>
                <w:rFonts w:ascii="Times New Roman" w:eastAsia="Times New Roman" w:hAnsi="Times New Roman" w:cs="Times New Roman"/>
                <w:color w:val="auto"/>
              </w:rPr>
              <w:t>.8</w:t>
            </w:r>
          </w:p>
        </w:tc>
        <w:tc>
          <w:tcPr>
            <w:tcW w:w="1378" w:type="dxa"/>
            <w:tcBorders>
              <w:tl2br w:val="nil"/>
              <w:tr2bl w:val="nil"/>
            </w:tcBorders>
          </w:tcPr>
          <w:p w14:paraId="5DAA8D7B" w14:textId="77777777" w:rsidR="0075791A" w:rsidRDefault="00FB2864">
            <w:pPr>
              <w:pStyle w:val="TableParagraph"/>
              <w:spacing w:before="59"/>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13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6</w:t>
            </w:r>
          </w:p>
        </w:tc>
        <w:tc>
          <w:tcPr>
            <w:tcW w:w="1378" w:type="dxa"/>
            <w:tcBorders>
              <w:tl2br w:val="nil"/>
              <w:tr2bl w:val="nil"/>
            </w:tcBorders>
          </w:tcPr>
          <w:p w14:paraId="73029A3F" w14:textId="77777777" w:rsidR="0075791A" w:rsidRDefault="00FB2864">
            <w:pPr>
              <w:pStyle w:val="TableParagraph"/>
              <w:spacing w:before="59"/>
              <w:ind w:left="307"/>
              <w:rPr>
                <w:rFonts w:ascii="Times New Roman" w:eastAsia="Times New Roman" w:hAnsi="Times New Roman" w:cs="Times New Roman"/>
                <w:color w:val="auto"/>
              </w:rPr>
            </w:pPr>
            <w:r>
              <w:rPr>
                <w:rFonts w:ascii="Times New Roman" w:eastAsia="Times New Roman" w:hAnsi="Times New Roman" w:cs="Times New Roman"/>
                <w:color w:val="auto"/>
                <w:spacing w:val="1"/>
              </w:rPr>
              <w:t>100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p>
        </w:tc>
      </w:tr>
      <w:tr w:rsidR="0075791A" w14:paraId="093D82FC" w14:textId="77777777">
        <w:trPr>
          <w:trHeight w:val="255"/>
          <w:jc w:val="center"/>
        </w:trPr>
        <w:tc>
          <w:tcPr>
            <w:tcW w:w="1357" w:type="dxa"/>
            <w:tcBorders>
              <w:tl2br w:val="nil"/>
              <w:tr2bl w:val="nil"/>
            </w:tcBorders>
          </w:tcPr>
          <w:p w14:paraId="642AAD00" w14:textId="77777777" w:rsidR="0075791A" w:rsidRDefault="00FB2864">
            <w:pPr>
              <w:pStyle w:val="TableParagraph"/>
              <w:spacing w:line="284" w:lineRule="exact"/>
              <w:ind w:left="254"/>
              <w:rPr>
                <w:rFonts w:ascii="宋体" w:eastAsia="宋体" w:hAnsi="宋体" w:cs="宋体"/>
                <w:color w:val="auto"/>
              </w:rPr>
            </w:pPr>
            <w:r>
              <w:rPr>
                <w:rFonts w:ascii="宋体" w:eastAsia="宋体" w:hAnsi="宋体" w:cs="宋体"/>
                <w:color w:val="auto"/>
                <w:spacing w:val="-1"/>
              </w:rPr>
              <w:t>条</w:t>
            </w:r>
            <w:r>
              <w:rPr>
                <w:rFonts w:ascii="宋体" w:eastAsia="宋体" w:hAnsi="宋体" w:cs="宋体"/>
                <w:color w:val="auto"/>
                <w:spacing w:val="2"/>
              </w:rPr>
              <w:t>尾</w:t>
            </w:r>
            <w:r>
              <w:rPr>
                <w:rFonts w:ascii="宋体" w:eastAsia="宋体" w:hAnsi="宋体" w:cs="宋体"/>
                <w:color w:val="auto"/>
                <w:spacing w:val="-1"/>
              </w:rPr>
              <w:t>鲱</w:t>
            </w:r>
            <w:r>
              <w:rPr>
                <w:rFonts w:ascii="宋体" w:eastAsia="宋体" w:hAnsi="宋体" w:cs="宋体"/>
                <w:color w:val="auto"/>
              </w:rPr>
              <w:t>鲤</w:t>
            </w:r>
          </w:p>
        </w:tc>
        <w:tc>
          <w:tcPr>
            <w:tcW w:w="1377" w:type="dxa"/>
            <w:tcBorders>
              <w:tl2br w:val="nil"/>
              <w:tr2bl w:val="nil"/>
            </w:tcBorders>
          </w:tcPr>
          <w:p w14:paraId="543BD621" w14:textId="77777777" w:rsidR="0075791A" w:rsidRDefault="00FB2864">
            <w:pPr>
              <w:pStyle w:val="TableParagraph"/>
              <w:spacing w:before="58"/>
              <w:ind w:left="332"/>
              <w:rPr>
                <w:rFonts w:ascii="Times New Roman" w:eastAsia="Times New Roman" w:hAnsi="Times New Roman" w:cs="Times New Roman"/>
                <w:color w:val="auto"/>
              </w:rPr>
            </w:pPr>
            <w:r>
              <w:rPr>
                <w:rFonts w:ascii="Times New Roman" w:eastAsia="Times New Roman" w:hAnsi="Times New Roman" w:cs="Times New Roman"/>
                <w:color w:val="auto"/>
                <w:spacing w:val="1"/>
              </w:rPr>
              <w:t>102</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10</w:t>
            </w:r>
            <w:r>
              <w:rPr>
                <w:rFonts w:ascii="Times New Roman" w:eastAsia="Times New Roman" w:hAnsi="Times New Roman" w:cs="Times New Roman"/>
                <w:color w:val="auto"/>
              </w:rPr>
              <w:t>8</w:t>
            </w:r>
          </w:p>
        </w:tc>
        <w:tc>
          <w:tcPr>
            <w:tcW w:w="1378" w:type="dxa"/>
            <w:tcBorders>
              <w:tl2br w:val="nil"/>
              <w:tr2bl w:val="nil"/>
            </w:tcBorders>
          </w:tcPr>
          <w:p w14:paraId="169296DE" w14:textId="77777777" w:rsidR="0075791A" w:rsidRDefault="00FB2864">
            <w:pPr>
              <w:pStyle w:val="TableParagraph"/>
              <w:spacing w:before="58"/>
              <w:ind w:left="395"/>
              <w:rPr>
                <w:rFonts w:ascii="Times New Roman" w:eastAsia="Times New Roman" w:hAnsi="Times New Roman" w:cs="Times New Roman"/>
                <w:color w:val="auto"/>
              </w:rPr>
            </w:pPr>
            <w:r>
              <w:rPr>
                <w:rFonts w:ascii="Times New Roman" w:eastAsia="Times New Roman" w:hAnsi="Times New Roman" w:cs="Times New Roman"/>
                <w:color w:val="auto"/>
                <w:spacing w:val="1"/>
              </w:rPr>
              <w:t>105</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0</w:t>
            </w:r>
          </w:p>
        </w:tc>
        <w:tc>
          <w:tcPr>
            <w:tcW w:w="1378" w:type="dxa"/>
            <w:tcBorders>
              <w:tl2br w:val="nil"/>
              <w:tr2bl w:val="nil"/>
            </w:tcBorders>
          </w:tcPr>
          <w:p w14:paraId="10B28530" w14:textId="77777777" w:rsidR="0075791A" w:rsidRDefault="00FB2864">
            <w:pPr>
              <w:pStyle w:val="TableParagraph"/>
              <w:spacing w:before="58"/>
              <w:ind w:left="282"/>
              <w:rPr>
                <w:rFonts w:ascii="Times New Roman" w:eastAsia="Times New Roman" w:hAnsi="Times New Roman" w:cs="Times New Roman"/>
                <w:color w:val="auto"/>
              </w:rPr>
            </w:pPr>
            <w:r>
              <w:rPr>
                <w:rFonts w:ascii="Times New Roman" w:eastAsia="Times New Roman" w:hAnsi="Times New Roman" w:cs="Times New Roman"/>
                <w:color w:val="auto"/>
                <w:spacing w:val="1"/>
              </w:rPr>
              <w:t>20</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22</w:t>
            </w:r>
            <w:r>
              <w:rPr>
                <w:rFonts w:ascii="Times New Roman" w:eastAsia="Times New Roman" w:hAnsi="Times New Roman" w:cs="Times New Roman"/>
                <w:color w:val="auto"/>
              </w:rPr>
              <w:t>.1</w:t>
            </w:r>
          </w:p>
        </w:tc>
        <w:tc>
          <w:tcPr>
            <w:tcW w:w="1378" w:type="dxa"/>
            <w:tcBorders>
              <w:tl2br w:val="nil"/>
              <w:tr2bl w:val="nil"/>
            </w:tcBorders>
          </w:tcPr>
          <w:p w14:paraId="2BAC414E" w14:textId="77777777" w:rsidR="0075791A" w:rsidRDefault="00FB2864">
            <w:pPr>
              <w:pStyle w:val="TableParagraph"/>
              <w:spacing w:before="58"/>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21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0</w:t>
            </w:r>
          </w:p>
        </w:tc>
        <w:tc>
          <w:tcPr>
            <w:tcW w:w="1378" w:type="dxa"/>
            <w:tcBorders>
              <w:tl2br w:val="nil"/>
              <w:tr2bl w:val="nil"/>
            </w:tcBorders>
          </w:tcPr>
          <w:p w14:paraId="0A521007" w14:textId="77777777" w:rsidR="0075791A" w:rsidRDefault="00FB2864">
            <w:pPr>
              <w:pStyle w:val="TableParagraph"/>
              <w:spacing w:before="58"/>
              <w:ind w:left="307"/>
              <w:rPr>
                <w:rFonts w:ascii="Times New Roman" w:eastAsia="Times New Roman" w:hAnsi="Times New Roman" w:cs="Times New Roman"/>
                <w:color w:val="auto"/>
              </w:rPr>
            </w:pPr>
            <w:r>
              <w:rPr>
                <w:rFonts w:ascii="Times New Roman" w:eastAsia="Times New Roman" w:hAnsi="Times New Roman" w:cs="Times New Roman"/>
                <w:color w:val="auto"/>
                <w:spacing w:val="1"/>
              </w:rPr>
              <w:t>100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p>
        </w:tc>
      </w:tr>
      <w:tr w:rsidR="0075791A" w14:paraId="66470032" w14:textId="77777777">
        <w:trPr>
          <w:trHeight w:val="255"/>
          <w:jc w:val="center"/>
        </w:trPr>
        <w:tc>
          <w:tcPr>
            <w:tcW w:w="1357" w:type="dxa"/>
            <w:tcBorders>
              <w:tl2br w:val="nil"/>
              <w:tr2bl w:val="nil"/>
            </w:tcBorders>
          </w:tcPr>
          <w:p w14:paraId="17D6B7FE" w14:textId="77777777" w:rsidR="0075791A" w:rsidRDefault="00FB2864">
            <w:pPr>
              <w:pStyle w:val="TableParagraph"/>
              <w:spacing w:line="285" w:lineRule="exact"/>
              <w:ind w:left="443" w:right="446"/>
              <w:jc w:val="center"/>
              <w:rPr>
                <w:rFonts w:ascii="宋体" w:eastAsia="宋体" w:hAnsi="宋体" w:cs="宋体"/>
                <w:color w:val="auto"/>
              </w:rPr>
            </w:pPr>
            <w:r>
              <w:rPr>
                <w:rFonts w:ascii="宋体" w:eastAsia="宋体" w:hAnsi="宋体" w:cs="宋体"/>
                <w:color w:val="auto"/>
                <w:spacing w:val="-1"/>
              </w:rPr>
              <w:t>刺</w:t>
            </w:r>
            <w:r>
              <w:rPr>
                <w:rFonts w:ascii="宋体" w:eastAsia="宋体" w:hAnsi="宋体" w:cs="宋体"/>
                <w:color w:val="auto"/>
              </w:rPr>
              <w:t>鲳</w:t>
            </w:r>
          </w:p>
        </w:tc>
        <w:tc>
          <w:tcPr>
            <w:tcW w:w="1377" w:type="dxa"/>
            <w:tcBorders>
              <w:tl2br w:val="nil"/>
              <w:tr2bl w:val="nil"/>
            </w:tcBorders>
          </w:tcPr>
          <w:p w14:paraId="235D58D4" w14:textId="77777777" w:rsidR="0075791A" w:rsidRDefault="00FB2864">
            <w:pPr>
              <w:pStyle w:val="TableParagraph"/>
              <w:spacing w:before="59"/>
              <w:ind w:left="438"/>
              <w:rPr>
                <w:rFonts w:ascii="Times New Roman" w:eastAsia="Times New Roman" w:hAnsi="Times New Roman" w:cs="Times New Roman"/>
                <w:color w:val="auto"/>
              </w:rPr>
            </w:pPr>
            <w:r>
              <w:rPr>
                <w:rFonts w:ascii="Times New Roman" w:eastAsia="Times New Roman" w:hAnsi="Times New Roman" w:cs="Times New Roman"/>
                <w:color w:val="auto"/>
                <w:spacing w:val="1"/>
              </w:rPr>
              <w:t>59</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1</w:t>
            </w:r>
          </w:p>
        </w:tc>
        <w:tc>
          <w:tcPr>
            <w:tcW w:w="1378" w:type="dxa"/>
            <w:tcBorders>
              <w:tl2br w:val="nil"/>
              <w:tr2bl w:val="nil"/>
            </w:tcBorders>
          </w:tcPr>
          <w:p w14:paraId="4F25706A" w14:textId="77777777" w:rsidR="0075791A" w:rsidRDefault="00FB2864">
            <w:pPr>
              <w:pStyle w:val="TableParagraph"/>
              <w:spacing w:before="59"/>
              <w:ind w:left="448"/>
              <w:rPr>
                <w:rFonts w:ascii="Times New Roman" w:eastAsia="Times New Roman" w:hAnsi="Times New Roman" w:cs="Times New Roman"/>
                <w:color w:val="auto"/>
              </w:rPr>
            </w:pPr>
            <w:r>
              <w:rPr>
                <w:rFonts w:ascii="Times New Roman" w:eastAsia="Times New Roman" w:hAnsi="Times New Roman" w:cs="Times New Roman"/>
                <w:color w:val="auto"/>
                <w:spacing w:val="1"/>
              </w:rPr>
              <w:t>65</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1378" w:type="dxa"/>
            <w:tcBorders>
              <w:tl2br w:val="nil"/>
              <w:tr2bl w:val="nil"/>
            </w:tcBorders>
          </w:tcPr>
          <w:p w14:paraId="6A568393" w14:textId="77777777" w:rsidR="0075791A" w:rsidRDefault="00FB2864">
            <w:pPr>
              <w:pStyle w:val="TableParagraph"/>
              <w:spacing w:before="59"/>
              <w:ind w:left="414"/>
              <w:rPr>
                <w:rFonts w:ascii="Times New Roman" w:eastAsia="Times New Roman" w:hAnsi="Times New Roman" w:cs="Times New Roman"/>
                <w:color w:val="auto"/>
              </w:rPr>
            </w:pPr>
            <w:r>
              <w:rPr>
                <w:rFonts w:ascii="Times New Roman" w:eastAsia="Times New Roman" w:hAnsi="Times New Roman" w:cs="Times New Roman"/>
                <w:color w:val="auto"/>
                <w:spacing w:val="1"/>
              </w:rPr>
              <w:t>8</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2</w:t>
            </w:r>
          </w:p>
        </w:tc>
        <w:tc>
          <w:tcPr>
            <w:tcW w:w="1378" w:type="dxa"/>
            <w:tcBorders>
              <w:tl2br w:val="nil"/>
              <w:tr2bl w:val="nil"/>
            </w:tcBorders>
          </w:tcPr>
          <w:p w14:paraId="14027BEA" w14:textId="77777777" w:rsidR="0075791A" w:rsidRDefault="00FB2864">
            <w:pPr>
              <w:pStyle w:val="TableParagraph"/>
              <w:spacing w:before="59"/>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10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0</w:t>
            </w:r>
          </w:p>
        </w:tc>
        <w:tc>
          <w:tcPr>
            <w:tcW w:w="1378" w:type="dxa"/>
            <w:tcBorders>
              <w:tl2br w:val="nil"/>
              <w:tr2bl w:val="nil"/>
            </w:tcBorders>
          </w:tcPr>
          <w:p w14:paraId="3E588DDC" w14:textId="77777777" w:rsidR="0075791A" w:rsidRDefault="00FB2864">
            <w:pPr>
              <w:pStyle w:val="TableParagraph"/>
              <w:spacing w:before="59"/>
              <w:ind w:left="307"/>
              <w:rPr>
                <w:rFonts w:ascii="Times New Roman" w:eastAsia="Times New Roman" w:hAnsi="Times New Roman" w:cs="Times New Roman"/>
                <w:color w:val="auto"/>
              </w:rPr>
            </w:pPr>
            <w:r>
              <w:rPr>
                <w:rFonts w:ascii="Times New Roman" w:eastAsia="Times New Roman" w:hAnsi="Times New Roman" w:cs="Times New Roman"/>
                <w:color w:val="auto"/>
                <w:spacing w:val="1"/>
              </w:rPr>
              <w:t>100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p>
        </w:tc>
      </w:tr>
      <w:tr w:rsidR="0075791A" w14:paraId="6EF3FE3E" w14:textId="77777777">
        <w:trPr>
          <w:trHeight w:val="255"/>
          <w:jc w:val="center"/>
        </w:trPr>
        <w:tc>
          <w:tcPr>
            <w:tcW w:w="1357" w:type="dxa"/>
            <w:tcBorders>
              <w:tl2br w:val="nil"/>
              <w:tr2bl w:val="nil"/>
            </w:tcBorders>
          </w:tcPr>
          <w:p w14:paraId="4CDF5EBF" w14:textId="77777777" w:rsidR="0075791A" w:rsidRDefault="00FB2864">
            <w:pPr>
              <w:pStyle w:val="TableParagraph"/>
              <w:spacing w:line="284" w:lineRule="exact"/>
              <w:ind w:left="357"/>
              <w:rPr>
                <w:rFonts w:ascii="宋体" w:eastAsia="宋体" w:hAnsi="宋体" w:cs="宋体"/>
                <w:color w:val="auto"/>
              </w:rPr>
            </w:pPr>
            <w:r>
              <w:rPr>
                <w:rFonts w:ascii="宋体" w:eastAsia="宋体" w:hAnsi="宋体" w:cs="宋体"/>
                <w:color w:val="auto"/>
                <w:spacing w:val="-1"/>
              </w:rPr>
              <w:t>吉</w:t>
            </w:r>
            <w:r>
              <w:rPr>
                <w:rFonts w:ascii="宋体" w:eastAsia="宋体" w:hAnsi="宋体" w:cs="宋体"/>
                <w:color w:val="auto"/>
                <w:spacing w:val="2"/>
              </w:rPr>
              <w:t>打</w:t>
            </w:r>
            <w:r>
              <w:rPr>
                <w:rFonts w:ascii="宋体" w:eastAsia="宋体" w:hAnsi="宋体" w:cs="宋体"/>
                <w:color w:val="auto"/>
              </w:rPr>
              <w:t>鲹</w:t>
            </w:r>
          </w:p>
        </w:tc>
        <w:tc>
          <w:tcPr>
            <w:tcW w:w="1377" w:type="dxa"/>
            <w:tcBorders>
              <w:tl2br w:val="nil"/>
              <w:tr2bl w:val="nil"/>
            </w:tcBorders>
          </w:tcPr>
          <w:p w14:paraId="3042A466" w14:textId="77777777" w:rsidR="0075791A" w:rsidRDefault="00FB2864">
            <w:pPr>
              <w:pStyle w:val="TableParagraph"/>
              <w:spacing w:before="58"/>
              <w:ind w:left="438"/>
              <w:rPr>
                <w:rFonts w:ascii="Times New Roman" w:eastAsia="Times New Roman" w:hAnsi="Times New Roman" w:cs="Times New Roman"/>
                <w:color w:val="auto"/>
              </w:rPr>
            </w:pPr>
            <w:r>
              <w:rPr>
                <w:rFonts w:ascii="Times New Roman" w:eastAsia="Times New Roman" w:hAnsi="Times New Roman" w:cs="Times New Roman"/>
                <w:color w:val="auto"/>
                <w:spacing w:val="1"/>
              </w:rPr>
              <w:t>39</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6</w:t>
            </w:r>
          </w:p>
        </w:tc>
        <w:tc>
          <w:tcPr>
            <w:tcW w:w="1378" w:type="dxa"/>
            <w:tcBorders>
              <w:tl2br w:val="nil"/>
              <w:tr2bl w:val="nil"/>
            </w:tcBorders>
          </w:tcPr>
          <w:p w14:paraId="07A99CD3" w14:textId="77777777" w:rsidR="0075791A" w:rsidRDefault="00FB2864">
            <w:pPr>
              <w:pStyle w:val="TableParagraph"/>
              <w:spacing w:before="58"/>
              <w:ind w:left="448"/>
              <w:rPr>
                <w:rFonts w:ascii="Times New Roman" w:eastAsia="Times New Roman" w:hAnsi="Times New Roman" w:cs="Times New Roman"/>
                <w:color w:val="auto"/>
              </w:rPr>
            </w:pPr>
            <w:r>
              <w:rPr>
                <w:rFonts w:ascii="Times New Roman" w:eastAsia="Times New Roman" w:hAnsi="Times New Roman" w:cs="Times New Roman"/>
                <w:color w:val="auto"/>
                <w:spacing w:val="1"/>
              </w:rPr>
              <w:t>46</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2</w:t>
            </w:r>
          </w:p>
        </w:tc>
        <w:tc>
          <w:tcPr>
            <w:tcW w:w="1378" w:type="dxa"/>
            <w:tcBorders>
              <w:tl2br w:val="nil"/>
              <w:tr2bl w:val="nil"/>
            </w:tcBorders>
          </w:tcPr>
          <w:p w14:paraId="10F1EDDF" w14:textId="77777777" w:rsidR="0075791A" w:rsidRDefault="00FB2864">
            <w:pPr>
              <w:pStyle w:val="TableParagraph"/>
              <w:spacing w:before="58"/>
              <w:ind w:left="385"/>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.6</w:t>
            </w:r>
          </w:p>
        </w:tc>
        <w:tc>
          <w:tcPr>
            <w:tcW w:w="1378" w:type="dxa"/>
            <w:tcBorders>
              <w:tl2br w:val="nil"/>
              <w:tr2bl w:val="nil"/>
            </w:tcBorders>
          </w:tcPr>
          <w:p w14:paraId="2C3F45BA" w14:textId="77777777" w:rsidR="0075791A" w:rsidRDefault="00FB2864">
            <w:pPr>
              <w:pStyle w:val="TableParagraph"/>
              <w:spacing w:before="58"/>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5</w:t>
            </w:r>
          </w:p>
        </w:tc>
        <w:tc>
          <w:tcPr>
            <w:tcW w:w="1378" w:type="dxa"/>
            <w:tcBorders>
              <w:tl2br w:val="nil"/>
              <w:tr2bl w:val="nil"/>
            </w:tcBorders>
          </w:tcPr>
          <w:p w14:paraId="1262AF83" w14:textId="77777777" w:rsidR="0075791A" w:rsidRDefault="00FB2864">
            <w:pPr>
              <w:pStyle w:val="TableParagraph"/>
              <w:spacing w:before="58"/>
              <w:ind w:left="307"/>
              <w:rPr>
                <w:rFonts w:ascii="Times New Roman" w:eastAsia="Times New Roman" w:hAnsi="Times New Roman" w:cs="Times New Roman"/>
                <w:color w:val="auto"/>
              </w:rPr>
            </w:pPr>
            <w:r>
              <w:rPr>
                <w:rFonts w:ascii="Times New Roman" w:eastAsia="Times New Roman" w:hAnsi="Times New Roman" w:cs="Times New Roman"/>
                <w:color w:val="auto"/>
                <w:spacing w:val="1"/>
              </w:rPr>
              <w:t>100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p>
        </w:tc>
      </w:tr>
      <w:tr w:rsidR="0075791A" w14:paraId="199E1572" w14:textId="77777777">
        <w:trPr>
          <w:trHeight w:val="255"/>
          <w:jc w:val="center"/>
        </w:trPr>
        <w:tc>
          <w:tcPr>
            <w:tcW w:w="1357" w:type="dxa"/>
            <w:tcBorders>
              <w:tl2br w:val="nil"/>
              <w:tr2bl w:val="nil"/>
            </w:tcBorders>
          </w:tcPr>
          <w:p w14:paraId="216D7F92" w14:textId="77777777" w:rsidR="0075791A" w:rsidRDefault="00FB2864">
            <w:pPr>
              <w:pStyle w:val="TableParagraph"/>
              <w:spacing w:line="285" w:lineRule="exact"/>
              <w:ind w:left="443" w:right="446"/>
              <w:jc w:val="center"/>
              <w:rPr>
                <w:rFonts w:ascii="宋体" w:eastAsia="宋体" w:hAnsi="宋体" w:cs="宋体"/>
                <w:color w:val="auto"/>
              </w:rPr>
            </w:pPr>
            <w:r>
              <w:rPr>
                <w:rFonts w:ascii="宋体" w:eastAsia="宋体" w:hAnsi="宋体" w:cs="宋体"/>
                <w:color w:val="auto"/>
                <w:spacing w:val="-1"/>
              </w:rPr>
              <w:lastRenderedPageBreak/>
              <w:t>海</w:t>
            </w:r>
            <w:r>
              <w:rPr>
                <w:rFonts w:ascii="宋体" w:eastAsia="宋体" w:hAnsi="宋体" w:cs="宋体"/>
                <w:color w:val="auto"/>
              </w:rPr>
              <w:t>鳗</w:t>
            </w:r>
          </w:p>
        </w:tc>
        <w:tc>
          <w:tcPr>
            <w:tcW w:w="1377" w:type="dxa"/>
            <w:tcBorders>
              <w:tl2br w:val="nil"/>
              <w:tr2bl w:val="nil"/>
            </w:tcBorders>
          </w:tcPr>
          <w:p w14:paraId="00C3BF03" w14:textId="77777777" w:rsidR="0075791A" w:rsidRDefault="00FB2864">
            <w:pPr>
              <w:pStyle w:val="TableParagraph"/>
              <w:spacing w:before="59"/>
              <w:ind w:left="332"/>
              <w:rPr>
                <w:rFonts w:ascii="Times New Roman" w:eastAsia="Times New Roman" w:hAnsi="Times New Roman" w:cs="Times New Roman"/>
                <w:color w:val="auto"/>
              </w:rPr>
            </w:pPr>
            <w:r>
              <w:rPr>
                <w:rFonts w:ascii="Times New Roman" w:eastAsia="Times New Roman" w:hAnsi="Times New Roman" w:cs="Times New Roman"/>
                <w:color w:val="auto"/>
                <w:spacing w:val="1"/>
              </w:rPr>
              <w:t>166</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23</w:t>
            </w:r>
            <w:r>
              <w:rPr>
                <w:rFonts w:ascii="Times New Roman" w:eastAsia="Times New Roman" w:hAnsi="Times New Roman" w:cs="Times New Roman"/>
                <w:color w:val="auto"/>
              </w:rPr>
              <w:t>9</w:t>
            </w:r>
          </w:p>
        </w:tc>
        <w:tc>
          <w:tcPr>
            <w:tcW w:w="1378" w:type="dxa"/>
            <w:tcBorders>
              <w:tl2br w:val="nil"/>
              <w:tr2bl w:val="nil"/>
            </w:tcBorders>
          </w:tcPr>
          <w:p w14:paraId="708387B1" w14:textId="77777777" w:rsidR="0075791A" w:rsidRDefault="00FB2864">
            <w:pPr>
              <w:pStyle w:val="TableParagraph"/>
              <w:spacing w:before="59"/>
              <w:ind w:left="395"/>
              <w:rPr>
                <w:rFonts w:ascii="Times New Roman" w:eastAsia="Times New Roman" w:hAnsi="Times New Roman" w:cs="Times New Roman"/>
                <w:color w:val="auto"/>
              </w:rPr>
            </w:pPr>
            <w:r>
              <w:rPr>
                <w:rFonts w:ascii="Times New Roman" w:eastAsia="Times New Roman" w:hAnsi="Times New Roman" w:cs="Times New Roman"/>
                <w:color w:val="auto"/>
                <w:spacing w:val="1"/>
              </w:rPr>
              <w:t>195</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0</w:t>
            </w:r>
          </w:p>
        </w:tc>
        <w:tc>
          <w:tcPr>
            <w:tcW w:w="1378" w:type="dxa"/>
            <w:tcBorders>
              <w:tl2br w:val="nil"/>
              <w:tr2bl w:val="nil"/>
            </w:tcBorders>
          </w:tcPr>
          <w:p w14:paraId="00F97496" w14:textId="77777777" w:rsidR="0075791A" w:rsidRDefault="00FB2864">
            <w:pPr>
              <w:pStyle w:val="TableParagraph"/>
              <w:spacing w:before="59"/>
              <w:ind w:left="385"/>
              <w:rPr>
                <w:rFonts w:ascii="Times New Roman" w:eastAsia="Times New Roman" w:hAnsi="Times New Roman" w:cs="Times New Roman"/>
                <w:color w:val="auto"/>
              </w:rPr>
            </w:pPr>
            <w:r>
              <w:rPr>
                <w:rFonts w:ascii="Times New Roman" w:eastAsia="Times New Roman" w:hAnsi="Times New Roman" w:cs="Times New Roman"/>
                <w:color w:val="auto"/>
                <w:spacing w:val="1"/>
              </w:rPr>
              <w:t>90</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28</w:t>
            </w:r>
            <w:r>
              <w:rPr>
                <w:rFonts w:ascii="Times New Roman" w:eastAsia="Times New Roman" w:hAnsi="Times New Roman" w:cs="Times New Roman"/>
                <w:color w:val="auto"/>
              </w:rPr>
              <w:t>0</w:t>
            </w:r>
          </w:p>
        </w:tc>
        <w:tc>
          <w:tcPr>
            <w:tcW w:w="1378" w:type="dxa"/>
            <w:tcBorders>
              <w:tl2br w:val="nil"/>
              <w:tr2bl w:val="nil"/>
            </w:tcBorders>
          </w:tcPr>
          <w:p w14:paraId="7CFA5111" w14:textId="77777777" w:rsidR="0075791A" w:rsidRDefault="00FB2864">
            <w:pPr>
              <w:pStyle w:val="TableParagraph"/>
              <w:spacing w:before="59"/>
              <w:ind w:left="394"/>
              <w:rPr>
                <w:rFonts w:ascii="Times New Roman" w:eastAsia="Times New Roman" w:hAnsi="Times New Roman" w:cs="Times New Roman"/>
                <w:color w:val="auto"/>
              </w:rPr>
            </w:pPr>
            <w:r>
              <w:rPr>
                <w:rFonts w:ascii="Times New Roman" w:eastAsia="Times New Roman" w:hAnsi="Times New Roman" w:cs="Times New Roman"/>
                <w:color w:val="auto"/>
                <w:spacing w:val="1"/>
              </w:rPr>
              <w:t>165</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0</w:t>
            </w:r>
          </w:p>
        </w:tc>
        <w:tc>
          <w:tcPr>
            <w:tcW w:w="1378" w:type="dxa"/>
            <w:tcBorders>
              <w:tl2br w:val="nil"/>
              <w:tr2bl w:val="nil"/>
            </w:tcBorders>
          </w:tcPr>
          <w:p w14:paraId="2A04EA52" w14:textId="77777777" w:rsidR="0075791A" w:rsidRDefault="00FB2864">
            <w:pPr>
              <w:pStyle w:val="TableParagraph"/>
              <w:spacing w:before="59"/>
              <w:ind w:left="360"/>
              <w:rPr>
                <w:rFonts w:ascii="Times New Roman" w:eastAsia="Times New Roman" w:hAnsi="Times New Roman" w:cs="Times New Roman"/>
                <w:color w:val="auto"/>
              </w:rPr>
            </w:pPr>
            <w:r>
              <w:rPr>
                <w:rFonts w:ascii="Times New Roman" w:eastAsia="Times New Roman" w:hAnsi="Times New Roman" w:cs="Times New Roman"/>
                <w:color w:val="auto"/>
                <w:spacing w:val="1"/>
              </w:rPr>
              <w:t>83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p>
        </w:tc>
      </w:tr>
      <w:tr w:rsidR="0075791A" w14:paraId="05CC0B3A" w14:textId="77777777">
        <w:trPr>
          <w:trHeight w:val="255"/>
          <w:jc w:val="center"/>
        </w:trPr>
        <w:tc>
          <w:tcPr>
            <w:tcW w:w="1357" w:type="dxa"/>
            <w:tcBorders>
              <w:tl2br w:val="nil"/>
              <w:tr2bl w:val="nil"/>
            </w:tcBorders>
          </w:tcPr>
          <w:p w14:paraId="60A97F18" w14:textId="77777777" w:rsidR="0075791A" w:rsidRDefault="00FB2864">
            <w:pPr>
              <w:pStyle w:val="TableParagraph"/>
              <w:spacing w:line="284" w:lineRule="exact"/>
              <w:ind w:left="148"/>
              <w:rPr>
                <w:rFonts w:ascii="宋体" w:eastAsia="宋体" w:hAnsi="宋体" w:cs="宋体"/>
                <w:color w:val="auto"/>
              </w:rPr>
            </w:pPr>
            <w:r>
              <w:rPr>
                <w:rFonts w:ascii="宋体" w:eastAsia="宋体" w:hAnsi="宋体" w:cs="宋体"/>
                <w:color w:val="auto"/>
                <w:spacing w:val="-1"/>
              </w:rPr>
              <w:t>黄</w:t>
            </w:r>
            <w:r>
              <w:rPr>
                <w:rFonts w:ascii="宋体" w:eastAsia="宋体" w:hAnsi="宋体" w:cs="宋体"/>
                <w:color w:val="auto"/>
                <w:spacing w:val="2"/>
              </w:rPr>
              <w:t>鳍</w:t>
            </w:r>
            <w:r>
              <w:rPr>
                <w:rFonts w:ascii="宋体" w:eastAsia="宋体" w:hAnsi="宋体" w:cs="宋体"/>
                <w:color w:val="auto"/>
                <w:spacing w:val="-1"/>
              </w:rPr>
              <w:t>马</w:t>
            </w:r>
            <w:r>
              <w:rPr>
                <w:rFonts w:ascii="宋体" w:eastAsia="宋体" w:hAnsi="宋体" w:cs="宋体"/>
                <w:color w:val="auto"/>
                <w:spacing w:val="2"/>
              </w:rPr>
              <w:t>面</w:t>
            </w:r>
            <w:r>
              <w:rPr>
                <w:rFonts w:ascii="宋体" w:eastAsia="宋体" w:hAnsi="宋体" w:cs="宋体"/>
                <w:color w:val="auto"/>
              </w:rPr>
              <w:t>鲀</w:t>
            </w:r>
          </w:p>
        </w:tc>
        <w:tc>
          <w:tcPr>
            <w:tcW w:w="1377" w:type="dxa"/>
            <w:tcBorders>
              <w:tl2br w:val="nil"/>
              <w:tr2bl w:val="nil"/>
            </w:tcBorders>
          </w:tcPr>
          <w:p w14:paraId="617D9CE6" w14:textId="77777777" w:rsidR="0075791A" w:rsidRDefault="00FB2864">
            <w:pPr>
              <w:pStyle w:val="TableParagraph"/>
              <w:spacing w:before="58"/>
              <w:ind w:left="385"/>
              <w:rPr>
                <w:rFonts w:ascii="Times New Roman" w:eastAsia="Times New Roman" w:hAnsi="Times New Roman" w:cs="Times New Roman"/>
                <w:color w:val="auto"/>
              </w:rPr>
            </w:pPr>
            <w:r>
              <w:rPr>
                <w:rFonts w:ascii="Times New Roman" w:eastAsia="Times New Roman" w:hAnsi="Times New Roman" w:cs="Times New Roman"/>
                <w:color w:val="auto"/>
                <w:spacing w:val="1"/>
              </w:rPr>
              <w:t>46</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19</w:t>
            </w:r>
            <w:r>
              <w:rPr>
                <w:rFonts w:ascii="Times New Roman" w:eastAsia="Times New Roman" w:hAnsi="Times New Roman" w:cs="Times New Roman"/>
                <w:color w:val="auto"/>
              </w:rPr>
              <w:t>7</w:t>
            </w:r>
          </w:p>
        </w:tc>
        <w:tc>
          <w:tcPr>
            <w:tcW w:w="1378" w:type="dxa"/>
            <w:tcBorders>
              <w:tl2br w:val="nil"/>
              <w:tr2bl w:val="nil"/>
            </w:tcBorders>
          </w:tcPr>
          <w:p w14:paraId="2AF913F3" w14:textId="77777777" w:rsidR="0075791A" w:rsidRDefault="00FB2864">
            <w:pPr>
              <w:pStyle w:val="TableParagraph"/>
              <w:spacing w:before="58"/>
              <w:ind w:left="448"/>
              <w:rPr>
                <w:rFonts w:ascii="Times New Roman" w:eastAsia="Times New Roman" w:hAnsi="Times New Roman" w:cs="Times New Roman"/>
                <w:color w:val="auto"/>
              </w:rPr>
            </w:pPr>
            <w:r>
              <w:rPr>
                <w:rFonts w:ascii="Times New Roman" w:eastAsia="Times New Roman" w:hAnsi="Times New Roman" w:cs="Times New Roman"/>
                <w:color w:val="auto"/>
                <w:spacing w:val="1"/>
              </w:rPr>
              <w:t>87</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0</w:t>
            </w:r>
          </w:p>
        </w:tc>
        <w:tc>
          <w:tcPr>
            <w:tcW w:w="1378" w:type="dxa"/>
            <w:tcBorders>
              <w:tl2br w:val="nil"/>
              <w:tr2bl w:val="nil"/>
            </w:tcBorders>
          </w:tcPr>
          <w:p w14:paraId="307F1670" w14:textId="77777777" w:rsidR="0075791A" w:rsidRDefault="00FB2864">
            <w:pPr>
              <w:pStyle w:val="TableParagraph"/>
              <w:spacing w:before="58"/>
              <w:ind w:left="282"/>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137</w:t>
            </w:r>
            <w:r>
              <w:rPr>
                <w:rFonts w:ascii="Times New Roman" w:eastAsia="Times New Roman" w:hAnsi="Times New Roman" w:cs="Times New Roman"/>
                <w:color w:val="auto"/>
              </w:rPr>
              <w:t>.2</w:t>
            </w:r>
          </w:p>
        </w:tc>
        <w:tc>
          <w:tcPr>
            <w:tcW w:w="1378" w:type="dxa"/>
            <w:tcBorders>
              <w:tl2br w:val="nil"/>
              <w:tr2bl w:val="nil"/>
            </w:tcBorders>
          </w:tcPr>
          <w:p w14:paraId="168C9344" w14:textId="77777777" w:rsidR="0075791A" w:rsidRDefault="00FB2864">
            <w:pPr>
              <w:pStyle w:val="TableParagraph"/>
              <w:spacing w:before="58"/>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38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5</w:t>
            </w:r>
          </w:p>
        </w:tc>
        <w:tc>
          <w:tcPr>
            <w:tcW w:w="1378" w:type="dxa"/>
            <w:tcBorders>
              <w:tl2br w:val="nil"/>
              <w:tr2bl w:val="nil"/>
            </w:tcBorders>
          </w:tcPr>
          <w:p w14:paraId="29FA639B" w14:textId="77777777" w:rsidR="0075791A" w:rsidRDefault="00FB2864">
            <w:pPr>
              <w:pStyle w:val="TableParagraph"/>
              <w:spacing w:before="58"/>
              <w:ind w:left="360"/>
              <w:rPr>
                <w:rFonts w:ascii="Times New Roman" w:eastAsia="Times New Roman" w:hAnsi="Times New Roman" w:cs="Times New Roman"/>
                <w:color w:val="auto"/>
              </w:rPr>
            </w:pPr>
            <w:r>
              <w:rPr>
                <w:rFonts w:ascii="Times New Roman" w:eastAsia="Times New Roman" w:hAnsi="Times New Roman" w:cs="Times New Roman"/>
                <w:color w:val="auto"/>
                <w:spacing w:val="1"/>
              </w:rPr>
              <w:t>75</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p>
        </w:tc>
      </w:tr>
      <w:tr w:rsidR="0075791A" w14:paraId="4C6F4443" w14:textId="77777777">
        <w:trPr>
          <w:trHeight w:val="255"/>
          <w:jc w:val="center"/>
        </w:trPr>
        <w:tc>
          <w:tcPr>
            <w:tcW w:w="1357" w:type="dxa"/>
            <w:tcBorders>
              <w:tl2br w:val="nil"/>
              <w:tr2bl w:val="nil"/>
            </w:tcBorders>
          </w:tcPr>
          <w:p w14:paraId="7FD76258" w14:textId="77777777" w:rsidR="0075791A" w:rsidRDefault="00FB2864">
            <w:pPr>
              <w:pStyle w:val="TableParagraph"/>
              <w:spacing w:line="285" w:lineRule="exact"/>
              <w:ind w:left="148"/>
              <w:rPr>
                <w:rFonts w:ascii="宋体" w:eastAsia="宋体" w:hAnsi="宋体" w:cs="宋体"/>
                <w:color w:val="auto"/>
              </w:rPr>
            </w:pPr>
            <w:r>
              <w:rPr>
                <w:rFonts w:ascii="宋体" w:eastAsia="宋体" w:hAnsi="宋体" w:cs="宋体"/>
                <w:color w:val="auto"/>
                <w:spacing w:val="-1"/>
              </w:rPr>
              <w:t>斐</w:t>
            </w:r>
            <w:r>
              <w:rPr>
                <w:rFonts w:ascii="宋体" w:eastAsia="宋体" w:hAnsi="宋体" w:cs="宋体"/>
                <w:color w:val="auto"/>
                <w:spacing w:val="2"/>
              </w:rPr>
              <w:t>氏</w:t>
            </w:r>
            <w:r>
              <w:rPr>
                <w:rFonts w:ascii="宋体" w:eastAsia="宋体" w:hAnsi="宋体" w:cs="宋体"/>
                <w:color w:val="auto"/>
                <w:spacing w:val="-1"/>
              </w:rPr>
              <w:t>金</w:t>
            </w:r>
            <w:r>
              <w:rPr>
                <w:rFonts w:ascii="宋体" w:eastAsia="宋体" w:hAnsi="宋体" w:cs="宋体"/>
                <w:color w:val="auto"/>
                <w:spacing w:val="2"/>
              </w:rPr>
              <w:t>线</w:t>
            </w:r>
            <w:r>
              <w:rPr>
                <w:rFonts w:ascii="宋体" w:eastAsia="宋体" w:hAnsi="宋体" w:cs="宋体"/>
                <w:color w:val="auto"/>
              </w:rPr>
              <w:t>鱼</w:t>
            </w:r>
          </w:p>
        </w:tc>
        <w:tc>
          <w:tcPr>
            <w:tcW w:w="1377" w:type="dxa"/>
            <w:tcBorders>
              <w:tl2br w:val="nil"/>
              <w:tr2bl w:val="nil"/>
            </w:tcBorders>
          </w:tcPr>
          <w:p w14:paraId="04E4C59B" w14:textId="77777777" w:rsidR="0075791A" w:rsidRDefault="00FB2864">
            <w:pPr>
              <w:pStyle w:val="TableParagraph"/>
              <w:spacing w:before="59"/>
              <w:ind w:left="337"/>
              <w:rPr>
                <w:rFonts w:ascii="Times New Roman" w:eastAsia="Times New Roman" w:hAnsi="Times New Roman" w:cs="Times New Roman"/>
                <w:color w:val="auto"/>
              </w:rPr>
            </w:pPr>
            <w:r>
              <w:rPr>
                <w:rFonts w:ascii="Times New Roman" w:eastAsia="Times New Roman" w:hAnsi="Times New Roman" w:cs="Times New Roman"/>
                <w:color w:val="auto"/>
                <w:spacing w:val="-5"/>
              </w:rPr>
              <w:t>1</w:t>
            </w:r>
            <w:r>
              <w:rPr>
                <w:rFonts w:ascii="Times New Roman" w:eastAsia="Times New Roman" w:hAnsi="Times New Roman" w:cs="Times New Roman"/>
                <w:color w:val="auto"/>
                <w:spacing w:val="-2"/>
              </w:rPr>
              <w:t>1</w:t>
            </w:r>
            <w:r>
              <w:rPr>
                <w:rFonts w:ascii="Times New Roman" w:eastAsia="Times New Roman" w:hAnsi="Times New Roman" w:cs="Times New Roman"/>
                <w:color w:val="auto"/>
                <w:spacing w:val="1"/>
              </w:rPr>
              <w:t>3</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15</w:t>
            </w:r>
            <w:r>
              <w:rPr>
                <w:rFonts w:ascii="Times New Roman" w:eastAsia="Times New Roman" w:hAnsi="Times New Roman" w:cs="Times New Roman"/>
                <w:color w:val="auto"/>
              </w:rPr>
              <w:t>5</w:t>
            </w:r>
          </w:p>
        </w:tc>
        <w:tc>
          <w:tcPr>
            <w:tcW w:w="1378" w:type="dxa"/>
            <w:tcBorders>
              <w:tl2br w:val="nil"/>
              <w:tr2bl w:val="nil"/>
            </w:tcBorders>
          </w:tcPr>
          <w:p w14:paraId="577D73B2" w14:textId="77777777" w:rsidR="0075791A" w:rsidRDefault="00FB2864">
            <w:pPr>
              <w:pStyle w:val="TableParagraph"/>
              <w:spacing w:before="59"/>
              <w:ind w:left="395"/>
              <w:rPr>
                <w:rFonts w:ascii="Times New Roman" w:eastAsia="Times New Roman" w:hAnsi="Times New Roman" w:cs="Times New Roman"/>
                <w:color w:val="auto"/>
              </w:rPr>
            </w:pPr>
            <w:r>
              <w:rPr>
                <w:rFonts w:ascii="Times New Roman" w:eastAsia="Times New Roman" w:hAnsi="Times New Roman" w:cs="Times New Roman"/>
                <w:color w:val="auto"/>
                <w:spacing w:val="1"/>
              </w:rPr>
              <w:t>128</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2</w:t>
            </w:r>
            <w:r>
              <w:rPr>
                <w:rFonts w:ascii="Times New Roman" w:eastAsia="Times New Roman" w:hAnsi="Times New Roman" w:cs="Times New Roman"/>
                <w:color w:val="auto"/>
              </w:rPr>
              <w:t>5</w:t>
            </w:r>
          </w:p>
        </w:tc>
        <w:tc>
          <w:tcPr>
            <w:tcW w:w="1378" w:type="dxa"/>
            <w:tcBorders>
              <w:tl2br w:val="nil"/>
              <w:tr2bl w:val="nil"/>
            </w:tcBorders>
          </w:tcPr>
          <w:p w14:paraId="02CC49D6" w14:textId="77777777" w:rsidR="0075791A" w:rsidRDefault="00FB2864">
            <w:pPr>
              <w:pStyle w:val="TableParagraph"/>
              <w:spacing w:before="59"/>
              <w:ind w:left="282"/>
              <w:rPr>
                <w:rFonts w:ascii="Times New Roman" w:eastAsia="Times New Roman" w:hAnsi="Times New Roman" w:cs="Times New Roman"/>
                <w:color w:val="auto"/>
              </w:rPr>
            </w:pPr>
            <w:r>
              <w:rPr>
                <w:rFonts w:ascii="Times New Roman" w:eastAsia="Times New Roman" w:hAnsi="Times New Roman" w:cs="Times New Roman"/>
                <w:color w:val="auto"/>
                <w:spacing w:val="1"/>
              </w:rPr>
              <w:t>33</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76</w:t>
            </w:r>
            <w:r>
              <w:rPr>
                <w:rFonts w:ascii="Times New Roman" w:eastAsia="Times New Roman" w:hAnsi="Times New Roman" w:cs="Times New Roman"/>
                <w:color w:val="auto"/>
              </w:rPr>
              <w:t>.7</w:t>
            </w:r>
          </w:p>
        </w:tc>
        <w:tc>
          <w:tcPr>
            <w:tcW w:w="1378" w:type="dxa"/>
            <w:tcBorders>
              <w:tl2br w:val="nil"/>
              <w:tr2bl w:val="nil"/>
            </w:tcBorders>
          </w:tcPr>
          <w:p w14:paraId="723945DF" w14:textId="77777777" w:rsidR="0075791A" w:rsidRDefault="00FB2864">
            <w:pPr>
              <w:pStyle w:val="TableParagraph"/>
              <w:spacing w:before="59"/>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51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5</w:t>
            </w:r>
          </w:p>
        </w:tc>
        <w:tc>
          <w:tcPr>
            <w:tcW w:w="1378" w:type="dxa"/>
            <w:tcBorders>
              <w:tl2br w:val="nil"/>
              <w:tr2bl w:val="nil"/>
            </w:tcBorders>
          </w:tcPr>
          <w:p w14:paraId="1A3A5F85" w14:textId="77777777" w:rsidR="0075791A" w:rsidRDefault="00FB2864">
            <w:pPr>
              <w:pStyle w:val="TableParagraph"/>
              <w:spacing w:before="59"/>
              <w:ind w:left="360"/>
              <w:rPr>
                <w:rFonts w:ascii="Times New Roman" w:eastAsia="Times New Roman" w:hAnsi="Times New Roman" w:cs="Times New Roman"/>
                <w:color w:val="auto"/>
              </w:rPr>
            </w:pPr>
            <w:r>
              <w:rPr>
                <w:rFonts w:ascii="Times New Roman" w:eastAsia="Times New Roman" w:hAnsi="Times New Roman" w:cs="Times New Roman"/>
                <w:color w:val="auto"/>
                <w:spacing w:val="1"/>
              </w:rPr>
              <w:t>68</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7</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p>
        </w:tc>
      </w:tr>
      <w:tr w:rsidR="0075791A" w14:paraId="79A08AC2" w14:textId="77777777">
        <w:trPr>
          <w:trHeight w:val="255"/>
          <w:jc w:val="center"/>
        </w:trPr>
        <w:tc>
          <w:tcPr>
            <w:tcW w:w="1357" w:type="dxa"/>
            <w:tcBorders>
              <w:tl2br w:val="nil"/>
              <w:tr2bl w:val="nil"/>
            </w:tcBorders>
          </w:tcPr>
          <w:p w14:paraId="639A9B19" w14:textId="77777777" w:rsidR="0075791A" w:rsidRDefault="00FB2864">
            <w:pPr>
              <w:pStyle w:val="TableParagraph"/>
              <w:spacing w:line="284" w:lineRule="exact"/>
              <w:ind w:left="357"/>
              <w:rPr>
                <w:rFonts w:ascii="宋体" w:eastAsia="宋体" w:hAnsi="宋体" w:cs="宋体"/>
                <w:color w:val="auto"/>
              </w:rPr>
            </w:pPr>
            <w:r>
              <w:rPr>
                <w:rFonts w:ascii="宋体" w:eastAsia="宋体" w:hAnsi="宋体" w:cs="宋体"/>
                <w:color w:val="auto"/>
                <w:spacing w:val="-1"/>
              </w:rPr>
              <w:t>蓝</w:t>
            </w:r>
            <w:r>
              <w:rPr>
                <w:rFonts w:ascii="宋体" w:eastAsia="宋体" w:hAnsi="宋体" w:cs="宋体"/>
                <w:color w:val="auto"/>
                <w:spacing w:val="2"/>
              </w:rPr>
              <w:t>圆</w:t>
            </w:r>
            <w:r>
              <w:rPr>
                <w:rFonts w:ascii="宋体" w:eastAsia="宋体" w:hAnsi="宋体" w:cs="宋体"/>
                <w:color w:val="auto"/>
              </w:rPr>
              <w:t>鰺</w:t>
            </w:r>
          </w:p>
        </w:tc>
        <w:tc>
          <w:tcPr>
            <w:tcW w:w="1377" w:type="dxa"/>
            <w:tcBorders>
              <w:tl2br w:val="nil"/>
              <w:tr2bl w:val="nil"/>
            </w:tcBorders>
          </w:tcPr>
          <w:p w14:paraId="3D3D0957" w14:textId="77777777" w:rsidR="0075791A" w:rsidRDefault="00FB2864">
            <w:pPr>
              <w:pStyle w:val="TableParagraph"/>
              <w:spacing w:before="58"/>
              <w:ind w:left="385"/>
              <w:rPr>
                <w:rFonts w:ascii="Times New Roman" w:eastAsia="Times New Roman" w:hAnsi="Times New Roman" w:cs="Times New Roman"/>
                <w:color w:val="auto"/>
              </w:rPr>
            </w:pPr>
            <w:r>
              <w:rPr>
                <w:rFonts w:ascii="Times New Roman" w:eastAsia="Times New Roman" w:hAnsi="Times New Roman" w:cs="Times New Roman"/>
                <w:color w:val="auto"/>
                <w:spacing w:val="1"/>
              </w:rPr>
              <w:t>90</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16</w:t>
            </w:r>
            <w:r>
              <w:rPr>
                <w:rFonts w:ascii="Times New Roman" w:eastAsia="Times New Roman" w:hAnsi="Times New Roman" w:cs="Times New Roman"/>
                <w:color w:val="auto"/>
              </w:rPr>
              <w:t>9</w:t>
            </w:r>
          </w:p>
        </w:tc>
        <w:tc>
          <w:tcPr>
            <w:tcW w:w="1378" w:type="dxa"/>
            <w:tcBorders>
              <w:tl2br w:val="nil"/>
              <w:tr2bl w:val="nil"/>
            </w:tcBorders>
          </w:tcPr>
          <w:p w14:paraId="699C20BA" w14:textId="77777777" w:rsidR="0075791A" w:rsidRDefault="00FB2864">
            <w:pPr>
              <w:pStyle w:val="TableParagraph"/>
              <w:spacing w:before="58"/>
              <w:ind w:left="395"/>
              <w:rPr>
                <w:rFonts w:ascii="Times New Roman" w:eastAsia="Times New Roman" w:hAnsi="Times New Roman" w:cs="Times New Roman"/>
                <w:color w:val="auto"/>
              </w:rPr>
            </w:pPr>
            <w:r>
              <w:rPr>
                <w:rFonts w:ascii="Times New Roman" w:eastAsia="Times New Roman" w:hAnsi="Times New Roman" w:cs="Times New Roman"/>
                <w:color w:val="auto"/>
                <w:spacing w:val="1"/>
              </w:rPr>
              <w:t>136</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5</w:t>
            </w:r>
            <w:r>
              <w:rPr>
                <w:rFonts w:ascii="Times New Roman" w:eastAsia="Times New Roman" w:hAnsi="Times New Roman" w:cs="Times New Roman"/>
                <w:color w:val="auto"/>
              </w:rPr>
              <w:t>6</w:t>
            </w:r>
          </w:p>
        </w:tc>
        <w:tc>
          <w:tcPr>
            <w:tcW w:w="1378" w:type="dxa"/>
            <w:tcBorders>
              <w:tl2br w:val="nil"/>
              <w:tr2bl w:val="nil"/>
            </w:tcBorders>
          </w:tcPr>
          <w:p w14:paraId="25A05C69" w14:textId="77777777" w:rsidR="0075791A" w:rsidRDefault="00FB2864">
            <w:pPr>
              <w:pStyle w:val="TableParagraph"/>
              <w:spacing w:before="58"/>
              <w:ind w:left="284"/>
              <w:rPr>
                <w:rFonts w:ascii="Times New Roman" w:eastAsia="Times New Roman" w:hAnsi="Times New Roman" w:cs="Times New Roman"/>
                <w:color w:val="auto"/>
              </w:rPr>
            </w:pPr>
            <w:r>
              <w:rPr>
                <w:rFonts w:ascii="Times New Roman" w:eastAsia="Times New Roman" w:hAnsi="Times New Roman" w:cs="Times New Roman"/>
                <w:color w:val="auto"/>
                <w:spacing w:val="-5"/>
              </w:rPr>
              <w:t>1</w:t>
            </w:r>
            <w:r>
              <w:rPr>
                <w:rFonts w:ascii="Times New Roman" w:eastAsia="Times New Roman" w:hAnsi="Times New Roman" w:cs="Times New Roman"/>
                <w:color w:val="auto"/>
                <w:spacing w:val="-2"/>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82</w:t>
            </w:r>
            <w:r>
              <w:rPr>
                <w:rFonts w:ascii="Times New Roman" w:eastAsia="Times New Roman" w:hAnsi="Times New Roman" w:cs="Times New Roman"/>
                <w:color w:val="auto"/>
              </w:rPr>
              <w:t>.9</w:t>
            </w:r>
          </w:p>
        </w:tc>
        <w:tc>
          <w:tcPr>
            <w:tcW w:w="1378" w:type="dxa"/>
            <w:tcBorders>
              <w:tl2br w:val="nil"/>
              <w:tr2bl w:val="nil"/>
            </w:tcBorders>
          </w:tcPr>
          <w:p w14:paraId="1405DDA5" w14:textId="77777777" w:rsidR="0075791A" w:rsidRDefault="00FB2864">
            <w:pPr>
              <w:pStyle w:val="TableParagraph"/>
              <w:spacing w:before="58"/>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48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6</w:t>
            </w:r>
          </w:p>
        </w:tc>
        <w:tc>
          <w:tcPr>
            <w:tcW w:w="1378" w:type="dxa"/>
            <w:tcBorders>
              <w:tl2br w:val="nil"/>
              <w:tr2bl w:val="nil"/>
            </w:tcBorders>
          </w:tcPr>
          <w:p w14:paraId="4014D0F1" w14:textId="77777777" w:rsidR="0075791A" w:rsidRDefault="00FB2864">
            <w:pPr>
              <w:pStyle w:val="TableParagraph"/>
              <w:spacing w:before="58"/>
              <w:ind w:left="360"/>
              <w:rPr>
                <w:rFonts w:ascii="Times New Roman" w:eastAsia="Times New Roman" w:hAnsi="Times New Roman" w:cs="Times New Roman"/>
                <w:color w:val="auto"/>
              </w:rPr>
            </w:pPr>
            <w:r>
              <w:rPr>
                <w:rFonts w:ascii="Times New Roman" w:eastAsia="Times New Roman" w:hAnsi="Times New Roman" w:cs="Times New Roman"/>
                <w:color w:val="auto"/>
                <w:spacing w:val="1"/>
              </w:rPr>
              <w:t>66</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6</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w:t>
            </w:r>
          </w:p>
        </w:tc>
      </w:tr>
      <w:tr w:rsidR="0075791A" w14:paraId="7C5136F2" w14:textId="77777777">
        <w:trPr>
          <w:trHeight w:val="255"/>
          <w:jc w:val="center"/>
        </w:trPr>
        <w:tc>
          <w:tcPr>
            <w:tcW w:w="1357" w:type="dxa"/>
            <w:tcBorders>
              <w:tl2br w:val="nil"/>
              <w:tr2bl w:val="nil"/>
            </w:tcBorders>
          </w:tcPr>
          <w:p w14:paraId="1EF8332F" w14:textId="77777777" w:rsidR="0075791A" w:rsidRDefault="00FB2864">
            <w:pPr>
              <w:pStyle w:val="TableParagraph"/>
              <w:spacing w:line="285" w:lineRule="exact"/>
              <w:ind w:left="148"/>
              <w:rPr>
                <w:rFonts w:ascii="宋体" w:eastAsia="宋体" w:hAnsi="宋体" w:cs="宋体"/>
                <w:color w:val="auto"/>
              </w:rPr>
            </w:pPr>
            <w:r>
              <w:rPr>
                <w:rFonts w:ascii="宋体" w:eastAsia="宋体" w:hAnsi="宋体" w:cs="宋体"/>
                <w:color w:val="auto"/>
                <w:spacing w:val="-1"/>
              </w:rPr>
              <w:t>棕</w:t>
            </w:r>
            <w:r>
              <w:rPr>
                <w:rFonts w:ascii="宋体" w:eastAsia="宋体" w:hAnsi="宋体" w:cs="宋体"/>
                <w:color w:val="auto"/>
                <w:spacing w:val="2"/>
              </w:rPr>
              <w:t>斑</w:t>
            </w:r>
            <w:r>
              <w:rPr>
                <w:rFonts w:ascii="宋体" w:eastAsia="宋体" w:hAnsi="宋体" w:cs="宋体"/>
                <w:color w:val="auto"/>
                <w:spacing w:val="-1"/>
              </w:rPr>
              <w:t>兔</w:t>
            </w:r>
            <w:r>
              <w:rPr>
                <w:rFonts w:ascii="宋体" w:eastAsia="宋体" w:hAnsi="宋体" w:cs="宋体"/>
                <w:color w:val="auto"/>
                <w:spacing w:val="2"/>
              </w:rPr>
              <w:t>头</w:t>
            </w:r>
            <w:r>
              <w:rPr>
                <w:rFonts w:ascii="宋体" w:eastAsia="宋体" w:hAnsi="宋体" w:cs="宋体"/>
                <w:color w:val="auto"/>
              </w:rPr>
              <w:t>魨</w:t>
            </w:r>
          </w:p>
        </w:tc>
        <w:tc>
          <w:tcPr>
            <w:tcW w:w="1377" w:type="dxa"/>
            <w:tcBorders>
              <w:tl2br w:val="nil"/>
              <w:tr2bl w:val="nil"/>
            </w:tcBorders>
          </w:tcPr>
          <w:p w14:paraId="32D04B8C" w14:textId="77777777" w:rsidR="0075791A" w:rsidRDefault="00FB2864">
            <w:pPr>
              <w:pStyle w:val="TableParagraph"/>
              <w:spacing w:before="59"/>
              <w:ind w:left="385"/>
              <w:rPr>
                <w:rFonts w:ascii="Times New Roman" w:eastAsia="Times New Roman" w:hAnsi="Times New Roman" w:cs="Times New Roman"/>
                <w:color w:val="auto"/>
              </w:rPr>
            </w:pPr>
            <w:r>
              <w:rPr>
                <w:rFonts w:ascii="Times New Roman" w:eastAsia="Times New Roman" w:hAnsi="Times New Roman" w:cs="Times New Roman"/>
                <w:color w:val="auto"/>
                <w:spacing w:val="1"/>
              </w:rPr>
              <w:t>55</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26</w:t>
            </w:r>
            <w:r>
              <w:rPr>
                <w:rFonts w:ascii="Times New Roman" w:eastAsia="Times New Roman" w:hAnsi="Times New Roman" w:cs="Times New Roman"/>
                <w:color w:val="auto"/>
              </w:rPr>
              <w:t>6</w:t>
            </w:r>
          </w:p>
        </w:tc>
        <w:tc>
          <w:tcPr>
            <w:tcW w:w="1378" w:type="dxa"/>
            <w:tcBorders>
              <w:tl2br w:val="nil"/>
              <w:tr2bl w:val="nil"/>
            </w:tcBorders>
          </w:tcPr>
          <w:p w14:paraId="7BEEF98C" w14:textId="77777777" w:rsidR="0075791A" w:rsidRDefault="00FB2864">
            <w:pPr>
              <w:pStyle w:val="TableParagraph"/>
              <w:spacing w:before="59"/>
              <w:ind w:left="400"/>
              <w:rPr>
                <w:rFonts w:ascii="Times New Roman" w:eastAsia="Times New Roman" w:hAnsi="Times New Roman" w:cs="Times New Roman"/>
                <w:color w:val="auto"/>
              </w:rPr>
            </w:pPr>
            <w:r>
              <w:rPr>
                <w:rFonts w:ascii="Times New Roman" w:eastAsia="Times New Roman" w:hAnsi="Times New Roman" w:cs="Times New Roman"/>
                <w:color w:val="auto"/>
                <w:spacing w:val="-5"/>
              </w:rPr>
              <w:t>1</w:t>
            </w:r>
            <w:r>
              <w:rPr>
                <w:rFonts w:ascii="Times New Roman" w:eastAsia="Times New Roman" w:hAnsi="Times New Roman" w:cs="Times New Roman"/>
                <w:color w:val="auto"/>
                <w:spacing w:val="-2"/>
              </w:rPr>
              <w:t>15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1378" w:type="dxa"/>
            <w:tcBorders>
              <w:tl2br w:val="nil"/>
              <w:tr2bl w:val="nil"/>
            </w:tcBorders>
          </w:tcPr>
          <w:p w14:paraId="19E858D6" w14:textId="77777777" w:rsidR="0075791A" w:rsidRDefault="00FB2864">
            <w:pPr>
              <w:pStyle w:val="TableParagraph"/>
              <w:spacing w:before="59"/>
              <w:ind w:left="284"/>
              <w:rPr>
                <w:rFonts w:ascii="Times New Roman" w:eastAsia="Times New Roman" w:hAnsi="Times New Roman" w:cs="Times New Roman"/>
                <w:color w:val="auto"/>
              </w:rPr>
            </w:pP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2"/>
              </w:rPr>
              <w:t>117</w:t>
            </w:r>
            <w:r>
              <w:rPr>
                <w:rFonts w:ascii="Times New Roman" w:eastAsia="Times New Roman" w:hAnsi="Times New Roman" w:cs="Times New Roman"/>
                <w:color w:val="auto"/>
              </w:rPr>
              <w:t>.7</w:t>
            </w:r>
          </w:p>
        </w:tc>
        <w:tc>
          <w:tcPr>
            <w:tcW w:w="1378" w:type="dxa"/>
            <w:tcBorders>
              <w:tl2br w:val="nil"/>
              <w:tr2bl w:val="nil"/>
            </w:tcBorders>
          </w:tcPr>
          <w:p w14:paraId="01A4CFA8" w14:textId="77777777" w:rsidR="0075791A" w:rsidRDefault="00FB2864">
            <w:pPr>
              <w:pStyle w:val="TableParagraph"/>
              <w:spacing w:before="59"/>
              <w:ind w:left="394"/>
              <w:rPr>
                <w:rFonts w:ascii="Times New Roman" w:eastAsia="Times New Roman" w:hAnsi="Times New Roman" w:cs="Times New Roman"/>
                <w:color w:val="auto"/>
              </w:rPr>
            </w:pPr>
            <w:r>
              <w:rPr>
                <w:rFonts w:ascii="Times New Roman" w:eastAsia="Times New Roman" w:hAnsi="Times New Roman" w:cs="Times New Roman"/>
                <w:color w:val="auto"/>
                <w:spacing w:val="1"/>
              </w:rPr>
              <w:t>122</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rPr>
              <w:t>7</w:t>
            </w:r>
          </w:p>
        </w:tc>
        <w:tc>
          <w:tcPr>
            <w:tcW w:w="1378" w:type="dxa"/>
            <w:tcBorders>
              <w:tl2br w:val="nil"/>
              <w:tr2bl w:val="nil"/>
            </w:tcBorders>
          </w:tcPr>
          <w:p w14:paraId="2ABEFF34" w14:textId="77777777" w:rsidR="0075791A" w:rsidRDefault="00FB2864">
            <w:pPr>
              <w:pStyle w:val="TableParagraph"/>
              <w:spacing w:before="59"/>
              <w:ind w:left="360"/>
              <w:rPr>
                <w:rFonts w:ascii="Times New Roman" w:eastAsia="Times New Roman" w:hAnsi="Times New Roman" w:cs="Times New Roman"/>
                <w:color w:val="auto"/>
              </w:rPr>
            </w:pPr>
            <w:r>
              <w:rPr>
                <w:rFonts w:ascii="Times New Roman" w:eastAsia="Times New Roman" w:hAnsi="Times New Roman" w:cs="Times New Roman"/>
                <w:color w:val="auto"/>
                <w:spacing w:val="1"/>
              </w:rPr>
              <w:t>66</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6</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w:t>
            </w:r>
          </w:p>
        </w:tc>
      </w:tr>
      <w:tr w:rsidR="0075791A" w14:paraId="35AACF22" w14:textId="77777777">
        <w:trPr>
          <w:trHeight w:val="255"/>
          <w:jc w:val="center"/>
        </w:trPr>
        <w:tc>
          <w:tcPr>
            <w:tcW w:w="1357" w:type="dxa"/>
            <w:tcBorders>
              <w:tl2br w:val="nil"/>
              <w:tr2bl w:val="nil"/>
            </w:tcBorders>
          </w:tcPr>
          <w:p w14:paraId="52B5CB13" w14:textId="77777777" w:rsidR="0075791A" w:rsidRDefault="00FB2864">
            <w:pPr>
              <w:pStyle w:val="TableParagraph"/>
              <w:spacing w:line="284" w:lineRule="exact"/>
              <w:ind w:left="357"/>
              <w:rPr>
                <w:rFonts w:ascii="宋体" w:eastAsia="宋体" w:hAnsi="宋体" w:cs="宋体"/>
                <w:color w:val="auto"/>
              </w:rPr>
            </w:pPr>
            <w:r>
              <w:rPr>
                <w:rFonts w:ascii="宋体" w:eastAsia="宋体" w:hAnsi="宋体" w:cs="宋体"/>
                <w:color w:val="auto"/>
                <w:spacing w:val="-1"/>
              </w:rPr>
              <w:t>金</w:t>
            </w:r>
            <w:r>
              <w:rPr>
                <w:rFonts w:ascii="宋体" w:eastAsia="宋体" w:hAnsi="宋体" w:cs="宋体"/>
                <w:color w:val="auto"/>
                <w:spacing w:val="2"/>
              </w:rPr>
              <w:t>线</w:t>
            </w:r>
            <w:r>
              <w:rPr>
                <w:rFonts w:ascii="宋体" w:eastAsia="宋体" w:hAnsi="宋体" w:cs="宋体"/>
                <w:color w:val="auto"/>
              </w:rPr>
              <w:t>鱼</w:t>
            </w:r>
          </w:p>
        </w:tc>
        <w:tc>
          <w:tcPr>
            <w:tcW w:w="1377" w:type="dxa"/>
            <w:tcBorders>
              <w:tl2br w:val="nil"/>
              <w:tr2bl w:val="nil"/>
            </w:tcBorders>
          </w:tcPr>
          <w:p w14:paraId="233C8261" w14:textId="77777777" w:rsidR="0075791A" w:rsidRDefault="00FB2864">
            <w:pPr>
              <w:pStyle w:val="TableParagraph"/>
              <w:spacing w:before="58"/>
              <w:ind w:left="332"/>
              <w:rPr>
                <w:rFonts w:ascii="Times New Roman" w:eastAsia="Times New Roman" w:hAnsi="Times New Roman" w:cs="Times New Roman"/>
                <w:color w:val="auto"/>
              </w:rPr>
            </w:pPr>
            <w:r>
              <w:rPr>
                <w:rFonts w:ascii="Times New Roman" w:eastAsia="Times New Roman" w:hAnsi="Times New Roman" w:cs="Times New Roman"/>
                <w:color w:val="auto"/>
                <w:spacing w:val="1"/>
              </w:rPr>
              <w:t>123</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13</w:t>
            </w:r>
            <w:r>
              <w:rPr>
                <w:rFonts w:ascii="Times New Roman" w:eastAsia="Times New Roman" w:hAnsi="Times New Roman" w:cs="Times New Roman"/>
                <w:color w:val="auto"/>
              </w:rPr>
              <w:t>6</w:t>
            </w:r>
          </w:p>
        </w:tc>
        <w:tc>
          <w:tcPr>
            <w:tcW w:w="1378" w:type="dxa"/>
            <w:tcBorders>
              <w:tl2br w:val="nil"/>
              <w:tr2bl w:val="nil"/>
            </w:tcBorders>
          </w:tcPr>
          <w:p w14:paraId="63627AFC" w14:textId="77777777" w:rsidR="0075791A" w:rsidRDefault="00FB2864">
            <w:pPr>
              <w:pStyle w:val="TableParagraph"/>
              <w:spacing w:before="58"/>
              <w:ind w:left="395"/>
              <w:rPr>
                <w:rFonts w:ascii="Times New Roman" w:eastAsia="Times New Roman" w:hAnsi="Times New Roman" w:cs="Times New Roman"/>
                <w:color w:val="auto"/>
              </w:rPr>
            </w:pPr>
            <w:r>
              <w:rPr>
                <w:rFonts w:ascii="Times New Roman" w:eastAsia="Times New Roman" w:hAnsi="Times New Roman" w:cs="Times New Roman"/>
                <w:color w:val="auto"/>
                <w:spacing w:val="1"/>
              </w:rPr>
              <w:t>128</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rPr>
              <w:t>3</w:t>
            </w:r>
          </w:p>
        </w:tc>
        <w:tc>
          <w:tcPr>
            <w:tcW w:w="1378" w:type="dxa"/>
            <w:tcBorders>
              <w:tl2br w:val="nil"/>
              <w:tr2bl w:val="nil"/>
            </w:tcBorders>
          </w:tcPr>
          <w:p w14:paraId="5414F4C8" w14:textId="77777777" w:rsidR="0075791A" w:rsidRDefault="00FB2864">
            <w:pPr>
              <w:pStyle w:val="TableParagraph"/>
              <w:spacing w:before="58"/>
              <w:ind w:left="282"/>
              <w:rPr>
                <w:rFonts w:ascii="Times New Roman" w:eastAsia="Times New Roman" w:hAnsi="Times New Roman" w:cs="Times New Roman"/>
                <w:color w:val="auto"/>
              </w:rPr>
            </w:pPr>
            <w:r>
              <w:rPr>
                <w:rFonts w:ascii="Times New Roman" w:eastAsia="Times New Roman" w:hAnsi="Times New Roman" w:cs="Times New Roman"/>
                <w:color w:val="auto"/>
                <w:spacing w:val="1"/>
              </w:rPr>
              <w:t>43</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55</w:t>
            </w:r>
            <w:r>
              <w:rPr>
                <w:rFonts w:ascii="Times New Roman" w:eastAsia="Times New Roman" w:hAnsi="Times New Roman" w:cs="Times New Roman"/>
                <w:color w:val="auto"/>
              </w:rPr>
              <w:t>.3</w:t>
            </w:r>
          </w:p>
        </w:tc>
        <w:tc>
          <w:tcPr>
            <w:tcW w:w="1378" w:type="dxa"/>
            <w:tcBorders>
              <w:tl2br w:val="nil"/>
              <w:tr2bl w:val="nil"/>
            </w:tcBorders>
          </w:tcPr>
          <w:p w14:paraId="42FF7153" w14:textId="77777777" w:rsidR="0075791A" w:rsidRDefault="00FB2864">
            <w:pPr>
              <w:pStyle w:val="TableParagraph"/>
              <w:spacing w:before="58"/>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48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7</w:t>
            </w:r>
          </w:p>
        </w:tc>
        <w:tc>
          <w:tcPr>
            <w:tcW w:w="1378" w:type="dxa"/>
            <w:tcBorders>
              <w:tl2br w:val="nil"/>
              <w:tr2bl w:val="nil"/>
            </w:tcBorders>
          </w:tcPr>
          <w:p w14:paraId="5CAB60BB" w14:textId="77777777" w:rsidR="0075791A" w:rsidRDefault="00FB2864">
            <w:pPr>
              <w:pStyle w:val="TableParagraph"/>
              <w:spacing w:before="58"/>
              <w:ind w:left="360"/>
              <w:rPr>
                <w:rFonts w:ascii="Times New Roman" w:eastAsia="Times New Roman" w:hAnsi="Times New Roman" w:cs="Times New Roman"/>
                <w:color w:val="auto"/>
              </w:rPr>
            </w:pPr>
            <w:r>
              <w:rPr>
                <w:rFonts w:ascii="Times New Roman" w:eastAsia="Times New Roman" w:hAnsi="Times New Roman" w:cs="Times New Roman"/>
                <w:color w:val="auto"/>
                <w:spacing w:val="1"/>
              </w:rPr>
              <w:t>66</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6</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w:t>
            </w:r>
          </w:p>
        </w:tc>
      </w:tr>
      <w:tr w:rsidR="0075791A" w14:paraId="33EF2AA0" w14:textId="77777777">
        <w:trPr>
          <w:trHeight w:val="255"/>
          <w:jc w:val="center"/>
        </w:trPr>
        <w:tc>
          <w:tcPr>
            <w:tcW w:w="1357" w:type="dxa"/>
            <w:tcBorders>
              <w:tl2br w:val="nil"/>
              <w:tr2bl w:val="nil"/>
            </w:tcBorders>
          </w:tcPr>
          <w:p w14:paraId="74D92616" w14:textId="77777777" w:rsidR="0075791A" w:rsidRDefault="00FB2864">
            <w:pPr>
              <w:pStyle w:val="TableParagraph"/>
              <w:spacing w:line="285" w:lineRule="exact"/>
              <w:ind w:left="357"/>
              <w:rPr>
                <w:rFonts w:ascii="宋体" w:eastAsia="宋体" w:hAnsi="宋体" w:cs="宋体"/>
                <w:color w:val="auto"/>
              </w:rPr>
            </w:pPr>
            <w:r>
              <w:rPr>
                <w:rFonts w:ascii="宋体" w:eastAsia="宋体" w:hAnsi="宋体" w:cs="宋体"/>
                <w:color w:val="auto"/>
                <w:spacing w:val="-1"/>
              </w:rPr>
              <w:t>条</w:t>
            </w:r>
            <w:r>
              <w:rPr>
                <w:rFonts w:ascii="宋体" w:eastAsia="宋体" w:hAnsi="宋体" w:cs="宋体"/>
                <w:color w:val="auto"/>
                <w:spacing w:val="2"/>
              </w:rPr>
              <w:t>纹</w:t>
            </w:r>
            <w:r>
              <w:rPr>
                <w:rFonts w:ascii="宋体" w:eastAsia="宋体" w:hAnsi="宋体" w:cs="宋体"/>
                <w:color w:val="auto"/>
              </w:rPr>
              <w:t>鯻</w:t>
            </w:r>
          </w:p>
        </w:tc>
        <w:tc>
          <w:tcPr>
            <w:tcW w:w="1377" w:type="dxa"/>
            <w:tcBorders>
              <w:tl2br w:val="nil"/>
              <w:tr2bl w:val="nil"/>
            </w:tcBorders>
          </w:tcPr>
          <w:p w14:paraId="499718EC" w14:textId="77777777" w:rsidR="0075791A" w:rsidRDefault="00FB2864">
            <w:pPr>
              <w:pStyle w:val="TableParagraph"/>
              <w:spacing w:before="59"/>
              <w:ind w:left="385"/>
              <w:rPr>
                <w:rFonts w:ascii="Times New Roman" w:eastAsia="Times New Roman" w:hAnsi="Times New Roman" w:cs="Times New Roman"/>
                <w:color w:val="auto"/>
              </w:rPr>
            </w:pPr>
            <w:r>
              <w:rPr>
                <w:rFonts w:ascii="Times New Roman" w:eastAsia="Times New Roman" w:hAnsi="Times New Roman" w:cs="Times New Roman"/>
                <w:color w:val="auto"/>
                <w:spacing w:val="1"/>
              </w:rPr>
              <w:t>69</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10</w:t>
            </w:r>
            <w:r>
              <w:rPr>
                <w:rFonts w:ascii="Times New Roman" w:eastAsia="Times New Roman" w:hAnsi="Times New Roman" w:cs="Times New Roman"/>
                <w:color w:val="auto"/>
              </w:rPr>
              <w:t>1</w:t>
            </w:r>
          </w:p>
        </w:tc>
        <w:tc>
          <w:tcPr>
            <w:tcW w:w="1378" w:type="dxa"/>
            <w:tcBorders>
              <w:tl2br w:val="nil"/>
              <w:tr2bl w:val="nil"/>
            </w:tcBorders>
          </w:tcPr>
          <w:p w14:paraId="44A3E42F" w14:textId="77777777" w:rsidR="0075791A" w:rsidRDefault="00FB2864">
            <w:pPr>
              <w:pStyle w:val="TableParagraph"/>
              <w:spacing w:before="59"/>
              <w:ind w:left="448"/>
              <w:rPr>
                <w:rFonts w:ascii="Times New Roman" w:eastAsia="Times New Roman" w:hAnsi="Times New Roman" w:cs="Times New Roman"/>
                <w:color w:val="auto"/>
              </w:rPr>
            </w:pPr>
            <w:r>
              <w:rPr>
                <w:rFonts w:ascii="Times New Roman" w:eastAsia="Times New Roman" w:hAnsi="Times New Roman" w:cs="Times New Roman"/>
                <w:color w:val="auto"/>
                <w:spacing w:val="1"/>
              </w:rPr>
              <w:t>83</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0</w:t>
            </w:r>
          </w:p>
        </w:tc>
        <w:tc>
          <w:tcPr>
            <w:tcW w:w="1378" w:type="dxa"/>
            <w:tcBorders>
              <w:tl2br w:val="nil"/>
              <w:tr2bl w:val="nil"/>
            </w:tcBorders>
          </w:tcPr>
          <w:p w14:paraId="5E75BFBB" w14:textId="77777777" w:rsidR="0075791A" w:rsidRDefault="00FB2864">
            <w:pPr>
              <w:pStyle w:val="TableParagraph"/>
              <w:spacing w:before="59"/>
              <w:ind w:left="335"/>
              <w:rPr>
                <w:rFonts w:ascii="Times New Roman" w:eastAsia="Times New Roman" w:hAnsi="Times New Roman" w:cs="Times New Roman"/>
                <w:color w:val="auto"/>
              </w:rPr>
            </w:pPr>
            <w:r>
              <w:rPr>
                <w:rFonts w:ascii="Times New Roman" w:eastAsia="Times New Roman" w:hAnsi="Times New Roman" w:cs="Times New Roman"/>
                <w:color w:val="auto"/>
                <w:spacing w:val="1"/>
              </w:rPr>
              <w:t>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27</w:t>
            </w:r>
            <w:r>
              <w:rPr>
                <w:rFonts w:ascii="Times New Roman" w:eastAsia="Times New Roman" w:hAnsi="Times New Roman" w:cs="Times New Roman"/>
                <w:color w:val="auto"/>
              </w:rPr>
              <w:t>.1</w:t>
            </w:r>
          </w:p>
        </w:tc>
        <w:tc>
          <w:tcPr>
            <w:tcW w:w="1378" w:type="dxa"/>
            <w:tcBorders>
              <w:tl2br w:val="nil"/>
              <w:tr2bl w:val="nil"/>
            </w:tcBorders>
          </w:tcPr>
          <w:p w14:paraId="66494EE9" w14:textId="77777777" w:rsidR="0075791A" w:rsidRDefault="00FB2864">
            <w:pPr>
              <w:pStyle w:val="TableParagraph"/>
              <w:spacing w:before="59"/>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15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6</w:t>
            </w:r>
          </w:p>
        </w:tc>
        <w:tc>
          <w:tcPr>
            <w:tcW w:w="1378" w:type="dxa"/>
            <w:tcBorders>
              <w:tl2br w:val="nil"/>
              <w:tr2bl w:val="nil"/>
            </w:tcBorders>
          </w:tcPr>
          <w:p w14:paraId="256522A7" w14:textId="77777777" w:rsidR="0075791A" w:rsidRDefault="00FB2864">
            <w:pPr>
              <w:pStyle w:val="TableParagraph"/>
              <w:spacing w:before="59"/>
              <w:ind w:left="360"/>
              <w:rPr>
                <w:rFonts w:ascii="Times New Roman" w:eastAsia="Times New Roman" w:hAnsi="Times New Roman" w:cs="Times New Roman"/>
                <w:color w:val="auto"/>
              </w:rPr>
            </w:pPr>
            <w:r>
              <w:rPr>
                <w:rFonts w:ascii="Times New Roman" w:eastAsia="Times New Roman" w:hAnsi="Times New Roman" w:cs="Times New Roman"/>
                <w:color w:val="auto"/>
                <w:spacing w:val="1"/>
              </w:rPr>
              <w:t>60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p>
        </w:tc>
      </w:tr>
      <w:tr w:rsidR="0075791A" w14:paraId="6043BBBD" w14:textId="77777777">
        <w:trPr>
          <w:trHeight w:val="255"/>
          <w:jc w:val="center"/>
        </w:trPr>
        <w:tc>
          <w:tcPr>
            <w:tcW w:w="1357" w:type="dxa"/>
            <w:tcBorders>
              <w:tl2br w:val="nil"/>
              <w:tr2bl w:val="nil"/>
            </w:tcBorders>
          </w:tcPr>
          <w:p w14:paraId="7942FA50" w14:textId="77777777" w:rsidR="0075791A" w:rsidRDefault="00FB2864">
            <w:pPr>
              <w:pStyle w:val="TableParagraph"/>
              <w:spacing w:line="284" w:lineRule="exact"/>
              <w:ind w:left="254"/>
              <w:rPr>
                <w:rFonts w:ascii="宋体" w:eastAsia="宋体" w:hAnsi="宋体" w:cs="宋体"/>
                <w:color w:val="auto"/>
              </w:rPr>
            </w:pPr>
            <w:r>
              <w:rPr>
                <w:rFonts w:ascii="宋体" w:eastAsia="宋体" w:hAnsi="宋体" w:cs="宋体"/>
                <w:color w:val="auto"/>
                <w:spacing w:val="-1"/>
              </w:rPr>
              <w:t>大</w:t>
            </w:r>
            <w:r>
              <w:rPr>
                <w:rFonts w:ascii="宋体" w:eastAsia="宋体" w:hAnsi="宋体" w:cs="宋体"/>
                <w:color w:val="auto"/>
                <w:spacing w:val="2"/>
              </w:rPr>
              <w:t>头</w:t>
            </w:r>
            <w:r>
              <w:rPr>
                <w:rFonts w:ascii="宋体" w:eastAsia="宋体" w:hAnsi="宋体" w:cs="宋体"/>
                <w:color w:val="auto"/>
                <w:spacing w:val="-1"/>
              </w:rPr>
              <w:t>狗</w:t>
            </w:r>
            <w:r>
              <w:rPr>
                <w:rFonts w:ascii="宋体" w:eastAsia="宋体" w:hAnsi="宋体" w:cs="宋体"/>
                <w:color w:val="auto"/>
              </w:rPr>
              <w:t>母</w:t>
            </w:r>
          </w:p>
        </w:tc>
        <w:tc>
          <w:tcPr>
            <w:tcW w:w="1377" w:type="dxa"/>
            <w:tcBorders>
              <w:tl2br w:val="nil"/>
              <w:tr2bl w:val="nil"/>
            </w:tcBorders>
          </w:tcPr>
          <w:p w14:paraId="1989C620" w14:textId="77777777" w:rsidR="0075791A" w:rsidRDefault="00FB2864">
            <w:pPr>
              <w:pStyle w:val="TableParagraph"/>
              <w:spacing w:before="58"/>
              <w:ind w:left="385"/>
              <w:rPr>
                <w:rFonts w:ascii="Times New Roman" w:eastAsia="Times New Roman" w:hAnsi="Times New Roman" w:cs="Times New Roman"/>
                <w:color w:val="auto"/>
              </w:rPr>
            </w:pPr>
            <w:r>
              <w:rPr>
                <w:rFonts w:ascii="Times New Roman" w:eastAsia="Times New Roman" w:hAnsi="Times New Roman" w:cs="Times New Roman"/>
                <w:color w:val="auto"/>
                <w:spacing w:val="1"/>
              </w:rPr>
              <w:t>51</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19</w:t>
            </w:r>
            <w:r>
              <w:rPr>
                <w:rFonts w:ascii="Times New Roman" w:eastAsia="Times New Roman" w:hAnsi="Times New Roman" w:cs="Times New Roman"/>
                <w:color w:val="auto"/>
              </w:rPr>
              <w:t>9</w:t>
            </w:r>
          </w:p>
        </w:tc>
        <w:tc>
          <w:tcPr>
            <w:tcW w:w="1378" w:type="dxa"/>
            <w:tcBorders>
              <w:tl2br w:val="nil"/>
              <w:tr2bl w:val="nil"/>
            </w:tcBorders>
          </w:tcPr>
          <w:p w14:paraId="5582853A" w14:textId="77777777" w:rsidR="0075791A" w:rsidRDefault="00FB2864">
            <w:pPr>
              <w:pStyle w:val="TableParagraph"/>
              <w:spacing w:before="58"/>
              <w:ind w:left="395"/>
              <w:rPr>
                <w:rFonts w:ascii="Times New Roman" w:eastAsia="Times New Roman" w:hAnsi="Times New Roman" w:cs="Times New Roman"/>
                <w:color w:val="auto"/>
              </w:rPr>
            </w:pPr>
            <w:r>
              <w:rPr>
                <w:rFonts w:ascii="Times New Roman" w:eastAsia="Times New Roman" w:hAnsi="Times New Roman" w:cs="Times New Roman"/>
                <w:color w:val="auto"/>
                <w:spacing w:val="1"/>
              </w:rPr>
              <w:t>120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5</w:t>
            </w:r>
            <w:r>
              <w:rPr>
                <w:rFonts w:ascii="Times New Roman" w:eastAsia="Times New Roman" w:hAnsi="Times New Roman" w:cs="Times New Roman"/>
                <w:color w:val="auto"/>
              </w:rPr>
              <w:t>0</w:t>
            </w:r>
          </w:p>
        </w:tc>
        <w:tc>
          <w:tcPr>
            <w:tcW w:w="1378" w:type="dxa"/>
            <w:tcBorders>
              <w:tl2br w:val="nil"/>
              <w:tr2bl w:val="nil"/>
            </w:tcBorders>
          </w:tcPr>
          <w:p w14:paraId="0B3DE67A" w14:textId="77777777" w:rsidR="0075791A" w:rsidRDefault="00FB2864">
            <w:pPr>
              <w:pStyle w:val="TableParagraph"/>
              <w:spacing w:before="58"/>
              <w:ind w:left="335"/>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95</w:t>
            </w:r>
            <w:r>
              <w:rPr>
                <w:rFonts w:ascii="Times New Roman" w:eastAsia="Times New Roman" w:hAnsi="Times New Roman" w:cs="Times New Roman"/>
                <w:color w:val="auto"/>
              </w:rPr>
              <w:t>.7</w:t>
            </w:r>
          </w:p>
        </w:tc>
        <w:tc>
          <w:tcPr>
            <w:tcW w:w="1378" w:type="dxa"/>
            <w:tcBorders>
              <w:tl2br w:val="nil"/>
              <w:tr2bl w:val="nil"/>
            </w:tcBorders>
          </w:tcPr>
          <w:p w14:paraId="60BF9914" w14:textId="77777777" w:rsidR="0075791A" w:rsidRDefault="00FB2864">
            <w:pPr>
              <w:pStyle w:val="TableParagraph"/>
              <w:spacing w:before="58"/>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30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3</w:t>
            </w:r>
          </w:p>
        </w:tc>
        <w:tc>
          <w:tcPr>
            <w:tcW w:w="1378" w:type="dxa"/>
            <w:tcBorders>
              <w:tl2br w:val="nil"/>
              <w:tr2bl w:val="nil"/>
            </w:tcBorders>
          </w:tcPr>
          <w:p w14:paraId="31608E66" w14:textId="77777777" w:rsidR="0075791A" w:rsidRDefault="00FB2864">
            <w:pPr>
              <w:pStyle w:val="TableParagraph"/>
              <w:spacing w:before="58"/>
              <w:ind w:left="360"/>
              <w:rPr>
                <w:rFonts w:ascii="Times New Roman" w:eastAsia="Times New Roman" w:hAnsi="Times New Roman" w:cs="Times New Roman"/>
                <w:color w:val="auto"/>
              </w:rPr>
            </w:pPr>
            <w:r>
              <w:rPr>
                <w:rFonts w:ascii="Times New Roman" w:eastAsia="Times New Roman" w:hAnsi="Times New Roman" w:cs="Times New Roman"/>
                <w:color w:val="auto"/>
                <w:spacing w:val="1"/>
              </w:rPr>
              <w:t>58</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p>
        </w:tc>
      </w:tr>
      <w:tr w:rsidR="0075791A" w14:paraId="6960AE44" w14:textId="77777777">
        <w:trPr>
          <w:trHeight w:val="255"/>
          <w:jc w:val="center"/>
        </w:trPr>
        <w:tc>
          <w:tcPr>
            <w:tcW w:w="1357" w:type="dxa"/>
            <w:tcBorders>
              <w:tl2br w:val="nil"/>
              <w:tr2bl w:val="nil"/>
            </w:tcBorders>
          </w:tcPr>
          <w:p w14:paraId="218635F3" w14:textId="77777777" w:rsidR="0075791A" w:rsidRDefault="00FB2864">
            <w:pPr>
              <w:pStyle w:val="TableParagraph"/>
              <w:spacing w:line="285" w:lineRule="exact"/>
              <w:ind w:left="148"/>
              <w:rPr>
                <w:rFonts w:ascii="宋体" w:eastAsia="宋体" w:hAnsi="宋体" w:cs="宋体"/>
                <w:color w:val="auto"/>
              </w:rPr>
            </w:pPr>
            <w:r>
              <w:rPr>
                <w:rFonts w:ascii="宋体" w:eastAsia="宋体" w:hAnsi="宋体" w:cs="宋体"/>
                <w:color w:val="auto"/>
                <w:spacing w:val="-1"/>
              </w:rPr>
              <w:t>马</w:t>
            </w:r>
            <w:r>
              <w:rPr>
                <w:rFonts w:ascii="宋体" w:eastAsia="宋体" w:hAnsi="宋体" w:cs="宋体"/>
                <w:color w:val="auto"/>
                <w:spacing w:val="2"/>
              </w:rPr>
              <w:t>六</w:t>
            </w:r>
            <w:r>
              <w:rPr>
                <w:rFonts w:ascii="宋体" w:eastAsia="宋体" w:hAnsi="宋体" w:cs="宋体"/>
                <w:color w:val="auto"/>
                <w:spacing w:val="-1"/>
              </w:rPr>
              <w:t>甲</w:t>
            </w:r>
            <w:r>
              <w:rPr>
                <w:rFonts w:ascii="宋体" w:eastAsia="宋体" w:hAnsi="宋体" w:cs="宋体"/>
                <w:color w:val="auto"/>
                <w:spacing w:val="2"/>
              </w:rPr>
              <w:t>绯</w:t>
            </w:r>
            <w:r>
              <w:rPr>
                <w:rFonts w:ascii="宋体" w:eastAsia="宋体" w:hAnsi="宋体" w:cs="宋体"/>
                <w:color w:val="auto"/>
              </w:rPr>
              <w:t>鲤</w:t>
            </w:r>
          </w:p>
        </w:tc>
        <w:tc>
          <w:tcPr>
            <w:tcW w:w="1377" w:type="dxa"/>
            <w:tcBorders>
              <w:tl2br w:val="nil"/>
              <w:tr2bl w:val="nil"/>
            </w:tcBorders>
          </w:tcPr>
          <w:p w14:paraId="34D08185" w14:textId="77777777" w:rsidR="0075791A" w:rsidRDefault="00FB2864">
            <w:pPr>
              <w:pStyle w:val="TableParagraph"/>
              <w:spacing w:before="59"/>
              <w:ind w:left="385"/>
              <w:rPr>
                <w:rFonts w:ascii="Times New Roman" w:eastAsia="Times New Roman" w:hAnsi="Times New Roman" w:cs="Times New Roman"/>
                <w:color w:val="auto"/>
              </w:rPr>
            </w:pPr>
            <w:r>
              <w:rPr>
                <w:rFonts w:ascii="Times New Roman" w:eastAsia="Times New Roman" w:hAnsi="Times New Roman" w:cs="Times New Roman"/>
                <w:color w:val="auto"/>
                <w:spacing w:val="1"/>
              </w:rPr>
              <w:t>82</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12</w:t>
            </w:r>
            <w:r>
              <w:rPr>
                <w:rFonts w:ascii="Times New Roman" w:eastAsia="Times New Roman" w:hAnsi="Times New Roman" w:cs="Times New Roman"/>
                <w:color w:val="auto"/>
              </w:rPr>
              <w:t>5</w:t>
            </w:r>
          </w:p>
        </w:tc>
        <w:tc>
          <w:tcPr>
            <w:tcW w:w="1378" w:type="dxa"/>
            <w:tcBorders>
              <w:tl2br w:val="nil"/>
              <w:tr2bl w:val="nil"/>
            </w:tcBorders>
          </w:tcPr>
          <w:p w14:paraId="3E05A7C7" w14:textId="77777777" w:rsidR="0075791A" w:rsidRDefault="00FB2864">
            <w:pPr>
              <w:pStyle w:val="TableParagraph"/>
              <w:spacing w:before="59"/>
              <w:ind w:left="448"/>
              <w:rPr>
                <w:rFonts w:ascii="Times New Roman" w:eastAsia="Times New Roman" w:hAnsi="Times New Roman" w:cs="Times New Roman"/>
                <w:color w:val="auto"/>
              </w:rPr>
            </w:pPr>
            <w:r>
              <w:rPr>
                <w:rFonts w:ascii="Times New Roman" w:eastAsia="Times New Roman" w:hAnsi="Times New Roman" w:cs="Times New Roman"/>
                <w:color w:val="auto"/>
                <w:spacing w:val="1"/>
              </w:rPr>
              <w:t>97</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3</w:t>
            </w:r>
          </w:p>
        </w:tc>
        <w:tc>
          <w:tcPr>
            <w:tcW w:w="1378" w:type="dxa"/>
            <w:tcBorders>
              <w:tl2br w:val="nil"/>
              <w:tr2bl w:val="nil"/>
            </w:tcBorders>
          </w:tcPr>
          <w:p w14:paraId="7A025CAC" w14:textId="77777777" w:rsidR="0075791A" w:rsidRDefault="00FB2864">
            <w:pPr>
              <w:pStyle w:val="TableParagraph"/>
              <w:spacing w:before="59"/>
              <w:ind w:left="282"/>
              <w:rPr>
                <w:rFonts w:ascii="Times New Roman" w:eastAsia="Times New Roman" w:hAnsi="Times New Roman" w:cs="Times New Roman"/>
                <w:color w:val="auto"/>
              </w:rPr>
            </w:pPr>
            <w:r>
              <w:rPr>
                <w:rFonts w:ascii="Times New Roman" w:eastAsia="Times New Roman" w:hAnsi="Times New Roman" w:cs="Times New Roman"/>
                <w:color w:val="auto"/>
                <w:spacing w:val="1"/>
              </w:rPr>
              <w:t>10</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47</w:t>
            </w:r>
            <w:r>
              <w:rPr>
                <w:rFonts w:ascii="Times New Roman" w:eastAsia="Times New Roman" w:hAnsi="Times New Roman" w:cs="Times New Roman"/>
                <w:color w:val="auto"/>
              </w:rPr>
              <w:t>.6</w:t>
            </w:r>
          </w:p>
        </w:tc>
        <w:tc>
          <w:tcPr>
            <w:tcW w:w="1378" w:type="dxa"/>
            <w:tcBorders>
              <w:tl2br w:val="nil"/>
              <w:tr2bl w:val="nil"/>
            </w:tcBorders>
          </w:tcPr>
          <w:p w14:paraId="47AA3B74" w14:textId="77777777" w:rsidR="0075791A" w:rsidRDefault="00FB2864">
            <w:pPr>
              <w:pStyle w:val="TableParagraph"/>
              <w:spacing w:before="59"/>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21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4</w:t>
            </w:r>
          </w:p>
        </w:tc>
        <w:tc>
          <w:tcPr>
            <w:tcW w:w="1378" w:type="dxa"/>
            <w:tcBorders>
              <w:tl2br w:val="nil"/>
              <w:tr2bl w:val="nil"/>
            </w:tcBorders>
          </w:tcPr>
          <w:p w14:paraId="68B7AC7A" w14:textId="77777777" w:rsidR="0075791A" w:rsidRDefault="00FB2864">
            <w:pPr>
              <w:pStyle w:val="TableParagraph"/>
              <w:spacing w:before="59"/>
              <w:ind w:left="360"/>
              <w:rPr>
                <w:rFonts w:ascii="Times New Roman" w:eastAsia="Times New Roman" w:hAnsi="Times New Roman" w:cs="Times New Roman"/>
                <w:color w:val="auto"/>
              </w:rPr>
            </w:pPr>
            <w:r>
              <w:rPr>
                <w:rFonts w:ascii="Times New Roman" w:eastAsia="Times New Roman" w:hAnsi="Times New Roman" w:cs="Times New Roman"/>
                <w:color w:val="auto"/>
                <w:spacing w:val="1"/>
              </w:rPr>
              <w:t>55</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5</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p>
        </w:tc>
      </w:tr>
      <w:tr w:rsidR="0075791A" w14:paraId="5BE2DC04" w14:textId="77777777">
        <w:trPr>
          <w:trHeight w:val="255"/>
          <w:jc w:val="center"/>
        </w:trPr>
        <w:tc>
          <w:tcPr>
            <w:tcW w:w="1357" w:type="dxa"/>
            <w:tcBorders>
              <w:tl2br w:val="nil"/>
              <w:tr2bl w:val="nil"/>
            </w:tcBorders>
          </w:tcPr>
          <w:p w14:paraId="3D0A60C3" w14:textId="77777777" w:rsidR="0075791A" w:rsidRDefault="00FB2864">
            <w:pPr>
              <w:pStyle w:val="TableParagraph"/>
              <w:spacing w:line="284" w:lineRule="exact"/>
              <w:ind w:left="357"/>
              <w:rPr>
                <w:rFonts w:ascii="宋体" w:eastAsia="宋体" w:hAnsi="宋体" w:cs="宋体"/>
                <w:color w:val="auto"/>
              </w:rPr>
            </w:pPr>
            <w:r>
              <w:rPr>
                <w:rFonts w:ascii="宋体" w:eastAsia="宋体" w:hAnsi="宋体" w:cs="宋体"/>
                <w:color w:val="auto"/>
                <w:spacing w:val="-1"/>
              </w:rPr>
              <w:t>细</w:t>
            </w:r>
            <w:r>
              <w:rPr>
                <w:rFonts w:ascii="宋体" w:eastAsia="宋体" w:hAnsi="宋体" w:cs="宋体"/>
                <w:color w:val="auto"/>
                <w:spacing w:val="2"/>
              </w:rPr>
              <w:t>鱗</w:t>
            </w:r>
            <w:r>
              <w:rPr>
                <w:rFonts w:ascii="宋体" w:eastAsia="宋体" w:hAnsi="宋体" w:cs="宋体"/>
                <w:color w:val="auto"/>
              </w:rPr>
              <w:t>鯻</w:t>
            </w:r>
          </w:p>
        </w:tc>
        <w:tc>
          <w:tcPr>
            <w:tcW w:w="1377" w:type="dxa"/>
            <w:tcBorders>
              <w:tl2br w:val="nil"/>
              <w:tr2bl w:val="nil"/>
            </w:tcBorders>
          </w:tcPr>
          <w:p w14:paraId="522EEE8F" w14:textId="77777777" w:rsidR="0075791A" w:rsidRDefault="00FB2864">
            <w:pPr>
              <w:pStyle w:val="TableParagraph"/>
              <w:spacing w:before="58"/>
              <w:ind w:left="332"/>
              <w:rPr>
                <w:rFonts w:ascii="Times New Roman" w:eastAsia="Times New Roman" w:hAnsi="Times New Roman" w:cs="Times New Roman"/>
                <w:color w:val="auto"/>
              </w:rPr>
            </w:pPr>
            <w:r>
              <w:rPr>
                <w:rFonts w:ascii="Times New Roman" w:eastAsia="Times New Roman" w:hAnsi="Times New Roman" w:cs="Times New Roman"/>
                <w:color w:val="auto"/>
                <w:spacing w:val="1"/>
              </w:rPr>
              <w:t>109</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14</w:t>
            </w:r>
            <w:r>
              <w:rPr>
                <w:rFonts w:ascii="Times New Roman" w:eastAsia="Times New Roman" w:hAnsi="Times New Roman" w:cs="Times New Roman"/>
                <w:color w:val="auto"/>
              </w:rPr>
              <w:t>3</w:t>
            </w:r>
          </w:p>
        </w:tc>
        <w:tc>
          <w:tcPr>
            <w:tcW w:w="1378" w:type="dxa"/>
            <w:tcBorders>
              <w:tl2br w:val="nil"/>
              <w:tr2bl w:val="nil"/>
            </w:tcBorders>
          </w:tcPr>
          <w:p w14:paraId="6D82B5FE" w14:textId="77777777" w:rsidR="0075791A" w:rsidRDefault="00FB2864">
            <w:pPr>
              <w:pStyle w:val="TableParagraph"/>
              <w:spacing w:before="58"/>
              <w:ind w:left="395"/>
              <w:rPr>
                <w:rFonts w:ascii="Times New Roman" w:eastAsia="Times New Roman" w:hAnsi="Times New Roman" w:cs="Times New Roman"/>
                <w:color w:val="auto"/>
              </w:rPr>
            </w:pPr>
            <w:r>
              <w:rPr>
                <w:rFonts w:ascii="Times New Roman" w:eastAsia="Times New Roman" w:hAnsi="Times New Roman" w:cs="Times New Roman"/>
                <w:color w:val="auto"/>
                <w:spacing w:val="1"/>
              </w:rPr>
              <w:t>128</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0</w:t>
            </w:r>
          </w:p>
        </w:tc>
        <w:tc>
          <w:tcPr>
            <w:tcW w:w="1378" w:type="dxa"/>
            <w:tcBorders>
              <w:tl2br w:val="nil"/>
              <w:tr2bl w:val="nil"/>
            </w:tcBorders>
          </w:tcPr>
          <w:p w14:paraId="4A8CCD81" w14:textId="77777777" w:rsidR="0075791A" w:rsidRDefault="00FB2864">
            <w:pPr>
              <w:pStyle w:val="TableParagraph"/>
              <w:spacing w:before="58"/>
              <w:ind w:left="282"/>
              <w:rPr>
                <w:rFonts w:ascii="Times New Roman" w:eastAsia="Times New Roman" w:hAnsi="Times New Roman" w:cs="Times New Roman"/>
                <w:color w:val="auto"/>
              </w:rPr>
            </w:pPr>
            <w:r>
              <w:rPr>
                <w:rFonts w:ascii="Times New Roman" w:eastAsia="Times New Roman" w:hAnsi="Times New Roman" w:cs="Times New Roman"/>
                <w:color w:val="auto"/>
                <w:spacing w:val="1"/>
              </w:rPr>
              <w:t>35</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84</w:t>
            </w:r>
            <w:r>
              <w:rPr>
                <w:rFonts w:ascii="Times New Roman" w:eastAsia="Times New Roman" w:hAnsi="Times New Roman" w:cs="Times New Roman"/>
                <w:color w:val="auto"/>
              </w:rPr>
              <w:t>.7</w:t>
            </w:r>
          </w:p>
        </w:tc>
        <w:tc>
          <w:tcPr>
            <w:tcW w:w="1378" w:type="dxa"/>
            <w:tcBorders>
              <w:tl2br w:val="nil"/>
              <w:tr2bl w:val="nil"/>
            </w:tcBorders>
          </w:tcPr>
          <w:p w14:paraId="16B4AE00" w14:textId="77777777" w:rsidR="0075791A" w:rsidRDefault="00FB2864">
            <w:pPr>
              <w:pStyle w:val="TableParagraph"/>
              <w:spacing w:before="58"/>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57</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5</w:t>
            </w:r>
          </w:p>
        </w:tc>
        <w:tc>
          <w:tcPr>
            <w:tcW w:w="1378" w:type="dxa"/>
            <w:tcBorders>
              <w:tl2br w:val="nil"/>
              <w:tr2bl w:val="nil"/>
            </w:tcBorders>
          </w:tcPr>
          <w:p w14:paraId="2C83EB33" w14:textId="77777777" w:rsidR="0075791A" w:rsidRDefault="00FB2864">
            <w:pPr>
              <w:pStyle w:val="TableParagraph"/>
              <w:spacing w:before="58"/>
              <w:ind w:left="360"/>
              <w:rPr>
                <w:rFonts w:ascii="Times New Roman" w:eastAsia="Times New Roman" w:hAnsi="Times New Roman" w:cs="Times New Roman"/>
                <w:color w:val="auto"/>
              </w:rPr>
            </w:pPr>
            <w:r>
              <w:rPr>
                <w:rFonts w:ascii="Times New Roman" w:eastAsia="Times New Roman" w:hAnsi="Times New Roman" w:cs="Times New Roman"/>
                <w:color w:val="auto"/>
                <w:spacing w:val="1"/>
              </w:rPr>
              <w:t>50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p>
        </w:tc>
      </w:tr>
      <w:tr w:rsidR="0075791A" w14:paraId="4A089964" w14:textId="77777777">
        <w:trPr>
          <w:trHeight w:val="255"/>
          <w:jc w:val="center"/>
        </w:trPr>
        <w:tc>
          <w:tcPr>
            <w:tcW w:w="1357" w:type="dxa"/>
            <w:tcBorders>
              <w:tl2br w:val="nil"/>
              <w:tr2bl w:val="nil"/>
            </w:tcBorders>
          </w:tcPr>
          <w:p w14:paraId="291F7326" w14:textId="77777777" w:rsidR="0075791A" w:rsidRDefault="00FB2864">
            <w:pPr>
              <w:pStyle w:val="TableParagraph"/>
              <w:spacing w:line="285" w:lineRule="exact"/>
              <w:ind w:left="254"/>
              <w:rPr>
                <w:rFonts w:ascii="宋体" w:eastAsia="宋体" w:hAnsi="宋体" w:cs="宋体"/>
                <w:color w:val="auto"/>
              </w:rPr>
            </w:pPr>
            <w:r>
              <w:rPr>
                <w:rFonts w:ascii="宋体" w:eastAsia="宋体" w:hAnsi="宋体" w:cs="宋体"/>
                <w:color w:val="auto"/>
                <w:spacing w:val="-1"/>
              </w:rPr>
              <w:t>长</w:t>
            </w:r>
            <w:r>
              <w:rPr>
                <w:rFonts w:ascii="宋体" w:eastAsia="宋体" w:hAnsi="宋体" w:cs="宋体"/>
                <w:color w:val="auto"/>
                <w:spacing w:val="2"/>
              </w:rPr>
              <w:t>体</w:t>
            </w:r>
            <w:r>
              <w:rPr>
                <w:rFonts w:ascii="宋体" w:eastAsia="宋体" w:hAnsi="宋体" w:cs="宋体"/>
                <w:color w:val="auto"/>
                <w:spacing w:val="-1"/>
              </w:rPr>
              <w:t>银</w:t>
            </w:r>
            <w:r>
              <w:rPr>
                <w:rFonts w:ascii="宋体" w:eastAsia="宋体" w:hAnsi="宋体" w:cs="宋体"/>
                <w:color w:val="auto"/>
              </w:rPr>
              <w:t>鲈</w:t>
            </w:r>
          </w:p>
        </w:tc>
        <w:tc>
          <w:tcPr>
            <w:tcW w:w="1377" w:type="dxa"/>
            <w:tcBorders>
              <w:tl2br w:val="nil"/>
              <w:tr2bl w:val="nil"/>
            </w:tcBorders>
          </w:tcPr>
          <w:p w14:paraId="36914FA6" w14:textId="77777777" w:rsidR="0075791A" w:rsidRDefault="00FB2864">
            <w:pPr>
              <w:pStyle w:val="TableParagraph"/>
              <w:spacing w:before="59"/>
              <w:ind w:left="332"/>
              <w:rPr>
                <w:rFonts w:ascii="Times New Roman" w:eastAsia="Times New Roman" w:hAnsi="Times New Roman" w:cs="Times New Roman"/>
                <w:color w:val="auto"/>
              </w:rPr>
            </w:pPr>
            <w:r>
              <w:rPr>
                <w:rFonts w:ascii="Times New Roman" w:eastAsia="Times New Roman" w:hAnsi="Times New Roman" w:cs="Times New Roman"/>
                <w:color w:val="auto"/>
                <w:spacing w:val="1"/>
              </w:rPr>
              <w:t>127</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13</w:t>
            </w:r>
            <w:r>
              <w:rPr>
                <w:rFonts w:ascii="Times New Roman" w:eastAsia="Times New Roman" w:hAnsi="Times New Roman" w:cs="Times New Roman"/>
                <w:color w:val="auto"/>
              </w:rPr>
              <w:t>5</w:t>
            </w:r>
          </w:p>
        </w:tc>
        <w:tc>
          <w:tcPr>
            <w:tcW w:w="1378" w:type="dxa"/>
            <w:tcBorders>
              <w:tl2br w:val="nil"/>
              <w:tr2bl w:val="nil"/>
            </w:tcBorders>
          </w:tcPr>
          <w:p w14:paraId="7FA95AC8" w14:textId="77777777" w:rsidR="0075791A" w:rsidRDefault="00FB2864">
            <w:pPr>
              <w:pStyle w:val="TableParagraph"/>
              <w:spacing w:before="59"/>
              <w:ind w:left="395"/>
              <w:rPr>
                <w:rFonts w:ascii="Times New Roman" w:eastAsia="Times New Roman" w:hAnsi="Times New Roman" w:cs="Times New Roman"/>
                <w:color w:val="auto"/>
              </w:rPr>
            </w:pPr>
            <w:r>
              <w:rPr>
                <w:rFonts w:ascii="Times New Roman" w:eastAsia="Times New Roman" w:hAnsi="Times New Roman" w:cs="Times New Roman"/>
                <w:color w:val="auto"/>
                <w:spacing w:val="1"/>
              </w:rPr>
              <w:t>132</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0</w:t>
            </w:r>
          </w:p>
        </w:tc>
        <w:tc>
          <w:tcPr>
            <w:tcW w:w="1378" w:type="dxa"/>
            <w:tcBorders>
              <w:tl2br w:val="nil"/>
              <w:tr2bl w:val="nil"/>
            </w:tcBorders>
          </w:tcPr>
          <w:p w14:paraId="1F0CB5CD" w14:textId="77777777" w:rsidR="0075791A" w:rsidRDefault="00FB2864">
            <w:pPr>
              <w:pStyle w:val="TableParagraph"/>
              <w:spacing w:before="59"/>
              <w:ind w:left="359"/>
              <w:rPr>
                <w:rFonts w:ascii="Times New Roman" w:eastAsia="Times New Roman" w:hAnsi="Times New Roman" w:cs="Times New Roman"/>
                <w:color w:val="auto"/>
              </w:rPr>
            </w:pPr>
            <w:r>
              <w:rPr>
                <w:rFonts w:ascii="Times New Roman" w:eastAsia="Times New Roman" w:hAnsi="Times New Roman" w:cs="Times New Roman"/>
                <w:color w:val="auto"/>
                <w:spacing w:val="1"/>
              </w:rPr>
              <w:t>50</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63</w:t>
            </w:r>
            <w:r>
              <w:rPr>
                <w:rFonts w:ascii="Times New Roman" w:eastAsia="Times New Roman" w:hAnsi="Times New Roman" w:cs="Times New Roman"/>
                <w:color w:val="auto"/>
              </w:rPr>
              <w:t>.1</w:t>
            </w:r>
          </w:p>
        </w:tc>
        <w:tc>
          <w:tcPr>
            <w:tcW w:w="1378" w:type="dxa"/>
            <w:tcBorders>
              <w:tl2br w:val="nil"/>
              <w:tr2bl w:val="nil"/>
            </w:tcBorders>
          </w:tcPr>
          <w:p w14:paraId="45A738C9" w14:textId="77777777" w:rsidR="0075791A" w:rsidRDefault="00FB2864">
            <w:pPr>
              <w:pStyle w:val="TableParagraph"/>
              <w:spacing w:before="59"/>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56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7</w:t>
            </w:r>
          </w:p>
        </w:tc>
        <w:tc>
          <w:tcPr>
            <w:tcW w:w="1378" w:type="dxa"/>
            <w:tcBorders>
              <w:tl2br w:val="nil"/>
              <w:tr2bl w:val="nil"/>
            </w:tcBorders>
          </w:tcPr>
          <w:p w14:paraId="3B3A6384" w14:textId="77777777" w:rsidR="0075791A" w:rsidRDefault="00FB2864">
            <w:pPr>
              <w:pStyle w:val="TableParagraph"/>
              <w:spacing w:before="59"/>
              <w:ind w:left="360"/>
              <w:rPr>
                <w:rFonts w:ascii="Times New Roman" w:eastAsia="Times New Roman" w:hAnsi="Times New Roman" w:cs="Times New Roman"/>
                <w:color w:val="auto"/>
              </w:rPr>
            </w:pPr>
            <w:r>
              <w:rPr>
                <w:rFonts w:ascii="Times New Roman" w:eastAsia="Times New Roman" w:hAnsi="Times New Roman" w:cs="Times New Roman"/>
                <w:color w:val="auto"/>
                <w:spacing w:val="1"/>
              </w:rPr>
              <w:t>33</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p>
        </w:tc>
      </w:tr>
      <w:tr w:rsidR="0075791A" w14:paraId="54C8C271" w14:textId="77777777">
        <w:trPr>
          <w:trHeight w:val="255"/>
          <w:jc w:val="center"/>
        </w:trPr>
        <w:tc>
          <w:tcPr>
            <w:tcW w:w="1357" w:type="dxa"/>
            <w:tcBorders>
              <w:tl2br w:val="nil"/>
              <w:tr2bl w:val="nil"/>
            </w:tcBorders>
          </w:tcPr>
          <w:p w14:paraId="46F17462" w14:textId="77777777" w:rsidR="0075791A" w:rsidRDefault="00FB2864">
            <w:pPr>
              <w:pStyle w:val="TableParagraph"/>
              <w:spacing w:line="296" w:lineRule="exact"/>
              <w:ind w:left="254"/>
              <w:rPr>
                <w:rFonts w:ascii="宋体" w:eastAsia="宋体" w:hAnsi="宋体" w:cs="宋体"/>
                <w:color w:val="auto"/>
              </w:rPr>
            </w:pPr>
            <w:r>
              <w:rPr>
                <w:rFonts w:ascii="宋体" w:eastAsia="宋体" w:hAnsi="宋体" w:cs="宋体"/>
                <w:color w:val="auto"/>
                <w:spacing w:val="-1"/>
              </w:rPr>
              <w:t>花</w:t>
            </w:r>
            <w:r>
              <w:rPr>
                <w:rFonts w:ascii="宋体" w:eastAsia="宋体" w:hAnsi="宋体" w:cs="宋体"/>
                <w:color w:val="auto"/>
                <w:spacing w:val="2"/>
              </w:rPr>
              <w:t>斑</w:t>
            </w:r>
            <w:r>
              <w:rPr>
                <w:rFonts w:ascii="宋体" w:eastAsia="宋体" w:hAnsi="宋体" w:cs="宋体"/>
                <w:color w:val="auto"/>
                <w:spacing w:val="-1"/>
              </w:rPr>
              <w:t>蛇</w:t>
            </w:r>
            <w:r>
              <w:rPr>
                <w:rFonts w:ascii="宋体" w:eastAsia="宋体" w:hAnsi="宋体" w:cs="宋体"/>
                <w:color w:val="auto"/>
              </w:rPr>
              <w:t>鲻</w:t>
            </w:r>
          </w:p>
        </w:tc>
        <w:tc>
          <w:tcPr>
            <w:tcW w:w="1377" w:type="dxa"/>
            <w:tcBorders>
              <w:tl2br w:val="nil"/>
              <w:tr2bl w:val="nil"/>
            </w:tcBorders>
          </w:tcPr>
          <w:p w14:paraId="380AB263" w14:textId="77777777" w:rsidR="0075791A" w:rsidRDefault="00FB2864">
            <w:pPr>
              <w:pStyle w:val="TableParagraph"/>
              <w:spacing w:before="70"/>
              <w:ind w:left="385"/>
              <w:rPr>
                <w:rFonts w:ascii="Times New Roman" w:eastAsia="Times New Roman" w:hAnsi="Times New Roman" w:cs="Times New Roman"/>
                <w:color w:val="auto"/>
              </w:rPr>
            </w:pPr>
            <w:r>
              <w:rPr>
                <w:rFonts w:ascii="Times New Roman" w:eastAsia="Times New Roman" w:hAnsi="Times New Roman" w:cs="Times New Roman"/>
                <w:color w:val="auto"/>
                <w:spacing w:val="1"/>
              </w:rPr>
              <w:t>95</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17</w:t>
            </w:r>
            <w:r>
              <w:rPr>
                <w:rFonts w:ascii="Times New Roman" w:eastAsia="Times New Roman" w:hAnsi="Times New Roman" w:cs="Times New Roman"/>
                <w:color w:val="auto"/>
              </w:rPr>
              <w:t>6</w:t>
            </w:r>
          </w:p>
        </w:tc>
        <w:tc>
          <w:tcPr>
            <w:tcW w:w="1378" w:type="dxa"/>
            <w:tcBorders>
              <w:tl2br w:val="nil"/>
              <w:tr2bl w:val="nil"/>
            </w:tcBorders>
          </w:tcPr>
          <w:p w14:paraId="0D6A5131" w14:textId="77777777" w:rsidR="0075791A" w:rsidRDefault="00FB2864">
            <w:pPr>
              <w:pStyle w:val="TableParagraph"/>
              <w:spacing w:before="70"/>
              <w:ind w:left="395"/>
              <w:rPr>
                <w:rFonts w:ascii="Times New Roman" w:eastAsia="Times New Roman" w:hAnsi="Times New Roman" w:cs="Times New Roman"/>
                <w:color w:val="auto"/>
              </w:rPr>
            </w:pPr>
            <w:r>
              <w:rPr>
                <w:rFonts w:ascii="Times New Roman" w:eastAsia="Times New Roman" w:hAnsi="Times New Roman" w:cs="Times New Roman"/>
                <w:color w:val="auto"/>
                <w:spacing w:val="1"/>
              </w:rPr>
              <w:t>150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8</w:t>
            </w:r>
            <w:r>
              <w:rPr>
                <w:rFonts w:ascii="Times New Roman" w:eastAsia="Times New Roman" w:hAnsi="Times New Roman" w:cs="Times New Roman"/>
                <w:color w:val="auto"/>
              </w:rPr>
              <w:t>0</w:t>
            </w:r>
          </w:p>
        </w:tc>
        <w:tc>
          <w:tcPr>
            <w:tcW w:w="1378" w:type="dxa"/>
            <w:tcBorders>
              <w:tl2br w:val="nil"/>
              <w:tr2bl w:val="nil"/>
            </w:tcBorders>
          </w:tcPr>
          <w:p w14:paraId="42B97461" w14:textId="77777777" w:rsidR="0075791A" w:rsidRDefault="00FB2864">
            <w:pPr>
              <w:pStyle w:val="TableParagraph"/>
              <w:spacing w:before="70"/>
              <w:ind w:left="282"/>
              <w:rPr>
                <w:rFonts w:ascii="Times New Roman" w:eastAsia="Times New Roman" w:hAnsi="Times New Roman" w:cs="Times New Roman"/>
                <w:color w:val="auto"/>
              </w:rPr>
            </w:pPr>
            <w:r>
              <w:rPr>
                <w:rFonts w:ascii="Times New Roman" w:eastAsia="Times New Roman" w:hAnsi="Times New Roman" w:cs="Times New Roman"/>
                <w:color w:val="auto"/>
                <w:spacing w:val="1"/>
              </w:rPr>
              <w:t>34</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57</w:t>
            </w:r>
            <w:r>
              <w:rPr>
                <w:rFonts w:ascii="Times New Roman" w:eastAsia="Times New Roman" w:hAnsi="Times New Roman" w:cs="Times New Roman"/>
                <w:color w:val="auto"/>
              </w:rPr>
              <w:t>.3</w:t>
            </w:r>
          </w:p>
        </w:tc>
        <w:tc>
          <w:tcPr>
            <w:tcW w:w="1378" w:type="dxa"/>
            <w:tcBorders>
              <w:tl2br w:val="nil"/>
              <w:tr2bl w:val="nil"/>
            </w:tcBorders>
          </w:tcPr>
          <w:p w14:paraId="5FB29430" w14:textId="77777777" w:rsidR="0075791A" w:rsidRDefault="00FB2864">
            <w:pPr>
              <w:pStyle w:val="TableParagraph"/>
              <w:spacing w:before="70"/>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46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6</w:t>
            </w:r>
          </w:p>
        </w:tc>
        <w:tc>
          <w:tcPr>
            <w:tcW w:w="1378" w:type="dxa"/>
            <w:tcBorders>
              <w:tl2br w:val="nil"/>
              <w:tr2bl w:val="nil"/>
            </w:tcBorders>
          </w:tcPr>
          <w:p w14:paraId="60EBE54E" w14:textId="77777777" w:rsidR="0075791A" w:rsidRDefault="00FB2864">
            <w:pPr>
              <w:pStyle w:val="TableParagraph"/>
              <w:spacing w:before="70"/>
              <w:ind w:left="360"/>
              <w:rPr>
                <w:rFonts w:ascii="Times New Roman" w:eastAsia="Times New Roman" w:hAnsi="Times New Roman" w:cs="Times New Roman"/>
                <w:color w:val="auto"/>
              </w:rPr>
            </w:pPr>
            <w:r>
              <w:rPr>
                <w:rFonts w:ascii="Times New Roman" w:eastAsia="Times New Roman" w:hAnsi="Times New Roman" w:cs="Times New Roman"/>
                <w:color w:val="auto"/>
                <w:spacing w:val="1"/>
              </w:rPr>
              <w:t>20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p>
        </w:tc>
      </w:tr>
      <w:tr w:rsidR="0075791A" w14:paraId="7C9AF0A3" w14:textId="77777777">
        <w:trPr>
          <w:trHeight w:val="255"/>
          <w:jc w:val="center"/>
        </w:trPr>
        <w:tc>
          <w:tcPr>
            <w:tcW w:w="1357" w:type="dxa"/>
            <w:tcBorders>
              <w:tl2br w:val="nil"/>
              <w:tr2bl w:val="nil"/>
            </w:tcBorders>
          </w:tcPr>
          <w:p w14:paraId="34D8527A" w14:textId="77777777" w:rsidR="0075791A" w:rsidRDefault="00FB2864">
            <w:pPr>
              <w:pStyle w:val="TableParagraph"/>
              <w:spacing w:line="287" w:lineRule="exact"/>
              <w:ind w:left="148"/>
              <w:rPr>
                <w:rFonts w:ascii="宋体" w:eastAsia="宋体" w:hAnsi="宋体" w:cs="宋体"/>
                <w:color w:val="auto"/>
              </w:rPr>
            </w:pPr>
            <w:r>
              <w:rPr>
                <w:rFonts w:ascii="宋体" w:eastAsia="宋体" w:hAnsi="宋体" w:cs="宋体"/>
                <w:color w:val="auto"/>
                <w:spacing w:val="-1"/>
              </w:rPr>
              <w:t>日</w:t>
            </w:r>
            <w:r>
              <w:rPr>
                <w:rFonts w:ascii="宋体" w:eastAsia="宋体" w:hAnsi="宋体" w:cs="宋体"/>
                <w:color w:val="auto"/>
                <w:spacing w:val="2"/>
              </w:rPr>
              <w:t>本</w:t>
            </w:r>
            <w:r>
              <w:rPr>
                <w:rFonts w:ascii="宋体" w:eastAsia="宋体" w:hAnsi="宋体" w:cs="宋体"/>
                <w:color w:val="auto"/>
                <w:spacing w:val="-1"/>
              </w:rPr>
              <w:t>金</w:t>
            </w:r>
            <w:r>
              <w:rPr>
                <w:rFonts w:ascii="宋体" w:eastAsia="宋体" w:hAnsi="宋体" w:cs="宋体"/>
                <w:color w:val="auto"/>
                <w:spacing w:val="2"/>
              </w:rPr>
              <w:t>线</w:t>
            </w:r>
            <w:r>
              <w:rPr>
                <w:rFonts w:ascii="宋体" w:eastAsia="宋体" w:hAnsi="宋体" w:cs="宋体"/>
                <w:color w:val="auto"/>
              </w:rPr>
              <w:t>鱼</w:t>
            </w:r>
          </w:p>
        </w:tc>
        <w:tc>
          <w:tcPr>
            <w:tcW w:w="1377" w:type="dxa"/>
            <w:tcBorders>
              <w:tl2br w:val="nil"/>
              <w:tr2bl w:val="nil"/>
            </w:tcBorders>
          </w:tcPr>
          <w:p w14:paraId="69E0DB99" w14:textId="77777777" w:rsidR="0075791A" w:rsidRDefault="00FB2864">
            <w:pPr>
              <w:pStyle w:val="TableParagraph"/>
              <w:spacing w:before="61"/>
              <w:ind w:left="506" w:right="505"/>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13</w:t>
            </w:r>
            <w:r>
              <w:rPr>
                <w:rFonts w:ascii="Times New Roman" w:eastAsia="Times New Roman" w:hAnsi="Times New Roman" w:cs="Times New Roman"/>
                <w:color w:val="auto"/>
              </w:rPr>
              <w:t>1</w:t>
            </w:r>
          </w:p>
        </w:tc>
        <w:tc>
          <w:tcPr>
            <w:tcW w:w="1378" w:type="dxa"/>
            <w:tcBorders>
              <w:tl2br w:val="nil"/>
              <w:tr2bl w:val="nil"/>
            </w:tcBorders>
          </w:tcPr>
          <w:p w14:paraId="72556F25" w14:textId="77777777" w:rsidR="0075791A" w:rsidRDefault="00FB2864">
            <w:pPr>
              <w:pStyle w:val="TableParagraph"/>
              <w:spacing w:before="61"/>
              <w:ind w:left="395"/>
              <w:rPr>
                <w:rFonts w:ascii="Times New Roman" w:eastAsia="Times New Roman" w:hAnsi="Times New Roman" w:cs="Times New Roman"/>
                <w:color w:val="auto"/>
              </w:rPr>
            </w:pPr>
            <w:r>
              <w:rPr>
                <w:rFonts w:ascii="Times New Roman" w:eastAsia="Times New Roman" w:hAnsi="Times New Roman" w:cs="Times New Roman"/>
                <w:color w:val="auto"/>
                <w:spacing w:val="1"/>
              </w:rPr>
              <w:t>131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0</w:t>
            </w:r>
          </w:p>
        </w:tc>
        <w:tc>
          <w:tcPr>
            <w:tcW w:w="1378" w:type="dxa"/>
            <w:tcBorders>
              <w:tl2br w:val="nil"/>
              <w:tr2bl w:val="nil"/>
            </w:tcBorders>
          </w:tcPr>
          <w:p w14:paraId="5295D43A" w14:textId="77777777" w:rsidR="0075791A" w:rsidRDefault="00FB2864">
            <w:pPr>
              <w:pStyle w:val="TableParagraph"/>
              <w:spacing w:before="61"/>
              <w:ind w:left="1"/>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53</w:t>
            </w:r>
            <w:r>
              <w:rPr>
                <w:rFonts w:ascii="Times New Roman" w:eastAsia="Times New Roman" w:hAnsi="Times New Roman" w:cs="Times New Roman"/>
                <w:color w:val="auto"/>
              </w:rPr>
              <w:t>.6</w:t>
            </w:r>
          </w:p>
        </w:tc>
        <w:tc>
          <w:tcPr>
            <w:tcW w:w="1378" w:type="dxa"/>
            <w:tcBorders>
              <w:tl2br w:val="nil"/>
              <w:tr2bl w:val="nil"/>
            </w:tcBorders>
          </w:tcPr>
          <w:p w14:paraId="58FBA397" w14:textId="77777777" w:rsidR="0075791A" w:rsidRDefault="00FB2864">
            <w:pPr>
              <w:pStyle w:val="TableParagraph"/>
              <w:spacing w:before="61"/>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53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0</w:t>
            </w:r>
          </w:p>
        </w:tc>
        <w:tc>
          <w:tcPr>
            <w:tcW w:w="1378" w:type="dxa"/>
            <w:tcBorders>
              <w:tl2br w:val="nil"/>
              <w:tr2bl w:val="nil"/>
            </w:tcBorders>
          </w:tcPr>
          <w:p w14:paraId="48BFAE9F" w14:textId="77777777" w:rsidR="0075791A" w:rsidRDefault="00FB2864">
            <w:pPr>
              <w:pStyle w:val="TableParagraph"/>
              <w:spacing w:before="61"/>
              <w:ind w:left="413"/>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00</w:t>
            </w:r>
            <w:r>
              <w:rPr>
                <w:rFonts w:ascii="Times New Roman" w:eastAsia="Times New Roman" w:hAnsi="Times New Roman" w:cs="Times New Roman"/>
                <w:color w:val="auto"/>
              </w:rPr>
              <w:t>%</w:t>
            </w:r>
          </w:p>
        </w:tc>
      </w:tr>
      <w:tr w:rsidR="0075791A" w14:paraId="5A88E7BB" w14:textId="77777777">
        <w:trPr>
          <w:trHeight w:val="255"/>
          <w:jc w:val="center"/>
        </w:trPr>
        <w:tc>
          <w:tcPr>
            <w:tcW w:w="1357" w:type="dxa"/>
            <w:tcBorders>
              <w:tl2br w:val="nil"/>
              <w:tr2bl w:val="nil"/>
            </w:tcBorders>
          </w:tcPr>
          <w:p w14:paraId="5F0E861D" w14:textId="77777777" w:rsidR="0075791A" w:rsidRDefault="00FB2864">
            <w:pPr>
              <w:pStyle w:val="TableParagraph"/>
              <w:spacing w:line="286" w:lineRule="exact"/>
              <w:ind w:left="254"/>
              <w:rPr>
                <w:rFonts w:ascii="宋体" w:eastAsia="宋体" w:hAnsi="宋体" w:cs="宋体"/>
                <w:color w:val="auto"/>
              </w:rPr>
            </w:pPr>
            <w:r>
              <w:rPr>
                <w:rFonts w:ascii="宋体" w:eastAsia="宋体" w:hAnsi="宋体" w:cs="宋体"/>
                <w:color w:val="auto"/>
                <w:spacing w:val="-1"/>
              </w:rPr>
              <w:t>长</w:t>
            </w:r>
            <w:r>
              <w:rPr>
                <w:rFonts w:ascii="宋体" w:eastAsia="宋体" w:hAnsi="宋体" w:cs="宋体"/>
                <w:color w:val="auto"/>
                <w:spacing w:val="2"/>
              </w:rPr>
              <w:t>棘</w:t>
            </w:r>
            <w:r>
              <w:rPr>
                <w:rFonts w:ascii="宋体" w:eastAsia="宋体" w:hAnsi="宋体" w:cs="宋体"/>
                <w:color w:val="auto"/>
                <w:spacing w:val="-1"/>
              </w:rPr>
              <w:t>银</w:t>
            </w:r>
            <w:r>
              <w:rPr>
                <w:rFonts w:ascii="宋体" w:eastAsia="宋体" w:hAnsi="宋体" w:cs="宋体"/>
                <w:color w:val="auto"/>
              </w:rPr>
              <w:t>鲈</w:t>
            </w:r>
          </w:p>
        </w:tc>
        <w:tc>
          <w:tcPr>
            <w:tcW w:w="1377" w:type="dxa"/>
            <w:tcBorders>
              <w:tl2br w:val="nil"/>
              <w:tr2bl w:val="nil"/>
            </w:tcBorders>
          </w:tcPr>
          <w:p w14:paraId="4B3BEBC3" w14:textId="77777777" w:rsidR="0075791A" w:rsidRDefault="00FB2864">
            <w:pPr>
              <w:pStyle w:val="TableParagraph"/>
              <w:spacing w:before="60"/>
              <w:ind w:left="332"/>
              <w:rPr>
                <w:rFonts w:ascii="Times New Roman" w:eastAsia="Times New Roman" w:hAnsi="Times New Roman" w:cs="Times New Roman"/>
                <w:color w:val="auto"/>
              </w:rPr>
            </w:pPr>
            <w:r>
              <w:rPr>
                <w:rFonts w:ascii="Times New Roman" w:eastAsia="Times New Roman" w:hAnsi="Times New Roman" w:cs="Times New Roman"/>
                <w:color w:val="auto"/>
                <w:spacing w:val="1"/>
              </w:rPr>
              <w:t>131</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19</w:t>
            </w:r>
            <w:r>
              <w:rPr>
                <w:rFonts w:ascii="Times New Roman" w:eastAsia="Times New Roman" w:hAnsi="Times New Roman" w:cs="Times New Roman"/>
                <w:color w:val="auto"/>
              </w:rPr>
              <w:t>8</w:t>
            </w:r>
          </w:p>
        </w:tc>
        <w:tc>
          <w:tcPr>
            <w:tcW w:w="1378" w:type="dxa"/>
            <w:tcBorders>
              <w:tl2br w:val="nil"/>
              <w:tr2bl w:val="nil"/>
            </w:tcBorders>
          </w:tcPr>
          <w:p w14:paraId="54D080E3" w14:textId="77777777" w:rsidR="0075791A" w:rsidRDefault="00FB2864">
            <w:pPr>
              <w:pStyle w:val="TableParagraph"/>
              <w:spacing w:before="60"/>
              <w:ind w:left="395"/>
              <w:rPr>
                <w:rFonts w:ascii="Times New Roman" w:eastAsia="Times New Roman" w:hAnsi="Times New Roman" w:cs="Times New Roman"/>
                <w:color w:val="auto"/>
              </w:rPr>
            </w:pPr>
            <w:r>
              <w:rPr>
                <w:rFonts w:ascii="Times New Roman" w:eastAsia="Times New Roman" w:hAnsi="Times New Roman" w:cs="Times New Roman"/>
                <w:color w:val="auto"/>
                <w:spacing w:val="1"/>
              </w:rPr>
              <w:t>150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0</w:t>
            </w:r>
          </w:p>
        </w:tc>
        <w:tc>
          <w:tcPr>
            <w:tcW w:w="1378" w:type="dxa"/>
            <w:tcBorders>
              <w:tl2br w:val="nil"/>
              <w:tr2bl w:val="nil"/>
            </w:tcBorders>
          </w:tcPr>
          <w:p w14:paraId="5DED77A1" w14:textId="77777777" w:rsidR="0075791A" w:rsidRDefault="00FB2864">
            <w:pPr>
              <w:pStyle w:val="TableParagraph"/>
              <w:spacing w:before="60"/>
              <w:ind w:left="385"/>
              <w:rPr>
                <w:rFonts w:ascii="Times New Roman" w:eastAsia="Times New Roman" w:hAnsi="Times New Roman" w:cs="Times New Roman"/>
                <w:color w:val="auto"/>
              </w:rPr>
            </w:pPr>
            <w:r>
              <w:rPr>
                <w:rFonts w:ascii="Times New Roman" w:eastAsia="Times New Roman" w:hAnsi="Times New Roman" w:cs="Times New Roman"/>
                <w:color w:val="auto"/>
                <w:spacing w:val="1"/>
              </w:rPr>
              <w:t>80</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23</w:t>
            </w:r>
            <w:r>
              <w:rPr>
                <w:rFonts w:ascii="Times New Roman" w:eastAsia="Times New Roman" w:hAnsi="Times New Roman" w:cs="Times New Roman"/>
                <w:color w:val="auto"/>
              </w:rPr>
              <w:t>0</w:t>
            </w:r>
          </w:p>
        </w:tc>
        <w:tc>
          <w:tcPr>
            <w:tcW w:w="1378" w:type="dxa"/>
            <w:tcBorders>
              <w:tl2br w:val="nil"/>
              <w:tr2bl w:val="nil"/>
            </w:tcBorders>
          </w:tcPr>
          <w:p w14:paraId="7A133C4B" w14:textId="77777777" w:rsidR="0075791A" w:rsidRDefault="00FB2864">
            <w:pPr>
              <w:pStyle w:val="TableParagraph"/>
              <w:spacing w:before="60"/>
              <w:ind w:left="394"/>
              <w:rPr>
                <w:rFonts w:ascii="Times New Roman" w:eastAsia="Times New Roman" w:hAnsi="Times New Roman" w:cs="Times New Roman"/>
                <w:color w:val="auto"/>
              </w:rPr>
            </w:pPr>
            <w:r>
              <w:rPr>
                <w:rFonts w:ascii="Times New Roman" w:eastAsia="Times New Roman" w:hAnsi="Times New Roman" w:cs="Times New Roman"/>
                <w:color w:val="auto"/>
                <w:spacing w:val="1"/>
              </w:rPr>
              <w:t>120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6</w:t>
            </w:r>
            <w:r>
              <w:rPr>
                <w:rFonts w:ascii="Times New Roman" w:eastAsia="Times New Roman" w:hAnsi="Times New Roman" w:cs="Times New Roman"/>
                <w:color w:val="auto"/>
              </w:rPr>
              <w:t>3</w:t>
            </w:r>
          </w:p>
        </w:tc>
        <w:tc>
          <w:tcPr>
            <w:tcW w:w="1378" w:type="dxa"/>
            <w:tcBorders>
              <w:tl2br w:val="nil"/>
              <w:tr2bl w:val="nil"/>
            </w:tcBorders>
          </w:tcPr>
          <w:p w14:paraId="4EFCFD29" w14:textId="77777777" w:rsidR="0075791A" w:rsidRDefault="00FB2864">
            <w:pPr>
              <w:pStyle w:val="TableParagraph"/>
              <w:spacing w:before="60"/>
              <w:ind w:left="413"/>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00</w:t>
            </w:r>
            <w:r>
              <w:rPr>
                <w:rFonts w:ascii="Times New Roman" w:eastAsia="Times New Roman" w:hAnsi="Times New Roman" w:cs="Times New Roman"/>
                <w:color w:val="auto"/>
              </w:rPr>
              <w:t>%</w:t>
            </w:r>
          </w:p>
        </w:tc>
      </w:tr>
      <w:tr w:rsidR="0075791A" w14:paraId="00AE33E8" w14:textId="77777777">
        <w:trPr>
          <w:trHeight w:val="255"/>
          <w:jc w:val="center"/>
        </w:trPr>
        <w:tc>
          <w:tcPr>
            <w:tcW w:w="1357" w:type="dxa"/>
            <w:tcBorders>
              <w:tl2br w:val="nil"/>
              <w:tr2bl w:val="nil"/>
            </w:tcBorders>
          </w:tcPr>
          <w:p w14:paraId="512EE8F8" w14:textId="77777777" w:rsidR="0075791A" w:rsidRDefault="00FB2864">
            <w:pPr>
              <w:pStyle w:val="TableParagraph"/>
              <w:spacing w:line="287" w:lineRule="exact"/>
              <w:ind w:left="357"/>
              <w:rPr>
                <w:rFonts w:ascii="宋体" w:eastAsia="宋体" w:hAnsi="宋体" w:cs="宋体"/>
                <w:color w:val="auto"/>
              </w:rPr>
            </w:pPr>
            <w:r>
              <w:rPr>
                <w:rFonts w:ascii="宋体" w:eastAsia="宋体" w:hAnsi="宋体" w:cs="宋体"/>
                <w:color w:val="auto"/>
                <w:spacing w:val="-1"/>
              </w:rPr>
              <w:t>大</w:t>
            </w:r>
            <w:r>
              <w:rPr>
                <w:rFonts w:ascii="宋体" w:eastAsia="宋体" w:hAnsi="宋体" w:cs="宋体"/>
                <w:color w:val="auto"/>
                <w:spacing w:val="2"/>
              </w:rPr>
              <w:t>甲</w:t>
            </w:r>
            <w:r>
              <w:rPr>
                <w:rFonts w:ascii="宋体" w:eastAsia="宋体" w:hAnsi="宋体" w:cs="宋体"/>
                <w:color w:val="auto"/>
              </w:rPr>
              <w:t>鲹</w:t>
            </w:r>
          </w:p>
        </w:tc>
        <w:tc>
          <w:tcPr>
            <w:tcW w:w="1377" w:type="dxa"/>
            <w:tcBorders>
              <w:tl2br w:val="nil"/>
              <w:tr2bl w:val="nil"/>
            </w:tcBorders>
          </w:tcPr>
          <w:p w14:paraId="0FAC4B7D" w14:textId="77777777" w:rsidR="0075791A" w:rsidRDefault="00FB2864">
            <w:pPr>
              <w:pStyle w:val="TableParagraph"/>
              <w:spacing w:before="61"/>
              <w:ind w:left="506" w:right="505"/>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15</w:t>
            </w:r>
            <w:r>
              <w:rPr>
                <w:rFonts w:ascii="Times New Roman" w:eastAsia="Times New Roman" w:hAnsi="Times New Roman" w:cs="Times New Roman"/>
                <w:color w:val="auto"/>
              </w:rPr>
              <w:t>4</w:t>
            </w:r>
          </w:p>
        </w:tc>
        <w:tc>
          <w:tcPr>
            <w:tcW w:w="1378" w:type="dxa"/>
            <w:tcBorders>
              <w:tl2br w:val="nil"/>
              <w:tr2bl w:val="nil"/>
            </w:tcBorders>
          </w:tcPr>
          <w:p w14:paraId="5FD8A245" w14:textId="77777777" w:rsidR="0075791A" w:rsidRDefault="00FB2864">
            <w:pPr>
              <w:pStyle w:val="TableParagraph"/>
              <w:spacing w:before="61"/>
              <w:ind w:left="395"/>
              <w:rPr>
                <w:rFonts w:ascii="Times New Roman" w:eastAsia="Times New Roman" w:hAnsi="Times New Roman" w:cs="Times New Roman"/>
                <w:color w:val="auto"/>
              </w:rPr>
            </w:pPr>
            <w:r>
              <w:rPr>
                <w:rFonts w:ascii="Times New Roman" w:eastAsia="Times New Roman" w:hAnsi="Times New Roman" w:cs="Times New Roman"/>
                <w:color w:val="auto"/>
                <w:spacing w:val="1"/>
              </w:rPr>
              <w:t>154</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0</w:t>
            </w:r>
          </w:p>
        </w:tc>
        <w:tc>
          <w:tcPr>
            <w:tcW w:w="1378" w:type="dxa"/>
            <w:tcBorders>
              <w:tl2br w:val="nil"/>
              <w:tr2bl w:val="nil"/>
            </w:tcBorders>
          </w:tcPr>
          <w:p w14:paraId="14D6232F" w14:textId="77777777" w:rsidR="0075791A" w:rsidRDefault="00FB2864">
            <w:pPr>
              <w:pStyle w:val="TableParagraph"/>
              <w:spacing w:before="61"/>
              <w:ind w:left="1"/>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w:t>
            </w:r>
            <w:r>
              <w:rPr>
                <w:rFonts w:ascii="Times New Roman" w:eastAsia="Times New Roman" w:hAnsi="Times New Roman" w:cs="Times New Roman"/>
                <w:color w:val="auto"/>
              </w:rPr>
              <w:t>4</w:t>
            </w:r>
          </w:p>
        </w:tc>
        <w:tc>
          <w:tcPr>
            <w:tcW w:w="1378" w:type="dxa"/>
            <w:tcBorders>
              <w:tl2br w:val="nil"/>
              <w:tr2bl w:val="nil"/>
            </w:tcBorders>
          </w:tcPr>
          <w:p w14:paraId="76108E0C" w14:textId="77777777" w:rsidR="0075791A" w:rsidRDefault="00FB2864">
            <w:pPr>
              <w:pStyle w:val="TableParagraph"/>
              <w:spacing w:before="61"/>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54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1378" w:type="dxa"/>
            <w:tcBorders>
              <w:tl2br w:val="nil"/>
              <w:tr2bl w:val="nil"/>
            </w:tcBorders>
          </w:tcPr>
          <w:p w14:paraId="7426699A" w14:textId="77777777" w:rsidR="0075791A" w:rsidRDefault="00FB2864">
            <w:pPr>
              <w:pStyle w:val="TableParagraph"/>
              <w:spacing w:before="61"/>
              <w:ind w:left="413"/>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00</w:t>
            </w:r>
            <w:r>
              <w:rPr>
                <w:rFonts w:ascii="Times New Roman" w:eastAsia="Times New Roman" w:hAnsi="Times New Roman" w:cs="Times New Roman"/>
                <w:color w:val="auto"/>
              </w:rPr>
              <w:t>%</w:t>
            </w:r>
          </w:p>
        </w:tc>
      </w:tr>
      <w:tr w:rsidR="0075791A" w14:paraId="3FC9C684" w14:textId="77777777">
        <w:trPr>
          <w:trHeight w:val="255"/>
          <w:jc w:val="center"/>
        </w:trPr>
        <w:tc>
          <w:tcPr>
            <w:tcW w:w="1357" w:type="dxa"/>
            <w:tcBorders>
              <w:tl2br w:val="nil"/>
              <w:tr2bl w:val="nil"/>
            </w:tcBorders>
          </w:tcPr>
          <w:p w14:paraId="360A019B" w14:textId="77777777" w:rsidR="0075791A" w:rsidRDefault="00FB2864">
            <w:pPr>
              <w:pStyle w:val="TableParagraph"/>
              <w:spacing w:line="286" w:lineRule="exact"/>
              <w:ind w:left="443" w:right="446"/>
              <w:jc w:val="center"/>
              <w:rPr>
                <w:rFonts w:ascii="宋体" w:eastAsia="宋体" w:hAnsi="宋体" w:cs="宋体"/>
                <w:color w:val="auto"/>
              </w:rPr>
            </w:pPr>
            <w:r>
              <w:rPr>
                <w:rFonts w:ascii="宋体" w:eastAsia="宋体" w:hAnsi="宋体" w:cs="宋体"/>
                <w:color w:val="auto"/>
                <w:spacing w:val="-1"/>
              </w:rPr>
              <w:t>钝</w:t>
            </w:r>
            <w:r>
              <w:rPr>
                <w:rFonts w:ascii="宋体" w:eastAsia="宋体" w:hAnsi="宋体" w:cs="宋体"/>
                <w:color w:val="auto"/>
              </w:rPr>
              <w:t>魣</w:t>
            </w:r>
          </w:p>
        </w:tc>
        <w:tc>
          <w:tcPr>
            <w:tcW w:w="1377" w:type="dxa"/>
            <w:tcBorders>
              <w:tl2br w:val="nil"/>
              <w:tr2bl w:val="nil"/>
            </w:tcBorders>
          </w:tcPr>
          <w:p w14:paraId="38EC653C" w14:textId="77777777" w:rsidR="0075791A" w:rsidRDefault="00FB2864">
            <w:pPr>
              <w:pStyle w:val="TableParagraph"/>
              <w:spacing w:before="60"/>
              <w:ind w:left="332"/>
              <w:rPr>
                <w:rFonts w:ascii="Times New Roman" w:eastAsia="Times New Roman" w:hAnsi="Times New Roman" w:cs="Times New Roman"/>
                <w:color w:val="auto"/>
              </w:rPr>
            </w:pPr>
            <w:r>
              <w:rPr>
                <w:rFonts w:ascii="Times New Roman" w:eastAsia="Times New Roman" w:hAnsi="Times New Roman" w:cs="Times New Roman"/>
                <w:color w:val="auto"/>
                <w:spacing w:val="1"/>
              </w:rPr>
              <w:t>221</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22</w:t>
            </w:r>
            <w:r>
              <w:rPr>
                <w:rFonts w:ascii="Times New Roman" w:eastAsia="Times New Roman" w:hAnsi="Times New Roman" w:cs="Times New Roman"/>
                <w:color w:val="auto"/>
              </w:rPr>
              <w:t>3</w:t>
            </w:r>
          </w:p>
        </w:tc>
        <w:tc>
          <w:tcPr>
            <w:tcW w:w="1378" w:type="dxa"/>
            <w:tcBorders>
              <w:tl2br w:val="nil"/>
              <w:tr2bl w:val="nil"/>
            </w:tcBorders>
          </w:tcPr>
          <w:p w14:paraId="5FF49080" w14:textId="77777777" w:rsidR="0075791A" w:rsidRDefault="00FB2864">
            <w:pPr>
              <w:pStyle w:val="TableParagraph"/>
              <w:spacing w:before="60"/>
              <w:ind w:left="395"/>
              <w:rPr>
                <w:rFonts w:ascii="Times New Roman" w:eastAsia="Times New Roman" w:hAnsi="Times New Roman" w:cs="Times New Roman"/>
                <w:color w:val="auto"/>
              </w:rPr>
            </w:pPr>
            <w:r>
              <w:rPr>
                <w:rFonts w:ascii="Times New Roman" w:eastAsia="Times New Roman" w:hAnsi="Times New Roman" w:cs="Times New Roman"/>
                <w:color w:val="auto"/>
                <w:spacing w:val="1"/>
              </w:rPr>
              <w:t>222</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0</w:t>
            </w:r>
          </w:p>
        </w:tc>
        <w:tc>
          <w:tcPr>
            <w:tcW w:w="1378" w:type="dxa"/>
            <w:tcBorders>
              <w:tl2br w:val="nil"/>
              <w:tr2bl w:val="nil"/>
            </w:tcBorders>
          </w:tcPr>
          <w:p w14:paraId="4458794F" w14:textId="77777777" w:rsidR="0075791A" w:rsidRDefault="00FB2864">
            <w:pPr>
              <w:pStyle w:val="TableParagraph"/>
              <w:spacing w:before="60"/>
              <w:ind w:left="282"/>
              <w:rPr>
                <w:rFonts w:ascii="Times New Roman" w:eastAsia="Times New Roman" w:hAnsi="Times New Roman" w:cs="Times New Roman"/>
                <w:color w:val="auto"/>
              </w:rPr>
            </w:pPr>
            <w:r>
              <w:rPr>
                <w:rFonts w:ascii="Times New Roman" w:eastAsia="Times New Roman" w:hAnsi="Times New Roman" w:cs="Times New Roman"/>
                <w:color w:val="auto"/>
                <w:spacing w:val="1"/>
              </w:rPr>
              <w:t>81</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spacing w:val="-3"/>
              </w:rPr>
              <w:t>-</w:t>
            </w:r>
            <w:r>
              <w:rPr>
                <w:rFonts w:ascii="Times New Roman" w:eastAsia="Times New Roman" w:hAnsi="Times New Roman" w:cs="Times New Roman"/>
                <w:color w:val="auto"/>
                <w:spacing w:val="1"/>
              </w:rPr>
              <w:t>83</w:t>
            </w:r>
            <w:r>
              <w:rPr>
                <w:rFonts w:ascii="Times New Roman" w:eastAsia="Times New Roman" w:hAnsi="Times New Roman" w:cs="Times New Roman"/>
                <w:color w:val="auto"/>
              </w:rPr>
              <w:t>.3</w:t>
            </w:r>
          </w:p>
        </w:tc>
        <w:tc>
          <w:tcPr>
            <w:tcW w:w="1378" w:type="dxa"/>
            <w:tcBorders>
              <w:tl2br w:val="nil"/>
              <w:tr2bl w:val="nil"/>
            </w:tcBorders>
          </w:tcPr>
          <w:p w14:paraId="11329A61" w14:textId="77777777" w:rsidR="0075791A" w:rsidRDefault="00FB2864">
            <w:pPr>
              <w:pStyle w:val="TableParagraph"/>
              <w:spacing w:before="60"/>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82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5</w:t>
            </w:r>
          </w:p>
        </w:tc>
        <w:tc>
          <w:tcPr>
            <w:tcW w:w="1378" w:type="dxa"/>
            <w:tcBorders>
              <w:tl2br w:val="nil"/>
              <w:tr2bl w:val="nil"/>
            </w:tcBorders>
          </w:tcPr>
          <w:p w14:paraId="5D592413" w14:textId="77777777" w:rsidR="0075791A" w:rsidRDefault="00FB2864">
            <w:pPr>
              <w:pStyle w:val="TableParagraph"/>
              <w:spacing w:before="60"/>
              <w:ind w:left="413"/>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00</w:t>
            </w:r>
            <w:r>
              <w:rPr>
                <w:rFonts w:ascii="Times New Roman" w:eastAsia="Times New Roman" w:hAnsi="Times New Roman" w:cs="Times New Roman"/>
                <w:color w:val="auto"/>
              </w:rPr>
              <w:t>%</w:t>
            </w:r>
          </w:p>
        </w:tc>
      </w:tr>
      <w:tr w:rsidR="0075791A" w14:paraId="45A31639" w14:textId="77777777">
        <w:trPr>
          <w:trHeight w:val="255"/>
          <w:jc w:val="center"/>
        </w:trPr>
        <w:tc>
          <w:tcPr>
            <w:tcW w:w="1357" w:type="dxa"/>
            <w:tcBorders>
              <w:tl2br w:val="nil"/>
              <w:tr2bl w:val="nil"/>
            </w:tcBorders>
          </w:tcPr>
          <w:p w14:paraId="3AD19915" w14:textId="77777777" w:rsidR="0075791A" w:rsidRDefault="00FB2864">
            <w:pPr>
              <w:pStyle w:val="TableParagraph"/>
              <w:spacing w:line="287" w:lineRule="exact"/>
              <w:ind w:left="443" w:right="446"/>
              <w:jc w:val="center"/>
              <w:rPr>
                <w:rFonts w:ascii="宋体" w:eastAsia="宋体" w:hAnsi="宋体" w:cs="宋体"/>
                <w:color w:val="auto"/>
              </w:rPr>
            </w:pPr>
            <w:r>
              <w:rPr>
                <w:rFonts w:ascii="宋体" w:eastAsia="宋体" w:hAnsi="宋体" w:cs="宋体"/>
                <w:color w:val="auto"/>
                <w:spacing w:val="-1"/>
              </w:rPr>
              <w:t>均</w:t>
            </w:r>
            <w:r>
              <w:rPr>
                <w:rFonts w:ascii="宋体" w:eastAsia="宋体" w:hAnsi="宋体" w:cs="宋体"/>
                <w:color w:val="auto"/>
              </w:rPr>
              <w:t>值</w:t>
            </w:r>
          </w:p>
        </w:tc>
        <w:tc>
          <w:tcPr>
            <w:tcW w:w="1377" w:type="dxa"/>
            <w:tcBorders>
              <w:tl2br w:val="nil"/>
              <w:tr2bl w:val="nil"/>
            </w:tcBorders>
          </w:tcPr>
          <w:p w14:paraId="15EAA062" w14:textId="77777777" w:rsidR="0075791A" w:rsidRDefault="00FB2864">
            <w:pPr>
              <w:pStyle w:val="TableParagraph"/>
              <w:spacing w:before="61"/>
              <w:ind w:right="1"/>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c>
          <w:tcPr>
            <w:tcW w:w="1378" w:type="dxa"/>
            <w:tcBorders>
              <w:tl2br w:val="nil"/>
              <w:tr2bl w:val="nil"/>
            </w:tcBorders>
          </w:tcPr>
          <w:p w14:paraId="65179CB3" w14:textId="77777777" w:rsidR="0075791A" w:rsidRDefault="00FB2864">
            <w:pPr>
              <w:pStyle w:val="TableParagraph"/>
              <w:spacing w:before="61"/>
              <w:ind w:left="395"/>
              <w:rPr>
                <w:rFonts w:ascii="Times New Roman" w:eastAsia="Times New Roman" w:hAnsi="Times New Roman" w:cs="Times New Roman"/>
                <w:color w:val="auto"/>
              </w:rPr>
            </w:pPr>
            <w:r>
              <w:rPr>
                <w:rFonts w:ascii="Times New Roman" w:eastAsia="Times New Roman" w:hAnsi="Times New Roman" w:cs="Times New Roman"/>
                <w:color w:val="auto"/>
                <w:spacing w:val="1"/>
              </w:rPr>
              <w:t>120</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5</w:t>
            </w:r>
            <w:r>
              <w:rPr>
                <w:rFonts w:ascii="Times New Roman" w:eastAsia="Times New Roman" w:hAnsi="Times New Roman" w:cs="Times New Roman"/>
                <w:color w:val="auto"/>
              </w:rPr>
              <w:t>8</w:t>
            </w:r>
          </w:p>
        </w:tc>
        <w:tc>
          <w:tcPr>
            <w:tcW w:w="1378" w:type="dxa"/>
            <w:tcBorders>
              <w:tl2br w:val="nil"/>
              <w:tr2bl w:val="nil"/>
            </w:tcBorders>
          </w:tcPr>
          <w:p w14:paraId="55E37BB5" w14:textId="77777777" w:rsidR="0075791A" w:rsidRDefault="00FB2864">
            <w:pPr>
              <w:pStyle w:val="TableParagraph"/>
              <w:spacing w:before="61"/>
              <w:ind w:right="2"/>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c>
          <w:tcPr>
            <w:tcW w:w="1378" w:type="dxa"/>
            <w:tcBorders>
              <w:tl2br w:val="nil"/>
              <w:tr2bl w:val="nil"/>
            </w:tcBorders>
          </w:tcPr>
          <w:p w14:paraId="130DB230" w14:textId="77777777" w:rsidR="0075791A" w:rsidRDefault="00FB2864">
            <w:pPr>
              <w:pStyle w:val="TableParagraph"/>
              <w:spacing w:before="61"/>
              <w:ind w:left="447"/>
              <w:rPr>
                <w:rFonts w:ascii="Times New Roman" w:eastAsia="Times New Roman" w:hAnsi="Times New Roman" w:cs="Times New Roman"/>
                <w:color w:val="auto"/>
              </w:rPr>
            </w:pPr>
            <w:r>
              <w:rPr>
                <w:rFonts w:ascii="Times New Roman" w:eastAsia="Times New Roman" w:hAnsi="Times New Roman" w:cs="Times New Roman"/>
                <w:color w:val="auto"/>
                <w:spacing w:val="1"/>
              </w:rPr>
              <w:t>51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6</w:t>
            </w:r>
          </w:p>
        </w:tc>
        <w:tc>
          <w:tcPr>
            <w:tcW w:w="1378" w:type="dxa"/>
            <w:tcBorders>
              <w:tl2br w:val="nil"/>
              <w:tr2bl w:val="nil"/>
            </w:tcBorders>
          </w:tcPr>
          <w:p w14:paraId="0F799057" w14:textId="77777777" w:rsidR="0075791A" w:rsidRDefault="00FB2864">
            <w:pPr>
              <w:pStyle w:val="TableParagraph"/>
              <w:spacing w:before="61"/>
              <w:ind w:left="360"/>
              <w:rPr>
                <w:rFonts w:ascii="Times New Roman" w:eastAsia="Times New Roman" w:hAnsi="Times New Roman" w:cs="Times New Roman"/>
                <w:color w:val="auto"/>
              </w:rPr>
            </w:pPr>
            <w:r>
              <w:rPr>
                <w:rFonts w:ascii="Times New Roman" w:eastAsia="Times New Roman" w:hAnsi="Times New Roman" w:cs="Times New Roman"/>
                <w:color w:val="auto"/>
                <w:spacing w:val="1"/>
              </w:rPr>
              <w:t>57</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3</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p>
        </w:tc>
      </w:tr>
    </w:tbl>
    <w:p w14:paraId="1C986087" w14:textId="77777777" w:rsidR="0075791A" w:rsidRDefault="0075791A">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p>
    <w:p w14:paraId="1CBBCA07" w14:textId="77777777" w:rsidR="0075791A" w:rsidRDefault="00FB2864">
      <w:pPr>
        <w:spacing w:line="360" w:lineRule="auto"/>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3.2.6.4 2023</w:t>
      </w:r>
      <w:r>
        <w:rPr>
          <w:rFonts w:ascii="Times New Roman" w:eastAsia="宋体" w:hAnsi="Times New Roman" w:hint="eastAsia"/>
          <w:b/>
          <w:color w:val="auto"/>
          <w:sz w:val="24"/>
          <w:szCs w:val="24"/>
          <w:lang w:eastAsia="zh-CN"/>
        </w:rPr>
        <w:t>年</w:t>
      </w:r>
      <w:r>
        <w:rPr>
          <w:rFonts w:ascii="Times New Roman" w:eastAsia="宋体" w:hAnsi="Times New Roman" w:hint="eastAsia"/>
          <w:b/>
          <w:color w:val="auto"/>
          <w:sz w:val="24"/>
          <w:szCs w:val="24"/>
          <w:lang w:eastAsia="zh-CN"/>
        </w:rPr>
        <w:t>06</w:t>
      </w:r>
      <w:r>
        <w:rPr>
          <w:rFonts w:ascii="Times New Roman" w:eastAsia="宋体" w:hAnsi="Times New Roman" w:hint="eastAsia"/>
          <w:b/>
          <w:color w:val="auto"/>
          <w:sz w:val="24"/>
          <w:szCs w:val="24"/>
          <w:lang w:eastAsia="zh-CN"/>
        </w:rPr>
        <w:t>月调查结果</w:t>
      </w:r>
    </w:p>
    <w:p w14:paraId="6B421DBF" w14:textId="77777777" w:rsidR="0075791A" w:rsidRDefault="00FB2864">
      <w:pPr>
        <w:pStyle w:val="a5"/>
        <w:spacing w:line="360" w:lineRule="auto"/>
        <w:ind w:firstLineChars="200" w:firstLine="484"/>
        <w:jc w:val="both"/>
        <w:rPr>
          <w:rFonts w:ascii="Times New Roman" w:eastAsia="宋体" w:hAnsi="Times New Roman" w:cs="宋体"/>
          <w:color w:val="auto"/>
          <w:sz w:val="24"/>
          <w:lang w:eastAsia="zh-CN"/>
        </w:rPr>
      </w:pPr>
      <w:r>
        <w:rPr>
          <w:rFonts w:ascii="Times New Roman" w:eastAsia="宋体" w:hAnsi="Times New Roman"/>
          <w:color w:val="auto"/>
          <w:spacing w:val="2"/>
          <w:sz w:val="24"/>
          <w:lang w:eastAsia="zh-CN"/>
        </w:rPr>
        <w:t>（</w:t>
      </w:r>
      <w:r>
        <w:rPr>
          <w:rFonts w:ascii="Times New Roman" w:eastAsia="宋体" w:hAnsi="Times New Roman" w:cs="宋体"/>
          <w:color w:val="auto"/>
          <w:sz w:val="24"/>
          <w:lang w:eastAsia="zh-CN"/>
        </w:rPr>
        <w:t>1</w:t>
      </w:r>
      <w:r>
        <w:rPr>
          <w:rFonts w:ascii="Times New Roman" w:eastAsia="宋体" w:hAnsi="Times New Roman"/>
          <w:color w:val="auto"/>
          <w:spacing w:val="2"/>
          <w:sz w:val="24"/>
          <w:lang w:eastAsia="zh-CN"/>
        </w:rPr>
        <w:t>）</w:t>
      </w:r>
      <w:r>
        <w:rPr>
          <w:rFonts w:ascii="Times New Roman" w:eastAsia="宋体" w:hAnsi="Times New Roman"/>
          <w:color w:val="auto"/>
          <w:sz w:val="24"/>
          <w:lang w:eastAsia="zh-CN"/>
        </w:rPr>
        <w:t>叶绿素</w:t>
      </w:r>
      <w:r>
        <w:rPr>
          <w:rFonts w:ascii="Times New Roman" w:eastAsia="宋体" w:hAnsi="Times New Roman"/>
          <w:color w:val="auto"/>
          <w:spacing w:val="-58"/>
          <w:sz w:val="24"/>
          <w:lang w:eastAsia="zh-CN"/>
        </w:rPr>
        <w:t xml:space="preserve"> </w:t>
      </w:r>
      <w:r>
        <w:rPr>
          <w:rFonts w:ascii="Times New Roman" w:eastAsia="宋体" w:hAnsi="Times New Roman" w:cs="宋体"/>
          <w:color w:val="auto"/>
          <w:sz w:val="24"/>
          <w:lang w:eastAsia="zh-CN"/>
        </w:rPr>
        <w:t>a</w:t>
      </w:r>
      <w:r>
        <w:rPr>
          <w:rFonts w:ascii="Times New Roman" w:eastAsia="宋体" w:hAnsi="Times New Roman" w:cs="宋体"/>
          <w:color w:val="auto"/>
          <w:spacing w:val="-60"/>
          <w:sz w:val="24"/>
          <w:lang w:eastAsia="zh-CN"/>
        </w:rPr>
        <w:t xml:space="preserve"> </w:t>
      </w:r>
      <w:r>
        <w:rPr>
          <w:rFonts w:ascii="Times New Roman" w:eastAsia="宋体" w:hAnsi="Times New Roman"/>
          <w:color w:val="auto"/>
          <w:spacing w:val="2"/>
          <w:sz w:val="24"/>
          <w:lang w:eastAsia="zh-CN"/>
        </w:rPr>
        <w:t>与</w:t>
      </w:r>
      <w:r>
        <w:rPr>
          <w:rFonts w:ascii="Times New Roman" w:eastAsia="宋体" w:hAnsi="Times New Roman"/>
          <w:color w:val="auto"/>
          <w:sz w:val="24"/>
          <w:lang w:eastAsia="zh-CN"/>
        </w:rPr>
        <w:t>初级</w:t>
      </w:r>
      <w:r>
        <w:rPr>
          <w:rFonts w:ascii="Times New Roman" w:eastAsia="宋体" w:hAnsi="Times New Roman"/>
          <w:color w:val="auto"/>
          <w:spacing w:val="2"/>
          <w:sz w:val="24"/>
          <w:lang w:eastAsia="zh-CN"/>
        </w:rPr>
        <w:t>生</w:t>
      </w:r>
      <w:r>
        <w:rPr>
          <w:rFonts w:ascii="Times New Roman" w:eastAsia="宋体" w:hAnsi="Times New Roman"/>
          <w:color w:val="auto"/>
          <w:sz w:val="24"/>
          <w:lang w:eastAsia="zh-CN"/>
        </w:rPr>
        <w:t>产</w:t>
      </w:r>
      <w:r>
        <w:rPr>
          <w:rFonts w:ascii="Times New Roman" w:eastAsia="宋体" w:hAnsi="Times New Roman"/>
          <w:color w:val="auto"/>
          <w:spacing w:val="2"/>
          <w:sz w:val="24"/>
          <w:lang w:eastAsia="zh-CN"/>
        </w:rPr>
        <w:t>力</w:t>
      </w:r>
      <w:r>
        <w:rPr>
          <w:rFonts w:ascii="Times New Roman" w:eastAsia="宋体" w:hAnsi="Times New Roman"/>
          <w:color w:val="auto"/>
          <w:sz w:val="24"/>
          <w:lang w:eastAsia="zh-CN"/>
        </w:rPr>
        <w:t>结果</w:t>
      </w:r>
      <w:r>
        <w:rPr>
          <w:rFonts w:ascii="Times New Roman" w:eastAsia="宋体" w:hAnsi="Times New Roman" w:cs="宋体"/>
          <w:color w:val="auto"/>
          <w:sz w:val="24"/>
          <w:lang w:eastAsia="zh-CN"/>
        </w:rPr>
        <w:t xml:space="preserve"> </w:t>
      </w:r>
    </w:p>
    <w:p w14:paraId="627C12DC"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调查海域叶绿素</w:t>
      </w:r>
      <w:r>
        <w:rPr>
          <w:rFonts w:ascii="Times New Roman" w:eastAsia="宋体" w:hAnsi="Times New Roman" w:cs="Times New Roman" w:hint="eastAsia"/>
          <w:snapToGrid/>
          <w:color w:val="auto"/>
          <w:kern w:val="2"/>
          <w:sz w:val="24"/>
          <w:szCs w:val="24"/>
          <w:lang w:eastAsia="zh-CN"/>
        </w:rPr>
        <w:t>a</w:t>
      </w:r>
      <w:r>
        <w:rPr>
          <w:rFonts w:ascii="Times New Roman" w:eastAsia="宋体" w:hAnsi="Times New Roman" w:cs="Times New Roman" w:hint="eastAsia"/>
          <w:snapToGrid/>
          <w:color w:val="auto"/>
          <w:kern w:val="2"/>
          <w:sz w:val="24"/>
          <w:szCs w:val="24"/>
          <w:lang w:eastAsia="zh-CN"/>
        </w:rPr>
        <w:t>含量范围为（</w:t>
      </w:r>
      <w:r>
        <w:rPr>
          <w:rFonts w:ascii="Times New Roman" w:eastAsia="宋体" w:hAnsi="Times New Roman" w:cs="Times New Roman" w:hint="eastAsia"/>
          <w:snapToGrid/>
          <w:color w:val="auto"/>
          <w:kern w:val="2"/>
          <w:sz w:val="24"/>
          <w:szCs w:val="24"/>
          <w:lang w:eastAsia="zh-CN"/>
        </w:rPr>
        <w:t>0.36</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2.63</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mg/m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1.03mg/m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。其中表层叶绿素</w:t>
      </w:r>
      <w:r>
        <w:rPr>
          <w:rFonts w:ascii="Times New Roman" w:eastAsia="宋体" w:hAnsi="Times New Roman" w:cs="Times New Roman" w:hint="eastAsia"/>
          <w:snapToGrid/>
          <w:color w:val="auto"/>
          <w:kern w:val="2"/>
          <w:sz w:val="24"/>
          <w:szCs w:val="24"/>
          <w:lang w:eastAsia="zh-CN"/>
        </w:rPr>
        <w:t>a</w:t>
      </w:r>
      <w:r>
        <w:rPr>
          <w:rFonts w:ascii="Times New Roman" w:eastAsia="宋体" w:hAnsi="Times New Roman" w:cs="Times New Roman" w:hint="eastAsia"/>
          <w:snapToGrid/>
          <w:color w:val="auto"/>
          <w:kern w:val="2"/>
          <w:sz w:val="24"/>
          <w:szCs w:val="24"/>
          <w:lang w:eastAsia="zh-CN"/>
        </w:rPr>
        <w:t>含量范围为（</w:t>
      </w:r>
      <w:r>
        <w:rPr>
          <w:rFonts w:ascii="Times New Roman" w:eastAsia="宋体" w:hAnsi="Times New Roman" w:cs="Times New Roman" w:hint="eastAsia"/>
          <w:snapToGrid/>
          <w:color w:val="auto"/>
          <w:kern w:val="2"/>
          <w:sz w:val="24"/>
          <w:szCs w:val="24"/>
          <w:lang w:eastAsia="zh-CN"/>
        </w:rPr>
        <w:t>0.44</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2.94</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mg/m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1.19mg/m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lang w:eastAsia="zh-CN"/>
        </w:rPr>
        <w:t>层叶绿素</w:t>
      </w:r>
      <w:r>
        <w:rPr>
          <w:rFonts w:ascii="Times New Roman" w:eastAsia="宋体" w:hAnsi="Times New Roman" w:cs="Times New Roman" w:hint="eastAsia"/>
          <w:snapToGrid/>
          <w:color w:val="auto"/>
          <w:kern w:val="2"/>
          <w:sz w:val="24"/>
          <w:szCs w:val="24"/>
          <w:lang w:eastAsia="zh-CN"/>
        </w:rPr>
        <w:t>a</w:t>
      </w:r>
      <w:r>
        <w:rPr>
          <w:rFonts w:ascii="Times New Roman" w:eastAsia="宋体" w:hAnsi="Times New Roman" w:cs="Times New Roman" w:hint="eastAsia"/>
          <w:snapToGrid/>
          <w:color w:val="auto"/>
          <w:kern w:val="2"/>
          <w:sz w:val="24"/>
          <w:szCs w:val="24"/>
          <w:lang w:eastAsia="zh-CN"/>
        </w:rPr>
        <w:t>含量范围为（</w:t>
      </w:r>
      <w:r>
        <w:rPr>
          <w:rFonts w:ascii="Times New Roman" w:eastAsia="宋体" w:hAnsi="Times New Roman" w:cs="Times New Roman" w:hint="eastAsia"/>
          <w:snapToGrid/>
          <w:color w:val="auto"/>
          <w:kern w:val="2"/>
          <w:sz w:val="24"/>
          <w:szCs w:val="24"/>
          <w:lang w:eastAsia="zh-CN"/>
        </w:rPr>
        <w:t>0.21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0.56</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mg/m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0.38mg/m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，底层叶绿素</w:t>
      </w:r>
      <w:r>
        <w:rPr>
          <w:rFonts w:ascii="Times New Roman" w:eastAsia="宋体" w:hAnsi="Times New Roman" w:cs="Times New Roman" w:hint="eastAsia"/>
          <w:snapToGrid/>
          <w:color w:val="auto"/>
          <w:kern w:val="2"/>
          <w:sz w:val="24"/>
          <w:szCs w:val="24"/>
          <w:lang w:eastAsia="zh-CN"/>
        </w:rPr>
        <w:t>a</w:t>
      </w:r>
      <w:r>
        <w:rPr>
          <w:rFonts w:ascii="Times New Roman" w:eastAsia="宋体" w:hAnsi="Times New Roman" w:cs="Times New Roman" w:hint="eastAsia"/>
          <w:snapToGrid/>
          <w:color w:val="auto"/>
          <w:kern w:val="2"/>
          <w:sz w:val="24"/>
          <w:szCs w:val="24"/>
          <w:lang w:eastAsia="zh-CN"/>
        </w:rPr>
        <w:t>含量范围为（</w:t>
      </w:r>
      <w:r>
        <w:rPr>
          <w:rFonts w:ascii="Times New Roman" w:eastAsia="宋体" w:hAnsi="Times New Roman" w:cs="Times New Roman" w:hint="eastAsia"/>
          <w:snapToGrid/>
          <w:color w:val="auto"/>
          <w:kern w:val="2"/>
          <w:sz w:val="24"/>
          <w:szCs w:val="24"/>
          <w:lang w:eastAsia="zh-CN"/>
        </w:rPr>
        <w:t>0.32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1.12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mg/m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0.63mg/m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。各站点间有略微差异。根据美国环保局（</w:t>
      </w:r>
      <w:r>
        <w:rPr>
          <w:rFonts w:ascii="Times New Roman" w:eastAsia="宋体" w:hAnsi="Times New Roman" w:cs="Times New Roman" w:hint="eastAsia"/>
          <w:snapToGrid/>
          <w:color w:val="auto"/>
          <w:kern w:val="2"/>
          <w:sz w:val="24"/>
          <w:szCs w:val="24"/>
          <w:lang w:eastAsia="zh-CN"/>
        </w:rPr>
        <w:t>EPA</w:t>
      </w:r>
      <w:r>
        <w:rPr>
          <w:rFonts w:ascii="Times New Roman" w:eastAsia="宋体" w:hAnsi="Times New Roman" w:cs="Times New Roman" w:hint="eastAsia"/>
          <w:snapToGrid/>
          <w:color w:val="auto"/>
          <w:kern w:val="2"/>
          <w:sz w:val="24"/>
          <w:szCs w:val="24"/>
          <w:lang w:eastAsia="zh-CN"/>
        </w:rPr>
        <w:t>）关于叶绿素</w:t>
      </w:r>
      <w:r>
        <w:rPr>
          <w:rFonts w:ascii="Times New Roman" w:eastAsia="宋体" w:hAnsi="Times New Roman" w:cs="Times New Roman" w:hint="eastAsia"/>
          <w:snapToGrid/>
          <w:color w:val="auto"/>
          <w:kern w:val="2"/>
          <w:sz w:val="24"/>
          <w:szCs w:val="24"/>
          <w:lang w:eastAsia="zh-CN"/>
        </w:rPr>
        <w:t>a</w:t>
      </w:r>
      <w:r>
        <w:rPr>
          <w:rFonts w:ascii="Times New Roman" w:eastAsia="宋体" w:hAnsi="Times New Roman" w:cs="Times New Roman" w:hint="eastAsia"/>
          <w:snapToGrid/>
          <w:color w:val="auto"/>
          <w:kern w:val="2"/>
          <w:sz w:val="24"/>
          <w:szCs w:val="24"/>
          <w:lang w:eastAsia="zh-CN"/>
        </w:rPr>
        <w:t>含量的评价标准（叶绿素</w:t>
      </w:r>
      <w:r>
        <w:rPr>
          <w:rFonts w:ascii="Times New Roman" w:eastAsia="宋体" w:hAnsi="Times New Roman" w:cs="Times New Roman" w:hint="eastAsia"/>
          <w:snapToGrid/>
          <w:color w:val="auto"/>
          <w:kern w:val="2"/>
          <w:sz w:val="24"/>
          <w:szCs w:val="24"/>
          <w:lang w:eastAsia="zh-CN"/>
        </w:rPr>
        <w:t>a</w:t>
      </w:r>
      <w:r>
        <w:rPr>
          <w:rFonts w:ascii="Times New Roman" w:eastAsia="宋体" w:hAnsi="Times New Roman" w:cs="Times New Roman" w:hint="eastAsia"/>
          <w:snapToGrid/>
          <w:color w:val="auto"/>
          <w:kern w:val="2"/>
          <w:sz w:val="24"/>
          <w:szCs w:val="24"/>
          <w:lang w:eastAsia="zh-CN"/>
        </w:rPr>
        <w:t>含量低于</w:t>
      </w:r>
      <w:r>
        <w:rPr>
          <w:rFonts w:ascii="Times New Roman" w:eastAsia="宋体" w:hAnsi="Times New Roman" w:cs="Times New Roman" w:hint="eastAsia"/>
          <w:snapToGrid/>
          <w:color w:val="auto"/>
          <w:kern w:val="2"/>
          <w:sz w:val="24"/>
          <w:szCs w:val="24"/>
          <w:lang w:eastAsia="zh-CN"/>
        </w:rPr>
        <w:t>4mg/m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为贫营养区，</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10mg/m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为中营养区，超过</w:t>
      </w:r>
      <w:r>
        <w:rPr>
          <w:rFonts w:ascii="Times New Roman" w:eastAsia="宋体" w:hAnsi="Times New Roman" w:cs="Times New Roman" w:hint="eastAsia"/>
          <w:snapToGrid/>
          <w:color w:val="auto"/>
          <w:kern w:val="2"/>
          <w:sz w:val="24"/>
          <w:szCs w:val="24"/>
          <w:lang w:eastAsia="zh-CN"/>
        </w:rPr>
        <w:t>10mg/m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为富营养区），调查海域站位均为贫营养区。</w:t>
      </w:r>
    </w:p>
    <w:p w14:paraId="4CEC601B"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调查海域初级生产力变化范围是（</w:t>
      </w:r>
      <w:r>
        <w:rPr>
          <w:rFonts w:ascii="Times New Roman" w:eastAsia="宋体" w:hAnsi="Times New Roman" w:cs="Times New Roman" w:hint="eastAsia"/>
          <w:snapToGrid/>
          <w:color w:val="auto"/>
          <w:kern w:val="2"/>
          <w:sz w:val="24"/>
          <w:szCs w:val="24"/>
          <w:lang w:eastAsia="zh-CN"/>
        </w:rPr>
        <w:t>88.79</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1016.41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mg·C/m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·d</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404.67</w:t>
      </w:r>
      <w:r>
        <w:rPr>
          <w:rFonts w:ascii="Times New Roman" w:eastAsia="宋体" w:hAnsi="Times New Roman" w:cs="Times New Roman"/>
          <w:snapToGrid/>
          <w:color w:val="auto"/>
          <w:kern w:val="2"/>
          <w:sz w:val="24"/>
          <w:szCs w:val="24"/>
          <w:lang w:eastAsia="zh-CN"/>
        </w:rPr>
        <w:t>mg·C/m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·d</w:t>
      </w:r>
      <w:r>
        <w:rPr>
          <w:rFonts w:ascii="Times New Roman" w:eastAsia="宋体" w:hAnsi="Times New Roman" w:cs="Times New Roman" w:hint="eastAsia"/>
          <w:snapToGrid/>
          <w:color w:val="auto"/>
          <w:kern w:val="2"/>
          <w:sz w:val="24"/>
          <w:szCs w:val="24"/>
          <w:lang w:eastAsia="zh-CN"/>
        </w:rPr>
        <w:t>。</w:t>
      </w:r>
    </w:p>
    <w:p w14:paraId="232FD203"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）浮游植物</w:t>
      </w:r>
      <w:r>
        <w:rPr>
          <w:rFonts w:ascii="Times New Roman" w:eastAsia="宋体" w:hAnsi="Times New Roman" w:cs="Times New Roman" w:hint="eastAsia"/>
          <w:snapToGrid/>
          <w:color w:val="auto"/>
          <w:kern w:val="2"/>
          <w:sz w:val="24"/>
          <w:szCs w:val="24"/>
          <w:lang w:eastAsia="zh-CN"/>
        </w:rPr>
        <w:t xml:space="preserve"> </w:t>
      </w:r>
    </w:p>
    <w:p w14:paraId="7C988DA2"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根据本次调查所采集到的样品，调查海域共鉴定到浮游植物</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门</w:t>
      </w:r>
      <w:r>
        <w:rPr>
          <w:rFonts w:ascii="Times New Roman" w:eastAsia="宋体" w:hAnsi="Times New Roman" w:cs="Times New Roman" w:hint="eastAsia"/>
          <w:snapToGrid/>
          <w:color w:val="auto"/>
          <w:kern w:val="2"/>
          <w:sz w:val="24"/>
          <w:szCs w:val="24"/>
          <w:lang w:eastAsia="zh-CN"/>
        </w:rPr>
        <w:t>38</w:t>
      </w:r>
      <w:r>
        <w:rPr>
          <w:rFonts w:ascii="Times New Roman" w:eastAsia="宋体" w:hAnsi="Times New Roman" w:cs="Times New Roman" w:hint="eastAsia"/>
          <w:snapToGrid/>
          <w:color w:val="auto"/>
          <w:kern w:val="2"/>
          <w:sz w:val="24"/>
          <w:szCs w:val="24"/>
          <w:lang w:eastAsia="zh-CN"/>
        </w:rPr>
        <w:t>属</w:t>
      </w:r>
      <w:r>
        <w:rPr>
          <w:rFonts w:ascii="Times New Roman" w:eastAsia="宋体" w:hAnsi="Times New Roman" w:cs="Times New Roman" w:hint="eastAsia"/>
          <w:snapToGrid/>
          <w:color w:val="auto"/>
          <w:kern w:val="2"/>
          <w:sz w:val="24"/>
          <w:szCs w:val="24"/>
          <w:lang w:eastAsia="zh-CN"/>
        </w:rPr>
        <w:t>116</w:t>
      </w:r>
      <w:r>
        <w:rPr>
          <w:rFonts w:ascii="Times New Roman" w:eastAsia="宋体" w:hAnsi="Times New Roman" w:cs="Times New Roman" w:hint="eastAsia"/>
          <w:snapToGrid/>
          <w:color w:val="auto"/>
          <w:kern w:val="2"/>
          <w:sz w:val="24"/>
          <w:szCs w:val="24"/>
          <w:lang w:eastAsia="zh-CN"/>
        </w:rPr>
        <w:t>种，以硅藻类占多数。各调查站位浮游植物的细胞丰度介于（</w:t>
      </w:r>
      <w:r>
        <w:rPr>
          <w:rFonts w:ascii="Times New Roman" w:eastAsia="宋体" w:hAnsi="Times New Roman" w:cs="Times New Roman" w:hint="eastAsia"/>
          <w:snapToGrid/>
          <w:color w:val="auto"/>
          <w:kern w:val="2"/>
          <w:sz w:val="24"/>
          <w:szCs w:val="24"/>
          <w:lang w:eastAsia="zh-CN"/>
        </w:rPr>
        <w:t>0.04</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50.20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105cells/m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之</w:t>
      </w:r>
      <w:r>
        <w:rPr>
          <w:rFonts w:ascii="Times New Roman" w:eastAsia="宋体" w:hAnsi="Times New Roman" w:cs="Times New Roman" w:hint="eastAsia"/>
          <w:snapToGrid/>
          <w:color w:val="auto"/>
          <w:kern w:val="2"/>
          <w:sz w:val="24"/>
          <w:szCs w:val="24"/>
          <w:lang w:eastAsia="zh-CN"/>
        </w:rPr>
        <w:t>间，平均细胞丰度为</w:t>
      </w:r>
      <w:r>
        <w:rPr>
          <w:rFonts w:ascii="Times New Roman" w:eastAsia="宋体" w:hAnsi="Times New Roman" w:cs="Times New Roman" w:hint="eastAsia"/>
          <w:snapToGrid/>
          <w:color w:val="auto"/>
          <w:kern w:val="2"/>
          <w:sz w:val="24"/>
          <w:szCs w:val="24"/>
          <w:lang w:eastAsia="zh-CN"/>
        </w:rPr>
        <w:t>6.75</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105cells/m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。调查海域浮游植物优势种类明显，主要为缢缩角毛藻、旋链角毛藻等。各站位的浮游植物丰富度指数介于</w:t>
      </w:r>
      <w:r>
        <w:rPr>
          <w:rFonts w:ascii="Times New Roman" w:eastAsia="宋体" w:hAnsi="Times New Roman" w:cs="Times New Roman" w:hint="eastAsia"/>
          <w:snapToGrid/>
          <w:color w:val="auto"/>
          <w:kern w:val="2"/>
          <w:sz w:val="24"/>
          <w:szCs w:val="24"/>
          <w:lang w:eastAsia="zh-CN"/>
        </w:rPr>
        <w:t>0.54</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5.50</w:t>
      </w:r>
      <w:r>
        <w:rPr>
          <w:rFonts w:ascii="Times New Roman" w:eastAsia="宋体" w:hAnsi="Times New Roman" w:cs="Times New Roman" w:hint="eastAsia"/>
          <w:snapToGrid/>
          <w:color w:val="auto"/>
          <w:kern w:val="2"/>
          <w:sz w:val="24"/>
          <w:szCs w:val="24"/>
          <w:lang w:eastAsia="zh-CN"/>
        </w:rPr>
        <w:t>之间，平均值为</w:t>
      </w:r>
      <w:r>
        <w:rPr>
          <w:rFonts w:ascii="Times New Roman" w:eastAsia="宋体" w:hAnsi="Times New Roman" w:cs="Times New Roman" w:hint="eastAsia"/>
          <w:snapToGrid/>
          <w:color w:val="auto"/>
          <w:kern w:val="2"/>
          <w:sz w:val="24"/>
          <w:szCs w:val="24"/>
          <w:lang w:eastAsia="zh-CN"/>
        </w:rPr>
        <w:t>3.00</w:t>
      </w:r>
      <w:r>
        <w:rPr>
          <w:rFonts w:ascii="Times New Roman" w:eastAsia="宋体" w:hAnsi="Times New Roman" w:cs="Times New Roman" w:hint="eastAsia"/>
          <w:snapToGrid/>
          <w:color w:val="auto"/>
          <w:kern w:val="2"/>
          <w:sz w:val="24"/>
          <w:szCs w:val="24"/>
          <w:lang w:eastAsia="zh-CN"/>
        </w:rPr>
        <w:t>，单纯度指数介于</w:t>
      </w:r>
      <w:r>
        <w:rPr>
          <w:rFonts w:ascii="Times New Roman" w:eastAsia="宋体" w:hAnsi="Times New Roman" w:cs="Times New Roman" w:hint="eastAsia"/>
          <w:snapToGrid/>
          <w:color w:val="auto"/>
          <w:kern w:val="2"/>
          <w:sz w:val="24"/>
          <w:szCs w:val="24"/>
          <w:lang w:eastAsia="zh-CN"/>
        </w:rPr>
        <w:t>0.04</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0.87</w:t>
      </w:r>
      <w:r>
        <w:rPr>
          <w:rFonts w:ascii="Times New Roman" w:eastAsia="宋体" w:hAnsi="Times New Roman" w:cs="Times New Roman" w:hint="eastAsia"/>
          <w:snapToGrid/>
          <w:color w:val="auto"/>
          <w:kern w:val="2"/>
          <w:sz w:val="24"/>
          <w:szCs w:val="24"/>
          <w:lang w:eastAsia="zh-CN"/>
        </w:rPr>
        <w:t>之间，平均值为</w:t>
      </w:r>
      <w:r>
        <w:rPr>
          <w:rFonts w:ascii="Times New Roman" w:eastAsia="宋体" w:hAnsi="Times New Roman" w:cs="Times New Roman" w:hint="eastAsia"/>
          <w:snapToGrid/>
          <w:color w:val="auto"/>
          <w:kern w:val="2"/>
          <w:sz w:val="24"/>
          <w:szCs w:val="24"/>
          <w:lang w:eastAsia="zh-CN"/>
        </w:rPr>
        <w:t>0.27</w:t>
      </w:r>
      <w:r>
        <w:rPr>
          <w:rFonts w:ascii="Times New Roman" w:eastAsia="宋体" w:hAnsi="Times New Roman" w:cs="Times New Roman" w:hint="eastAsia"/>
          <w:snapToGrid/>
          <w:color w:val="auto"/>
          <w:kern w:val="2"/>
          <w:sz w:val="24"/>
          <w:szCs w:val="24"/>
          <w:lang w:eastAsia="zh-CN"/>
        </w:rPr>
        <w:t>，多样性指数介于</w:t>
      </w:r>
      <w:r>
        <w:rPr>
          <w:rFonts w:ascii="Times New Roman" w:eastAsia="宋体" w:hAnsi="Times New Roman" w:cs="Times New Roman" w:hint="eastAsia"/>
          <w:snapToGrid/>
          <w:color w:val="auto"/>
          <w:kern w:val="2"/>
          <w:sz w:val="24"/>
          <w:szCs w:val="24"/>
          <w:lang w:eastAsia="zh-CN"/>
        </w:rPr>
        <w:t>0.58</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5.29</w:t>
      </w:r>
      <w:r>
        <w:rPr>
          <w:rFonts w:ascii="Times New Roman" w:eastAsia="宋体" w:hAnsi="Times New Roman" w:cs="Times New Roman" w:hint="eastAsia"/>
          <w:snapToGrid/>
          <w:color w:val="auto"/>
          <w:kern w:val="2"/>
          <w:sz w:val="24"/>
          <w:szCs w:val="24"/>
          <w:lang w:eastAsia="zh-CN"/>
        </w:rPr>
        <w:t>之间，平均值为</w:t>
      </w:r>
      <w:r>
        <w:rPr>
          <w:rFonts w:ascii="Times New Roman" w:eastAsia="宋体" w:hAnsi="Times New Roman" w:cs="Times New Roman" w:hint="eastAsia"/>
          <w:snapToGrid/>
          <w:color w:val="auto"/>
          <w:kern w:val="2"/>
          <w:sz w:val="24"/>
          <w:szCs w:val="24"/>
          <w:lang w:eastAsia="zh-CN"/>
        </w:rPr>
        <w:t>3.48</w:t>
      </w:r>
      <w:r>
        <w:rPr>
          <w:rFonts w:ascii="Times New Roman" w:eastAsia="宋体" w:hAnsi="Times New Roman" w:cs="Times New Roman" w:hint="eastAsia"/>
          <w:snapToGrid/>
          <w:color w:val="auto"/>
          <w:kern w:val="2"/>
          <w:sz w:val="24"/>
          <w:szCs w:val="24"/>
          <w:lang w:eastAsia="zh-CN"/>
        </w:rPr>
        <w:t>，均匀度指数介于</w:t>
      </w:r>
      <w:r>
        <w:rPr>
          <w:rFonts w:ascii="Times New Roman" w:eastAsia="宋体" w:hAnsi="Times New Roman" w:cs="Times New Roman" w:hint="eastAsia"/>
          <w:snapToGrid/>
          <w:color w:val="auto"/>
          <w:kern w:val="2"/>
          <w:sz w:val="24"/>
          <w:szCs w:val="24"/>
          <w:lang w:eastAsia="zh-CN"/>
        </w:rPr>
        <w:t>0.16</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0.88</w:t>
      </w:r>
      <w:r>
        <w:rPr>
          <w:rFonts w:ascii="Times New Roman" w:eastAsia="宋体" w:hAnsi="Times New Roman" w:cs="Times New Roman" w:hint="eastAsia"/>
          <w:snapToGrid/>
          <w:color w:val="auto"/>
          <w:kern w:val="2"/>
          <w:sz w:val="24"/>
          <w:szCs w:val="24"/>
          <w:lang w:eastAsia="zh-CN"/>
        </w:rPr>
        <w:t>之间，平均值为</w:t>
      </w:r>
      <w:r>
        <w:rPr>
          <w:rFonts w:ascii="Times New Roman" w:eastAsia="宋体" w:hAnsi="Times New Roman" w:cs="Times New Roman" w:hint="eastAsia"/>
          <w:snapToGrid/>
          <w:color w:val="auto"/>
          <w:kern w:val="2"/>
          <w:sz w:val="24"/>
          <w:szCs w:val="24"/>
          <w:lang w:eastAsia="zh-CN"/>
        </w:rPr>
        <w:t>0.62</w:t>
      </w:r>
      <w:r>
        <w:rPr>
          <w:rFonts w:ascii="Times New Roman" w:eastAsia="宋体" w:hAnsi="Times New Roman" w:cs="Times New Roman" w:hint="eastAsia"/>
          <w:snapToGrid/>
          <w:color w:val="auto"/>
          <w:kern w:val="2"/>
          <w:sz w:val="24"/>
          <w:szCs w:val="24"/>
          <w:lang w:eastAsia="zh-CN"/>
        </w:rPr>
        <w:t>。</w:t>
      </w:r>
    </w:p>
    <w:p w14:paraId="037E8A2C"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）浮游动物</w:t>
      </w:r>
    </w:p>
    <w:p w14:paraId="28877973"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lastRenderedPageBreak/>
        <w:t>据本次调查所采集到的标本鉴定，调查海域浮游动物共有</w:t>
      </w:r>
      <w:r>
        <w:rPr>
          <w:rFonts w:ascii="Times New Roman" w:eastAsia="宋体" w:hAnsi="Times New Roman" w:cs="Times New Roman" w:hint="eastAsia"/>
          <w:snapToGrid/>
          <w:color w:val="auto"/>
          <w:kern w:val="2"/>
          <w:sz w:val="24"/>
          <w:szCs w:val="24"/>
          <w:lang w:eastAsia="zh-CN"/>
        </w:rPr>
        <w:t>44</w:t>
      </w:r>
      <w:r>
        <w:rPr>
          <w:rFonts w:ascii="Times New Roman" w:eastAsia="宋体" w:hAnsi="Times New Roman" w:cs="Times New Roman" w:hint="eastAsia"/>
          <w:snapToGrid/>
          <w:color w:val="auto"/>
          <w:kern w:val="2"/>
          <w:sz w:val="24"/>
          <w:szCs w:val="24"/>
          <w:lang w:eastAsia="zh-CN"/>
        </w:rPr>
        <w:t>种，桡足类有</w:t>
      </w:r>
      <w:r>
        <w:rPr>
          <w:rFonts w:ascii="Times New Roman" w:eastAsia="宋体" w:hAnsi="Times New Roman" w:cs="Times New Roman" w:hint="eastAsia"/>
          <w:snapToGrid/>
          <w:color w:val="auto"/>
          <w:kern w:val="2"/>
          <w:sz w:val="24"/>
          <w:szCs w:val="24"/>
          <w:lang w:eastAsia="zh-CN"/>
        </w:rPr>
        <w:t>25</w:t>
      </w:r>
      <w:r>
        <w:rPr>
          <w:rFonts w:ascii="Times New Roman" w:eastAsia="宋体" w:hAnsi="Times New Roman" w:cs="Times New Roman" w:hint="eastAsia"/>
          <w:snapToGrid/>
          <w:color w:val="auto"/>
          <w:kern w:val="2"/>
          <w:sz w:val="24"/>
          <w:szCs w:val="24"/>
          <w:lang w:eastAsia="zh-CN"/>
        </w:rPr>
        <w:t>种，管水母类有</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种，水螅水母类有</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种，腹足类有</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种，被囊类有</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种，毛颚类有</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种，枝角类有</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种，介形类有</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种，十足类有</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种。浮游动物丰度范围为</w:t>
      </w:r>
      <w:r>
        <w:rPr>
          <w:rFonts w:ascii="Times New Roman" w:eastAsia="宋体" w:hAnsi="Times New Roman" w:cs="Times New Roman" w:hint="eastAsia"/>
          <w:snapToGrid/>
          <w:color w:val="auto"/>
          <w:kern w:val="2"/>
          <w:sz w:val="24"/>
          <w:szCs w:val="24"/>
          <w:lang w:eastAsia="zh-CN"/>
        </w:rPr>
        <w:t>(8.04</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90.82)ind./m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，平均丰度为</w:t>
      </w:r>
      <w:r>
        <w:rPr>
          <w:rFonts w:ascii="Times New Roman" w:eastAsia="宋体" w:hAnsi="Times New Roman" w:cs="Times New Roman" w:hint="eastAsia"/>
          <w:snapToGrid/>
          <w:color w:val="auto"/>
          <w:kern w:val="2"/>
          <w:sz w:val="24"/>
          <w:szCs w:val="24"/>
          <w:lang w:eastAsia="zh-CN"/>
        </w:rPr>
        <w:t>51.69ind./m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；生物量范围为（</w:t>
      </w:r>
      <w:r>
        <w:rPr>
          <w:rFonts w:ascii="Times New Roman" w:eastAsia="宋体" w:hAnsi="Times New Roman" w:cs="Times New Roman" w:hint="eastAsia"/>
          <w:snapToGrid/>
          <w:color w:val="auto"/>
          <w:kern w:val="2"/>
          <w:sz w:val="24"/>
          <w:szCs w:val="24"/>
          <w:lang w:eastAsia="zh-CN"/>
        </w:rPr>
        <w:t>2.23</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47.83</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mg/m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，平均生物量为</w:t>
      </w:r>
      <w:r>
        <w:rPr>
          <w:rFonts w:ascii="Times New Roman" w:eastAsia="宋体" w:hAnsi="Times New Roman" w:cs="Times New Roman" w:hint="eastAsia"/>
          <w:snapToGrid/>
          <w:color w:val="auto"/>
          <w:kern w:val="2"/>
          <w:sz w:val="24"/>
          <w:szCs w:val="24"/>
          <w:lang w:eastAsia="zh-CN"/>
        </w:rPr>
        <w:t>26.51mg/m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。该海域浮游动物优势种类主要有中型莹虾、亚强真哲水蚤、长尾类幼体、短尾类幼体、黄角光水蚤、肥胖箭虫、双生水母。该水域浮游动物多样性指数范围在</w:t>
      </w:r>
      <w:r>
        <w:rPr>
          <w:rFonts w:ascii="Times New Roman" w:eastAsia="宋体" w:hAnsi="Times New Roman" w:cs="Times New Roman" w:hint="eastAsia"/>
          <w:snapToGrid/>
          <w:color w:val="auto"/>
          <w:kern w:val="2"/>
          <w:sz w:val="24"/>
          <w:szCs w:val="24"/>
          <w:lang w:eastAsia="zh-CN"/>
        </w:rPr>
        <w:t>1.7</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3.99</w:t>
      </w:r>
      <w:r>
        <w:rPr>
          <w:rFonts w:ascii="Times New Roman" w:eastAsia="宋体" w:hAnsi="Times New Roman" w:cs="Times New Roman" w:hint="eastAsia"/>
          <w:snapToGrid/>
          <w:color w:val="auto"/>
          <w:kern w:val="2"/>
          <w:sz w:val="24"/>
          <w:szCs w:val="24"/>
          <w:lang w:eastAsia="zh-CN"/>
        </w:rPr>
        <w:t>之间，平均值为</w:t>
      </w:r>
      <w:r>
        <w:rPr>
          <w:rFonts w:ascii="Times New Roman" w:eastAsia="宋体" w:hAnsi="Times New Roman" w:cs="Times New Roman" w:hint="eastAsia"/>
          <w:snapToGrid/>
          <w:color w:val="auto"/>
          <w:kern w:val="2"/>
          <w:sz w:val="24"/>
          <w:szCs w:val="24"/>
          <w:lang w:eastAsia="zh-CN"/>
        </w:rPr>
        <w:t>3.24</w:t>
      </w:r>
      <w:r>
        <w:rPr>
          <w:rFonts w:ascii="Times New Roman" w:eastAsia="宋体" w:hAnsi="Times New Roman" w:cs="Times New Roman" w:hint="eastAsia"/>
          <w:snapToGrid/>
          <w:color w:val="auto"/>
          <w:kern w:val="2"/>
          <w:sz w:val="24"/>
          <w:szCs w:val="24"/>
          <w:lang w:eastAsia="zh-CN"/>
        </w:rPr>
        <w:t>；均匀度指数范围在</w:t>
      </w:r>
      <w:r>
        <w:rPr>
          <w:rFonts w:ascii="Times New Roman" w:eastAsia="宋体" w:hAnsi="Times New Roman" w:cs="Times New Roman" w:hint="eastAsia"/>
          <w:snapToGrid/>
          <w:color w:val="auto"/>
          <w:kern w:val="2"/>
          <w:sz w:val="24"/>
          <w:szCs w:val="24"/>
          <w:lang w:eastAsia="zh-CN"/>
        </w:rPr>
        <w:t>0.76</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0.97</w:t>
      </w:r>
      <w:r>
        <w:rPr>
          <w:rFonts w:ascii="Times New Roman" w:eastAsia="宋体" w:hAnsi="Times New Roman" w:cs="Times New Roman" w:hint="eastAsia"/>
          <w:snapToGrid/>
          <w:color w:val="auto"/>
          <w:kern w:val="2"/>
          <w:sz w:val="24"/>
          <w:szCs w:val="24"/>
          <w:lang w:eastAsia="zh-CN"/>
        </w:rPr>
        <w:t>之间，平均值为</w:t>
      </w:r>
      <w:r>
        <w:rPr>
          <w:rFonts w:ascii="Times New Roman" w:eastAsia="宋体" w:hAnsi="Times New Roman" w:cs="Times New Roman" w:hint="eastAsia"/>
          <w:snapToGrid/>
          <w:color w:val="auto"/>
          <w:kern w:val="2"/>
          <w:sz w:val="24"/>
          <w:szCs w:val="24"/>
          <w:lang w:eastAsia="zh-CN"/>
        </w:rPr>
        <w:t>0.84</w:t>
      </w:r>
      <w:r>
        <w:rPr>
          <w:rFonts w:ascii="Times New Roman" w:eastAsia="宋体" w:hAnsi="Times New Roman" w:cs="Times New Roman" w:hint="eastAsia"/>
          <w:snapToGrid/>
          <w:color w:val="auto"/>
          <w:kern w:val="2"/>
          <w:sz w:val="24"/>
          <w:szCs w:val="24"/>
          <w:lang w:eastAsia="zh-CN"/>
        </w:rPr>
        <w:t>；丰富度指数范围在</w:t>
      </w:r>
      <w:r>
        <w:rPr>
          <w:rFonts w:ascii="Times New Roman" w:eastAsia="宋体" w:hAnsi="Times New Roman" w:cs="Times New Roman" w:hint="eastAsia"/>
          <w:snapToGrid/>
          <w:color w:val="auto"/>
          <w:kern w:val="2"/>
          <w:sz w:val="24"/>
          <w:szCs w:val="24"/>
          <w:lang w:eastAsia="zh-CN"/>
        </w:rPr>
        <w:t>0.95</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3.06</w:t>
      </w:r>
      <w:r>
        <w:rPr>
          <w:rFonts w:ascii="Times New Roman" w:eastAsia="宋体" w:hAnsi="Times New Roman" w:cs="Times New Roman" w:hint="eastAsia"/>
          <w:snapToGrid/>
          <w:color w:val="auto"/>
          <w:kern w:val="2"/>
          <w:sz w:val="24"/>
          <w:szCs w:val="24"/>
          <w:lang w:eastAsia="zh-CN"/>
        </w:rPr>
        <w:t>之间，平均值为</w:t>
      </w:r>
      <w:r>
        <w:rPr>
          <w:rFonts w:ascii="Times New Roman" w:eastAsia="宋体" w:hAnsi="Times New Roman" w:cs="Times New Roman" w:hint="eastAsia"/>
          <w:snapToGrid/>
          <w:color w:val="auto"/>
          <w:kern w:val="2"/>
          <w:sz w:val="24"/>
          <w:szCs w:val="24"/>
          <w:lang w:eastAsia="zh-CN"/>
        </w:rPr>
        <w:t>2.22</w:t>
      </w:r>
      <w:r>
        <w:rPr>
          <w:rFonts w:ascii="Times New Roman" w:eastAsia="宋体" w:hAnsi="Times New Roman" w:cs="Times New Roman" w:hint="eastAsia"/>
          <w:snapToGrid/>
          <w:color w:val="auto"/>
          <w:kern w:val="2"/>
          <w:sz w:val="24"/>
          <w:szCs w:val="24"/>
          <w:lang w:eastAsia="zh-CN"/>
        </w:rPr>
        <w:t>；单纯度指数范围在</w:t>
      </w:r>
      <w:r>
        <w:rPr>
          <w:rFonts w:ascii="Times New Roman" w:eastAsia="宋体" w:hAnsi="Times New Roman" w:cs="Times New Roman" w:hint="eastAsia"/>
          <w:snapToGrid/>
          <w:color w:val="auto"/>
          <w:kern w:val="2"/>
          <w:sz w:val="24"/>
          <w:szCs w:val="24"/>
          <w:lang w:eastAsia="zh-CN"/>
        </w:rPr>
        <w:t>0.09</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0.33</w:t>
      </w:r>
      <w:r>
        <w:rPr>
          <w:rFonts w:ascii="Times New Roman" w:eastAsia="宋体" w:hAnsi="Times New Roman" w:cs="Times New Roman" w:hint="eastAsia"/>
          <w:snapToGrid/>
          <w:color w:val="auto"/>
          <w:kern w:val="2"/>
          <w:sz w:val="24"/>
          <w:szCs w:val="24"/>
          <w:lang w:eastAsia="zh-CN"/>
        </w:rPr>
        <w:t>之间，平均值为</w:t>
      </w:r>
      <w:r>
        <w:rPr>
          <w:rFonts w:ascii="Times New Roman" w:eastAsia="宋体" w:hAnsi="Times New Roman" w:cs="Times New Roman" w:hint="eastAsia"/>
          <w:snapToGrid/>
          <w:color w:val="auto"/>
          <w:kern w:val="2"/>
          <w:sz w:val="24"/>
          <w:szCs w:val="24"/>
          <w:lang w:eastAsia="zh-CN"/>
        </w:rPr>
        <w:t>0.17</w:t>
      </w:r>
      <w:r>
        <w:rPr>
          <w:rFonts w:ascii="Times New Roman" w:eastAsia="宋体" w:hAnsi="Times New Roman" w:cs="Times New Roman" w:hint="eastAsia"/>
          <w:snapToGrid/>
          <w:color w:val="auto"/>
          <w:kern w:val="2"/>
          <w:sz w:val="24"/>
          <w:szCs w:val="24"/>
          <w:lang w:eastAsia="zh-CN"/>
        </w:rPr>
        <w:t>。</w:t>
      </w:r>
    </w:p>
    <w:p w14:paraId="704B04D8"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）大型底栖动物</w:t>
      </w:r>
    </w:p>
    <w:p w14:paraId="0905CB08"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本次调查，调查海域大型底栖动物共采集鉴定到</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门</w:t>
      </w:r>
      <w:r>
        <w:rPr>
          <w:rFonts w:ascii="Times New Roman" w:eastAsia="宋体" w:hAnsi="Times New Roman" w:cs="Times New Roman" w:hint="eastAsia"/>
          <w:snapToGrid/>
          <w:color w:val="auto"/>
          <w:kern w:val="2"/>
          <w:sz w:val="24"/>
          <w:szCs w:val="24"/>
          <w:lang w:eastAsia="zh-CN"/>
        </w:rPr>
        <w:t>53</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73</w:t>
      </w:r>
      <w:r>
        <w:rPr>
          <w:rFonts w:ascii="Times New Roman" w:eastAsia="宋体" w:hAnsi="Times New Roman" w:cs="Times New Roman" w:hint="eastAsia"/>
          <w:snapToGrid/>
          <w:color w:val="auto"/>
          <w:kern w:val="2"/>
          <w:sz w:val="24"/>
          <w:szCs w:val="24"/>
          <w:lang w:eastAsia="zh-CN"/>
        </w:rPr>
        <w:t>种，其中节肢动物有</w:t>
      </w:r>
      <w:r>
        <w:rPr>
          <w:rFonts w:ascii="Times New Roman" w:eastAsia="宋体" w:hAnsi="Times New Roman" w:cs="Times New Roman" w:hint="eastAsia"/>
          <w:snapToGrid/>
          <w:color w:val="auto"/>
          <w:kern w:val="2"/>
          <w:sz w:val="24"/>
          <w:szCs w:val="24"/>
          <w:lang w:eastAsia="zh-CN"/>
        </w:rPr>
        <w:t>32</w:t>
      </w:r>
      <w:r>
        <w:rPr>
          <w:rFonts w:ascii="Times New Roman" w:eastAsia="宋体" w:hAnsi="Times New Roman" w:cs="Times New Roman" w:hint="eastAsia"/>
          <w:snapToGrid/>
          <w:color w:val="auto"/>
          <w:kern w:val="2"/>
          <w:sz w:val="24"/>
          <w:szCs w:val="24"/>
          <w:lang w:eastAsia="zh-CN"/>
        </w:rPr>
        <w:t>种，软体动物有</w:t>
      </w:r>
      <w:r>
        <w:rPr>
          <w:rFonts w:ascii="Times New Roman" w:eastAsia="宋体" w:hAnsi="Times New Roman" w:cs="Times New Roman" w:hint="eastAsia"/>
          <w:snapToGrid/>
          <w:color w:val="auto"/>
          <w:kern w:val="2"/>
          <w:sz w:val="24"/>
          <w:szCs w:val="24"/>
          <w:lang w:eastAsia="zh-CN"/>
        </w:rPr>
        <w:t>17</w:t>
      </w:r>
      <w:r>
        <w:rPr>
          <w:rFonts w:ascii="Times New Roman" w:eastAsia="宋体" w:hAnsi="Times New Roman" w:cs="Times New Roman" w:hint="eastAsia"/>
          <w:snapToGrid/>
          <w:color w:val="auto"/>
          <w:kern w:val="2"/>
          <w:sz w:val="24"/>
          <w:szCs w:val="24"/>
          <w:lang w:eastAsia="zh-CN"/>
        </w:rPr>
        <w:t>种，环节动物有</w:t>
      </w:r>
      <w:r>
        <w:rPr>
          <w:rFonts w:ascii="Times New Roman" w:eastAsia="宋体" w:hAnsi="Times New Roman" w:cs="Times New Roman" w:hint="eastAsia"/>
          <w:snapToGrid/>
          <w:color w:val="auto"/>
          <w:kern w:val="2"/>
          <w:sz w:val="24"/>
          <w:szCs w:val="24"/>
          <w:lang w:eastAsia="zh-CN"/>
        </w:rPr>
        <w:t>16</w:t>
      </w:r>
      <w:r>
        <w:rPr>
          <w:rFonts w:ascii="Times New Roman" w:eastAsia="宋体" w:hAnsi="Times New Roman" w:cs="Times New Roman" w:hint="eastAsia"/>
          <w:snapToGrid/>
          <w:color w:val="auto"/>
          <w:kern w:val="2"/>
          <w:sz w:val="24"/>
          <w:szCs w:val="24"/>
          <w:lang w:eastAsia="zh-CN"/>
        </w:rPr>
        <w:t>种，棘皮动物有</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种，脊索动物有</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种，螠虫动物有</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种。各站位底栖生物栖息密度的幅度为</w:t>
      </w:r>
      <w:r>
        <w:rPr>
          <w:rFonts w:ascii="Times New Roman" w:eastAsia="宋体" w:hAnsi="Times New Roman" w:cs="Times New Roman" w:hint="eastAsia"/>
          <w:snapToGrid/>
          <w:color w:val="auto"/>
          <w:kern w:val="2"/>
          <w:sz w:val="24"/>
          <w:szCs w:val="24"/>
          <w:lang w:eastAsia="zh-CN"/>
        </w:rPr>
        <w:t>(5.56</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87.18)ind./m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，平均密度为</w:t>
      </w:r>
      <w:r>
        <w:rPr>
          <w:rFonts w:ascii="Times New Roman" w:eastAsia="宋体" w:hAnsi="Times New Roman" w:cs="Times New Roman" w:hint="eastAsia"/>
          <w:snapToGrid/>
          <w:color w:val="auto"/>
          <w:kern w:val="2"/>
          <w:sz w:val="24"/>
          <w:szCs w:val="24"/>
          <w:lang w:eastAsia="zh-CN"/>
        </w:rPr>
        <w:t>37.91ind./m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；生物量的</w:t>
      </w:r>
      <w:r>
        <w:rPr>
          <w:rFonts w:ascii="Times New Roman" w:eastAsia="宋体" w:hAnsi="Times New Roman" w:cs="Times New Roman" w:hint="eastAsia"/>
          <w:snapToGrid/>
          <w:color w:val="auto"/>
          <w:kern w:val="2"/>
          <w:sz w:val="24"/>
          <w:szCs w:val="24"/>
          <w:lang w:eastAsia="zh-CN"/>
        </w:rPr>
        <w:t>幅度为</w:t>
      </w:r>
      <w:r>
        <w:rPr>
          <w:rFonts w:ascii="Times New Roman" w:eastAsia="宋体" w:hAnsi="Times New Roman" w:cs="Times New Roman" w:hint="eastAsia"/>
          <w:snapToGrid/>
          <w:color w:val="auto"/>
          <w:kern w:val="2"/>
          <w:sz w:val="24"/>
          <w:szCs w:val="24"/>
          <w:lang w:eastAsia="zh-CN"/>
        </w:rPr>
        <w:t>(0.02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18.81)g/m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，平均生物量为</w:t>
      </w:r>
      <w:r>
        <w:rPr>
          <w:rFonts w:ascii="Times New Roman" w:eastAsia="宋体" w:hAnsi="Times New Roman" w:cs="Times New Roman" w:hint="eastAsia"/>
          <w:snapToGrid/>
          <w:color w:val="auto"/>
          <w:kern w:val="2"/>
          <w:sz w:val="24"/>
          <w:szCs w:val="24"/>
          <w:lang w:eastAsia="zh-CN"/>
        </w:rPr>
        <w:t>4.81g/m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。调查海域大型底栖动物栖息密度主要以环节动物门为主，平均密度为</w:t>
      </w:r>
      <w:r>
        <w:rPr>
          <w:rFonts w:ascii="Times New Roman" w:eastAsia="宋体" w:hAnsi="Times New Roman" w:cs="Times New Roman" w:hint="eastAsia"/>
          <w:snapToGrid/>
          <w:color w:val="auto"/>
          <w:kern w:val="2"/>
          <w:sz w:val="24"/>
          <w:szCs w:val="24"/>
          <w:lang w:eastAsia="zh-CN"/>
        </w:rPr>
        <w:t>16.62ind./m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，其次为节肢动物门，平均密度为</w:t>
      </w:r>
      <w:r>
        <w:rPr>
          <w:rFonts w:ascii="Times New Roman" w:eastAsia="宋体" w:hAnsi="Times New Roman" w:cs="Times New Roman" w:hint="eastAsia"/>
          <w:snapToGrid/>
          <w:color w:val="auto"/>
          <w:kern w:val="2"/>
          <w:sz w:val="24"/>
          <w:szCs w:val="24"/>
          <w:lang w:eastAsia="zh-CN"/>
        </w:rPr>
        <w:t>14.44ind./m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，最低为棘皮和螠虫动物门，平均密度均为</w:t>
      </w:r>
      <w:r>
        <w:rPr>
          <w:rFonts w:ascii="Times New Roman" w:eastAsia="宋体" w:hAnsi="Times New Roman" w:cs="Times New Roman" w:hint="eastAsia"/>
          <w:snapToGrid/>
          <w:color w:val="auto"/>
          <w:kern w:val="2"/>
          <w:sz w:val="24"/>
          <w:szCs w:val="24"/>
          <w:lang w:eastAsia="zh-CN"/>
        </w:rPr>
        <w:t>1.03ind./m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；生物量以节肢动物门为主，平均生物量为</w:t>
      </w:r>
      <w:r>
        <w:rPr>
          <w:rFonts w:ascii="Times New Roman" w:eastAsia="宋体" w:hAnsi="Times New Roman" w:cs="Times New Roman" w:hint="eastAsia"/>
          <w:snapToGrid/>
          <w:color w:val="auto"/>
          <w:kern w:val="2"/>
          <w:sz w:val="24"/>
          <w:szCs w:val="24"/>
          <w:lang w:eastAsia="zh-CN"/>
        </w:rPr>
        <w:t>2.32g/m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，其次为环节动物门，平均生物量为</w:t>
      </w:r>
      <w:r>
        <w:rPr>
          <w:rFonts w:ascii="Times New Roman" w:eastAsia="宋体" w:hAnsi="Times New Roman" w:cs="Times New Roman" w:hint="eastAsia"/>
          <w:snapToGrid/>
          <w:color w:val="auto"/>
          <w:kern w:val="2"/>
          <w:sz w:val="24"/>
          <w:szCs w:val="24"/>
          <w:lang w:eastAsia="zh-CN"/>
        </w:rPr>
        <w:t>1.37g/m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，最低为纽形动物门，平均生物量均为</w:t>
      </w:r>
      <w:r>
        <w:rPr>
          <w:rFonts w:ascii="Times New Roman" w:eastAsia="宋体" w:hAnsi="Times New Roman" w:cs="Times New Roman" w:hint="eastAsia"/>
          <w:snapToGrid/>
          <w:color w:val="auto"/>
          <w:kern w:val="2"/>
          <w:sz w:val="24"/>
          <w:szCs w:val="24"/>
          <w:lang w:eastAsia="zh-CN"/>
        </w:rPr>
        <w:t>0.03g/m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。调查期间该海域大型底栖动物优势种类突出，优势种为中国中蚓虫。各站丰富度的幅度为</w:t>
      </w:r>
      <w:r>
        <w:rPr>
          <w:rFonts w:ascii="Times New Roman" w:eastAsia="宋体" w:hAnsi="Times New Roman" w:cs="Times New Roman" w:hint="eastAsia"/>
          <w:snapToGrid/>
          <w:color w:val="auto"/>
          <w:kern w:val="2"/>
          <w:sz w:val="24"/>
          <w:szCs w:val="24"/>
          <w:lang w:eastAsia="zh-CN"/>
        </w:rPr>
        <w:t>0.00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.55</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0.77</w:t>
      </w:r>
      <w:r>
        <w:rPr>
          <w:rFonts w:ascii="Times New Roman" w:eastAsia="宋体" w:hAnsi="Times New Roman" w:cs="Times New Roman" w:hint="eastAsia"/>
          <w:snapToGrid/>
          <w:color w:val="auto"/>
          <w:kern w:val="2"/>
          <w:sz w:val="24"/>
          <w:szCs w:val="24"/>
          <w:lang w:eastAsia="zh-CN"/>
        </w:rPr>
        <w:t>；各站单纯度的幅度为</w:t>
      </w:r>
      <w:r>
        <w:rPr>
          <w:rFonts w:ascii="Times New Roman" w:eastAsia="宋体" w:hAnsi="Times New Roman" w:cs="Times New Roman" w:hint="eastAsia"/>
          <w:snapToGrid/>
          <w:color w:val="auto"/>
          <w:kern w:val="2"/>
          <w:sz w:val="24"/>
          <w:szCs w:val="24"/>
          <w:lang w:eastAsia="zh-CN"/>
        </w:rPr>
        <w:t>0.10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1.00</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0.34</w:t>
      </w:r>
      <w:r>
        <w:rPr>
          <w:rFonts w:ascii="Times New Roman" w:eastAsia="宋体" w:hAnsi="Times New Roman" w:cs="Times New Roman" w:hint="eastAsia"/>
          <w:snapToGrid/>
          <w:color w:val="auto"/>
          <w:kern w:val="2"/>
          <w:sz w:val="24"/>
          <w:szCs w:val="24"/>
          <w:lang w:eastAsia="zh-CN"/>
        </w:rPr>
        <w:t>；各站多样性指数的幅度为</w:t>
      </w:r>
      <w:r>
        <w:rPr>
          <w:rFonts w:ascii="Times New Roman" w:eastAsia="宋体" w:hAnsi="Times New Roman" w:cs="Times New Roman" w:hint="eastAsia"/>
          <w:snapToGrid/>
          <w:color w:val="auto"/>
          <w:kern w:val="2"/>
          <w:sz w:val="24"/>
          <w:szCs w:val="24"/>
          <w:lang w:eastAsia="zh-CN"/>
        </w:rPr>
        <w:t>0.00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3.38</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2.00</w:t>
      </w:r>
      <w:r>
        <w:rPr>
          <w:rFonts w:ascii="Times New Roman" w:eastAsia="宋体" w:hAnsi="Times New Roman" w:cs="Times New Roman" w:hint="eastAsia"/>
          <w:snapToGrid/>
          <w:color w:val="auto"/>
          <w:kern w:val="2"/>
          <w:sz w:val="24"/>
          <w:szCs w:val="24"/>
          <w:lang w:eastAsia="zh-CN"/>
        </w:rPr>
        <w:t>；各站均匀度的幅度为</w:t>
      </w:r>
      <w:r>
        <w:rPr>
          <w:rFonts w:ascii="Times New Roman" w:eastAsia="宋体" w:hAnsi="Times New Roman" w:cs="Times New Roman" w:hint="eastAsia"/>
          <w:snapToGrid/>
          <w:color w:val="auto"/>
          <w:kern w:val="2"/>
          <w:sz w:val="24"/>
          <w:szCs w:val="24"/>
          <w:lang w:eastAsia="zh-CN"/>
        </w:rPr>
        <w:t>0.00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1.00</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0.84</w:t>
      </w:r>
      <w:r>
        <w:rPr>
          <w:rFonts w:ascii="Times New Roman" w:eastAsia="宋体" w:hAnsi="Times New Roman" w:cs="Times New Roman" w:hint="eastAsia"/>
          <w:snapToGrid/>
          <w:color w:val="auto"/>
          <w:kern w:val="2"/>
          <w:sz w:val="24"/>
          <w:szCs w:val="24"/>
          <w:lang w:eastAsia="zh-CN"/>
        </w:rPr>
        <w:t>。</w:t>
      </w:r>
    </w:p>
    <w:p w14:paraId="3E4AAF6C"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）潮间带生物</w:t>
      </w:r>
    </w:p>
    <w:p w14:paraId="5238A0F1"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个潮间带断面共采获了</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个生物类别中的</w:t>
      </w:r>
      <w:r>
        <w:rPr>
          <w:rFonts w:ascii="Times New Roman" w:eastAsia="宋体" w:hAnsi="Times New Roman" w:cs="Times New Roman" w:hint="eastAsia"/>
          <w:snapToGrid/>
          <w:color w:val="auto"/>
          <w:kern w:val="2"/>
          <w:sz w:val="24"/>
          <w:szCs w:val="24"/>
          <w:lang w:eastAsia="zh-CN"/>
        </w:rPr>
        <w:t>15</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20</w:t>
      </w:r>
      <w:r>
        <w:rPr>
          <w:rFonts w:ascii="Times New Roman" w:eastAsia="宋体" w:hAnsi="Times New Roman" w:cs="Times New Roman" w:hint="eastAsia"/>
          <w:snapToGrid/>
          <w:color w:val="auto"/>
          <w:kern w:val="2"/>
          <w:sz w:val="24"/>
          <w:szCs w:val="24"/>
          <w:lang w:eastAsia="zh-CN"/>
        </w:rPr>
        <w:t>种生物（包含定性样品）。其中节肢动物门有</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lang w:eastAsia="zh-CN"/>
        </w:rPr>
        <w:t>种，环节动物门有</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种，节肢动物门有</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种，脊索动物门有</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种。</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条潮间带生物断面高潮区平均栖息密度为</w:t>
      </w:r>
      <w:r>
        <w:rPr>
          <w:rFonts w:ascii="Times New Roman" w:eastAsia="宋体" w:hAnsi="Times New Roman" w:cs="Times New Roman" w:hint="eastAsia"/>
          <w:snapToGrid/>
          <w:color w:val="auto"/>
          <w:kern w:val="2"/>
          <w:sz w:val="24"/>
          <w:szCs w:val="24"/>
          <w:lang w:eastAsia="zh-CN"/>
        </w:rPr>
        <w:t>6.67ind./m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，平均生物量为</w:t>
      </w:r>
      <w:r>
        <w:rPr>
          <w:rFonts w:ascii="Times New Roman" w:eastAsia="宋体" w:hAnsi="Times New Roman" w:cs="Times New Roman" w:hint="eastAsia"/>
          <w:snapToGrid/>
          <w:color w:val="auto"/>
          <w:kern w:val="2"/>
          <w:sz w:val="24"/>
          <w:szCs w:val="24"/>
          <w:lang w:eastAsia="zh-CN"/>
        </w:rPr>
        <w:t>5.97g/m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；中潮区平均栖息密度为</w:t>
      </w:r>
      <w:r>
        <w:rPr>
          <w:rFonts w:ascii="Times New Roman" w:eastAsia="宋体" w:hAnsi="Times New Roman" w:cs="Times New Roman" w:hint="eastAsia"/>
          <w:snapToGrid/>
          <w:color w:val="auto"/>
          <w:kern w:val="2"/>
          <w:sz w:val="24"/>
          <w:szCs w:val="24"/>
          <w:lang w:eastAsia="zh-CN"/>
        </w:rPr>
        <w:t>16.00ind./m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，平均生物量为</w:t>
      </w:r>
      <w:r>
        <w:rPr>
          <w:rFonts w:ascii="Times New Roman" w:eastAsia="宋体" w:hAnsi="Times New Roman" w:cs="Times New Roman" w:hint="eastAsia"/>
          <w:snapToGrid/>
          <w:color w:val="auto"/>
          <w:kern w:val="2"/>
          <w:sz w:val="24"/>
          <w:szCs w:val="24"/>
          <w:lang w:eastAsia="zh-CN"/>
        </w:rPr>
        <w:t>6.10g/m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；低潮区平均栖息密度为</w:t>
      </w:r>
      <w:r>
        <w:rPr>
          <w:rFonts w:ascii="Times New Roman" w:eastAsia="宋体" w:hAnsi="Times New Roman" w:cs="Times New Roman" w:hint="eastAsia"/>
          <w:snapToGrid/>
          <w:color w:val="auto"/>
          <w:kern w:val="2"/>
          <w:sz w:val="24"/>
          <w:szCs w:val="24"/>
          <w:lang w:eastAsia="zh-CN"/>
        </w:rPr>
        <w:t>16.00ind./m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，平均生物量为</w:t>
      </w:r>
      <w:r>
        <w:rPr>
          <w:rFonts w:ascii="Times New Roman" w:eastAsia="宋体" w:hAnsi="Times New Roman" w:cs="Times New Roman" w:hint="eastAsia"/>
          <w:snapToGrid/>
          <w:color w:val="auto"/>
          <w:kern w:val="2"/>
          <w:sz w:val="24"/>
          <w:szCs w:val="24"/>
          <w:lang w:eastAsia="zh-CN"/>
        </w:rPr>
        <w:t>25.71g/m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。其中生物量分布状况为软体动物（</w:t>
      </w:r>
      <w:r>
        <w:rPr>
          <w:rFonts w:ascii="Times New Roman" w:eastAsia="宋体" w:hAnsi="Times New Roman" w:cs="Times New Roman" w:hint="eastAsia"/>
          <w:snapToGrid/>
          <w:color w:val="auto"/>
          <w:kern w:val="2"/>
          <w:sz w:val="24"/>
          <w:szCs w:val="24"/>
          <w:lang w:eastAsia="zh-CN"/>
        </w:rPr>
        <w:t>9.80g/m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&gt;</w:t>
      </w:r>
      <w:r>
        <w:rPr>
          <w:rFonts w:ascii="Times New Roman" w:eastAsia="宋体" w:hAnsi="Times New Roman" w:cs="Times New Roman" w:hint="eastAsia"/>
          <w:snapToGrid/>
          <w:color w:val="auto"/>
          <w:kern w:val="2"/>
          <w:sz w:val="24"/>
          <w:szCs w:val="24"/>
          <w:lang w:eastAsia="zh-CN"/>
        </w:rPr>
        <w:t>节肢动物（</w:t>
      </w:r>
      <w:r>
        <w:rPr>
          <w:rFonts w:ascii="Times New Roman" w:eastAsia="宋体" w:hAnsi="Times New Roman" w:cs="Times New Roman" w:hint="eastAsia"/>
          <w:snapToGrid/>
          <w:color w:val="auto"/>
          <w:kern w:val="2"/>
          <w:sz w:val="24"/>
          <w:szCs w:val="24"/>
          <w:lang w:eastAsia="zh-CN"/>
        </w:rPr>
        <w:t>2.47g/m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&gt;</w:t>
      </w:r>
      <w:r>
        <w:rPr>
          <w:rFonts w:ascii="Times New Roman" w:eastAsia="宋体" w:hAnsi="Times New Roman" w:cs="Times New Roman" w:hint="eastAsia"/>
          <w:snapToGrid/>
          <w:color w:val="auto"/>
          <w:kern w:val="2"/>
          <w:sz w:val="24"/>
          <w:szCs w:val="24"/>
          <w:lang w:eastAsia="zh-CN"/>
        </w:rPr>
        <w:t>脊索动物（</w:t>
      </w:r>
      <w:r>
        <w:rPr>
          <w:rFonts w:ascii="Times New Roman" w:eastAsia="宋体" w:hAnsi="Times New Roman" w:cs="Times New Roman" w:hint="eastAsia"/>
          <w:snapToGrid/>
          <w:color w:val="auto"/>
          <w:kern w:val="2"/>
          <w:sz w:val="24"/>
          <w:szCs w:val="24"/>
          <w:lang w:eastAsia="zh-CN"/>
        </w:rPr>
        <w:t>0.24g/m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&gt;</w:t>
      </w:r>
      <w:r>
        <w:rPr>
          <w:rFonts w:ascii="Times New Roman" w:eastAsia="宋体" w:hAnsi="Times New Roman" w:cs="Times New Roman" w:hint="eastAsia"/>
          <w:snapToGrid/>
          <w:color w:val="auto"/>
          <w:kern w:val="2"/>
          <w:sz w:val="24"/>
          <w:szCs w:val="24"/>
          <w:lang w:eastAsia="zh-CN"/>
        </w:rPr>
        <w:t>环节动</w:t>
      </w:r>
      <w:r>
        <w:rPr>
          <w:rFonts w:ascii="Times New Roman" w:eastAsia="宋体" w:hAnsi="Times New Roman" w:cs="Times New Roman" w:hint="eastAsia"/>
          <w:snapToGrid/>
          <w:color w:val="auto"/>
          <w:kern w:val="2"/>
          <w:sz w:val="24"/>
          <w:szCs w:val="24"/>
          <w:lang w:eastAsia="zh-CN"/>
        </w:rPr>
        <w:t>物（</w:t>
      </w:r>
      <w:r>
        <w:rPr>
          <w:rFonts w:ascii="Times New Roman" w:eastAsia="宋体" w:hAnsi="Times New Roman" w:cs="Times New Roman" w:hint="eastAsia"/>
          <w:snapToGrid/>
          <w:color w:val="auto"/>
          <w:kern w:val="2"/>
          <w:sz w:val="24"/>
          <w:szCs w:val="24"/>
          <w:lang w:eastAsia="zh-CN"/>
        </w:rPr>
        <w:t>0.08g/m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）。栖息密度的分布状况为软体动物（</w:t>
      </w:r>
      <w:r>
        <w:rPr>
          <w:rFonts w:ascii="Times New Roman" w:eastAsia="宋体" w:hAnsi="Times New Roman" w:cs="Times New Roman" w:hint="eastAsia"/>
          <w:snapToGrid/>
          <w:color w:val="auto"/>
          <w:kern w:val="2"/>
          <w:sz w:val="24"/>
          <w:szCs w:val="24"/>
          <w:lang w:eastAsia="zh-CN"/>
        </w:rPr>
        <w:t>4.89ind./m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&gt;</w:t>
      </w:r>
      <w:r>
        <w:rPr>
          <w:rFonts w:ascii="Times New Roman" w:eastAsia="宋体" w:hAnsi="Times New Roman" w:cs="Times New Roman" w:hint="eastAsia"/>
          <w:snapToGrid/>
          <w:color w:val="auto"/>
          <w:kern w:val="2"/>
          <w:sz w:val="24"/>
          <w:szCs w:val="24"/>
          <w:lang w:eastAsia="zh-CN"/>
        </w:rPr>
        <w:t>节肢动物（</w:t>
      </w:r>
      <w:r>
        <w:rPr>
          <w:rFonts w:ascii="Times New Roman" w:eastAsia="宋体" w:hAnsi="Times New Roman" w:cs="Times New Roman" w:hint="eastAsia"/>
          <w:snapToGrid/>
          <w:color w:val="auto"/>
          <w:kern w:val="2"/>
          <w:sz w:val="24"/>
          <w:szCs w:val="24"/>
          <w:lang w:eastAsia="zh-CN"/>
        </w:rPr>
        <w:t>4.00ind./m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&gt;</w:t>
      </w:r>
      <w:r>
        <w:rPr>
          <w:rFonts w:ascii="Times New Roman" w:eastAsia="宋体" w:hAnsi="Times New Roman" w:cs="Times New Roman" w:hint="eastAsia"/>
          <w:snapToGrid/>
          <w:color w:val="auto"/>
          <w:kern w:val="2"/>
          <w:sz w:val="24"/>
          <w:szCs w:val="24"/>
          <w:lang w:eastAsia="zh-CN"/>
        </w:rPr>
        <w:t>环节动物（</w:t>
      </w:r>
      <w:r>
        <w:rPr>
          <w:rFonts w:ascii="Times New Roman" w:eastAsia="宋体" w:hAnsi="Times New Roman" w:cs="Times New Roman" w:hint="eastAsia"/>
          <w:snapToGrid/>
          <w:color w:val="auto"/>
          <w:kern w:val="2"/>
          <w:sz w:val="24"/>
          <w:szCs w:val="24"/>
          <w:lang w:eastAsia="zh-CN"/>
        </w:rPr>
        <w:t>3.56ind./m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&gt;</w:t>
      </w:r>
      <w:r>
        <w:rPr>
          <w:rFonts w:ascii="Times New Roman" w:eastAsia="宋体" w:hAnsi="Times New Roman" w:cs="Times New Roman" w:hint="eastAsia"/>
          <w:snapToGrid/>
          <w:color w:val="auto"/>
          <w:kern w:val="2"/>
          <w:sz w:val="24"/>
          <w:szCs w:val="24"/>
          <w:lang w:eastAsia="zh-CN"/>
        </w:rPr>
        <w:t>脊索动物（</w:t>
      </w:r>
      <w:r>
        <w:rPr>
          <w:rFonts w:ascii="Times New Roman" w:eastAsia="宋体" w:hAnsi="Times New Roman" w:cs="Times New Roman" w:hint="eastAsia"/>
          <w:snapToGrid/>
          <w:color w:val="auto"/>
          <w:kern w:val="2"/>
          <w:sz w:val="24"/>
          <w:szCs w:val="24"/>
          <w:lang w:eastAsia="zh-CN"/>
        </w:rPr>
        <w:t>0.44ind./m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）。该区域的潮间带生物优势种类突出，优势种为锥唇吻沙蚕、角眼沙蟹和楔形斧蛤。本次调查，</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条潮间带断面高潮区均只采集到</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种生物，丰富度、多样性指数和均匀度均为</w:t>
      </w:r>
      <w:r>
        <w:rPr>
          <w:rFonts w:ascii="Times New Roman" w:eastAsia="宋体" w:hAnsi="Times New Roman" w:cs="Times New Roman" w:hint="eastAsia"/>
          <w:snapToGrid/>
          <w:color w:val="auto"/>
          <w:kern w:val="2"/>
          <w:sz w:val="24"/>
          <w:szCs w:val="24"/>
          <w:lang w:eastAsia="zh-CN"/>
        </w:rPr>
        <w:t>0</w:t>
      </w:r>
      <w:r>
        <w:rPr>
          <w:rFonts w:ascii="Times New Roman" w:eastAsia="宋体" w:hAnsi="Times New Roman" w:cs="Times New Roman" w:hint="eastAsia"/>
          <w:snapToGrid/>
          <w:color w:val="auto"/>
          <w:kern w:val="2"/>
          <w:sz w:val="24"/>
          <w:szCs w:val="24"/>
          <w:lang w:eastAsia="zh-CN"/>
        </w:rPr>
        <w:t>，单纯度为</w:t>
      </w:r>
      <w:r>
        <w:rPr>
          <w:rFonts w:ascii="Times New Roman" w:eastAsia="宋体" w:hAnsi="Times New Roman" w:cs="Times New Roman" w:hint="eastAsia"/>
          <w:snapToGrid/>
          <w:color w:val="auto"/>
          <w:kern w:val="2"/>
          <w:sz w:val="24"/>
          <w:szCs w:val="24"/>
          <w:lang w:eastAsia="zh-CN"/>
        </w:rPr>
        <w:t>1.00</w:t>
      </w:r>
      <w:r>
        <w:rPr>
          <w:rFonts w:ascii="Times New Roman" w:eastAsia="宋体" w:hAnsi="Times New Roman" w:cs="Times New Roman" w:hint="eastAsia"/>
          <w:snapToGrid/>
          <w:color w:val="auto"/>
          <w:kern w:val="2"/>
          <w:sz w:val="24"/>
          <w:szCs w:val="24"/>
          <w:lang w:eastAsia="zh-CN"/>
        </w:rPr>
        <w:t>。</w:t>
      </w:r>
    </w:p>
    <w:p w14:paraId="61832E2B"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lastRenderedPageBreak/>
        <w:t>3</w:t>
      </w:r>
      <w:r>
        <w:rPr>
          <w:rFonts w:ascii="Times New Roman" w:eastAsia="宋体" w:hAnsi="Times New Roman" w:cs="Times New Roman" w:hint="eastAsia"/>
          <w:snapToGrid/>
          <w:color w:val="auto"/>
          <w:kern w:val="2"/>
          <w:sz w:val="24"/>
          <w:szCs w:val="24"/>
          <w:lang w:eastAsia="zh-CN"/>
        </w:rPr>
        <w:t>条潮间带断面中潮区丰富度范围在</w:t>
      </w:r>
      <w:r>
        <w:rPr>
          <w:rFonts w:ascii="Times New Roman" w:eastAsia="宋体" w:hAnsi="Times New Roman" w:cs="Times New Roman" w:hint="eastAsia"/>
          <w:snapToGrid/>
          <w:color w:val="auto"/>
          <w:kern w:val="2"/>
          <w:sz w:val="24"/>
          <w:szCs w:val="24"/>
          <w:lang w:eastAsia="zh-CN"/>
        </w:rPr>
        <w:t>0.00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0.60</w:t>
      </w:r>
      <w:r>
        <w:rPr>
          <w:rFonts w:ascii="Times New Roman" w:eastAsia="宋体" w:hAnsi="Times New Roman" w:cs="Times New Roman" w:hint="eastAsia"/>
          <w:snapToGrid/>
          <w:color w:val="auto"/>
          <w:kern w:val="2"/>
          <w:sz w:val="24"/>
          <w:szCs w:val="24"/>
          <w:lang w:eastAsia="zh-CN"/>
        </w:rPr>
        <w:t>之间，平均为</w:t>
      </w:r>
      <w:r>
        <w:rPr>
          <w:rFonts w:ascii="Times New Roman" w:eastAsia="宋体" w:hAnsi="Times New Roman" w:cs="Times New Roman" w:hint="eastAsia"/>
          <w:snapToGrid/>
          <w:color w:val="auto"/>
          <w:kern w:val="2"/>
          <w:sz w:val="24"/>
          <w:szCs w:val="24"/>
          <w:lang w:eastAsia="zh-CN"/>
        </w:rPr>
        <w:t>0.20</w:t>
      </w:r>
      <w:r>
        <w:rPr>
          <w:rFonts w:ascii="Times New Roman" w:eastAsia="宋体" w:hAnsi="Times New Roman" w:cs="Times New Roman" w:hint="eastAsia"/>
          <w:snapToGrid/>
          <w:color w:val="auto"/>
          <w:kern w:val="2"/>
          <w:sz w:val="24"/>
          <w:szCs w:val="24"/>
          <w:lang w:eastAsia="zh-CN"/>
        </w:rPr>
        <w:t>，单纯度范围在</w:t>
      </w:r>
      <w:r>
        <w:rPr>
          <w:rFonts w:ascii="Times New Roman" w:eastAsia="宋体" w:hAnsi="Times New Roman" w:cs="Times New Roman" w:hint="eastAsia"/>
          <w:snapToGrid/>
          <w:color w:val="auto"/>
          <w:kern w:val="2"/>
          <w:sz w:val="24"/>
          <w:szCs w:val="24"/>
          <w:lang w:eastAsia="zh-CN"/>
        </w:rPr>
        <w:t>0.31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1.00</w:t>
      </w:r>
      <w:r>
        <w:rPr>
          <w:rFonts w:ascii="Times New Roman" w:eastAsia="宋体" w:hAnsi="Times New Roman" w:cs="Times New Roman" w:hint="eastAsia"/>
          <w:snapToGrid/>
          <w:color w:val="auto"/>
          <w:kern w:val="2"/>
          <w:sz w:val="24"/>
          <w:szCs w:val="24"/>
          <w:lang w:eastAsia="zh-CN"/>
        </w:rPr>
        <w:t>之间，平均为</w:t>
      </w:r>
      <w:r>
        <w:rPr>
          <w:rFonts w:ascii="Times New Roman" w:eastAsia="宋体" w:hAnsi="Times New Roman" w:cs="Times New Roman" w:hint="eastAsia"/>
          <w:snapToGrid/>
          <w:color w:val="auto"/>
          <w:kern w:val="2"/>
          <w:sz w:val="24"/>
          <w:szCs w:val="24"/>
          <w:lang w:eastAsia="zh-CN"/>
        </w:rPr>
        <w:t>0.77</w:t>
      </w:r>
      <w:r>
        <w:rPr>
          <w:rFonts w:ascii="Times New Roman" w:eastAsia="宋体" w:hAnsi="Times New Roman" w:cs="Times New Roman" w:hint="eastAsia"/>
          <w:snapToGrid/>
          <w:color w:val="auto"/>
          <w:kern w:val="2"/>
          <w:sz w:val="24"/>
          <w:szCs w:val="24"/>
          <w:lang w:eastAsia="zh-CN"/>
        </w:rPr>
        <w:t>，多样性指数范围在</w:t>
      </w:r>
      <w:r>
        <w:rPr>
          <w:rFonts w:ascii="Times New Roman" w:eastAsia="宋体" w:hAnsi="Times New Roman" w:cs="Times New Roman" w:hint="eastAsia"/>
          <w:snapToGrid/>
          <w:color w:val="auto"/>
          <w:kern w:val="2"/>
          <w:sz w:val="24"/>
          <w:szCs w:val="24"/>
          <w:lang w:eastAsia="zh-CN"/>
        </w:rPr>
        <w:t>0.00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1.81</w:t>
      </w:r>
      <w:r>
        <w:rPr>
          <w:rFonts w:ascii="Times New Roman" w:eastAsia="宋体" w:hAnsi="Times New Roman" w:cs="Times New Roman" w:hint="eastAsia"/>
          <w:snapToGrid/>
          <w:color w:val="auto"/>
          <w:kern w:val="2"/>
          <w:sz w:val="24"/>
          <w:szCs w:val="24"/>
          <w:lang w:eastAsia="zh-CN"/>
        </w:rPr>
        <w:t>之间，平均为</w:t>
      </w:r>
      <w:r>
        <w:rPr>
          <w:rFonts w:ascii="Times New Roman" w:eastAsia="宋体" w:hAnsi="Times New Roman" w:cs="Times New Roman" w:hint="eastAsia"/>
          <w:snapToGrid/>
          <w:color w:val="auto"/>
          <w:kern w:val="2"/>
          <w:sz w:val="24"/>
          <w:szCs w:val="24"/>
          <w:lang w:eastAsia="zh-CN"/>
        </w:rPr>
        <w:t>0.60</w:t>
      </w:r>
      <w:r>
        <w:rPr>
          <w:rFonts w:ascii="Times New Roman" w:eastAsia="宋体" w:hAnsi="Times New Roman" w:cs="Times New Roman" w:hint="eastAsia"/>
          <w:snapToGrid/>
          <w:color w:val="auto"/>
          <w:kern w:val="2"/>
          <w:sz w:val="24"/>
          <w:szCs w:val="24"/>
          <w:lang w:eastAsia="zh-CN"/>
        </w:rPr>
        <w:t>，均匀度范围在</w:t>
      </w:r>
      <w:r>
        <w:rPr>
          <w:rFonts w:ascii="Times New Roman" w:eastAsia="宋体" w:hAnsi="Times New Roman" w:cs="Times New Roman" w:hint="eastAsia"/>
          <w:snapToGrid/>
          <w:color w:val="auto"/>
          <w:kern w:val="2"/>
          <w:sz w:val="24"/>
          <w:szCs w:val="24"/>
          <w:lang w:eastAsia="zh-CN"/>
        </w:rPr>
        <w:t>0.00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0.91</w:t>
      </w:r>
      <w:r>
        <w:rPr>
          <w:rFonts w:ascii="Times New Roman" w:eastAsia="宋体" w:hAnsi="Times New Roman" w:cs="Times New Roman" w:hint="eastAsia"/>
          <w:snapToGrid/>
          <w:color w:val="auto"/>
          <w:kern w:val="2"/>
          <w:sz w:val="24"/>
          <w:szCs w:val="24"/>
          <w:lang w:eastAsia="zh-CN"/>
        </w:rPr>
        <w:t>之间，平均为</w:t>
      </w:r>
      <w:r>
        <w:rPr>
          <w:rFonts w:ascii="Times New Roman" w:eastAsia="宋体" w:hAnsi="Times New Roman" w:cs="Times New Roman" w:hint="eastAsia"/>
          <w:snapToGrid/>
          <w:color w:val="auto"/>
          <w:kern w:val="2"/>
          <w:sz w:val="24"/>
          <w:szCs w:val="24"/>
          <w:lang w:eastAsia="zh-CN"/>
        </w:rPr>
        <w:t>0.30</w:t>
      </w:r>
      <w:r>
        <w:rPr>
          <w:rFonts w:ascii="Times New Roman" w:eastAsia="宋体" w:hAnsi="Times New Roman" w:cs="Times New Roman" w:hint="eastAsia"/>
          <w:snapToGrid/>
          <w:color w:val="auto"/>
          <w:kern w:val="2"/>
          <w:sz w:val="24"/>
          <w:szCs w:val="24"/>
          <w:lang w:eastAsia="zh-CN"/>
        </w:rPr>
        <w:t>。</w:t>
      </w:r>
    </w:p>
    <w:p w14:paraId="008F01B0"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条潮间带断面低潮区丰富度范围在</w:t>
      </w:r>
      <w:r>
        <w:rPr>
          <w:rFonts w:ascii="Times New Roman" w:eastAsia="宋体" w:hAnsi="Times New Roman" w:cs="Times New Roman" w:hint="eastAsia"/>
          <w:snapToGrid/>
          <w:color w:val="auto"/>
          <w:kern w:val="2"/>
          <w:sz w:val="24"/>
          <w:szCs w:val="24"/>
          <w:lang w:eastAsia="zh-CN"/>
        </w:rPr>
        <w:t>0.00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0.80</w:t>
      </w:r>
      <w:r>
        <w:rPr>
          <w:rFonts w:ascii="Times New Roman" w:eastAsia="宋体" w:hAnsi="Times New Roman" w:cs="Times New Roman" w:hint="eastAsia"/>
          <w:snapToGrid/>
          <w:color w:val="auto"/>
          <w:kern w:val="2"/>
          <w:sz w:val="24"/>
          <w:szCs w:val="24"/>
          <w:lang w:eastAsia="zh-CN"/>
        </w:rPr>
        <w:t>之间，平均为</w:t>
      </w:r>
      <w:r>
        <w:rPr>
          <w:rFonts w:ascii="Times New Roman" w:eastAsia="宋体" w:hAnsi="Times New Roman" w:cs="Times New Roman" w:hint="eastAsia"/>
          <w:snapToGrid/>
          <w:color w:val="auto"/>
          <w:kern w:val="2"/>
          <w:sz w:val="24"/>
          <w:szCs w:val="24"/>
          <w:lang w:eastAsia="zh-CN"/>
        </w:rPr>
        <w:t>0.38</w:t>
      </w:r>
      <w:r>
        <w:rPr>
          <w:rFonts w:ascii="Times New Roman" w:eastAsia="宋体" w:hAnsi="Times New Roman" w:cs="Times New Roman" w:hint="eastAsia"/>
          <w:snapToGrid/>
          <w:color w:val="auto"/>
          <w:kern w:val="2"/>
          <w:sz w:val="24"/>
          <w:szCs w:val="24"/>
          <w:lang w:eastAsia="zh-CN"/>
        </w:rPr>
        <w:t>，单纯度范围在</w:t>
      </w:r>
      <w:r>
        <w:rPr>
          <w:rFonts w:ascii="Times New Roman" w:eastAsia="宋体" w:hAnsi="Times New Roman" w:cs="Times New Roman" w:hint="eastAsia"/>
          <w:snapToGrid/>
          <w:color w:val="auto"/>
          <w:kern w:val="2"/>
          <w:sz w:val="24"/>
          <w:szCs w:val="24"/>
          <w:lang w:eastAsia="zh-CN"/>
        </w:rPr>
        <w:t>0.31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1.00</w:t>
      </w:r>
      <w:r>
        <w:rPr>
          <w:rFonts w:ascii="Times New Roman" w:eastAsia="宋体" w:hAnsi="Times New Roman" w:cs="Times New Roman" w:hint="eastAsia"/>
          <w:snapToGrid/>
          <w:color w:val="auto"/>
          <w:kern w:val="2"/>
          <w:sz w:val="24"/>
          <w:szCs w:val="24"/>
          <w:lang w:eastAsia="zh-CN"/>
        </w:rPr>
        <w:t>之间，平均为</w:t>
      </w:r>
      <w:r>
        <w:rPr>
          <w:rFonts w:ascii="Times New Roman" w:eastAsia="宋体" w:hAnsi="Times New Roman" w:cs="Times New Roman" w:hint="eastAsia"/>
          <w:snapToGrid/>
          <w:color w:val="auto"/>
          <w:kern w:val="2"/>
          <w:sz w:val="24"/>
          <w:szCs w:val="24"/>
          <w:lang w:eastAsia="zh-CN"/>
        </w:rPr>
        <w:t>0.60</w:t>
      </w:r>
      <w:r>
        <w:rPr>
          <w:rFonts w:ascii="Times New Roman" w:eastAsia="宋体" w:hAnsi="Times New Roman" w:cs="Times New Roman" w:hint="eastAsia"/>
          <w:snapToGrid/>
          <w:color w:val="auto"/>
          <w:kern w:val="2"/>
          <w:sz w:val="24"/>
          <w:szCs w:val="24"/>
          <w:lang w:eastAsia="zh-CN"/>
        </w:rPr>
        <w:t>，多样性指数范围在</w:t>
      </w:r>
      <w:r>
        <w:rPr>
          <w:rFonts w:ascii="Times New Roman" w:eastAsia="宋体" w:hAnsi="Times New Roman" w:cs="Times New Roman" w:hint="eastAsia"/>
          <w:snapToGrid/>
          <w:color w:val="auto"/>
          <w:kern w:val="2"/>
          <w:sz w:val="24"/>
          <w:szCs w:val="24"/>
          <w:lang w:eastAsia="zh-CN"/>
        </w:rPr>
        <w:t>0.00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2.00</w:t>
      </w:r>
      <w:r>
        <w:rPr>
          <w:rFonts w:ascii="Times New Roman" w:eastAsia="宋体" w:hAnsi="Times New Roman" w:cs="Times New Roman" w:hint="eastAsia"/>
          <w:snapToGrid/>
          <w:color w:val="auto"/>
          <w:kern w:val="2"/>
          <w:sz w:val="24"/>
          <w:szCs w:val="24"/>
          <w:lang w:eastAsia="zh-CN"/>
        </w:rPr>
        <w:t>之间，平均为</w:t>
      </w:r>
      <w:r>
        <w:rPr>
          <w:rFonts w:ascii="Times New Roman" w:eastAsia="宋体" w:hAnsi="Times New Roman" w:cs="Times New Roman" w:hint="eastAsia"/>
          <w:snapToGrid/>
          <w:color w:val="auto"/>
          <w:kern w:val="2"/>
          <w:sz w:val="24"/>
          <w:szCs w:val="24"/>
          <w:lang w:eastAsia="zh-CN"/>
        </w:rPr>
        <w:t>1.00</w:t>
      </w:r>
      <w:r>
        <w:rPr>
          <w:rFonts w:ascii="Times New Roman" w:eastAsia="宋体" w:hAnsi="Times New Roman" w:cs="Times New Roman" w:hint="eastAsia"/>
          <w:snapToGrid/>
          <w:color w:val="auto"/>
          <w:kern w:val="2"/>
          <w:sz w:val="24"/>
          <w:szCs w:val="24"/>
          <w:lang w:eastAsia="zh-CN"/>
        </w:rPr>
        <w:t>，均匀度范围在</w:t>
      </w:r>
      <w:r>
        <w:rPr>
          <w:rFonts w:ascii="Times New Roman" w:eastAsia="宋体" w:hAnsi="Times New Roman" w:cs="Times New Roman" w:hint="eastAsia"/>
          <w:snapToGrid/>
          <w:color w:val="auto"/>
          <w:kern w:val="2"/>
          <w:sz w:val="24"/>
          <w:szCs w:val="24"/>
          <w:lang w:eastAsia="zh-CN"/>
        </w:rPr>
        <w:t>0.00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1.00</w:t>
      </w:r>
      <w:r>
        <w:rPr>
          <w:rFonts w:ascii="Times New Roman" w:eastAsia="宋体" w:hAnsi="Times New Roman" w:cs="Times New Roman" w:hint="eastAsia"/>
          <w:snapToGrid/>
          <w:color w:val="auto"/>
          <w:kern w:val="2"/>
          <w:sz w:val="24"/>
          <w:szCs w:val="24"/>
          <w:lang w:eastAsia="zh-CN"/>
        </w:rPr>
        <w:t>之间，平均为</w:t>
      </w:r>
      <w:r>
        <w:rPr>
          <w:rFonts w:ascii="Times New Roman" w:eastAsia="宋体" w:hAnsi="Times New Roman" w:cs="Times New Roman" w:hint="eastAsia"/>
          <w:snapToGrid/>
          <w:color w:val="auto"/>
          <w:kern w:val="2"/>
          <w:sz w:val="24"/>
          <w:szCs w:val="24"/>
          <w:lang w:eastAsia="zh-CN"/>
        </w:rPr>
        <w:t>0.62</w:t>
      </w:r>
      <w:r>
        <w:rPr>
          <w:rFonts w:ascii="Times New Roman" w:eastAsia="宋体" w:hAnsi="Times New Roman" w:cs="Times New Roman" w:hint="eastAsia"/>
          <w:snapToGrid/>
          <w:color w:val="auto"/>
          <w:kern w:val="2"/>
          <w:sz w:val="24"/>
          <w:szCs w:val="24"/>
          <w:lang w:eastAsia="zh-CN"/>
        </w:rPr>
        <w:t>。</w:t>
      </w:r>
    </w:p>
    <w:p w14:paraId="09407D28"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）游泳动物</w:t>
      </w:r>
    </w:p>
    <w:p w14:paraId="0A0E0E33"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本次共采集到获游泳动物</w:t>
      </w:r>
      <w:r>
        <w:rPr>
          <w:rFonts w:ascii="Times New Roman" w:eastAsia="宋体" w:hAnsi="Times New Roman" w:cs="Times New Roman" w:hint="eastAsia"/>
          <w:snapToGrid/>
          <w:color w:val="auto"/>
          <w:kern w:val="2"/>
          <w:sz w:val="24"/>
          <w:szCs w:val="24"/>
          <w:lang w:eastAsia="zh-CN"/>
        </w:rPr>
        <w:t>87</w:t>
      </w:r>
      <w:r>
        <w:rPr>
          <w:rFonts w:ascii="Times New Roman" w:eastAsia="宋体" w:hAnsi="Times New Roman" w:cs="Times New Roman" w:hint="eastAsia"/>
          <w:snapToGrid/>
          <w:color w:val="auto"/>
          <w:kern w:val="2"/>
          <w:sz w:val="24"/>
          <w:szCs w:val="24"/>
          <w:lang w:eastAsia="zh-CN"/>
        </w:rPr>
        <w:t>种</w:t>
      </w:r>
      <w:r>
        <w:rPr>
          <w:rFonts w:ascii="Times New Roman" w:eastAsia="宋体" w:hAnsi="Times New Roman" w:cs="Times New Roman" w:hint="eastAsia"/>
          <w:snapToGrid/>
          <w:color w:val="auto"/>
          <w:kern w:val="2"/>
          <w:sz w:val="24"/>
          <w:szCs w:val="24"/>
          <w:lang w:eastAsia="zh-CN"/>
        </w:rPr>
        <w:t>，隶属于</w:t>
      </w:r>
      <w:r>
        <w:rPr>
          <w:rFonts w:ascii="Times New Roman" w:eastAsia="宋体" w:hAnsi="Times New Roman" w:cs="Times New Roman" w:hint="eastAsia"/>
          <w:snapToGrid/>
          <w:color w:val="auto"/>
          <w:kern w:val="2"/>
          <w:sz w:val="24"/>
          <w:szCs w:val="24"/>
          <w:lang w:eastAsia="zh-CN"/>
        </w:rPr>
        <w:t>15</w:t>
      </w:r>
      <w:r>
        <w:rPr>
          <w:rFonts w:ascii="Times New Roman" w:eastAsia="宋体" w:hAnsi="Times New Roman" w:cs="Times New Roman" w:hint="eastAsia"/>
          <w:snapToGrid/>
          <w:color w:val="auto"/>
          <w:kern w:val="2"/>
          <w:sz w:val="24"/>
          <w:szCs w:val="24"/>
          <w:lang w:eastAsia="zh-CN"/>
        </w:rPr>
        <w:t>目</w:t>
      </w:r>
      <w:r>
        <w:rPr>
          <w:rFonts w:ascii="Times New Roman" w:eastAsia="宋体" w:hAnsi="Times New Roman" w:cs="Times New Roman" w:hint="eastAsia"/>
          <w:snapToGrid/>
          <w:color w:val="auto"/>
          <w:kern w:val="2"/>
          <w:sz w:val="24"/>
          <w:szCs w:val="24"/>
          <w:lang w:eastAsia="zh-CN"/>
        </w:rPr>
        <w:t>58</w:t>
      </w:r>
      <w:r>
        <w:rPr>
          <w:rFonts w:ascii="Times New Roman" w:eastAsia="宋体" w:hAnsi="Times New Roman" w:cs="Times New Roman" w:hint="eastAsia"/>
          <w:snapToGrid/>
          <w:color w:val="auto"/>
          <w:kern w:val="2"/>
          <w:sz w:val="24"/>
          <w:szCs w:val="24"/>
          <w:lang w:eastAsia="zh-CN"/>
        </w:rPr>
        <w:t>科，其中鱼类为</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lang w:eastAsia="zh-CN"/>
        </w:rPr>
        <w:t>目</w:t>
      </w:r>
      <w:r>
        <w:rPr>
          <w:rFonts w:ascii="Times New Roman" w:eastAsia="宋体" w:hAnsi="Times New Roman" w:cs="Times New Roman" w:hint="eastAsia"/>
          <w:snapToGrid/>
          <w:color w:val="auto"/>
          <w:kern w:val="2"/>
          <w:sz w:val="24"/>
          <w:szCs w:val="24"/>
          <w:lang w:eastAsia="zh-CN"/>
        </w:rPr>
        <w:t>43</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59</w:t>
      </w:r>
      <w:r>
        <w:rPr>
          <w:rFonts w:ascii="Times New Roman" w:eastAsia="宋体" w:hAnsi="Times New Roman" w:cs="Times New Roman" w:hint="eastAsia"/>
          <w:snapToGrid/>
          <w:color w:val="auto"/>
          <w:kern w:val="2"/>
          <w:sz w:val="24"/>
          <w:szCs w:val="24"/>
          <w:lang w:eastAsia="zh-CN"/>
        </w:rPr>
        <w:t>种，</w:t>
      </w:r>
    </w:p>
    <w:p w14:paraId="58436F03"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头足类为</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目</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种，甲壳类</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目</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lang w:eastAsia="zh-CN"/>
        </w:rPr>
        <w:t>科</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种。游泳动物的平均渔获率为</w:t>
      </w:r>
      <w:r>
        <w:rPr>
          <w:rFonts w:ascii="Times New Roman" w:eastAsia="宋体" w:hAnsi="Times New Roman" w:cs="Times New Roman" w:hint="eastAsia"/>
          <w:snapToGrid/>
          <w:color w:val="auto"/>
          <w:kern w:val="2"/>
          <w:sz w:val="24"/>
          <w:szCs w:val="24"/>
          <w:lang w:eastAsia="zh-CN"/>
        </w:rPr>
        <w:t>9.243kg/h</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543ind./h</w:t>
      </w:r>
      <w:r>
        <w:rPr>
          <w:rFonts w:ascii="Times New Roman" w:eastAsia="宋体" w:hAnsi="Times New Roman" w:cs="Times New Roman" w:hint="eastAsia"/>
          <w:snapToGrid/>
          <w:color w:val="auto"/>
          <w:kern w:val="2"/>
          <w:sz w:val="24"/>
          <w:szCs w:val="24"/>
          <w:lang w:eastAsia="zh-CN"/>
        </w:rPr>
        <w:t>。其中，鱼类为</w:t>
      </w:r>
      <w:r>
        <w:rPr>
          <w:rFonts w:ascii="Times New Roman" w:eastAsia="宋体" w:hAnsi="Times New Roman" w:cs="Times New Roman" w:hint="eastAsia"/>
          <w:snapToGrid/>
          <w:color w:val="auto"/>
          <w:kern w:val="2"/>
          <w:sz w:val="24"/>
          <w:szCs w:val="24"/>
          <w:lang w:eastAsia="zh-CN"/>
        </w:rPr>
        <w:t>7.327kg/h</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365ind./h</w:t>
      </w:r>
      <w:r>
        <w:rPr>
          <w:rFonts w:ascii="Times New Roman" w:eastAsia="宋体" w:hAnsi="Times New Roman" w:cs="Times New Roman" w:hint="eastAsia"/>
          <w:snapToGrid/>
          <w:color w:val="auto"/>
          <w:kern w:val="2"/>
          <w:sz w:val="24"/>
          <w:szCs w:val="24"/>
          <w:lang w:eastAsia="zh-CN"/>
        </w:rPr>
        <w:t>，头足类的平均渔获率为</w:t>
      </w:r>
      <w:r>
        <w:rPr>
          <w:rFonts w:ascii="Times New Roman" w:eastAsia="宋体" w:hAnsi="Times New Roman" w:cs="Times New Roman" w:hint="eastAsia"/>
          <w:snapToGrid/>
          <w:color w:val="auto"/>
          <w:kern w:val="2"/>
          <w:sz w:val="24"/>
          <w:szCs w:val="24"/>
          <w:lang w:eastAsia="zh-CN"/>
        </w:rPr>
        <w:t>0.206kg/h</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7ind./h</w:t>
      </w:r>
      <w:r>
        <w:rPr>
          <w:rFonts w:ascii="Times New Roman" w:eastAsia="宋体" w:hAnsi="Times New Roman" w:cs="Times New Roman" w:hint="eastAsia"/>
          <w:snapToGrid/>
          <w:color w:val="auto"/>
          <w:kern w:val="2"/>
          <w:sz w:val="24"/>
          <w:szCs w:val="24"/>
          <w:lang w:eastAsia="zh-CN"/>
        </w:rPr>
        <w:t>，甲壳类的平均渔获率为</w:t>
      </w:r>
      <w:r>
        <w:rPr>
          <w:rFonts w:ascii="Times New Roman" w:eastAsia="宋体" w:hAnsi="Times New Roman" w:cs="Times New Roman" w:hint="eastAsia"/>
          <w:snapToGrid/>
          <w:color w:val="auto"/>
          <w:kern w:val="2"/>
          <w:sz w:val="24"/>
          <w:szCs w:val="24"/>
          <w:lang w:eastAsia="zh-CN"/>
        </w:rPr>
        <w:t>1.710kg/h</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171ind./h</w:t>
      </w:r>
      <w:r>
        <w:rPr>
          <w:rFonts w:ascii="Times New Roman" w:eastAsia="宋体" w:hAnsi="Times New Roman" w:cs="Times New Roman" w:hint="eastAsia"/>
          <w:snapToGrid/>
          <w:color w:val="auto"/>
          <w:kern w:val="2"/>
          <w:sz w:val="24"/>
          <w:szCs w:val="24"/>
          <w:lang w:eastAsia="zh-CN"/>
        </w:rPr>
        <w:t>。根据扫海面积法估算，</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lang w:eastAsia="zh-CN"/>
        </w:rPr>
        <w:t>个站位目前游泳动物的平均资源密度约为</w:t>
      </w:r>
      <w:r>
        <w:rPr>
          <w:rFonts w:ascii="Times New Roman" w:eastAsia="宋体" w:hAnsi="Times New Roman" w:cs="Times New Roman" w:hint="eastAsia"/>
          <w:snapToGrid/>
          <w:color w:val="auto"/>
          <w:kern w:val="2"/>
          <w:sz w:val="24"/>
          <w:szCs w:val="24"/>
          <w:lang w:eastAsia="zh-CN"/>
        </w:rPr>
        <w:t>698.312kg/km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41197ind./km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，其中鱼类约为</w:t>
      </w:r>
      <w:r>
        <w:rPr>
          <w:rFonts w:ascii="Times New Roman" w:eastAsia="宋体" w:hAnsi="Times New Roman" w:cs="Times New Roman" w:hint="eastAsia"/>
          <w:snapToGrid/>
          <w:color w:val="auto"/>
          <w:kern w:val="2"/>
          <w:sz w:val="24"/>
          <w:szCs w:val="24"/>
          <w:lang w:eastAsia="zh-CN"/>
        </w:rPr>
        <w:t>553.106kg/km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27641ind./km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头足类</w:t>
      </w:r>
      <w:r>
        <w:rPr>
          <w:rFonts w:ascii="Times New Roman" w:eastAsia="宋体" w:hAnsi="Times New Roman" w:cs="Times New Roman" w:hint="eastAsia"/>
          <w:snapToGrid/>
          <w:color w:val="auto"/>
          <w:kern w:val="2"/>
          <w:sz w:val="24"/>
          <w:szCs w:val="24"/>
          <w:lang w:eastAsia="zh-CN"/>
        </w:rPr>
        <w:t>15.569kg/km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556ind./km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，甲壳类约为</w:t>
      </w:r>
      <w:r>
        <w:rPr>
          <w:rFonts w:ascii="Times New Roman" w:eastAsia="宋体" w:hAnsi="Times New Roman" w:cs="Times New Roman" w:hint="eastAsia"/>
          <w:snapToGrid/>
          <w:color w:val="auto"/>
          <w:kern w:val="2"/>
          <w:sz w:val="24"/>
          <w:szCs w:val="24"/>
          <w:lang w:eastAsia="zh-CN"/>
        </w:rPr>
        <w:t>129.637kg/km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和</w:t>
      </w:r>
      <w:r>
        <w:rPr>
          <w:rFonts w:ascii="Times New Roman" w:eastAsia="宋体" w:hAnsi="Times New Roman" w:cs="Times New Roman" w:hint="eastAsia"/>
          <w:snapToGrid/>
          <w:color w:val="auto"/>
          <w:kern w:val="2"/>
          <w:sz w:val="24"/>
          <w:szCs w:val="24"/>
          <w:lang w:eastAsia="zh-CN"/>
        </w:rPr>
        <w:t>13000ind./km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。根据相对重要性指数（</w:t>
      </w:r>
      <w:r>
        <w:rPr>
          <w:rFonts w:ascii="Times New Roman" w:eastAsia="宋体" w:hAnsi="Times New Roman" w:cs="Times New Roman" w:hint="eastAsia"/>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）公式计算评价调查海域内的相对重要性指标（</w:t>
      </w:r>
      <w:r>
        <w:rPr>
          <w:rFonts w:ascii="Times New Roman" w:eastAsia="宋体" w:hAnsi="Times New Roman" w:cs="Times New Roman" w:hint="eastAsia"/>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），并以</w:t>
      </w:r>
      <w:r>
        <w:rPr>
          <w:rFonts w:ascii="Times New Roman" w:eastAsia="宋体" w:hAnsi="Times New Roman" w:cs="Times New Roman" w:hint="eastAsia"/>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大于</w:t>
      </w:r>
      <w:r>
        <w:rPr>
          <w:rFonts w:ascii="Times New Roman" w:eastAsia="宋体" w:hAnsi="Times New Roman" w:cs="Times New Roman" w:hint="eastAsia"/>
          <w:snapToGrid/>
          <w:color w:val="auto"/>
          <w:kern w:val="2"/>
          <w:sz w:val="24"/>
          <w:szCs w:val="24"/>
          <w:lang w:eastAsia="zh-CN"/>
        </w:rPr>
        <w:t>100</w:t>
      </w:r>
      <w:r>
        <w:rPr>
          <w:rFonts w:ascii="Times New Roman" w:eastAsia="宋体" w:hAnsi="Times New Roman" w:cs="Times New Roman" w:hint="eastAsia"/>
          <w:snapToGrid/>
          <w:color w:val="auto"/>
          <w:kern w:val="2"/>
          <w:sz w:val="24"/>
          <w:szCs w:val="24"/>
          <w:lang w:eastAsia="zh-CN"/>
        </w:rPr>
        <w:t>作为优势渔获物的判断指标，本次调查的优势渔获种类共有</w:t>
      </w:r>
      <w:r>
        <w:rPr>
          <w:rFonts w:ascii="Times New Roman" w:eastAsia="宋体" w:hAnsi="Times New Roman" w:cs="Times New Roman" w:hint="eastAsia"/>
          <w:snapToGrid/>
          <w:color w:val="auto"/>
          <w:kern w:val="2"/>
          <w:sz w:val="24"/>
          <w:szCs w:val="24"/>
          <w:lang w:eastAsia="zh-CN"/>
        </w:rPr>
        <w:t>27</w:t>
      </w:r>
      <w:r>
        <w:rPr>
          <w:rFonts w:ascii="Times New Roman" w:eastAsia="宋体" w:hAnsi="Times New Roman" w:cs="Times New Roman" w:hint="eastAsia"/>
          <w:snapToGrid/>
          <w:color w:val="auto"/>
          <w:kern w:val="2"/>
          <w:sz w:val="24"/>
          <w:szCs w:val="24"/>
          <w:lang w:eastAsia="zh-CN"/>
        </w:rPr>
        <w:t>种。其中黑边天竺鲷的</w:t>
      </w:r>
      <w:r>
        <w:rPr>
          <w:rFonts w:ascii="Times New Roman" w:eastAsia="宋体" w:hAnsi="Times New Roman" w:cs="Times New Roman" w:hint="eastAsia"/>
          <w:snapToGrid/>
          <w:color w:val="auto"/>
          <w:kern w:val="2"/>
          <w:sz w:val="24"/>
          <w:szCs w:val="24"/>
          <w:lang w:eastAsia="zh-CN"/>
        </w:rPr>
        <w:t>IRI</w:t>
      </w:r>
      <w:r>
        <w:rPr>
          <w:rFonts w:ascii="Times New Roman" w:eastAsia="宋体" w:hAnsi="Times New Roman" w:cs="Times New Roman" w:hint="eastAsia"/>
          <w:snapToGrid/>
          <w:color w:val="auto"/>
          <w:kern w:val="2"/>
          <w:sz w:val="24"/>
          <w:szCs w:val="24"/>
          <w:lang w:eastAsia="zh-CN"/>
        </w:rPr>
        <w:t>最高，为</w:t>
      </w:r>
      <w:r>
        <w:rPr>
          <w:rFonts w:ascii="Times New Roman" w:eastAsia="宋体" w:hAnsi="Times New Roman" w:cs="Times New Roman" w:hint="eastAsia"/>
          <w:snapToGrid/>
          <w:color w:val="auto"/>
          <w:kern w:val="2"/>
          <w:sz w:val="24"/>
          <w:szCs w:val="24"/>
          <w:lang w:eastAsia="zh-CN"/>
        </w:rPr>
        <w:t>3083.72</w:t>
      </w:r>
      <w:r>
        <w:rPr>
          <w:rFonts w:ascii="Times New Roman" w:eastAsia="宋体" w:hAnsi="Times New Roman" w:cs="Times New Roman" w:hint="eastAsia"/>
          <w:snapToGrid/>
          <w:color w:val="auto"/>
          <w:kern w:val="2"/>
          <w:sz w:val="24"/>
          <w:szCs w:val="24"/>
          <w:lang w:eastAsia="zh-CN"/>
        </w:rPr>
        <w:t>；其他优势渔获物依次为短鲽（</w:t>
      </w:r>
      <w:r>
        <w:rPr>
          <w:rFonts w:ascii="Times New Roman" w:eastAsia="宋体" w:hAnsi="Times New Roman" w:cs="Times New Roman" w:hint="eastAsia"/>
          <w:snapToGrid/>
          <w:color w:val="auto"/>
          <w:kern w:val="2"/>
          <w:sz w:val="24"/>
          <w:szCs w:val="24"/>
          <w:lang w:eastAsia="zh-CN"/>
        </w:rPr>
        <w:t>2409.85</w:t>
      </w:r>
      <w:r>
        <w:rPr>
          <w:rFonts w:ascii="Times New Roman" w:eastAsia="宋体" w:hAnsi="Times New Roman" w:cs="Times New Roman" w:hint="eastAsia"/>
          <w:snapToGrid/>
          <w:color w:val="auto"/>
          <w:kern w:val="2"/>
          <w:sz w:val="24"/>
          <w:szCs w:val="24"/>
          <w:lang w:eastAsia="zh-CN"/>
        </w:rPr>
        <w:t>）、金线鱼（</w:t>
      </w:r>
      <w:r>
        <w:rPr>
          <w:rFonts w:ascii="Times New Roman" w:eastAsia="宋体" w:hAnsi="Times New Roman" w:cs="Times New Roman" w:hint="eastAsia"/>
          <w:snapToGrid/>
          <w:color w:val="auto"/>
          <w:kern w:val="2"/>
          <w:sz w:val="24"/>
          <w:szCs w:val="24"/>
          <w:lang w:eastAsia="zh-CN"/>
        </w:rPr>
        <w:t>1348.65</w:t>
      </w:r>
      <w:r>
        <w:rPr>
          <w:rFonts w:ascii="Times New Roman" w:eastAsia="宋体" w:hAnsi="Times New Roman" w:cs="Times New Roman" w:hint="eastAsia"/>
          <w:snapToGrid/>
          <w:color w:val="auto"/>
          <w:kern w:val="2"/>
          <w:sz w:val="24"/>
          <w:szCs w:val="24"/>
          <w:lang w:eastAsia="zh-CN"/>
        </w:rPr>
        <w:t>）、短线腭竺鱼（</w:t>
      </w:r>
      <w:r>
        <w:rPr>
          <w:rFonts w:ascii="Times New Roman" w:eastAsia="宋体" w:hAnsi="Times New Roman" w:cs="Times New Roman" w:hint="eastAsia"/>
          <w:snapToGrid/>
          <w:color w:val="auto"/>
          <w:kern w:val="2"/>
          <w:sz w:val="24"/>
          <w:szCs w:val="24"/>
          <w:lang w:eastAsia="zh-CN"/>
        </w:rPr>
        <w:t>1221.37</w:t>
      </w:r>
      <w:r>
        <w:rPr>
          <w:rFonts w:ascii="Times New Roman" w:eastAsia="宋体" w:hAnsi="Times New Roman" w:cs="Times New Roman" w:hint="eastAsia"/>
          <w:snapToGrid/>
          <w:color w:val="auto"/>
          <w:kern w:val="2"/>
          <w:sz w:val="24"/>
          <w:szCs w:val="24"/>
          <w:lang w:eastAsia="zh-CN"/>
        </w:rPr>
        <w:t>）、多齿蛇鲻（</w:t>
      </w:r>
      <w:r>
        <w:rPr>
          <w:rFonts w:ascii="Times New Roman" w:eastAsia="宋体" w:hAnsi="Times New Roman" w:cs="Times New Roman" w:hint="eastAsia"/>
          <w:snapToGrid/>
          <w:color w:val="auto"/>
          <w:kern w:val="2"/>
          <w:sz w:val="24"/>
          <w:szCs w:val="24"/>
          <w:lang w:eastAsia="zh-CN"/>
        </w:rPr>
        <w:t>1154.10</w:t>
      </w:r>
      <w:r>
        <w:rPr>
          <w:rFonts w:ascii="Times New Roman" w:eastAsia="宋体" w:hAnsi="Times New Roman" w:cs="Times New Roman" w:hint="eastAsia"/>
          <w:snapToGrid/>
          <w:color w:val="auto"/>
          <w:kern w:val="2"/>
          <w:sz w:val="24"/>
          <w:szCs w:val="24"/>
          <w:lang w:eastAsia="zh-CN"/>
        </w:rPr>
        <w:t>）、须赤虾（</w:t>
      </w:r>
      <w:r>
        <w:rPr>
          <w:rFonts w:ascii="Times New Roman" w:eastAsia="宋体" w:hAnsi="Times New Roman" w:cs="Times New Roman" w:hint="eastAsia"/>
          <w:snapToGrid/>
          <w:color w:val="auto"/>
          <w:kern w:val="2"/>
          <w:sz w:val="24"/>
          <w:szCs w:val="24"/>
          <w:lang w:eastAsia="zh-CN"/>
        </w:rPr>
        <w:t>1024.25</w:t>
      </w:r>
      <w:r>
        <w:rPr>
          <w:rFonts w:ascii="Times New Roman" w:eastAsia="宋体" w:hAnsi="Times New Roman" w:cs="Times New Roman" w:hint="eastAsia"/>
          <w:snapToGrid/>
          <w:color w:val="auto"/>
          <w:kern w:val="2"/>
          <w:sz w:val="24"/>
          <w:szCs w:val="24"/>
          <w:lang w:eastAsia="zh-CN"/>
        </w:rPr>
        <w:t>）、直额蟳（</w:t>
      </w:r>
      <w:r>
        <w:rPr>
          <w:rFonts w:ascii="Times New Roman" w:eastAsia="宋体" w:hAnsi="Times New Roman" w:cs="Times New Roman" w:hint="eastAsia"/>
          <w:snapToGrid/>
          <w:color w:val="auto"/>
          <w:kern w:val="2"/>
          <w:sz w:val="24"/>
          <w:szCs w:val="24"/>
          <w:lang w:eastAsia="zh-CN"/>
        </w:rPr>
        <w:t>966.10</w:t>
      </w:r>
      <w:r>
        <w:rPr>
          <w:rFonts w:ascii="Times New Roman" w:eastAsia="宋体" w:hAnsi="Times New Roman" w:cs="Times New Roman" w:hint="eastAsia"/>
          <w:snapToGrid/>
          <w:color w:val="auto"/>
          <w:kern w:val="2"/>
          <w:sz w:val="24"/>
          <w:szCs w:val="24"/>
          <w:lang w:eastAsia="zh-CN"/>
        </w:rPr>
        <w:t>）、武士蟳（</w:t>
      </w:r>
      <w:r>
        <w:rPr>
          <w:rFonts w:ascii="Times New Roman" w:eastAsia="宋体" w:hAnsi="Times New Roman" w:cs="Times New Roman" w:hint="eastAsia"/>
          <w:snapToGrid/>
          <w:color w:val="auto"/>
          <w:kern w:val="2"/>
          <w:sz w:val="24"/>
          <w:szCs w:val="24"/>
          <w:lang w:eastAsia="zh-CN"/>
        </w:rPr>
        <w:t>888.61</w:t>
      </w:r>
      <w:r>
        <w:rPr>
          <w:rFonts w:ascii="Times New Roman" w:eastAsia="宋体" w:hAnsi="Times New Roman" w:cs="Times New Roman" w:hint="eastAsia"/>
          <w:snapToGrid/>
          <w:color w:val="auto"/>
          <w:kern w:val="2"/>
          <w:sz w:val="24"/>
          <w:szCs w:val="24"/>
          <w:lang w:eastAsia="zh-CN"/>
        </w:rPr>
        <w:t>）、海鳗（</w:t>
      </w:r>
      <w:r>
        <w:rPr>
          <w:rFonts w:ascii="Times New Roman" w:eastAsia="宋体" w:hAnsi="Times New Roman" w:cs="Times New Roman" w:hint="eastAsia"/>
          <w:snapToGrid/>
          <w:color w:val="auto"/>
          <w:kern w:val="2"/>
          <w:sz w:val="24"/>
          <w:szCs w:val="24"/>
          <w:lang w:eastAsia="zh-CN"/>
        </w:rPr>
        <w:t>680.18</w:t>
      </w:r>
      <w:r>
        <w:rPr>
          <w:rFonts w:ascii="Times New Roman" w:eastAsia="宋体" w:hAnsi="Times New Roman" w:cs="Times New Roman" w:hint="eastAsia"/>
          <w:snapToGrid/>
          <w:color w:val="auto"/>
          <w:kern w:val="2"/>
          <w:sz w:val="24"/>
          <w:szCs w:val="24"/>
          <w:lang w:eastAsia="zh-CN"/>
        </w:rPr>
        <w:t>）、黑尾吻鳗（</w:t>
      </w:r>
      <w:r>
        <w:rPr>
          <w:rFonts w:ascii="Times New Roman" w:eastAsia="宋体" w:hAnsi="Times New Roman" w:cs="Times New Roman" w:hint="eastAsia"/>
          <w:snapToGrid/>
          <w:color w:val="auto"/>
          <w:kern w:val="2"/>
          <w:sz w:val="24"/>
          <w:szCs w:val="24"/>
          <w:lang w:eastAsia="zh-CN"/>
        </w:rPr>
        <w:t>461.79</w:t>
      </w:r>
      <w:r>
        <w:rPr>
          <w:rFonts w:ascii="Times New Roman" w:eastAsia="宋体" w:hAnsi="Times New Roman" w:cs="Times New Roman" w:hint="eastAsia"/>
          <w:snapToGrid/>
          <w:color w:val="auto"/>
          <w:kern w:val="2"/>
          <w:sz w:val="24"/>
          <w:szCs w:val="24"/>
          <w:lang w:eastAsia="zh-CN"/>
        </w:rPr>
        <w:t>）、矛形梭子蟹（</w:t>
      </w:r>
      <w:r>
        <w:rPr>
          <w:rFonts w:ascii="Times New Roman" w:eastAsia="宋体" w:hAnsi="Times New Roman" w:cs="Times New Roman" w:hint="eastAsia"/>
          <w:snapToGrid/>
          <w:color w:val="auto"/>
          <w:kern w:val="2"/>
          <w:sz w:val="24"/>
          <w:szCs w:val="24"/>
          <w:lang w:eastAsia="zh-CN"/>
        </w:rPr>
        <w:t>368.34</w:t>
      </w:r>
      <w:r>
        <w:rPr>
          <w:rFonts w:ascii="Times New Roman" w:eastAsia="宋体" w:hAnsi="Times New Roman" w:cs="Times New Roman" w:hint="eastAsia"/>
          <w:snapToGrid/>
          <w:color w:val="auto"/>
          <w:kern w:val="2"/>
          <w:sz w:val="24"/>
          <w:szCs w:val="24"/>
          <w:lang w:eastAsia="zh-CN"/>
        </w:rPr>
        <w:t>）、紫隆背蟹（</w:t>
      </w:r>
      <w:r>
        <w:rPr>
          <w:rFonts w:ascii="Times New Roman" w:eastAsia="宋体" w:hAnsi="Times New Roman" w:cs="Times New Roman" w:hint="eastAsia"/>
          <w:snapToGrid/>
          <w:color w:val="auto"/>
          <w:kern w:val="2"/>
          <w:sz w:val="24"/>
          <w:szCs w:val="24"/>
          <w:lang w:eastAsia="zh-CN"/>
        </w:rPr>
        <w:t>345.64</w:t>
      </w:r>
      <w:r>
        <w:rPr>
          <w:rFonts w:ascii="Times New Roman" w:eastAsia="宋体" w:hAnsi="Times New Roman" w:cs="Times New Roman" w:hint="eastAsia"/>
          <w:snapToGrid/>
          <w:color w:val="auto"/>
          <w:kern w:val="2"/>
          <w:sz w:val="24"/>
          <w:szCs w:val="24"/>
          <w:lang w:eastAsia="zh-CN"/>
        </w:rPr>
        <w:t>）、黑边鳍康吉鳗（</w:t>
      </w:r>
      <w:r>
        <w:rPr>
          <w:rFonts w:ascii="Times New Roman" w:eastAsia="宋体" w:hAnsi="Times New Roman" w:cs="Times New Roman" w:hint="eastAsia"/>
          <w:snapToGrid/>
          <w:color w:val="auto"/>
          <w:kern w:val="2"/>
          <w:sz w:val="24"/>
          <w:szCs w:val="24"/>
          <w:lang w:eastAsia="zh-CN"/>
        </w:rPr>
        <w:t>336.80</w:t>
      </w:r>
      <w:r>
        <w:rPr>
          <w:rFonts w:ascii="Times New Roman" w:eastAsia="宋体" w:hAnsi="Times New Roman" w:cs="Times New Roman" w:hint="eastAsia"/>
          <w:snapToGrid/>
          <w:color w:val="auto"/>
          <w:kern w:val="2"/>
          <w:sz w:val="24"/>
          <w:szCs w:val="24"/>
          <w:lang w:eastAsia="zh-CN"/>
        </w:rPr>
        <w:t>）、斑纹蟳（</w:t>
      </w:r>
      <w:r>
        <w:rPr>
          <w:rFonts w:ascii="Times New Roman" w:eastAsia="宋体" w:hAnsi="Times New Roman" w:cs="Times New Roman" w:hint="eastAsia"/>
          <w:snapToGrid/>
          <w:color w:val="auto"/>
          <w:kern w:val="2"/>
          <w:sz w:val="24"/>
          <w:szCs w:val="24"/>
          <w:lang w:eastAsia="zh-CN"/>
        </w:rPr>
        <w:t>301.82</w:t>
      </w:r>
      <w:r>
        <w:rPr>
          <w:rFonts w:ascii="Times New Roman" w:eastAsia="宋体" w:hAnsi="Times New Roman" w:cs="Times New Roman" w:hint="eastAsia"/>
          <w:snapToGrid/>
          <w:color w:val="auto"/>
          <w:kern w:val="2"/>
          <w:sz w:val="24"/>
          <w:szCs w:val="24"/>
          <w:lang w:eastAsia="zh-CN"/>
        </w:rPr>
        <w:t>）、项鳞䲢（</w:t>
      </w:r>
      <w:r>
        <w:rPr>
          <w:rFonts w:ascii="Times New Roman" w:eastAsia="宋体" w:hAnsi="Times New Roman" w:cs="Times New Roman" w:hint="eastAsia"/>
          <w:snapToGrid/>
          <w:color w:val="auto"/>
          <w:kern w:val="2"/>
          <w:sz w:val="24"/>
          <w:szCs w:val="24"/>
          <w:lang w:eastAsia="zh-CN"/>
        </w:rPr>
        <w:t>275.35</w:t>
      </w:r>
      <w:r>
        <w:rPr>
          <w:rFonts w:ascii="Times New Roman" w:eastAsia="宋体" w:hAnsi="Times New Roman" w:cs="Times New Roman" w:hint="eastAsia"/>
          <w:snapToGrid/>
          <w:color w:val="auto"/>
          <w:kern w:val="2"/>
          <w:sz w:val="24"/>
          <w:szCs w:val="24"/>
          <w:lang w:eastAsia="zh-CN"/>
        </w:rPr>
        <w:t>）、斑瞳鲬（</w:t>
      </w:r>
      <w:r>
        <w:rPr>
          <w:rFonts w:ascii="Times New Roman" w:eastAsia="宋体" w:hAnsi="Times New Roman" w:cs="Times New Roman" w:hint="eastAsia"/>
          <w:snapToGrid/>
          <w:color w:val="auto"/>
          <w:kern w:val="2"/>
          <w:sz w:val="24"/>
          <w:szCs w:val="24"/>
          <w:lang w:eastAsia="zh-CN"/>
        </w:rPr>
        <w:t>263.85</w:t>
      </w:r>
      <w:r>
        <w:rPr>
          <w:rFonts w:ascii="Times New Roman" w:eastAsia="宋体" w:hAnsi="Times New Roman" w:cs="Times New Roman" w:hint="eastAsia"/>
          <w:snapToGrid/>
          <w:color w:val="auto"/>
          <w:kern w:val="2"/>
          <w:sz w:val="24"/>
          <w:szCs w:val="24"/>
          <w:lang w:eastAsia="zh-CN"/>
        </w:rPr>
        <w:t>）、中线天竺鲷（</w:t>
      </w:r>
      <w:r>
        <w:rPr>
          <w:rFonts w:ascii="Times New Roman" w:eastAsia="宋体" w:hAnsi="Times New Roman" w:cs="Times New Roman" w:hint="eastAsia"/>
          <w:snapToGrid/>
          <w:color w:val="auto"/>
          <w:kern w:val="2"/>
          <w:sz w:val="24"/>
          <w:szCs w:val="24"/>
          <w:lang w:eastAsia="zh-CN"/>
        </w:rPr>
        <w:t>252.48</w:t>
      </w:r>
      <w:r>
        <w:rPr>
          <w:rFonts w:ascii="Times New Roman" w:eastAsia="宋体" w:hAnsi="Times New Roman" w:cs="Times New Roman" w:hint="eastAsia"/>
          <w:snapToGrid/>
          <w:color w:val="auto"/>
          <w:kern w:val="2"/>
          <w:sz w:val="24"/>
          <w:szCs w:val="24"/>
          <w:lang w:eastAsia="zh-CN"/>
        </w:rPr>
        <w:t>）、蓝圆鲹（</w:t>
      </w:r>
      <w:r>
        <w:rPr>
          <w:rFonts w:ascii="Times New Roman" w:eastAsia="宋体" w:hAnsi="Times New Roman" w:cs="Times New Roman" w:hint="eastAsia"/>
          <w:snapToGrid/>
          <w:color w:val="auto"/>
          <w:kern w:val="2"/>
          <w:sz w:val="24"/>
          <w:szCs w:val="24"/>
          <w:lang w:eastAsia="zh-CN"/>
        </w:rPr>
        <w:t>208.21</w:t>
      </w:r>
      <w:r>
        <w:rPr>
          <w:rFonts w:ascii="Times New Roman" w:eastAsia="宋体" w:hAnsi="Times New Roman" w:cs="Times New Roman" w:hint="eastAsia"/>
          <w:snapToGrid/>
          <w:color w:val="auto"/>
          <w:kern w:val="2"/>
          <w:sz w:val="24"/>
          <w:szCs w:val="24"/>
          <w:lang w:eastAsia="zh-CN"/>
        </w:rPr>
        <w:t>）、细纹鲾（</w:t>
      </w:r>
      <w:r>
        <w:rPr>
          <w:rFonts w:ascii="Times New Roman" w:eastAsia="宋体" w:hAnsi="Times New Roman" w:cs="Times New Roman" w:hint="eastAsia"/>
          <w:snapToGrid/>
          <w:color w:val="auto"/>
          <w:kern w:val="2"/>
          <w:sz w:val="24"/>
          <w:szCs w:val="24"/>
          <w:lang w:eastAsia="zh-CN"/>
        </w:rPr>
        <w:t>202.93</w:t>
      </w:r>
      <w:r>
        <w:rPr>
          <w:rFonts w:ascii="Times New Roman" w:eastAsia="宋体" w:hAnsi="Times New Roman" w:cs="Times New Roman" w:hint="eastAsia"/>
          <w:snapToGrid/>
          <w:color w:val="auto"/>
          <w:kern w:val="2"/>
          <w:sz w:val="24"/>
          <w:szCs w:val="24"/>
          <w:lang w:eastAsia="zh-CN"/>
        </w:rPr>
        <w:t>）等。本次调查海域渔获物中，鱼类平均幼体比例为</w:t>
      </w:r>
      <w:r>
        <w:rPr>
          <w:rFonts w:ascii="Times New Roman" w:eastAsia="宋体" w:hAnsi="Times New Roman" w:cs="Times New Roman" w:hint="eastAsia"/>
          <w:snapToGrid/>
          <w:color w:val="auto"/>
          <w:kern w:val="2"/>
          <w:sz w:val="24"/>
          <w:szCs w:val="24"/>
          <w:lang w:eastAsia="zh-CN"/>
        </w:rPr>
        <w:t>64.08%</w:t>
      </w:r>
      <w:r>
        <w:rPr>
          <w:rFonts w:ascii="Times New Roman" w:eastAsia="宋体" w:hAnsi="Times New Roman" w:cs="Times New Roman" w:hint="eastAsia"/>
          <w:snapToGrid/>
          <w:color w:val="auto"/>
          <w:kern w:val="2"/>
          <w:sz w:val="24"/>
          <w:szCs w:val="24"/>
          <w:lang w:eastAsia="zh-CN"/>
        </w:rPr>
        <w:t>；虾类平均幼体比例为</w:t>
      </w:r>
      <w:r>
        <w:rPr>
          <w:rFonts w:ascii="Times New Roman" w:eastAsia="宋体" w:hAnsi="Times New Roman" w:cs="Times New Roman" w:hint="eastAsia"/>
          <w:snapToGrid/>
          <w:color w:val="auto"/>
          <w:kern w:val="2"/>
          <w:sz w:val="24"/>
          <w:szCs w:val="24"/>
          <w:lang w:eastAsia="zh-CN"/>
        </w:rPr>
        <w:t>82.16%</w:t>
      </w:r>
      <w:r>
        <w:rPr>
          <w:rFonts w:ascii="Times New Roman" w:eastAsia="宋体" w:hAnsi="Times New Roman" w:cs="Times New Roman" w:hint="eastAsia"/>
          <w:snapToGrid/>
          <w:color w:val="auto"/>
          <w:kern w:val="2"/>
          <w:sz w:val="24"/>
          <w:szCs w:val="24"/>
          <w:lang w:eastAsia="zh-CN"/>
        </w:rPr>
        <w:t>；蟹类平均幼体比例为</w:t>
      </w:r>
      <w:r>
        <w:rPr>
          <w:rFonts w:ascii="Times New Roman" w:eastAsia="宋体" w:hAnsi="Times New Roman" w:cs="Times New Roman" w:hint="eastAsia"/>
          <w:snapToGrid/>
          <w:color w:val="auto"/>
          <w:kern w:val="2"/>
          <w:sz w:val="24"/>
          <w:szCs w:val="24"/>
          <w:lang w:eastAsia="zh-CN"/>
        </w:rPr>
        <w:t>53.04%</w:t>
      </w:r>
      <w:r>
        <w:rPr>
          <w:rFonts w:ascii="Times New Roman" w:eastAsia="宋体" w:hAnsi="Times New Roman" w:cs="Times New Roman" w:hint="eastAsia"/>
          <w:snapToGrid/>
          <w:color w:val="auto"/>
          <w:kern w:val="2"/>
          <w:sz w:val="24"/>
          <w:szCs w:val="24"/>
          <w:lang w:eastAsia="zh-CN"/>
        </w:rPr>
        <w:t>；头足类平均幼体比例为</w:t>
      </w:r>
      <w:r>
        <w:rPr>
          <w:rFonts w:ascii="Times New Roman" w:eastAsia="宋体" w:hAnsi="Times New Roman" w:cs="Times New Roman" w:hint="eastAsia"/>
          <w:snapToGrid/>
          <w:color w:val="auto"/>
          <w:kern w:val="2"/>
          <w:sz w:val="24"/>
          <w:szCs w:val="24"/>
          <w:lang w:eastAsia="zh-CN"/>
        </w:rPr>
        <w:t>88.62%</w:t>
      </w:r>
      <w:r>
        <w:rPr>
          <w:rFonts w:ascii="Times New Roman" w:eastAsia="宋体" w:hAnsi="Times New Roman" w:cs="Times New Roman" w:hint="eastAsia"/>
          <w:snapToGrid/>
          <w:color w:val="auto"/>
          <w:kern w:val="2"/>
          <w:sz w:val="24"/>
          <w:szCs w:val="24"/>
          <w:lang w:eastAsia="zh-CN"/>
        </w:rPr>
        <w:t>。项目海域渔获物重量密度丰富度指数（</w:t>
      </w:r>
      <w:r>
        <w:rPr>
          <w:rFonts w:ascii="Times New Roman" w:eastAsia="宋体" w:hAnsi="Times New Roman" w:cs="Times New Roman" w:hint="eastAsia"/>
          <w:snapToGrid/>
          <w:color w:val="auto"/>
          <w:kern w:val="2"/>
          <w:sz w:val="24"/>
          <w:szCs w:val="24"/>
          <w:lang w:eastAsia="zh-CN"/>
        </w:rPr>
        <w:t>d</w:t>
      </w:r>
      <w:r>
        <w:rPr>
          <w:rFonts w:ascii="Times New Roman" w:eastAsia="宋体" w:hAnsi="Times New Roman" w:cs="Times New Roman" w:hint="eastAsia"/>
          <w:snapToGrid/>
          <w:color w:val="auto"/>
          <w:kern w:val="2"/>
          <w:sz w:val="24"/>
          <w:szCs w:val="24"/>
          <w:lang w:eastAsia="zh-CN"/>
        </w:rPr>
        <w:t>）均值为</w:t>
      </w:r>
      <w:r>
        <w:rPr>
          <w:rFonts w:ascii="Times New Roman" w:eastAsia="宋体" w:hAnsi="Times New Roman" w:cs="Times New Roman" w:hint="eastAsia"/>
          <w:snapToGrid/>
          <w:color w:val="auto"/>
          <w:kern w:val="2"/>
          <w:sz w:val="24"/>
          <w:szCs w:val="24"/>
          <w:lang w:eastAsia="zh-CN"/>
        </w:rPr>
        <w:t>2.77</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0.80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3.42</w:t>
      </w:r>
      <w:r>
        <w:rPr>
          <w:rFonts w:ascii="Times New Roman" w:eastAsia="宋体" w:hAnsi="Times New Roman" w:cs="Times New Roman" w:hint="eastAsia"/>
          <w:snapToGrid/>
          <w:color w:val="auto"/>
          <w:kern w:val="2"/>
          <w:sz w:val="24"/>
          <w:szCs w:val="24"/>
          <w:lang w:eastAsia="zh-CN"/>
        </w:rPr>
        <w:t>），单纯度指数（</w:t>
      </w:r>
      <w:r>
        <w:rPr>
          <w:rFonts w:ascii="Times New Roman" w:eastAsia="宋体" w:hAnsi="Times New Roman" w:cs="Times New Roman" w:hint="eastAsia"/>
          <w:snapToGrid/>
          <w:color w:val="auto"/>
          <w:kern w:val="2"/>
          <w:sz w:val="24"/>
          <w:szCs w:val="24"/>
          <w:lang w:eastAsia="zh-CN"/>
        </w:rPr>
        <w:t>C</w:t>
      </w:r>
      <w:r>
        <w:rPr>
          <w:rFonts w:ascii="Times New Roman" w:eastAsia="宋体" w:hAnsi="Times New Roman" w:cs="Times New Roman" w:hint="eastAsia"/>
          <w:snapToGrid/>
          <w:color w:val="auto"/>
          <w:kern w:val="2"/>
          <w:sz w:val="24"/>
          <w:szCs w:val="24"/>
          <w:lang w:eastAsia="zh-CN"/>
        </w:rPr>
        <w:t>）均值为</w:t>
      </w:r>
      <w:r>
        <w:rPr>
          <w:rFonts w:ascii="Times New Roman" w:eastAsia="宋体" w:hAnsi="Times New Roman" w:cs="Times New Roman" w:hint="eastAsia"/>
          <w:snapToGrid/>
          <w:color w:val="auto"/>
          <w:kern w:val="2"/>
          <w:sz w:val="24"/>
          <w:szCs w:val="24"/>
          <w:lang w:eastAsia="zh-CN"/>
        </w:rPr>
        <w:t>0.10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0.07</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0.16</w:t>
      </w:r>
      <w:r>
        <w:rPr>
          <w:rFonts w:ascii="Times New Roman" w:eastAsia="宋体" w:hAnsi="Times New Roman" w:cs="Times New Roman" w:hint="eastAsia"/>
          <w:snapToGrid/>
          <w:color w:val="auto"/>
          <w:kern w:val="2"/>
          <w:sz w:val="24"/>
          <w:szCs w:val="24"/>
          <w:lang w:eastAsia="zh-CN"/>
        </w:rPr>
        <w:t>），多样性指数（</w:t>
      </w:r>
      <w:r>
        <w:rPr>
          <w:rFonts w:ascii="Times New Roman" w:eastAsia="宋体" w:hAnsi="Times New Roman" w:cs="Times New Roman" w:hint="eastAsia"/>
          <w:snapToGrid/>
          <w:color w:val="auto"/>
          <w:kern w:val="2"/>
          <w:sz w:val="24"/>
          <w:szCs w:val="24"/>
          <w:lang w:eastAsia="zh-CN"/>
        </w:rPr>
        <w:t>H'</w:t>
      </w:r>
      <w:r>
        <w:rPr>
          <w:rFonts w:ascii="Times New Roman" w:eastAsia="宋体" w:hAnsi="Times New Roman" w:cs="Times New Roman" w:hint="eastAsia"/>
          <w:snapToGrid/>
          <w:color w:val="auto"/>
          <w:kern w:val="2"/>
          <w:sz w:val="24"/>
          <w:szCs w:val="24"/>
          <w:lang w:eastAsia="zh-CN"/>
        </w:rPr>
        <w:t>）均值为</w:t>
      </w:r>
      <w:r>
        <w:rPr>
          <w:rFonts w:ascii="Times New Roman" w:eastAsia="宋体" w:hAnsi="Times New Roman" w:cs="Times New Roman" w:hint="eastAsia"/>
          <w:snapToGrid/>
          <w:color w:val="auto"/>
          <w:kern w:val="2"/>
          <w:sz w:val="24"/>
          <w:szCs w:val="24"/>
          <w:lang w:eastAsia="zh-CN"/>
        </w:rPr>
        <w:t>4.10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2.96</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4.58</w:t>
      </w:r>
      <w:r>
        <w:rPr>
          <w:rFonts w:ascii="Times New Roman" w:eastAsia="宋体" w:hAnsi="Times New Roman" w:cs="Times New Roman" w:hint="eastAsia"/>
          <w:snapToGrid/>
          <w:color w:val="auto"/>
          <w:kern w:val="2"/>
          <w:sz w:val="24"/>
          <w:szCs w:val="24"/>
          <w:lang w:eastAsia="zh-CN"/>
        </w:rPr>
        <w:t>），均匀度指数（</w:t>
      </w:r>
      <w:r>
        <w:rPr>
          <w:rFonts w:ascii="Times New Roman" w:eastAsia="宋体" w:hAnsi="Times New Roman" w:cs="Times New Roman" w:hint="eastAsia"/>
          <w:snapToGrid/>
          <w:color w:val="auto"/>
          <w:kern w:val="2"/>
          <w:sz w:val="24"/>
          <w:szCs w:val="24"/>
          <w:lang w:eastAsia="zh-CN"/>
        </w:rPr>
        <w:t>J'</w:t>
      </w:r>
      <w:r>
        <w:rPr>
          <w:rFonts w:ascii="Times New Roman" w:eastAsia="宋体" w:hAnsi="Times New Roman" w:cs="Times New Roman" w:hint="eastAsia"/>
          <w:snapToGrid/>
          <w:color w:val="auto"/>
          <w:kern w:val="2"/>
          <w:sz w:val="24"/>
          <w:szCs w:val="24"/>
          <w:lang w:eastAsia="zh-CN"/>
        </w:rPr>
        <w:t>）均值为</w:t>
      </w:r>
      <w:r>
        <w:rPr>
          <w:rFonts w:ascii="Times New Roman" w:eastAsia="宋体" w:hAnsi="Times New Roman" w:cs="Times New Roman" w:hint="eastAsia"/>
          <w:snapToGrid/>
          <w:color w:val="auto"/>
          <w:kern w:val="2"/>
          <w:sz w:val="24"/>
          <w:szCs w:val="24"/>
          <w:lang w:eastAsia="zh-CN"/>
        </w:rPr>
        <w:t>0.78</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0.69-0.86</w:t>
      </w:r>
      <w:r>
        <w:rPr>
          <w:rFonts w:ascii="Times New Roman" w:eastAsia="宋体" w:hAnsi="Times New Roman" w:cs="Times New Roman" w:hint="eastAsia"/>
          <w:snapToGrid/>
          <w:color w:val="auto"/>
          <w:kern w:val="2"/>
          <w:sz w:val="24"/>
          <w:szCs w:val="24"/>
          <w:lang w:eastAsia="zh-CN"/>
        </w:rPr>
        <w:t>）。渔获物尾数密度丰富度指数（</w:t>
      </w:r>
      <w:r>
        <w:rPr>
          <w:rFonts w:ascii="Times New Roman" w:eastAsia="宋体" w:hAnsi="Times New Roman" w:cs="Times New Roman" w:hint="eastAsia"/>
          <w:snapToGrid/>
          <w:color w:val="auto"/>
          <w:kern w:val="2"/>
          <w:sz w:val="24"/>
          <w:szCs w:val="24"/>
          <w:lang w:eastAsia="zh-CN"/>
        </w:rPr>
        <w:t>d</w:t>
      </w:r>
      <w:r>
        <w:rPr>
          <w:rFonts w:ascii="Times New Roman" w:eastAsia="宋体" w:hAnsi="Times New Roman" w:cs="Times New Roman" w:hint="eastAsia"/>
          <w:snapToGrid/>
          <w:color w:val="auto"/>
          <w:kern w:val="2"/>
          <w:sz w:val="24"/>
          <w:szCs w:val="24"/>
          <w:lang w:eastAsia="zh-CN"/>
        </w:rPr>
        <w:t>）均值为</w:t>
      </w:r>
      <w:r>
        <w:rPr>
          <w:rFonts w:ascii="Times New Roman" w:eastAsia="宋体" w:hAnsi="Times New Roman" w:cs="Times New Roman" w:hint="eastAsia"/>
          <w:snapToGrid/>
          <w:color w:val="auto"/>
          <w:kern w:val="2"/>
          <w:sz w:val="24"/>
          <w:szCs w:val="24"/>
          <w:lang w:eastAsia="zh-CN"/>
        </w:rPr>
        <w:t>4.73</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1.60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5.71</w:t>
      </w:r>
      <w:r>
        <w:rPr>
          <w:rFonts w:ascii="Times New Roman" w:eastAsia="宋体" w:hAnsi="Times New Roman" w:cs="Times New Roman" w:hint="eastAsia"/>
          <w:snapToGrid/>
          <w:color w:val="auto"/>
          <w:kern w:val="2"/>
          <w:sz w:val="24"/>
          <w:szCs w:val="24"/>
          <w:lang w:eastAsia="zh-CN"/>
        </w:rPr>
        <w:t>），单纯度指数（</w:t>
      </w:r>
      <w:r>
        <w:rPr>
          <w:rFonts w:ascii="Times New Roman" w:eastAsia="宋体" w:hAnsi="Times New Roman" w:cs="Times New Roman" w:hint="eastAsia"/>
          <w:snapToGrid/>
          <w:color w:val="auto"/>
          <w:kern w:val="2"/>
          <w:sz w:val="24"/>
          <w:szCs w:val="24"/>
          <w:lang w:eastAsia="zh-CN"/>
        </w:rPr>
        <w:t>C</w:t>
      </w:r>
      <w:r>
        <w:rPr>
          <w:rFonts w:ascii="Times New Roman" w:eastAsia="宋体" w:hAnsi="Times New Roman" w:cs="Times New Roman" w:hint="eastAsia"/>
          <w:snapToGrid/>
          <w:color w:val="auto"/>
          <w:kern w:val="2"/>
          <w:sz w:val="24"/>
          <w:szCs w:val="24"/>
          <w:lang w:eastAsia="zh-CN"/>
        </w:rPr>
        <w:t>）均值为</w:t>
      </w:r>
      <w:r>
        <w:rPr>
          <w:rFonts w:ascii="Times New Roman" w:eastAsia="宋体" w:hAnsi="Times New Roman" w:cs="Times New Roman" w:hint="eastAsia"/>
          <w:snapToGrid/>
          <w:color w:val="auto"/>
          <w:kern w:val="2"/>
          <w:sz w:val="24"/>
          <w:szCs w:val="24"/>
          <w:lang w:eastAsia="zh-CN"/>
        </w:rPr>
        <w:t>0.11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0.07</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0.20</w:t>
      </w:r>
      <w:r>
        <w:rPr>
          <w:rFonts w:ascii="Times New Roman" w:eastAsia="宋体" w:hAnsi="Times New Roman" w:cs="Times New Roman" w:hint="eastAsia"/>
          <w:snapToGrid/>
          <w:color w:val="auto"/>
          <w:kern w:val="2"/>
          <w:sz w:val="24"/>
          <w:szCs w:val="24"/>
          <w:lang w:eastAsia="zh-CN"/>
        </w:rPr>
        <w:t>），多样性指数（</w:t>
      </w:r>
      <w:r>
        <w:rPr>
          <w:rFonts w:ascii="Times New Roman" w:eastAsia="宋体" w:hAnsi="Times New Roman" w:cs="Times New Roman" w:hint="eastAsia"/>
          <w:snapToGrid/>
          <w:color w:val="auto"/>
          <w:kern w:val="2"/>
          <w:sz w:val="24"/>
          <w:szCs w:val="24"/>
          <w:lang w:eastAsia="zh-CN"/>
        </w:rPr>
        <w:t>H'</w:t>
      </w:r>
      <w:r>
        <w:rPr>
          <w:rFonts w:ascii="Times New Roman" w:eastAsia="宋体" w:hAnsi="Times New Roman" w:cs="Times New Roman" w:hint="eastAsia"/>
          <w:snapToGrid/>
          <w:color w:val="auto"/>
          <w:kern w:val="2"/>
          <w:sz w:val="24"/>
          <w:szCs w:val="24"/>
          <w:lang w:eastAsia="zh-CN"/>
        </w:rPr>
        <w:t>）均值为</w:t>
      </w:r>
      <w:r>
        <w:rPr>
          <w:rFonts w:ascii="Times New Roman" w:eastAsia="宋体" w:hAnsi="Times New Roman" w:cs="Times New Roman" w:hint="eastAsia"/>
          <w:snapToGrid/>
          <w:color w:val="auto"/>
          <w:kern w:val="2"/>
          <w:sz w:val="24"/>
          <w:szCs w:val="24"/>
          <w:lang w:eastAsia="zh-CN"/>
        </w:rPr>
        <w:t>4.01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2.88</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4.51</w:t>
      </w:r>
      <w:r>
        <w:rPr>
          <w:rFonts w:ascii="Times New Roman" w:eastAsia="宋体" w:hAnsi="Times New Roman" w:cs="Times New Roman" w:hint="eastAsia"/>
          <w:snapToGrid/>
          <w:color w:val="auto"/>
          <w:kern w:val="2"/>
          <w:sz w:val="24"/>
          <w:szCs w:val="24"/>
          <w:lang w:eastAsia="zh-CN"/>
        </w:rPr>
        <w:t>），均匀度指数（</w:t>
      </w:r>
      <w:r>
        <w:rPr>
          <w:rFonts w:ascii="Times New Roman" w:eastAsia="宋体" w:hAnsi="Times New Roman" w:cs="Times New Roman" w:hint="eastAsia"/>
          <w:snapToGrid/>
          <w:color w:val="auto"/>
          <w:kern w:val="2"/>
          <w:sz w:val="24"/>
          <w:szCs w:val="24"/>
          <w:lang w:eastAsia="zh-CN"/>
        </w:rPr>
        <w:t>J'</w:t>
      </w:r>
      <w:r>
        <w:rPr>
          <w:rFonts w:ascii="Times New Roman" w:eastAsia="宋体" w:hAnsi="Times New Roman" w:cs="Times New Roman" w:hint="eastAsia"/>
          <w:snapToGrid/>
          <w:color w:val="auto"/>
          <w:kern w:val="2"/>
          <w:sz w:val="24"/>
          <w:szCs w:val="24"/>
          <w:lang w:eastAsia="zh-CN"/>
        </w:rPr>
        <w:t>）均值为</w:t>
      </w:r>
      <w:r>
        <w:rPr>
          <w:rFonts w:ascii="Times New Roman" w:eastAsia="宋体" w:hAnsi="Times New Roman" w:cs="Times New Roman" w:hint="eastAsia"/>
          <w:snapToGrid/>
          <w:color w:val="auto"/>
          <w:kern w:val="2"/>
          <w:sz w:val="24"/>
          <w:szCs w:val="24"/>
          <w:lang w:eastAsia="zh-CN"/>
        </w:rPr>
        <w:t>0.77</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0.60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0.83</w:t>
      </w:r>
      <w:r>
        <w:rPr>
          <w:rFonts w:ascii="Times New Roman" w:eastAsia="宋体" w:hAnsi="Times New Roman" w:cs="Times New Roman" w:hint="eastAsia"/>
          <w:snapToGrid/>
          <w:color w:val="auto"/>
          <w:kern w:val="2"/>
          <w:sz w:val="24"/>
          <w:szCs w:val="24"/>
          <w:lang w:eastAsia="zh-CN"/>
        </w:rPr>
        <w:t>）。</w:t>
      </w:r>
    </w:p>
    <w:p w14:paraId="2E06BC4A"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7</w:t>
      </w:r>
      <w:r>
        <w:rPr>
          <w:rFonts w:ascii="Times New Roman" w:eastAsia="宋体" w:hAnsi="Times New Roman" w:cs="Times New Roman" w:hint="eastAsia"/>
          <w:snapToGrid/>
          <w:color w:val="auto"/>
          <w:kern w:val="2"/>
          <w:sz w:val="24"/>
          <w:szCs w:val="24"/>
          <w:lang w:eastAsia="zh-CN"/>
        </w:rPr>
        <w:t>）鱼卵与仔稚鱼</w:t>
      </w:r>
    </w:p>
    <w:p w14:paraId="53723E25"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lastRenderedPageBreak/>
        <w:t>本次调查，三亚后海湾附近海域鱼卵与仔稚鱼共鉴定种类</w:t>
      </w:r>
      <w:r>
        <w:rPr>
          <w:rFonts w:ascii="Times New Roman" w:eastAsia="宋体" w:hAnsi="Times New Roman" w:cs="Times New Roman" w:hint="eastAsia"/>
          <w:snapToGrid/>
          <w:color w:val="auto"/>
          <w:kern w:val="2"/>
          <w:sz w:val="24"/>
          <w:szCs w:val="24"/>
          <w:lang w:eastAsia="zh-CN"/>
        </w:rPr>
        <w:t>34</w:t>
      </w:r>
      <w:r>
        <w:rPr>
          <w:rFonts w:ascii="Times New Roman" w:eastAsia="宋体" w:hAnsi="Times New Roman" w:cs="Times New Roman" w:hint="eastAsia"/>
          <w:snapToGrid/>
          <w:color w:val="auto"/>
          <w:kern w:val="2"/>
          <w:sz w:val="24"/>
          <w:szCs w:val="24"/>
          <w:lang w:eastAsia="zh-CN"/>
        </w:rPr>
        <w:t>种，隶属于</w:t>
      </w:r>
      <w:r>
        <w:rPr>
          <w:rFonts w:ascii="Times New Roman" w:eastAsia="宋体" w:hAnsi="Times New Roman" w:cs="Times New Roman" w:hint="eastAsia"/>
          <w:snapToGrid/>
          <w:color w:val="auto"/>
          <w:kern w:val="2"/>
          <w:sz w:val="24"/>
          <w:szCs w:val="24"/>
          <w:lang w:eastAsia="zh-CN"/>
        </w:rPr>
        <w:t>23</w:t>
      </w:r>
      <w:r>
        <w:rPr>
          <w:rFonts w:ascii="Times New Roman" w:eastAsia="宋体" w:hAnsi="Times New Roman" w:cs="Times New Roman" w:hint="eastAsia"/>
          <w:snapToGrid/>
          <w:color w:val="auto"/>
          <w:kern w:val="2"/>
          <w:sz w:val="24"/>
          <w:szCs w:val="24"/>
          <w:lang w:eastAsia="zh-CN"/>
        </w:rPr>
        <w:t>个科，鉴</w:t>
      </w:r>
      <w:r>
        <w:rPr>
          <w:rFonts w:ascii="Times New Roman" w:eastAsia="宋体" w:hAnsi="Times New Roman" w:cs="Times New Roman" w:hint="eastAsia"/>
          <w:snapToGrid/>
          <w:color w:val="auto"/>
          <w:kern w:val="2"/>
          <w:sz w:val="24"/>
          <w:szCs w:val="24"/>
          <w:lang w:eastAsia="zh-CN"/>
        </w:rPr>
        <w:t>定到科的有</w:t>
      </w:r>
      <w:r>
        <w:rPr>
          <w:rFonts w:ascii="Times New Roman" w:eastAsia="宋体" w:hAnsi="Times New Roman" w:cs="Times New Roman" w:hint="eastAsia"/>
          <w:snapToGrid/>
          <w:color w:val="auto"/>
          <w:kern w:val="2"/>
          <w:sz w:val="24"/>
          <w:szCs w:val="24"/>
          <w:lang w:eastAsia="zh-CN"/>
        </w:rPr>
        <w:t>8</w:t>
      </w:r>
      <w:r>
        <w:rPr>
          <w:rFonts w:ascii="Times New Roman" w:eastAsia="宋体" w:hAnsi="Times New Roman" w:cs="Times New Roman" w:hint="eastAsia"/>
          <w:snapToGrid/>
          <w:color w:val="auto"/>
          <w:kern w:val="2"/>
          <w:sz w:val="24"/>
          <w:szCs w:val="24"/>
          <w:lang w:eastAsia="zh-CN"/>
        </w:rPr>
        <w:t>种，鉴定到属的</w:t>
      </w:r>
      <w:r>
        <w:rPr>
          <w:rFonts w:ascii="Times New Roman" w:eastAsia="宋体" w:hAnsi="Times New Roman" w:cs="Times New Roman" w:hint="eastAsia"/>
          <w:snapToGrid/>
          <w:color w:val="auto"/>
          <w:kern w:val="2"/>
          <w:sz w:val="24"/>
          <w:szCs w:val="24"/>
          <w:lang w:eastAsia="zh-CN"/>
        </w:rPr>
        <w:t>12</w:t>
      </w:r>
      <w:r>
        <w:rPr>
          <w:rFonts w:ascii="Times New Roman" w:eastAsia="宋体" w:hAnsi="Times New Roman" w:cs="Times New Roman" w:hint="eastAsia"/>
          <w:snapToGrid/>
          <w:color w:val="auto"/>
          <w:kern w:val="2"/>
          <w:sz w:val="24"/>
          <w:szCs w:val="24"/>
          <w:lang w:eastAsia="zh-CN"/>
        </w:rPr>
        <w:t>种，鉴定到种的</w:t>
      </w:r>
      <w:r>
        <w:rPr>
          <w:rFonts w:ascii="Times New Roman" w:eastAsia="宋体" w:hAnsi="Times New Roman" w:cs="Times New Roman" w:hint="eastAsia"/>
          <w:snapToGrid/>
          <w:color w:val="auto"/>
          <w:kern w:val="2"/>
          <w:sz w:val="24"/>
          <w:szCs w:val="24"/>
          <w:lang w:eastAsia="zh-CN"/>
        </w:rPr>
        <w:t>14</w:t>
      </w:r>
      <w:r>
        <w:rPr>
          <w:rFonts w:ascii="Times New Roman" w:eastAsia="宋体" w:hAnsi="Times New Roman" w:cs="Times New Roman" w:hint="eastAsia"/>
          <w:snapToGrid/>
          <w:color w:val="auto"/>
          <w:kern w:val="2"/>
          <w:sz w:val="24"/>
          <w:szCs w:val="24"/>
          <w:lang w:eastAsia="zh-CN"/>
        </w:rPr>
        <w:t>种。从发育阶段来看，鱼卵出现种类有</w:t>
      </w:r>
      <w:r>
        <w:rPr>
          <w:rFonts w:ascii="Times New Roman" w:eastAsia="宋体" w:hAnsi="Times New Roman" w:cs="Times New Roman" w:hint="eastAsia"/>
          <w:snapToGrid/>
          <w:color w:val="auto"/>
          <w:kern w:val="2"/>
          <w:sz w:val="24"/>
          <w:szCs w:val="24"/>
          <w:lang w:eastAsia="zh-CN"/>
        </w:rPr>
        <w:t>27</w:t>
      </w:r>
      <w:r>
        <w:rPr>
          <w:rFonts w:ascii="Times New Roman" w:eastAsia="宋体" w:hAnsi="Times New Roman" w:cs="Times New Roman" w:hint="eastAsia"/>
          <w:snapToGrid/>
          <w:color w:val="auto"/>
          <w:kern w:val="2"/>
          <w:sz w:val="24"/>
          <w:szCs w:val="24"/>
          <w:lang w:eastAsia="zh-CN"/>
        </w:rPr>
        <w:t>种，仔鱼出现种类有</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hint="eastAsia"/>
          <w:snapToGrid/>
          <w:color w:val="auto"/>
          <w:kern w:val="2"/>
          <w:sz w:val="24"/>
          <w:szCs w:val="24"/>
          <w:lang w:eastAsia="zh-CN"/>
        </w:rPr>
        <w:t>种，稚鱼出现种类有</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种。</w:t>
      </w:r>
    </w:p>
    <w:p w14:paraId="60C6F46C" w14:textId="77777777" w:rsidR="0075791A" w:rsidRDefault="00FB2864">
      <w:pPr>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垂直拖网调查各站位鱼卵密度范围为（</w:t>
      </w:r>
      <w:r>
        <w:rPr>
          <w:rFonts w:ascii="Times New Roman" w:eastAsia="宋体" w:hAnsi="Times New Roman" w:cs="Times New Roman" w:hint="eastAsia"/>
          <w:snapToGrid/>
          <w:color w:val="auto"/>
          <w:kern w:val="2"/>
          <w:sz w:val="24"/>
          <w:szCs w:val="24"/>
          <w:lang w:eastAsia="zh-CN"/>
        </w:rPr>
        <w:t>0.12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4.84</w:t>
      </w:r>
      <w:r>
        <w:rPr>
          <w:rFonts w:ascii="Times New Roman" w:eastAsia="宋体" w:hAnsi="Times New Roman" w:cs="Times New Roman" w:hint="eastAsia"/>
          <w:snapToGrid/>
          <w:color w:val="auto"/>
          <w:kern w:val="2"/>
          <w:sz w:val="24"/>
          <w:szCs w:val="24"/>
          <w:lang w:eastAsia="zh-CN"/>
        </w:rPr>
        <w:t>）粒</w:t>
      </w:r>
      <w:r>
        <w:rPr>
          <w:rFonts w:ascii="Times New Roman" w:eastAsia="宋体" w:hAnsi="Times New Roman" w:cs="Times New Roman" w:hint="eastAsia"/>
          <w:snapToGrid/>
          <w:color w:val="auto"/>
          <w:kern w:val="2"/>
          <w:sz w:val="24"/>
          <w:szCs w:val="24"/>
          <w:lang w:eastAsia="zh-CN"/>
        </w:rPr>
        <w:t>/m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1.83</w:t>
      </w:r>
      <w:r>
        <w:rPr>
          <w:rFonts w:ascii="Times New Roman" w:eastAsia="宋体" w:hAnsi="Times New Roman" w:cs="Times New Roman" w:hint="eastAsia"/>
          <w:snapToGrid/>
          <w:color w:val="auto"/>
          <w:kern w:val="2"/>
          <w:sz w:val="24"/>
          <w:szCs w:val="24"/>
          <w:lang w:eastAsia="zh-CN"/>
        </w:rPr>
        <w:t>粒</w:t>
      </w:r>
      <w:r>
        <w:rPr>
          <w:rFonts w:ascii="Times New Roman" w:eastAsia="宋体" w:hAnsi="Times New Roman" w:cs="Times New Roman" w:hint="eastAsia"/>
          <w:snapToGrid/>
          <w:color w:val="auto"/>
          <w:kern w:val="2"/>
          <w:sz w:val="24"/>
          <w:szCs w:val="24"/>
          <w:lang w:eastAsia="zh-CN"/>
        </w:rPr>
        <w:t>/m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。仔稚鱼密度范围为（</w:t>
      </w:r>
      <w:r>
        <w:rPr>
          <w:rFonts w:ascii="Times New Roman" w:eastAsia="宋体" w:hAnsi="Times New Roman" w:cs="Times New Roman" w:hint="eastAsia"/>
          <w:snapToGrid/>
          <w:color w:val="auto"/>
          <w:kern w:val="2"/>
          <w:sz w:val="24"/>
          <w:szCs w:val="24"/>
          <w:lang w:eastAsia="zh-CN"/>
        </w:rPr>
        <w:t>0.00</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0.98</w:t>
      </w:r>
      <w:r>
        <w:rPr>
          <w:rFonts w:ascii="Times New Roman" w:eastAsia="宋体" w:hAnsi="Times New Roman" w:cs="Times New Roman" w:hint="eastAsia"/>
          <w:snapToGrid/>
          <w:color w:val="auto"/>
          <w:kern w:val="2"/>
          <w:sz w:val="24"/>
          <w:szCs w:val="24"/>
          <w:lang w:eastAsia="zh-CN"/>
        </w:rPr>
        <w:t>）尾</w:t>
      </w:r>
      <w:r>
        <w:rPr>
          <w:rFonts w:ascii="Times New Roman" w:eastAsia="宋体" w:hAnsi="Times New Roman" w:cs="Times New Roman" w:hint="eastAsia"/>
          <w:snapToGrid/>
          <w:color w:val="auto"/>
          <w:kern w:val="2"/>
          <w:sz w:val="24"/>
          <w:szCs w:val="24"/>
          <w:lang w:eastAsia="zh-CN"/>
        </w:rPr>
        <w:t>/m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，平均值为</w:t>
      </w:r>
      <w:r>
        <w:rPr>
          <w:rFonts w:ascii="Times New Roman" w:eastAsia="宋体" w:hAnsi="Times New Roman" w:cs="Times New Roman" w:hint="eastAsia"/>
          <w:snapToGrid/>
          <w:color w:val="auto"/>
          <w:kern w:val="2"/>
          <w:sz w:val="24"/>
          <w:szCs w:val="24"/>
          <w:lang w:eastAsia="zh-CN"/>
        </w:rPr>
        <w:t>0.28</w:t>
      </w:r>
      <w:r>
        <w:rPr>
          <w:rFonts w:ascii="Times New Roman" w:eastAsia="宋体" w:hAnsi="Times New Roman" w:cs="Times New Roman" w:hint="eastAsia"/>
          <w:snapToGrid/>
          <w:color w:val="auto"/>
          <w:kern w:val="2"/>
          <w:sz w:val="24"/>
          <w:szCs w:val="24"/>
          <w:lang w:eastAsia="zh-CN"/>
        </w:rPr>
        <w:t>尾</w:t>
      </w:r>
      <w:r>
        <w:rPr>
          <w:rFonts w:ascii="Times New Roman" w:eastAsia="宋体" w:hAnsi="Times New Roman" w:cs="Times New Roman" w:hint="eastAsia"/>
          <w:snapToGrid/>
          <w:color w:val="auto"/>
          <w:kern w:val="2"/>
          <w:sz w:val="24"/>
          <w:szCs w:val="24"/>
          <w:lang w:eastAsia="zh-CN"/>
        </w:rPr>
        <w:t>/m</w:t>
      </w:r>
      <w:r>
        <w:rPr>
          <w:rFonts w:ascii="Times New Roman" w:eastAsia="宋体" w:hAnsi="Times New Roman" w:cs="Times New Roman" w:hint="eastAsia"/>
          <w:snapToGrid/>
          <w:color w:val="auto"/>
          <w:kern w:val="2"/>
          <w:sz w:val="24"/>
          <w:szCs w:val="24"/>
          <w:vertAlign w:val="superscript"/>
          <w:lang w:eastAsia="zh-CN"/>
        </w:rPr>
        <w:t>3</w:t>
      </w:r>
      <w:r>
        <w:rPr>
          <w:rFonts w:ascii="Times New Roman" w:eastAsia="宋体" w:hAnsi="Times New Roman" w:cs="Times New Roman" w:hint="eastAsia"/>
          <w:snapToGrid/>
          <w:color w:val="auto"/>
          <w:kern w:val="2"/>
          <w:sz w:val="24"/>
          <w:szCs w:val="24"/>
          <w:lang w:eastAsia="zh-CN"/>
        </w:rPr>
        <w:t>。</w:t>
      </w:r>
    </w:p>
    <w:p w14:paraId="4B9BAB0D" w14:textId="77777777" w:rsidR="0075791A" w:rsidRDefault="0075791A">
      <w:pPr>
        <w:spacing w:line="355" w:lineRule="auto"/>
        <w:rPr>
          <w:rFonts w:ascii="Times New Roman" w:eastAsia="宋体" w:hAnsi="Times New Roman" w:cs="宋体"/>
          <w:color w:val="auto"/>
          <w:sz w:val="24"/>
          <w:szCs w:val="24"/>
          <w:lang w:eastAsia="zh-CN"/>
        </w:rPr>
      </w:pPr>
    </w:p>
    <w:p w14:paraId="2DFDE711" w14:textId="77777777" w:rsidR="0075791A" w:rsidRDefault="0075791A">
      <w:pPr>
        <w:spacing w:line="355" w:lineRule="auto"/>
        <w:rPr>
          <w:rFonts w:ascii="Times New Roman" w:eastAsia="宋体" w:hAnsi="Times New Roman" w:cs="宋体"/>
          <w:color w:val="auto"/>
          <w:sz w:val="24"/>
          <w:szCs w:val="24"/>
          <w:lang w:eastAsia="zh-CN"/>
        </w:rPr>
        <w:sectPr w:rsidR="0075791A">
          <w:pgSz w:w="11906" w:h="16839"/>
          <w:pgMar w:top="1018" w:right="1354" w:bottom="1134" w:left="1417" w:header="746" w:footer="972" w:gutter="0"/>
          <w:cols w:space="720"/>
        </w:sectPr>
      </w:pPr>
    </w:p>
    <w:p w14:paraId="00964CC0" w14:textId="77777777" w:rsidR="0075791A" w:rsidRDefault="0075791A">
      <w:pPr>
        <w:spacing w:line="43" w:lineRule="exact"/>
        <w:ind w:firstLine="23"/>
        <w:rPr>
          <w:rFonts w:ascii="Times New Roman" w:hAnsi="Times New Roman"/>
          <w:color w:val="auto"/>
          <w:lang w:eastAsia="zh-CN"/>
        </w:rPr>
      </w:pPr>
    </w:p>
    <w:p w14:paraId="210AFF80"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200" w:name="_Toc16413"/>
      <w:r>
        <w:rPr>
          <w:rFonts w:ascii="Times New Roman" w:eastAsia="Times New Roman" w:hAnsi="Times New Roman" w:cs="Times New Roman" w:hint="eastAsia"/>
          <w:b/>
          <w:bCs/>
          <w:color w:val="auto"/>
          <w:spacing w:val="-3"/>
          <w:sz w:val="28"/>
          <w:szCs w:val="28"/>
          <w:lang w:eastAsia="zh-CN"/>
        </w:rPr>
        <w:t>3.2.7典型生态系统和自然保护地</w:t>
      </w:r>
      <w:bookmarkEnd w:id="200"/>
    </w:p>
    <w:p w14:paraId="3DF88940" w14:textId="77777777" w:rsidR="0075791A" w:rsidRDefault="00FB2864">
      <w:pPr>
        <w:spacing w:before="34" w:line="360" w:lineRule="auto"/>
        <w:ind w:left="5"/>
        <w:outlineLvl w:val="3"/>
        <w:rPr>
          <w:rFonts w:ascii="Times New Roman" w:eastAsia="宋体" w:hAnsi="Times New Roman" w:cs="宋体"/>
          <w:color w:val="auto"/>
          <w:spacing w:val="-2"/>
          <w:sz w:val="24"/>
          <w:szCs w:val="24"/>
          <w:lang w:eastAsia="zh-CN"/>
        </w:rPr>
      </w:pPr>
      <w:r>
        <w:rPr>
          <w:rFonts w:ascii="Times New Roman" w:eastAsia="宋体" w:hAnsi="Times New Roman" w:hint="eastAsia"/>
          <w:b/>
          <w:color w:val="auto"/>
          <w:sz w:val="24"/>
          <w:szCs w:val="24"/>
          <w:lang w:eastAsia="zh-CN"/>
        </w:rPr>
        <w:t>3.2.7.1</w:t>
      </w:r>
      <w:r>
        <w:rPr>
          <w:rFonts w:ascii="Times New Roman" w:eastAsia="宋体" w:hAnsi="Times New Roman" w:hint="eastAsia"/>
          <w:b/>
          <w:color w:val="auto"/>
          <w:sz w:val="24"/>
          <w:szCs w:val="24"/>
          <w:lang w:eastAsia="zh-CN"/>
        </w:rPr>
        <w:t>红树林生态系统概况</w:t>
      </w:r>
    </w:p>
    <w:p w14:paraId="02B620A0"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参照《中国植被》</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吴征镒，</w:t>
      </w:r>
      <w:r>
        <w:rPr>
          <w:rFonts w:ascii="Times New Roman" w:eastAsia="宋体" w:hAnsi="Times New Roman" w:cs="宋体" w:hint="eastAsia"/>
          <w:color w:val="auto"/>
          <w:spacing w:val="-2"/>
          <w:sz w:val="24"/>
          <w:szCs w:val="24"/>
          <w:lang w:eastAsia="zh-CN"/>
        </w:rPr>
        <w:t>1980)</w:t>
      </w:r>
      <w:r>
        <w:rPr>
          <w:rFonts w:ascii="Times New Roman" w:eastAsia="宋体" w:hAnsi="Times New Roman" w:cs="宋体" w:hint="eastAsia"/>
          <w:color w:val="auto"/>
          <w:spacing w:val="-2"/>
          <w:sz w:val="24"/>
          <w:szCs w:val="24"/>
          <w:lang w:eastAsia="zh-CN"/>
        </w:rPr>
        <w:t>，中华人民共和国植被图（</w:t>
      </w:r>
      <w:r>
        <w:rPr>
          <w:rFonts w:ascii="Times New Roman" w:eastAsia="宋体" w:hAnsi="Times New Roman" w:cs="宋体" w:hint="eastAsia"/>
          <w:color w:val="auto"/>
          <w:spacing w:val="-2"/>
          <w:sz w:val="24"/>
          <w:szCs w:val="24"/>
          <w:lang w:eastAsia="zh-CN"/>
        </w:rPr>
        <w:t>1:1000000</w:t>
      </w:r>
      <w:r>
        <w:rPr>
          <w:rFonts w:ascii="Times New Roman" w:eastAsia="宋体" w:hAnsi="Times New Roman" w:cs="宋体" w:hint="eastAsia"/>
          <w:color w:val="auto"/>
          <w:spacing w:val="-2"/>
          <w:sz w:val="24"/>
          <w:szCs w:val="24"/>
          <w:lang w:eastAsia="zh-CN"/>
        </w:rPr>
        <w:t>）（中国科学院中国植被图编辑委员会，</w:t>
      </w:r>
      <w:r>
        <w:rPr>
          <w:rFonts w:ascii="Times New Roman" w:eastAsia="宋体" w:hAnsi="Times New Roman" w:cs="宋体" w:hint="eastAsia"/>
          <w:color w:val="auto"/>
          <w:spacing w:val="-2"/>
          <w:sz w:val="24"/>
          <w:szCs w:val="24"/>
          <w:lang w:eastAsia="zh-CN"/>
        </w:rPr>
        <w:t>2007</w:t>
      </w:r>
      <w:r>
        <w:rPr>
          <w:rFonts w:ascii="Times New Roman" w:eastAsia="宋体" w:hAnsi="Times New Roman" w:cs="宋体" w:hint="eastAsia"/>
          <w:color w:val="auto"/>
          <w:spacing w:val="-2"/>
          <w:sz w:val="24"/>
          <w:szCs w:val="24"/>
          <w:lang w:eastAsia="zh-CN"/>
        </w:rPr>
        <w:t>）与《中国被及其地理格局》（中国科学院中国植被图编辑委员会，</w:t>
      </w:r>
      <w:r>
        <w:rPr>
          <w:rFonts w:ascii="Times New Roman" w:eastAsia="宋体" w:hAnsi="Times New Roman" w:cs="宋体" w:hint="eastAsia"/>
          <w:color w:val="auto"/>
          <w:spacing w:val="-2"/>
          <w:sz w:val="24"/>
          <w:szCs w:val="24"/>
          <w:lang w:eastAsia="zh-CN"/>
        </w:rPr>
        <w:t>2007</w:t>
      </w:r>
      <w:r>
        <w:rPr>
          <w:rFonts w:ascii="Times New Roman" w:eastAsia="宋体" w:hAnsi="Times New Roman" w:cs="宋体" w:hint="eastAsia"/>
          <w:color w:val="auto"/>
          <w:spacing w:val="-2"/>
          <w:sz w:val="24"/>
          <w:szCs w:val="24"/>
          <w:lang w:eastAsia="zh-CN"/>
        </w:rPr>
        <w:t>）进行分类，铁炉港保护区的被型以红树林为主，少量为城市公园植被，可划分为</w:t>
      </w:r>
      <w:r>
        <w:rPr>
          <w:rFonts w:ascii="Times New Roman" w:eastAsia="宋体" w:hAnsi="Times New Roman" w:cs="宋体" w:hint="eastAsia"/>
          <w:color w:val="auto"/>
          <w:spacing w:val="-2"/>
          <w:sz w:val="24"/>
          <w:szCs w:val="24"/>
          <w:lang w:eastAsia="zh-CN"/>
        </w:rPr>
        <w:t>6</w:t>
      </w:r>
      <w:r>
        <w:rPr>
          <w:rFonts w:ascii="Times New Roman" w:eastAsia="宋体" w:hAnsi="Times New Roman" w:cs="宋体" w:hint="eastAsia"/>
          <w:color w:val="auto"/>
          <w:spacing w:val="-2"/>
          <w:sz w:val="24"/>
          <w:szCs w:val="24"/>
          <w:lang w:eastAsia="zh-CN"/>
        </w:rPr>
        <w:t>个群系，</w:t>
      </w:r>
      <w:r>
        <w:rPr>
          <w:rFonts w:ascii="Times New Roman" w:eastAsia="宋体" w:hAnsi="Times New Roman" w:cs="宋体" w:hint="eastAsia"/>
          <w:color w:val="auto"/>
          <w:spacing w:val="-2"/>
          <w:sz w:val="24"/>
          <w:szCs w:val="24"/>
          <w:lang w:eastAsia="zh-CN"/>
        </w:rPr>
        <w:t>12</w:t>
      </w:r>
      <w:r>
        <w:rPr>
          <w:rFonts w:ascii="Times New Roman" w:eastAsia="宋体" w:hAnsi="Times New Roman" w:cs="宋体" w:hint="eastAsia"/>
          <w:color w:val="auto"/>
          <w:spacing w:val="-2"/>
          <w:sz w:val="24"/>
          <w:szCs w:val="24"/>
          <w:lang w:eastAsia="zh-CN"/>
        </w:rPr>
        <w:t>个群丛类型，其中红树林有白骨壤群系、海桑群系、红树群系、木榄群系</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种，涉及红树林群丛类型较多主要群丛类型分布不一，保护区以正红树群丛、白骨壤群丛、木榄</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角果木</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榄李群丛为主，另新种植红树群丛主要为木榄、角果木、榄李群丛。</w:t>
      </w:r>
    </w:p>
    <w:p w14:paraId="200E571E"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保护区内共有红</w:t>
      </w:r>
      <w:r>
        <w:rPr>
          <w:rFonts w:ascii="Times New Roman" w:eastAsia="宋体" w:hAnsi="Times New Roman" w:cs="宋体" w:hint="eastAsia"/>
          <w:color w:val="auto"/>
          <w:spacing w:val="-2"/>
          <w:sz w:val="24"/>
          <w:szCs w:val="24"/>
          <w:lang w:eastAsia="zh-CN"/>
        </w:rPr>
        <w:t>树植物</w:t>
      </w:r>
      <w:r>
        <w:rPr>
          <w:rFonts w:ascii="Times New Roman" w:eastAsia="宋体" w:hAnsi="Times New Roman" w:cs="宋体" w:hint="eastAsia"/>
          <w:color w:val="auto"/>
          <w:spacing w:val="-2"/>
          <w:sz w:val="24"/>
          <w:szCs w:val="24"/>
          <w:lang w:eastAsia="zh-CN"/>
        </w:rPr>
        <w:t>17</w:t>
      </w:r>
      <w:r>
        <w:rPr>
          <w:rFonts w:ascii="Times New Roman" w:eastAsia="宋体" w:hAnsi="Times New Roman" w:cs="宋体" w:hint="eastAsia"/>
          <w:color w:val="auto"/>
          <w:spacing w:val="-2"/>
          <w:sz w:val="24"/>
          <w:szCs w:val="24"/>
          <w:lang w:eastAsia="zh-CN"/>
        </w:rPr>
        <w:t>科</w:t>
      </w:r>
      <w:r>
        <w:rPr>
          <w:rFonts w:ascii="Times New Roman" w:eastAsia="宋体" w:hAnsi="Times New Roman" w:cs="宋体" w:hint="eastAsia"/>
          <w:color w:val="auto"/>
          <w:spacing w:val="-2"/>
          <w:sz w:val="24"/>
          <w:szCs w:val="24"/>
          <w:lang w:eastAsia="zh-CN"/>
        </w:rPr>
        <w:t>26</w:t>
      </w:r>
      <w:r>
        <w:rPr>
          <w:rFonts w:ascii="Times New Roman" w:eastAsia="宋体" w:hAnsi="Times New Roman" w:cs="宋体" w:hint="eastAsia"/>
          <w:color w:val="auto"/>
          <w:spacing w:val="-2"/>
          <w:sz w:val="24"/>
          <w:szCs w:val="24"/>
          <w:lang w:eastAsia="zh-CN"/>
        </w:rPr>
        <w:t>种，其中天然分布</w:t>
      </w:r>
      <w:r>
        <w:rPr>
          <w:rFonts w:ascii="Times New Roman" w:eastAsia="宋体" w:hAnsi="Times New Roman" w:cs="宋体" w:hint="eastAsia"/>
          <w:color w:val="auto"/>
          <w:spacing w:val="-2"/>
          <w:sz w:val="24"/>
          <w:szCs w:val="24"/>
          <w:lang w:eastAsia="zh-CN"/>
        </w:rPr>
        <w:t>17</w:t>
      </w:r>
      <w:r>
        <w:rPr>
          <w:rFonts w:ascii="Times New Roman" w:eastAsia="宋体" w:hAnsi="Times New Roman" w:cs="宋体" w:hint="eastAsia"/>
          <w:color w:val="auto"/>
          <w:spacing w:val="-2"/>
          <w:sz w:val="24"/>
          <w:szCs w:val="24"/>
          <w:lang w:eastAsia="zh-CN"/>
        </w:rPr>
        <w:t>科</w:t>
      </w:r>
      <w:r>
        <w:rPr>
          <w:rFonts w:ascii="Times New Roman" w:eastAsia="宋体" w:hAnsi="Times New Roman" w:cs="宋体" w:hint="eastAsia"/>
          <w:color w:val="auto"/>
          <w:spacing w:val="-2"/>
          <w:sz w:val="24"/>
          <w:szCs w:val="24"/>
          <w:lang w:eastAsia="zh-CN"/>
        </w:rPr>
        <w:t>24</w:t>
      </w:r>
      <w:r>
        <w:rPr>
          <w:rFonts w:ascii="Times New Roman" w:eastAsia="宋体" w:hAnsi="Times New Roman" w:cs="宋体" w:hint="eastAsia"/>
          <w:color w:val="auto"/>
          <w:spacing w:val="-2"/>
          <w:sz w:val="24"/>
          <w:szCs w:val="24"/>
          <w:lang w:eastAsia="zh-CN"/>
        </w:rPr>
        <w:t>种，引种栽培</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科</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种。原生红树植物</w:t>
      </w:r>
      <w:r>
        <w:rPr>
          <w:rFonts w:ascii="Times New Roman" w:eastAsia="宋体" w:hAnsi="Times New Roman" w:cs="宋体" w:hint="eastAsia"/>
          <w:color w:val="auto"/>
          <w:spacing w:val="-2"/>
          <w:sz w:val="24"/>
          <w:szCs w:val="24"/>
          <w:lang w:eastAsia="zh-CN"/>
        </w:rPr>
        <w:t>24</w:t>
      </w:r>
      <w:r>
        <w:rPr>
          <w:rFonts w:ascii="Times New Roman" w:eastAsia="宋体" w:hAnsi="Times New Roman" w:cs="宋体" w:hint="eastAsia"/>
          <w:color w:val="auto"/>
          <w:spacing w:val="-2"/>
          <w:sz w:val="24"/>
          <w:szCs w:val="24"/>
          <w:lang w:eastAsia="zh-CN"/>
        </w:rPr>
        <w:t>种中真红树植物</w:t>
      </w:r>
      <w:r>
        <w:rPr>
          <w:rFonts w:ascii="Times New Roman" w:eastAsia="宋体" w:hAnsi="Times New Roman" w:cs="宋体" w:hint="eastAsia"/>
          <w:color w:val="auto"/>
          <w:spacing w:val="-2"/>
          <w:sz w:val="24"/>
          <w:szCs w:val="24"/>
          <w:lang w:eastAsia="zh-CN"/>
        </w:rPr>
        <w:t>15</w:t>
      </w:r>
      <w:r>
        <w:rPr>
          <w:rFonts w:ascii="Times New Roman" w:eastAsia="宋体" w:hAnsi="Times New Roman" w:cs="宋体" w:hint="eastAsia"/>
          <w:color w:val="auto"/>
          <w:spacing w:val="-2"/>
          <w:sz w:val="24"/>
          <w:szCs w:val="24"/>
          <w:lang w:eastAsia="zh-CN"/>
        </w:rPr>
        <w:t>种、半红树植物</w:t>
      </w:r>
      <w:r>
        <w:rPr>
          <w:rFonts w:ascii="Times New Roman" w:eastAsia="宋体" w:hAnsi="Times New Roman" w:cs="宋体" w:hint="eastAsia"/>
          <w:color w:val="auto"/>
          <w:spacing w:val="-2"/>
          <w:sz w:val="24"/>
          <w:szCs w:val="24"/>
          <w:lang w:eastAsia="zh-CN"/>
        </w:rPr>
        <w:t>9</w:t>
      </w:r>
      <w:r>
        <w:rPr>
          <w:rFonts w:ascii="Times New Roman" w:eastAsia="宋体" w:hAnsi="Times New Roman" w:cs="宋体" w:hint="eastAsia"/>
          <w:color w:val="auto"/>
          <w:spacing w:val="-2"/>
          <w:sz w:val="24"/>
          <w:szCs w:val="24"/>
          <w:lang w:eastAsia="zh-CN"/>
        </w:rPr>
        <w:t>种，占中国红树植物总数的</w:t>
      </w:r>
      <w:r>
        <w:rPr>
          <w:rFonts w:ascii="Times New Roman" w:eastAsia="宋体" w:hAnsi="Times New Roman" w:cs="宋体" w:hint="eastAsia"/>
          <w:color w:val="auto"/>
          <w:spacing w:val="-2"/>
          <w:sz w:val="24"/>
          <w:szCs w:val="24"/>
          <w:lang w:eastAsia="zh-CN"/>
        </w:rPr>
        <w:t>66.67%</w:t>
      </w:r>
      <w:r>
        <w:rPr>
          <w:rFonts w:ascii="Times New Roman" w:eastAsia="宋体" w:hAnsi="Times New Roman" w:cs="宋体" w:hint="eastAsia"/>
          <w:color w:val="auto"/>
          <w:spacing w:val="-2"/>
          <w:sz w:val="24"/>
          <w:szCs w:val="24"/>
          <w:lang w:eastAsia="zh-CN"/>
        </w:rPr>
        <w:t>。国家</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级重点保护野生植物</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种，红榄季（</w:t>
      </w:r>
      <w:r>
        <w:rPr>
          <w:rFonts w:ascii="Times New Roman" w:eastAsia="宋体" w:hAnsi="Times New Roman" w:cs="宋体" w:hint="eastAsia"/>
          <w:color w:val="auto"/>
          <w:spacing w:val="-2"/>
          <w:sz w:val="24"/>
          <w:szCs w:val="24"/>
          <w:lang w:eastAsia="zh-CN"/>
        </w:rPr>
        <w:t>Lumniteralittorea</w:t>
      </w:r>
      <w:r>
        <w:rPr>
          <w:rFonts w:ascii="Times New Roman" w:eastAsia="宋体" w:hAnsi="Times New Roman" w:cs="宋体" w:hint="eastAsia"/>
          <w:color w:val="auto"/>
          <w:spacing w:val="-2"/>
          <w:sz w:val="24"/>
          <w:szCs w:val="24"/>
          <w:lang w:eastAsia="zh-CN"/>
        </w:rPr>
        <w:t>），国家Ⅱ级重点保护野生植物</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种，木果棟（</w:t>
      </w:r>
      <w:r>
        <w:rPr>
          <w:rFonts w:ascii="Times New Roman" w:eastAsia="宋体" w:hAnsi="Times New Roman" w:cs="宋体" w:hint="eastAsia"/>
          <w:color w:val="auto"/>
          <w:spacing w:val="-2"/>
          <w:sz w:val="24"/>
          <w:szCs w:val="24"/>
          <w:lang w:eastAsia="zh-CN"/>
        </w:rPr>
        <w:t>Xylocarpusgranatum</w:t>
      </w:r>
      <w:r>
        <w:rPr>
          <w:rFonts w:ascii="Times New Roman" w:eastAsia="宋体" w:hAnsi="Times New Roman" w:cs="宋体" w:hint="eastAsia"/>
          <w:color w:val="auto"/>
          <w:spacing w:val="-2"/>
          <w:sz w:val="24"/>
          <w:szCs w:val="24"/>
          <w:lang w:eastAsia="zh-CN"/>
        </w:rPr>
        <w:t>）。海南省重点保护植物</w:t>
      </w:r>
      <w:r>
        <w:rPr>
          <w:rFonts w:ascii="Times New Roman" w:eastAsia="宋体" w:hAnsi="Times New Roman" w:cs="宋体" w:hint="eastAsia"/>
          <w:color w:val="auto"/>
          <w:spacing w:val="-2"/>
          <w:sz w:val="24"/>
          <w:szCs w:val="24"/>
          <w:lang w:eastAsia="zh-CN"/>
        </w:rPr>
        <w:t>16</w:t>
      </w:r>
      <w:r>
        <w:rPr>
          <w:rFonts w:ascii="Times New Roman" w:eastAsia="宋体" w:hAnsi="Times New Roman" w:cs="宋体" w:hint="eastAsia"/>
          <w:color w:val="auto"/>
          <w:spacing w:val="-2"/>
          <w:sz w:val="24"/>
          <w:szCs w:val="24"/>
          <w:lang w:eastAsia="zh-CN"/>
        </w:rPr>
        <w:t>种，分别为瓶花木（</w:t>
      </w:r>
      <w:r>
        <w:rPr>
          <w:rFonts w:ascii="Times New Roman" w:eastAsia="宋体" w:hAnsi="Times New Roman" w:cs="宋体" w:hint="eastAsia"/>
          <w:color w:val="auto"/>
          <w:spacing w:val="-2"/>
          <w:sz w:val="24"/>
          <w:szCs w:val="24"/>
          <w:lang w:eastAsia="zh-CN"/>
        </w:rPr>
        <w:t>Scyphiphorahydrophyllacea</w:t>
      </w:r>
      <w:r>
        <w:rPr>
          <w:rFonts w:ascii="Times New Roman" w:eastAsia="宋体" w:hAnsi="Times New Roman" w:cs="宋体" w:hint="eastAsia"/>
          <w:color w:val="auto"/>
          <w:spacing w:val="-2"/>
          <w:sz w:val="24"/>
          <w:szCs w:val="24"/>
          <w:lang w:eastAsia="zh-CN"/>
        </w:rPr>
        <w:t>）、正红树（</w:t>
      </w:r>
      <w:r>
        <w:rPr>
          <w:rFonts w:ascii="Times New Roman" w:eastAsia="宋体" w:hAnsi="Times New Roman" w:cs="宋体" w:hint="eastAsia"/>
          <w:color w:val="auto"/>
          <w:spacing w:val="-2"/>
          <w:sz w:val="24"/>
          <w:szCs w:val="24"/>
          <w:lang w:eastAsia="zh-CN"/>
        </w:rPr>
        <w:t>Rhizophoraapiculata)</w:t>
      </w:r>
      <w:r>
        <w:rPr>
          <w:rFonts w:ascii="Times New Roman" w:eastAsia="宋体" w:hAnsi="Times New Roman" w:cs="宋体" w:hint="eastAsia"/>
          <w:color w:val="auto"/>
          <w:spacing w:val="-2"/>
          <w:sz w:val="24"/>
          <w:szCs w:val="24"/>
          <w:lang w:eastAsia="zh-CN"/>
        </w:rPr>
        <w:t>、海莲（</w:t>
      </w:r>
      <w:r>
        <w:rPr>
          <w:rFonts w:ascii="Times New Roman" w:eastAsia="宋体" w:hAnsi="Times New Roman" w:cs="宋体" w:hint="eastAsia"/>
          <w:color w:val="auto"/>
          <w:spacing w:val="-2"/>
          <w:sz w:val="24"/>
          <w:szCs w:val="24"/>
          <w:lang w:eastAsia="zh-CN"/>
        </w:rPr>
        <w:t>Bruguierasexangula</w:t>
      </w:r>
      <w:r>
        <w:rPr>
          <w:rFonts w:ascii="Times New Roman" w:eastAsia="宋体" w:hAnsi="Times New Roman" w:cs="宋体" w:hint="eastAsia"/>
          <w:color w:val="auto"/>
          <w:spacing w:val="-2"/>
          <w:sz w:val="24"/>
          <w:szCs w:val="24"/>
          <w:lang w:eastAsia="zh-CN"/>
        </w:rPr>
        <w:t>）、木榄</w:t>
      </w:r>
      <w:r>
        <w:rPr>
          <w:rFonts w:ascii="Times New Roman" w:eastAsia="宋体" w:hAnsi="Times New Roman" w:cs="宋体" w:hint="eastAsia"/>
          <w:color w:val="auto"/>
          <w:spacing w:val="-2"/>
          <w:sz w:val="24"/>
          <w:szCs w:val="24"/>
          <w:lang w:eastAsia="zh-CN"/>
        </w:rPr>
        <w:t>(Brugu</w:t>
      </w:r>
      <w:r>
        <w:rPr>
          <w:rFonts w:ascii="Times New Roman" w:eastAsia="宋体" w:hAnsi="Times New Roman" w:cs="宋体" w:hint="eastAsia"/>
          <w:color w:val="auto"/>
          <w:spacing w:val="-2"/>
          <w:sz w:val="24"/>
          <w:szCs w:val="24"/>
          <w:lang w:eastAsia="zh-CN"/>
        </w:rPr>
        <w:t>ieragymnorrhiza</w:t>
      </w:r>
      <w:r>
        <w:rPr>
          <w:rFonts w:ascii="Times New Roman" w:eastAsia="宋体" w:hAnsi="Times New Roman" w:cs="宋体" w:hint="eastAsia"/>
          <w:color w:val="auto"/>
          <w:spacing w:val="-2"/>
          <w:sz w:val="24"/>
          <w:szCs w:val="24"/>
          <w:lang w:eastAsia="zh-CN"/>
        </w:rPr>
        <w:t>）等。此外，自然保护区的外来植物共计</w:t>
      </w:r>
      <w:r>
        <w:rPr>
          <w:rFonts w:ascii="Times New Roman" w:eastAsia="宋体" w:hAnsi="Times New Roman" w:cs="宋体" w:hint="eastAsia"/>
          <w:color w:val="auto"/>
          <w:spacing w:val="-2"/>
          <w:sz w:val="24"/>
          <w:szCs w:val="24"/>
          <w:lang w:eastAsia="zh-CN"/>
        </w:rPr>
        <w:t>46</w:t>
      </w:r>
      <w:r>
        <w:rPr>
          <w:rFonts w:ascii="Times New Roman" w:eastAsia="宋体" w:hAnsi="Times New Roman" w:cs="宋体" w:hint="eastAsia"/>
          <w:color w:val="auto"/>
          <w:spacing w:val="-2"/>
          <w:sz w:val="24"/>
          <w:szCs w:val="24"/>
          <w:lang w:eastAsia="zh-CN"/>
        </w:rPr>
        <w:t>种，其中栽培植物或逸为野生的共</w:t>
      </w:r>
      <w:r>
        <w:rPr>
          <w:rFonts w:ascii="Times New Roman" w:eastAsia="宋体" w:hAnsi="Times New Roman" w:cs="宋体" w:hint="eastAsia"/>
          <w:color w:val="auto"/>
          <w:spacing w:val="-2"/>
          <w:sz w:val="24"/>
          <w:szCs w:val="24"/>
          <w:lang w:eastAsia="zh-CN"/>
        </w:rPr>
        <w:t>38</w:t>
      </w:r>
      <w:r>
        <w:rPr>
          <w:rFonts w:ascii="Times New Roman" w:eastAsia="宋体" w:hAnsi="Times New Roman" w:cs="宋体" w:hint="eastAsia"/>
          <w:color w:val="auto"/>
          <w:spacing w:val="-2"/>
          <w:sz w:val="24"/>
          <w:szCs w:val="24"/>
          <w:lang w:eastAsia="zh-CN"/>
        </w:rPr>
        <w:t>种，入侵植物</w:t>
      </w:r>
      <w:r>
        <w:rPr>
          <w:rFonts w:ascii="Times New Roman" w:eastAsia="宋体" w:hAnsi="Times New Roman" w:cs="宋体" w:hint="eastAsia"/>
          <w:color w:val="auto"/>
          <w:spacing w:val="-2"/>
          <w:sz w:val="24"/>
          <w:szCs w:val="24"/>
          <w:lang w:eastAsia="zh-CN"/>
        </w:rPr>
        <w:t>8</w:t>
      </w:r>
      <w:r>
        <w:rPr>
          <w:rFonts w:ascii="Times New Roman" w:eastAsia="宋体" w:hAnsi="Times New Roman" w:cs="宋体" w:hint="eastAsia"/>
          <w:color w:val="auto"/>
          <w:spacing w:val="-2"/>
          <w:sz w:val="24"/>
          <w:szCs w:val="24"/>
          <w:lang w:eastAsia="zh-CN"/>
        </w:rPr>
        <w:t>种。入侵植物分布上占据潮间带至调查的上界，尤其在城镇、村庄附近、垦耕地、养鱼场等人为干扰较多的地方最多。基本上形成入侵植物的单优群丛。栽培植物中有红树植物</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种，分别为拉关木（</w:t>
      </w:r>
      <w:r>
        <w:rPr>
          <w:rFonts w:ascii="Times New Roman" w:eastAsia="宋体" w:hAnsi="Times New Roman" w:cs="宋体" w:hint="eastAsia"/>
          <w:color w:val="auto"/>
          <w:spacing w:val="-2"/>
          <w:sz w:val="24"/>
          <w:szCs w:val="24"/>
          <w:lang w:eastAsia="zh-CN"/>
        </w:rPr>
        <w:t>Lagunculariaracemosa</w:t>
      </w:r>
      <w:r>
        <w:rPr>
          <w:rFonts w:ascii="Times New Roman" w:eastAsia="宋体" w:hAnsi="Times New Roman" w:cs="宋体" w:hint="eastAsia"/>
          <w:color w:val="auto"/>
          <w:spacing w:val="-2"/>
          <w:sz w:val="24"/>
          <w:szCs w:val="24"/>
          <w:lang w:eastAsia="zh-CN"/>
        </w:rPr>
        <w:t>）、无瓣海桑（</w:t>
      </w:r>
      <w:r>
        <w:rPr>
          <w:rFonts w:ascii="Times New Roman" w:eastAsia="宋体" w:hAnsi="Times New Roman" w:cs="宋体" w:hint="eastAsia"/>
          <w:color w:val="auto"/>
          <w:spacing w:val="-2"/>
          <w:sz w:val="24"/>
          <w:szCs w:val="24"/>
          <w:lang w:eastAsia="zh-CN"/>
        </w:rPr>
        <w:t>Sonneratiaapetala</w:t>
      </w:r>
      <w:r>
        <w:rPr>
          <w:rFonts w:ascii="Times New Roman" w:eastAsia="宋体" w:hAnsi="Times New Roman" w:cs="宋体" w:hint="eastAsia"/>
          <w:color w:val="auto"/>
          <w:spacing w:val="-2"/>
          <w:sz w:val="24"/>
          <w:szCs w:val="24"/>
          <w:lang w:eastAsia="zh-CN"/>
        </w:rPr>
        <w:t>）。</w:t>
      </w:r>
    </w:p>
    <w:p w14:paraId="6130EE32"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根据</w:t>
      </w:r>
      <w:r>
        <w:rPr>
          <w:rFonts w:ascii="Times New Roman" w:eastAsia="宋体" w:hAnsi="Times New Roman" w:cs="宋体"/>
          <w:color w:val="auto"/>
          <w:spacing w:val="-2"/>
          <w:sz w:val="24"/>
          <w:szCs w:val="24"/>
          <w:lang w:eastAsia="zh-CN"/>
        </w:rPr>
        <w:t>2022</w:t>
      </w:r>
      <w:r>
        <w:rPr>
          <w:rFonts w:ascii="Times New Roman" w:eastAsia="宋体" w:hAnsi="Times New Roman" w:cs="宋体"/>
          <w:color w:val="auto"/>
          <w:spacing w:val="-2"/>
          <w:sz w:val="24"/>
          <w:szCs w:val="24"/>
          <w:lang w:eastAsia="zh-CN"/>
        </w:rPr>
        <w:t>年</w:t>
      </w:r>
      <w:r>
        <w:rPr>
          <w:rFonts w:ascii="Times New Roman" w:eastAsia="宋体" w:hAnsi="Times New Roman" w:cs="宋体"/>
          <w:color w:val="auto"/>
          <w:spacing w:val="-2"/>
          <w:sz w:val="24"/>
          <w:szCs w:val="24"/>
          <w:lang w:eastAsia="zh-CN"/>
        </w:rPr>
        <w:t>2</w:t>
      </w:r>
      <w:r>
        <w:rPr>
          <w:rFonts w:ascii="Times New Roman" w:eastAsia="宋体" w:hAnsi="Times New Roman" w:cs="宋体"/>
          <w:color w:val="auto"/>
          <w:spacing w:val="-2"/>
          <w:sz w:val="24"/>
          <w:szCs w:val="24"/>
          <w:lang w:eastAsia="zh-CN"/>
        </w:rPr>
        <w:t>月三亚市林业科学研究院</w:t>
      </w:r>
      <w:r>
        <w:rPr>
          <w:rFonts w:ascii="Times New Roman" w:eastAsia="宋体" w:hAnsi="Times New Roman" w:cs="宋体" w:hint="eastAsia"/>
          <w:color w:val="auto"/>
          <w:spacing w:val="-2"/>
          <w:sz w:val="24"/>
          <w:szCs w:val="24"/>
          <w:lang w:eastAsia="zh-CN"/>
        </w:rPr>
        <w:t>编制的</w:t>
      </w:r>
      <w:r>
        <w:rPr>
          <w:rFonts w:ascii="Times New Roman" w:eastAsia="宋体" w:hAnsi="Times New Roman" w:cs="宋体"/>
          <w:color w:val="auto"/>
          <w:spacing w:val="-2"/>
          <w:sz w:val="24"/>
          <w:szCs w:val="24"/>
          <w:lang w:eastAsia="zh-CN"/>
        </w:rPr>
        <w:t>《三亚市红树林湿地资源本地调查技术报告》和野外调查，对所发现的红树林植物种类和群落</w:t>
      </w:r>
      <w:r>
        <w:rPr>
          <w:rFonts w:ascii="Times New Roman" w:eastAsia="宋体" w:hAnsi="Times New Roman" w:cs="宋体"/>
          <w:color w:val="auto"/>
          <w:spacing w:val="-2"/>
          <w:sz w:val="24"/>
          <w:szCs w:val="24"/>
          <w:lang w:eastAsia="zh-CN"/>
        </w:rPr>
        <w:t>进行总结。其中</w:t>
      </w:r>
      <w:r>
        <w:rPr>
          <w:rFonts w:ascii="Times New Roman" w:eastAsia="宋体" w:hAnsi="Times New Roman" w:cs="宋体" w:hint="eastAsia"/>
          <w:color w:val="auto"/>
          <w:spacing w:val="-2"/>
          <w:sz w:val="24"/>
          <w:szCs w:val="24"/>
          <w:lang w:eastAsia="zh-CN"/>
        </w:rPr>
        <w:t>铁炉港</w:t>
      </w:r>
      <w:r>
        <w:rPr>
          <w:rFonts w:ascii="Times New Roman" w:eastAsia="宋体" w:hAnsi="Times New Roman" w:cs="宋体"/>
          <w:color w:val="auto"/>
          <w:spacing w:val="-2"/>
          <w:sz w:val="24"/>
          <w:szCs w:val="24"/>
          <w:lang w:eastAsia="zh-CN"/>
        </w:rPr>
        <w:t>红树种类主要为正红树、木果楝、榄李、拉贡木、角果木、白骨壤、秋茄、木榄、红海榄、海莲、杯萼海桑、海桑、红榄李、桐花树等；群落类型有正红树群落、木果楝群落、榄李群落、拉贡木群落、角果木群落、白骨壤群落、拉贡木</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白骨壤群落、角果木</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木榄群落、角果木</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拉贡木群落、角果木</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海莲群落、角果木</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白骨壤群落、角果木</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红海榄群落、角果木</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秋茄群落、海莲</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秋茄群落、木榄</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拉贡木、正红树</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榄李群落、正红树</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角果木群落、白骨壤</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秋茄群落、白骨壤</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正红树群落等。</w:t>
      </w:r>
    </w:p>
    <w:p w14:paraId="2D2ECBE8" w14:textId="77777777" w:rsidR="0075791A" w:rsidRDefault="0075791A">
      <w:pPr>
        <w:jc w:val="center"/>
        <w:rPr>
          <w:rFonts w:ascii="Times New Roman" w:eastAsia="宋体" w:hAnsi="Times New Roman" w:cs="宋体"/>
          <w:color w:val="auto"/>
          <w:spacing w:val="-4"/>
          <w:sz w:val="24"/>
          <w:szCs w:val="24"/>
          <w:lang w:eastAsia="zh-CN"/>
        </w:rPr>
      </w:pPr>
    </w:p>
    <w:p w14:paraId="775151A7"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3.2.7-1</w:t>
      </w:r>
      <w:r>
        <w:rPr>
          <w:rFonts w:ascii="Times New Roman" w:eastAsia="宋体" w:hAnsi="Times New Roman" w:cs="宋体" w:hint="eastAsia"/>
          <w:color w:val="auto"/>
          <w:spacing w:val="-4"/>
          <w:sz w:val="24"/>
          <w:szCs w:val="24"/>
          <w:lang w:eastAsia="zh-CN"/>
        </w:rPr>
        <w:t>铁炉港红树林保护区群落分布图</w:t>
      </w:r>
    </w:p>
    <w:p w14:paraId="05B673B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根据《三亚铁炉港红树林生态系统碳储量调查与评估报告》，</w:t>
      </w:r>
      <w:r>
        <w:rPr>
          <w:rFonts w:ascii="Times New Roman" w:eastAsia="宋体" w:hAnsi="Times New Roman" w:cs="宋体" w:hint="eastAsia"/>
          <w:color w:val="auto"/>
          <w:spacing w:val="-2"/>
          <w:sz w:val="24"/>
          <w:szCs w:val="24"/>
          <w:lang w:eastAsia="zh-CN"/>
        </w:rPr>
        <w:t>2023</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7</w:t>
      </w:r>
      <w:r>
        <w:rPr>
          <w:rFonts w:ascii="Times New Roman" w:eastAsia="宋体" w:hAnsi="Times New Roman" w:cs="宋体" w:hint="eastAsia"/>
          <w:color w:val="auto"/>
          <w:spacing w:val="-2"/>
          <w:sz w:val="24"/>
          <w:szCs w:val="24"/>
          <w:lang w:eastAsia="zh-CN"/>
        </w:rPr>
        <w:t>月</w:t>
      </w:r>
      <w:r>
        <w:rPr>
          <w:rFonts w:ascii="Times New Roman" w:eastAsia="宋体" w:hAnsi="Times New Roman" w:cs="宋体" w:hint="eastAsia"/>
          <w:color w:val="auto"/>
          <w:spacing w:val="-2"/>
          <w:sz w:val="24"/>
          <w:szCs w:val="24"/>
          <w:lang w:eastAsia="zh-CN"/>
        </w:rPr>
        <w:t>-8</w:t>
      </w:r>
      <w:r>
        <w:rPr>
          <w:rFonts w:ascii="Times New Roman" w:eastAsia="宋体" w:hAnsi="Times New Roman" w:cs="宋体" w:hint="eastAsia"/>
          <w:color w:val="auto"/>
          <w:spacing w:val="-2"/>
          <w:sz w:val="24"/>
          <w:szCs w:val="24"/>
          <w:lang w:eastAsia="zh-CN"/>
        </w:rPr>
        <w:t>月，中国海洋大学在铁炉港进行了红树林摸底和红树林群落调查，红树林原始林主要分布在铁</w:t>
      </w:r>
      <w:r>
        <w:rPr>
          <w:rFonts w:ascii="Times New Roman" w:eastAsia="宋体" w:hAnsi="Times New Roman" w:cs="宋体" w:hint="eastAsia"/>
          <w:color w:val="auto"/>
          <w:spacing w:val="-2"/>
          <w:sz w:val="24"/>
          <w:szCs w:val="24"/>
          <w:lang w:eastAsia="zh-CN"/>
        </w:rPr>
        <w:lastRenderedPageBreak/>
        <w:t>炉港潟湖岬角的东侧，人工林在岬角的北侧，天然林在岬角的西侧，地图中其他区域红树呈现空间破碎化的零星分布的状态，具体见图</w:t>
      </w:r>
      <w:r>
        <w:rPr>
          <w:rFonts w:ascii="Times New Roman" w:eastAsia="宋体" w:hAnsi="Times New Roman" w:cs="宋体" w:hint="eastAsia"/>
          <w:color w:val="auto"/>
          <w:spacing w:val="-2"/>
          <w:sz w:val="24"/>
          <w:szCs w:val="24"/>
          <w:lang w:eastAsia="zh-CN"/>
        </w:rPr>
        <w:t>3.2.7-2</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z w:val="24"/>
          <w:szCs w:val="24"/>
          <w:lang w:eastAsia="zh-CN"/>
        </w:rPr>
        <w:t>三种林型均以正红树为主要树种，人工林和天然林的密度无显著差异，其他树种之间的密度无显著差异。原始林的的</w:t>
      </w:r>
      <w:r>
        <w:rPr>
          <w:rFonts w:ascii="Times New Roman" w:eastAsia="TimesNewRomanPSMT" w:hAnsi="Times New Roman" w:cs="TimesNewRomanPSMT"/>
          <w:color w:val="auto"/>
          <w:sz w:val="24"/>
          <w:szCs w:val="24"/>
          <w:lang w:eastAsia="zh-CN"/>
        </w:rPr>
        <w:t>3</w:t>
      </w:r>
      <w:r>
        <w:rPr>
          <w:rFonts w:ascii="Times New Roman" w:eastAsia="宋体" w:hAnsi="Times New Roman" w:cs="宋体"/>
          <w:color w:val="auto"/>
          <w:sz w:val="24"/>
          <w:szCs w:val="24"/>
          <w:lang w:eastAsia="zh-CN"/>
        </w:rPr>
        <w:t>个生长指标胸径、树高和胸高断面积均大于人工林和天然林，部分存在显著差异，其中红海榄、白骨壤和秋茄的</w:t>
      </w:r>
      <w:r>
        <w:rPr>
          <w:rFonts w:ascii="Times New Roman" w:eastAsia="TimesNewRomanPSMT" w:hAnsi="Times New Roman" w:cs="TimesNewRomanPSMT"/>
          <w:color w:val="auto"/>
          <w:sz w:val="24"/>
          <w:szCs w:val="24"/>
          <w:lang w:eastAsia="zh-CN"/>
        </w:rPr>
        <w:t>3</w:t>
      </w:r>
      <w:r>
        <w:rPr>
          <w:rFonts w:ascii="Times New Roman" w:eastAsia="宋体" w:hAnsi="Times New Roman" w:cs="宋体"/>
          <w:color w:val="auto"/>
          <w:sz w:val="24"/>
          <w:szCs w:val="24"/>
          <w:lang w:eastAsia="zh-CN"/>
        </w:rPr>
        <w:t>个生长指标均显著高于</w:t>
      </w:r>
      <w:r>
        <w:rPr>
          <w:rFonts w:ascii="Times New Roman" w:eastAsia="宋体" w:hAnsi="Times New Roman" w:cs="宋体"/>
          <w:color w:val="auto"/>
          <w:sz w:val="24"/>
          <w:szCs w:val="24"/>
          <w:lang w:eastAsia="zh-CN"/>
        </w:rPr>
        <w:t>人工林和天然林。</w:t>
      </w:r>
    </w:p>
    <w:p w14:paraId="4382440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通过</w:t>
      </w:r>
      <w:r>
        <w:rPr>
          <w:rFonts w:ascii="Times New Roman" w:eastAsia="宋体" w:hAnsi="Times New Roman" w:cs="宋体" w:hint="eastAsia"/>
          <w:color w:val="auto"/>
          <w:sz w:val="24"/>
          <w:szCs w:val="24"/>
          <w:lang w:eastAsia="zh-CN"/>
        </w:rPr>
        <w:t>GPS</w:t>
      </w:r>
      <w:r>
        <w:rPr>
          <w:rFonts w:ascii="Times New Roman" w:eastAsia="宋体" w:hAnsi="Times New Roman" w:cs="宋体" w:hint="eastAsia"/>
          <w:color w:val="auto"/>
          <w:sz w:val="24"/>
          <w:szCs w:val="24"/>
          <w:lang w:eastAsia="zh-CN"/>
        </w:rPr>
        <w:t>定位、遥感观测等方式，通过</w:t>
      </w:r>
      <w:r>
        <w:rPr>
          <w:rFonts w:ascii="Times New Roman" w:eastAsia="宋体" w:hAnsi="Times New Roman" w:cs="宋体"/>
          <w:color w:val="auto"/>
          <w:sz w:val="24"/>
          <w:szCs w:val="24"/>
          <w:lang w:eastAsia="zh-CN"/>
        </w:rPr>
        <w:t>Googleearth</w:t>
      </w:r>
      <w:r>
        <w:rPr>
          <w:rFonts w:ascii="Times New Roman" w:eastAsia="宋体" w:hAnsi="Times New Roman" w:cs="宋体" w:hint="eastAsia"/>
          <w:color w:val="auto"/>
          <w:sz w:val="24"/>
          <w:szCs w:val="24"/>
          <w:lang w:eastAsia="zh-CN"/>
        </w:rPr>
        <w:t>等软件定位面积后，确定了三亚铁炉港红树林原始林、人工林、天然林三种林区的规模及面积，其中原始林面积为</w:t>
      </w:r>
      <w:r>
        <w:rPr>
          <w:rFonts w:ascii="Times New Roman" w:eastAsia="宋体" w:hAnsi="Times New Roman" w:cs="宋体"/>
          <w:color w:val="auto"/>
          <w:sz w:val="24"/>
          <w:szCs w:val="24"/>
          <w:lang w:eastAsia="zh-CN"/>
        </w:rPr>
        <w:t>41.6057ha</w:t>
      </w:r>
      <w:r>
        <w:rPr>
          <w:rFonts w:ascii="Times New Roman" w:eastAsia="宋体" w:hAnsi="Times New Roman" w:cs="宋体" w:hint="eastAsia"/>
          <w:color w:val="auto"/>
          <w:sz w:val="24"/>
          <w:szCs w:val="24"/>
          <w:lang w:eastAsia="zh-CN"/>
        </w:rPr>
        <w:t>，人工林面积为</w:t>
      </w:r>
      <w:r>
        <w:rPr>
          <w:rFonts w:ascii="Times New Roman" w:eastAsia="宋体" w:hAnsi="Times New Roman" w:cs="宋体"/>
          <w:color w:val="auto"/>
          <w:sz w:val="24"/>
          <w:szCs w:val="24"/>
          <w:lang w:eastAsia="zh-CN"/>
        </w:rPr>
        <w:t>11.0504ha</w:t>
      </w:r>
      <w:r>
        <w:rPr>
          <w:rFonts w:ascii="Times New Roman" w:eastAsia="宋体" w:hAnsi="Times New Roman" w:cs="宋体" w:hint="eastAsia"/>
          <w:color w:val="auto"/>
          <w:sz w:val="24"/>
          <w:szCs w:val="24"/>
          <w:lang w:eastAsia="zh-CN"/>
        </w:rPr>
        <w:t>，天然林面积为</w:t>
      </w:r>
      <w:r>
        <w:rPr>
          <w:rFonts w:ascii="Times New Roman" w:eastAsia="宋体" w:hAnsi="Times New Roman" w:cs="宋体"/>
          <w:color w:val="auto"/>
          <w:sz w:val="24"/>
          <w:szCs w:val="24"/>
          <w:lang w:eastAsia="zh-CN"/>
        </w:rPr>
        <w:t>9.4242ha</w:t>
      </w:r>
      <w:r>
        <w:rPr>
          <w:rFonts w:ascii="Times New Roman" w:eastAsia="宋体" w:hAnsi="Times New Roman" w:cs="宋体" w:hint="eastAsia"/>
          <w:color w:val="auto"/>
          <w:sz w:val="24"/>
          <w:szCs w:val="24"/>
          <w:lang w:eastAsia="zh-CN"/>
        </w:rPr>
        <w:t>，所调查林区总面积为</w:t>
      </w:r>
      <w:r>
        <w:rPr>
          <w:rFonts w:ascii="Times New Roman" w:eastAsia="宋体" w:hAnsi="Times New Roman" w:cs="宋体"/>
          <w:color w:val="auto"/>
          <w:sz w:val="24"/>
          <w:szCs w:val="24"/>
          <w:lang w:eastAsia="zh-CN"/>
        </w:rPr>
        <w:t>62.0803ha</w:t>
      </w:r>
      <w:r>
        <w:rPr>
          <w:rFonts w:ascii="Times New Roman" w:eastAsia="宋体" w:hAnsi="Times New Roman" w:cs="宋体" w:hint="eastAsia"/>
          <w:color w:val="auto"/>
          <w:sz w:val="24"/>
          <w:szCs w:val="24"/>
          <w:lang w:eastAsia="zh-CN"/>
        </w:rPr>
        <w:t>。</w:t>
      </w:r>
    </w:p>
    <w:p w14:paraId="7778360D"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2018</w:t>
      </w:r>
      <w:r>
        <w:rPr>
          <w:rFonts w:ascii="Times New Roman" w:eastAsia="宋体" w:hAnsi="Times New Roman" w:cs="宋体" w:hint="eastAsia"/>
          <w:color w:val="auto"/>
          <w:sz w:val="24"/>
          <w:szCs w:val="24"/>
          <w:lang w:eastAsia="zh-CN"/>
        </w:rPr>
        <w:t>年以来，铁炉港潟湖区红树林修复项目主要有铁炉港红树林自然保护区退塘还林（湿）生态项目、铁炉港红树林保护区退塘还林（湿）“海上森林”公益项目、红树林生态修复（</w:t>
      </w:r>
      <w:r>
        <w:rPr>
          <w:rFonts w:ascii="Times New Roman" w:eastAsia="宋体" w:hAnsi="Times New Roman" w:cs="宋体" w:hint="eastAsia"/>
          <w:color w:val="auto"/>
          <w:sz w:val="24"/>
          <w:szCs w:val="24"/>
          <w:lang w:eastAsia="zh-CN"/>
        </w:rPr>
        <w:t>2021-2022</w:t>
      </w:r>
      <w:r>
        <w:rPr>
          <w:rFonts w:ascii="Times New Roman" w:eastAsia="宋体" w:hAnsi="Times New Roman" w:cs="宋体" w:hint="eastAsia"/>
          <w:color w:val="auto"/>
          <w:sz w:val="24"/>
          <w:szCs w:val="24"/>
          <w:lang w:eastAsia="zh-CN"/>
        </w:rPr>
        <w:t>）项目、</w:t>
      </w:r>
      <w:r>
        <w:rPr>
          <w:rFonts w:ascii="Times New Roman" w:eastAsia="宋体" w:hAnsi="Times New Roman" w:cs="宋体" w:hint="eastAsia"/>
          <w:color w:val="auto"/>
          <w:sz w:val="24"/>
          <w:szCs w:val="24"/>
          <w:lang w:eastAsia="zh-CN"/>
        </w:rPr>
        <w:t>2022~2023</w:t>
      </w:r>
      <w:r>
        <w:rPr>
          <w:rFonts w:ascii="Times New Roman" w:eastAsia="宋体" w:hAnsi="Times New Roman" w:cs="宋体" w:hint="eastAsia"/>
          <w:color w:val="auto"/>
          <w:sz w:val="24"/>
          <w:szCs w:val="24"/>
          <w:lang w:eastAsia="zh-CN"/>
        </w:rPr>
        <w:t>年义务植树项目、核心区域专项规划。根据红树林种植图斑与本项目用海叠置图（图</w:t>
      </w:r>
      <w:r>
        <w:rPr>
          <w:rFonts w:ascii="Times New Roman" w:eastAsia="宋体" w:hAnsi="Times New Roman" w:cs="宋体" w:hint="eastAsia"/>
          <w:color w:val="auto"/>
          <w:sz w:val="24"/>
          <w:szCs w:val="24"/>
          <w:lang w:eastAsia="zh-CN"/>
        </w:rPr>
        <w:t>3.2.7-3</w:t>
      </w:r>
      <w:r>
        <w:rPr>
          <w:rFonts w:ascii="Times New Roman" w:eastAsia="宋体" w:hAnsi="Times New Roman" w:cs="宋体" w:hint="eastAsia"/>
          <w:color w:val="auto"/>
          <w:sz w:val="24"/>
          <w:szCs w:val="24"/>
          <w:lang w:eastAsia="zh-CN"/>
        </w:rPr>
        <w:t>），构筑物占用部分红树林区域。</w:t>
      </w:r>
    </w:p>
    <w:p w14:paraId="59BE8071" w14:textId="77777777" w:rsidR="0075791A" w:rsidRDefault="0075791A">
      <w:pPr>
        <w:spacing w:line="360" w:lineRule="auto"/>
        <w:jc w:val="center"/>
        <w:rPr>
          <w:rFonts w:ascii="Times New Roman" w:eastAsia="宋体" w:hAnsi="Times New Roman" w:cs="宋体"/>
          <w:color w:val="auto"/>
          <w:spacing w:val="-4"/>
          <w:sz w:val="24"/>
          <w:szCs w:val="24"/>
          <w:lang w:eastAsia="zh-CN"/>
        </w:rPr>
      </w:pPr>
    </w:p>
    <w:p w14:paraId="7C52424B"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3.2.7-2</w:t>
      </w:r>
      <w:r>
        <w:rPr>
          <w:rFonts w:ascii="Times New Roman" w:eastAsia="宋体" w:hAnsi="Times New Roman" w:cs="宋体" w:hint="eastAsia"/>
          <w:color w:val="auto"/>
          <w:spacing w:val="-4"/>
          <w:sz w:val="24"/>
          <w:szCs w:val="24"/>
          <w:lang w:eastAsia="zh-CN"/>
        </w:rPr>
        <w:t>三亚铁炉港红树林分布图</w:t>
      </w:r>
    </w:p>
    <w:p w14:paraId="7AC62FE1" w14:textId="77777777" w:rsidR="0075791A" w:rsidRDefault="0075791A">
      <w:pPr>
        <w:pStyle w:val="a5"/>
        <w:jc w:val="center"/>
        <w:rPr>
          <w:rFonts w:ascii="Times New Roman" w:eastAsia="宋体" w:hAnsi="Times New Roman" w:cs="宋体"/>
          <w:color w:val="auto"/>
          <w:spacing w:val="-4"/>
          <w:sz w:val="24"/>
          <w:szCs w:val="24"/>
          <w:lang w:eastAsia="zh-CN"/>
        </w:rPr>
      </w:pPr>
    </w:p>
    <w:p w14:paraId="2027B5AA" w14:textId="77777777" w:rsidR="0075791A" w:rsidRDefault="00FB2864">
      <w:pPr>
        <w:pStyle w:val="a5"/>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 xml:space="preserve">3.2.7-3 </w:t>
      </w:r>
      <w:r>
        <w:rPr>
          <w:rFonts w:ascii="Times New Roman" w:eastAsia="宋体" w:hAnsi="Times New Roman" w:cs="宋体" w:hint="eastAsia"/>
          <w:color w:val="auto"/>
          <w:spacing w:val="-4"/>
          <w:sz w:val="24"/>
          <w:szCs w:val="24"/>
          <w:lang w:eastAsia="zh-CN"/>
        </w:rPr>
        <w:t>历年来红树种植项目图斑与本次申请用海叠置图</w:t>
      </w:r>
    </w:p>
    <w:p w14:paraId="2E70F607" w14:textId="77777777" w:rsidR="0075791A" w:rsidRDefault="0075791A">
      <w:pPr>
        <w:spacing w:line="360" w:lineRule="auto"/>
        <w:jc w:val="center"/>
        <w:rPr>
          <w:rFonts w:ascii="Times New Roman" w:eastAsia="宋体" w:hAnsi="Times New Roman" w:cs="宋体"/>
          <w:color w:val="auto"/>
          <w:spacing w:val="-4"/>
          <w:sz w:val="24"/>
          <w:szCs w:val="24"/>
          <w:lang w:eastAsia="zh-CN"/>
        </w:rPr>
      </w:pPr>
    </w:p>
    <w:p w14:paraId="3E9B3805" w14:textId="77777777" w:rsidR="0075791A" w:rsidRDefault="00FB2864">
      <w:pPr>
        <w:spacing w:before="34" w:line="360" w:lineRule="auto"/>
        <w:ind w:left="5"/>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3.2.7.2</w:t>
      </w:r>
      <w:r>
        <w:rPr>
          <w:rFonts w:ascii="Times New Roman" w:eastAsia="宋体" w:hAnsi="Times New Roman" w:hint="eastAsia"/>
          <w:b/>
          <w:color w:val="auto"/>
          <w:sz w:val="24"/>
          <w:szCs w:val="24"/>
          <w:lang w:eastAsia="zh-CN"/>
        </w:rPr>
        <w:t>珊瑚礁生态系统概况</w:t>
      </w:r>
    </w:p>
    <w:p w14:paraId="63C0EA9C"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1.</w:t>
      </w:r>
      <w:r>
        <w:rPr>
          <w:rFonts w:ascii="Times New Roman" w:eastAsia="宋体" w:hAnsi="Times New Roman" w:cs="宋体" w:hint="eastAsia"/>
          <w:b/>
          <w:bCs/>
          <w:color w:val="auto"/>
          <w:sz w:val="24"/>
          <w:szCs w:val="24"/>
          <w:lang w:eastAsia="zh-CN"/>
        </w:rPr>
        <w:t>论证范围内造礁石珊瑚分布</w:t>
      </w:r>
    </w:p>
    <w:p w14:paraId="7AF557D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根据</w:t>
      </w:r>
      <w:r>
        <w:rPr>
          <w:rFonts w:ascii="Times New Roman" w:eastAsia="宋体" w:hAnsi="Times New Roman" w:cs="宋体" w:hint="eastAsia"/>
          <w:color w:val="auto"/>
          <w:sz w:val="24"/>
          <w:szCs w:val="24"/>
          <w:lang w:eastAsia="zh-CN"/>
        </w:rPr>
        <w:t>2019</w:t>
      </w:r>
      <w:r>
        <w:rPr>
          <w:rFonts w:ascii="Times New Roman" w:eastAsia="宋体" w:hAnsi="Times New Roman" w:cs="宋体" w:hint="eastAsia"/>
          <w:color w:val="auto"/>
          <w:sz w:val="24"/>
          <w:szCs w:val="24"/>
          <w:lang w:eastAsia="zh-CN"/>
        </w:rPr>
        <w:t>年海南岛周边珊瑚礁历史调查结果，论证范围内造醮石珊瑚主要分布在陵水县赤岭、三亚蜈支洲、后海角、牛车湾一级亚龙湾西侧。</w:t>
      </w:r>
    </w:p>
    <w:p w14:paraId="3138700F" w14:textId="77777777" w:rsidR="0075791A" w:rsidRDefault="0075791A">
      <w:pPr>
        <w:jc w:val="center"/>
        <w:rPr>
          <w:rFonts w:ascii="Times New Roman" w:eastAsia="宋体" w:hAnsi="Times New Roman" w:cs="宋体"/>
          <w:color w:val="auto"/>
          <w:sz w:val="24"/>
          <w:szCs w:val="24"/>
          <w:lang w:eastAsia="zh-CN"/>
        </w:rPr>
      </w:pPr>
    </w:p>
    <w:p w14:paraId="5D2FC0E5" w14:textId="77777777" w:rsidR="0075791A" w:rsidRDefault="00FB2864">
      <w:pPr>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3.2.7-4</w:t>
      </w:r>
      <w:r>
        <w:rPr>
          <w:rFonts w:ascii="Times New Roman" w:eastAsia="宋体" w:hAnsi="Times New Roman" w:cs="宋体" w:hint="eastAsia"/>
          <w:color w:val="auto"/>
          <w:spacing w:val="-4"/>
          <w:sz w:val="24"/>
          <w:szCs w:val="24"/>
          <w:lang w:eastAsia="zh-CN"/>
        </w:rPr>
        <w:t>造醮石珊瑚分布</w:t>
      </w:r>
    </w:p>
    <w:p w14:paraId="0C07FC0B"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2.</w:t>
      </w:r>
      <w:r>
        <w:rPr>
          <w:rFonts w:ascii="Times New Roman" w:eastAsia="宋体" w:hAnsi="Times New Roman" w:cs="宋体" w:hint="eastAsia"/>
          <w:b/>
          <w:bCs/>
          <w:color w:val="auto"/>
          <w:sz w:val="24"/>
          <w:szCs w:val="24"/>
          <w:lang w:eastAsia="zh-CN"/>
        </w:rPr>
        <w:t>珊瑚礁调查</w:t>
      </w:r>
    </w:p>
    <w:p w14:paraId="295CE639"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1</w:t>
      </w:r>
      <w:r>
        <w:rPr>
          <w:rFonts w:ascii="Times New Roman" w:eastAsia="宋体" w:hAnsi="Times New Roman" w:cs="宋体" w:hint="eastAsia"/>
          <w:b/>
          <w:bCs/>
          <w:color w:val="auto"/>
          <w:sz w:val="24"/>
          <w:szCs w:val="24"/>
          <w:lang w:eastAsia="zh-CN"/>
        </w:rPr>
        <w:t>）调查站位</w:t>
      </w:r>
    </w:p>
    <w:p w14:paraId="6BF8E355"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珊瑚礁现状引用海南正永生态工程技术有限公司于</w:t>
      </w:r>
      <w:r>
        <w:rPr>
          <w:rFonts w:ascii="Times New Roman" w:eastAsia="宋体" w:hAnsi="Times New Roman" w:cs="宋体" w:hint="eastAsia"/>
          <w:color w:val="auto"/>
          <w:sz w:val="24"/>
          <w:szCs w:val="24"/>
          <w:lang w:eastAsia="zh-CN"/>
        </w:rPr>
        <w:t>2023</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月在后海湾附近海域开展珊瑚礁资源调查结果，布设</w:t>
      </w:r>
      <w:r>
        <w:rPr>
          <w:rFonts w:ascii="Times New Roman" w:eastAsia="宋体" w:hAnsi="Times New Roman" w:cs="宋体" w:hint="eastAsia"/>
          <w:color w:val="auto"/>
          <w:sz w:val="24"/>
          <w:szCs w:val="24"/>
          <w:lang w:eastAsia="zh-CN"/>
        </w:rPr>
        <w:t>18</w:t>
      </w:r>
      <w:r>
        <w:rPr>
          <w:rFonts w:ascii="Times New Roman" w:eastAsia="宋体" w:hAnsi="Times New Roman" w:cs="宋体" w:hint="eastAsia"/>
          <w:color w:val="auto"/>
          <w:sz w:val="24"/>
          <w:szCs w:val="24"/>
          <w:lang w:eastAsia="zh-CN"/>
        </w:rPr>
        <w:t>个站位；海南大学海洋生物与水产学院珊瑚礁生态修复创新团</w:t>
      </w:r>
      <w:r>
        <w:rPr>
          <w:rFonts w:ascii="宋体" w:eastAsia="宋体" w:hAnsi="宋体" w:hint="eastAsia"/>
          <w:color w:val="auto"/>
          <w:sz w:val="24"/>
          <w:szCs w:val="24"/>
          <w:lang w:eastAsia="zh-CN"/>
        </w:rPr>
        <w:t>队</w:t>
      </w:r>
      <w:r>
        <w:rPr>
          <w:rFonts w:ascii="TimesNewRomanPSMT" w:eastAsia="TimesNewRomanPSMT" w:hAnsi="TimesNewRomanPSMT" w:hint="eastAsia"/>
          <w:color w:val="auto"/>
          <w:sz w:val="24"/>
          <w:szCs w:val="24"/>
          <w:lang w:eastAsia="zh-CN"/>
        </w:rPr>
        <w:t>2023</w:t>
      </w:r>
      <w:r>
        <w:rPr>
          <w:rFonts w:ascii="宋体" w:eastAsia="宋体" w:hAnsi="宋体" w:hint="eastAsia"/>
          <w:color w:val="auto"/>
          <w:sz w:val="24"/>
          <w:szCs w:val="24"/>
          <w:lang w:eastAsia="zh-CN"/>
        </w:rPr>
        <w:t>年</w:t>
      </w:r>
      <w:r>
        <w:rPr>
          <w:rFonts w:ascii="宋体" w:eastAsia="宋体" w:hAnsi="宋体" w:hint="eastAsia"/>
          <w:color w:val="auto"/>
          <w:sz w:val="24"/>
          <w:szCs w:val="24"/>
          <w:lang w:eastAsia="zh-CN"/>
        </w:rPr>
        <w:t>7</w:t>
      </w:r>
      <w:r>
        <w:rPr>
          <w:rFonts w:ascii="宋体" w:eastAsia="宋体" w:hAnsi="宋体" w:hint="eastAsia"/>
          <w:color w:val="auto"/>
          <w:sz w:val="24"/>
          <w:szCs w:val="24"/>
          <w:lang w:eastAsia="zh-CN"/>
        </w:rPr>
        <w:t>月</w:t>
      </w:r>
      <w:r>
        <w:rPr>
          <w:rFonts w:ascii="宋体" w:eastAsia="宋体" w:hAnsi="宋体" w:hint="eastAsia"/>
          <w:color w:val="auto"/>
          <w:sz w:val="24"/>
          <w:szCs w:val="24"/>
          <w:lang w:eastAsia="zh-CN"/>
        </w:rPr>
        <w:t>在蜈支洲岛调查，布设了</w:t>
      </w:r>
      <w:r>
        <w:rPr>
          <w:rFonts w:ascii="宋体" w:eastAsia="宋体" w:hAnsi="宋体" w:hint="eastAsia"/>
          <w:color w:val="auto"/>
          <w:sz w:val="24"/>
          <w:szCs w:val="24"/>
          <w:lang w:eastAsia="zh-CN"/>
        </w:rPr>
        <w:t>13</w:t>
      </w:r>
      <w:r>
        <w:rPr>
          <w:rFonts w:ascii="宋体" w:eastAsia="宋体" w:hAnsi="宋体" w:hint="eastAsia"/>
          <w:color w:val="auto"/>
          <w:sz w:val="24"/>
          <w:szCs w:val="24"/>
          <w:lang w:eastAsia="zh-CN"/>
        </w:rPr>
        <w:t>个站位</w:t>
      </w:r>
      <w:r>
        <w:rPr>
          <w:rFonts w:ascii="Times New Roman" w:eastAsia="宋体" w:hAnsi="Times New Roman" w:cs="宋体" w:hint="eastAsia"/>
          <w:color w:val="auto"/>
          <w:sz w:val="24"/>
          <w:szCs w:val="24"/>
          <w:lang w:eastAsia="zh-CN"/>
        </w:rPr>
        <w:t>；见表</w:t>
      </w:r>
      <w:r>
        <w:rPr>
          <w:rFonts w:ascii="Times New Roman" w:eastAsia="宋体" w:hAnsi="Times New Roman" w:cs="宋体" w:hint="eastAsia"/>
          <w:color w:val="auto"/>
          <w:sz w:val="24"/>
          <w:szCs w:val="24"/>
          <w:lang w:eastAsia="zh-CN"/>
        </w:rPr>
        <w:t>3.2.7-1</w:t>
      </w:r>
      <w:r>
        <w:rPr>
          <w:rFonts w:ascii="Times New Roman" w:eastAsia="宋体" w:hAnsi="Times New Roman" w:cs="宋体" w:hint="eastAsia"/>
          <w:color w:val="auto"/>
          <w:sz w:val="24"/>
          <w:szCs w:val="24"/>
          <w:lang w:eastAsia="zh-CN"/>
        </w:rPr>
        <w:t>和图</w:t>
      </w:r>
      <w:r>
        <w:rPr>
          <w:rFonts w:ascii="Times New Roman" w:eastAsia="宋体" w:hAnsi="Times New Roman" w:cs="宋体" w:hint="eastAsia"/>
          <w:color w:val="auto"/>
          <w:sz w:val="24"/>
          <w:szCs w:val="24"/>
          <w:lang w:eastAsia="zh-CN"/>
        </w:rPr>
        <w:t>3.2.7-5</w:t>
      </w:r>
      <w:r>
        <w:rPr>
          <w:rFonts w:ascii="Times New Roman" w:eastAsia="宋体" w:hAnsi="Times New Roman" w:cs="宋体" w:hint="eastAsia"/>
          <w:color w:val="auto"/>
          <w:sz w:val="24"/>
          <w:szCs w:val="24"/>
          <w:lang w:eastAsia="zh-CN"/>
        </w:rPr>
        <w:t>。</w:t>
      </w:r>
    </w:p>
    <w:p w14:paraId="463630C9" w14:textId="77777777" w:rsidR="0075791A" w:rsidRDefault="00FB2864">
      <w:pPr>
        <w:pStyle w:val="TableText"/>
        <w:jc w:val="center"/>
        <w:rPr>
          <w:rFonts w:ascii="Times New Roman" w:hAnsi="Times New Roman"/>
          <w:color w:val="auto"/>
          <w:spacing w:val="-2"/>
          <w:lang w:eastAsia="zh-CN"/>
        </w:rPr>
      </w:pPr>
      <w:r>
        <w:rPr>
          <w:rFonts w:ascii="Times New Roman" w:hAnsi="Times New Roman"/>
          <w:color w:val="auto"/>
          <w:spacing w:val="-2"/>
          <w:lang w:eastAsia="zh-CN"/>
        </w:rPr>
        <w:t>表</w:t>
      </w:r>
      <w:r>
        <w:rPr>
          <w:rFonts w:ascii="Times New Roman" w:hAnsi="Times New Roman" w:hint="eastAsia"/>
          <w:color w:val="auto"/>
          <w:spacing w:val="-2"/>
          <w:lang w:eastAsia="zh-CN"/>
        </w:rPr>
        <w:t>3.2.7</w:t>
      </w:r>
      <w:r>
        <w:rPr>
          <w:rFonts w:ascii="Times New Roman" w:hAnsi="Times New Roman"/>
          <w:color w:val="auto"/>
          <w:spacing w:val="-2"/>
          <w:lang w:eastAsia="zh-CN"/>
        </w:rPr>
        <w:t>-1</w:t>
      </w:r>
      <w:r>
        <w:rPr>
          <w:rFonts w:ascii="Times New Roman" w:hAnsi="Times New Roman" w:hint="eastAsia"/>
          <w:color w:val="auto"/>
          <w:spacing w:val="-2"/>
          <w:lang w:eastAsia="zh-CN"/>
        </w:rPr>
        <w:t>珊瑚礁资源</w:t>
      </w:r>
      <w:r>
        <w:rPr>
          <w:rFonts w:ascii="Times New Roman" w:hAnsi="Times New Roman"/>
          <w:color w:val="auto"/>
          <w:spacing w:val="-2"/>
          <w:lang w:eastAsia="zh-CN"/>
        </w:rPr>
        <w:t>调查站位表</w:t>
      </w:r>
    </w:p>
    <w:tbl>
      <w:tblPr>
        <w:tblStyle w:val="TableNormal"/>
        <w:tblW w:w="9034" w:type="dxa"/>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5"/>
        <w:gridCol w:w="754"/>
        <w:gridCol w:w="2377"/>
        <w:gridCol w:w="2375"/>
        <w:gridCol w:w="2923"/>
      </w:tblGrid>
      <w:tr w:rsidR="0075791A" w14:paraId="7C1CEFEE" w14:textId="77777777">
        <w:trPr>
          <w:trHeight w:val="295"/>
        </w:trPr>
        <w:tc>
          <w:tcPr>
            <w:tcW w:w="605" w:type="dxa"/>
            <w:vMerge w:val="restart"/>
            <w:tcBorders>
              <w:top w:val="single" w:sz="10" w:space="0" w:color="000000"/>
              <w:left w:val="single" w:sz="10" w:space="0" w:color="000000"/>
              <w:bottom w:val="nil"/>
            </w:tcBorders>
            <w:vAlign w:val="center"/>
          </w:tcPr>
          <w:p w14:paraId="27FA6111"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3"/>
                <w:sz w:val="21"/>
                <w:szCs w:val="21"/>
              </w:rPr>
              <w:t>序号</w:t>
            </w:r>
          </w:p>
        </w:tc>
        <w:tc>
          <w:tcPr>
            <w:tcW w:w="754" w:type="dxa"/>
            <w:vMerge w:val="restart"/>
            <w:tcBorders>
              <w:top w:val="single" w:sz="10" w:space="0" w:color="000000"/>
              <w:bottom w:val="nil"/>
            </w:tcBorders>
            <w:vAlign w:val="center"/>
          </w:tcPr>
          <w:p w14:paraId="4B6A9F0B"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4"/>
                <w:sz w:val="21"/>
                <w:szCs w:val="21"/>
              </w:rPr>
              <w:t>站号</w:t>
            </w:r>
          </w:p>
        </w:tc>
        <w:tc>
          <w:tcPr>
            <w:tcW w:w="4752" w:type="dxa"/>
            <w:gridSpan w:val="2"/>
            <w:tcBorders>
              <w:top w:val="single" w:sz="10" w:space="0" w:color="000000"/>
            </w:tcBorders>
            <w:vAlign w:val="center"/>
          </w:tcPr>
          <w:p w14:paraId="546448FA"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4"/>
                <w:sz w:val="21"/>
                <w:szCs w:val="21"/>
              </w:rPr>
              <w:t>站位</w:t>
            </w:r>
          </w:p>
        </w:tc>
        <w:tc>
          <w:tcPr>
            <w:tcW w:w="2923" w:type="dxa"/>
            <w:vMerge w:val="restart"/>
            <w:tcBorders>
              <w:top w:val="single" w:sz="10" w:space="0" w:color="000000"/>
              <w:bottom w:val="nil"/>
              <w:right w:val="single" w:sz="10" w:space="0" w:color="000000"/>
            </w:tcBorders>
            <w:vAlign w:val="center"/>
          </w:tcPr>
          <w:p w14:paraId="265092D0" w14:textId="77777777" w:rsidR="0075791A" w:rsidRDefault="00FB2864">
            <w:pPr>
              <w:pStyle w:val="TableText"/>
              <w:jc w:val="center"/>
              <w:rPr>
                <w:rFonts w:ascii="Times New Roman" w:hAnsi="Times New Roman"/>
                <w:color w:val="auto"/>
                <w:sz w:val="21"/>
                <w:szCs w:val="21"/>
                <w:lang w:eastAsia="zh-CN"/>
              </w:rPr>
            </w:pPr>
            <w:r>
              <w:rPr>
                <w:rFonts w:ascii="Times New Roman" w:hAnsi="Times New Roman" w:hint="eastAsia"/>
                <w:b/>
                <w:bCs/>
                <w:color w:val="auto"/>
                <w:spacing w:val="-4"/>
                <w:sz w:val="21"/>
                <w:szCs w:val="21"/>
                <w:lang w:eastAsia="zh-CN"/>
              </w:rPr>
              <w:t>备注</w:t>
            </w:r>
          </w:p>
        </w:tc>
      </w:tr>
      <w:tr w:rsidR="0075791A" w14:paraId="1E32F760" w14:textId="77777777">
        <w:trPr>
          <w:trHeight w:val="289"/>
        </w:trPr>
        <w:tc>
          <w:tcPr>
            <w:tcW w:w="605" w:type="dxa"/>
            <w:vMerge/>
            <w:tcBorders>
              <w:top w:val="nil"/>
              <w:left w:val="single" w:sz="10" w:space="0" w:color="000000"/>
            </w:tcBorders>
            <w:vAlign w:val="center"/>
          </w:tcPr>
          <w:p w14:paraId="7D2D6A67" w14:textId="77777777" w:rsidR="0075791A" w:rsidRDefault="0075791A">
            <w:pPr>
              <w:jc w:val="center"/>
              <w:rPr>
                <w:rFonts w:ascii="Times New Roman" w:eastAsia="宋体" w:hAnsi="Times New Roman"/>
                <w:color w:val="auto"/>
              </w:rPr>
            </w:pPr>
          </w:p>
        </w:tc>
        <w:tc>
          <w:tcPr>
            <w:tcW w:w="754" w:type="dxa"/>
            <w:vMerge/>
            <w:tcBorders>
              <w:top w:val="nil"/>
            </w:tcBorders>
            <w:vAlign w:val="center"/>
          </w:tcPr>
          <w:p w14:paraId="5257F5D1" w14:textId="77777777" w:rsidR="0075791A" w:rsidRDefault="0075791A">
            <w:pPr>
              <w:jc w:val="center"/>
              <w:rPr>
                <w:rFonts w:ascii="Times New Roman" w:eastAsia="宋体" w:hAnsi="Times New Roman"/>
                <w:color w:val="auto"/>
              </w:rPr>
            </w:pPr>
          </w:p>
        </w:tc>
        <w:tc>
          <w:tcPr>
            <w:tcW w:w="2377" w:type="dxa"/>
            <w:vAlign w:val="center"/>
          </w:tcPr>
          <w:p w14:paraId="137E2B45"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4"/>
                <w:sz w:val="21"/>
                <w:szCs w:val="21"/>
              </w:rPr>
              <w:t>经度（</w:t>
            </w:r>
            <w:r>
              <w:rPr>
                <w:rFonts w:ascii="Times New Roman" w:hAnsi="Times New Roman"/>
                <w:b/>
                <w:bCs/>
                <w:color w:val="auto"/>
                <w:spacing w:val="-4"/>
                <w:sz w:val="21"/>
                <w:szCs w:val="21"/>
              </w:rPr>
              <w:t>E</w:t>
            </w:r>
            <w:r>
              <w:rPr>
                <w:rFonts w:ascii="Times New Roman" w:hAnsi="Times New Roman"/>
                <w:b/>
                <w:bCs/>
                <w:color w:val="auto"/>
                <w:spacing w:val="-4"/>
                <w:sz w:val="21"/>
                <w:szCs w:val="21"/>
              </w:rPr>
              <w:t>）</w:t>
            </w:r>
          </w:p>
        </w:tc>
        <w:tc>
          <w:tcPr>
            <w:tcW w:w="2375" w:type="dxa"/>
            <w:vAlign w:val="center"/>
          </w:tcPr>
          <w:p w14:paraId="6A4EAF76"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3"/>
                <w:sz w:val="21"/>
                <w:szCs w:val="21"/>
              </w:rPr>
              <w:t>纬度（</w:t>
            </w:r>
            <w:r>
              <w:rPr>
                <w:rFonts w:ascii="Times New Roman" w:hAnsi="Times New Roman"/>
                <w:b/>
                <w:bCs/>
                <w:color w:val="auto"/>
                <w:spacing w:val="-3"/>
                <w:sz w:val="21"/>
                <w:szCs w:val="21"/>
              </w:rPr>
              <w:t>N</w:t>
            </w:r>
            <w:r>
              <w:rPr>
                <w:rFonts w:ascii="Times New Roman" w:hAnsi="Times New Roman"/>
                <w:b/>
                <w:bCs/>
                <w:color w:val="auto"/>
                <w:spacing w:val="-3"/>
                <w:sz w:val="21"/>
                <w:szCs w:val="21"/>
              </w:rPr>
              <w:t>）</w:t>
            </w:r>
          </w:p>
        </w:tc>
        <w:tc>
          <w:tcPr>
            <w:tcW w:w="2923" w:type="dxa"/>
            <w:vMerge/>
            <w:tcBorders>
              <w:top w:val="nil"/>
              <w:right w:val="single" w:sz="10" w:space="0" w:color="000000"/>
            </w:tcBorders>
            <w:vAlign w:val="center"/>
          </w:tcPr>
          <w:p w14:paraId="67AE20F3" w14:textId="77777777" w:rsidR="0075791A" w:rsidRDefault="0075791A">
            <w:pPr>
              <w:jc w:val="center"/>
              <w:rPr>
                <w:rFonts w:ascii="Times New Roman" w:eastAsia="宋体" w:hAnsi="Times New Roman"/>
                <w:color w:val="auto"/>
              </w:rPr>
            </w:pPr>
          </w:p>
        </w:tc>
      </w:tr>
      <w:tr w:rsidR="0075791A" w14:paraId="738E96DE" w14:textId="77777777">
        <w:trPr>
          <w:trHeight w:val="90"/>
        </w:trPr>
        <w:tc>
          <w:tcPr>
            <w:tcW w:w="605" w:type="dxa"/>
            <w:tcBorders>
              <w:left w:val="single" w:sz="10" w:space="0" w:color="000000"/>
            </w:tcBorders>
            <w:vAlign w:val="center"/>
          </w:tcPr>
          <w:p w14:paraId="2448E35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1</w:t>
            </w:r>
          </w:p>
        </w:tc>
        <w:tc>
          <w:tcPr>
            <w:tcW w:w="754" w:type="dxa"/>
            <w:vAlign w:val="center"/>
          </w:tcPr>
          <w:p w14:paraId="1B461C5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C1</w:t>
            </w:r>
          </w:p>
        </w:tc>
        <w:tc>
          <w:tcPr>
            <w:tcW w:w="2377" w:type="dxa"/>
            <w:vAlign w:val="center"/>
          </w:tcPr>
          <w:p w14:paraId="6BB9A44B"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4BE0D306" w14:textId="77777777" w:rsidR="0075791A" w:rsidRDefault="0075791A">
            <w:pPr>
              <w:pStyle w:val="TableText"/>
              <w:jc w:val="center"/>
              <w:rPr>
                <w:rFonts w:ascii="Times New Roman" w:hAnsi="Times New Roman"/>
                <w:color w:val="auto"/>
                <w:sz w:val="21"/>
                <w:szCs w:val="21"/>
              </w:rPr>
            </w:pPr>
          </w:p>
        </w:tc>
        <w:tc>
          <w:tcPr>
            <w:tcW w:w="2923" w:type="dxa"/>
            <w:vMerge w:val="restart"/>
            <w:tcBorders>
              <w:right w:val="single" w:sz="10" w:space="0" w:color="000000"/>
            </w:tcBorders>
            <w:vAlign w:val="center"/>
          </w:tcPr>
          <w:p w14:paraId="0B0C57BD" w14:textId="77777777" w:rsidR="0075791A" w:rsidRDefault="0075791A">
            <w:pPr>
              <w:pStyle w:val="TableText"/>
              <w:jc w:val="center"/>
              <w:rPr>
                <w:rFonts w:ascii="Times New Roman" w:hAnsi="Times New Roman"/>
                <w:color w:val="auto"/>
                <w:sz w:val="21"/>
                <w:szCs w:val="21"/>
                <w:lang w:eastAsia="zh-CN"/>
              </w:rPr>
            </w:pPr>
          </w:p>
        </w:tc>
      </w:tr>
      <w:tr w:rsidR="0075791A" w14:paraId="1B6236E0" w14:textId="77777777">
        <w:trPr>
          <w:trHeight w:val="289"/>
        </w:trPr>
        <w:tc>
          <w:tcPr>
            <w:tcW w:w="605" w:type="dxa"/>
            <w:tcBorders>
              <w:left w:val="single" w:sz="10" w:space="0" w:color="000000"/>
            </w:tcBorders>
            <w:vAlign w:val="center"/>
          </w:tcPr>
          <w:p w14:paraId="403EBF1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2</w:t>
            </w:r>
          </w:p>
        </w:tc>
        <w:tc>
          <w:tcPr>
            <w:tcW w:w="754" w:type="dxa"/>
            <w:vAlign w:val="center"/>
          </w:tcPr>
          <w:p w14:paraId="42363D6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C2</w:t>
            </w:r>
          </w:p>
        </w:tc>
        <w:tc>
          <w:tcPr>
            <w:tcW w:w="2377" w:type="dxa"/>
            <w:vAlign w:val="center"/>
          </w:tcPr>
          <w:p w14:paraId="35DEAD60"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3AAE199C"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4419586D" w14:textId="77777777" w:rsidR="0075791A" w:rsidRDefault="0075791A">
            <w:pPr>
              <w:pStyle w:val="TableText"/>
              <w:jc w:val="center"/>
              <w:rPr>
                <w:rFonts w:ascii="Times New Roman" w:hAnsi="Times New Roman"/>
                <w:color w:val="auto"/>
                <w:sz w:val="21"/>
                <w:szCs w:val="21"/>
              </w:rPr>
            </w:pPr>
          </w:p>
        </w:tc>
      </w:tr>
      <w:tr w:rsidR="0075791A" w14:paraId="605961F2" w14:textId="77777777">
        <w:trPr>
          <w:trHeight w:val="286"/>
        </w:trPr>
        <w:tc>
          <w:tcPr>
            <w:tcW w:w="605" w:type="dxa"/>
            <w:tcBorders>
              <w:left w:val="single" w:sz="10" w:space="0" w:color="000000"/>
            </w:tcBorders>
            <w:vAlign w:val="center"/>
          </w:tcPr>
          <w:p w14:paraId="21DFEAB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lastRenderedPageBreak/>
              <w:t>3</w:t>
            </w:r>
          </w:p>
        </w:tc>
        <w:tc>
          <w:tcPr>
            <w:tcW w:w="754" w:type="dxa"/>
            <w:vAlign w:val="center"/>
          </w:tcPr>
          <w:p w14:paraId="263C694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C3</w:t>
            </w:r>
          </w:p>
        </w:tc>
        <w:tc>
          <w:tcPr>
            <w:tcW w:w="2377" w:type="dxa"/>
            <w:vAlign w:val="center"/>
          </w:tcPr>
          <w:p w14:paraId="76A00A8E"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74C1DF25"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4C9A8E7E" w14:textId="77777777" w:rsidR="0075791A" w:rsidRDefault="0075791A">
            <w:pPr>
              <w:pStyle w:val="TableText"/>
              <w:jc w:val="center"/>
              <w:rPr>
                <w:rFonts w:ascii="Times New Roman" w:hAnsi="Times New Roman"/>
                <w:color w:val="auto"/>
                <w:sz w:val="21"/>
                <w:szCs w:val="21"/>
              </w:rPr>
            </w:pPr>
          </w:p>
        </w:tc>
      </w:tr>
      <w:tr w:rsidR="0075791A" w14:paraId="791B121E" w14:textId="77777777">
        <w:trPr>
          <w:trHeight w:val="289"/>
        </w:trPr>
        <w:tc>
          <w:tcPr>
            <w:tcW w:w="605" w:type="dxa"/>
            <w:tcBorders>
              <w:left w:val="single" w:sz="10" w:space="0" w:color="000000"/>
            </w:tcBorders>
            <w:vAlign w:val="center"/>
          </w:tcPr>
          <w:p w14:paraId="600F698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4</w:t>
            </w:r>
          </w:p>
        </w:tc>
        <w:tc>
          <w:tcPr>
            <w:tcW w:w="754" w:type="dxa"/>
            <w:vAlign w:val="center"/>
          </w:tcPr>
          <w:p w14:paraId="4A4FB64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C4</w:t>
            </w:r>
          </w:p>
        </w:tc>
        <w:tc>
          <w:tcPr>
            <w:tcW w:w="2377" w:type="dxa"/>
            <w:vAlign w:val="center"/>
          </w:tcPr>
          <w:p w14:paraId="6F11C7DE"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182D8151"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24C6C909" w14:textId="77777777" w:rsidR="0075791A" w:rsidRDefault="0075791A">
            <w:pPr>
              <w:pStyle w:val="TableText"/>
              <w:jc w:val="center"/>
              <w:rPr>
                <w:rFonts w:ascii="Times New Roman" w:hAnsi="Times New Roman"/>
                <w:color w:val="auto"/>
                <w:sz w:val="21"/>
                <w:szCs w:val="21"/>
              </w:rPr>
            </w:pPr>
          </w:p>
        </w:tc>
      </w:tr>
      <w:tr w:rsidR="0075791A" w14:paraId="58296BFC" w14:textId="77777777">
        <w:trPr>
          <w:trHeight w:val="287"/>
        </w:trPr>
        <w:tc>
          <w:tcPr>
            <w:tcW w:w="605" w:type="dxa"/>
            <w:tcBorders>
              <w:left w:val="single" w:sz="10" w:space="0" w:color="000000"/>
            </w:tcBorders>
            <w:vAlign w:val="center"/>
          </w:tcPr>
          <w:p w14:paraId="1E92FD6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5</w:t>
            </w:r>
          </w:p>
        </w:tc>
        <w:tc>
          <w:tcPr>
            <w:tcW w:w="754" w:type="dxa"/>
            <w:vAlign w:val="center"/>
          </w:tcPr>
          <w:p w14:paraId="0810905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C5</w:t>
            </w:r>
          </w:p>
        </w:tc>
        <w:tc>
          <w:tcPr>
            <w:tcW w:w="2377" w:type="dxa"/>
            <w:vAlign w:val="center"/>
          </w:tcPr>
          <w:p w14:paraId="7E7F3D36"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725C435D"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589145A3" w14:textId="77777777" w:rsidR="0075791A" w:rsidRDefault="0075791A">
            <w:pPr>
              <w:pStyle w:val="TableText"/>
              <w:jc w:val="center"/>
              <w:rPr>
                <w:rFonts w:ascii="Times New Roman" w:hAnsi="Times New Roman"/>
                <w:color w:val="auto"/>
                <w:sz w:val="21"/>
                <w:szCs w:val="21"/>
              </w:rPr>
            </w:pPr>
          </w:p>
        </w:tc>
      </w:tr>
      <w:tr w:rsidR="0075791A" w14:paraId="2A3DAAB3" w14:textId="77777777">
        <w:trPr>
          <w:trHeight w:val="289"/>
        </w:trPr>
        <w:tc>
          <w:tcPr>
            <w:tcW w:w="605" w:type="dxa"/>
            <w:tcBorders>
              <w:left w:val="single" w:sz="10" w:space="0" w:color="000000"/>
            </w:tcBorders>
            <w:vAlign w:val="center"/>
          </w:tcPr>
          <w:p w14:paraId="4820805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6</w:t>
            </w:r>
          </w:p>
        </w:tc>
        <w:tc>
          <w:tcPr>
            <w:tcW w:w="754" w:type="dxa"/>
            <w:vAlign w:val="center"/>
          </w:tcPr>
          <w:p w14:paraId="21E90CC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C6</w:t>
            </w:r>
          </w:p>
        </w:tc>
        <w:tc>
          <w:tcPr>
            <w:tcW w:w="2377" w:type="dxa"/>
            <w:vAlign w:val="center"/>
          </w:tcPr>
          <w:p w14:paraId="049C39D0"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78629C47"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7A124713" w14:textId="77777777" w:rsidR="0075791A" w:rsidRDefault="0075791A">
            <w:pPr>
              <w:pStyle w:val="TableText"/>
              <w:jc w:val="center"/>
              <w:rPr>
                <w:rFonts w:ascii="Times New Roman" w:hAnsi="Times New Roman"/>
                <w:color w:val="auto"/>
                <w:sz w:val="21"/>
                <w:szCs w:val="21"/>
              </w:rPr>
            </w:pPr>
          </w:p>
        </w:tc>
      </w:tr>
      <w:tr w:rsidR="0075791A" w14:paraId="3EBD4F62" w14:textId="77777777">
        <w:trPr>
          <w:trHeight w:val="289"/>
        </w:trPr>
        <w:tc>
          <w:tcPr>
            <w:tcW w:w="605" w:type="dxa"/>
            <w:tcBorders>
              <w:left w:val="single" w:sz="10" w:space="0" w:color="000000"/>
            </w:tcBorders>
            <w:vAlign w:val="center"/>
          </w:tcPr>
          <w:p w14:paraId="1ACA662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7</w:t>
            </w:r>
          </w:p>
        </w:tc>
        <w:tc>
          <w:tcPr>
            <w:tcW w:w="754" w:type="dxa"/>
            <w:vAlign w:val="center"/>
          </w:tcPr>
          <w:p w14:paraId="61BE9B5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C7</w:t>
            </w:r>
          </w:p>
        </w:tc>
        <w:tc>
          <w:tcPr>
            <w:tcW w:w="2377" w:type="dxa"/>
            <w:vAlign w:val="center"/>
          </w:tcPr>
          <w:p w14:paraId="685983DC"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4D247E6A"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0C128D24" w14:textId="77777777" w:rsidR="0075791A" w:rsidRDefault="0075791A">
            <w:pPr>
              <w:pStyle w:val="TableText"/>
              <w:jc w:val="center"/>
              <w:rPr>
                <w:rFonts w:ascii="Times New Roman" w:hAnsi="Times New Roman"/>
                <w:color w:val="auto"/>
                <w:sz w:val="21"/>
                <w:szCs w:val="21"/>
              </w:rPr>
            </w:pPr>
          </w:p>
        </w:tc>
      </w:tr>
      <w:tr w:rsidR="0075791A" w14:paraId="2248E466" w14:textId="77777777">
        <w:trPr>
          <w:trHeight w:val="286"/>
        </w:trPr>
        <w:tc>
          <w:tcPr>
            <w:tcW w:w="605" w:type="dxa"/>
            <w:tcBorders>
              <w:left w:val="single" w:sz="10" w:space="0" w:color="000000"/>
            </w:tcBorders>
            <w:vAlign w:val="center"/>
          </w:tcPr>
          <w:p w14:paraId="7F9B2A0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8</w:t>
            </w:r>
          </w:p>
        </w:tc>
        <w:tc>
          <w:tcPr>
            <w:tcW w:w="754" w:type="dxa"/>
            <w:vAlign w:val="center"/>
          </w:tcPr>
          <w:p w14:paraId="7EA76C8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C8</w:t>
            </w:r>
          </w:p>
        </w:tc>
        <w:tc>
          <w:tcPr>
            <w:tcW w:w="2377" w:type="dxa"/>
            <w:vAlign w:val="center"/>
          </w:tcPr>
          <w:p w14:paraId="77FBAD7E"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0D3BA001"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43760920" w14:textId="77777777" w:rsidR="0075791A" w:rsidRDefault="0075791A">
            <w:pPr>
              <w:pStyle w:val="TableText"/>
              <w:jc w:val="center"/>
              <w:rPr>
                <w:rFonts w:ascii="Times New Roman" w:hAnsi="Times New Roman"/>
                <w:color w:val="auto"/>
                <w:sz w:val="21"/>
                <w:szCs w:val="21"/>
              </w:rPr>
            </w:pPr>
          </w:p>
        </w:tc>
      </w:tr>
      <w:tr w:rsidR="0075791A" w14:paraId="63FB3B3F" w14:textId="77777777">
        <w:trPr>
          <w:trHeight w:val="289"/>
        </w:trPr>
        <w:tc>
          <w:tcPr>
            <w:tcW w:w="605" w:type="dxa"/>
            <w:tcBorders>
              <w:left w:val="single" w:sz="10" w:space="0" w:color="000000"/>
            </w:tcBorders>
            <w:vAlign w:val="center"/>
          </w:tcPr>
          <w:p w14:paraId="616ED36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9</w:t>
            </w:r>
          </w:p>
        </w:tc>
        <w:tc>
          <w:tcPr>
            <w:tcW w:w="754" w:type="dxa"/>
            <w:vAlign w:val="center"/>
          </w:tcPr>
          <w:p w14:paraId="73AFFE2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C9</w:t>
            </w:r>
          </w:p>
        </w:tc>
        <w:tc>
          <w:tcPr>
            <w:tcW w:w="2377" w:type="dxa"/>
            <w:vAlign w:val="center"/>
          </w:tcPr>
          <w:p w14:paraId="41B66780"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0DAD760A"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52961D9F" w14:textId="77777777" w:rsidR="0075791A" w:rsidRDefault="0075791A">
            <w:pPr>
              <w:pStyle w:val="TableText"/>
              <w:jc w:val="center"/>
              <w:rPr>
                <w:rFonts w:ascii="Times New Roman" w:hAnsi="Times New Roman"/>
                <w:color w:val="auto"/>
                <w:sz w:val="21"/>
                <w:szCs w:val="21"/>
              </w:rPr>
            </w:pPr>
          </w:p>
        </w:tc>
      </w:tr>
      <w:tr w:rsidR="0075791A" w14:paraId="70C106DC" w14:textId="77777777">
        <w:trPr>
          <w:trHeight w:val="286"/>
        </w:trPr>
        <w:tc>
          <w:tcPr>
            <w:tcW w:w="605" w:type="dxa"/>
            <w:tcBorders>
              <w:left w:val="single" w:sz="10" w:space="0" w:color="000000"/>
            </w:tcBorders>
            <w:vAlign w:val="center"/>
          </w:tcPr>
          <w:p w14:paraId="381CBB9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10</w:t>
            </w:r>
          </w:p>
        </w:tc>
        <w:tc>
          <w:tcPr>
            <w:tcW w:w="754" w:type="dxa"/>
            <w:vAlign w:val="center"/>
          </w:tcPr>
          <w:p w14:paraId="4155C30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C10</w:t>
            </w:r>
          </w:p>
        </w:tc>
        <w:tc>
          <w:tcPr>
            <w:tcW w:w="2377" w:type="dxa"/>
            <w:vAlign w:val="center"/>
          </w:tcPr>
          <w:p w14:paraId="1227092F"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7E98014C"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2876CDC7" w14:textId="77777777" w:rsidR="0075791A" w:rsidRDefault="0075791A">
            <w:pPr>
              <w:pStyle w:val="TableText"/>
              <w:jc w:val="center"/>
              <w:rPr>
                <w:rFonts w:ascii="Times New Roman" w:hAnsi="Times New Roman"/>
                <w:color w:val="auto"/>
                <w:sz w:val="21"/>
                <w:szCs w:val="21"/>
              </w:rPr>
            </w:pPr>
          </w:p>
        </w:tc>
      </w:tr>
      <w:tr w:rsidR="0075791A" w14:paraId="500A98C6" w14:textId="77777777">
        <w:trPr>
          <w:trHeight w:val="289"/>
        </w:trPr>
        <w:tc>
          <w:tcPr>
            <w:tcW w:w="605" w:type="dxa"/>
            <w:tcBorders>
              <w:left w:val="single" w:sz="10" w:space="0" w:color="000000"/>
            </w:tcBorders>
            <w:vAlign w:val="center"/>
          </w:tcPr>
          <w:p w14:paraId="38310F4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11</w:t>
            </w:r>
          </w:p>
        </w:tc>
        <w:tc>
          <w:tcPr>
            <w:tcW w:w="754" w:type="dxa"/>
            <w:vAlign w:val="center"/>
          </w:tcPr>
          <w:p w14:paraId="4D23B2E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C11</w:t>
            </w:r>
          </w:p>
        </w:tc>
        <w:tc>
          <w:tcPr>
            <w:tcW w:w="2377" w:type="dxa"/>
            <w:vAlign w:val="center"/>
          </w:tcPr>
          <w:p w14:paraId="6D92B316"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2FED402A"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3BC357C3" w14:textId="77777777" w:rsidR="0075791A" w:rsidRDefault="0075791A">
            <w:pPr>
              <w:pStyle w:val="TableText"/>
              <w:jc w:val="center"/>
              <w:rPr>
                <w:rFonts w:ascii="Times New Roman" w:hAnsi="Times New Roman"/>
                <w:color w:val="auto"/>
                <w:sz w:val="21"/>
                <w:szCs w:val="21"/>
              </w:rPr>
            </w:pPr>
          </w:p>
        </w:tc>
      </w:tr>
      <w:tr w:rsidR="0075791A" w14:paraId="69C3F324" w14:textId="77777777">
        <w:trPr>
          <w:trHeight w:val="289"/>
        </w:trPr>
        <w:tc>
          <w:tcPr>
            <w:tcW w:w="605" w:type="dxa"/>
            <w:tcBorders>
              <w:left w:val="single" w:sz="10" w:space="0" w:color="000000"/>
            </w:tcBorders>
            <w:vAlign w:val="center"/>
          </w:tcPr>
          <w:p w14:paraId="4193C1F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12</w:t>
            </w:r>
          </w:p>
        </w:tc>
        <w:tc>
          <w:tcPr>
            <w:tcW w:w="754" w:type="dxa"/>
            <w:vAlign w:val="center"/>
          </w:tcPr>
          <w:p w14:paraId="5C84F8F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C12</w:t>
            </w:r>
          </w:p>
        </w:tc>
        <w:tc>
          <w:tcPr>
            <w:tcW w:w="2377" w:type="dxa"/>
            <w:vAlign w:val="center"/>
          </w:tcPr>
          <w:p w14:paraId="7451276D"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686263CD"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219B9C32" w14:textId="77777777" w:rsidR="0075791A" w:rsidRDefault="0075791A">
            <w:pPr>
              <w:pStyle w:val="TableText"/>
              <w:jc w:val="center"/>
              <w:rPr>
                <w:rFonts w:ascii="Times New Roman" w:hAnsi="Times New Roman"/>
                <w:color w:val="auto"/>
                <w:sz w:val="21"/>
                <w:szCs w:val="21"/>
              </w:rPr>
            </w:pPr>
          </w:p>
        </w:tc>
      </w:tr>
      <w:tr w:rsidR="0075791A" w14:paraId="76861954" w14:textId="77777777">
        <w:trPr>
          <w:trHeight w:val="286"/>
        </w:trPr>
        <w:tc>
          <w:tcPr>
            <w:tcW w:w="605" w:type="dxa"/>
            <w:tcBorders>
              <w:left w:val="single" w:sz="10" w:space="0" w:color="000000"/>
            </w:tcBorders>
            <w:vAlign w:val="center"/>
          </w:tcPr>
          <w:p w14:paraId="1D53A92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13</w:t>
            </w:r>
          </w:p>
        </w:tc>
        <w:tc>
          <w:tcPr>
            <w:tcW w:w="754" w:type="dxa"/>
            <w:vAlign w:val="center"/>
          </w:tcPr>
          <w:p w14:paraId="2D8C5D4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C13</w:t>
            </w:r>
          </w:p>
        </w:tc>
        <w:tc>
          <w:tcPr>
            <w:tcW w:w="2377" w:type="dxa"/>
            <w:vAlign w:val="center"/>
          </w:tcPr>
          <w:p w14:paraId="7CE299FE"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1C3AB07E"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12919822" w14:textId="77777777" w:rsidR="0075791A" w:rsidRDefault="0075791A">
            <w:pPr>
              <w:pStyle w:val="TableText"/>
              <w:jc w:val="center"/>
              <w:rPr>
                <w:rFonts w:ascii="Times New Roman" w:hAnsi="Times New Roman"/>
                <w:color w:val="auto"/>
                <w:sz w:val="21"/>
                <w:szCs w:val="21"/>
              </w:rPr>
            </w:pPr>
          </w:p>
        </w:tc>
      </w:tr>
      <w:tr w:rsidR="0075791A" w14:paraId="120DEBCD" w14:textId="77777777">
        <w:trPr>
          <w:trHeight w:val="289"/>
        </w:trPr>
        <w:tc>
          <w:tcPr>
            <w:tcW w:w="605" w:type="dxa"/>
            <w:tcBorders>
              <w:left w:val="single" w:sz="10" w:space="0" w:color="000000"/>
            </w:tcBorders>
            <w:vAlign w:val="center"/>
          </w:tcPr>
          <w:p w14:paraId="1186A89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14</w:t>
            </w:r>
          </w:p>
        </w:tc>
        <w:tc>
          <w:tcPr>
            <w:tcW w:w="754" w:type="dxa"/>
            <w:vAlign w:val="center"/>
          </w:tcPr>
          <w:p w14:paraId="75FDC90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C14</w:t>
            </w:r>
          </w:p>
        </w:tc>
        <w:tc>
          <w:tcPr>
            <w:tcW w:w="2377" w:type="dxa"/>
            <w:vAlign w:val="center"/>
          </w:tcPr>
          <w:p w14:paraId="2415B8CF"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705F9791"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1E4682A0" w14:textId="77777777" w:rsidR="0075791A" w:rsidRDefault="0075791A">
            <w:pPr>
              <w:pStyle w:val="TableText"/>
              <w:jc w:val="center"/>
              <w:rPr>
                <w:rFonts w:ascii="Times New Roman" w:hAnsi="Times New Roman"/>
                <w:color w:val="auto"/>
                <w:sz w:val="21"/>
                <w:szCs w:val="21"/>
              </w:rPr>
            </w:pPr>
          </w:p>
        </w:tc>
      </w:tr>
      <w:tr w:rsidR="0075791A" w14:paraId="32E7CEEF" w14:textId="77777777">
        <w:trPr>
          <w:trHeight w:val="286"/>
        </w:trPr>
        <w:tc>
          <w:tcPr>
            <w:tcW w:w="605" w:type="dxa"/>
            <w:tcBorders>
              <w:left w:val="single" w:sz="10" w:space="0" w:color="000000"/>
            </w:tcBorders>
            <w:vAlign w:val="center"/>
          </w:tcPr>
          <w:p w14:paraId="3B1BC96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15</w:t>
            </w:r>
          </w:p>
        </w:tc>
        <w:tc>
          <w:tcPr>
            <w:tcW w:w="754" w:type="dxa"/>
            <w:vAlign w:val="center"/>
          </w:tcPr>
          <w:p w14:paraId="340940A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C15</w:t>
            </w:r>
          </w:p>
        </w:tc>
        <w:tc>
          <w:tcPr>
            <w:tcW w:w="2377" w:type="dxa"/>
            <w:vAlign w:val="center"/>
          </w:tcPr>
          <w:p w14:paraId="62029CF6"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194C7617"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255B1956" w14:textId="77777777" w:rsidR="0075791A" w:rsidRDefault="0075791A">
            <w:pPr>
              <w:pStyle w:val="TableText"/>
              <w:jc w:val="center"/>
              <w:rPr>
                <w:rFonts w:ascii="Times New Roman" w:hAnsi="Times New Roman"/>
                <w:color w:val="auto"/>
                <w:sz w:val="21"/>
                <w:szCs w:val="21"/>
              </w:rPr>
            </w:pPr>
          </w:p>
        </w:tc>
      </w:tr>
      <w:tr w:rsidR="0075791A" w14:paraId="6635D999" w14:textId="77777777">
        <w:trPr>
          <w:trHeight w:val="289"/>
        </w:trPr>
        <w:tc>
          <w:tcPr>
            <w:tcW w:w="605" w:type="dxa"/>
            <w:tcBorders>
              <w:left w:val="single" w:sz="10" w:space="0" w:color="000000"/>
            </w:tcBorders>
            <w:vAlign w:val="center"/>
          </w:tcPr>
          <w:p w14:paraId="01FA86B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16</w:t>
            </w:r>
          </w:p>
        </w:tc>
        <w:tc>
          <w:tcPr>
            <w:tcW w:w="754" w:type="dxa"/>
            <w:vAlign w:val="center"/>
          </w:tcPr>
          <w:p w14:paraId="030FA0F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C16</w:t>
            </w:r>
          </w:p>
        </w:tc>
        <w:tc>
          <w:tcPr>
            <w:tcW w:w="2377" w:type="dxa"/>
            <w:vAlign w:val="center"/>
          </w:tcPr>
          <w:p w14:paraId="099E9580"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23DA0658"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7E322EAF" w14:textId="77777777" w:rsidR="0075791A" w:rsidRDefault="0075791A">
            <w:pPr>
              <w:pStyle w:val="TableText"/>
              <w:jc w:val="center"/>
              <w:rPr>
                <w:rFonts w:ascii="Times New Roman" w:hAnsi="Times New Roman"/>
                <w:color w:val="auto"/>
                <w:sz w:val="21"/>
                <w:szCs w:val="21"/>
              </w:rPr>
            </w:pPr>
          </w:p>
        </w:tc>
      </w:tr>
      <w:tr w:rsidR="0075791A" w14:paraId="18B437DE" w14:textId="77777777">
        <w:trPr>
          <w:trHeight w:val="286"/>
        </w:trPr>
        <w:tc>
          <w:tcPr>
            <w:tcW w:w="605" w:type="dxa"/>
            <w:tcBorders>
              <w:left w:val="single" w:sz="10" w:space="0" w:color="000000"/>
            </w:tcBorders>
            <w:vAlign w:val="center"/>
          </w:tcPr>
          <w:p w14:paraId="3AE99D5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17</w:t>
            </w:r>
          </w:p>
        </w:tc>
        <w:tc>
          <w:tcPr>
            <w:tcW w:w="754" w:type="dxa"/>
            <w:vAlign w:val="center"/>
          </w:tcPr>
          <w:p w14:paraId="2F452B5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C17</w:t>
            </w:r>
          </w:p>
        </w:tc>
        <w:tc>
          <w:tcPr>
            <w:tcW w:w="2377" w:type="dxa"/>
            <w:vAlign w:val="center"/>
          </w:tcPr>
          <w:p w14:paraId="0B9D105D"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23896C25"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6A068F4C" w14:textId="77777777" w:rsidR="0075791A" w:rsidRDefault="0075791A">
            <w:pPr>
              <w:pStyle w:val="TableText"/>
              <w:jc w:val="center"/>
              <w:rPr>
                <w:rFonts w:ascii="Times New Roman" w:hAnsi="Times New Roman"/>
                <w:color w:val="auto"/>
                <w:sz w:val="21"/>
                <w:szCs w:val="21"/>
              </w:rPr>
            </w:pPr>
          </w:p>
        </w:tc>
      </w:tr>
      <w:tr w:rsidR="0075791A" w14:paraId="658E82D7" w14:textId="77777777">
        <w:trPr>
          <w:trHeight w:val="310"/>
        </w:trPr>
        <w:tc>
          <w:tcPr>
            <w:tcW w:w="605" w:type="dxa"/>
            <w:tcBorders>
              <w:left w:val="single" w:sz="10" w:space="0" w:color="000000"/>
            </w:tcBorders>
            <w:vAlign w:val="center"/>
          </w:tcPr>
          <w:p w14:paraId="54D010A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18</w:t>
            </w:r>
          </w:p>
        </w:tc>
        <w:tc>
          <w:tcPr>
            <w:tcW w:w="754" w:type="dxa"/>
            <w:vAlign w:val="center"/>
          </w:tcPr>
          <w:p w14:paraId="4D1B715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C18</w:t>
            </w:r>
          </w:p>
        </w:tc>
        <w:tc>
          <w:tcPr>
            <w:tcW w:w="2377" w:type="dxa"/>
            <w:vAlign w:val="center"/>
          </w:tcPr>
          <w:p w14:paraId="30D809EC" w14:textId="77777777" w:rsidR="0075791A" w:rsidRDefault="0075791A">
            <w:pPr>
              <w:pStyle w:val="TableText"/>
              <w:jc w:val="center"/>
              <w:rPr>
                <w:rFonts w:ascii="Times New Roman" w:hAnsi="Times New Roman"/>
                <w:color w:val="auto"/>
                <w:sz w:val="21"/>
                <w:szCs w:val="21"/>
              </w:rPr>
            </w:pPr>
          </w:p>
        </w:tc>
        <w:tc>
          <w:tcPr>
            <w:tcW w:w="2375" w:type="dxa"/>
            <w:vAlign w:val="center"/>
          </w:tcPr>
          <w:p w14:paraId="6B016B1D" w14:textId="77777777" w:rsidR="0075791A" w:rsidRDefault="0075791A">
            <w:pPr>
              <w:pStyle w:val="TableText"/>
              <w:jc w:val="center"/>
              <w:rPr>
                <w:rFonts w:ascii="Times New Roman" w:hAnsi="Times New Roman"/>
                <w:color w:val="auto"/>
                <w:sz w:val="21"/>
                <w:szCs w:val="21"/>
              </w:rPr>
            </w:pPr>
          </w:p>
        </w:tc>
        <w:tc>
          <w:tcPr>
            <w:tcW w:w="2923" w:type="dxa"/>
            <w:vMerge/>
            <w:tcBorders>
              <w:right w:val="single" w:sz="10" w:space="0" w:color="000000"/>
            </w:tcBorders>
            <w:vAlign w:val="center"/>
          </w:tcPr>
          <w:p w14:paraId="30772335" w14:textId="77777777" w:rsidR="0075791A" w:rsidRDefault="0075791A">
            <w:pPr>
              <w:pStyle w:val="TableText"/>
              <w:jc w:val="center"/>
              <w:rPr>
                <w:rFonts w:ascii="Times New Roman" w:hAnsi="Times New Roman"/>
                <w:color w:val="auto"/>
                <w:sz w:val="21"/>
                <w:szCs w:val="21"/>
              </w:rPr>
            </w:pPr>
          </w:p>
        </w:tc>
      </w:tr>
      <w:tr w:rsidR="0075791A" w14:paraId="65B8BE22" w14:textId="77777777">
        <w:trPr>
          <w:trHeight w:val="310"/>
        </w:trPr>
        <w:tc>
          <w:tcPr>
            <w:tcW w:w="605" w:type="dxa"/>
            <w:tcBorders>
              <w:left w:val="single" w:sz="10" w:space="0" w:color="000000"/>
            </w:tcBorders>
            <w:vAlign w:val="center"/>
          </w:tcPr>
          <w:p w14:paraId="273E6319" w14:textId="77777777" w:rsidR="0075791A" w:rsidRDefault="00FB2864">
            <w:pPr>
              <w:jc w:val="center"/>
              <w:textAlignment w:val="center"/>
              <w:rPr>
                <w:rFonts w:ascii="Times New Roman" w:eastAsia="宋体" w:hAnsi="Times New Roman"/>
                <w:color w:val="auto"/>
                <w:spacing w:val="-5"/>
              </w:rPr>
            </w:pPr>
            <w:r>
              <w:rPr>
                <w:rFonts w:ascii="Times New Roman" w:eastAsia="宋体" w:hAnsi="Times New Roman" w:cs="宋体" w:hint="eastAsia"/>
                <w:color w:val="auto"/>
                <w:lang w:eastAsia="zh-CN" w:bidi="ar"/>
              </w:rPr>
              <w:t>19</w:t>
            </w:r>
          </w:p>
        </w:tc>
        <w:tc>
          <w:tcPr>
            <w:tcW w:w="754" w:type="dxa"/>
            <w:vAlign w:val="center"/>
          </w:tcPr>
          <w:p w14:paraId="1F6C8CA0" w14:textId="77777777" w:rsidR="0075791A" w:rsidRDefault="00FB2864">
            <w:pPr>
              <w:pStyle w:val="TableParagraph"/>
              <w:jc w:val="center"/>
              <w:rPr>
                <w:rFonts w:ascii="Times New Roman" w:eastAsia="宋体" w:hAnsi="Times New Roman"/>
                <w:color w:val="auto"/>
                <w:spacing w:val="-1"/>
              </w:rPr>
            </w:pPr>
            <w:r>
              <w:rPr>
                <w:rFonts w:ascii="Times New Roman" w:eastAsia="宋体" w:hAnsi="Times New Roman" w:cs="Times New Roman"/>
                <w:color w:val="auto"/>
              </w:rPr>
              <w:t>1</w:t>
            </w:r>
          </w:p>
        </w:tc>
        <w:tc>
          <w:tcPr>
            <w:tcW w:w="2377" w:type="dxa"/>
            <w:vAlign w:val="center"/>
          </w:tcPr>
          <w:p w14:paraId="225BA819" w14:textId="77777777" w:rsidR="0075791A" w:rsidRDefault="0075791A">
            <w:pPr>
              <w:pStyle w:val="TableParagraph"/>
              <w:jc w:val="center"/>
              <w:rPr>
                <w:rFonts w:ascii="Times New Roman" w:eastAsia="宋体" w:hAnsi="Times New Roman"/>
                <w:color w:val="auto"/>
                <w:spacing w:val="-5"/>
              </w:rPr>
            </w:pPr>
          </w:p>
        </w:tc>
        <w:tc>
          <w:tcPr>
            <w:tcW w:w="2375" w:type="dxa"/>
            <w:vAlign w:val="center"/>
          </w:tcPr>
          <w:p w14:paraId="314C95FC" w14:textId="77777777" w:rsidR="0075791A" w:rsidRDefault="0075791A">
            <w:pPr>
              <w:pStyle w:val="TableParagraph"/>
              <w:jc w:val="center"/>
              <w:rPr>
                <w:rFonts w:ascii="Times New Roman" w:eastAsia="宋体" w:hAnsi="Times New Roman"/>
                <w:color w:val="auto"/>
                <w:spacing w:val="-2"/>
              </w:rPr>
            </w:pPr>
          </w:p>
        </w:tc>
        <w:tc>
          <w:tcPr>
            <w:tcW w:w="2923" w:type="dxa"/>
            <w:vMerge w:val="restart"/>
            <w:tcBorders>
              <w:right w:val="single" w:sz="10" w:space="0" w:color="000000"/>
            </w:tcBorders>
            <w:vAlign w:val="center"/>
          </w:tcPr>
          <w:p w14:paraId="6222A249" w14:textId="77777777" w:rsidR="0075791A" w:rsidRDefault="0075791A">
            <w:pPr>
              <w:pStyle w:val="TableText"/>
              <w:jc w:val="center"/>
              <w:rPr>
                <w:rFonts w:ascii="Times New Roman" w:hAnsi="Times New Roman"/>
                <w:color w:val="auto"/>
                <w:sz w:val="21"/>
                <w:szCs w:val="21"/>
                <w:lang w:eastAsia="zh-CN"/>
              </w:rPr>
            </w:pPr>
          </w:p>
        </w:tc>
      </w:tr>
      <w:tr w:rsidR="0075791A" w14:paraId="3B605A91" w14:textId="77777777">
        <w:trPr>
          <w:trHeight w:val="310"/>
        </w:trPr>
        <w:tc>
          <w:tcPr>
            <w:tcW w:w="605" w:type="dxa"/>
            <w:tcBorders>
              <w:left w:val="single" w:sz="10" w:space="0" w:color="000000"/>
            </w:tcBorders>
            <w:vAlign w:val="center"/>
          </w:tcPr>
          <w:p w14:paraId="7B63029A" w14:textId="77777777" w:rsidR="0075791A" w:rsidRDefault="00FB2864">
            <w:pPr>
              <w:jc w:val="center"/>
              <w:textAlignment w:val="center"/>
              <w:rPr>
                <w:rFonts w:ascii="Times New Roman" w:eastAsia="宋体" w:hAnsi="Times New Roman"/>
                <w:color w:val="auto"/>
                <w:spacing w:val="-5"/>
              </w:rPr>
            </w:pPr>
            <w:r>
              <w:rPr>
                <w:rFonts w:ascii="Times New Roman" w:eastAsia="宋体" w:hAnsi="Times New Roman" w:cs="宋体" w:hint="eastAsia"/>
                <w:color w:val="auto"/>
                <w:lang w:eastAsia="zh-CN" w:bidi="ar"/>
              </w:rPr>
              <w:t>20</w:t>
            </w:r>
          </w:p>
        </w:tc>
        <w:tc>
          <w:tcPr>
            <w:tcW w:w="754" w:type="dxa"/>
            <w:vAlign w:val="center"/>
          </w:tcPr>
          <w:p w14:paraId="2067CF80" w14:textId="77777777" w:rsidR="0075791A" w:rsidRDefault="00FB2864">
            <w:pPr>
              <w:pStyle w:val="TableParagraph"/>
              <w:jc w:val="center"/>
              <w:rPr>
                <w:rFonts w:ascii="Times New Roman" w:eastAsia="宋体" w:hAnsi="Times New Roman"/>
                <w:color w:val="auto"/>
                <w:spacing w:val="-1"/>
              </w:rPr>
            </w:pPr>
            <w:r>
              <w:rPr>
                <w:rFonts w:ascii="Times New Roman" w:eastAsia="宋体" w:hAnsi="Times New Roman" w:cs="Times New Roman"/>
                <w:color w:val="auto"/>
              </w:rPr>
              <w:t>2</w:t>
            </w:r>
          </w:p>
        </w:tc>
        <w:tc>
          <w:tcPr>
            <w:tcW w:w="2377" w:type="dxa"/>
            <w:vAlign w:val="center"/>
          </w:tcPr>
          <w:p w14:paraId="49901739" w14:textId="77777777" w:rsidR="0075791A" w:rsidRDefault="0075791A">
            <w:pPr>
              <w:pStyle w:val="TableParagraph"/>
              <w:jc w:val="center"/>
              <w:rPr>
                <w:rFonts w:ascii="Times New Roman" w:eastAsia="宋体" w:hAnsi="Times New Roman"/>
                <w:color w:val="auto"/>
                <w:spacing w:val="-5"/>
              </w:rPr>
            </w:pPr>
          </w:p>
        </w:tc>
        <w:tc>
          <w:tcPr>
            <w:tcW w:w="2375" w:type="dxa"/>
            <w:vAlign w:val="center"/>
          </w:tcPr>
          <w:p w14:paraId="37D7C89D" w14:textId="77777777" w:rsidR="0075791A" w:rsidRDefault="0075791A">
            <w:pPr>
              <w:pStyle w:val="TableParagraph"/>
              <w:jc w:val="center"/>
              <w:rPr>
                <w:rFonts w:ascii="Times New Roman" w:eastAsia="宋体" w:hAnsi="Times New Roman"/>
                <w:color w:val="auto"/>
                <w:spacing w:val="-2"/>
              </w:rPr>
            </w:pPr>
          </w:p>
        </w:tc>
        <w:tc>
          <w:tcPr>
            <w:tcW w:w="2923" w:type="dxa"/>
            <w:vMerge/>
            <w:tcBorders>
              <w:right w:val="single" w:sz="10" w:space="0" w:color="000000"/>
            </w:tcBorders>
            <w:vAlign w:val="center"/>
          </w:tcPr>
          <w:p w14:paraId="6C37FFE1" w14:textId="77777777" w:rsidR="0075791A" w:rsidRDefault="0075791A">
            <w:pPr>
              <w:pStyle w:val="TableText"/>
              <w:jc w:val="center"/>
              <w:rPr>
                <w:rFonts w:ascii="Times New Roman" w:hAnsi="Times New Roman"/>
                <w:color w:val="auto"/>
                <w:sz w:val="21"/>
                <w:szCs w:val="21"/>
              </w:rPr>
            </w:pPr>
          </w:p>
        </w:tc>
      </w:tr>
      <w:tr w:rsidR="0075791A" w14:paraId="2B98891E" w14:textId="77777777">
        <w:trPr>
          <w:trHeight w:val="310"/>
        </w:trPr>
        <w:tc>
          <w:tcPr>
            <w:tcW w:w="605" w:type="dxa"/>
            <w:tcBorders>
              <w:left w:val="single" w:sz="10" w:space="0" w:color="000000"/>
            </w:tcBorders>
            <w:vAlign w:val="center"/>
          </w:tcPr>
          <w:p w14:paraId="7A7F4204" w14:textId="77777777" w:rsidR="0075791A" w:rsidRDefault="00FB2864">
            <w:pPr>
              <w:jc w:val="center"/>
              <w:textAlignment w:val="center"/>
              <w:rPr>
                <w:rFonts w:ascii="Times New Roman" w:eastAsia="宋体" w:hAnsi="Times New Roman"/>
                <w:color w:val="auto"/>
                <w:spacing w:val="-5"/>
              </w:rPr>
            </w:pPr>
            <w:r>
              <w:rPr>
                <w:rFonts w:ascii="Times New Roman" w:eastAsia="宋体" w:hAnsi="Times New Roman" w:cs="宋体" w:hint="eastAsia"/>
                <w:color w:val="auto"/>
                <w:lang w:eastAsia="zh-CN" w:bidi="ar"/>
              </w:rPr>
              <w:t>21</w:t>
            </w:r>
          </w:p>
        </w:tc>
        <w:tc>
          <w:tcPr>
            <w:tcW w:w="754" w:type="dxa"/>
            <w:vAlign w:val="center"/>
          </w:tcPr>
          <w:p w14:paraId="7F148F62" w14:textId="77777777" w:rsidR="0075791A" w:rsidRDefault="00FB2864">
            <w:pPr>
              <w:pStyle w:val="TableParagraph"/>
              <w:jc w:val="center"/>
              <w:rPr>
                <w:rFonts w:ascii="Times New Roman" w:eastAsia="宋体" w:hAnsi="Times New Roman"/>
                <w:color w:val="auto"/>
                <w:spacing w:val="-1"/>
              </w:rPr>
            </w:pPr>
            <w:r>
              <w:rPr>
                <w:rFonts w:ascii="Times New Roman" w:eastAsia="宋体" w:hAnsi="Times New Roman" w:cs="Times New Roman"/>
                <w:color w:val="auto"/>
              </w:rPr>
              <w:t>3</w:t>
            </w:r>
          </w:p>
        </w:tc>
        <w:tc>
          <w:tcPr>
            <w:tcW w:w="2377" w:type="dxa"/>
            <w:vAlign w:val="center"/>
          </w:tcPr>
          <w:p w14:paraId="52CD8D39" w14:textId="77777777" w:rsidR="0075791A" w:rsidRDefault="0075791A">
            <w:pPr>
              <w:pStyle w:val="TableParagraph"/>
              <w:jc w:val="center"/>
              <w:rPr>
                <w:rFonts w:ascii="Times New Roman" w:eastAsia="宋体" w:hAnsi="Times New Roman"/>
                <w:color w:val="auto"/>
                <w:spacing w:val="-5"/>
              </w:rPr>
            </w:pPr>
          </w:p>
        </w:tc>
        <w:tc>
          <w:tcPr>
            <w:tcW w:w="2375" w:type="dxa"/>
            <w:vAlign w:val="center"/>
          </w:tcPr>
          <w:p w14:paraId="32AFAFD4" w14:textId="77777777" w:rsidR="0075791A" w:rsidRDefault="0075791A">
            <w:pPr>
              <w:pStyle w:val="TableParagraph"/>
              <w:jc w:val="center"/>
              <w:rPr>
                <w:rFonts w:ascii="Times New Roman" w:eastAsia="宋体" w:hAnsi="Times New Roman"/>
                <w:color w:val="auto"/>
                <w:spacing w:val="-2"/>
              </w:rPr>
            </w:pPr>
          </w:p>
        </w:tc>
        <w:tc>
          <w:tcPr>
            <w:tcW w:w="2923" w:type="dxa"/>
            <w:vMerge/>
            <w:tcBorders>
              <w:right w:val="single" w:sz="10" w:space="0" w:color="000000"/>
            </w:tcBorders>
            <w:vAlign w:val="center"/>
          </w:tcPr>
          <w:p w14:paraId="18F935FA" w14:textId="77777777" w:rsidR="0075791A" w:rsidRDefault="0075791A">
            <w:pPr>
              <w:pStyle w:val="TableText"/>
              <w:jc w:val="center"/>
              <w:rPr>
                <w:rFonts w:ascii="Times New Roman" w:hAnsi="Times New Roman"/>
                <w:color w:val="auto"/>
                <w:sz w:val="21"/>
                <w:szCs w:val="21"/>
              </w:rPr>
            </w:pPr>
          </w:p>
        </w:tc>
      </w:tr>
      <w:tr w:rsidR="0075791A" w14:paraId="6DA20024" w14:textId="77777777">
        <w:trPr>
          <w:trHeight w:val="310"/>
        </w:trPr>
        <w:tc>
          <w:tcPr>
            <w:tcW w:w="605" w:type="dxa"/>
            <w:tcBorders>
              <w:left w:val="single" w:sz="10" w:space="0" w:color="000000"/>
            </w:tcBorders>
            <w:vAlign w:val="center"/>
          </w:tcPr>
          <w:p w14:paraId="15D120D0" w14:textId="77777777" w:rsidR="0075791A" w:rsidRDefault="00FB2864">
            <w:pPr>
              <w:jc w:val="center"/>
              <w:textAlignment w:val="center"/>
              <w:rPr>
                <w:rFonts w:ascii="Times New Roman" w:eastAsia="宋体" w:hAnsi="Times New Roman"/>
                <w:color w:val="auto"/>
                <w:spacing w:val="-5"/>
              </w:rPr>
            </w:pPr>
            <w:r>
              <w:rPr>
                <w:rFonts w:ascii="Times New Roman" w:eastAsia="宋体" w:hAnsi="Times New Roman" w:cs="宋体" w:hint="eastAsia"/>
                <w:color w:val="auto"/>
                <w:lang w:eastAsia="zh-CN" w:bidi="ar"/>
              </w:rPr>
              <w:t>22</w:t>
            </w:r>
          </w:p>
        </w:tc>
        <w:tc>
          <w:tcPr>
            <w:tcW w:w="754" w:type="dxa"/>
            <w:vAlign w:val="center"/>
          </w:tcPr>
          <w:p w14:paraId="12E48808" w14:textId="77777777" w:rsidR="0075791A" w:rsidRDefault="00FB2864">
            <w:pPr>
              <w:pStyle w:val="TableParagraph"/>
              <w:jc w:val="center"/>
              <w:rPr>
                <w:rFonts w:ascii="Times New Roman" w:eastAsia="宋体" w:hAnsi="Times New Roman"/>
                <w:color w:val="auto"/>
                <w:spacing w:val="-1"/>
              </w:rPr>
            </w:pPr>
            <w:r>
              <w:rPr>
                <w:rFonts w:ascii="Times New Roman" w:eastAsia="宋体" w:hAnsi="Times New Roman" w:cs="Times New Roman"/>
                <w:color w:val="auto"/>
              </w:rPr>
              <w:t>4</w:t>
            </w:r>
          </w:p>
        </w:tc>
        <w:tc>
          <w:tcPr>
            <w:tcW w:w="2377" w:type="dxa"/>
            <w:vAlign w:val="center"/>
          </w:tcPr>
          <w:p w14:paraId="644364C9" w14:textId="77777777" w:rsidR="0075791A" w:rsidRDefault="0075791A">
            <w:pPr>
              <w:pStyle w:val="TableParagraph"/>
              <w:jc w:val="center"/>
              <w:rPr>
                <w:rFonts w:ascii="Times New Roman" w:eastAsia="宋体" w:hAnsi="Times New Roman"/>
                <w:color w:val="auto"/>
                <w:spacing w:val="-5"/>
              </w:rPr>
            </w:pPr>
          </w:p>
        </w:tc>
        <w:tc>
          <w:tcPr>
            <w:tcW w:w="2375" w:type="dxa"/>
            <w:vAlign w:val="center"/>
          </w:tcPr>
          <w:p w14:paraId="087E509C" w14:textId="77777777" w:rsidR="0075791A" w:rsidRDefault="0075791A">
            <w:pPr>
              <w:pStyle w:val="TableParagraph"/>
              <w:jc w:val="center"/>
              <w:rPr>
                <w:rFonts w:ascii="Times New Roman" w:eastAsia="宋体" w:hAnsi="Times New Roman"/>
                <w:color w:val="auto"/>
                <w:spacing w:val="-2"/>
              </w:rPr>
            </w:pPr>
          </w:p>
        </w:tc>
        <w:tc>
          <w:tcPr>
            <w:tcW w:w="2923" w:type="dxa"/>
            <w:vMerge/>
            <w:tcBorders>
              <w:right w:val="single" w:sz="10" w:space="0" w:color="000000"/>
            </w:tcBorders>
            <w:vAlign w:val="center"/>
          </w:tcPr>
          <w:p w14:paraId="70E71F20" w14:textId="77777777" w:rsidR="0075791A" w:rsidRDefault="0075791A">
            <w:pPr>
              <w:pStyle w:val="TableText"/>
              <w:jc w:val="center"/>
              <w:rPr>
                <w:rFonts w:ascii="Times New Roman" w:hAnsi="Times New Roman"/>
                <w:color w:val="auto"/>
                <w:sz w:val="21"/>
                <w:szCs w:val="21"/>
              </w:rPr>
            </w:pPr>
          </w:p>
        </w:tc>
      </w:tr>
      <w:tr w:rsidR="0075791A" w14:paraId="47470727" w14:textId="77777777">
        <w:trPr>
          <w:trHeight w:val="310"/>
        </w:trPr>
        <w:tc>
          <w:tcPr>
            <w:tcW w:w="605" w:type="dxa"/>
            <w:tcBorders>
              <w:left w:val="single" w:sz="10" w:space="0" w:color="000000"/>
            </w:tcBorders>
            <w:vAlign w:val="center"/>
          </w:tcPr>
          <w:p w14:paraId="7AEC461B" w14:textId="77777777" w:rsidR="0075791A" w:rsidRDefault="00FB2864">
            <w:pPr>
              <w:jc w:val="center"/>
              <w:textAlignment w:val="center"/>
              <w:rPr>
                <w:rFonts w:ascii="Times New Roman" w:eastAsia="宋体" w:hAnsi="Times New Roman"/>
                <w:color w:val="auto"/>
                <w:spacing w:val="-5"/>
              </w:rPr>
            </w:pPr>
            <w:r>
              <w:rPr>
                <w:rFonts w:ascii="Times New Roman" w:eastAsia="宋体" w:hAnsi="Times New Roman" w:cs="宋体" w:hint="eastAsia"/>
                <w:color w:val="auto"/>
                <w:lang w:eastAsia="zh-CN" w:bidi="ar"/>
              </w:rPr>
              <w:t>23</w:t>
            </w:r>
          </w:p>
        </w:tc>
        <w:tc>
          <w:tcPr>
            <w:tcW w:w="754" w:type="dxa"/>
            <w:vAlign w:val="center"/>
          </w:tcPr>
          <w:p w14:paraId="554A82B4" w14:textId="77777777" w:rsidR="0075791A" w:rsidRDefault="00FB2864">
            <w:pPr>
              <w:pStyle w:val="TableParagraph"/>
              <w:jc w:val="center"/>
              <w:rPr>
                <w:rFonts w:ascii="Times New Roman" w:eastAsia="宋体" w:hAnsi="Times New Roman"/>
                <w:color w:val="auto"/>
                <w:spacing w:val="-1"/>
              </w:rPr>
            </w:pPr>
            <w:r>
              <w:rPr>
                <w:rFonts w:ascii="Times New Roman" w:eastAsia="宋体" w:hAnsi="Times New Roman" w:cs="Times New Roman"/>
                <w:color w:val="auto"/>
              </w:rPr>
              <w:t>5</w:t>
            </w:r>
          </w:p>
        </w:tc>
        <w:tc>
          <w:tcPr>
            <w:tcW w:w="2377" w:type="dxa"/>
            <w:vAlign w:val="center"/>
          </w:tcPr>
          <w:p w14:paraId="268507D6" w14:textId="77777777" w:rsidR="0075791A" w:rsidRDefault="0075791A">
            <w:pPr>
              <w:pStyle w:val="TableParagraph"/>
              <w:jc w:val="center"/>
              <w:rPr>
                <w:rFonts w:ascii="Times New Roman" w:eastAsia="宋体" w:hAnsi="Times New Roman"/>
                <w:color w:val="auto"/>
                <w:spacing w:val="-5"/>
              </w:rPr>
            </w:pPr>
          </w:p>
        </w:tc>
        <w:tc>
          <w:tcPr>
            <w:tcW w:w="2375" w:type="dxa"/>
            <w:vAlign w:val="center"/>
          </w:tcPr>
          <w:p w14:paraId="588A6B6A" w14:textId="77777777" w:rsidR="0075791A" w:rsidRDefault="0075791A">
            <w:pPr>
              <w:pStyle w:val="TableParagraph"/>
              <w:jc w:val="center"/>
              <w:rPr>
                <w:rFonts w:ascii="Times New Roman" w:eastAsia="宋体" w:hAnsi="Times New Roman"/>
                <w:color w:val="auto"/>
                <w:spacing w:val="-2"/>
              </w:rPr>
            </w:pPr>
          </w:p>
        </w:tc>
        <w:tc>
          <w:tcPr>
            <w:tcW w:w="2923" w:type="dxa"/>
            <w:vMerge/>
            <w:tcBorders>
              <w:right w:val="single" w:sz="10" w:space="0" w:color="000000"/>
            </w:tcBorders>
            <w:vAlign w:val="center"/>
          </w:tcPr>
          <w:p w14:paraId="5147B712" w14:textId="77777777" w:rsidR="0075791A" w:rsidRDefault="0075791A">
            <w:pPr>
              <w:pStyle w:val="TableText"/>
              <w:jc w:val="center"/>
              <w:rPr>
                <w:rFonts w:ascii="Times New Roman" w:hAnsi="Times New Roman"/>
                <w:color w:val="auto"/>
                <w:sz w:val="21"/>
                <w:szCs w:val="21"/>
              </w:rPr>
            </w:pPr>
          </w:p>
        </w:tc>
      </w:tr>
      <w:tr w:rsidR="0075791A" w14:paraId="07E85042" w14:textId="77777777">
        <w:trPr>
          <w:trHeight w:val="310"/>
        </w:trPr>
        <w:tc>
          <w:tcPr>
            <w:tcW w:w="605" w:type="dxa"/>
            <w:tcBorders>
              <w:left w:val="single" w:sz="10" w:space="0" w:color="000000"/>
            </w:tcBorders>
            <w:vAlign w:val="center"/>
          </w:tcPr>
          <w:p w14:paraId="0AEA464D" w14:textId="77777777" w:rsidR="0075791A" w:rsidRDefault="00FB2864">
            <w:pPr>
              <w:jc w:val="center"/>
              <w:textAlignment w:val="center"/>
              <w:rPr>
                <w:rFonts w:ascii="Times New Roman" w:eastAsia="宋体" w:hAnsi="Times New Roman"/>
                <w:color w:val="auto"/>
                <w:spacing w:val="-5"/>
              </w:rPr>
            </w:pPr>
            <w:r>
              <w:rPr>
                <w:rFonts w:ascii="Times New Roman" w:eastAsia="宋体" w:hAnsi="Times New Roman" w:cs="宋体" w:hint="eastAsia"/>
                <w:color w:val="auto"/>
                <w:lang w:eastAsia="zh-CN" w:bidi="ar"/>
              </w:rPr>
              <w:t>24</w:t>
            </w:r>
          </w:p>
        </w:tc>
        <w:tc>
          <w:tcPr>
            <w:tcW w:w="754" w:type="dxa"/>
            <w:vAlign w:val="center"/>
          </w:tcPr>
          <w:p w14:paraId="5897B75C" w14:textId="77777777" w:rsidR="0075791A" w:rsidRDefault="00FB2864">
            <w:pPr>
              <w:pStyle w:val="TableParagraph"/>
              <w:jc w:val="center"/>
              <w:rPr>
                <w:rFonts w:ascii="Times New Roman" w:eastAsia="宋体" w:hAnsi="Times New Roman"/>
                <w:color w:val="auto"/>
                <w:spacing w:val="-1"/>
              </w:rPr>
            </w:pPr>
            <w:r>
              <w:rPr>
                <w:rFonts w:ascii="Times New Roman" w:eastAsia="宋体" w:hAnsi="Times New Roman" w:cs="Times New Roman"/>
                <w:color w:val="auto"/>
              </w:rPr>
              <w:t>6</w:t>
            </w:r>
          </w:p>
        </w:tc>
        <w:tc>
          <w:tcPr>
            <w:tcW w:w="2377" w:type="dxa"/>
            <w:vAlign w:val="center"/>
          </w:tcPr>
          <w:p w14:paraId="4F6237E3" w14:textId="77777777" w:rsidR="0075791A" w:rsidRDefault="0075791A">
            <w:pPr>
              <w:pStyle w:val="TableParagraph"/>
              <w:jc w:val="center"/>
              <w:rPr>
                <w:rFonts w:ascii="Times New Roman" w:eastAsia="宋体" w:hAnsi="Times New Roman"/>
                <w:color w:val="auto"/>
                <w:spacing w:val="-5"/>
              </w:rPr>
            </w:pPr>
          </w:p>
        </w:tc>
        <w:tc>
          <w:tcPr>
            <w:tcW w:w="2375" w:type="dxa"/>
            <w:vAlign w:val="center"/>
          </w:tcPr>
          <w:p w14:paraId="0606D5C9" w14:textId="77777777" w:rsidR="0075791A" w:rsidRDefault="0075791A">
            <w:pPr>
              <w:pStyle w:val="TableParagraph"/>
              <w:jc w:val="center"/>
              <w:rPr>
                <w:rFonts w:ascii="Times New Roman" w:eastAsia="宋体" w:hAnsi="Times New Roman"/>
                <w:color w:val="auto"/>
                <w:spacing w:val="-2"/>
              </w:rPr>
            </w:pPr>
          </w:p>
        </w:tc>
        <w:tc>
          <w:tcPr>
            <w:tcW w:w="2923" w:type="dxa"/>
            <w:vMerge/>
            <w:tcBorders>
              <w:right w:val="single" w:sz="10" w:space="0" w:color="000000"/>
            </w:tcBorders>
            <w:vAlign w:val="center"/>
          </w:tcPr>
          <w:p w14:paraId="4F443D16" w14:textId="77777777" w:rsidR="0075791A" w:rsidRDefault="0075791A">
            <w:pPr>
              <w:pStyle w:val="TableText"/>
              <w:jc w:val="center"/>
              <w:rPr>
                <w:rFonts w:ascii="Times New Roman" w:hAnsi="Times New Roman"/>
                <w:color w:val="auto"/>
                <w:sz w:val="21"/>
                <w:szCs w:val="21"/>
              </w:rPr>
            </w:pPr>
          </w:p>
        </w:tc>
      </w:tr>
      <w:tr w:rsidR="0075791A" w14:paraId="04C30DFC" w14:textId="77777777">
        <w:trPr>
          <w:trHeight w:val="310"/>
        </w:trPr>
        <w:tc>
          <w:tcPr>
            <w:tcW w:w="605" w:type="dxa"/>
            <w:tcBorders>
              <w:left w:val="single" w:sz="10" w:space="0" w:color="000000"/>
            </w:tcBorders>
            <w:vAlign w:val="center"/>
          </w:tcPr>
          <w:p w14:paraId="765BB097" w14:textId="77777777" w:rsidR="0075791A" w:rsidRDefault="00FB2864">
            <w:pPr>
              <w:jc w:val="center"/>
              <w:textAlignment w:val="center"/>
              <w:rPr>
                <w:rFonts w:ascii="Times New Roman" w:eastAsia="宋体" w:hAnsi="Times New Roman"/>
                <w:color w:val="auto"/>
                <w:spacing w:val="-5"/>
              </w:rPr>
            </w:pPr>
            <w:r>
              <w:rPr>
                <w:rFonts w:ascii="Times New Roman" w:eastAsia="宋体" w:hAnsi="Times New Roman" w:cs="宋体" w:hint="eastAsia"/>
                <w:color w:val="auto"/>
                <w:lang w:eastAsia="zh-CN" w:bidi="ar"/>
              </w:rPr>
              <w:t>25</w:t>
            </w:r>
          </w:p>
        </w:tc>
        <w:tc>
          <w:tcPr>
            <w:tcW w:w="754" w:type="dxa"/>
            <w:vAlign w:val="center"/>
          </w:tcPr>
          <w:p w14:paraId="36928F09" w14:textId="77777777" w:rsidR="0075791A" w:rsidRDefault="00FB2864">
            <w:pPr>
              <w:pStyle w:val="TableParagraph"/>
              <w:jc w:val="center"/>
              <w:rPr>
                <w:rFonts w:ascii="Times New Roman" w:eastAsia="宋体" w:hAnsi="Times New Roman"/>
                <w:color w:val="auto"/>
                <w:spacing w:val="-1"/>
              </w:rPr>
            </w:pPr>
            <w:r>
              <w:rPr>
                <w:rFonts w:ascii="Times New Roman" w:eastAsia="宋体" w:hAnsi="Times New Roman" w:cs="Times New Roman"/>
                <w:color w:val="auto"/>
              </w:rPr>
              <w:t>7</w:t>
            </w:r>
          </w:p>
        </w:tc>
        <w:tc>
          <w:tcPr>
            <w:tcW w:w="2377" w:type="dxa"/>
            <w:vAlign w:val="center"/>
          </w:tcPr>
          <w:p w14:paraId="2F86219D" w14:textId="77777777" w:rsidR="0075791A" w:rsidRDefault="0075791A">
            <w:pPr>
              <w:pStyle w:val="TableParagraph"/>
              <w:jc w:val="center"/>
              <w:rPr>
                <w:rFonts w:ascii="Times New Roman" w:eastAsia="宋体" w:hAnsi="Times New Roman"/>
                <w:color w:val="auto"/>
                <w:spacing w:val="-5"/>
              </w:rPr>
            </w:pPr>
          </w:p>
        </w:tc>
        <w:tc>
          <w:tcPr>
            <w:tcW w:w="2375" w:type="dxa"/>
            <w:vAlign w:val="center"/>
          </w:tcPr>
          <w:p w14:paraId="47C4599A" w14:textId="77777777" w:rsidR="0075791A" w:rsidRDefault="0075791A">
            <w:pPr>
              <w:pStyle w:val="TableParagraph"/>
              <w:jc w:val="center"/>
              <w:rPr>
                <w:rFonts w:ascii="Times New Roman" w:eastAsia="宋体" w:hAnsi="Times New Roman"/>
                <w:color w:val="auto"/>
                <w:spacing w:val="-2"/>
              </w:rPr>
            </w:pPr>
          </w:p>
        </w:tc>
        <w:tc>
          <w:tcPr>
            <w:tcW w:w="2923" w:type="dxa"/>
            <w:vMerge/>
            <w:tcBorders>
              <w:right w:val="single" w:sz="10" w:space="0" w:color="000000"/>
            </w:tcBorders>
            <w:vAlign w:val="center"/>
          </w:tcPr>
          <w:p w14:paraId="52AE536B" w14:textId="77777777" w:rsidR="0075791A" w:rsidRDefault="0075791A">
            <w:pPr>
              <w:pStyle w:val="TableText"/>
              <w:jc w:val="center"/>
              <w:rPr>
                <w:rFonts w:ascii="Times New Roman" w:hAnsi="Times New Roman"/>
                <w:color w:val="auto"/>
                <w:sz w:val="21"/>
                <w:szCs w:val="21"/>
              </w:rPr>
            </w:pPr>
          </w:p>
        </w:tc>
      </w:tr>
      <w:tr w:rsidR="0075791A" w14:paraId="04360DB8" w14:textId="77777777">
        <w:trPr>
          <w:trHeight w:val="310"/>
        </w:trPr>
        <w:tc>
          <w:tcPr>
            <w:tcW w:w="605" w:type="dxa"/>
            <w:tcBorders>
              <w:left w:val="single" w:sz="10" w:space="0" w:color="000000"/>
            </w:tcBorders>
            <w:vAlign w:val="center"/>
          </w:tcPr>
          <w:p w14:paraId="49FC356B" w14:textId="77777777" w:rsidR="0075791A" w:rsidRDefault="00FB2864">
            <w:pPr>
              <w:jc w:val="center"/>
              <w:textAlignment w:val="center"/>
              <w:rPr>
                <w:rFonts w:ascii="Times New Roman" w:eastAsia="宋体" w:hAnsi="Times New Roman"/>
                <w:color w:val="auto"/>
                <w:spacing w:val="-5"/>
              </w:rPr>
            </w:pPr>
            <w:r>
              <w:rPr>
                <w:rFonts w:ascii="Times New Roman" w:eastAsia="宋体" w:hAnsi="Times New Roman" w:cs="宋体" w:hint="eastAsia"/>
                <w:color w:val="auto"/>
                <w:lang w:eastAsia="zh-CN" w:bidi="ar"/>
              </w:rPr>
              <w:t>26</w:t>
            </w:r>
          </w:p>
        </w:tc>
        <w:tc>
          <w:tcPr>
            <w:tcW w:w="754" w:type="dxa"/>
            <w:vAlign w:val="center"/>
          </w:tcPr>
          <w:p w14:paraId="6B9A1E8A" w14:textId="77777777" w:rsidR="0075791A" w:rsidRDefault="00FB2864">
            <w:pPr>
              <w:pStyle w:val="TableParagraph"/>
              <w:jc w:val="center"/>
              <w:rPr>
                <w:rFonts w:ascii="Times New Roman" w:eastAsia="宋体" w:hAnsi="Times New Roman"/>
                <w:color w:val="auto"/>
                <w:spacing w:val="-1"/>
              </w:rPr>
            </w:pPr>
            <w:r>
              <w:rPr>
                <w:rFonts w:ascii="Times New Roman" w:eastAsia="宋体" w:hAnsi="Times New Roman" w:cs="Times New Roman"/>
                <w:color w:val="auto"/>
              </w:rPr>
              <w:t>8</w:t>
            </w:r>
          </w:p>
        </w:tc>
        <w:tc>
          <w:tcPr>
            <w:tcW w:w="2377" w:type="dxa"/>
            <w:vAlign w:val="center"/>
          </w:tcPr>
          <w:p w14:paraId="129277B7" w14:textId="77777777" w:rsidR="0075791A" w:rsidRDefault="0075791A">
            <w:pPr>
              <w:pStyle w:val="TableParagraph"/>
              <w:jc w:val="center"/>
              <w:rPr>
                <w:rFonts w:ascii="Times New Roman" w:eastAsia="宋体" w:hAnsi="Times New Roman"/>
                <w:color w:val="auto"/>
                <w:spacing w:val="-5"/>
              </w:rPr>
            </w:pPr>
          </w:p>
        </w:tc>
        <w:tc>
          <w:tcPr>
            <w:tcW w:w="2375" w:type="dxa"/>
            <w:vAlign w:val="center"/>
          </w:tcPr>
          <w:p w14:paraId="18076A65" w14:textId="77777777" w:rsidR="0075791A" w:rsidRDefault="0075791A">
            <w:pPr>
              <w:pStyle w:val="TableParagraph"/>
              <w:jc w:val="center"/>
              <w:rPr>
                <w:rFonts w:ascii="Times New Roman" w:eastAsia="宋体" w:hAnsi="Times New Roman"/>
                <w:color w:val="auto"/>
                <w:spacing w:val="-2"/>
              </w:rPr>
            </w:pPr>
          </w:p>
        </w:tc>
        <w:tc>
          <w:tcPr>
            <w:tcW w:w="2923" w:type="dxa"/>
            <w:vMerge/>
            <w:tcBorders>
              <w:right w:val="single" w:sz="10" w:space="0" w:color="000000"/>
            </w:tcBorders>
            <w:vAlign w:val="center"/>
          </w:tcPr>
          <w:p w14:paraId="6F896008" w14:textId="77777777" w:rsidR="0075791A" w:rsidRDefault="0075791A">
            <w:pPr>
              <w:pStyle w:val="TableText"/>
              <w:jc w:val="center"/>
              <w:rPr>
                <w:rFonts w:ascii="Times New Roman" w:hAnsi="Times New Roman"/>
                <w:color w:val="auto"/>
                <w:sz w:val="21"/>
                <w:szCs w:val="21"/>
              </w:rPr>
            </w:pPr>
          </w:p>
        </w:tc>
      </w:tr>
      <w:tr w:rsidR="0075791A" w14:paraId="6CBDDDC3" w14:textId="77777777">
        <w:trPr>
          <w:trHeight w:val="310"/>
        </w:trPr>
        <w:tc>
          <w:tcPr>
            <w:tcW w:w="605" w:type="dxa"/>
            <w:tcBorders>
              <w:left w:val="single" w:sz="10" w:space="0" w:color="000000"/>
            </w:tcBorders>
            <w:vAlign w:val="center"/>
          </w:tcPr>
          <w:p w14:paraId="28B8F43B" w14:textId="77777777" w:rsidR="0075791A" w:rsidRDefault="00FB2864">
            <w:pPr>
              <w:jc w:val="center"/>
              <w:textAlignment w:val="center"/>
              <w:rPr>
                <w:rFonts w:ascii="Times New Roman" w:eastAsia="宋体" w:hAnsi="Times New Roman"/>
                <w:color w:val="auto"/>
                <w:spacing w:val="-5"/>
              </w:rPr>
            </w:pPr>
            <w:r>
              <w:rPr>
                <w:rFonts w:ascii="Times New Roman" w:eastAsia="宋体" w:hAnsi="Times New Roman" w:cs="宋体" w:hint="eastAsia"/>
                <w:color w:val="auto"/>
                <w:lang w:eastAsia="zh-CN" w:bidi="ar"/>
              </w:rPr>
              <w:t>27</w:t>
            </w:r>
          </w:p>
        </w:tc>
        <w:tc>
          <w:tcPr>
            <w:tcW w:w="754" w:type="dxa"/>
            <w:vAlign w:val="center"/>
          </w:tcPr>
          <w:p w14:paraId="5A7E519A" w14:textId="77777777" w:rsidR="0075791A" w:rsidRDefault="00FB2864">
            <w:pPr>
              <w:pStyle w:val="TableParagraph"/>
              <w:jc w:val="center"/>
              <w:rPr>
                <w:rFonts w:ascii="Times New Roman" w:eastAsia="宋体" w:hAnsi="Times New Roman"/>
                <w:color w:val="auto"/>
                <w:spacing w:val="-1"/>
              </w:rPr>
            </w:pPr>
            <w:r>
              <w:rPr>
                <w:rFonts w:ascii="Times New Roman" w:eastAsia="宋体" w:hAnsi="Times New Roman" w:cs="Times New Roman"/>
                <w:color w:val="auto"/>
              </w:rPr>
              <w:t>9</w:t>
            </w:r>
          </w:p>
        </w:tc>
        <w:tc>
          <w:tcPr>
            <w:tcW w:w="2377" w:type="dxa"/>
            <w:vAlign w:val="center"/>
          </w:tcPr>
          <w:p w14:paraId="3B0D5670" w14:textId="77777777" w:rsidR="0075791A" w:rsidRDefault="0075791A">
            <w:pPr>
              <w:pStyle w:val="TableParagraph"/>
              <w:jc w:val="center"/>
              <w:rPr>
                <w:rFonts w:ascii="Times New Roman" w:eastAsia="宋体" w:hAnsi="Times New Roman"/>
                <w:color w:val="auto"/>
                <w:spacing w:val="-5"/>
              </w:rPr>
            </w:pPr>
          </w:p>
        </w:tc>
        <w:tc>
          <w:tcPr>
            <w:tcW w:w="2375" w:type="dxa"/>
            <w:vAlign w:val="center"/>
          </w:tcPr>
          <w:p w14:paraId="09B9EA32" w14:textId="77777777" w:rsidR="0075791A" w:rsidRDefault="0075791A">
            <w:pPr>
              <w:pStyle w:val="TableParagraph"/>
              <w:jc w:val="center"/>
              <w:rPr>
                <w:rFonts w:ascii="Times New Roman" w:eastAsia="宋体" w:hAnsi="Times New Roman"/>
                <w:color w:val="auto"/>
                <w:spacing w:val="-2"/>
              </w:rPr>
            </w:pPr>
          </w:p>
        </w:tc>
        <w:tc>
          <w:tcPr>
            <w:tcW w:w="2923" w:type="dxa"/>
            <w:vMerge/>
            <w:tcBorders>
              <w:right w:val="single" w:sz="10" w:space="0" w:color="000000"/>
            </w:tcBorders>
            <w:vAlign w:val="center"/>
          </w:tcPr>
          <w:p w14:paraId="3C5A3C08" w14:textId="77777777" w:rsidR="0075791A" w:rsidRDefault="0075791A">
            <w:pPr>
              <w:pStyle w:val="TableText"/>
              <w:jc w:val="center"/>
              <w:rPr>
                <w:rFonts w:ascii="Times New Roman" w:hAnsi="Times New Roman"/>
                <w:color w:val="auto"/>
                <w:sz w:val="21"/>
                <w:szCs w:val="21"/>
              </w:rPr>
            </w:pPr>
          </w:p>
        </w:tc>
      </w:tr>
      <w:tr w:rsidR="0075791A" w14:paraId="16C2849E" w14:textId="77777777">
        <w:trPr>
          <w:trHeight w:val="310"/>
        </w:trPr>
        <w:tc>
          <w:tcPr>
            <w:tcW w:w="605" w:type="dxa"/>
            <w:tcBorders>
              <w:left w:val="single" w:sz="10" w:space="0" w:color="000000"/>
            </w:tcBorders>
            <w:vAlign w:val="center"/>
          </w:tcPr>
          <w:p w14:paraId="4AF18065" w14:textId="77777777" w:rsidR="0075791A" w:rsidRDefault="00FB2864">
            <w:pPr>
              <w:jc w:val="center"/>
              <w:textAlignment w:val="center"/>
              <w:rPr>
                <w:rFonts w:ascii="Times New Roman" w:eastAsia="宋体" w:hAnsi="Times New Roman"/>
                <w:color w:val="auto"/>
                <w:spacing w:val="-5"/>
              </w:rPr>
            </w:pPr>
            <w:r>
              <w:rPr>
                <w:rFonts w:ascii="Times New Roman" w:eastAsia="宋体" w:hAnsi="Times New Roman" w:cs="宋体" w:hint="eastAsia"/>
                <w:color w:val="auto"/>
                <w:lang w:eastAsia="zh-CN" w:bidi="ar"/>
              </w:rPr>
              <w:t>28</w:t>
            </w:r>
          </w:p>
        </w:tc>
        <w:tc>
          <w:tcPr>
            <w:tcW w:w="754" w:type="dxa"/>
            <w:vAlign w:val="center"/>
          </w:tcPr>
          <w:p w14:paraId="2DD77497" w14:textId="77777777" w:rsidR="0075791A" w:rsidRDefault="00FB2864">
            <w:pPr>
              <w:pStyle w:val="TableParagraph"/>
              <w:jc w:val="center"/>
              <w:rPr>
                <w:rFonts w:ascii="Times New Roman" w:eastAsia="宋体" w:hAnsi="Times New Roman"/>
                <w:color w:val="auto"/>
                <w:spacing w:val="-1"/>
              </w:rPr>
            </w:pPr>
            <w:r>
              <w:rPr>
                <w:rFonts w:ascii="Times New Roman" w:eastAsia="宋体" w:hAnsi="Times New Roman" w:cs="Times New Roman"/>
                <w:color w:val="auto"/>
                <w:spacing w:val="1"/>
              </w:rPr>
              <w:t>1</w:t>
            </w:r>
            <w:r>
              <w:rPr>
                <w:rFonts w:ascii="Times New Roman" w:eastAsia="宋体" w:hAnsi="Times New Roman" w:cs="Times New Roman"/>
                <w:color w:val="auto"/>
              </w:rPr>
              <w:t>0</w:t>
            </w:r>
          </w:p>
        </w:tc>
        <w:tc>
          <w:tcPr>
            <w:tcW w:w="2377" w:type="dxa"/>
            <w:vAlign w:val="center"/>
          </w:tcPr>
          <w:p w14:paraId="3DA08CC9" w14:textId="77777777" w:rsidR="0075791A" w:rsidRDefault="0075791A">
            <w:pPr>
              <w:pStyle w:val="TableParagraph"/>
              <w:jc w:val="center"/>
              <w:rPr>
                <w:rFonts w:ascii="Times New Roman" w:eastAsia="宋体" w:hAnsi="Times New Roman"/>
                <w:color w:val="auto"/>
                <w:spacing w:val="-5"/>
              </w:rPr>
            </w:pPr>
          </w:p>
        </w:tc>
        <w:tc>
          <w:tcPr>
            <w:tcW w:w="2375" w:type="dxa"/>
            <w:vAlign w:val="center"/>
          </w:tcPr>
          <w:p w14:paraId="5345E33E" w14:textId="77777777" w:rsidR="0075791A" w:rsidRDefault="0075791A">
            <w:pPr>
              <w:pStyle w:val="TableParagraph"/>
              <w:jc w:val="center"/>
              <w:rPr>
                <w:rFonts w:ascii="Times New Roman" w:eastAsia="宋体" w:hAnsi="Times New Roman"/>
                <w:color w:val="auto"/>
                <w:spacing w:val="-2"/>
              </w:rPr>
            </w:pPr>
          </w:p>
        </w:tc>
        <w:tc>
          <w:tcPr>
            <w:tcW w:w="2923" w:type="dxa"/>
            <w:vMerge/>
            <w:tcBorders>
              <w:right w:val="single" w:sz="10" w:space="0" w:color="000000"/>
            </w:tcBorders>
            <w:vAlign w:val="center"/>
          </w:tcPr>
          <w:p w14:paraId="3B2BB4C4" w14:textId="77777777" w:rsidR="0075791A" w:rsidRDefault="0075791A">
            <w:pPr>
              <w:pStyle w:val="TableText"/>
              <w:jc w:val="center"/>
              <w:rPr>
                <w:rFonts w:ascii="Times New Roman" w:hAnsi="Times New Roman"/>
                <w:color w:val="auto"/>
                <w:sz w:val="21"/>
                <w:szCs w:val="21"/>
              </w:rPr>
            </w:pPr>
          </w:p>
        </w:tc>
      </w:tr>
      <w:tr w:rsidR="0075791A" w14:paraId="22B79BF8" w14:textId="77777777">
        <w:trPr>
          <w:trHeight w:val="310"/>
        </w:trPr>
        <w:tc>
          <w:tcPr>
            <w:tcW w:w="605" w:type="dxa"/>
            <w:tcBorders>
              <w:left w:val="single" w:sz="10" w:space="0" w:color="000000"/>
            </w:tcBorders>
            <w:vAlign w:val="center"/>
          </w:tcPr>
          <w:p w14:paraId="3F666AD4" w14:textId="77777777" w:rsidR="0075791A" w:rsidRDefault="00FB2864">
            <w:pPr>
              <w:jc w:val="center"/>
              <w:textAlignment w:val="center"/>
              <w:rPr>
                <w:rFonts w:ascii="Times New Roman" w:eastAsia="宋体" w:hAnsi="Times New Roman"/>
                <w:color w:val="auto"/>
                <w:spacing w:val="-5"/>
              </w:rPr>
            </w:pPr>
            <w:r>
              <w:rPr>
                <w:rFonts w:ascii="Times New Roman" w:eastAsia="宋体" w:hAnsi="Times New Roman" w:cs="宋体" w:hint="eastAsia"/>
                <w:color w:val="auto"/>
                <w:lang w:eastAsia="zh-CN" w:bidi="ar"/>
              </w:rPr>
              <w:t>29</w:t>
            </w:r>
          </w:p>
        </w:tc>
        <w:tc>
          <w:tcPr>
            <w:tcW w:w="754" w:type="dxa"/>
            <w:vAlign w:val="center"/>
          </w:tcPr>
          <w:p w14:paraId="571D2127" w14:textId="77777777" w:rsidR="0075791A" w:rsidRDefault="00FB2864">
            <w:pPr>
              <w:pStyle w:val="TableParagraph"/>
              <w:jc w:val="center"/>
              <w:rPr>
                <w:rFonts w:ascii="Times New Roman" w:eastAsia="宋体" w:hAnsi="Times New Roman"/>
                <w:color w:val="auto"/>
                <w:spacing w:val="-1"/>
              </w:rPr>
            </w:pPr>
            <w:r>
              <w:rPr>
                <w:rFonts w:ascii="Times New Roman" w:eastAsia="宋体" w:hAnsi="Times New Roman" w:cs="Times New Roman"/>
                <w:color w:val="auto"/>
                <w:spacing w:val="-5"/>
              </w:rPr>
              <w:t>1</w:t>
            </w:r>
            <w:r>
              <w:rPr>
                <w:rFonts w:ascii="Times New Roman" w:eastAsia="宋体" w:hAnsi="Times New Roman" w:cs="Times New Roman"/>
                <w:color w:val="auto"/>
              </w:rPr>
              <w:t>1</w:t>
            </w:r>
          </w:p>
        </w:tc>
        <w:tc>
          <w:tcPr>
            <w:tcW w:w="2377" w:type="dxa"/>
            <w:vAlign w:val="center"/>
          </w:tcPr>
          <w:p w14:paraId="138DC2B7" w14:textId="77777777" w:rsidR="0075791A" w:rsidRDefault="0075791A">
            <w:pPr>
              <w:pStyle w:val="TableParagraph"/>
              <w:jc w:val="center"/>
              <w:rPr>
                <w:rFonts w:ascii="Times New Roman" w:eastAsia="宋体" w:hAnsi="Times New Roman"/>
                <w:color w:val="auto"/>
                <w:spacing w:val="-5"/>
              </w:rPr>
            </w:pPr>
          </w:p>
        </w:tc>
        <w:tc>
          <w:tcPr>
            <w:tcW w:w="2375" w:type="dxa"/>
            <w:vAlign w:val="center"/>
          </w:tcPr>
          <w:p w14:paraId="4073AF63" w14:textId="77777777" w:rsidR="0075791A" w:rsidRDefault="0075791A">
            <w:pPr>
              <w:pStyle w:val="TableParagraph"/>
              <w:jc w:val="center"/>
              <w:rPr>
                <w:rFonts w:ascii="Times New Roman" w:eastAsia="宋体" w:hAnsi="Times New Roman"/>
                <w:color w:val="auto"/>
                <w:spacing w:val="-2"/>
              </w:rPr>
            </w:pPr>
          </w:p>
        </w:tc>
        <w:tc>
          <w:tcPr>
            <w:tcW w:w="2923" w:type="dxa"/>
            <w:vMerge/>
            <w:tcBorders>
              <w:right w:val="single" w:sz="10" w:space="0" w:color="000000"/>
            </w:tcBorders>
            <w:vAlign w:val="center"/>
          </w:tcPr>
          <w:p w14:paraId="311C38B1" w14:textId="77777777" w:rsidR="0075791A" w:rsidRDefault="0075791A">
            <w:pPr>
              <w:pStyle w:val="TableText"/>
              <w:jc w:val="center"/>
              <w:rPr>
                <w:rFonts w:ascii="Times New Roman" w:hAnsi="Times New Roman"/>
                <w:color w:val="auto"/>
                <w:sz w:val="21"/>
                <w:szCs w:val="21"/>
              </w:rPr>
            </w:pPr>
          </w:p>
        </w:tc>
      </w:tr>
      <w:tr w:rsidR="0075791A" w14:paraId="6CE759E3" w14:textId="77777777">
        <w:trPr>
          <w:trHeight w:val="310"/>
        </w:trPr>
        <w:tc>
          <w:tcPr>
            <w:tcW w:w="605" w:type="dxa"/>
            <w:tcBorders>
              <w:left w:val="single" w:sz="10" w:space="0" w:color="000000"/>
            </w:tcBorders>
            <w:vAlign w:val="center"/>
          </w:tcPr>
          <w:p w14:paraId="78E73F60" w14:textId="77777777" w:rsidR="0075791A" w:rsidRDefault="00FB2864">
            <w:pPr>
              <w:jc w:val="center"/>
              <w:textAlignment w:val="center"/>
              <w:rPr>
                <w:rFonts w:ascii="Times New Roman" w:eastAsia="宋体" w:hAnsi="Times New Roman"/>
                <w:color w:val="auto"/>
                <w:spacing w:val="-5"/>
              </w:rPr>
            </w:pPr>
            <w:r>
              <w:rPr>
                <w:rFonts w:ascii="Times New Roman" w:eastAsia="宋体" w:hAnsi="Times New Roman" w:cs="宋体" w:hint="eastAsia"/>
                <w:color w:val="auto"/>
                <w:lang w:eastAsia="zh-CN" w:bidi="ar"/>
              </w:rPr>
              <w:t>30</w:t>
            </w:r>
          </w:p>
        </w:tc>
        <w:tc>
          <w:tcPr>
            <w:tcW w:w="754" w:type="dxa"/>
            <w:vAlign w:val="center"/>
          </w:tcPr>
          <w:p w14:paraId="5A772E40" w14:textId="77777777" w:rsidR="0075791A" w:rsidRDefault="00FB2864">
            <w:pPr>
              <w:pStyle w:val="TableParagraph"/>
              <w:jc w:val="center"/>
              <w:rPr>
                <w:rFonts w:ascii="Times New Roman" w:eastAsia="宋体" w:hAnsi="Times New Roman"/>
                <w:color w:val="auto"/>
                <w:spacing w:val="-1"/>
              </w:rPr>
            </w:pPr>
            <w:r>
              <w:rPr>
                <w:rFonts w:ascii="Times New Roman" w:eastAsia="宋体" w:hAnsi="Times New Roman" w:cs="Times New Roman"/>
                <w:color w:val="auto"/>
                <w:spacing w:val="1"/>
              </w:rPr>
              <w:t>1</w:t>
            </w:r>
            <w:r>
              <w:rPr>
                <w:rFonts w:ascii="Times New Roman" w:eastAsia="宋体" w:hAnsi="Times New Roman" w:cs="Times New Roman"/>
                <w:color w:val="auto"/>
              </w:rPr>
              <w:t>2</w:t>
            </w:r>
          </w:p>
        </w:tc>
        <w:tc>
          <w:tcPr>
            <w:tcW w:w="2377" w:type="dxa"/>
            <w:vAlign w:val="center"/>
          </w:tcPr>
          <w:p w14:paraId="29362824" w14:textId="77777777" w:rsidR="0075791A" w:rsidRDefault="0075791A">
            <w:pPr>
              <w:pStyle w:val="TableParagraph"/>
              <w:jc w:val="center"/>
              <w:rPr>
                <w:rFonts w:ascii="Times New Roman" w:eastAsia="宋体" w:hAnsi="Times New Roman"/>
                <w:color w:val="auto"/>
                <w:spacing w:val="-5"/>
              </w:rPr>
            </w:pPr>
          </w:p>
        </w:tc>
        <w:tc>
          <w:tcPr>
            <w:tcW w:w="2375" w:type="dxa"/>
            <w:vAlign w:val="center"/>
          </w:tcPr>
          <w:p w14:paraId="1DAEAD38" w14:textId="77777777" w:rsidR="0075791A" w:rsidRDefault="0075791A">
            <w:pPr>
              <w:pStyle w:val="TableParagraph"/>
              <w:jc w:val="center"/>
              <w:rPr>
                <w:rFonts w:ascii="Times New Roman" w:eastAsia="宋体" w:hAnsi="Times New Roman"/>
                <w:color w:val="auto"/>
                <w:spacing w:val="-2"/>
              </w:rPr>
            </w:pPr>
          </w:p>
        </w:tc>
        <w:tc>
          <w:tcPr>
            <w:tcW w:w="2923" w:type="dxa"/>
            <w:vMerge/>
            <w:tcBorders>
              <w:right w:val="single" w:sz="10" w:space="0" w:color="000000"/>
            </w:tcBorders>
            <w:vAlign w:val="center"/>
          </w:tcPr>
          <w:p w14:paraId="51380367" w14:textId="77777777" w:rsidR="0075791A" w:rsidRDefault="0075791A">
            <w:pPr>
              <w:pStyle w:val="TableText"/>
              <w:jc w:val="center"/>
              <w:rPr>
                <w:rFonts w:ascii="Times New Roman" w:hAnsi="Times New Roman"/>
                <w:color w:val="auto"/>
                <w:sz w:val="21"/>
                <w:szCs w:val="21"/>
              </w:rPr>
            </w:pPr>
          </w:p>
        </w:tc>
      </w:tr>
      <w:tr w:rsidR="0075791A" w14:paraId="4E19155D" w14:textId="77777777">
        <w:trPr>
          <w:trHeight w:val="310"/>
        </w:trPr>
        <w:tc>
          <w:tcPr>
            <w:tcW w:w="605" w:type="dxa"/>
            <w:tcBorders>
              <w:left w:val="single" w:sz="10" w:space="0" w:color="000000"/>
            </w:tcBorders>
            <w:vAlign w:val="center"/>
          </w:tcPr>
          <w:p w14:paraId="027040A5" w14:textId="77777777" w:rsidR="0075791A" w:rsidRDefault="00FB2864">
            <w:pPr>
              <w:jc w:val="center"/>
              <w:textAlignment w:val="center"/>
              <w:rPr>
                <w:rFonts w:ascii="Times New Roman" w:eastAsia="宋体" w:hAnsi="Times New Roman"/>
                <w:color w:val="auto"/>
                <w:spacing w:val="-5"/>
              </w:rPr>
            </w:pPr>
            <w:r>
              <w:rPr>
                <w:rFonts w:ascii="Times New Roman" w:eastAsia="宋体" w:hAnsi="Times New Roman" w:cs="宋体" w:hint="eastAsia"/>
                <w:color w:val="auto"/>
                <w:lang w:eastAsia="zh-CN" w:bidi="ar"/>
              </w:rPr>
              <w:t>31</w:t>
            </w:r>
          </w:p>
        </w:tc>
        <w:tc>
          <w:tcPr>
            <w:tcW w:w="754" w:type="dxa"/>
            <w:vAlign w:val="center"/>
          </w:tcPr>
          <w:p w14:paraId="276CB211" w14:textId="77777777" w:rsidR="0075791A" w:rsidRDefault="00FB2864">
            <w:pPr>
              <w:pStyle w:val="TableParagraph"/>
              <w:jc w:val="center"/>
              <w:rPr>
                <w:rFonts w:ascii="Times New Roman" w:eastAsia="宋体" w:hAnsi="Times New Roman"/>
                <w:color w:val="auto"/>
                <w:spacing w:val="-1"/>
              </w:rPr>
            </w:pPr>
            <w:r>
              <w:rPr>
                <w:rFonts w:ascii="Times New Roman" w:eastAsia="宋体" w:hAnsi="Times New Roman" w:cs="Times New Roman"/>
                <w:color w:val="auto"/>
                <w:spacing w:val="1"/>
              </w:rPr>
              <w:t>1</w:t>
            </w:r>
            <w:r>
              <w:rPr>
                <w:rFonts w:ascii="Times New Roman" w:eastAsia="宋体" w:hAnsi="Times New Roman" w:cs="Times New Roman"/>
                <w:color w:val="auto"/>
              </w:rPr>
              <w:t>3</w:t>
            </w:r>
          </w:p>
        </w:tc>
        <w:tc>
          <w:tcPr>
            <w:tcW w:w="2377" w:type="dxa"/>
            <w:vAlign w:val="center"/>
          </w:tcPr>
          <w:p w14:paraId="0FF7EB88" w14:textId="77777777" w:rsidR="0075791A" w:rsidRDefault="0075791A">
            <w:pPr>
              <w:pStyle w:val="TableParagraph"/>
              <w:jc w:val="center"/>
              <w:rPr>
                <w:rFonts w:ascii="Times New Roman" w:eastAsia="宋体" w:hAnsi="Times New Roman"/>
                <w:color w:val="auto"/>
                <w:spacing w:val="-5"/>
              </w:rPr>
            </w:pPr>
          </w:p>
        </w:tc>
        <w:tc>
          <w:tcPr>
            <w:tcW w:w="2375" w:type="dxa"/>
            <w:vAlign w:val="center"/>
          </w:tcPr>
          <w:p w14:paraId="3513711C" w14:textId="77777777" w:rsidR="0075791A" w:rsidRDefault="0075791A">
            <w:pPr>
              <w:pStyle w:val="TableParagraph"/>
              <w:jc w:val="center"/>
              <w:rPr>
                <w:rFonts w:ascii="Times New Roman" w:eastAsia="宋体" w:hAnsi="Times New Roman"/>
                <w:color w:val="auto"/>
                <w:spacing w:val="-2"/>
              </w:rPr>
            </w:pPr>
          </w:p>
        </w:tc>
        <w:tc>
          <w:tcPr>
            <w:tcW w:w="2923" w:type="dxa"/>
            <w:vMerge/>
            <w:tcBorders>
              <w:right w:val="single" w:sz="10" w:space="0" w:color="000000"/>
            </w:tcBorders>
            <w:vAlign w:val="center"/>
          </w:tcPr>
          <w:p w14:paraId="45E71B8F" w14:textId="77777777" w:rsidR="0075791A" w:rsidRDefault="0075791A">
            <w:pPr>
              <w:pStyle w:val="TableText"/>
              <w:jc w:val="center"/>
              <w:rPr>
                <w:rFonts w:ascii="Times New Roman" w:hAnsi="Times New Roman"/>
                <w:color w:val="auto"/>
                <w:sz w:val="21"/>
                <w:szCs w:val="21"/>
              </w:rPr>
            </w:pPr>
          </w:p>
        </w:tc>
      </w:tr>
    </w:tbl>
    <w:p w14:paraId="33557783" w14:textId="77777777" w:rsidR="0075791A" w:rsidRDefault="0075791A">
      <w:pPr>
        <w:pStyle w:val="TableText"/>
        <w:jc w:val="center"/>
        <w:rPr>
          <w:rFonts w:ascii="Times New Roman" w:hAnsi="Times New Roman"/>
          <w:color w:val="auto"/>
          <w:spacing w:val="-2"/>
        </w:rPr>
      </w:pPr>
    </w:p>
    <w:p w14:paraId="70D6B78D" w14:textId="77777777" w:rsidR="0075791A" w:rsidRDefault="0075791A">
      <w:pPr>
        <w:spacing w:line="360" w:lineRule="auto"/>
        <w:jc w:val="center"/>
        <w:rPr>
          <w:rFonts w:ascii="Times New Roman" w:eastAsia="宋体" w:hAnsi="Times New Roman" w:cs="宋体"/>
          <w:color w:val="auto"/>
          <w:spacing w:val="-4"/>
          <w:sz w:val="24"/>
          <w:szCs w:val="24"/>
          <w:lang w:eastAsia="zh-CN"/>
        </w:rPr>
      </w:pPr>
    </w:p>
    <w:p w14:paraId="784C89B1"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3.2.7-5</w:t>
      </w:r>
      <w:r>
        <w:rPr>
          <w:rFonts w:ascii="Times New Roman" w:eastAsia="宋体" w:hAnsi="Times New Roman" w:cs="宋体" w:hint="eastAsia"/>
          <w:color w:val="auto"/>
          <w:spacing w:val="-4"/>
          <w:sz w:val="24"/>
          <w:szCs w:val="24"/>
          <w:lang w:eastAsia="zh-CN"/>
        </w:rPr>
        <w:t>珊瑚礁调查站位图</w:t>
      </w:r>
    </w:p>
    <w:p w14:paraId="2B4B33AD"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2</w:t>
      </w:r>
      <w:r>
        <w:rPr>
          <w:rFonts w:ascii="Times New Roman" w:eastAsia="宋体" w:hAnsi="Times New Roman" w:cs="宋体" w:hint="eastAsia"/>
          <w:b/>
          <w:bCs/>
          <w:color w:val="auto"/>
          <w:sz w:val="24"/>
          <w:szCs w:val="24"/>
          <w:lang w:eastAsia="zh-CN"/>
        </w:rPr>
        <w:t>）调查内容与面积</w:t>
      </w:r>
    </w:p>
    <w:p w14:paraId="7F0A4EBB" w14:textId="77777777" w:rsidR="0075791A" w:rsidRDefault="00FB2864">
      <w:pPr>
        <w:pStyle w:val="a5"/>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珊瑚礁调查主要包括珊瑚种类、珊瑚覆盖率、珊瑚死亡率、珊瑚补充量、底质类型、大型藻类、大型底栖生物、珊瑚礁鱼类、珊瑚礁分布面积等调查内容。</w:t>
      </w:r>
    </w:p>
    <w:p w14:paraId="497B68CC" w14:textId="77777777" w:rsidR="0075791A" w:rsidRDefault="00FB2864">
      <w:pPr>
        <w:pStyle w:val="a5"/>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调查方法结合《珊瑚礁生态监测技术规程》（</w:t>
      </w:r>
      <w:r>
        <w:rPr>
          <w:rFonts w:ascii="Times New Roman" w:eastAsia="宋体" w:hAnsi="Times New Roman" w:cs="宋体" w:hint="eastAsia"/>
          <w:color w:val="auto"/>
          <w:sz w:val="24"/>
          <w:szCs w:val="24"/>
          <w:lang w:eastAsia="zh-CN"/>
        </w:rPr>
        <w:t>HY/T082-2005</w:t>
      </w:r>
      <w:r>
        <w:rPr>
          <w:rFonts w:ascii="Times New Roman" w:eastAsia="宋体" w:hAnsi="Times New Roman" w:cs="宋体" w:hint="eastAsia"/>
          <w:color w:val="auto"/>
          <w:sz w:val="24"/>
          <w:szCs w:val="24"/>
          <w:lang w:eastAsia="zh-CN"/>
        </w:rPr>
        <w:t>）中断面线监测法</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hint="eastAsia"/>
          <w:color w:val="auto"/>
          <w:sz w:val="24"/>
          <w:szCs w:val="24"/>
          <w:lang w:eastAsia="zh-CN"/>
        </w:rPr>
        <w:t>和国际珊瑚礁调查方法截线样条法（</w:t>
      </w:r>
      <w:r>
        <w:rPr>
          <w:rFonts w:ascii="Times New Roman" w:eastAsia="宋体" w:hAnsi="Times New Roman" w:cs="宋体" w:hint="eastAsia"/>
          <w:color w:val="auto"/>
          <w:sz w:val="24"/>
          <w:szCs w:val="24"/>
          <w:lang w:eastAsia="zh-CN"/>
        </w:rPr>
        <w:t>LIT</w:t>
      </w:r>
      <w:r>
        <w:rPr>
          <w:rFonts w:ascii="Times New Roman" w:eastAsia="宋体" w:hAnsi="Times New Roman" w:cs="宋体" w:hint="eastAsia"/>
          <w:color w:val="auto"/>
          <w:sz w:val="24"/>
          <w:szCs w:val="24"/>
          <w:lang w:eastAsia="zh-CN"/>
        </w:rPr>
        <w:t>）的要求执行。回归实验室进行影像资料生</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hint="eastAsia"/>
          <w:color w:val="auto"/>
          <w:sz w:val="24"/>
          <w:szCs w:val="24"/>
          <w:lang w:eastAsia="zh-CN"/>
        </w:rPr>
        <w:t>物指标数据提取挖掘与统计分析，掌握珊瑚礁资源分布范围及分布面积，活硬珊瑚</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hint="eastAsia"/>
          <w:color w:val="auto"/>
          <w:sz w:val="24"/>
          <w:szCs w:val="24"/>
          <w:lang w:eastAsia="zh-CN"/>
        </w:rPr>
        <w:t>覆盖度、种类、死亡率、补充量、底栖生物等数据。</w:t>
      </w:r>
    </w:p>
    <w:p w14:paraId="1E704688"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3</w:t>
      </w:r>
      <w:r>
        <w:rPr>
          <w:rFonts w:ascii="Times New Roman" w:eastAsia="宋体" w:hAnsi="Times New Roman" w:cs="宋体" w:hint="eastAsia"/>
          <w:b/>
          <w:bCs/>
          <w:color w:val="auto"/>
          <w:sz w:val="24"/>
          <w:szCs w:val="24"/>
          <w:lang w:eastAsia="zh-CN"/>
        </w:rPr>
        <w:t>）调查结果</w:t>
      </w:r>
    </w:p>
    <w:p w14:paraId="544EA2E0"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A.2023</w:t>
      </w:r>
      <w:r>
        <w:rPr>
          <w:rFonts w:ascii="Times New Roman" w:eastAsia="宋体" w:hAnsi="Times New Roman" w:cs="宋体" w:hint="eastAsia"/>
          <w:b/>
          <w:bCs/>
          <w:color w:val="auto"/>
          <w:sz w:val="24"/>
          <w:szCs w:val="24"/>
          <w:lang w:eastAsia="zh-CN"/>
        </w:rPr>
        <w:t>年</w:t>
      </w:r>
      <w:r>
        <w:rPr>
          <w:rFonts w:ascii="Times New Roman" w:eastAsia="宋体" w:hAnsi="Times New Roman" w:cs="宋体" w:hint="eastAsia"/>
          <w:b/>
          <w:bCs/>
          <w:color w:val="auto"/>
          <w:sz w:val="24"/>
          <w:szCs w:val="24"/>
          <w:lang w:eastAsia="zh-CN"/>
        </w:rPr>
        <w:t>6</w:t>
      </w:r>
      <w:r>
        <w:rPr>
          <w:rFonts w:ascii="Times New Roman" w:eastAsia="宋体" w:hAnsi="Times New Roman" w:cs="宋体" w:hint="eastAsia"/>
          <w:b/>
          <w:bCs/>
          <w:color w:val="auto"/>
          <w:sz w:val="24"/>
          <w:szCs w:val="24"/>
          <w:lang w:eastAsia="zh-CN"/>
        </w:rPr>
        <w:t>月后海珊瑚礁调查</w:t>
      </w:r>
    </w:p>
    <w:p w14:paraId="67CB528D"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lastRenderedPageBreak/>
        <w:t>1</w:t>
      </w:r>
      <w:r>
        <w:rPr>
          <w:rFonts w:ascii="Times New Roman" w:eastAsia="宋体" w:hAnsi="Times New Roman" w:cs="宋体" w:hint="eastAsia"/>
          <w:b/>
          <w:bCs/>
          <w:color w:val="auto"/>
          <w:sz w:val="24"/>
          <w:szCs w:val="24"/>
          <w:lang w:eastAsia="zh-CN"/>
        </w:rPr>
        <w:t>）硬珊瑚覆盖度</w:t>
      </w:r>
    </w:p>
    <w:p w14:paraId="7E2AC9A1"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用截线样条法调查（定量）后海湾附近海域</w:t>
      </w:r>
      <w:r>
        <w:rPr>
          <w:rFonts w:ascii="Times New Roman" w:eastAsia="宋体" w:hAnsi="Times New Roman" w:cs="宋体" w:hint="eastAsia"/>
          <w:color w:val="auto"/>
          <w:sz w:val="24"/>
          <w:szCs w:val="24"/>
          <w:lang w:eastAsia="zh-CN"/>
        </w:rPr>
        <w:t>18</w:t>
      </w:r>
      <w:r>
        <w:rPr>
          <w:rFonts w:ascii="Times New Roman" w:eastAsia="宋体" w:hAnsi="Times New Roman" w:cs="宋体" w:hint="eastAsia"/>
          <w:color w:val="auto"/>
          <w:sz w:val="24"/>
          <w:szCs w:val="24"/>
          <w:lang w:eastAsia="zh-CN"/>
        </w:rPr>
        <w:t>个站位</w:t>
      </w:r>
      <w:r>
        <w:rPr>
          <w:rFonts w:ascii="Times New Roman" w:eastAsia="宋体" w:hAnsi="Times New Roman" w:cs="宋体" w:hint="eastAsia"/>
          <w:color w:val="auto"/>
          <w:sz w:val="24"/>
          <w:szCs w:val="24"/>
          <w:lang w:eastAsia="zh-CN"/>
        </w:rPr>
        <w:t>42</w:t>
      </w:r>
      <w:r>
        <w:rPr>
          <w:rFonts w:ascii="Times New Roman" w:eastAsia="宋体" w:hAnsi="Times New Roman" w:cs="宋体" w:hint="eastAsia"/>
          <w:color w:val="auto"/>
          <w:sz w:val="24"/>
          <w:szCs w:val="24"/>
          <w:lang w:eastAsia="zh-CN"/>
        </w:rPr>
        <w:t>条断面线的活硬珊瑚覆盖情况（表</w:t>
      </w:r>
      <w:r>
        <w:rPr>
          <w:rFonts w:ascii="Times New Roman" w:eastAsia="宋体" w:hAnsi="Times New Roman" w:cs="宋体" w:hint="eastAsia"/>
          <w:color w:val="auto"/>
          <w:sz w:val="24"/>
          <w:szCs w:val="24"/>
          <w:lang w:eastAsia="zh-CN"/>
        </w:rPr>
        <w:t>3.2.7-2</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42</w:t>
      </w:r>
      <w:r>
        <w:rPr>
          <w:rFonts w:ascii="Times New Roman" w:eastAsia="宋体" w:hAnsi="Times New Roman" w:cs="宋体" w:hint="eastAsia"/>
          <w:color w:val="auto"/>
          <w:sz w:val="24"/>
          <w:szCs w:val="24"/>
          <w:lang w:eastAsia="zh-CN"/>
        </w:rPr>
        <w:t>条断面的硬珊瑚覆盖度为</w:t>
      </w:r>
      <w:r>
        <w:rPr>
          <w:rFonts w:ascii="Times New Roman" w:eastAsia="宋体" w:hAnsi="Times New Roman" w:cs="宋体" w:hint="eastAsia"/>
          <w:color w:val="auto"/>
          <w:sz w:val="24"/>
          <w:szCs w:val="24"/>
          <w:lang w:eastAsia="zh-CN"/>
        </w:rPr>
        <w:t>0.00%</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52.40%</w:t>
      </w:r>
      <w:r>
        <w:rPr>
          <w:rFonts w:ascii="Times New Roman" w:eastAsia="宋体" w:hAnsi="Times New Roman" w:cs="宋体" w:hint="eastAsia"/>
          <w:color w:val="auto"/>
          <w:sz w:val="24"/>
          <w:szCs w:val="24"/>
          <w:lang w:eastAsia="zh-CN"/>
        </w:rPr>
        <w:t>，平均覆盖度为</w:t>
      </w:r>
      <w:r>
        <w:rPr>
          <w:rFonts w:ascii="Times New Roman" w:eastAsia="宋体" w:hAnsi="Times New Roman" w:cs="宋体" w:hint="eastAsia"/>
          <w:color w:val="auto"/>
          <w:sz w:val="24"/>
          <w:szCs w:val="24"/>
          <w:lang w:eastAsia="zh-CN"/>
        </w:rPr>
        <w:t>18.12%</w:t>
      </w:r>
      <w:r>
        <w:rPr>
          <w:rFonts w:ascii="Times New Roman" w:eastAsia="宋体" w:hAnsi="Times New Roman" w:cs="宋体" w:hint="eastAsia"/>
          <w:color w:val="auto"/>
          <w:sz w:val="24"/>
          <w:szCs w:val="24"/>
          <w:lang w:eastAsia="zh-CN"/>
        </w:rPr>
        <w:t>。覆盖度最高的站位为</w:t>
      </w:r>
      <w:r>
        <w:rPr>
          <w:rFonts w:ascii="Times New Roman" w:eastAsia="宋体" w:hAnsi="Times New Roman" w:cs="宋体" w:hint="eastAsia"/>
          <w:color w:val="auto"/>
          <w:sz w:val="24"/>
          <w:szCs w:val="24"/>
          <w:lang w:eastAsia="zh-CN"/>
        </w:rPr>
        <w:t>C15</w:t>
      </w:r>
      <w:r>
        <w:rPr>
          <w:rFonts w:ascii="Times New Roman" w:eastAsia="宋体" w:hAnsi="Times New Roman" w:cs="宋体" w:hint="eastAsia"/>
          <w:color w:val="auto"/>
          <w:sz w:val="24"/>
          <w:szCs w:val="24"/>
          <w:lang w:eastAsia="zh-CN"/>
        </w:rPr>
        <w:t>号站位，覆盖度为</w:t>
      </w:r>
      <w:r>
        <w:rPr>
          <w:rFonts w:ascii="Times New Roman" w:eastAsia="宋体" w:hAnsi="Times New Roman" w:cs="宋体" w:hint="eastAsia"/>
          <w:color w:val="auto"/>
          <w:sz w:val="24"/>
          <w:szCs w:val="24"/>
          <w:lang w:eastAsia="zh-CN"/>
        </w:rPr>
        <w:t>34.67%</w:t>
      </w:r>
      <w:r>
        <w:rPr>
          <w:rFonts w:ascii="Times New Roman" w:eastAsia="宋体" w:hAnsi="Times New Roman" w:cs="宋体" w:hint="eastAsia"/>
          <w:color w:val="auto"/>
          <w:sz w:val="24"/>
          <w:szCs w:val="24"/>
          <w:lang w:eastAsia="zh-CN"/>
        </w:rPr>
        <w:t>；覆盖度最低的</w:t>
      </w:r>
      <w:r>
        <w:rPr>
          <w:rFonts w:ascii="Times New Roman" w:eastAsia="宋体" w:hAnsi="Times New Roman" w:cs="宋体" w:hint="eastAsia"/>
          <w:color w:val="auto"/>
          <w:sz w:val="24"/>
          <w:szCs w:val="24"/>
          <w:lang w:eastAsia="zh-CN"/>
        </w:rPr>
        <w:t>站位分别为</w:t>
      </w:r>
      <w:r>
        <w:rPr>
          <w:rFonts w:ascii="Times New Roman" w:eastAsia="宋体" w:hAnsi="Times New Roman" w:cs="宋体" w:hint="eastAsia"/>
          <w:color w:val="auto"/>
          <w:sz w:val="24"/>
          <w:szCs w:val="24"/>
          <w:lang w:eastAsia="zh-CN"/>
        </w:rPr>
        <w:t>C7</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C8</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C17</w:t>
      </w:r>
      <w:r>
        <w:rPr>
          <w:rFonts w:ascii="Times New Roman" w:eastAsia="宋体" w:hAnsi="Times New Roman" w:cs="宋体" w:hint="eastAsia"/>
          <w:color w:val="auto"/>
          <w:sz w:val="24"/>
          <w:szCs w:val="24"/>
          <w:lang w:eastAsia="zh-CN"/>
        </w:rPr>
        <w:t>号和</w:t>
      </w:r>
      <w:r>
        <w:rPr>
          <w:rFonts w:ascii="Times New Roman" w:eastAsia="宋体" w:hAnsi="Times New Roman" w:cs="宋体" w:hint="eastAsia"/>
          <w:color w:val="auto"/>
          <w:sz w:val="24"/>
          <w:szCs w:val="24"/>
          <w:lang w:eastAsia="zh-CN"/>
        </w:rPr>
        <w:t>C18</w:t>
      </w:r>
      <w:r>
        <w:rPr>
          <w:rFonts w:ascii="Times New Roman" w:eastAsia="宋体" w:hAnsi="Times New Roman" w:cs="宋体" w:hint="eastAsia"/>
          <w:color w:val="auto"/>
          <w:sz w:val="24"/>
          <w:szCs w:val="24"/>
          <w:lang w:eastAsia="zh-CN"/>
        </w:rPr>
        <w:t>号站位，均未发现硬珊瑚覆盖，覆盖度均为</w:t>
      </w:r>
      <w:r>
        <w:rPr>
          <w:rFonts w:ascii="Times New Roman" w:eastAsia="宋体" w:hAnsi="Times New Roman" w:cs="宋体" w:hint="eastAsia"/>
          <w:color w:val="auto"/>
          <w:sz w:val="24"/>
          <w:szCs w:val="24"/>
          <w:lang w:eastAsia="zh-CN"/>
        </w:rPr>
        <w:t>0.00%</w:t>
      </w:r>
      <w:r>
        <w:rPr>
          <w:rFonts w:ascii="Times New Roman" w:eastAsia="宋体" w:hAnsi="Times New Roman" w:cs="宋体" w:hint="eastAsia"/>
          <w:color w:val="auto"/>
          <w:sz w:val="24"/>
          <w:szCs w:val="24"/>
          <w:lang w:eastAsia="zh-CN"/>
        </w:rPr>
        <w:t>。</w:t>
      </w:r>
    </w:p>
    <w:p w14:paraId="4A862098"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noProof/>
          <w:color w:val="auto"/>
          <w:spacing w:val="-4"/>
          <w:sz w:val="24"/>
          <w:szCs w:val="24"/>
          <w:lang w:eastAsia="zh-CN"/>
        </w:rPr>
        <w:drawing>
          <wp:inline distT="0" distB="0" distL="0" distR="0" wp14:anchorId="5855B2E0" wp14:editId="6ABC2638">
            <wp:extent cx="5419090" cy="2339975"/>
            <wp:effectExtent l="0" t="0" r="6350" b="6985"/>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64"/>
                    <a:stretch>
                      <a:fillRect/>
                    </a:stretch>
                  </pic:blipFill>
                  <pic:spPr>
                    <a:xfrm>
                      <a:off x="0" y="0"/>
                      <a:ext cx="5419343" cy="2340609"/>
                    </a:xfrm>
                    <a:prstGeom prst="rect">
                      <a:avLst/>
                    </a:prstGeom>
                  </pic:spPr>
                </pic:pic>
              </a:graphicData>
            </a:graphic>
          </wp:inline>
        </w:drawing>
      </w:r>
    </w:p>
    <w:p w14:paraId="169D51D8"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3.2.7-6</w:t>
      </w:r>
      <w:r>
        <w:rPr>
          <w:rFonts w:ascii="Times New Roman" w:eastAsia="宋体" w:hAnsi="Times New Roman" w:cs="宋体" w:hint="eastAsia"/>
          <w:color w:val="auto"/>
          <w:spacing w:val="-4"/>
          <w:sz w:val="24"/>
          <w:szCs w:val="24"/>
          <w:lang w:eastAsia="zh-CN"/>
        </w:rPr>
        <w:t>后海湾附近海域各站位硬珊瑚覆盖度和总珊瑚覆盖度柱状图</w:t>
      </w:r>
    </w:p>
    <w:p w14:paraId="2C599127" w14:textId="77777777" w:rsidR="0075791A" w:rsidRDefault="00FB2864">
      <w:pPr>
        <w:pStyle w:val="TableText"/>
        <w:jc w:val="center"/>
        <w:rPr>
          <w:rFonts w:ascii="Times New Roman" w:hAnsi="Times New Roman"/>
          <w:color w:val="auto"/>
          <w:spacing w:val="-2"/>
          <w:lang w:eastAsia="zh-CN"/>
        </w:rPr>
      </w:pPr>
      <w:r>
        <w:rPr>
          <w:rFonts w:ascii="Times New Roman" w:hAnsi="Times New Roman"/>
          <w:color w:val="auto"/>
          <w:spacing w:val="-2"/>
          <w:lang w:eastAsia="zh-CN"/>
        </w:rPr>
        <w:t>表</w:t>
      </w:r>
      <w:r>
        <w:rPr>
          <w:rFonts w:ascii="Times New Roman" w:hAnsi="Times New Roman" w:hint="eastAsia"/>
          <w:color w:val="auto"/>
          <w:spacing w:val="-2"/>
          <w:lang w:eastAsia="zh-CN"/>
        </w:rPr>
        <w:t>3.2.7</w:t>
      </w:r>
      <w:r>
        <w:rPr>
          <w:rFonts w:ascii="Times New Roman" w:hAnsi="Times New Roman"/>
          <w:color w:val="auto"/>
          <w:spacing w:val="-2"/>
          <w:lang w:eastAsia="zh-CN"/>
        </w:rPr>
        <w:t>-2</w:t>
      </w:r>
      <w:r>
        <w:rPr>
          <w:rFonts w:ascii="Times New Roman" w:hAnsi="Times New Roman"/>
          <w:color w:val="auto"/>
          <w:spacing w:val="-2"/>
          <w:lang w:eastAsia="zh-CN"/>
        </w:rPr>
        <w:t>后海湾附近海域珊瑚分布情况</w:t>
      </w:r>
    </w:p>
    <w:tbl>
      <w:tblPr>
        <w:tblStyle w:val="TableNormal"/>
        <w:tblW w:w="8595"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569"/>
        <w:gridCol w:w="459"/>
        <w:gridCol w:w="750"/>
        <w:gridCol w:w="804"/>
        <w:gridCol w:w="649"/>
        <w:gridCol w:w="699"/>
        <w:gridCol w:w="708"/>
        <w:gridCol w:w="766"/>
        <w:gridCol w:w="1037"/>
        <w:gridCol w:w="1113"/>
        <w:gridCol w:w="1041"/>
      </w:tblGrid>
      <w:tr w:rsidR="0075791A" w14:paraId="615C54A4" w14:textId="77777777">
        <w:trPr>
          <w:trHeight w:val="555"/>
          <w:jc w:val="center"/>
        </w:trPr>
        <w:tc>
          <w:tcPr>
            <w:tcW w:w="569" w:type="dxa"/>
            <w:vMerge w:val="restart"/>
            <w:tcBorders>
              <w:top w:val="single" w:sz="10" w:space="0" w:color="000000"/>
              <w:left w:val="single" w:sz="10" w:space="0" w:color="000000"/>
              <w:bottom w:val="nil"/>
            </w:tcBorders>
            <w:vAlign w:val="center"/>
          </w:tcPr>
          <w:p w14:paraId="03225C2A"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4"/>
                <w:sz w:val="21"/>
                <w:szCs w:val="21"/>
              </w:rPr>
              <w:t>站位</w:t>
            </w:r>
          </w:p>
        </w:tc>
        <w:tc>
          <w:tcPr>
            <w:tcW w:w="459" w:type="dxa"/>
            <w:vMerge w:val="restart"/>
            <w:tcBorders>
              <w:top w:val="single" w:sz="10" w:space="0" w:color="000000"/>
              <w:bottom w:val="nil"/>
            </w:tcBorders>
            <w:vAlign w:val="center"/>
          </w:tcPr>
          <w:p w14:paraId="58366650"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6"/>
                <w:sz w:val="21"/>
                <w:szCs w:val="21"/>
              </w:rPr>
              <w:t>断面</w:t>
            </w:r>
          </w:p>
        </w:tc>
        <w:tc>
          <w:tcPr>
            <w:tcW w:w="1554" w:type="dxa"/>
            <w:gridSpan w:val="2"/>
            <w:tcBorders>
              <w:top w:val="single" w:sz="10" w:space="0" w:color="000000"/>
            </w:tcBorders>
            <w:vAlign w:val="center"/>
          </w:tcPr>
          <w:p w14:paraId="39FFE79A"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3"/>
                <w:sz w:val="21"/>
                <w:szCs w:val="21"/>
              </w:rPr>
              <w:t>活珊瑚覆盖度</w:t>
            </w:r>
          </w:p>
          <w:p w14:paraId="2964D5F0"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13"/>
                <w:w w:val="96"/>
                <w:sz w:val="21"/>
                <w:szCs w:val="21"/>
              </w:rPr>
              <w:t>(%)</w:t>
            </w:r>
          </w:p>
        </w:tc>
        <w:tc>
          <w:tcPr>
            <w:tcW w:w="2822" w:type="dxa"/>
            <w:gridSpan w:val="4"/>
            <w:tcBorders>
              <w:top w:val="single" w:sz="10" w:space="0" w:color="000000"/>
            </w:tcBorders>
            <w:vAlign w:val="center"/>
          </w:tcPr>
          <w:p w14:paraId="1C702D9C"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3"/>
                <w:sz w:val="21"/>
                <w:szCs w:val="21"/>
              </w:rPr>
              <w:t>底质类型</w:t>
            </w:r>
            <w:r>
              <w:rPr>
                <w:rFonts w:ascii="Times New Roman" w:hAnsi="Times New Roman"/>
                <w:b/>
                <w:bCs/>
                <w:color w:val="auto"/>
                <w:spacing w:val="-3"/>
                <w:sz w:val="21"/>
                <w:szCs w:val="21"/>
              </w:rPr>
              <w:t>(%)</w:t>
            </w:r>
          </w:p>
        </w:tc>
        <w:tc>
          <w:tcPr>
            <w:tcW w:w="1037" w:type="dxa"/>
            <w:vMerge w:val="restart"/>
            <w:tcBorders>
              <w:top w:val="single" w:sz="10" w:space="0" w:color="000000"/>
              <w:bottom w:val="nil"/>
            </w:tcBorders>
            <w:vAlign w:val="center"/>
          </w:tcPr>
          <w:p w14:paraId="16926FD9"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4"/>
                <w:sz w:val="21"/>
                <w:szCs w:val="21"/>
              </w:rPr>
              <w:t>藻类覆盖度（</w:t>
            </w:r>
            <w:r>
              <w:rPr>
                <w:rFonts w:ascii="Times New Roman" w:hAnsi="Times New Roman"/>
                <w:b/>
                <w:bCs/>
                <w:color w:val="auto"/>
                <w:spacing w:val="-4"/>
                <w:sz w:val="21"/>
                <w:szCs w:val="21"/>
              </w:rPr>
              <w:t>%</w:t>
            </w:r>
            <w:r>
              <w:rPr>
                <w:rFonts w:ascii="Times New Roman" w:hAnsi="Times New Roman"/>
                <w:b/>
                <w:bCs/>
                <w:color w:val="auto"/>
                <w:spacing w:val="-4"/>
                <w:sz w:val="21"/>
                <w:szCs w:val="21"/>
              </w:rPr>
              <w:t>）</w:t>
            </w:r>
          </w:p>
        </w:tc>
        <w:tc>
          <w:tcPr>
            <w:tcW w:w="1113" w:type="dxa"/>
            <w:vMerge w:val="restart"/>
            <w:tcBorders>
              <w:top w:val="single" w:sz="10" w:space="0" w:color="000000"/>
              <w:bottom w:val="nil"/>
            </w:tcBorders>
            <w:vAlign w:val="center"/>
          </w:tcPr>
          <w:p w14:paraId="0AD997D3"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3"/>
                <w:sz w:val="21"/>
                <w:szCs w:val="21"/>
              </w:rPr>
              <w:t>珊瑚补充量</w:t>
            </w:r>
            <w:r>
              <w:rPr>
                <w:rFonts w:ascii="Times New Roman" w:hAnsi="Times New Roman"/>
                <w:b/>
                <w:bCs/>
                <w:color w:val="auto"/>
                <w:spacing w:val="-7"/>
                <w:sz w:val="21"/>
                <w:szCs w:val="21"/>
              </w:rPr>
              <w:t>(ind./m</w:t>
            </w:r>
            <w:r>
              <w:rPr>
                <w:rFonts w:ascii="Times New Roman" w:hAnsi="Times New Roman"/>
                <w:b/>
                <w:bCs/>
                <w:color w:val="auto"/>
                <w:spacing w:val="-7"/>
                <w:position w:val="10"/>
                <w:sz w:val="11"/>
                <w:szCs w:val="11"/>
              </w:rPr>
              <w:t>2</w:t>
            </w:r>
            <w:r>
              <w:rPr>
                <w:rFonts w:ascii="Times New Roman" w:hAnsi="Times New Roman"/>
                <w:b/>
                <w:bCs/>
                <w:color w:val="auto"/>
                <w:spacing w:val="-7"/>
                <w:sz w:val="21"/>
                <w:szCs w:val="21"/>
              </w:rPr>
              <w:t>)</w:t>
            </w:r>
          </w:p>
        </w:tc>
        <w:tc>
          <w:tcPr>
            <w:tcW w:w="1041" w:type="dxa"/>
            <w:vMerge w:val="restart"/>
            <w:tcBorders>
              <w:top w:val="single" w:sz="10" w:space="0" w:color="000000"/>
              <w:bottom w:val="nil"/>
              <w:right w:val="single" w:sz="10" w:space="0" w:color="000000"/>
            </w:tcBorders>
            <w:vAlign w:val="center"/>
          </w:tcPr>
          <w:p w14:paraId="58A231C6"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5"/>
                <w:sz w:val="21"/>
                <w:szCs w:val="21"/>
              </w:rPr>
              <w:t>总珊瑚覆</w:t>
            </w:r>
            <w:r>
              <w:rPr>
                <w:rFonts w:ascii="Times New Roman" w:hAnsi="Times New Roman"/>
                <w:b/>
                <w:bCs/>
                <w:color w:val="auto"/>
                <w:spacing w:val="-6"/>
                <w:sz w:val="21"/>
                <w:szCs w:val="21"/>
              </w:rPr>
              <w:t>盖度（</w:t>
            </w:r>
            <w:r>
              <w:rPr>
                <w:rFonts w:ascii="Times New Roman" w:hAnsi="Times New Roman"/>
                <w:b/>
                <w:bCs/>
                <w:color w:val="auto"/>
                <w:spacing w:val="-6"/>
                <w:sz w:val="21"/>
                <w:szCs w:val="21"/>
              </w:rPr>
              <w:t>%</w:t>
            </w:r>
            <w:r>
              <w:rPr>
                <w:rFonts w:ascii="Times New Roman" w:hAnsi="Times New Roman"/>
                <w:b/>
                <w:bCs/>
                <w:color w:val="auto"/>
                <w:spacing w:val="-6"/>
                <w:sz w:val="21"/>
                <w:szCs w:val="21"/>
              </w:rPr>
              <w:t>）</w:t>
            </w:r>
          </w:p>
        </w:tc>
      </w:tr>
      <w:tr w:rsidR="0075791A" w14:paraId="12E2561F" w14:textId="77777777">
        <w:trPr>
          <w:trHeight w:val="364"/>
          <w:jc w:val="center"/>
        </w:trPr>
        <w:tc>
          <w:tcPr>
            <w:tcW w:w="569" w:type="dxa"/>
            <w:vMerge/>
            <w:tcBorders>
              <w:top w:val="nil"/>
              <w:left w:val="single" w:sz="10" w:space="0" w:color="000000"/>
            </w:tcBorders>
            <w:vAlign w:val="center"/>
          </w:tcPr>
          <w:p w14:paraId="2E27FE02" w14:textId="77777777" w:rsidR="0075791A" w:rsidRDefault="0075791A">
            <w:pPr>
              <w:jc w:val="center"/>
              <w:rPr>
                <w:rFonts w:ascii="Times New Roman" w:hAnsi="Times New Roman"/>
                <w:color w:val="auto"/>
              </w:rPr>
            </w:pPr>
          </w:p>
        </w:tc>
        <w:tc>
          <w:tcPr>
            <w:tcW w:w="459" w:type="dxa"/>
            <w:vMerge/>
            <w:tcBorders>
              <w:top w:val="nil"/>
            </w:tcBorders>
            <w:vAlign w:val="center"/>
          </w:tcPr>
          <w:p w14:paraId="4F4851D1" w14:textId="77777777" w:rsidR="0075791A" w:rsidRDefault="0075791A">
            <w:pPr>
              <w:jc w:val="center"/>
              <w:rPr>
                <w:rFonts w:ascii="Times New Roman" w:hAnsi="Times New Roman"/>
                <w:color w:val="auto"/>
              </w:rPr>
            </w:pPr>
          </w:p>
        </w:tc>
        <w:tc>
          <w:tcPr>
            <w:tcW w:w="750" w:type="dxa"/>
            <w:vAlign w:val="center"/>
          </w:tcPr>
          <w:p w14:paraId="24779685"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4"/>
                <w:sz w:val="21"/>
                <w:szCs w:val="21"/>
              </w:rPr>
              <w:t>硬珊瑚</w:t>
            </w:r>
          </w:p>
        </w:tc>
        <w:tc>
          <w:tcPr>
            <w:tcW w:w="804" w:type="dxa"/>
            <w:vAlign w:val="center"/>
          </w:tcPr>
          <w:p w14:paraId="1AD62CC2"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4"/>
                <w:sz w:val="21"/>
                <w:szCs w:val="21"/>
              </w:rPr>
              <w:t>软珊瑚</w:t>
            </w:r>
          </w:p>
        </w:tc>
        <w:tc>
          <w:tcPr>
            <w:tcW w:w="649" w:type="dxa"/>
            <w:vAlign w:val="center"/>
          </w:tcPr>
          <w:p w14:paraId="257FCA0C"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4"/>
                <w:sz w:val="21"/>
                <w:szCs w:val="21"/>
              </w:rPr>
              <w:t>岩石</w:t>
            </w:r>
          </w:p>
        </w:tc>
        <w:tc>
          <w:tcPr>
            <w:tcW w:w="699" w:type="dxa"/>
            <w:vAlign w:val="center"/>
          </w:tcPr>
          <w:p w14:paraId="3276F159"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4"/>
                <w:sz w:val="21"/>
                <w:szCs w:val="21"/>
              </w:rPr>
              <w:t>礁石</w:t>
            </w:r>
          </w:p>
        </w:tc>
        <w:tc>
          <w:tcPr>
            <w:tcW w:w="708" w:type="dxa"/>
            <w:vAlign w:val="center"/>
          </w:tcPr>
          <w:p w14:paraId="1815A5A5"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3"/>
                <w:sz w:val="21"/>
                <w:szCs w:val="21"/>
              </w:rPr>
              <w:t>砂</w:t>
            </w:r>
          </w:p>
        </w:tc>
        <w:tc>
          <w:tcPr>
            <w:tcW w:w="766" w:type="dxa"/>
            <w:vAlign w:val="center"/>
          </w:tcPr>
          <w:p w14:paraId="11807B45" w14:textId="77777777" w:rsidR="0075791A" w:rsidRDefault="00FB2864">
            <w:pPr>
              <w:pStyle w:val="TableText"/>
              <w:jc w:val="center"/>
              <w:rPr>
                <w:rFonts w:ascii="Times New Roman" w:hAnsi="Times New Roman"/>
                <w:color w:val="auto"/>
                <w:sz w:val="21"/>
                <w:szCs w:val="21"/>
              </w:rPr>
            </w:pPr>
            <w:r>
              <w:rPr>
                <w:rFonts w:ascii="Times New Roman" w:hAnsi="Times New Roman"/>
                <w:b/>
                <w:bCs/>
                <w:color w:val="auto"/>
                <w:spacing w:val="-4"/>
                <w:sz w:val="21"/>
                <w:szCs w:val="21"/>
              </w:rPr>
              <w:t>死珊瑚</w:t>
            </w:r>
          </w:p>
        </w:tc>
        <w:tc>
          <w:tcPr>
            <w:tcW w:w="1037" w:type="dxa"/>
            <w:vMerge/>
            <w:tcBorders>
              <w:top w:val="nil"/>
            </w:tcBorders>
            <w:vAlign w:val="center"/>
          </w:tcPr>
          <w:p w14:paraId="0905AEC2" w14:textId="77777777" w:rsidR="0075791A" w:rsidRDefault="0075791A">
            <w:pPr>
              <w:jc w:val="center"/>
              <w:rPr>
                <w:rFonts w:ascii="Times New Roman" w:hAnsi="Times New Roman"/>
                <w:color w:val="auto"/>
              </w:rPr>
            </w:pPr>
          </w:p>
        </w:tc>
        <w:tc>
          <w:tcPr>
            <w:tcW w:w="1113" w:type="dxa"/>
            <w:vMerge/>
            <w:tcBorders>
              <w:top w:val="nil"/>
            </w:tcBorders>
            <w:vAlign w:val="center"/>
          </w:tcPr>
          <w:p w14:paraId="3A0DEDCB" w14:textId="77777777" w:rsidR="0075791A" w:rsidRDefault="0075791A">
            <w:pPr>
              <w:jc w:val="center"/>
              <w:rPr>
                <w:rFonts w:ascii="Times New Roman" w:hAnsi="Times New Roman"/>
                <w:color w:val="auto"/>
              </w:rPr>
            </w:pPr>
          </w:p>
        </w:tc>
        <w:tc>
          <w:tcPr>
            <w:tcW w:w="1041" w:type="dxa"/>
            <w:vMerge/>
            <w:tcBorders>
              <w:top w:val="nil"/>
              <w:right w:val="single" w:sz="10" w:space="0" w:color="000000"/>
            </w:tcBorders>
            <w:vAlign w:val="center"/>
          </w:tcPr>
          <w:p w14:paraId="436849C1" w14:textId="77777777" w:rsidR="0075791A" w:rsidRDefault="0075791A">
            <w:pPr>
              <w:jc w:val="center"/>
              <w:rPr>
                <w:rFonts w:ascii="Times New Roman" w:hAnsi="Times New Roman"/>
                <w:color w:val="auto"/>
              </w:rPr>
            </w:pPr>
          </w:p>
        </w:tc>
      </w:tr>
      <w:tr w:rsidR="0075791A" w14:paraId="08FDAF8F" w14:textId="77777777">
        <w:trPr>
          <w:trHeight w:val="275"/>
          <w:jc w:val="center"/>
        </w:trPr>
        <w:tc>
          <w:tcPr>
            <w:tcW w:w="569" w:type="dxa"/>
            <w:vMerge w:val="restart"/>
            <w:tcBorders>
              <w:left w:val="single" w:sz="10" w:space="0" w:color="000000"/>
              <w:bottom w:val="nil"/>
            </w:tcBorders>
            <w:vAlign w:val="center"/>
          </w:tcPr>
          <w:p w14:paraId="100E910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C1</w:t>
            </w:r>
          </w:p>
        </w:tc>
        <w:tc>
          <w:tcPr>
            <w:tcW w:w="459" w:type="dxa"/>
            <w:vAlign w:val="center"/>
          </w:tcPr>
          <w:p w14:paraId="19DF2C2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3</w:t>
            </w:r>
          </w:p>
        </w:tc>
        <w:tc>
          <w:tcPr>
            <w:tcW w:w="750" w:type="dxa"/>
            <w:vAlign w:val="center"/>
          </w:tcPr>
          <w:p w14:paraId="21AE009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36.00</w:t>
            </w:r>
          </w:p>
        </w:tc>
        <w:tc>
          <w:tcPr>
            <w:tcW w:w="804" w:type="dxa"/>
            <w:vAlign w:val="center"/>
          </w:tcPr>
          <w:p w14:paraId="2B5905E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9.20</w:t>
            </w:r>
          </w:p>
        </w:tc>
        <w:tc>
          <w:tcPr>
            <w:tcW w:w="649" w:type="dxa"/>
            <w:vAlign w:val="center"/>
          </w:tcPr>
          <w:p w14:paraId="114379F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64AA711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51.20</w:t>
            </w:r>
          </w:p>
        </w:tc>
        <w:tc>
          <w:tcPr>
            <w:tcW w:w="708" w:type="dxa"/>
            <w:vAlign w:val="center"/>
          </w:tcPr>
          <w:p w14:paraId="79C144F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3.60</w:t>
            </w:r>
          </w:p>
        </w:tc>
        <w:tc>
          <w:tcPr>
            <w:tcW w:w="766" w:type="dxa"/>
            <w:vAlign w:val="center"/>
          </w:tcPr>
          <w:p w14:paraId="067F87C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6587D0A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1.00</w:t>
            </w:r>
          </w:p>
        </w:tc>
        <w:tc>
          <w:tcPr>
            <w:tcW w:w="1113" w:type="dxa"/>
            <w:vAlign w:val="center"/>
          </w:tcPr>
          <w:p w14:paraId="265C72D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0.04</w:t>
            </w:r>
          </w:p>
        </w:tc>
        <w:tc>
          <w:tcPr>
            <w:tcW w:w="1041" w:type="dxa"/>
            <w:tcBorders>
              <w:right w:val="single" w:sz="10" w:space="0" w:color="000000"/>
            </w:tcBorders>
            <w:vAlign w:val="center"/>
          </w:tcPr>
          <w:p w14:paraId="43AE18E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45.20</w:t>
            </w:r>
          </w:p>
        </w:tc>
      </w:tr>
      <w:tr w:rsidR="0075791A" w14:paraId="69A44379" w14:textId="77777777">
        <w:trPr>
          <w:trHeight w:val="277"/>
          <w:jc w:val="center"/>
        </w:trPr>
        <w:tc>
          <w:tcPr>
            <w:tcW w:w="569" w:type="dxa"/>
            <w:vMerge/>
            <w:tcBorders>
              <w:top w:val="nil"/>
              <w:left w:val="single" w:sz="10" w:space="0" w:color="000000"/>
              <w:bottom w:val="nil"/>
            </w:tcBorders>
            <w:vAlign w:val="center"/>
          </w:tcPr>
          <w:p w14:paraId="0744B46E" w14:textId="77777777" w:rsidR="0075791A" w:rsidRDefault="0075791A">
            <w:pPr>
              <w:jc w:val="center"/>
              <w:rPr>
                <w:rFonts w:ascii="Times New Roman" w:hAnsi="Times New Roman"/>
                <w:color w:val="auto"/>
              </w:rPr>
            </w:pPr>
          </w:p>
        </w:tc>
        <w:tc>
          <w:tcPr>
            <w:tcW w:w="459" w:type="dxa"/>
            <w:vAlign w:val="center"/>
          </w:tcPr>
          <w:p w14:paraId="71CA8B4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6</w:t>
            </w:r>
          </w:p>
        </w:tc>
        <w:tc>
          <w:tcPr>
            <w:tcW w:w="750" w:type="dxa"/>
            <w:vAlign w:val="center"/>
          </w:tcPr>
          <w:p w14:paraId="024DAF7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24.20</w:t>
            </w:r>
          </w:p>
        </w:tc>
        <w:tc>
          <w:tcPr>
            <w:tcW w:w="804" w:type="dxa"/>
            <w:vAlign w:val="center"/>
          </w:tcPr>
          <w:p w14:paraId="7950E9C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2.80</w:t>
            </w:r>
          </w:p>
        </w:tc>
        <w:tc>
          <w:tcPr>
            <w:tcW w:w="649" w:type="dxa"/>
            <w:vAlign w:val="center"/>
          </w:tcPr>
          <w:p w14:paraId="3026568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49D38AE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72.00</w:t>
            </w:r>
          </w:p>
        </w:tc>
        <w:tc>
          <w:tcPr>
            <w:tcW w:w="708" w:type="dxa"/>
            <w:vAlign w:val="center"/>
          </w:tcPr>
          <w:p w14:paraId="5383DF4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1.00</w:t>
            </w:r>
          </w:p>
        </w:tc>
        <w:tc>
          <w:tcPr>
            <w:tcW w:w="766" w:type="dxa"/>
            <w:vAlign w:val="center"/>
          </w:tcPr>
          <w:p w14:paraId="0518DB0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2597F65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0.20</w:t>
            </w:r>
          </w:p>
        </w:tc>
        <w:tc>
          <w:tcPr>
            <w:tcW w:w="1113" w:type="dxa"/>
            <w:vAlign w:val="center"/>
          </w:tcPr>
          <w:p w14:paraId="51D203B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0.02</w:t>
            </w:r>
          </w:p>
        </w:tc>
        <w:tc>
          <w:tcPr>
            <w:tcW w:w="1041" w:type="dxa"/>
            <w:tcBorders>
              <w:right w:val="single" w:sz="10" w:space="0" w:color="000000"/>
            </w:tcBorders>
            <w:vAlign w:val="center"/>
          </w:tcPr>
          <w:p w14:paraId="00E4EEA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27.00</w:t>
            </w:r>
          </w:p>
        </w:tc>
      </w:tr>
      <w:tr w:rsidR="0075791A" w14:paraId="6DADC145" w14:textId="77777777">
        <w:trPr>
          <w:trHeight w:val="278"/>
          <w:jc w:val="center"/>
        </w:trPr>
        <w:tc>
          <w:tcPr>
            <w:tcW w:w="569" w:type="dxa"/>
            <w:vMerge/>
            <w:tcBorders>
              <w:top w:val="nil"/>
              <w:left w:val="single" w:sz="10" w:space="0" w:color="000000"/>
            </w:tcBorders>
            <w:vAlign w:val="center"/>
          </w:tcPr>
          <w:p w14:paraId="5DBD6BBF" w14:textId="77777777" w:rsidR="0075791A" w:rsidRDefault="0075791A">
            <w:pPr>
              <w:jc w:val="center"/>
              <w:rPr>
                <w:rFonts w:ascii="Times New Roman" w:hAnsi="Times New Roman"/>
                <w:color w:val="auto"/>
              </w:rPr>
            </w:pPr>
          </w:p>
        </w:tc>
        <w:tc>
          <w:tcPr>
            <w:tcW w:w="459" w:type="dxa"/>
            <w:vAlign w:val="center"/>
          </w:tcPr>
          <w:p w14:paraId="46DB6E2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9</w:t>
            </w:r>
          </w:p>
        </w:tc>
        <w:tc>
          <w:tcPr>
            <w:tcW w:w="750" w:type="dxa"/>
            <w:vAlign w:val="center"/>
          </w:tcPr>
          <w:p w14:paraId="6B1EB4D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13.40</w:t>
            </w:r>
          </w:p>
        </w:tc>
        <w:tc>
          <w:tcPr>
            <w:tcW w:w="804" w:type="dxa"/>
            <w:vAlign w:val="center"/>
          </w:tcPr>
          <w:p w14:paraId="140CD66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1.20</w:t>
            </w:r>
          </w:p>
        </w:tc>
        <w:tc>
          <w:tcPr>
            <w:tcW w:w="649" w:type="dxa"/>
            <w:vAlign w:val="center"/>
          </w:tcPr>
          <w:p w14:paraId="4B89104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6442EAE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79.20</w:t>
            </w:r>
          </w:p>
        </w:tc>
        <w:tc>
          <w:tcPr>
            <w:tcW w:w="708" w:type="dxa"/>
            <w:vAlign w:val="center"/>
          </w:tcPr>
          <w:p w14:paraId="763AA21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6.20</w:t>
            </w:r>
          </w:p>
        </w:tc>
        <w:tc>
          <w:tcPr>
            <w:tcW w:w="766" w:type="dxa"/>
            <w:vAlign w:val="center"/>
          </w:tcPr>
          <w:p w14:paraId="4268539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375AE95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0.80</w:t>
            </w:r>
          </w:p>
        </w:tc>
        <w:tc>
          <w:tcPr>
            <w:tcW w:w="1113" w:type="dxa"/>
            <w:vAlign w:val="center"/>
          </w:tcPr>
          <w:p w14:paraId="35B7B97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6453609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14.60</w:t>
            </w:r>
          </w:p>
        </w:tc>
      </w:tr>
      <w:tr w:rsidR="0075791A" w14:paraId="708AD87E" w14:textId="77777777">
        <w:trPr>
          <w:trHeight w:val="275"/>
          <w:jc w:val="center"/>
        </w:trPr>
        <w:tc>
          <w:tcPr>
            <w:tcW w:w="569" w:type="dxa"/>
            <w:vMerge w:val="restart"/>
            <w:tcBorders>
              <w:left w:val="single" w:sz="10" w:space="0" w:color="000000"/>
              <w:bottom w:val="nil"/>
            </w:tcBorders>
            <w:vAlign w:val="center"/>
          </w:tcPr>
          <w:p w14:paraId="3DDC5F4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C2</w:t>
            </w:r>
          </w:p>
        </w:tc>
        <w:tc>
          <w:tcPr>
            <w:tcW w:w="459" w:type="dxa"/>
            <w:vAlign w:val="center"/>
          </w:tcPr>
          <w:p w14:paraId="4A40710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3</w:t>
            </w:r>
          </w:p>
        </w:tc>
        <w:tc>
          <w:tcPr>
            <w:tcW w:w="750" w:type="dxa"/>
            <w:vAlign w:val="center"/>
          </w:tcPr>
          <w:p w14:paraId="253CD68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20.60</w:t>
            </w:r>
          </w:p>
        </w:tc>
        <w:tc>
          <w:tcPr>
            <w:tcW w:w="804" w:type="dxa"/>
            <w:vAlign w:val="center"/>
          </w:tcPr>
          <w:p w14:paraId="29FF1A1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1.20</w:t>
            </w:r>
          </w:p>
        </w:tc>
        <w:tc>
          <w:tcPr>
            <w:tcW w:w="649" w:type="dxa"/>
            <w:vAlign w:val="center"/>
          </w:tcPr>
          <w:p w14:paraId="3A97BEE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6A83EE7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70.80</w:t>
            </w:r>
          </w:p>
        </w:tc>
        <w:tc>
          <w:tcPr>
            <w:tcW w:w="708" w:type="dxa"/>
            <w:vAlign w:val="center"/>
          </w:tcPr>
          <w:p w14:paraId="625F8AA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3"/>
                <w:sz w:val="21"/>
                <w:szCs w:val="21"/>
              </w:rPr>
              <w:t>7.40</w:t>
            </w:r>
          </w:p>
        </w:tc>
        <w:tc>
          <w:tcPr>
            <w:tcW w:w="766" w:type="dxa"/>
            <w:vAlign w:val="center"/>
          </w:tcPr>
          <w:p w14:paraId="06569FC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443B715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4.80</w:t>
            </w:r>
          </w:p>
        </w:tc>
        <w:tc>
          <w:tcPr>
            <w:tcW w:w="1113" w:type="dxa"/>
            <w:vAlign w:val="center"/>
          </w:tcPr>
          <w:p w14:paraId="3778530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0.04</w:t>
            </w:r>
          </w:p>
        </w:tc>
        <w:tc>
          <w:tcPr>
            <w:tcW w:w="1041" w:type="dxa"/>
            <w:tcBorders>
              <w:right w:val="single" w:sz="10" w:space="0" w:color="000000"/>
            </w:tcBorders>
            <w:vAlign w:val="center"/>
          </w:tcPr>
          <w:p w14:paraId="1E16ECE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21.80</w:t>
            </w:r>
          </w:p>
        </w:tc>
      </w:tr>
      <w:tr w:rsidR="0075791A" w14:paraId="749BA231" w14:textId="77777777">
        <w:trPr>
          <w:trHeight w:val="278"/>
          <w:jc w:val="center"/>
        </w:trPr>
        <w:tc>
          <w:tcPr>
            <w:tcW w:w="569" w:type="dxa"/>
            <w:vMerge/>
            <w:tcBorders>
              <w:top w:val="nil"/>
              <w:left w:val="single" w:sz="10" w:space="0" w:color="000000"/>
              <w:bottom w:val="nil"/>
            </w:tcBorders>
            <w:vAlign w:val="center"/>
          </w:tcPr>
          <w:p w14:paraId="19A048AC" w14:textId="77777777" w:rsidR="0075791A" w:rsidRDefault="0075791A">
            <w:pPr>
              <w:jc w:val="center"/>
              <w:rPr>
                <w:rFonts w:ascii="Times New Roman" w:hAnsi="Times New Roman"/>
                <w:color w:val="auto"/>
              </w:rPr>
            </w:pPr>
          </w:p>
        </w:tc>
        <w:tc>
          <w:tcPr>
            <w:tcW w:w="459" w:type="dxa"/>
            <w:vAlign w:val="center"/>
          </w:tcPr>
          <w:p w14:paraId="35109B5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6</w:t>
            </w:r>
          </w:p>
        </w:tc>
        <w:tc>
          <w:tcPr>
            <w:tcW w:w="750" w:type="dxa"/>
            <w:vAlign w:val="center"/>
          </w:tcPr>
          <w:p w14:paraId="5925376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23.80</w:t>
            </w:r>
          </w:p>
        </w:tc>
        <w:tc>
          <w:tcPr>
            <w:tcW w:w="804" w:type="dxa"/>
            <w:vAlign w:val="center"/>
          </w:tcPr>
          <w:p w14:paraId="03CBEEA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1.00</w:t>
            </w:r>
          </w:p>
        </w:tc>
        <w:tc>
          <w:tcPr>
            <w:tcW w:w="649" w:type="dxa"/>
            <w:vAlign w:val="center"/>
          </w:tcPr>
          <w:p w14:paraId="418F039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26887A1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57.00</w:t>
            </w:r>
          </w:p>
        </w:tc>
        <w:tc>
          <w:tcPr>
            <w:tcW w:w="708" w:type="dxa"/>
            <w:vAlign w:val="center"/>
          </w:tcPr>
          <w:p w14:paraId="5CBF8DF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18.20</w:t>
            </w:r>
          </w:p>
        </w:tc>
        <w:tc>
          <w:tcPr>
            <w:tcW w:w="766" w:type="dxa"/>
            <w:vAlign w:val="center"/>
          </w:tcPr>
          <w:p w14:paraId="3BB6ABA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69E4EF5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1.40</w:t>
            </w:r>
          </w:p>
        </w:tc>
        <w:tc>
          <w:tcPr>
            <w:tcW w:w="1113" w:type="dxa"/>
            <w:vAlign w:val="center"/>
          </w:tcPr>
          <w:p w14:paraId="0EBF31E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0.02</w:t>
            </w:r>
          </w:p>
        </w:tc>
        <w:tc>
          <w:tcPr>
            <w:tcW w:w="1041" w:type="dxa"/>
            <w:tcBorders>
              <w:right w:val="single" w:sz="10" w:space="0" w:color="000000"/>
            </w:tcBorders>
            <w:vAlign w:val="center"/>
          </w:tcPr>
          <w:p w14:paraId="57EB2FF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24.80</w:t>
            </w:r>
          </w:p>
        </w:tc>
      </w:tr>
      <w:tr w:rsidR="0075791A" w14:paraId="24370FB9" w14:textId="77777777">
        <w:trPr>
          <w:trHeight w:val="277"/>
          <w:jc w:val="center"/>
        </w:trPr>
        <w:tc>
          <w:tcPr>
            <w:tcW w:w="569" w:type="dxa"/>
            <w:vMerge/>
            <w:tcBorders>
              <w:top w:val="nil"/>
              <w:left w:val="single" w:sz="10" w:space="0" w:color="000000"/>
            </w:tcBorders>
            <w:vAlign w:val="center"/>
          </w:tcPr>
          <w:p w14:paraId="11AA29FD" w14:textId="77777777" w:rsidR="0075791A" w:rsidRDefault="0075791A">
            <w:pPr>
              <w:jc w:val="center"/>
              <w:rPr>
                <w:rFonts w:ascii="Times New Roman" w:hAnsi="Times New Roman"/>
                <w:color w:val="auto"/>
              </w:rPr>
            </w:pPr>
          </w:p>
        </w:tc>
        <w:tc>
          <w:tcPr>
            <w:tcW w:w="459" w:type="dxa"/>
            <w:vAlign w:val="center"/>
          </w:tcPr>
          <w:p w14:paraId="48198FD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9</w:t>
            </w:r>
          </w:p>
        </w:tc>
        <w:tc>
          <w:tcPr>
            <w:tcW w:w="750" w:type="dxa"/>
            <w:vAlign w:val="center"/>
          </w:tcPr>
          <w:p w14:paraId="17B14A5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25.20</w:t>
            </w:r>
          </w:p>
        </w:tc>
        <w:tc>
          <w:tcPr>
            <w:tcW w:w="804" w:type="dxa"/>
            <w:vAlign w:val="center"/>
          </w:tcPr>
          <w:p w14:paraId="077E77E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0.20</w:t>
            </w:r>
          </w:p>
        </w:tc>
        <w:tc>
          <w:tcPr>
            <w:tcW w:w="649" w:type="dxa"/>
            <w:vAlign w:val="center"/>
          </w:tcPr>
          <w:p w14:paraId="19CB840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2F9504F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68.80</w:t>
            </w:r>
          </w:p>
        </w:tc>
        <w:tc>
          <w:tcPr>
            <w:tcW w:w="708" w:type="dxa"/>
            <w:vAlign w:val="center"/>
          </w:tcPr>
          <w:p w14:paraId="02EB69D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5.80</w:t>
            </w:r>
          </w:p>
        </w:tc>
        <w:tc>
          <w:tcPr>
            <w:tcW w:w="766" w:type="dxa"/>
            <w:vAlign w:val="center"/>
          </w:tcPr>
          <w:p w14:paraId="1C474FB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76CA02A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0.80</w:t>
            </w:r>
          </w:p>
        </w:tc>
        <w:tc>
          <w:tcPr>
            <w:tcW w:w="1113" w:type="dxa"/>
            <w:vAlign w:val="center"/>
          </w:tcPr>
          <w:p w14:paraId="3ED5F74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0.02</w:t>
            </w:r>
          </w:p>
        </w:tc>
        <w:tc>
          <w:tcPr>
            <w:tcW w:w="1041" w:type="dxa"/>
            <w:tcBorders>
              <w:right w:val="single" w:sz="10" w:space="0" w:color="000000"/>
            </w:tcBorders>
            <w:vAlign w:val="center"/>
          </w:tcPr>
          <w:p w14:paraId="317D050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25.40</w:t>
            </w:r>
          </w:p>
        </w:tc>
      </w:tr>
      <w:tr w:rsidR="0075791A" w14:paraId="5C3DCF91" w14:textId="77777777">
        <w:trPr>
          <w:trHeight w:val="275"/>
          <w:jc w:val="center"/>
        </w:trPr>
        <w:tc>
          <w:tcPr>
            <w:tcW w:w="569" w:type="dxa"/>
            <w:vMerge w:val="restart"/>
            <w:tcBorders>
              <w:left w:val="single" w:sz="10" w:space="0" w:color="000000"/>
              <w:bottom w:val="nil"/>
            </w:tcBorders>
            <w:vAlign w:val="center"/>
          </w:tcPr>
          <w:p w14:paraId="6F6303C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C3</w:t>
            </w:r>
          </w:p>
        </w:tc>
        <w:tc>
          <w:tcPr>
            <w:tcW w:w="459" w:type="dxa"/>
            <w:vAlign w:val="center"/>
          </w:tcPr>
          <w:p w14:paraId="44958FE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3</w:t>
            </w:r>
          </w:p>
        </w:tc>
        <w:tc>
          <w:tcPr>
            <w:tcW w:w="750" w:type="dxa"/>
            <w:vAlign w:val="center"/>
          </w:tcPr>
          <w:p w14:paraId="38BEBF9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9.20</w:t>
            </w:r>
          </w:p>
        </w:tc>
        <w:tc>
          <w:tcPr>
            <w:tcW w:w="804" w:type="dxa"/>
            <w:vAlign w:val="center"/>
          </w:tcPr>
          <w:p w14:paraId="08C853C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2.00</w:t>
            </w:r>
          </w:p>
        </w:tc>
        <w:tc>
          <w:tcPr>
            <w:tcW w:w="649" w:type="dxa"/>
            <w:vAlign w:val="center"/>
          </w:tcPr>
          <w:p w14:paraId="0841D56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60A586E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80.80</w:t>
            </w:r>
          </w:p>
        </w:tc>
        <w:tc>
          <w:tcPr>
            <w:tcW w:w="708" w:type="dxa"/>
            <w:vAlign w:val="center"/>
          </w:tcPr>
          <w:p w14:paraId="4935DAC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8.00</w:t>
            </w:r>
          </w:p>
        </w:tc>
        <w:tc>
          <w:tcPr>
            <w:tcW w:w="766" w:type="dxa"/>
            <w:vAlign w:val="center"/>
          </w:tcPr>
          <w:p w14:paraId="32171CB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3BB4C40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15.20</w:t>
            </w:r>
          </w:p>
        </w:tc>
        <w:tc>
          <w:tcPr>
            <w:tcW w:w="1113" w:type="dxa"/>
            <w:vAlign w:val="center"/>
          </w:tcPr>
          <w:p w14:paraId="20D1724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0.16</w:t>
            </w:r>
          </w:p>
        </w:tc>
        <w:tc>
          <w:tcPr>
            <w:tcW w:w="1041" w:type="dxa"/>
            <w:tcBorders>
              <w:right w:val="single" w:sz="10" w:space="0" w:color="000000"/>
            </w:tcBorders>
            <w:vAlign w:val="center"/>
          </w:tcPr>
          <w:p w14:paraId="1E19BB9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11.20</w:t>
            </w:r>
          </w:p>
        </w:tc>
      </w:tr>
      <w:tr w:rsidR="0075791A" w14:paraId="4CC87C40" w14:textId="77777777">
        <w:trPr>
          <w:trHeight w:val="278"/>
          <w:jc w:val="center"/>
        </w:trPr>
        <w:tc>
          <w:tcPr>
            <w:tcW w:w="569" w:type="dxa"/>
            <w:vMerge/>
            <w:tcBorders>
              <w:top w:val="nil"/>
              <w:left w:val="single" w:sz="10" w:space="0" w:color="000000"/>
              <w:bottom w:val="nil"/>
            </w:tcBorders>
            <w:vAlign w:val="center"/>
          </w:tcPr>
          <w:p w14:paraId="4A50CD5C" w14:textId="77777777" w:rsidR="0075791A" w:rsidRDefault="0075791A">
            <w:pPr>
              <w:jc w:val="center"/>
              <w:rPr>
                <w:rFonts w:ascii="Times New Roman" w:hAnsi="Times New Roman"/>
                <w:color w:val="auto"/>
              </w:rPr>
            </w:pPr>
          </w:p>
        </w:tc>
        <w:tc>
          <w:tcPr>
            <w:tcW w:w="459" w:type="dxa"/>
            <w:vAlign w:val="center"/>
          </w:tcPr>
          <w:p w14:paraId="18E31A8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6</w:t>
            </w:r>
          </w:p>
        </w:tc>
        <w:tc>
          <w:tcPr>
            <w:tcW w:w="750" w:type="dxa"/>
            <w:vAlign w:val="center"/>
          </w:tcPr>
          <w:p w14:paraId="5B7DEAF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2.20</w:t>
            </w:r>
          </w:p>
        </w:tc>
        <w:tc>
          <w:tcPr>
            <w:tcW w:w="804" w:type="dxa"/>
            <w:vAlign w:val="center"/>
          </w:tcPr>
          <w:p w14:paraId="08ACB0F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49" w:type="dxa"/>
            <w:vAlign w:val="center"/>
          </w:tcPr>
          <w:p w14:paraId="640EEC3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2B89FCE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47.00</w:t>
            </w:r>
          </w:p>
        </w:tc>
        <w:tc>
          <w:tcPr>
            <w:tcW w:w="708" w:type="dxa"/>
            <w:vAlign w:val="center"/>
          </w:tcPr>
          <w:p w14:paraId="67B8502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50.80</w:t>
            </w:r>
          </w:p>
        </w:tc>
        <w:tc>
          <w:tcPr>
            <w:tcW w:w="766" w:type="dxa"/>
            <w:vAlign w:val="center"/>
          </w:tcPr>
          <w:p w14:paraId="24E8F73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1861A2A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5.40</w:t>
            </w:r>
          </w:p>
        </w:tc>
        <w:tc>
          <w:tcPr>
            <w:tcW w:w="1113" w:type="dxa"/>
            <w:vAlign w:val="center"/>
          </w:tcPr>
          <w:p w14:paraId="74AA6D3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0.06</w:t>
            </w:r>
          </w:p>
        </w:tc>
        <w:tc>
          <w:tcPr>
            <w:tcW w:w="1041" w:type="dxa"/>
            <w:tcBorders>
              <w:right w:val="single" w:sz="10" w:space="0" w:color="000000"/>
            </w:tcBorders>
            <w:vAlign w:val="center"/>
          </w:tcPr>
          <w:p w14:paraId="492C8A7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2.20</w:t>
            </w:r>
          </w:p>
        </w:tc>
      </w:tr>
      <w:tr w:rsidR="0075791A" w14:paraId="0BB3D230" w14:textId="77777777">
        <w:trPr>
          <w:trHeight w:val="277"/>
          <w:jc w:val="center"/>
        </w:trPr>
        <w:tc>
          <w:tcPr>
            <w:tcW w:w="569" w:type="dxa"/>
            <w:vMerge/>
            <w:tcBorders>
              <w:top w:val="nil"/>
              <w:left w:val="single" w:sz="10" w:space="0" w:color="000000"/>
            </w:tcBorders>
            <w:vAlign w:val="center"/>
          </w:tcPr>
          <w:p w14:paraId="4253839C" w14:textId="77777777" w:rsidR="0075791A" w:rsidRDefault="0075791A">
            <w:pPr>
              <w:jc w:val="center"/>
              <w:rPr>
                <w:rFonts w:ascii="Times New Roman" w:hAnsi="Times New Roman"/>
                <w:color w:val="auto"/>
              </w:rPr>
            </w:pPr>
          </w:p>
        </w:tc>
        <w:tc>
          <w:tcPr>
            <w:tcW w:w="459" w:type="dxa"/>
            <w:vAlign w:val="center"/>
          </w:tcPr>
          <w:p w14:paraId="18ECC1C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9</w:t>
            </w:r>
          </w:p>
        </w:tc>
        <w:tc>
          <w:tcPr>
            <w:tcW w:w="750" w:type="dxa"/>
            <w:vAlign w:val="center"/>
          </w:tcPr>
          <w:p w14:paraId="4DD2BB6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10.60</w:t>
            </w:r>
          </w:p>
        </w:tc>
        <w:tc>
          <w:tcPr>
            <w:tcW w:w="804" w:type="dxa"/>
            <w:vAlign w:val="center"/>
          </w:tcPr>
          <w:p w14:paraId="286CE6B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1.80</w:t>
            </w:r>
          </w:p>
        </w:tc>
        <w:tc>
          <w:tcPr>
            <w:tcW w:w="649" w:type="dxa"/>
            <w:vAlign w:val="center"/>
          </w:tcPr>
          <w:p w14:paraId="74DAE09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0BE6642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77.00</w:t>
            </w:r>
          </w:p>
        </w:tc>
        <w:tc>
          <w:tcPr>
            <w:tcW w:w="708" w:type="dxa"/>
            <w:vAlign w:val="center"/>
          </w:tcPr>
          <w:p w14:paraId="209D3D0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10.60</w:t>
            </w:r>
          </w:p>
        </w:tc>
        <w:tc>
          <w:tcPr>
            <w:tcW w:w="766" w:type="dxa"/>
            <w:vAlign w:val="center"/>
          </w:tcPr>
          <w:p w14:paraId="4B3A2D7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11EF5A3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8.80</w:t>
            </w:r>
          </w:p>
        </w:tc>
        <w:tc>
          <w:tcPr>
            <w:tcW w:w="1113" w:type="dxa"/>
            <w:vAlign w:val="center"/>
          </w:tcPr>
          <w:p w14:paraId="2663DE7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605A852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12.40</w:t>
            </w:r>
          </w:p>
        </w:tc>
      </w:tr>
      <w:tr w:rsidR="0075791A" w14:paraId="3F6428FB" w14:textId="77777777">
        <w:trPr>
          <w:trHeight w:val="276"/>
          <w:jc w:val="center"/>
        </w:trPr>
        <w:tc>
          <w:tcPr>
            <w:tcW w:w="569" w:type="dxa"/>
            <w:vMerge w:val="restart"/>
            <w:tcBorders>
              <w:left w:val="single" w:sz="10" w:space="0" w:color="000000"/>
              <w:bottom w:val="nil"/>
            </w:tcBorders>
            <w:vAlign w:val="center"/>
          </w:tcPr>
          <w:p w14:paraId="0C932FD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C4</w:t>
            </w:r>
          </w:p>
        </w:tc>
        <w:tc>
          <w:tcPr>
            <w:tcW w:w="459" w:type="dxa"/>
            <w:vAlign w:val="center"/>
          </w:tcPr>
          <w:p w14:paraId="059E172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2</w:t>
            </w:r>
          </w:p>
        </w:tc>
        <w:tc>
          <w:tcPr>
            <w:tcW w:w="750" w:type="dxa"/>
            <w:vAlign w:val="center"/>
          </w:tcPr>
          <w:p w14:paraId="1CEA1B4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6.40</w:t>
            </w:r>
          </w:p>
        </w:tc>
        <w:tc>
          <w:tcPr>
            <w:tcW w:w="804" w:type="dxa"/>
            <w:vAlign w:val="center"/>
          </w:tcPr>
          <w:p w14:paraId="5C25B89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2.80</w:t>
            </w:r>
          </w:p>
        </w:tc>
        <w:tc>
          <w:tcPr>
            <w:tcW w:w="649" w:type="dxa"/>
            <w:vAlign w:val="center"/>
          </w:tcPr>
          <w:p w14:paraId="2E27DA2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49E95E8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88.40</w:t>
            </w:r>
          </w:p>
        </w:tc>
        <w:tc>
          <w:tcPr>
            <w:tcW w:w="708" w:type="dxa"/>
            <w:vAlign w:val="center"/>
          </w:tcPr>
          <w:p w14:paraId="18DBBEF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2.40</w:t>
            </w:r>
          </w:p>
        </w:tc>
        <w:tc>
          <w:tcPr>
            <w:tcW w:w="766" w:type="dxa"/>
            <w:vAlign w:val="center"/>
          </w:tcPr>
          <w:p w14:paraId="413957A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4FE57B2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5.40</w:t>
            </w:r>
          </w:p>
        </w:tc>
        <w:tc>
          <w:tcPr>
            <w:tcW w:w="1113" w:type="dxa"/>
            <w:vAlign w:val="center"/>
          </w:tcPr>
          <w:p w14:paraId="31B2C2A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31E1D2E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9.20</w:t>
            </w:r>
          </w:p>
        </w:tc>
      </w:tr>
      <w:tr w:rsidR="0075791A" w14:paraId="5F9606D7" w14:textId="77777777">
        <w:trPr>
          <w:trHeight w:val="278"/>
          <w:jc w:val="center"/>
        </w:trPr>
        <w:tc>
          <w:tcPr>
            <w:tcW w:w="569" w:type="dxa"/>
            <w:vMerge/>
            <w:tcBorders>
              <w:top w:val="nil"/>
              <w:left w:val="single" w:sz="10" w:space="0" w:color="000000"/>
              <w:bottom w:val="nil"/>
            </w:tcBorders>
            <w:vAlign w:val="center"/>
          </w:tcPr>
          <w:p w14:paraId="0084E8D9" w14:textId="77777777" w:rsidR="0075791A" w:rsidRDefault="0075791A">
            <w:pPr>
              <w:jc w:val="center"/>
              <w:rPr>
                <w:rFonts w:ascii="Times New Roman" w:hAnsi="Times New Roman"/>
                <w:color w:val="auto"/>
              </w:rPr>
            </w:pPr>
          </w:p>
        </w:tc>
        <w:tc>
          <w:tcPr>
            <w:tcW w:w="459" w:type="dxa"/>
            <w:vAlign w:val="center"/>
          </w:tcPr>
          <w:p w14:paraId="05E5812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4</w:t>
            </w:r>
          </w:p>
        </w:tc>
        <w:tc>
          <w:tcPr>
            <w:tcW w:w="750" w:type="dxa"/>
            <w:vAlign w:val="center"/>
          </w:tcPr>
          <w:p w14:paraId="5097C6F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5.20</w:t>
            </w:r>
          </w:p>
        </w:tc>
        <w:tc>
          <w:tcPr>
            <w:tcW w:w="804" w:type="dxa"/>
            <w:vAlign w:val="center"/>
          </w:tcPr>
          <w:p w14:paraId="69B8363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0.60</w:t>
            </w:r>
          </w:p>
        </w:tc>
        <w:tc>
          <w:tcPr>
            <w:tcW w:w="649" w:type="dxa"/>
            <w:vAlign w:val="center"/>
          </w:tcPr>
          <w:p w14:paraId="5B03F58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41F016D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88.60</w:t>
            </w:r>
          </w:p>
        </w:tc>
        <w:tc>
          <w:tcPr>
            <w:tcW w:w="708" w:type="dxa"/>
            <w:vAlign w:val="center"/>
          </w:tcPr>
          <w:p w14:paraId="32A7F55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5.60</w:t>
            </w:r>
          </w:p>
        </w:tc>
        <w:tc>
          <w:tcPr>
            <w:tcW w:w="766" w:type="dxa"/>
            <w:vAlign w:val="center"/>
          </w:tcPr>
          <w:p w14:paraId="707AF06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3765804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0.60</w:t>
            </w:r>
          </w:p>
        </w:tc>
        <w:tc>
          <w:tcPr>
            <w:tcW w:w="1113" w:type="dxa"/>
            <w:vAlign w:val="center"/>
          </w:tcPr>
          <w:p w14:paraId="4BF7DE9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7F223D4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5.80</w:t>
            </w:r>
          </w:p>
        </w:tc>
      </w:tr>
      <w:tr w:rsidR="0075791A" w14:paraId="46C657AA" w14:textId="77777777">
        <w:trPr>
          <w:trHeight w:val="277"/>
          <w:jc w:val="center"/>
        </w:trPr>
        <w:tc>
          <w:tcPr>
            <w:tcW w:w="569" w:type="dxa"/>
            <w:vMerge/>
            <w:tcBorders>
              <w:top w:val="nil"/>
              <w:left w:val="single" w:sz="10" w:space="0" w:color="000000"/>
            </w:tcBorders>
            <w:vAlign w:val="center"/>
          </w:tcPr>
          <w:p w14:paraId="1991408C" w14:textId="77777777" w:rsidR="0075791A" w:rsidRDefault="0075791A">
            <w:pPr>
              <w:jc w:val="center"/>
              <w:rPr>
                <w:rFonts w:ascii="Times New Roman" w:hAnsi="Times New Roman"/>
                <w:color w:val="auto"/>
              </w:rPr>
            </w:pPr>
          </w:p>
        </w:tc>
        <w:tc>
          <w:tcPr>
            <w:tcW w:w="459" w:type="dxa"/>
            <w:vAlign w:val="center"/>
          </w:tcPr>
          <w:p w14:paraId="7465F78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6</w:t>
            </w:r>
          </w:p>
        </w:tc>
        <w:tc>
          <w:tcPr>
            <w:tcW w:w="750" w:type="dxa"/>
            <w:vAlign w:val="center"/>
          </w:tcPr>
          <w:p w14:paraId="06D6BB0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9.20</w:t>
            </w:r>
          </w:p>
        </w:tc>
        <w:tc>
          <w:tcPr>
            <w:tcW w:w="804" w:type="dxa"/>
            <w:vAlign w:val="center"/>
          </w:tcPr>
          <w:p w14:paraId="76D10D0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0.40</w:t>
            </w:r>
          </w:p>
        </w:tc>
        <w:tc>
          <w:tcPr>
            <w:tcW w:w="649" w:type="dxa"/>
            <w:vAlign w:val="center"/>
          </w:tcPr>
          <w:p w14:paraId="4CED7C1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4DBE612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85.00</w:t>
            </w:r>
          </w:p>
        </w:tc>
        <w:tc>
          <w:tcPr>
            <w:tcW w:w="708" w:type="dxa"/>
            <w:vAlign w:val="center"/>
          </w:tcPr>
          <w:p w14:paraId="1BA3385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5.40</w:t>
            </w:r>
          </w:p>
        </w:tc>
        <w:tc>
          <w:tcPr>
            <w:tcW w:w="766" w:type="dxa"/>
            <w:vAlign w:val="center"/>
          </w:tcPr>
          <w:p w14:paraId="5FB4590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24C79CE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2.20</w:t>
            </w:r>
          </w:p>
        </w:tc>
        <w:tc>
          <w:tcPr>
            <w:tcW w:w="1113" w:type="dxa"/>
            <w:vAlign w:val="center"/>
          </w:tcPr>
          <w:p w14:paraId="18DB61C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0.02</w:t>
            </w:r>
          </w:p>
        </w:tc>
        <w:tc>
          <w:tcPr>
            <w:tcW w:w="1041" w:type="dxa"/>
            <w:tcBorders>
              <w:right w:val="single" w:sz="10" w:space="0" w:color="000000"/>
            </w:tcBorders>
            <w:vAlign w:val="center"/>
          </w:tcPr>
          <w:p w14:paraId="3343B01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9.60</w:t>
            </w:r>
          </w:p>
        </w:tc>
      </w:tr>
      <w:tr w:rsidR="0075791A" w14:paraId="03366887" w14:textId="77777777">
        <w:trPr>
          <w:trHeight w:val="275"/>
          <w:jc w:val="center"/>
        </w:trPr>
        <w:tc>
          <w:tcPr>
            <w:tcW w:w="569" w:type="dxa"/>
            <w:tcBorders>
              <w:left w:val="single" w:sz="10" w:space="0" w:color="000000"/>
            </w:tcBorders>
            <w:vAlign w:val="center"/>
          </w:tcPr>
          <w:p w14:paraId="421DE64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C5</w:t>
            </w:r>
          </w:p>
        </w:tc>
        <w:tc>
          <w:tcPr>
            <w:tcW w:w="459" w:type="dxa"/>
            <w:vAlign w:val="center"/>
          </w:tcPr>
          <w:p w14:paraId="1018239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2</w:t>
            </w:r>
          </w:p>
        </w:tc>
        <w:tc>
          <w:tcPr>
            <w:tcW w:w="750" w:type="dxa"/>
            <w:vAlign w:val="center"/>
          </w:tcPr>
          <w:p w14:paraId="091AEE2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1.40</w:t>
            </w:r>
          </w:p>
        </w:tc>
        <w:tc>
          <w:tcPr>
            <w:tcW w:w="804" w:type="dxa"/>
            <w:vAlign w:val="center"/>
          </w:tcPr>
          <w:p w14:paraId="692EA61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20.60</w:t>
            </w:r>
          </w:p>
        </w:tc>
        <w:tc>
          <w:tcPr>
            <w:tcW w:w="649" w:type="dxa"/>
            <w:vAlign w:val="center"/>
          </w:tcPr>
          <w:p w14:paraId="3DA646A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2EF1320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75.80</w:t>
            </w:r>
          </w:p>
        </w:tc>
        <w:tc>
          <w:tcPr>
            <w:tcW w:w="708" w:type="dxa"/>
            <w:vAlign w:val="center"/>
          </w:tcPr>
          <w:p w14:paraId="7619540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2.20</w:t>
            </w:r>
          </w:p>
        </w:tc>
        <w:tc>
          <w:tcPr>
            <w:tcW w:w="766" w:type="dxa"/>
            <w:vAlign w:val="center"/>
          </w:tcPr>
          <w:p w14:paraId="44B9FC7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2E18472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113" w:type="dxa"/>
            <w:vAlign w:val="center"/>
          </w:tcPr>
          <w:p w14:paraId="746EE47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5D4034C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22.00</w:t>
            </w:r>
          </w:p>
        </w:tc>
      </w:tr>
      <w:tr w:rsidR="0075791A" w14:paraId="2A66F739" w14:textId="77777777">
        <w:trPr>
          <w:trHeight w:val="277"/>
          <w:jc w:val="center"/>
        </w:trPr>
        <w:tc>
          <w:tcPr>
            <w:tcW w:w="569" w:type="dxa"/>
            <w:tcBorders>
              <w:left w:val="single" w:sz="10" w:space="0" w:color="000000"/>
            </w:tcBorders>
            <w:vAlign w:val="center"/>
          </w:tcPr>
          <w:p w14:paraId="5954C48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C6</w:t>
            </w:r>
          </w:p>
        </w:tc>
        <w:tc>
          <w:tcPr>
            <w:tcW w:w="459" w:type="dxa"/>
            <w:vAlign w:val="center"/>
          </w:tcPr>
          <w:p w14:paraId="240465C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2</w:t>
            </w:r>
          </w:p>
        </w:tc>
        <w:tc>
          <w:tcPr>
            <w:tcW w:w="750" w:type="dxa"/>
            <w:vAlign w:val="center"/>
          </w:tcPr>
          <w:p w14:paraId="57C27CD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29.20</w:t>
            </w:r>
          </w:p>
        </w:tc>
        <w:tc>
          <w:tcPr>
            <w:tcW w:w="804" w:type="dxa"/>
            <w:vAlign w:val="center"/>
          </w:tcPr>
          <w:p w14:paraId="5B3CC26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49" w:type="dxa"/>
            <w:vAlign w:val="center"/>
          </w:tcPr>
          <w:p w14:paraId="44FB22B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716FA7E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70.80</w:t>
            </w:r>
          </w:p>
        </w:tc>
        <w:tc>
          <w:tcPr>
            <w:tcW w:w="708" w:type="dxa"/>
            <w:vAlign w:val="center"/>
          </w:tcPr>
          <w:p w14:paraId="63888E6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766" w:type="dxa"/>
            <w:vAlign w:val="center"/>
          </w:tcPr>
          <w:p w14:paraId="08CBBE4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0B4FF18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17.20</w:t>
            </w:r>
          </w:p>
        </w:tc>
        <w:tc>
          <w:tcPr>
            <w:tcW w:w="1113" w:type="dxa"/>
            <w:vAlign w:val="center"/>
          </w:tcPr>
          <w:p w14:paraId="14F291C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38D04EA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29.20</w:t>
            </w:r>
          </w:p>
        </w:tc>
      </w:tr>
      <w:tr w:rsidR="0075791A" w14:paraId="5E227731" w14:textId="77777777">
        <w:trPr>
          <w:trHeight w:val="275"/>
          <w:jc w:val="center"/>
        </w:trPr>
        <w:tc>
          <w:tcPr>
            <w:tcW w:w="569" w:type="dxa"/>
            <w:tcBorders>
              <w:left w:val="single" w:sz="10" w:space="0" w:color="000000"/>
            </w:tcBorders>
            <w:vAlign w:val="center"/>
          </w:tcPr>
          <w:p w14:paraId="4B271E4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C7</w:t>
            </w:r>
          </w:p>
        </w:tc>
        <w:tc>
          <w:tcPr>
            <w:tcW w:w="459" w:type="dxa"/>
            <w:vAlign w:val="center"/>
          </w:tcPr>
          <w:p w14:paraId="36C131B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4</w:t>
            </w:r>
          </w:p>
        </w:tc>
        <w:tc>
          <w:tcPr>
            <w:tcW w:w="750" w:type="dxa"/>
            <w:vAlign w:val="center"/>
          </w:tcPr>
          <w:p w14:paraId="2C9DA5A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804" w:type="dxa"/>
            <w:vAlign w:val="center"/>
          </w:tcPr>
          <w:p w14:paraId="36E8E5E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49" w:type="dxa"/>
            <w:vAlign w:val="center"/>
          </w:tcPr>
          <w:p w14:paraId="1FC816B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5A1C883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708" w:type="dxa"/>
            <w:vAlign w:val="center"/>
          </w:tcPr>
          <w:p w14:paraId="13A21A4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3"/>
                <w:sz w:val="21"/>
                <w:szCs w:val="21"/>
              </w:rPr>
              <w:t>100.00</w:t>
            </w:r>
          </w:p>
        </w:tc>
        <w:tc>
          <w:tcPr>
            <w:tcW w:w="766" w:type="dxa"/>
            <w:vAlign w:val="center"/>
          </w:tcPr>
          <w:p w14:paraId="4CD77C3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01C478E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113" w:type="dxa"/>
            <w:vAlign w:val="center"/>
          </w:tcPr>
          <w:p w14:paraId="695F47F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0758362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r>
      <w:tr w:rsidR="0075791A" w14:paraId="7357EAE0" w14:textId="77777777">
        <w:trPr>
          <w:trHeight w:val="278"/>
          <w:jc w:val="center"/>
        </w:trPr>
        <w:tc>
          <w:tcPr>
            <w:tcW w:w="569" w:type="dxa"/>
            <w:tcBorders>
              <w:left w:val="single" w:sz="10" w:space="0" w:color="000000"/>
            </w:tcBorders>
            <w:vAlign w:val="center"/>
          </w:tcPr>
          <w:p w14:paraId="6B438AC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C8</w:t>
            </w:r>
          </w:p>
        </w:tc>
        <w:tc>
          <w:tcPr>
            <w:tcW w:w="459" w:type="dxa"/>
            <w:vAlign w:val="center"/>
          </w:tcPr>
          <w:p w14:paraId="192F2D4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4</w:t>
            </w:r>
          </w:p>
        </w:tc>
        <w:tc>
          <w:tcPr>
            <w:tcW w:w="750" w:type="dxa"/>
            <w:vAlign w:val="center"/>
          </w:tcPr>
          <w:p w14:paraId="41E835B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804" w:type="dxa"/>
            <w:vAlign w:val="center"/>
          </w:tcPr>
          <w:p w14:paraId="04606C5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49" w:type="dxa"/>
            <w:vAlign w:val="center"/>
          </w:tcPr>
          <w:p w14:paraId="02282EE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5A9D093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708" w:type="dxa"/>
            <w:vAlign w:val="center"/>
          </w:tcPr>
          <w:p w14:paraId="5577A25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3"/>
                <w:sz w:val="21"/>
                <w:szCs w:val="21"/>
              </w:rPr>
              <w:t>100.00</w:t>
            </w:r>
          </w:p>
        </w:tc>
        <w:tc>
          <w:tcPr>
            <w:tcW w:w="766" w:type="dxa"/>
            <w:vAlign w:val="center"/>
          </w:tcPr>
          <w:p w14:paraId="699C54F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2D73CA9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113" w:type="dxa"/>
            <w:vAlign w:val="center"/>
          </w:tcPr>
          <w:p w14:paraId="4E2FD44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1BF078D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r>
      <w:tr w:rsidR="0075791A" w14:paraId="286CF860" w14:textId="77777777">
        <w:trPr>
          <w:trHeight w:val="278"/>
          <w:jc w:val="center"/>
        </w:trPr>
        <w:tc>
          <w:tcPr>
            <w:tcW w:w="569" w:type="dxa"/>
            <w:vMerge w:val="restart"/>
            <w:tcBorders>
              <w:left w:val="single" w:sz="10" w:space="0" w:color="000000"/>
              <w:bottom w:val="nil"/>
            </w:tcBorders>
            <w:vAlign w:val="center"/>
          </w:tcPr>
          <w:p w14:paraId="0EDA845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C9</w:t>
            </w:r>
          </w:p>
        </w:tc>
        <w:tc>
          <w:tcPr>
            <w:tcW w:w="459" w:type="dxa"/>
            <w:vAlign w:val="center"/>
          </w:tcPr>
          <w:p w14:paraId="7014E0B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2</w:t>
            </w:r>
          </w:p>
        </w:tc>
        <w:tc>
          <w:tcPr>
            <w:tcW w:w="750" w:type="dxa"/>
            <w:vAlign w:val="center"/>
          </w:tcPr>
          <w:p w14:paraId="6BFCB84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14.80</w:t>
            </w:r>
          </w:p>
        </w:tc>
        <w:tc>
          <w:tcPr>
            <w:tcW w:w="804" w:type="dxa"/>
            <w:vAlign w:val="center"/>
          </w:tcPr>
          <w:p w14:paraId="5936247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49" w:type="dxa"/>
            <w:vAlign w:val="center"/>
          </w:tcPr>
          <w:p w14:paraId="0D224E7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7827EAA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77.20</w:t>
            </w:r>
          </w:p>
        </w:tc>
        <w:tc>
          <w:tcPr>
            <w:tcW w:w="708" w:type="dxa"/>
            <w:vAlign w:val="center"/>
          </w:tcPr>
          <w:p w14:paraId="2E625CA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8.00</w:t>
            </w:r>
          </w:p>
        </w:tc>
        <w:tc>
          <w:tcPr>
            <w:tcW w:w="766" w:type="dxa"/>
            <w:vAlign w:val="center"/>
          </w:tcPr>
          <w:p w14:paraId="0E88D42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3240789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11.40</w:t>
            </w:r>
          </w:p>
        </w:tc>
        <w:tc>
          <w:tcPr>
            <w:tcW w:w="1113" w:type="dxa"/>
            <w:vAlign w:val="center"/>
          </w:tcPr>
          <w:p w14:paraId="6E5F4C8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5908247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14.80</w:t>
            </w:r>
          </w:p>
        </w:tc>
      </w:tr>
      <w:tr w:rsidR="0075791A" w14:paraId="2451A84C" w14:textId="77777777">
        <w:trPr>
          <w:trHeight w:val="275"/>
          <w:jc w:val="center"/>
        </w:trPr>
        <w:tc>
          <w:tcPr>
            <w:tcW w:w="569" w:type="dxa"/>
            <w:vMerge/>
            <w:tcBorders>
              <w:top w:val="nil"/>
              <w:left w:val="single" w:sz="10" w:space="0" w:color="000000"/>
              <w:bottom w:val="nil"/>
            </w:tcBorders>
            <w:vAlign w:val="center"/>
          </w:tcPr>
          <w:p w14:paraId="7781455A" w14:textId="77777777" w:rsidR="0075791A" w:rsidRDefault="0075791A">
            <w:pPr>
              <w:jc w:val="center"/>
              <w:rPr>
                <w:rFonts w:ascii="Times New Roman" w:hAnsi="Times New Roman"/>
                <w:color w:val="auto"/>
              </w:rPr>
            </w:pPr>
          </w:p>
        </w:tc>
        <w:tc>
          <w:tcPr>
            <w:tcW w:w="459" w:type="dxa"/>
            <w:vAlign w:val="center"/>
          </w:tcPr>
          <w:p w14:paraId="354E7CA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4</w:t>
            </w:r>
          </w:p>
        </w:tc>
        <w:tc>
          <w:tcPr>
            <w:tcW w:w="750" w:type="dxa"/>
            <w:vAlign w:val="center"/>
          </w:tcPr>
          <w:p w14:paraId="1F11600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8.60</w:t>
            </w:r>
          </w:p>
        </w:tc>
        <w:tc>
          <w:tcPr>
            <w:tcW w:w="804" w:type="dxa"/>
            <w:vAlign w:val="center"/>
          </w:tcPr>
          <w:p w14:paraId="789E817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1.40</w:t>
            </w:r>
          </w:p>
        </w:tc>
        <w:tc>
          <w:tcPr>
            <w:tcW w:w="649" w:type="dxa"/>
            <w:vAlign w:val="center"/>
          </w:tcPr>
          <w:p w14:paraId="73DA0C5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0F1882E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72.80</w:t>
            </w:r>
          </w:p>
        </w:tc>
        <w:tc>
          <w:tcPr>
            <w:tcW w:w="708" w:type="dxa"/>
            <w:vAlign w:val="center"/>
          </w:tcPr>
          <w:p w14:paraId="3A61D5C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17.20</w:t>
            </w:r>
          </w:p>
        </w:tc>
        <w:tc>
          <w:tcPr>
            <w:tcW w:w="766" w:type="dxa"/>
            <w:vAlign w:val="center"/>
          </w:tcPr>
          <w:p w14:paraId="5652ACD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3CBDE93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0.20</w:t>
            </w:r>
          </w:p>
        </w:tc>
        <w:tc>
          <w:tcPr>
            <w:tcW w:w="1113" w:type="dxa"/>
            <w:vAlign w:val="center"/>
          </w:tcPr>
          <w:p w14:paraId="5CA8711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450678B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10.00</w:t>
            </w:r>
          </w:p>
        </w:tc>
      </w:tr>
      <w:tr w:rsidR="0075791A" w14:paraId="1553B0E2" w14:textId="77777777">
        <w:trPr>
          <w:trHeight w:val="278"/>
          <w:jc w:val="center"/>
        </w:trPr>
        <w:tc>
          <w:tcPr>
            <w:tcW w:w="569" w:type="dxa"/>
            <w:vMerge/>
            <w:tcBorders>
              <w:top w:val="nil"/>
              <w:left w:val="single" w:sz="10" w:space="0" w:color="000000"/>
            </w:tcBorders>
            <w:vAlign w:val="center"/>
          </w:tcPr>
          <w:p w14:paraId="6BB23EB4" w14:textId="77777777" w:rsidR="0075791A" w:rsidRDefault="0075791A">
            <w:pPr>
              <w:jc w:val="center"/>
              <w:rPr>
                <w:rFonts w:ascii="Times New Roman" w:hAnsi="Times New Roman"/>
                <w:color w:val="auto"/>
              </w:rPr>
            </w:pPr>
          </w:p>
        </w:tc>
        <w:tc>
          <w:tcPr>
            <w:tcW w:w="459" w:type="dxa"/>
            <w:vAlign w:val="center"/>
          </w:tcPr>
          <w:p w14:paraId="301C6A1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6</w:t>
            </w:r>
          </w:p>
        </w:tc>
        <w:tc>
          <w:tcPr>
            <w:tcW w:w="750" w:type="dxa"/>
            <w:vAlign w:val="center"/>
          </w:tcPr>
          <w:p w14:paraId="4D1EC10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2.80</w:t>
            </w:r>
          </w:p>
        </w:tc>
        <w:tc>
          <w:tcPr>
            <w:tcW w:w="804" w:type="dxa"/>
            <w:vAlign w:val="center"/>
          </w:tcPr>
          <w:p w14:paraId="2FDF3C9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5.80</w:t>
            </w:r>
          </w:p>
        </w:tc>
        <w:tc>
          <w:tcPr>
            <w:tcW w:w="649" w:type="dxa"/>
            <w:vAlign w:val="center"/>
          </w:tcPr>
          <w:p w14:paraId="22248F6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6F9D2EE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54.80</w:t>
            </w:r>
          </w:p>
        </w:tc>
        <w:tc>
          <w:tcPr>
            <w:tcW w:w="708" w:type="dxa"/>
            <w:vAlign w:val="center"/>
          </w:tcPr>
          <w:p w14:paraId="7C1CB29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36.60</w:t>
            </w:r>
          </w:p>
        </w:tc>
        <w:tc>
          <w:tcPr>
            <w:tcW w:w="766" w:type="dxa"/>
            <w:vAlign w:val="center"/>
          </w:tcPr>
          <w:p w14:paraId="73FB91D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15168FE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113" w:type="dxa"/>
            <w:vAlign w:val="center"/>
          </w:tcPr>
          <w:p w14:paraId="1D9AECE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0.02</w:t>
            </w:r>
          </w:p>
        </w:tc>
        <w:tc>
          <w:tcPr>
            <w:tcW w:w="1041" w:type="dxa"/>
            <w:tcBorders>
              <w:right w:val="single" w:sz="10" w:space="0" w:color="000000"/>
            </w:tcBorders>
            <w:vAlign w:val="center"/>
          </w:tcPr>
          <w:p w14:paraId="5B7E3F6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8.60</w:t>
            </w:r>
          </w:p>
        </w:tc>
      </w:tr>
      <w:tr w:rsidR="0075791A" w14:paraId="79652E37" w14:textId="77777777">
        <w:trPr>
          <w:trHeight w:val="278"/>
          <w:jc w:val="center"/>
        </w:trPr>
        <w:tc>
          <w:tcPr>
            <w:tcW w:w="569" w:type="dxa"/>
            <w:vMerge w:val="restart"/>
            <w:tcBorders>
              <w:left w:val="single" w:sz="10" w:space="0" w:color="000000"/>
              <w:bottom w:val="nil"/>
            </w:tcBorders>
            <w:vAlign w:val="center"/>
          </w:tcPr>
          <w:p w14:paraId="46B58CB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C10</w:t>
            </w:r>
          </w:p>
        </w:tc>
        <w:tc>
          <w:tcPr>
            <w:tcW w:w="459" w:type="dxa"/>
            <w:vAlign w:val="center"/>
          </w:tcPr>
          <w:p w14:paraId="3DE5292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2</w:t>
            </w:r>
          </w:p>
        </w:tc>
        <w:tc>
          <w:tcPr>
            <w:tcW w:w="750" w:type="dxa"/>
            <w:vAlign w:val="center"/>
          </w:tcPr>
          <w:p w14:paraId="1B692FC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14.20</w:t>
            </w:r>
          </w:p>
        </w:tc>
        <w:tc>
          <w:tcPr>
            <w:tcW w:w="804" w:type="dxa"/>
            <w:vAlign w:val="center"/>
          </w:tcPr>
          <w:p w14:paraId="2D5B11B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3.00</w:t>
            </w:r>
          </w:p>
        </w:tc>
        <w:tc>
          <w:tcPr>
            <w:tcW w:w="649" w:type="dxa"/>
            <w:vAlign w:val="center"/>
          </w:tcPr>
          <w:p w14:paraId="19C2FE8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68AA8C1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77.00</w:t>
            </w:r>
          </w:p>
        </w:tc>
        <w:tc>
          <w:tcPr>
            <w:tcW w:w="708" w:type="dxa"/>
            <w:vAlign w:val="center"/>
          </w:tcPr>
          <w:p w14:paraId="71CCC6B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5.80</w:t>
            </w:r>
          </w:p>
        </w:tc>
        <w:tc>
          <w:tcPr>
            <w:tcW w:w="766" w:type="dxa"/>
            <w:vAlign w:val="center"/>
          </w:tcPr>
          <w:p w14:paraId="57F0201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320BE27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3"/>
                <w:sz w:val="21"/>
                <w:szCs w:val="21"/>
              </w:rPr>
              <w:t>7.00</w:t>
            </w:r>
          </w:p>
        </w:tc>
        <w:tc>
          <w:tcPr>
            <w:tcW w:w="1113" w:type="dxa"/>
            <w:vAlign w:val="center"/>
          </w:tcPr>
          <w:p w14:paraId="0CFB5CA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221E245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17.20</w:t>
            </w:r>
          </w:p>
        </w:tc>
      </w:tr>
      <w:tr w:rsidR="0075791A" w14:paraId="77C9FFB7" w14:textId="77777777">
        <w:trPr>
          <w:trHeight w:val="275"/>
          <w:jc w:val="center"/>
        </w:trPr>
        <w:tc>
          <w:tcPr>
            <w:tcW w:w="569" w:type="dxa"/>
            <w:vMerge/>
            <w:tcBorders>
              <w:top w:val="nil"/>
              <w:left w:val="single" w:sz="10" w:space="0" w:color="000000"/>
              <w:bottom w:val="nil"/>
            </w:tcBorders>
            <w:vAlign w:val="center"/>
          </w:tcPr>
          <w:p w14:paraId="39AAE38D" w14:textId="77777777" w:rsidR="0075791A" w:rsidRDefault="0075791A">
            <w:pPr>
              <w:jc w:val="center"/>
              <w:rPr>
                <w:rFonts w:ascii="Times New Roman" w:hAnsi="Times New Roman"/>
                <w:color w:val="auto"/>
              </w:rPr>
            </w:pPr>
          </w:p>
        </w:tc>
        <w:tc>
          <w:tcPr>
            <w:tcW w:w="459" w:type="dxa"/>
            <w:vAlign w:val="center"/>
          </w:tcPr>
          <w:p w14:paraId="6BE85D8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4</w:t>
            </w:r>
          </w:p>
        </w:tc>
        <w:tc>
          <w:tcPr>
            <w:tcW w:w="750" w:type="dxa"/>
            <w:vAlign w:val="center"/>
          </w:tcPr>
          <w:p w14:paraId="4C5904E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12.00</w:t>
            </w:r>
          </w:p>
        </w:tc>
        <w:tc>
          <w:tcPr>
            <w:tcW w:w="804" w:type="dxa"/>
            <w:vAlign w:val="center"/>
          </w:tcPr>
          <w:p w14:paraId="0E1E956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0.60</w:t>
            </w:r>
          </w:p>
        </w:tc>
        <w:tc>
          <w:tcPr>
            <w:tcW w:w="649" w:type="dxa"/>
            <w:vAlign w:val="center"/>
          </w:tcPr>
          <w:p w14:paraId="46561E5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70D75AA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81.00</w:t>
            </w:r>
          </w:p>
        </w:tc>
        <w:tc>
          <w:tcPr>
            <w:tcW w:w="708" w:type="dxa"/>
            <w:vAlign w:val="center"/>
          </w:tcPr>
          <w:p w14:paraId="10BDB17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6.40</w:t>
            </w:r>
          </w:p>
        </w:tc>
        <w:tc>
          <w:tcPr>
            <w:tcW w:w="766" w:type="dxa"/>
            <w:vAlign w:val="center"/>
          </w:tcPr>
          <w:p w14:paraId="584D817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306D63C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2.40</w:t>
            </w:r>
          </w:p>
        </w:tc>
        <w:tc>
          <w:tcPr>
            <w:tcW w:w="1113" w:type="dxa"/>
            <w:vAlign w:val="center"/>
          </w:tcPr>
          <w:p w14:paraId="6F9A0BE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03C6AC3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12.60</w:t>
            </w:r>
          </w:p>
        </w:tc>
      </w:tr>
      <w:tr w:rsidR="0075791A" w14:paraId="44FED001" w14:textId="77777777">
        <w:trPr>
          <w:trHeight w:val="278"/>
          <w:jc w:val="center"/>
        </w:trPr>
        <w:tc>
          <w:tcPr>
            <w:tcW w:w="569" w:type="dxa"/>
            <w:vMerge/>
            <w:tcBorders>
              <w:top w:val="nil"/>
              <w:left w:val="single" w:sz="10" w:space="0" w:color="000000"/>
            </w:tcBorders>
            <w:vAlign w:val="center"/>
          </w:tcPr>
          <w:p w14:paraId="1B63F6BC" w14:textId="77777777" w:rsidR="0075791A" w:rsidRDefault="0075791A">
            <w:pPr>
              <w:jc w:val="center"/>
              <w:rPr>
                <w:rFonts w:ascii="Times New Roman" w:hAnsi="Times New Roman"/>
                <w:color w:val="auto"/>
              </w:rPr>
            </w:pPr>
          </w:p>
        </w:tc>
        <w:tc>
          <w:tcPr>
            <w:tcW w:w="459" w:type="dxa"/>
            <w:vAlign w:val="center"/>
          </w:tcPr>
          <w:p w14:paraId="64FD497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6</w:t>
            </w:r>
          </w:p>
        </w:tc>
        <w:tc>
          <w:tcPr>
            <w:tcW w:w="750" w:type="dxa"/>
            <w:vAlign w:val="center"/>
          </w:tcPr>
          <w:p w14:paraId="63F8126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15.00</w:t>
            </w:r>
          </w:p>
        </w:tc>
        <w:tc>
          <w:tcPr>
            <w:tcW w:w="804" w:type="dxa"/>
            <w:vAlign w:val="center"/>
          </w:tcPr>
          <w:p w14:paraId="3EE7C24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0.60</w:t>
            </w:r>
          </w:p>
        </w:tc>
        <w:tc>
          <w:tcPr>
            <w:tcW w:w="649" w:type="dxa"/>
            <w:vAlign w:val="center"/>
          </w:tcPr>
          <w:p w14:paraId="5C15001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2CB1A4E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76.80</w:t>
            </w:r>
          </w:p>
        </w:tc>
        <w:tc>
          <w:tcPr>
            <w:tcW w:w="708" w:type="dxa"/>
            <w:vAlign w:val="center"/>
          </w:tcPr>
          <w:p w14:paraId="361052B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3"/>
                <w:sz w:val="21"/>
                <w:szCs w:val="21"/>
              </w:rPr>
              <w:t>7.60</w:t>
            </w:r>
          </w:p>
        </w:tc>
        <w:tc>
          <w:tcPr>
            <w:tcW w:w="766" w:type="dxa"/>
            <w:vAlign w:val="center"/>
          </w:tcPr>
          <w:p w14:paraId="2B4208A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1F53B8A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113" w:type="dxa"/>
            <w:vAlign w:val="center"/>
          </w:tcPr>
          <w:p w14:paraId="69DFB66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4665A88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15.60</w:t>
            </w:r>
          </w:p>
        </w:tc>
      </w:tr>
      <w:tr w:rsidR="0075791A" w14:paraId="1B4A4131" w14:textId="77777777">
        <w:trPr>
          <w:trHeight w:val="278"/>
          <w:jc w:val="center"/>
        </w:trPr>
        <w:tc>
          <w:tcPr>
            <w:tcW w:w="569" w:type="dxa"/>
            <w:vMerge w:val="restart"/>
            <w:tcBorders>
              <w:left w:val="single" w:sz="10" w:space="0" w:color="000000"/>
              <w:bottom w:val="nil"/>
            </w:tcBorders>
            <w:vAlign w:val="center"/>
          </w:tcPr>
          <w:p w14:paraId="7E7EA07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C11</w:t>
            </w:r>
          </w:p>
        </w:tc>
        <w:tc>
          <w:tcPr>
            <w:tcW w:w="459" w:type="dxa"/>
            <w:vAlign w:val="center"/>
          </w:tcPr>
          <w:p w14:paraId="5ADEB07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2</w:t>
            </w:r>
          </w:p>
        </w:tc>
        <w:tc>
          <w:tcPr>
            <w:tcW w:w="750" w:type="dxa"/>
            <w:vAlign w:val="center"/>
          </w:tcPr>
          <w:p w14:paraId="2C25EC0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33.00</w:t>
            </w:r>
          </w:p>
        </w:tc>
        <w:tc>
          <w:tcPr>
            <w:tcW w:w="804" w:type="dxa"/>
            <w:vAlign w:val="center"/>
          </w:tcPr>
          <w:p w14:paraId="45DD887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1.20</w:t>
            </w:r>
          </w:p>
        </w:tc>
        <w:tc>
          <w:tcPr>
            <w:tcW w:w="649" w:type="dxa"/>
            <w:vAlign w:val="center"/>
          </w:tcPr>
          <w:p w14:paraId="5EC9EE1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03C0AC0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63.20</w:t>
            </w:r>
          </w:p>
        </w:tc>
        <w:tc>
          <w:tcPr>
            <w:tcW w:w="708" w:type="dxa"/>
            <w:vAlign w:val="center"/>
          </w:tcPr>
          <w:p w14:paraId="1195163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2.60</w:t>
            </w:r>
          </w:p>
        </w:tc>
        <w:tc>
          <w:tcPr>
            <w:tcW w:w="766" w:type="dxa"/>
            <w:vAlign w:val="center"/>
          </w:tcPr>
          <w:p w14:paraId="1F81E4E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5536DF6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1.00</w:t>
            </w:r>
          </w:p>
        </w:tc>
        <w:tc>
          <w:tcPr>
            <w:tcW w:w="1113" w:type="dxa"/>
            <w:vAlign w:val="center"/>
          </w:tcPr>
          <w:p w14:paraId="35259E2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7F31244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34.20</w:t>
            </w:r>
          </w:p>
        </w:tc>
      </w:tr>
      <w:tr w:rsidR="0075791A" w14:paraId="6D677A43" w14:textId="77777777">
        <w:trPr>
          <w:trHeight w:val="275"/>
          <w:jc w:val="center"/>
        </w:trPr>
        <w:tc>
          <w:tcPr>
            <w:tcW w:w="569" w:type="dxa"/>
            <w:vMerge/>
            <w:tcBorders>
              <w:top w:val="nil"/>
              <w:left w:val="single" w:sz="10" w:space="0" w:color="000000"/>
              <w:bottom w:val="nil"/>
            </w:tcBorders>
            <w:vAlign w:val="center"/>
          </w:tcPr>
          <w:p w14:paraId="0AB3B6AB" w14:textId="77777777" w:rsidR="0075791A" w:rsidRDefault="0075791A">
            <w:pPr>
              <w:jc w:val="center"/>
              <w:rPr>
                <w:rFonts w:ascii="Times New Roman" w:hAnsi="Times New Roman"/>
                <w:color w:val="auto"/>
              </w:rPr>
            </w:pPr>
          </w:p>
        </w:tc>
        <w:tc>
          <w:tcPr>
            <w:tcW w:w="459" w:type="dxa"/>
            <w:vAlign w:val="center"/>
          </w:tcPr>
          <w:p w14:paraId="2B7364A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4</w:t>
            </w:r>
          </w:p>
        </w:tc>
        <w:tc>
          <w:tcPr>
            <w:tcW w:w="750" w:type="dxa"/>
            <w:vAlign w:val="center"/>
          </w:tcPr>
          <w:p w14:paraId="04E882A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12.80</w:t>
            </w:r>
          </w:p>
        </w:tc>
        <w:tc>
          <w:tcPr>
            <w:tcW w:w="804" w:type="dxa"/>
            <w:vAlign w:val="center"/>
          </w:tcPr>
          <w:p w14:paraId="66E823E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5.40</w:t>
            </w:r>
          </w:p>
        </w:tc>
        <w:tc>
          <w:tcPr>
            <w:tcW w:w="649" w:type="dxa"/>
            <w:vAlign w:val="center"/>
          </w:tcPr>
          <w:p w14:paraId="72B6C88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693710C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73.60</w:t>
            </w:r>
          </w:p>
        </w:tc>
        <w:tc>
          <w:tcPr>
            <w:tcW w:w="708" w:type="dxa"/>
            <w:vAlign w:val="center"/>
          </w:tcPr>
          <w:p w14:paraId="008B44F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8.20</w:t>
            </w:r>
          </w:p>
        </w:tc>
        <w:tc>
          <w:tcPr>
            <w:tcW w:w="766" w:type="dxa"/>
            <w:vAlign w:val="center"/>
          </w:tcPr>
          <w:p w14:paraId="79E2553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7AEBAE0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113" w:type="dxa"/>
            <w:vAlign w:val="center"/>
          </w:tcPr>
          <w:p w14:paraId="3E80AEA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0.12</w:t>
            </w:r>
          </w:p>
        </w:tc>
        <w:tc>
          <w:tcPr>
            <w:tcW w:w="1041" w:type="dxa"/>
            <w:tcBorders>
              <w:right w:val="single" w:sz="10" w:space="0" w:color="000000"/>
            </w:tcBorders>
            <w:vAlign w:val="center"/>
          </w:tcPr>
          <w:p w14:paraId="69B8B0E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18.20</w:t>
            </w:r>
          </w:p>
        </w:tc>
      </w:tr>
      <w:tr w:rsidR="0075791A" w14:paraId="749A22F8" w14:textId="77777777">
        <w:trPr>
          <w:trHeight w:val="278"/>
          <w:jc w:val="center"/>
        </w:trPr>
        <w:tc>
          <w:tcPr>
            <w:tcW w:w="569" w:type="dxa"/>
            <w:vMerge/>
            <w:tcBorders>
              <w:top w:val="nil"/>
              <w:left w:val="single" w:sz="10" w:space="0" w:color="000000"/>
            </w:tcBorders>
            <w:vAlign w:val="center"/>
          </w:tcPr>
          <w:p w14:paraId="35CA4F35" w14:textId="77777777" w:rsidR="0075791A" w:rsidRDefault="0075791A">
            <w:pPr>
              <w:jc w:val="center"/>
              <w:rPr>
                <w:rFonts w:ascii="Times New Roman" w:hAnsi="Times New Roman"/>
                <w:color w:val="auto"/>
              </w:rPr>
            </w:pPr>
          </w:p>
        </w:tc>
        <w:tc>
          <w:tcPr>
            <w:tcW w:w="459" w:type="dxa"/>
            <w:vAlign w:val="center"/>
          </w:tcPr>
          <w:p w14:paraId="2D4D694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6</w:t>
            </w:r>
          </w:p>
        </w:tc>
        <w:tc>
          <w:tcPr>
            <w:tcW w:w="750" w:type="dxa"/>
            <w:vAlign w:val="center"/>
          </w:tcPr>
          <w:p w14:paraId="0DCC145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10.20</w:t>
            </w:r>
          </w:p>
        </w:tc>
        <w:tc>
          <w:tcPr>
            <w:tcW w:w="804" w:type="dxa"/>
            <w:vAlign w:val="center"/>
          </w:tcPr>
          <w:p w14:paraId="6935481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4.20</w:t>
            </w:r>
          </w:p>
        </w:tc>
        <w:tc>
          <w:tcPr>
            <w:tcW w:w="649" w:type="dxa"/>
            <w:vAlign w:val="center"/>
          </w:tcPr>
          <w:p w14:paraId="3C1C59B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26AA07B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82.00</w:t>
            </w:r>
          </w:p>
        </w:tc>
        <w:tc>
          <w:tcPr>
            <w:tcW w:w="708" w:type="dxa"/>
            <w:vAlign w:val="center"/>
          </w:tcPr>
          <w:p w14:paraId="63F6A93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3.60</w:t>
            </w:r>
          </w:p>
        </w:tc>
        <w:tc>
          <w:tcPr>
            <w:tcW w:w="766" w:type="dxa"/>
            <w:vAlign w:val="center"/>
          </w:tcPr>
          <w:p w14:paraId="08C72DA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5C2F24C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0.60</w:t>
            </w:r>
          </w:p>
        </w:tc>
        <w:tc>
          <w:tcPr>
            <w:tcW w:w="1113" w:type="dxa"/>
            <w:vAlign w:val="center"/>
          </w:tcPr>
          <w:p w14:paraId="17A1C5B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342B1A3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14.40</w:t>
            </w:r>
          </w:p>
        </w:tc>
      </w:tr>
      <w:tr w:rsidR="0075791A" w14:paraId="47DA212F" w14:textId="77777777">
        <w:trPr>
          <w:trHeight w:val="278"/>
          <w:jc w:val="center"/>
        </w:trPr>
        <w:tc>
          <w:tcPr>
            <w:tcW w:w="569" w:type="dxa"/>
            <w:vMerge w:val="restart"/>
            <w:tcBorders>
              <w:left w:val="single" w:sz="10" w:space="0" w:color="000000"/>
              <w:bottom w:val="nil"/>
            </w:tcBorders>
            <w:vAlign w:val="center"/>
          </w:tcPr>
          <w:p w14:paraId="583C869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C12</w:t>
            </w:r>
          </w:p>
        </w:tc>
        <w:tc>
          <w:tcPr>
            <w:tcW w:w="459" w:type="dxa"/>
            <w:vAlign w:val="center"/>
          </w:tcPr>
          <w:p w14:paraId="2505456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2</w:t>
            </w:r>
          </w:p>
        </w:tc>
        <w:tc>
          <w:tcPr>
            <w:tcW w:w="750" w:type="dxa"/>
            <w:vAlign w:val="center"/>
          </w:tcPr>
          <w:p w14:paraId="56451AE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28.60</w:t>
            </w:r>
          </w:p>
        </w:tc>
        <w:tc>
          <w:tcPr>
            <w:tcW w:w="804" w:type="dxa"/>
            <w:vAlign w:val="center"/>
          </w:tcPr>
          <w:p w14:paraId="3425BB2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10.40</w:t>
            </w:r>
          </w:p>
        </w:tc>
        <w:tc>
          <w:tcPr>
            <w:tcW w:w="649" w:type="dxa"/>
            <w:vAlign w:val="center"/>
          </w:tcPr>
          <w:p w14:paraId="2689999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07D6083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59.00</w:t>
            </w:r>
          </w:p>
        </w:tc>
        <w:tc>
          <w:tcPr>
            <w:tcW w:w="708" w:type="dxa"/>
            <w:vAlign w:val="center"/>
          </w:tcPr>
          <w:p w14:paraId="39057E4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2.00</w:t>
            </w:r>
          </w:p>
        </w:tc>
        <w:tc>
          <w:tcPr>
            <w:tcW w:w="766" w:type="dxa"/>
            <w:vAlign w:val="center"/>
          </w:tcPr>
          <w:p w14:paraId="22C9EC9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378545C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1.20</w:t>
            </w:r>
          </w:p>
        </w:tc>
        <w:tc>
          <w:tcPr>
            <w:tcW w:w="1113" w:type="dxa"/>
            <w:vAlign w:val="center"/>
          </w:tcPr>
          <w:p w14:paraId="0ED39C1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6719122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39.00</w:t>
            </w:r>
          </w:p>
        </w:tc>
      </w:tr>
      <w:tr w:rsidR="0075791A" w14:paraId="437981F2" w14:textId="77777777">
        <w:trPr>
          <w:trHeight w:val="275"/>
          <w:jc w:val="center"/>
        </w:trPr>
        <w:tc>
          <w:tcPr>
            <w:tcW w:w="569" w:type="dxa"/>
            <w:vMerge/>
            <w:tcBorders>
              <w:top w:val="nil"/>
              <w:left w:val="single" w:sz="10" w:space="0" w:color="000000"/>
              <w:bottom w:val="nil"/>
            </w:tcBorders>
            <w:vAlign w:val="center"/>
          </w:tcPr>
          <w:p w14:paraId="1637D8B3" w14:textId="77777777" w:rsidR="0075791A" w:rsidRDefault="0075791A">
            <w:pPr>
              <w:jc w:val="center"/>
              <w:rPr>
                <w:rFonts w:ascii="Times New Roman" w:hAnsi="Times New Roman"/>
                <w:color w:val="auto"/>
              </w:rPr>
            </w:pPr>
          </w:p>
        </w:tc>
        <w:tc>
          <w:tcPr>
            <w:tcW w:w="459" w:type="dxa"/>
            <w:vAlign w:val="center"/>
          </w:tcPr>
          <w:p w14:paraId="77810F9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4</w:t>
            </w:r>
          </w:p>
        </w:tc>
        <w:tc>
          <w:tcPr>
            <w:tcW w:w="750" w:type="dxa"/>
            <w:vAlign w:val="center"/>
          </w:tcPr>
          <w:p w14:paraId="2D3FCF0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41.40</w:t>
            </w:r>
          </w:p>
        </w:tc>
        <w:tc>
          <w:tcPr>
            <w:tcW w:w="804" w:type="dxa"/>
            <w:vAlign w:val="center"/>
          </w:tcPr>
          <w:p w14:paraId="03F6EC6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6.20</w:t>
            </w:r>
          </w:p>
        </w:tc>
        <w:tc>
          <w:tcPr>
            <w:tcW w:w="649" w:type="dxa"/>
            <w:vAlign w:val="center"/>
          </w:tcPr>
          <w:p w14:paraId="32D72A1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0376A0E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51.80</w:t>
            </w:r>
          </w:p>
        </w:tc>
        <w:tc>
          <w:tcPr>
            <w:tcW w:w="708" w:type="dxa"/>
            <w:vAlign w:val="center"/>
          </w:tcPr>
          <w:p w14:paraId="7908858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0.60</w:t>
            </w:r>
          </w:p>
        </w:tc>
        <w:tc>
          <w:tcPr>
            <w:tcW w:w="766" w:type="dxa"/>
            <w:vAlign w:val="center"/>
          </w:tcPr>
          <w:p w14:paraId="56F684C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4A51655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0.40</w:t>
            </w:r>
          </w:p>
        </w:tc>
        <w:tc>
          <w:tcPr>
            <w:tcW w:w="1113" w:type="dxa"/>
            <w:vAlign w:val="center"/>
          </w:tcPr>
          <w:p w14:paraId="2FA9B5A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1CAA11C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47.60</w:t>
            </w:r>
          </w:p>
        </w:tc>
      </w:tr>
      <w:tr w:rsidR="0075791A" w14:paraId="5092A9F1" w14:textId="77777777">
        <w:trPr>
          <w:trHeight w:val="278"/>
          <w:jc w:val="center"/>
        </w:trPr>
        <w:tc>
          <w:tcPr>
            <w:tcW w:w="569" w:type="dxa"/>
            <w:vMerge/>
            <w:tcBorders>
              <w:top w:val="nil"/>
              <w:left w:val="single" w:sz="10" w:space="0" w:color="000000"/>
            </w:tcBorders>
            <w:vAlign w:val="center"/>
          </w:tcPr>
          <w:p w14:paraId="277AFBA7" w14:textId="77777777" w:rsidR="0075791A" w:rsidRDefault="0075791A">
            <w:pPr>
              <w:jc w:val="center"/>
              <w:rPr>
                <w:rFonts w:ascii="Times New Roman" w:hAnsi="Times New Roman"/>
                <w:color w:val="auto"/>
              </w:rPr>
            </w:pPr>
          </w:p>
        </w:tc>
        <w:tc>
          <w:tcPr>
            <w:tcW w:w="459" w:type="dxa"/>
            <w:vAlign w:val="center"/>
          </w:tcPr>
          <w:p w14:paraId="34150E3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6</w:t>
            </w:r>
          </w:p>
        </w:tc>
        <w:tc>
          <w:tcPr>
            <w:tcW w:w="750" w:type="dxa"/>
            <w:vAlign w:val="center"/>
          </w:tcPr>
          <w:p w14:paraId="26CFE21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19.40</w:t>
            </w:r>
          </w:p>
        </w:tc>
        <w:tc>
          <w:tcPr>
            <w:tcW w:w="804" w:type="dxa"/>
            <w:vAlign w:val="center"/>
          </w:tcPr>
          <w:p w14:paraId="1021ABC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10.20</w:t>
            </w:r>
          </w:p>
        </w:tc>
        <w:tc>
          <w:tcPr>
            <w:tcW w:w="649" w:type="dxa"/>
            <w:vAlign w:val="center"/>
          </w:tcPr>
          <w:p w14:paraId="76C8C5B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0F54F89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70.40</w:t>
            </w:r>
          </w:p>
        </w:tc>
        <w:tc>
          <w:tcPr>
            <w:tcW w:w="708" w:type="dxa"/>
            <w:vAlign w:val="center"/>
          </w:tcPr>
          <w:p w14:paraId="49D0571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766" w:type="dxa"/>
            <w:vAlign w:val="center"/>
          </w:tcPr>
          <w:p w14:paraId="58AA290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12F5E92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113" w:type="dxa"/>
            <w:vAlign w:val="center"/>
          </w:tcPr>
          <w:p w14:paraId="7EFE930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075B31D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29.60</w:t>
            </w:r>
          </w:p>
        </w:tc>
      </w:tr>
      <w:tr w:rsidR="0075791A" w14:paraId="2D3F8043" w14:textId="77777777">
        <w:trPr>
          <w:trHeight w:val="275"/>
          <w:jc w:val="center"/>
        </w:trPr>
        <w:tc>
          <w:tcPr>
            <w:tcW w:w="569" w:type="dxa"/>
            <w:vMerge w:val="restart"/>
            <w:tcBorders>
              <w:left w:val="single" w:sz="10" w:space="0" w:color="000000"/>
              <w:bottom w:val="nil"/>
            </w:tcBorders>
            <w:vAlign w:val="center"/>
          </w:tcPr>
          <w:p w14:paraId="258E50E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C13</w:t>
            </w:r>
          </w:p>
        </w:tc>
        <w:tc>
          <w:tcPr>
            <w:tcW w:w="459" w:type="dxa"/>
            <w:vAlign w:val="center"/>
          </w:tcPr>
          <w:p w14:paraId="5FC36DC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2</w:t>
            </w:r>
          </w:p>
        </w:tc>
        <w:tc>
          <w:tcPr>
            <w:tcW w:w="750" w:type="dxa"/>
            <w:vAlign w:val="center"/>
          </w:tcPr>
          <w:p w14:paraId="6757A21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46.40</w:t>
            </w:r>
          </w:p>
        </w:tc>
        <w:tc>
          <w:tcPr>
            <w:tcW w:w="804" w:type="dxa"/>
            <w:vAlign w:val="center"/>
          </w:tcPr>
          <w:p w14:paraId="27F33A8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49" w:type="dxa"/>
            <w:vAlign w:val="center"/>
          </w:tcPr>
          <w:p w14:paraId="391940E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18DAF0E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51.00</w:t>
            </w:r>
          </w:p>
        </w:tc>
        <w:tc>
          <w:tcPr>
            <w:tcW w:w="708" w:type="dxa"/>
            <w:vAlign w:val="center"/>
          </w:tcPr>
          <w:p w14:paraId="2258766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2.60</w:t>
            </w:r>
          </w:p>
        </w:tc>
        <w:tc>
          <w:tcPr>
            <w:tcW w:w="766" w:type="dxa"/>
            <w:vAlign w:val="center"/>
          </w:tcPr>
          <w:p w14:paraId="36C2446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55C5E83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2.80</w:t>
            </w:r>
          </w:p>
        </w:tc>
        <w:tc>
          <w:tcPr>
            <w:tcW w:w="1113" w:type="dxa"/>
            <w:vAlign w:val="center"/>
          </w:tcPr>
          <w:p w14:paraId="246B9CC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4F69E9E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46.40</w:t>
            </w:r>
          </w:p>
        </w:tc>
      </w:tr>
      <w:tr w:rsidR="0075791A" w14:paraId="520C551C" w14:textId="77777777">
        <w:trPr>
          <w:trHeight w:val="278"/>
          <w:jc w:val="center"/>
        </w:trPr>
        <w:tc>
          <w:tcPr>
            <w:tcW w:w="569" w:type="dxa"/>
            <w:vMerge/>
            <w:tcBorders>
              <w:top w:val="nil"/>
              <w:left w:val="single" w:sz="10" w:space="0" w:color="000000"/>
              <w:bottom w:val="nil"/>
            </w:tcBorders>
            <w:vAlign w:val="center"/>
          </w:tcPr>
          <w:p w14:paraId="78286467" w14:textId="77777777" w:rsidR="0075791A" w:rsidRDefault="0075791A">
            <w:pPr>
              <w:jc w:val="center"/>
              <w:rPr>
                <w:rFonts w:ascii="Times New Roman" w:hAnsi="Times New Roman"/>
                <w:color w:val="auto"/>
              </w:rPr>
            </w:pPr>
          </w:p>
        </w:tc>
        <w:tc>
          <w:tcPr>
            <w:tcW w:w="459" w:type="dxa"/>
            <w:vAlign w:val="center"/>
          </w:tcPr>
          <w:p w14:paraId="40A0A9F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4</w:t>
            </w:r>
          </w:p>
        </w:tc>
        <w:tc>
          <w:tcPr>
            <w:tcW w:w="750" w:type="dxa"/>
            <w:vAlign w:val="center"/>
          </w:tcPr>
          <w:p w14:paraId="6EA668B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34.00</w:t>
            </w:r>
          </w:p>
        </w:tc>
        <w:tc>
          <w:tcPr>
            <w:tcW w:w="804" w:type="dxa"/>
            <w:vAlign w:val="center"/>
          </w:tcPr>
          <w:p w14:paraId="010CF0F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1.60</w:t>
            </w:r>
          </w:p>
        </w:tc>
        <w:tc>
          <w:tcPr>
            <w:tcW w:w="649" w:type="dxa"/>
            <w:vAlign w:val="center"/>
          </w:tcPr>
          <w:p w14:paraId="68858A3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6615948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63.00</w:t>
            </w:r>
          </w:p>
        </w:tc>
        <w:tc>
          <w:tcPr>
            <w:tcW w:w="708" w:type="dxa"/>
            <w:vAlign w:val="center"/>
          </w:tcPr>
          <w:p w14:paraId="64EF540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1.40</w:t>
            </w:r>
          </w:p>
        </w:tc>
        <w:tc>
          <w:tcPr>
            <w:tcW w:w="766" w:type="dxa"/>
            <w:vAlign w:val="center"/>
          </w:tcPr>
          <w:p w14:paraId="4C77AD1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2637502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4.60</w:t>
            </w:r>
          </w:p>
        </w:tc>
        <w:tc>
          <w:tcPr>
            <w:tcW w:w="1113" w:type="dxa"/>
            <w:vAlign w:val="center"/>
          </w:tcPr>
          <w:p w14:paraId="330B908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5DB3B3F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35.60</w:t>
            </w:r>
          </w:p>
        </w:tc>
      </w:tr>
      <w:tr w:rsidR="0075791A" w14:paraId="330795B0" w14:textId="77777777">
        <w:trPr>
          <w:trHeight w:val="278"/>
          <w:jc w:val="center"/>
        </w:trPr>
        <w:tc>
          <w:tcPr>
            <w:tcW w:w="569" w:type="dxa"/>
            <w:vMerge/>
            <w:tcBorders>
              <w:top w:val="nil"/>
              <w:left w:val="single" w:sz="10" w:space="0" w:color="000000"/>
            </w:tcBorders>
            <w:vAlign w:val="center"/>
          </w:tcPr>
          <w:p w14:paraId="3E2A0477" w14:textId="77777777" w:rsidR="0075791A" w:rsidRDefault="0075791A">
            <w:pPr>
              <w:jc w:val="center"/>
              <w:rPr>
                <w:rFonts w:ascii="Times New Roman" w:hAnsi="Times New Roman"/>
                <w:color w:val="auto"/>
              </w:rPr>
            </w:pPr>
          </w:p>
        </w:tc>
        <w:tc>
          <w:tcPr>
            <w:tcW w:w="459" w:type="dxa"/>
            <w:vAlign w:val="center"/>
          </w:tcPr>
          <w:p w14:paraId="6CFA154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6</w:t>
            </w:r>
          </w:p>
        </w:tc>
        <w:tc>
          <w:tcPr>
            <w:tcW w:w="750" w:type="dxa"/>
            <w:vAlign w:val="center"/>
          </w:tcPr>
          <w:p w14:paraId="510F530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22.60</w:t>
            </w:r>
          </w:p>
        </w:tc>
        <w:tc>
          <w:tcPr>
            <w:tcW w:w="804" w:type="dxa"/>
            <w:vAlign w:val="center"/>
          </w:tcPr>
          <w:p w14:paraId="53F0444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2.00</w:t>
            </w:r>
          </w:p>
        </w:tc>
        <w:tc>
          <w:tcPr>
            <w:tcW w:w="649" w:type="dxa"/>
            <w:vAlign w:val="center"/>
          </w:tcPr>
          <w:p w14:paraId="4378156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70D9364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74.60</w:t>
            </w:r>
          </w:p>
        </w:tc>
        <w:tc>
          <w:tcPr>
            <w:tcW w:w="708" w:type="dxa"/>
            <w:vAlign w:val="center"/>
          </w:tcPr>
          <w:p w14:paraId="58042E4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0.80</w:t>
            </w:r>
          </w:p>
        </w:tc>
        <w:tc>
          <w:tcPr>
            <w:tcW w:w="766" w:type="dxa"/>
            <w:vAlign w:val="center"/>
          </w:tcPr>
          <w:p w14:paraId="3370A75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03CFD7D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1.60</w:t>
            </w:r>
          </w:p>
        </w:tc>
        <w:tc>
          <w:tcPr>
            <w:tcW w:w="1113" w:type="dxa"/>
            <w:vAlign w:val="center"/>
          </w:tcPr>
          <w:p w14:paraId="5798584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0A7E86D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24.60</w:t>
            </w:r>
          </w:p>
        </w:tc>
      </w:tr>
      <w:tr w:rsidR="0075791A" w14:paraId="2B517B81" w14:textId="77777777">
        <w:trPr>
          <w:trHeight w:val="275"/>
          <w:jc w:val="center"/>
        </w:trPr>
        <w:tc>
          <w:tcPr>
            <w:tcW w:w="569" w:type="dxa"/>
            <w:vMerge w:val="restart"/>
            <w:tcBorders>
              <w:left w:val="single" w:sz="10" w:space="0" w:color="000000"/>
              <w:bottom w:val="nil"/>
            </w:tcBorders>
            <w:vAlign w:val="center"/>
          </w:tcPr>
          <w:p w14:paraId="4506418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C14</w:t>
            </w:r>
          </w:p>
        </w:tc>
        <w:tc>
          <w:tcPr>
            <w:tcW w:w="459" w:type="dxa"/>
            <w:vAlign w:val="center"/>
          </w:tcPr>
          <w:p w14:paraId="1C0CA18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2</w:t>
            </w:r>
          </w:p>
        </w:tc>
        <w:tc>
          <w:tcPr>
            <w:tcW w:w="750" w:type="dxa"/>
            <w:vAlign w:val="center"/>
          </w:tcPr>
          <w:p w14:paraId="2B9E58F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20.40</w:t>
            </w:r>
          </w:p>
        </w:tc>
        <w:tc>
          <w:tcPr>
            <w:tcW w:w="804" w:type="dxa"/>
            <w:vAlign w:val="center"/>
          </w:tcPr>
          <w:p w14:paraId="74C7E52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49" w:type="dxa"/>
            <w:vAlign w:val="center"/>
          </w:tcPr>
          <w:p w14:paraId="33AEF8D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5A8C0FE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75.40</w:t>
            </w:r>
          </w:p>
        </w:tc>
        <w:tc>
          <w:tcPr>
            <w:tcW w:w="708" w:type="dxa"/>
            <w:vAlign w:val="center"/>
          </w:tcPr>
          <w:p w14:paraId="4A4B615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4.20</w:t>
            </w:r>
          </w:p>
        </w:tc>
        <w:tc>
          <w:tcPr>
            <w:tcW w:w="766" w:type="dxa"/>
            <w:vAlign w:val="center"/>
          </w:tcPr>
          <w:p w14:paraId="48E3396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501EE21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3"/>
                <w:sz w:val="21"/>
                <w:szCs w:val="21"/>
              </w:rPr>
              <w:t>7.80</w:t>
            </w:r>
          </w:p>
        </w:tc>
        <w:tc>
          <w:tcPr>
            <w:tcW w:w="1113" w:type="dxa"/>
            <w:vAlign w:val="center"/>
          </w:tcPr>
          <w:p w14:paraId="4BD5525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51C5C63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20.40</w:t>
            </w:r>
          </w:p>
        </w:tc>
      </w:tr>
      <w:tr w:rsidR="0075791A" w14:paraId="38AEA106" w14:textId="77777777">
        <w:trPr>
          <w:trHeight w:val="278"/>
          <w:jc w:val="center"/>
        </w:trPr>
        <w:tc>
          <w:tcPr>
            <w:tcW w:w="569" w:type="dxa"/>
            <w:vMerge/>
            <w:tcBorders>
              <w:top w:val="nil"/>
              <w:left w:val="single" w:sz="10" w:space="0" w:color="000000"/>
              <w:bottom w:val="nil"/>
            </w:tcBorders>
            <w:vAlign w:val="center"/>
          </w:tcPr>
          <w:p w14:paraId="6FFBC9B2" w14:textId="77777777" w:rsidR="0075791A" w:rsidRDefault="0075791A">
            <w:pPr>
              <w:jc w:val="center"/>
              <w:rPr>
                <w:rFonts w:ascii="Times New Roman" w:hAnsi="Times New Roman"/>
                <w:color w:val="auto"/>
              </w:rPr>
            </w:pPr>
          </w:p>
        </w:tc>
        <w:tc>
          <w:tcPr>
            <w:tcW w:w="459" w:type="dxa"/>
            <w:vAlign w:val="center"/>
          </w:tcPr>
          <w:p w14:paraId="2975969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4</w:t>
            </w:r>
          </w:p>
        </w:tc>
        <w:tc>
          <w:tcPr>
            <w:tcW w:w="750" w:type="dxa"/>
            <w:vAlign w:val="center"/>
          </w:tcPr>
          <w:p w14:paraId="1F1F127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22.40</w:t>
            </w:r>
          </w:p>
        </w:tc>
        <w:tc>
          <w:tcPr>
            <w:tcW w:w="804" w:type="dxa"/>
            <w:vAlign w:val="center"/>
          </w:tcPr>
          <w:p w14:paraId="061469D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49" w:type="dxa"/>
            <w:vAlign w:val="center"/>
          </w:tcPr>
          <w:p w14:paraId="582D850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6554ECD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75.40</w:t>
            </w:r>
          </w:p>
        </w:tc>
        <w:tc>
          <w:tcPr>
            <w:tcW w:w="708" w:type="dxa"/>
            <w:vAlign w:val="center"/>
          </w:tcPr>
          <w:p w14:paraId="060E5CF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2.20</w:t>
            </w:r>
          </w:p>
        </w:tc>
        <w:tc>
          <w:tcPr>
            <w:tcW w:w="766" w:type="dxa"/>
            <w:vAlign w:val="center"/>
          </w:tcPr>
          <w:p w14:paraId="7010D19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504626C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8.40</w:t>
            </w:r>
          </w:p>
        </w:tc>
        <w:tc>
          <w:tcPr>
            <w:tcW w:w="1113" w:type="dxa"/>
            <w:vAlign w:val="center"/>
          </w:tcPr>
          <w:p w14:paraId="2E49DFA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631506B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22.40</w:t>
            </w:r>
          </w:p>
        </w:tc>
      </w:tr>
      <w:tr w:rsidR="0075791A" w14:paraId="5D6BFBB0" w14:textId="77777777">
        <w:trPr>
          <w:trHeight w:val="278"/>
          <w:jc w:val="center"/>
        </w:trPr>
        <w:tc>
          <w:tcPr>
            <w:tcW w:w="569" w:type="dxa"/>
            <w:vMerge/>
            <w:tcBorders>
              <w:top w:val="nil"/>
              <w:left w:val="single" w:sz="10" w:space="0" w:color="000000"/>
            </w:tcBorders>
            <w:vAlign w:val="center"/>
          </w:tcPr>
          <w:p w14:paraId="1E642C2A" w14:textId="77777777" w:rsidR="0075791A" w:rsidRDefault="0075791A">
            <w:pPr>
              <w:jc w:val="center"/>
              <w:rPr>
                <w:rFonts w:ascii="Times New Roman" w:hAnsi="Times New Roman"/>
                <w:color w:val="auto"/>
              </w:rPr>
            </w:pPr>
          </w:p>
        </w:tc>
        <w:tc>
          <w:tcPr>
            <w:tcW w:w="459" w:type="dxa"/>
            <w:vAlign w:val="center"/>
          </w:tcPr>
          <w:p w14:paraId="03FEF79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6</w:t>
            </w:r>
          </w:p>
        </w:tc>
        <w:tc>
          <w:tcPr>
            <w:tcW w:w="750" w:type="dxa"/>
            <w:vAlign w:val="center"/>
          </w:tcPr>
          <w:p w14:paraId="676D156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19.20</w:t>
            </w:r>
          </w:p>
        </w:tc>
        <w:tc>
          <w:tcPr>
            <w:tcW w:w="804" w:type="dxa"/>
            <w:vAlign w:val="center"/>
          </w:tcPr>
          <w:p w14:paraId="5EDAD71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49" w:type="dxa"/>
            <w:vAlign w:val="center"/>
          </w:tcPr>
          <w:p w14:paraId="0C79D8C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397D50A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80.00</w:t>
            </w:r>
          </w:p>
        </w:tc>
        <w:tc>
          <w:tcPr>
            <w:tcW w:w="708" w:type="dxa"/>
            <w:vAlign w:val="center"/>
          </w:tcPr>
          <w:p w14:paraId="178D2AF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0.40</w:t>
            </w:r>
          </w:p>
        </w:tc>
        <w:tc>
          <w:tcPr>
            <w:tcW w:w="766" w:type="dxa"/>
            <w:vAlign w:val="center"/>
          </w:tcPr>
          <w:p w14:paraId="1DB6BE1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0.40</w:t>
            </w:r>
          </w:p>
        </w:tc>
        <w:tc>
          <w:tcPr>
            <w:tcW w:w="1037" w:type="dxa"/>
            <w:vAlign w:val="center"/>
          </w:tcPr>
          <w:p w14:paraId="06A8641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5"/>
                <w:sz w:val="21"/>
                <w:szCs w:val="21"/>
              </w:rPr>
              <w:t>1.00</w:t>
            </w:r>
          </w:p>
        </w:tc>
        <w:tc>
          <w:tcPr>
            <w:tcW w:w="1113" w:type="dxa"/>
            <w:vAlign w:val="center"/>
          </w:tcPr>
          <w:p w14:paraId="0513612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5382D68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19.60</w:t>
            </w:r>
          </w:p>
        </w:tc>
      </w:tr>
      <w:tr w:rsidR="0075791A" w14:paraId="26C1CAD5" w14:textId="77777777">
        <w:trPr>
          <w:trHeight w:val="275"/>
          <w:jc w:val="center"/>
        </w:trPr>
        <w:tc>
          <w:tcPr>
            <w:tcW w:w="569" w:type="dxa"/>
            <w:vMerge w:val="restart"/>
            <w:tcBorders>
              <w:left w:val="single" w:sz="10" w:space="0" w:color="000000"/>
              <w:bottom w:val="nil"/>
            </w:tcBorders>
            <w:vAlign w:val="center"/>
          </w:tcPr>
          <w:p w14:paraId="12A36D3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C15</w:t>
            </w:r>
          </w:p>
        </w:tc>
        <w:tc>
          <w:tcPr>
            <w:tcW w:w="459" w:type="dxa"/>
            <w:vAlign w:val="center"/>
          </w:tcPr>
          <w:p w14:paraId="22A1045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2</w:t>
            </w:r>
          </w:p>
        </w:tc>
        <w:tc>
          <w:tcPr>
            <w:tcW w:w="750" w:type="dxa"/>
            <w:vAlign w:val="center"/>
          </w:tcPr>
          <w:p w14:paraId="163023A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11.80</w:t>
            </w:r>
          </w:p>
        </w:tc>
        <w:tc>
          <w:tcPr>
            <w:tcW w:w="804" w:type="dxa"/>
            <w:vAlign w:val="center"/>
          </w:tcPr>
          <w:p w14:paraId="4FD53B7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49" w:type="dxa"/>
            <w:vAlign w:val="center"/>
          </w:tcPr>
          <w:p w14:paraId="42568CE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0D6984B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65.60</w:t>
            </w:r>
          </w:p>
        </w:tc>
        <w:tc>
          <w:tcPr>
            <w:tcW w:w="708" w:type="dxa"/>
            <w:vAlign w:val="center"/>
          </w:tcPr>
          <w:p w14:paraId="24153CC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22.60</w:t>
            </w:r>
          </w:p>
        </w:tc>
        <w:tc>
          <w:tcPr>
            <w:tcW w:w="766" w:type="dxa"/>
            <w:vAlign w:val="center"/>
          </w:tcPr>
          <w:p w14:paraId="5DCA093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2ACF87A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19.60</w:t>
            </w:r>
          </w:p>
        </w:tc>
        <w:tc>
          <w:tcPr>
            <w:tcW w:w="1113" w:type="dxa"/>
            <w:vAlign w:val="center"/>
          </w:tcPr>
          <w:p w14:paraId="7693C5E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1E1BACD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11.80</w:t>
            </w:r>
          </w:p>
        </w:tc>
      </w:tr>
      <w:tr w:rsidR="0075791A" w14:paraId="028C589C" w14:textId="77777777">
        <w:trPr>
          <w:trHeight w:val="278"/>
          <w:jc w:val="center"/>
        </w:trPr>
        <w:tc>
          <w:tcPr>
            <w:tcW w:w="569" w:type="dxa"/>
            <w:vMerge/>
            <w:tcBorders>
              <w:top w:val="nil"/>
              <w:left w:val="single" w:sz="10" w:space="0" w:color="000000"/>
              <w:bottom w:val="nil"/>
            </w:tcBorders>
            <w:vAlign w:val="center"/>
          </w:tcPr>
          <w:p w14:paraId="738F1F59" w14:textId="77777777" w:rsidR="0075791A" w:rsidRDefault="0075791A">
            <w:pPr>
              <w:jc w:val="center"/>
              <w:rPr>
                <w:rFonts w:ascii="Times New Roman" w:hAnsi="Times New Roman"/>
                <w:color w:val="auto"/>
              </w:rPr>
            </w:pPr>
          </w:p>
        </w:tc>
        <w:tc>
          <w:tcPr>
            <w:tcW w:w="459" w:type="dxa"/>
            <w:vAlign w:val="center"/>
          </w:tcPr>
          <w:p w14:paraId="54B28E9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4</w:t>
            </w:r>
          </w:p>
        </w:tc>
        <w:tc>
          <w:tcPr>
            <w:tcW w:w="750" w:type="dxa"/>
            <w:vAlign w:val="center"/>
          </w:tcPr>
          <w:p w14:paraId="6115416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52.40</w:t>
            </w:r>
          </w:p>
        </w:tc>
        <w:tc>
          <w:tcPr>
            <w:tcW w:w="804" w:type="dxa"/>
            <w:vAlign w:val="center"/>
          </w:tcPr>
          <w:p w14:paraId="077ABA4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2.40</w:t>
            </w:r>
          </w:p>
        </w:tc>
        <w:tc>
          <w:tcPr>
            <w:tcW w:w="649" w:type="dxa"/>
            <w:vAlign w:val="center"/>
          </w:tcPr>
          <w:p w14:paraId="0A48EF9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2B1B42E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26.60</w:t>
            </w:r>
          </w:p>
        </w:tc>
        <w:tc>
          <w:tcPr>
            <w:tcW w:w="708" w:type="dxa"/>
            <w:vAlign w:val="center"/>
          </w:tcPr>
          <w:p w14:paraId="4FE163D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18.60</w:t>
            </w:r>
          </w:p>
        </w:tc>
        <w:tc>
          <w:tcPr>
            <w:tcW w:w="766" w:type="dxa"/>
            <w:vAlign w:val="center"/>
          </w:tcPr>
          <w:p w14:paraId="14C102F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4B9C2E0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0.40</w:t>
            </w:r>
          </w:p>
        </w:tc>
        <w:tc>
          <w:tcPr>
            <w:tcW w:w="1113" w:type="dxa"/>
            <w:vAlign w:val="center"/>
          </w:tcPr>
          <w:p w14:paraId="419E8A0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7A21ECF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54.80</w:t>
            </w:r>
          </w:p>
        </w:tc>
      </w:tr>
      <w:tr w:rsidR="0075791A" w14:paraId="1BAFF679" w14:textId="77777777">
        <w:trPr>
          <w:trHeight w:val="278"/>
          <w:jc w:val="center"/>
        </w:trPr>
        <w:tc>
          <w:tcPr>
            <w:tcW w:w="569" w:type="dxa"/>
            <w:vMerge/>
            <w:tcBorders>
              <w:top w:val="nil"/>
              <w:left w:val="single" w:sz="10" w:space="0" w:color="000000"/>
            </w:tcBorders>
            <w:vAlign w:val="center"/>
          </w:tcPr>
          <w:p w14:paraId="5D3017D6" w14:textId="77777777" w:rsidR="0075791A" w:rsidRDefault="0075791A">
            <w:pPr>
              <w:jc w:val="center"/>
              <w:rPr>
                <w:rFonts w:ascii="Times New Roman" w:hAnsi="Times New Roman"/>
                <w:color w:val="auto"/>
              </w:rPr>
            </w:pPr>
          </w:p>
        </w:tc>
        <w:tc>
          <w:tcPr>
            <w:tcW w:w="459" w:type="dxa"/>
            <w:vAlign w:val="center"/>
          </w:tcPr>
          <w:p w14:paraId="190F4B4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6</w:t>
            </w:r>
          </w:p>
        </w:tc>
        <w:tc>
          <w:tcPr>
            <w:tcW w:w="750" w:type="dxa"/>
            <w:vAlign w:val="center"/>
          </w:tcPr>
          <w:p w14:paraId="7AC8C2A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39.80</w:t>
            </w:r>
          </w:p>
        </w:tc>
        <w:tc>
          <w:tcPr>
            <w:tcW w:w="804" w:type="dxa"/>
            <w:vAlign w:val="center"/>
          </w:tcPr>
          <w:p w14:paraId="02E0804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49" w:type="dxa"/>
            <w:vAlign w:val="center"/>
          </w:tcPr>
          <w:p w14:paraId="79A5BDC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666EEFB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10.60</w:t>
            </w:r>
          </w:p>
        </w:tc>
        <w:tc>
          <w:tcPr>
            <w:tcW w:w="708" w:type="dxa"/>
            <w:vAlign w:val="center"/>
          </w:tcPr>
          <w:p w14:paraId="48EEF74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49.60</w:t>
            </w:r>
          </w:p>
        </w:tc>
        <w:tc>
          <w:tcPr>
            <w:tcW w:w="766" w:type="dxa"/>
            <w:vAlign w:val="center"/>
          </w:tcPr>
          <w:p w14:paraId="12922B2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0C8F2DE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113" w:type="dxa"/>
            <w:vAlign w:val="center"/>
          </w:tcPr>
          <w:p w14:paraId="6BE08E2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20BA071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39.80</w:t>
            </w:r>
          </w:p>
        </w:tc>
      </w:tr>
      <w:tr w:rsidR="0075791A" w14:paraId="4A5FE470" w14:textId="77777777">
        <w:trPr>
          <w:trHeight w:val="275"/>
          <w:jc w:val="center"/>
        </w:trPr>
        <w:tc>
          <w:tcPr>
            <w:tcW w:w="569" w:type="dxa"/>
            <w:vMerge w:val="restart"/>
            <w:tcBorders>
              <w:left w:val="single" w:sz="10" w:space="0" w:color="000000"/>
              <w:bottom w:val="nil"/>
            </w:tcBorders>
            <w:vAlign w:val="center"/>
          </w:tcPr>
          <w:p w14:paraId="488F3B0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C16</w:t>
            </w:r>
          </w:p>
        </w:tc>
        <w:tc>
          <w:tcPr>
            <w:tcW w:w="459" w:type="dxa"/>
            <w:vAlign w:val="center"/>
          </w:tcPr>
          <w:p w14:paraId="39D74DE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position w:val="-2"/>
                <w:sz w:val="21"/>
                <w:szCs w:val="21"/>
              </w:rPr>
              <w:t>2</w:t>
            </w:r>
          </w:p>
        </w:tc>
        <w:tc>
          <w:tcPr>
            <w:tcW w:w="750" w:type="dxa"/>
            <w:vAlign w:val="center"/>
          </w:tcPr>
          <w:p w14:paraId="13D5A8F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position w:val="-2"/>
                <w:sz w:val="21"/>
                <w:szCs w:val="21"/>
              </w:rPr>
              <w:t>4.40</w:t>
            </w:r>
          </w:p>
        </w:tc>
        <w:tc>
          <w:tcPr>
            <w:tcW w:w="804" w:type="dxa"/>
            <w:vAlign w:val="center"/>
          </w:tcPr>
          <w:p w14:paraId="06C0994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position w:val="-2"/>
                <w:sz w:val="21"/>
                <w:szCs w:val="21"/>
              </w:rPr>
              <w:t>0.00</w:t>
            </w:r>
          </w:p>
        </w:tc>
        <w:tc>
          <w:tcPr>
            <w:tcW w:w="649" w:type="dxa"/>
            <w:vAlign w:val="center"/>
          </w:tcPr>
          <w:p w14:paraId="25C3ED9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position w:val="-2"/>
                <w:sz w:val="21"/>
                <w:szCs w:val="21"/>
              </w:rPr>
              <w:t>0.00</w:t>
            </w:r>
          </w:p>
        </w:tc>
        <w:tc>
          <w:tcPr>
            <w:tcW w:w="699" w:type="dxa"/>
            <w:vAlign w:val="center"/>
          </w:tcPr>
          <w:p w14:paraId="687E7C51"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51.20</w:t>
            </w:r>
          </w:p>
        </w:tc>
        <w:tc>
          <w:tcPr>
            <w:tcW w:w="708" w:type="dxa"/>
            <w:vAlign w:val="center"/>
          </w:tcPr>
          <w:p w14:paraId="57740DA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position w:val="-2"/>
                <w:sz w:val="21"/>
                <w:szCs w:val="21"/>
              </w:rPr>
              <w:t>44.40</w:t>
            </w:r>
          </w:p>
        </w:tc>
        <w:tc>
          <w:tcPr>
            <w:tcW w:w="766" w:type="dxa"/>
            <w:vAlign w:val="center"/>
          </w:tcPr>
          <w:p w14:paraId="1A3DDFB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position w:val="-2"/>
                <w:sz w:val="21"/>
                <w:szCs w:val="21"/>
              </w:rPr>
              <w:t>0.00</w:t>
            </w:r>
          </w:p>
        </w:tc>
        <w:tc>
          <w:tcPr>
            <w:tcW w:w="1037" w:type="dxa"/>
            <w:vAlign w:val="center"/>
          </w:tcPr>
          <w:p w14:paraId="52BD6ED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12.20</w:t>
            </w:r>
          </w:p>
        </w:tc>
        <w:tc>
          <w:tcPr>
            <w:tcW w:w="1113" w:type="dxa"/>
            <w:vAlign w:val="center"/>
          </w:tcPr>
          <w:p w14:paraId="485105E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position w:val="-2"/>
                <w:sz w:val="21"/>
                <w:szCs w:val="21"/>
              </w:rPr>
              <w:t>0.00</w:t>
            </w:r>
          </w:p>
        </w:tc>
        <w:tc>
          <w:tcPr>
            <w:tcW w:w="1041" w:type="dxa"/>
            <w:tcBorders>
              <w:right w:val="single" w:sz="10" w:space="0" w:color="000000"/>
            </w:tcBorders>
            <w:vAlign w:val="center"/>
          </w:tcPr>
          <w:p w14:paraId="675BDDF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position w:val="-2"/>
                <w:sz w:val="21"/>
                <w:szCs w:val="21"/>
              </w:rPr>
              <w:t>4.40</w:t>
            </w:r>
          </w:p>
        </w:tc>
      </w:tr>
      <w:tr w:rsidR="0075791A" w14:paraId="63424445" w14:textId="77777777">
        <w:trPr>
          <w:trHeight w:val="278"/>
          <w:jc w:val="center"/>
        </w:trPr>
        <w:tc>
          <w:tcPr>
            <w:tcW w:w="569" w:type="dxa"/>
            <w:vMerge/>
            <w:tcBorders>
              <w:top w:val="nil"/>
              <w:left w:val="single" w:sz="10" w:space="0" w:color="000000"/>
              <w:bottom w:val="nil"/>
            </w:tcBorders>
            <w:vAlign w:val="center"/>
          </w:tcPr>
          <w:p w14:paraId="5BCB78FF" w14:textId="77777777" w:rsidR="0075791A" w:rsidRDefault="0075791A">
            <w:pPr>
              <w:jc w:val="center"/>
              <w:rPr>
                <w:rFonts w:ascii="Times New Roman" w:hAnsi="Times New Roman"/>
                <w:color w:val="auto"/>
              </w:rPr>
            </w:pPr>
          </w:p>
        </w:tc>
        <w:tc>
          <w:tcPr>
            <w:tcW w:w="459" w:type="dxa"/>
            <w:vAlign w:val="center"/>
          </w:tcPr>
          <w:p w14:paraId="27EDC673"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4</w:t>
            </w:r>
          </w:p>
        </w:tc>
        <w:tc>
          <w:tcPr>
            <w:tcW w:w="750" w:type="dxa"/>
            <w:vAlign w:val="center"/>
          </w:tcPr>
          <w:p w14:paraId="67E2EE4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16.60</w:t>
            </w:r>
          </w:p>
        </w:tc>
        <w:tc>
          <w:tcPr>
            <w:tcW w:w="804" w:type="dxa"/>
            <w:vAlign w:val="center"/>
          </w:tcPr>
          <w:p w14:paraId="07DB5AE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49" w:type="dxa"/>
            <w:vAlign w:val="center"/>
          </w:tcPr>
          <w:p w14:paraId="053C271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6FB473E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61.60</w:t>
            </w:r>
          </w:p>
        </w:tc>
        <w:tc>
          <w:tcPr>
            <w:tcW w:w="708" w:type="dxa"/>
            <w:vAlign w:val="center"/>
          </w:tcPr>
          <w:p w14:paraId="78CF108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21.80</w:t>
            </w:r>
          </w:p>
        </w:tc>
        <w:tc>
          <w:tcPr>
            <w:tcW w:w="766" w:type="dxa"/>
            <w:vAlign w:val="center"/>
          </w:tcPr>
          <w:p w14:paraId="3AB9DA1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06F0967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16.40</w:t>
            </w:r>
          </w:p>
        </w:tc>
        <w:tc>
          <w:tcPr>
            <w:tcW w:w="1113" w:type="dxa"/>
            <w:vAlign w:val="center"/>
          </w:tcPr>
          <w:p w14:paraId="56C96BE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083E90B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16.60</w:t>
            </w:r>
          </w:p>
        </w:tc>
      </w:tr>
      <w:tr w:rsidR="0075791A" w14:paraId="29F11120" w14:textId="77777777">
        <w:trPr>
          <w:trHeight w:val="278"/>
          <w:jc w:val="center"/>
        </w:trPr>
        <w:tc>
          <w:tcPr>
            <w:tcW w:w="569" w:type="dxa"/>
            <w:vMerge/>
            <w:tcBorders>
              <w:top w:val="nil"/>
              <w:left w:val="single" w:sz="10" w:space="0" w:color="000000"/>
            </w:tcBorders>
            <w:vAlign w:val="center"/>
          </w:tcPr>
          <w:p w14:paraId="00420714" w14:textId="77777777" w:rsidR="0075791A" w:rsidRDefault="0075791A">
            <w:pPr>
              <w:jc w:val="center"/>
              <w:rPr>
                <w:rFonts w:ascii="Times New Roman" w:hAnsi="Times New Roman"/>
                <w:color w:val="auto"/>
              </w:rPr>
            </w:pPr>
          </w:p>
        </w:tc>
        <w:tc>
          <w:tcPr>
            <w:tcW w:w="459" w:type="dxa"/>
            <w:vAlign w:val="center"/>
          </w:tcPr>
          <w:p w14:paraId="00162EF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6</w:t>
            </w:r>
          </w:p>
        </w:tc>
        <w:tc>
          <w:tcPr>
            <w:tcW w:w="750" w:type="dxa"/>
            <w:vAlign w:val="center"/>
          </w:tcPr>
          <w:p w14:paraId="6E152D2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41.40</w:t>
            </w:r>
          </w:p>
        </w:tc>
        <w:tc>
          <w:tcPr>
            <w:tcW w:w="804" w:type="dxa"/>
            <w:vAlign w:val="center"/>
          </w:tcPr>
          <w:p w14:paraId="3D72DEF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49" w:type="dxa"/>
            <w:vAlign w:val="center"/>
          </w:tcPr>
          <w:p w14:paraId="7AE0962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vAlign w:val="center"/>
          </w:tcPr>
          <w:p w14:paraId="14ED29A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4"/>
                <w:sz w:val="21"/>
                <w:szCs w:val="21"/>
              </w:rPr>
              <w:t>10.00</w:t>
            </w:r>
          </w:p>
        </w:tc>
        <w:tc>
          <w:tcPr>
            <w:tcW w:w="708" w:type="dxa"/>
            <w:vAlign w:val="center"/>
          </w:tcPr>
          <w:p w14:paraId="6963398A"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48.60</w:t>
            </w:r>
          </w:p>
        </w:tc>
        <w:tc>
          <w:tcPr>
            <w:tcW w:w="766" w:type="dxa"/>
            <w:vAlign w:val="center"/>
          </w:tcPr>
          <w:p w14:paraId="1EA34F7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vAlign w:val="center"/>
          </w:tcPr>
          <w:p w14:paraId="7A2CEE2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113" w:type="dxa"/>
            <w:vAlign w:val="center"/>
          </w:tcPr>
          <w:p w14:paraId="28BA6C6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right w:val="single" w:sz="10" w:space="0" w:color="000000"/>
            </w:tcBorders>
            <w:vAlign w:val="center"/>
          </w:tcPr>
          <w:p w14:paraId="12DC568D"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1"/>
                <w:sz w:val="21"/>
                <w:szCs w:val="21"/>
              </w:rPr>
              <w:t>41.40</w:t>
            </w:r>
          </w:p>
        </w:tc>
      </w:tr>
      <w:tr w:rsidR="0075791A" w14:paraId="52C2B11B" w14:textId="77777777">
        <w:trPr>
          <w:trHeight w:val="275"/>
          <w:jc w:val="center"/>
        </w:trPr>
        <w:tc>
          <w:tcPr>
            <w:tcW w:w="569" w:type="dxa"/>
            <w:tcBorders>
              <w:left w:val="single" w:sz="10" w:space="0" w:color="000000"/>
            </w:tcBorders>
            <w:vAlign w:val="center"/>
          </w:tcPr>
          <w:p w14:paraId="202AD16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position w:val="-2"/>
                <w:sz w:val="21"/>
                <w:szCs w:val="21"/>
              </w:rPr>
              <w:t>C17</w:t>
            </w:r>
          </w:p>
        </w:tc>
        <w:tc>
          <w:tcPr>
            <w:tcW w:w="459" w:type="dxa"/>
            <w:vAlign w:val="center"/>
          </w:tcPr>
          <w:p w14:paraId="25B0B2B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position w:val="-2"/>
                <w:sz w:val="21"/>
                <w:szCs w:val="21"/>
              </w:rPr>
              <w:t>6</w:t>
            </w:r>
          </w:p>
        </w:tc>
        <w:tc>
          <w:tcPr>
            <w:tcW w:w="750" w:type="dxa"/>
            <w:vAlign w:val="center"/>
          </w:tcPr>
          <w:p w14:paraId="06C4DCD8"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position w:val="-2"/>
                <w:sz w:val="21"/>
                <w:szCs w:val="21"/>
              </w:rPr>
              <w:t>0.00</w:t>
            </w:r>
          </w:p>
        </w:tc>
        <w:tc>
          <w:tcPr>
            <w:tcW w:w="804" w:type="dxa"/>
            <w:vAlign w:val="center"/>
          </w:tcPr>
          <w:p w14:paraId="4958ED16"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position w:val="-2"/>
                <w:sz w:val="21"/>
                <w:szCs w:val="21"/>
              </w:rPr>
              <w:t>0.00</w:t>
            </w:r>
          </w:p>
        </w:tc>
        <w:tc>
          <w:tcPr>
            <w:tcW w:w="649" w:type="dxa"/>
            <w:vAlign w:val="center"/>
          </w:tcPr>
          <w:p w14:paraId="738C3BA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position w:val="-2"/>
                <w:sz w:val="21"/>
                <w:szCs w:val="21"/>
              </w:rPr>
              <w:t>0.00</w:t>
            </w:r>
          </w:p>
        </w:tc>
        <w:tc>
          <w:tcPr>
            <w:tcW w:w="699" w:type="dxa"/>
            <w:vAlign w:val="center"/>
          </w:tcPr>
          <w:p w14:paraId="65DA887B"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position w:val="-2"/>
                <w:sz w:val="21"/>
                <w:szCs w:val="21"/>
              </w:rPr>
              <w:t>0.00</w:t>
            </w:r>
          </w:p>
        </w:tc>
        <w:tc>
          <w:tcPr>
            <w:tcW w:w="708" w:type="dxa"/>
            <w:vAlign w:val="center"/>
          </w:tcPr>
          <w:p w14:paraId="0BB2C3B5"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3"/>
                <w:position w:val="-2"/>
                <w:sz w:val="21"/>
                <w:szCs w:val="21"/>
              </w:rPr>
              <w:t>100.00</w:t>
            </w:r>
          </w:p>
        </w:tc>
        <w:tc>
          <w:tcPr>
            <w:tcW w:w="766" w:type="dxa"/>
            <w:vAlign w:val="center"/>
          </w:tcPr>
          <w:p w14:paraId="640AB53E"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position w:val="-2"/>
                <w:sz w:val="21"/>
                <w:szCs w:val="21"/>
              </w:rPr>
              <w:t>0.00</w:t>
            </w:r>
          </w:p>
        </w:tc>
        <w:tc>
          <w:tcPr>
            <w:tcW w:w="1037" w:type="dxa"/>
            <w:vAlign w:val="center"/>
          </w:tcPr>
          <w:p w14:paraId="09D7F819"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position w:val="-2"/>
                <w:sz w:val="21"/>
                <w:szCs w:val="21"/>
              </w:rPr>
              <w:t>0.00</w:t>
            </w:r>
          </w:p>
        </w:tc>
        <w:tc>
          <w:tcPr>
            <w:tcW w:w="1113" w:type="dxa"/>
            <w:vAlign w:val="center"/>
          </w:tcPr>
          <w:p w14:paraId="3D55922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position w:val="-2"/>
                <w:sz w:val="21"/>
                <w:szCs w:val="21"/>
              </w:rPr>
              <w:t>0.00</w:t>
            </w:r>
          </w:p>
        </w:tc>
        <w:tc>
          <w:tcPr>
            <w:tcW w:w="1041" w:type="dxa"/>
            <w:tcBorders>
              <w:right w:val="single" w:sz="10" w:space="0" w:color="000000"/>
            </w:tcBorders>
            <w:vAlign w:val="center"/>
          </w:tcPr>
          <w:p w14:paraId="16D3B49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position w:val="-2"/>
                <w:sz w:val="21"/>
                <w:szCs w:val="21"/>
              </w:rPr>
              <w:t>0.00</w:t>
            </w:r>
          </w:p>
        </w:tc>
      </w:tr>
      <w:tr w:rsidR="0075791A" w14:paraId="21E7C464" w14:textId="77777777">
        <w:trPr>
          <w:trHeight w:val="301"/>
          <w:jc w:val="center"/>
        </w:trPr>
        <w:tc>
          <w:tcPr>
            <w:tcW w:w="569" w:type="dxa"/>
            <w:tcBorders>
              <w:left w:val="single" w:sz="10" w:space="0" w:color="000000"/>
              <w:bottom w:val="single" w:sz="10" w:space="0" w:color="000000"/>
            </w:tcBorders>
            <w:vAlign w:val="center"/>
          </w:tcPr>
          <w:p w14:paraId="12114CE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C18</w:t>
            </w:r>
          </w:p>
        </w:tc>
        <w:tc>
          <w:tcPr>
            <w:tcW w:w="459" w:type="dxa"/>
            <w:tcBorders>
              <w:bottom w:val="single" w:sz="10" w:space="0" w:color="000000"/>
            </w:tcBorders>
            <w:vAlign w:val="center"/>
          </w:tcPr>
          <w:p w14:paraId="3CBEEEB7"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z w:val="21"/>
                <w:szCs w:val="21"/>
              </w:rPr>
              <w:t>6</w:t>
            </w:r>
          </w:p>
        </w:tc>
        <w:tc>
          <w:tcPr>
            <w:tcW w:w="750" w:type="dxa"/>
            <w:tcBorders>
              <w:bottom w:val="single" w:sz="10" w:space="0" w:color="000000"/>
            </w:tcBorders>
            <w:vAlign w:val="center"/>
          </w:tcPr>
          <w:p w14:paraId="03D8A4F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804" w:type="dxa"/>
            <w:tcBorders>
              <w:bottom w:val="single" w:sz="10" w:space="0" w:color="000000"/>
            </w:tcBorders>
            <w:vAlign w:val="center"/>
          </w:tcPr>
          <w:p w14:paraId="293C8FD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49" w:type="dxa"/>
            <w:tcBorders>
              <w:bottom w:val="single" w:sz="10" w:space="0" w:color="000000"/>
            </w:tcBorders>
            <w:vAlign w:val="center"/>
          </w:tcPr>
          <w:p w14:paraId="1365E55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699" w:type="dxa"/>
            <w:tcBorders>
              <w:bottom w:val="single" w:sz="10" w:space="0" w:color="000000"/>
            </w:tcBorders>
            <w:vAlign w:val="center"/>
          </w:tcPr>
          <w:p w14:paraId="471D39F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708" w:type="dxa"/>
            <w:tcBorders>
              <w:bottom w:val="single" w:sz="10" w:space="0" w:color="000000"/>
            </w:tcBorders>
            <w:vAlign w:val="center"/>
          </w:tcPr>
          <w:p w14:paraId="47449084"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3"/>
                <w:sz w:val="21"/>
                <w:szCs w:val="21"/>
              </w:rPr>
              <w:t>100.00</w:t>
            </w:r>
          </w:p>
        </w:tc>
        <w:tc>
          <w:tcPr>
            <w:tcW w:w="766" w:type="dxa"/>
            <w:tcBorders>
              <w:bottom w:val="single" w:sz="10" w:space="0" w:color="000000"/>
            </w:tcBorders>
            <w:vAlign w:val="center"/>
          </w:tcPr>
          <w:p w14:paraId="2C68FA1C"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37" w:type="dxa"/>
            <w:tcBorders>
              <w:bottom w:val="single" w:sz="10" w:space="0" w:color="000000"/>
            </w:tcBorders>
            <w:vAlign w:val="center"/>
          </w:tcPr>
          <w:p w14:paraId="524FDC10"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113" w:type="dxa"/>
            <w:tcBorders>
              <w:bottom w:val="single" w:sz="10" w:space="0" w:color="000000"/>
            </w:tcBorders>
            <w:vAlign w:val="center"/>
          </w:tcPr>
          <w:p w14:paraId="5CBA2E1F"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c>
          <w:tcPr>
            <w:tcW w:w="1041" w:type="dxa"/>
            <w:tcBorders>
              <w:bottom w:val="single" w:sz="10" w:space="0" w:color="000000"/>
              <w:right w:val="single" w:sz="10" w:space="0" w:color="000000"/>
            </w:tcBorders>
            <w:vAlign w:val="center"/>
          </w:tcPr>
          <w:p w14:paraId="6D885312" w14:textId="77777777" w:rsidR="0075791A" w:rsidRDefault="00FB2864">
            <w:pPr>
              <w:pStyle w:val="TableText"/>
              <w:jc w:val="center"/>
              <w:rPr>
                <w:rFonts w:ascii="Times New Roman" w:hAnsi="Times New Roman"/>
                <w:color w:val="auto"/>
                <w:sz w:val="21"/>
                <w:szCs w:val="21"/>
              </w:rPr>
            </w:pPr>
            <w:r>
              <w:rPr>
                <w:rFonts w:ascii="Times New Roman" w:hAnsi="Times New Roman"/>
                <w:color w:val="auto"/>
                <w:spacing w:val="-2"/>
                <w:sz w:val="21"/>
                <w:szCs w:val="21"/>
              </w:rPr>
              <w:t>0.00</w:t>
            </w:r>
          </w:p>
        </w:tc>
      </w:tr>
    </w:tbl>
    <w:p w14:paraId="5365E4B4" w14:textId="77777777" w:rsidR="0075791A" w:rsidRDefault="0075791A">
      <w:pPr>
        <w:pStyle w:val="a5"/>
        <w:rPr>
          <w:rFonts w:ascii="Times New Roman" w:hAnsi="Times New Roman"/>
          <w:color w:val="auto"/>
          <w:lang w:eastAsia="zh-CN"/>
        </w:rPr>
      </w:pPr>
    </w:p>
    <w:tbl>
      <w:tblPr>
        <w:tblStyle w:val="TableNormal"/>
        <w:tblW w:w="7937" w:type="dxa"/>
        <w:tblInd w:w="700" w:type="dxa"/>
        <w:tblBorders>
          <w:top w:val="single" w:sz="10" w:space="0" w:color="000000"/>
          <w:left w:val="single" w:sz="10" w:space="0" w:color="000000"/>
          <w:bottom w:val="single" w:sz="10" w:space="0" w:color="000000"/>
          <w:right w:val="single" w:sz="10" w:space="0" w:color="000000"/>
          <w:insideH w:val="single" w:sz="10" w:space="0" w:color="000000"/>
          <w:insideV w:val="single" w:sz="10" w:space="0" w:color="000000"/>
        </w:tblBorders>
        <w:tblLayout w:type="fixed"/>
        <w:tblLook w:val="04A0" w:firstRow="1" w:lastRow="0" w:firstColumn="1" w:lastColumn="0" w:noHBand="0" w:noVBand="1"/>
      </w:tblPr>
      <w:tblGrid>
        <w:gridCol w:w="3896"/>
        <w:gridCol w:w="4041"/>
      </w:tblGrid>
      <w:tr w:rsidR="0075791A" w14:paraId="2381610F" w14:textId="77777777">
        <w:trPr>
          <w:trHeight w:val="3118"/>
        </w:trPr>
        <w:tc>
          <w:tcPr>
            <w:tcW w:w="3896" w:type="dxa"/>
            <w:tcBorders>
              <w:bottom w:val="single" w:sz="2" w:space="0" w:color="000000"/>
              <w:right w:val="single" w:sz="2" w:space="0" w:color="000000"/>
            </w:tcBorders>
          </w:tcPr>
          <w:p w14:paraId="0703A5F6" w14:textId="77777777" w:rsidR="0075791A" w:rsidRDefault="00FB2864">
            <w:pPr>
              <w:jc w:val="center"/>
              <w:rPr>
                <w:rFonts w:ascii="Times New Roman" w:hAnsi="Times New Roman"/>
                <w:color w:val="auto"/>
              </w:rPr>
            </w:pPr>
            <w:r>
              <w:rPr>
                <w:rFonts w:ascii="Times New Roman" w:hAnsi="Times New Roman"/>
                <w:noProof/>
                <w:color w:val="auto"/>
                <w:position w:val="-59"/>
              </w:rPr>
              <w:drawing>
                <wp:inline distT="0" distB="0" distL="0" distR="0" wp14:anchorId="4F13334B" wp14:editId="2EA3B53D">
                  <wp:extent cx="2399665" cy="1895475"/>
                  <wp:effectExtent l="0" t="0" r="8255" b="9525"/>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65"/>
                          <a:stretch>
                            <a:fillRect/>
                          </a:stretch>
                        </pic:blipFill>
                        <pic:spPr>
                          <a:xfrm>
                            <a:off x="0" y="0"/>
                            <a:ext cx="2399791" cy="1895475"/>
                          </a:xfrm>
                          <a:prstGeom prst="rect">
                            <a:avLst/>
                          </a:prstGeom>
                        </pic:spPr>
                      </pic:pic>
                    </a:graphicData>
                  </a:graphic>
                </wp:inline>
              </w:drawing>
            </w:r>
          </w:p>
        </w:tc>
        <w:tc>
          <w:tcPr>
            <w:tcW w:w="4041" w:type="dxa"/>
            <w:tcBorders>
              <w:left w:val="single" w:sz="2" w:space="0" w:color="000000"/>
              <w:bottom w:val="single" w:sz="2" w:space="0" w:color="000000"/>
            </w:tcBorders>
          </w:tcPr>
          <w:p w14:paraId="3202764E" w14:textId="77777777" w:rsidR="0075791A" w:rsidRDefault="00FB2864">
            <w:pPr>
              <w:jc w:val="center"/>
              <w:rPr>
                <w:rFonts w:ascii="Times New Roman" w:hAnsi="Times New Roman"/>
                <w:color w:val="auto"/>
              </w:rPr>
            </w:pPr>
            <w:r>
              <w:rPr>
                <w:rFonts w:ascii="Times New Roman" w:hAnsi="Times New Roman"/>
                <w:noProof/>
                <w:color w:val="auto"/>
                <w:position w:val="-61"/>
              </w:rPr>
              <w:drawing>
                <wp:inline distT="0" distB="0" distL="0" distR="0" wp14:anchorId="596CBBB3" wp14:editId="3B69BA5D">
                  <wp:extent cx="2487295" cy="1947545"/>
                  <wp:effectExtent l="0" t="0" r="12065" b="3175"/>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66"/>
                          <a:stretch>
                            <a:fillRect/>
                          </a:stretch>
                        </pic:blipFill>
                        <pic:spPr>
                          <a:xfrm>
                            <a:off x="0" y="0"/>
                            <a:ext cx="2487803" cy="1948179"/>
                          </a:xfrm>
                          <a:prstGeom prst="rect">
                            <a:avLst/>
                          </a:prstGeom>
                        </pic:spPr>
                      </pic:pic>
                    </a:graphicData>
                  </a:graphic>
                </wp:inline>
              </w:drawing>
            </w:r>
          </w:p>
        </w:tc>
      </w:tr>
      <w:tr w:rsidR="0075791A" w14:paraId="60DCA937" w14:textId="77777777">
        <w:trPr>
          <w:trHeight w:val="3139"/>
        </w:trPr>
        <w:tc>
          <w:tcPr>
            <w:tcW w:w="3896" w:type="dxa"/>
            <w:tcBorders>
              <w:top w:val="single" w:sz="2" w:space="0" w:color="000000"/>
              <w:right w:val="single" w:sz="2" w:space="0" w:color="000000"/>
            </w:tcBorders>
          </w:tcPr>
          <w:p w14:paraId="3575444E" w14:textId="77777777" w:rsidR="0075791A" w:rsidRDefault="00FB2864">
            <w:pPr>
              <w:jc w:val="center"/>
              <w:rPr>
                <w:rFonts w:ascii="Times New Roman" w:hAnsi="Times New Roman"/>
                <w:color w:val="auto"/>
              </w:rPr>
            </w:pPr>
            <w:r>
              <w:rPr>
                <w:rFonts w:ascii="Times New Roman" w:hAnsi="Times New Roman"/>
                <w:noProof/>
                <w:color w:val="auto"/>
                <w:position w:val="-59"/>
              </w:rPr>
              <w:drawing>
                <wp:inline distT="0" distB="0" distL="0" distR="0" wp14:anchorId="621F50AF" wp14:editId="66672DAD">
                  <wp:extent cx="2399665" cy="1895475"/>
                  <wp:effectExtent l="0" t="0" r="8255" b="9525"/>
                  <wp:docPr id="60" name="IM 224"/>
                  <wp:cNvGraphicFramePr/>
                  <a:graphic xmlns:a="http://schemas.openxmlformats.org/drawingml/2006/main">
                    <a:graphicData uri="http://schemas.openxmlformats.org/drawingml/2006/picture">
                      <pic:pic xmlns:pic="http://schemas.openxmlformats.org/drawingml/2006/picture">
                        <pic:nvPicPr>
                          <pic:cNvPr id="60" name="IM 224"/>
                          <pic:cNvPicPr/>
                        </pic:nvPicPr>
                        <pic:blipFill>
                          <a:blip r:embed="rId67"/>
                          <a:stretch>
                            <a:fillRect/>
                          </a:stretch>
                        </pic:blipFill>
                        <pic:spPr>
                          <a:xfrm>
                            <a:off x="0" y="0"/>
                            <a:ext cx="2399791" cy="1895475"/>
                          </a:xfrm>
                          <a:prstGeom prst="rect">
                            <a:avLst/>
                          </a:prstGeom>
                        </pic:spPr>
                      </pic:pic>
                    </a:graphicData>
                  </a:graphic>
                </wp:inline>
              </w:drawing>
            </w:r>
          </w:p>
        </w:tc>
        <w:tc>
          <w:tcPr>
            <w:tcW w:w="4041" w:type="dxa"/>
            <w:tcBorders>
              <w:top w:val="single" w:sz="2" w:space="0" w:color="000000"/>
              <w:left w:val="single" w:sz="2" w:space="0" w:color="000000"/>
            </w:tcBorders>
          </w:tcPr>
          <w:p w14:paraId="6ECA4597" w14:textId="77777777" w:rsidR="0075791A" w:rsidRDefault="00FB2864">
            <w:pPr>
              <w:jc w:val="center"/>
              <w:rPr>
                <w:rFonts w:ascii="Times New Roman" w:hAnsi="Times New Roman"/>
                <w:color w:val="auto"/>
              </w:rPr>
            </w:pPr>
            <w:r>
              <w:rPr>
                <w:rFonts w:ascii="Times New Roman" w:hAnsi="Times New Roman"/>
                <w:noProof/>
                <w:color w:val="auto"/>
                <w:position w:val="-61"/>
              </w:rPr>
              <w:drawing>
                <wp:inline distT="0" distB="0" distL="0" distR="0" wp14:anchorId="1F503977" wp14:editId="63B9481F">
                  <wp:extent cx="2487295" cy="1947545"/>
                  <wp:effectExtent l="0" t="0" r="12065" b="3175"/>
                  <wp:docPr id="61" name="IM 226"/>
                  <wp:cNvGraphicFramePr/>
                  <a:graphic xmlns:a="http://schemas.openxmlformats.org/drawingml/2006/main">
                    <a:graphicData uri="http://schemas.openxmlformats.org/drawingml/2006/picture">
                      <pic:pic xmlns:pic="http://schemas.openxmlformats.org/drawingml/2006/picture">
                        <pic:nvPicPr>
                          <pic:cNvPr id="61" name="IM 226"/>
                          <pic:cNvPicPr/>
                        </pic:nvPicPr>
                        <pic:blipFill>
                          <a:blip r:embed="rId68"/>
                          <a:stretch>
                            <a:fillRect/>
                          </a:stretch>
                        </pic:blipFill>
                        <pic:spPr>
                          <a:xfrm>
                            <a:off x="0" y="0"/>
                            <a:ext cx="2487803" cy="1948179"/>
                          </a:xfrm>
                          <a:prstGeom prst="rect">
                            <a:avLst/>
                          </a:prstGeom>
                        </pic:spPr>
                      </pic:pic>
                    </a:graphicData>
                  </a:graphic>
                </wp:inline>
              </w:drawing>
            </w:r>
          </w:p>
        </w:tc>
      </w:tr>
    </w:tbl>
    <w:p w14:paraId="0C548A76"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3.2.7-7</w:t>
      </w:r>
      <w:r>
        <w:rPr>
          <w:rFonts w:ascii="Times New Roman" w:eastAsia="宋体" w:hAnsi="Times New Roman" w:cs="宋体" w:hint="eastAsia"/>
          <w:color w:val="auto"/>
          <w:spacing w:val="-4"/>
          <w:sz w:val="24"/>
          <w:szCs w:val="24"/>
          <w:lang w:eastAsia="zh-CN"/>
        </w:rPr>
        <w:t>后海湾附近海域保存完好的硬珊瑚生活环境</w:t>
      </w:r>
    </w:p>
    <w:p w14:paraId="22507E6D" w14:textId="77777777" w:rsidR="0075791A" w:rsidRDefault="0075791A">
      <w:pPr>
        <w:jc w:val="center"/>
        <w:rPr>
          <w:rFonts w:ascii="Times New Roman" w:eastAsia="宋体" w:hAnsi="Times New Roman" w:cs="宋体"/>
          <w:color w:val="auto"/>
          <w:spacing w:val="-4"/>
          <w:sz w:val="24"/>
          <w:szCs w:val="24"/>
          <w:lang w:eastAsia="zh-CN"/>
        </w:rPr>
      </w:pPr>
    </w:p>
    <w:p w14:paraId="050EDFDC"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3.2.7-8</w:t>
      </w:r>
      <w:r>
        <w:rPr>
          <w:rFonts w:ascii="Times New Roman" w:eastAsia="宋体" w:hAnsi="Times New Roman" w:cs="宋体" w:hint="eastAsia"/>
          <w:color w:val="auto"/>
          <w:spacing w:val="-4"/>
          <w:sz w:val="24"/>
          <w:szCs w:val="24"/>
          <w:lang w:eastAsia="zh-CN"/>
        </w:rPr>
        <w:t>后海湾附近海域珊瑚礁分布图</w:t>
      </w:r>
    </w:p>
    <w:p w14:paraId="26AEC09B"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2</w:t>
      </w:r>
      <w:r>
        <w:rPr>
          <w:rFonts w:ascii="Times New Roman" w:eastAsia="宋体" w:hAnsi="Times New Roman" w:cs="宋体" w:hint="eastAsia"/>
          <w:b/>
          <w:bCs/>
          <w:color w:val="auto"/>
          <w:sz w:val="24"/>
          <w:szCs w:val="24"/>
          <w:lang w:eastAsia="zh-CN"/>
        </w:rPr>
        <w:t>）软珊瑚覆盖度</w:t>
      </w:r>
    </w:p>
    <w:p w14:paraId="191FD14E"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用截线样条法调查（定量）后海湾附近海域</w:t>
      </w:r>
      <w:r>
        <w:rPr>
          <w:rFonts w:ascii="Times New Roman" w:eastAsia="宋体" w:hAnsi="Times New Roman" w:cs="宋体" w:hint="eastAsia"/>
          <w:color w:val="auto"/>
          <w:sz w:val="24"/>
          <w:szCs w:val="24"/>
          <w:lang w:eastAsia="zh-CN"/>
        </w:rPr>
        <w:t>18</w:t>
      </w:r>
      <w:r>
        <w:rPr>
          <w:rFonts w:ascii="Times New Roman" w:eastAsia="宋体" w:hAnsi="Times New Roman" w:cs="宋体" w:hint="eastAsia"/>
          <w:color w:val="auto"/>
          <w:sz w:val="24"/>
          <w:szCs w:val="24"/>
          <w:lang w:eastAsia="zh-CN"/>
        </w:rPr>
        <w:t>个站位</w:t>
      </w:r>
      <w:r>
        <w:rPr>
          <w:rFonts w:ascii="Times New Roman" w:eastAsia="宋体" w:hAnsi="Times New Roman" w:cs="宋体" w:hint="eastAsia"/>
          <w:color w:val="auto"/>
          <w:sz w:val="24"/>
          <w:szCs w:val="24"/>
          <w:lang w:eastAsia="zh-CN"/>
        </w:rPr>
        <w:t>42</w:t>
      </w:r>
      <w:r>
        <w:rPr>
          <w:rFonts w:ascii="Times New Roman" w:eastAsia="宋体" w:hAnsi="Times New Roman" w:cs="宋体" w:hint="eastAsia"/>
          <w:color w:val="auto"/>
          <w:sz w:val="24"/>
          <w:szCs w:val="24"/>
          <w:lang w:eastAsia="zh-CN"/>
        </w:rPr>
        <w:t>条断面线的软珊瑚覆盖度情况（表</w:t>
      </w:r>
      <w:r>
        <w:rPr>
          <w:rFonts w:ascii="Times New Roman" w:eastAsia="宋体" w:hAnsi="Times New Roman" w:cs="宋体" w:hint="eastAsia"/>
          <w:color w:val="auto"/>
          <w:sz w:val="24"/>
          <w:szCs w:val="24"/>
          <w:lang w:eastAsia="zh-CN"/>
        </w:rPr>
        <w:t>3.2.7-2</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42</w:t>
      </w:r>
      <w:r>
        <w:rPr>
          <w:rFonts w:ascii="Times New Roman" w:eastAsia="宋体" w:hAnsi="Times New Roman" w:cs="宋体" w:hint="eastAsia"/>
          <w:color w:val="auto"/>
          <w:sz w:val="24"/>
          <w:szCs w:val="24"/>
          <w:lang w:eastAsia="zh-CN"/>
        </w:rPr>
        <w:t>条断面的软珊瑚覆盖度为</w:t>
      </w:r>
      <w:r>
        <w:rPr>
          <w:rFonts w:ascii="Times New Roman" w:eastAsia="宋体" w:hAnsi="Times New Roman" w:cs="宋体" w:hint="eastAsia"/>
          <w:color w:val="auto"/>
          <w:sz w:val="24"/>
          <w:szCs w:val="24"/>
          <w:lang w:eastAsia="zh-CN"/>
        </w:rPr>
        <w:t>0.00%</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20.60%</w:t>
      </w:r>
      <w:r>
        <w:rPr>
          <w:rFonts w:ascii="Times New Roman" w:eastAsia="宋体" w:hAnsi="Times New Roman" w:cs="宋体" w:hint="eastAsia"/>
          <w:color w:val="auto"/>
          <w:sz w:val="24"/>
          <w:szCs w:val="24"/>
          <w:lang w:eastAsia="zh-CN"/>
        </w:rPr>
        <w:t>，平均覆盖度为</w:t>
      </w:r>
      <w:r>
        <w:rPr>
          <w:rFonts w:ascii="Times New Roman" w:eastAsia="宋体" w:hAnsi="Times New Roman" w:cs="宋体" w:hint="eastAsia"/>
          <w:color w:val="auto"/>
          <w:sz w:val="24"/>
          <w:szCs w:val="24"/>
          <w:lang w:eastAsia="zh-CN"/>
        </w:rPr>
        <w:t>2.35%</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lastRenderedPageBreak/>
        <w:t>覆盖度最高的站位为</w:t>
      </w:r>
      <w:r>
        <w:rPr>
          <w:rFonts w:ascii="Times New Roman" w:eastAsia="宋体" w:hAnsi="Times New Roman" w:cs="宋体" w:hint="eastAsia"/>
          <w:color w:val="auto"/>
          <w:sz w:val="24"/>
          <w:szCs w:val="24"/>
          <w:lang w:eastAsia="zh-CN"/>
        </w:rPr>
        <w:t>C5</w:t>
      </w:r>
      <w:r>
        <w:rPr>
          <w:rFonts w:ascii="Times New Roman" w:eastAsia="宋体" w:hAnsi="Times New Roman" w:cs="宋体" w:hint="eastAsia"/>
          <w:color w:val="auto"/>
          <w:sz w:val="24"/>
          <w:szCs w:val="24"/>
          <w:lang w:eastAsia="zh-CN"/>
        </w:rPr>
        <w:t>号站位，覆盖度为</w:t>
      </w:r>
      <w:r>
        <w:rPr>
          <w:rFonts w:ascii="Times New Roman" w:eastAsia="宋体" w:hAnsi="Times New Roman" w:cs="宋体" w:hint="eastAsia"/>
          <w:color w:val="auto"/>
          <w:sz w:val="24"/>
          <w:szCs w:val="24"/>
          <w:lang w:eastAsia="zh-CN"/>
        </w:rPr>
        <w:t>20.60%</w:t>
      </w:r>
      <w:r>
        <w:rPr>
          <w:rFonts w:ascii="Times New Roman" w:eastAsia="宋体" w:hAnsi="Times New Roman" w:cs="宋体" w:hint="eastAsia"/>
          <w:color w:val="auto"/>
          <w:sz w:val="24"/>
          <w:szCs w:val="24"/>
          <w:lang w:eastAsia="zh-CN"/>
        </w:rPr>
        <w:t>；覆盖度最低的站位分别为</w:t>
      </w:r>
      <w:r>
        <w:rPr>
          <w:rFonts w:ascii="Times New Roman" w:eastAsia="宋体" w:hAnsi="Times New Roman" w:cs="宋体" w:hint="eastAsia"/>
          <w:color w:val="auto"/>
          <w:sz w:val="24"/>
          <w:szCs w:val="24"/>
          <w:lang w:eastAsia="zh-CN"/>
        </w:rPr>
        <w:t>C6</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C7</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C8</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C14</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C16</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C17</w:t>
      </w:r>
      <w:r>
        <w:rPr>
          <w:rFonts w:ascii="Times New Roman" w:eastAsia="宋体" w:hAnsi="Times New Roman" w:cs="宋体" w:hint="eastAsia"/>
          <w:color w:val="auto"/>
          <w:sz w:val="24"/>
          <w:szCs w:val="24"/>
          <w:lang w:eastAsia="zh-CN"/>
        </w:rPr>
        <w:t>号和</w:t>
      </w:r>
      <w:r>
        <w:rPr>
          <w:rFonts w:ascii="Times New Roman" w:eastAsia="宋体" w:hAnsi="Times New Roman" w:cs="宋体" w:hint="eastAsia"/>
          <w:color w:val="auto"/>
          <w:sz w:val="24"/>
          <w:szCs w:val="24"/>
          <w:lang w:eastAsia="zh-CN"/>
        </w:rPr>
        <w:t>C18</w:t>
      </w:r>
      <w:r>
        <w:rPr>
          <w:rFonts w:ascii="Times New Roman" w:eastAsia="宋体" w:hAnsi="Times New Roman" w:cs="宋体" w:hint="eastAsia"/>
          <w:color w:val="auto"/>
          <w:sz w:val="24"/>
          <w:szCs w:val="24"/>
          <w:lang w:eastAsia="zh-CN"/>
        </w:rPr>
        <w:t>号站位，均未发现软珊瑚覆盖，覆盖度均为</w:t>
      </w:r>
      <w:r>
        <w:rPr>
          <w:rFonts w:ascii="Times New Roman" w:eastAsia="宋体" w:hAnsi="Times New Roman" w:cs="宋体" w:hint="eastAsia"/>
          <w:color w:val="auto"/>
          <w:sz w:val="24"/>
          <w:szCs w:val="24"/>
          <w:lang w:eastAsia="zh-CN"/>
        </w:rPr>
        <w:t>0.00%</w:t>
      </w:r>
      <w:r>
        <w:rPr>
          <w:rFonts w:ascii="Times New Roman" w:eastAsia="宋体" w:hAnsi="Times New Roman" w:cs="宋体" w:hint="eastAsia"/>
          <w:color w:val="auto"/>
          <w:sz w:val="24"/>
          <w:szCs w:val="24"/>
          <w:lang w:eastAsia="zh-CN"/>
        </w:rPr>
        <w:t>。</w:t>
      </w:r>
    </w:p>
    <w:p w14:paraId="74AD4C63"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noProof/>
          <w:color w:val="auto"/>
          <w:spacing w:val="-4"/>
          <w:sz w:val="24"/>
          <w:szCs w:val="24"/>
          <w:lang w:eastAsia="zh-CN"/>
        </w:rPr>
        <w:drawing>
          <wp:inline distT="0" distB="0" distL="114300" distR="114300" wp14:anchorId="5610A873" wp14:editId="581B1FCA">
            <wp:extent cx="4800600" cy="2278380"/>
            <wp:effectExtent l="0" t="0" r="0" b="7620"/>
            <wp:docPr id="71" name="图片 71" descr="173719156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1737191560634"/>
                    <pic:cNvPicPr>
                      <a:picLocks noChangeAspect="1"/>
                    </pic:cNvPicPr>
                  </pic:nvPicPr>
                  <pic:blipFill>
                    <a:blip r:embed="rId69"/>
                    <a:stretch>
                      <a:fillRect/>
                    </a:stretch>
                  </pic:blipFill>
                  <pic:spPr>
                    <a:xfrm>
                      <a:off x="0" y="0"/>
                      <a:ext cx="4800600" cy="2278380"/>
                    </a:xfrm>
                    <a:prstGeom prst="rect">
                      <a:avLst/>
                    </a:prstGeom>
                  </pic:spPr>
                </pic:pic>
              </a:graphicData>
            </a:graphic>
          </wp:inline>
        </w:drawing>
      </w:r>
    </w:p>
    <w:p w14:paraId="375874DE"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3.2.7-9</w:t>
      </w:r>
      <w:r>
        <w:rPr>
          <w:rFonts w:ascii="Times New Roman" w:eastAsia="宋体" w:hAnsi="Times New Roman" w:cs="宋体" w:hint="eastAsia"/>
          <w:color w:val="auto"/>
          <w:spacing w:val="-4"/>
          <w:sz w:val="24"/>
          <w:szCs w:val="24"/>
          <w:lang w:eastAsia="zh-CN"/>
        </w:rPr>
        <w:t>后海湾附近海域各站位软珊瑚覆盖度和总珊瑚覆盖度柱状图</w:t>
      </w:r>
    </w:p>
    <w:tbl>
      <w:tblPr>
        <w:tblStyle w:val="TableNormal"/>
        <w:tblW w:w="9118" w:type="dxa"/>
        <w:tblInd w:w="109" w:type="dxa"/>
        <w:tblBorders>
          <w:top w:val="single" w:sz="10" w:space="0" w:color="000000"/>
          <w:left w:val="single" w:sz="10" w:space="0" w:color="000000"/>
          <w:bottom w:val="single" w:sz="10" w:space="0" w:color="000000"/>
          <w:right w:val="single" w:sz="10" w:space="0" w:color="000000"/>
          <w:insideH w:val="single" w:sz="10" w:space="0" w:color="000000"/>
          <w:insideV w:val="single" w:sz="10" w:space="0" w:color="000000"/>
        </w:tblBorders>
        <w:tblLayout w:type="fixed"/>
        <w:tblLook w:val="04A0" w:firstRow="1" w:lastRow="0" w:firstColumn="1" w:lastColumn="0" w:noHBand="0" w:noVBand="1"/>
      </w:tblPr>
      <w:tblGrid>
        <w:gridCol w:w="4496"/>
        <w:gridCol w:w="253"/>
        <w:gridCol w:w="4369"/>
      </w:tblGrid>
      <w:tr w:rsidR="0075791A" w14:paraId="3A436A4A" w14:textId="77777777">
        <w:trPr>
          <w:trHeight w:val="3116"/>
        </w:trPr>
        <w:tc>
          <w:tcPr>
            <w:tcW w:w="4496" w:type="dxa"/>
            <w:tcBorders>
              <w:bottom w:val="single" w:sz="2" w:space="0" w:color="000000"/>
              <w:right w:val="single" w:sz="2" w:space="0" w:color="000000"/>
            </w:tcBorders>
          </w:tcPr>
          <w:p w14:paraId="578828B6"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noProof/>
                <w:color w:val="auto"/>
                <w:spacing w:val="-4"/>
                <w:sz w:val="24"/>
                <w:szCs w:val="24"/>
                <w:lang w:eastAsia="zh-CN"/>
              </w:rPr>
              <w:drawing>
                <wp:inline distT="0" distB="0" distL="0" distR="0" wp14:anchorId="239F6452" wp14:editId="34D872C2">
                  <wp:extent cx="2527935" cy="1895475"/>
                  <wp:effectExtent l="0" t="0" r="1905" b="9525"/>
                  <wp:docPr id="64" name="IM 234"/>
                  <wp:cNvGraphicFramePr/>
                  <a:graphic xmlns:a="http://schemas.openxmlformats.org/drawingml/2006/main">
                    <a:graphicData uri="http://schemas.openxmlformats.org/drawingml/2006/picture">
                      <pic:pic xmlns:pic="http://schemas.openxmlformats.org/drawingml/2006/picture">
                        <pic:nvPicPr>
                          <pic:cNvPr id="64" name="IM 234"/>
                          <pic:cNvPicPr/>
                        </pic:nvPicPr>
                        <pic:blipFill>
                          <a:blip r:embed="rId70"/>
                          <a:stretch>
                            <a:fillRect/>
                          </a:stretch>
                        </pic:blipFill>
                        <pic:spPr>
                          <a:xfrm>
                            <a:off x="0" y="0"/>
                            <a:ext cx="2527935" cy="1895475"/>
                          </a:xfrm>
                          <a:prstGeom prst="rect">
                            <a:avLst/>
                          </a:prstGeom>
                        </pic:spPr>
                      </pic:pic>
                    </a:graphicData>
                  </a:graphic>
                </wp:inline>
              </w:drawing>
            </w:r>
          </w:p>
        </w:tc>
        <w:tc>
          <w:tcPr>
            <w:tcW w:w="253" w:type="dxa"/>
            <w:tcBorders>
              <w:left w:val="single" w:sz="2" w:space="0" w:color="000000"/>
              <w:bottom w:val="single" w:sz="2" w:space="0" w:color="000000"/>
              <w:right w:val="nil"/>
            </w:tcBorders>
          </w:tcPr>
          <w:p w14:paraId="1D8EB393" w14:textId="77777777" w:rsidR="0075791A" w:rsidRDefault="0075791A">
            <w:pPr>
              <w:spacing w:line="360" w:lineRule="auto"/>
              <w:jc w:val="center"/>
              <w:rPr>
                <w:rFonts w:ascii="Times New Roman" w:eastAsia="宋体" w:hAnsi="Times New Roman" w:cs="宋体"/>
                <w:color w:val="auto"/>
                <w:spacing w:val="-4"/>
                <w:sz w:val="24"/>
                <w:szCs w:val="24"/>
                <w:lang w:eastAsia="zh-CN"/>
              </w:rPr>
            </w:pPr>
          </w:p>
        </w:tc>
        <w:tc>
          <w:tcPr>
            <w:tcW w:w="4369" w:type="dxa"/>
            <w:tcBorders>
              <w:left w:val="nil"/>
              <w:bottom w:val="single" w:sz="2" w:space="0" w:color="000000"/>
            </w:tcBorders>
          </w:tcPr>
          <w:p w14:paraId="068BBFA2"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noProof/>
                <w:color w:val="auto"/>
                <w:spacing w:val="-4"/>
                <w:sz w:val="24"/>
                <w:szCs w:val="24"/>
                <w:lang w:eastAsia="zh-CN"/>
              </w:rPr>
              <w:drawing>
                <wp:inline distT="0" distB="0" distL="0" distR="0" wp14:anchorId="6EB75590" wp14:editId="0A5A7465">
                  <wp:extent cx="2597785" cy="1947545"/>
                  <wp:effectExtent l="0" t="0" r="8255" b="3175"/>
                  <wp:docPr id="65" name="IM 236"/>
                  <wp:cNvGraphicFramePr/>
                  <a:graphic xmlns:a="http://schemas.openxmlformats.org/drawingml/2006/main">
                    <a:graphicData uri="http://schemas.openxmlformats.org/drawingml/2006/picture">
                      <pic:pic xmlns:pic="http://schemas.openxmlformats.org/drawingml/2006/picture">
                        <pic:nvPicPr>
                          <pic:cNvPr id="65" name="IM 236"/>
                          <pic:cNvPicPr/>
                        </pic:nvPicPr>
                        <pic:blipFill>
                          <a:blip r:embed="rId71"/>
                          <a:stretch>
                            <a:fillRect/>
                          </a:stretch>
                        </pic:blipFill>
                        <pic:spPr>
                          <a:xfrm>
                            <a:off x="0" y="0"/>
                            <a:ext cx="2597785" cy="1948179"/>
                          </a:xfrm>
                          <a:prstGeom prst="rect">
                            <a:avLst/>
                          </a:prstGeom>
                        </pic:spPr>
                      </pic:pic>
                    </a:graphicData>
                  </a:graphic>
                </wp:inline>
              </w:drawing>
            </w:r>
          </w:p>
        </w:tc>
      </w:tr>
      <w:tr w:rsidR="0075791A" w14:paraId="7B11D71C" w14:textId="77777777">
        <w:trPr>
          <w:trHeight w:val="3139"/>
        </w:trPr>
        <w:tc>
          <w:tcPr>
            <w:tcW w:w="4496" w:type="dxa"/>
            <w:tcBorders>
              <w:top w:val="single" w:sz="2" w:space="0" w:color="000000"/>
              <w:right w:val="single" w:sz="2" w:space="0" w:color="000000"/>
            </w:tcBorders>
          </w:tcPr>
          <w:p w14:paraId="47517AD0"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noProof/>
                <w:color w:val="auto"/>
                <w:spacing w:val="-4"/>
                <w:sz w:val="24"/>
                <w:szCs w:val="24"/>
                <w:lang w:eastAsia="zh-CN"/>
              </w:rPr>
              <w:drawing>
                <wp:inline distT="0" distB="0" distL="0" distR="0" wp14:anchorId="4B2FFC91" wp14:editId="0AF91128">
                  <wp:extent cx="2527935" cy="1895475"/>
                  <wp:effectExtent l="0" t="0" r="1905" b="9525"/>
                  <wp:docPr id="66" name="IM 238"/>
                  <wp:cNvGraphicFramePr/>
                  <a:graphic xmlns:a="http://schemas.openxmlformats.org/drawingml/2006/main">
                    <a:graphicData uri="http://schemas.openxmlformats.org/drawingml/2006/picture">
                      <pic:pic xmlns:pic="http://schemas.openxmlformats.org/drawingml/2006/picture">
                        <pic:nvPicPr>
                          <pic:cNvPr id="66" name="IM 238"/>
                          <pic:cNvPicPr/>
                        </pic:nvPicPr>
                        <pic:blipFill>
                          <a:blip r:embed="rId72"/>
                          <a:stretch>
                            <a:fillRect/>
                          </a:stretch>
                        </pic:blipFill>
                        <pic:spPr>
                          <a:xfrm>
                            <a:off x="0" y="0"/>
                            <a:ext cx="2527935" cy="1895475"/>
                          </a:xfrm>
                          <a:prstGeom prst="rect">
                            <a:avLst/>
                          </a:prstGeom>
                        </pic:spPr>
                      </pic:pic>
                    </a:graphicData>
                  </a:graphic>
                </wp:inline>
              </w:drawing>
            </w:r>
          </w:p>
        </w:tc>
        <w:tc>
          <w:tcPr>
            <w:tcW w:w="253" w:type="dxa"/>
            <w:tcBorders>
              <w:top w:val="single" w:sz="2" w:space="0" w:color="000000"/>
              <w:left w:val="single" w:sz="2" w:space="0" w:color="000000"/>
              <w:right w:val="nil"/>
            </w:tcBorders>
          </w:tcPr>
          <w:p w14:paraId="1BE166EA" w14:textId="77777777" w:rsidR="0075791A" w:rsidRDefault="0075791A">
            <w:pPr>
              <w:spacing w:line="360" w:lineRule="auto"/>
              <w:jc w:val="center"/>
              <w:rPr>
                <w:rFonts w:ascii="Times New Roman" w:eastAsia="宋体" w:hAnsi="Times New Roman" w:cs="宋体"/>
                <w:color w:val="auto"/>
                <w:spacing w:val="-4"/>
                <w:sz w:val="24"/>
                <w:szCs w:val="24"/>
                <w:lang w:eastAsia="zh-CN"/>
              </w:rPr>
            </w:pPr>
          </w:p>
        </w:tc>
        <w:tc>
          <w:tcPr>
            <w:tcW w:w="4369" w:type="dxa"/>
            <w:tcBorders>
              <w:top w:val="single" w:sz="2" w:space="0" w:color="000000"/>
              <w:left w:val="nil"/>
            </w:tcBorders>
          </w:tcPr>
          <w:p w14:paraId="3135E152"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noProof/>
                <w:color w:val="auto"/>
                <w:spacing w:val="-4"/>
                <w:sz w:val="24"/>
                <w:szCs w:val="24"/>
                <w:lang w:eastAsia="zh-CN"/>
              </w:rPr>
              <w:drawing>
                <wp:inline distT="0" distB="0" distL="0" distR="0" wp14:anchorId="1013F424" wp14:editId="6889BCED">
                  <wp:extent cx="2597785" cy="1947545"/>
                  <wp:effectExtent l="0" t="0" r="8255" b="3175"/>
                  <wp:docPr id="67" name="IM 240"/>
                  <wp:cNvGraphicFramePr/>
                  <a:graphic xmlns:a="http://schemas.openxmlformats.org/drawingml/2006/main">
                    <a:graphicData uri="http://schemas.openxmlformats.org/drawingml/2006/picture">
                      <pic:pic xmlns:pic="http://schemas.openxmlformats.org/drawingml/2006/picture">
                        <pic:nvPicPr>
                          <pic:cNvPr id="67" name="IM 240"/>
                          <pic:cNvPicPr/>
                        </pic:nvPicPr>
                        <pic:blipFill>
                          <a:blip r:embed="rId73"/>
                          <a:stretch>
                            <a:fillRect/>
                          </a:stretch>
                        </pic:blipFill>
                        <pic:spPr>
                          <a:xfrm>
                            <a:off x="0" y="0"/>
                            <a:ext cx="2597785" cy="1948179"/>
                          </a:xfrm>
                          <a:prstGeom prst="rect">
                            <a:avLst/>
                          </a:prstGeom>
                        </pic:spPr>
                      </pic:pic>
                    </a:graphicData>
                  </a:graphic>
                </wp:inline>
              </w:drawing>
            </w:r>
          </w:p>
        </w:tc>
      </w:tr>
    </w:tbl>
    <w:p w14:paraId="76764295"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3.2.7-10</w:t>
      </w:r>
      <w:r>
        <w:rPr>
          <w:rFonts w:ascii="Times New Roman" w:eastAsia="宋体" w:hAnsi="Times New Roman" w:cs="宋体" w:hint="eastAsia"/>
          <w:color w:val="auto"/>
          <w:spacing w:val="-4"/>
          <w:sz w:val="24"/>
          <w:szCs w:val="24"/>
          <w:lang w:eastAsia="zh-CN"/>
        </w:rPr>
        <w:t>后海湾附近海域保存完好的软珊瑚生活环境</w:t>
      </w:r>
    </w:p>
    <w:p w14:paraId="31E5403F"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3</w:t>
      </w:r>
      <w:r>
        <w:rPr>
          <w:rFonts w:ascii="Times New Roman" w:eastAsia="宋体" w:hAnsi="Times New Roman" w:cs="宋体" w:hint="eastAsia"/>
          <w:b/>
          <w:bCs/>
          <w:color w:val="auto"/>
          <w:sz w:val="24"/>
          <w:szCs w:val="24"/>
          <w:lang w:eastAsia="zh-CN"/>
        </w:rPr>
        <w:t>）礁区底质类型</w:t>
      </w:r>
    </w:p>
    <w:p w14:paraId="42DE7CF0"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用截线样条法调查（定量）后海湾附近海域</w:t>
      </w:r>
      <w:r>
        <w:rPr>
          <w:rFonts w:ascii="Times New Roman" w:eastAsia="宋体" w:hAnsi="Times New Roman" w:cs="宋体" w:hint="eastAsia"/>
          <w:color w:val="auto"/>
          <w:sz w:val="24"/>
          <w:szCs w:val="24"/>
          <w:lang w:eastAsia="zh-CN"/>
        </w:rPr>
        <w:t>18</w:t>
      </w:r>
      <w:r>
        <w:rPr>
          <w:rFonts w:ascii="Times New Roman" w:eastAsia="宋体" w:hAnsi="Times New Roman" w:cs="宋体" w:hint="eastAsia"/>
          <w:color w:val="auto"/>
          <w:sz w:val="24"/>
          <w:szCs w:val="24"/>
          <w:lang w:eastAsia="zh-CN"/>
        </w:rPr>
        <w:t>个站位中，</w:t>
      </w:r>
      <w:r>
        <w:rPr>
          <w:rFonts w:ascii="Times New Roman" w:eastAsia="宋体" w:hAnsi="Times New Roman" w:cs="宋体" w:hint="eastAsia"/>
          <w:color w:val="auto"/>
          <w:sz w:val="24"/>
          <w:szCs w:val="24"/>
          <w:lang w:eastAsia="zh-CN"/>
        </w:rPr>
        <w:t>C7</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C8</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C17</w:t>
      </w:r>
      <w:r>
        <w:rPr>
          <w:rFonts w:ascii="Times New Roman" w:eastAsia="宋体" w:hAnsi="Times New Roman" w:cs="宋体" w:hint="eastAsia"/>
          <w:color w:val="auto"/>
          <w:sz w:val="24"/>
          <w:szCs w:val="24"/>
          <w:lang w:eastAsia="zh-CN"/>
        </w:rPr>
        <w:t>号和</w:t>
      </w:r>
      <w:r>
        <w:rPr>
          <w:rFonts w:ascii="Times New Roman" w:eastAsia="宋体" w:hAnsi="Times New Roman" w:cs="宋体" w:hint="eastAsia"/>
          <w:color w:val="auto"/>
          <w:sz w:val="24"/>
          <w:szCs w:val="24"/>
          <w:lang w:eastAsia="zh-CN"/>
        </w:rPr>
        <w:t>C18</w:t>
      </w:r>
      <w:r>
        <w:rPr>
          <w:rFonts w:ascii="Times New Roman" w:eastAsia="宋体" w:hAnsi="Times New Roman" w:cs="宋体" w:hint="eastAsia"/>
          <w:color w:val="auto"/>
          <w:sz w:val="24"/>
          <w:szCs w:val="24"/>
          <w:lang w:eastAsia="zh-CN"/>
        </w:rPr>
        <w:t>号站位以砂质底质为主，其余站位均以礁石底质为主。详见图</w:t>
      </w:r>
      <w:r>
        <w:rPr>
          <w:rFonts w:ascii="Times New Roman" w:eastAsia="宋体" w:hAnsi="Times New Roman" w:cs="宋体" w:hint="eastAsia"/>
          <w:color w:val="auto"/>
          <w:sz w:val="24"/>
          <w:szCs w:val="24"/>
          <w:lang w:eastAsia="zh-CN"/>
        </w:rPr>
        <w:t>3.2.7-10</w:t>
      </w:r>
      <w:r>
        <w:rPr>
          <w:rFonts w:ascii="Times New Roman" w:eastAsia="宋体" w:hAnsi="Times New Roman" w:cs="宋体" w:hint="eastAsia"/>
          <w:color w:val="auto"/>
          <w:sz w:val="24"/>
          <w:szCs w:val="24"/>
          <w:lang w:eastAsia="zh-CN"/>
        </w:rPr>
        <w:t>。对后海湾</w:t>
      </w:r>
      <w:r>
        <w:rPr>
          <w:rFonts w:ascii="Times New Roman" w:eastAsia="宋体" w:hAnsi="Times New Roman" w:cs="宋体" w:hint="eastAsia"/>
          <w:color w:val="auto"/>
          <w:sz w:val="24"/>
          <w:szCs w:val="24"/>
          <w:lang w:eastAsia="zh-CN"/>
        </w:rPr>
        <w:lastRenderedPageBreak/>
        <w:t>附近海域而言，岩石占比为</w:t>
      </w:r>
      <w:r>
        <w:rPr>
          <w:rFonts w:ascii="Times New Roman" w:eastAsia="宋体" w:hAnsi="Times New Roman" w:cs="宋体" w:hint="eastAsia"/>
          <w:color w:val="auto"/>
          <w:sz w:val="24"/>
          <w:szCs w:val="24"/>
          <w:lang w:eastAsia="zh-CN"/>
        </w:rPr>
        <w:t>0.00%</w:t>
      </w:r>
      <w:r>
        <w:rPr>
          <w:rFonts w:ascii="Times New Roman" w:eastAsia="宋体" w:hAnsi="Times New Roman" w:cs="宋体" w:hint="eastAsia"/>
          <w:color w:val="auto"/>
          <w:sz w:val="24"/>
          <w:szCs w:val="24"/>
          <w:lang w:eastAsia="zh-CN"/>
        </w:rPr>
        <w:t>，砂质底质占比为</w:t>
      </w:r>
      <w:r>
        <w:rPr>
          <w:rFonts w:ascii="Times New Roman" w:eastAsia="宋体" w:hAnsi="Times New Roman" w:cs="宋体" w:hint="eastAsia"/>
          <w:color w:val="auto"/>
          <w:sz w:val="24"/>
          <w:szCs w:val="24"/>
          <w:lang w:eastAsia="zh-CN"/>
        </w:rPr>
        <w:t>20.07%</w:t>
      </w:r>
      <w:r>
        <w:rPr>
          <w:rFonts w:ascii="Times New Roman" w:eastAsia="宋体" w:hAnsi="Times New Roman" w:cs="宋体" w:hint="eastAsia"/>
          <w:color w:val="auto"/>
          <w:sz w:val="24"/>
          <w:szCs w:val="24"/>
          <w:lang w:eastAsia="zh-CN"/>
        </w:rPr>
        <w:t>，礁石占比为</w:t>
      </w:r>
      <w:r>
        <w:rPr>
          <w:rFonts w:ascii="Times New Roman" w:eastAsia="宋体" w:hAnsi="Times New Roman" w:cs="宋体" w:hint="eastAsia"/>
          <w:color w:val="auto"/>
          <w:sz w:val="24"/>
          <w:szCs w:val="24"/>
          <w:lang w:eastAsia="zh-CN"/>
        </w:rPr>
        <w:t>59.45%</w:t>
      </w:r>
      <w:r>
        <w:rPr>
          <w:rFonts w:ascii="Times New Roman" w:eastAsia="宋体" w:hAnsi="Times New Roman" w:cs="宋体" w:hint="eastAsia"/>
          <w:color w:val="auto"/>
          <w:sz w:val="24"/>
          <w:szCs w:val="24"/>
          <w:lang w:eastAsia="zh-CN"/>
        </w:rPr>
        <w:t>，珊瑚总覆盖度占比为</w:t>
      </w:r>
      <w:r>
        <w:rPr>
          <w:rFonts w:ascii="Times New Roman" w:eastAsia="宋体" w:hAnsi="Times New Roman" w:cs="宋体" w:hint="eastAsia"/>
          <w:color w:val="auto"/>
          <w:sz w:val="24"/>
          <w:szCs w:val="24"/>
          <w:lang w:eastAsia="zh-CN"/>
        </w:rPr>
        <w:t>20.48%</w:t>
      </w:r>
      <w:r>
        <w:rPr>
          <w:rFonts w:ascii="Times New Roman" w:eastAsia="宋体" w:hAnsi="Times New Roman" w:cs="宋体" w:hint="eastAsia"/>
          <w:color w:val="auto"/>
          <w:sz w:val="24"/>
          <w:szCs w:val="24"/>
          <w:lang w:eastAsia="zh-CN"/>
        </w:rPr>
        <w:t>。</w:t>
      </w:r>
    </w:p>
    <w:p w14:paraId="6C6BEB09"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noProof/>
          <w:color w:val="auto"/>
          <w:spacing w:val="-4"/>
          <w:sz w:val="24"/>
          <w:szCs w:val="24"/>
          <w:lang w:eastAsia="zh-CN"/>
        </w:rPr>
        <w:drawing>
          <wp:inline distT="0" distB="0" distL="114300" distR="114300" wp14:anchorId="0721C49D" wp14:editId="35807FD2">
            <wp:extent cx="4960620" cy="2446020"/>
            <wp:effectExtent l="0" t="0" r="7620" b="7620"/>
            <wp:docPr id="76" name="图片 76" descr="1737191589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737191589945"/>
                    <pic:cNvPicPr>
                      <a:picLocks noChangeAspect="1"/>
                    </pic:cNvPicPr>
                  </pic:nvPicPr>
                  <pic:blipFill>
                    <a:blip r:embed="rId74"/>
                    <a:stretch>
                      <a:fillRect/>
                    </a:stretch>
                  </pic:blipFill>
                  <pic:spPr>
                    <a:xfrm>
                      <a:off x="0" y="0"/>
                      <a:ext cx="4960620" cy="2446020"/>
                    </a:xfrm>
                    <a:prstGeom prst="rect">
                      <a:avLst/>
                    </a:prstGeom>
                  </pic:spPr>
                </pic:pic>
              </a:graphicData>
            </a:graphic>
          </wp:inline>
        </w:drawing>
      </w:r>
    </w:p>
    <w:p w14:paraId="0324AF09"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3.2.7-11</w:t>
      </w:r>
      <w:r>
        <w:rPr>
          <w:rFonts w:ascii="Times New Roman" w:eastAsia="宋体" w:hAnsi="Times New Roman" w:cs="宋体" w:hint="eastAsia"/>
          <w:color w:val="auto"/>
          <w:spacing w:val="-4"/>
          <w:sz w:val="24"/>
          <w:szCs w:val="24"/>
          <w:lang w:eastAsia="zh-CN"/>
        </w:rPr>
        <w:t>后海湾附近海域各调查站位底质类型百分比</w:t>
      </w:r>
    </w:p>
    <w:p w14:paraId="315B9C00"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4</w:t>
      </w:r>
      <w:r>
        <w:rPr>
          <w:rFonts w:ascii="Times New Roman" w:eastAsia="宋体" w:hAnsi="Times New Roman" w:cs="宋体" w:hint="eastAsia"/>
          <w:b/>
          <w:bCs/>
          <w:color w:val="auto"/>
          <w:sz w:val="24"/>
          <w:szCs w:val="24"/>
          <w:lang w:eastAsia="zh-CN"/>
        </w:rPr>
        <w:t>）硬珊瑚种类</w:t>
      </w:r>
    </w:p>
    <w:p w14:paraId="227C7A88"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通过实地摄像调查、记录和照片拍摄（定性），本次调查共记录鉴定硬珊瑚</w:t>
      </w:r>
      <w:r>
        <w:rPr>
          <w:rFonts w:ascii="Times New Roman" w:eastAsia="宋体" w:hAnsi="Times New Roman" w:cs="宋体" w:hint="eastAsia"/>
          <w:color w:val="auto"/>
          <w:sz w:val="24"/>
          <w:szCs w:val="24"/>
          <w:lang w:eastAsia="zh-CN"/>
        </w:rPr>
        <w:t>14</w:t>
      </w:r>
      <w:r>
        <w:rPr>
          <w:rFonts w:ascii="Times New Roman" w:eastAsia="宋体" w:hAnsi="Times New Roman" w:cs="宋体" w:hint="eastAsia"/>
          <w:color w:val="auto"/>
          <w:sz w:val="24"/>
          <w:szCs w:val="24"/>
          <w:lang w:eastAsia="zh-CN"/>
        </w:rPr>
        <w:t>科</w:t>
      </w:r>
      <w:r>
        <w:rPr>
          <w:rFonts w:ascii="Times New Roman" w:eastAsia="宋体" w:hAnsi="Times New Roman" w:cs="宋体" w:hint="eastAsia"/>
          <w:color w:val="auto"/>
          <w:sz w:val="24"/>
          <w:szCs w:val="24"/>
          <w:lang w:eastAsia="zh-CN"/>
        </w:rPr>
        <w:t>36</w:t>
      </w:r>
      <w:r>
        <w:rPr>
          <w:rFonts w:ascii="Times New Roman" w:eastAsia="宋体" w:hAnsi="Times New Roman" w:cs="宋体" w:hint="eastAsia"/>
          <w:color w:val="auto"/>
          <w:sz w:val="24"/>
          <w:szCs w:val="24"/>
          <w:lang w:eastAsia="zh-CN"/>
        </w:rPr>
        <w:t>属</w:t>
      </w:r>
      <w:r>
        <w:rPr>
          <w:rFonts w:ascii="Times New Roman" w:eastAsia="宋体" w:hAnsi="Times New Roman" w:cs="宋体" w:hint="eastAsia"/>
          <w:color w:val="auto"/>
          <w:sz w:val="24"/>
          <w:szCs w:val="24"/>
          <w:lang w:eastAsia="zh-CN"/>
        </w:rPr>
        <w:t>69</w:t>
      </w:r>
      <w:r>
        <w:rPr>
          <w:rFonts w:ascii="Times New Roman" w:eastAsia="宋体" w:hAnsi="Times New Roman" w:cs="宋体" w:hint="eastAsia"/>
          <w:color w:val="auto"/>
          <w:sz w:val="24"/>
          <w:szCs w:val="24"/>
          <w:lang w:eastAsia="zh-CN"/>
        </w:rPr>
        <w:t>种。</w:t>
      </w:r>
    </w:p>
    <w:p w14:paraId="1C756550"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本次调查优势种类分别为橙黄滨珊瑚、秘密角蜂巢珊瑚、鹿角杯形珊瑚、精巧扁脑珊瑚、圆纹蜂巢珊瑚、丛生盔形珊瑚、丹氏蜂巢珊瑚、标准蜂巢珊瑚、棘星珊瑚、疣状杯形珊瑚、多星孔珊瑚和腐蚀刺柄珊瑚等，其余种类分别为埃氏杯形珊瑚、板叶牡丹珊瑚、薄片刺孔珊瑚、粗糙刺叶珊瑚、粗糙筛珊瑚、粗裸肋珊瑚、丹氏牡丹珊瑚、短枝干星珊瑚、盾形陀螺珊瑚、多孔鹿角珊瑚、多孔同星珊瑚、多弯角蜂巢珊瑚、多叶珊瑚、风信子鹿角珊瑚、弗利吉亚肠珊瑚、辐射合叶珊瑚、复叶陀螺珊瑚、赫氏叶状珊瑚、黑菊珊瑚、黄廯蜂巢珊瑚、火焰滨珊瑚、简短耳纹珊瑚、健壮履形珊瑚</w:t>
      </w:r>
      <w:r>
        <w:rPr>
          <w:rFonts w:ascii="Times New Roman" w:eastAsia="宋体" w:hAnsi="Times New Roman" w:cs="宋体" w:hint="eastAsia"/>
          <w:color w:val="auto"/>
          <w:sz w:val="24"/>
          <w:szCs w:val="24"/>
          <w:lang w:eastAsia="zh-CN"/>
        </w:rPr>
        <w:t>、截顶蜂巢珊瑚、锯齿刺星珊瑚、菌形叶状珊瑚、壳形足柄珊瑚、阔裸肋珊瑚、罗图马蜂巢珊瑚、马绍尔蔷薇珊瑚、片扁脑珊瑚、青灰蔷薇珊瑚、曲圆菊珊瑚、肉质扁脑珊瑚、肾形真叶珊瑚、十字牡丹珊瑚、石芝珊瑚、梳状菊花珊瑚、疏蜂巢珊瑚、斯氏角孔珊瑚、索马里角孔珊瑚、同双星珊瑚、网状菊花珊瑚、微孔蔷薇珊瑚、五边角蜂巢珊瑚、细枝鹿角珊瑚、小扁脑珊瑚、小粒菊花珊瑚、星形沙珊瑚、叶形牡丹珊瑚、易变牡丹珊瑚、瘿叶蔷薇珊瑚、指形鹿角珊瑚、指状蔷薇珊瑚、中国角蜂巢珊瑚、中华扁脑珊瑚和皱纹厚丝珊瑚等。详见附图</w:t>
      </w:r>
      <w:r>
        <w:rPr>
          <w:rFonts w:ascii="Times New Roman" w:eastAsia="宋体" w:hAnsi="Times New Roman" w:cs="宋体" w:hint="eastAsia"/>
          <w:color w:val="auto"/>
          <w:sz w:val="24"/>
          <w:szCs w:val="24"/>
          <w:lang w:eastAsia="zh-CN"/>
        </w:rPr>
        <w:t>9</w:t>
      </w:r>
      <w:r>
        <w:rPr>
          <w:rFonts w:ascii="Times New Roman" w:eastAsia="宋体" w:hAnsi="Times New Roman" w:cs="宋体" w:hint="eastAsia"/>
          <w:color w:val="auto"/>
          <w:sz w:val="24"/>
          <w:szCs w:val="24"/>
          <w:lang w:eastAsia="zh-CN"/>
        </w:rPr>
        <w:t>。</w:t>
      </w:r>
    </w:p>
    <w:p w14:paraId="5EBC607D"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5</w:t>
      </w:r>
      <w:r>
        <w:rPr>
          <w:rFonts w:ascii="Times New Roman" w:eastAsia="宋体" w:hAnsi="Times New Roman" w:cs="宋体" w:hint="eastAsia"/>
          <w:b/>
          <w:bCs/>
          <w:color w:val="auto"/>
          <w:sz w:val="24"/>
          <w:szCs w:val="24"/>
          <w:lang w:eastAsia="zh-CN"/>
        </w:rPr>
        <w:t>）软珊瑚种类</w:t>
      </w:r>
    </w:p>
    <w:p w14:paraId="7BCE7E9D"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lastRenderedPageBreak/>
        <w:t>通过实地</w:t>
      </w:r>
      <w:r>
        <w:rPr>
          <w:rFonts w:ascii="Times New Roman" w:eastAsia="宋体" w:hAnsi="Times New Roman" w:cs="宋体" w:hint="eastAsia"/>
          <w:color w:val="auto"/>
          <w:sz w:val="24"/>
          <w:szCs w:val="24"/>
          <w:lang w:eastAsia="zh-CN"/>
        </w:rPr>
        <w:t>摄像调查、记录和照片拍摄（定性），本次调查共记录鉴定软珊瑚</w:t>
      </w:r>
      <w:r>
        <w:rPr>
          <w:rFonts w:ascii="Times New Roman" w:eastAsia="宋体" w:hAnsi="Times New Roman" w:cs="宋体" w:hint="eastAsia"/>
          <w:color w:val="auto"/>
          <w:sz w:val="24"/>
          <w:szCs w:val="24"/>
          <w:lang w:eastAsia="zh-CN"/>
        </w:rPr>
        <w:t>9</w:t>
      </w:r>
      <w:r>
        <w:rPr>
          <w:rFonts w:ascii="Times New Roman" w:eastAsia="宋体" w:hAnsi="Times New Roman" w:cs="宋体" w:hint="eastAsia"/>
          <w:color w:val="auto"/>
          <w:sz w:val="24"/>
          <w:szCs w:val="24"/>
          <w:lang w:eastAsia="zh-CN"/>
        </w:rPr>
        <w:t>种，种类分别为白灯芯柳珊瑚、杯形肉芝软珊瑚、豆荚软珊瑚、短指软珊瑚、短足软珊瑚、瘤状短指软珊瑚、柔软短指软珊瑚、肉芝软珊瑚和肉质豆荚软珊瑚等，见附图</w:t>
      </w:r>
      <w:r>
        <w:rPr>
          <w:rFonts w:ascii="Times New Roman" w:eastAsia="宋体" w:hAnsi="Times New Roman" w:cs="宋体" w:hint="eastAsia"/>
          <w:color w:val="auto"/>
          <w:sz w:val="24"/>
          <w:szCs w:val="24"/>
          <w:lang w:eastAsia="zh-CN"/>
        </w:rPr>
        <w:t>10</w:t>
      </w:r>
      <w:r>
        <w:rPr>
          <w:rFonts w:ascii="Times New Roman" w:eastAsia="宋体" w:hAnsi="Times New Roman" w:cs="宋体" w:hint="eastAsia"/>
          <w:color w:val="auto"/>
          <w:sz w:val="24"/>
          <w:szCs w:val="24"/>
          <w:lang w:eastAsia="zh-CN"/>
        </w:rPr>
        <w:t>。</w:t>
      </w:r>
    </w:p>
    <w:p w14:paraId="3BDC39C2"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6</w:t>
      </w:r>
      <w:r>
        <w:rPr>
          <w:rFonts w:ascii="Times New Roman" w:eastAsia="宋体" w:hAnsi="Times New Roman" w:cs="宋体" w:hint="eastAsia"/>
          <w:b/>
          <w:bCs/>
          <w:color w:val="auto"/>
          <w:sz w:val="24"/>
          <w:szCs w:val="24"/>
          <w:lang w:eastAsia="zh-CN"/>
        </w:rPr>
        <w:t>）珊瑚补充量</w:t>
      </w:r>
    </w:p>
    <w:p w14:paraId="0AA09089"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用截线样条法调查（定量）后海湾附近海域</w:t>
      </w:r>
      <w:r>
        <w:rPr>
          <w:rFonts w:ascii="Times New Roman" w:eastAsia="宋体" w:hAnsi="Times New Roman" w:cs="宋体" w:hint="eastAsia"/>
          <w:color w:val="auto"/>
          <w:sz w:val="24"/>
          <w:szCs w:val="24"/>
          <w:lang w:eastAsia="zh-CN"/>
        </w:rPr>
        <w:t>18</w:t>
      </w:r>
      <w:r>
        <w:rPr>
          <w:rFonts w:ascii="Times New Roman" w:eastAsia="宋体" w:hAnsi="Times New Roman" w:cs="宋体" w:hint="eastAsia"/>
          <w:color w:val="auto"/>
          <w:sz w:val="24"/>
          <w:szCs w:val="24"/>
          <w:lang w:eastAsia="zh-CN"/>
        </w:rPr>
        <w:t>个调查站位硬珊瑚平均补充量为</w:t>
      </w:r>
      <w:r>
        <w:rPr>
          <w:rFonts w:ascii="Times New Roman" w:eastAsia="宋体" w:hAnsi="Times New Roman" w:cs="宋体" w:hint="eastAsia"/>
          <w:color w:val="auto"/>
          <w:sz w:val="24"/>
          <w:szCs w:val="24"/>
          <w:lang w:eastAsia="zh-CN"/>
        </w:rPr>
        <w:t>0.01ind/m</w:t>
      </w:r>
      <w:r>
        <w:rPr>
          <w:rFonts w:ascii="Times New Roman" w:eastAsia="宋体" w:hAnsi="Times New Roman" w:cs="宋体" w:hint="eastAsia"/>
          <w:color w:val="auto"/>
          <w:sz w:val="24"/>
          <w:szCs w:val="24"/>
          <w:vertAlign w:val="superscript"/>
          <w:lang w:eastAsia="zh-CN"/>
        </w:rPr>
        <w:t>2</w:t>
      </w:r>
      <w:r>
        <w:rPr>
          <w:rFonts w:ascii="Times New Roman" w:eastAsia="宋体" w:hAnsi="Times New Roman" w:cs="宋体" w:hint="eastAsia"/>
          <w:color w:val="auto"/>
          <w:sz w:val="24"/>
          <w:szCs w:val="24"/>
          <w:lang w:eastAsia="zh-CN"/>
        </w:rPr>
        <w:t>，最高补充量站位为</w:t>
      </w:r>
      <w:r>
        <w:rPr>
          <w:rFonts w:ascii="Times New Roman" w:eastAsia="宋体" w:hAnsi="Times New Roman" w:cs="宋体" w:hint="eastAsia"/>
          <w:color w:val="auto"/>
          <w:sz w:val="24"/>
          <w:szCs w:val="24"/>
          <w:lang w:eastAsia="zh-CN"/>
        </w:rPr>
        <w:t>C3</w:t>
      </w:r>
      <w:r>
        <w:rPr>
          <w:rFonts w:ascii="Times New Roman" w:eastAsia="宋体" w:hAnsi="Times New Roman" w:cs="宋体" w:hint="eastAsia"/>
          <w:color w:val="auto"/>
          <w:sz w:val="24"/>
          <w:szCs w:val="24"/>
          <w:lang w:eastAsia="zh-CN"/>
        </w:rPr>
        <w:t>号站位，补充量为</w:t>
      </w:r>
      <w:r>
        <w:rPr>
          <w:rFonts w:ascii="Times New Roman" w:eastAsia="宋体" w:hAnsi="Times New Roman" w:cs="宋体" w:hint="eastAsia"/>
          <w:color w:val="auto"/>
          <w:sz w:val="24"/>
          <w:szCs w:val="24"/>
          <w:lang w:eastAsia="zh-CN"/>
        </w:rPr>
        <w:t>0.07ind/m</w:t>
      </w:r>
      <w:r>
        <w:rPr>
          <w:rFonts w:ascii="Times New Roman" w:eastAsia="宋体" w:hAnsi="Times New Roman" w:cs="宋体" w:hint="eastAsia"/>
          <w:color w:val="auto"/>
          <w:sz w:val="24"/>
          <w:szCs w:val="24"/>
          <w:vertAlign w:val="superscript"/>
          <w:lang w:eastAsia="zh-CN"/>
        </w:rPr>
        <w:t>2</w:t>
      </w:r>
      <w:r>
        <w:rPr>
          <w:rFonts w:ascii="Times New Roman" w:eastAsia="宋体" w:hAnsi="Times New Roman" w:cs="宋体" w:hint="eastAsia"/>
          <w:color w:val="auto"/>
          <w:sz w:val="24"/>
          <w:szCs w:val="24"/>
          <w:lang w:eastAsia="zh-CN"/>
        </w:rPr>
        <w:t>；最低补充量站位分别为</w:t>
      </w:r>
      <w:r>
        <w:rPr>
          <w:rFonts w:ascii="Times New Roman" w:eastAsia="宋体" w:hAnsi="Times New Roman" w:cs="宋体" w:hint="eastAsia"/>
          <w:color w:val="auto"/>
          <w:sz w:val="24"/>
          <w:szCs w:val="24"/>
          <w:lang w:eastAsia="zh-CN"/>
        </w:rPr>
        <w:t>C5</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C6</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C7</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C8</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C10</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C12</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C13</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C14</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C15</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C16</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C17</w:t>
      </w:r>
      <w:r>
        <w:rPr>
          <w:rFonts w:ascii="Times New Roman" w:eastAsia="宋体" w:hAnsi="Times New Roman" w:cs="宋体" w:hint="eastAsia"/>
          <w:color w:val="auto"/>
          <w:sz w:val="24"/>
          <w:szCs w:val="24"/>
          <w:lang w:eastAsia="zh-CN"/>
        </w:rPr>
        <w:t>号和</w:t>
      </w:r>
      <w:r>
        <w:rPr>
          <w:rFonts w:ascii="Times New Roman" w:eastAsia="宋体" w:hAnsi="Times New Roman" w:cs="宋体" w:hint="eastAsia"/>
          <w:color w:val="auto"/>
          <w:sz w:val="24"/>
          <w:szCs w:val="24"/>
          <w:lang w:eastAsia="zh-CN"/>
        </w:rPr>
        <w:t>C18</w:t>
      </w:r>
      <w:r>
        <w:rPr>
          <w:rFonts w:ascii="Times New Roman" w:eastAsia="宋体" w:hAnsi="Times New Roman" w:cs="宋体" w:hint="eastAsia"/>
          <w:color w:val="auto"/>
          <w:sz w:val="24"/>
          <w:szCs w:val="24"/>
          <w:lang w:eastAsia="zh-CN"/>
        </w:rPr>
        <w:t>号站位，均未发现有硬珊瑚补充，补充量均为</w:t>
      </w:r>
      <w:r>
        <w:rPr>
          <w:rFonts w:ascii="Times New Roman" w:eastAsia="宋体" w:hAnsi="Times New Roman" w:cs="宋体" w:hint="eastAsia"/>
          <w:color w:val="auto"/>
          <w:sz w:val="24"/>
          <w:szCs w:val="24"/>
          <w:lang w:eastAsia="zh-CN"/>
        </w:rPr>
        <w:t>0.00ind/m</w:t>
      </w:r>
      <w:r>
        <w:rPr>
          <w:rFonts w:ascii="Times New Roman" w:eastAsia="宋体" w:hAnsi="Times New Roman" w:cs="宋体" w:hint="eastAsia"/>
          <w:color w:val="auto"/>
          <w:sz w:val="24"/>
          <w:szCs w:val="24"/>
          <w:vertAlign w:val="superscript"/>
          <w:lang w:eastAsia="zh-CN"/>
        </w:rPr>
        <w:t>2</w:t>
      </w:r>
      <w:r>
        <w:rPr>
          <w:rFonts w:ascii="Times New Roman" w:eastAsia="宋体" w:hAnsi="Times New Roman" w:cs="宋体" w:hint="eastAsia"/>
          <w:color w:val="auto"/>
          <w:sz w:val="24"/>
          <w:szCs w:val="24"/>
          <w:lang w:eastAsia="zh-CN"/>
        </w:rPr>
        <w:t>。</w:t>
      </w:r>
    </w:p>
    <w:p w14:paraId="4CD58F11"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7</w:t>
      </w:r>
      <w:r>
        <w:rPr>
          <w:rFonts w:ascii="Times New Roman" w:eastAsia="宋体" w:hAnsi="Times New Roman" w:cs="宋体" w:hint="eastAsia"/>
          <w:b/>
          <w:bCs/>
          <w:color w:val="auto"/>
          <w:sz w:val="24"/>
          <w:szCs w:val="24"/>
          <w:lang w:eastAsia="zh-CN"/>
        </w:rPr>
        <w:t>）大型藻类</w:t>
      </w:r>
    </w:p>
    <w:p w14:paraId="37DE5AF7"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通过实地摄像调查、记录和照片拍摄（定性），本次调查共记录鉴定大型藻类</w:t>
      </w:r>
      <w:r>
        <w:rPr>
          <w:rFonts w:ascii="Times New Roman" w:eastAsia="宋体" w:hAnsi="Times New Roman" w:cs="宋体" w:hint="eastAsia"/>
          <w:color w:val="auto"/>
          <w:sz w:val="24"/>
          <w:szCs w:val="24"/>
          <w:lang w:eastAsia="zh-CN"/>
        </w:rPr>
        <w:t>9</w:t>
      </w:r>
      <w:r>
        <w:rPr>
          <w:rFonts w:ascii="Times New Roman" w:eastAsia="宋体" w:hAnsi="Times New Roman" w:cs="宋体" w:hint="eastAsia"/>
          <w:color w:val="auto"/>
          <w:sz w:val="24"/>
          <w:szCs w:val="24"/>
          <w:lang w:eastAsia="zh-CN"/>
        </w:rPr>
        <w:t>种。本次调查种类分别为伴绵藻、脆枝果胞藻、东方耳壳藻、腹扁二叉藻、喇叭藻、南方团扇藻、琼枝、紫衫状海门冬和总状蕨藻等。详见附图</w:t>
      </w:r>
      <w:r>
        <w:rPr>
          <w:rFonts w:ascii="Times New Roman" w:eastAsia="宋体" w:hAnsi="Times New Roman" w:cs="宋体" w:hint="eastAsia"/>
          <w:color w:val="auto"/>
          <w:sz w:val="24"/>
          <w:szCs w:val="24"/>
          <w:lang w:eastAsia="zh-CN"/>
        </w:rPr>
        <w:t>11</w:t>
      </w:r>
      <w:r>
        <w:rPr>
          <w:rFonts w:ascii="Times New Roman" w:eastAsia="宋体" w:hAnsi="Times New Roman" w:cs="宋体" w:hint="eastAsia"/>
          <w:color w:val="auto"/>
          <w:sz w:val="24"/>
          <w:szCs w:val="24"/>
          <w:lang w:eastAsia="zh-CN"/>
        </w:rPr>
        <w:t>。</w:t>
      </w:r>
    </w:p>
    <w:p w14:paraId="68547CC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用截线样条法调查（定量）后海湾附近海域</w:t>
      </w:r>
      <w:r>
        <w:rPr>
          <w:rFonts w:ascii="Times New Roman" w:eastAsia="宋体" w:hAnsi="Times New Roman" w:cs="宋体" w:hint="eastAsia"/>
          <w:color w:val="auto"/>
          <w:sz w:val="24"/>
          <w:szCs w:val="24"/>
          <w:lang w:eastAsia="zh-CN"/>
        </w:rPr>
        <w:t>18</w:t>
      </w:r>
      <w:r>
        <w:rPr>
          <w:rFonts w:ascii="Times New Roman" w:eastAsia="宋体" w:hAnsi="Times New Roman" w:cs="宋体" w:hint="eastAsia"/>
          <w:color w:val="auto"/>
          <w:sz w:val="24"/>
          <w:szCs w:val="24"/>
          <w:lang w:eastAsia="zh-CN"/>
        </w:rPr>
        <w:t>个站位</w:t>
      </w:r>
      <w:r>
        <w:rPr>
          <w:rFonts w:ascii="Times New Roman" w:eastAsia="宋体" w:hAnsi="Times New Roman" w:cs="宋体" w:hint="eastAsia"/>
          <w:color w:val="auto"/>
          <w:sz w:val="24"/>
          <w:szCs w:val="24"/>
          <w:lang w:eastAsia="zh-CN"/>
        </w:rPr>
        <w:t>42</w:t>
      </w:r>
      <w:r>
        <w:rPr>
          <w:rFonts w:ascii="Times New Roman" w:eastAsia="宋体" w:hAnsi="Times New Roman" w:cs="宋体" w:hint="eastAsia"/>
          <w:color w:val="auto"/>
          <w:sz w:val="24"/>
          <w:szCs w:val="24"/>
          <w:lang w:eastAsia="zh-CN"/>
        </w:rPr>
        <w:t>条断面线的大型藻类覆盖度情况（表</w:t>
      </w:r>
      <w:r>
        <w:rPr>
          <w:rFonts w:ascii="Times New Roman" w:hAnsi="Times New Roman" w:hint="eastAsia"/>
          <w:color w:val="auto"/>
          <w:spacing w:val="-2"/>
          <w:sz w:val="24"/>
          <w:szCs w:val="24"/>
          <w:lang w:eastAsia="zh-CN"/>
        </w:rPr>
        <w:t>3.2.7</w:t>
      </w:r>
      <w:r>
        <w:rPr>
          <w:rFonts w:ascii="Times New Roman" w:hAnsi="Times New Roman"/>
          <w:color w:val="auto"/>
          <w:spacing w:val="-2"/>
          <w:sz w:val="24"/>
          <w:szCs w:val="24"/>
          <w:lang w:eastAsia="zh-CN"/>
        </w:rPr>
        <w:t>-2</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42</w:t>
      </w:r>
      <w:r>
        <w:rPr>
          <w:rFonts w:ascii="Times New Roman" w:eastAsia="宋体" w:hAnsi="Times New Roman" w:cs="宋体" w:hint="eastAsia"/>
          <w:color w:val="auto"/>
          <w:sz w:val="24"/>
          <w:szCs w:val="24"/>
          <w:lang w:eastAsia="zh-CN"/>
        </w:rPr>
        <w:t>个断面的大型藻类覆盖度为</w:t>
      </w:r>
      <w:r>
        <w:rPr>
          <w:rFonts w:ascii="Times New Roman" w:eastAsia="宋体" w:hAnsi="Times New Roman" w:cs="宋体" w:hint="eastAsia"/>
          <w:color w:val="auto"/>
          <w:sz w:val="24"/>
          <w:szCs w:val="24"/>
          <w:lang w:eastAsia="zh-CN"/>
        </w:rPr>
        <w:t>0.00%</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19.60%</w:t>
      </w:r>
      <w:r>
        <w:rPr>
          <w:rFonts w:ascii="Times New Roman" w:eastAsia="宋体" w:hAnsi="Times New Roman" w:cs="宋体" w:hint="eastAsia"/>
          <w:color w:val="auto"/>
          <w:sz w:val="24"/>
          <w:szCs w:val="24"/>
          <w:lang w:eastAsia="zh-CN"/>
        </w:rPr>
        <w:t>，平均覆盖度为</w:t>
      </w:r>
      <w:r>
        <w:rPr>
          <w:rFonts w:ascii="Times New Roman" w:eastAsia="宋体" w:hAnsi="Times New Roman" w:cs="宋体" w:hint="eastAsia"/>
          <w:color w:val="auto"/>
          <w:sz w:val="24"/>
          <w:szCs w:val="24"/>
          <w:lang w:eastAsia="zh-CN"/>
        </w:rPr>
        <w:t>3.88%</w:t>
      </w:r>
      <w:r>
        <w:rPr>
          <w:rFonts w:ascii="Times New Roman" w:eastAsia="宋体" w:hAnsi="Times New Roman" w:cs="宋体" w:hint="eastAsia"/>
          <w:color w:val="auto"/>
          <w:sz w:val="24"/>
          <w:szCs w:val="24"/>
          <w:lang w:eastAsia="zh-CN"/>
        </w:rPr>
        <w:t>。最高覆盖度的站位为</w:t>
      </w:r>
      <w:r>
        <w:rPr>
          <w:rFonts w:ascii="Times New Roman" w:eastAsia="宋体" w:hAnsi="Times New Roman" w:cs="宋体" w:hint="eastAsia"/>
          <w:color w:val="auto"/>
          <w:sz w:val="24"/>
          <w:szCs w:val="24"/>
          <w:lang w:eastAsia="zh-CN"/>
        </w:rPr>
        <w:t>C6</w:t>
      </w:r>
      <w:r>
        <w:rPr>
          <w:rFonts w:ascii="Times New Roman" w:eastAsia="宋体" w:hAnsi="Times New Roman" w:cs="宋体" w:hint="eastAsia"/>
          <w:color w:val="auto"/>
          <w:sz w:val="24"/>
          <w:szCs w:val="24"/>
          <w:lang w:eastAsia="zh-CN"/>
        </w:rPr>
        <w:t>号站位，覆盖度为</w:t>
      </w:r>
      <w:r>
        <w:rPr>
          <w:rFonts w:ascii="Times New Roman" w:eastAsia="宋体" w:hAnsi="Times New Roman" w:cs="宋体" w:hint="eastAsia"/>
          <w:color w:val="auto"/>
          <w:sz w:val="24"/>
          <w:szCs w:val="24"/>
          <w:lang w:eastAsia="zh-CN"/>
        </w:rPr>
        <w:t>17.20%</w:t>
      </w:r>
      <w:r>
        <w:rPr>
          <w:rFonts w:ascii="Times New Roman" w:eastAsia="宋体" w:hAnsi="Times New Roman" w:cs="宋体" w:hint="eastAsia"/>
          <w:color w:val="auto"/>
          <w:sz w:val="24"/>
          <w:szCs w:val="24"/>
          <w:lang w:eastAsia="zh-CN"/>
        </w:rPr>
        <w:t>。最低覆盖度的站位分别为</w:t>
      </w:r>
      <w:r>
        <w:rPr>
          <w:rFonts w:ascii="Times New Roman" w:eastAsia="宋体" w:hAnsi="Times New Roman" w:cs="宋体" w:hint="eastAsia"/>
          <w:color w:val="auto"/>
          <w:sz w:val="24"/>
          <w:szCs w:val="24"/>
          <w:lang w:eastAsia="zh-CN"/>
        </w:rPr>
        <w:t>C5</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C7</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C8</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C17</w:t>
      </w:r>
      <w:r>
        <w:rPr>
          <w:rFonts w:ascii="Times New Roman" w:eastAsia="宋体" w:hAnsi="Times New Roman" w:cs="宋体" w:hint="eastAsia"/>
          <w:color w:val="auto"/>
          <w:sz w:val="24"/>
          <w:szCs w:val="24"/>
          <w:lang w:eastAsia="zh-CN"/>
        </w:rPr>
        <w:t>号和</w:t>
      </w:r>
      <w:r>
        <w:rPr>
          <w:rFonts w:ascii="Times New Roman" w:eastAsia="宋体" w:hAnsi="Times New Roman" w:cs="宋体" w:hint="eastAsia"/>
          <w:color w:val="auto"/>
          <w:sz w:val="24"/>
          <w:szCs w:val="24"/>
          <w:lang w:eastAsia="zh-CN"/>
        </w:rPr>
        <w:t>C18</w:t>
      </w:r>
      <w:r>
        <w:rPr>
          <w:rFonts w:ascii="Times New Roman" w:eastAsia="宋体" w:hAnsi="Times New Roman" w:cs="宋体" w:hint="eastAsia"/>
          <w:color w:val="auto"/>
          <w:sz w:val="24"/>
          <w:szCs w:val="24"/>
          <w:lang w:eastAsia="zh-CN"/>
        </w:rPr>
        <w:t>号站位，均未发现有大型藻类覆盖，覆盖度均为</w:t>
      </w:r>
      <w:r>
        <w:rPr>
          <w:rFonts w:ascii="Times New Roman" w:eastAsia="宋体" w:hAnsi="Times New Roman" w:cs="宋体" w:hint="eastAsia"/>
          <w:color w:val="auto"/>
          <w:sz w:val="24"/>
          <w:szCs w:val="24"/>
          <w:lang w:eastAsia="zh-CN"/>
        </w:rPr>
        <w:t>0.00%</w:t>
      </w:r>
      <w:r>
        <w:rPr>
          <w:rFonts w:ascii="Times New Roman" w:eastAsia="宋体" w:hAnsi="Times New Roman" w:cs="宋体" w:hint="eastAsia"/>
          <w:color w:val="auto"/>
          <w:sz w:val="24"/>
          <w:szCs w:val="24"/>
          <w:lang w:eastAsia="zh-CN"/>
        </w:rPr>
        <w:t>。</w:t>
      </w:r>
    </w:p>
    <w:p w14:paraId="0C43262D"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8</w:t>
      </w:r>
      <w:r>
        <w:rPr>
          <w:rFonts w:ascii="Times New Roman" w:eastAsia="宋体" w:hAnsi="Times New Roman" w:cs="宋体" w:hint="eastAsia"/>
          <w:b/>
          <w:bCs/>
          <w:color w:val="auto"/>
          <w:sz w:val="24"/>
          <w:szCs w:val="24"/>
          <w:lang w:eastAsia="zh-CN"/>
        </w:rPr>
        <w:t>）大型底栖生物</w:t>
      </w:r>
    </w:p>
    <w:p w14:paraId="071C3DF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通过实地摄像调查、记录和照片拍摄（定性），本次调查共记录鉴定大型底栖</w:t>
      </w:r>
      <w:r>
        <w:rPr>
          <w:rFonts w:ascii="Times New Roman" w:eastAsia="宋体" w:hAnsi="Times New Roman" w:cs="宋体" w:hint="eastAsia"/>
          <w:color w:val="auto"/>
          <w:sz w:val="24"/>
          <w:szCs w:val="24"/>
          <w:lang w:eastAsia="zh-CN"/>
        </w:rPr>
        <w:t>33</w:t>
      </w:r>
      <w:r>
        <w:rPr>
          <w:rFonts w:ascii="Times New Roman" w:eastAsia="宋体" w:hAnsi="Times New Roman" w:cs="宋体" w:hint="eastAsia"/>
          <w:color w:val="auto"/>
          <w:sz w:val="24"/>
          <w:szCs w:val="24"/>
          <w:lang w:eastAsia="zh-CN"/>
        </w:rPr>
        <w:t>种。本次调查种类分别为砗磲、大旋鳃虫、单鳃海星、多孔螅、冠刺棘海胆、光缨鳃虫、桂皮群海葵、海齿花、海绵、核果螺、黑海参、红腹海参、虎斑宝贝、环刺棘海胆、环纹货贝、娇嫩多</w:t>
      </w:r>
      <w:r>
        <w:rPr>
          <w:rFonts w:ascii="Times New Roman" w:eastAsia="宋体" w:hAnsi="Times New Roman" w:cs="宋体" w:hint="eastAsia"/>
          <w:color w:val="auto"/>
          <w:sz w:val="24"/>
          <w:szCs w:val="24"/>
          <w:lang w:eastAsia="zh-CN"/>
        </w:rPr>
        <w:t>孔螅、焦棘螺、巨大无壳侧鳃、喇叭毒棘海胆、蓝环冠海胆、蓝指海星、绿刺参、马蹄螺、面包海星、蛇首眼球贝、石笔海胆、四色篷锥海葵、许氏大羽花、枣红眼球贝、长海胆、指海星、栉羽星和紫点双辐海葵等种类，详见附图</w:t>
      </w:r>
      <w:r>
        <w:rPr>
          <w:rFonts w:ascii="Times New Roman" w:eastAsia="宋体" w:hAnsi="Times New Roman" w:cs="宋体" w:hint="eastAsia"/>
          <w:color w:val="auto"/>
          <w:sz w:val="24"/>
          <w:szCs w:val="24"/>
          <w:lang w:eastAsia="zh-CN"/>
        </w:rPr>
        <w:t>12</w:t>
      </w:r>
      <w:r>
        <w:rPr>
          <w:rFonts w:ascii="Times New Roman" w:eastAsia="宋体" w:hAnsi="Times New Roman" w:cs="宋体" w:hint="eastAsia"/>
          <w:color w:val="auto"/>
          <w:sz w:val="24"/>
          <w:szCs w:val="24"/>
          <w:lang w:eastAsia="zh-CN"/>
        </w:rPr>
        <w:t>。</w:t>
      </w:r>
    </w:p>
    <w:p w14:paraId="6181768E"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9</w:t>
      </w:r>
      <w:r>
        <w:rPr>
          <w:rFonts w:ascii="Times New Roman" w:eastAsia="宋体" w:hAnsi="Times New Roman" w:cs="宋体" w:hint="eastAsia"/>
          <w:b/>
          <w:bCs/>
          <w:color w:val="auto"/>
          <w:sz w:val="24"/>
          <w:szCs w:val="24"/>
          <w:lang w:eastAsia="zh-CN"/>
        </w:rPr>
        <w:t>）后海湾附近海域的珊瑚死亡及敌害情况</w:t>
      </w:r>
    </w:p>
    <w:p w14:paraId="3EAE1947"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用截线样条法调查（定量）后海湾附近海域的珊瑚礁资源调查</w:t>
      </w:r>
      <w:r>
        <w:rPr>
          <w:rFonts w:ascii="Times New Roman" w:eastAsia="宋体" w:hAnsi="Times New Roman" w:cs="宋体" w:hint="eastAsia"/>
          <w:color w:val="auto"/>
          <w:sz w:val="24"/>
          <w:szCs w:val="24"/>
          <w:lang w:eastAsia="zh-CN"/>
        </w:rPr>
        <w:t>C14</w:t>
      </w:r>
      <w:r>
        <w:rPr>
          <w:rFonts w:ascii="Times New Roman" w:eastAsia="宋体" w:hAnsi="Times New Roman" w:cs="宋体" w:hint="eastAsia"/>
          <w:color w:val="auto"/>
          <w:sz w:val="24"/>
          <w:szCs w:val="24"/>
          <w:lang w:eastAsia="zh-CN"/>
        </w:rPr>
        <w:t>号站位发现少量珊瑚死亡情况。平均珊瑚死亡率为</w:t>
      </w:r>
      <w:r>
        <w:rPr>
          <w:rFonts w:ascii="Times New Roman" w:eastAsia="宋体" w:hAnsi="Times New Roman" w:cs="宋体" w:hint="eastAsia"/>
          <w:color w:val="auto"/>
          <w:sz w:val="24"/>
          <w:szCs w:val="24"/>
          <w:lang w:eastAsia="zh-CN"/>
        </w:rPr>
        <w:t>0.01%</w:t>
      </w:r>
      <w:r>
        <w:rPr>
          <w:rFonts w:ascii="Times New Roman" w:eastAsia="宋体" w:hAnsi="Times New Roman" w:cs="宋体" w:hint="eastAsia"/>
          <w:color w:val="auto"/>
          <w:sz w:val="24"/>
          <w:szCs w:val="24"/>
          <w:lang w:eastAsia="zh-CN"/>
        </w:rPr>
        <w:t>。通过实地摄像调查、记录和照片拍摄采集（定性），在</w:t>
      </w:r>
      <w:r>
        <w:rPr>
          <w:rFonts w:ascii="Times New Roman" w:eastAsia="宋体" w:hAnsi="Times New Roman" w:cs="宋体" w:hint="eastAsia"/>
          <w:color w:val="auto"/>
          <w:sz w:val="24"/>
          <w:szCs w:val="24"/>
          <w:lang w:eastAsia="zh-CN"/>
        </w:rPr>
        <w:t>C1</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C4</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C10</w:t>
      </w:r>
      <w:r>
        <w:rPr>
          <w:rFonts w:ascii="Times New Roman" w:eastAsia="宋体" w:hAnsi="Times New Roman" w:cs="宋体" w:hint="eastAsia"/>
          <w:color w:val="auto"/>
          <w:sz w:val="24"/>
          <w:szCs w:val="24"/>
          <w:lang w:eastAsia="zh-CN"/>
        </w:rPr>
        <w:t>号和</w:t>
      </w:r>
      <w:r>
        <w:rPr>
          <w:rFonts w:ascii="Times New Roman" w:eastAsia="宋体" w:hAnsi="Times New Roman" w:cs="宋体" w:hint="eastAsia"/>
          <w:color w:val="auto"/>
          <w:sz w:val="24"/>
          <w:szCs w:val="24"/>
          <w:lang w:eastAsia="zh-CN"/>
        </w:rPr>
        <w:t>C14</w:t>
      </w:r>
      <w:r>
        <w:rPr>
          <w:rFonts w:ascii="Times New Roman" w:eastAsia="宋体" w:hAnsi="Times New Roman" w:cs="宋体" w:hint="eastAsia"/>
          <w:color w:val="auto"/>
          <w:sz w:val="24"/>
          <w:szCs w:val="24"/>
          <w:lang w:eastAsia="zh-CN"/>
        </w:rPr>
        <w:t>站位发现少量白化现象，详见附图</w:t>
      </w:r>
      <w:r>
        <w:rPr>
          <w:rFonts w:ascii="Times New Roman" w:eastAsia="宋体" w:hAnsi="Times New Roman" w:cs="宋体" w:hint="eastAsia"/>
          <w:color w:val="auto"/>
          <w:sz w:val="24"/>
          <w:szCs w:val="24"/>
          <w:lang w:eastAsia="zh-CN"/>
        </w:rPr>
        <w:t>13</w:t>
      </w:r>
      <w:r>
        <w:rPr>
          <w:rFonts w:ascii="Times New Roman" w:eastAsia="宋体" w:hAnsi="Times New Roman" w:cs="宋体" w:hint="eastAsia"/>
          <w:color w:val="auto"/>
          <w:sz w:val="24"/>
          <w:szCs w:val="24"/>
          <w:lang w:eastAsia="zh-CN"/>
        </w:rPr>
        <w:t>。本次调查未发现长棘海星，</w:t>
      </w:r>
      <w:r>
        <w:rPr>
          <w:rFonts w:ascii="Times New Roman" w:eastAsia="宋体" w:hAnsi="Times New Roman" w:cs="宋体" w:hint="eastAsia"/>
          <w:color w:val="auto"/>
          <w:sz w:val="24"/>
          <w:szCs w:val="24"/>
          <w:lang w:eastAsia="zh-CN"/>
        </w:rPr>
        <w:t>C2</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C11</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C12</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C13</w:t>
      </w:r>
      <w:r>
        <w:rPr>
          <w:rFonts w:ascii="Times New Roman" w:eastAsia="宋体" w:hAnsi="Times New Roman" w:cs="宋体" w:hint="eastAsia"/>
          <w:color w:val="auto"/>
          <w:sz w:val="24"/>
          <w:szCs w:val="24"/>
          <w:lang w:eastAsia="zh-CN"/>
        </w:rPr>
        <w:t>号和</w:t>
      </w:r>
      <w:r>
        <w:rPr>
          <w:rFonts w:ascii="Times New Roman" w:eastAsia="宋体" w:hAnsi="Times New Roman" w:cs="宋体" w:hint="eastAsia"/>
          <w:color w:val="auto"/>
          <w:sz w:val="24"/>
          <w:szCs w:val="24"/>
          <w:lang w:eastAsia="zh-CN"/>
        </w:rPr>
        <w:t>C14</w:t>
      </w:r>
      <w:r>
        <w:rPr>
          <w:rFonts w:ascii="Times New Roman" w:eastAsia="宋体" w:hAnsi="Times New Roman" w:cs="宋体" w:hint="eastAsia"/>
          <w:color w:val="auto"/>
          <w:sz w:val="24"/>
          <w:szCs w:val="24"/>
          <w:lang w:eastAsia="zh-CN"/>
        </w:rPr>
        <w:t>号站位发现核果螺，其中</w:t>
      </w:r>
      <w:r>
        <w:rPr>
          <w:rFonts w:ascii="Times New Roman" w:eastAsia="宋体" w:hAnsi="Times New Roman" w:cs="宋体" w:hint="eastAsia"/>
          <w:color w:val="auto"/>
          <w:sz w:val="24"/>
          <w:szCs w:val="24"/>
          <w:lang w:eastAsia="zh-CN"/>
        </w:rPr>
        <w:t>C2</w:t>
      </w:r>
      <w:r>
        <w:rPr>
          <w:rFonts w:ascii="Times New Roman" w:eastAsia="宋体" w:hAnsi="Times New Roman" w:cs="宋体" w:hint="eastAsia"/>
          <w:color w:val="auto"/>
          <w:sz w:val="24"/>
          <w:szCs w:val="24"/>
          <w:lang w:eastAsia="zh-CN"/>
        </w:rPr>
        <w:t>号和</w:t>
      </w:r>
      <w:r>
        <w:rPr>
          <w:rFonts w:ascii="Times New Roman" w:eastAsia="宋体" w:hAnsi="Times New Roman" w:cs="宋体" w:hint="eastAsia"/>
          <w:color w:val="auto"/>
          <w:sz w:val="24"/>
          <w:szCs w:val="24"/>
          <w:lang w:eastAsia="zh-CN"/>
        </w:rPr>
        <w:t>C12</w:t>
      </w:r>
      <w:r>
        <w:rPr>
          <w:rFonts w:ascii="Times New Roman" w:eastAsia="宋体" w:hAnsi="Times New Roman" w:cs="宋体" w:hint="eastAsia"/>
          <w:color w:val="auto"/>
          <w:sz w:val="24"/>
          <w:szCs w:val="24"/>
          <w:lang w:eastAsia="zh-CN"/>
        </w:rPr>
        <w:t>号站位较多，详见附图</w:t>
      </w:r>
      <w:r>
        <w:rPr>
          <w:rFonts w:ascii="Times New Roman" w:eastAsia="宋体" w:hAnsi="Times New Roman" w:cs="宋体" w:hint="eastAsia"/>
          <w:color w:val="auto"/>
          <w:sz w:val="24"/>
          <w:szCs w:val="24"/>
          <w:lang w:eastAsia="zh-CN"/>
        </w:rPr>
        <w:t>14</w:t>
      </w:r>
      <w:r>
        <w:rPr>
          <w:rFonts w:ascii="Times New Roman" w:eastAsia="宋体" w:hAnsi="Times New Roman" w:cs="宋体" w:hint="eastAsia"/>
          <w:color w:val="auto"/>
          <w:sz w:val="24"/>
          <w:szCs w:val="24"/>
          <w:lang w:eastAsia="zh-CN"/>
        </w:rPr>
        <w:t>。</w:t>
      </w:r>
    </w:p>
    <w:p w14:paraId="380C7DA7"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lastRenderedPageBreak/>
        <w:t>（</w:t>
      </w:r>
      <w:r>
        <w:rPr>
          <w:rFonts w:ascii="Times New Roman" w:eastAsia="宋体" w:hAnsi="Times New Roman" w:cs="宋体" w:hint="eastAsia"/>
          <w:b/>
          <w:bCs/>
          <w:color w:val="auto"/>
          <w:sz w:val="24"/>
          <w:szCs w:val="24"/>
          <w:lang w:eastAsia="zh-CN"/>
        </w:rPr>
        <w:t>10</w:t>
      </w:r>
      <w:r>
        <w:rPr>
          <w:rFonts w:ascii="Times New Roman" w:eastAsia="宋体" w:hAnsi="Times New Roman" w:cs="宋体" w:hint="eastAsia"/>
          <w:b/>
          <w:bCs/>
          <w:color w:val="auto"/>
          <w:sz w:val="24"/>
          <w:szCs w:val="24"/>
          <w:lang w:eastAsia="zh-CN"/>
        </w:rPr>
        <w:t>）珊瑚礁鱼类</w:t>
      </w:r>
    </w:p>
    <w:p w14:paraId="523D46BC"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通过实地摄像调查、记录和照片拍摄采集（定性），本次调查共记录鉴定珊瑚礁鱼类</w:t>
      </w:r>
      <w:r>
        <w:rPr>
          <w:rFonts w:ascii="Times New Roman" w:eastAsia="宋体" w:hAnsi="Times New Roman" w:cs="宋体" w:hint="eastAsia"/>
          <w:color w:val="auto"/>
          <w:sz w:val="24"/>
          <w:szCs w:val="24"/>
          <w:lang w:eastAsia="zh-CN"/>
        </w:rPr>
        <w:t>15</w:t>
      </w:r>
      <w:r>
        <w:rPr>
          <w:rFonts w:ascii="Times New Roman" w:eastAsia="宋体" w:hAnsi="Times New Roman" w:cs="宋体" w:hint="eastAsia"/>
          <w:color w:val="auto"/>
          <w:sz w:val="24"/>
          <w:szCs w:val="24"/>
          <w:lang w:eastAsia="zh-CN"/>
        </w:rPr>
        <w:t>种，种类分别为白条双锯鱼、叉纹蝴蝶鱼、褐篮子鱼、横带扁背鲀、红鳍赤鲉、花斑短鳍蓑鲉、黄蝴蝶鱼、颈环双锯鱼、克氏双锯鱼、丽鳍天竺鲷、裂唇鱼、六带豆娘鱼、三点白、网纹宅泥鱼和纹腹叉鼻鲀等，详见附图</w:t>
      </w:r>
      <w:r>
        <w:rPr>
          <w:rFonts w:ascii="Times New Roman" w:eastAsia="宋体" w:hAnsi="Times New Roman" w:cs="宋体" w:hint="eastAsia"/>
          <w:color w:val="auto"/>
          <w:sz w:val="24"/>
          <w:szCs w:val="24"/>
          <w:lang w:eastAsia="zh-CN"/>
        </w:rPr>
        <w:t>15</w:t>
      </w:r>
      <w:r>
        <w:rPr>
          <w:rFonts w:ascii="Times New Roman" w:eastAsia="宋体" w:hAnsi="Times New Roman" w:cs="宋体" w:hint="eastAsia"/>
          <w:color w:val="auto"/>
          <w:sz w:val="24"/>
          <w:szCs w:val="24"/>
          <w:lang w:eastAsia="zh-CN"/>
        </w:rPr>
        <w:t>。</w:t>
      </w:r>
    </w:p>
    <w:p w14:paraId="13CF76B0"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B.2023</w:t>
      </w:r>
      <w:r>
        <w:rPr>
          <w:rFonts w:ascii="Times New Roman" w:eastAsia="宋体" w:hAnsi="Times New Roman" w:cs="宋体" w:hint="eastAsia"/>
          <w:b/>
          <w:bCs/>
          <w:color w:val="auto"/>
          <w:sz w:val="24"/>
          <w:szCs w:val="24"/>
          <w:lang w:eastAsia="zh-CN"/>
        </w:rPr>
        <w:t>年</w:t>
      </w:r>
      <w:r>
        <w:rPr>
          <w:rFonts w:ascii="Times New Roman" w:eastAsia="宋体" w:hAnsi="Times New Roman" w:cs="宋体" w:hint="eastAsia"/>
          <w:b/>
          <w:bCs/>
          <w:color w:val="auto"/>
          <w:sz w:val="24"/>
          <w:szCs w:val="24"/>
          <w:lang w:eastAsia="zh-CN"/>
        </w:rPr>
        <w:t>7</w:t>
      </w:r>
      <w:r>
        <w:rPr>
          <w:rFonts w:ascii="Times New Roman" w:eastAsia="宋体" w:hAnsi="Times New Roman" w:cs="宋体" w:hint="eastAsia"/>
          <w:b/>
          <w:bCs/>
          <w:color w:val="auto"/>
          <w:sz w:val="24"/>
          <w:szCs w:val="24"/>
          <w:lang w:eastAsia="zh-CN"/>
        </w:rPr>
        <w:t>月蜈支洲岛珊瑚礁调查</w:t>
      </w:r>
    </w:p>
    <w:p w14:paraId="1908EFFE"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1.</w:t>
      </w:r>
      <w:r>
        <w:rPr>
          <w:rFonts w:ascii="Times New Roman" w:eastAsia="宋体" w:hAnsi="Times New Roman" w:cs="宋体" w:hint="eastAsia"/>
          <w:b/>
          <w:bCs/>
          <w:color w:val="auto"/>
          <w:sz w:val="24"/>
          <w:szCs w:val="24"/>
          <w:lang w:eastAsia="zh-CN"/>
        </w:rPr>
        <w:t>珊瑚种类</w:t>
      </w:r>
    </w:p>
    <w:p w14:paraId="06EBA3A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蜈支洲岛周边海域共计调查到造礁石珊瑚</w:t>
      </w:r>
      <w:r>
        <w:rPr>
          <w:rFonts w:ascii="Times New Roman" w:eastAsia="宋体" w:hAnsi="Times New Roman" w:cs="宋体" w:hint="eastAsia"/>
          <w:color w:val="auto"/>
          <w:sz w:val="24"/>
          <w:szCs w:val="24"/>
          <w:lang w:eastAsia="zh-CN"/>
        </w:rPr>
        <w:t>14</w:t>
      </w:r>
      <w:r>
        <w:rPr>
          <w:rFonts w:ascii="Times New Roman" w:eastAsia="宋体" w:hAnsi="Times New Roman" w:cs="宋体" w:hint="eastAsia"/>
          <w:color w:val="auto"/>
          <w:sz w:val="24"/>
          <w:szCs w:val="24"/>
          <w:lang w:eastAsia="zh-CN"/>
        </w:rPr>
        <w:t>科</w:t>
      </w:r>
      <w:r>
        <w:rPr>
          <w:rFonts w:ascii="Times New Roman" w:eastAsia="宋体" w:hAnsi="Times New Roman" w:cs="宋体" w:hint="eastAsia"/>
          <w:color w:val="auto"/>
          <w:sz w:val="24"/>
          <w:szCs w:val="24"/>
          <w:lang w:eastAsia="zh-CN"/>
        </w:rPr>
        <w:t>36</w:t>
      </w:r>
      <w:r>
        <w:rPr>
          <w:rFonts w:ascii="Times New Roman" w:eastAsia="宋体" w:hAnsi="Times New Roman" w:cs="宋体" w:hint="eastAsia"/>
          <w:color w:val="auto"/>
          <w:sz w:val="24"/>
          <w:szCs w:val="24"/>
          <w:lang w:eastAsia="zh-CN"/>
        </w:rPr>
        <w:t>属</w:t>
      </w:r>
      <w:r>
        <w:rPr>
          <w:rFonts w:ascii="Times New Roman" w:eastAsia="宋体" w:hAnsi="Times New Roman" w:cs="宋体" w:hint="eastAsia"/>
          <w:color w:val="auto"/>
          <w:sz w:val="24"/>
          <w:szCs w:val="24"/>
          <w:lang w:eastAsia="zh-CN"/>
        </w:rPr>
        <w:t>115</w:t>
      </w:r>
      <w:r>
        <w:rPr>
          <w:rFonts w:ascii="Times New Roman" w:eastAsia="宋体" w:hAnsi="Times New Roman" w:cs="宋体" w:hint="eastAsia"/>
          <w:color w:val="auto"/>
          <w:sz w:val="24"/>
          <w:szCs w:val="24"/>
          <w:lang w:eastAsia="zh-CN"/>
        </w:rPr>
        <w:t>种（</w:t>
      </w:r>
      <w:r>
        <w:rPr>
          <w:rFonts w:ascii="Times New Roman" w:eastAsia="宋体" w:hAnsi="Times New Roman" w:cs="宋体" w:hint="eastAsia"/>
          <w:color w:val="auto"/>
          <w:sz w:val="24"/>
          <w:szCs w:val="24"/>
          <w:lang w:eastAsia="zh-CN"/>
        </w:rPr>
        <w:t>种类名录详见附表</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），其中以鹿角珊瑚属的种类最多，有</w:t>
      </w:r>
      <w:r>
        <w:rPr>
          <w:rFonts w:ascii="Times New Roman" w:eastAsia="宋体" w:hAnsi="Times New Roman" w:cs="宋体" w:hint="eastAsia"/>
          <w:color w:val="auto"/>
          <w:sz w:val="24"/>
          <w:szCs w:val="24"/>
          <w:lang w:eastAsia="zh-CN"/>
        </w:rPr>
        <w:t>19</w:t>
      </w:r>
      <w:r>
        <w:rPr>
          <w:rFonts w:ascii="Times New Roman" w:eastAsia="宋体" w:hAnsi="Times New Roman" w:cs="宋体" w:hint="eastAsia"/>
          <w:color w:val="auto"/>
          <w:sz w:val="24"/>
          <w:szCs w:val="24"/>
          <w:lang w:eastAsia="zh-CN"/>
        </w:rPr>
        <w:t>种，其次是蔷薇珊瑚属和角蜂巢珊瑚属，各有</w:t>
      </w:r>
      <w:r>
        <w:rPr>
          <w:rFonts w:ascii="Times New Roman" w:eastAsia="宋体" w:hAnsi="Times New Roman" w:cs="宋体" w:hint="eastAsia"/>
          <w:color w:val="auto"/>
          <w:sz w:val="24"/>
          <w:szCs w:val="24"/>
          <w:lang w:eastAsia="zh-CN"/>
        </w:rPr>
        <w:t>11</w:t>
      </w:r>
      <w:r>
        <w:rPr>
          <w:rFonts w:ascii="Times New Roman" w:eastAsia="宋体" w:hAnsi="Times New Roman" w:cs="宋体" w:hint="eastAsia"/>
          <w:color w:val="auto"/>
          <w:sz w:val="24"/>
          <w:szCs w:val="24"/>
          <w:lang w:eastAsia="zh-CN"/>
        </w:rPr>
        <w:t>种。蜈支洲岛北侧区域以细柱滨珊瑚（</w:t>
      </w:r>
      <w:r>
        <w:rPr>
          <w:rFonts w:ascii="Times New Roman" w:eastAsia="宋体" w:hAnsi="Times New Roman" w:cs="宋体" w:hint="eastAsia"/>
          <w:i/>
          <w:iCs/>
          <w:color w:val="auto"/>
          <w:sz w:val="24"/>
          <w:szCs w:val="24"/>
          <w:lang w:eastAsia="zh-CN"/>
        </w:rPr>
        <w:t>Porites cylindrica</w:t>
      </w:r>
      <w:r>
        <w:rPr>
          <w:rFonts w:ascii="Times New Roman" w:eastAsia="宋体" w:hAnsi="Times New Roman" w:cs="宋体" w:hint="eastAsia"/>
          <w:color w:val="auto"/>
          <w:sz w:val="24"/>
          <w:szCs w:val="24"/>
          <w:lang w:eastAsia="zh-CN"/>
        </w:rPr>
        <w:t>）和指状蔷薇珊瑚（</w:t>
      </w:r>
      <w:r>
        <w:rPr>
          <w:rFonts w:ascii="Times New Roman" w:eastAsia="宋体" w:hAnsi="Times New Roman" w:cs="宋体" w:hint="eastAsia"/>
          <w:i/>
          <w:iCs/>
          <w:color w:val="auto"/>
          <w:sz w:val="24"/>
          <w:szCs w:val="24"/>
          <w:lang w:eastAsia="zh-CN"/>
        </w:rPr>
        <w:t>Montipora digitata</w:t>
      </w:r>
      <w:r>
        <w:rPr>
          <w:rFonts w:ascii="Times New Roman" w:eastAsia="宋体" w:hAnsi="Times New Roman" w:cs="宋体" w:hint="eastAsia"/>
          <w:color w:val="auto"/>
          <w:sz w:val="24"/>
          <w:szCs w:val="24"/>
          <w:lang w:eastAsia="zh-CN"/>
        </w:rPr>
        <w:t>）为主要优势种，南侧区域优势种类以鹿角珊瑚属（</w:t>
      </w:r>
      <w:r>
        <w:rPr>
          <w:rFonts w:ascii="Times New Roman" w:eastAsia="宋体" w:hAnsi="Times New Roman" w:cs="宋体" w:hint="eastAsia"/>
          <w:i/>
          <w:iCs/>
          <w:color w:val="auto"/>
          <w:sz w:val="24"/>
          <w:szCs w:val="24"/>
          <w:lang w:eastAsia="zh-CN"/>
        </w:rPr>
        <w:t>Acropora</w:t>
      </w:r>
      <w:r>
        <w:rPr>
          <w:rFonts w:ascii="Times New Roman" w:eastAsia="宋体" w:hAnsi="Times New Roman" w:cs="宋体" w:hint="eastAsia"/>
          <w:color w:val="auto"/>
          <w:sz w:val="24"/>
          <w:szCs w:val="24"/>
          <w:lang w:eastAsia="zh-CN"/>
        </w:rPr>
        <w:t>）、蔷薇珊瑚属（</w:t>
      </w:r>
      <w:r>
        <w:rPr>
          <w:rFonts w:ascii="Times New Roman" w:eastAsia="宋体" w:hAnsi="Times New Roman" w:cs="宋体" w:hint="eastAsia"/>
          <w:i/>
          <w:iCs/>
          <w:color w:val="auto"/>
          <w:sz w:val="24"/>
          <w:szCs w:val="24"/>
          <w:lang w:eastAsia="zh-CN"/>
        </w:rPr>
        <w:t>Montipora</w:t>
      </w:r>
      <w:r>
        <w:rPr>
          <w:rFonts w:ascii="Times New Roman" w:eastAsia="宋体" w:hAnsi="Times New Roman" w:cs="宋体" w:hint="eastAsia"/>
          <w:color w:val="auto"/>
          <w:sz w:val="24"/>
          <w:szCs w:val="24"/>
          <w:lang w:eastAsia="zh-CN"/>
        </w:rPr>
        <w:t>）和盔形珊瑚属（</w:t>
      </w:r>
      <w:r>
        <w:rPr>
          <w:rFonts w:ascii="Times New Roman" w:eastAsia="宋体" w:hAnsi="Times New Roman" w:cs="宋体" w:hint="eastAsia"/>
          <w:i/>
          <w:iCs/>
          <w:color w:val="auto"/>
          <w:sz w:val="24"/>
          <w:szCs w:val="24"/>
          <w:lang w:eastAsia="zh-CN"/>
        </w:rPr>
        <w:t>Galaxea</w:t>
      </w:r>
      <w:r>
        <w:rPr>
          <w:rFonts w:ascii="Times New Roman" w:eastAsia="宋体" w:hAnsi="Times New Roman" w:cs="宋体" w:hint="eastAsia"/>
          <w:color w:val="auto"/>
          <w:sz w:val="24"/>
          <w:szCs w:val="24"/>
          <w:lang w:eastAsia="zh-CN"/>
        </w:rPr>
        <w:t>）的珊瑚种类为主。</w:t>
      </w:r>
    </w:p>
    <w:p w14:paraId="18F17F2E" w14:textId="77777777" w:rsidR="0075791A" w:rsidRDefault="00FB2864">
      <w:pPr>
        <w:numPr>
          <w:ilvl w:val="0"/>
          <w:numId w:val="4"/>
        </w:num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珊瑚分布状况</w:t>
      </w:r>
    </w:p>
    <w:p w14:paraId="03A8CED2"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环蜈支洲岛的周边海域均有珊瑚分布且覆盖率较高，各调查站位的造礁石珊瑚覆盖率在</w:t>
      </w:r>
      <w:r>
        <w:rPr>
          <w:rFonts w:ascii="Times New Roman" w:eastAsia="宋体" w:hAnsi="Times New Roman" w:cs="宋体" w:hint="eastAsia"/>
          <w:color w:val="auto"/>
          <w:sz w:val="24"/>
          <w:szCs w:val="24"/>
          <w:lang w:eastAsia="zh-CN"/>
        </w:rPr>
        <w:t>19.50%~52.17%</w:t>
      </w:r>
      <w:r>
        <w:rPr>
          <w:rFonts w:ascii="Times New Roman" w:eastAsia="宋体" w:hAnsi="Times New Roman" w:cs="宋体" w:hint="eastAsia"/>
          <w:color w:val="auto"/>
          <w:sz w:val="24"/>
          <w:szCs w:val="24"/>
          <w:lang w:eastAsia="zh-CN"/>
        </w:rPr>
        <w:t>之间，平均为</w:t>
      </w:r>
      <w:r>
        <w:rPr>
          <w:rFonts w:ascii="Times New Roman" w:eastAsia="宋体" w:hAnsi="Times New Roman" w:cs="宋体" w:hint="eastAsia"/>
          <w:color w:val="auto"/>
          <w:sz w:val="24"/>
          <w:szCs w:val="24"/>
          <w:lang w:eastAsia="zh-CN"/>
        </w:rPr>
        <w:t>28.72%</w:t>
      </w:r>
      <w:r>
        <w:rPr>
          <w:rFonts w:ascii="Times New Roman" w:eastAsia="宋体" w:hAnsi="Times New Roman" w:cs="宋体" w:hint="eastAsia"/>
          <w:color w:val="auto"/>
          <w:sz w:val="24"/>
          <w:szCs w:val="24"/>
          <w:lang w:eastAsia="zh-CN"/>
        </w:rPr>
        <w:t>；软珊瑚覆盖率在</w:t>
      </w:r>
      <w:r>
        <w:rPr>
          <w:rFonts w:ascii="Times New Roman" w:eastAsia="宋体" w:hAnsi="Times New Roman" w:cs="宋体" w:hint="eastAsia"/>
          <w:color w:val="auto"/>
          <w:sz w:val="24"/>
          <w:szCs w:val="24"/>
          <w:lang w:eastAsia="zh-CN"/>
        </w:rPr>
        <w:t>0~21.67%</w:t>
      </w:r>
      <w:r>
        <w:rPr>
          <w:rFonts w:ascii="Times New Roman" w:eastAsia="宋体" w:hAnsi="Times New Roman" w:cs="宋体" w:hint="eastAsia"/>
          <w:color w:val="auto"/>
          <w:sz w:val="24"/>
          <w:szCs w:val="24"/>
          <w:lang w:eastAsia="zh-CN"/>
        </w:rPr>
        <w:t>之间，平均为</w:t>
      </w:r>
      <w:r>
        <w:rPr>
          <w:rFonts w:ascii="Times New Roman" w:eastAsia="宋体" w:hAnsi="Times New Roman" w:cs="宋体" w:hint="eastAsia"/>
          <w:color w:val="auto"/>
          <w:sz w:val="24"/>
          <w:szCs w:val="24"/>
          <w:lang w:eastAsia="zh-CN"/>
        </w:rPr>
        <w:t>8.14%</w:t>
      </w:r>
      <w:r>
        <w:rPr>
          <w:rFonts w:ascii="Times New Roman" w:eastAsia="宋体" w:hAnsi="Times New Roman" w:cs="宋体" w:hint="eastAsia"/>
          <w:color w:val="auto"/>
          <w:sz w:val="24"/>
          <w:szCs w:val="24"/>
          <w:lang w:eastAsia="zh-CN"/>
        </w:rPr>
        <w:t>。蜈支洲岛西南侧海域的造礁石珊瑚覆盖率相对较高，平均为</w:t>
      </w:r>
      <w:r>
        <w:rPr>
          <w:rFonts w:ascii="Times New Roman" w:eastAsia="宋体" w:hAnsi="Times New Roman" w:cs="宋体" w:hint="eastAsia"/>
          <w:color w:val="auto"/>
          <w:sz w:val="24"/>
          <w:szCs w:val="24"/>
          <w:lang w:eastAsia="zh-CN"/>
        </w:rPr>
        <w:t>32.90%</w:t>
      </w:r>
      <w:r>
        <w:rPr>
          <w:rFonts w:ascii="Times New Roman" w:eastAsia="宋体" w:hAnsi="Times New Roman" w:cs="宋体" w:hint="eastAsia"/>
          <w:color w:val="auto"/>
          <w:sz w:val="24"/>
          <w:szCs w:val="24"/>
          <w:lang w:eastAsia="zh-CN"/>
        </w:rPr>
        <w:t>，其中</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号站位覆盖率最高，为</w:t>
      </w:r>
      <w:r>
        <w:rPr>
          <w:rFonts w:ascii="Times New Roman" w:eastAsia="宋体" w:hAnsi="Times New Roman" w:cs="宋体" w:hint="eastAsia"/>
          <w:color w:val="auto"/>
          <w:sz w:val="24"/>
          <w:szCs w:val="24"/>
          <w:lang w:eastAsia="zh-CN"/>
        </w:rPr>
        <w:t>52.17%</w:t>
      </w:r>
      <w:r>
        <w:rPr>
          <w:rFonts w:ascii="Times New Roman" w:eastAsia="宋体" w:hAnsi="Times New Roman" w:cs="宋体" w:hint="eastAsia"/>
          <w:color w:val="auto"/>
          <w:sz w:val="24"/>
          <w:szCs w:val="24"/>
          <w:lang w:eastAsia="zh-CN"/>
        </w:rPr>
        <w:t>，北侧和东南侧海域的造礁石珊瑚覆盖率相对略低，平均为</w:t>
      </w:r>
      <w:r>
        <w:rPr>
          <w:rFonts w:ascii="Times New Roman" w:eastAsia="宋体" w:hAnsi="Times New Roman" w:cs="宋体" w:hint="eastAsia"/>
          <w:color w:val="auto"/>
          <w:sz w:val="24"/>
          <w:szCs w:val="24"/>
          <w:lang w:eastAsia="zh-CN"/>
        </w:rPr>
        <w:t>27.03%</w:t>
      </w:r>
      <w:r>
        <w:rPr>
          <w:rFonts w:ascii="Times New Roman" w:eastAsia="宋体" w:hAnsi="Times New Roman" w:cs="宋体" w:hint="eastAsia"/>
          <w:color w:val="auto"/>
          <w:sz w:val="24"/>
          <w:szCs w:val="24"/>
          <w:lang w:eastAsia="zh-CN"/>
        </w:rPr>
        <w:t>和</w:t>
      </w:r>
      <w:r>
        <w:rPr>
          <w:rFonts w:ascii="Times New Roman" w:eastAsia="宋体" w:hAnsi="Times New Roman" w:cs="宋体" w:hint="eastAsia"/>
          <w:color w:val="auto"/>
          <w:sz w:val="24"/>
          <w:szCs w:val="24"/>
          <w:lang w:eastAsia="zh-CN"/>
        </w:rPr>
        <w:t>26.65%</w:t>
      </w:r>
      <w:r>
        <w:rPr>
          <w:rFonts w:ascii="Times New Roman" w:eastAsia="宋体" w:hAnsi="Times New Roman" w:cs="宋体" w:hint="eastAsia"/>
          <w:color w:val="auto"/>
          <w:sz w:val="24"/>
          <w:szCs w:val="24"/>
          <w:lang w:eastAsia="zh-CN"/>
        </w:rPr>
        <w:t>，其中东北侧的</w:t>
      </w:r>
      <w:r>
        <w:rPr>
          <w:rFonts w:ascii="Times New Roman" w:eastAsia="宋体" w:hAnsi="Times New Roman" w:cs="宋体" w:hint="eastAsia"/>
          <w:color w:val="auto"/>
          <w:sz w:val="24"/>
          <w:szCs w:val="24"/>
          <w:lang w:eastAsia="zh-CN"/>
        </w:rPr>
        <w:t>8</w:t>
      </w:r>
      <w:r>
        <w:rPr>
          <w:rFonts w:ascii="Times New Roman" w:eastAsia="宋体" w:hAnsi="Times New Roman" w:cs="宋体" w:hint="eastAsia"/>
          <w:color w:val="auto"/>
          <w:sz w:val="24"/>
          <w:szCs w:val="24"/>
          <w:lang w:eastAsia="zh-CN"/>
        </w:rPr>
        <w:t>号站位覆盖率最低，为</w:t>
      </w:r>
      <w:r>
        <w:rPr>
          <w:rFonts w:ascii="Times New Roman" w:eastAsia="宋体" w:hAnsi="Times New Roman" w:cs="宋体" w:hint="eastAsia"/>
          <w:color w:val="auto"/>
          <w:sz w:val="24"/>
          <w:szCs w:val="24"/>
          <w:lang w:eastAsia="zh-CN"/>
        </w:rPr>
        <w:t>19.50%</w:t>
      </w:r>
      <w:r>
        <w:rPr>
          <w:rFonts w:ascii="Times New Roman" w:eastAsia="宋体" w:hAnsi="Times New Roman" w:cs="宋体" w:hint="eastAsia"/>
          <w:color w:val="auto"/>
          <w:sz w:val="24"/>
          <w:szCs w:val="24"/>
          <w:lang w:eastAsia="zh-CN"/>
        </w:rPr>
        <w:t>。软珊瑚覆盖率也以西南侧海域较高，平均为</w:t>
      </w:r>
      <w:r>
        <w:rPr>
          <w:rFonts w:ascii="Times New Roman" w:eastAsia="宋体" w:hAnsi="Times New Roman" w:cs="宋体" w:hint="eastAsia"/>
          <w:color w:val="auto"/>
          <w:sz w:val="24"/>
          <w:szCs w:val="24"/>
          <w:lang w:eastAsia="zh-CN"/>
        </w:rPr>
        <w:t>14.23%</w:t>
      </w:r>
      <w:r>
        <w:rPr>
          <w:rFonts w:ascii="Times New Roman" w:eastAsia="宋体" w:hAnsi="Times New Roman" w:cs="宋体" w:hint="eastAsia"/>
          <w:color w:val="auto"/>
          <w:sz w:val="24"/>
          <w:szCs w:val="24"/>
          <w:lang w:eastAsia="zh-CN"/>
        </w:rPr>
        <w:t>，东南侧海域次之，平均为</w:t>
      </w:r>
      <w:r>
        <w:rPr>
          <w:rFonts w:ascii="Times New Roman" w:eastAsia="宋体" w:hAnsi="Times New Roman" w:cs="宋体" w:hint="eastAsia"/>
          <w:color w:val="auto"/>
          <w:sz w:val="24"/>
          <w:szCs w:val="24"/>
          <w:lang w:eastAsia="zh-CN"/>
        </w:rPr>
        <w:t>11.56%</w:t>
      </w:r>
      <w:r>
        <w:rPr>
          <w:rFonts w:ascii="Times New Roman" w:eastAsia="宋体" w:hAnsi="Times New Roman" w:cs="宋体" w:hint="eastAsia"/>
          <w:color w:val="auto"/>
          <w:sz w:val="24"/>
          <w:szCs w:val="24"/>
          <w:lang w:eastAsia="zh-CN"/>
        </w:rPr>
        <w:t>，北侧海域的</w:t>
      </w:r>
      <w:r>
        <w:rPr>
          <w:rFonts w:ascii="Times New Roman" w:eastAsia="宋体" w:hAnsi="Times New Roman" w:cs="宋体" w:hint="eastAsia"/>
          <w:color w:val="auto"/>
          <w:sz w:val="24"/>
          <w:szCs w:val="24"/>
          <w:lang w:eastAsia="zh-CN"/>
        </w:rPr>
        <w:t>软珊瑚覆盖率最低，平均为</w:t>
      </w:r>
      <w:r>
        <w:rPr>
          <w:rFonts w:ascii="Times New Roman" w:eastAsia="宋体" w:hAnsi="Times New Roman" w:cs="宋体" w:hint="eastAsia"/>
          <w:color w:val="auto"/>
          <w:sz w:val="24"/>
          <w:szCs w:val="24"/>
          <w:lang w:eastAsia="zh-CN"/>
        </w:rPr>
        <w:t>0.53%</w:t>
      </w:r>
      <w:r>
        <w:rPr>
          <w:rFonts w:ascii="Times New Roman" w:eastAsia="宋体" w:hAnsi="Times New Roman" w:cs="宋体" w:hint="eastAsia"/>
          <w:color w:val="auto"/>
          <w:sz w:val="24"/>
          <w:szCs w:val="24"/>
          <w:lang w:eastAsia="zh-CN"/>
        </w:rPr>
        <w:t>，其中</w:t>
      </w:r>
      <w:r>
        <w:rPr>
          <w:rFonts w:ascii="Times New Roman" w:eastAsia="宋体" w:hAnsi="Times New Roman" w:cs="宋体" w:hint="eastAsia"/>
          <w:color w:val="auto"/>
          <w:sz w:val="24"/>
          <w:szCs w:val="24"/>
          <w:lang w:eastAsia="zh-CN"/>
        </w:rPr>
        <w:t>10</w:t>
      </w:r>
      <w:r>
        <w:rPr>
          <w:rFonts w:ascii="Times New Roman" w:eastAsia="宋体" w:hAnsi="Times New Roman" w:cs="宋体" w:hint="eastAsia"/>
          <w:color w:val="auto"/>
          <w:sz w:val="24"/>
          <w:szCs w:val="24"/>
          <w:lang w:eastAsia="zh-CN"/>
        </w:rPr>
        <w:t>号和</w:t>
      </w:r>
      <w:r>
        <w:rPr>
          <w:rFonts w:ascii="Times New Roman" w:eastAsia="宋体" w:hAnsi="Times New Roman" w:cs="宋体" w:hint="eastAsia"/>
          <w:color w:val="auto"/>
          <w:sz w:val="24"/>
          <w:szCs w:val="24"/>
          <w:lang w:eastAsia="zh-CN"/>
        </w:rPr>
        <w:t>11</w:t>
      </w:r>
      <w:r>
        <w:rPr>
          <w:rFonts w:ascii="Times New Roman" w:eastAsia="宋体" w:hAnsi="Times New Roman" w:cs="宋体" w:hint="eastAsia"/>
          <w:color w:val="auto"/>
          <w:sz w:val="24"/>
          <w:szCs w:val="24"/>
          <w:lang w:eastAsia="zh-CN"/>
        </w:rPr>
        <w:t>号站位未调查到软珊瑚。</w:t>
      </w:r>
    </w:p>
    <w:p w14:paraId="7E131039" w14:textId="77777777" w:rsidR="0075791A" w:rsidRDefault="0075791A">
      <w:pPr>
        <w:jc w:val="center"/>
        <w:rPr>
          <w:rFonts w:ascii="Times New Roman" w:eastAsia="宋体" w:hAnsi="Times New Roman" w:cs="宋体"/>
          <w:color w:val="auto"/>
          <w:sz w:val="24"/>
          <w:szCs w:val="24"/>
          <w:lang w:eastAsia="zh-CN"/>
        </w:rPr>
      </w:pPr>
    </w:p>
    <w:p w14:paraId="3C6254EA" w14:textId="77777777" w:rsidR="0075791A" w:rsidRDefault="00FB2864">
      <w:pPr>
        <w:jc w:val="center"/>
        <w:rPr>
          <w:rFonts w:ascii="Times New Roman" w:eastAsia="宋体" w:hAnsi="Times New Roman" w:cs="宋体"/>
          <w:color w:val="auto"/>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 xml:space="preserve">3.2.7-12 </w:t>
      </w:r>
      <w:r>
        <w:rPr>
          <w:rFonts w:ascii="Times New Roman" w:eastAsia="宋体" w:hAnsi="Times New Roman" w:cs="宋体" w:hint="eastAsia"/>
          <w:color w:val="auto"/>
          <w:spacing w:val="-4"/>
          <w:sz w:val="24"/>
          <w:szCs w:val="24"/>
          <w:lang w:eastAsia="zh-CN"/>
        </w:rPr>
        <w:t>蜈支洲岛珊瑚礁分布范围</w:t>
      </w:r>
    </w:p>
    <w:p w14:paraId="236078BD" w14:textId="77777777" w:rsidR="0075791A" w:rsidRDefault="0075791A">
      <w:pPr>
        <w:jc w:val="center"/>
        <w:rPr>
          <w:rFonts w:ascii="Times New Roman" w:eastAsia="宋体" w:hAnsi="Times New Roman" w:cs="宋体"/>
          <w:color w:val="auto"/>
          <w:sz w:val="24"/>
          <w:szCs w:val="24"/>
          <w:lang w:eastAsia="zh-CN"/>
        </w:rPr>
      </w:pPr>
    </w:p>
    <w:p w14:paraId="4704BB6F" w14:textId="77777777" w:rsidR="0075791A" w:rsidRDefault="00FB2864">
      <w:pPr>
        <w:jc w:val="center"/>
        <w:rPr>
          <w:rFonts w:ascii="宋体" w:eastAsia="宋体" w:hAnsi="宋体" w:cs="宋体"/>
          <w:color w:val="auto"/>
          <w:sz w:val="24"/>
          <w:szCs w:val="24"/>
          <w:lang w:eastAsia="zh-CN"/>
        </w:rPr>
      </w:pPr>
      <w:r>
        <w:rPr>
          <w:rFonts w:ascii="宋体" w:eastAsia="宋体" w:hAnsi="宋体" w:cs="宋体"/>
          <w:color w:val="auto"/>
          <w:sz w:val="24"/>
          <w:szCs w:val="24"/>
          <w:lang w:eastAsia="zh-CN"/>
        </w:rPr>
        <w:t>表</w:t>
      </w:r>
      <w:r>
        <w:rPr>
          <w:rFonts w:ascii="宋体" w:eastAsia="宋体" w:hAnsi="宋体" w:cs="宋体"/>
          <w:color w:val="auto"/>
          <w:spacing w:val="-60"/>
          <w:sz w:val="24"/>
          <w:szCs w:val="24"/>
          <w:lang w:eastAsia="zh-CN"/>
        </w:rPr>
        <w:t xml:space="preserve"> </w:t>
      </w:r>
      <w:r>
        <w:rPr>
          <w:rFonts w:ascii="Times New Roman" w:eastAsia="宋体" w:hAnsi="Times New Roman" w:cs="宋体" w:hint="eastAsia"/>
          <w:color w:val="auto"/>
          <w:spacing w:val="-4"/>
          <w:sz w:val="24"/>
          <w:szCs w:val="24"/>
          <w:lang w:eastAsia="zh-CN"/>
        </w:rPr>
        <w:t>3.2.7-</w:t>
      </w:r>
      <w:r>
        <w:rPr>
          <w:rFonts w:ascii="Times New Roman" w:eastAsia="Times New Roman" w:hAnsi="Times New Roman" w:cs="Times New Roman"/>
          <w:color w:val="auto"/>
          <w:sz w:val="24"/>
          <w:szCs w:val="24"/>
          <w:lang w:eastAsia="zh-CN"/>
        </w:rPr>
        <w:t>3</w:t>
      </w:r>
      <w:r>
        <w:rPr>
          <w:rFonts w:ascii="Times New Roman" w:eastAsia="Times New Roman" w:hAnsi="Times New Roman" w:cs="Times New Roman"/>
          <w:color w:val="auto"/>
          <w:spacing w:val="60"/>
          <w:sz w:val="24"/>
          <w:szCs w:val="24"/>
          <w:lang w:eastAsia="zh-CN"/>
        </w:rPr>
        <w:t xml:space="preserve"> </w:t>
      </w:r>
      <w:r>
        <w:rPr>
          <w:rFonts w:ascii="宋体" w:eastAsia="宋体" w:hAnsi="宋体" w:cs="宋体"/>
          <w:color w:val="auto"/>
          <w:sz w:val="24"/>
          <w:szCs w:val="24"/>
          <w:lang w:eastAsia="zh-CN"/>
        </w:rPr>
        <w:t>蜈支洲岛周边珊瑚礁资源分布情况</w:t>
      </w:r>
    </w:p>
    <w:tbl>
      <w:tblPr>
        <w:tblW w:w="0" w:type="auto"/>
        <w:jc w:val="center"/>
        <w:tblLayout w:type="fixed"/>
        <w:tblCellMar>
          <w:left w:w="0" w:type="dxa"/>
          <w:right w:w="0" w:type="dxa"/>
        </w:tblCellMar>
        <w:tblLook w:val="04A0" w:firstRow="1" w:lastRow="0" w:firstColumn="1" w:lastColumn="0" w:noHBand="0" w:noVBand="1"/>
      </w:tblPr>
      <w:tblGrid>
        <w:gridCol w:w="704"/>
        <w:gridCol w:w="1276"/>
        <w:gridCol w:w="992"/>
        <w:gridCol w:w="945"/>
        <w:gridCol w:w="945"/>
        <w:gridCol w:w="945"/>
        <w:gridCol w:w="1134"/>
        <w:gridCol w:w="1361"/>
      </w:tblGrid>
      <w:tr w:rsidR="0075791A" w14:paraId="64A3660E" w14:textId="77777777">
        <w:trPr>
          <w:trHeight w:hRule="exact" w:val="470"/>
          <w:jc w:val="center"/>
        </w:trPr>
        <w:tc>
          <w:tcPr>
            <w:tcW w:w="704" w:type="dxa"/>
            <w:vMerge w:val="restart"/>
            <w:tcBorders>
              <w:top w:val="single" w:sz="4" w:space="0" w:color="000000"/>
              <w:left w:val="single" w:sz="4" w:space="0" w:color="000000"/>
              <w:right w:val="single" w:sz="4" w:space="0" w:color="000000"/>
            </w:tcBorders>
            <w:vAlign w:val="center"/>
          </w:tcPr>
          <w:p w14:paraId="1B9763D3"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站</w:t>
            </w:r>
            <w:r>
              <w:rPr>
                <w:rFonts w:ascii="宋体" w:eastAsia="宋体" w:hAnsi="宋体" w:cs="宋体"/>
                <w:color w:val="auto"/>
              </w:rPr>
              <w:t>位</w:t>
            </w:r>
          </w:p>
        </w:tc>
        <w:tc>
          <w:tcPr>
            <w:tcW w:w="2268" w:type="dxa"/>
            <w:gridSpan w:val="2"/>
            <w:tcBorders>
              <w:top w:val="single" w:sz="4" w:space="0" w:color="000000"/>
              <w:left w:val="single" w:sz="4" w:space="0" w:color="000000"/>
              <w:bottom w:val="single" w:sz="4" w:space="0" w:color="000000"/>
              <w:right w:val="single" w:sz="4" w:space="0" w:color="000000"/>
            </w:tcBorders>
            <w:vAlign w:val="center"/>
          </w:tcPr>
          <w:p w14:paraId="19DD489B"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活</w:t>
            </w:r>
            <w:r>
              <w:rPr>
                <w:rFonts w:ascii="宋体" w:eastAsia="宋体" w:hAnsi="宋体" w:cs="宋体"/>
                <w:color w:val="auto"/>
                <w:spacing w:val="2"/>
              </w:rPr>
              <w:t>珊</w:t>
            </w:r>
            <w:r>
              <w:rPr>
                <w:rFonts w:ascii="宋体" w:eastAsia="宋体" w:hAnsi="宋体" w:cs="宋体"/>
                <w:color w:val="auto"/>
                <w:spacing w:val="-1"/>
              </w:rPr>
              <w:t>瑚</w:t>
            </w:r>
            <w:r>
              <w:rPr>
                <w:rFonts w:ascii="宋体" w:eastAsia="宋体" w:hAnsi="宋体" w:cs="宋体"/>
                <w:color w:val="auto"/>
                <w:spacing w:val="2"/>
              </w:rPr>
              <w:t>覆</w:t>
            </w:r>
            <w:r>
              <w:rPr>
                <w:rFonts w:ascii="宋体" w:eastAsia="宋体" w:hAnsi="宋体" w:cs="宋体"/>
                <w:color w:val="auto"/>
                <w:spacing w:val="-1"/>
              </w:rPr>
              <w:t>盖</w:t>
            </w:r>
            <w:r>
              <w:rPr>
                <w:rFonts w:ascii="宋体" w:eastAsia="宋体" w:hAnsi="宋体" w:cs="宋体"/>
                <w:color w:val="auto"/>
                <w:spacing w:val="2"/>
              </w:rPr>
              <w:t>率</w:t>
            </w:r>
            <w:r>
              <w:rPr>
                <w:rFonts w:ascii="宋体" w:eastAsia="宋体" w:hAnsi="宋体" w:cs="宋体"/>
                <w:color w:val="auto"/>
                <w:spacing w:val="-1"/>
              </w:rPr>
              <w:t>（</w:t>
            </w:r>
            <w:r>
              <w:rPr>
                <w:rFonts w:ascii="Times New Roman" w:eastAsia="Times New Roman" w:hAnsi="Times New Roman" w:cs="Times New Roman"/>
                <w:color w:val="auto"/>
                <w:spacing w:val="1"/>
              </w:rPr>
              <w:t>%</w:t>
            </w:r>
            <w:r>
              <w:rPr>
                <w:rFonts w:ascii="宋体" w:eastAsia="宋体" w:hAnsi="宋体" w:cs="宋体"/>
                <w:color w:val="auto"/>
              </w:rPr>
              <w:t>）</w:t>
            </w:r>
          </w:p>
        </w:tc>
        <w:tc>
          <w:tcPr>
            <w:tcW w:w="2835" w:type="dxa"/>
            <w:gridSpan w:val="3"/>
            <w:tcBorders>
              <w:top w:val="single" w:sz="4" w:space="0" w:color="000000"/>
              <w:left w:val="single" w:sz="4" w:space="0" w:color="000000"/>
              <w:bottom w:val="single" w:sz="4" w:space="0" w:color="000000"/>
              <w:right w:val="single" w:sz="4" w:space="0" w:color="000000"/>
            </w:tcBorders>
            <w:vAlign w:val="center"/>
          </w:tcPr>
          <w:p w14:paraId="59372990"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底</w:t>
            </w:r>
            <w:r>
              <w:rPr>
                <w:rFonts w:ascii="宋体" w:eastAsia="宋体" w:hAnsi="宋体" w:cs="宋体"/>
                <w:color w:val="auto"/>
                <w:spacing w:val="2"/>
              </w:rPr>
              <w:t>质</w:t>
            </w:r>
            <w:r>
              <w:rPr>
                <w:rFonts w:ascii="宋体" w:eastAsia="宋体" w:hAnsi="宋体" w:cs="宋体"/>
                <w:color w:val="auto"/>
                <w:spacing w:val="-1"/>
              </w:rPr>
              <w:t>类</w:t>
            </w:r>
            <w:r>
              <w:rPr>
                <w:rFonts w:ascii="宋体" w:eastAsia="宋体" w:hAnsi="宋体" w:cs="宋体"/>
                <w:color w:val="auto"/>
                <w:spacing w:val="2"/>
              </w:rPr>
              <w:t>型（</w:t>
            </w:r>
            <w:r>
              <w:rPr>
                <w:rFonts w:ascii="Times New Roman" w:eastAsia="Times New Roman" w:hAnsi="Times New Roman" w:cs="Times New Roman"/>
                <w:color w:val="auto"/>
                <w:spacing w:val="-2"/>
              </w:rPr>
              <w:t>%</w:t>
            </w:r>
            <w:r>
              <w:rPr>
                <w:rFonts w:ascii="宋体" w:eastAsia="宋体" w:hAnsi="宋体" w:cs="宋体"/>
                <w:color w:val="auto"/>
              </w:rPr>
              <w:t>）</w:t>
            </w:r>
          </w:p>
        </w:tc>
        <w:tc>
          <w:tcPr>
            <w:tcW w:w="1134" w:type="dxa"/>
            <w:vMerge w:val="restart"/>
            <w:tcBorders>
              <w:top w:val="single" w:sz="4" w:space="0" w:color="000000"/>
              <w:left w:val="single" w:sz="4" w:space="0" w:color="000000"/>
              <w:right w:val="single" w:sz="4" w:space="0" w:color="000000"/>
            </w:tcBorders>
            <w:vAlign w:val="center"/>
          </w:tcPr>
          <w:p w14:paraId="34426F8D"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其</w:t>
            </w:r>
            <w:r>
              <w:rPr>
                <w:rFonts w:ascii="宋体" w:eastAsia="宋体" w:hAnsi="宋体" w:cs="宋体"/>
                <w:color w:val="auto"/>
                <w:spacing w:val="2"/>
              </w:rPr>
              <w:t>他</w:t>
            </w:r>
            <w:r>
              <w:rPr>
                <w:rFonts w:ascii="宋体" w:eastAsia="宋体" w:hAnsi="宋体" w:cs="宋体"/>
                <w:color w:val="auto"/>
                <w:spacing w:val="-1"/>
              </w:rPr>
              <w:t>生</w:t>
            </w:r>
            <w:r>
              <w:rPr>
                <w:rFonts w:ascii="宋体" w:eastAsia="宋体" w:hAnsi="宋体" w:cs="宋体"/>
                <w:color w:val="auto"/>
              </w:rPr>
              <w:t>物</w:t>
            </w:r>
            <w:r>
              <w:rPr>
                <w:rFonts w:ascii="宋体" w:eastAsia="宋体" w:hAnsi="宋体" w:cs="宋体"/>
                <w:color w:val="auto"/>
                <w:spacing w:val="2"/>
              </w:rPr>
              <w:t>（</w:t>
            </w:r>
            <w:r>
              <w:rPr>
                <w:rFonts w:ascii="Times New Roman" w:eastAsia="Times New Roman" w:hAnsi="Times New Roman" w:cs="Times New Roman"/>
                <w:color w:val="auto"/>
                <w:spacing w:val="-2"/>
              </w:rPr>
              <w:t>%</w:t>
            </w:r>
            <w:r>
              <w:rPr>
                <w:rFonts w:ascii="宋体" w:eastAsia="宋体" w:hAnsi="宋体" w:cs="宋体"/>
                <w:color w:val="auto"/>
              </w:rPr>
              <w:t>）</w:t>
            </w:r>
          </w:p>
        </w:tc>
        <w:tc>
          <w:tcPr>
            <w:tcW w:w="1361" w:type="dxa"/>
            <w:vMerge w:val="restart"/>
            <w:tcBorders>
              <w:top w:val="single" w:sz="4" w:space="0" w:color="000000"/>
              <w:left w:val="single" w:sz="4" w:space="0" w:color="000000"/>
              <w:right w:val="single" w:sz="4" w:space="0" w:color="000000"/>
            </w:tcBorders>
            <w:vAlign w:val="center"/>
          </w:tcPr>
          <w:p w14:paraId="73BE3FD3"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w w:val="95"/>
              </w:rPr>
              <w:t>总</w:t>
            </w:r>
            <w:r>
              <w:rPr>
                <w:rFonts w:ascii="宋体" w:eastAsia="宋体" w:hAnsi="宋体" w:cs="宋体"/>
                <w:color w:val="auto"/>
                <w:spacing w:val="1"/>
                <w:w w:val="95"/>
              </w:rPr>
              <w:t>珊</w:t>
            </w:r>
            <w:r>
              <w:rPr>
                <w:rFonts w:ascii="宋体" w:eastAsia="宋体" w:hAnsi="宋体" w:cs="宋体"/>
                <w:color w:val="auto"/>
                <w:spacing w:val="-1"/>
                <w:w w:val="95"/>
              </w:rPr>
              <w:t>瑚</w:t>
            </w:r>
            <w:r>
              <w:rPr>
                <w:rFonts w:ascii="宋体" w:eastAsia="宋体" w:hAnsi="宋体" w:cs="宋体"/>
                <w:color w:val="auto"/>
                <w:spacing w:val="1"/>
                <w:w w:val="95"/>
              </w:rPr>
              <w:t>覆</w:t>
            </w:r>
            <w:r>
              <w:rPr>
                <w:rFonts w:ascii="宋体" w:eastAsia="宋体" w:hAnsi="宋体" w:cs="宋体"/>
                <w:color w:val="auto"/>
                <w:w w:val="95"/>
              </w:rPr>
              <w:t>盖</w:t>
            </w:r>
            <w:r>
              <w:rPr>
                <w:rFonts w:ascii="宋体" w:eastAsia="宋体" w:hAnsi="宋体" w:cs="宋体"/>
                <w:color w:val="auto"/>
                <w:spacing w:val="2"/>
              </w:rPr>
              <w:t>率</w:t>
            </w:r>
            <w:r>
              <w:rPr>
                <w:rFonts w:ascii="宋体" w:eastAsia="宋体" w:hAnsi="宋体" w:cs="宋体"/>
                <w:color w:val="auto"/>
                <w:spacing w:val="-1"/>
              </w:rPr>
              <w:t>（</w:t>
            </w:r>
            <w:r>
              <w:rPr>
                <w:rFonts w:ascii="Times New Roman" w:eastAsia="Times New Roman" w:hAnsi="Times New Roman" w:cs="Times New Roman"/>
                <w:color w:val="auto"/>
                <w:spacing w:val="1"/>
              </w:rPr>
              <w:t>%</w:t>
            </w:r>
            <w:r>
              <w:rPr>
                <w:rFonts w:ascii="宋体" w:eastAsia="宋体" w:hAnsi="宋体" w:cs="宋体"/>
                <w:color w:val="auto"/>
              </w:rPr>
              <w:t>）</w:t>
            </w:r>
          </w:p>
        </w:tc>
      </w:tr>
      <w:tr w:rsidR="0075791A" w14:paraId="215AD06A" w14:textId="77777777">
        <w:trPr>
          <w:trHeight w:hRule="exact" w:val="470"/>
          <w:jc w:val="center"/>
        </w:trPr>
        <w:tc>
          <w:tcPr>
            <w:tcW w:w="704" w:type="dxa"/>
            <w:vMerge/>
            <w:tcBorders>
              <w:left w:val="single" w:sz="4" w:space="0" w:color="000000"/>
              <w:bottom w:val="single" w:sz="4" w:space="0" w:color="000000"/>
              <w:right w:val="single" w:sz="4" w:space="0" w:color="000000"/>
            </w:tcBorders>
            <w:vAlign w:val="center"/>
          </w:tcPr>
          <w:p w14:paraId="6B8F1035" w14:textId="77777777" w:rsidR="0075791A" w:rsidRDefault="0075791A">
            <w:pPr>
              <w:jc w:val="center"/>
              <w:rPr>
                <w:color w:val="auto"/>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6A6DBB63"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造</w:t>
            </w:r>
            <w:r>
              <w:rPr>
                <w:rFonts w:ascii="宋体" w:eastAsia="宋体" w:hAnsi="宋体" w:cs="宋体"/>
                <w:color w:val="auto"/>
                <w:spacing w:val="2"/>
              </w:rPr>
              <w:t>礁</w:t>
            </w:r>
            <w:r>
              <w:rPr>
                <w:rFonts w:ascii="宋体" w:eastAsia="宋体" w:hAnsi="宋体" w:cs="宋体"/>
                <w:color w:val="auto"/>
                <w:spacing w:val="-1"/>
              </w:rPr>
              <w:t>石</w:t>
            </w:r>
            <w:r>
              <w:rPr>
                <w:rFonts w:ascii="宋体" w:eastAsia="宋体" w:hAnsi="宋体" w:cs="宋体"/>
                <w:color w:val="auto"/>
                <w:spacing w:val="2"/>
              </w:rPr>
              <w:t>珊</w:t>
            </w:r>
            <w:r>
              <w:rPr>
                <w:rFonts w:ascii="宋体" w:eastAsia="宋体" w:hAnsi="宋体" w:cs="宋体"/>
                <w:color w:val="auto"/>
              </w:rPr>
              <w:t>瑚</w:t>
            </w:r>
          </w:p>
        </w:tc>
        <w:tc>
          <w:tcPr>
            <w:tcW w:w="992" w:type="dxa"/>
            <w:tcBorders>
              <w:top w:val="single" w:sz="4" w:space="0" w:color="000000"/>
              <w:left w:val="single" w:sz="4" w:space="0" w:color="000000"/>
              <w:bottom w:val="single" w:sz="4" w:space="0" w:color="000000"/>
              <w:right w:val="single" w:sz="4" w:space="0" w:color="000000"/>
            </w:tcBorders>
            <w:vAlign w:val="center"/>
          </w:tcPr>
          <w:p w14:paraId="0EBAA1CE"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软</w:t>
            </w:r>
            <w:r>
              <w:rPr>
                <w:rFonts w:ascii="宋体" w:eastAsia="宋体" w:hAnsi="宋体" w:cs="宋体"/>
                <w:color w:val="auto"/>
                <w:spacing w:val="2"/>
              </w:rPr>
              <w:t>珊</w:t>
            </w:r>
            <w:r>
              <w:rPr>
                <w:rFonts w:ascii="宋体" w:eastAsia="宋体" w:hAnsi="宋体" w:cs="宋体"/>
                <w:color w:val="auto"/>
              </w:rPr>
              <w:t>瑚</w:t>
            </w:r>
          </w:p>
        </w:tc>
        <w:tc>
          <w:tcPr>
            <w:tcW w:w="945" w:type="dxa"/>
            <w:tcBorders>
              <w:top w:val="single" w:sz="4" w:space="0" w:color="000000"/>
              <w:left w:val="single" w:sz="4" w:space="0" w:color="000000"/>
              <w:bottom w:val="single" w:sz="4" w:space="0" w:color="000000"/>
              <w:right w:val="single" w:sz="4" w:space="0" w:color="000000"/>
            </w:tcBorders>
            <w:vAlign w:val="center"/>
          </w:tcPr>
          <w:p w14:paraId="28DE1156" w14:textId="77777777" w:rsidR="0075791A" w:rsidRDefault="00FB2864">
            <w:pPr>
              <w:pStyle w:val="TableParagraph"/>
              <w:jc w:val="center"/>
              <w:rPr>
                <w:rFonts w:ascii="宋体" w:eastAsia="宋体" w:hAnsi="宋体" w:cs="宋体"/>
                <w:color w:val="auto"/>
              </w:rPr>
            </w:pPr>
            <w:r>
              <w:rPr>
                <w:rFonts w:ascii="宋体" w:eastAsia="宋体" w:hAnsi="宋体" w:cs="宋体"/>
                <w:color w:val="auto"/>
              </w:rPr>
              <w:t>砂</w:t>
            </w:r>
          </w:p>
        </w:tc>
        <w:tc>
          <w:tcPr>
            <w:tcW w:w="945" w:type="dxa"/>
            <w:tcBorders>
              <w:top w:val="single" w:sz="4" w:space="0" w:color="000000"/>
              <w:left w:val="single" w:sz="4" w:space="0" w:color="000000"/>
              <w:bottom w:val="single" w:sz="4" w:space="0" w:color="000000"/>
              <w:right w:val="single" w:sz="4" w:space="0" w:color="000000"/>
            </w:tcBorders>
            <w:vAlign w:val="center"/>
          </w:tcPr>
          <w:p w14:paraId="6A4BDE3E"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礁</w:t>
            </w:r>
            <w:r>
              <w:rPr>
                <w:rFonts w:ascii="宋体" w:eastAsia="宋体" w:hAnsi="宋体" w:cs="宋体"/>
                <w:color w:val="auto"/>
              </w:rPr>
              <w:t>石</w:t>
            </w:r>
          </w:p>
        </w:tc>
        <w:tc>
          <w:tcPr>
            <w:tcW w:w="945" w:type="dxa"/>
            <w:tcBorders>
              <w:top w:val="single" w:sz="4" w:space="0" w:color="000000"/>
              <w:left w:val="single" w:sz="4" w:space="0" w:color="000000"/>
              <w:bottom w:val="single" w:sz="4" w:space="0" w:color="000000"/>
              <w:right w:val="single" w:sz="4" w:space="0" w:color="000000"/>
            </w:tcBorders>
            <w:vAlign w:val="center"/>
          </w:tcPr>
          <w:p w14:paraId="7B99CDBB"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死</w:t>
            </w:r>
            <w:r>
              <w:rPr>
                <w:rFonts w:ascii="宋体" w:eastAsia="宋体" w:hAnsi="宋体" w:cs="宋体"/>
                <w:color w:val="auto"/>
                <w:spacing w:val="2"/>
              </w:rPr>
              <w:t>珊</w:t>
            </w:r>
            <w:r>
              <w:rPr>
                <w:rFonts w:ascii="宋体" w:eastAsia="宋体" w:hAnsi="宋体" w:cs="宋体"/>
                <w:color w:val="auto"/>
              </w:rPr>
              <w:t>瑚</w:t>
            </w:r>
          </w:p>
        </w:tc>
        <w:tc>
          <w:tcPr>
            <w:tcW w:w="1134" w:type="dxa"/>
            <w:vMerge/>
            <w:tcBorders>
              <w:left w:val="single" w:sz="4" w:space="0" w:color="000000"/>
              <w:bottom w:val="single" w:sz="4" w:space="0" w:color="000000"/>
              <w:right w:val="single" w:sz="4" w:space="0" w:color="000000"/>
            </w:tcBorders>
            <w:vAlign w:val="center"/>
          </w:tcPr>
          <w:p w14:paraId="56767DA3" w14:textId="77777777" w:rsidR="0075791A" w:rsidRDefault="0075791A">
            <w:pPr>
              <w:jc w:val="center"/>
              <w:rPr>
                <w:color w:val="auto"/>
              </w:rPr>
            </w:pPr>
          </w:p>
        </w:tc>
        <w:tc>
          <w:tcPr>
            <w:tcW w:w="1361" w:type="dxa"/>
            <w:vMerge/>
            <w:tcBorders>
              <w:left w:val="single" w:sz="4" w:space="0" w:color="000000"/>
              <w:bottom w:val="single" w:sz="4" w:space="0" w:color="000000"/>
              <w:right w:val="single" w:sz="4" w:space="0" w:color="000000"/>
            </w:tcBorders>
            <w:vAlign w:val="center"/>
          </w:tcPr>
          <w:p w14:paraId="1ABEB60D" w14:textId="77777777" w:rsidR="0075791A" w:rsidRDefault="0075791A">
            <w:pPr>
              <w:jc w:val="center"/>
              <w:rPr>
                <w:color w:val="auto"/>
              </w:rPr>
            </w:pPr>
          </w:p>
        </w:tc>
      </w:tr>
      <w:tr w:rsidR="0075791A" w14:paraId="0867E458" w14:textId="77777777">
        <w:trPr>
          <w:trHeight w:val="283"/>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33FA351F"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1</w:t>
            </w:r>
          </w:p>
        </w:tc>
        <w:tc>
          <w:tcPr>
            <w:tcW w:w="1276" w:type="dxa"/>
            <w:tcBorders>
              <w:top w:val="single" w:sz="4" w:space="0" w:color="000000"/>
              <w:left w:val="single" w:sz="4" w:space="0" w:color="000000"/>
              <w:bottom w:val="single" w:sz="4" w:space="0" w:color="000000"/>
              <w:right w:val="single" w:sz="4" w:space="0" w:color="000000"/>
            </w:tcBorders>
            <w:vAlign w:val="center"/>
          </w:tcPr>
          <w:p w14:paraId="20D4AC19"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29</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vAlign w:val="center"/>
          </w:tcPr>
          <w:p w14:paraId="19DAF9A6"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7</w:t>
            </w:r>
          </w:p>
        </w:tc>
        <w:tc>
          <w:tcPr>
            <w:tcW w:w="945" w:type="dxa"/>
            <w:tcBorders>
              <w:top w:val="single" w:sz="4" w:space="0" w:color="000000"/>
              <w:left w:val="single" w:sz="4" w:space="0" w:color="000000"/>
              <w:bottom w:val="single" w:sz="4" w:space="0" w:color="000000"/>
              <w:right w:val="single" w:sz="4" w:space="0" w:color="000000"/>
            </w:tcBorders>
            <w:vAlign w:val="center"/>
          </w:tcPr>
          <w:p w14:paraId="00A8227C"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5</w:t>
            </w:r>
          </w:p>
        </w:tc>
        <w:tc>
          <w:tcPr>
            <w:tcW w:w="945" w:type="dxa"/>
            <w:tcBorders>
              <w:top w:val="single" w:sz="4" w:space="0" w:color="000000"/>
              <w:left w:val="single" w:sz="4" w:space="0" w:color="000000"/>
              <w:bottom w:val="single" w:sz="4" w:space="0" w:color="000000"/>
              <w:right w:val="single" w:sz="4" w:space="0" w:color="000000"/>
            </w:tcBorders>
            <w:vAlign w:val="center"/>
          </w:tcPr>
          <w:p w14:paraId="4D3FA5F8"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7</w:t>
            </w:r>
          </w:p>
        </w:tc>
        <w:tc>
          <w:tcPr>
            <w:tcW w:w="945" w:type="dxa"/>
            <w:tcBorders>
              <w:top w:val="single" w:sz="4" w:space="0" w:color="000000"/>
              <w:left w:val="single" w:sz="4" w:space="0" w:color="000000"/>
              <w:bottom w:val="single" w:sz="4" w:space="0" w:color="000000"/>
              <w:right w:val="single" w:sz="4" w:space="0" w:color="000000"/>
            </w:tcBorders>
            <w:vAlign w:val="center"/>
          </w:tcPr>
          <w:p w14:paraId="1DCEFA68"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28692885"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2</w:t>
            </w:r>
          </w:p>
        </w:tc>
        <w:tc>
          <w:tcPr>
            <w:tcW w:w="1361" w:type="dxa"/>
            <w:tcBorders>
              <w:top w:val="single" w:sz="4" w:space="0" w:color="000000"/>
              <w:left w:val="single" w:sz="4" w:space="0" w:color="000000"/>
              <w:bottom w:val="single" w:sz="4" w:space="0" w:color="000000"/>
              <w:right w:val="single" w:sz="4" w:space="0" w:color="000000"/>
            </w:tcBorders>
            <w:vAlign w:val="center"/>
          </w:tcPr>
          <w:p w14:paraId="65444DC1"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50</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7</w:t>
            </w:r>
          </w:p>
        </w:tc>
      </w:tr>
      <w:tr w:rsidR="0075791A" w14:paraId="07130333" w14:textId="77777777">
        <w:trPr>
          <w:trHeight w:val="283"/>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14AFC7C8"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2</w:t>
            </w:r>
          </w:p>
        </w:tc>
        <w:tc>
          <w:tcPr>
            <w:tcW w:w="1276" w:type="dxa"/>
            <w:tcBorders>
              <w:top w:val="single" w:sz="4" w:space="0" w:color="000000"/>
              <w:left w:val="single" w:sz="4" w:space="0" w:color="000000"/>
              <w:bottom w:val="single" w:sz="4" w:space="0" w:color="000000"/>
              <w:right w:val="single" w:sz="4" w:space="0" w:color="000000"/>
            </w:tcBorders>
            <w:vAlign w:val="center"/>
          </w:tcPr>
          <w:p w14:paraId="369005E5"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7</w:t>
            </w:r>
          </w:p>
        </w:tc>
        <w:tc>
          <w:tcPr>
            <w:tcW w:w="992" w:type="dxa"/>
            <w:tcBorders>
              <w:top w:val="single" w:sz="4" w:space="0" w:color="000000"/>
              <w:left w:val="single" w:sz="4" w:space="0" w:color="000000"/>
              <w:bottom w:val="single" w:sz="4" w:space="0" w:color="000000"/>
              <w:right w:val="single" w:sz="4" w:space="0" w:color="000000"/>
            </w:tcBorders>
            <w:vAlign w:val="center"/>
          </w:tcPr>
          <w:p w14:paraId="4E3EEB8C"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0</w:t>
            </w:r>
          </w:p>
        </w:tc>
        <w:tc>
          <w:tcPr>
            <w:tcW w:w="945" w:type="dxa"/>
            <w:tcBorders>
              <w:top w:val="single" w:sz="4" w:space="0" w:color="000000"/>
              <w:left w:val="single" w:sz="4" w:space="0" w:color="000000"/>
              <w:bottom w:val="single" w:sz="4" w:space="0" w:color="000000"/>
              <w:right w:val="single" w:sz="4" w:space="0" w:color="000000"/>
            </w:tcBorders>
            <w:vAlign w:val="center"/>
          </w:tcPr>
          <w:p w14:paraId="5EDF2D07"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945" w:type="dxa"/>
            <w:tcBorders>
              <w:top w:val="single" w:sz="4" w:space="0" w:color="000000"/>
              <w:left w:val="single" w:sz="4" w:space="0" w:color="000000"/>
              <w:bottom w:val="single" w:sz="4" w:space="0" w:color="000000"/>
              <w:right w:val="single" w:sz="4" w:space="0" w:color="000000"/>
            </w:tcBorders>
            <w:vAlign w:val="center"/>
          </w:tcPr>
          <w:p w14:paraId="32CF5736"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2</w:t>
            </w:r>
          </w:p>
        </w:tc>
        <w:tc>
          <w:tcPr>
            <w:tcW w:w="945" w:type="dxa"/>
            <w:tcBorders>
              <w:top w:val="single" w:sz="4" w:space="0" w:color="000000"/>
              <w:left w:val="single" w:sz="4" w:space="0" w:color="000000"/>
              <w:bottom w:val="single" w:sz="4" w:space="0" w:color="000000"/>
              <w:right w:val="single" w:sz="4" w:space="0" w:color="000000"/>
            </w:tcBorders>
            <w:vAlign w:val="center"/>
          </w:tcPr>
          <w:p w14:paraId="57517B26"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8</w:t>
            </w:r>
          </w:p>
        </w:tc>
        <w:tc>
          <w:tcPr>
            <w:tcW w:w="1134" w:type="dxa"/>
            <w:tcBorders>
              <w:top w:val="single" w:sz="4" w:space="0" w:color="000000"/>
              <w:left w:val="single" w:sz="4" w:space="0" w:color="000000"/>
              <w:bottom w:val="single" w:sz="4" w:space="0" w:color="000000"/>
              <w:right w:val="single" w:sz="4" w:space="0" w:color="000000"/>
            </w:tcBorders>
            <w:vAlign w:val="center"/>
          </w:tcPr>
          <w:p w14:paraId="6BEE340C"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5</w:t>
            </w:r>
          </w:p>
        </w:tc>
        <w:tc>
          <w:tcPr>
            <w:tcW w:w="1361" w:type="dxa"/>
            <w:tcBorders>
              <w:top w:val="single" w:sz="4" w:space="0" w:color="000000"/>
              <w:left w:val="single" w:sz="4" w:space="0" w:color="000000"/>
              <w:bottom w:val="single" w:sz="4" w:space="0" w:color="000000"/>
              <w:right w:val="single" w:sz="4" w:space="0" w:color="000000"/>
            </w:tcBorders>
            <w:vAlign w:val="center"/>
          </w:tcPr>
          <w:p w14:paraId="2C4FA8FF"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60</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7</w:t>
            </w:r>
          </w:p>
        </w:tc>
      </w:tr>
      <w:tr w:rsidR="0075791A" w14:paraId="4241F196" w14:textId="77777777">
        <w:trPr>
          <w:trHeight w:val="283"/>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7F6E76B8"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3</w:t>
            </w:r>
          </w:p>
        </w:tc>
        <w:tc>
          <w:tcPr>
            <w:tcW w:w="1276" w:type="dxa"/>
            <w:tcBorders>
              <w:top w:val="single" w:sz="4" w:space="0" w:color="000000"/>
              <w:left w:val="single" w:sz="4" w:space="0" w:color="000000"/>
              <w:bottom w:val="single" w:sz="4" w:space="0" w:color="000000"/>
              <w:right w:val="single" w:sz="4" w:space="0" w:color="000000"/>
            </w:tcBorders>
            <w:vAlign w:val="center"/>
          </w:tcPr>
          <w:p w14:paraId="4BCD5DB7"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27</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2</w:t>
            </w:r>
          </w:p>
        </w:tc>
        <w:tc>
          <w:tcPr>
            <w:tcW w:w="992" w:type="dxa"/>
            <w:tcBorders>
              <w:top w:val="single" w:sz="4" w:space="0" w:color="000000"/>
              <w:left w:val="single" w:sz="4" w:space="0" w:color="000000"/>
              <w:bottom w:val="single" w:sz="4" w:space="0" w:color="000000"/>
              <w:right w:val="single" w:sz="4" w:space="0" w:color="000000"/>
            </w:tcBorders>
            <w:vAlign w:val="center"/>
          </w:tcPr>
          <w:p w14:paraId="20910C79"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3</w:t>
            </w:r>
          </w:p>
        </w:tc>
        <w:tc>
          <w:tcPr>
            <w:tcW w:w="945" w:type="dxa"/>
            <w:tcBorders>
              <w:top w:val="single" w:sz="4" w:space="0" w:color="000000"/>
              <w:left w:val="single" w:sz="4" w:space="0" w:color="000000"/>
              <w:bottom w:val="single" w:sz="4" w:space="0" w:color="000000"/>
              <w:right w:val="single" w:sz="4" w:space="0" w:color="000000"/>
            </w:tcBorders>
            <w:vAlign w:val="center"/>
          </w:tcPr>
          <w:p w14:paraId="7798535F"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7</w:t>
            </w:r>
          </w:p>
        </w:tc>
        <w:tc>
          <w:tcPr>
            <w:tcW w:w="945" w:type="dxa"/>
            <w:tcBorders>
              <w:top w:val="single" w:sz="4" w:space="0" w:color="000000"/>
              <w:left w:val="single" w:sz="4" w:space="0" w:color="000000"/>
              <w:bottom w:val="single" w:sz="4" w:space="0" w:color="000000"/>
              <w:right w:val="single" w:sz="4" w:space="0" w:color="000000"/>
            </w:tcBorders>
            <w:vAlign w:val="center"/>
          </w:tcPr>
          <w:p w14:paraId="29C3666A"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c>
          <w:tcPr>
            <w:tcW w:w="945" w:type="dxa"/>
            <w:tcBorders>
              <w:top w:val="single" w:sz="4" w:space="0" w:color="000000"/>
              <w:left w:val="single" w:sz="4" w:space="0" w:color="000000"/>
              <w:bottom w:val="single" w:sz="4" w:space="0" w:color="000000"/>
              <w:right w:val="single" w:sz="4" w:space="0" w:color="000000"/>
            </w:tcBorders>
            <w:vAlign w:val="center"/>
          </w:tcPr>
          <w:p w14:paraId="483CB092"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1134" w:type="dxa"/>
            <w:tcBorders>
              <w:top w:val="single" w:sz="4" w:space="0" w:color="000000"/>
              <w:left w:val="single" w:sz="4" w:space="0" w:color="000000"/>
              <w:bottom w:val="single" w:sz="4" w:space="0" w:color="000000"/>
              <w:right w:val="single" w:sz="4" w:space="0" w:color="000000"/>
            </w:tcBorders>
            <w:vAlign w:val="center"/>
          </w:tcPr>
          <w:p w14:paraId="5B4EB67E"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c>
          <w:tcPr>
            <w:tcW w:w="1361" w:type="dxa"/>
            <w:tcBorders>
              <w:top w:val="single" w:sz="4" w:space="0" w:color="000000"/>
              <w:left w:val="single" w:sz="4" w:space="0" w:color="000000"/>
              <w:bottom w:val="single" w:sz="4" w:space="0" w:color="000000"/>
              <w:right w:val="single" w:sz="4" w:space="0" w:color="000000"/>
            </w:tcBorders>
            <w:vAlign w:val="center"/>
          </w:tcPr>
          <w:p w14:paraId="75BBD75D"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32</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r>
      <w:tr w:rsidR="0075791A" w14:paraId="449CA55B" w14:textId="77777777">
        <w:trPr>
          <w:trHeight w:val="283"/>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76DDE96C"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4</w:t>
            </w:r>
          </w:p>
        </w:tc>
        <w:tc>
          <w:tcPr>
            <w:tcW w:w="1276" w:type="dxa"/>
            <w:tcBorders>
              <w:top w:val="single" w:sz="4" w:space="0" w:color="000000"/>
              <w:left w:val="single" w:sz="4" w:space="0" w:color="000000"/>
              <w:bottom w:val="single" w:sz="4" w:space="0" w:color="000000"/>
              <w:right w:val="single" w:sz="4" w:space="0" w:color="000000"/>
            </w:tcBorders>
            <w:vAlign w:val="center"/>
          </w:tcPr>
          <w:p w14:paraId="3A50BD96"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vAlign w:val="center"/>
          </w:tcPr>
          <w:p w14:paraId="4685E5F4"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2</w:t>
            </w:r>
          </w:p>
        </w:tc>
        <w:tc>
          <w:tcPr>
            <w:tcW w:w="945" w:type="dxa"/>
            <w:tcBorders>
              <w:top w:val="single" w:sz="4" w:space="0" w:color="000000"/>
              <w:left w:val="single" w:sz="4" w:space="0" w:color="000000"/>
              <w:bottom w:val="single" w:sz="4" w:space="0" w:color="000000"/>
              <w:right w:val="single" w:sz="4" w:space="0" w:color="000000"/>
            </w:tcBorders>
            <w:vAlign w:val="center"/>
          </w:tcPr>
          <w:p w14:paraId="19D39FE7"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2</w:t>
            </w:r>
          </w:p>
        </w:tc>
        <w:tc>
          <w:tcPr>
            <w:tcW w:w="945" w:type="dxa"/>
            <w:tcBorders>
              <w:top w:val="single" w:sz="4" w:space="0" w:color="000000"/>
              <w:left w:val="single" w:sz="4" w:space="0" w:color="000000"/>
              <w:bottom w:val="single" w:sz="4" w:space="0" w:color="000000"/>
              <w:right w:val="single" w:sz="4" w:space="0" w:color="000000"/>
            </w:tcBorders>
            <w:vAlign w:val="center"/>
          </w:tcPr>
          <w:p w14:paraId="66AA27B9"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945" w:type="dxa"/>
            <w:tcBorders>
              <w:top w:val="single" w:sz="4" w:space="0" w:color="000000"/>
              <w:left w:val="single" w:sz="4" w:space="0" w:color="000000"/>
              <w:bottom w:val="single" w:sz="4" w:space="0" w:color="000000"/>
              <w:right w:val="single" w:sz="4" w:space="0" w:color="000000"/>
            </w:tcBorders>
            <w:vAlign w:val="center"/>
          </w:tcPr>
          <w:p w14:paraId="28C2D700"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55BED8F7"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12</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1361" w:type="dxa"/>
            <w:tcBorders>
              <w:top w:val="single" w:sz="4" w:space="0" w:color="000000"/>
              <w:left w:val="single" w:sz="4" w:space="0" w:color="000000"/>
              <w:bottom w:val="single" w:sz="4" w:space="0" w:color="000000"/>
              <w:right w:val="single" w:sz="4" w:space="0" w:color="000000"/>
            </w:tcBorders>
            <w:vAlign w:val="center"/>
          </w:tcPr>
          <w:p w14:paraId="15965DE4"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44</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2</w:t>
            </w:r>
          </w:p>
        </w:tc>
      </w:tr>
      <w:tr w:rsidR="0075791A" w14:paraId="095BD7B0" w14:textId="77777777">
        <w:trPr>
          <w:trHeight w:val="283"/>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4880705F"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5</w:t>
            </w:r>
          </w:p>
        </w:tc>
        <w:tc>
          <w:tcPr>
            <w:tcW w:w="1276" w:type="dxa"/>
            <w:tcBorders>
              <w:top w:val="single" w:sz="4" w:space="0" w:color="000000"/>
              <w:left w:val="single" w:sz="4" w:space="0" w:color="000000"/>
              <w:bottom w:val="single" w:sz="4" w:space="0" w:color="000000"/>
              <w:right w:val="single" w:sz="4" w:space="0" w:color="000000"/>
            </w:tcBorders>
            <w:vAlign w:val="center"/>
          </w:tcPr>
          <w:p w14:paraId="0263BDF6"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2</w:t>
            </w:r>
          </w:p>
        </w:tc>
        <w:tc>
          <w:tcPr>
            <w:tcW w:w="992" w:type="dxa"/>
            <w:tcBorders>
              <w:top w:val="single" w:sz="4" w:space="0" w:color="000000"/>
              <w:left w:val="single" w:sz="4" w:space="0" w:color="000000"/>
              <w:bottom w:val="single" w:sz="4" w:space="0" w:color="000000"/>
              <w:right w:val="single" w:sz="4" w:space="0" w:color="000000"/>
            </w:tcBorders>
            <w:vAlign w:val="center"/>
          </w:tcPr>
          <w:p w14:paraId="477B4ADA"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3</w:t>
            </w:r>
          </w:p>
        </w:tc>
        <w:tc>
          <w:tcPr>
            <w:tcW w:w="945" w:type="dxa"/>
            <w:tcBorders>
              <w:top w:val="single" w:sz="4" w:space="0" w:color="000000"/>
              <w:left w:val="single" w:sz="4" w:space="0" w:color="000000"/>
              <w:bottom w:val="single" w:sz="4" w:space="0" w:color="000000"/>
              <w:right w:val="single" w:sz="4" w:space="0" w:color="000000"/>
            </w:tcBorders>
            <w:vAlign w:val="center"/>
          </w:tcPr>
          <w:p w14:paraId="5FF367C9"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3</w:t>
            </w:r>
          </w:p>
        </w:tc>
        <w:tc>
          <w:tcPr>
            <w:tcW w:w="945" w:type="dxa"/>
            <w:tcBorders>
              <w:top w:val="single" w:sz="4" w:space="0" w:color="000000"/>
              <w:left w:val="single" w:sz="4" w:space="0" w:color="000000"/>
              <w:bottom w:val="single" w:sz="4" w:space="0" w:color="000000"/>
              <w:right w:val="single" w:sz="4" w:space="0" w:color="000000"/>
            </w:tcBorders>
            <w:vAlign w:val="center"/>
          </w:tcPr>
          <w:p w14:paraId="17E16BA7"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39</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945" w:type="dxa"/>
            <w:tcBorders>
              <w:top w:val="single" w:sz="4" w:space="0" w:color="000000"/>
              <w:left w:val="single" w:sz="4" w:space="0" w:color="000000"/>
              <w:bottom w:val="single" w:sz="4" w:space="0" w:color="000000"/>
              <w:right w:val="single" w:sz="4" w:space="0" w:color="000000"/>
            </w:tcBorders>
            <w:vAlign w:val="center"/>
          </w:tcPr>
          <w:p w14:paraId="3DEBB325"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1644653D"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3</w:t>
            </w:r>
          </w:p>
        </w:tc>
        <w:tc>
          <w:tcPr>
            <w:tcW w:w="1361" w:type="dxa"/>
            <w:tcBorders>
              <w:top w:val="single" w:sz="4" w:space="0" w:color="000000"/>
              <w:left w:val="single" w:sz="4" w:space="0" w:color="000000"/>
              <w:bottom w:val="single" w:sz="4" w:space="0" w:color="000000"/>
              <w:right w:val="single" w:sz="4" w:space="0" w:color="000000"/>
            </w:tcBorders>
            <w:vAlign w:val="center"/>
          </w:tcPr>
          <w:p w14:paraId="58ECA3FC"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47</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5</w:t>
            </w:r>
          </w:p>
        </w:tc>
      </w:tr>
      <w:tr w:rsidR="0075791A" w14:paraId="6557F5EF" w14:textId="77777777">
        <w:trPr>
          <w:trHeight w:val="283"/>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236E25F3"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6</w:t>
            </w:r>
          </w:p>
        </w:tc>
        <w:tc>
          <w:tcPr>
            <w:tcW w:w="1276" w:type="dxa"/>
            <w:tcBorders>
              <w:top w:val="single" w:sz="4" w:space="0" w:color="000000"/>
              <w:left w:val="single" w:sz="4" w:space="0" w:color="000000"/>
              <w:bottom w:val="single" w:sz="4" w:space="0" w:color="000000"/>
              <w:right w:val="single" w:sz="4" w:space="0" w:color="000000"/>
            </w:tcBorders>
            <w:vAlign w:val="center"/>
          </w:tcPr>
          <w:p w14:paraId="53B298CB"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3</w:t>
            </w:r>
          </w:p>
        </w:tc>
        <w:tc>
          <w:tcPr>
            <w:tcW w:w="992" w:type="dxa"/>
            <w:tcBorders>
              <w:top w:val="single" w:sz="4" w:space="0" w:color="000000"/>
              <w:left w:val="single" w:sz="4" w:space="0" w:color="000000"/>
              <w:bottom w:val="single" w:sz="4" w:space="0" w:color="000000"/>
              <w:right w:val="single" w:sz="4" w:space="0" w:color="000000"/>
            </w:tcBorders>
            <w:vAlign w:val="center"/>
          </w:tcPr>
          <w:p w14:paraId="059C8276"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c>
          <w:tcPr>
            <w:tcW w:w="945" w:type="dxa"/>
            <w:tcBorders>
              <w:top w:val="single" w:sz="4" w:space="0" w:color="000000"/>
              <w:left w:val="single" w:sz="4" w:space="0" w:color="000000"/>
              <w:bottom w:val="single" w:sz="4" w:space="0" w:color="000000"/>
              <w:right w:val="single" w:sz="4" w:space="0" w:color="000000"/>
            </w:tcBorders>
            <w:vAlign w:val="center"/>
          </w:tcPr>
          <w:p w14:paraId="60458CC2"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8</w:t>
            </w:r>
          </w:p>
        </w:tc>
        <w:tc>
          <w:tcPr>
            <w:tcW w:w="945" w:type="dxa"/>
            <w:tcBorders>
              <w:top w:val="single" w:sz="4" w:space="0" w:color="000000"/>
              <w:left w:val="single" w:sz="4" w:space="0" w:color="000000"/>
              <w:bottom w:val="single" w:sz="4" w:space="0" w:color="000000"/>
              <w:right w:val="single" w:sz="4" w:space="0" w:color="000000"/>
            </w:tcBorders>
            <w:vAlign w:val="center"/>
          </w:tcPr>
          <w:p w14:paraId="6735C88A"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37</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5</w:t>
            </w:r>
          </w:p>
        </w:tc>
        <w:tc>
          <w:tcPr>
            <w:tcW w:w="945" w:type="dxa"/>
            <w:tcBorders>
              <w:top w:val="single" w:sz="4" w:space="0" w:color="000000"/>
              <w:left w:val="single" w:sz="4" w:space="0" w:color="000000"/>
              <w:bottom w:val="single" w:sz="4" w:space="0" w:color="000000"/>
              <w:right w:val="single" w:sz="4" w:space="0" w:color="000000"/>
            </w:tcBorders>
            <w:vAlign w:val="center"/>
          </w:tcPr>
          <w:p w14:paraId="155B3CB6"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1134" w:type="dxa"/>
            <w:tcBorders>
              <w:top w:val="single" w:sz="4" w:space="0" w:color="000000"/>
              <w:left w:val="single" w:sz="4" w:space="0" w:color="000000"/>
              <w:bottom w:val="single" w:sz="4" w:space="0" w:color="000000"/>
              <w:right w:val="single" w:sz="4" w:space="0" w:color="000000"/>
            </w:tcBorders>
            <w:vAlign w:val="center"/>
          </w:tcPr>
          <w:p w14:paraId="6834DF24"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5"/>
              </w:rPr>
              <w:t>1</w:t>
            </w:r>
            <w:r>
              <w:rPr>
                <w:rFonts w:ascii="Times New Roman" w:eastAsia="Times New Roman" w:hAnsi="Times New Roman" w:cs="Times New Roman"/>
                <w:color w:val="auto"/>
                <w:spacing w:val="-2"/>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2"/>
              </w:rPr>
              <w:t>0</w:t>
            </w:r>
            <w:r>
              <w:rPr>
                <w:rFonts w:ascii="Times New Roman" w:eastAsia="Times New Roman" w:hAnsi="Times New Roman" w:cs="Times New Roman"/>
                <w:color w:val="auto"/>
              </w:rPr>
              <w:t>0</w:t>
            </w:r>
          </w:p>
        </w:tc>
        <w:tc>
          <w:tcPr>
            <w:tcW w:w="1361" w:type="dxa"/>
            <w:tcBorders>
              <w:top w:val="single" w:sz="4" w:space="0" w:color="000000"/>
              <w:left w:val="single" w:sz="4" w:space="0" w:color="000000"/>
              <w:bottom w:val="single" w:sz="4" w:space="0" w:color="000000"/>
              <w:right w:val="single" w:sz="4" w:space="0" w:color="000000"/>
            </w:tcBorders>
            <w:vAlign w:val="center"/>
          </w:tcPr>
          <w:p w14:paraId="4F615DCA"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42</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8</w:t>
            </w:r>
          </w:p>
        </w:tc>
      </w:tr>
      <w:tr w:rsidR="0075791A" w14:paraId="510E295C" w14:textId="77777777">
        <w:trPr>
          <w:trHeight w:val="283"/>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7A82ACB6"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7</w:t>
            </w:r>
          </w:p>
        </w:tc>
        <w:tc>
          <w:tcPr>
            <w:tcW w:w="1276" w:type="dxa"/>
            <w:tcBorders>
              <w:top w:val="single" w:sz="4" w:space="0" w:color="000000"/>
              <w:left w:val="single" w:sz="4" w:space="0" w:color="000000"/>
              <w:bottom w:val="single" w:sz="4" w:space="0" w:color="000000"/>
              <w:right w:val="single" w:sz="4" w:space="0" w:color="000000"/>
            </w:tcBorders>
            <w:vAlign w:val="center"/>
          </w:tcPr>
          <w:p w14:paraId="0228A8A0"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3</w:t>
            </w:r>
          </w:p>
        </w:tc>
        <w:tc>
          <w:tcPr>
            <w:tcW w:w="992" w:type="dxa"/>
            <w:tcBorders>
              <w:top w:val="single" w:sz="4" w:space="0" w:color="000000"/>
              <w:left w:val="single" w:sz="4" w:space="0" w:color="000000"/>
              <w:bottom w:val="single" w:sz="4" w:space="0" w:color="000000"/>
              <w:right w:val="single" w:sz="4" w:space="0" w:color="000000"/>
            </w:tcBorders>
            <w:vAlign w:val="center"/>
          </w:tcPr>
          <w:p w14:paraId="6CD9A1D1"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17</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8</w:t>
            </w:r>
          </w:p>
        </w:tc>
        <w:tc>
          <w:tcPr>
            <w:tcW w:w="945" w:type="dxa"/>
            <w:tcBorders>
              <w:top w:val="single" w:sz="4" w:space="0" w:color="000000"/>
              <w:left w:val="single" w:sz="4" w:space="0" w:color="000000"/>
              <w:bottom w:val="single" w:sz="4" w:space="0" w:color="000000"/>
              <w:right w:val="single" w:sz="4" w:space="0" w:color="000000"/>
            </w:tcBorders>
            <w:vAlign w:val="center"/>
          </w:tcPr>
          <w:p w14:paraId="7421C8C2"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945" w:type="dxa"/>
            <w:tcBorders>
              <w:top w:val="single" w:sz="4" w:space="0" w:color="000000"/>
              <w:left w:val="single" w:sz="4" w:space="0" w:color="000000"/>
              <w:bottom w:val="single" w:sz="4" w:space="0" w:color="000000"/>
              <w:right w:val="single" w:sz="4" w:space="0" w:color="000000"/>
            </w:tcBorders>
            <w:vAlign w:val="center"/>
          </w:tcPr>
          <w:p w14:paraId="4F1FB8BB"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37</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7</w:t>
            </w:r>
          </w:p>
        </w:tc>
        <w:tc>
          <w:tcPr>
            <w:tcW w:w="945" w:type="dxa"/>
            <w:tcBorders>
              <w:top w:val="single" w:sz="4" w:space="0" w:color="000000"/>
              <w:left w:val="single" w:sz="4" w:space="0" w:color="000000"/>
              <w:bottom w:val="single" w:sz="4" w:space="0" w:color="000000"/>
              <w:right w:val="single" w:sz="4" w:space="0" w:color="000000"/>
            </w:tcBorders>
            <w:vAlign w:val="center"/>
          </w:tcPr>
          <w:p w14:paraId="0EFEBA53"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5</w:t>
            </w:r>
          </w:p>
        </w:tc>
        <w:tc>
          <w:tcPr>
            <w:tcW w:w="1134" w:type="dxa"/>
            <w:tcBorders>
              <w:top w:val="single" w:sz="4" w:space="0" w:color="000000"/>
              <w:left w:val="single" w:sz="4" w:space="0" w:color="000000"/>
              <w:bottom w:val="single" w:sz="4" w:space="0" w:color="000000"/>
              <w:right w:val="single" w:sz="4" w:space="0" w:color="000000"/>
            </w:tcBorders>
            <w:vAlign w:val="center"/>
          </w:tcPr>
          <w:p w14:paraId="5D3EB434"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8</w:t>
            </w:r>
          </w:p>
        </w:tc>
        <w:tc>
          <w:tcPr>
            <w:tcW w:w="1361" w:type="dxa"/>
            <w:tcBorders>
              <w:top w:val="single" w:sz="4" w:space="0" w:color="000000"/>
              <w:left w:val="single" w:sz="4" w:space="0" w:color="000000"/>
              <w:bottom w:val="single" w:sz="4" w:space="0" w:color="000000"/>
              <w:right w:val="single" w:sz="4" w:space="0" w:color="000000"/>
            </w:tcBorders>
            <w:vAlign w:val="center"/>
          </w:tcPr>
          <w:p w14:paraId="4994159E"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40</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1</w:t>
            </w:r>
          </w:p>
        </w:tc>
      </w:tr>
      <w:tr w:rsidR="0075791A" w14:paraId="412C2D98" w14:textId="77777777">
        <w:trPr>
          <w:trHeight w:val="283"/>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27559BE5"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8</w:t>
            </w:r>
          </w:p>
        </w:tc>
        <w:tc>
          <w:tcPr>
            <w:tcW w:w="1276" w:type="dxa"/>
            <w:tcBorders>
              <w:top w:val="single" w:sz="4" w:space="0" w:color="000000"/>
              <w:left w:val="single" w:sz="4" w:space="0" w:color="000000"/>
              <w:bottom w:val="single" w:sz="4" w:space="0" w:color="000000"/>
              <w:right w:val="single" w:sz="4" w:space="0" w:color="000000"/>
            </w:tcBorders>
            <w:vAlign w:val="center"/>
          </w:tcPr>
          <w:p w14:paraId="1A4A6222"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19</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vAlign w:val="center"/>
          </w:tcPr>
          <w:p w14:paraId="32A35FD6"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945" w:type="dxa"/>
            <w:tcBorders>
              <w:top w:val="single" w:sz="4" w:space="0" w:color="000000"/>
              <w:left w:val="single" w:sz="4" w:space="0" w:color="000000"/>
              <w:bottom w:val="single" w:sz="4" w:space="0" w:color="000000"/>
              <w:right w:val="single" w:sz="4" w:space="0" w:color="000000"/>
            </w:tcBorders>
            <w:vAlign w:val="center"/>
          </w:tcPr>
          <w:p w14:paraId="40A05209"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3</w:t>
            </w:r>
          </w:p>
        </w:tc>
        <w:tc>
          <w:tcPr>
            <w:tcW w:w="945" w:type="dxa"/>
            <w:tcBorders>
              <w:top w:val="single" w:sz="4" w:space="0" w:color="000000"/>
              <w:left w:val="single" w:sz="4" w:space="0" w:color="000000"/>
              <w:bottom w:val="single" w:sz="4" w:space="0" w:color="000000"/>
              <w:right w:val="single" w:sz="4" w:space="0" w:color="000000"/>
            </w:tcBorders>
            <w:vAlign w:val="center"/>
          </w:tcPr>
          <w:p w14:paraId="6177ED12"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3</w:t>
            </w:r>
          </w:p>
        </w:tc>
        <w:tc>
          <w:tcPr>
            <w:tcW w:w="945" w:type="dxa"/>
            <w:tcBorders>
              <w:top w:val="single" w:sz="4" w:space="0" w:color="000000"/>
              <w:left w:val="single" w:sz="4" w:space="0" w:color="000000"/>
              <w:bottom w:val="single" w:sz="4" w:space="0" w:color="000000"/>
              <w:right w:val="single" w:sz="4" w:space="0" w:color="000000"/>
            </w:tcBorders>
            <w:vAlign w:val="center"/>
          </w:tcPr>
          <w:p w14:paraId="50CEC885"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7</w:t>
            </w:r>
          </w:p>
        </w:tc>
        <w:tc>
          <w:tcPr>
            <w:tcW w:w="1134" w:type="dxa"/>
            <w:tcBorders>
              <w:top w:val="single" w:sz="4" w:space="0" w:color="000000"/>
              <w:left w:val="single" w:sz="4" w:space="0" w:color="000000"/>
              <w:bottom w:val="single" w:sz="4" w:space="0" w:color="000000"/>
              <w:right w:val="single" w:sz="4" w:space="0" w:color="000000"/>
            </w:tcBorders>
            <w:vAlign w:val="center"/>
          </w:tcPr>
          <w:p w14:paraId="27EF6F42"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8</w:t>
            </w:r>
          </w:p>
        </w:tc>
        <w:tc>
          <w:tcPr>
            <w:tcW w:w="1361" w:type="dxa"/>
            <w:tcBorders>
              <w:top w:val="single" w:sz="4" w:space="0" w:color="000000"/>
              <w:left w:val="single" w:sz="4" w:space="0" w:color="000000"/>
              <w:bottom w:val="single" w:sz="4" w:space="0" w:color="000000"/>
              <w:right w:val="single" w:sz="4" w:space="0" w:color="000000"/>
            </w:tcBorders>
            <w:vAlign w:val="center"/>
          </w:tcPr>
          <w:p w14:paraId="278C01C2"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22</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8</w:t>
            </w:r>
          </w:p>
        </w:tc>
      </w:tr>
      <w:tr w:rsidR="0075791A" w14:paraId="131A1B39" w14:textId="77777777">
        <w:trPr>
          <w:trHeight w:val="283"/>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56DDE9F2"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rPr>
              <w:t>9</w:t>
            </w:r>
          </w:p>
        </w:tc>
        <w:tc>
          <w:tcPr>
            <w:tcW w:w="1276" w:type="dxa"/>
            <w:tcBorders>
              <w:top w:val="single" w:sz="4" w:space="0" w:color="000000"/>
              <w:left w:val="single" w:sz="4" w:space="0" w:color="000000"/>
              <w:bottom w:val="single" w:sz="4" w:space="0" w:color="000000"/>
              <w:right w:val="single" w:sz="4" w:space="0" w:color="000000"/>
            </w:tcBorders>
            <w:vAlign w:val="center"/>
          </w:tcPr>
          <w:p w14:paraId="1A64DEEE"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7</w:t>
            </w:r>
          </w:p>
        </w:tc>
        <w:tc>
          <w:tcPr>
            <w:tcW w:w="992" w:type="dxa"/>
            <w:tcBorders>
              <w:top w:val="single" w:sz="4" w:space="0" w:color="000000"/>
              <w:left w:val="single" w:sz="4" w:space="0" w:color="000000"/>
              <w:bottom w:val="single" w:sz="4" w:space="0" w:color="000000"/>
              <w:right w:val="single" w:sz="4" w:space="0" w:color="000000"/>
            </w:tcBorders>
            <w:vAlign w:val="center"/>
          </w:tcPr>
          <w:p w14:paraId="2AC90729"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945" w:type="dxa"/>
            <w:tcBorders>
              <w:top w:val="single" w:sz="4" w:space="0" w:color="000000"/>
              <w:left w:val="single" w:sz="4" w:space="0" w:color="000000"/>
              <w:bottom w:val="single" w:sz="4" w:space="0" w:color="000000"/>
              <w:right w:val="single" w:sz="4" w:space="0" w:color="000000"/>
            </w:tcBorders>
            <w:vAlign w:val="center"/>
          </w:tcPr>
          <w:p w14:paraId="7D247A4B"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8</w:t>
            </w:r>
          </w:p>
        </w:tc>
        <w:tc>
          <w:tcPr>
            <w:tcW w:w="945" w:type="dxa"/>
            <w:tcBorders>
              <w:top w:val="single" w:sz="4" w:space="0" w:color="000000"/>
              <w:left w:val="single" w:sz="4" w:space="0" w:color="000000"/>
              <w:bottom w:val="single" w:sz="4" w:space="0" w:color="000000"/>
              <w:right w:val="single" w:sz="4" w:space="0" w:color="000000"/>
            </w:tcBorders>
            <w:vAlign w:val="center"/>
          </w:tcPr>
          <w:p w14:paraId="7B749D9B"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5</w:t>
            </w:r>
          </w:p>
        </w:tc>
        <w:tc>
          <w:tcPr>
            <w:tcW w:w="945" w:type="dxa"/>
            <w:tcBorders>
              <w:top w:val="single" w:sz="4" w:space="0" w:color="000000"/>
              <w:left w:val="single" w:sz="4" w:space="0" w:color="000000"/>
              <w:bottom w:val="single" w:sz="4" w:space="0" w:color="000000"/>
              <w:right w:val="single" w:sz="4" w:space="0" w:color="000000"/>
            </w:tcBorders>
            <w:vAlign w:val="center"/>
          </w:tcPr>
          <w:p w14:paraId="43CF4802"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7</w:t>
            </w:r>
          </w:p>
        </w:tc>
        <w:tc>
          <w:tcPr>
            <w:tcW w:w="1134" w:type="dxa"/>
            <w:tcBorders>
              <w:top w:val="single" w:sz="4" w:space="0" w:color="000000"/>
              <w:left w:val="single" w:sz="4" w:space="0" w:color="000000"/>
              <w:bottom w:val="single" w:sz="4" w:space="0" w:color="000000"/>
              <w:right w:val="single" w:sz="4" w:space="0" w:color="000000"/>
            </w:tcBorders>
            <w:vAlign w:val="center"/>
          </w:tcPr>
          <w:p w14:paraId="020A4295"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4</w:t>
            </w:r>
          </w:p>
        </w:tc>
        <w:tc>
          <w:tcPr>
            <w:tcW w:w="1361" w:type="dxa"/>
            <w:tcBorders>
              <w:top w:val="single" w:sz="4" w:space="0" w:color="000000"/>
              <w:left w:val="single" w:sz="4" w:space="0" w:color="000000"/>
              <w:bottom w:val="single" w:sz="4" w:space="0" w:color="000000"/>
              <w:right w:val="single" w:sz="4" w:space="0" w:color="000000"/>
            </w:tcBorders>
            <w:vAlign w:val="center"/>
          </w:tcPr>
          <w:p w14:paraId="5EA8F70A"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27</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7</w:t>
            </w:r>
          </w:p>
        </w:tc>
      </w:tr>
      <w:tr w:rsidR="0075791A" w14:paraId="564827FA" w14:textId="77777777">
        <w:trPr>
          <w:trHeight w:val="283"/>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6B9302FD"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0</w:t>
            </w:r>
          </w:p>
        </w:tc>
        <w:tc>
          <w:tcPr>
            <w:tcW w:w="1276" w:type="dxa"/>
            <w:tcBorders>
              <w:top w:val="single" w:sz="4" w:space="0" w:color="000000"/>
              <w:left w:val="single" w:sz="4" w:space="0" w:color="000000"/>
              <w:bottom w:val="single" w:sz="4" w:space="0" w:color="000000"/>
              <w:right w:val="single" w:sz="4" w:space="0" w:color="000000"/>
            </w:tcBorders>
            <w:vAlign w:val="center"/>
          </w:tcPr>
          <w:p w14:paraId="01E6A757"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37</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992" w:type="dxa"/>
            <w:tcBorders>
              <w:top w:val="single" w:sz="4" w:space="0" w:color="000000"/>
              <w:left w:val="single" w:sz="4" w:space="0" w:color="000000"/>
              <w:bottom w:val="single" w:sz="4" w:space="0" w:color="000000"/>
              <w:right w:val="single" w:sz="4" w:space="0" w:color="000000"/>
            </w:tcBorders>
            <w:vAlign w:val="center"/>
          </w:tcPr>
          <w:p w14:paraId="08AE58CD"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945" w:type="dxa"/>
            <w:tcBorders>
              <w:top w:val="single" w:sz="4" w:space="0" w:color="000000"/>
              <w:left w:val="single" w:sz="4" w:space="0" w:color="000000"/>
              <w:bottom w:val="single" w:sz="4" w:space="0" w:color="000000"/>
              <w:right w:val="single" w:sz="4" w:space="0" w:color="000000"/>
            </w:tcBorders>
            <w:vAlign w:val="center"/>
          </w:tcPr>
          <w:p w14:paraId="239159B0"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2</w:t>
            </w:r>
          </w:p>
        </w:tc>
        <w:tc>
          <w:tcPr>
            <w:tcW w:w="945" w:type="dxa"/>
            <w:tcBorders>
              <w:top w:val="single" w:sz="4" w:space="0" w:color="000000"/>
              <w:left w:val="single" w:sz="4" w:space="0" w:color="000000"/>
              <w:bottom w:val="single" w:sz="4" w:space="0" w:color="000000"/>
              <w:right w:val="single" w:sz="4" w:space="0" w:color="000000"/>
            </w:tcBorders>
            <w:vAlign w:val="center"/>
          </w:tcPr>
          <w:p w14:paraId="1A2A7BAA"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0</w:t>
            </w:r>
          </w:p>
        </w:tc>
        <w:tc>
          <w:tcPr>
            <w:tcW w:w="945" w:type="dxa"/>
            <w:tcBorders>
              <w:top w:val="single" w:sz="4" w:space="0" w:color="000000"/>
              <w:left w:val="single" w:sz="4" w:space="0" w:color="000000"/>
              <w:bottom w:val="single" w:sz="4" w:space="0" w:color="000000"/>
              <w:right w:val="single" w:sz="4" w:space="0" w:color="000000"/>
            </w:tcBorders>
            <w:vAlign w:val="center"/>
          </w:tcPr>
          <w:p w14:paraId="6AD6DEF7"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5034A6BF"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1361" w:type="dxa"/>
            <w:tcBorders>
              <w:top w:val="single" w:sz="4" w:space="0" w:color="000000"/>
              <w:left w:val="single" w:sz="4" w:space="0" w:color="000000"/>
              <w:bottom w:val="single" w:sz="4" w:space="0" w:color="000000"/>
              <w:right w:val="single" w:sz="4" w:space="0" w:color="000000"/>
            </w:tcBorders>
            <w:vAlign w:val="center"/>
          </w:tcPr>
          <w:p w14:paraId="0EEDDD1C"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37</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r>
      <w:tr w:rsidR="0075791A" w14:paraId="1118F7D0" w14:textId="77777777">
        <w:trPr>
          <w:trHeight w:val="283"/>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2932937D"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5"/>
              </w:rPr>
              <w:lastRenderedPageBreak/>
              <w:t>1</w:t>
            </w:r>
            <w:r>
              <w:rPr>
                <w:rFonts w:ascii="Times New Roman" w:eastAsia="Times New Roman" w:hAnsi="Times New Roman" w:cs="Times New Roman"/>
                <w:color w:val="auto"/>
              </w:rPr>
              <w:t>1</w:t>
            </w:r>
          </w:p>
        </w:tc>
        <w:tc>
          <w:tcPr>
            <w:tcW w:w="1276" w:type="dxa"/>
            <w:tcBorders>
              <w:top w:val="single" w:sz="4" w:space="0" w:color="000000"/>
              <w:left w:val="single" w:sz="4" w:space="0" w:color="000000"/>
              <w:bottom w:val="single" w:sz="4" w:space="0" w:color="000000"/>
              <w:right w:val="single" w:sz="4" w:space="0" w:color="000000"/>
            </w:tcBorders>
            <w:vAlign w:val="center"/>
          </w:tcPr>
          <w:p w14:paraId="1450EAF2"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5</w:t>
            </w:r>
          </w:p>
        </w:tc>
        <w:tc>
          <w:tcPr>
            <w:tcW w:w="992" w:type="dxa"/>
            <w:tcBorders>
              <w:top w:val="single" w:sz="4" w:space="0" w:color="000000"/>
              <w:left w:val="single" w:sz="4" w:space="0" w:color="000000"/>
              <w:bottom w:val="single" w:sz="4" w:space="0" w:color="000000"/>
              <w:right w:val="single" w:sz="4" w:space="0" w:color="000000"/>
            </w:tcBorders>
            <w:vAlign w:val="center"/>
          </w:tcPr>
          <w:p w14:paraId="7F51F2CB"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0</w:t>
            </w:r>
          </w:p>
        </w:tc>
        <w:tc>
          <w:tcPr>
            <w:tcW w:w="945" w:type="dxa"/>
            <w:tcBorders>
              <w:top w:val="single" w:sz="4" w:space="0" w:color="000000"/>
              <w:left w:val="single" w:sz="4" w:space="0" w:color="000000"/>
              <w:bottom w:val="single" w:sz="4" w:space="0" w:color="000000"/>
              <w:right w:val="single" w:sz="4" w:space="0" w:color="000000"/>
            </w:tcBorders>
            <w:vAlign w:val="center"/>
          </w:tcPr>
          <w:p w14:paraId="05DC4E62"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2</w:t>
            </w:r>
          </w:p>
        </w:tc>
        <w:tc>
          <w:tcPr>
            <w:tcW w:w="945" w:type="dxa"/>
            <w:tcBorders>
              <w:top w:val="single" w:sz="4" w:space="0" w:color="000000"/>
              <w:left w:val="single" w:sz="4" w:space="0" w:color="000000"/>
              <w:bottom w:val="single" w:sz="4" w:space="0" w:color="000000"/>
              <w:right w:val="single" w:sz="4" w:space="0" w:color="000000"/>
            </w:tcBorders>
            <w:vAlign w:val="center"/>
          </w:tcPr>
          <w:p w14:paraId="6FB7CA29"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72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7</w:t>
            </w:r>
          </w:p>
        </w:tc>
        <w:tc>
          <w:tcPr>
            <w:tcW w:w="945" w:type="dxa"/>
            <w:tcBorders>
              <w:top w:val="single" w:sz="4" w:space="0" w:color="000000"/>
              <w:left w:val="single" w:sz="4" w:space="0" w:color="000000"/>
              <w:bottom w:val="single" w:sz="4" w:space="0" w:color="000000"/>
              <w:right w:val="single" w:sz="4" w:space="0" w:color="000000"/>
            </w:tcBorders>
            <w:vAlign w:val="center"/>
          </w:tcPr>
          <w:p w14:paraId="78D36873"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1134" w:type="dxa"/>
            <w:tcBorders>
              <w:top w:val="single" w:sz="4" w:space="0" w:color="000000"/>
              <w:left w:val="single" w:sz="4" w:space="0" w:color="000000"/>
              <w:bottom w:val="single" w:sz="4" w:space="0" w:color="000000"/>
              <w:right w:val="single" w:sz="4" w:space="0" w:color="000000"/>
            </w:tcBorders>
            <w:vAlign w:val="center"/>
          </w:tcPr>
          <w:p w14:paraId="615AF0CC"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9</w:t>
            </w:r>
          </w:p>
        </w:tc>
        <w:tc>
          <w:tcPr>
            <w:tcW w:w="1361" w:type="dxa"/>
            <w:tcBorders>
              <w:top w:val="single" w:sz="4" w:space="0" w:color="000000"/>
              <w:left w:val="single" w:sz="4" w:space="0" w:color="000000"/>
              <w:bottom w:val="single" w:sz="4" w:space="0" w:color="000000"/>
              <w:right w:val="single" w:sz="4" w:space="0" w:color="000000"/>
            </w:tcBorders>
            <w:vAlign w:val="center"/>
          </w:tcPr>
          <w:p w14:paraId="78D4A709"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20</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5</w:t>
            </w:r>
          </w:p>
        </w:tc>
      </w:tr>
      <w:tr w:rsidR="0075791A" w14:paraId="66DC7B49" w14:textId="77777777">
        <w:trPr>
          <w:trHeight w:val="283"/>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05E79DA3"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2</w:t>
            </w:r>
          </w:p>
        </w:tc>
        <w:tc>
          <w:tcPr>
            <w:tcW w:w="1276" w:type="dxa"/>
            <w:tcBorders>
              <w:top w:val="single" w:sz="4" w:space="0" w:color="000000"/>
              <w:left w:val="single" w:sz="4" w:space="0" w:color="000000"/>
              <w:bottom w:val="single" w:sz="4" w:space="0" w:color="000000"/>
              <w:right w:val="single" w:sz="4" w:space="0" w:color="000000"/>
            </w:tcBorders>
            <w:vAlign w:val="center"/>
          </w:tcPr>
          <w:p w14:paraId="21973D19"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0</w:t>
            </w:r>
          </w:p>
        </w:tc>
        <w:tc>
          <w:tcPr>
            <w:tcW w:w="992" w:type="dxa"/>
            <w:tcBorders>
              <w:top w:val="single" w:sz="4" w:space="0" w:color="000000"/>
              <w:left w:val="single" w:sz="4" w:space="0" w:color="000000"/>
              <w:bottom w:val="single" w:sz="4" w:space="0" w:color="000000"/>
              <w:right w:val="single" w:sz="4" w:space="0" w:color="000000"/>
            </w:tcBorders>
            <w:vAlign w:val="center"/>
          </w:tcPr>
          <w:p w14:paraId="420FBB7A"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0</w:t>
            </w:r>
            <w:r>
              <w:rPr>
                <w:rFonts w:ascii="Times New Roman" w:eastAsia="Times New Roman" w:hAnsi="Times New Roman" w:cs="Times New Roman"/>
                <w:color w:val="auto"/>
              </w:rPr>
              <w:t>8</w:t>
            </w:r>
          </w:p>
        </w:tc>
        <w:tc>
          <w:tcPr>
            <w:tcW w:w="945" w:type="dxa"/>
            <w:tcBorders>
              <w:top w:val="single" w:sz="4" w:space="0" w:color="000000"/>
              <w:left w:val="single" w:sz="4" w:space="0" w:color="000000"/>
              <w:bottom w:val="single" w:sz="4" w:space="0" w:color="000000"/>
              <w:right w:val="single" w:sz="4" w:space="0" w:color="000000"/>
            </w:tcBorders>
            <w:vAlign w:val="center"/>
          </w:tcPr>
          <w:p w14:paraId="70981787"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2</w:t>
            </w:r>
          </w:p>
        </w:tc>
        <w:tc>
          <w:tcPr>
            <w:tcW w:w="945" w:type="dxa"/>
            <w:tcBorders>
              <w:top w:val="single" w:sz="4" w:space="0" w:color="000000"/>
              <w:left w:val="single" w:sz="4" w:space="0" w:color="000000"/>
              <w:bottom w:val="single" w:sz="4" w:space="0" w:color="000000"/>
              <w:right w:val="single" w:sz="4" w:space="0" w:color="000000"/>
            </w:tcBorders>
            <w:vAlign w:val="center"/>
          </w:tcPr>
          <w:p w14:paraId="15CB7894"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2</w:t>
            </w:r>
          </w:p>
        </w:tc>
        <w:tc>
          <w:tcPr>
            <w:tcW w:w="945" w:type="dxa"/>
            <w:tcBorders>
              <w:top w:val="single" w:sz="4" w:space="0" w:color="000000"/>
              <w:left w:val="single" w:sz="4" w:space="0" w:color="000000"/>
              <w:bottom w:val="single" w:sz="4" w:space="0" w:color="000000"/>
              <w:right w:val="single" w:sz="4" w:space="0" w:color="000000"/>
            </w:tcBorders>
            <w:vAlign w:val="center"/>
          </w:tcPr>
          <w:p w14:paraId="39DD73D9"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7</w:t>
            </w:r>
          </w:p>
        </w:tc>
        <w:tc>
          <w:tcPr>
            <w:tcW w:w="1134" w:type="dxa"/>
            <w:tcBorders>
              <w:top w:val="single" w:sz="4" w:space="0" w:color="000000"/>
              <w:left w:val="single" w:sz="4" w:space="0" w:color="000000"/>
              <w:bottom w:val="single" w:sz="4" w:space="0" w:color="000000"/>
              <w:right w:val="single" w:sz="4" w:space="0" w:color="000000"/>
            </w:tcBorders>
            <w:vAlign w:val="center"/>
          </w:tcPr>
          <w:p w14:paraId="7FB21A81"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15</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1</w:t>
            </w:r>
          </w:p>
        </w:tc>
        <w:tc>
          <w:tcPr>
            <w:tcW w:w="1361" w:type="dxa"/>
            <w:tcBorders>
              <w:top w:val="single" w:sz="4" w:space="0" w:color="000000"/>
              <w:left w:val="single" w:sz="4" w:space="0" w:color="000000"/>
              <w:bottom w:val="single" w:sz="4" w:space="0" w:color="000000"/>
              <w:right w:val="single" w:sz="4" w:space="0" w:color="000000"/>
            </w:tcBorders>
            <w:vAlign w:val="center"/>
          </w:tcPr>
          <w:p w14:paraId="6EAFBC6C"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20</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8</w:t>
            </w:r>
          </w:p>
        </w:tc>
      </w:tr>
      <w:tr w:rsidR="0075791A" w14:paraId="04146628" w14:textId="77777777">
        <w:trPr>
          <w:trHeight w:val="283"/>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337289B2"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3</w:t>
            </w:r>
          </w:p>
        </w:tc>
        <w:tc>
          <w:tcPr>
            <w:tcW w:w="1276" w:type="dxa"/>
            <w:tcBorders>
              <w:top w:val="single" w:sz="4" w:space="0" w:color="000000"/>
              <w:left w:val="single" w:sz="4" w:space="0" w:color="000000"/>
              <w:bottom w:val="single" w:sz="4" w:space="0" w:color="000000"/>
              <w:right w:val="single" w:sz="4" w:space="0" w:color="000000"/>
            </w:tcBorders>
            <w:vAlign w:val="center"/>
          </w:tcPr>
          <w:p w14:paraId="4C1933E6"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6</w:t>
            </w:r>
            <w:r>
              <w:rPr>
                <w:rFonts w:ascii="Times New Roman" w:eastAsia="Times New Roman" w:hAnsi="Times New Roman" w:cs="Times New Roman"/>
                <w:color w:val="auto"/>
              </w:rPr>
              <w:t>7</w:t>
            </w:r>
          </w:p>
        </w:tc>
        <w:tc>
          <w:tcPr>
            <w:tcW w:w="992" w:type="dxa"/>
            <w:tcBorders>
              <w:top w:val="single" w:sz="4" w:space="0" w:color="000000"/>
              <w:left w:val="single" w:sz="4" w:space="0" w:color="000000"/>
              <w:bottom w:val="single" w:sz="4" w:space="0" w:color="000000"/>
              <w:right w:val="single" w:sz="4" w:space="0" w:color="000000"/>
            </w:tcBorders>
            <w:vAlign w:val="center"/>
          </w:tcPr>
          <w:p w14:paraId="7DE8EE45"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8</w:t>
            </w:r>
          </w:p>
        </w:tc>
        <w:tc>
          <w:tcPr>
            <w:tcW w:w="945" w:type="dxa"/>
            <w:tcBorders>
              <w:top w:val="single" w:sz="4" w:space="0" w:color="000000"/>
              <w:left w:val="single" w:sz="4" w:space="0" w:color="000000"/>
              <w:bottom w:val="single" w:sz="4" w:space="0" w:color="000000"/>
              <w:right w:val="single" w:sz="4" w:space="0" w:color="000000"/>
            </w:tcBorders>
            <w:vAlign w:val="center"/>
          </w:tcPr>
          <w:p w14:paraId="6C09C699"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7</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2</w:t>
            </w:r>
          </w:p>
        </w:tc>
        <w:tc>
          <w:tcPr>
            <w:tcW w:w="945" w:type="dxa"/>
            <w:tcBorders>
              <w:top w:val="single" w:sz="4" w:space="0" w:color="000000"/>
              <w:left w:val="single" w:sz="4" w:space="0" w:color="000000"/>
              <w:bottom w:val="single" w:sz="4" w:space="0" w:color="000000"/>
              <w:right w:val="single" w:sz="4" w:space="0" w:color="000000"/>
            </w:tcBorders>
            <w:vAlign w:val="center"/>
          </w:tcPr>
          <w:p w14:paraId="4E14CD66"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51</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2</w:t>
            </w:r>
          </w:p>
        </w:tc>
        <w:tc>
          <w:tcPr>
            <w:tcW w:w="945" w:type="dxa"/>
            <w:tcBorders>
              <w:top w:val="single" w:sz="4" w:space="0" w:color="000000"/>
              <w:left w:val="single" w:sz="4" w:space="0" w:color="000000"/>
              <w:bottom w:val="single" w:sz="4" w:space="0" w:color="000000"/>
              <w:right w:val="single" w:sz="4" w:space="0" w:color="000000"/>
            </w:tcBorders>
            <w:vAlign w:val="center"/>
          </w:tcPr>
          <w:p w14:paraId="0F18989A"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9</w:t>
            </w:r>
            <w:r>
              <w:rPr>
                <w:rFonts w:ascii="Times New Roman" w:eastAsia="Times New Roman" w:hAnsi="Times New Roman" w:cs="Times New Roman"/>
                <w:color w:val="auto"/>
              </w:rPr>
              <w:t>2</w:t>
            </w:r>
          </w:p>
        </w:tc>
        <w:tc>
          <w:tcPr>
            <w:tcW w:w="1134" w:type="dxa"/>
            <w:tcBorders>
              <w:top w:val="single" w:sz="4" w:space="0" w:color="000000"/>
              <w:left w:val="single" w:sz="4" w:space="0" w:color="000000"/>
              <w:bottom w:val="single" w:sz="4" w:space="0" w:color="000000"/>
              <w:right w:val="single" w:sz="4" w:space="0" w:color="000000"/>
            </w:tcBorders>
            <w:vAlign w:val="center"/>
          </w:tcPr>
          <w:p w14:paraId="3DA2F78E"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7</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1</w:t>
            </w:r>
          </w:p>
        </w:tc>
        <w:tc>
          <w:tcPr>
            <w:tcW w:w="1361" w:type="dxa"/>
            <w:tcBorders>
              <w:top w:val="single" w:sz="4" w:space="0" w:color="000000"/>
              <w:left w:val="single" w:sz="4" w:space="0" w:color="000000"/>
              <w:bottom w:val="single" w:sz="4" w:space="0" w:color="000000"/>
              <w:right w:val="single" w:sz="4" w:space="0" w:color="000000"/>
            </w:tcBorders>
            <w:vAlign w:val="center"/>
          </w:tcPr>
          <w:p w14:paraId="2FFFD17D"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32</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2</w:t>
            </w:r>
            <w:r>
              <w:rPr>
                <w:rFonts w:ascii="Times New Roman" w:eastAsia="Times New Roman" w:hAnsi="Times New Roman" w:cs="Times New Roman"/>
                <w:color w:val="auto"/>
              </w:rPr>
              <w:t>5</w:t>
            </w:r>
          </w:p>
        </w:tc>
      </w:tr>
      <w:tr w:rsidR="0075791A" w14:paraId="37CC3B94" w14:textId="77777777">
        <w:trPr>
          <w:trHeight w:val="283"/>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1D9FB36C" w14:textId="77777777" w:rsidR="0075791A" w:rsidRDefault="00FB2864">
            <w:pPr>
              <w:pStyle w:val="TableParagraph"/>
              <w:jc w:val="center"/>
              <w:rPr>
                <w:rFonts w:ascii="宋体" w:eastAsia="宋体" w:hAnsi="宋体" w:cs="宋体"/>
                <w:color w:val="auto"/>
              </w:rPr>
            </w:pPr>
            <w:r>
              <w:rPr>
                <w:rFonts w:ascii="宋体" w:eastAsia="宋体" w:hAnsi="宋体" w:cs="宋体"/>
                <w:color w:val="auto"/>
                <w:spacing w:val="-1"/>
              </w:rPr>
              <w:t>平</w:t>
            </w:r>
            <w:r>
              <w:rPr>
                <w:rFonts w:ascii="宋体" w:eastAsia="宋体" w:hAnsi="宋体" w:cs="宋体"/>
                <w:color w:val="auto"/>
              </w:rPr>
              <w:t>均</w:t>
            </w:r>
          </w:p>
        </w:tc>
        <w:tc>
          <w:tcPr>
            <w:tcW w:w="1276" w:type="dxa"/>
            <w:tcBorders>
              <w:top w:val="single" w:sz="4" w:space="0" w:color="000000"/>
              <w:left w:val="single" w:sz="4" w:space="0" w:color="000000"/>
              <w:bottom w:val="single" w:sz="4" w:space="0" w:color="000000"/>
              <w:right w:val="single" w:sz="4" w:space="0" w:color="000000"/>
            </w:tcBorders>
            <w:vAlign w:val="center"/>
          </w:tcPr>
          <w:p w14:paraId="12B2F421"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28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2</w:t>
            </w:r>
          </w:p>
        </w:tc>
        <w:tc>
          <w:tcPr>
            <w:tcW w:w="992" w:type="dxa"/>
            <w:tcBorders>
              <w:top w:val="single" w:sz="4" w:space="0" w:color="000000"/>
              <w:left w:val="single" w:sz="4" w:space="0" w:color="000000"/>
              <w:bottom w:val="single" w:sz="4" w:space="0" w:color="000000"/>
              <w:right w:val="single" w:sz="4" w:space="0" w:color="000000"/>
            </w:tcBorders>
            <w:vAlign w:val="center"/>
          </w:tcPr>
          <w:p w14:paraId="764C4ACF"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1</w:t>
            </w:r>
            <w:r>
              <w:rPr>
                <w:rFonts w:ascii="Times New Roman" w:eastAsia="Times New Roman" w:hAnsi="Times New Roman" w:cs="Times New Roman"/>
                <w:color w:val="auto"/>
              </w:rPr>
              <w:t>4</w:t>
            </w:r>
          </w:p>
        </w:tc>
        <w:tc>
          <w:tcPr>
            <w:tcW w:w="945" w:type="dxa"/>
            <w:tcBorders>
              <w:top w:val="single" w:sz="4" w:space="0" w:color="000000"/>
              <w:left w:val="single" w:sz="4" w:space="0" w:color="000000"/>
              <w:bottom w:val="single" w:sz="4" w:space="0" w:color="000000"/>
              <w:right w:val="single" w:sz="4" w:space="0" w:color="000000"/>
            </w:tcBorders>
            <w:vAlign w:val="center"/>
          </w:tcPr>
          <w:p w14:paraId="67DEE993"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7</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5</w:t>
            </w:r>
            <w:r>
              <w:rPr>
                <w:rFonts w:ascii="Times New Roman" w:eastAsia="Times New Roman" w:hAnsi="Times New Roman" w:cs="Times New Roman"/>
                <w:color w:val="auto"/>
              </w:rPr>
              <w:t>8</w:t>
            </w:r>
          </w:p>
        </w:tc>
        <w:tc>
          <w:tcPr>
            <w:tcW w:w="945" w:type="dxa"/>
            <w:tcBorders>
              <w:top w:val="single" w:sz="4" w:space="0" w:color="000000"/>
              <w:left w:val="single" w:sz="4" w:space="0" w:color="000000"/>
              <w:bottom w:val="single" w:sz="4" w:space="0" w:color="000000"/>
              <w:right w:val="single" w:sz="4" w:space="0" w:color="000000"/>
            </w:tcBorders>
            <w:vAlign w:val="center"/>
          </w:tcPr>
          <w:p w14:paraId="6DB38856"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48</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3</w:t>
            </w:r>
            <w:r>
              <w:rPr>
                <w:rFonts w:ascii="Times New Roman" w:eastAsia="Times New Roman" w:hAnsi="Times New Roman" w:cs="Times New Roman"/>
                <w:color w:val="auto"/>
              </w:rPr>
              <w:t>5</w:t>
            </w:r>
          </w:p>
        </w:tc>
        <w:tc>
          <w:tcPr>
            <w:tcW w:w="945" w:type="dxa"/>
            <w:tcBorders>
              <w:top w:val="single" w:sz="4" w:space="0" w:color="000000"/>
              <w:left w:val="single" w:sz="4" w:space="0" w:color="000000"/>
              <w:bottom w:val="single" w:sz="4" w:space="0" w:color="000000"/>
              <w:right w:val="single" w:sz="4" w:space="0" w:color="000000"/>
            </w:tcBorders>
            <w:vAlign w:val="center"/>
          </w:tcPr>
          <w:p w14:paraId="1B824694"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0</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7</w:t>
            </w:r>
            <w:r>
              <w:rPr>
                <w:rFonts w:ascii="Times New Roman" w:eastAsia="Times New Roman" w:hAnsi="Times New Roman" w:cs="Times New Roman"/>
                <w:color w:val="auto"/>
              </w:rPr>
              <w:t>3</w:t>
            </w:r>
          </w:p>
        </w:tc>
        <w:tc>
          <w:tcPr>
            <w:tcW w:w="1134" w:type="dxa"/>
            <w:tcBorders>
              <w:top w:val="single" w:sz="4" w:space="0" w:color="000000"/>
              <w:left w:val="single" w:sz="4" w:space="0" w:color="000000"/>
              <w:bottom w:val="single" w:sz="4" w:space="0" w:color="000000"/>
              <w:right w:val="single" w:sz="4" w:space="0" w:color="000000"/>
            </w:tcBorders>
            <w:vAlign w:val="center"/>
          </w:tcPr>
          <w:p w14:paraId="6FDA4EA4"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6</w:t>
            </w:r>
            <w:r>
              <w:rPr>
                <w:rFonts w:ascii="Times New Roman" w:eastAsia="Times New Roman" w:hAnsi="Times New Roman" w:cs="Times New Roman"/>
                <w:color w:val="auto"/>
              </w:rPr>
              <w:t>.</w:t>
            </w:r>
            <w:r>
              <w:rPr>
                <w:rFonts w:ascii="Times New Roman" w:eastAsia="Times New Roman" w:hAnsi="Times New Roman" w:cs="Times New Roman"/>
                <w:color w:val="auto"/>
                <w:spacing w:val="1"/>
              </w:rPr>
              <w:t>4</w:t>
            </w:r>
            <w:r>
              <w:rPr>
                <w:rFonts w:ascii="Times New Roman" w:eastAsia="Times New Roman" w:hAnsi="Times New Roman" w:cs="Times New Roman"/>
                <w:color w:val="auto"/>
              </w:rPr>
              <w:t>9</w:t>
            </w:r>
          </w:p>
        </w:tc>
        <w:tc>
          <w:tcPr>
            <w:tcW w:w="1361" w:type="dxa"/>
            <w:tcBorders>
              <w:top w:val="single" w:sz="4" w:space="0" w:color="000000"/>
              <w:left w:val="single" w:sz="4" w:space="0" w:color="000000"/>
              <w:bottom w:val="single" w:sz="4" w:space="0" w:color="000000"/>
              <w:right w:val="single" w:sz="4" w:space="0" w:color="000000"/>
            </w:tcBorders>
            <w:vAlign w:val="center"/>
          </w:tcPr>
          <w:p w14:paraId="2507D03B" w14:textId="77777777" w:rsidR="0075791A" w:rsidRDefault="00FB2864">
            <w:pPr>
              <w:pStyle w:val="TableParagraph"/>
              <w:jc w:val="center"/>
              <w:rPr>
                <w:rFonts w:ascii="Times New Roman" w:eastAsia="Times New Roman" w:hAnsi="Times New Roman" w:cs="Times New Roman"/>
                <w:color w:val="auto"/>
              </w:rPr>
            </w:pPr>
            <w:r>
              <w:rPr>
                <w:rFonts w:ascii="Times New Roman" w:eastAsia="Times New Roman" w:hAnsi="Times New Roman" w:cs="Times New Roman"/>
                <w:color w:val="auto"/>
                <w:spacing w:val="1"/>
              </w:rPr>
              <w:t>36</w:t>
            </w:r>
            <w:r>
              <w:rPr>
                <w:rFonts w:ascii="Times New Roman" w:eastAsia="Times New Roman" w:hAnsi="Times New Roman" w:cs="Times New Roman"/>
                <w:color w:val="auto"/>
                <w:spacing w:val="-2"/>
              </w:rPr>
              <w:t>.</w:t>
            </w:r>
            <w:r>
              <w:rPr>
                <w:rFonts w:ascii="Times New Roman" w:eastAsia="Times New Roman" w:hAnsi="Times New Roman" w:cs="Times New Roman"/>
                <w:color w:val="auto"/>
                <w:spacing w:val="1"/>
              </w:rPr>
              <w:t>8</w:t>
            </w:r>
            <w:r>
              <w:rPr>
                <w:rFonts w:ascii="Times New Roman" w:eastAsia="Times New Roman" w:hAnsi="Times New Roman" w:cs="Times New Roman"/>
                <w:color w:val="auto"/>
              </w:rPr>
              <w:t>6</w:t>
            </w:r>
          </w:p>
        </w:tc>
      </w:tr>
    </w:tbl>
    <w:p w14:paraId="311675EE" w14:textId="77777777" w:rsidR="0075791A" w:rsidRDefault="00FB2864">
      <w:pPr>
        <w:spacing w:line="360" w:lineRule="auto"/>
        <w:ind w:firstLineChars="200" w:firstLine="480"/>
        <w:jc w:val="both"/>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蜈支洲岛各调查站位的造礁石珊瑚幼体补充量平均为</w:t>
      </w:r>
      <w:r>
        <w:rPr>
          <w:rFonts w:ascii="宋体" w:eastAsia="宋体" w:hAnsi="宋体" w:cs="宋体" w:hint="eastAsia"/>
          <w:color w:val="auto"/>
          <w:sz w:val="24"/>
          <w:szCs w:val="24"/>
          <w:lang w:eastAsia="zh-CN"/>
        </w:rPr>
        <w:t>4.80ind/m</w:t>
      </w:r>
      <w:r>
        <w:rPr>
          <w:rFonts w:ascii="宋体" w:eastAsia="宋体" w:hAnsi="宋体" w:cs="宋体" w:hint="eastAsia"/>
          <w:color w:val="auto"/>
          <w:sz w:val="24"/>
          <w:szCs w:val="24"/>
          <w:vertAlign w:val="superscript"/>
          <w:lang w:eastAsia="zh-CN"/>
        </w:rPr>
        <w:t>2</w:t>
      </w:r>
      <w:r>
        <w:rPr>
          <w:rFonts w:ascii="宋体" w:eastAsia="宋体" w:hAnsi="宋体" w:cs="宋体" w:hint="eastAsia"/>
          <w:color w:val="auto"/>
          <w:sz w:val="24"/>
          <w:szCs w:val="24"/>
          <w:lang w:eastAsia="zh-CN"/>
        </w:rPr>
        <w:t>，西南侧海域的</w:t>
      </w:r>
      <w:r>
        <w:rPr>
          <w:rFonts w:ascii="宋体" w:eastAsia="宋体" w:hAnsi="宋体" w:cs="宋体" w:hint="eastAsia"/>
          <w:color w:val="auto"/>
          <w:sz w:val="24"/>
          <w:szCs w:val="24"/>
          <w:lang w:eastAsia="zh-CN"/>
        </w:rPr>
        <w:t>1</w:t>
      </w:r>
      <w:r>
        <w:rPr>
          <w:rFonts w:ascii="宋体" w:eastAsia="宋体" w:hAnsi="宋体" w:cs="宋体" w:hint="eastAsia"/>
          <w:color w:val="auto"/>
          <w:sz w:val="24"/>
          <w:szCs w:val="24"/>
          <w:lang w:eastAsia="zh-CN"/>
        </w:rPr>
        <w:t>号和</w:t>
      </w:r>
      <w:r>
        <w:rPr>
          <w:rFonts w:ascii="宋体" w:eastAsia="宋体" w:hAnsi="宋体" w:cs="宋体" w:hint="eastAsia"/>
          <w:color w:val="auto"/>
          <w:sz w:val="24"/>
          <w:szCs w:val="24"/>
          <w:lang w:eastAsia="zh-CN"/>
        </w:rPr>
        <w:t>5</w:t>
      </w:r>
      <w:r>
        <w:rPr>
          <w:rFonts w:ascii="宋体" w:eastAsia="宋体" w:hAnsi="宋体" w:cs="宋体" w:hint="eastAsia"/>
          <w:color w:val="auto"/>
          <w:sz w:val="24"/>
          <w:szCs w:val="24"/>
          <w:lang w:eastAsia="zh-CN"/>
        </w:rPr>
        <w:t>号站位幼体补充量相对较高，分别为</w:t>
      </w:r>
      <w:r>
        <w:rPr>
          <w:rFonts w:ascii="宋体" w:eastAsia="宋体" w:hAnsi="宋体" w:cs="宋体" w:hint="eastAsia"/>
          <w:color w:val="auto"/>
          <w:sz w:val="24"/>
          <w:szCs w:val="24"/>
          <w:lang w:eastAsia="zh-CN"/>
        </w:rPr>
        <w:t>8.20ind/m</w:t>
      </w:r>
      <w:r>
        <w:rPr>
          <w:rFonts w:ascii="宋体" w:eastAsia="宋体" w:hAnsi="宋体" w:cs="宋体" w:hint="eastAsia"/>
          <w:color w:val="auto"/>
          <w:sz w:val="24"/>
          <w:szCs w:val="24"/>
          <w:vertAlign w:val="superscript"/>
          <w:lang w:eastAsia="zh-CN"/>
        </w:rPr>
        <w:t>2</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8.00ind/m</w:t>
      </w:r>
      <w:r>
        <w:rPr>
          <w:rFonts w:ascii="宋体" w:eastAsia="宋体" w:hAnsi="宋体" w:cs="宋体" w:hint="eastAsia"/>
          <w:color w:val="auto"/>
          <w:sz w:val="24"/>
          <w:szCs w:val="24"/>
          <w:vertAlign w:val="superscript"/>
          <w:lang w:eastAsia="zh-CN"/>
        </w:rPr>
        <w:t>2</w:t>
      </w:r>
      <w:r>
        <w:rPr>
          <w:rFonts w:ascii="宋体" w:eastAsia="宋体" w:hAnsi="宋体" w:cs="宋体" w:hint="eastAsia"/>
          <w:color w:val="auto"/>
          <w:sz w:val="24"/>
          <w:szCs w:val="24"/>
          <w:lang w:eastAsia="zh-CN"/>
        </w:rPr>
        <w:t>，北侧海域的</w:t>
      </w:r>
      <w:r>
        <w:rPr>
          <w:rFonts w:ascii="宋体" w:eastAsia="宋体" w:hAnsi="宋体" w:cs="宋体" w:hint="eastAsia"/>
          <w:color w:val="auto"/>
          <w:sz w:val="24"/>
          <w:szCs w:val="24"/>
          <w:lang w:eastAsia="zh-CN"/>
        </w:rPr>
        <w:t>10</w:t>
      </w:r>
      <w:r>
        <w:rPr>
          <w:rFonts w:ascii="宋体" w:eastAsia="宋体" w:hAnsi="宋体" w:cs="宋体" w:hint="eastAsia"/>
          <w:color w:val="auto"/>
          <w:sz w:val="24"/>
          <w:szCs w:val="24"/>
          <w:lang w:eastAsia="zh-CN"/>
        </w:rPr>
        <w:t>号站位补充量相对较低，为</w:t>
      </w:r>
      <w:r>
        <w:rPr>
          <w:rFonts w:ascii="宋体" w:eastAsia="宋体" w:hAnsi="宋体" w:cs="宋体" w:hint="eastAsia"/>
          <w:color w:val="auto"/>
          <w:sz w:val="24"/>
          <w:szCs w:val="24"/>
          <w:lang w:eastAsia="zh-CN"/>
        </w:rPr>
        <w:t>1.40ind/m</w:t>
      </w:r>
      <w:r>
        <w:rPr>
          <w:rFonts w:ascii="宋体" w:eastAsia="宋体" w:hAnsi="宋体" w:cs="宋体" w:hint="eastAsia"/>
          <w:color w:val="auto"/>
          <w:sz w:val="24"/>
          <w:szCs w:val="24"/>
          <w:vertAlign w:val="superscript"/>
          <w:lang w:eastAsia="zh-CN"/>
        </w:rPr>
        <w:t>2</w:t>
      </w:r>
      <w:r>
        <w:rPr>
          <w:rFonts w:ascii="宋体" w:eastAsia="宋体" w:hAnsi="宋体" w:cs="宋体" w:hint="eastAsia"/>
          <w:color w:val="auto"/>
          <w:sz w:val="24"/>
          <w:szCs w:val="24"/>
          <w:lang w:eastAsia="zh-CN"/>
        </w:rPr>
        <w:t>。</w:t>
      </w:r>
    </w:p>
    <w:p w14:paraId="45B70B25" w14:textId="77777777" w:rsidR="0075791A" w:rsidRDefault="00FB2864">
      <w:pPr>
        <w:spacing w:line="360" w:lineRule="auto"/>
        <w:jc w:val="center"/>
        <w:rPr>
          <w:rFonts w:ascii="宋体" w:eastAsia="宋体" w:hAnsi="宋体" w:cs="宋体"/>
          <w:color w:val="auto"/>
          <w:sz w:val="24"/>
          <w:szCs w:val="24"/>
          <w:lang w:eastAsia="zh-CN"/>
        </w:rPr>
      </w:pPr>
      <w:r>
        <w:rPr>
          <w:noProof/>
          <w:color w:val="auto"/>
        </w:rPr>
        <w:drawing>
          <wp:inline distT="0" distB="0" distL="114300" distR="114300" wp14:anchorId="1DB46B64" wp14:editId="2D889579">
            <wp:extent cx="4773295" cy="2714625"/>
            <wp:effectExtent l="0" t="0" r="12065" b="13335"/>
            <wp:docPr id="32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06"/>
                    <pic:cNvPicPr>
                      <a:picLocks noChangeAspect="1"/>
                    </pic:cNvPicPr>
                  </pic:nvPicPr>
                  <pic:blipFill>
                    <a:blip r:embed="rId75"/>
                    <a:srcRect b="5733"/>
                    <a:stretch>
                      <a:fillRect/>
                    </a:stretch>
                  </pic:blipFill>
                  <pic:spPr>
                    <a:xfrm>
                      <a:off x="0" y="0"/>
                      <a:ext cx="4773295" cy="2714625"/>
                    </a:xfrm>
                    <a:prstGeom prst="rect">
                      <a:avLst/>
                    </a:prstGeom>
                    <a:noFill/>
                    <a:ln>
                      <a:noFill/>
                    </a:ln>
                  </pic:spPr>
                </pic:pic>
              </a:graphicData>
            </a:graphic>
          </wp:inline>
        </w:drawing>
      </w:r>
    </w:p>
    <w:p w14:paraId="1A33628F" w14:textId="77777777" w:rsidR="0075791A" w:rsidRDefault="00FB2864">
      <w:pPr>
        <w:spacing w:line="360" w:lineRule="auto"/>
        <w:jc w:val="center"/>
        <w:rPr>
          <w:rFonts w:ascii="宋体" w:eastAsia="宋体" w:hAnsi="宋体" w:cs="宋体"/>
          <w:color w:val="auto"/>
          <w:sz w:val="24"/>
          <w:szCs w:val="24"/>
          <w:lang w:eastAsia="zh-CN"/>
        </w:rPr>
      </w:pPr>
      <w:r>
        <w:rPr>
          <w:rFonts w:ascii="宋体" w:eastAsia="宋体" w:hAnsi="宋体" w:cs="宋体"/>
          <w:color w:val="auto"/>
          <w:sz w:val="24"/>
          <w:szCs w:val="24"/>
          <w:lang w:eastAsia="zh-CN"/>
        </w:rPr>
        <w:t>图</w:t>
      </w:r>
      <w:r>
        <w:rPr>
          <w:rFonts w:ascii="Times New Roman" w:eastAsia="宋体" w:hAnsi="Times New Roman" w:cs="宋体" w:hint="eastAsia"/>
          <w:color w:val="auto"/>
          <w:spacing w:val="-4"/>
          <w:sz w:val="24"/>
          <w:szCs w:val="24"/>
          <w:lang w:eastAsia="zh-CN"/>
        </w:rPr>
        <w:t xml:space="preserve">3.2.7-13 </w:t>
      </w:r>
      <w:r>
        <w:rPr>
          <w:rFonts w:ascii="宋体" w:eastAsia="宋体" w:hAnsi="宋体" w:cs="宋体"/>
          <w:color w:val="auto"/>
          <w:sz w:val="24"/>
          <w:szCs w:val="24"/>
          <w:lang w:eastAsia="zh-CN"/>
        </w:rPr>
        <w:t>蜈支洲岛周边海域珊瑚补充量情况</w:t>
      </w:r>
    </w:p>
    <w:p w14:paraId="4058D2CE" w14:textId="77777777" w:rsidR="0075791A" w:rsidRDefault="00FB2864">
      <w:pPr>
        <w:spacing w:line="360" w:lineRule="auto"/>
        <w:ind w:firstLineChars="200" w:firstLine="480"/>
        <w:jc w:val="both"/>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3</w:t>
      </w:r>
      <w:r>
        <w:rPr>
          <w:rFonts w:ascii="宋体" w:eastAsia="宋体" w:hAnsi="宋体" w:cs="宋体" w:hint="eastAsia"/>
          <w:color w:val="auto"/>
          <w:sz w:val="24"/>
          <w:szCs w:val="24"/>
          <w:lang w:eastAsia="zh-CN"/>
        </w:rPr>
        <w:t>．珊瑚礁鱼类</w:t>
      </w:r>
    </w:p>
    <w:p w14:paraId="2A9BEDEC" w14:textId="77777777" w:rsidR="0075791A" w:rsidRDefault="00FB2864">
      <w:pPr>
        <w:spacing w:line="360" w:lineRule="auto"/>
        <w:ind w:firstLineChars="200" w:firstLine="480"/>
        <w:jc w:val="both"/>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本次调查，蜈支洲岛周边共计记录到珊瑚礁鱼类</w:t>
      </w:r>
      <w:r>
        <w:rPr>
          <w:rFonts w:ascii="宋体" w:eastAsia="宋体" w:hAnsi="宋体" w:cs="宋体" w:hint="eastAsia"/>
          <w:color w:val="auto"/>
          <w:sz w:val="24"/>
          <w:szCs w:val="24"/>
          <w:lang w:eastAsia="zh-CN"/>
        </w:rPr>
        <w:t>11</w:t>
      </w:r>
      <w:r>
        <w:rPr>
          <w:rFonts w:ascii="宋体" w:eastAsia="宋体" w:hAnsi="宋体" w:cs="宋体" w:hint="eastAsia"/>
          <w:color w:val="auto"/>
          <w:sz w:val="24"/>
          <w:szCs w:val="24"/>
          <w:lang w:eastAsia="zh-CN"/>
        </w:rPr>
        <w:t>科</w:t>
      </w:r>
      <w:r>
        <w:rPr>
          <w:rFonts w:ascii="宋体" w:eastAsia="宋体" w:hAnsi="宋体" w:cs="宋体" w:hint="eastAsia"/>
          <w:color w:val="auto"/>
          <w:sz w:val="24"/>
          <w:szCs w:val="24"/>
          <w:lang w:eastAsia="zh-CN"/>
        </w:rPr>
        <w:t>39</w:t>
      </w:r>
      <w:r>
        <w:rPr>
          <w:rFonts w:ascii="宋体" w:eastAsia="宋体" w:hAnsi="宋体" w:cs="宋体" w:hint="eastAsia"/>
          <w:color w:val="auto"/>
          <w:sz w:val="24"/>
          <w:szCs w:val="24"/>
          <w:lang w:eastAsia="zh-CN"/>
        </w:rPr>
        <w:t>种（种类名录建见附表</w:t>
      </w:r>
      <w:r>
        <w:rPr>
          <w:rFonts w:ascii="宋体" w:eastAsia="宋体" w:hAnsi="宋体" w:cs="宋体" w:hint="eastAsia"/>
          <w:color w:val="auto"/>
          <w:sz w:val="24"/>
          <w:szCs w:val="24"/>
          <w:lang w:eastAsia="zh-CN"/>
        </w:rPr>
        <w:t>2</w:t>
      </w:r>
      <w:r>
        <w:rPr>
          <w:rFonts w:ascii="宋体" w:eastAsia="宋体" w:hAnsi="宋体" w:cs="宋体" w:hint="eastAsia"/>
          <w:color w:val="auto"/>
          <w:sz w:val="24"/>
          <w:szCs w:val="24"/>
          <w:lang w:eastAsia="zh-CN"/>
        </w:rPr>
        <w:t>），其中以雀鲷科种类最多，有</w:t>
      </w:r>
      <w:r>
        <w:rPr>
          <w:rFonts w:ascii="宋体" w:eastAsia="宋体" w:hAnsi="宋体" w:cs="宋体" w:hint="eastAsia"/>
          <w:color w:val="auto"/>
          <w:sz w:val="24"/>
          <w:szCs w:val="24"/>
          <w:lang w:eastAsia="zh-CN"/>
        </w:rPr>
        <w:t>14</w:t>
      </w:r>
      <w:r>
        <w:rPr>
          <w:rFonts w:ascii="宋体" w:eastAsia="宋体" w:hAnsi="宋体" w:cs="宋体" w:hint="eastAsia"/>
          <w:color w:val="auto"/>
          <w:sz w:val="24"/>
          <w:szCs w:val="24"/>
          <w:lang w:eastAsia="zh-CN"/>
        </w:rPr>
        <w:t>种，其次是隆头科</w:t>
      </w:r>
      <w:r>
        <w:rPr>
          <w:rFonts w:ascii="宋体" w:eastAsia="宋体" w:hAnsi="宋体" w:cs="宋体" w:hint="eastAsia"/>
          <w:color w:val="auto"/>
          <w:sz w:val="24"/>
          <w:szCs w:val="24"/>
          <w:lang w:eastAsia="zh-CN"/>
        </w:rPr>
        <w:t>12</w:t>
      </w:r>
      <w:r>
        <w:rPr>
          <w:rFonts w:ascii="宋体" w:eastAsia="宋体" w:hAnsi="宋体" w:cs="宋体" w:hint="eastAsia"/>
          <w:color w:val="auto"/>
          <w:sz w:val="24"/>
          <w:szCs w:val="24"/>
          <w:lang w:eastAsia="zh-CN"/>
        </w:rPr>
        <w:t>种，蝴蝶鱼科</w:t>
      </w:r>
      <w:r>
        <w:rPr>
          <w:rFonts w:ascii="宋体" w:eastAsia="宋体" w:hAnsi="宋体" w:cs="宋体" w:hint="eastAsia"/>
          <w:color w:val="auto"/>
          <w:sz w:val="24"/>
          <w:szCs w:val="24"/>
          <w:lang w:eastAsia="zh-CN"/>
        </w:rPr>
        <w:t>4</w:t>
      </w:r>
      <w:r>
        <w:rPr>
          <w:rFonts w:ascii="宋体" w:eastAsia="宋体" w:hAnsi="宋体" w:cs="宋体" w:hint="eastAsia"/>
          <w:color w:val="auto"/>
          <w:sz w:val="24"/>
          <w:szCs w:val="24"/>
          <w:lang w:eastAsia="zh-CN"/>
        </w:rPr>
        <w:t>种，鮨科</w:t>
      </w:r>
      <w:r>
        <w:rPr>
          <w:rFonts w:ascii="宋体" w:eastAsia="宋体" w:hAnsi="宋体" w:cs="宋体" w:hint="eastAsia"/>
          <w:color w:val="auto"/>
          <w:sz w:val="24"/>
          <w:szCs w:val="24"/>
          <w:lang w:eastAsia="zh-CN"/>
        </w:rPr>
        <w:t>2</w:t>
      </w:r>
      <w:r>
        <w:rPr>
          <w:rFonts w:ascii="宋体" w:eastAsia="宋体" w:hAnsi="宋体" w:cs="宋体" w:hint="eastAsia"/>
          <w:color w:val="auto"/>
          <w:sz w:val="24"/>
          <w:szCs w:val="24"/>
          <w:lang w:eastAsia="zh-CN"/>
        </w:rPr>
        <w:t>种，蓝子鱼科、、隆头科、鳚科、梅鲷科、银鳞鲳科、四齿鲀科、单棘鲀科和烟管鱼科各</w:t>
      </w:r>
      <w:r>
        <w:rPr>
          <w:rFonts w:ascii="宋体" w:eastAsia="宋体" w:hAnsi="宋体" w:cs="宋体" w:hint="eastAsia"/>
          <w:color w:val="auto"/>
          <w:sz w:val="24"/>
          <w:szCs w:val="24"/>
          <w:lang w:eastAsia="zh-CN"/>
        </w:rPr>
        <w:t>1</w:t>
      </w:r>
      <w:r>
        <w:rPr>
          <w:rFonts w:ascii="宋体" w:eastAsia="宋体" w:hAnsi="宋体" w:cs="宋体" w:hint="eastAsia"/>
          <w:color w:val="auto"/>
          <w:sz w:val="24"/>
          <w:szCs w:val="24"/>
          <w:lang w:eastAsia="zh-CN"/>
        </w:rPr>
        <w:t>种。各站位鱼类平均密度为</w:t>
      </w:r>
      <w:r>
        <w:rPr>
          <w:rFonts w:ascii="宋体" w:eastAsia="宋体" w:hAnsi="宋体" w:cs="宋体" w:hint="eastAsia"/>
          <w:color w:val="auto"/>
          <w:sz w:val="24"/>
          <w:szCs w:val="24"/>
          <w:lang w:eastAsia="zh-CN"/>
        </w:rPr>
        <w:t>14.82ind/100m</w:t>
      </w:r>
      <w:r>
        <w:rPr>
          <w:rFonts w:ascii="宋体" w:eastAsia="宋体" w:hAnsi="宋体" w:cs="宋体" w:hint="eastAsia"/>
          <w:color w:val="auto"/>
          <w:sz w:val="24"/>
          <w:szCs w:val="24"/>
          <w:vertAlign w:val="superscript"/>
          <w:lang w:eastAsia="zh-CN"/>
        </w:rPr>
        <w:t>2</w:t>
      </w:r>
      <w:r>
        <w:rPr>
          <w:rFonts w:ascii="宋体" w:eastAsia="宋体" w:hAnsi="宋体" w:cs="宋体" w:hint="eastAsia"/>
          <w:color w:val="auto"/>
          <w:sz w:val="24"/>
          <w:szCs w:val="24"/>
          <w:lang w:eastAsia="zh-CN"/>
        </w:rPr>
        <w:t>，其中以东北侧海域的</w:t>
      </w:r>
      <w:r>
        <w:rPr>
          <w:rFonts w:ascii="宋体" w:eastAsia="宋体" w:hAnsi="宋体" w:cs="宋体" w:hint="eastAsia"/>
          <w:color w:val="auto"/>
          <w:sz w:val="24"/>
          <w:szCs w:val="24"/>
          <w:lang w:eastAsia="zh-CN"/>
        </w:rPr>
        <w:t>8</w:t>
      </w:r>
      <w:r>
        <w:rPr>
          <w:rFonts w:ascii="宋体" w:eastAsia="宋体" w:hAnsi="宋体" w:cs="宋体" w:hint="eastAsia"/>
          <w:color w:val="auto"/>
          <w:sz w:val="24"/>
          <w:szCs w:val="24"/>
          <w:lang w:eastAsia="zh-CN"/>
        </w:rPr>
        <w:t>号站位鱼类密度最高，为</w:t>
      </w:r>
      <w:r>
        <w:rPr>
          <w:rFonts w:ascii="宋体" w:eastAsia="宋体" w:hAnsi="宋体" w:cs="宋体" w:hint="eastAsia"/>
          <w:color w:val="auto"/>
          <w:sz w:val="24"/>
          <w:szCs w:val="24"/>
          <w:lang w:eastAsia="zh-CN"/>
        </w:rPr>
        <w:t>29.58ind/100m</w:t>
      </w:r>
      <w:r>
        <w:rPr>
          <w:rFonts w:ascii="宋体" w:eastAsia="宋体" w:hAnsi="宋体" w:cs="宋体" w:hint="eastAsia"/>
          <w:color w:val="auto"/>
          <w:sz w:val="24"/>
          <w:szCs w:val="24"/>
          <w:vertAlign w:val="superscript"/>
          <w:lang w:eastAsia="zh-CN"/>
        </w:rPr>
        <w:t>2</w:t>
      </w:r>
      <w:r>
        <w:rPr>
          <w:rFonts w:ascii="宋体" w:eastAsia="宋体" w:hAnsi="宋体" w:cs="宋体" w:hint="eastAsia"/>
          <w:color w:val="auto"/>
          <w:sz w:val="24"/>
          <w:szCs w:val="24"/>
          <w:lang w:eastAsia="zh-CN"/>
        </w:rPr>
        <w:t>（详见图</w:t>
      </w:r>
      <w:r>
        <w:rPr>
          <w:rFonts w:ascii="Times New Roman" w:eastAsia="宋体" w:hAnsi="Times New Roman" w:cs="宋体" w:hint="eastAsia"/>
          <w:color w:val="auto"/>
          <w:spacing w:val="-4"/>
          <w:sz w:val="24"/>
          <w:szCs w:val="24"/>
          <w:lang w:eastAsia="zh-CN"/>
        </w:rPr>
        <w:t>3.2.7-14</w:t>
      </w:r>
      <w:r>
        <w:rPr>
          <w:rFonts w:ascii="宋体" w:eastAsia="宋体" w:hAnsi="宋体" w:cs="宋体" w:hint="eastAsia"/>
          <w:color w:val="auto"/>
          <w:sz w:val="24"/>
          <w:szCs w:val="24"/>
          <w:lang w:eastAsia="zh-CN"/>
        </w:rPr>
        <w:t>）。</w:t>
      </w:r>
    </w:p>
    <w:p w14:paraId="3B033C58" w14:textId="77777777" w:rsidR="0075791A" w:rsidRDefault="00FB2864">
      <w:pPr>
        <w:spacing w:line="360" w:lineRule="auto"/>
        <w:jc w:val="center"/>
        <w:rPr>
          <w:color w:val="auto"/>
          <w:lang w:eastAsia="zh-CN"/>
        </w:rPr>
      </w:pPr>
      <w:r>
        <w:rPr>
          <w:noProof/>
          <w:color w:val="auto"/>
        </w:rPr>
        <w:drawing>
          <wp:inline distT="0" distB="0" distL="114300" distR="114300" wp14:anchorId="6BDB1AFF" wp14:editId="4FA792E2">
            <wp:extent cx="5173345" cy="2399665"/>
            <wp:effectExtent l="0" t="0" r="0" b="0"/>
            <wp:docPr id="32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07"/>
                    <pic:cNvPicPr>
                      <a:picLocks noChangeAspect="1"/>
                    </pic:cNvPicPr>
                  </pic:nvPicPr>
                  <pic:blipFill>
                    <a:blip r:embed="rId76"/>
                    <a:srcRect b="4787"/>
                    <a:stretch>
                      <a:fillRect/>
                    </a:stretch>
                  </pic:blipFill>
                  <pic:spPr>
                    <a:xfrm>
                      <a:off x="0" y="0"/>
                      <a:ext cx="5173345" cy="2399665"/>
                    </a:xfrm>
                    <a:prstGeom prst="rect">
                      <a:avLst/>
                    </a:prstGeom>
                    <a:noFill/>
                    <a:ln>
                      <a:noFill/>
                    </a:ln>
                  </pic:spPr>
                </pic:pic>
              </a:graphicData>
            </a:graphic>
          </wp:inline>
        </w:drawing>
      </w:r>
    </w:p>
    <w:p w14:paraId="062ECBFF" w14:textId="77777777" w:rsidR="0075791A" w:rsidRDefault="00FB2864">
      <w:pPr>
        <w:spacing w:line="360" w:lineRule="auto"/>
        <w:jc w:val="center"/>
        <w:rPr>
          <w:color w:val="auto"/>
          <w:lang w:eastAsia="zh-CN"/>
        </w:rPr>
      </w:pPr>
      <w:r>
        <w:rPr>
          <w:color w:val="auto"/>
          <w:lang w:eastAsia="zh-CN"/>
        </w:rPr>
        <w:t>图</w:t>
      </w:r>
      <w:r>
        <w:rPr>
          <w:rFonts w:ascii="Times New Roman" w:eastAsia="宋体" w:hAnsi="Times New Roman" w:cs="宋体" w:hint="eastAsia"/>
          <w:color w:val="auto"/>
          <w:spacing w:val="-4"/>
          <w:sz w:val="24"/>
          <w:szCs w:val="24"/>
          <w:lang w:eastAsia="zh-CN"/>
        </w:rPr>
        <w:t xml:space="preserve">3.2.7-14 </w:t>
      </w:r>
      <w:r>
        <w:rPr>
          <w:color w:val="auto"/>
          <w:lang w:eastAsia="zh-CN"/>
        </w:rPr>
        <w:t>蜈支洲岛周边海域珊瑚礁鱼类分布情况</w:t>
      </w:r>
    </w:p>
    <w:p w14:paraId="4C54A8D0" w14:textId="77777777" w:rsidR="0075791A" w:rsidRDefault="0075791A">
      <w:pPr>
        <w:spacing w:line="360" w:lineRule="auto"/>
        <w:ind w:firstLineChars="200" w:firstLine="480"/>
        <w:jc w:val="both"/>
        <w:rPr>
          <w:rFonts w:ascii="宋体" w:eastAsia="宋体" w:hAnsi="宋体" w:cs="宋体"/>
          <w:color w:val="auto"/>
          <w:sz w:val="24"/>
          <w:szCs w:val="24"/>
          <w:lang w:eastAsia="zh-CN"/>
        </w:rPr>
      </w:pPr>
    </w:p>
    <w:p w14:paraId="66DD0FB9" w14:textId="77777777" w:rsidR="0075791A" w:rsidRDefault="0075791A">
      <w:pPr>
        <w:spacing w:line="360" w:lineRule="auto"/>
        <w:ind w:firstLineChars="200" w:firstLine="480"/>
        <w:jc w:val="both"/>
        <w:rPr>
          <w:rFonts w:ascii="宋体" w:eastAsia="宋体" w:hAnsi="宋体" w:cs="宋体"/>
          <w:color w:val="auto"/>
          <w:sz w:val="24"/>
          <w:szCs w:val="24"/>
          <w:lang w:eastAsia="zh-CN"/>
        </w:rPr>
      </w:pPr>
    </w:p>
    <w:p w14:paraId="49B11615" w14:textId="77777777" w:rsidR="0075791A" w:rsidRDefault="00FB2864">
      <w:pPr>
        <w:spacing w:line="360" w:lineRule="auto"/>
        <w:ind w:firstLineChars="200" w:firstLine="480"/>
        <w:jc w:val="both"/>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4.</w:t>
      </w:r>
      <w:r>
        <w:rPr>
          <w:rFonts w:ascii="宋体" w:eastAsia="宋体" w:hAnsi="宋体" w:cs="宋体" w:hint="eastAsia"/>
          <w:color w:val="auto"/>
          <w:sz w:val="24"/>
          <w:szCs w:val="24"/>
          <w:lang w:eastAsia="zh-CN"/>
        </w:rPr>
        <w:t>大型底栖动物</w:t>
      </w:r>
    </w:p>
    <w:p w14:paraId="29A8F05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本次调查在蜈支洲岛珊瑚礁区记录到的大型底栖动物有</w:t>
      </w:r>
      <w:r>
        <w:rPr>
          <w:rFonts w:ascii="Times New Roman" w:eastAsia="宋体" w:hAnsi="Times New Roman" w:cs="宋体" w:hint="eastAsia"/>
          <w:color w:val="auto"/>
          <w:sz w:val="24"/>
          <w:szCs w:val="24"/>
          <w:lang w:eastAsia="zh-CN"/>
        </w:rPr>
        <w:t>32</w:t>
      </w:r>
      <w:r>
        <w:rPr>
          <w:rFonts w:ascii="Times New Roman" w:eastAsia="宋体" w:hAnsi="Times New Roman" w:cs="宋体" w:hint="eastAsia"/>
          <w:color w:val="auto"/>
          <w:sz w:val="24"/>
          <w:szCs w:val="24"/>
          <w:lang w:eastAsia="zh-CN"/>
        </w:rPr>
        <w:t>种（种类名录见附表</w:t>
      </w: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），其中海胆</w:t>
      </w:r>
      <w:r>
        <w:rPr>
          <w:rFonts w:ascii="Times New Roman" w:eastAsia="宋体" w:hAnsi="Times New Roman" w:cs="宋体" w:hint="eastAsia"/>
          <w:color w:val="auto"/>
          <w:sz w:val="24"/>
          <w:szCs w:val="24"/>
          <w:lang w:eastAsia="zh-CN"/>
        </w:rPr>
        <w:t>9</w:t>
      </w:r>
      <w:r>
        <w:rPr>
          <w:rFonts w:ascii="Times New Roman" w:eastAsia="宋体" w:hAnsi="Times New Roman" w:cs="宋体" w:hint="eastAsia"/>
          <w:color w:val="auto"/>
          <w:sz w:val="24"/>
          <w:szCs w:val="24"/>
          <w:lang w:eastAsia="zh-CN"/>
        </w:rPr>
        <w:t>种，海星</w:t>
      </w:r>
      <w:r>
        <w:rPr>
          <w:rFonts w:ascii="Times New Roman" w:eastAsia="宋体" w:hAnsi="Times New Roman" w:cs="宋体" w:hint="eastAsia"/>
          <w:color w:val="auto"/>
          <w:sz w:val="24"/>
          <w:szCs w:val="24"/>
          <w:lang w:eastAsia="zh-CN"/>
        </w:rPr>
        <w:t>5</w:t>
      </w:r>
      <w:r>
        <w:rPr>
          <w:rFonts w:ascii="Times New Roman" w:eastAsia="宋体" w:hAnsi="Times New Roman" w:cs="宋体" w:hint="eastAsia"/>
          <w:color w:val="auto"/>
          <w:sz w:val="24"/>
          <w:szCs w:val="24"/>
          <w:lang w:eastAsia="zh-CN"/>
        </w:rPr>
        <w:t>种，砗磲</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种，海螺</w:t>
      </w:r>
      <w:r>
        <w:rPr>
          <w:rFonts w:ascii="Times New Roman" w:eastAsia="宋体" w:hAnsi="Times New Roman" w:cs="宋体" w:hint="eastAsia"/>
          <w:color w:val="auto"/>
          <w:sz w:val="24"/>
          <w:szCs w:val="24"/>
          <w:lang w:eastAsia="zh-CN"/>
        </w:rPr>
        <w:t>9</w:t>
      </w:r>
      <w:r>
        <w:rPr>
          <w:rFonts w:ascii="Times New Roman" w:eastAsia="宋体" w:hAnsi="Times New Roman" w:cs="宋体" w:hint="eastAsia"/>
          <w:color w:val="auto"/>
          <w:sz w:val="24"/>
          <w:szCs w:val="24"/>
          <w:lang w:eastAsia="zh-CN"/>
        </w:rPr>
        <w:t>种，贝类</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种，其中还记录到多种海齿花和海蛇尾。各调查站位大型底栖动物密度在（</w:t>
      </w:r>
      <w:r>
        <w:rPr>
          <w:rFonts w:ascii="Times New Roman" w:eastAsia="宋体" w:hAnsi="Times New Roman" w:cs="宋体" w:hint="eastAsia"/>
          <w:color w:val="auto"/>
          <w:sz w:val="24"/>
          <w:szCs w:val="24"/>
          <w:lang w:eastAsia="zh-CN"/>
        </w:rPr>
        <w:t>0.20~2.65</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ind/m</w:t>
      </w:r>
      <w:r>
        <w:rPr>
          <w:rFonts w:ascii="Times New Roman" w:eastAsia="宋体" w:hAnsi="Times New Roman" w:cs="宋体" w:hint="eastAsia"/>
          <w:color w:val="auto"/>
          <w:sz w:val="24"/>
          <w:szCs w:val="24"/>
          <w:vertAlign w:val="superscript"/>
          <w:lang w:eastAsia="zh-CN"/>
        </w:rPr>
        <w:t>2</w:t>
      </w:r>
      <w:r>
        <w:rPr>
          <w:rFonts w:ascii="Times New Roman" w:eastAsia="宋体" w:hAnsi="Times New Roman" w:cs="宋体" w:hint="eastAsia"/>
          <w:color w:val="auto"/>
          <w:sz w:val="24"/>
          <w:szCs w:val="24"/>
          <w:lang w:eastAsia="zh-CN"/>
        </w:rPr>
        <w:t>之间，平均为</w:t>
      </w:r>
      <w:r>
        <w:rPr>
          <w:rFonts w:ascii="Times New Roman" w:eastAsia="宋体" w:hAnsi="Times New Roman" w:cs="宋体" w:hint="eastAsia"/>
          <w:color w:val="auto"/>
          <w:sz w:val="24"/>
          <w:szCs w:val="24"/>
          <w:lang w:eastAsia="zh-CN"/>
        </w:rPr>
        <w:t>0.92ind/m</w:t>
      </w:r>
      <w:r>
        <w:rPr>
          <w:rFonts w:ascii="Times New Roman" w:eastAsia="宋体" w:hAnsi="Times New Roman" w:cs="宋体" w:hint="eastAsia"/>
          <w:color w:val="auto"/>
          <w:sz w:val="24"/>
          <w:szCs w:val="24"/>
          <w:vertAlign w:val="superscript"/>
          <w:lang w:eastAsia="zh-CN"/>
        </w:rPr>
        <w:t>2</w:t>
      </w:r>
      <w:r>
        <w:rPr>
          <w:rFonts w:ascii="Times New Roman" w:eastAsia="宋体" w:hAnsi="Times New Roman" w:cs="宋体" w:hint="eastAsia"/>
          <w:color w:val="auto"/>
          <w:sz w:val="24"/>
          <w:szCs w:val="24"/>
          <w:lang w:eastAsia="zh-CN"/>
        </w:rPr>
        <w:t>，其中以北侧海域的</w:t>
      </w:r>
      <w:r>
        <w:rPr>
          <w:rFonts w:ascii="Times New Roman" w:eastAsia="宋体" w:hAnsi="Times New Roman" w:cs="宋体" w:hint="eastAsia"/>
          <w:color w:val="auto"/>
          <w:sz w:val="24"/>
          <w:szCs w:val="24"/>
          <w:lang w:eastAsia="zh-CN"/>
        </w:rPr>
        <w:t>13</w:t>
      </w:r>
      <w:r>
        <w:rPr>
          <w:rFonts w:ascii="Times New Roman" w:eastAsia="宋体" w:hAnsi="Times New Roman" w:cs="宋体" w:hint="eastAsia"/>
          <w:color w:val="auto"/>
          <w:sz w:val="24"/>
          <w:szCs w:val="24"/>
          <w:lang w:eastAsia="zh-CN"/>
        </w:rPr>
        <w:t>号站位密度最高（见图</w:t>
      </w:r>
      <w:r>
        <w:rPr>
          <w:rFonts w:ascii="Times New Roman" w:eastAsia="宋体" w:hAnsi="Times New Roman" w:cs="宋体" w:hint="eastAsia"/>
          <w:color w:val="auto"/>
          <w:spacing w:val="-4"/>
          <w:sz w:val="24"/>
          <w:szCs w:val="24"/>
          <w:lang w:eastAsia="zh-CN"/>
        </w:rPr>
        <w:t xml:space="preserve">3.2.7-1 </w:t>
      </w:r>
      <w:r>
        <w:rPr>
          <w:rFonts w:ascii="Times New Roman" w:eastAsia="宋体" w:hAnsi="Times New Roman" w:cs="宋体" w:hint="eastAsia"/>
          <w:color w:val="auto"/>
          <w:sz w:val="24"/>
          <w:szCs w:val="24"/>
          <w:lang w:eastAsia="zh-CN"/>
        </w:rPr>
        <w:t>）。</w:t>
      </w:r>
    </w:p>
    <w:p w14:paraId="5119ACE6" w14:textId="77777777" w:rsidR="0075791A" w:rsidRDefault="00FB2864">
      <w:pPr>
        <w:jc w:val="center"/>
        <w:rPr>
          <w:color w:val="auto"/>
        </w:rPr>
      </w:pPr>
      <w:r>
        <w:rPr>
          <w:noProof/>
          <w:color w:val="auto"/>
        </w:rPr>
        <w:drawing>
          <wp:inline distT="0" distB="0" distL="114300" distR="114300" wp14:anchorId="6ABAD7D1" wp14:editId="1CF66676">
            <wp:extent cx="4177665" cy="2520315"/>
            <wp:effectExtent l="0" t="0" r="13335" b="9525"/>
            <wp:docPr id="329"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108"/>
                    <pic:cNvPicPr>
                      <a:picLocks noChangeAspect="1"/>
                    </pic:cNvPicPr>
                  </pic:nvPicPr>
                  <pic:blipFill>
                    <a:blip r:embed="rId77"/>
                    <a:stretch>
                      <a:fillRect/>
                    </a:stretch>
                  </pic:blipFill>
                  <pic:spPr>
                    <a:xfrm>
                      <a:off x="0" y="0"/>
                      <a:ext cx="4177665" cy="2520315"/>
                    </a:xfrm>
                    <a:prstGeom prst="rect">
                      <a:avLst/>
                    </a:prstGeom>
                    <a:noFill/>
                    <a:ln>
                      <a:noFill/>
                    </a:ln>
                  </pic:spPr>
                </pic:pic>
              </a:graphicData>
            </a:graphic>
          </wp:inline>
        </w:drawing>
      </w:r>
    </w:p>
    <w:p w14:paraId="610AC53A" w14:textId="77777777" w:rsidR="0075791A" w:rsidRDefault="00FB2864">
      <w:pPr>
        <w:pStyle w:val="a5"/>
        <w:spacing w:line="360" w:lineRule="auto"/>
        <w:jc w:val="center"/>
        <w:rPr>
          <w:color w:val="auto"/>
          <w:lang w:eastAsia="zh-CN"/>
        </w:rPr>
      </w:pPr>
      <w:r>
        <w:rPr>
          <w:color w:val="auto"/>
          <w:lang w:eastAsia="zh-CN"/>
        </w:rPr>
        <w:t>图</w:t>
      </w:r>
      <w:r>
        <w:rPr>
          <w:rFonts w:ascii="Times New Roman" w:eastAsia="宋体" w:hAnsi="Times New Roman" w:cs="宋体" w:hint="eastAsia"/>
          <w:color w:val="auto"/>
          <w:spacing w:val="-4"/>
          <w:sz w:val="24"/>
          <w:szCs w:val="24"/>
          <w:lang w:eastAsia="zh-CN"/>
        </w:rPr>
        <w:t>3.2.7-15</w:t>
      </w:r>
      <w:r>
        <w:rPr>
          <w:color w:val="auto"/>
          <w:lang w:eastAsia="zh-CN"/>
        </w:rPr>
        <w:t>蜈支洲岛周边海域珊瑚礁大型底栖动物分布情况</w:t>
      </w:r>
    </w:p>
    <w:p w14:paraId="753D1B75" w14:textId="77777777" w:rsidR="0075791A" w:rsidRDefault="00FB2864">
      <w:pPr>
        <w:spacing w:line="360" w:lineRule="auto"/>
        <w:ind w:firstLineChars="200" w:firstLine="480"/>
        <w:jc w:val="both"/>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5.</w:t>
      </w:r>
      <w:r>
        <w:rPr>
          <w:rFonts w:ascii="宋体" w:eastAsia="宋体" w:hAnsi="宋体" w:cs="宋体" w:hint="eastAsia"/>
          <w:color w:val="auto"/>
          <w:sz w:val="24"/>
          <w:szCs w:val="24"/>
          <w:lang w:eastAsia="zh-CN"/>
        </w:rPr>
        <w:t>大型藻类</w:t>
      </w:r>
    </w:p>
    <w:p w14:paraId="44534C18"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本次调查在蜈支洲岛的监测到大型藻类主要有巢沙菜（</w:t>
      </w:r>
      <w:r>
        <w:rPr>
          <w:rFonts w:ascii="Times New Roman" w:eastAsia="宋体" w:hAnsi="Times New Roman" w:cs="宋体" w:hint="eastAsia"/>
          <w:color w:val="auto"/>
          <w:sz w:val="24"/>
          <w:szCs w:val="24"/>
          <w:lang w:eastAsia="zh-CN"/>
        </w:rPr>
        <w:t>Hypnea pannosa</w:t>
      </w:r>
      <w:r>
        <w:rPr>
          <w:rFonts w:ascii="Times New Roman" w:eastAsia="宋体" w:hAnsi="Times New Roman" w:cs="宋体" w:hint="eastAsia"/>
          <w:color w:val="auto"/>
          <w:sz w:val="24"/>
          <w:szCs w:val="24"/>
          <w:lang w:eastAsia="zh-CN"/>
        </w:rPr>
        <w:t>）、南方团扇藻（</w:t>
      </w:r>
      <w:r>
        <w:rPr>
          <w:rFonts w:ascii="Times New Roman" w:eastAsia="宋体" w:hAnsi="Times New Roman" w:cs="宋体" w:hint="eastAsia"/>
          <w:color w:val="auto"/>
          <w:sz w:val="24"/>
          <w:szCs w:val="24"/>
          <w:lang w:eastAsia="zh-CN"/>
        </w:rPr>
        <w:t>Padina aus</w:t>
      </w:r>
      <w:r>
        <w:rPr>
          <w:rFonts w:ascii="Times New Roman" w:eastAsia="宋体" w:hAnsi="Times New Roman" w:cs="宋体" w:hint="eastAsia"/>
          <w:color w:val="auto"/>
          <w:sz w:val="24"/>
          <w:szCs w:val="24"/>
          <w:lang w:eastAsia="zh-CN"/>
        </w:rPr>
        <w:t>tralis</w:t>
      </w:r>
      <w:r>
        <w:rPr>
          <w:rFonts w:ascii="Times New Roman" w:eastAsia="宋体" w:hAnsi="Times New Roman" w:cs="宋体" w:hint="eastAsia"/>
          <w:color w:val="auto"/>
          <w:sz w:val="24"/>
          <w:szCs w:val="24"/>
          <w:lang w:eastAsia="zh-CN"/>
        </w:rPr>
        <w:t>）及海门冬（</w:t>
      </w:r>
      <w:r>
        <w:rPr>
          <w:rFonts w:ascii="Times New Roman" w:eastAsia="宋体" w:hAnsi="Times New Roman" w:cs="宋体" w:hint="eastAsia"/>
          <w:color w:val="auto"/>
          <w:sz w:val="24"/>
          <w:szCs w:val="24"/>
          <w:lang w:eastAsia="zh-CN"/>
        </w:rPr>
        <w:t>Asparagopsis taxiformis</w:t>
      </w:r>
      <w:r>
        <w:rPr>
          <w:rFonts w:ascii="Times New Roman" w:eastAsia="宋体" w:hAnsi="Times New Roman" w:cs="宋体" w:hint="eastAsia"/>
          <w:color w:val="auto"/>
          <w:sz w:val="24"/>
          <w:szCs w:val="24"/>
          <w:lang w:eastAsia="zh-CN"/>
        </w:rPr>
        <w:t>）等。其中位于北侧海域的</w:t>
      </w:r>
      <w:r>
        <w:rPr>
          <w:rFonts w:ascii="Times New Roman" w:eastAsia="宋体" w:hAnsi="Times New Roman" w:cs="宋体" w:hint="eastAsia"/>
          <w:color w:val="auto"/>
          <w:sz w:val="24"/>
          <w:szCs w:val="24"/>
          <w:lang w:eastAsia="zh-CN"/>
        </w:rPr>
        <w:t>10</w:t>
      </w:r>
      <w:r>
        <w:rPr>
          <w:rFonts w:ascii="Times New Roman" w:eastAsia="宋体" w:hAnsi="Times New Roman" w:cs="宋体" w:hint="eastAsia"/>
          <w:color w:val="auto"/>
          <w:sz w:val="24"/>
          <w:szCs w:val="24"/>
          <w:lang w:eastAsia="zh-CN"/>
        </w:rPr>
        <w:t>号和</w:t>
      </w:r>
      <w:r>
        <w:rPr>
          <w:rFonts w:ascii="Times New Roman" w:eastAsia="宋体" w:hAnsi="Times New Roman" w:cs="宋体" w:hint="eastAsia"/>
          <w:color w:val="auto"/>
          <w:sz w:val="24"/>
          <w:szCs w:val="24"/>
          <w:lang w:eastAsia="zh-CN"/>
        </w:rPr>
        <w:t>12</w:t>
      </w:r>
      <w:r>
        <w:rPr>
          <w:rFonts w:ascii="Times New Roman" w:eastAsia="宋体" w:hAnsi="Times New Roman" w:cs="宋体" w:hint="eastAsia"/>
          <w:color w:val="auto"/>
          <w:sz w:val="24"/>
          <w:szCs w:val="24"/>
          <w:lang w:eastAsia="zh-CN"/>
        </w:rPr>
        <w:t>号站位主要以巢沙菜和南方团扇藻为主，西南侧海域的</w:t>
      </w: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5</w:t>
      </w:r>
      <w:r>
        <w:rPr>
          <w:rFonts w:ascii="Times New Roman" w:eastAsia="宋体" w:hAnsi="Times New Roman" w:cs="宋体" w:hint="eastAsia"/>
          <w:color w:val="auto"/>
          <w:sz w:val="24"/>
          <w:szCs w:val="24"/>
          <w:lang w:eastAsia="zh-CN"/>
        </w:rPr>
        <w:t>号和</w:t>
      </w: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号点位主要以海门冬为主。蜈支洲岛珊瑚礁区大型藻类覆盖率整体较低，在</w:t>
      </w:r>
      <w:r>
        <w:rPr>
          <w:rFonts w:ascii="Times New Roman" w:eastAsia="宋体" w:hAnsi="Times New Roman" w:cs="宋体" w:hint="eastAsia"/>
          <w:color w:val="auto"/>
          <w:sz w:val="24"/>
          <w:szCs w:val="24"/>
          <w:lang w:eastAsia="zh-CN"/>
        </w:rPr>
        <w:t>0~4.50%</w:t>
      </w:r>
      <w:r>
        <w:rPr>
          <w:rFonts w:ascii="Times New Roman" w:eastAsia="宋体" w:hAnsi="Times New Roman" w:cs="宋体" w:hint="eastAsia"/>
          <w:color w:val="auto"/>
          <w:sz w:val="24"/>
          <w:szCs w:val="24"/>
          <w:lang w:eastAsia="zh-CN"/>
        </w:rPr>
        <w:t>之间，平均为</w:t>
      </w:r>
      <w:r>
        <w:rPr>
          <w:rFonts w:ascii="Times New Roman" w:eastAsia="宋体" w:hAnsi="Times New Roman" w:cs="宋体" w:hint="eastAsia"/>
          <w:color w:val="auto"/>
          <w:sz w:val="24"/>
          <w:szCs w:val="24"/>
          <w:lang w:eastAsia="zh-CN"/>
        </w:rPr>
        <w:t>1.08%</w:t>
      </w:r>
      <w:r>
        <w:rPr>
          <w:rFonts w:ascii="Times New Roman" w:eastAsia="宋体" w:hAnsi="Times New Roman" w:cs="宋体" w:hint="eastAsia"/>
          <w:color w:val="auto"/>
          <w:sz w:val="24"/>
          <w:szCs w:val="24"/>
          <w:lang w:eastAsia="zh-CN"/>
        </w:rPr>
        <w:t>，西南侧海域的</w:t>
      </w: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号站位和北侧海域的</w:t>
      </w:r>
      <w:r>
        <w:rPr>
          <w:rFonts w:ascii="Times New Roman" w:eastAsia="宋体" w:hAnsi="Times New Roman" w:cs="宋体" w:hint="eastAsia"/>
          <w:color w:val="auto"/>
          <w:sz w:val="24"/>
          <w:szCs w:val="24"/>
          <w:lang w:eastAsia="zh-CN"/>
        </w:rPr>
        <w:t>10</w:t>
      </w:r>
      <w:r>
        <w:rPr>
          <w:rFonts w:ascii="Times New Roman" w:eastAsia="宋体" w:hAnsi="Times New Roman" w:cs="宋体" w:hint="eastAsia"/>
          <w:color w:val="auto"/>
          <w:sz w:val="24"/>
          <w:szCs w:val="24"/>
          <w:lang w:eastAsia="zh-CN"/>
        </w:rPr>
        <w:t>号和</w:t>
      </w:r>
      <w:r>
        <w:rPr>
          <w:rFonts w:ascii="Times New Roman" w:eastAsia="宋体" w:hAnsi="Times New Roman" w:cs="宋体" w:hint="eastAsia"/>
          <w:color w:val="auto"/>
          <w:sz w:val="24"/>
          <w:szCs w:val="24"/>
          <w:lang w:eastAsia="zh-CN"/>
        </w:rPr>
        <w:t>12</w:t>
      </w:r>
      <w:r>
        <w:rPr>
          <w:rFonts w:ascii="Times New Roman" w:eastAsia="宋体" w:hAnsi="Times New Roman" w:cs="宋体" w:hint="eastAsia"/>
          <w:color w:val="auto"/>
          <w:sz w:val="24"/>
          <w:szCs w:val="24"/>
          <w:lang w:eastAsia="zh-CN"/>
        </w:rPr>
        <w:t>号站位大型藻类覆盖率相对略高，分别为</w:t>
      </w:r>
      <w:r>
        <w:rPr>
          <w:rFonts w:ascii="Times New Roman" w:eastAsia="宋体" w:hAnsi="Times New Roman" w:cs="宋体" w:hint="eastAsia"/>
          <w:color w:val="auto"/>
          <w:sz w:val="24"/>
          <w:szCs w:val="24"/>
          <w:lang w:eastAsia="zh-CN"/>
        </w:rPr>
        <w:t>4.50%</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4.50%</w:t>
      </w:r>
      <w:r>
        <w:rPr>
          <w:rFonts w:ascii="Times New Roman" w:eastAsia="宋体" w:hAnsi="Times New Roman" w:cs="宋体" w:hint="eastAsia"/>
          <w:color w:val="auto"/>
          <w:sz w:val="24"/>
          <w:szCs w:val="24"/>
          <w:lang w:eastAsia="zh-CN"/>
        </w:rPr>
        <w:t>和</w:t>
      </w:r>
      <w:r>
        <w:rPr>
          <w:rFonts w:ascii="Times New Roman" w:eastAsia="宋体" w:hAnsi="Times New Roman" w:cs="宋体" w:hint="eastAsia"/>
          <w:color w:val="auto"/>
          <w:sz w:val="24"/>
          <w:szCs w:val="24"/>
          <w:lang w:eastAsia="zh-CN"/>
        </w:rPr>
        <w:t>3.17%</w:t>
      </w:r>
      <w:r>
        <w:rPr>
          <w:rFonts w:ascii="Times New Roman" w:eastAsia="宋体" w:hAnsi="Times New Roman" w:cs="宋体" w:hint="eastAsia"/>
          <w:color w:val="auto"/>
          <w:sz w:val="24"/>
          <w:szCs w:val="24"/>
          <w:lang w:eastAsia="zh-CN"/>
        </w:rPr>
        <w:t>。</w:t>
      </w:r>
    </w:p>
    <w:p w14:paraId="4A9B0079" w14:textId="77777777" w:rsidR="0075791A" w:rsidRDefault="00FB2864">
      <w:pPr>
        <w:jc w:val="center"/>
        <w:rPr>
          <w:color w:val="auto"/>
        </w:rPr>
      </w:pPr>
      <w:r>
        <w:rPr>
          <w:noProof/>
          <w:color w:val="auto"/>
        </w:rPr>
        <w:lastRenderedPageBreak/>
        <w:drawing>
          <wp:inline distT="0" distB="0" distL="114300" distR="114300" wp14:anchorId="33C5882C" wp14:editId="3C05C884">
            <wp:extent cx="4177665" cy="2368550"/>
            <wp:effectExtent l="0" t="0" r="13335" b="8890"/>
            <wp:docPr id="33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109"/>
                    <pic:cNvPicPr>
                      <a:picLocks noChangeAspect="1"/>
                    </pic:cNvPicPr>
                  </pic:nvPicPr>
                  <pic:blipFill>
                    <a:blip r:embed="rId78"/>
                    <a:srcRect b="6022"/>
                    <a:stretch>
                      <a:fillRect/>
                    </a:stretch>
                  </pic:blipFill>
                  <pic:spPr>
                    <a:xfrm>
                      <a:off x="0" y="0"/>
                      <a:ext cx="4177665" cy="2368550"/>
                    </a:xfrm>
                    <a:prstGeom prst="rect">
                      <a:avLst/>
                    </a:prstGeom>
                    <a:noFill/>
                    <a:ln>
                      <a:noFill/>
                    </a:ln>
                  </pic:spPr>
                </pic:pic>
              </a:graphicData>
            </a:graphic>
          </wp:inline>
        </w:drawing>
      </w:r>
    </w:p>
    <w:p w14:paraId="376DEDEF" w14:textId="77777777" w:rsidR="0075791A" w:rsidRDefault="00FB2864">
      <w:pPr>
        <w:pStyle w:val="a5"/>
        <w:spacing w:line="360" w:lineRule="auto"/>
        <w:jc w:val="center"/>
        <w:rPr>
          <w:color w:val="auto"/>
          <w:lang w:eastAsia="zh-CN"/>
        </w:rPr>
      </w:pPr>
      <w:r>
        <w:rPr>
          <w:color w:val="auto"/>
          <w:lang w:eastAsia="zh-CN"/>
        </w:rPr>
        <w:t>图</w:t>
      </w:r>
      <w:r>
        <w:rPr>
          <w:color w:val="auto"/>
          <w:spacing w:val="-60"/>
          <w:lang w:eastAsia="zh-CN"/>
        </w:rPr>
        <w:t xml:space="preserve"> </w:t>
      </w:r>
      <w:r>
        <w:rPr>
          <w:rFonts w:ascii="Times New Roman" w:eastAsia="宋体" w:hAnsi="Times New Roman" w:cs="宋体" w:hint="eastAsia"/>
          <w:color w:val="auto"/>
          <w:spacing w:val="-4"/>
          <w:sz w:val="24"/>
          <w:szCs w:val="24"/>
          <w:lang w:eastAsia="zh-CN"/>
        </w:rPr>
        <w:t>3.2.7-16</w:t>
      </w:r>
      <w:r>
        <w:rPr>
          <w:color w:val="auto"/>
          <w:lang w:eastAsia="zh-CN"/>
        </w:rPr>
        <w:t>蜈支洲岛周边海域珊瑚礁大型藻类分布情况</w:t>
      </w:r>
    </w:p>
    <w:p w14:paraId="0F4DCAB6" w14:textId="77777777" w:rsidR="0075791A" w:rsidRDefault="0075791A">
      <w:pPr>
        <w:spacing w:line="360" w:lineRule="auto"/>
        <w:ind w:firstLineChars="200" w:firstLine="480"/>
        <w:jc w:val="both"/>
        <w:rPr>
          <w:rFonts w:ascii="Times New Roman" w:eastAsia="宋体" w:hAnsi="Times New Roman" w:cs="宋体"/>
          <w:color w:val="auto"/>
          <w:sz w:val="24"/>
          <w:szCs w:val="24"/>
          <w:lang w:eastAsia="zh-CN"/>
        </w:rPr>
      </w:pPr>
    </w:p>
    <w:p w14:paraId="36665646" w14:textId="77777777" w:rsidR="0075791A" w:rsidRDefault="00FB2864">
      <w:pPr>
        <w:spacing w:before="34" w:line="360" w:lineRule="auto"/>
        <w:ind w:left="5"/>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3.2.7.3</w:t>
      </w:r>
      <w:r>
        <w:rPr>
          <w:rFonts w:ascii="Times New Roman" w:eastAsia="宋体" w:hAnsi="Times New Roman" w:hint="eastAsia"/>
          <w:b/>
          <w:color w:val="auto"/>
          <w:sz w:val="24"/>
          <w:szCs w:val="24"/>
          <w:lang w:eastAsia="zh-CN"/>
        </w:rPr>
        <w:t>海草床生态系统概况</w:t>
      </w:r>
    </w:p>
    <w:p w14:paraId="0F089113" w14:textId="77777777" w:rsidR="0075791A" w:rsidRDefault="00FB2864">
      <w:pPr>
        <w:pStyle w:val="TableText"/>
        <w:spacing w:line="360" w:lineRule="auto"/>
        <w:ind w:firstLineChars="200" w:firstLine="480"/>
        <w:jc w:val="both"/>
        <w:rPr>
          <w:rFonts w:ascii="Times New Roman" w:hAnsi="Times New Roman"/>
          <w:color w:val="auto"/>
          <w:spacing w:val="-2"/>
          <w:lang w:eastAsia="zh-CN"/>
        </w:rPr>
      </w:pPr>
      <w:r>
        <w:rPr>
          <w:rFonts w:ascii="Times New Roman" w:hAnsi="Times New Roman" w:hint="eastAsia"/>
          <w:color w:val="auto"/>
          <w:lang w:eastAsia="zh-CN"/>
        </w:rPr>
        <w:t>根据陈石泉等</w:t>
      </w:r>
      <w:r>
        <w:rPr>
          <w:rFonts w:ascii="Times New Roman" w:hAnsi="Times New Roman" w:hint="eastAsia"/>
          <w:color w:val="auto"/>
          <w:lang w:eastAsia="zh-CN"/>
        </w:rPr>
        <w:t>2014</w:t>
      </w:r>
      <w:r>
        <w:rPr>
          <w:rFonts w:ascii="Times New Roman" w:hAnsi="Times New Roman" w:hint="eastAsia"/>
          <w:color w:val="auto"/>
          <w:lang w:eastAsia="zh-CN"/>
        </w:rPr>
        <w:t>年对海南岛南部海草资源的现状调查分析，铁炉港潟湖内</w:t>
      </w:r>
      <w:r>
        <w:rPr>
          <w:rFonts w:ascii="Times New Roman" w:hAnsi="Times New Roman" w:hint="eastAsia"/>
          <w:color w:val="auto"/>
          <w:lang w:eastAsia="zh-CN"/>
        </w:rPr>
        <w:t>2014</w:t>
      </w:r>
      <w:r>
        <w:rPr>
          <w:rFonts w:ascii="Times New Roman" w:hAnsi="Times New Roman" w:hint="eastAsia"/>
          <w:color w:val="auto"/>
          <w:lang w:eastAsia="zh-CN"/>
        </w:rPr>
        <w:t>年海草分布面积只有</w:t>
      </w:r>
      <w:r>
        <w:rPr>
          <w:rFonts w:ascii="Times New Roman" w:hAnsi="Times New Roman" w:hint="eastAsia"/>
          <w:color w:val="auto"/>
          <w:lang w:eastAsia="zh-CN"/>
        </w:rPr>
        <w:t>0.04km</w:t>
      </w:r>
      <w:r>
        <w:rPr>
          <w:rFonts w:ascii="Times New Roman" w:hAnsi="Times New Roman" w:hint="eastAsia"/>
          <w:color w:val="auto"/>
          <w:vertAlign w:val="superscript"/>
          <w:lang w:eastAsia="zh-CN"/>
        </w:rPr>
        <w:t>2</w:t>
      </w:r>
      <w:r>
        <w:rPr>
          <w:rFonts w:ascii="Times New Roman" w:hAnsi="Times New Roman" w:hint="eastAsia"/>
          <w:color w:val="auto"/>
          <w:lang w:eastAsia="zh-CN"/>
        </w:rPr>
        <w:t>，覆盖度为</w:t>
      </w:r>
      <w:r>
        <w:rPr>
          <w:rFonts w:ascii="Times New Roman" w:hAnsi="Times New Roman" w:hint="eastAsia"/>
          <w:color w:val="auto"/>
          <w:lang w:eastAsia="zh-CN"/>
        </w:rPr>
        <w:t>5.00%</w:t>
      </w:r>
      <w:r>
        <w:rPr>
          <w:rFonts w:ascii="Times New Roman" w:hAnsi="Times New Roman" w:hint="eastAsia"/>
          <w:color w:val="auto"/>
          <w:lang w:eastAsia="zh-CN"/>
        </w:rPr>
        <w:t>，主要分布有喜盐草和海菖蒲，喜盐草分布面积较小，成斑块状或零星分布，海菖蒲零星分布。后海</w:t>
      </w:r>
      <w:r>
        <w:rPr>
          <w:rFonts w:ascii="Times New Roman" w:hAnsi="Times New Roman" w:hint="eastAsia"/>
          <w:color w:val="auto"/>
          <w:lang w:eastAsia="zh-CN"/>
        </w:rPr>
        <w:t>2014</w:t>
      </w:r>
      <w:r>
        <w:rPr>
          <w:rFonts w:ascii="Times New Roman" w:hAnsi="Times New Roman" w:hint="eastAsia"/>
          <w:color w:val="auto"/>
          <w:lang w:eastAsia="zh-CN"/>
        </w:rPr>
        <w:t>年海草分布面积</w:t>
      </w:r>
      <w:r>
        <w:rPr>
          <w:rFonts w:ascii="Times New Roman" w:hAnsi="Times New Roman" w:hint="eastAsia"/>
          <w:color w:val="auto"/>
          <w:lang w:eastAsia="zh-CN"/>
        </w:rPr>
        <w:t>0.06km</w:t>
      </w:r>
      <w:r>
        <w:rPr>
          <w:rFonts w:ascii="Times New Roman" w:hAnsi="Times New Roman" w:hint="eastAsia"/>
          <w:color w:val="auto"/>
          <w:vertAlign w:val="superscript"/>
          <w:lang w:eastAsia="zh-CN"/>
        </w:rPr>
        <w:t>2</w:t>
      </w:r>
      <w:r>
        <w:rPr>
          <w:rFonts w:ascii="Times New Roman" w:hAnsi="Times New Roman" w:hint="eastAsia"/>
          <w:color w:val="auto"/>
          <w:lang w:eastAsia="zh-CN"/>
        </w:rPr>
        <w:t>，覆盖度为</w:t>
      </w:r>
      <w:r>
        <w:rPr>
          <w:rFonts w:ascii="Times New Roman" w:hAnsi="Times New Roman" w:hint="eastAsia"/>
          <w:color w:val="auto"/>
          <w:lang w:eastAsia="zh-CN"/>
        </w:rPr>
        <w:t>62.25%</w:t>
      </w:r>
      <w:r>
        <w:rPr>
          <w:rFonts w:ascii="Times New Roman" w:hAnsi="Times New Roman" w:hint="eastAsia"/>
          <w:color w:val="auto"/>
          <w:lang w:eastAsia="zh-CN"/>
        </w:rPr>
        <w:t>，主要分布为海神草和泰莱草，海神草分布于湾内侧，长势</w:t>
      </w:r>
      <w:r>
        <w:rPr>
          <w:rFonts w:ascii="Times New Roman" w:hAnsi="Times New Roman"/>
          <w:color w:val="auto"/>
          <w:spacing w:val="-2"/>
          <w:lang w:eastAsia="zh-CN"/>
        </w:rPr>
        <w:t>很好，呈片状分布，泰莱草分布于湾外侧，呈斑块状分布。</w:t>
      </w:r>
    </w:p>
    <w:p w14:paraId="56B250FB" w14:textId="77777777" w:rsidR="0075791A" w:rsidRDefault="00FB2864">
      <w:pPr>
        <w:pStyle w:val="TableText"/>
        <w:spacing w:line="360" w:lineRule="auto"/>
        <w:ind w:firstLineChars="200" w:firstLine="478"/>
        <w:jc w:val="both"/>
        <w:rPr>
          <w:rFonts w:ascii="Times New Roman" w:hAnsi="Times New Roman"/>
          <w:b/>
          <w:bCs/>
          <w:color w:val="auto"/>
          <w:spacing w:val="-2"/>
          <w:lang w:eastAsia="zh-CN"/>
        </w:rPr>
      </w:pPr>
      <w:r>
        <w:rPr>
          <w:rFonts w:ascii="Times New Roman" w:hAnsi="Times New Roman" w:hint="eastAsia"/>
          <w:b/>
          <w:bCs/>
          <w:color w:val="auto"/>
          <w:spacing w:val="-2"/>
          <w:lang w:eastAsia="zh-CN"/>
        </w:rPr>
        <w:t>1.2023</w:t>
      </w:r>
      <w:r>
        <w:rPr>
          <w:rFonts w:ascii="Times New Roman" w:hAnsi="Times New Roman" w:hint="eastAsia"/>
          <w:b/>
          <w:bCs/>
          <w:color w:val="auto"/>
          <w:spacing w:val="-2"/>
          <w:lang w:eastAsia="zh-CN"/>
        </w:rPr>
        <w:t>年</w:t>
      </w:r>
      <w:r>
        <w:rPr>
          <w:rFonts w:ascii="Times New Roman" w:hAnsi="Times New Roman" w:hint="eastAsia"/>
          <w:b/>
          <w:bCs/>
          <w:color w:val="auto"/>
          <w:spacing w:val="-2"/>
          <w:lang w:eastAsia="zh-CN"/>
        </w:rPr>
        <w:t>12</w:t>
      </w:r>
      <w:r>
        <w:rPr>
          <w:rFonts w:ascii="Times New Roman" w:hAnsi="Times New Roman" w:hint="eastAsia"/>
          <w:b/>
          <w:bCs/>
          <w:color w:val="auto"/>
          <w:spacing w:val="-2"/>
          <w:lang w:eastAsia="zh-CN"/>
        </w:rPr>
        <w:t>月海草床调查</w:t>
      </w:r>
    </w:p>
    <w:p w14:paraId="11D9872D"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hint="eastAsia"/>
          <w:color w:val="auto"/>
          <w:spacing w:val="-2"/>
          <w:lang w:eastAsia="zh-CN"/>
        </w:rPr>
        <w:t>2023</w:t>
      </w:r>
      <w:r>
        <w:rPr>
          <w:rFonts w:ascii="Times New Roman" w:hAnsi="Times New Roman" w:hint="eastAsia"/>
          <w:color w:val="auto"/>
          <w:spacing w:val="-2"/>
          <w:lang w:eastAsia="zh-CN"/>
        </w:rPr>
        <w:t>年</w:t>
      </w:r>
      <w:r>
        <w:rPr>
          <w:rFonts w:ascii="Times New Roman" w:hAnsi="Times New Roman" w:hint="eastAsia"/>
          <w:color w:val="auto"/>
          <w:spacing w:val="-2"/>
          <w:lang w:eastAsia="zh-CN"/>
        </w:rPr>
        <w:t>12</w:t>
      </w:r>
      <w:r>
        <w:rPr>
          <w:rFonts w:ascii="Times New Roman" w:hAnsi="Times New Roman" w:hint="eastAsia"/>
          <w:color w:val="auto"/>
          <w:spacing w:val="-2"/>
          <w:lang w:eastAsia="zh-CN"/>
        </w:rPr>
        <w:t>月</w:t>
      </w:r>
      <w:r>
        <w:rPr>
          <w:rFonts w:ascii="Times New Roman" w:hAnsi="Times New Roman" w:hint="eastAsia"/>
          <w:color w:val="auto"/>
          <w:spacing w:val="-2"/>
          <w:lang w:eastAsia="zh-CN"/>
        </w:rPr>
        <w:t>16</w:t>
      </w:r>
      <w:r>
        <w:rPr>
          <w:rFonts w:ascii="Times New Roman" w:hAnsi="Times New Roman" w:hint="eastAsia"/>
          <w:color w:val="auto"/>
          <w:spacing w:val="-2"/>
          <w:lang w:eastAsia="zh-CN"/>
        </w:rPr>
        <w:t>日，海南省海洋与渔业科学院对后海海域的海草分布进行了调查，布设了</w:t>
      </w:r>
      <w:r>
        <w:rPr>
          <w:rFonts w:ascii="Times New Roman" w:hAnsi="Times New Roman" w:hint="eastAsia"/>
          <w:color w:val="auto"/>
          <w:spacing w:val="-2"/>
          <w:lang w:eastAsia="zh-CN"/>
        </w:rPr>
        <w:t>3</w:t>
      </w:r>
      <w:r>
        <w:rPr>
          <w:rFonts w:ascii="Times New Roman" w:hAnsi="Times New Roman" w:hint="eastAsia"/>
          <w:color w:val="auto"/>
          <w:spacing w:val="-2"/>
          <w:lang w:eastAsia="zh-CN"/>
        </w:rPr>
        <w:t>各调查断面（表</w:t>
      </w:r>
      <w:r>
        <w:rPr>
          <w:rFonts w:ascii="Times New Roman" w:hAnsi="Times New Roman" w:hint="eastAsia"/>
          <w:color w:val="auto"/>
          <w:spacing w:val="-2"/>
          <w:lang w:eastAsia="zh-CN"/>
        </w:rPr>
        <w:t>3.2.7-4</w:t>
      </w:r>
      <w:r>
        <w:rPr>
          <w:rFonts w:ascii="Times New Roman" w:hAnsi="Times New Roman" w:hint="eastAsia"/>
          <w:color w:val="auto"/>
          <w:spacing w:val="-2"/>
          <w:lang w:eastAsia="zh-CN"/>
        </w:rPr>
        <w:t>），并采用无人机航拍的方法调查了海草床分布面积。</w:t>
      </w:r>
    </w:p>
    <w:p w14:paraId="61238297" w14:textId="77777777" w:rsidR="0075791A" w:rsidRDefault="00FB2864">
      <w:pPr>
        <w:pStyle w:val="TableText"/>
        <w:jc w:val="center"/>
        <w:rPr>
          <w:rFonts w:ascii="Times New Roman" w:hAnsi="Times New Roman"/>
          <w:color w:val="auto"/>
          <w:spacing w:val="-2"/>
          <w:lang w:eastAsia="zh-CN"/>
        </w:rPr>
      </w:pPr>
      <w:r>
        <w:rPr>
          <w:rFonts w:ascii="Times New Roman" w:hAnsi="Times New Roman" w:hint="eastAsia"/>
          <w:color w:val="auto"/>
          <w:spacing w:val="-2"/>
          <w:lang w:eastAsia="zh-CN"/>
        </w:rPr>
        <w:t>表</w:t>
      </w:r>
      <w:r>
        <w:rPr>
          <w:rFonts w:ascii="Times New Roman" w:hAnsi="Times New Roman" w:hint="eastAsia"/>
          <w:color w:val="auto"/>
          <w:spacing w:val="-2"/>
          <w:lang w:eastAsia="zh-CN"/>
        </w:rPr>
        <w:t>3.2.7-4</w:t>
      </w:r>
      <w:r>
        <w:rPr>
          <w:rFonts w:ascii="Times New Roman" w:hAnsi="Times New Roman" w:hint="eastAsia"/>
          <w:color w:val="auto"/>
          <w:spacing w:val="-2"/>
          <w:lang w:eastAsia="zh-CN"/>
        </w:rPr>
        <w:t>海草床调查断面坐标</w:t>
      </w:r>
    </w:p>
    <w:tbl>
      <w:tblPr>
        <w:tblStyle w:val="ad"/>
        <w:tblW w:w="0" w:type="auto"/>
        <w:jc w:val="center"/>
        <w:tblLook w:val="04A0" w:firstRow="1" w:lastRow="0" w:firstColumn="1" w:lastColumn="0" w:noHBand="0" w:noVBand="1"/>
      </w:tblPr>
      <w:tblGrid>
        <w:gridCol w:w="2355"/>
        <w:gridCol w:w="2355"/>
        <w:gridCol w:w="2355"/>
      </w:tblGrid>
      <w:tr w:rsidR="0075791A" w14:paraId="7FC6E35E" w14:textId="77777777">
        <w:trPr>
          <w:trHeight w:val="397"/>
          <w:jc w:val="center"/>
        </w:trPr>
        <w:tc>
          <w:tcPr>
            <w:tcW w:w="2355" w:type="dxa"/>
            <w:vAlign w:val="center"/>
          </w:tcPr>
          <w:p w14:paraId="2A55D25E"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断面</w:t>
            </w:r>
          </w:p>
        </w:tc>
        <w:tc>
          <w:tcPr>
            <w:tcW w:w="2355" w:type="dxa"/>
            <w:vAlign w:val="center"/>
          </w:tcPr>
          <w:p w14:paraId="39742F20"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经度（</w:t>
            </w:r>
            <w:r>
              <w:rPr>
                <w:rFonts w:ascii="Times New Roman" w:hAnsi="Times New Roman" w:hint="eastAsia"/>
                <w:color w:val="auto"/>
                <w:spacing w:val="-2"/>
                <w:lang w:eastAsia="zh-CN"/>
              </w:rPr>
              <w:t>E</w:t>
            </w:r>
            <w:r>
              <w:rPr>
                <w:rFonts w:ascii="Times New Roman" w:hAnsi="Times New Roman" w:hint="eastAsia"/>
                <w:color w:val="auto"/>
                <w:spacing w:val="-2"/>
                <w:lang w:eastAsia="zh-CN"/>
              </w:rPr>
              <w:t>）</w:t>
            </w:r>
          </w:p>
        </w:tc>
        <w:tc>
          <w:tcPr>
            <w:tcW w:w="2355" w:type="dxa"/>
            <w:vAlign w:val="center"/>
          </w:tcPr>
          <w:p w14:paraId="3940A356"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纬度（</w:t>
            </w:r>
            <w:r>
              <w:rPr>
                <w:rFonts w:ascii="Times New Roman" w:hAnsi="Times New Roman" w:hint="eastAsia"/>
                <w:color w:val="auto"/>
                <w:spacing w:val="-2"/>
                <w:lang w:eastAsia="zh-CN"/>
              </w:rPr>
              <w:t>N</w:t>
            </w:r>
            <w:r>
              <w:rPr>
                <w:rFonts w:ascii="Times New Roman" w:hAnsi="Times New Roman" w:hint="eastAsia"/>
                <w:color w:val="auto"/>
                <w:spacing w:val="-2"/>
                <w:lang w:eastAsia="zh-CN"/>
              </w:rPr>
              <w:t>）</w:t>
            </w:r>
          </w:p>
        </w:tc>
      </w:tr>
      <w:tr w:rsidR="0075791A" w14:paraId="2B40D573" w14:textId="77777777">
        <w:trPr>
          <w:trHeight w:val="397"/>
          <w:jc w:val="center"/>
        </w:trPr>
        <w:tc>
          <w:tcPr>
            <w:tcW w:w="2355" w:type="dxa"/>
            <w:vAlign w:val="center"/>
          </w:tcPr>
          <w:p w14:paraId="0C0D9825"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HC1</w:t>
            </w:r>
          </w:p>
        </w:tc>
        <w:tc>
          <w:tcPr>
            <w:tcW w:w="2355" w:type="dxa"/>
            <w:vAlign w:val="center"/>
          </w:tcPr>
          <w:p w14:paraId="009274D3" w14:textId="77777777" w:rsidR="0075791A" w:rsidRDefault="0075791A">
            <w:pPr>
              <w:pStyle w:val="TableText"/>
              <w:widowControl/>
              <w:jc w:val="center"/>
              <w:rPr>
                <w:rFonts w:ascii="Times New Roman" w:hAnsi="Times New Roman"/>
                <w:color w:val="auto"/>
                <w:spacing w:val="-2"/>
                <w:lang w:eastAsia="zh-CN"/>
              </w:rPr>
            </w:pPr>
          </w:p>
        </w:tc>
        <w:tc>
          <w:tcPr>
            <w:tcW w:w="2355" w:type="dxa"/>
            <w:vAlign w:val="center"/>
          </w:tcPr>
          <w:p w14:paraId="0D986AAB" w14:textId="77777777" w:rsidR="0075791A" w:rsidRDefault="0075791A">
            <w:pPr>
              <w:pStyle w:val="TableText"/>
              <w:widowControl/>
              <w:jc w:val="center"/>
              <w:rPr>
                <w:rFonts w:ascii="Times New Roman" w:hAnsi="Times New Roman"/>
                <w:color w:val="auto"/>
                <w:spacing w:val="-2"/>
                <w:lang w:eastAsia="zh-CN"/>
              </w:rPr>
            </w:pPr>
          </w:p>
        </w:tc>
      </w:tr>
      <w:tr w:rsidR="0075791A" w14:paraId="0AD7F7CE" w14:textId="77777777">
        <w:trPr>
          <w:trHeight w:val="397"/>
          <w:jc w:val="center"/>
        </w:trPr>
        <w:tc>
          <w:tcPr>
            <w:tcW w:w="2355" w:type="dxa"/>
            <w:vAlign w:val="center"/>
          </w:tcPr>
          <w:p w14:paraId="71496C03"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HC2</w:t>
            </w:r>
          </w:p>
        </w:tc>
        <w:tc>
          <w:tcPr>
            <w:tcW w:w="2355" w:type="dxa"/>
            <w:vAlign w:val="center"/>
          </w:tcPr>
          <w:p w14:paraId="28C19F5F" w14:textId="77777777" w:rsidR="0075791A" w:rsidRDefault="0075791A">
            <w:pPr>
              <w:pStyle w:val="TableText"/>
              <w:widowControl/>
              <w:jc w:val="center"/>
              <w:rPr>
                <w:rFonts w:ascii="Times New Roman" w:hAnsi="Times New Roman"/>
                <w:color w:val="auto"/>
                <w:spacing w:val="-2"/>
                <w:lang w:eastAsia="zh-CN"/>
              </w:rPr>
            </w:pPr>
          </w:p>
        </w:tc>
        <w:tc>
          <w:tcPr>
            <w:tcW w:w="2355" w:type="dxa"/>
            <w:vAlign w:val="center"/>
          </w:tcPr>
          <w:p w14:paraId="270BCD84" w14:textId="77777777" w:rsidR="0075791A" w:rsidRDefault="0075791A">
            <w:pPr>
              <w:pStyle w:val="TableText"/>
              <w:widowControl/>
              <w:jc w:val="center"/>
              <w:rPr>
                <w:rFonts w:ascii="Times New Roman" w:hAnsi="Times New Roman"/>
                <w:color w:val="auto"/>
                <w:spacing w:val="-2"/>
                <w:lang w:eastAsia="zh-CN"/>
              </w:rPr>
            </w:pPr>
          </w:p>
        </w:tc>
      </w:tr>
      <w:tr w:rsidR="0075791A" w14:paraId="1D00FA1C" w14:textId="77777777">
        <w:trPr>
          <w:trHeight w:val="397"/>
          <w:jc w:val="center"/>
        </w:trPr>
        <w:tc>
          <w:tcPr>
            <w:tcW w:w="2355" w:type="dxa"/>
            <w:vAlign w:val="center"/>
          </w:tcPr>
          <w:p w14:paraId="1A4A4BD1"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HC3</w:t>
            </w:r>
          </w:p>
        </w:tc>
        <w:tc>
          <w:tcPr>
            <w:tcW w:w="2355" w:type="dxa"/>
            <w:vAlign w:val="center"/>
          </w:tcPr>
          <w:p w14:paraId="2F4B4A52" w14:textId="77777777" w:rsidR="0075791A" w:rsidRDefault="0075791A">
            <w:pPr>
              <w:pStyle w:val="TableText"/>
              <w:widowControl/>
              <w:jc w:val="center"/>
              <w:rPr>
                <w:rFonts w:ascii="Times New Roman" w:hAnsi="Times New Roman"/>
                <w:color w:val="auto"/>
                <w:spacing w:val="-2"/>
                <w:lang w:eastAsia="zh-CN"/>
              </w:rPr>
            </w:pPr>
          </w:p>
        </w:tc>
        <w:tc>
          <w:tcPr>
            <w:tcW w:w="2355" w:type="dxa"/>
            <w:vAlign w:val="center"/>
          </w:tcPr>
          <w:p w14:paraId="766F0ADF" w14:textId="77777777" w:rsidR="0075791A" w:rsidRDefault="0075791A">
            <w:pPr>
              <w:pStyle w:val="TableText"/>
              <w:widowControl/>
              <w:jc w:val="center"/>
              <w:rPr>
                <w:rFonts w:ascii="Times New Roman" w:hAnsi="Times New Roman"/>
                <w:color w:val="auto"/>
                <w:spacing w:val="-2"/>
                <w:lang w:eastAsia="zh-CN"/>
              </w:rPr>
            </w:pPr>
          </w:p>
        </w:tc>
      </w:tr>
    </w:tbl>
    <w:p w14:paraId="4987C9A1"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hint="eastAsia"/>
          <w:color w:val="auto"/>
          <w:spacing w:val="-2"/>
          <w:lang w:eastAsia="zh-CN"/>
        </w:rPr>
        <w:t>（</w:t>
      </w:r>
      <w:r>
        <w:rPr>
          <w:rFonts w:ascii="Times New Roman" w:hAnsi="Times New Roman" w:hint="eastAsia"/>
          <w:color w:val="auto"/>
          <w:spacing w:val="-2"/>
          <w:lang w:eastAsia="zh-CN"/>
        </w:rPr>
        <w:t>1</w:t>
      </w:r>
      <w:r>
        <w:rPr>
          <w:rFonts w:ascii="Times New Roman" w:hAnsi="Times New Roman" w:hint="eastAsia"/>
          <w:color w:val="auto"/>
          <w:spacing w:val="-2"/>
          <w:lang w:eastAsia="zh-CN"/>
        </w:rPr>
        <w:t>）分布情况</w:t>
      </w:r>
    </w:p>
    <w:p w14:paraId="794F0DEF"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color w:val="auto"/>
          <w:lang w:eastAsia="zh-CN"/>
        </w:rPr>
        <w:t>用大疆精灵</w:t>
      </w:r>
      <w:r>
        <w:rPr>
          <w:rFonts w:ascii="Times New Roman" w:eastAsia="TimesNewRomanPSMT" w:hAnsi="Times New Roman" w:cs="TimesNewRomanPSMT"/>
          <w:color w:val="auto"/>
          <w:lang w:eastAsia="zh-CN"/>
        </w:rPr>
        <w:t>4</w:t>
      </w:r>
      <w:r>
        <w:rPr>
          <w:rFonts w:ascii="Times New Roman" w:hAnsi="Times New Roman"/>
          <w:color w:val="auto"/>
          <w:lang w:eastAsia="zh-CN"/>
        </w:rPr>
        <w:t>多光谱相机对后海沿岸的海草床进行航测，得到了高清晰的海草分布正射影像图和</w:t>
      </w:r>
      <w:r>
        <w:rPr>
          <w:rFonts w:ascii="Times New Roman" w:eastAsia="TimesNewRomanPSMT" w:hAnsi="Times New Roman" w:cs="TimesNewRomanPSMT"/>
          <w:color w:val="auto"/>
          <w:lang w:eastAsia="zh-CN"/>
        </w:rPr>
        <w:t>NDVI</w:t>
      </w:r>
      <w:r>
        <w:rPr>
          <w:rFonts w:ascii="Times New Roman" w:hAnsi="Times New Roman"/>
          <w:color w:val="auto"/>
          <w:lang w:eastAsia="zh-CN"/>
        </w:rPr>
        <w:t>矢量数据，结合</w:t>
      </w:r>
      <w:r>
        <w:rPr>
          <w:rFonts w:ascii="Times New Roman" w:eastAsia="TimesNewRomanPSMT" w:hAnsi="Times New Roman" w:cs="TimesNewRomanPSMT"/>
          <w:color w:val="auto"/>
          <w:lang w:eastAsia="zh-CN"/>
        </w:rPr>
        <w:t>3D</w:t>
      </w:r>
      <w:r>
        <w:rPr>
          <w:rFonts w:ascii="Times New Roman" w:hAnsi="Times New Roman"/>
          <w:color w:val="auto"/>
          <w:lang w:eastAsia="zh-CN"/>
        </w:rPr>
        <w:t>分析工具中的等值线工具和</w:t>
      </w:r>
      <w:r>
        <w:rPr>
          <w:rFonts w:ascii="Times New Roman" w:eastAsia="TimesNewRomanPSMT" w:hAnsi="Times New Roman" w:cs="TimesNewRomanPSMT"/>
          <w:color w:val="auto"/>
          <w:lang w:eastAsia="zh-CN"/>
        </w:rPr>
        <w:t>ISO</w:t>
      </w:r>
      <w:r>
        <w:rPr>
          <w:rFonts w:ascii="Times New Roman" w:hAnsi="Times New Roman"/>
          <w:color w:val="auto"/>
          <w:lang w:eastAsia="zh-CN"/>
        </w:rPr>
        <w:t>聚类非监督分类工具计算出后海海草床分布面积为</w:t>
      </w:r>
      <w:r>
        <w:rPr>
          <w:rFonts w:ascii="Times New Roman" w:eastAsia="TimesNewRomanPSMT" w:hAnsi="Times New Roman" w:cs="TimesNewRomanPSMT"/>
          <w:color w:val="auto"/>
          <w:lang w:eastAsia="zh-CN"/>
        </w:rPr>
        <w:t>14633.1m</w:t>
      </w:r>
      <w:r>
        <w:rPr>
          <w:rFonts w:ascii="Times New Roman" w:eastAsia="TimesNewRomanPSMT" w:hAnsi="Times New Roman" w:cs="TimesNewRomanPSMT"/>
          <w:color w:val="auto"/>
          <w:vertAlign w:val="superscript"/>
          <w:lang w:eastAsia="zh-CN"/>
        </w:rPr>
        <w:t>2</w:t>
      </w:r>
      <w:r>
        <w:rPr>
          <w:rFonts w:ascii="Times New Roman" w:hAnsi="Times New Roman"/>
          <w:color w:val="auto"/>
          <w:lang w:eastAsia="zh-CN"/>
        </w:rPr>
        <w:t>（详见</w:t>
      </w:r>
      <w:r>
        <w:rPr>
          <w:rFonts w:ascii="Times New Roman" w:hAnsi="Times New Roman" w:hint="eastAsia"/>
          <w:color w:val="auto"/>
          <w:spacing w:val="-4"/>
          <w:lang w:eastAsia="zh-CN"/>
        </w:rPr>
        <w:t>图</w:t>
      </w:r>
      <w:r>
        <w:rPr>
          <w:rFonts w:ascii="Times New Roman" w:hAnsi="Times New Roman" w:hint="eastAsia"/>
          <w:color w:val="auto"/>
          <w:spacing w:val="-4"/>
          <w:lang w:eastAsia="zh-CN"/>
        </w:rPr>
        <w:t>3.2.</w:t>
      </w:r>
      <w:r>
        <w:rPr>
          <w:rFonts w:ascii="Times New Roman" w:hAnsi="Times New Roman" w:hint="eastAsia"/>
          <w:color w:val="auto"/>
          <w:spacing w:val="-4"/>
          <w:lang w:eastAsia="zh-CN"/>
        </w:rPr>
        <w:t>7-</w:t>
      </w:r>
      <w:r>
        <w:rPr>
          <w:rFonts w:ascii="Times New Roman" w:hAnsi="Times New Roman" w:hint="eastAsia"/>
          <w:color w:val="auto"/>
          <w:spacing w:val="-4"/>
          <w:lang w:eastAsia="zh-CN"/>
        </w:rPr>
        <w:t>15</w:t>
      </w:r>
      <w:r>
        <w:rPr>
          <w:rFonts w:ascii="Times New Roman" w:hAnsi="Times New Roman"/>
          <w:color w:val="auto"/>
          <w:lang w:eastAsia="zh-CN"/>
        </w:rPr>
        <w:t>）。后海的海草床处于较窄珊瑚礁盘的潟湖相，呈集中的、斑块状和间隔式的分布，在分布区外未见到有海草分布。</w:t>
      </w:r>
    </w:p>
    <w:p w14:paraId="68D691F7" w14:textId="77777777" w:rsidR="0075791A" w:rsidRDefault="0075791A">
      <w:pPr>
        <w:jc w:val="center"/>
        <w:rPr>
          <w:rFonts w:ascii="Times New Roman" w:eastAsia="宋体" w:hAnsi="Times New Roman" w:cs="宋体"/>
          <w:color w:val="auto"/>
          <w:spacing w:val="-4"/>
          <w:sz w:val="24"/>
          <w:szCs w:val="24"/>
          <w:lang w:eastAsia="zh-CN"/>
        </w:rPr>
      </w:pPr>
    </w:p>
    <w:p w14:paraId="0AAAB296" w14:textId="77777777" w:rsidR="0075791A" w:rsidRDefault="00FB2864">
      <w:pPr>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3.2.7-15</w:t>
      </w:r>
      <w:r>
        <w:rPr>
          <w:rFonts w:ascii="Times New Roman" w:eastAsia="宋体" w:hAnsi="Times New Roman" w:cs="宋体" w:hint="eastAsia"/>
          <w:color w:val="auto"/>
          <w:spacing w:val="-4"/>
          <w:sz w:val="24"/>
          <w:szCs w:val="24"/>
          <w:lang w:eastAsia="zh-CN"/>
        </w:rPr>
        <w:t>海草床分布图（</w:t>
      </w:r>
      <w:r>
        <w:rPr>
          <w:rFonts w:ascii="Times New Roman" w:eastAsia="宋体" w:hAnsi="Times New Roman" w:cs="宋体" w:hint="eastAsia"/>
          <w:color w:val="auto"/>
          <w:spacing w:val="-4"/>
          <w:sz w:val="24"/>
          <w:szCs w:val="24"/>
          <w:lang w:eastAsia="zh-CN"/>
        </w:rPr>
        <w:t>2023</w:t>
      </w:r>
      <w:r>
        <w:rPr>
          <w:rFonts w:ascii="Times New Roman" w:eastAsia="宋体" w:hAnsi="Times New Roman" w:cs="宋体" w:hint="eastAsia"/>
          <w:color w:val="auto"/>
          <w:spacing w:val="-4"/>
          <w:sz w:val="24"/>
          <w:szCs w:val="24"/>
          <w:lang w:eastAsia="zh-CN"/>
        </w:rPr>
        <w:t>年</w:t>
      </w:r>
      <w:r>
        <w:rPr>
          <w:rFonts w:ascii="Times New Roman" w:eastAsia="宋体" w:hAnsi="Times New Roman" w:cs="宋体" w:hint="eastAsia"/>
          <w:color w:val="auto"/>
          <w:spacing w:val="-4"/>
          <w:sz w:val="24"/>
          <w:szCs w:val="24"/>
          <w:lang w:eastAsia="zh-CN"/>
        </w:rPr>
        <w:t>12</w:t>
      </w:r>
      <w:r>
        <w:rPr>
          <w:rFonts w:ascii="Times New Roman" w:eastAsia="宋体" w:hAnsi="Times New Roman" w:cs="宋体" w:hint="eastAsia"/>
          <w:color w:val="auto"/>
          <w:spacing w:val="-4"/>
          <w:sz w:val="24"/>
          <w:szCs w:val="24"/>
          <w:lang w:eastAsia="zh-CN"/>
        </w:rPr>
        <w:t>月）</w:t>
      </w:r>
    </w:p>
    <w:p w14:paraId="5191CFA6"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w:t>
      </w:r>
      <w:r>
        <w:rPr>
          <w:rFonts w:ascii="Times New Roman" w:hAnsi="Times New Roman" w:hint="eastAsia"/>
          <w:color w:val="auto"/>
          <w:lang w:eastAsia="zh-CN"/>
        </w:rPr>
        <w:t>2</w:t>
      </w:r>
      <w:r>
        <w:rPr>
          <w:rFonts w:ascii="Times New Roman" w:hAnsi="Times New Roman" w:hint="eastAsia"/>
          <w:color w:val="auto"/>
          <w:lang w:eastAsia="zh-CN"/>
        </w:rPr>
        <w:t>）种类组成</w:t>
      </w:r>
    </w:p>
    <w:p w14:paraId="61D8051E"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color w:val="auto"/>
        </w:rPr>
        <w:lastRenderedPageBreak/>
        <w:t>后海海域调查到海草</w:t>
      </w:r>
      <w:r>
        <w:rPr>
          <w:rFonts w:ascii="Times New Roman" w:hAnsi="Times New Roman"/>
          <w:color w:val="auto"/>
        </w:rPr>
        <w:t>2</w:t>
      </w:r>
      <w:r>
        <w:rPr>
          <w:rFonts w:ascii="Times New Roman" w:hAnsi="Times New Roman"/>
          <w:color w:val="auto"/>
        </w:rPr>
        <w:t>科</w:t>
      </w:r>
      <w:r>
        <w:rPr>
          <w:rFonts w:ascii="Times New Roman" w:hAnsi="Times New Roman"/>
          <w:color w:val="auto"/>
        </w:rPr>
        <w:t>2</w:t>
      </w:r>
      <w:r>
        <w:rPr>
          <w:rFonts w:ascii="Times New Roman" w:hAnsi="Times New Roman"/>
          <w:color w:val="auto"/>
        </w:rPr>
        <w:t>属</w:t>
      </w:r>
      <w:r>
        <w:rPr>
          <w:rFonts w:ascii="Times New Roman" w:hAnsi="Times New Roman"/>
          <w:color w:val="auto"/>
        </w:rPr>
        <w:t>2</w:t>
      </w:r>
      <w:r>
        <w:rPr>
          <w:rFonts w:ascii="Times New Roman" w:hAnsi="Times New Roman"/>
          <w:color w:val="auto"/>
        </w:rPr>
        <w:t>种，为圆叶丝粉草（</w:t>
      </w:r>
      <w:r>
        <w:rPr>
          <w:rFonts w:ascii="Times New Roman" w:hAnsi="Times New Roman"/>
          <w:color w:val="auto"/>
        </w:rPr>
        <w:t>Cymodocearotunda</w:t>
      </w:r>
      <w:r>
        <w:rPr>
          <w:rFonts w:ascii="Times New Roman" w:hAnsi="Times New Roman"/>
          <w:color w:val="auto"/>
        </w:rPr>
        <w:t>）和泰来草（</w:t>
      </w:r>
      <w:r>
        <w:rPr>
          <w:rFonts w:ascii="Times New Roman" w:hAnsi="Times New Roman"/>
          <w:color w:val="auto"/>
        </w:rPr>
        <w:t>Thalassiahemprichii</w:t>
      </w:r>
      <w:r>
        <w:rPr>
          <w:rFonts w:ascii="Times New Roman" w:hAnsi="Times New Roman"/>
          <w:color w:val="auto"/>
        </w:rPr>
        <w:t>）</w:t>
      </w:r>
      <w:r>
        <w:rPr>
          <w:rFonts w:ascii="Times New Roman" w:hAnsi="Times New Roman" w:hint="eastAsia"/>
          <w:color w:val="auto"/>
          <w:lang w:eastAsia="zh-CN"/>
        </w:rPr>
        <w:t>。</w:t>
      </w:r>
    </w:p>
    <w:p w14:paraId="37494CBB" w14:textId="77777777" w:rsidR="0075791A" w:rsidRDefault="00FB2864">
      <w:pPr>
        <w:pStyle w:val="TableText"/>
        <w:numPr>
          <w:ilvl w:val="0"/>
          <w:numId w:val="3"/>
        </w:numPr>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群落特征</w:t>
      </w:r>
    </w:p>
    <w:p w14:paraId="12116CF1"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color w:val="auto"/>
          <w:lang w:eastAsia="zh-CN"/>
        </w:rPr>
        <w:t>经调查统计，后海海域泰来草的平均茎枝高度为</w:t>
      </w:r>
      <w:r>
        <w:rPr>
          <w:rFonts w:ascii="Times New Roman" w:hAnsi="Times New Roman"/>
          <w:color w:val="auto"/>
          <w:lang w:eastAsia="zh-CN"/>
        </w:rPr>
        <w:t>15.21cm</w:t>
      </w:r>
      <w:r>
        <w:rPr>
          <w:rFonts w:ascii="Times New Roman" w:hAnsi="Times New Roman"/>
          <w:color w:val="auto"/>
          <w:lang w:eastAsia="zh-CN"/>
        </w:rPr>
        <w:t>，圆叶丝粉草的平均茎枝高度为</w:t>
      </w:r>
      <w:r>
        <w:rPr>
          <w:rFonts w:ascii="Times New Roman" w:hAnsi="Times New Roman"/>
          <w:color w:val="auto"/>
          <w:lang w:eastAsia="zh-CN"/>
        </w:rPr>
        <w:t>17.53cm</w:t>
      </w:r>
      <w:r>
        <w:rPr>
          <w:rFonts w:ascii="Times New Roman" w:hAnsi="Times New Roman"/>
          <w:color w:val="auto"/>
          <w:lang w:eastAsia="zh-CN"/>
        </w:rPr>
        <w:t>；茎枝密度圆叶丝粉草大于泰来草，泰来草的平均茎枝密度为</w:t>
      </w:r>
      <w:r>
        <w:rPr>
          <w:rFonts w:ascii="Times New Roman" w:hAnsi="Times New Roman"/>
          <w:color w:val="auto"/>
          <w:lang w:eastAsia="zh-CN"/>
        </w:rPr>
        <w:t>397</w:t>
      </w:r>
      <w:r>
        <w:rPr>
          <w:rFonts w:ascii="Times New Roman" w:hAnsi="Times New Roman"/>
          <w:color w:val="auto"/>
          <w:lang w:eastAsia="zh-CN"/>
        </w:rPr>
        <w:t>株</w:t>
      </w:r>
      <w:r>
        <w:rPr>
          <w:rFonts w:ascii="Times New Roman" w:hAnsi="Times New Roman"/>
          <w:color w:val="auto"/>
          <w:lang w:eastAsia="zh-CN"/>
        </w:rPr>
        <w:t>/m</w:t>
      </w:r>
      <w:r>
        <w:rPr>
          <w:rFonts w:ascii="Times New Roman" w:hAnsi="Times New Roman"/>
          <w:color w:val="auto"/>
          <w:vertAlign w:val="superscript"/>
          <w:lang w:eastAsia="zh-CN"/>
        </w:rPr>
        <w:t>2</w:t>
      </w:r>
      <w:r>
        <w:rPr>
          <w:rFonts w:ascii="Times New Roman" w:hAnsi="Times New Roman"/>
          <w:color w:val="auto"/>
          <w:lang w:eastAsia="zh-CN"/>
        </w:rPr>
        <w:t>，圆叶丝粉草的平均为</w:t>
      </w:r>
      <w:r>
        <w:rPr>
          <w:rFonts w:ascii="Times New Roman" w:hAnsi="Times New Roman"/>
          <w:color w:val="auto"/>
          <w:lang w:eastAsia="zh-CN"/>
        </w:rPr>
        <w:t>1766</w:t>
      </w:r>
      <w:r>
        <w:rPr>
          <w:rFonts w:ascii="Times New Roman" w:hAnsi="Times New Roman"/>
          <w:color w:val="auto"/>
          <w:lang w:eastAsia="zh-CN"/>
        </w:rPr>
        <w:t>株</w:t>
      </w:r>
      <w:r>
        <w:rPr>
          <w:rFonts w:ascii="Times New Roman" w:hAnsi="Times New Roman"/>
          <w:color w:val="auto"/>
          <w:lang w:eastAsia="zh-CN"/>
        </w:rPr>
        <w:t>/m</w:t>
      </w:r>
      <w:r>
        <w:rPr>
          <w:rFonts w:ascii="Times New Roman" w:hAnsi="Times New Roman"/>
          <w:color w:val="auto"/>
          <w:vertAlign w:val="superscript"/>
          <w:lang w:eastAsia="zh-CN"/>
        </w:rPr>
        <w:t>2</w:t>
      </w:r>
      <w:r>
        <w:rPr>
          <w:rFonts w:ascii="Times New Roman" w:hAnsi="Times New Roman"/>
          <w:color w:val="auto"/>
          <w:lang w:eastAsia="zh-CN"/>
        </w:rPr>
        <w:t>；两种海草的生物量较为接近，泰来草的平均生物量为</w:t>
      </w:r>
      <w:r>
        <w:rPr>
          <w:rFonts w:ascii="Times New Roman" w:hAnsi="Times New Roman"/>
          <w:color w:val="auto"/>
          <w:lang w:eastAsia="zh-CN"/>
        </w:rPr>
        <w:t>229.17g/m</w:t>
      </w:r>
      <w:r>
        <w:rPr>
          <w:rFonts w:ascii="Times New Roman" w:hAnsi="Times New Roman"/>
          <w:color w:val="auto"/>
          <w:vertAlign w:val="superscript"/>
          <w:lang w:eastAsia="zh-CN"/>
        </w:rPr>
        <w:t>2</w:t>
      </w:r>
      <w:r>
        <w:rPr>
          <w:rFonts w:ascii="Times New Roman" w:hAnsi="Times New Roman"/>
          <w:color w:val="auto"/>
          <w:lang w:eastAsia="zh-CN"/>
        </w:rPr>
        <w:t>，圆叶丝粉草的平均为</w:t>
      </w:r>
      <w:r>
        <w:rPr>
          <w:rFonts w:ascii="Times New Roman" w:hAnsi="Times New Roman"/>
          <w:color w:val="auto"/>
          <w:lang w:eastAsia="zh-CN"/>
        </w:rPr>
        <w:t>255.84g/m</w:t>
      </w:r>
      <w:r>
        <w:rPr>
          <w:rFonts w:ascii="Times New Roman" w:hAnsi="Times New Roman"/>
          <w:color w:val="auto"/>
          <w:vertAlign w:val="superscript"/>
          <w:lang w:eastAsia="zh-CN"/>
        </w:rPr>
        <w:t>2</w:t>
      </w:r>
      <w:r>
        <w:rPr>
          <w:rFonts w:ascii="Times New Roman" w:hAnsi="Times New Roman"/>
          <w:color w:val="auto"/>
          <w:lang w:eastAsia="zh-CN"/>
        </w:rPr>
        <w:t>（详见</w:t>
      </w:r>
      <w:r>
        <w:rPr>
          <w:rFonts w:ascii="Times New Roman" w:hAnsi="Times New Roman" w:hint="eastAsia"/>
          <w:color w:val="auto"/>
          <w:spacing w:val="-2"/>
          <w:lang w:eastAsia="zh-CN"/>
        </w:rPr>
        <w:t>表</w:t>
      </w:r>
      <w:r>
        <w:rPr>
          <w:rFonts w:ascii="Times New Roman" w:hAnsi="Times New Roman" w:hint="eastAsia"/>
          <w:color w:val="auto"/>
          <w:spacing w:val="-2"/>
          <w:lang w:eastAsia="zh-CN"/>
        </w:rPr>
        <w:t>3.2.7-5</w:t>
      </w:r>
      <w:r>
        <w:rPr>
          <w:rFonts w:ascii="Times New Roman" w:hAnsi="Times New Roman"/>
          <w:color w:val="auto"/>
          <w:lang w:eastAsia="zh-CN"/>
        </w:rPr>
        <w:t>）。相对于海草床分布范围的海草盖度约为</w:t>
      </w:r>
      <w:r>
        <w:rPr>
          <w:rFonts w:ascii="Times New Roman" w:hAnsi="Times New Roman"/>
          <w:color w:val="auto"/>
          <w:lang w:eastAsia="zh-CN"/>
        </w:rPr>
        <w:t>30.8%</w:t>
      </w:r>
      <w:r>
        <w:rPr>
          <w:rFonts w:ascii="Times New Roman" w:hAnsi="Times New Roman"/>
          <w:color w:val="auto"/>
          <w:lang w:eastAsia="zh-CN"/>
        </w:rPr>
        <w:t>。</w:t>
      </w:r>
    </w:p>
    <w:p w14:paraId="418D0635" w14:textId="77777777" w:rsidR="0075791A" w:rsidRDefault="00FB2864">
      <w:pPr>
        <w:pStyle w:val="TableText"/>
        <w:jc w:val="center"/>
        <w:rPr>
          <w:rFonts w:ascii="Times New Roman" w:hAnsi="Times New Roman"/>
          <w:color w:val="auto"/>
          <w:spacing w:val="-2"/>
          <w:lang w:eastAsia="zh-CN"/>
        </w:rPr>
      </w:pPr>
      <w:r>
        <w:rPr>
          <w:rFonts w:ascii="Times New Roman" w:hAnsi="Times New Roman" w:hint="eastAsia"/>
          <w:color w:val="auto"/>
          <w:spacing w:val="-2"/>
          <w:lang w:eastAsia="zh-CN"/>
        </w:rPr>
        <w:t>表</w:t>
      </w:r>
      <w:r>
        <w:rPr>
          <w:rFonts w:ascii="Times New Roman" w:hAnsi="Times New Roman" w:hint="eastAsia"/>
          <w:color w:val="auto"/>
          <w:spacing w:val="-2"/>
          <w:lang w:eastAsia="zh-CN"/>
        </w:rPr>
        <w:t>3.2.7-5</w:t>
      </w:r>
      <w:r>
        <w:rPr>
          <w:rFonts w:ascii="Times New Roman" w:hAnsi="Times New Roman" w:hint="eastAsia"/>
          <w:color w:val="auto"/>
          <w:spacing w:val="-2"/>
          <w:lang w:eastAsia="zh-CN"/>
        </w:rPr>
        <w:t>海草群落特征</w:t>
      </w:r>
    </w:p>
    <w:tbl>
      <w:tblPr>
        <w:tblStyle w:val="ad"/>
        <w:tblW w:w="0" w:type="auto"/>
        <w:tblLook w:val="04A0" w:firstRow="1" w:lastRow="0" w:firstColumn="1" w:lastColumn="0" w:noHBand="0" w:noVBand="1"/>
      </w:tblPr>
      <w:tblGrid>
        <w:gridCol w:w="1272"/>
        <w:gridCol w:w="1639"/>
        <w:gridCol w:w="1930"/>
        <w:gridCol w:w="2349"/>
        <w:gridCol w:w="2110"/>
      </w:tblGrid>
      <w:tr w:rsidR="0075791A" w14:paraId="4571AFE0" w14:textId="77777777">
        <w:trPr>
          <w:trHeight w:val="397"/>
        </w:trPr>
        <w:tc>
          <w:tcPr>
            <w:tcW w:w="1285" w:type="dxa"/>
            <w:vAlign w:val="center"/>
          </w:tcPr>
          <w:p w14:paraId="5A3402FB"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断面</w:t>
            </w:r>
          </w:p>
        </w:tc>
        <w:tc>
          <w:tcPr>
            <w:tcW w:w="1663" w:type="dxa"/>
            <w:vAlign w:val="center"/>
          </w:tcPr>
          <w:p w14:paraId="18634E53"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海草种类</w:t>
            </w:r>
          </w:p>
        </w:tc>
        <w:tc>
          <w:tcPr>
            <w:tcW w:w="1954" w:type="dxa"/>
            <w:vAlign w:val="center"/>
          </w:tcPr>
          <w:p w14:paraId="34C07249"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茎枝高度</w:t>
            </w:r>
            <w:r>
              <w:rPr>
                <w:rFonts w:ascii="Times New Roman" w:hAnsi="Times New Roman" w:hint="eastAsia"/>
                <w:color w:val="auto"/>
                <w:spacing w:val="-2"/>
                <w:lang w:eastAsia="zh-CN"/>
              </w:rPr>
              <w:t>(cm)</w:t>
            </w:r>
          </w:p>
        </w:tc>
        <w:tc>
          <w:tcPr>
            <w:tcW w:w="2383" w:type="dxa"/>
            <w:vAlign w:val="center"/>
          </w:tcPr>
          <w:p w14:paraId="55ED33D5"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茎枝密度</w:t>
            </w:r>
            <w:r>
              <w:rPr>
                <w:rFonts w:ascii="Times New Roman" w:hAnsi="Times New Roman" w:hint="eastAsia"/>
                <w:color w:val="auto"/>
                <w:spacing w:val="-2"/>
                <w:lang w:eastAsia="zh-CN"/>
              </w:rPr>
              <w:t>(</w:t>
            </w:r>
            <w:r>
              <w:rPr>
                <w:rFonts w:ascii="Times New Roman" w:hAnsi="Times New Roman" w:hint="eastAsia"/>
                <w:color w:val="auto"/>
                <w:spacing w:val="-2"/>
                <w:lang w:eastAsia="zh-CN"/>
              </w:rPr>
              <w:t>株</w:t>
            </w:r>
            <w:r>
              <w:rPr>
                <w:rFonts w:ascii="Times New Roman" w:hAnsi="Times New Roman" w:hint="eastAsia"/>
                <w:color w:val="auto"/>
                <w:spacing w:val="-2"/>
                <w:lang w:eastAsia="zh-CN"/>
              </w:rPr>
              <w:t>/m</w:t>
            </w:r>
            <w:r>
              <w:rPr>
                <w:rFonts w:ascii="Times New Roman" w:hAnsi="Times New Roman" w:hint="eastAsia"/>
                <w:color w:val="auto"/>
                <w:spacing w:val="-2"/>
                <w:vertAlign w:val="superscript"/>
                <w:lang w:eastAsia="zh-CN"/>
              </w:rPr>
              <w:t>2</w:t>
            </w:r>
            <w:r>
              <w:rPr>
                <w:rFonts w:ascii="Times New Roman" w:hAnsi="Times New Roman" w:hint="eastAsia"/>
                <w:color w:val="auto"/>
                <w:spacing w:val="-2"/>
                <w:lang w:eastAsia="zh-CN"/>
              </w:rPr>
              <w:t>)</w:t>
            </w:r>
          </w:p>
        </w:tc>
        <w:tc>
          <w:tcPr>
            <w:tcW w:w="2135" w:type="dxa"/>
            <w:vAlign w:val="center"/>
          </w:tcPr>
          <w:p w14:paraId="07EA6001"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生物量（</w:t>
            </w:r>
            <w:r>
              <w:rPr>
                <w:rFonts w:ascii="Times New Roman" w:hAnsi="Times New Roman" w:hint="eastAsia"/>
                <w:color w:val="auto"/>
                <w:spacing w:val="-2"/>
                <w:lang w:eastAsia="zh-CN"/>
              </w:rPr>
              <w:t>g/m</w:t>
            </w:r>
            <w:r>
              <w:rPr>
                <w:rFonts w:ascii="Times New Roman" w:hAnsi="Times New Roman" w:hint="eastAsia"/>
                <w:color w:val="auto"/>
                <w:spacing w:val="-2"/>
                <w:vertAlign w:val="superscript"/>
                <w:lang w:eastAsia="zh-CN"/>
              </w:rPr>
              <w:t>2</w:t>
            </w:r>
            <w:r>
              <w:rPr>
                <w:rFonts w:ascii="Times New Roman" w:hAnsi="Times New Roman" w:hint="eastAsia"/>
                <w:color w:val="auto"/>
                <w:spacing w:val="-2"/>
                <w:lang w:eastAsia="zh-CN"/>
              </w:rPr>
              <w:t>）</w:t>
            </w:r>
          </w:p>
        </w:tc>
      </w:tr>
      <w:tr w:rsidR="0075791A" w14:paraId="49D809C6" w14:textId="77777777">
        <w:trPr>
          <w:trHeight w:val="397"/>
        </w:trPr>
        <w:tc>
          <w:tcPr>
            <w:tcW w:w="1285" w:type="dxa"/>
            <w:vMerge w:val="restart"/>
            <w:vAlign w:val="center"/>
          </w:tcPr>
          <w:p w14:paraId="3574EFFB"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HC1</w:t>
            </w:r>
          </w:p>
        </w:tc>
        <w:tc>
          <w:tcPr>
            <w:tcW w:w="1663" w:type="dxa"/>
            <w:vAlign w:val="center"/>
          </w:tcPr>
          <w:p w14:paraId="62272E39"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泰来草</w:t>
            </w:r>
          </w:p>
        </w:tc>
        <w:tc>
          <w:tcPr>
            <w:tcW w:w="1954" w:type="dxa"/>
            <w:vAlign w:val="center"/>
          </w:tcPr>
          <w:p w14:paraId="142529D6"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14.80</w:t>
            </w:r>
          </w:p>
        </w:tc>
        <w:tc>
          <w:tcPr>
            <w:tcW w:w="2383" w:type="dxa"/>
            <w:vAlign w:val="center"/>
          </w:tcPr>
          <w:p w14:paraId="70C2A425"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376</w:t>
            </w:r>
          </w:p>
        </w:tc>
        <w:tc>
          <w:tcPr>
            <w:tcW w:w="2135" w:type="dxa"/>
            <w:vAlign w:val="center"/>
          </w:tcPr>
          <w:p w14:paraId="7620227D"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221.36</w:t>
            </w:r>
          </w:p>
        </w:tc>
      </w:tr>
      <w:tr w:rsidR="0075791A" w14:paraId="09EBC8FA" w14:textId="77777777">
        <w:trPr>
          <w:trHeight w:val="397"/>
        </w:trPr>
        <w:tc>
          <w:tcPr>
            <w:tcW w:w="1285" w:type="dxa"/>
            <w:vMerge/>
            <w:vAlign w:val="center"/>
          </w:tcPr>
          <w:p w14:paraId="7FFBCE36" w14:textId="77777777" w:rsidR="0075791A" w:rsidRDefault="0075791A">
            <w:pPr>
              <w:pStyle w:val="TableText"/>
              <w:widowControl/>
              <w:jc w:val="center"/>
              <w:rPr>
                <w:rFonts w:ascii="Times New Roman" w:hAnsi="Times New Roman"/>
                <w:color w:val="auto"/>
                <w:spacing w:val="-2"/>
                <w:lang w:eastAsia="zh-CN"/>
              </w:rPr>
            </w:pPr>
          </w:p>
        </w:tc>
        <w:tc>
          <w:tcPr>
            <w:tcW w:w="1663" w:type="dxa"/>
            <w:vAlign w:val="center"/>
          </w:tcPr>
          <w:p w14:paraId="7A22F349"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圆叶丝粉草</w:t>
            </w:r>
          </w:p>
        </w:tc>
        <w:tc>
          <w:tcPr>
            <w:tcW w:w="1954" w:type="dxa"/>
            <w:vAlign w:val="center"/>
          </w:tcPr>
          <w:p w14:paraId="29DC3986"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12.40</w:t>
            </w:r>
          </w:p>
        </w:tc>
        <w:tc>
          <w:tcPr>
            <w:tcW w:w="2383" w:type="dxa"/>
            <w:vAlign w:val="center"/>
          </w:tcPr>
          <w:p w14:paraId="009782DB"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1224</w:t>
            </w:r>
          </w:p>
        </w:tc>
        <w:tc>
          <w:tcPr>
            <w:tcW w:w="2135" w:type="dxa"/>
            <w:vAlign w:val="center"/>
          </w:tcPr>
          <w:p w14:paraId="4F83AF60"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191.52</w:t>
            </w:r>
          </w:p>
        </w:tc>
      </w:tr>
      <w:tr w:rsidR="0075791A" w14:paraId="7DF6E832" w14:textId="77777777">
        <w:trPr>
          <w:trHeight w:val="397"/>
        </w:trPr>
        <w:tc>
          <w:tcPr>
            <w:tcW w:w="1285" w:type="dxa"/>
            <w:vMerge w:val="restart"/>
            <w:vAlign w:val="center"/>
          </w:tcPr>
          <w:p w14:paraId="3589C842"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HC2</w:t>
            </w:r>
          </w:p>
        </w:tc>
        <w:tc>
          <w:tcPr>
            <w:tcW w:w="1663" w:type="dxa"/>
            <w:vAlign w:val="center"/>
          </w:tcPr>
          <w:p w14:paraId="01D4509D"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泰来草</w:t>
            </w:r>
          </w:p>
        </w:tc>
        <w:tc>
          <w:tcPr>
            <w:tcW w:w="1954" w:type="dxa"/>
            <w:vAlign w:val="center"/>
          </w:tcPr>
          <w:p w14:paraId="49255932"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14.45</w:t>
            </w:r>
          </w:p>
        </w:tc>
        <w:tc>
          <w:tcPr>
            <w:tcW w:w="2383" w:type="dxa"/>
            <w:vAlign w:val="center"/>
          </w:tcPr>
          <w:p w14:paraId="38DBBBEB"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536</w:t>
            </w:r>
          </w:p>
        </w:tc>
        <w:tc>
          <w:tcPr>
            <w:tcW w:w="2135" w:type="dxa"/>
            <w:vAlign w:val="center"/>
          </w:tcPr>
          <w:p w14:paraId="60C4EE4D"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320.16</w:t>
            </w:r>
          </w:p>
        </w:tc>
      </w:tr>
      <w:tr w:rsidR="0075791A" w14:paraId="4FC919F4" w14:textId="77777777">
        <w:trPr>
          <w:trHeight w:val="397"/>
        </w:trPr>
        <w:tc>
          <w:tcPr>
            <w:tcW w:w="1285" w:type="dxa"/>
            <w:vMerge/>
            <w:vAlign w:val="center"/>
          </w:tcPr>
          <w:p w14:paraId="0436B968" w14:textId="77777777" w:rsidR="0075791A" w:rsidRDefault="0075791A">
            <w:pPr>
              <w:pStyle w:val="TableText"/>
              <w:widowControl/>
              <w:jc w:val="center"/>
              <w:rPr>
                <w:rFonts w:ascii="Times New Roman" w:hAnsi="Times New Roman"/>
                <w:color w:val="auto"/>
                <w:spacing w:val="-2"/>
                <w:lang w:eastAsia="zh-CN"/>
              </w:rPr>
            </w:pPr>
          </w:p>
        </w:tc>
        <w:tc>
          <w:tcPr>
            <w:tcW w:w="1663" w:type="dxa"/>
            <w:vAlign w:val="center"/>
          </w:tcPr>
          <w:p w14:paraId="42738C58"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圆叶丝粉草</w:t>
            </w:r>
          </w:p>
        </w:tc>
        <w:tc>
          <w:tcPr>
            <w:tcW w:w="1954" w:type="dxa"/>
            <w:vAlign w:val="center"/>
          </w:tcPr>
          <w:p w14:paraId="65DBE355"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20.38</w:t>
            </w:r>
          </w:p>
        </w:tc>
        <w:tc>
          <w:tcPr>
            <w:tcW w:w="2383" w:type="dxa"/>
            <w:vAlign w:val="center"/>
          </w:tcPr>
          <w:p w14:paraId="3FAD2C24"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1867</w:t>
            </w:r>
          </w:p>
        </w:tc>
        <w:tc>
          <w:tcPr>
            <w:tcW w:w="2135" w:type="dxa"/>
            <w:vAlign w:val="center"/>
          </w:tcPr>
          <w:p w14:paraId="71832902"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253.28</w:t>
            </w:r>
          </w:p>
        </w:tc>
      </w:tr>
      <w:tr w:rsidR="0075791A" w14:paraId="7CBEFA72" w14:textId="77777777">
        <w:trPr>
          <w:trHeight w:val="397"/>
        </w:trPr>
        <w:tc>
          <w:tcPr>
            <w:tcW w:w="1285" w:type="dxa"/>
            <w:vMerge w:val="restart"/>
            <w:vAlign w:val="center"/>
          </w:tcPr>
          <w:p w14:paraId="70F57297"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HC3</w:t>
            </w:r>
          </w:p>
        </w:tc>
        <w:tc>
          <w:tcPr>
            <w:tcW w:w="1663" w:type="dxa"/>
            <w:vAlign w:val="center"/>
          </w:tcPr>
          <w:p w14:paraId="1339F99A"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泰来草</w:t>
            </w:r>
          </w:p>
        </w:tc>
        <w:tc>
          <w:tcPr>
            <w:tcW w:w="1954" w:type="dxa"/>
            <w:vAlign w:val="center"/>
          </w:tcPr>
          <w:p w14:paraId="32294E68"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16.38</w:t>
            </w:r>
          </w:p>
        </w:tc>
        <w:tc>
          <w:tcPr>
            <w:tcW w:w="2383" w:type="dxa"/>
            <w:vAlign w:val="center"/>
          </w:tcPr>
          <w:p w14:paraId="75B1ADDD"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280</w:t>
            </w:r>
          </w:p>
        </w:tc>
        <w:tc>
          <w:tcPr>
            <w:tcW w:w="2135" w:type="dxa"/>
            <w:vAlign w:val="center"/>
          </w:tcPr>
          <w:p w14:paraId="3C67FF6E"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146.00</w:t>
            </w:r>
          </w:p>
        </w:tc>
      </w:tr>
      <w:tr w:rsidR="0075791A" w14:paraId="36EC4789" w14:textId="77777777">
        <w:trPr>
          <w:trHeight w:val="397"/>
        </w:trPr>
        <w:tc>
          <w:tcPr>
            <w:tcW w:w="1285" w:type="dxa"/>
            <w:vMerge/>
            <w:vAlign w:val="center"/>
          </w:tcPr>
          <w:p w14:paraId="459ADF4D" w14:textId="77777777" w:rsidR="0075791A" w:rsidRDefault="0075791A">
            <w:pPr>
              <w:pStyle w:val="TableText"/>
              <w:widowControl/>
              <w:jc w:val="center"/>
              <w:rPr>
                <w:rFonts w:ascii="Times New Roman" w:hAnsi="Times New Roman"/>
                <w:color w:val="auto"/>
                <w:spacing w:val="-2"/>
                <w:lang w:eastAsia="zh-CN"/>
              </w:rPr>
            </w:pPr>
          </w:p>
        </w:tc>
        <w:tc>
          <w:tcPr>
            <w:tcW w:w="1663" w:type="dxa"/>
            <w:vAlign w:val="center"/>
          </w:tcPr>
          <w:p w14:paraId="6175586C"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圆叶丝粉草</w:t>
            </w:r>
          </w:p>
        </w:tc>
        <w:tc>
          <w:tcPr>
            <w:tcW w:w="1954" w:type="dxa"/>
            <w:vAlign w:val="center"/>
          </w:tcPr>
          <w:p w14:paraId="6DCE2410"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19.80</w:t>
            </w:r>
          </w:p>
        </w:tc>
        <w:tc>
          <w:tcPr>
            <w:tcW w:w="2383" w:type="dxa"/>
            <w:vAlign w:val="center"/>
          </w:tcPr>
          <w:p w14:paraId="184A6B2F"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2208</w:t>
            </w:r>
          </w:p>
        </w:tc>
        <w:tc>
          <w:tcPr>
            <w:tcW w:w="2135" w:type="dxa"/>
            <w:vAlign w:val="center"/>
          </w:tcPr>
          <w:p w14:paraId="79FE96CE"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322.72</w:t>
            </w:r>
          </w:p>
        </w:tc>
      </w:tr>
      <w:tr w:rsidR="0075791A" w14:paraId="54B53BC8" w14:textId="77777777">
        <w:trPr>
          <w:trHeight w:val="397"/>
        </w:trPr>
        <w:tc>
          <w:tcPr>
            <w:tcW w:w="1285" w:type="dxa"/>
            <w:vMerge w:val="restart"/>
            <w:vAlign w:val="center"/>
          </w:tcPr>
          <w:p w14:paraId="21811F6C"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平均</w:t>
            </w:r>
          </w:p>
        </w:tc>
        <w:tc>
          <w:tcPr>
            <w:tcW w:w="1663" w:type="dxa"/>
            <w:vAlign w:val="center"/>
          </w:tcPr>
          <w:p w14:paraId="719F451A"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泰来草</w:t>
            </w:r>
          </w:p>
        </w:tc>
        <w:tc>
          <w:tcPr>
            <w:tcW w:w="1954" w:type="dxa"/>
            <w:vAlign w:val="center"/>
          </w:tcPr>
          <w:p w14:paraId="062AF29B"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15.21</w:t>
            </w:r>
          </w:p>
        </w:tc>
        <w:tc>
          <w:tcPr>
            <w:tcW w:w="2383" w:type="dxa"/>
            <w:vAlign w:val="center"/>
          </w:tcPr>
          <w:p w14:paraId="38A9D709"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397</w:t>
            </w:r>
          </w:p>
        </w:tc>
        <w:tc>
          <w:tcPr>
            <w:tcW w:w="2135" w:type="dxa"/>
            <w:vAlign w:val="center"/>
          </w:tcPr>
          <w:p w14:paraId="66AB4CFC"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229.17</w:t>
            </w:r>
          </w:p>
        </w:tc>
      </w:tr>
      <w:tr w:rsidR="0075791A" w14:paraId="472FF7BA" w14:textId="77777777">
        <w:trPr>
          <w:trHeight w:val="397"/>
        </w:trPr>
        <w:tc>
          <w:tcPr>
            <w:tcW w:w="1285" w:type="dxa"/>
            <w:vMerge/>
            <w:vAlign w:val="center"/>
          </w:tcPr>
          <w:p w14:paraId="47C35880" w14:textId="77777777" w:rsidR="0075791A" w:rsidRDefault="0075791A">
            <w:pPr>
              <w:pStyle w:val="TableText"/>
              <w:widowControl/>
              <w:jc w:val="center"/>
              <w:rPr>
                <w:rFonts w:ascii="Times New Roman" w:hAnsi="Times New Roman"/>
                <w:color w:val="auto"/>
                <w:spacing w:val="-2"/>
                <w:lang w:eastAsia="zh-CN"/>
              </w:rPr>
            </w:pPr>
          </w:p>
        </w:tc>
        <w:tc>
          <w:tcPr>
            <w:tcW w:w="1663" w:type="dxa"/>
            <w:vAlign w:val="center"/>
          </w:tcPr>
          <w:p w14:paraId="2C26EF1B"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圆叶丝粉草</w:t>
            </w:r>
          </w:p>
        </w:tc>
        <w:tc>
          <w:tcPr>
            <w:tcW w:w="1954" w:type="dxa"/>
            <w:vAlign w:val="center"/>
          </w:tcPr>
          <w:p w14:paraId="6CAFB905"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17.53</w:t>
            </w:r>
          </w:p>
        </w:tc>
        <w:tc>
          <w:tcPr>
            <w:tcW w:w="2383" w:type="dxa"/>
            <w:vAlign w:val="center"/>
          </w:tcPr>
          <w:p w14:paraId="2C59E955"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1766</w:t>
            </w:r>
          </w:p>
        </w:tc>
        <w:tc>
          <w:tcPr>
            <w:tcW w:w="2135" w:type="dxa"/>
            <w:vAlign w:val="center"/>
          </w:tcPr>
          <w:p w14:paraId="105926BE" w14:textId="77777777" w:rsidR="0075791A" w:rsidRDefault="00FB2864">
            <w:pPr>
              <w:pStyle w:val="TableText"/>
              <w:widowControl/>
              <w:jc w:val="center"/>
              <w:rPr>
                <w:rFonts w:ascii="Times New Roman" w:hAnsi="Times New Roman"/>
                <w:color w:val="auto"/>
                <w:spacing w:val="-2"/>
                <w:lang w:eastAsia="zh-CN"/>
              </w:rPr>
            </w:pPr>
            <w:r>
              <w:rPr>
                <w:rFonts w:ascii="Times New Roman" w:hAnsi="Times New Roman" w:hint="eastAsia"/>
                <w:color w:val="auto"/>
                <w:spacing w:val="-2"/>
                <w:lang w:eastAsia="zh-CN"/>
              </w:rPr>
              <w:t>255.84</w:t>
            </w:r>
          </w:p>
        </w:tc>
      </w:tr>
    </w:tbl>
    <w:p w14:paraId="163F76F6" w14:textId="77777777" w:rsidR="0075791A" w:rsidRDefault="00FB2864">
      <w:pPr>
        <w:pStyle w:val="TableText"/>
        <w:spacing w:line="360" w:lineRule="auto"/>
        <w:ind w:firstLineChars="200" w:firstLine="478"/>
        <w:jc w:val="both"/>
        <w:rPr>
          <w:rFonts w:ascii="Times New Roman" w:hAnsi="Times New Roman"/>
          <w:b/>
          <w:bCs/>
          <w:color w:val="auto"/>
          <w:spacing w:val="-2"/>
          <w:lang w:eastAsia="zh-CN"/>
        </w:rPr>
      </w:pPr>
      <w:r>
        <w:rPr>
          <w:rFonts w:ascii="Times New Roman" w:hAnsi="Times New Roman" w:hint="eastAsia"/>
          <w:b/>
          <w:bCs/>
          <w:color w:val="auto"/>
          <w:spacing w:val="-2"/>
          <w:lang w:eastAsia="zh-CN"/>
        </w:rPr>
        <w:t>2.2024</w:t>
      </w:r>
      <w:r>
        <w:rPr>
          <w:rFonts w:ascii="Times New Roman" w:hAnsi="Times New Roman" w:hint="eastAsia"/>
          <w:b/>
          <w:bCs/>
          <w:color w:val="auto"/>
          <w:spacing w:val="-2"/>
          <w:lang w:eastAsia="zh-CN"/>
        </w:rPr>
        <w:t>年</w:t>
      </w:r>
      <w:r>
        <w:rPr>
          <w:rFonts w:ascii="Times New Roman" w:hAnsi="Times New Roman" w:hint="eastAsia"/>
          <w:b/>
          <w:bCs/>
          <w:color w:val="auto"/>
          <w:spacing w:val="-2"/>
          <w:lang w:eastAsia="zh-CN"/>
        </w:rPr>
        <w:t>8</w:t>
      </w:r>
      <w:r>
        <w:rPr>
          <w:rFonts w:ascii="Times New Roman" w:hAnsi="Times New Roman" w:hint="eastAsia"/>
          <w:b/>
          <w:bCs/>
          <w:color w:val="auto"/>
          <w:spacing w:val="-2"/>
          <w:lang w:eastAsia="zh-CN"/>
        </w:rPr>
        <w:t>月海草床调查</w:t>
      </w:r>
    </w:p>
    <w:p w14:paraId="1BC36D6C"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2024</w:t>
      </w:r>
      <w:r>
        <w:rPr>
          <w:rFonts w:ascii="Times New Roman" w:hAnsi="Times New Roman" w:hint="eastAsia"/>
          <w:color w:val="auto"/>
          <w:lang w:eastAsia="zh-CN"/>
        </w:rPr>
        <w:t>年</w:t>
      </w:r>
      <w:r>
        <w:rPr>
          <w:rFonts w:ascii="Times New Roman" w:hAnsi="Times New Roman" w:hint="eastAsia"/>
          <w:color w:val="auto"/>
          <w:lang w:eastAsia="zh-CN"/>
        </w:rPr>
        <w:t>8</w:t>
      </w:r>
      <w:r>
        <w:rPr>
          <w:rFonts w:ascii="Times New Roman" w:hAnsi="Times New Roman" w:hint="eastAsia"/>
          <w:color w:val="auto"/>
          <w:lang w:eastAsia="zh-CN"/>
        </w:rPr>
        <w:t>月</w:t>
      </w:r>
      <w:r>
        <w:rPr>
          <w:rFonts w:ascii="Times New Roman" w:hAnsi="Times New Roman" w:hint="eastAsia"/>
          <w:color w:val="auto"/>
          <w:lang w:eastAsia="zh-CN"/>
        </w:rPr>
        <w:t>14</w:t>
      </w:r>
      <w:r>
        <w:rPr>
          <w:rFonts w:ascii="Times New Roman" w:hAnsi="Times New Roman" w:hint="eastAsia"/>
          <w:color w:val="auto"/>
          <w:lang w:eastAsia="zh-CN"/>
        </w:rPr>
        <w:t>日，自然资源部南海生态中心在铁炉港附近海域进行海草分布进行了</w:t>
      </w:r>
      <w:r>
        <w:rPr>
          <w:rFonts w:ascii="Times New Roman" w:hAnsi="Times New Roman" w:hint="eastAsia"/>
          <w:color w:val="auto"/>
          <w:lang w:eastAsia="zh-CN"/>
        </w:rPr>
        <w:t>摸排</w:t>
      </w:r>
      <w:r>
        <w:rPr>
          <w:rFonts w:ascii="Times New Roman" w:hAnsi="Times New Roman" w:hint="eastAsia"/>
          <w:color w:val="auto"/>
          <w:lang w:eastAsia="zh-CN"/>
        </w:rPr>
        <w:t>调查。</w:t>
      </w:r>
      <w:r>
        <w:rPr>
          <w:rFonts w:ascii="Times New Roman" w:hAnsi="Times New Roman" w:hint="eastAsia"/>
          <w:color w:val="auto"/>
          <w:lang w:eastAsia="zh-CN"/>
        </w:rPr>
        <w:t>通过摸排，铁炉港内包括海草历史分布区已无海草分布，仅在</w:t>
      </w:r>
      <w:r>
        <w:rPr>
          <w:rFonts w:ascii="Times New Roman" w:hAnsi="Times New Roman"/>
          <w:color w:val="auto"/>
          <w:spacing w:val="-6"/>
          <w:lang w:eastAsia="zh-CN"/>
        </w:rPr>
        <w:t>后海岭西</w:t>
      </w:r>
      <w:r>
        <w:rPr>
          <w:rFonts w:ascii="Times New Roman" w:hAnsi="Times New Roman"/>
          <w:color w:val="auto"/>
          <w:spacing w:val="-4"/>
          <w:lang w:eastAsia="zh-CN"/>
        </w:rPr>
        <w:t>北侧海域</w:t>
      </w:r>
      <w:r>
        <w:rPr>
          <w:rFonts w:ascii="Times New Roman" w:hAnsi="Times New Roman" w:hint="eastAsia"/>
          <w:color w:val="auto"/>
          <w:spacing w:val="-4"/>
          <w:lang w:eastAsia="zh-CN"/>
        </w:rPr>
        <w:t>分布有海草。通过现场调查，后海海草分布面积约为</w:t>
      </w:r>
      <w:r>
        <w:rPr>
          <w:rFonts w:ascii="Times New Roman" w:hAnsi="Times New Roman" w:hint="eastAsia"/>
          <w:color w:val="auto"/>
          <w:spacing w:val="-4"/>
          <w:lang w:eastAsia="zh-CN"/>
        </w:rPr>
        <w:t>3.38</w:t>
      </w:r>
      <w:r>
        <w:rPr>
          <w:rFonts w:ascii="Times New Roman" w:hAnsi="Times New Roman" w:hint="eastAsia"/>
          <w:color w:val="auto"/>
          <w:spacing w:val="-4"/>
          <w:lang w:eastAsia="zh-CN"/>
        </w:rPr>
        <w:t>公顷，海草种类为</w:t>
      </w:r>
      <w:r>
        <w:rPr>
          <w:rFonts w:ascii="Times New Roman" w:hAnsi="Times New Roman"/>
          <w:color w:val="auto"/>
          <w:lang w:eastAsia="zh-CN"/>
        </w:rPr>
        <w:t>圆叶丝粉草（</w:t>
      </w:r>
      <w:r>
        <w:rPr>
          <w:rFonts w:ascii="Times New Roman" w:hAnsi="Times New Roman"/>
          <w:color w:val="auto"/>
          <w:lang w:eastAsia="zh-CN"/>
        </w:rPr>
        <w:t>Cymodocearotunda</w:t>
      </w:r>
      <w:r>
        <w:rPr>
          <w:rFonts w:ascii="Times New Roman" w:hAnsi="Times New Roman"/>
          <w:color w:val="auto"/>
          <w:lang w:eastAsia="zh-CN"/>
        </w:rPr>
        <w:t>）和泰来草（</w:t>
      </w:r>
      <w:r>
        <w:rPr>
          <w:rFonts w:ascii="Times New Roman" w:hAnsi="Times New Roman"/>
          <w:color w:val="auto"/>
          <w:lang w:eastAsia="zh-CN"/>
        </w:rPr>
        <w:t>Thalassiahemprichii</w:t>
      </w:r>
      <w:r>
        <w:rPr>
          <w:rFonts w:ascii="Times New Roman" w:hAnsi="Times New Roman"/>
          <w:color w:val="auto"/>
          <w:lang w:eastAsia="zh-CN"/>
        </w:rPr>
        <w:t>）</w:t>
      </w:r>
      <w:r>
        <w:rPr>
          <w:rFonts w:ascii="Times New Roman" w:hAnsi="Times New Roman" w:hint="eastAsia"/>
          <w:color w:val="auto"/>
          <w:lang w:eastAsia="zh-CN"/>
        </w:rPr>
        <w:t>。</w:t>
      </w:r>
    </w:p>
    <w:p w14:paraId="33498899" w14:textId="77777777" w:rsidR="0075791A" w:rsidRDefault="0075791A">
      <w:pPr>
        <w:jc w:val="center"/>
        <w:rPr>
          <w:rFonts w:ascii="Times New Roman" w:eastAsia="宋体" w:hAnsi="Times New Roman" w:cs="宋体"/>
          <w:color w:val="auto"/>
          <w:spacing w:val="-4"/>
          <w:sz w:val="24"/>
          <w:szCs w:val="24"/>
          <w:lang w:eastAsia="zh-CN"/>
        </w:rPr>
      </w:pPr>
    </w:p>
    <w:p w14:paraId="270A308C" w14:textId="77777777" w:rsidR="0075791A" w:rsidRDefault="00FB2864">
      <w:pPr>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3.2.7-16</w:t>
      </w:r>
      <w:r>
        <w:rPr>
          <w:rFonts w:ascii="Times New Roman" w:eastAsia="宋体" w:hAnsi="Times New Roman" w:cs="宋体" w:hint="eastAsia"/>
          <w:color w:val="auto"/>
          <w:spacing w:val="-4"/>
          <w:sz w:val="24"/>
          <w:szCs w:val="24"/>
          <w:lang w:eastAsia="zh-CN"/>
        </w:rPr>
        <w:t>海草床分布图（</w:t>
      </w:r>
      <w:r>
        <w:rPr>
          <w:rFonts w:ascii="Times New Roman" w:eastAsia="宋体" w:hAnsi="Times New Roman" w:cs="宋体" w:hint="eastAsia"/>
          <w:color w:val="auto"/>
          <w:spacing w:val="-4"/>
          <w:sz w:val="24"/>
          <w:szCs w:val="24"/>
          <w:lang w:eastAsia="zh-CN"/>
        </w:rPr>
        <w:t>2024</w:t>
      </w:r>
      <w:r>
        <w:rPr>
          <w:rFonts w:ascii="Times New Roman" w:eastAsia="宋体" w:hAnsi="Times New Roman" w:cs="宋体" w:hint="eastAsia"/>
          <w:color w:val="auto"/>
          <w:spacing w:val="-4"/>
          <w:sz w:val="24"/>
          <w:szCs w:val="24"/>
          <w:lang w:eastAsia="zh-CN"/>
        </w:rPr>
        <w:t>年</w:t>
      </w:r>
      <w:r>
        <w:rPr>
          <w:rFonts w:ascii="Times New Roman" w:eastAsia="宋体" w:hAnsi="Times New Roman" w:cs="宋体" w:hint="eastAsia"/>
          <w:color w:val="auto"/>
          <w:spacing w:val="-4"/>
          <w:sz w:val="24"/>
          <w:szCs w:val="24"/>
          <w:lang w:eastAsia="zh-CN"/>
        </w:rPr>
        <w:t>8</w:t>
      </w:r>
      <w:r>
        <w:rPr>
          <w:rFonts w:ascii="Times New Roman" w:eastAsia="宋体" w:hAnsi="Times New Roman" w:cs="宋体" w:hint="eastAsia"/>
          <w:color w:val="auto"/>
          <w:spacing w:val="-4"/>
          <w:sz w:val="24"/>
          <w:szCs w:val="24"/>
          <w:lang w:eastAsia="zh-CN"/>
        </w:rPr>
        <w:t>月）</w:t>
      </w:r>
    </w:p>
    <w:p w14:paraId="4CF531F7" w14:textId="77777777" w:rsidR="0075791A" w:rsidRDefault="00FB2864">
      <w:pPr>
        <w:spacing w:before="34" w:line="360" w:lineRule="auto"/>
        <w:ind w:left="5"/>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3.2.7.4</w:t>
      </w:r>
      <w:r>
        <w:rPr>
          <w:rFonts w:ascii="Times New Roman" w:eastAsia="宋体" w:hAnsi="Times New Roman" w:hint="eastAsia"/>
          <w:b/>
          <w:color w:val="auto"/>
          <w:sz w:val="24"/>
          <w:szCs w:val="24"/>
          <w:lang w:eastAsia="zh-CN"/>
        </w:rPr>
        <w:t>海洋自然保护地</w:t>
      </w:r>
    </w:p>
    <w:p w14:paraId="758AB907" w14:textId="77777777" w:rsidR="0075791A" w:rsidRDefault="00FB2864">
      <w:pPr>
        <w:pStyle w:val="TableText"/>
        <w:spacing w:line="360" w:lineRule="auto"/>
        <w:ind w:firstLineChars="200" w:firstLine="482"/>
        <w:jc w:val="both"/>
        <w:rPr>
          <w:rFonts w:ascii="Times New Roman" w:hAnsi="Times New Roman"/>
          <w:b/>
          <w:bCs/>
          <w:color w:val="auto"/>
          <w:lang w:eastAsia="zh-CN"/>
        </w:rPr>
      </w:pPr>
      <w:r>
        <w:rPr>
          <w:rFonts w:ascii="Times New Roman" w:hAnsi="Times New Roman" w:hint="eastAsia"/>
          <w:b/>
          <w:bCs/>
          <w:color w:val="auto"/>
          <w:lang w:eastAsia="zh-CN"/>
        </w:rPr>
        <w:t>1.</w:t>
      </w:r>
      <w:r>
        <w:rPr>
          <w:rFonts w:ascii="Times New Roman" w:hAnsi="Times New Roman" w:hint="eastAsia"/>
          <w:b/>
          <w:bCs/>
          <w:color w:val="auto"/>
          <w:lang w:eastAsia="zh-CN"/>
        </w:rPr>
        <w:t>三亚铁炉港红树林自然保护区</w:t>
      </w:r>
    </w:p>
    <w:p w14:paraId="65E93BC0"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w:t>
      </w:r>
      <w:r>
        <w:rPr>
          <w:rFonts w:ascii="Times New Roman" w:hAnsi="Times New Roman" w:hint="eastAsia"/>
          <w:color w:val="auto"/>
          <w:lang w:eastAsia="zh-CN"/>
        </w:rPr>
        <w:t>1</w:t>
      </w:r>
      <w:r>
        <w:rPr>
          <w:rFonts w:ascii="Times New Roman" w:hAnsi="Times New Roman" w:hint="eastAsia"/>
          <w:color w:val="auto"/>
          <w:lang w:eastAsia="zh-CN"/>
        </w:rPr>
        <w:t>）保护区建立</w:t>
      </w:r>
    </w:p>
    <w:p w14:paraId="3FA6187B"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color w:val="auto"/>
          <w:lang w:eastAsia="zh-CN"/>
        </w:rPr>
        <w:t>海南省三亚市铁炉港红树林自然保护区</w:t>
      </w:r>
      <w:r>
        <w:rPr>
          <w:rFonts w:ascii="Times New Roman" w:hAnsi="Times New Roman"/>
          <w:color w:val="auto"/>
          <w:lang w:eastAsia="zh-CN"/>
        </w:rPr>
        <w:t>(</w:t>
      </w:r>
      <w:r>
        <w:rPr>
          <w:rFonts w:ascii="Times New Roman" w:hAnsi="Times New Roman"/>
          <w:color w:val="auto"/>
          <w:lang w:eastAsia="zh-CN"/>
        </w:rPr>
        <w:t>以下简称</w:t>
      </w:r>
      <w:r>
        <w:rPr>
          <w:rFonts w:ascii="Times New Roman" w:hAnsi="Times New Roman" w:hint="eastAsia"/>
          <w:color w:val="auto"/>
          <w:lang w:eastAsia="zh-CN"/>
        </w:rPr>
        <w:t>“</w:t>
      </w:r>
      <w:r>
        <w:rPr>
          <w:rFonts w:ascii="Times New Roman" w:hAnsi="Times New Roman"/>
          <w:color w:val="auto"/>
          <w:lang w:eastAsia="zh-CN"/>
        </w:rPr>
        <w:t>铁炉港保护区</w:t>
      </w:r>
      <w:r>
        <w:rPr>
          <w:rFonts w:ascii="Times New Roman" w:hAnsi="Times New Roman" w:hint="eastAsia"/>
          <w:color w:val="auto"/>
          <w:lang w:eastAsia="zh-CN"/>
        </w:rPr>
        <w:t>”</w:t>
      </w:r>
      <w:r>
        <w:rPr>
          <w:rFonts w:ascii="Times New Roman" w:hAnsi="Times New Roman"/>
          <w:color w:val="auto"/>
          <w:lang w:eastAsia="zh-CN"/>
        </w:rPr>
        <w:t>)</w:t>
      </w:r>
      <w:r>
        <w:rPr>
          <w:rFonts w:ascii="Times New Roman" w:hAnsi="Times New Roman"/>
          <w:color w:val="auto"/>
          <w:lang w:eastAsia="zh-CN"/>
        </w:rPr>
        <w:t>于</w:t>
      </w:r>
      <w:r>
        <w:rPr>
          <w:rFonts w:ascii="Times New Roman" w:hAnsi="Times New Roman"/>
          <w:color w:val="auto"/>
          <w:lang w:eastAsia="zh-CN"/>
        </w:rPr>
        <w:t>1999</w:t>
      </w:r>
      <w:r>
        <w:rPr>
          <w:rFonts w:ascii="Times New Roman" w:hAnsi="Times New Roman"/>
          <w:color w:val="auto"/>
          <w:lang w:eastAsia="zh-CN"/>
        </w:rPr>
        <w:t>年经</w:t>
      </w:r>
      <w:r>
        <w:rPr>
          <w:rFonts w:ascii="Times New Roman" w:hAnsi="Times New Roman" w:hint="eastAsia"/>
          <w:color w:val="auto"/>
          <w:lang w:eastAsia="zh-CN"/>
        </w:rPr>
        <w:t>三</w:t>
      </w:r>
      <w:r>
        <w:rPr>
          <w:rFonts w:ascii="Times New Roman" w:hAnsi="Times New Roman"/>
          <w:color w:val="auto"/>
          <w:lang w:eastAsia="zh-CN"/>
        </w:rPr>
        <w:t>亚市人民政府批准成立，主管单位为三亚市野生动植物保护中心，位于</w:t>
      </w:r>
      <w:r>
        <w:rPr>
          <w:rFonts w:ascii="Times New Roman" w:hAnsi="Times New Roman" w:hint="eastAsia"/>
          <w:color w:val="auto"/>
          <w:lang w:eastAsia="zh-CN"/>
        </w:rPr>
        <w:t>三</w:t>
      </w:r>
      <w:r>
        <w:rPr>
          <w:rFonts w:ascii="Times New Roman" w:hAnsi="Times New Roman"/>
          <w:color w:val="auto"/>
          <w:lang w:eastAsia="zh-CN"/>
        </w:rPr>
        <w:t>亚市海棠区，属青田、江林、铁炉村委会行政范围，总面积</w:t>
      </w:r>
      <w:r>
        <w:rPr>
          <w:rFonts w:ascii="Times New Roman" w:hAnsi="Times New Roman"/>
          <w:color w:val="auto"/>
          <w:lang w:eastAsia="zh-CN"/>
        </w:rPr>
        <w:t>292</w:t>
      </w:r>
      <w:r>
        <w:rPr>
          <w:rFonts w:ascii="Times New Roman" w:hAnsi="Times New Roman"/>
          <w:color w:val="auto"/>
          <w:lang w:eastAsia="zh-CN"/>
        </w:rPr>
        <w:t>公顷</w:t>
      </w:r>
      <w:r>
        <w:rPr>
          <w:rFonts w:ascii="Times New Roman" w:hAnsi="Times New Roman" w:hint="eastAsia"/>
          <w:color w:val="auto"/>
          <w:lang w:eastAsia="zh-CN"/>
        </w:rPr>
        <w:t>，</w:t>
      </w:r>
      <w:r>
        <w:rPr>
          <w:rFonts w:ascii="Times New Roman" w:hAnsi="Times New Roman"/>
          <w:color w:val="auto"/>
          <w:lang w:eastAsia="zh-CN"/>
        </w:rPr>
        <w:t>项</w:t>
      </w:r>
      <w:r>
        <w:rPr>
          <w:rFonts w:ascii="Times New Roman" w:hAnsi="Times New Roman" w:hint="eastAsia"/>
          <w:color w:val="auto"/>
          <w:lang w:eastAsia="zh-CN"/>
        </w:rPr>
        <w:t>目</w:t>
      </w:r>
      <w:r>
        <w:rPr>
          <w:rFonts w:ascii="Times New Roman" w:hAnsi="Times New Roman"/>
          <w:color w:val="auto"/>
          <w:lang w:eastAsia="zh-CN"/>
        </w:rPr>
        <w:t>区主要保护对象为红树林、底栖动物、鸟类、鱼类等动植物资源。其地理坐标为</w:t>
      </w:r>
      <w:r>
        <w:rPr>
          <w:rFonts w:ascii="Times New Roman" w:hAnsi="Times New Roman" w:cs="Times New Roman"/>
          <w:color w:val="auto"/>
          <w:lang w:eastAsia="zh-CN"/>
        </w:rPr>
        <w:t>18°15</w:t>
      </w:r>
      <w:r>
        <w:rPr>
          <w:rFonts w:ascii="Times New Roman" w:hAnsi="Times New Roman" w:cs="Times New Roman"/>
          <w:color w:val="auto"/>
          <w:lang w:eastAsia="zh-CN"/>
        </w:rPr>
        <w:t>′</w:t>
      </w:r>
      <w:r>
        <w:rPr>
          <w:rFonts w:ascii="Times New Roman" w:hAnsi="Times New Roman" w:cs="Times New Roman"/>
          <w:color w:val="auto"/>
          <w:lang w:eastAsia="zh-CN"/>
        </w:rPr>
        <w:t>-18°17</w:t>
      </w:r>
      <w:r>
        <w:rPr>
          <w:rFonts w:ascii="Times New Roman" w:hAnsi="Times New Roman" w:cs="Times New Roman"/>
          <w:color w:val="auto"/>
          <w:lang w:eastAsia="zh-CN"/>
        </w:rPr>
        <w:t>′</w:t>
      </w:r>
      <w:r>
        <w:rPr>
          <w:rFonts w:ascii="Times New Roman" w:hAnsi="Times New Roman" w:cs="Times New Roman"/>
          <w:color w:val="auto"/>
          <w:lang w:eastAsia="zh-CN"/>
        </w:rPr>
        <w:t>N</w:t>
      </w:r>
      <w:r>
        <w:rPr>
          <w:rFonts w:ascii="Times New Roman" w:hAnsi="Times New Roman" w:cs="Times New Roman"/>
          <w:color w:val="auto"/>
          <w:lang w:eastAsia="zh-CN"/>
        </w:rPr>
        <w:t>，</w:t>
      </w:r>
      <w:r>
        <w:rPr>
          <w:rFonts w:ascii="Times New Roman" w:hAnsi="Times New Roman" w:cs="Times New Roman"/>
          <w:color w:val="auto"/>
          <w:lang w:eastAsia="zh-CN"/>
        </w:rPr>
        <w:t>109°42</w:t>
      </w:r>
      <w:r>
        <w:rPr>
          <w:rFonts w:ascii="Times New Roman" w:hAnsi="Times New Roman" w:cs="Times New Roman"/>
          <w:color w:val="auto"/>
          <w:lang w:eastAsia="zh-CN"/>
        </w:rPr>
        <w:t>′</w:t>
      </w:r>
      <w:r>
        <w:rPr>
          <w:rFonts w:ascii="Times New Roman" w:hAnsi="Times New Roman" w:cs="Times New Roman"/>
          <w:color w:val="auto"/>
          <w:lang w:eastAsia="zh-CN"/>
        </w:rPr>
        <w:t>-109°44</w:t>
      </w:r>
      <w:r>
        <w:rPr>
          <w:rFonts w:ascii="Times New Roman" w:hAnsi="Times New Roman" w:cs="Times New Roman"/>
          <w:color w:val="auto"/>
          <w:lang w:eastAsia="zh-CN"/>
        </w:rPr>
        <w:t>′</w:t>
      </w:r>
      <w:r>
        <w:rPr>
          <w:rFonts w:ascii="Times New Roman" w:hAnsi="Times New Roman" w:cs="Times New Roman"/>
          <w:color w:val="auto"/>
          <w:lang w:eastAsia="zh-CN"/>
        </w:rPr>
        <w:t>E</w:t>
      </w:r>
      <w:r>
        <w:rPr>
          <w:rFonts w:ascii="Times New Roman" w:hAnsi="Times New Roman"/>
          <w:color w:val="auto"/>
          <w:lang w:eastAsia="zh-CN"/>
        </w:rPr>
        <w:t>。</w:t>
      </w:r>
    </w:p>
    <w:p w14:paraId="6205F774" w14:textId="77777777" w:rsidR="0075791A" w:rsidRDefault="00FB2864">
      <w:pPr>
        <w:jc w:val="center"/>
        <w:rPr>
          <w:rFonts w:ascii="宋体" w:eastAsia="宋体" w:hAnsi="宋体" w:cs="宋体"/>
          <w:color w:val="auto"/>
          <w:lang w:eastAsia="zh-CN"/>
        </w:rPr>
      </w:pPr>
      <w:r>
        <w:rPr>
          <w:rFonts w:ascii="宋体" w:eastAsia="宋体" w:hAnsi="宋体" w:cs="宋体"/>
          <w:noProof/>
          <w:color w:val="auto"/>
          <w:lang w:eastAsia="zh-CN"/>
        </w:rPr>
        <w:lastRenderedPageBreak/>
        <w:drawing>
          <wp:inline distT="0" distB="0" distL="114300" distR="114300" wp14:anchorId="44EA4333" wp14:editId="6A20CDCC">
            <wp:extent cx="4679950" cy="3347085"/>
            <wp:effectExtent l="0" t="0" r="13970" b="5715"/>
            <wp:docPr id="34" name="图片 34" descr="保护区三区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保护区三区图"/>
                    <pic:cNvPicPr>
                      <a:picLocks noChangeAspect="1"/>
                    </pic:cNvPicPr>
                  </pic:nvPicPr>
                  <pic:blipFill>
                    <a:blip r:embed="rId79"/>
                    <a:srcRect t="4317" r="2204" b="2917"/>
                    <a:stretch>
                      <a:fillRect/>
                    </a:stretch>
                  </pic:blipFill>
                  <pic:spPr>
                    <a:xfrm>
                      <a:off x="0" y="0"/>
                      <a:ext cx="4679950" cy="3347085"/>
                    </a:xfrm>
                    <a:prstGeom prst="rect">
                      <a:avLst/>
                    </a:prstGeom>
                  </pic:spPr>
                </pic:pic>
              </a:graphicData>
            </a:graphic>
          </wp:inline>
        </w:drawing>
      </w:r>
    </w:p>
    <w:p w14:paraId="19F31601"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noProof/>
          <w:color w:val="auto"/>
        </w:rPr>
        <w:drawing>
          <wp:inline distT="0" distB="0" distL="114300" distR="114300" wp14:anchorId="0783F5E3" wp14:editId="6C7CB2B8">
            <wp:extent cx="4679950" cy="3050540"/>
            <wp:effectExtent l="0" t="0" r="13970" b="12700"/>
            <wp:docPr id="601"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156"/>
                    <pic:cNvPicPr>
                      <a:picLocks noChangeAspect="1"/>
                    </pic:cNvPicPr>
                  </pic:nvPicPr>
                  <pic:blipFill>
                    <a:blip r:embed="rId80"/>
                    <a:stretch>
                      <a:fillRect/>
                    </a:stretch>
                  </pic:blipFill>
                  <pic:spPr>
                    <a:xfrm>
                      <a:off x="0" y="0"/>
                      <a:ext cx="4679950" cy="3050540"/>
                    </a:xfrm>
                    <a:prstGeom prst="rect">
                      <a:avLst/>
                    </a:prstGeom>
                    <a:noFill/>
                    <a:ln>
                      <a:noFill/>
                    </a:ln>
                  </pic:spPr>
                </pic:pic>
              </a:graphicData>
            </a:graphic>
          </wp:inline>
        </w:drawing>
      </w:r>
    </w:p>
    <w:p w14:paraId="1D9FD751"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3.2.7-17</w:t>
      </w:r>
      <w:r>
        <w:rPr>
          <w:rFonts w:ascii="Times New Roman" w:eastAsia="宋体" w:hAnsi="Times New Roman" w:cs="宋体" w:hint="eastAsia"/>
          <w:color w:val="auto"/>
          <w:spacing w:val="-4"/>
          <w:sz w:val="24"/>
          <w:szCs w:val="24"/>
          <w:lang w:eastAsia="zh-CN"/>
        </w:rPr>
        <w:t>铁炉港红树林自然保护区规划图（</w:t>
      </w:r>
      <w:r>
        <w:rPr>
          <w:rFonts w:ascii="Times New Roman" w:eastAsia="宋体" w:hAnsi="Times New Roman" w:cs="宋体" w:hint="eastAsia"/>
          <w:color w:val="auto"/>
          <w:spacing w:val="-4"/>
          <w:sz w:val="24"/>
          <w:szCs w:val="24"/>
          <w:lang w:eastAsia="zh-CN"/>
        </w:rPr>
        <w:t>1999</w:t>
      </w:r>
      <w:r>
        <w:rPr>
          <w:rFonts w:ascii="Times New Roman" w:eastAsia="宋体" w:hAnsi="Times New Roman" w:cs="宋体" w:hint="eastAsia"/>
          <w:color w:val="auto"/>
          <w:spacing w:val="-4"/>
          <w:sz w:val="24"/>
          <w:szCs w:val="24"/>
          <w:lang w:eastAsia="zh-CN"/>
        </w:rPr>
        <w:t>年）</w:t>
      </w:r>
    </w:p>
    <w:p w14:paraId="181405AF"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w:t>
      </w:r>
      <w:r>
        <w:rPr>
          <w:rFonts w:ascii="Times New Roman" w:hAnsi="Times New Roman" w:hint="eastAsia"/>
          <w:color w:val="auto"/>
          <w:lang w:eastAsia="zh-CN"/>
        </w:rPr>
        <w:t>2</w:t>
      </w:r>
      <w:r>
        <w:rPr>
          <w:rFonts w:ascii="Times New Roman" w:hAnsi="Times New Roman" w:hint="eastAsia"/>
          <w:color w:val="auto"/>
          <w:lang w:eastAsia="zh-CN"/>
        </w:rPr>
        <w:t>）三亚市铁炉港红树林自然保护区范围和功能区的调整</w:t>
      </w:r>
    </w:p>
    <w:p w14:paraId="532ADA72"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2025</w:t>
      </w:r>
      <w:r>
        <w:rPr>
          <w:rFonts w:ascii="Times New Roman" w:hAnsi="Times New Roman" w:hint="eastAsia"/>
          <w:color w:val="auto"/>
          <w:lang w:eastAsia="zh-CN"/>
        </w:rPr>
        <w:t>年</w:t>
      </w:r>
      <w:r>
        <w:rPr>
          <w:rFonts w:ascii="Times New Roman" w:hAnsi="Times New Roman" w:hint="eastAsia"/>
          <w:color w:val="auto"/>
          <w:lang w:eastAsia="zh-CN"/>
        </w:rPr>
        <w:t>9</w:t>
      </w:r>
      <w:r>
        <w:rPr>
          <w:rFonts w:ascii="Times New Roman" w:hAnsi="Times New Roman" w:hint="eastAsia"/>
          <w:color w:val="auto"/>
          <w:lang w:eastAsia="zh-CN"/>
        </w:rPr>
        <w:t>月</w:t>
      </w:r>
      <w:r>
        <w:rPr>
          <w:rFonts w:ascii="Times New Roman" w:hAnsi="Times New Roman" w:hint="eastAsia"/>
          <w:color w:val="auto"/>
          <w:lang w:eastAsia="zh-CN"/>
        </w:rPr>
        <w:t>4</w:t>
      </w:r>
      <w:r>
        <w:rPr>
          <w:rFonts w:ascii="Times New Roman" w:hAnsi="Times New Roman" w:hint="eastAsia"/>
          <w:color w:val="auto"/>
          <w:lang w:eastAsia="zh-CN"/>
        </w:rPr>
        <w:t>日，根据《海南省人民政府关于三亚市铁炉港红树林自然保护区范围和功能区的批复》（琼府函〔</w:t>
      </w:r>
      <w:r>
        <w:rPr>
          <w:rFonts w:ascii="Times New Roman" w:hAnsi="Times New Roman" w:hint="eastAsia"/>
          <w:color w:val="auto"/>
          <w:lang w:eastAsia="zh-CN"/>
        </w:rPr>
        <w:t>2025</w:t>
      </w:r>
      <w:r>
        <w:rPr>
          <w:rFonts w:ascii="Times New Roman" w:hAnsi="Times New Roman" w:hint="eastAsia"/>
          <w:color w:val="auto"/>
          <w:lang w:eastAsia="zh-CN"/>
        </w:rPr>
        <w:t>〕</w:t>
      </w:r>
      <w:r>
        <w:rPr>
          <w:rFonts w:ascii="Times New Roman" w:hAnsi="Times New Roman" w:hint="eastAsia"/>
          <w:color w:val="auto"/>
          <w:lang w:eastAsia="zh-CN"/>
        </w:rPr>
        <w:t>198</w:t>
      </w:r>
      <w:r>
        <w:rPr>
          <w:rFonts w:ascii="Times New Roman" w:hAnsi="Times New Roman" w:hint="eastAsia"/>
          <w:color w:val="auto"/>
          <w:lang w:eastAsia="zh-CN"/>
        </w:rPr>
        <w:t>号），</w:t>
      </w:r>
      <w:r>
        <w:rPr>
          <w:rFonts w:ascii="Times New Roman" w:hAnsi="Times New Roman"/>
          <w:color w:val="auto"/>
          <w:lang w:eastAsia="zh-CN"/>
        </w:rPr>
        <w:t>同意三亚市铁炉港红树林自然保护区范围和功能区调整。三亚市铁炉港红树林自然保护区地理坐标：东经</w:t>
      </w:r>
      <w:r>
        <w:rPr>
          <w:rFonts w:ascii="Times New Roman" w:hAnsi="Times New Roman"/>
          <w:color w:val="auto"/>
          <w:lang w:eastAsia="zh-CN"/>
        </w:rPr>
        <w:t>109°40</w:t>
      </w:r>
      <w:r>
        <w:rPr>
          <w:rFonts w:ascii="Times New Roman" w:hAnsi="Times New Roman"/>
          <w:color w:val="auto"/>
          <w:lang w:eastAsia="zh-CN"/>
        </w:rPr>
        <w:t>＇</w:t>
      </w:r>
      <w:r>
        <w:rPr>
          <w:rFonts w:ascii="Times New Roman" w:hAnsi="Times New Roman"/>
          <w:color w:val="auto"/>
          <w:lang w:eastAsia="zh-CN"/>
        </w:rPr>
        <w:t>25″</w:t>
      </w:r>
      <w:r>
        <w:rPr>
          <w:rFonts w:ascii="Times New Roman" w:hAnsi="Times New Roman"/>
          <w:color w:val="auto"/>
          <w:lang w:eastAsia="zh-CN"/>
        </w:rPr>
        <w:t>～</w:t>
      </w:r>
      <w:r>
        <w:rPr>
          <w:rFonts w:ascii="Times New Roman" w:hAnsi="Times New Roman"/>
          <w:color w:val="auto"/>
          <w:lang w:eastAsia="zh-CN"/>
        </w:rPr>
        <w:t>109°43</w:t>
      </w:r>
      <w:r>
        <w:rPr>
          <w:rFonts w:ascii="Times New Roman" w:hAnsi="Times New Roman"/>
          <w:color w:val="auto"/>
          <w:lang w:eastAsia="zh-CN"/>
        </w:rPr>
        <w:t>＇</w:t>
      </w:r>
      <w:r>
        <w:rPr>
          <w:rFonts w:ascii="Times New Roman" w:hAnsi="Times New Roman"/>
          <w:color w:val="auto"/>
          <w:lang w:eastAsia="zh-CN"/>
        </w:rPr>
        <w:t>4.42″</w:t>
      </w:r>
      <w:r>
        <w:rPr>
          <w:rFonts w:ascii="Times New Roman" w:hAnsi="Times New Roman"/>
          <w:color w:val="auto"/>
          <w:lang w:eastAsia="zh-CN"/>
        </w:rPr>
        <w:t>，北纬</w:t>
      </w:r>
      <w:r>
        <w:rPr>
          <w:rFonts w:ascii="Times New Roman" w:hAnsi="Times New Roman"/>
          <w:color w:val="auto"/>
          <w:lang w:eastAsia="zh-CN"/>
        </w:rPr>
        <w:t>18°15</w:t>
      </w:r>
      <w:r>
        <w:rPr>
          <w:rFonts w:ascii="Times New Roman" w:hAnsi="Times New Roman"/>
          <w:color w:val="auto"/>
          <w:lang w:eastAsia="zh-CN"/>
        </w:rPr>
        <w:t>＇</w:t>
      </w:r>
      <w:r>
        <w:rPr>
          <w:rFonts w:ascii="Times New Roman" w:hAnsi="Times New Roman"/>
          <w:color w:val="auto"/>
          <w:lang w:eastAsia="zh-CN"/>
        </w:rPr>
        <w:t>29.83″</w:t>
      </w:r>
      <w:r>
        <w:rPr>
          <w:rFonts w:ascii="Times New Roman" w:hAnsi="Times New Roman"/>
          <w:color w:val="auto"/>
          <w:lang w:eastAsia="zh-CN"/>
        </w:rPr>
        <w:t>～</w:t>
      </w:r>
      <w:r>
        <w:rPr>
          <w:rFonts w:ascii="Times New Roman" w:hAnsi="Times New Roman"/>
          <w:color w:val="auto"/>
          <w:lang w:eastAsia="zh-CN"/>
        </w:rPr>
        <w:t>18°17</w:t>
      </w:r>
      <w:r>
        <w:rPr>
          <w:rFonts w:ascii="Times New Roman" w:hAnsi="Times New Roman"/>
          <w:color w:val="auto"/>
          <w:lang w:eastAsia="zh-CN"/>
        </w:rPr>
        <w:t>＇</w:t>
      </w:r>
      <w:r>
        <w:rPr>
          <w:rFonts w:ascii="Times New Roman" w:hAnsi="Times New Roman"/>
          <w:color w:val="auto"/>
          <w:lang w:eastAsia="zh-CN"/>
        </w:rPr>
        <w:t>16.43″</w:t>
      </w:r>
      <w:r>
        <w:rPr>
          <w:rFonts w:ascii="Times New Roman" w:hAnsi="Times New Roman"/>
          <w:color w:val="auto"/>
          <w:lang w:eastAsia="zh-CN"/>
        </w:rPr>
        <w:t>，总面积</w:t>
      </w:r>
      <w:r>
        <w:rPr>
          <w:rFonts w:ascii="Times New Roman" w:hAnsi="Times New Roman"/>
          <w:color w:val="auto"/>
          <w:lang w:eastAsia="zh-CN"/>
        </w:rPr>
        <w:t>370.1</w:t>
      </w:r>
      <w:r>
        <w:rPr>
          <w:rFonts w:ascii="Times New Roman" w:hAnsi="Times New Roman"/>
          <w:color w:val="auto"/>
          <w:lang w:eastAsia="zh-CN"/>
        </w:rPr>
        <w:t>公顷，其中核心区面积</w:t>
      </w:r>
      <w:r>
        <w:rPr>
          <w:rFonts w:ascii="Times New Roman" w:hAnsi="Times New Roman"/>
          <w:color w:val="auto"/>
          <w:lang w:eastAsia="zh-CN"/>
        </w:rPr>
        <w:t>118.19</w:t>
      </w:r>
      <w:r>
        <w:rPr>
          <w:rFonts w:ascii="Times New Roman" w:hAnsi="Times New Roman"/>
          <w:color w:val="auto"/>
          <w:lang w:eastAsia="zh-CN"/>
        </w:rPr>
        <w:t>公顷，占保护区总面积的</w:t>
      </w:r>
      <w:r>
        <w:rPr>
          <w:rFonts w:ascii="Times New Roman" w:hAnsi="Times New Roman"/>
          <w:color w:val="auto"/>
          <w:lang w:eastAsia="zh-CN"/>
        </w:rPr>
        <w:t>31.93%</w:t>
      </w:r>
      <w:r>
        <w:rPr>
          <w:rFonts w:ascii="Times New Roman" w:hAnsi="Times New Roman"/>
          <w:color w:val="auto"/>
          <w:lang w:eastAsia="zh-CN"/>
        </w:rPr>
        <w:t>；缓冲区面积</w:t>
      </w:r>
      <w:r>
        <w:rPr>
          <w:rFonts w:ascii="Times New Roman" w:hAnsi="Times New Roman"/>
          <w:color w:val="auto"/>
          <w:lang w:eastAsia="zh-CN"/>
        </w:rPr>
        <w:t>67.24</w:t>
      </w:r>
      <w:r>
        <w:rPr>
          <w:rFonts w:ascii="Times New Roman" w:hAnsi="Times New Roman"/>
          <w:color w:val="auto"/>
          <w:lang w:eastAsia="zh-CN"/>
        </w:rPr>
        <w:t>公顷，占保护区总面积的</w:t>
      </w:r>
      <w:r>
        <w:rPr>
          <w:rFonts w:ascii="Times New Roman" w:hAnsi="Times New Roman"/>
          <w:color w:val="auto"/>
          <w:lang w:eastAsia="zh-CN"/>
        </w:rPr>
        <w:t>18.17%</w:t>
      </w:r>
      <w:r>
        <w:rPr>
          <w:rFonts w:ascii="Times New Roman" w:hAnsi="Times New Roman"/>
          <w:color w:val="auto"/>
          <w:lang w:eastAsia="zh-CN"/>
        </w:rPr>
        <w:t>；实验区面积</w:t>
      </w:r>
      <w:r>
        <w:rPr>
          <w:rFonts w:ascii="Times New Roman" w:hAnsi="Times New Roman"/>
          <w:color w:val="auto"/>
          <w:lang w:eastAsia="zh-CN"/>
        </w:rPr>
        <w:t>184.67</w:t>
      </w:r>
      <w:r>
        <w:rPr>
          <w:rFonts w:ascii="Times New Roman" w:hAnsi="Times New Roman"/>
          <w:color w:val="auto"/>
          <w:lang w:eastAsia="zh-CN"/>
        </w:rPr>
        <w:t>公顷，占保护区总面积的</w:t>
      </w:r>
      <w:r>
        <w:rPr>
          <w:rFonts w:ascii="Times New Roman" w:hAnsi="Times New Roman"/>
          <w:color w:val="auto"/>
          <w:lang w:eastAsia="zh-CN"/>
        </w:rPr>
        <w:t>49.90%</w:t>
      </w:r>
      <w:r>
        <w:rPr>
          <w:rFonts w:ascii="Times New Roman" w:hAnsi="Times New Roman"/>
          <w:color w:val="auto"/>
          <w:lang w:eastAsia="zh-CN"/>
        </w:rPr>
        <w:t>。</w:t>
      </w:r>
    </w:p>
    <w:p w14:paraId="2E0B3962" w14:textId="77777777" w:rsidR="0075791A" w:rsidRDefault="00FB2864">
      <w:pPr>
        <w:pStyle w:val="TableText"/>
        <w:spacing w:line="360" w:lineRule="auto"/>
        <w:ind w:firstLineChars="200" w:firstLine="480"/>
        <w:jc w:val="both"/>
        <w:rPr>
          <w:rFonts w:ascii="Times New Roman" w:hAnsi="Times New Roman"/>
          <w:color w:val="auto"/>
          <w:spacing w:val="-4"/>
          <w:lang w:eastAsia="zh-CN"/>
        </w:rPr>
      </w:pPr>
      <w:r>
        <w:rPr>
          <w:rFonts w:ascii="Times New Roman" w:hAnsi="Times New Roman" w:hint="eastAsia"/>
          <w:color w:val="auto"/>
          <w:lang w:eastAsia="zh-CN"/>
        </w:rPr>
        <w:lastRenderedPageBreak/>
        <w:t>本项目清淤疏浚区</w:t>
      </w:r>
      <w:r>
        <w:rPr>
          <w:rFonts w:ascii="Times New Roman" w:hAnsi="Times New Roman" w:hint="eastAsia"/>
          <w:color w:val="auto"/>
          <w:lang w:eastAsia="zh-CN"/>
        </w:rPr>
        <w:t>14.8579</w:t>
      </w:r>
      <w:r>
        <w:rPr>
          <w:rFonts w:ascii="Times New Roman" w:hAnsi="Times New Roman" w:hint="eastAsia"/>
          <w:color w:val="auto"/>
          <w:lang w:eastAsia="zh-CN"/>
        </w:rPr>
        <w:t>公顷位于保护区核心区，透水构筑物</w:t>
      </w:r>
      <w:r>
        <w:rPr>
          <w:rFonts w:ascii="Times New Roman" w:hAnsi="Times New Roman" w:hint="eastAsia"/>
          <w:color w:val="auto"/>
          <w:lang w:eastAsia="zh-CN"/>
        </w:rPr>
        <w:t>0.3515</w:t>
      </w:r>
      <w:r>
        <w:rPr>
          <w:rFonts w:ascii="Times New Roman" w:hAnsi="Times New Roman" w:hint="eastAsia"/>
          <w:color w:val="auto"/>
          <w:lang w:eastAsia="zh-CN"/>
        </w:rPr>
        <w:t>公顷位于一般控制区</w:t>
      </w:r>
      <w:r>
        <w:rPr>
          <w:rFonts w:ascii="Times New Roman" w:hAnsi="Times New Roman" w:hint="eastAsia"/>
          <w:color w:val="auto"/>
          <w:spacing w:val="-4"/>
          <w:lang w:eastAsia="zh-CN"/>
        </w:rPr>
        <w:t>。</w:t>
      </w:r>
    </w:p>
    <w:p w14:paraId="7FA522A3" w14:textId="77777777" w:rsidR="0075791A" w:rsidRDefault="0075791A">
      <w:pPr>
        <w:pStyle w:val="TableText"/>
        <w:spacing w:line="360" w:lineRule="auto"/>
        <w:ind w:firstLineChars="200" w:firstLine="472"/>
        <w:jc w:val="both"/>
        <w:rPr>
          <w:rFonts w:ascii="Times New Roman" w:hAnsi="Times New Roman"/>
          <w:color w:val="auto"/>
          <w:spacing w:val="-4"/>
          <w:lang w:eastAsia="zh-CN"/>
        </w:rPr>
      </w:pPr>
    </w:p>
    <w:p w14:paraId="7D2ED6B3" w14:textId="77777777" w:rsidR="0075791A" w:rsidRDefault="00FB2864">
      <w:pPr>
        <w:pStyle w:val="TableText"/>
        <w:jc w:val="center"/>
        <w:rPr>
          <w:rFonts w:ascii="Times New Roman" w:hAnsi="Times New Roman"/>
          <w:color w:val="auto"/>
          <w:lang w:eastAsia="zh-CN"/>
        </w:rPr>
      </w:pPr>
      <w:r>
        <w:rPr>
          <w:rFonts w:ascii="Times New Roman" w:hAnsi="Times New Roman"/>
          <w:noProof/>
          <w:color w:val="auto"/>
          <w:lang w:eastAsia="zh-CN"/>
        </w:rPr>
        <w:drawing>
          <wp:inline distT="0" distB="0" distL="114300" distR="114300" wp14:anchorId="06E131F6" wp14:editId="08465A40">
            <wp:extent cx="4820285" cy="3347720"/>
            <wp:effectExtent l="0" t="0" r="10795" b="5080"/>
            <wp:docPr id="73" name="图片 73" descr="铁炉港保护区2023总规3区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铁炉港保护区2023总规3区0410"/>
                    <pic:cNvPicPr>
                      <a:picLocks noChangeAspect="1"/>
                    </pic:cNvPicPr>
                  </pic:nvPicPr>
                  <pic:blipFill>
                    <a:blip r:embed="rId81"/>
                    <a:srcRect b="1915"/>
                    <a:stretch>
                      <a:fillRect/>
                    </a:stretch>
                  </pic:blipFill>
                  <pic:spPr>
                    <a:xfrm>
                      <a:off x="0" y="0"/>
                      <a:ext cx="4820285" cy="3347720"/>
                    </a:xfrm>
                    <a:prstGeom prst="rect">
                      <a:avLst/>
                    </a:prstGeom>
                  </pic:spPr>
                </pic:pic>
              </a:graphicData>
            </a:graphic>
          </wp:inline>
        </w:drawing>
      </w:r>
    </w:p>
    <w:p w14:paraId="08EF8B3D"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3.2.7-18</w:t>
      </w:r>
      <w:r>
        <w:rPr>
          <w:rFonts w:ascii="Times New Roman" w:hAnsi="Times New Roman" w:cs="宋体" w:hint="eastAsia"/>
          <w:color w:val="auto"/>
          <w:sz w:val="24"/>
          <w:szCs w:val="24"/>
          <w:lang w:eastAsia="zh-CN"/>
        </w:rPr>
        <w:t>海南三亚红树林自然保护区功能</w:t>
      </w:r>
      <w:r>
        <w:rPr>
          <w:rFonts w:ascii="Times New Roman" w:eastAsia="宋体" w:hAnsi="Times New Roman" w:cs="宋体" w:hint="eastAsia"/>
          <w:color w:val="auto"/>
          <w:spacing w:val="-4"/>
          <w:sz w:val="24"/>
          <w:szCs w:val="24"/>
          <w:lang w:eastAsia="zh-CN"/>
        </w:rPr>
        <w:t>分区图</w:t>
      </w:r>
    </w:p>
    <w:p w14:paraId="68BD6086" w14:textId="77777777" w:rsidR="0075791A" w:rsidRDefault="00FB2864">
      <w:pPr>
        <w:pStyle w:val="TableText"/>
        <w:jc w:val="center"/>
        <w:rPr>
          <w:rFonts w:ascii="Times New Roman" w:hAnsi="Times New Roman"/>
          <w:color w:val="auto"/>
          <w:lang w:eastAsia="zh-CN"/>
        </w:rPr>
      </w:pPr>
      <w:r>
        <w:rPr>
          <w:rFonts w:ascii="Times New Roman" w:hAnsi="Times New Roman"/>
          <w:noProof/>
          <w:color w:val="auto"/>
          <w:lang w:eastAsia="zh-CN"/>
        </w:rPr>
        <w:drawing>
          <wp:inline distT="0" distB="0" distL="114300" distR="114300" wp14:anchorId="0E00FF5A" wp14:editId="5750D8B7">
            <wp:extent cx="4679950" cy="3348990"/>
            <wp:effectExtent l="0" t="0" r="13970" b="3810"/>
            <wp:docPr id="424"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101"/>
                    <pic:cNvPicPr>
                      <a:picLocks noChangeAspect="1"/>
                    </pic:cNvPicPr>
                  </pic:nvPicPr>
                  <pic:blipFill>
                    <a:blip r:embed="rId82"/>
                    <a:srcRect l="4249" t="2162" r="1495" b="2470"/>
                    <a:stretch>
                      <a:fillRect/>
                    </a:stretch>
                  </pic:blipFill>
                  <pic:spPr>
                    <a:xfrm>
                      <a:off x="0" y="0"/>
                      <a:ext cx="4679950" cy="3348990"/>
                    </a:xfrm>
                    <a:prstGeom prst="rect">
                      <a:avLst/>
                    </a:prstGeom>
                    <a:noFill/>
                    <a:ln>
                      <a:noFill/>
                    </a:ln>
                  </pic:spPr>
                </pic:pic>
              </a:graphicData>
            </a:graphic>
          </wp:inline>
        </w:drawing>
      </w:r>
    </w:p>
    <w:p w14:paraId="442CEBD1"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3.2.7-19</w:t>
      </w:r>
      <w:r>
        <w:rPr>
          <w:rFonts w:ascii="Times New Roman" w:eastAsia="宋体" w:hAnsi="Times New Roman" w:cs="宋体" w:hint="eastAsia"/>
          <w:color w:val="auto"/>
          <w:spacing w:val="-4"/>
          <w:sz w:val="24"/>
          <w:szCs w:val="24"/>
          <w:lang w:eastAsia="zh-CN"/>
        </w:rPr>
        <w:t>主要保护对象分布图</w:t>
      </w:r>
    </w:p>
    <w:p w14:paraId="0A5F836D"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2.</w:t>
      </w:r>
      <w:r>
        <w:rPr>
          <w:rFonts w:ascii="Times New Roman" w:eastAsia="宋体" w:hAnsi="Times New Roman" w:cs="宋体" w:hint="eastAsia"/>
          <w:b/>
          <w:bCs/>
          <w:color w:val="auto"/>
          <w:sz w:val="24"/>
          <w:szCs w:val="24"/>
          <w:lang w:eastAsia="zh-CN"/>
        </w:rPr>
        <w:t>三亚珊瑚礁国家级自然保护区概况</w:t>
      </w:r>
    </w:p>
    <w:p w14:paraId="0D419F8D"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三亚珊瑚礁国家级自然保护区位于海南岛南部三亚市近岸沿海</w:t>
      </w:r>
      <w:r>
        <w:rPr>
          <w:rFonts w:ascii="Times New Roman" w:eastAsia="宋体" w:hAnsi="Times New Roman" w:cs="Times New Roman"/>
          <w:color w:val="auto"/>
          <w:sz w:val="24"/>
          <w:szCs w:val="24"/>
          <w:lang w:eastAsia="zh-CN"/>
        </w:rPr>
        <w:t>109°20</w:t>
      </w:r>
      <w:r>
        <w:rPr>
          <w:rFonts w:ascii="Times New Roman" w:eastAsia="宋体" w:hAnsi="Times New Roman" w:cs="Times New Roman"/>
          <w:color w:val="auto"/>
          <w:sz w:val="24"/>
          <w:szCs w:val="24"/>
          <w:lang w:eastAsia="zh-CN"/>
        </w:rPr>
        <w:t>＇</w:t>
      </w:r>
      <w:r>
        <w:rPr>
          <w:rFonts w:ascii="Times New Roman" w:eastAsia="宋体" w:hAnsi="Times New Roman" w:cs="Times New Roman"/>
          <w:color w:val="auto"/>
          <w:sz w:val="24"/>
          <w:szCs w:val="24"/>
          <w:lang w:eastAsia="zh-CN"/>
        </w:rPr>
        <w:t>50″</w:t>
      </w:r>
      <w:r>
        <w:rPr>
          <w:rFonts w:ascii="Times New Roman" w:eastAsia="宋体" w:hAnsi="Times New Roman" w:cs="Times New Roman"/>
          <w:color w:val="auto"/>
          <w:sz w:val="24"/>
          <w:szCs w:val="24"/>
          <w:lang w:eastAsia="zh-CN"/>
        </w:rPr>
        <w:t>～</w:t>
      </w:r>
      <w:r>
        <w:rPr>
          <w:rFonts w:ascii="Times New Roman" w:eastAsia="宋体" w:hAnsi="Times New Roman" w:cs="Times New Roman"/>
          <w:color w:val="auto"/>
          <w:sz w:val="24"/>
          <w:szCs w:val="24"/>
          <w:lang w:eastAsia="zh-CN"/>
        </w:rPr>
        <w:t>109°40</w:t>
      </w:r>
      <w:r>
        <w:rPr>
          <w:rFonts w:ascii="Times New Roman" w:eastAsia="宋体" w:hAnsi="Times New Roman" w:cs="Times New Roman"/>
          <w:color w:val="auto"/>
          <w:sz w:val="24"/>
          <w:szCs w:val="24"/>
          <w:lang w:eastAsia="zh-CN"/>
        </w:rPr>
        <w:t>＇</w:t>
      </w:r>
      <w:r>
        <w:rPr>
          <w:rFonts w:ascii="Times New Roman" w:eastAsia="宋体" w:hAnsi="Times New Roman" w:cs="Times New Roman"/>
          <w:color w:val="auto"/>
          <w:sz w:val="24"/>
          <w:szCs w:val="24"/>
          <w:lang w:eastAsia="zh-CN"/>
        </w:rPr>
        <w:t>30″E</w:t>
      </w:r>
      <w:r>
        <w:rPr>
          <w:rFonts w:ascii="Times New Roman" w:eastAsia="宋体" w:hAnsi="Times New Roman" w:cs="Times New Roman"/>
          <w:color w:val="auto"/>
          <w:sz w:val="24"/>
          <w:szCs w:val="24"/>
          <w:lang w:eastAsia="zh-CN"/>
        </w:rPr>
        <w:t>，</w:t>
      </w:r>
      <w:r>
        <w:rPr>
          <w:rFonts w:ascii="Times New Roman" w:eastAsia="宋体" w:hAnsi="Times New Roman" w:cs="Times New Roman"/>
          <w:color w:val="auto"/>
          <w:sz w:val="24"/>
          <w:szCs w:val="24"/>
          <w:lang w:eastAsia="zh-CN"/>
        </w:rPr>
        <w:t>18°10</w:t>
      </w:r>
      <w:r>
        <w:rPr>
          <w:rFonts w:ascii="Times New Roman" w:eastAsia="宋体" w:hAnsi="Times New Roman" w:cs="Times New Roman"/>
          <w:color w:val="auto"/>
          <w:sz w:val="24"/>
          <w:szCs w:val="24"/>
          <w:lang w:eastAsia="zh-CN"/>
        </w:rPr>
        <w:t>＇</w:t>
      </w:r>
      <w:r>
        <w:rPr>
          <w:rFonts w:ascii="Times New Roman" w:eastAsia="宋体" w:hAnsi="Times New Roman" w:cs="Times New Roman"/>
          <w:color w:val="auto"/>
          <w:sz w:val="24"/>
          <w:szCs w:val="24"/>
          <w:lang w:eastAsia="zh-CN"/>
        </w:rPr>
        <w:t>30″</w:t>
      </w:r>
      <w:r>
        <w:rPr>
          <w:rFonts w:ascii="Times New Roman" w:eastAsia="宋体" w:hAnsi="Times New Roman" w:cs="Times New Roman"/>
          <w:color w:val="auto"/>
          <w:sz w:val="24"/>
          <w:szCs w:val="24"/>
          <w:lang w:eastAsia="zh-CN"/>
        </w:rPr>
        <w:t>～</w:t>
      </w:r>
      <w:r>
        <w:rPr>
          <w:rFonts w:ascii="Times New Roman" w:eastAsia="宋体" w:hAnsi="Times New Roman" w:cs="Times New Roman"/>
          <w:color w:val="auto"/>
          <w:sz w:val="24"/>
          <w:szCs w:val="24"/>
          <w:lang w:eastAsia="zh-CN"/>
        </w:rPr>
        <w:t>18°15</w:t>
      </w:r>
      <w:r>
        <w:rPr>
          <w:rFonts w:ascii="Times New Roman" w:eastAsia="宋体" w:hAnsi="Times New Roman" w:cs="Times New Roman"/>
          <w:color w:val="auto"/>
          <w:sz w:val="24"/>
          <w:szCs w:val="24"/>
          <w:lang w:eastAsia="zh-CN"/>
        </w:rPr>
        <w:t>＇</w:t>
      </w:r>
      <w:r>
        <w:rPr>
          <w:rFonts w:ascii="Times New Roman" w:eastAsia="宋体" w:hAnsi="Times New Roman" w:cs="Times New Roman"/>
          <w:color w:val="auto"/>
          <w:sz w:val="24"/>
          <w:szCs w:val="24"/>
          <w:lang w:eastAsia="zh-CN"/>
        </w:rPr>
        <w:t>30″</w:t>
      </w:r>
      <w:r>
        <w:rPr>
          <w:rFonts w:ascii="Times New Roman" w:eastAsia="宋体" w:hAnsi="Times New Roman" w:cs="宋体" w:hint="eastAsia"/>
          <w:color w:val="auto"/>
          <w:sz w:val="24"/>
          <w:szCs w:val="24"/>
          <w:lang w:eastAsia="zh-CN"/>
        </w:rPr>
        <w:t xml:space="preserve">N </w:t>
      </w:r>
      <w:r>
        <w:rPr>
          <w:rFonts w:ascii="Times New Roman" w:eastAsia="宋体" w:hAnsi="Times New Roman" w:cs="宋体" w:hint="eastAsia"/>
          <w:color w:val="auto"/>
          <w:sz w:val="24"/>
          <w:szCs w:val="24"/>
          <w:lang w:eastAsia="zh-CN"/>
        </w:rPr>
        <w:t>之间，由鹿回头半岛—榆林角片区、东西瑁</w:t>
      </w:r>
      <w:r>
        <w:rPr>
          <w:rFonts w:ascii="Times New Roman" w:eastAsia="宋体" w:hAnsi="Times New Roman" w:cs="宋体" w:hint="eastAsia"/>
          <w:color w:val="auto"/>
          <w:sz w:val="24"/>
          <w:szCs w:val="24"/>
          <w:lang w:eastAsia="zh-CN"/>
        </w:rPr>
        <w:lastRenderedPageBreak/>
        <w:t>洲片区和亚龙湾片区组成，保护区面积</w:t>
      </w:r>
      <w:r>
        <w:rPr>
          <w:rFonts w:ascii="Times New Roman" w:eastAsia="宋体" w:hAnsi="Times New Roman" w:cs="宋体" w:hint="eastAsia"/>
          <w:color w:val="auto"/>
          <w:sz w:val="24"/>
          <w:szCs w:val="24"/>
          <w:lang w:eastAsia="zh-CN"/>
        </w:rPr>
        <w:t>85km</w:t>
      </w:r>
      <w:r>
        <w:rPr>
          <w:rFonts w:ascii="Times New Roman" w:eastAsia="宋体" w:hAnsi="Times New Roman" w:cs="宋体" w:hint="eastAsia"/>
          <w:color w:val="auto"/>
          <w:sz w:val="24"/>
          <w:szCs w:val="24"/>
          <w:vertAlign w:val="superscript"/>
          <w:lang w:eastAsia="zh-CN"/>
        </w:rPr>
        <w:t>2</w:t>
      </w:r>
      <w:r>
        <w:rPr>
          <w:rFonts w:ascii="Times New Roman" w:eastAsia="宋体" w:hAnsi="Times New Roman" w:cs="宋体" w:hint="eastAsia"/>
          <w:color w:val="auto"/>
          <w:sz w:val="24"/>
          <w:szCs w:val="24"/>
          <w:lang w:eastAsia="zh-CN"/>
        </w:rPr>
        <w:t>（图</w:t>
      </w:r>
      <w:r>
        <w:rPr>
          <w:rFonts w:ascii="Times New Roman" w:eastAsia="宋体" w:hAnsi="Times New Roman" w:cs="宋体" w:hint="eastAsia"/>
          <w:color w:val="auto"/>
          <w:spacing w:val="-4"/>
          <w:sz w:val="24"/>
          <w:szCs w:val="24"/>
          <w:lang w:eastAsia="zh-CN"/>
        </w:rPr>
        <w:t>3.2.7-20</w:t>
      </w:r>
      <w:r>
        <w:rPr>
          <w:rFonts w:ascii="Times New Roman" w:eastAsia="宋体" w:hAnsi="Times New Roman" w:cs="宋体" w:hint="eastAsia"/>
          <w:color w:val="auto"/>
          <w:sz w:val="24"/>
          <w:szCs w:val="24"/>
          <w:lang w:eastAsia="zh-CN"/>
        </w:rPr>
        <w:t>）。保护区主要保护对象是珊瑚礁及其生境，即各种浅海造礁石珊瑚、软珊瑚及其他珊瑚、珊瑚礁及和其他生物构成的生态系统、相关的海洋生态环境。</w:t>
      </w:r>
    </w:p>
    <w:p w14:paraId="2992AB7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 xml:space="preserve">1990 </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 xml:space="preserve">9 </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 xml:space="preserve">30 </w:t>
      </w:r>
      <w:r>
        <w:rPr>
          <w:rFonts w:ascii="Times New Roman" w:eastAsia="宋体" w:hAnsi="Times New Roman" w:cs="宋体" w:hint="eastAsia"/>
          <w:color w:val="auto"/>
          <w:sz w:val="24"/>
          <w:szCs w:val="24"/>
          <w:lang w:eastAsia="zh-CN"/>
        </w:rPr>
        <w:t>日，国务院批准建立三亚珊瑚礁国家级自然保护区，</w:t>
      </w:r>
      <w:r>
        <w:rPr>
          <w:rFonts w:ascii="Times New Roman" w:eastAsia="宋体" w:hAnsi="Times New Roman" w:cs="宋体" w:hint="eastAsia"/>
          <w:color w:val="auto"/>
          <w:sz w:val="24"/>
          <w:szCs w:val="24"/>
          <w:lang w:eastAsia="zh-CN"/>
        </w:rPr>
        <w:t>1992</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26</w:t>
      </w:r>
      <w:r>
        <w:rPr>
          <w:rFonts w:ascii="Times New Roman" w:eastAsia="宋体" w:hAnsi="Times New Roman" w:cs="宋体" w:hint="eastAsia"/>
          <w:color w:val="auto"/>
          <w:sz w:val="24"/>
          <w:szCs w:val="24"/>
          <w:lang w:eastAsia="zh-CN"/>
        </w:rPr>
        <w:t>日，国家海洋局批准设立“海南三亚国家级珊瑚礁自然保护区管理处”，隶属海南省海洋与渔业厅，为正处级事业单位，负责保护区的管理。</w:t>
      </w:r>
      <w:r>
        <w:rPr>
          <w:rFonts w:ascii="Times New Roman" w:eastAsia="宋体" w:hAnsi="Times New Roman" w:cs="宋体" w:hint="eastAsia"/>
          <w:color w:val="auto"/>
          <w:sz w:val="24"/>
          <w:szCs w:val="24"/>
          <w:lang w:eastAsia="zh-CN"/>
        </w:rPr>
        <w:t>1992</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7</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5</w:t>
      </w:r>
      <w:r>
        <w:rPr>
          <w:rFonts w:ascii="Times New Roman" w:eastAsia="宋体" w:hAnsi="Times New Roman" w:cs="宋体" w:hint="eastAsia"/>
          <w:color w:val="auto"/>
          <w:sz w:val="24"/>
          <w:szCs w:val="24"/>
          <w:lang w:eastAsia="zh-CN"/>
        </w:rPr>
        <w:t>日，三亚市人民政府根据国务院的批复颁布了《关于保护三亚国家珊瑚礁自然保护区的布告》（市府〔</w:t>
      </w:r>
      <w:r>
        <w:rPr>
          <w:rFonts w:ascii="Times New Roman" w:eastAsia="宋体" w:hAnsi="Times New Roman" w:cs="宋体" w:hint="eastAsia"/>
          <w:color w:val="auto"/>
          <w:sz w:val="24"/>
          <w:szCs w:val="24"/>
          <w:lang w:eastAsia="zh-CN"/>
        </w:rPr>
        <w:t>1992</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95</w:t>
      </w:r>
      <w:r>
        <w:rPr>
          <w:rFonts w:ascii="Times New Roman" w:eastAsia="宋体" w:hAnsi="Times New Roman" w:cs="宋体" w:hint="eastAsia"/>
          <w:color w:val="auto"/>
          <w:sz w:val="24"/>
          <w:szCs w:val="24"/>
          <w:lang w:eastAsia="zh-CN"/>
        </w:rPr>
        <w:t>号），给出了保护区三个片区的具体坐标，保护区</w:t>
      </w:r>
      <w:r>
        <w:rPr>
          <w:rFonts w:ascii="Times New Roman" w:eastAsia="宋体" w:hAnsi="Times New Roman" w:cs="宋体" w:hint="eastAsia"/>
          <w:color w:val="auto"/>
          <w:sz w:val="24"/>
          <w:szCs w:val="24"/>
          <w:lang w:eastAsia="zh-CN"/>
        </w:rPr>
        <w:t>海域面积共</w:t>
      </w:r>
      <w:r>
        <w:rPr>
          <w:rFonts w:ascii="Times New Roman" w:eastAsia="宋体" w:hAnsi="Times New Roman" w:cs="宋体" w:hint="eastAsia"/>
          <w:color w:val="auto"/>
          <w:sz w:val="24"/>
          <w:szCs w:val="24"/>
          <w:lang w:eastAsia="zh-CN"/>
        </w:rPr>
        <w:t>55.68km</w:t>
      </w:r>
      <w:r>
        <w:rPr>
          <w:rFonts w:ascii="Times New Roman" w:eastAsia="宋体" w:hAnsi="Times New Roman" w:cs="宋体" w:hint="eastAsia"/>
          <w:color w:val="auto"/>
          <w:sz w:val="24"/>
          <w:szCs w:val="24"/>
          <w:vertAlign w:val="superscript"/>
          <w:lang w:eastAsia="zh-CN"/>
        </w:rPr>
        <w:t>2</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2004</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z w:val="24"/>
          <w:szCs w:val="24"/>
          <w:lang w:eastAsia="zh-CN"/>
        </w:rPr>
        <w:t>9</w:t>
      </w:r>
      <w:r>
        <w:rPr>
          <w:rFonts w:ascii="Times New Roman" w:eastAsia="宋体" w:hAnsi="Times New Roman" w:cs="宋体" w:hint="eastAsia"/>
          <w:color w:val="auto"/>
          <w:sz w:val="24"/>
          <w:szCs w:val="24"/>
          <w:lang w:eastAsia="zh-CN"/>
        </w:rPr>
        <w:t>月，原国家海洋局《关于三亚珊瑚礁国家级自然保护区保护与发展规划的批复》（国海环字〔</w:t>
      </w:r>
      <w:r>
        <w:rPr>
          <w:rFonts w:ascii="Times New Roman" w:eastAsia="宋体" w:hAnsi="Times New Roman" w:cs="宋体" w:hint="eastAsia"/>
          <w:color w:val="auto"/>
          <w:sz w:val="24"/>
          <w:szCs w:val="24"/>
          <w:lang w:eastAsia="zh-CN"/>
        </w:rPr>
        <w:t>2004</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405</w:t>
      </w:r>
      <w:r>
        <w:rPr>
          <w:rFonts w:ascii="Times New Roman" w:eastAsia="宋体" w:hAnsi="Times New Roman" w:cs="宋体" w:hint="eastAsia"/>
          <w:color w:val="auto"/>
          <w:sz w:val="24"/>
          <w:szCs w:val="24"/>
          <w:lang w:eastAsia="zh-CN"/>
        </w:rPr>
        <w:t>号）同意《三亚珊瑚礁国家级自然保护区保护与发展规划》（东、西瑁洲岛和鹿回头半岛—榆林角片区）与已批准的“亚龙湾区保护与发展示范区规划”一起作为三亚珊瑚礁自然保护区的总体规划。</w:t>
      </w:r>
    </w:p>
    <w:p w14:paraId="7AC95D8E" w14:textId="77777777" w:rsidR="0075791A" w:rsidRDefault="00FB2864">
      <w:pPr>
        <w:pStyle w:val="TableText"/>
        <w:jc w:val="center"/>
        <w:rPr>
          <w:color w:val="auto"/>
        </w:rPr>
      </w:pPr>
      <w:r>
        <w:rPr>
          <w:noProof/>
          <w:color w:val="auto"/>
        </w:rPr>
        <w:drawing>
          <wp:inline distT="0" distB="0" distL="114300" distR="114300" wp14:anchorId="5396C716" wp14:editId="5A607254">
            <wp:extent cx="4679950" cy="2912745"/>
            <wp:effectExtent l="0" t="0" r="13970" b="13335"/>
            <wp:docPr id="339"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111"/>
                    <pic:cNvPicPr>
                      <a:picLocks noChangeAspect="1"/>
                    </pic:cNvPicPr>
                  </pic:nvPicPr>
                  <pic:blipFill>
                    <a:blip r:embed="rId83"/>
                    <a:stretch>
                      <a:fillRect/>
                    </a:stretch>
                  </pic:blipFill>
                  <pic:spPr>
                    <a:xfrm>
                      <a:off x="0" y="0"/>
                      <a:ext cx="4679950" cy="2912745"/>
                    </a:xfrm>
                    <a:prstGeom prst="rect">
                      <a:avLst/>
                    </a:prstGeom>
                    <a:noFill/>
                    <a:ln>
                      <a:noFill/>
                    </a:ln>
                  </pic:spPr>
                </pic:pic>
              </a:graphicData>
            </a:graphic>
          </wp:inline>
        </w:drawing>
      </w:r>
    </w:p>
    <w:p w14:paraId="1A17028E"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color w:val="auto"/>
          <w:spacing w:val="-4"/>
          <w:sz w:val="24"/>
          <w:szCs w:val="24"/>
          <w:lang w:eastAsia="zh-CN"/>
        </w:rPr>
        <w:t>图</w:t>
      </w:r>
      <w:r>
        <w:rPr>
          <w:rFonts w:ascii="Times New Roman" w:eastAsia="宋体" w:hAnsi="Times New Roman" w:cs="宋体" w:hint="eastAsia"/>
          <w:color w:val="auto"/>
          <w:spacing w:val="-4"/>
          <w:sz w:val="24"/>
          <w:szCs w:val="24"/>
          <w:lang w:eastAsia="zh-CN"/>
        </w:rPr>
        <w:t>3.2.7-20</w:t>
      </w:r>
      <w:r>
        <w:rPr>
          <w:rFonts w:ascii="Times New Roman" w:eastAsia="宋体" w:hAnsi="Times New Roman" w:cs="宋体"/>
          <w:color w:val="auto"/>
          <w:spacing w:val="-4"/>
          <w:sz w:val="24"/>
          <w:szCs w:val="24"/>
          <w:lang w:eastAsia="zh-CN"/>
        </w:rPr>
        <w:t>三亚珊瑚礁国家级自然保护区位置示意图</w:t>
      </w:r>
    </w:p>
    <w:p w14:paraId="7FC9BFB3" w14:textId="77777777" w:rsidR="0075791A" w:rsidRDefault="00FB2864">
      <w:pPr>
        <w:pStyle w:val="TableText"/>
        <w:jc w:val="center"/>
        <w:rPr>
          <w:color w:val="auto"/>
          <w:lang w:eastAsia="zh-CN"/>
        </w:rPr>
      </w:pPr>
      <w:r>
        <w:rPr>
          <w:noProof/>
          <w:color w:val="auto"/>
        </w:rPr>
        <w:lastRenderedPageBreak/>
        <w:drawing>
          <wp:inline distT="0" distB="0" distL="114300" distR="114300" wp14:anchorId="410EEA77" wp14:editId="7445AAEC">
            <wp:extent cx="4679950" cy="3023870"/>
            <wp:effectExtent l="0" t="0" r="13970" b="8890"/>
            <wp:docPr id="341"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112"/>
                    <pic:cNvPicPr>
                      <a:picLocks noChangeAspect="1"/>
                    </pic:cNvPicPr>
                  </pic:nvPicPr>
                  <pic:blipFill>
                    <a:blip r:embed="rId84"/>
                    <a:stretch>
                      <a:fillRect/>
                    </a:stretch>
                  </pic:blipFill>
                  <pic:spPr>
                    <a:xfrm>
                      <a:off x="0" y="0"/>
                      <a:ext cx="4679950" cy="3023870"/>
                    </a:xfrm>
                    <a:prstGeom prst="rect">
                      <a:avLst/>
                    </a:prstGeom>
                    <a:noFill/>
                    <a:ln>
                      <a:noFill/>
                    </a:ln>
                  </pic:spPr>
                </pic:pic>
              </a:graphicData>
            </a:graphic>
          </wp:inline>
        </w:drawing>
      </w:r>
    </w:p>
    <w:p w14:paraId="79CC261E" w14:textId="77777777" w:rsidR="0075791A" w:rsidRDefault="00FB2864">
      <w:pPr>
        <w:pStyle w:val="TableText"/>
        <w:jc w:val="center"/>
        <w:rPr>
          <w:color w:val="auto"/>
          <w:lang w:eastAsia="zh-CN"/>
        </w:rPr>
      </w:pPr>
      <w:r>
        <w:rPr>
          <w:color w:val="auto"/>
          <w:lang w:eastAsia="zh-CN"/>
        </w:rPr>
        <w:t>图</w:t>
      </w:r>
      <w:r>
        <w:rPr>
          <w:rFonts w:hint="eastAsia"/>
          <w:color w:val="auto"/>
          <w:lang w:eastAsia="zh-CN"/>
        </w:rPr>
        <w:t>3.2.7-</w:t>
      </w:r>
      <w:r>
        <w:rPr>
          <w:rFonts w:hint="eastAsia"/>
          <w:color w:val="auto"/>
          <w:lang w:eastAsia="zh-CN"/>
        </w:rPr>
        <w:t>21</w:t>
      </w:r>
      <w:r>
        <w:rPr>
          <w:rFonts w:hint="eastAsia"/>
          <w:color w:val="auto"/>
          <w:lang w:eastAsia="zh-CN"/>
        </w:rPr>
        <w:t xml:space="preserve"> </w:t>
      </w:r>
      <w:r>
        <w:rPr>
          <w:rFonts w:hint="eastAsia"/>
          <w:color w:val="auto"/>
          <w:lang w:eastAsia="zh-CN"/>
        </w:rPr>
        <w:t>三亚珊瑚礁国家级自然保护区</w:t>
      </w:r>
      <w:r>
        <w:rPr>
          <w:rFonts w:hint="eastAsia"/>
          <w:color w:val="auto"/>
          <w:lang w:eastAsia="zh-CN"/>
        </w:rPr>
        <w:t>-</w:t>
      </w:r>
      <w:r>
        <w:rPr>
          <w:rFonts w:hint="eastAsia"/>
          <w:color w:val="auto"/>
          <w:lang w:eastAsia="zh-CN"/>
        </w:rPr>
        <w:t>亚龙湾片区</w:t>
      </w:r>
    </w:p>
    <w:p w14:paraId="27DF42EA" w14:textId="77777777" w:rsidR="0075791A" w:rsidRDefault="0075791A">
      <w:pPr>
        <w:pStyle w:val="TableText"/>
        <w:spacing w:line="360" w:lineRule="auto"/>
        <w:ind w:firstLineChars="200" w:firstLine="480"/>
        <w:jc w:val="center"/>
        <w:rPr>
          <w:rFonts w:ascii="Times New Roman" w:hAnsi="Times New Roman"/>
          <w:color w:val="auto"/>
          <w:lang w:eastAsia="zh-CN"/>
        </w:rPr>
      </w:pPr>
    </w:p>
    <w:p w14:paraId="3B16C1C8" w14:textId="77777777" w:rsidR="0075791A" w:rsidRDefault="00FB2864">
      <w:pPr>
        <w:spacing w:before="34" w:line="360" w:lineRule="auto"/>
        <w:ind w:left="5"/>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3.2.7.5</w:t>
      </w:r>
      <w:r>
        <w:rPr>
          <w:rFonts w:ascii="Times New Roman" w:eastAsia="宋体" w:hAnsi="Times New Roman" w:hint="eastAsia"/>
          <w:b/>
          <w:color w:val="auto"/>
          <w:sz w:val="24"/>
          <w:szCs w:val="24"/>
          <w:lang w:eastAsia="zh-CN"/>
        </w:rPr>
        <w:t>重要渔业水域</w:t>
      </w:r>
    </w:p>
    <w:p w14:paraId="7314E707"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color w:val="auto"/>
          <w:spacing w:val="-2"/>
          <w:lang w:eastAsia="zh-CN"/>
        </w:rPr>
        <w:t>根据农业部公告第</w:t>
      </w:r>
      <w:r>
        <w:rPr>
          <w:rFonts w:ascii="Times New Roman" w:hAnsi="Times New Roman"/>
          <w:color w:val="auto"/>
          <w:spacing w:val="-2"/>
          <w:lang w:eastAsia="zh-CN"/>
        </w:rPr>
        <w:t>189</w:t>
      </w:r>
      <w:r>
        <w:rPr>
          <w:rFonts w:ascii="Times New Roman" w:hAnsi="Times New Roman"/>
          <w:color w:val="auto"/>
          <w:spacing w:val="-2"/>
          <w:lang w:eastAsia="zh-CN"/>
        </w:rPr>
        <w:t>号《中国海洋渔业水域图》（第一批），项目所在的南海渔业水域主要分布有南海中上层鱼类产卵场、南海底层、近底层鱼类产卵场和幼鱼繁育场保护区，以及海南岛东南部重要渔业资源产卵场。</w:t>
      </w:r>
    </w:p>
    <w:p w14:paraId="03EFDB6D" w14:textId="77777777" w:rsidR="0075791A" w:rsidRDefault="00FB2864">
      <w:pPr>
        <w:pStyle w:val="TableText"/>
        <w:spacing w:line="360" w:lineRule="auto"/>
        <w:ind w:firstLineChars="200" w:firstLine="478"/>
        <w:jc w:val="both"/>
        <w:rPr>
          <w:rFonts w:ascii="Times New Roman" w:hAnsi="Times New Roman"/>
          <w:b/>
          <w:bCs/>
          <w:color w:val="auto"/>
          <w:spacing w:val="-2"/>
          <w:lang w:eastAsia="zh-CN"/>
        </w:rPr>
      </w:pPr>
      <w:r>
        <w:rPr>
          <w:rFonts w:ascii="Times New Roman" w:hAnsi="Times New Roman" w:hint="eastAsia"/>
          <w:b/>
          <w:bCs/>
          <w:color w:val="auto"/>
          <w:spacing w:val="-2"/>
          <w:lang w:eastAsia="zh-CN"/>
        </w:rPr>
        <w:t>1.</w:t>
      </w:r>
      <w:r>
        <w:rPr>
          <w:rFonts w:ascii="Times New Roman" w:hAnsi="Times New Roman"/>
          <w:b/>
          <w:bCs/>
          <w:color w:val="auto"/>
          <w:spacing w:val="-2"/>
          <w:lang w:eastAsia="zh-CN"/>
        </w:rPr>
        <w:t>经济鱼类产卵场</w:t>
      </w:r>
    </w:p>
    <w:p w14:paraId="23C19D05" w14:textId="77777777" w:rsidR="0075791A" w:rsidRDefault="00FB2864">
      <w:pPr>
        <w:pStyle w:val="TableText"/>
        <w:spacing w:line="360" w:lineRule="auto"/>
        <w:ind w:firstLineChars="200" w:firstLine="478"/>
        <w:jc w:val="both"/>
        <w:rPr>
          <w:rFonts w:ascii="Times New Roman" w:hAnsi="Times New Roman"/>
          <w:b/>
          <w:bCs/>
          <w:color w:val="auto"/>
          <w:spacing w:val="-2"/>
          <w:lang w:eastAsia="zh-CN"/>
        </w:rPr>
      </w:pPr>
      <w:r>
        <w:rPr>
          <w:rFonts w:ascii="Times New Roman" w:hAnsi="Times New Roman" w:hint="eastAsia"/>
          <w:b/>
          <w:bCs/>
          <w:color w:val="auto"/>
          <w:spacing w:val="-2"/>
          <w:lang w:eastAsia="zh-CN"/>
        </w:rPr>
        <w:t>（</w:t>
      </w:r>
      <w:r>
        <w:rPr>
          <w:rFonts w:ascii="Times New Roman" w:hAnsi="Times New Roman" w:hint="eastAsia"/>
          <w:b/>
          <w:bCs/>
          <w:color w:val="auto"/>
          <w:spacing w:val="-2"/>
          <w:lang w:eastAsia="zh-CN"/>
        </w:rPr>
        <w:t>1</w:t>
      </w:r>
      <w:r>
        <w:rPr>
          <w:rFonts w:ascii="Times New Roman" w:hAnsi="Times New Roman" w:hint="eastAsia"/>
          <w:b/>
          <w:bCs/>
          <w:color w:val="auto"/>
          <w:spacing w:val="-2"/>
          <w:lang w:eastAsia="zh-CN"/>
        </w:rPr>
        <w:t>）</w:t>
      </w:r>
      <w:r>
        <w:rPr>
          <w:rFonts w:ascii="Times New Roman" w:hAnsi="Times New Roman"/>
          <w:b/>
          <w:bCs/>
          <w:color w:val="auto"/>
          <w:spacing w:val="-2"/>
          <w:lang w:eastAsia="zh-CN"/>
        </w:rPr>
        <w:t>中上层鱼类产卵场</w:t>
      </w:r>
    </w:p>
    <w:p w14:paraId="55B19A0A"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color w:val="auto"/>
          <w:spacing w:val="-2"/>
          <w:lang w:eastAsia="zh-CN"/>
        </w:rPr>
        <w:t>项目附近的中上层产卵场主要为蓝圆鲹粤西外海区产卵场（东经</w:t>
      </w:r>
      <w:r>
        <w:rPr>
          <w:rFonts w:ascii="Times New Roman" w:hAnsi="Times New Roman"/>
          <w:color w:val="auto"/>
          <w:spacing w:val="-2"/>
          <w:lang w:eastAsia="zh-CN"/>
        </w:rPr>
        <w:t>110°30′</w:t>
      </w:r>
      <w:r>
        <w:rPr>
          <w:rFonts w:ascii="Times New Roman" w:hAnsi="Times New Roman"/>
          <w:color w:val="auto"/>
          <w:spacing w:val="-2"/>
          <w:lang w:eastAsia="zh-CN"/>
        </w:rPr>
        <w:t>～</w:t>
      </w:r>
      <w:r>
        <w:rPr>
          <w:rFonts w:ascii="Times New Roman" w:hAnsi="Times New Roman"/>
          <w:color w:val="auto"/>
          <w:spacing w:val="-2"/>
          <w:lang w:eastAsia="zh-CN"/>
        </w:rPr>
        <w:t>112°40′</w:t>
      </w:r>
      <w:r>
        <w:rPr>
          <w:rFonts w:ascii="Times New Roman" w:hAnsi="Times New Roman"/>
          <w:color w:val="auto"/>
          <w:spacing w:val="-2"/>
          <w:lang w:eastAsia="zh-CN"/>
        </w:rPr>
        <w:t>，北纬</w:t>
      </w:r>
      <w:r>
        <w:rPr>
          <w:rFonts w:ascii="Times New Roman" w:hAnsi="Times New Roman"/>
          <w:color w:val="auto"/>
          <w:spacing w:val="-2"/>
          <w:lang w:eastAsia="zh-CN"/>
        </w:rPr>
        <w:t>18°15′</w:t>
      </w:r>
      <w:r>
        <w:rPr>
          <w:rFonts w:ascii="Times New Roman" w:hAnsi="Times New Roman"/>
          <w:color w:val="auto"/>
          <w:spacing w:val="-2"/>
          <w:lang w:eastAsia="zh-CN"/>
        </w:rPr>
        <w:t>～</w:t>
      </w:r>
      <w:r>
        <w:rPr>
          <w:rFonts w:ascii="Times New Roman" w:hAnsi="Times New Roman"/>
          <w:color w:val="auto"/>
          <w:spacing w:val="-2"/>
          <w:lang w:eastAsia="zh-CN"/>
        </w:rPr>
        <w:t>20°05′</w:t>
      </w:r>
      <w:r>
        <w:rPr>
          <w:rFonts w:ascii="Times New Roman" w:hAnsi="Times New Roman"/>
          <w:color w:val="auto"/>
          <w:spacing w:val="-2"/>
          <w:lang w:eastAsia="zh-CN"/>
        </w:rPr>
        <w:t>），水深约为</w:t>
      </w:r>
      <w:r>
        <w:rPr>
          <w:rFonts w:ascii="Times New Roman" w:hAnsi="Times New Roman"/>
          <w:color w:val="auto"/>
          <w:spacing w:val="-2"/>
          <w:lang w:eastAsia="zh-CN"/>
        </w:rPr>
        <w:t>70</w:t>
      </w:r>
      <w:r>
        <w:rPr>
          <w:rFonts w:ascii="Times New Roman" w:hAnsi="Times New Roman"/>
          <w:color w:val="auto"/>
          <w:spacing w:val="-2"/>
          <w:lang w:eastAsia="zh-CN"/>
        </w:rPr>
        <w:t>～</w:t>
      </w:r>
      <w:r>
        <w:rPr>
          <w:rFonts w:ascii="Times New Roman" w:hAnsi="Times New Roman"/>
          <w:color w:val="auto"/>
          <w:spacing w:val="-2"/>
          <w:lang w:eastAsia="zh-CN"/>
        </w:rPr>
        <w:t>180m</w:t>
      </w:r>
      <w:r>
        <w:rPr>
          <w:rFonts w:ascii="Times New Roman" w:hAnsi="Times New Roman"/>
          <w:color w:val="auto"/>
          <w:spacing w:val="-2"/>
          <w:lang w:eastAsia="zh-CN"/>
        </w:rPr>
        <w:t>，产卵期</w:t>
      </w:r>
      <w:r>
        <w:rPr>
          <w:rFonts w:ascii="Times New Roman" w:hAnsi="Times New Roman"/>
          <w:color w:val="auto"/>
          <w:spacing w:val="-2"/>
          <w:lang w:eastAsia="zh-CN"/>
        </w:rPr>
        <w:t>4</w:t>
      </w:r>
      <w:r>
        <w:rPr>
          <w:rFonts w:ascii="Times New Roman" w:hAnsi="Times New Roman"/>
          <w:color w:val="auto"/>
          <w:spacing w:val="-2"/>
          <w:lang w:eastAsia="zh-CN"/>
        </w:rPr>
        <w:t>～</w:t>
      </w:r>
      <w:r>
        <w:rPr>
          <w:rFonts w:ascii="Times New Roman" w:hAnsi="Times New Roman"/>
          <w:color w:val="auto"/>
          <w:spacing w:val="-2"/>
          <w:lang w:eastAsia="zh-CN"/>
        </w:rPr>
        <w:t>6</w:t>
      </w:r>
      <w:r>
        <w:rPr>
          <w:rFonts w:ascii="Times New Roman" w:hAnsi="Times New Roman"/>
          <w:color w:val="auto"/>
          <w:spacing w:val="-2"/>
          <w:lang w:eastAsia="zh-CN"/>
        </w:rPr>
        <w:t>月。该产卵场位于项目东北</w:t>
      </w:r>
      <w:r>
        <w:rPr>
          <w:rFonts w:ascii="Times New Roman" w:hAnsi="Times New Roman" w:hint="eastAsia"/>
          <w:color w:val="auto"/>
          <w:spacing w:val="-2"/>
          <w:lang w:eastAsia="zh-CN"/>
        </w:rPr>
        <w:t>部</w:t>
      </w:r>
      <w:r>
        <w:rPr>
          <w:rFonts w:ascii="Times New Roman" w:hAnsi="Times New Roman"/>
          <w:color w:val="auto"/>
          <w:spacing w:val="-2"/>
          <w:lang w:eastAsia="zh-CN"/>
        </w:rPr>
        <w:t>，与本项目距离约</w:t>
      </w:r>
      <w:r>
        <w:rPr>
          <w:rFonts w:ascii="Times New Roman" w:hAnsi="Times New Roman" w:hint="eastAsia"/>
          <w:color w:val="auto"/>
          <w:spacing w:val="-2"/>
          <w:lang w:eastAsia="zh-CN"/>
        </w:rPr>
        <w:t>90</w:t>
      </w:r>
      <w:r>
        <w:rPr>
          <w:rFonts w:ascii="Times New Roman" w:hAnsi="Times New Roman"/>
          <w:color w:val="auto"/>
          <w:spacing w:val="-2"/>
          <w:lang w:eastAsia="zh-CN"/>
        </w:rPr>
        <w:t>km</w:t>
      </w:r>
      <w:r>
        <w:rPr>
          <w:rFonts w:ascii="Times New Roman" w:hAnsi="Times New Roman"/>
          <w:color w:val="auto"/>
          <w:spacing w:val="-2"/>
          <w:lang w:eastAsia="zh-CN"/>
        </w:rPr>
        <w:t>。</w:t>
      </w:r>
    </w:p>
    <w:p w14:paraId="196F4794" w14:textId="77777777" w:rsidR="0075791A" w:rsidRDefault="0075791A">
      <w:pPr>
        <w:jc w:val="center"/>
        <w:rPr>
          <w:rFonts w:ascii="Times New Roman" w:eastAsia="宋体" w:hAnsi="Times New Roman" w:cs="宋体"/>
          <w:color w:val="auto"/>
          <w:spacing w:val="-4"/>
          <w:sz w:val="24"/>
          <w:szCs w:val="24"/>
          <w:lang w:eastAsia="zh-CN"/>
        </w:rPr>
      </w:pPr>
    </w:p>
    <w:p w14:paraId="5D19B95A"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3.2.7-22</w:t>
      </w:r>
      <w:r>
        <w:rPr>
          <w:rFonts w:ascii="Times New Roman" w:eastAsia="宋体" w:hAnsi="Times New Roman" w:cs="宋体" w:hint="eastAsia"/>
          <w:color w:val="auto"/>
          <w:spacing w:val="-4"/>
          <w:sz w:val="24"/>
          <w:szCs w:val="24"/>
          <w:lang w:eastAsia="zh-CN"/>
        </w:rPr>
        <w:t>南海中上层鱼类产卵场示意图</w:t>
      </w:r>
    </w:p>
    <w:p w14:paraId="3EE8A190" w14:textId="77777777" w:rsidR="0075791A" w:rsidRDefault="00FB2864">
      <w:pPr>
        <w:pStyle w:val="TableText"/>
        <w:spacing w:line="360" w:lineRule="auto"/>
        <w:ind w:firstLineChars="200" w:firstLine="478"/>
        <w:jc w:val="both"/>
        <w:rPr>
          <w:rFonts w:ascii="Times New Roman" w:hAnsi="Times New Roman"/>
          <w:b/>
          <w:bCs/>
          <w:color w:val="auto"/>
          <w:spacing w:val="-2"/>
          <w:lang w:eastAsia="zh-CN"/>
        </w:rPr>
      </w:pPr>
      <w:r>
        <w:rPr>
          <w:rFonts w:ascii="Times New Roman" w:hAnsi="Times New Roman" w:hint="eastAsia"/>
          <w:b/>
          <w:bCs/>
          <w:color w:val="auto"/>
          <w:spacing w:val="-2"/>
          <w:lang w:eastAsia="zh-CN"/>
        </w:rPr>
        <w:t>（</w:t>
      </w:r>
      <w:r>
        <w:rPr>
          <w:rFonts w:ascii="Times New Roman" w:hAnsi="Times New Roman" w:hint="eastAsia"/>
          <w:b/>
          <w:bCs/>
          <w:color w:val="auto"/>
          <w:spacing w:val="-2"/>
          <w:lang w:eastAsia="zh-CN"/>
        </w:rPr>
        <w:t>2</w:t>
      </w:r>
      <w:r>
        <w:rPr>
          <w:rFonts w:ascii="Times New Roman" w:hAnsi="Times New Roman" w:hint="eastAsia"/>
          <w:b/>
          <w:bCs/>
          <w:color w:val="auto"/>
          <w:spacing w:val="-2"/>
          <w:lang w:eastAsia="zh-CN"/>
        </w:rPr>
        <w:t>）底层、</w:t>
      </w:r>
      <w:r>
        <w:rPr>
          <w:rFonts w:ascii="Times New Roman" w:hAnsi="Times New Roman" w:hint="eastAsia"/>
          <w:b/>
          <w:bCs/>
          <w:color w:val="auto"/>
          <w:spacing w:val="-2"/>
          <w:lang w:eastAsia="zh-CN"/>
        </w:rPr>
        <w:t>近底层鱼类产卵场</w:t>
      </w:r>
    </w:p>
    <w:p w14:paraId="7D8AF26B"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color w:val="auto"/>
          <w:spacing w:val="-2"/>
          <w:lang w:eastAsia="zh-CN"/>
        </w:rPr>
        <w:t>南海底层、近底层鱼类产卵场主要包括金线鱼、深水金线鱼、二长棘鲷、红笛鲷、绯鲤类、短尾鳍大眼鲷、长尾大眼鲷、脂眼鲱和黄鲷产卵场。与本项目距离较近的底层、近底层鱼类产卵场主要有：（</w:t>
      </w:r>
      <w:r>
        <w:rPr>
          <w:rFonts w:ascii="Times New Roman" w:hAnsi="Times New Roman"/>
          <w:color w:val="auto"/>
          <w:spacing w:val="-2"/>
          <w:lang w:eastAsia="zh-CN"/>
        </w:rPr>
        <w:t>1</w:t>
      </w:r>
      <w:r>
        <w:rPr>
          <w:rFonts w:ascii="Times New Roman" w:hAnsi="Times New Roman"/>
          <w:color w:val="auto"/>
          <w:spacing w:val="-2"/>
          <w:lang w:eastAsia="zh-CN"/>
        </w:rPr>
        <w:t>）金线鱼南海北部产卵场；分布范围较广，由海南岛东岸一直延伸到汕尾附近（东经</w:t>
      </w:r>
      <w:r>
        <w:rPr>
          <w:rFonts w:ascii="Times New Roman" w:hAnsi="Times New Roman"/>
          <w:color w:val="auto"/>
          <w:spacing w:val="-2"/>
          <w:lang w:eastAsia="zh-CN"/>
        </w:rPr>
        <w:t>111°45′~115°45′</w:t>
      </w:r>
      <w:r>
        <w:rPr>
          <w:rFonts w:ascii="Times New Roman" w:hAnsi="Times New Roman"/>
          <w:color w:val="auto"/>
          <w:spacing w:val="-2"/>
          <w:lang w:eastAsia="zh-CN"/>
        </w:rPr>
        <w:t>），水深</w:t>
      </w:r>
      <w:r>
        <w:rPr>
          <w:rFonts w:ascii="Times New Roman" w:hAnsi="Times New Roman"/>
          <w:color w:val="auto"/>
          <w:spacing w:val="-2"/>
          <w:lang w:eastAsia="zh-CN"/>
        </w:rPr>
        <w:t>25~107m</w:t>
      </w:r>
      <w:r>
        <w:rPr>
          <w:rFonts w:ascii="Times New Roman" w:hAnsi="Times New Roman"/>
          <w:color w:val="auto"/>
          <w:spacing w:val="-2"/>
          <w:lang w:eastAsia="zh-CN"/>
        </w:rPr>
        <w:t>，主要是</w:t>
      </w:r>
      <w:r>
        <w:rPr>
          <w:rFonts w:ascii="Times New Roman" w:hAnsi="Times New Roman"/>
          <w:color w:val="auto"/>
          <w:spacing w:val="-2"/>
          <w:lang w:eastAsia="zh-CN"/>
        </w:rPr>
        <w:t>40~80m</w:t>
      </w:r>
      <w:r>
        <w:rPr>
          <w:rFonts w:ascii="Times New Roman" w:hAnsi="Times New Roman"/>
          <w:color w:val="auto"/>
          <w:spacing w:val="-2"/>
          <w:lang w:eastAsia="zh-CN"/>
        </w:rPr>
        <w:t>，产卵期</w:t>
      </w:r>
      <w:r>
        <w:rPr>
          <w:rFonts w:ascii="Times New Roman" w:hAnsi="Times New Roman"/>
          <w:color w:val="auto"/>
          <w:spacing w:val="-2"/>
          <w:lang w:eastAsia="zh-CN"/>
        </w:rPr>
        <w:t>3~8</w:t>
      </w:r>
      <w:r>
        <w:rPr>
          <w:rFonts w:ascii="Times New Roman" w:hAnsi="Times New Roman"/>
          <w:color w:val="auto"/>
          <w:spacing w:val="-2"/>
          <w:lang w:eastAsia="zh-CN"/>
        </w:rPr>
        <w:t>月。该产卵场位于项目东北侧，与本项目距离约</w:t>
      </w:r>
      <w:r>
        <w:rPr>
          <w:rFonts w:ascii="Times New Roman" w:hAnsi="Times New Roman"/>
          <w:color w:val="auto"/>
          <w:spacing w:val="-2"/>
          <w:lang w:eastAsia="zh-CN"/>
        </w:rPr>
        <w:t>2</w:t>
      </w:r>
      <w:r>
        <w:rPr>
          <w:rFonts w:ascii="Times New Roman" w:hAnsi="Times New Roman" w:hint="eastAsia"/>
          <w:color w:val="auto"/>
          <w:spacing w:val="-2"/>
          <w:lang w:eastAsia="zh-CN"/>
        </w:rPr>
        <w:t>15</w:t>
      </w:r>
      <w:r>
        <w:rPr>
          <w:rFonts w:ascii="Times New Roman" w:hAnsi="Times New Roman"/>
          <w:color w:val="auto"/>
          <w:spacing w:val="-2"/>
          <w:lang w:eastAsia="zh-CN"/>
        </w:rPr>
        <w:t>km</w:t>
      </w:r>
      <w:r>
        <w:rPr>
          <w:rFonts w:ascii="Times New Roman" w:hAnsi="Times New Roman"/>
          <w:color w:val="auto"/>
          <w:spacing w:val="-2"/>
          <w:lang w:eastAsia="zh-CN"/>
        </w:rPr>
        <w:t>。（</w:t>
      </w:r>
      <w:r>
        <w:rPr>
          <w:rFonts w:ascii="Times New Roman" w:hAnsi="Times New Roman"/>
          <w:color w:val="auto"/>
          <w:spacing w:val="-2"/>
          <w:lang w:eastAsia="zh-CN"/>
        </w:rPr>
        <w:t>2</w:t>
      </w:r>
      <w:r>
        <w:rPr>
          <w:rFonts w:ascii="Times New Roman" w:hAnsi="Times New Roman"/>
          <w:color w:val="auto"/>
          <w:spacing w:val="-2"/>
          <w:lang w:eastAsia="zh-CN"/>
        </w:rPr>
        <w:t>）黄鲷产卵场：</w:t>
      </w:r>
      <w:r>
        <w:rPr>
          <w:rFonts w:ascii="Times New Roman" w:hAnsi="Times New Roman"/>
          <w:color w:val="auto"/>
          <w:spacing w:val="-2"/>
          <w:lang w:eastAsia="zh-CN"/>
        </w:rPr>
        <w:t>①</w:t>
      </w:r>
      <w:r>
        <w:rPr>
          <w:rFonts w:ascii="Times New Roman" w:hAnsi="Times New Roman"/>
          <w:color w:val="auto"/>
          <w:spacing w:val="-2"/>
          <w:lang w:eastAsia="zh-CN"/>
        </w:rPr>
        <w:t>南海北部产卵场，在南海分布广而狭，处于外海，沿着</w:t>
      </w:r>
      <w:r>
        <w:rPr>
          <w:rFonts w:ascii="Times New Roman" w:hAnsi="Times New Roman"/>
          <w:color w:val="auto"/>
          <w:spacing w:val="-2"/>
          <w:lang w:eastAsia="zh-CN"/>
        </w:rPr>
        <w:t>90m</w:t>
      </w:r>
      <w:r>
        <w:rPr>
          <w:rFonts w:ascii="Times New Roman" w:hAnsi="Times New Roman"/>
          <w:color w:val="auto"/>
          <w:spacing w:val="-2"/>
          <w:lang w:eastAsia="zh-CN"/>
        </w:rPr>
        <w:t>等深线由海南岛东部向东北延伸</w:t>
      </w:r>
      <w:r>
        <w:rPr>
          <w:rFonts w:ascii="Times New Roman" w:hAnsi="Times New Roman"/>
          <w:color w:val="auto"/>
          <w:spacing w:val="-2"/>
          <w:lang w:eastAsia="zh-CN"/>
        </w:rPr>
        <w:t>至汕尾外海（约东经</w:t>
      </w:r>
      <w:r>
        <w:rPr>
          <w:rFonts w:ascii="Times New Roman" w:hAnsi="Times New Roman"/>
          <w:color w:val="auto"/>
          <w:spacing w:val="-2"/>
          <w:lang w:eastAsia="zh-CN"/>
        </w:rPr>
        <w:t>111°45′~115°45′</w:t>
      </w:r>
      <w:r>
        <w:rPr>
          <w:rFonts w:ascii="Times New Roman" w:hAnsi="Times New Roman"/>
          <w:color w:val="auto"/>
          <w:spacing w:val="-2"/>
          <w:lang w:eastAsia="zh-CN"/>
        </w:rPr>
        <w:t>，水深</w:t>
      </w:r>
      <w:r>
        <w:rPr>
          <w:rFonts w:ascii="Times New Roman" w:hAnsi="Times New Roman"/>
          <w:color w:val="auto"/>
          <w:spacing w:val="-2"/>
          <w:lang w:eastAsia="zh-CN"/>
        </w:rPr>
        <w:t>77~119m</w:t>
      </w:r>
      <w:r>
        <w:rPr>
          <w:rFonts w:ascii="Times New Roman" w:hAnsi="Times New Roman"/>
          <w:color w:val="auto"/>
          <w:spacing w:val="-2"/>
          <w:lang w:eastAsia="zh-CN"/>
        </w:rPr>
        <w:t>），连成一条带状，产卵期为为</w:t>
      </w:r>
      <w:r>
        <w:rPr>
          <w:rFonts w:ascii="Times New Roman" w:hAnsi="Times New Roman"/>
          <w:color w:val="auto"/>
          <w:spacing w:val="-2"/>
          <w:lang w:eastAsia="zh-CN"/>
        </w:rPr>
        <w:t>11</w:t>
      </w:r>
      <w:r>
        <w:rPr>
          <w:rFonts w:ascii="Times New Roman" w:hAnsi="Times New Roman"/>
          <w:color w:val="auto"/>
          <w:spacing w:val="-2"/>
          <w:lang w:eastAsia="zh-CN"/>
        </w:rPr>
        <w:t>月</w:t>
      </w:r>
      <w:r>
        <w:rPr>
          <w:rFonts w:ascii="Times New Roman" w:hAnsi="Times New Roman"/>
          <w:color w:val="auto"/>
          <w:spacing w:val="-2"/>
          <w:lang w:eastAsia="zh-CN"/>
        </w:rPr>
        <w:t>~</w:t>
      </w:r>
      <w:r>
        <w:rPr>
          <w:rFonts w:ascii="Times New Roman" w:hAnsi="Times New Roman"/>
          <w:color w:val="auto"/>
          <w:spacing w:val="-2"/>
          <w:lang w:eastAsia="zh-CN"/>
        </w:rPr>
        <w:t>翌年</w:t>
      </w:r>
      <w:r>
        <w:rPr>
          <w:rFonts w:ascii="Times New Roman" w:hAnsi="Times New Roman"/>
          <w:color w:val="auto"/>
          <w:spacing w:val="-2"/>
          <w:lang w:eastAsia="zh-CN"/>
        </w:rPr>
        <w:t>3</w:t>
      </w:r>
      <w:r>
        <w:rPr>
          <w:rFonts w:ascii="Times New Roman" w:hAnsi="Times New Roman"/>
          <w:color w:val="auto"/>
          <w:spacing w:val="-2"/>
          <w:lang w:eastAsia="zh-CN"/>
        </w:rPr>
        <w:t>月，该产卵场位于项目东北侧，与本项目距离约</w:t>
      </w:r>
      <w:r>
        <w:rPr>
          <w:rFonts w:ascii="Times New Roman" w:hAnsi="Times New Roman"/>
          <w:color w:val="auto"/>
          <w:spacing w:val="-2"/>
          <w:lang w:eastAsia="zh-CN"/>
        </w:rPr>
        <w:t>2</w:t>
      </w:r>
      <w:r>
        <w:rPr>
          <w:rFonts w:ascii="Times New Roman" w:hAnsi="Times New Roman" w:hint="eastAsia"/>
          <w:color w:val="auto"/>
          <w:spacing w:val="-2"/>
          <w:lang w:eastAsia="zh-CN"/>
        </w:rPr>
        <w:t>15</w:t>
      </w:r>
      <w:r>
        <w:rPr>
          <w:rFonts w:ascii="Times New Roman" w:hAnsi="Times New Roman"/>
          <w:color w:val="auto"/>
          <w:spacing w:val="-2"/>
          <w:lang w:eastAsia="zh-CN"/>
        </w:rPr>
        <w:t>km</w:t>
      </w:r>
      <w:r>
        <w:rPr>
          <w:rFonts w:ascii="Times New Roman" w:hAnsi="Times New Roman"/>
          <w:color w:val="auto"/>
          <w:spacing w:val="-2"/>
          <w:lang w:eastAsia="zh-CN"/>
        </w:rPr>
        <w:t>。</w:t>
      </w:r>
      <w:r>
        <w:rPr>
          <w:rFonts w:ascii="Times New Roman" w:hAnsi="Times New Roman"/>
          <w:color w:val="auto"/>
          <w:spacing w:val="-2"/>
          <w:lang w:eastAsia="zh-CN"/>
        </w:rPr>
        <w:t>②</w:t>
      </w:r>
      <w:r>
        <w:rPr>
          <w:rFonts w:ascii="Times New Roman" w:hAnsi="Times New Roman"/>
          <w:color w:val="auto"/>
          <w:spacing w:val="-2"/>
          <w:lang w:eastAsia="zh-CN"/>
        </w:rPr>
        <w:t>海南岛南部产卵</w:t>
      </w:r>
      <w:r>
        <w:rPr>
          <w:rFonts w:ascii="Times New Roman" w:hAnsi="Times New Roman"/>
          <w:color w:val="auto"/>
          <w:spacing w:val="-2"/>
          <w:lang w:eastAsia="zh-CN"/>
        </w:rPr>
        <w:lastRenderedPageBreak/>
        <w:t>场，位于东经</w:t>
      </w:r>
      <w:r>
        <w:rPr>
          <w:rFonts w:ascii="Times New Roman" w:hAnsi="Times New Roman"/>
          <w:color w:val="auto"/>
          <w:spacing w:val="-2"/>
          <w:lang w:eastAsia="zh-CN"/>
        </w:rPr>
        <w:t>108°55′~109°15′</w:t>
      </w:r>
      <w:r>
        <w:rPr>
          <w:rFonts w:ascii="Times New Roman" w:hAnsi="Times New Roman"/>
          <w:color w:val="auto"/>
          <w:spacing w:val="-2"/>
          <w:lang w:eastAsia="zh-CN"/>
        </w:rPr>
        <w:t>，北纬</w:t>
      </w:r>
      <w:r>
        <w:rPr>
          <w:rFonts w:ascii="Times New Roman" w:hAnsi="Times New Roman"/>
          <w:color w:val="auto"/>
          <w:spacing w:val="-2"/>
          <w:lang w:eastAsia="zh-CN"/>
        </w:rPr>
        <w:t>17°15′~17°50′</w:t>
      </w:r>
      <w:r>
        <w:rPr>
          <w:rFonts w:ascii="Times New Roman" w:hAnsi="Times New Roman"/>
          <w:color w:val="auto"/>
          <w:spacing w:val="-2"/>
          <w:lang w:eastAsia="zh-CN"/>
        </w:rPr>
        <w:t>，水深</w:t>
      </w:r>
      <w:r>
        <w:rPr>
          <w:rFonts w:ascii="Times New Roman" w:hAnsi="Times New Roman"/>
          <w:color w:val="auto"/>
          <w:spacing w:val="-2"/>
          <w:lang w:eastAsia="zh-CN"/>
        </w:rPr>
        <w:t>70~120m</w:t>
      </w:r>
      <w:r>
        <w:rPr>
          <w:rFonts w:ascii="Times New Roman" w:hAnsi="Times New Roman"/>
          <w:color w:val="auto"/>
          <w:spacing w:val="-2"/>
          <w:lang w:eastAsia="zh-CN"/>
        </w:rPr>
        <w:t>，产卵期为</w:t>
      </w:r>
      <w:r>
        <w:rPr>
          <w:rFonts w:ascii="Times New Roman" w:hAnsi="Times New Roman"/>
          <w:color w:val="auto"/>
          <w:spacing w:val="-2"/>
          <w:lang w:eastAsia="zh-CN"/>
        </w:rPr>
        <w:t>10</w:t>
      </w:r>
      <w:r>
        <w:rPr>
          <w:rFonts w:ascii="Times New Roman" w:hAnsi="Times New Roman"/>
          <w:color w:val="auto"/>
          <w:spacing w:val="-2"/>
          <w:lang w:eastAsia="zh-CN"/>
        </w:rPr>
        <w:t>月</w:t>
      </w:r>
      <w:r>
        <w:rPr>
          <w:rFonts w:ascii="Times New Roman" w:hAnsi="Times New Roman"/>
          <w:color w:val="auto"/>
          <w:spacing w:val="-2"/>
          <w:lang w:eastAsia="zh-CN"/>
        </w:rPr>
        <w:t>~</w:t>
      </w:r>
      <w:r>
        <w:rPr>
          <w:rFonts w:ascii="Times New Roman" w:hAnsi="Times New Roman"/>
          <w:color w:val="auto"/>
          <w:spacing w:val="-2"/>
          <w:lang w:eastAsia="zh-CN"/>
        </w:rPr>
        <w:t>翌年</w:t>
      </w:r>
      <w:r>
        <w:rPr>
          <w:rFonts w:ascii="Times New Roman" w:hAnsi="Times New Roman"/>
          <w:color w:val="auto"/>
          <w:spacing w:val="-2"/>
          <w:lang w:eastAsia="zh-CN"/>
        </w:rPr>
        <w:t>2</w:t>
      </w:r>
      <w:r>
        <w:rPr>
          <w:rFonts w:ascii="Times New Roman" w:hAnsi="Times New Roman"/>
          <w:color w:val="auto"/>
          <w:spacing w:val="-2"/>
          <w:lang w:eastAsia="zh-CN"/>
        </w:rPr>
        <w:t>月，该产卵场位于项目西南侧，与本项目距离约</w:t>
      </w:r>
      <w:r>
        <w:rPr>
          <w:rFonts w:ascii="Times New Roman" w:hAnsi="Times New Roman" w:hint="eastAsia"/>
          <w:color w:val="auto"/>
          <w:spacing w:val="-2"/>
          <w:lang w:eastAsia="zh-CN"/>
        </w:rPr>
        <w:t>60</w:t>
      </w:r>
      <w:r>
        <w:rPr>
          <w:rFonts w:ascii="Times New Roman" w:hAnsi="Times New Roman"/>
          <w:color w:val="auto"/>
          <w:spacing w:val="-2"/>
          <w:lang w:eastAsia="zh-CN"/>
        </w:rPr>
        <w:t>km</w:t>
      </w:r>
      <w:r>
        <w:rPr>
          <w:rFonts w:ascii="Times New Roman" w:hAnsi="Times New Roman"/>
          <w:color w:val="auto"/>
          <w:spacing w:val="-2"/>
          <w:lang w:eastAsia="zh-CN"/>
        </w:rPr>
        <w:t>。（</w:t>
      </w:r>
      <w:r>
        <w:rPr>
          <w:rFonts w:ascii="Times New Roman" w:hAnsi="Times New Roman"/>
          <w:color w:val="auto"/>
          <w:spacing w:val="-2"/>
          <w:lang w:eastAsia="zh-CN"/>
        </w:rPr>
        <w:t>3</w:t>
      </w:r>
      <w:r>
        <w:rPr>
          <w:rFonts w:ascii="Times New Roman" w:hAnsi="Times New Roman"/>
          <w:color w:val="auto"/>
          <w:spacing w:val="-2"/>
          <w:lang w:eastAsia="zh-CN"/>
        </w:rPr>
        <w:t>）深水金线鱼产卵场：在南海北部的分布范围很广，从海南岛东岸东经</w:t>
      </w:r>
      <w:r>
        <w:rPr>
          <w:rFonts w:ascii="Times New Roman" w:hAnsi="Times New Roman"/>
          <w:color w:val="auto"/>
          <w:spacing w:val="-2"/>
          <w:lang w:eastAsia="zh-CN"/>
        </w:rPr>
        <w:t>110°30′</w:t>
      </w:r>
      <w:r>
        <w:rPr>
          <w:rFonts w:ascii="Times New Roman" w:hAnsi="Times New Roman"/>
          <w:color w:val="auto"/>
          <w:spacing w:val="-2"/>
          <w:lang w:eastAsia="zh-CN"/>
        </w:rPr>
        <w:t>以东一直延伸到东经</w:t>
      </w:r>
      <w:r>
        <w:rPr>
          <w:rFonts w:ascii="Times New Roman" w:hAnsi="Times New Roman"/>
          <w:color w:val="auto"/>
          <w:spacing w:val="-2"/>
          <w:lang w:eastAsia="zh-CN"/>
        </w:rPr>
        <w:t>177°00′</w:t>
      </w:r>
      <w:r>
        <w:rPr>
          <w:rFonts w:ascii="Times New Roman" w:hAnsi="Times New Roman"/>
          <w:color w:val="auto"/>
          <w:spacing w:val="-2"/>
          <w:lang w:eastAsia="zh-CN"/>
        </w:rPr>
        <w:t>水深</w:t>
      </w:r>
      <w:r>
        <w:rPr>
          <w:rFonts w:ascii="Times New Roman" w:hAnsi="Times New Roman"/>
          <w:color w:val="auto"/>
          <w:spacing w:val="-2"/>
          <w:lang w:eastAsia="zh-CN"/>
        </w:rPr>
        <w:t>90~200m</w:t>
      </w:r>
      <w:r>
        <w:rPr>
          <w:rFonts w:ascii="Times New Roman" w:hAnsi="Times New Roman"/>
          <w:color w:val="auto"/>
          <w:spacing w:val="-2"/>
          <w:lang w:eastAsia="zh-CN"/>
        </w:rPr>
        <w:t>范围内均有分布，主要产卵场</w:t>
      </w:r>
      <w:r>
        <w:rPr>
          <w:rFonts w:ascii="Times New Roman" w:hAnsi="Times New Roman"/>
          <w:color w:val="auto"/>
          <w:spacing w:val="-2"/>
          <w:lang w:eastAsia="zh-CN"/>
        </w:rPr>
        <w:t>3~9</w:t>
      </w:r>
      <w:r>
        <w:rPr>
          <w:rFonts w:ascii="Times New Roman" w:hAnsi="Times New Roman"/>
          <w:color w:val="auto"/>
          <w:spacing w:val="-2"/>
          <w:lang w:eastAsia="zh-CN"/>
        </w:rPr>
        <w:t>月。该产卵场位于项目东北侧，与本项目距离约</w:t>
      </w:r>
      <w:r>
        <w:rPr>
          <w:rFonts w:ascii="Times New Roman" w:hAnsi="Times New Roman" w:hint="eastAsia"/>
          <w:color w:val="auto"/>
          <w:spacing w:val="-2"/>
          <w:lang w:eastAsia="zh-CN"/>
        </w:rPr>
        <w:t>90</w:t>
      </w:r>
      <w:r>
        <w:rPr>
          <w:rFonts w:ascii="Times New Roman" w:hAnsi="Times New Roman"/>
          <w:color w:val="auto"/>
          <w:spacing w:val="-2"/>
          <w:lang w:eastAsia="zh-CN"/>
        </w:rPr>
        <w:t>km</w:t>
      </w:r>
      <w:r>
        <w:rPr>
          <w:rFonts w:ascii="Times New Roman" w:hAnsi="Times New Roman"/>
          <w:color w:val="auto"/>
          <w:spacing w:val="-2"/>
          <w:lang w:eastAsia="zh-CN"/>
        </w:rPr>
        <w:t>。</w:t>
      </w:r>
    </w:p>
    <w:p w14:paraId="5682DC4B" w14:textId="77777777" w:rsidR="0075791A" w:rsidRDefault="0075791A">
      <w:pPr>
        <w:jc w:val="center"/>
        <w:rPr>
          <w:rFonts w:ascii="Times New Roman" w:eastAsia="宋体" w:hAnsi="Times New Roman" w:cs="宋体"/>
          <w:color w:val="auto"/>
          <w:spacing w:val="-4"/>
          <w:sz w:val="24"/>
          <w:szCs w:val="24"/>
          <w:lang w:eastAsia="zh-CN"/>
        </w:rPr>
      </w:pPr>
    </w:p>
    <w:p w14:paraId="754A18F6"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3.2.7-23</w:t>
      </w:r>
      <w:r>
        <w:rPr>
          <w:rFonts w:ascii="Times New Roman" w:eastAsia="宋体" w:hAnsi="Times New Roman" w:cs="宋体"/>
          <w:color w:val="auto"/>
          <w:spacing w:val="-4"/>
          <w:sz w:val="24"/>
          <w:szCs w:val="24"/>
          <w:lang w:eastAsia="zh-CN"/>
        </w:rPr>
        <w:t>南海底层、近底层鱼类产卵场示意图</w:t>
      </w:r>
    </w:p>
    <w:p w14:paraId="36AC8EE7" w14:textId="77777777" w:rsidR="0075791A" w:rsidRDefault="00FB2864">
      <w:pPr>
        <w:pStyle w:val="TableText"/>
        <w:spacing w:line="360" w:lineRule="auto"/>
        <w:ind w:firstLineChars="200" w:firstLine="478"/>
        <w:jc w:val="both"/>
        <w:rPr>
          <w:rFonts w:ascii="Times New Roman" w:hAnsi="Times New Roman"/>
          <w:b/>
          <w:bCs/>
          <w:color w:val="auto"/>
          <w:spacing w:val="-2"/>
          <w:lang w:eastAsia="zh-CN"/>
        </w:rPr>
      </w:pPr>
      <w:r>
        <w:rPr>
          <w:rFonts w:ascii="Times New Roman" w:hAnsi="Times New Roman" w:hint="eastAsia"/>
          <w:b/>
          <w:bCs/>
          <w:color w:val="auto"/>
          <w:spacing w:val="-2"/>
          <w:lang w:eastAsia="zh-CN"/>
        </w:rPr>
        <w:t>（</w:t>
      </w:r>
      <w:r>
        <w:rPr>
          <w:rFonts w:ascii="Times New Roman" w:hAnsi="Times New Roman" w:hint="eastAsia"/>
          <w:b/>
          <w:bCs/>
          <w:color w:val="auto"/>
          <w:spacing w:val="-2"/>
          <w:lang w:eastAsia="zh-CN"/>
        </w:rPr>
        <w:t>3</w:t>
      </w:r>
      <w:r>
        <w:rPr>
          <w:rFonts w:ascii="Times New Roman" w:hAnsi="Times New Roman" w:hint="eastAsia"/>
          <w:b/>
          <w:bCs/>
          <w:color w:val="auto"/>
          <w:spacing w:val="-2"/>
          <w:lang w:eastAsia="zh-CN"/>
        </w:rPr>
        <w:t>）海南岛东南部重要渔业资源产卵场</w:t>
      </w:r>
    </w:p>
    <w:p w14:paraId="14F2FF60"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color w:val="auto"/>
          <w:spacing w:val="-2"/>
          <w:lang w:eastAsia="zh-CN"/>
        </w:rPr>
        <w:t>海南岛东南部重要渔业资源产卵场分布在海南岛东南海域，从琼海一直延伸到三亚海棠湾附近，与本项目的最近距离约</w:t>
      </w:r>
      <w:r>
        <w:rPr>
          <w:rFonts w:ascii="Times New Roman" w:hAnsi="Times New Roman" w:hint="eastAsia"/>
          <w:color w:val="auto"/>
          <w:spacing w:val="-2"/>
          <w:lang w:eastAsia="zh-CN"/>
        </w:rPr>
        <w:t>5k</w:t>
      </w:r>
      <w:r>
        <w:rPr>
          <w:rFonts w:ascii="Times New Roman" w:hAnsi="Times New Roman"/>
          <w:color w:val="auto"/>
          <w:spacing w:val="-2"/>
          <w:lang w:eastAsia="zh-CN"/>
        </w:rPr>
        <w:t>m</w:t>
      </w:r>
      <w:r>
        <w:rPr>
          <w:rFonts w:ascii="Times New Roman" w:hAnsi="Times New Roman"/>
          <w:color w:val="auto"/>
          <w:spacing w:val="-2"/>
          <w:lang w:eastAsia="zh-CN"/>
        </w:rPr>
        <w:t>。</w:t>
      </w:r>
    </w:p>
    <w:p w14:paraId="493BB5FB" w14:textId="77777777" w:rsidR="0075791A" w:rsidRDefault="0075791A">
      <w:pPr>
        <w:spacing w:line="360" w:lineRule="auto"/>
        <w:jc w:val="center"/>
        <w:rPr>
          <w:rFonts w:ascii="Times New Roman" w:eastAsia="宋体" w:hAnsi="Times New Roman" w:cs="宋体"/>
          <w:color w:val="auto"/>
          <w:sz w:val="24"/>
          <w:szCs w:val="24"/>
          <w:lang w:eastAsia="zh-CN"/>
        </w:rPr>
      </w:pPr>
    </w:p>
    <w:p w14:paraId="12C12931" w14:textId="77777777" w:rsidR="0075791A" w:rsidRDefault="00FB2864">
      <w:pPr>
        <w:spacing w:line="360" w:lineRule="auto"/>
        <w:jc w:val="center"/>
        <w:rPr>
          <w:rFonts w:ascii="Times New Roman" w:eastAsia="宋体" w:hAnsi="Times New Roman" w:cs="宋体"/>
          <w:color w:val="auto"/>
          <w:spacing w:val="-4"/>
          <w:sz w:val="24"/>
          <w:szCs w:val="24"/>
          <w:lang w:eastAsia="zh-CN"/>
        </w:rPr>
      </w:pPr>
      <w:r>
        <w:rPr>
          <w:rFonts w:ascii="Times New Roman" w:eastAsia="宋体" w:hAnsi="Times New Roman" w:cs="宋体" w:hint="eastAsia"/>
          <w:color w:val="auto"/>
          <w:spacing w:val="-4"/>
          <w:sz w:val="24"/>
          <w:szCs w:val="24"/>
          <w:lang w:eastAsia="zh-CN"/>
        </w:rPr>
        <w:t>图</w:t>
      </w:r>
      <w:r>
        <w:rPr>
          <w:rFonts w:ascii="Times New Roman" w:eastAsia="宋体" w:hAnsi="Times New Roman" w:cs="宋体" w:hint="eastAsia"/>
          <w:color w:val="auto"/>
          <w:spacing w:val="-4"/>
          <w:sz w:val="24"/>
          <w:szCs w:val="24"/>
          <w:lang w:eastAsia="zh-CN"/>
        </w:rPr>
        <w:t>3.2.7-24</w:t>
      </w:r>
      <w:r>
        <w:rPr>
          <w:rFonts w:ascii="Times New Roman" w:eastAsia="宋体" w:hAnsi="Times New Roman" w:cs="宋体"/>
          <w:color w:val="auto"/>
          <w:sz w:val="24"/>
          <w:szCs w:val="24"/>
          <w:lang w:eastAsia="zh-CN"/>
        </w:rPr>
        <w:t>海南岛东南部重要渔业资源产卵场分布示意图</w:t>
      </w:r>
    </w:p>
    <w:p w14:paraId="1755E976" w14:textId="77777777" w:rsidR="0075791A" w:rsidRDefault="00FB2864">
      <w:pPr>
        <w:pStyle w:val="TableText"/>
        <w:spacing w:line="360" w:lineRule="auto"/>
        <w:ind w:firstLineChars="200" w:firstLine="478"/>
        <w:jc w:val="both"/>
        <w:rPr>
          <w:rFonts w:ascii="Times New Roman" w:hAnsi="Times New Roman"/>
          <w:b/>
          <w:bCs/>
          <w:color w:val="auto"/>
          <w:spacing w:val="-2"/>
          <w:lang w:eastAsia="zh-CN"/>
        </w:rPr>
      </w:pPr>
      <w:r>
        <w:rPr>
          <w:rFonts w:ascii="Times New Roman" w:hAnsi="Times New Roman" w:hint="eastAsia"/>
          <w:b/>
          <w:bCs/>
          <w:color w:val="auto"/>
          <w:spacing w:val="-2"/>
          <w:lang w:eastAsia="zh-CN"/>
        </w:rPr>
        <w:t>2.</w:t>
      </w:r>
      <w:r>
        <w:rPr>
          <w:rFonts w:ascii="Times New Roman" w:hAnsi="Times New Roman" w:hint="eastAsia"/>
          <w:b/>
          <w:bCs/>
          <w:color w:val="auto"/>
          <w:spacing w:val="-2"/>
          <w:lang w:eastAsia="zh-CN"/>
        </w:rPr>
        <w:t>幼鱼繁育场保护区</w:t>
      </w:r>
    </w:p>
    <w:p w14:paraId="55EA113C" w14:textId="77777777" w:rsidR="0075791A" w:rsidRDefault="00FB2864">
      <w:pPr>
        <w:pStyle w:val="TableText"/>
        <w:spacing w:line="360" w:lineRule="auto"/>
        <w:ind w:firstLineChars="200" w:firstLine="478"/>
        <w:jc w:val="both"/>
        <w:rPr>
          <w:rFonts w:ascii="Times New Roman" w:hAnsi="Times New Roman"/>
          <w:b/>
          <w:bCs/>
          <w:color w:val="auto"/>
          <w:spacing w:val="-2"/>
          <w:lang w:eastAsia="zh-CN"/>
        </w:rPr>
      </w:pPr>
      <w:r>
        <w:rPr>
          <w:rFonts w:ascii="Times New Roman" w:hAnsi="Times New Roman" w:hint="eastAsia"/>
          <w:b/>
          <w:bCs/>
          <w:color w:val="auto"/>
          <w:spacing w:val="-2"/>
          <w:lang w:eastAsia="zh-CN"/>
        </w:rPr>
        <w:t>（</w:t>
      </w:r>
      <w:r>
        <w:rPr>
          <w:rFonts w:ascii="Times New Roman" w:hAnsi="Times New Roman" w:hint="eastAsia"/>
          <w:b/>
          <w:bCs/>
          <w:color w:val="auto"/>
          <w:spacing w:val="-2"/>
          <w:lang w:eastAsia="zh-CN"/>
        </w:rPr>
        <w:t>1</w:t>
      </w:r>
      <w:r>
        <w:rPr>
          <w:rFonts w:ascii="Times New Roman" w:hAnsi="Times New Roman" w:hint="eastAsia"/>
          <w:b/>
          <w:bCs/>
          <w:color w:val="auto"/>
          <w:spacing w:val="-2"/>
          <w:lang w:eastAsia="zh-CN"/>
        </w:rPr>
        <w:t>）幼鱼幼虾保护区</w:t>
      </w:r>
    </w:p>
    <w:p w14:paraId="0FA3FB93"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color w:val="auto"/>
          <w:spacing w:val="-2"/>
          <w:lang w:eastAsia="zh-CN"/>
        </w:rPr>
        <w:t>南海区幼鱼、幼虾保护区共有</w:t>
      </w:r>
      <w:r>
        <w:rPr>
          <w:rFonts w:ascii="Times New Roman" w:hAnsi="Times New Roman"/>
          <w:color w:val="auto"/>
          <w:spacing w:val="-2"/>
          <w:lang w:eastAsia="zh-CN"/>
        </w:rPr>
        <w:t>4</w:t>
      </w:r>
      <w:r>
        <w:rPr>
          <w:rFonts w:ascii="Times New Roman" w:hAnsi="Times New Roman"/>
          <w:color w:val="auto"/>
          <w:spacing w:val="-2"/>
          <w:lang w:eastAsia="zh-CN"/>
        </w:rPr>
        <w:t>处（见图</w:t>
      </w:r>
      <w:r>
        <w:rPr>
          <w:rFonts w:ascii="Times New Roman" w:hAnsi="Times New Roman" w:hint="eastAsia"/>
          <w:color w:val="auto"/>
          <w:spacing w:val="-4"/>
          <w:lang w:eastAsia="zh-CN"/>
        </w:rPr>
        <w:t>3.2.</w:t>
      </w:r>
      <w:r>
        <w:rPr>
          <w:rFonts w:ascii="Times New Roman" w:hAnsi="Times New Roman" w:hint="eastAsia"/>
          <w:color w:val="auto"/>
          <w:spacing w:val="-4"/>
          <w:lang w:eastAsia="zh-CN"/>
        </w:rPr>
        <w:t>7-</w:t>
      </w:r>
      <w:r>
        <w:rPr>
          <w:rFonts w:ascii="Times New Roman" w:hAnsi="Times New Roman" w:hint="eastAsia"/>
          <w:color w:val="auto"/>
          <w:spacing w:val="-4"/>
          <w:lang w:eastAsia="zh-CN"/>
        </w:rPr>
        <w:t>25</w:t>
      </w:r>
      <w:r>
        <w:rPr>
          <w:rFonts w:ascii="Times New Roman" w:hAnsi="Times New Roman"/>
          <w:color w:val="auto"/>
          <w:spacing w:val="-2"/>
          <w:lang w:eastAsia="zh-CN"/>
        </w:rPr>
        <w:t>），一为广东省沿岸由粤东的南澳岛至粤西的雷州半岛徐闻县外罗港沿海</w:t>
      </w:r>
      <w:r>
        <w:rPr>
          <w:rFonts w:ascii="Times New Roman" w:hAnsi="Times New Roman"/>
          <w:color w:val="auto"/>
          <w:spacing w:val="-2"/>
          <w:lang w:eastAsia="zh-CN"/>
        </w:rPr>
        <w:t>20m</w:t>
      </w:r>
      <w:r>
        <w:rPr>
          <w:rFonts w:ascii="Times New Roman" w:hAnsi="Times New Roman"/>
          <w:color w:val="auto"/>
          <w:spacing w:val="-2"/>
          <w:lang w:eastAsia="zh-CN"/>
        </w:rPr>
        <w:t>水深以内的海域，保护期为每年的</w:t>
      </w:r>
      <w:r>
        <w:rPr>
          <w:rFonts w:ascii="Times New Roman" w:hAnsi="Times New Roman"/>
          <w:color w:val="auto"/>
          <w:spacing w:val="-2"/>
          <w:lang w:eastAsia="zh-CN"/>
        </w:rPr>
        <w:t>3</w:t>
      </w:r>
      <w:r>
        <w:rPr>
          <w:rFonts w:ascii="Times New Roman" w:hAnsi="Times New Roman"/>
          <w:color w:val="auto"/>
          <w:spacing w:val="-2"/>
          <w:lang w:eastAsia="zh-CN"/>
        </w:rPr>
        <w:t>月</w:t>
      </w:r>
      <w:r>
        <w:rPr>
          <w:rFonts w:ascii="Times New Roman" w:hAnsi="Times New Roman"/>
          <w:color w:val="auto"/>
          <w:spacing w:val="-2"/>
          <w:lang w:eastAsia="zh-CN"/>
        </w:rPr>
        <w:t>1</w:t>
      </w:r>
      <w:r>
        <w:rPr>
          <w:rFonts w:ascii="Times New Roman" w:hAnsi="Times New Roman"/>
          <w:color w:val="auto"/>
          <w:spacing w:val="-2"/>
          <w:lang w:eastAsia="zh-CN"/>
        </w:rPr>
        <w:t>日至</w:t>
      </w:r>
      <w:r>
        <w:rPr>
          <w:rFonts w:ascii="Times New Roman" w:hAnsi="Times New Roman"/>
          <w:color w:val="auto"/>
          <w:spacing w:val="-2"/>
          <w:lang w:eastAsia="zh-CN"/>
        </w:rPr>
        <w:t>5</w:t>
      </w:r>
      <w:r>
        <w:rPr>
          <w:rFonts w:ascii="Times New Roman" w:hAnsi="Times New Roman"/>
          <w:color w:val="auto"/>
          <w:spacing w:val="-2"/>
          <w:lang w:eastAsia="zh-CN"/>
        </w:rPr>
        <w:t>月</w:t>
      </w:r>
      <w:r>
        <w:rPr>
          <w:rFonts w:ascii="Times New Roman" w:hAnsi="Times New Roman"/>
          <w:color w:val="auto"/>
          <w:spacing w:val="-2"/>
          <w:lang w:eastAsia="zh-CN"/>
        </w:rPr>
        <w:t>31</w:t>
      </w:r>
      <w:r>
        <w:rPr>
          <w:rFonts w:ascii="Times New Roman" w:hAnsi="Times New Roman"/>
          <w:color w:val="auto"/>
          <w:spacing w:val="-2"/>
          <w:lang w:eastAsia="zh-CN"/>
        </w:rPr>
        <w:t>日；二为海南省东部沿岸文昌县木兰头浅滩东北至抱虎角</w:t>
      </w:r>
      <w:r>
        <w:rPr>
          <w:rFonts w:ascii="Times New Roman" w:hAnsi="Times New Roman"/>
          <w:color w:val="auto"/>
          <w:spacing w:val="-2"/>
          <w:lang w:eastAsia="zh-CN"/>
        </w:rPr>
        <w:t>40m</w:t>
      </w:r>
      <w:r>
        <w:rPr>
          <w:rFonts w:ascii="Times New Roman" w:hAnsi="Times New Roman"/>
          <w:color w:val="auto"/>
          <w:spacing w:val="-2"/>
          <w:lang w:eastAsia="zh-CN"/>
        </w:rPr>
        <w:t>水深以内海域。保护期为每年的</w:t>
      </w:r>
      <w:r>
        <w:rPr>
          <w:rFonts w:ascii="Times New Roman" w:hAnsi="Times New Roman"/>
          <w:color w:val="auto"/>
          <w:spacing w:val="-2"/>
          <w:lang w:eastAsia="zh-CN"/>
        </w:rPr>
        <w:t>3</w:t>
      </w:r>
      <w:r>
        <w:rPr>
          <w:rFonts w:ascii="Times New Roman" w:hAnsi="Times New Roman"/>
          <w:color w:val="auto"/>
          <w:spacing w:val="-2"/>
          <w:lang w:eastAsia="zh-CN"/>
        </w:rPr>
        <w:t>月</w:t>
      </w:r>
      <w:r>
        <w:rPr>
          <w:rFonts w:ascii="Times New Roman" w:hAnsi="Times New Roman"/>
          <w:color w:val="auto"/>
          <w:spacing w:val="-2"/>
          <w:lang w:eastAsia="zh-CN"/>
        </w:rPr>
        <w:t>1</w:t>
      </w:r>
      <w:r>
        <w:rPr>
          <w:rFonts w:ascii="Times New Roman" w:hAnsi="Times New Roman"/>
          <w:color w:val="auto"/>
          <w:spacing w:val="-2"/>
          <w:lang w:eastAsia="zh-CN"/>
        </w:rPr>
        <w:t>日至</w:t>
      </w:r>
      <w:r>
        <w:rPr>
          <w:rFonts w:ascii="Times New Roman" w:hAnsi="Times New Roman"/>
          <w:color w:val="auto"/>
          <w:spacing w:val="-2"/>
          <w:lang w:eastAsia="zh-CN"/>
        </w:rPr>
        <w:t>6</w:t>
      </w:r>
      <w:r>
        <w:rPr>
          <w:rFonts w:ascii="Times New Roman" w:hAnsi="Times New Roman"/>
          <w:color w:val="auto"/>
          <w:spacing w:val="-2"/>
          <w:lang w:eastAsia="zh-CN"/>
        </w:rPr>
        <w:t>月</w:t>
      </w:r>
      <w:r>
        <w:rPr>
          <w:rFonts w:ascii="Times New Roman" w:hAnsi="Times New Roman"/>
          <w:color w:val="auto"/>
          <w:spacing w:val="-2"/>
          <w:lang w:eastAsia="zh-CN"/>
        </w:rPr>
        <w:t>15</w:t>
      </w:r>
      <w:r>
        <w:rPr>
          <w:rFonts w:ascii="Times New Roman" w:hAnsi="Times New Roman"/>
          <w:color w:val="auto"/>
          <w:spacing w:val="-2"/>
          <w:lang w:eastAsia="zh-CN"/>
        </w:rPr>
        <w:t>日；三为海南省万宁县大洲岛至陵水县赤岭湾</w:t>
      </w:r>
      <w:r>
        <w:rPr>
          <w:rFonts w:ascii="Times New Roman" w:hAnsi="Times New Roman"/>
          <w:color w:val="auto"/>
          <w:spacing w:val="-2"/>
          <w:lang w:eastAsia="zh-CN"/>
        </w:rPr>
        <w:t>50m</w:t>
      </w:r>
      <w:r>
        <w:rPr>
          <w:rFonts w:ascii="Times New Roman" w:hAnsi="Times New Roman"/>
          <w:color w:val="auto"/>
          <w:spacing w:val="-2"/>
          <w:lang w:eastAsia="zh-CN"/>
        </w:rPr>
        <w:t>水深以内海域，保护期为每年的</w:t>
      </w:r>
      <w:r>
        <w:rPr>
          <w:rFonts w:ascii="Times New Roman" w:hAnsi="Times New Roman"/>
          <w:color w:val="auto"/>
          <w:spacing w:val="-2"/>
          <w:lang w:eastAsia="zh-CN"/>
        </w:rPr>
        <w:t>3</w:t>
      </w:r>
      <w:r>
        <w:rPr>
          <w:rFonts w:ascii="Times New Roman" w:hAnsi="Times New Roman"/>
          <w:color w:val="auto"/>
          <w:spacing w:val="-2"/>
          <w:lang w:eastAsia="zh-CN"/>
        </w:rPr>
        <w:t>月</w:t>
      </w:r>
      <w:r>
        <w:rPr>
          <w:rFonts w:ascii="Times New Roman" w:hAnsi="Times New Roman"/>
          <w:color w:val="auto"/>
          <w:spacing w:val="-2"/>
          <w:lang w:eastAsia="zh-CN"/>
        </w:rPr>
        <w:t>1</w:t>
      </w:r>
      <w:r>
        <w:rPr>
          <w:rFonts w:ascii="Times New Roman" w:hAnsi="Times New Roman"/>
          <w:color w:val="auto"/>
          <w:spacing w:val="-2"/>
          <w:lang w:eastAsia="zh-CN"/>
        </w:rPr>
        <w:t>日至</w:t>
      </w:r>
      <w:r>
        <w:rPr>
          <w:rFonts w:ascii="Times New Roman" w:hAnsi="Times New Roman"/>
          <w:color w:val="auto"/>
          <w:spacing w:val="-2"/>
          <w:lang w:eastAsia="zh-CN"/>
        </w:rPr>
        <w:t>5</w:t>
      </w:r>
      <w:r>
        <w:rPr>
          <w:rFonts w:ascii="Times New Roman" w:hAnsi="Times New Roman"/>
          <w:color w:val="auto"/>
          <w:spacing w:val="-2"/>
          <w:lang w:eastAsia="zh-CN"/>
        </w:rPr>
        <w:t>月</w:t>
      </w:r>
      <w:r>
        <w:rPr>
          <w:rFonts w:ascii="Times New Roman" w:hAnsi="Times New Roman"/>
          <w:color w:val="auto"/>
          <w:spacing w:val="-2"/>
          <w:lang w:eastAsia="zh-CN"/>
        </w:rPr>
        <w:t>31</w:t>
      </w:r>
      <w:r>
        <w:rPr>
          <w:rFonts w:ascii="Times New Roman" w:hAnsi="Times New Roman"/>
          <w:color w:val="auto"/>
          <w:spacing w:val="-2"/>
          <w:lang w:eastAsia="zh-CN"/>
        </w:rPr>
        <w:t>日；四为海南省临高县临高角至东方县八所港</w:t>
      </w:r>
      <w:r>
        <w:rPr>
          <w:rFonts w:ascii="Times New Roman" w:hAnsi="Times New Roman"/>
          <w:color w:val="auto"/>
          <w:spacing w:val="-2"/>
          <w:lang w:eastAsia="zh-CN"/>
        </w:rPr>
        <w:t>20m</w:t>
      </w:r>
      <w:r>
        <w:rPr>
          <w:rFonts w:ascii="Times New Roman" w:hAnsi="Times New Roman"/>
          <w:color w:val="auto"/>
          <w:spacing w:val="-2"/>
          <w:lang w:eastAsia="zh-CN"/>
        </w:rPr>
        <w:t>水深以内海域，保</w:t>
      </w:r>
      <w:r>
        <w:rPr>
          <w:rFonts w:ascii="Times New Roman" w:hAnsi="Times New Roman"/>
          <w:color w:val="auto"/>
          <w:spacing w:val="-2"/>
          <w:lang w:eastAsia="zh-CN"/>
        </w:rPr>
        <w:t>护期为每年的</w:t>
      </w:r>
      <w:r>
        <w:rPr>
          <w:rFonts w:ascii="Times New Roman" w:hAnsi="Times New Roman"/>
          <w:color w:val="auto"/>
          <w:spacing w:val="-2"/>
          <w:lang w:eastAsia="zh-CN"/>
        </w:rPr>
        <w:t>3</w:t>
      </w:r>
      <w:r>
        <w:rPr>
          <w:rFonts w:ascii="Times New Roman" w:hAnsi="Times New Roman"/>
          <w:color w:val="auto"/>
          <w:spacing w:val="-2"/>
          <w:lang w:eastAsia="zh-CN"/>
        </w:rPr>
        <w:t>月</w:t>
      </w:r>
      <w:r>
        <w:rPr>
          <w:rFonts w:ascii="Times New Roman" w:hAnsi="Times New Roman"/>
          <w:color w:val="auto"/>
          <w:spacing w:val="-2"/>
          <w:lang w:eastAsia="zh-CN"/>
        </w:rPr>
        <w:t>1</w:t>
      </w:r>
      <w:r>
        <w:rPr>
          <w:rFonts w:ascii="Times New Roman" w:hAnsi="Times New Roman"/>
          <w:color w:val="auto"/>
          <w:spacing w:val="-2"/>
          <w:lang w:eastAsia="zh-CN"/>
        </w:rPr>
        <w:t>日至</w:t>
      </w:r>
      <w:r>
        <w:rPr>
          <w:rFonts w:ascii="Times New Roman" w:hAnsi="Times New Roman"/>
          <w:color w:val="auto"/>
          <w:spacing w:val="-2"/>
          <w:lang w:eastAsia="zh-CN"/>
        </w:rPr>
        <w:t>6</w:t>
      </w:r>
      <w:r>
        <w:rPr>
          <w:rFonts w:ascii="Times New Roman" w:hAnsi="Times New Roman"/>
          <w:color w:val="auto"/>
          <w:spacing w:val="-2"/>
          <w:lang w:eastAsia="zh-CN"/>
        </w:rPr>
        <w:t>月</w:t>
      </w:r>
      <w:r>
        <w:rPr>
          <w:rFonts w:ascii="Times New Roman" w:hAnsi="Times New Roman"/>
          <w:color w:val="auto"/>
          <w:spacing w:val="-2"/>
          <w:lang w:eastAsia="zh-CN"/>
        </w:rPr>
        <w:t>15</w:t>
      </w:r>
      <w:r>
        <w:rPr>
          <w:rFonts w:ascii="Times New Roman" w:hAnsi="Times New Roman"/>
          <w:color w:val="auto"/>
          <w:spacing w:val="-2"/>
          <w:lang w:eastAsia="zh-CN"/>
        </w:rPr>
        <w:t>日。本项目位于海南省万宁县大洲岛至陵水县赤岭湾幼鱼幼虾保护区</w:t>
      </w:r>
      <w:r>
        <w:rPr>
          <w:rFonts w:ascii="Times New Roman" w:hAnsi="Times New Roman" w:hint="eastAsia"/>
          <w:color w:val="auto"/>
          <w:spacing w:val="-2"/>
          <w:lang w:eastAsia="zh-CN"/>
        </w:rPr>
        <w:t>西南约</w:t>
      </w:r>
      <w:r>
        <w:rPr>
          <w:rFonts w:ascii="Times New Roman" w:hAnsi="Times New Roman" w:hint="eastAsia"/>
          <w:color w:val="auto"/>
          <w:spacing w:val="-2"/>
          <w:lang w:eastAsia="zh-CN"/>
        </w:rPr>
        <w:t>10km</w:t>
      </w:r>
      <w:r>
        <w:rPr>
          <w:rFonts w:ascii="Times New Roman" w:hAnsi="Times New Roman"/>
          <w:color w:val="auto"/>
          <w:spacing w:val="-2"/>
          <w:lang w:eastAsia="zh-CN"/>
        </w:rPr>
        <w:t>。</w:t>
      </w:r>
    </w:p>
    <w:p w14:paraId="20F6E28A" w14:textId="77777777" w:rsidR="0075791A" w:rsidRDefault="0075791A">
      <w:pPr>
        <w:jc w:val="center"/>
        <w:rPr>
          <w:rFonts w:ascii="Times New Roman" w:eastAsia="宋体" w:hAnsi="Times New Roman" w:cs="宋体"/>
          <w:color w:val="auto"/>
          <w:sz w:val="24"/>
          <w:szCs w:val="24"/>
          <w:lang w:eastAsia="zh-CN"/>
        </w:rPr>
      </w:pPr>
    </w:p>
    <w:p w14:paraId="3A5D7B16" w14:textId="77777777" w:rsidR="0075791A" w:rsidRDefault="00FB2864">
      <w:pPr>
        <w:spacing w:line="360" w:lineRule="auto"/>
        <w:jc w:val="center"/>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图</w:t>
      </w:r>
      <w:r>
        <w:rPr>
          <w:rFonts w:ascii="Times New Roman" w:eastAsia="宋体" w:hAnsi="Times New Roman" w:cs="宋体" w:hint="eastAsia"/>
          <w:color w:val="auto"/>
          <w:sz w:val="24"/>
          <w:szCs w:val="24"/>
          <w:lang w:eastAsia="zh-CN"/>
        </w:rPr>
        <w:t>3.2.7-25</w:t>
      </w:r>
      <w:r>
        <w:rPr>
          <w:rFonts w:ascii="Times New Roman" w:eastAsia="宋体" w:hAnsi="Times New Roman" w:cs="宋体"/>
          <w:color w:val="auto"/>
          <w:sz w:val="24"/>
          <w:szCs w:val="24"/>
          <w:lang w:eastAsia="zh-CN"/>
        </w:rPr>
        <w:t>南海幼鱼幼虾保护区分布示意图</w:t>
      </w:r>
    </w:p>
    <w:p w14:paraId="2F47C240" w14:textId="77777777" w:rsidR="0075791A" w:rsidRDefault="00FB2864">
      <w:pPr>
        <w:pStyle w:val="TableText"/>
        <w:spacing w:line="360" w:lineRule="auto"/>
        <w:ind w:firstLineChars="200" w:firstLine="478"/>
        <w:jc w:val="both"/>
        <w:rPr>
          <w:rFonts w:ascii="Times New Roman" w:hAnsi="Times New Roman"/>
          <w:b/>
          <w:bCs/>
          <w:color w:val="auto"/>
          <w:spacing w:val="-2"/>
          <w:lang w:eastAsia="zh-CN"/>
        </w:rPr>
      </w:pPr>
      <w:r>
        <w:rPr>
          <w:rFonts w:ascii="Times New Roman" w:hAnsi="Times New Roman" w:hint="eastAsia"/>
          <w:b/>
          <w:bCs/>
          <w:color w:val="auto"/>
          <w:spacing w:val="-2"/>
          <w:lang w:eastAsia="zh-CN"/>
        </w:rPr>
        <w:t>2.</w:t>
      </w:r>
      <w:r>
        <w:rPr>
          <w:rFonts w:ascii="Times New Roman" w:hAnsi="Times New Roman" w:hint="eastAsia"/>
          <w:b/>
          <w:bCs/>
          <w:color w:val="auto"/>
          <w:spacing w:val="-2"/>
          <w:lang w:eastAsia="zh-CN"/>
        </w:rPr>
        <w:t>南海北部幼鱼繁育场保护区</w:t>
      </w:r>
    </w:p>
    <w:p w14:paraId="6EF3E11F"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hint="eastAsia"/>
          <w:color w:val="auto"/>
          <w:spacing w:val="-2"/>
          <w:lang w:eastAsia="zh-CN"/>
        </w:rPr>
        <w:t>南海北部幼鱼繁育场保护区</w:t>
      </w:r>
      <w:r>
        <w:rPr>
          <w:rFonts w:ascii="Times New Roman" w:hAnsi="Times New Roman" w:hint="eastAsia"/>
          <w:color w:val="auto"/>
          <w:spacing w:val="-2"/>
          <w:lang w:eastAsia="zh-CN"/>
        </w:rPr>
        <w:t>位于南海北部及北部湾沿岸</w:t>
      </w:r>
      <w:r>
        <w:rPr>
          <w:rFonts w:ascii="Times New Roman" w:hAnsi="Times New Roman" w:hint="eastAsia"/>
          <w:color w:val="auto"/>
          <w:spacing w:val="-2"/>
          <w:lang w:eastAsia="zh-CN"/>
        </w:rPr>
        <w:t>40m</w:t>
      </w:r>
      <w:r>
        <w:rPr>
          <w:rFonts w:ascii="Times New Roman" w:hAnsi="Times New Roman" w:hint="eastAsia"/>
          <w:color w:val="auto"/>
          <w:spacing w:val="-2"/>
          <w:lang w:eastAsia="zh-CN"/>
        </w:rPr>
        <w:t>等深线、</w:t>
      </w:r>
      <w:r>
        <w:rPr>
          <w:rFonts w:ascii="Times New Roman" w:hAnsi="Times New Roman"/>
          <w:color w:val="auto"/>
          <w:spacing w:val="-2"/>
          <w:lang w:eastAsia="zh-CN"/>
        </w:rPr>
        <w:t>17</w:t>
      </w:r>
      <w:r>
        <w:rPr>
          <w:rFonts w:ascii="Times New Roman" w:hAnsi="Times New Roman" w:hint="eastAsia"/>
          <w:color w:val="auto"/>
          <w:spacing w:val="-2"/>
          <w:lang w:eastAsia="zh-CN"/>
        </w:rPr>
        <w:t>个基点连线以内水域，保护期为</w:t>
      </w:r>
      <w:r>
        <w:rPr>
          <w:rFonts w:ascii="Times New Roman" w:hAnsi="Times New Roman"/>
          <w:color w:val="auto"/>
          <w:spacing w:val="-2"/>
          <w:lang w:eastAsia="zh-CN"/>
        </w:rPr>
        <w:t>1</w:t>
      </w:r>
      <w:r>
        <w:rPr>
          <w:rFonts w:ascii="Times New Roman" w:hAnsi="Times New Roman" w:hint="eastAsia"/>
          <w:color w:val="auto"/>
          <w:spacing w:val="-2"/>
          <w:lang w:eastAsia="zh-CN"/>
        </w:rPr>
        <w:t>～</w:t>
      </w:r>
      <w:r>
        <w:rPr>
          <w:rFonts w:ascii="Times New Roman" w:hAnsi="Times New Roman"/>
          <w:color w:val="auto"/>
          <w:spacing w:val="-2"/>
          <w:lang w:eastAsia="zh-CN"/>
        </w:rPr>
        <w:t>12</w:t>
      </w:r>
      <w:r>
        <w:rPr>
          <w:rFonts w:ascii="Times New Roman" w:hAnsi="Times New Roman" w:hint="eastAsia"/>
          <w:color w:val="auto"/>
          <w:spacing w:val="-2"/>
          <w:lang w:eastAsia="zh-CN"/>
        </w:rPr>
        <w:t>月，该保护区的管理要求为禁止在保护区内进行底拖网作业。项目所在海域位于南海北部幼鱼繁育场保护区西部，约</w:t>
      </w:r>
      <w:r>
        <w:rPr>
          <w:rFonts w:ascii="Times New Roman" w:hAnsi="Times New Roman" w:hint="eastAsia"/>
          <w:color w:val="auto"/>
          <w:spacing w:val="-2"/>
          <w:lang w:eastAsia="zh-CN"/>
        </w:rPr>
        <w:t>4.5km</w:t>
      </w:r>
      <w:r>
        <w:rPr>
          <w:rFonts w:ascii="Times New Roman" w:hAnsi="Times New Roman" w:hint="eastAsia"/>
          <w:color w:val="auto"/>
          <w:spacing w:val="-2"/>
          <w:lang w:eastAsia="zh-CN"/>
        </w:rPr>
        <w:t>。</w:t>
      </w:r>
    </w:p>
    <w:p w14:paraId="1D10543B" w14:textId="77777777" w:rsidR="0075791A" w:rsidRDefault="0075791A">
      <w:pPr>
        <w:jc w:val="center"/>
        <w:rPr>
          <w:rFonts w:ascii="Times New Roman" w:eastAsia="宋体" w:hAnsi="Times New Roman" w:cs="宋体"/>
          <w:color w:val="auto"/>
          <w:sz w:val="24"/>
          <w:szCs w:val="24"/>
          <w:lang w:eastAsia="zh-CN"/>
        </w:rPr>
      </w:pPr>
    </w:p>
    <w:p w14:paraId="167C198D" w14:textId="77777777" w:rsidR="0075791A" w:rsidRDefault="00FB2864">
      <w:pPr>
        <w:spacing w:line="360" w:lineRule="auto"/>
        <w:jc w:val="center"/>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图</w:t>
      </w:r>
      <w:r>
        <w:rPr>
          <w:rFonts w:ascii="Times New Roman" w:eastAsia="宋体" w:hAnsi="Times New Roman" w:cs="宋体" w:hint="eastAsia"/>
          <w:color w:val="auto"/>
          <w:sz w:val="24"/>
          <w:szCs w:val="24"/>
          <w:lang w:eastAsia="zh-CN"/>
        </w:rPr>
        <w:t>3.2.7-26</w:t>
      </w:r>
      <w:r>
        <w:rPr>
          <w:rFonts w:ascii="Times New Roman" w:eastAsia="宋体" w:hAnsi="Times New Roman" w:cs="宋体"/>
          <w:color w:val="auto"/>
          <w:sz w:val="24"/>
          <w:szCs w:val="24"/>
          <w:lang w:eastAsia="zh-CN"/>
        </w:rPr>
        <w:t>南海北部幼鱼繁育场保护区示意图</w:t>
      </w:r>
    </w:p>
    <w:p w14:paraId="31ECFFF4" w14:textId="77777777" w:rsidR="0075791A" w:rsidRDefault="00FB2864">
      <w:pPr>
        <w:spacing w:before="34" w:line="360" w:lineRule="auto"/>
        <w:ind w:left="5"/>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 xml:space="preserve">3.2.7.6 </w:t>
      </w:r>
      <w:r>
        <w:rPr>
          <w:rFonts w:ascii="Times New Roman" w:eastAsia="宋体" w:hAnsi="Times New Roman" w:hint="eastAsia"/>
          <w:b/>
          <w:color w:val="auto"/>
          <w:sz w:val="24"/>
          <w:szCs w:val="24"/>
          <w:lang w:eastAsia="zh-CN"/>
        </w:rPr>
        <w:t>鸟类调查</w:t>
      </w:r>
    </w:p>
    <w:p w14:paraId="6C240349" w14:textId="77777777" w:rsidR="0075791A" w:rsidRDefault="00FB2864">
      <w:pPr>
        <w:pStyle w:val="TableText"/>
        <w:spacing w:line="360" w:lineRule="auto"/>
        <w:ind w:firstLineChars="200" w:firstLine="482"/>
        <w:jc w:val="both"/>
        <w:rPr>
          <w:rFonts w:ascii="Times New Roman" w:hAnsi="Times New Roman"/>
          <w:b/>
          <w:bCs/>
          <w:color w:val="auto"/>
          <w:lang w:eastAsia="zh-CN"/>
        </w:rPr>
      </w:pPr>
      <w:r>
        <w:rPr>
          <w:rFonts w:ascii="Times New Roman" w:hAnsi="Times New Roman" w:hint="eastAsia"/>
          <w:b/>
          <w:bCs/>
          <w:color w:val="auto"/>
          <w:lang w:eastAsia="zh-CN"/>
        </w:rPr>
        <w:t>1.</w:t>
      </w:r>
      <w:r>
        <w:rPr>
          <w:rFonts w:ascii="Times New Roman" w:hAnsi="Times New Roman" w:hint="eastAsia"/>
          <w:b/>
          <w:bCs/>
          <w:color w:val="auto"/>
          <w:lang w:eastAsia="zh-CN"/>
        </w:rPr>
        <w:t>历史资料</w:t>
      </w:r>
    </w:p>
    <w:p w14:paraId="3C9F0AF2"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lastRenderedPageBreak/>
        <w:t>保护区红树林湿地生态系统为三亚乃至海南岛南部为数不多的潟湖－河口和红树林沼泽湿地类型。不仅该区域内分布有许多珍稀濒危野生动物物种，是许多重要水鸟的良好觅食地和越冬地。</w:t>
      </w:r>
      <w:r>
        <w:rPr>
          <w:rFonts w:ascii="Times New Roman" w:hAnsi="Times New Roman" w:hint="eastAsia"/>
          <w:color w:val="auto"/>
          <w:lang w:eastAsia="zh-CN"/>
        </w:rPr>
        <w:t>查阅《海南三亚红树林自然保护区总体规划（</w:t>
      </w:r>
      <w:r>
        <w:rPr>
          <w:rFonts w:ascii="Times New Roman" w:hAnsi="Times New Roman"/>
          <w:color w:val="auto"/>
          <w:lang w:eastAsia="zh-CN"/>
        </w:rPr>
        <w:t>2022–2030</w:t>
      </w:r>
      <w:r>
        <w:rPr>
          <w:rFonts w:ascii="Times New Roman" w:hAnsi="Times New Roman" w:hint="eastAsia"/>
          <w:color w:val="auto"/>
          <w:lang w:eastAsia="zh-CN"/>
        </w:rPr>
        <w:t>）》，</w:t>
      </w:r>
      <w:r>
        <w:rPr>
          <w:rFonts w:ascii="Times New Roman" w:hAnsi="Times New Roman" w:hint="eastAsia"/>
          <w:color w:val="auto"/>
          <w:lang w:eastAsia="zh-CN"/>
        </w:rPr>
        <w:t>在保护区共发现昆虫</w:t>
      </w:r>
      <w:r>
        <w:rPr>
          <w:rFonts w:ascii="Times New Roman" w:hAnsi="Times New Roman" w:hint="eastAsia"/>
          <w:color w:val="auto"/>
          <w:lang w:eastAsia="zh-CN"/>
        </w:rPr>
        <w:t>186</w:t>
      </w:r>
      <w:r>
        <w:rPr>
          <w:rFonts w:ascii="Times New Roman" w:hAnsi="Times New Roman" w:hint="eastAsia"/>
          <w:color w:val="auto"/>
          <w:lang w:eastAsia="zh-CN"/>
        </w:rPr>
        <w:t>种、鱼类</w:t>
      </w:r>
      <w:r>
        <w:rPr>
          <w:rFonts w:ascii="Times New Roman" w:hAnsi="Times New Roman"/>
          <w:color w:val="auto"/>
          <w:lang w:eastAsia="zh-CN"/>
        </w:rPr>
        <w:t>25</w:t>
      </w:r>
      <w:r>
        <w:rPr>
          <w:rFonts w:ascii="Times New Roman" w:hAnsi="Times New Roman" w:hint="eastAsia"/>
          <w:color w:val="auto"/>
          <w:lang w:eastAsia="zh-CN"/>
        </w:rPr>
        <w:t>种、软体动物</w:t>
      </w:r>
      <w:r>
        <w:rPr>
          <w:rFonts w:ascii="Times New Roman" w:hAnsi="Times New Roman"/>
          <w:color w:val="auto"/>
          <w:lang w:eastAsia="zh-CN"/>
        </w:rPr>
        <w:t>56</w:t>
      </w:r>
      <w:r>
        <w:rPr>
          <w:rFonts w:ascii="Times New Roman" w:hAnsi="Times New Roman" w:hint="eastAsia"/>
          <w:color w:val="auto"/>
          <w:lang w:eastAsia="zh-CN"/>
        </w:rPr>
        <w:t>种、蟹类</w:t>
      </w:r>
      <w:r>
        <w:rPr>
          <w:rFonts w:ascii="Times New Roman" w:hAnsi="Times New Roman"/>
          <w:color w:val="auto"/>
          <w:lang w:eastAsia="zh-CN"/>
        </w:rPr>
        <w:t>12</w:t>
      </w:r>
      <w:r>
        <w:rPr>
          <w:rFonts w:ascii="Times New Roman" w:hAnsi="Times New Roman" w:hint="eastAsia"/>
          <w:color w:val="auto"/>
          <w:lang w:eastAsia="zh-CN"/>
        </w:rPr>
        <w:t>种、两栖类</w:t>
      </w:r>
      <w:r>
        <w:rPr>
          <w:rFonts w:ascii="Times New Roman" w:hAnsi="Times New Roman"/>
          <w:color w:val="auto"/>
          <w:lang w:eastAsia="zh-CN"/>
        </w:rPr>
        <w:t>7</w:t>
      </w:r>
      <w:r>
        <w:rPr>
          <w:rFonts w:ascii="Times New Roman" w:hAnsi="Times New Roman" w:hint="eastAsia"/>
          <w:color w:val="auto"/>
          <w:lang w:eastAsia="zh-CN"/>
        </w:rPr>
        <w:t>种、爬行类</w:t>
      </w:r>
      <w:r>
        <w:rPr>
          <w:rFonts w:ascii="Times New Roman" w:hAnsi="Times New Roman"/>
          <w:color w:val="auto"/>
          <w:lang w:eastAsia="zh-CN"/>
        </w:rPr>
        <w:t>14</w:t>
      </w:r>
      <w:r>
        <w:rPr>
          <w:rFonts w:ascii="Times New Roman" w:hAnsi="Times New Roman" w:hint="eastAsia"/>
          <w:color w:val="auto"/>
          <w:lang w:eastAsia="zh-CN"/>
        </w:rPr>
        <w:t>种、鸟类</w:t>
      </w:r>
      <w:r>
        <w:rPr>
          <w:rFonts w:ascii="Times New Roman" w:hAnsi="Times New Roman"/>
          <w:color w:val="auto"/>
          <w:lang w:eastAsia="zh-CN"/>
        </w:rPr>
        <w:t>64</w:t>
      </w:r>
      <w:r>
        <w:rPr>
          <w:rFonts w:ascii="Times New Roman" w:hAnsi="Times New Roman" w:hint="eastAsia"/>
          <w:color w:val="auto"/>
          <w:lang w:eastAsia="zh-CN"/>
        </w:rPr>
        <w:t>种、哺乳类</w:t>
      </w:r>
      <w:r>
        <w:rPr>
          <w:rFonts w:ascii="Times New Roman" w:hAnsi="Times New Roman"/>
          <w:color w:val="auto"/>
          <w:lang w:eastAsia="zh-CN"/>
        </w:rPr>
        <w:t>8</w:t>
      </w:r>
      <w:r>
        <w:rPr>
          <w:rFonts w:ascii="Times New Roman" w:hAnsi="Times New Roman" w:hint="eastAsia"/>
          <w:color w:val="auto"/>
          <w:lang w:eastAsia="zh-CN"/>
        </w:rPr>
        <w:t>种。保护区蟹类、软体动物多样性在海南省处于较高水平。</w:t>
      </w:r>
    </w:p>
    <w:p w14:paraId="3C73B078" w14:textId="77777777" w:rsidR="0075791A" w:rsidRDefault="00FB2864">
      <w:pPr>
        <w:pStyle w:val="TableText"/>
        <w:spacing w:line="360" w:lineRule="auto"/>
        <w:ind w:firstLineChars="200" w:firstLine="480"/>
        <w:jc w:val="both"/>
        <w:rPr>
          <w:color w:val="auto"/>
          <w:sz w:val="28"/>
          <w:szCs w:val="28"/>
          <w:lang w:eastAsia="zh-CN"/>
        </w:rPr>
      </w:pPr>
      <w:r>
        <w:rPr>
          <w:rFonts w:ascii="Times New Roman" w:hAnsi="Times New Roman" w:hint="eastAsia"/>
          <w:color w:val="auto"/>
          <w:lang w:eastAsia="zh-CN"/>
        </w:rPr>
        <w:t>保护区共记录国家Ⅱ级重点保护鸟类</w:t>
      </w:r>
      <w:r>
        <w:rPr>
          <w:rFonts w:ascii="Times New Roman" w:hAnsi="Times New Roman" w:hint="eastAsia"/>
          <w:color w:val="auto"/>
          <w:lang w:eastAsia="zh-CN"/>
        </w:rPr>
        <w:t>8</w:t>
      </w:r>
      <w:r>
        <w:rPr>
          <w:rFonts w:ascii="Times New Roman" w:hAnsi="Times New Roman" w:hint="eastAsia"/>
          <w:color w:val="auto"/>
          <w:lang w:eastAsia="zh-CN"/>
        </w:rPr>
        <w:t>种，分别为岩鹭（</w:t>
      </w:r>
      <w:r>
        <w:rPr>
          <w:rFonts w:ascii="Times New Roman" w:hAnsi="Times New Roman"/>
          <w:i/>
          <w:iCs/>
          <w:color w:val="auto"/>
          <w:lang w:eastAsia="zh-CN"/>
        </w:rPr>
        <w:t>Egrettasacra</w:t>
      </w:r>
      <w:r>
        <w:rPr>
          <w:rFonts w:ascii="Times New Roman" w:hAnsi="Times New Roman" w:hint="eastAsia"/>
          <w:color w:val="auto"/>
          <w:lang w:eastAsia="zh-CN"/>
        </w:rPr>
        <w:t>）、红隼（</w:t>
      </w:r>
      <w:r>
        <w:rPr>
          <w:rFonts w:ascii="Times New Roman" w:hAnsi="Times New Roman"/>
          <w:i/>
          <w:iCs/>
          <w:color w:val="auto"/>
          <w:lang w:eastAsia="zh-CN"/>
        </w:rPr>
        <w:t>Falco tinnuncul</w:t>
      </w:r>
      <w:r>
        <w:rPr>
          <w:rFonts w:ascii="Times New Roman" w:hAnsi="Times New Roman"/>
          <w:i/>
          <w:iCs/>
          <w:color w:val="auto"/>
          <w:lang w:eastAsia="zh-CN"/>
        </w:rPr>
        <w:t>us</w:t>
      </w:r>
      <w:r>
        <w:rPr>
          <w:rFonts w:ascii="Times New Roman" w:hAnsi="Times New Roman" w:hint="eastAsia"/>
          <w:color w:val="auto"/>
          <w:lang w:eastAsia="zh-CN"/>
        </w:rPr>
        <w:t>）、鹗（</w:t>
      </w:r>
      <w:r>
        <w:rPr>
          <w:rFonts w:ascii="Times New Roman" w:hAnsi="Times New Roman"/>
          <w:i/>
          <w:iCs/>
          <w:color w:val="auto"/>
          <w:lang w:eastAsia="zh-CN"/>
        </w:rPr>
        <w:t xml:space="preserve">Pandion </w:t>
      </w:r>
      <w:r>
        <w:rPr>
          <w:rFonts w:ascii="Times New Roman" w:hAnsi="Times New Roman" w:hint="eastAsia"/>
          <w:i/>
          <w:iCs/>
          <w:color w:val="auto"/>
          <w:lang w:eastAsia="zh-CN"/>
        </w:rPr>
        <w:t>ha</w:t>
      </w:r>
      <w:r>
        <w:rPr>
          <w:rFonts w:ascii="Times New Roman" w:hAnsi="Times New Roman"/>
          <w:i/>
          <w:iCs/>
          <w:color w:val="auto"/>
          <w:lang w:eastAsia="zh-CN"/>
        </w:rPr>
        <w:t>liaetus</w:t>
      </w:r>
      <w:r>
        <w:rPr>
          <w:rFonts w:ascii="Times New Roman" w:hAnsi="Times New Roman" w:hint="eastAsia"/>
          <w:color w:val="auto"/>
          <w:lang w:eastAsia="zh-CN"/>
        </w:rPr>
        <w:t>）、黑翅鸢（</w:t>
      </w:r>
      <w:r>
        <w:rPr>
          <w:rFonts w:ascii="Times New Roman" w:hAnsi="Times New Roman"/>
          <w:i/>
          <w:iCs/>
          <w:color w:val="auto"/>
          <w:lang w:eastAsia="zh-CN"/>
        </w:rPr>
        <w:t>Elanus caeruleus</w:t>
      </w:r>
      <w:r>
        <w:rPr>
          <w:rFonts w:ascii="Times New Roman" w:hAnsi="Times New Roman" w:hint="eastAsia"/>
          <w:color w:val="auto"/>
          <w:lang w:eastAsia="zh-CN"/>
        </w:rPr>
        <w:t>）、褐翅鸦鹃（</w:t>
      </w:r>
      <w:r>
        <w:rPr>
          <w:rFonts w:ascii="Times New Roman" w:hAnsi="Times New Roman"/>
          <w:i/>
          <w:iCs/>
          <w:color w:val="auto"/>
          <w:lang w:eastAsia="zh-CN"/>
        </w:rPr>
        <w:t>Centropus sincnsis</w:t>
      </w:r>
      <w:r>
        <w:rPr>
          <w:rFonts w:ascii="Times New Roman" w:hAnsi="Times New Roman" w:hint="eastAsia"/>
          <w:color w:val="auto"/>
          <w:lang w:eastAsia="zh-CN"/>
        </w:rPr>
        <w:t>）、小鸦鹃（</w:t>
      </w:r>
      <w:r>
        <w:rPr>
          <w:rFonts w:ascii="Times New Roman" w:hAnsi="Times New Roman"/>
          <w:i/>
          <w:iCs/>
          <w:color w:val="auto"/>
          <w:lang w:eastAsia="zh-CN"/>
        </w:rPr>
        <w:t>Centropus bengalensis</w:t>
      </w:r>
      <w:r>
        <w:rPr>
          <w:rFonts w:ascii="Times New Roman" w:hAnsi="Times New Roman" w:hint="eastAsia"/>
          <w:color w:val="auto"/>
          <w:lang w:eastAsia="zh-CN"/>
        </w:rPr>
        <w:t>）、白胸翡翠（</w:t>
      </w:r>
      <w:r>
        <w:rPr>
          <w:rFonts w:ascii="Times New Roman" w:hAnsi="Times New Roman"/>
          <w:i/>
          <w:iCs/>
          <w:color w:val="auto"/>
          <w:lang w:eastAsia="zh-CN"/>
        </w:rPr>
        <w:t>h</w:t>
      </w:r>
      <w:r>
        <w:rPr>
          <w:rFonts w:ascii="Times New Roman" w:hAnsi="Times New Roman" w:hint="eastAsia"/>
          <w:i/>
          <w:iCs/>
          <w:color w:val="auto"/>
          <w:lang w:eastAsia="zh-CN"/>
        </w:rPr>
        <w:t>a</w:t>
      </w:r>
      <w:r>
        <w:rPr>
          <w:rFonts w:ascii="Times New Roman" w:hAnsi="Times New Roman"/>
          <w:i/>
          <w:iCs/>
          <w:color w:val="auto"/>
          <w:lang w:eastAsia="zh-CN"/>
        </w:rPr>
        <w:t>lcyon snyrnensis</w:t>
      </w:r>
      <w:r>
        <w:rPr>
          <w:rFonts w:ascii="Times New Roman" w:hAnsi="Times New Roman" w:hint="eastAsia"/>
          <w:color w:val="auto"/>
          <w:lang w:eastAsia="zh-CN"/>
        </w:rPr>
        <w:t>）、栗喉蜂虎（</w:t>
      </w:r>
      <w:r>
        <w:rPr>
          <w:rFonts w:ascii="Times New Roman" w:hAnsi="Times New Roman"/>
          <w:i/>
          <w:iCs/>
          <w:color w:val="auto"/>
          <w:lang w:eastAsia="zh-CN"/>
        </w:rPr>
        <w:t>Merops philippinus</w:t>
      </w:r>
      <w:r>
        <w:rPr>
          <w:rFonts w:ascii="Times New Roman" w:hAnsi="Times New Roman" w:hint="eastAsia"/>
          <w:color w:val="auto"/>
          <w:lang w:eastAsia="zh-CN"/>
        </w:rPr>
        <w:t>）；海南省重点保护鸟类</w:t>
      </w:r>
      <w:r>
        <w:rPr>
          <w:rFonts w:ascii="Times New Roman" w:hAnsi="Times New Roman" w:hint="eastAsia"/>
          <w:color w:val="auto"/>
          <w:lang w:eastAsia="zh-CN"/>
        </w:rPr>
        <w:t>29</w:t>
      </w:r>
      <w:r>
        <w:rPr>
          <w:rFonts w:ascii="Times New Roman" w:hAnsi="Times New Roman"/>
          <w:color w:val="auto"/>
          <w:lang w:eastAsia="zh-CN"/>
        </w:rPr>
        <w:t xml:space="preserve"> </w:t>
      </w:r>
      <w:r>
        <w:rPr>
          <w:rFonts w:ascii="Times New Roman" w:hAnsi="Times New Roman" w:hint="eastAsia"/>
          <w:color w:val="auto"/>
          <w:lang w:eastAsia="zh-CN"/>
        </w:rPr>
        <w:t>种，分别为普通鸬鹚（</w:t>
      </w:r>
      <w:r>
        <w:rPr>
          <w:rFonts w:ascii="Times New Roman" w:hAnsi="Times New Roman"/>
          <w:i/>
          <w:iCs/>
          <w:color w:val="auto"/>
          <w:lang w:eastAsia="zh-CN"/>
        </w:rPr>
        <w:t>Ph</w:t>
      </w:r>
      <w:r>
        <w:rPr>
          <w:rFonts w:ascii="Times New Roman" w:hAnsi="Times New Roman" w:hint="eastAsia"/>
          <w:i/>
          <w:iCs/>
          <w:color w:val="auto"/>
          <w:lang w:eastAsia="zh-CN"/>
        </w:rPr>
        <w:t>a</w:t>
      </w:r>
      <w:r>
        <w:rPr>
          <w:rFonts w:ascii="Times New Roman" w:hAnsi="Times New Roman"/>
          <w:i/>
          <w:iCs/>
          <w:color w:val="auto"/>
          <w:lang w:eastAsia="zh-CN"/>
        </w:rPr>
        <w:t>lacrocorax carbo</w:t>
      </w:r>
      <w:r>
        <w:rPr>
          <w:rFonts w:ascii="Times New Roman" w:hAnsi="Times New Roman" w:hint="eastAsia"/>
          <w:color w:val="auto"/>
          <w:lang w:eastAsia="zh-CN"/>
        </w:rPr>
        <w:t>）、白鹭（</w:t>
      </w:r>
      <w:r>
        <w:rPr>
          <w:rFonts w:ascii="Times New Roman" w:hAnsi="Times New Roman"/>
          <w:i/>
          <w:iCs/>
          <w:color w:val="auto"/>
          <w:lang w:eastAsia="zh-CN"/>
        </w:rPr>
        <w:t>Egretta garzetta</w:t>
      </w:r>
      <w:r>
        <w:rPr>
          <w:rFonts w:ascii="Times New Roman" w:hAnsi="Times New Roman" w:hint="eastAsia"/>
          <w:color w:val="auto"/>
          <w:lang w:eastAsia="zh-CN"/>
        </w:rPr>
        <w:t>）、</w:t>
      </w:r>
      <w:r>
        <w:rPr>
          <w:rFonts w:ascii="Times New Roman" w:hAnsi="Times New Roman" w:hint="eastAsia"/>
          <w:color w:val="auto"/>
          <w:lang w:eastAsia="zh-CN"/>
        </w:rPr>
        <w:t xml:space="preserve"> </w:t>
      </w:r>
      <w:r>
        <w:rPr>
          <w:rFonts w:ascii="Times New Roman" w:hAnsi="Times New Roman" w:hint="eastAsia"/>
          <w:color w:val="auto"/>
          <w:lang w:eastAsia="zh-CN"/>
        </w:rPr>
        <w:t>中白鹭（</w:t>
      </w:r>
      <w:r>
        <w:rPr>
          <w:rFonts w:ascii="Times New Roman" w:hAnsi="Times New Roman"/>
          <w:i/>
          <w:iCs/>
          <w:color w:val="auto"/>
          <w:lang w:eastAsia="zh-CN"/>
        </w:rPr>
        <w:t>Ardea intermedia</w:t>
      </w:r>
      <w:r>
        <w:rPr>
          <w:rFonts w:ascii="Times New Roman" w:hAnsi="Times New Roman" w:hint="eastAsia"/>
          <w:color w:val="auto"/>
          <w:lang w:eastAsia="zh-CN"/>
        </w:rPr>
        <w:t>）、苍鹭（</w:t>
      </w:r>
      <w:r>
        <w:rPr>
          <w:rFonts w:ascii="Times New Roman" w:hAnsi="Times New Roman"/>
          <w:i/>
          <w:iCs/>
          <w:color w:val="auto"/>
          <w:lang w:eastAsia="zh-CN"/>
        </w:rPr>
        <w:t xml:space="preserve">Ardea </w:t>
      </w:r>
      <w:r>
        <w:rPr>
          <w:rFonts w:ascii="Times New Roman" w:hAnsi="Times New Roman"/>
          <w:i/>
          <w:iCs/>
          <w:color w:val="auto"/>
          <w:lang w:eastAsia="zh-CN"/>
        </w:rPr>
        <w:t>cinerea</w:t>
      </w:r>
      <w:r>
        <w:rPr>
          <w:rFonts w:ascii="Times New Roman" w:hAnsi="Times New Roman" w:hint="eastAsia"/>
          <w:color w:val="auto"/>
          <w:lang w:eastAsia="zh-CN"/>
        </w:rPr>
        <w:t>）、池鹭（</w:t>
      </w:r>
      <w:r>
        <w:rPr>
          <w:rFonts w:ascii="Times New Roman" w:hAnsi="Times New Roman"/>
          <w:i/>
          <w:iCs/>
          <w:color w:val="auto"/>
          <w:lang w:eastAsia="zh-CN"/>
        </w:rPr>
        <w:t>Ardeola bacchus</w:t>
      </w:r>
      <w:r>
        <w:rPr>
          <w:rFonts w:ascii="Times New Roman" w:hAnsi="Times New Roman" w:hint="eastAsia"/>
          <w:color w:val="auto"/>
          <w:lang w:eastAsia="zh-CN"/>
        </w:rPr>
        <w:t>）、</w:t>
      </w:r>
      <w:r>
        <w:rPr>
          <w:rFonts w:ascii="Times New Roman" w:hAnsi="Times New Roman" w:hint="eastAsia"/>
          <w:color w:val="auto"/>
          <w:lang w:eastAsia="zh-CN"/>
        </w:rPr>
        <w:t xml:space="preserve"> </w:t>
      </w:r>
      <w:r>
        <w:rPr>
          <w:rFonts w:ascii="Times New Roman" w:hAnsi="Times New Roman" w:hint="eastAsia"/>
          <w:color w:val="auto"/>
          <w:lang w:eastAsia="zh-CN"/>
        </w:rPr>
        <w:t>大白鹭（</w:t>
      </w:r>
      <w:r>
        <w:rPr>
          <w:rFonts w:ascii="Times New Roman" w:hAnsi="Times New Roman"/>
          <w:i/>
          <w:iCs/>
          <w:color w:val="auto"/>
          <w:lang w:eastAsia="zh-CN"/>
        </w:rPr>
        <w:t>Casmerodius albus</w:t>
      </w:r>
      <w:r>
        <w:rPr>
          <w:rFonts w:ascii="Times New Roman" w:hAnsi="Times New Roman" w:hint="eastAsia"/>
          <w:color w:val="auto"/>
          <w:lang w:eastAsia="zh-CN"/>
        </w:rPr>
        <w:t>）、黑水鸡（</w:t>
      </w:r>
      <w:r>
        <w:rPr>
          <w:rFonts w:ascii="Times New Roman" w:hAnsi="Times New Roman"/>
          <w:i/>
          <w:iCs/>
          <w:color w:val="auto"/>
          <w:lang w:eastAsia="zh-CN"/>
        </w:rPr>
        <w:t>Gallinula chloropus</w:t>
      </w:r>
      <w:r>
        <w:rPr>
          <w:rFonts w:ascii="Times New Roman" w:hAnsi="Times New Roman" w:hint="eastAsia"/>
          <w:color w:val="auto"/>
          <w:lang w:eastAsia="zh-CN"/>
        </w:rPr>
        <w:t>）、金眶鸻（</w:t>
      </w:r>
      <w:r>
        <w:rPr>
          <w:rFonts w:ascii="Times New Roman" w:hAnsi="Times New Roman"/>
          <w:i/>
          <w:iCs/>
          <w:color w:val="auto"/>
          <w:lang w:eastAsia="zh-CN"/>
        </w:rPr>
        <w:t>Ch</w:t>
      </w:r>
      <w:r>
        <w:rPr>
          <w:rFonts w:ascii="Times New Roman" w:hAnsi="Times New Roman" w:hint="eastAsia"/>
          <w:i/>
          <w:iCs/>
          <w:color w:val="auto"/>
          <w:lang w:eastAsia="zh-CN"/>
        </w:rPr>
        <w:t>a</w:t>
      </w:r>
      <w:r>
        <w:rPr>
          <w:rFonts w:ascii="Times New Roman" w:hAnsi="Times New Roman"/>
          <w:i/>
          <w:iCs/>
          <w:color w:val="auto"/>
          <w:lang w:eastAsia="zh-CN"/>
        </w:rPr>
        <w:t>radrius dubius</w:t>
      </w:r>
      <w:r>
        <w:rPr>
          <w:rFonts w:ascii="Times New Roman" w:hAnsi="Times New Roman" w:hint="eastAsia"/>
          <w:color w:val="auto"/>
          <w:lang w:eastAsia="zh-CN"/>
        </w:rPr>
        <w:t>）、环颈鸻（</w:t>
      </w:r>
      <w:r>
        <w:rPr>
          <w:rFonts w:ascii="Times New Roman" w:hAnsi="Times New Roman"/>
          <w:i/>
          <w:iCs/>
          <w:color w:val="auto"/>
          <w:lang w:eastAsia="zh-CN"/>
        </w:rPr>
        <w:t>Ch</w:t>
      </w:r>
      <w:r>
        <w:rPr>
          <w:rFonts w:ascii="Times New Roman" w:hAnsi="Times New Roman" w:hint="eastAsia"/>
          <w:i/>
          <w:iCs/>
          <w:color w:val="auto"/>
          <w:lang w:eastAsia="zh-CN"/>
        </w:rPr>
        <w:t>a</w:t>
      </w:r>
      <w:r>
        <w:rPr>
          <w:rFonts w:ascii="Times New Roman" w:hAnsi="Times New Roman"/>
          <w:i/>
          <w:iCs/>
          <w:color w:val="auto"/>
          <w:lang w:eastAsia="zh-CN"/>
        </w:rPr>
        <w:t>radrius alexandrinus</w:t>
      </w:r>
      <w:r>
        <w:rPr>
          <w:rFonts w:ascii="Times New Roman" w:hAnsi="Times New Roman" w:hint="eastAsia"/>
          <w:color w:val="auto"/>
          <w:lang w:eastAsia="zh-CN"/>
        </w:rPr>
        <w:t>）、蒙古沙鸻（</w:t>
      </w:r>
      <w:r>
        <w:rPr>
          <w:rFonts w:ascii="Times New Roman" w:hAnsi="Times New Roman"/>
          <w:i/>
          <w:iCs/>
          <w:color w:val="auto"/>
          <w:lang w:eastAsia="zh-CN"/>
        </w:rPr>
        <w:t>Ch</w:t>
      </w:r>
      <w:r>
        <w:rPr>
          <w:rFonts w:ascii="Times New Roman" w:hAnsi="Times New Roman" w:hint="eastAsia"/>
          <w:i/>
          <w:iCs/>
          <w:color w:val="auto"/>
          <w:lang w:eastAsia="zh-CN"/>
        </w:rPr>
        <w:t>a</w:t>
      </w:r>
      <w:r>
        <w:rPr>
          <w:rFonts w:ascii="Times New Roman" w:hAnsi="Times New Roman"/>
          <w:i/>
          <w:iCs/>
          <w:color w:val="auto"/>
          <w:lang w:eastAsia="zh-CN"/>
        </w:rPr>
        <w:t>radrius mongolus</w:t>
      </w:r>
      <w:r>
        <w:rPr>
          <w:rFonts w:ascii="Times New Roman" w:hAnsi="Times New Roman" w:hint="eastAsia"/>
          <w:color w:val="auto"/>
          <w:lang w:eastAsia="zh-CN"/>
        </w:rPr>
        <w:t>）、</w:t>
      </w:r>
      <w:r>
        <w:rPr>
          <w:rFonts w:ascii="Times New Roman" w:hAnsi="Times New Roman" w:hint="eastAsia"/>
          <w:color w:val="auto"/>
          <w:lang w:eastAsia="zh-CN"/>
        </w:rPr>
        <w:t xml:space="preserve"> </w:t>
      </w:r>
      <w:r>
        <w:rPr>
          <w:rFonts w:ascii="Times New Roman" w:hAnsi="Times New Roman" w:hint="eastAsia"/>
          <w:color w:val="auto"/>
          <w:lang w:eastAsia="zh-CN"/>
        </w:rPr>
        <w:t>铁嘴沙鸻（</w:t>
      </w:r>
      <w:r>
        <w:rPr>
          <w:rFonts w:ascii="Times New Roman" w:hAnsi="Times New Roman"/>
          <w:i/>
          <w:iCs/>
          <w:color w:val="auto"/>
          <w:lang w:eastAsia="zh-CN"/>
        </w:rPr>
        <w:t>Ch</w:t>
      </w:r>
      <w:r>
        <w:rPr>
          <w:rFonts w:ascii="Times New Roman" w:hAnsi="Times New Roman" w:hint="eastAsia"/>
          <w:i/>
          <w:iCs/>
          <w:color w:val="auto"/>
          <w:lang w:eastAsia="zh-CN"/>
        </w:rPr>
        <w:t>a</w:t>
      </w:r>
      <w:r>
        <w:rPr>
          <w:rFonts w:ascii="Times New Roman" w:hAnsi="Times New Roman"/>
          <w:i/>
          <w:iCs/>
          <w:color w:val="auto"/>
          <w:lang w:eastAsia="zh-CN"/>
        </w:rPr>
        <w:t>radrius leschenaultii</w:t>
      </w:r>
      <w:r>
        <w:rPr>
          <w:rFonts w:ascii="Times New Roman" w:hAnsi="Times New Roman" w:hint="eastAsia"/>
          <w:color w:val="auto"/>
          <w:lang w:eastAsia="zh-CN"/>
        </w:rPr>
        <w:t>）、金斑鸻（</w:t>
      </w:r>
      <w:r>
        <w:rPr>
          <w:rFonts w:ascii="Times New Roman" w:hAnsi="Times New Roman"/>
          <w:i/>
          <w:iCs/>
          <w:color w:val="auto"/>
          <w:lang w:eastAsia="zh-CN"/>
        </w:rPr>
        <w:t>Pluvialis dominica</w:t>
      </w:r>
      <w:r>
        <w:rPr>
          <w:rFonts w:ascii="Times New Roman" w:hAnsi="Times New Roman" w:hint="eastAsia"/>
          <w:color w:val="auto"/>
          <w:lang w:eastAsia="zh-CN"/>
        </w:rPr>
        <w:t>）、中杓鹬</w:t>
      </w:r>
      <w:r>
        <w:rPr>
          <w:rFonts w:ascii="Times New Roman" w:hAnsi="Times New Roman" w:hint="eastAsia"/>
          <w:color w:val="auto"/>
          <w:lang w:eastAsia="zh-CN"/>
        </w:rPr>
        <w:t xml:space="preserve"> </w:t>
      </w:r>
      <w:r>
        <w:rPr>
          <w:rFonts w:ascii="Times New Roman" w:hAnsi="Times New Roman" w:hint="eastAsia"/>
          <w:color w:val="auto"/>
          <w:lang w:eastAsia="zh-CN"/>
        </w:rPr>
        <w:t>（</w:t>
      </w:r>
      <w:r>
        <w:rPr>
          <w:rFonts w:ascii="Times New Roman" w:hAnsi="Times New Roman"/>
          <w:i/>
          <w:iCs/>
          <w:color w:val="auto"/>
          <w:lang w:eastAsia="zh-CN"/>
        </w:rPr>
        <w:t>Numenius ph</w:t>
      </w:r>
      <w:r>
        <w:rPr>
          <w:rFonts w:ascii="Times New Roman" w:hAnsi="Times New Roman" w:hint="eastAsia"/>
          <w:i/>
          <w:iCs/>
          <w:color w:val="auto"/>
          <w:lang w:eastAsia="zh-CN"/>
        </w:rPr>
        <w:t>a</w:t>
      </w:r>
      <w:r>
        <w:rPr>
          <w:rFonts w:ascii="Times New Roman" w:hAnsi="Times New Roman"/>
          <w:i/>
          <w:iCs/>
          <w:color w:val="auto"/>
          <w:lang w:eastAsia="zh-CN"/>
        </w:rPr>
        <w:t>eopus</w:t>
      </w:r>
      <w:r>
        <w:rPr>
          <w:rFonts w:ascii="Times New Roman" w:hAnsi="Times New Roman" w:hint="eastAsia"/>
          <w:color w:val="auto"/>
          <w:lang w:eastAsia="zh-CN"/>
        </w:rPr>
        <w:t>）、矶鹬（</w:t>
      </w:r>
      <w:r>
        <w:rPr>
          <w:rFonts w:ascii="Times New Roman" w:hAnsi="Times New Roman"/>
          <w:i/>
          <w:iCs/>
          <w:color w:val="auto"/>
          <w:lang w:eastAsia="zh-CN"/>
        </w:rPr>
        <w:t xml:space="preserve">Actitis </w:t>
      </w:r>
      <w:r>
        <w:rPr>
          <w:rFonts w:ascii="Times New Roman" w:hAnsi="Times New Roman"/>
          <w:i/>
          <w:iCs/>
          <w:color w:val="auto"/>
          <w:lang w:eastAsia="zh-CN"/>
        </w:rPr>
        <w:t>hypoleucos</w:t>
      </w:r>
      <w:r>
        <w:rPr>
          <w:rFonts w:ascii="Times New Roman" w:hAnsi="Times New Roman" w:hint="eastAsia"/>
          <w:color w:val="auto"/>
          <w:lang w:eastAsia="zh-CN"/>
        </w:rPr>
        <w:t>）、泽鹬（</w:t>
      </w:r>
      <w:r>
        <w:rPr>
          <w:rFonts w:ascii="Times New Roman" w:hAnsi="Times New Roman"/>
          <w:i/>
          <w:iCs/>
          <w:color w:val="auto"/>
          <w:lang w:eastAsia="zh-CN"/>
        </w:rPr>
        <w:t>Tringa stagnatilis</w:t>
      </w:r>
      <w:r>
        <w:rPr>
          <w:rFonts w:ascii="Times New Roman" w:hAnsi="Times New Roman" w:hint="eastAsia"/>
          <w:color w:val="auto"/>
          <w:lang w:eastAsia="zh-CN"/>
        </w:rPr>
        <w:t>）、红脚鹬（</w:t>
      </w:r>
      <w:r>
        <w:rPr>
          <w:rFonts w:ascii="Times New Roman" w:hAnsi="Times New Roman"/>
          <w:i/>
          <w:iCs/>
          <w:color w:val="auto"/>
          <w:lang w:eastAsia="zh-CN"/>
        </w:rPr>
        <w:t>Tringa totanus</w:t>
      </w:r>
      <w:r>
        <w:rPr>
          <w:rFonts w:ascii="Times New Roman" w:hAnsi="Times New Roman" w:hint="eastAsia"/>
          <w:color w:val="auto"/>
          <w:lang w:eastAsia="zh-CN"/>
        </w:rPr>
        <w:t>）、青脚鹬（</w:t>
      </w:r>
      <w:r>
        <w:rPr>
          <w:rFonts w:ascii="Times New Roman" w:hAnsi="Times New Roman"/>
          <w:i/>
          <w:iCs/>
          <w:color w:val="auto"/>
          <w:lang w:eastAsia="zh-CN"/>
        </w:rPr>
        <w:t>Tringa nebularia</w:t>
      </w:r>
      <w:r>
        <w:rPr>
          <w:rFonts w:ascii="Times New Roman" w:hAnsi="Times New Roman" w:hint="eastAsia"/>
          <w:color w:val="auto"/>
          <w:lang w:eastAsia="zh-CN"/>
        </w:rPr>
        <w:t>）、林鹬（</w:t>
      </w:r>
      <w:r>
        <w:rPr>
          <w:rFonts w:ascii="Times New Roman" w:hAnsi="Times New Roman"/>
          <w:i/>
          <w:iCs/>
          <w:color w:val="auto"/>
          <w:lang w:eastAsia="zh-CN"/>
        </w:rPr>
        <w:t>Tringa glareola</w:t>
      </w:r>
      <w:r>
        <w:rPr>
          <w:rFonts w:ascii="Times New Roman" w:hAnsi="Times New Roman" w:hint="eastAsia"/>
          <w:color w:val="auto"/>
          <w:lang w:eastAsia="zh-CN"/>
        </w:rPr>
        <w:t>）、</w:t>
      </w:r>
      <w:r>
        <w:rPr>
          <w:rFonts w:ascii="Times New Roman" w:hAnsi="Times New Roman" w:hint="eastAsia"/>
          <w:color w:val="auto"/>
          <w:lang w:eastAsia="zh-CN"/>
        </w:rPr>
        <w:t xml:space="preserve"> </w:t>
      </w:r>
      <w:r>
        <w:rPr>
          <w:rFonts w:ascii="Times New Roman" w:hAnsi="Times New Roman" w:hint="eastAsia"/>
          <w:color w:val="auto"/>
          <w:lang w:eastAsia="zh-CN"/>
        </w:rPr>
        <w:t>红颈滨鹬（</w:t>
      </w:r>
      <w:r>
        <w:rPr>
          <w:rFonts w:ascii="Times New Roman" w:hAnsi="Times New Roman"/>
          <w:i/>
          <w:iCs/>
          <w:color w:val="auto"/>
          <w:lang w:eastAsia="zh-CN"/>
        </w:rPr>
        <w:t>Calidris ruficollis</w:t>
      </w:r>
      <w:r>
        <w:rPr>
          <w:rFonts w:ascii="Times New Roman" w:hAnsi="Times New Roman" w:hint="eastAsia"/>
          <w:color w:val="auto"/>
          <w:lang w:eastAsia="zh-CN"/>
        </w:rPr>
        <w:t>）、青脚滨鹬（</w:t>
      </w:r>
      <w:r>
        <w:rPr>
          <w:rFonts w:ascii="Times New Roman" w:hAnsi="Times New Roman"/>
          <w:i/>
          <w:iCs/>
          <w:color w:val="auto"/>
          <w:lang w:eastAsia="zh-CN"/>
        </w:rPr>
        <w:t>Calidris temminckii</w:t>
      </w:r>
      <w:r>
        <w:rPr>
          <w:rFonts w:ascii="Times New Roman" w:hAnsi="Times New Roman" w:hint="eastAsia"/>
          <w:color w:val="auto"/>
          <w:lang w:eastAsia="zh-CN"/>
        </w:rPr>
        <w:t>）、扇尾沙锥（</w:t>
      </w:r>
      <w:r>
        <w:rPr>
          <w:rFonts w:ascii="Times New Roman" w:hAnsi="Times New Roman"/>
          <w:i/>
          <w:iCs/>
          <w:color w:val="auto"/>
          <w:lang w:eastAsia="zh-CN"/>
        </w:rPr>
        <w:t>Gallinago gallinago</w:t>
      </w:r>
      <w:r>
        <w:rPr>
          <w:rFonts w:ascii="Times New Roman" w:hAnsi="Times New Roman" w:hint="eastAsia"/>
          <w:color w:val="auto"/>
          <w:lang w:eastAsia="zh-CN"/>
        </w:rPr>
        <w:t>）、针尾沙锥（</w:t>
      </w:r>
      <w:r>
        <w:rPr>
          <w:rFonts w:ascii="Times New Roman" w:hAnsi="Times New Roman"/>
          <w:i/>
          <w:iCs/>
          <w:color w:val="auto"/>
          <w:lang w:eastAsia="zh-CN"/>
        </w:rPr>
        <w:t>Gallinago stenura</w:t>
      </w:r>
      <w:r>
        <w:rPr>
          <w:rFonts w:ascii="Times New Roman" w:hAnsi="Times New Roman" w:hint="eastAsia"/>
          <w:color w:val="auto"/>
          <w:lang w:eastAsia="zh-CN"/>
        </w:rPr>
        <w:t>）、灰尾漂鹬（</w:t>
      </w:r>
      <w:r>
        <w:rPr>
          <w:rFonts w:ascii="Times New Roman" w:hAnsi="Times New Roman"/>
          <w:i/>
          <w:iCs/>
          <w:color w:val="auto"/>
          <w:lang w:eastAsia="zh-CN"/>
        </w:rPr>
        <w:t>Heteroscelus brevipes</w:t>
      </w:r>
      <w:r>
        <w:rPr>
          <w:rFonts w:ascii="Times New Roman" w:hAnsi="Times New Roman" w:hint="eastAsia"/>
          <w:color w:val="auto"/>
          <w:lang w:eastAsia="zh-CN"/>
        </w:rPr>
        <w:t>）、</w:t>
      </w:r>
      <w:r>
        <w:rPr>
          <w:rFonts w:ascii="Times New Roman" w:hAnsi="Times New Roman" w:hint="eastAsia"/>
          <w:color w:val="auto"/>
          <w:lang w:eastAsia="zh-CN"/>
        </w:rPr>
        <w:t xml:space="preserve"> </w:t>
      </w:r>
      <w:r>
        <w:rPr>
          <w:rFonts w:ascii="Times New Roman" w:hAnsi="Times New Roman" w:hint="eastAsia"/>
          <w:color w:val="auto"/>
          <w:lang w:eastAsia="zh-CN"/>
        </w:rPr>
        <w:t>翘嘴鹬（</w:t>
      </w:r>
      <w:r>
        <w:rPr>
          <w:rFonts w:ascii="Times New Roman" w:hAnsi="Times New Roman"/>
          <w:i/>
          <w:iCs/>
          <w:color w:val="auto"/>
          <w:lang w:eastAsia="zh-CN"/>
        </w:rPr>
        <w:t>Xenus cinereus</w:t>
      </w:r>
      <w:r>
        <w:rPr>
          <w:rFonts w:ascii="Times New Roman" w:hAnsi="Times New Roman" w:hint="eastAsia"/>
          <w:color w:val="auto"/>
          <w:lang w:eastAsia="zh-CN"/>
        </w:rPr>
        <w:t>）、须浮鸥（</w:t>
      </w:r>
      <w:r>
        <w:rPr>
          <w:rFonts w:ascii="Times New Roman" w:hAnsi="Times New Roman"/>
          <w:i/>
          <w:iCs/>
          <w:color w:val="auto"/>
          <w:lang w:eastAsia="zh-CN"/>
        </w:rPr>
        <w:t>Chl</w:t>
      </w:r>
      <w:r>
        <w:rPr>
          <w:rFonts w:ascii="Times New Roman" w:hAnsi="Times New Roman"/>
          <w:i/>
          <w:iCs/>
          <w:color w:val="auto"/>
          <w:lang w:eastAsia="zh-CN"/>
        </w:rPr>
        <w:t>idonias hybrida</w:t>
      </w:r>
      <w:r>
        <w:rPr>
          <w:rFonts w:ascii="Times New Roman" w:hAnsi="Times New Roman" w:hint="eastAsia"/>
          <w:color w:val="auto"/>
          <w:lang w:eastAsia="zh-CN"/>
        </w:rPr>
        <w:t>）、珠颈斑鸠（</w:t>
      </w:r>
      <w:r>
        <w:rPr>
          <w:rFonts w:ascii="Times New Roman" w:hAnsi="Times New Roman"/>
          <w:i/>
          <w:iCs/>
          <w:color w:val="auto"/>
          <w:lang w:eastAsia="zh-CN"/>
        </w:rPr>
        <w:t>Streptopelia chinensis</w:t>
      </w:r>
      <w:r>
        <w:rPr>
          <w:rFonts w:ascii="Times New Roman" w:hAnsi="Times New Roman" w:hint="eastAsia"/>
          <w:color w:val="auto"/>
          <w:lang w:eastAsia="zh-CN"/>
        </w:rPr>
        <w:t>）、白头鹎（</w:t>
      </w:r>
      <w:r>
        <w:rPr>
          <w:rFonts w:ascii="Times New Roman" w:hAnsi="Times New Roman"/>
          <w:i/>
          <w:iCs/>
          <w:color w:val="auto"/>
          <w:lang w:eastAsia="zh-CN"/>
        </w:rPr>
        <w:t>Pycnonotus sinensis</w:t>
      </w:r>
      <w:r>
        <w:rPr>
          <w:rFonts w:ascii="Times New Roman" w:hAnsi="Times New Roman" w:hint="eastAsia"/>
          <w:color w:val="auto"/>
          <w:lang w:eastAsia="zh-CN"/>
        </w:rPr>
        <w:t>）、八哥（</w:t>
      </w:r>
      <w:r>
        <w:rPr>
          <w:rFonts w:ascii="Times New Roman" w:hAnsi="Times New Roman"/>
          <w:i/>
          <w:iCs/>
          <w:color w:val="auto"/>
          <w:lang w:eastAsia="zh-CN"/>
        </w:rPr>
        <w:t>Acridotheres cristatellus</w:t>
      </w:r>
      <w:r>
        <w:rPr>
          <w:rFonts w:ascii="Times New Roman" w:hAnsi="Times New Roman" w:hint="eastAsia"/>
          <w:color w:val="auto"/>
          <w:lang w:eastAsia="zh-CN"/>
        </w:rPr>
        <w:t>）、</w:t>
      </w:r>
      <w:r>
        <w:rPr>
          <w:rFonts w:ascii="Times New Roman" w:hAnsi="Times New Roman" w:hint="eastAsia"/>
          <w:color w:val="auto"/>
          <w:lang w:eastAsia="zh-CN"/>
        </w:rPr>
        <w:t xml:space="preserve"> </w:t>
      </w:r>
      <w:r>
        <w:rPr>
          <w:rFonts w:ascii="Times New Roman" w:hAnsi="Times New Roman" w:hint="eastAsia"/>
          <w:color w:val="auto"/>
          <w:lang w:eastAsia="zh-CN"/>
        </w:rPr>
        <w:t>家八哥（</w:t>
      </w:r>
      <w:r>
        <w:rPr>
          <w:rFonts w:ascii="Times New Roman" w:hAnsi="Times New Roman"/>
          <w:i/>
          <w:iCs/>
          <w:color w:val="auto"/>
          <w:lang w:eastAsia="zh-CN"/>
        </w:rPr>
        <w:t>Acridotheres tristis</w:t>
      </w:r>
      <w:r>
        <w:rPr>
          <w:rFonts w:ascii="Times New Roman" w:hAnsi="Times New Roman" w:hint="eastAsia"/>
          <w:color w:val="auto"/>
          <w:lang w:eastAsia="zh-CN"/>
        </w:rPr>
        <w:t>）等。白鹭、苍鹭、池鹭、大白鹭、金眶鸻、环颈</w:t>
      </w:r>
      <w:r>
        <w:rPr>
          <w:rFonts w:ascii="Times New Roman" w:hAnsi="Times New Roman" w:hint="eastAsia"/>
          <w:color w:val="auto"/>
          <w:lang w:eastAsia="zh-CN"/>
        </w:rPr>
        <w:t xml:space="preserve"> </w:t>
      </w:r>
      <w:r>
        <w:rPr>
          <w:rFonts w:ascii="Times New Roman" w:hAnsi="Times New Roman" w:hint="eastAsia"/>
          <w:color w:val="auto"/>
          <w:lang w:eastAsia="zh-CN"/>
        </w:rPr>
        <w:t>鸻、小白腰雨燕、家燕、白头鹎、鹊鸲、黄腹花蜜鸟、暗绿绣眼鸟为保护区优势物种。</w:t>
      </w:r>
    </w:p>
    <w:p w14:paraId="3D45BB2B"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保护区共记录水鸟</w:t>
      </w:r>
      <w:r>
        <w:rPr>
          <w:rFonts w:ascii="Times New Roman" w:hAnsi="Times New Roman"/>
          <w:color w:val="auto"/>
          <w:lang w:eastAsia="zh-CN"/>
        </w:rPr>
        <w:t>32</w:t>
      </w:r>
      <w:r>
        <w:rPr>
          <w:rFonts w:ascii="Times New Roman" w:hAnsi="Times New Roman" w:hint="eastAsia"/>
          <w:color w:val="auto"/>
          <w:lang w:eastAsia="zh-CN"/>
        </w:rPr>
        <w:t>种，占保护区鸟类物种数的</w:t>
      </w:r>
      <w:r>
        <w:rPr>
          <w:rFonts w:ascii="Times New Roman" w:hAnsi="Times New Roman"/>
          <w:color w:val="auto"/>
          <w:lang w:eastAsia="zh-CN"/>
        </w:rPr>
        <w:t>40.5%</w:t>
      </w:r>
      <w:r>
        <w:rPr>
          <w:rFonts w:ascii="Times New Roman" w:hAnsi="Times New Roman" w:hint="eastAsia"/>
          <w:color w:val="auto"/>
          <w:lang w:eastAsia="zh-CN"/>
        </w:rPr>
        <w:t>，大多数水鸟都是保护区重点保护鸟类。区系组成上，两栖纲</w:t>
      </w:r>
      <w:r>
        <w:rPr>
          <w:rFonts w:ascii="Times New Roman" w:hAnsi="Times New Roman"/>
          <w:color w:val="auto"/>
          <w:lang w:eastAsia="zh-CN"/>
        </w:rPr>
        <w:t>1</w:t>
      </w:r>
      <w:r>
        <w:rPr>
          <w:rFonts w:ascii="Times New Roman" w:hAnsi="Times New Roman" w:hint="eastAsia"/>
          <w:color w:val="auto"/>
          <w:lang w:eastAsia="zh-CN"/>
        </w:rPr>
        <w:t>目</w:t>
      </w:r>
      <w:r>
        <w:rPr>
          <w:rFonts w:ascii="Times New Roman" w:hAnsi="Times New Roman"/>
          <w:color w:val="auto"/>
          <w:lang w:eastAsia="zh-CN"/>
        </w:rPr>
        <w:t>5</w:t>
      </w:r>
      <w:r>
        <w:rPr>
          <w:rFonts w:ascii="Times New Roman" w:hAnsi="Times New Roman" w:hint="eastAsia"/>
          <w:color w:val="auto"/>
          <w:lang w:eastAsia="zh-CN"/>
        </w:rPr>
        <w:t>科</w:t>
      </w:r>
      <w:r>
        <w:rPr>
          <w:rFonts w:ascii="Times New Roman" w:hAnsi="Times New Roman"/>
          <w:color w:val="auto"/>
          <w:lang w:eastAsia="zh-CN"/>
        </w:rPr>
        <w:t>7</w:t>
      </w:r>
      <w:r>
        <w:rPr>
          <w:rFonts w:ascii="Times New Roman" w:hAnsi="Times New Roman" w:hint="eastAsia"/>
          <w:color w:val="auto"/>
          <w:lang w:eastAsia="zh-CN"/>
        </w:rPr>
        <w:t>种，全部属于东洋界</w:t>
      </w:r>
      <w:r>
        <w:rPr>
          <w:rFonts w:ascii="Times New Roman" w:hAnsi="Times New Roman" w:hint="eastAsia"/>
          <w:color w:val="auto"/>
          <w:lang w:eastAsia="zh-CN"/>
        </w:rPr>
        <w:t>物种，其中东洋型物种</w:t>
      </w:r>
      <w:r>
        <w:rPr>
          <w:rFonts w:ascii="Times New Roman" w:hAnsi="Times New Roman"/>
          <w:color w:val="auto"/>
          <w:lang w:eastAsia="zh-CN"/>
        </w:rPr>
        <w:t>6</w:t>
      </w:r>
      <w:r>
        <w:rPr>
          <w:rFonts w:ascii="Times New Roman" w:hAnsi="Times New Roman" w:hint="eastAsia"/>
          <w:color w:val="auto"/>
          <w:lang w:eastAsia="zh-CN"/>
        </w:rPr>
        <w:t>种，占</w:t>
      </w:r>
      <w:r>
        <w:rPr>
          <w:rFonts w:ascii="Times New Roman" w:hAnsi="Times New Roman"/>
          <w:color w:val="auto"/>
          <w:lang w:eastAsia="zh-CN"/>
        </w:rPr>
        <w:t>85.7%</w:t>
      </w:r>
      <w:r>
        <w:rPr>
          <w:rFonts w:ascii="Times New Roman" w:hAnsi="Times New Roman" w:hint="eastAsia"/>
          <w:color w:val="auto"/>
          <w:lang w:eastAsia="zh-CN"/>
        </w:rPr>
        <w:t>；南中国型</w:t>
      </w:r>
      <w:r>
        <w:rPr>
          <w:rFonts w:ascii="Times New Roman" w:hAnsi="Times New Roman"/>
          <w:color w:val="auto"/>
          <w:lang w:eastAsia="zh-CN"/>
        </w:rPr>
        <w:t>1</w:t>
      </w:r>
      <w:r>
        <w:rPr>
          <w:rFonts w:ascii="Times New Roman" w:hAnsi="Times New Roman" w:hint="eastAsia"/>
          <w:color w:val="auto"/>
          <w:lang w:eastAsia="zh-CN"/>
        </w:rPr>
        <w:t>种，占</w:t>
      </w:r>
      <w:r>
        <w:rPr>
          <w:rFonts w:ascii="Times New Roman" w:hAnsi="Times New Roman"/>
          <w:color w:val="auto"/>
          <w:lang w:eastAsia="zh-CN"/>
        </w:rPr>
        <w:t>14.3%</w:t>
      </w:r>
      <w:r>
        <w:rPr>
          <w:rFonts w:ascii="Times New Roman" w:hAnsi="Times New Roman" w:hint="eastAsia"/>
          <w:color w:val="auto"/>
          <w:lang w:eastAsia="zh-CN"/>
        </w:rPr>
        <w:t>；且缺乏岛屿型海南特有种，</w:t>
      </w:r>
      <w:r>
        <w:rPr>
          <w:rFonts w:ascii="Times New Roman" w:hAnsi="Times New Roman"/>
          <w:color w:val="auto"/>
          <w:lang w:eastAsia="zh-CN"/>
        </w:rPr>
        <w:t>7</w:t>
      </w:r>
      <w:r>
        <w:rPr>
          <w:rFonts w:ascii="Times New Roman" w:hAnsi="Times New Roman" w:hint="eastAsia"/>
          <w:color w:val="auto"/>
          <w:lang w:eastAsia="zh-CN"/>
        </w:rPr>
        <w:t>种全部为中部山地省和沿海低地省成分共有种，且都属于华中</w:t>
      </w:r>
      <w:r>
        <w:rPr>
          <w:rFonts w:ascii="Times New Roman" w:hAnsi="Times New Roman"/>
          <w:color w:val="auto"/>
          <w:lang w:eastAsia="zh-CN"/>
        </w:rPr>
        <w:t>-</w:t>
      </w:r>
      <w:r>
        <w:rPr>
          <w:rFonts w:ascii="Times New Roman" w:hAnsi="Times New Roman" w:hint="eastAsia"/>
          <w:color w:val="auto"/>
          <w:lang w:eastAsia="zh-CN"/>
        </w:rPr>
        <w:t>华南区系成分。爬行纲</w:t>
      </w:r>
      <w:r>
        <w:rPr>
          <w:rFonts w:ascii="Times New Roman" w:hAnsi="Times New Roman"/>
          <w:color w:val="auto"/>
          <w:lang w:eastAsia="zh-CN"/>
        </w:rPr>
        <w:t>1</w:t>
      </w:r>
      <w:r>
        <w:rPr>
          <w:rFonts w:ascii="Times New Roman" w:hAnsi="Times New Roman" w:hint="eastAsia"/>
          <w:color w:val="auto"/>
          <w:lang w:eastAsia="zh-CN"/>
        </w:rPr>
        <w:t>目</w:t>
      </w:r>
      <w:r>
        <w:rPr>
          <w:rFonts w:ascii="Times New Roman" w:hAnsi="Times New Roman"/>
          <w:color w:val="auto"/>
          <w:lang w:eastAsia="zh-CN"/>
        </w:rPr>
        <w:t>6</w:t>
      </w:r>
      <w:r>
        <w:rPr>
          <w:rFonts w:ascii="Times New Roman" w:hAnsi="Times New Roman" w:hint="eastAsia"/>
          <w:color w:val="auto"/>
          <w:lang w:eastAsia="zh-CN"/>
        </w:rPr>
        <w:t>科</w:t>
      </w:r>
      <w:r>
        <w:rPr>
          <w:rFonts w:ascii="Times New Roman" w:hAnsi="Times New Roman"/>
          <w:color w:val="auto"/>
          <w:lang w:eastAsia="zh-CN"/>
        </w:rPr>
        <w:t>15</w:t>
      </w:r>
      <w:r>
        <w:rPr>
          <w:rFonts w:ascii="Times New Roman" w:hAnsi="Times New Roman" w:hint="eastAsia"/>
          <w:color w:val="auto"/>
          <w:lang w:eastAsia="zh-CN"/>
        </w:rPr>
        <w:t>种，全部属于东洋界物种，其中东洋型物种</w:t>
      </w:r>
      <w:r>
        <w:rPr>
          <w:rFonts w:ascii="Times New Roman" w:hAnsi="Times New Roman"/>
          <w:color w:val="auto"/>
          <w:lang w:eastAsia="zh-CN"/>
        </w:rPr>
        <w:t>12</w:t>
      </w:r>
      <w:r>
        <w:rPr>
          <w:rFonts w:ascii="Times New Roman" w:hAnsi="Times New Roman" w:hint="eastAsia"/>
          <w:color w:val="auto"/>
          <w:lang w:eastAsia="zh-CN"/>
        </w:rPr>
        <w:t>种，占</w:t>
      </w:r>
      <w:r>
        <w:rPr>
          <w:rFonts w:ascii="Times New Roman" w:hAnsi="Times New Roman"/>
          <w:color w:val="auto"/>
          <w:lang w:eastAsia="zh-CN"/>
        </w:rPr>
        <w:t>80.0%</w:t>
      </w:r>
      <w:r>
        <w:rPr>
          <w:rFonts w:ascii="Times New Roman" w:hAnsi="Times New Roman" w:hint="eastAsia"/>
          <w:color w:val="auto"/>
          <w:lang w:eastAsia="zh-CN"/>
        </w:rPr>
        <w:t>；南中国型</w:t>
      </w:r>
      <w:r>
        <w:rPr>
          <w:rFonts w:ascii="Times New Roman" w:hAnsi="Times New Roman"/>
          <w:color w:val="auto"/>
          <w:lang w:eastAsia="zh-CN"/>
        </w:rPr>
        <w:t>3</w:t>
      </w:r>
      <w:r>
        <w:rPr>
          <w:rFonts w:ascii="Times New Roman" w:hAnsi="Times New Roman" w:hint="eastAsia"/>
          <w:color w:val="auto"/>
          <w:lang w:eastAsia="zh-CN"/>
        </w:rPr>
        <w:t>种，占</w:t>
      </w:r>
      <w:r>
        <w:rPr>
          <w:rFonts w:ascii="Times New Roman" w:hAnsi="Times New Roman"/>
          <w:color w:val="auto"/>
          <w:lang w:eastAsia="zh-CN"/>
        </w:rPr>
        <w:t>20.0%</w:t>
      </w:r>
      <w:r>
        <w:rPr>
          <w:rFonts w:ascii="Times New Roman" w:hAnsi="Times New Roman" w:hint="eastAsia"/>
          <w:color w:val="auto"/>
          <w:lang w:eastAsia="zh-CN"/>
        </w:rPr>
        <w:t>，且缺乏岛屿型海南特有种，全部</w:t>
      </w:r>
      <w:r>
        <w:rPr>
          <w:rFonts w:ascii="Times New Roman" w:hAnsi="Times New Roman"/>
          <w:color w:val="auto"/>
          <w:lang w:eastAsia="zh-CN"/>
        </w:rPr>
        <w:t>15</w:t>
      </w:r>
      <w:r>
        <w:rPr>
          <w:rFonts w:ascii="Times New Roman" w:hAnsi="Times New Roman" w:hint="eastAsia"/>
          <w:color w:val="auto"/>
          <w:lang w:eastAsia="zh-CN"/>
        </w:rPr>
        <w:t>种都属于中部山地省和沿海低地省成分共有种。鸟纲</w:t>
      </w:r>
      <w:r>
        <w:rPr>
          <w:rFonts w:ascii="Times New Roman" w:hAnsi="Times New Roman"/>
          <w:color w:val="auto"/>
          <w:lang w:eastAsia="zh-CN"/>
        </w:rPr>
        <w:t>13</w:t>
      </w:r>
      <w:r>
        <w:rPr>
          <w:rFonts w:ascii="Times New Roman" w:hAnsi="Times New Roman" w:hint="eastAsia"/>
          <w:color w:val="auto"/>
          <w:lang w:eastAsia="zh-CN"/>
        </w:rPr>
        <w:t>目</w:t>
      </w:r>
      <w:r>
        <w:rPr>
          <w:rFonts w:ascii="Times New Roman" w:hAnsi="Times New Roman"/>
          <w:color w:val="auto"/>
          <w:lang w:eastAsia="zh-CN"/>
        </w:rPr>
        <w:t>33</w:t>
      </w:r>
      <w:r>
        <w:rPr>
          <w:rFonts w:ascii="Times New Roman" w:hAnsi="Times New Roman" w:hint="eastAsia"/>
          <w:color w:val="auto"/>
          <w:lang w:eastAsia="zh-CN"/>
        </w:rPr>
        <w:t>科</w:t>
      </w:r>
      <w:r>
        <w:rPr>
          <w:rFonts w:ascii="Times New Roman" w:hAnsi="Times New Roman"/>
          <w:color w:val="auto"/>
          <w:lang w:eastAsia="zh-CN"/>
        </w:rPr>
        <w:t>79</w:t>
      </w:r>
      <w:r>
        <w:rPr>
          <w:rFonts w:ascii="Times New Roman" w:hAnsi="Times New Roman" w:hint="eastAsia"/>
          <w:color w:val="auto"/>
          <w:lang w:eastAsia="zh-CN"/>
        </w:rPr>
        <w:t>种，其中东洋界物种区系成分</w:t>
      </w:r>
      <w:r>
        <w:rPr>
          <w:rFonts w:ascii="Times New Roman" w:hAnsi="Times New Roman"/>
          <w:color w:val="auto"/>
          <w:lang w:eastAsia="zh-CN"/>
        </w:rPr>
        <w:t>33</w:t>
      </w:r>
      <w:r>
        <w:rPr>
          <w:rFonts w:ascii="Times New Roman" w:hAnsi="Times New Roman" w:hint="eastAsia"/>
          <w:color w:val="auto"/>
          <w:lang w:eastAsia="zh-CN"/>
        </w:rPr>
        <w:t>种，占</w:t>
      </w:r>
      <w:r>
        <w:rPr>
          <w:rFonts w:ascii="Times New Roman" w:hAnsi="Times New Roman"/>
          <w:color w:val="auto"/>
          <w:lang w:eastAsia="zh-CN"/>
        </w:rPr>
        <w:t>41.8%</w:t>
      </w:r>
      <w:r>
        <w:rPr>
          <w:rFonts w:ascii="Times New Roman" w:hAnsi="Times New Roman" w:hint="eastAsia"/>
          <w:color w:val="auto"/>
          <w:lang w:eastAsia="zh-CN"/>
        </w:rPr>
        <w:t>；广布种</w:t>
      </w:r>
      <w:r>
        <w:rPr>
          <w:rFonts w:ascii="Times New Roman" w:hAnsi="Times New Roman"/>
          <w:color w:val="auto"/>
          <w:lang w:eastAsia="zh-CN"/>
        </w:rPr>
        <w:t>16</w:t>
      </w:r>
      <w:r>
        <w:rPr>
          <w:rFonts w:ascii="Times New Roman" w:hAnsi="Times New Roman" w:hint="eastAsia"/>
          <w:color w:val="auto"/>
          <w:lang w:eastAsia="zh-CN"/>
        </w:rPr>
        <w:t>种，占</w:t>
      </w:r>
      <w:r>
        <w:rPr>
          <w:rFonts w:ascii="Times New Roman" w:hAnsi="Times New Roman"/>
          <w:color w:val="auto"/>
          <w:lang w:eastAsia="zh-CN"/>
        </w:rPr>
        <w:t>20.3%</w:t>
      </w:r>
      <w:r>
        <w:rPr>
          <w:rFonts w:ascii="Times New Roman" w:hAnsi="Times New Roman" w:hint="eastAsia"/>
          <w:color w:val="auto"/>
          <w:lang w:eastAsia="zh-CN"/>
        </w:rPr>
        <w:t>；古北界物种区系成分</w:t>
      </w:r>
      <w:r>
        <w:rPr>
          <w:rFonts w:ascii="Times New Roman" w:hAnsi="Times New Roman"/>
          <w:color w:val="auto"/>
          <w:lang w:eastAsia="zh-CN"/>
        </w:rPr>
        <w:t>30</w:t>
      </w:r>
      <w:r>
        <w:rPr>
          <w:rFonts w:ascii="Times New Roman" w:hAnsi="Times New Roman" w:hint="eastAsia"/>
          <w:color w:val="auto"/>
          <w:lang w:eastAsia="zh-CN"/>
        </w:rPr>
        <w:t>种，占</w:t>
      </w:r>
      <w:r>
        <w:rPr>
          <w:rFonts w:ascii="Times New Roman" w:hAnsi="Times New Roman"/>
          <w:color w:val="auto"/>
          <w:lang w:eastAsia="zh-CN"/>
        </w:rPr>
        <w:t>37.9%</w:t>
      </w:r>
      <w:r>
        <w:rPr>
          <w:rFonts w:ascii="Times New Roman" w:hAnsi="Times New Roman" w:hint="eastAsia"/>
          <w:color w:val="auto"/>
          <w:lang w:eastAsia="zh-CN"/>
        </w:rPr>
        <w:t>，其中留鸟</w:t>
      </w:r>
      <w:r>
        <w:rPr>
          <w:rFonts w:ascii="Times New Roman" w:hAnsi="Times New Roman"/>
          <w:color w:val="auto"/>
          <w:lang w:eastAsia="zh-CN"/>
        </w:rPr>
        <w:t>42</w:t>
      </w:r>
      <w:r>
        <w:rPr>
          <w:rFonts w:ascii="Times New Roman" w:hAnsi="Times New Roman" w:hint="eastAsia"/>
          <w:color w:val="auto"/>
          <w:lang w:eastAsia="zh-CN"/>
        </w:rPr>
        <w:t>种、冬候鸟</w:t>
      </w:r>
      <w:r>
        <w:rPr>
          <w:rFonts w:ascii="Times New Roman" w:hAnsi="Times New Roman"/>
          <w:color w:val="auto"/>
          <w:lang w:eastAsia="zh-CN"/>
        </w:rPr>
        <w:t>34</w:t>
      </w:r>
      <w:r>
        <w:rPr>
          <w:rFonts w:ascii="Times New Roman" w:hAnsi="Times New Roman" w:hint="eastAsia"/>
          <w:color w:val="auto"/>
          <w:lang w:eastAsia="zh-CN"/>
        </w:rPr>
        <w:t>种、旅鸟</w:t>
      </w:r>
      <w:r>
        <w:rPr>
          <w:rFonts w:ascii="Times New Roman" w:hAnsi="Times New Roman"/>
          <w:color w:val="auto"/>
          <w:lang w:eastAsia="zh-CN"/>
        </w:rPr>
        <w:t>3</w:t>
      </w:r>
      <w:r>
        <w:rPr>
          <w:rFonts w:ascii="Times New Roman" w:hAnsi="Times New Roman" w:hint="eastAsia"/>
          <w:color w:val="auto"/>
          <w:lang w:eastAsia="zh-CN"/>
        </w:rPr>
        <w:t>种。哺乳纲</w:t>
      </w:r>
      <w:r>
        <w:rPr>
          <w:rFonts w:ascii="Times New Roman" w:hAnsi="Times New Roman"/>
          <w:color w:val="auto"/>
          <w:lang w:eastAsia="zh-CN"/>
        </w:rPr>
        <w:t>4</w:t>
      </w:r>
      <w:r>
        <w:rPr>
          <w:rFonts w:ascii="Times New Roman" w:hAnsi="Times New Roman" w:hint="eastAsia"/>
          <w:color w:val="auto"/>
          <w:lang w:eastAsia="zh-CN"/>
        </w:rPr>
        <w:t>目</w:t>
      </w:r>
      <w:r>
        <w:rPr>
          <w:rFonts w:ascii="Times New Roman" w:hAnsi="Times New Roman"/>
          <w:color w:val="auto"/>
          <w:lang w:eastAsia="zh-CN"/>
        </w:rPr>
        <w:t>7</w:t>
      </w:r>
      <w:r>
        <w:rPr>
          <w:rFonts w:ascii="Times New Roman" w:hAnsi="Times New Roman" w:hint="eastAsia"/>
          <w:color w:val="auto"/>
          <w:lang w:eastAsia="zh-CN"/>
        </w:rPr>
        <w:t>科</w:t>
      </w:r>
      <w:r>
        <w:rPr>
          <w:rFonts w:ascii="Times New Roman" w:hAnsi="Times New Roman"/>
          <w:color w:val="auto"/>
          <w:lang w:eastAsia="zh-CN"/>
        </w:rPr>
        <w:t>9</w:t>
      </w:r>
      <w:r>
        <w:rPr>
          <w:rFonts w:ascii="Times New Roman" w:hAnsi="Times New Roman" w:hint="eastAsia"/>
          <w:color w:val="auto"/>
          <w:lang w:eastAsia="zh-CN"/>
        </w:rPr>
        <w:lastRenderedPageBreak/>
        <w:t>种，其中东洋型物种</w:t>
      </w:r>
      <w:r>
        <w:rPr>
          <w:rFonts w:ascii="Times New Roman" w:hAnsi="Times New Roman"/>
          <w:color w:val="auto"/>
          <w:lang w:eastAsia="zh-CN"/>
        </w:rPr>
        <w:t>7</w:t>
      </w:r>
      <w:r>
        <w:rPr>
          <w:rFonts w:ascii="Times New Roman" w:hAnsi="Times New Roman" w:hint="eastAsia"/>
          <w:color w:val="auto"/>
          <w:lang w:eastAsia="zh-CN"/>
        </w:rPr>
        <w:t>种，东洋界物种成分占绝对优势，占</w:t>
      </w:r>
      <w:r>
        <w:rPr>
          <w:rFonts w:ascii="Times New Roman" w:hAnsi="Times New Roman"/>
          <w:color w:val="auto"/>
          <w:lang w:eastAsia="zh-CN"/>
        </w:rPr>
        <w:t>77.8%</w:t>
      </w:r>
      <w:r>
        <w:rPr>
          <w:rFonts w:ascii="Times New Roman" w:hAnsi="Times New Roman" w:hint="eastAsia"/>
          <w:color w:val="auto"/>
          <w:lang w:eastAsia="zh-CN"/>
        </w:rPr>
        <w:t>；古北界</w:t>
      </w:r>
      <w:r>
        <w:rPr>
          <w:rFonts w:ascii="Times New Roman" w:hAnsi="Times New Roman"/>
          <w:color w:val="auto"/>
          <w:lang w:eastAsia="zh-CN"/>
        </w:rPr>
        <w:t>2</w:t>
      </w:r>
      <w:r>
        <w:rPr>
          <w:rFonts w:ascii="Times New Roman" w:hAnsi="Times New Roman" w:hint="eastAsia"/>
          <w:color w:val="auto"/>
          <w:lang w:eastAsia="zh-CN"/>
        </w:rPr>
        <w:t>种，占</w:t>
      </w:r>
      <w:r>
        <w:rPr>
          <w:rFonts w:ascii="Times New Roman" w:hAnsi="Times New Roman"/>
          <w:color w:val="auto"/>
          <w:lang w:eastAsia="zh-CN"/>
        </w:rPr>
        <w:t>22.2%</w:t>
      </w:r>
      <w:r>
        <w:rPr>
          <w:rFonts w:ascii="Times New Roman" w:hAnsi="Times New Roman" w:hint="eastAsia"/>
          <w:color w:val="auto"/>
          <w:lang w:eastAsia="zh-CN"/>
        </w:rPr>
        <w:t>，全部</w:t>
      </w:r>
      <w:r>
        <w:rPr>
          <w:rFonts w:ascii="Times New Roman" w:hAnsi="Times New Roman"/>
          <w:color w:val="auto"/>
          <w:lang w:eastAsia="zh-CN"/>
        </w:rPr>
        <w:t>9</w:t>
      </w:r>
      <w:r>
        <w:rPr>
          <w:rFonts w:ascii="Times New Roman" w:hAnsi="Times New Roman" w:hint="eastAsia"/>
          <w:color w:val="auto"/>
          <w:lang w:eastAsia="zh-CN"/>
        </w:rPr>
        <w:t>种为中部山地省成分和沿海低地省成分共有种。</w:t>
      </w:r>
    </w:p>
    <w:p w14:paraId="372A36B7" w14:textId="77777777" w:rsidR="0075791A" w:rsidRDefault="0075791A">
      <w:pPr>
        <w:pStyle w:val="TableText"/>
        <w:jc w:val="center"/>
        <w:rPr>
          <w:rFonts w:ascii="Times New Roman" w:hAnsi="Times New Roman"/>
          <w:color w:val="auto"/>
          <w:lang w:eastAsia="zh-CN"/>
        </w:rPr>
      </w:pPr>
    </w:p>
    <w:p w14:paraId="6981D901" w14:textId="77777777" w:rsidR="0075791A" w:rsidRDefault="00FB2864">
      <w:pPr>
        <w:pStyle w:val="TableText"/>
        <w:spacing w:line="360" w:lineRule="auto"/>
        <w:jc w:val="center"/>
        <w:rPr>
          <w:rFonts w:ascii="Times New Roman" w:hAnsi="Times New Roman"/>
          <w:color w:val="auto"/>
          <w:lang w:eastAsia="zh-CN"/>
        </w:rPr>
      </w:pPr>
      <w:r>
        <w:rPr>
          <w:rFonts w:ascii="Times New Roman" w:hAnsi="Times New Roman"/>
          <w:color w:val="auto"/>
          <w:lang w:eastAsia="zh-CN"/>
        </w:rPr>
        <w:t>图</w:t>
      </w:r>
      <w:r>
        <w:rPr>
          <w:rFonts w:ascii="Times New Roman" w:hAnsi="Times New Roman" w:hint="eastAsia"/>
          <w:color w:val="auto"/>
          <w:lang w:eastAsia="zh-CN"/>
        </w:rPr>
        <w:t>3.2.</w:t>
      </w:r>
      <w:r>
        <w:rPr>
          <w:rFonts w:ascii="Times New Roman" w:hAnsi="Times New Roman" w:hint="eastAsia"/>
          <w:color w:val="auto"/>
          <w:lang w:eastAsia="zh-CN"/>
        </w:rPr>
        <w:t>7-2</w:t>
      </w:r>
      <w:r>
        <w:rPr>
          <w:rFonts w:ascii="Times New Roman" w:hAnsi="Times New Roman" w:hint="eastAsia"/>
          <w:color w:val="auto"/>
          <w:lang w:eastAsia="zh-CN"/>
        </w:rPr>
        <w:t xml:space="preserve">7 </w:t>
      </w:r>
      <w:r>
        <w:rPr>
          <w:rFonts w:ascii="Times New Roman" w:hAnsi="Times New Roman" w:hint="eastAsia"/>
          <w:color w:val="auto"/>
          <w:lang w:eastAsia="zh-CN"/>
        </w:rPr>
        <w:t>重点保护鸟类分布</w:t>
      </w:r>
    </w:p>
    <w:p w14:paraId="356EE2FD" w14:textId="77777777" w:rsidR="0075791A" w:rsidRDefault="00FB2864">
      <w:pPr>
        <w:pStyle w:val="TableText"/>
        <w:spacing w:line="360" w:lineRule="auto"/>
        <w:ind w:firstLineChars="200" w:firstLine="482"/>
        <w:jc w:val="both"/>
        <w:rPr>
          <w:rFonts w:ascii="Times New Roman" w:hAnsi="Times New Roman"/>
          <w:b/>
          <w:bCs/>
          <w:color w:val="auto"/>
          <w:lang w:eastAsia="zh-CN"/>
        </w:rPr>
      </w:pPr>
      <w:r>
        <w:rPr>
          <w:rFonts w:ascii="Times New Roman" w:hAnsi="Times New Roman" w:hint="eastAsia"/>
          <w:b/>
          <w:bCs/>
          <w:color w:val="auto"/>
          <w:lang w:eastAsia="zh-CN"/>
        </w:rPr>
        <w:t>2.</w:t>
      </w:r>
      <w:r>
        <w:rPr>
          <w:rFonts w:ascii="Times New Roman" w:hAnsi="Times New Roman" w:hint="eastAsia"/>
          <w:b/>
          <w:bCs/>
          <w:color w:val="auto"/>
          <w:lang w:eastAsia="zh-CN"/>
        </w:rPr>
        <w:t>鸟类现状调查</w:t>
      </w:r>
    </w:p>
    <w:p w14:paraId="7A06E5C3" w14:textId="77777777" w:rsidR="0075791A" w:rsidRDefault="00FB2864">
      <w:pPr>
        <w:pStyle w:val="TableText"/>
        <w:spacing w:line="348"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根据《铁炉港红树林湿地保护修复项目</w:t>
      </w:r>
      <w:r>
        <w:rPr>
          <w:rFonts w:ascii="Times New Roman" w:hAnsi="Times New Roman" w:hint="eastAsia"/>
          <w:color w:val="auto"/>
          <w:lang w:eastAsia="zh-CN"/>
        </w:rPr>
        <w:t>（</w:t>
      </w:r>
      <w:r>
        <w:rPr>
          <w:rFonts w:ascii="Times New Roman" w:hAnsi="Times New Roman" w:hint="eastAsia"/>
          <w:color w:val="auto"/>
          <w:lang w:eastAsia="zh-CN"/>
        </w:rPr>
        <w:t>一期</w:t>
      </w:r>
      <w:r>
        <w:rPr>
          <w:rFonts w:ascii="Times New Roman" w:hAnsi="Times New Roman" w:hint="eastAsia"/>
          <w:color w:val="auto"/>
          <w:lang w:eastAsia="zh-CN"/>
        </w:rPr>
        <w:t>）</w:t>
      </w:r>
      <w:r>
        <w:rPr>
          <w:rFonts w:ascii="Times New Roman" w:hAnsi="Times New Roman" w:hint="eastAsia"/>
          <w:color w:val="auto"/>
          <w:lang w:eastAsia="zh-CN"/>
        </w:rPr>
        <w:t>对三亚市铁炉港红树林自然保护区生物多样性影响评价报告》，海南新绿神热带生物工程有限责任公司对铁炉港海域鸟类进行调查。</w:t>
      </w:r>
    </w:p>
    <w:p w14:paraId="75A97295" w14:textId="77777777" w:rsidR="0075791A" w:rsidRDefault="00FB2864">
      <w:pPr>
        <w:pStyle w:val="TableText"/>
        <w:spacing w:line="348"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实地调查采取样线法对项目评价区不同生境类型进行踏查，路线调查时间为</w:t>
      </w:r>
      <w:r>
        <w:rPr>
          <w:rFonts w:ascii="Times New Roman" w:hAnsi="Times New Roman"/>
          <w:color w:val="auto"/>
          <w:lang w:eastAsia="zh-CN"/>
        </w:rPr>
        <w:t xml:space="preserve">8:00-12:00 </w:t>
      </w:r>
      <w:r>
        <w:rPr>
          <w:rFonts w:ascii="Times New Roman" w:hAnsi="Times New Roman" w:hint="eastAsia"/>
          <w:color w:val="auto"/>
          <w:lang w:eastAsia="zh-CN"/>
        </w:rPr>
        <w:t>和</w:t>
      </w:r>
      <w:r>
        <w:rPr>
          <w:rFonts w:ascii="Times New Roman" w:hAnsi="Times New Roman"/>
          <w:color w:val="auto"/>
          <w:lang w:eastAsia="zh-CN"/>
        </w:rPr>
        <w:t>15:00-18:30</w:t>
      </w:r>
      <w:r>
        <w:rPr>
          <w:rFonts w:ascii="Times New Roman" w:hAnsi="Times New Roman" w:hint="eastAsia"/>
          <w:color w:val="auto"/>
          <w:lang w:eastAsia="zh-CN"/>
        </w:rPr>
        <w:t>，采取匀速的方式进行，鸟类主要使用双筒望远镜现场观测鉴别记录物种，对于野外无法现场识别的鸟类采取录音及拍照的方式进行记录。后续通过查阅相关资料及录音库进行鉴定。记录路线两侧及可视范围内的鸟类种类、生境和数量等信息。</w:t>
      </w:r>
    </w:p>
    <w:p w14:paraId="009DAB01" w14:textId="77777777" w:rsidR="0075791A" w:rsidRDefault="00FB2864">
      <w:pPr>
        <w:pStyle w:val="TableText"/>
        <w:spacing w:line="348" w:lineRule="auto"/>
        <w:ind w:firstLineChars="200" w:firstLine="482"/>
        <w:jc w:val="both"/>
        <w:rPr>
          <w:rFonts w:ascii="Times New Roman" w:hAnsi="Times New Roman"/>
          <w:b/>
          <w:bCs/>
          <w:color w:val="auto"/>
          <w:lang w:eastAsia="zh-CN"/>
        </w:rPr>
      </w:pPr>
      <w:r>
        <w:rPr>
          <w:rFonts w:ascii="Times New Roman" w:hAnsi="Times New Roman" w:hint="eastAsia"/>
          <w:b/>
          <w:bCs/>
          <w:color w:val="auto"/>
          <w:lang w:eastAsia="zh-CN"/>
        </w:rPr>
        <w:t>（</w:t>
      </w:r>
      <w:r>
        <w:rPr>
          <w:rFonts w:ascii="Times New Roman" w:hAnsi="Times New Roman" w:hint="eastAsia"/>
          <w:b/>
          <w:bCs/>
          <w:color w:val="auto"/>
          <w:lang w:eastAsia="zh-CN"/>
        </w:rPr>
        <w:t>1</w:t>
      </w:r>
      <w:r>
        <w:rPr>
          <w:rFonts w:ascii="Times New Roman" w:hAnsi="Times New Roman" w:hint="eastAsia"/>
          <w:b/>
          <w:bCs/>
          <w:color w:val="auto"/>
          <w:lang w:eastAsia="zh-CN"/>
        </w:rPr>
        <w:t>）鸟类组成</w:t>
      </w:r>
    </w:p>
    <w:p w14:paraId="3BB5F5FE" w14:textId="77777777" w:rsidR="0075791A" w:rsidRDefault="00FB2864">
      <w:pPr>
        <w:pStyle w:val="TableText"/>
        <w:spacing w:line="348"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通过实地调查、走访和文献资料查询，项目评价区共调查到鸟类</w:t>
      </w:r>
      <w:r>
        <w:rPr>
          <w:rFonts w:ascii="Times New Roman" w:hAnsi="Times New Roman"/>
          <w:color w:val="auto"/>
          <w:lang w:eastAsia="zh-CN"/>
        </w:rPr>
        <w:t>6</w:t>
      </w:r>
      <w:r>
        <w:rPr>
          <w:rFonts w:ascii="Times New Roman" w:hAnsi="Times New Roman" w:hint="eastAsia"/>
          <w:color w:val="auto"/>
          <w:lang w:eastAsia="zh-CN"/>
        </w:rPr>
        <w:t>目</w:t>
      </w:r>
      <w:r>
        <w:rPr>
          <w:rFonts w:ascii="Times New Roman" w:hAnsi="Times New Roman"/>
          <w:color w:val="auto"/>
          <w:lang w:eastAsia="zh-CN"/>
        </w:rPr>
        <w:t>13</w:t>
      </w:r>
      <w:r>
        <w:rPr>
          <w:rFonts w:ascii="Times New Roman" w:hAnsi="Times New Roman" w:hint="eastAsia"/>
          <w:color w:val="auto"/>
          <w:lang w:eastAsia="zh-CN"/>
        </w:rPr>
        <w:t>科</w:t>
      </w:r>
      <w:r>
        <w:rPr>
          <w:rFonts w:ascii="Times New Roman" w:hAnsi="Times New Roman"/>
          <w:color w:val="auto"/>
          <w:lang w:eastAsia="zh-CN"/>
        </w:rPr>
        <w:t>23</w:t>
      </w:r>
      <w:r>
        <w:rPr>
          <w:rFonts w:ascii="Times New Roman" w:hAnsi="Times New Roman" w:hint="eastAsia"/>
          <w:color w:val="auto"/>
          <w:lang w:eastAsia="zh-CN"/>
        </w:rPr>
        <w:t>种。在调查到的陆栖脊椎动物的国家Ⅱ级重点保护陆生脊椎动物有</w:t>
      </w:r>
      <w:r>
        <w:rPr>
          <w:rFonts w:ascii="Times New Roman" w:hAnsi="Times New Roman"/>
          <w:color w:val="auto"/>
          <w:lang w:eastAsia="zh-CN"/>
        </w:rPr>
        <w:t>1</w:t>
      </w:r>
      <w:r>
        <w:rPr>
          <w:rFonts w:ascii="Times New Roman" w:hAnsi="Times New Roman" w:hint="eastAsia"/>
          <w:color w:val="auto"/>
          <w:lang w:eastAsia="zh-CN"/>
        </w:rPr>
        <w:t>种，为褐翅鸦鹃；海南省级重点保护陆生脊</w:t>
      </w:r>
      <w:r>
        <w:rPr>
          <w:rFonts w:ascii="Times New Roman" w:hAnsi="Times New Roman" w:hint="eastAsia"/>
          <w:color w:val="auto"/>
          <w:lang w:eastAsia="zh-CN"/>
        </w:rPr>
        <w:t>椎动物</w:t>
      </w:r>
      <w:r>
        <w:rPr>
          <w:rFonts w:ascii="Times New Roman" w:hAnsi="Times New Roman"/>
          <w:color w:val="auto"/>
          <w:lang w:eastAsia="zh-CN"/>
        </w:rPr>
        <w:t>2</w:t>
      </w:r>
      <w:r>
        <w:rPr>
          <w:rFonts w:ascii="Times New Roman" w:hAnsi="Times New Roman" w:hint="eastAsia"/>
          <w:color w:val="auto"/>
          <w:lang w:eastAsia="zh-CN"/>
        </w:rPr>
        <w:t>种，分别为白鹭、珠颈斑鸠。</w:t>
      </w:r>
    </w:p>
    <w:p w14:paraId="4EAAE6B1" w14:textId="77777777" w:rsidR="0075791A" w:rsidRDefault="0075791A">
      <w:pPr>
        <w:pStyle w:val="TableText"/>
        <w:spacing w:line="348" w:lineRule="auto"/>
        <w:ind w:firstLineChars="200" w:firstLine="480"/>
        <w:jc w:val="both"/>
        <w:rPr>
          <w:rFonts w:ascii="Times New Roman" w:hAnsi="Times New Roman"/>
          <w:color w:val="auto"/>
          <w:lang w:eastAsia="zh-CN"/>
        </w:rPr>
      </w:pPr>
    </w:p>
    <w:p w14:paraId="0D60FC4E" w14:textId="77777777" w:rsidR="0075791A" w:rsidRDefault="00FB2864">
      <w:pPr>
        <w:pStyle w:val="TableText"/>
        <w:jc w:val="center"/>
        <w:rPr>
          <w:rFonts w:ascii="Times New Roman" w:hAnsi="Times New Roman"/>
          <w:color w:val="auto"/>
          <w:lang w:eastAsia="zh-CN"/>
        </w:rPr>
      </w:pPr>
      <w:r>
        <w:rPr>
          <w:rFonts w:ascii="Times New Roman" w:hAnsi="Times New Roman" w:hint="eastAsia"/>
          <w:color w:val="auto"/>
          <w:lang w:eastAsia="zh-CN"/>
        </w:rPr>
        <w:t>表</w:t>
      </w:r>
      <w:r>
        <w:rPr>
          <w:rFonts w:ascii="Times New Roman" w:hAnsi="Times New Roman" w:hint="eastAsia"/>
          <w:color w:val="auto"/>
          <w:lang w:eastAsia="zh-CN"/>
        </w:rPr>
        <w:t>3.2.</w:t>
      </w:r>
      <w:r>
        <w:rPr>
          <w:rFonts w:ascii="Times New Roman" w:hAnsi="Times New Roman" w:hint="eastAsia"/>
          <w:color w:val="auto"/>
          <w:lang w:eastAsia="zh-CN"/>
        </w:rPr>
        <w:t xml:space="preserve">7-4 </w:t>
      </w:r>
      <w:r>
        <w:rPr>
          <w:rFonts w:ascii="Times New Roman" w:hAnsi="Times New Roman" w:hint="eastAsia"/>
          <w:color w:val="auto"/>
          <w:lang w:eastAsia="zh-CN"/>
        </w:rPr>
        <w:t>评价区主要野生鸟类名录</w:t>
      </w:r>
    </w:p>
    <w:p w14:paraId="5CBBF44E" w14:textId="77777777" w:rsidR="0075791A" w:rsidRDefault="00FB2864">
      <w:pPr>
        <w:pStyle w:val="TableText"/>
        <w:spacing w:line="360" w:lineRule="auto"/>
        <w:ind w:firstLineChars="200" w:firstLine="480"/>
        <w:jc w:val="center"/>
        <w:rPr>
          <w:color w:val="auto"/>
        </w:rPr>
      </w:pPr>
      <w:r>
        <w:rPr>
          <w:noProof/>
          <w:color w:val="auto"/>
        </w:rPr>
        <w:lastRenderedPageBreak/>
        <w:drawing>
          <wp:inline distT="0" distB="0" distL="114300" distR="114300" wp14:anchorId="2FBB1BD1" wp14:editId="3826F2F9">
            <wp:extent cx="4724400" cy="5273675"/>
            <wp:effectExtent l="0" t="0" r="0" b="0"/>
            <wp:docPr id="346"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114"/>
                    <pic:cNvPicPr>
                      <a:picLocks noChangeAspect="1"/>
                    </pic:cNvPicPr>
                  </pic:nvPicPr>
                  <pic:blipFill>
                    <a:blip r:embed="rId85"/>
                    <a:srcRect t="4527" b="4887"/>
                    <a:stretch>
                      <a:fillRect/>
                    </a:stretch>
                  </pic:blipFill>
                  <pic:spPr>
                    <a:xfrm>
                      <a:off x="0" y="0"/>
                      <a:ext cx="4724400" cy="5273675"/>
                    </a:xfrm>
                    <a:prstGeom prst="rect">
                      <a:avLst/>
                    </a:prstGeom>
                    <a:noFill/>
                    <a:ln>
                      <a:noFill/>
                    </a:ln>
                  </pic:spPr>
                </pic:pic>
              </a:graphicData>
            </a:graphic>
          </wp:inline>
        </w:drawing>
      </w:r>
    </w:p>
    <w:p w14:paraId="3198487A" w14:textId="77777777" w:rsidR="0075791A" w:rsidRDefault="00FB2864">
      <w:pPr>
        <w:pStyle w:val="TableText"/>
        <w:spacing w:line="360" w:lineRule="auto"/>
        <w:jc w:val="center"/>
        <w:rPr>
          <w:color w:val="auto"/>
          <w:lang w:eastAsia="zh-CN"/>
        </w:rPr>
      </w:pPr>
      <w:r>
        <w:rPr>
          <w:noProof/>
          <w:color w:val="auto"/>
        </w:rPr>
        <w:lastRenderedPageBreak/>
        <w:drawing>
          <wp:inline distT="0" distB="0" distL="114300" distR="114300" wp14:anchorId="49441053" wp14:editId="53332022">
            <wp:extent cx="4724400" cy="4855845"/>
            <wp:effectExtent l="0" t="0" r="0" b="0"/>
            <wp:docPr id="347"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115"/>
                    <pic:cNvPicPr>
                      <a:picLocks noChangeAspect="1"/>
                    </pic:cNvPicPr>
                  </pic:nvPicPr>
                  <pic:blipFill>
                    <a:blip r:embed="rId86"/>
                    <a:srcRect t="3414" b="13176"/>
                    <a:stretch>
                      <a:fillRect/>
                    </a:stretch>
                  </pic:blipFill>
                  <pic:spPr>
                    <a:xfrm>
                      <a:off x="0" y="0"/>
                      <a:ext cx="4724400" cy="4855845"/>
                    </a:xfrm>
                    <a:prstGeom prst="rect">
                      <a:avLst/>
                    </a:prstGeom>
                    <a:noFill/>
                    <a:ln>
                      <a:noFill/>
                    </a:ln>
                  </pic:spPr>
                </pic:pic>
              </a:graphicData>
            </a:graphic>
          </wp:inline>
        </w:drawing>
      </w:r>
    </w:p>
    <w:p w14:paraId="3A2138A0" w14:textId="77777777" w:rsidR="0075791A" w:rsidRDefault="00FB2864">
      <w:pPr>
        <w:pStyle w:val="TableText"/>
        <w:spacing w:line="360" w:lineRule="auto"/>
        <w:ind w:firstLineChars="200" w:firstLine="482"/>
        <w:jc w:val="both"/>
        <w:rPr>
          <w:rFonts w:ascii="Times New Roman" w:hAnsi="Times New Roman"/>
          <w:b/>
          <w:bCs/>
          <w:color w:val="auto"/>
          <w:lang w:eastAsia="zh-CN"/>
        </w:rPr>
      </w:pPr>
      <w:r>
        <w:rPr>
          <w:rFonts w:ascii="Times New Roman" w:hAnsi="Times New Roman" w:hint="eastAsia"/>
          <w:b/>
          <w:bCs/>
          <w:color w:val="auto"/>
          <w:lang w:eastAsia="zh-CN"/>
        </w:rPr>
        <w:t>（</w:t>
      </w:r>
      <w:r>
        <w:rPr>
          <w:rFonts w:ascii="Times New Roman" w:hAnsi="Times New Roman" w:hint="eastAsia"/>
          <w:b/>
          <w:bCs/>
          <w:color w:val="auto"/>
          <w:lang w:eastAsia="zh-CN"/>
        </w:rPr>
        <w:t>2</w:t>
      </w:r>
      <w:r>
        <w:rPr>
          <w:rFonts w:ascii="Times New Roman" w:hAnsi="Times New Roman" w:hint="eastAsia"/>
          <w:b/>
          <w:bCs/>
          <w:color w:val="auto"/>
          <w:lang w:eastAsia="zh-CN"/>
        </w:rPr>
        <w:t>）保护鸟类分布</w:t>
      </w:r>
    </w:p>
    <w:p w14:paraId="278636D5"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调查区域共记录</w:t>
      </w:r>
      <w:r>
        <w:rPr>
          <w:rFonts w:ascii="Times New Roman" w:hAnsi="Times New Roman" w:hint="eastAsia"/>
          <w:color w:val="auto"/>
          <w:lang w:eastAsia="zh-CN"/>
        </w:rPr>
        <w:t>3</w:t>
      </w:r>
      <w:r>
        <w:rPr>
          <w:rFonts w:ascii="Times New Roman" w:hAnsi="Times New Roman" w:hint="eastAsia"/>
          <w:color w:val="auto"/>
          <w:lang w:eastAsia="zh-CN"/>
        </w:rPr>
        <w:t>种国家级和省级重点保护陆生脊椎动物，国家Ⅱ级重点保护陆生脊椎动物有</w:t>
      </w:r>
      <w:r>
        <w:rPr>
          <w:rFonts w:ascii="Times New Roman" w:hAnsi="Times New Roman"/>
          <w:color w:val="auto"/>
          <w:lang w:eastAsia="zh-CN"/>
        </w:rPr>
        <w:t>1</w:t>
      </w:r>
      <w:r>
        <w:rPr>
          <w:rFonts w:ascii="Times New Roman" w:hAnsi="Times New Roman" w:hint="eastAsia"/>
          <w:color w:val="auto"/>
          <w:lang w:eastAsia="zh-CN"/>
        </w:rPr>
        <w:t>种，分别为褐翅鸦鹃；海南省级重点保护陆生脊椎动物</w:t>
      </w:r>
      <w:r>
        <w:rPr>
          <w:rFonts w:ascii="Times New Roman" w:hAnsi="Times New Roman"/>
          <w:color w:val="auto"/>
          <w:lang w:eastAsia="zh-CN"/>
        </w:rPr>
        <w:t>2</w:t>
      </w:r>
      <w:r>
        <w:rPr>
          <w:rFonts w:ascii="Times New Roman" w:hAnsi="Times New Roman" w:hint="eastAsia"/>
          <w:color w:val="auto"/>
          <w:lang w:eastAsia="zh-CN"/>
        </w:rPr>
        <w:t>种，分别为白鹭、珠颈斑鸠。用地范围内未发现重点保护陆生脊椎动物。</w:t>
      </w:r>
    </w:p>
    <w:p w14:paraId="62F241A6" w14:textId="77777777" w:rsidR="0075791A" w:rsidRDefault="0075791A">
      <w:pPr>
        <w:jc w:val="center"/>
        <w:rPr>
          <w:rFonts w:ascii="Times New Roman" w:eastAsia="宋体" w:hAnsi="Times New Roman" w:cs="宋体"/>
          <w:color w:val="auto"/>
          <w:sz w:val="24"/>
          <w:szCs w:val="24"/>
          <w:lang w:eastAsia="zh-CN"/>
        </w:rPr>
      </w:pPr>
    </w:p>
    <w:p w14:paraId="02CD66F5" w14:textId="77777777" w:rsidR="0075791A" w:rsidRDefault="00FB2864">
      <w:pPr>
        <w:spacing w:line="360" w:lineRule="auto"/>
        <w:jc w:val="center"/>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图</w:t>
      </w:r>
      <w:r>
        <w:rPr>
          <w:rFonts w:ascii="Times New Roman" w:eastAsia="宋体" w:hAnsi="Times New Roman" w:cs="宋体" w:hint="eastAsia"/>
          <w:color w:val="auto"/>
          <w:sz w:val="24"/>
          <w:szCs w:val="24"/>
          <w:lang w:eastAsia="zh-CN"/>
        </w:rPr>
        <w:t>3.2.7-28</w:t>
      </w:r>
      <w:r>
        <w:rPr>
          <w:rFonts w:ascii="Times New Roman" w:eastAsia="宋体" w:hAnsi="Times New Roman" w:cs="宋体"/>
          <w:color w:val="auto"/>
          <w:sz w:val="24"/>
          <w:szCs w:val="24"/>
          <w:lang w:eastAsia="zh-CN"/>
        </w:rPr>
        <w:t>项目的评价区保护动物分布图</w:t>
      </w:r>
    </w:p>
    <w:p w14:paraId="1CF37CD4"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201" w:name="_Toc16645"/>
      <w:r>
        <w:rPr>
          <w:rFonts w:ascii="Times New Roman" w:eastAsia="Times New Roman" w:hAnsi="Times New Roman" w:cs="Times New Roman" w:hint="eastAsia"/>
          <w:b/>
          <w:bCs/>
          <w:color w:val="auto"/>
          <w:spacing w:val="-3"/>
          <w:sz w:val="28"/>
          <w:szCs w:val="28"/>
          <w:lang w:eastAsia="zh-CN"/>
        </w:rPr>
        <w:t>3.2.8 海洋自然灾害</w:t>
      </w:r>
      <w:bookmarkEnd w:id="201"/>
    </w:p>
    <w:p w14:paraId="440890DB" w14:textId="77777777" w:rsidR="0075791A" w:rsidRDefault="00FB2864">
      <w:pPr>
        <w:pStyle w:val="TableText"/>
        <w:spacing w:line="360" w:lineRule="auto"/>
        <w:ind w:firstLineChars="200" w:firstLine="482"/>
        <w:jc w:val="both"/>
        <w:rPr>
          <w:rFonts w:ascii="Times New Roman" w:hAnsi="Times New Roman"/>
          <w:b/>
          <w:bCs/>
          <w:color w:val="auto"/>
          <w:lang w:eastAsia="zh-CN"/>
        </w:rPr>
      </w:pPr>
      <w:r>
        <w:rPr>
          <w:rFonts w:ascii="Times New Roman" w:hAnsi="Times New Roman" w:hint="eastAsia"/>
          <w:b/>
          <w:bCs/>
          <w:color w:val="auto"/>
          <w:lang w:eastAsia="zh-CN"/>
        </w:rPr>
        <w:t>（</w:t>
      </w:r>
      <w:r>
        <w:rPr>
          <w:rFonts w:ascii="Times New Roman" w:hAnsi="Times New Roman" w:hint="eastAsia"/>
          <w:b/>
          <w:bCs/>
          <w:color w:val="auto"/>
          <w:lang w:eastAsia="zh-CN"/>
        </w:rPr>
        <w:t>1</w:t>
      </w:r>
      <w:r>
        <w:rPr>
          <w:rFonts w:ascii="Times New Roman" w:hAnsi="Times New Roman" w:hint="eastAsia"/>
          <w:b/>
          <w:bCs/>
          <w:color w:val="auto"/>
          <w:lang w:eastAsia="zh-CN"/>
        </w:rPr>
        <w:t>）雷暴</w:t>
      </w:r>
    </w:p>
    <w:p w14:paraId="17AA091D" w14:textId="77777777" w:rsidR="0075791A" w:rsidRDefault="00FB2864">
      <w:pPr>
        <w:pStyle w:val="TableText"/>
        <w:spacing w:line="360" w:lineRule="auto"/>
        <w:ind w:firstLineChars="200" w:firstLine="474"/>
        <w:jc w:val="both"/>
        <w:rPr>
          <w:color w:val="auto"/>
          <w:spacing w:val="-3"/>
          <w:lang w:eastAsia="zh-CN"/>
        </w:rPr>
      </w:pPr>
      <w:r>
        <w:rPr>
          <w:rFonts w:hint="eastAsia"/>
          <w:color w:val="auto"/>
          <w:spacing w:val="-3"/>
          <w:lang w:eastAsia="zh-CN"/>
        </w:rPr>
        <w:t>根据</w:t>
      </w:r>
      <w:r>
        <w:rPr>
          <w:color w:val="auto"/>
          <w:spacing w:val="-3"/>
          <w:lang w:eastAsia="zh-CN"/>
        </w:rPr>
        <w:t>三亚气象站自</w:t>
      </w:r>
      <w:r>
        <w:rPr>
          <w:color w:val="auto"/>
          <w:spacing w:val="-3"/>
          <w:lang w:eastAsia="zh-CN"/>
        </w:rPr>
        <w:t>1959</w:t>
      </w:r>
      <w:r>
        <w:rPr>
          <w:color w:val="auto"/>
          <w:spacing w:val="-3"/>
          <w:lang w:eastAsia="zh-CN"/>
        </w:rPr>
        <w:t>年～</w:t>
      </w:r>
      <w:r>
        <w:rPr>
          <w:color w:val="auto"/>
          <w:spacing w:val="-3"/>
          <w:lang w:eastAsia="zh-CN"/>
        </w:rPr>
        <w:t>2008</w:t>
      </w:r>
      <w:r>
        <w:rPr>
          <w:color w:val="auto"/>
          <w:spacing w:val="-3"/>
          <w:lang w:eastAsia="zh-CN"/>
        </w:rPr>
        <w:t>年和</w:t>
      </w:r>
      <w:r>
        <w:rPr>
          <w:color w:val="auto"/>
          <w:spacing w:val="-3"/>
          <w:lang w:eastAsia="zh-CN"/>
        </w:rPr>
        <w:t>2009</w:t>
      </w:r>
      <w:r>
        <w:rPr>
          <w:color w:val="auto"/>
          <w:spacing w:val="-3"/>
          <w:lang w:eastAsia="zh-CN"/>
        </w:rPr>
        <w:t>年～</w:t>
      </w:r>
      <w:r>
        <w:rPr>
          <w:color w:val="auto"/>
          <w:spacing w:val="-3"/>
          <w:lang w:eastAsia="zh-CN"/>
        </w:rPr>
        <w:t>2019</w:t>
      </w:r>
      <w:r>
        <w:rPr>
          <w:color w:val="auto"/>
          <w:spacing w:val="-3"/>
          <w:lang w:eastAsia="zh-CN"/>
        </w:rPr>
        <w:t>年的气象数据</w:t>
      </w:r>
      <w:r>
        <w:rPr>
          <w:rFonts w:hint="eastAsia"/>
          <w:color w:val="auto"/>
          <w:spacing w:val="-3"/>
          <w:lang w:eastAsia="zh-CN"/>
        </w:rPr>
        <w:t>统</w:t>
      </w:r>
      <w:r>
        <w:rPr>
          <w:color w:val="auto"/>
          <w:spacing w:val="-3"/>
          <w:lang w:eastAsia="zh-CN"/>
        </w:rPr>
        <w:t>计</w:t>
      </w:r>
      <w:r>
        <w:rPr>
          <w:rFonts w:hint="eastAsia"/>
          <w:color w:val="auto"/>
          <w:spacing w:val="-3"/>
          <w:lang w:eastAsia="zh-CN"/>
        </w:rPr>
        <w:t>，三亚</w:t>
      </w:r>
      <w:r>
        <w:rPr>
          <w:color w:val="auto"/>
          <w:spacing w:val="-3"/>
          <w:lang w:eastAsia="zh-CN"/>
        </w:rPr>
        <w:t>年平均雷暴日数为</w:t>
      </w:r>
      <w:r>
        <w:rPr>
          <w:color w:val="auto"/>
          <w:spacing w:val="-3"/>
          <w:lang w:eastAsia="zh-CN"/>
        </w:rPr>
        <w:t>48</w:t>
      </w:r>
      <w:r>
        <w:rPr>
          <w:color w:val="auto"/>
          <w:spacing w:val="-3"/>
          <w:lang w:eastAsia="zh-CN"/>
        </w:rPr>
        <w:t>天，占全年天数的</w:t>
      </w:r>
      <w:r>
        <w:rPr>
          <w:color w:val="auto"/>
          <w:spacing w:val="-3"/>
          <w:lang w:eastAsia="zh-CN"/>
        </w:rPr>
        <w:t>13.15%</w:t>
      </w:r>
      <w:r>
        <w:rPr>
          <w:color w:val="auto"/>
          <w:spacing w:val="-3"/>
          <w:lang w:eastAsia="zh-CN"/>
        </w:rPr>
        <w:t>。雷暴天数最多的年份可达</w:t>
      </w:r>
      <w:r>
        <w:rPr>
          <w:color w:val="auto"/>
          <w:spacing w:val="-3"/>
          <w:lang w:eastAsia="zh-CN"/>
        </w:rPr>
        <w:t>61</w:t>
      </w:r>
      <w:r>
        <w:rPr>
          <w:color w:val="auto"/>
          <w:spacing w:val="-3"/>
          <w:lang w:eastAsia="zh-CN"/>
        </w:rPr>
        <w:t>天，占总天数的</w:t>
      </w:r>
      <w:r>
        <w:rPr>
          <w:color w:val="auto"/>
          <w:spacing w:val="-3"/>
          <w:lang w:eastAsia="zh-CN"/>
        </w:rPr>
        <w:t>16.71%</w:t>
      </w:r>
      <w:r>
        <w:rPr>
          <w:color w:val="auto"/>
          <w:spacing w:val="-3"/>
          <w:lang w:eastAsia="zh-CN"/>
        </w:rPr>
        <w:t>；最少的年份雷暴日数也有</w:t>
      </w:r>
      <w:r>
        <w:rPr>
          <w:color w:val="auto"/>
          <w:spacing w:val="-3"/>
          <w:lang w:eastAsia="zh-CN"/>
        </w:rPr>
        <w:t xml:space="preserve">28 </w:t>
      </w:r>
      <w:r>
        <w:rPr>
          <w:color w:val="auto"/>
          <w:spacing w:val="-3"/>
          <w:lang w:eastAsia="zh-CN"/>
        </w:rPr>
        <w:t>天，占总天数的</w:t>
      </w:r>
      <w:r>
        <w:rPr>
          <w:color w:val="auto"/>
          <w:spacing w:val="-3"/>
          <w:lang w:eastAsia="zh-CN"/>
        </w:rPr>
        <w:t>7.67%</w:t>
      </w:r>
      <w:r>
        <w:rPr>
          <w:color w:val="auto"/>
          <w:spacing w:val="-3"/>
          <w:lang w:eastAsia="zh-CN"/>
        </w:rPr>
        <w:t>。平均雷暴天数最多的</w:t>
      </w:r>
      <w:r>
        <w:rPr>
          <w:color w:val="auto"/>
          <w:spacing w:val="-3"/>
          <w:lang w:eastAsia="zh-CN"/>
        </w:rPr>
        <w:t>8</w:t>
      </w:r>
      <w:r>
        <w:rPr>
          <w:color w:val="auto"/>
          <w:spacing w:val="-3"/>
          <w:lang w:eastAsia="zh-CN"/>
        </w:rPr>
        <w:t>月和</w:t>
      </w:r>
      <w:r>
        <w:rPr>
          <w:color w:val="auto"/>
          <w:spacing w:val="-3"/>
          <w:lang w:eastAsia="zh-CN"/>
        </w:rPr>
        <w:t>9</w:t>
      </w:r>
      <w:r>
        <w:rPr>
          <w:color w:val="auto"/>
          <w:spacing w:val="-3"/>
          <w:lang w:eastAsia="zh-CN"/>
        </w:rPr>
        <w:t>月份，有</w:t>
      </w:r>
      <w:r>
        <w:rPr>
          <w:color w:val="auto"/>
          <w:spacing w:val="-3"/>
          <w:lang w:eastAsia="zh-CN"/>
        </w:rPr>
        <w:t>9</w:t>
      </w:r>
      <w:r>
        <w:rPr>
          <w:color w:val="auto"/>
          <w:spacing w:val="-3"/>
          <w:lang w:eastAsia="zh-CN"/>
        </w:rPr>
        <w:t>～</w:t>
      </w:r>
      <w:r>
        <w:rPr>
          <w:color w:val="auto"/>
          <w:spacing w:val="-3"/>
          <w:lang w:eastAsia="zh-CN"/>
        </w:rPr>
        <w:t>10</w:t>
      </w:r>
      <w:r>
        <w:rPr>
          <w:color w:val="auto"/>
          <w:spacing w:val="-3"/>
          <w:lang w:eastAsia="zh-CN"/>
        </w:rPr>
        <w:t>天，最多的年份可达</w:t>
      </w:r>
      <w:r>
        <w:rPr>
          <w:color w:val="auto"/>
          <w:spacing w:val="-3"/>
          <w:lang w:eastAsia="zh-CN"/>
        </w:rPr>
        <w:t>19</w:t>
      </w:r>
      <w:r>
        <w:rPr>
          <w:color w:val="auto"/>
          <w:spacing w:val="-3"/>
          <w:lang w:eastAsia="zh-CN"/>
        </w:rPr>
        <w:t>天，全月差不多</w:t>
      </w:r>
      <w:r>
        <w:rPr>
          <w:color w:val="auto"/>
          <w:spacing w:val="-3"/>
          <w:lang w:eastAsia="zh-CN"/>
        </w:rPr>
        <w:t>2/3</w:t>
      </w:r>
      <w:r>
        <w:rPr>
          <w:color w:val="auto"/>
          <w:spacing w:val="-3"/>
          <w:lang w:eastAsia="zh-CN"/>
        </w:rPr>
        <w:t>的时间受雷暴影响。</w:t>
      </w:r>
      <w:r>
        <w:rPr>
          <w:color w:val="auto"/>
          <w:spacing w:val="-3"/>
          <w:lang w:eastAsia="zh-CN"/>
        </w:rPr>
        <w:t>12</w:t>
      </w:r>
      <w:r>
        <w:rPr>
          <w:color w:val="auto"/>
          <w:spacing w:val="-3"/>
          <w:lang w:eastAsia="zh-CN"/>
        </w:rPr>
        <w:t>月到翌年的</w:t>
      </w:r>
      <w:r>
        <w:rPr>
          <w:color w:val="auto"/>
          <w:spacing w:val="-3"/>
          <w:lang w:eastAsia="zh-CN"/>
        </w:rPr>
        <w:t>2</w:t>
      </w:r>
      <w:r>
        <w:rPr>
          <w:color w:val="auto"/>
          <w:spacing w:val="-3"/>
          <w:lang w:eastAsia="zh-CN"/>
        </w:rPr>
        <w:t>月基本没有雷暴。</w:t>
      </w:r>
    </w:p>
    <w:p w14:paraId="712C520F" w14:textId="77777777" w:rsidR="0075791A" w:rsidRDefault="00FB2864">
      <w:pPr>
        <w:pStyle w:val="TableText"/>
        <w:jc w:val="center"/>
        <w:rPr>
          <w:rFonts w:ascii="Times New Roman" w:hAnsi="Times New Roman"/>
          <w:color w:val="auto"/>
          <w:spacing w:val="-2"/>
          <w:lang w:eastAsia="zh-CN"/>
        </w:rPr>
      </w:pPr>
      <w:r>
        <w:rPr>
          <w:rFonts w:ascii="Times New Roman" w:hAnsi="Times New Roman"/>
          <w:color w:val="auto"/>
          <w:spacing w:val="-2"/>
          <w:lang w:eastAsia="zh-CN"/>
        </w:rPr>
        <w:t>表</w:t>
      </w:r>
      <w:r>
        <w:rPr>
          <w:rFonts w:ascii="Times New Roman" w:hAnsi="Times New Roman" w:hint="eastAsia"/>
          <w:color w:val="auto"/>
          <w:spacing w:val="-2"/>
          <w:lang w:eastAsia="zh-CN"/>
        </w:rPr>
        <w:t>3.2.</w:t>
      </w:r>
      <w:r>
        <w:rPr>
          <w:rFonts w:ascii="Times New Roman" w:hAnsi="Times New Roman" w:hint="eastAsia"/>
          <w:color w:val="auto"/>
          <w:spacing w:val="-2"/>
          <w:lang w:eastAsia="zh-CN"/>
        </w:rPr>
        <w:t>8-1</w:t>
      </w:r>
      <w:r>
        <w:rPr>
          <w:rFonts w:ascii="Times New Roman" w:hAnsi="Times New Roman"/>
          <w:color w:val="auto"/>
          <w:spacing w:val="-2"/>
          <w:lang w:eastAsia="zh-CN"/>
        </w:rPr>
        <w:t xml:space="preserve"> </w:t>
      </w:r>
      <w:r>
        <w:rPr>
          <w:rFonts w:ascii="Times New Roman" w:hAnsi="Times New Roman"/>
          <w:color w:val="auto"/>
          <w:spacing w:val="-2"/>
          <w:lang w:eastAsia="zh-CN"/>
        </w:rPr>
        <w:t>各月平均雷暴日数（天）</w:t>
      </w:r>
    </w:p>
    <w:tbl>
      <w:tblPr>
        <w:tblStyle w:val="ad"/>
        <w:tblW w:w="0" w:type="auto"/>
        <w:jc w:val="center"/>
        <w:tblLayout w:type="fixed"/>
        <w:tblLook w:val="04A0" w:firstRow="1" w:lastRow="0" w:firstColumn="1" w:lastColumn="0" w:noHBand="0" w:noVBand="1"/>
      </w:tblPr>
      <w:tblGrid>
        <w:gridCol w:w="1034"/>
        <w:gridCol w:w="549"/>
        <w:gridCol w:w="585"/>
        <w:gridCol w:w="555"/>
        <w:gridCol w:w="555"/>
        <w:gridCol w:w="570"/>
        <w:gridCol w:w="555"/>
        <w:gridCol w:w="585"/>
        <w:gridCol w:w="585"/>
        <w:gridCol w:w="585"/>
        <w:gridCol w:w="570"/>
        <w:gridCol w:w="600"/>
        <w:gridCol w:w="576"/>
        <w:gridCol w:w="579"/>
      </w:tblGrid>
      <w:tr w:rsidR="0075791A" w14:paraId="7D44D863" w14:textId="77777777">
        <w:trPr>
          <w:jc w:val="center"/>
        </w:trPr>
        <w:tc>
          <w:tcPr>
            <w:tcW w:w="1034" w:type="dxa"/>
            <w:tcMar>
              <w:top w:w="0" w:type="dxa"/>
              <w:left w:w="57" w:type="dxa"/>
              <w:bottom w:w="0" w:type="dxa"/>
              <w:right w:w="57" w:type="dxa"/>
            </w:tcMar>
            <w:vAlign w:val="center"/>
          </w:tcPr>
          <w:p w14:paraId="4C54EFF3" w14:textId="77777777" w:rsidR="0075791A" w:rsidRDefault="00FB2864">
            <w:pPr>
              <w:widowControl/>
              <w:kinsoku/>
              <w:autoSpaceDE/>
              <w:autoSpaceDN/>
              <w:adjustRightInd/>
              <w:snapToGrid/>
              <w:jc w:val="center"/>
              <w:textAlignment w:val="auto"/>
              <w:rPr>
                <w:rFonts w:ascii="Times New Roman" w:eastAsia="宋体" w:hAnsi="Times New Roman" w:cs="Times New Roman"/>
                <w:b/>
                <w:bCs/>
                <w:color w:val="auto"/>
                <w:lang w:eastAsia="zh-CN" w:bidi="ar"/>
              </w:rPr>
            </w:pPr>
            <w:r>
              <w:rPr>
                <w:rFonts w:ascii="Times New Roman" w:eastAsia="宋体" w:hAnsi="Times New Roman" w:cs="Times New Roman"/>
                <w:b/>
                <w:bCs/>
                <w:color w:val="auto"/>
                <w:lang w:eastAsia="zh-CN" w:bidi="ar"/>
              </w:rPr>
              <w:t>月份</w:t>
            </w:r>
          </w:p>
        </w:tc>
        <w:tc>
          <w:tcPr>
            <w:tcW w:w="549" w:type="dxa"/>
            <w:tcMar>
              <w:top w:w="0" w:type="dxa"/>
              <w:left w:w="57" w:type="dxa"/>
              <w:bottom w:w="0" w:type="dxa"/>
              <w:right w:w="57" w:type="dxa"/>
            </w:tcMar>
            <w:vAlign w:val="center"/>
          </w:tcPr>
          <w:p w14:paraId="718629B2" w14:textId="77777777" w:rsidR="0075791A" w:rsidRDefault="00FB2864">
            <w:pPr>
              <w:widowControl/>
              <w:kinsoku/>
              <w:autoSpaceDE/>
              <w:autoSpaceDN/>
              <w:adjustRightInd/>
              <w:snapToGrid/>
              <w:jc w:val="center"/>
              <w:textAlignment w:val="auto"/>
              <w:rPr>
                <w:rFonts w:ascii="Times New Roman" w:eastAsia="宋体" w:hAnsi="Times New Roman" w:cs="Times New Roman"/>
                <w:b/>
                <w:bCs/>
                <w:color w:val="auto"/>
                <w:lang w:eastAsia="zh-CN" w:bidi="ar"/>
              </w:rPr>
            </w:pPr>
            <w:r>
              <w:rPr>
                <w:rFonts w:ascii="Times New Roman" w:eastAsia="宋体" w:hAnsi="Times New Roman" w:cs="Times New Roman"/>
                <w:b/>
                <w:bCs/>
                <w:color w:val="auto"/>
                <w:lang w:eastAsia="zh-CN" w:bidi="ar"/>
              </w:rPr>
              <w:t>1</w:t>
            </w:r>
          </w:p>
        </w:tc>
        <w:tc>
          <w:tcPr>
            <w:tcW w:w="585" w:type="dxa"/>
            <w:tcMar>
              <w:top w:w="0" w:type="dxa"/>
              <w:left w:w="57" w:type="dxa"/>
              <w:bottom w:w="0" w:type="dxa"/>
              <w:right w:w="57" w:type="dxa"/>
            </w:tcMar>
            <w:vAlign w:val="center"/>
          </w:tcPr>
          <w:p w14:paraId="42FA8B7F" w14:textId="77777777" w:rsidR="0075791A" w:rsidRDefault="00FB2864">
            <w:pPr>
              <w:widowControl/>
              <w:kinsoku/>
              <w:autoSpaceDE/>
              <w:autoSpaceDN/>
              <w:adjustRightInd/>
              <w:snapToGrid/>
              <w:jc w:val="center"/>
              <w:textAlignment w:val="auto"/>
              <w:rPr>
                <w:rFonts w:ascii="Times New Roman" w:eastAsia="宋体" w:hAnsi="Times New Roman" w:cs="Times New Roman"/>
                <w:b/>
                <w:bCs/>
                <w:color w:val="auto"/>
                <w:lang w:eastAsia="zh-CN" w:bidi="ar"/>
              </w:rPr>
            </w:pPr>
            <w:r>
              <w:rPr>
                <w:rFonts w:ascii="Times New Roman" w:eastAsia="宋体" w:hAnsi="Times New Roman" w:cs="Times New Roman"/>
                <w:b/>
                <w:bCs/>
                <w:color w:val="auto"/>
                <w:lang w:eastAsia="zh-CN" w:bidi="ar"/>
              </w:rPr>
              <w:t>2</w:t>
            </w:r>
          </w:p>
        </w:tc>
        <w:tc>
          <w:tcPr>
            <w:tcW w:w="555" w:type="dxa"/>
            <w:tcMar>
              <w:top w:w="0" w:type="dxa"/>
              <w:left w:w="57" w:type="dxa"/>
              <w:bottom w:w="0" w:type="dxa"/>
              <w:right w:w="57" w:type="dxa"/>
            </w:tcMar>
            <w:vAlign w:val="center"/>
          </w:tcPr>
          <w:p w14:paraId="20C66E77" w14:textId="77777777" w:rsidR="0075791A" w:rsidRDefault="00FB2864">
            <w:pPr>
              <w:widowControl/>
              <w:kinsoku/>
              <w:autoSpaceDE/>
              <w:autoSpaceDN/>
              <w:adjustRightInd/>
              <w:snapToGrid/>
              <w:jc w:val="center"/>
              <w:textAlignment w:val="auto"/>
              <w:rPr>
                <w:rFonts w:ascii="Times New Roman" w:eastAsia="宋体" w:hAnsi="Times New Roman" w:cs="Times New Roman"/>
                <w:b/>
                <w:bCs/>
                <w:color w:val="auto"/>
                <w:lang w:eastAsia="zh-CN" w:bidi="ar"/>
              </w:rPr>
            </w:pPr>
            <w:r>
              <w:rPr>
                <w:rFonts w:ascii="Times New Roman" w:eastAsia="宋体" w:hAnsi="Times New Roman" w:cs="Times New Roman"/>
                <w:b/>
                <w:bCs/>
                <w:color w:val="auto"/>
                <w:lang w:eastAsia="zh-CN" w:bidi="ar"/>
              </w:rPr>
              <w:t>3</w:t>
            </w:r>
          </w:p>
        </w:tc>
        <w:tc>
          <w:tcPr>
            <w:tcW w:w="555" w:type="dxa"/>
            <w:tcMar>
              <w:top w:w="0" w:type="dxa"/>
              <w:left w:w="57" w:type="dxa"/>
              <w:bottom w:w="0" w:type="dxa"/>
              <w:right w:w="57" w:type="dxa"/>
            </w:tcMar>
            <w:vAlign w:val="center"/>
          </w:tcPr>
          <w:p w14:paraId="77889136" w14:textId="77777777" w:rsidR="0075791A" w:rsidRDefault="00FB2864">
            <w:pPr>
              <w:widowControl/>
              <w:kinsoku/>
              <w:autoSpaceDE/>
              <w:autoSpaceDN/>
              <w:adjustRightInd/>
              <w:snapToGrid/>
              <w:jc w:val="center"/>
              <w:textAlignment w:val="auto"/>
              <w:rPr>
                <w:rFonts w:ascii="Times New Roman" w:eastAsia="宋体" w:hAnsi="Times New Roman" w:cs="Times New Roman"/>
                <w:b/>
                <w:bCs/>
                <w:color w:val="auto"/>
                <w:lang w:eastAsia="zh-CN" w:bidi="ar"/>
              </w:rPr>
            </w:pPr>
            <w:r>
              <w:rPr>
                <w:rFonts w:ascii="Times New Roman" w:eastAsia="宋体" w:hAnsi="Times New Roman" w:cs="Times New Roman"/>
                <w:b/>
                <w:bCs/>
                <w:color w:val="auto"/>
                <w:lang w:eastAsia="zh-CN" w:bidi="ar"/>
              </w:rPr>
              <w:t>4</w:t>
            </w:r>
          </w:p>
        </w:tc>
        <w:tc>
          <w:tcPr>
            <w:tcW w:w="570" w:type="dxa"/>
            <w:tcMar>
              <w:top w:w="0" w:type="dxa"/>
              <w:left w:w="57" w:type="dxa"/>
              <w:bottom w:w="0" w:type="dxa"/>
              <w:right w:w="57" w:type="dxa"/>
            </w:tcMar>
            <w:vAlign w:val="center"/>
          </w:tcPr>
          <w:p w14:paraId="4D37B77B" w14:textId="77777777" w:rsidR="0075791A" w:rsidRDefault="00FB2864">
            <w:pPr>
              <w:widowControl/>
              <w:kinsoku/>
              <w:autoSpaceDE/>
              <w:autoSpaceDN/>
              <w:adjustRightInd/>
              <w:snapToGrid/>
              <w:jc w:val="center"/>
              <w:textAlignment w:val="auto"/>
              <w:rPr>
                <w:rFonts w:ascii="Times New Roman" w:eastAsia="宋体" w:hAnsi="Times New Roman" w:cs="Times New Roman"/>
                <w:b/>
                <w:bCs/>
                <w:color w:val="auto"/>
                <w:lang w:eastAsia="zh-CN" w:bidi="ar"/>
              </w:rPr>
            </w:pPr>
            <w:r>
              <w:rPr>
                <w:rFonts w:ascii="Times New Roman" w:eastAsia="宋体" w:hAnsi="Times New Roman" w:cs="Times New Roman"/>
                <w:b/>
                <w:bCs/>
                <w:color w:val="auto"/>
                <w:lang w:eastAsia="zh-CN" w:bidi="ar"/>
              </w:rPr>
              <w:t>5</w:t>
            </w:r>
          </w:p>
        </w:tc>
        <w:tc>
          <w:tcPr>
            <w:tcW w:w="555" w:type="dxa"/>
            <w:tcMar>
              <w:top w:w="0" w:type="dxa"/>
              <w:left w:w="57" w:type="dxa"/>
              <w:bottom w:w="0" w:type="dxa"/>
              <w:right w:w="57" w:type="dxa"/>
            </w:tcMar>
            <w:vAlign w:val="center"/>
          </w:tcPr>
          <w:p w14:paraId="6D86D50E" w14:textId="77777777" w:rsidR="0075791A" w:rsidRDefault="00FB2864">
            <w:pPr>
              <w:widowControl/>
              <w:kinsoku/>
              <w:autoSpaceDE/>
              <w:autoSpaceDN/>
              <w:adjustRightInd/>
              <w:snapToGrid/>
              <w:jc w:val="center"/>
              <w:textAlignment w:val="auto"/>
              <w:rPr>
                <w:rFonts w:ascii="Times New Roman" w:eastAsia="宋体" w:hAnsi="Times New Roman" w:cs="Times New Roman"/>
                <w:b/>
                <w:bCs/>
                <w:color w:val="auto"/>
                <w:lang w:eastAsia="zh-CN" w:bidi="ar"/>
              </w:rPr>
            </w:pPr>
            <w:r>
              <w:rPr>
                <w:rFonts w:ascii="Times New Roman" w:eastAsia="宋体" w:hAnsi="Times New Roman" w:cs="Times New Roman"/>
                <w:b/>
                <w:bCs/>
                <w:color w:val="auto"/>
                <w:lang w:eastAsia="zh-CN" w:bidi="ar"/>
              </w:rPr>
              <w:t>6</w:t>
            </w:r>
          </w:p>
        </w:tc>
        <w:tc>
          <w:tcPr>
            <w:tcW w:w="585" w:type="dxa"/>
            <w:tcMar>
              <w:top w:w="0" w:type="dxa"/>
              <w:left w:w="57" w:type="dxa"/>
              <w:bottom w:w="0" w:type="dxa"/>
              <w:right w:w="57" w:type="dxa"/>
            </w:tcMar>
            <w:vAlign w:val="center"/>
          </w:tcPr>
          <w:p w14:paraId="68A85F16" w14:textId="77777777" w:rsidR="0075791A" w:rsidRDefault="00FB2864">
            <w:pPr>
              <w:widowControl/>
              <w:kinsoku/>
              <w:autoSpaceDE/>
              <w:autoSpaceDN/>
              <w:adjustRightInd/>
              <w:snapToGrid/>
              <w:jc w:val="center"/>
              <w:textAlignment w:val="auto"/>
              <w:rPr>
                <w:rFonts w:ascii="Times New Roman" w:eastAsia="宋体" w:hAnsi="Times New Roman" w:cs="Times New Roman"/>
                <w:b/>
                <w:bCs/>
                <w:color w:val="auto"/>
                <w:lang w:eastAsia="zh-CN" w:bidi="ar"/>
              </w:rPr>
            </w:pPr>
            <w:r>
              <w:rPr>
                <w:rFonts w:ascii="Times New Roman" w:eastAsia="宋体" w:hAnsi="Times New Roman" w:cs="Times New Roman"/>
                <w:b/>
                <w:bCs/>
                <w:color w:val="auto"/>
                <w:lang w:eastAsia="zh-CN" w:bidi="ar"/>
              </w:rPr>
              <w:t>7</w:t>
            </w:r>
          </w:p>
        </w:tc>
        <w:tc>
          <w:tcPr>
            <w:tcW w:w="585" w:type="dxa"/>
            <w:tcMar>
              <w:top w:w="0" w:type="dxa"/>
              <w:left w:w="57" w:type="dxa"/>
              <w:bottom w:w="0" w:type="dxa"/>
              <w:right w:w="57" w:type="dxa"/>
            </w:tcMar>
            <w:vAlign w:val="center"/>
          </w:tcPr>
          <w:p w14:paraId="1E54C981" w14:textId="77777777" w:rsidR="0075791A" w:rsidRDefault="00FB2864">
            <w:pPr>
              <w:widowControl/>
              <w:kinsoku/>
              <w:autoSpaceDE/>
              <w:autoSpaceDN/>
              <w:adjustRightInd/>
              <w:snapToGrid/>
              <w:jc w:val="center"/>
              <w:textAlignment w:val="auto"/>
              <w:rPr>
                <w:rFonts w:ascii="Times New Roman" w:eastAsia="宋体" w:hAnsi="Times New Roman" w:cs="Times New Roman"/>
                <w:b/>
                <w:bCs/>
                <w:color w:val="auto"/>
                <w:lang w:eastAsia="zh-CN" w:bidi="ar"/>
              </w:rPr>
            </w:pPr>
            <w:r>
              <w:rPr>
                <w:rFonts w:ascii="Times New Roman" w:eastAsia="宋体" w:hAnsi="Times New Roman" w:cs="Times New Roman"/>
                <w:b/>
                <w:bCs/>
                <w:color w:val="auto"/>
                <w:lang w:eastAsia="zh-CN" w:bidi="ar"/>
              </w:rPr>
              <w:t>8</w:t>
            </w:r>
          </w:p>
        </w:tc>
        <w:tc>
          <w:tcPr>
            <w:tcW w:w="585" w:type="dxa"/>
            <w:tcMar>
              <w:top w:w="0" w:type="dxa"/>
              <w:left w:w="57" w:type="dxa"/>
              <w:bottom w:w="0" w:type="dxa"/>
              <w:right w:w="57" w:type="dxa"/>
            </w:tcMar>
            <w:vAlign w:val="center"/>
          </w:tcPr>
          <w:p w14:paraId="35C30CAA" w14:textId="77777777" w:rsidR="0075791A" w:rsidRDefault="00FB2864">
            <w:pPr>
              <w:widowControl/>
              <w:kinsoku/>
              <w:autoSpaceDE/>
              <w:autoSpaceDN/>
              <w:adjustRightInd/>
              <w:snapToGrid/>
              <w:jc w:val="center"/>
              <w:textAlignment w:val="auto"/>
              <w:rPr>
                <w:rFonts w:ascii="Times New Roman" w:eastAsia="宋体" w:hAnsi="Times New Roman" w:cs="Times New Roman"/>
                <w:b/>
                <w:bCs/>
                <w:color w:val="auto"/>
                <w:lang w:eastAsia="zh-CN" w:bidi="ar"/>
              </w:rPr>
            </w:pPr>
            <w:r>
              <w:rPr>
                <w:rFonts w:ascii="Times New Roman" w:eastAsia="宋体" w:hAnsi="Times New Roman" w:cs="Times New Roman"/>
                <w:b/>
                <w:bCs/>
                <w:color w:val="auto"/>
                <w:lang w:eastAsia="zh-CN" w:bidi="ar"/>
              </w:rPr>
              <w:t>9</w:t>
            </w:r>
          </w:p>
        </w:tc>
        <w:tc>
          <w:tcPr>
            <w:tcW w:w="570" w:type="dxa"/>
            <w:tcMar>
              <w:top w:w="0" w:type="dxa"/>
              <w:left w:w="57" w:type="dxa"/>
              <w:bottom w:w="0" w:type="dxa"/>
              <w:right w:w="57" w:type="dxa"/>
            </w:tcMar>
            <w:vAlign w:val="center"/>
          </w:tcPr>
          <w:p w14:paraId="16C9B572" w14:textId="77777777" w:rsidR="0075791A" w:rsidRDefault="00FB2864">
            <w:pPr>
              <w:widowControl/>
              <w:kinsoku/>
              <w:autoSpaceDE/>
              <w:autoSpaceDN/>
              <w:adjustRightInd/>
              <w:snapToGrid/>
              <w:jc w:val="center"/>
              <w:textAlignment w:val="auto"/>
              <w:rPr>
                <w:rFonts w:ascii="Times New Roman" w:eastAsia="宋体" w:hAnsi="Times New Roman" w:cs="Times New Roman"/>
                <w:b/>
                <w:bCs/>
                <w:color w:val="auto"/>
                <w:lang w:eastAsia="zh-CN" w:bidi="ar"/>
              </w:rPr>
            </w:pPr>
            <w:r>
              <w:rPr>
                <w:rFonts w:ascii="Times New Roman" w:eastAsia="宋体" w:hAnsi="Times New Roman" w:cs="Times New Roman"/>
                <w:b/>
                <w:bCs/>
                <w:color w:val="auto"/>
                <w:lang w:eastAsia="zh-CN" w:bidi="ar"/>
              </w:rPr>
              <w:t>10</w:t>
            </w:r>
          </w:p>
        </w:tc>
        <w:tc>
          <w:tcPr>
            <w:tcW w:w="600" w:type="dxa"/>
            <w:tcMar>
              <w:top w:w="0" w:type="dxa"/>
              <w:left w:w="57" w:type="dxa"/>
              <w:bottom w:w="0" w:type="dxa"/>
              <w:right w:w="57" w:type="dxa"/>
            </w:tcMar>
            <w:vAlign w:val="center"/>
          </w:tcPr>
          <w:p w14:paraId="5342882A" w14:textId="77777777" w:rsidR="0075791A" w:rsidRDefault="00FB2864">
            <w:pPr>
              <w:widowControl/>
              <w:kinsoku/>
              <w:autoSpaceDE/>
              <w:autoSpaceDN/>
              <w:adjustRightInd/>
              <w:snapToGrid/>
              <w:jc w:val="center"/>
              <w:textAlignment w:val="auto"/>
              <w:rPr>
                <w:rFonts w:ascii="Times New Roman" w:eastAsia="宋体" w:hAnsi="Times New Roman" w:cs="Times New Roman"/>
                <w:b/>
                <w:bCs/>
                <w:color w:val="auto"/>
                <w:lang w:eastAsia="zh-CN" w:bidi="ar"/>
              </w:rPr>
            </w:pPr>
            <w:r>
              <w:rPr>
                <w:rFonts w:ascii="Times New Roman" w:eastAsia="宋体" w:hAnsi="Times New Roman" w:cs="Times New Roman"/>
                <w:b/>
                <w:bCs/>
                <w:color w:val="auto"/>
                <w:lang w:eastAsia="zh-CN" w:bidi="ar"/>
              </w:rPr>
              <w:t>11</w:t>
            </w:r>
          </w:p>
        </w:tc>
        <w:tc>
          <w:tcPr>
            <w:tcW w:w="576" w:type="dxa"/>
            <w:tcMar>
              <w:top w:w="0" w:type="dxa"/>
              <w:left w:w="57" w:type="dxa"/>
              <w:bottom w:w="0" w:type="dxa"/>
              <w:right w:w="57" w:type="dxa"/>
            </w:tcMar>
            <w:vAlign w:val="center"/>
          </w:tcPr>
          <w:p w14:paraId="3A6EA47A" w14:textId="77777777" w:rsidR="0075791A" w:rsidRDefault="00FB2864">
            <w:pPr>
              <w:widowControl/>
              <w:kinsoku/>
              <w:autoSpaceDE/>
              <w:autoSpaceDN/>
              <w:adjustRightInd/>
              <w:snapToGrid/>
              <w:jc w:val="center"/>
              <w:textAlignment w:val="auto"/>
              <w:rPr>
                <w:rFonts w:ascii="Times New Roman" w:eastAsia="宋体" w:hAnsi="Times New Roman" w:cs="Times New Roman"/>
                <w:b/>
                <w:bCs/>
                <w:color w:val="auto"/>
                <w:lang w:eastAsia="zh-CN" w:bidi="ar"/>
              </w:rPr>
            </w:pPr>
            <w:r>
              <w:rPr>
                <w:rFonts w:ascii="Times New Roman" w:eastAsia="宋体" w:hAnsi="Times New Roman" w:cs="Times New Roman"/>
                <w:b/>
                <w:bCs/>
                <w:color w:val="auto"/>
                <w:lang w:eastAsia="zh-CN" w:bidi="ar"/>
              </w:rPr>
              <w:t>12</w:t>
            </w:r>
          </w:p>
        </w:tc>
        <w:tc>
          <w:tcPr>
            <w:tcW w:w="579" w:type="dxa"/>
            <w:tcMar>
              <w:top w:w="0" w:type="dxa"/>
              <w:left w:w="57" w:type="dxa"/>
              <w:bottom w:w="0" w:type="dxa"/>
              <w:right w:w="57" w:type="dxa"/>
            </w:tcMar>
            <w:vAlign w:val="center"/>
          </w:tcPr>
          <w:p w14:paraId="41A8A168" w14:textId="77777777" w:rsidR="0075791A" w:rsidRDefault="00FB2864">
            <w:pPr>
              <w:widowControl/>
              <w:kinsoku/>
              <w:autoSpaceDE/>
              <w:autoSpaceDN/>
              <w:adjustRightInd/>
              <w:snapToGrid/>
              <w:jc w:val="center"/>
              <w:textAlignment w:val="auto"/>
              <w:rPr>
                <w:rFonts w:ascii="Times New Roman" w:eastAsia="宋体" w:hAnsi="Times New Roman" w:cs="Times New Roman"/>
                <w:b/>
                <w:bCs/>
                <w:color w:val="auto"/>
                <w:lang w:eastAsia="zh-CN" w:bidi="ar"/>
              </w:rPr>
            </w:pPr>
            <w:r>
              <w:rPr>
                <w:rFonts w:ascii="Times New Roman" w:eastAsia="宋体" w:hAnsi="Times New Roman" w:cs="Times New Roman"/>
                <w:b/>
                <w:bCs/>
                <w:color w:val="auto"/>
                <w:lang w:eastAsia="zh-CN" w:bidi="ar"/>
              </w:rPr>
              <w:t>全年</w:t>
            </w:r>
          </w:p>
        </w:tc>
      </w:tr>
      <w:tr w:rsidR="0075791A" w14:paraId="23F1B538" w14:textId="77777777">
        <w:trPr>
          <w:jc w:val="center"/>
        </w:trPr>
        <w:tc>
          <w:tcPr>
            <w:tcW w:w="1034" w:type="dxa"/>
            <w:tcMar>
              <w:top w:w="0" w:type="dxa"/>
              <w:left w:w="57" w:type="dxa"/>
              <w:bottom w:w="0" w:type="dxa"/>
              <w:right w:w="57" w:type="dxa"/>
            </w:tcMar>
            <w:vAlign w:val="center"/>
          </w:tcPr>
          <w:p w14:paraId="552E445A"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lastRenderedPageBreak/>
              <w:t>雷暴日数平均</w:t>
            </w:r>
          </w:p>
        </w:tc>
        <w:tc>
          <w:tcPr>
            <w:tcW w:w="549" w:type="dxa"/>
            <w:tcMar>
              <w:top w:w="0" w:type="dxa"/>
              <w:left w:w="57" w:type="dxa"/>
              <w:bottom w:w="0" w:type="dxa"/>
              <w:right w:w="57" w:type="dxa"/>
            </w:tcMar>
            <w:vAlign w:val="center"/>
          </w:tcPr>
          <w:p w14:paraId="6B010A3B"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0</w:t>
            </w:r>
          </w:p>
        </w:tc>
        <w:tc>
          <w:tcPr>
            <w:tcW w:w="585" w:type="dxa"/>
            <w:tcMar>
              <w:top w:w="0" w:type="dxa"/>
              <w:left w:w="57" w:type="dxa"/>
              <w:bottom w:w="0" w:type="dxa"/>
              <w:right w:w="57" w:type="dxa"/>
            </w:tcMar>
            <w:vAlign w:val="center"/>
          </w:tcPr>
          <w:p w14:paraId="21F27BF6"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0</w:t>
            </w:r>
          </w:p>
        </w:tc>
        <w:tc>
          <w:tcPr>
            <w:tcW w:w="555" w:type="dxa"/>
            <w:tcMar>
              <w:top w:w="0" w:type="dxa"/>
              <w:left w:w="57" w:type="dxa"/>
              <w:bottom w:w="0" w:type="dxa"/>
              <w:right w:w="57" w:type="dxa"/>
            </w:tcMar>
            <w:vAlign w:val="center"/>
          </w:tcPr>
          <w:p w14:paraId="6E8A5006"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0.6</w:t>
            </w:r>
          </w:p>
        </w:tc>
        <w:tc>
          <w:tcPr>
            <w:tcW w:w="555" w:type="dxa"/>
            <w:tcMar>
              <w:top w:w="0" w:type="dxa"/>
              <w:left w:w="57" w:type="dxa"/>
              <w:bottom w:w="0" w:type="dxa"/>
              <w:right w:w="57" w:type="dxa"/>
            </w:tcMar>
            <w:vAlign w:val="center"/>
          </w:tcPr>
          <w:p w14:paraId="4B2CF735"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3</w:t>
            </w:r>
          </w:p>
        </w:tc>
        <w:tc>
          <w:tcPr>
            <w:tcW w:w="570" w:type="dxa"/>
            <w:tcMar>
              <w:top w:w="0" w:type="dxa"/>
              <w:left w:w="57" w:type="dxa"/>
              <w:bottom w:w="0" w:type="dxa"/>
              <w:right w:w="57" w:type="dxa"/>
            </w:tcMar>
            <w:vAlign w:val="center"/>
          </w:tcPr>
          <w:p w14:paraId="17147E01"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6</w:t>
            </w:r>
          </w:p>
        </w:tc>
        <w:tc>
          <w:tcPr>
            <w:tcW w:w="555" w:type="dxa"/>
            <w:tcMar>
              <w:top w:w="0" w:type="dxa"/>
              <w:left w:w="57" w:type="dxa"/>
              <w:bottom w:w="0" w:type="dxa"/>
              <w:right w:w="57" w:type="dxa"/>
            </w:tcMar>
            <w:vAlign w:val="center"/>
          </w:tcPr>
          <w:p w14:paraId="0832A65D"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7.2</w:t>
            </w:r>
          </w:p>
        </w:tc>
        <w:tc>
          <w:tcPr>
            <w:tcW w:w="585" w:type="dxa"/>
            <w:tcMar>
              <w:top w:w="0" w:type="dxa"/>
              <w:left w:w="57" w:type="dxa"/>
              <w:bottom w:w="0" w:type="dxa"/>
              <w:right w:w="57" w:type="dxa"/>
            </w:tcMar>
            <w:vAlign w:val="center"/>
          </w:tcPr>
          <w:p w14:paraId="1A24E187"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7.4</w:t>
            </w:r>
          </w:p>
        </w:tc>
        <w:tc>
          <w:tcPr>
            <w:tcW w:w="585" w:type="dxa"/>
            <w:tcMar>
              <w:top w:w="0" w:type="dxa"/>
              <w:left w:w="57" w:type="dxa"/>
              <w:bottom w:w="0" w:type="dxa"/>
              <w:right w:w="57" w:type="dxa"/>
            </w:tcMar>
            <w:vAlign w:val="center"/>
          </w:tcPr>
          <w:p w14:paraId="13ECC42C"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9.8</w:t>
            </w:r>
          </w:p>
        </w:tc>
        <w:tc>
          <w:tcPr>
            <w:tcW w:w="585" w:type="dxa"/>
            <w:tcMar>
              <w:top w:w="0" w:type="dxa"/>
              <w:left w:w="57" w:type="dxa"/>
              <w:bottom w:w="0" w:type="dxa"/>
              <w:right w:w="57" w:type="dxa"/>
            </w:tcMar>
            <w:vAlign w:val="center"/>
          </w:tcPr>
          <w:p w14:paraId="7D2E9470"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10</w:t>
            </w:r>
          </w:p>
        </w:tc>
        <w:tc>
          <w:tcPr>
            <w:tcW w:w="570" w:type="dxa"/>
            <w:tcMar>
              <w:top w:w="0" w:type="dxa"/>
              <w:left w:w="57" w:type="dxa"/>
              <w:bottom w:w="0" w:type="dxa"/>
              <w:right w:w="57" w:type="dxa"/>
            </w:tcMar>
            <w:vAlign w:val="center"/>
          </w:tcPr>
          <w:p w14:paraId="7F017F53"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3.6</w:t>
            </w:r>
          </w:p>
        </w:tc>
        <w:tc>
          <w:tcPr>
            <w:tcW w:w="600" w:type="dxa"/>
            <w:tcMar>
              <w:top w:w="0" w:type="dxa"/>
              <w:left w:w="57" w:type="dxa"/>
              <w:bottom w:w="0" w:type="dxa"/>
              <w:right w:w="57" w:type="dxa"/>
            </w:tcMar>
            <w:vAlign w:val="center"/>
          </w:tcPr>
          <w:p w14:paraId="777E900E"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0.4</w:t>
            </w:r>
          </w:p>
        </w:tc>
        <w:tc>
          <w:tcPr>
            <w:tcW w:w="576" w:type="dxa"/>
            <w:tcMar>
              <w:top w:w="0" w:type="dxa"/>
              <w:left w:w="57" w:type="dxa"/>
              <w:bottom w:w="0" w:type="dxa"/>
              <w:right w:w="57" w:type="dxa"/>
            </w:tcMar>
            <w:vAlign w:val="center"/>
          </w:tcPr>
          <w:p w14:paraId="4D69617F"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0</w:t>
            </w:r>
          </w:p>
        </w:tc>
        <w:tc>
          <w:tcPr>
            <w:tcW w:w="579" w:type="dxa"/>
            <w:tcMar>
              <w:top w:w="0" w:type="dxa"/>
              <w:left w:w="57" w:type="dxa"/>
              <w:bottom w:w="0" w:type="dxa"/>
              <w:right w:w="57" w:type="dxa"/>
            </w:tcMar>
            <w:vAlign w:val="center"/>
          </w:tcPr>
          <w:p w14:paraId="5ECE1B14"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48</w:t>
            </w:r>
          </w:p>
        </w:tc>
      </w:tr>
      <w:tr w:rsidR="0075791A" w14:paraId="0B0DFF9D" w14:textId="77777777">
        <w:trPr>
          <w:jc w:val="center"/>
        </w:trPr>
        <w:tc>
          <w:tcPr>
            <w:tcW w:w="1034" w:type="dxa"/>
            <w:tcMar>
              <w:top w:w="0" w:type="dxa"/>
              <w:left w:w="57" w:type="dxa"/>
              <w:bottom w:w="0" w:type="dxa"/>
              <w:right w:w="57" w:type="dxa"/>
            </w:tcMar>
            <w:vAlign w:val="center"/>
          </w:tcPr>
          <w:p w14:paraId="0AC1EEDA"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雷暴日数最多</w:t>
            </w:r>
          </w:p>
        </w:tc>
        <w:tc>
          <w:tcPr>
            <w:tcW w:w="549" w:type="dxa"/>
            <w:tcMar>
              <w:top w:w="0" w:type="dxa"/>
              <w:left w:w="57" w:type="dxa"/>
              <w:bottom w:w="0" w:type="dxa"/>
              <w:right w:w="57" w:type="dxa"/>
            </w:tcMar>
            <w:vAlign w:val="center"/>
          </w:tcPr>
          <w:p w14:paraId="4CF4DBF0"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0</w:t>
            </w:r>
          </w:p>
        </w:tc>
        <w:tc>
          <w:tcPr>
            <w:tcW w:w="585" w:type="dxa"/>
            <w:tcMar>
              <w:top w:w="0" w:type="dxa"/>
              <w:left w:w="57" w:type="dxa"/>
              <w:bottom w:w="0" w:type="dxa"/>
              <w:right w:w="57" w:type="dxa"/>
            </w:tcMar>
            <w:vAlign w:val="center"/>
          </w:tcPr>
          <w:p w14:paraId="68A66F9C"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0</w:t>
            </w:r>
          </w:p>
        </w:tc>
        <w:tc>
          <w:tcPr>
            <w:tcW w:w="555" w:type="dxa"/>
            <w:tcMar>
              <w:top w:w="0" w:type="dxa"/>
              <w:left w:w="57" w:type="dxa"/>
              <w:bottom w:w="0" w:type="dxa"/>
              <w:right w:w="57" w:type="dxa"/>
            </w:tcMar>
            <w:vAlign w:val="center"/>
          </w:tcPr>
          <w:p w14:paraId="5414A350"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1</w:t>
            </w:r>
          </w:p>
        </w:tc>
        <w:tc>
          <w:tcPr>
            <w:tcW w:w="555" w:type="dxa"/>
            <w:tcMar>
              <w:top w:w="0" w:type="dxa"/>
              <w:left w:w="57" w:type="dxa"/>
              <w:bottom w:w="0" w:type="dxa"/>
              <w:right w:w="57" w:type="dxa"/>
            </w:tcMar>
            <w:vAlign w:val="center"/>
          </w:tcPr>
          <w:p w14:paraId="36CA26A1"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4</w:t>
            </w:r>
          </w:p>
        </w:tc>
        <w:tc>
          <w:tcPr>
            <w:tcW w:w="570" w:type="dxa"/>
            <w:tcMar>
              <w:top w:w="0" w:type="dxa"/>
              <w:left w:w="57" w:type="dxa"/>
              <w:bottom w:w="0" w:type="dxa"/>
              <w:right w:w="57" w:type="dxa"/>
            </w:tcMar>
            <w:vAlign w:val="center"/>
          </w:tcPr>
          <w:p w14:paraId="0438BDEB"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10</w:t>
            </w:r>
          </w:p>
        </w:tc>
        <w:tc>
          <w:tcPr>
            <w:tcW w:w="555" w:type="dxa"/>
            <w:tcMar>
              <w:top w:w="0" w:type="dxa"/>
              <w:left w:w="57" w:type="dxa"/>
              <w:bottom w:w="0" w:type="dxa"/>
              <w:right w:w="57" w:type="dxa"/>
            </w:tcMar>
            <w:vAlign w:val="center"/>
          </w:tcPr>
          <w:p w14:paraId="0FDA822B"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11</w:t>
            </w:r>
          </w:p>
        </w:tc>
        <w:tc>
          <w:tcPr>
            <w:tcW w:w="585" w:type="dxa"/>
            <w:tcMar>
              <w:top w:w="0" w:type="dxa"/>
              <w:left w:w="57" w:type="dxa"/>
              <w:bottom w:w="0" w:type="dxa"/>
              <w:right w:w="57" w:type="dxa"/>
            </w:tcMar>
            <w:vAlign w:val="center"/>
          </w:tcPr>
          <w:p w14:paraId="4CC05C06"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16</w:t>
            </w:r>
          </w:p>
        </w:tc>
        <w:tc>
          <w:tcPr>
            <w:tcW w:w="585" w:type="dxa"/>
            <w:tcMar>
              <w:top w:w="0" w:type="dxa"/>
              <w:left w:w="57" w:type="dxa"/>
              <w:bottom w:w="0" w:type="dxa"/>
              <w:right w:w="57" w:type="dxa"/>
            </w:tcMar>
            <w:vAlign w:val="center"/>
          </w:tcPr>
          <w:p w14:paraId="0A97390F"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19</w:t>
            </w:r>
          </w:p>
        </w:tc>
        <w:tc>
          <w:tcPr>
            <w:tcW w:w="585" w:type="dxa"/>
            <w:tcMar>
              <w:top w:w="0" w:type="dxa"/>
              <w:left w:w="57" w:type="dxa"/>
              <w:bottom w:w="0" w:type="dxa"/>
              <w:right w:w="57" w:type="dxa"/>
            </w:tcMar>
            <w:vAlign w:val="center"/>
          </w:tcPr>
          <w:p w14:paraId="6674B6FC"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14</w:t>
            </w:r>
          </w:p>
        </w:tc>
        <w:tc>
          <w:tcPr>
            <w:tcW w:w="570" w:type="dxa"/>
            <w:tcMar>
              <w:top w:w="0" w:type="dxa"/>
              <w:left w:w="57" w:type="dxa"/>
              <w:bottom w:w="0" w:type="dxa"/>
              <w:right w:w="57" w:type="dxa"/>
            </w:tcMar>
            <w:vAlign w:val="center"/>
          </w:tcPr>
          <w:p w14:paraId="269CC6C7"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8</w:t>
            </w:r>
          </w:p>
        </w:tc>
        <w:tc>
          <w:tcPr>
            <w:tcW w:w="600" w:type="dxa"/>
            <w:tcMar>
              <w:top w:w="0" w:type="dxa"/>
              <w:left w:w="57" w:type="dxa"/>
              <w:bottom w:w="0" w:type="dxa"/>
              <w:right w:w="57" w:type="dxa"/>
            </w:tcMar>
            <w:vAlign w:val="center"/>
          </w:tcPr>
          <w:p w14:paraId="678282FA"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2</w:t>
            </w:r>
          </w:p>
        </w:tc>
        <w:tc>
          <w:tcPr>
            <w:tcW w:w="576" w:type="dxa"/>
            <w:tcMar>
              <w:top w:w="0" w:type="dxa"/>
              <w:left w:w="57" w:type="dxa"/>
              <w:bottom w:w="0" w:type="dxa"/>
              <w:right w:w="57" w:type="dxa"/>
            </w:tcMar>
            <w:vAlign w:val="center"/>
          </w:tcPr>
          <w:p w14:paraId="14E7A3FD"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0</w:t>
            </w:r>
          </w:p>
        </w:tc>
        <w:tc>
          <w:tcPr>
            <w:tcW w:w="579" w:type="dxa"/>
            <w:tcMar>
              <w:top w:w="0" w:type="dxa"/>
              <w:left w:w="57" w:type="dxa"/>
              <w:bottom w:w="0" w:type="dxa"/>
              <w:right w:w="57" w:type="dxa"/>
            </w:tcMar>
            <w:vAlign w:val="center"/>
          </w:tcPr>
          <w:p w14:paraId="158ADB5B"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61</w:t>
            </w:r>
          </w:p>
        </w:tc>
      </w:tr>
      <w:tr w:rsidR="0075791A" w14:paraId="7BDEA813" w14:textId="77777777">
        <w:trPr>
          <w:jc w:val="center"/>
        </w:trPr>
        <w:tc>
          <w:tcPr>
            <w:tcW w:w="1034" w:type="dxa"/>
            <w:tcMar>
              <w:top w:w="0" w:type="dxa"/>
              <w:left w:w="57" w:type="dxa"/>
              <w:bottom w:w="0" w:type="dxa"/>
              <w:right w:w="57" w:type="dxa"/>
            </w:tcMar>
            <w:vAlign w:val="center"/>
          </w:tcPr>
          <w:p w14:paraId="3313DD70"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雷暴日数最少</w:t>
            </w:r>
          </w:p>
        </w:tc>
        <w:tc>
          <w:tcPr>
            <w:tcW w:w="549" w:type="dxa"/>
            <w:tcMar>
              <w:top w:w="0" w:type="dxa"/>
              <w:left w:w="57" w:type="dxa"/>
              <w:bottom w:w="0" w:type="dxa"/>
              <w:right w:w="57" w:type="dxa"/>
            </w:tcMar>
            <w:vAlign w:val="center"/>
          </w:tcPr>
          <w:p w14:paraId="1C22DC65"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0</w:t>
            </w:r>
          </w:p>
        </w:tc>
        <w:tc>
          <w:tcPr>
            <w:tcW w:w="585" w:type="dxa"/>
            <w:tcMar>
              <w:top w:w="0" w:type="dxa"/>
              <w:left w:w="57" w:type="dxa"/>
              <w:bottom w:w="0" w:type="dxa"/>
              <w:right w:w="57" w:type="dxa"/>
            </w:tcMar>
            <w:vAlign w:val="center"/>
          </w:tcPr>
          <w:p w14:paraId="006DC5D8"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0</w:t>
            </w:r>
          </w:p>
        </w:tc>
        <w:tc>
          <w:tcPr>
            <w:tcW w:w="555" w:type="dxa"/>
            <w:tcMar>
              <w:top w:w="0" w:type="dxa"/>
              <w:left w:w="57" w:type="dxa"/>
              <w:bottom w:w="0" w:type="dxa"/>
              <w:right w:w="57" w:type="dxa"/>
            </w:tcMar>
            <w:vAlign w:val="center"/>
          </w:tcPr>
          <w:p w14:paraId="0E4B96F6"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0</w:t>
            </w:r>
          </w:p>
        </w:tc>
        <w:tc>
          <w:tcPr>
            <w:tcW w:w="555" w:type="dxa"/>
            <w:tcMar>
              <w:top w:w="0" w:type="dxa"/>
              <w:left w:w="57" w:type="dxa"/>
              <w:bottom w:w="0" w:type="dxa"/>
              <w:right w:w="57" w:type="dxa"/>
            </w:tcMar>
            <w:vAlign w:val="center"/>
          </w:tcPr>
          <w:p w14:paraId="04EB0448"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2</w:t>
            </w:r>
          </w:p>
        </w:tc>
        <w:tc>
          <w:tcPr>
            <w:tcW w:w="570" w:type="dxa"/>
            <w:tcMar>
              <w:top w:w="0" w:type="dxa"/>
              <w:left w:w="57" w:type="dxa"/>
              <w:bottom w:w="0" w:type="dxa"/>
              <w:right w:w="57" w:type="dxa"/>
            </w:tcMar>
            <w:vAlign w:val="center"/>
          </w:tcPr>
          <w:p w14:paraId="471003E0"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1</w:t>
            </w:r>
          </w:p>
        </w:tc>
        <w:tc>
          <w:tcPr>
            <w:tcW w:w="555" w:type="dxa"/>
            <w:tcMar>
              <w:top w:w="0" w:type="dxa"/>
              <w:left w:w="57" w:type="dxa"/>
              <w:bottom w:w="0" w:type="dxa"/>
              <w:right w:w="57" w:type="dxa"/>
            </w:tcMar>
            <w:vAlign w:val="center"/>
          </w:tcPr>
          <w:p w14:paraId="4C719608"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4</w:t>
            </w:r>
          </w:p>
        </w:tc>
        <w:tc>
          <w:tcPr>
            <w:tcW w:w="585" w:type="dxa"/>
            <w:tcMar>
              <w:top w:w="0" w:type="dxa"/>
              <w:left w:w="57" w:type="dxa"/>
              <w:bottom w:w="0" w:type="dxa"/>
              <w:right w:w="57" w:type="dxa"/>
            </w:tcMar>
            <w:vAlign w:val="center"/>
          </w:tcPr>
          <w:p w14:paraId="3C959769"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3</w:t>
            </w:r>
          </w:p>
        </w:tc>
        <w:tc>
          <w:tcPr>
            <w:tcW w:w="585" w:type="dxa"/>
            <w:tcMar>
              <w:top w:w="0" w:type="dxa"/>
              <w:left w:w="57" w:type="dxa"/>
              <w:bottom w:w="0" w:type="dxa"/>
              <w:right w:w="57" w:type="dxa"/>
            </w:tcMar>
            <w:vAlign w:val="center"/>
          </w:tcPr>
          <w:p w14:paraId="51DE5D34"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3</w:t>
            </w:r>
          </w:p>
        </w:tc>
        <w:tc>
          <w:tcPr>
            <w:tcW w:w="585" w:type="dxa"/>
            <w:tcMar>
              <w:top w:w="0" w:type="dxa"/>
              <w:left w:w="57" w:type="dxa"/>
              <w:bottom w:w="0" w:type="dxa"/>
              <w:right w:w="57" w:type="dxa"/>
            </w:tcMar>
            <w:vAlign w:val="center"/>
          </w:tcPr>
          <w:p w14:paraId="5AAA675C"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3</w:t>
            </w:r>
          </w:p>
        </w:tc>
        <w:tc>
          <w:tcPr>
            <w:tcW w:w="570" w:type="dxa"/>
            <w:tcMar>
              <w:top w:w="0" w:type="dxa"/>
              <w:left w:w="57" w:type="dxa"/>
              <w:bottom w:w="0" w:type="dxa"/>
              <w:right w:w="57" w:type="dxa"/>
            </w:tcMar>
            <w:vAlign w:val="center"/>
          </w:tcPr>
          <w:p w14:paraId="564C1B99"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0</w:t>
            </w:r>
          </w:p>
        </w:tc>
        <w:tc>
          <w:tcPr>
            <w:tcW w:w="600" w:type="dxa"/>
            <w:tcMar>
              <w:top w:w="0" w:type="dxa"/>
              <w:left w:w="57" w:type="dxa"/>
              <w:bottom w:w="0" w:type="dxa"/>
              <w:right w:w="57" w:type="dxa"/>
            </w:tcMar>
            <w:vAlign w:val="center"/>
          </w:tcPr>
          <w:p w14:paraId="40CB9AFE"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0</w:t>
            </w:r>
          </w:p>
        </w:tc>
        <w:tc>
          <w:tcPr>
            <w:tcW w:w="576" w:type="dxa"/>
            <w:tcMar>
              <w:top w:w="0" w:type="dxa"/>
              <w:left w:w="57" w:type="dxa"/>
              <w:bottom w:w="0" w:type="dxa"/>
              <w:right w:w="57" w:type="dxa"/>
            </w:tcMar>
            <w:vAlign w:val="center"/>
          </w:tcPr>
          <w:p w14:paraId="5E05D704"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0</w:t>
            </w:r>
          </w:p>
        </w:tc>
        <w:tc>
          <w:tcPr>
            <w:tcW w:w="579" w:type="dxa"/>
            <w:tcMar>
              <w:top w:w="0" w:type="dxa"/>
              <w:left w:w="57" w:type="dxa"/>
              <w:bottom w:w="0" w:type="dxa"/>
              <w:right w:w="57" w:type="dxa"/>
            </w:tcMar>
            <w:vAlign w:val="center"/>
          </w:tcPr>
          <w:p w14:paraId="21169F01" w14:textId="77777777" w:rsidR="0075791A" w:rsidRDefault="00FB2864">
            <w:pPr>
              <w:widowControl/>
              <w:kinsoku/>
              <w:autoSpaceDE/>
              <w:autoSpaceDN/>
              <w:adjustRightInd/>
              <w:snapToGrid/>
              <w:jc w:val="center"/>
              <w:textAlignment w:val="auto"/>
              <w:rPr>
                <w:rFonts w:ascii="Times New Roman" w:eastAsia="宋体" w:hAnsi="Times New Roman" w:cs="Times New Roman"/>
                <w:color w:val="auto"/>
                <w:lang w:eastAsia="zh-CN" w:bidi="ar"/>
              </w:rPr>
            </w:pPr>
            <w:r>
              <w:rPr>
                <w:rFonts w:ascii="Times New Roman" w:eastAsia="宋体" w:hAnsi="Times New Roman" w:cs="Times New Roman"/>
                <w:color w:val="auto"/>
                <w:lang w:eastAsia="zh-CN" w:bidi="ar"/>
              </w:rPr>
              <w:t>28</w:t>
            </w:r>
          </w:p>
        </w:tc>
      </w:tr>
    </w:tbl>
    <w:p w14:paraId="27E2E261" w14:textId="77777777" w:rsidR="0075791A" w:rsidRDefault="0075791A">
      <w:pPr>
        <w:pStyle w:val="TableText"/>
        <w:spacing w:line="360" w:lineRule="auto"/>
        <w:ind w:firstLineChars="200" w:firstLine="482"/>
        <w:jc w:val="both"/>
        <w:rPr>
          <w:rFonts w:ascii="Times New Roman" w:hAnsi="Times New Roman"/>
          <w:b/>
          <w:bCs/>
          <w:color w:val="auto"/>
          <w:lang w:eastAsia="zh-CN"/>
        </w:rPr>
      </w:pPr>
    </w:p>
    <w:p w14:paraId="46137848" w14:textId="77777777" w:rsidR="0075791A" w:rsidRDefault="00FB2864">
      <w:pPr>
        <w:pStyle w:val="TableText"/>
        <w:spacing w:line="360" w:lineRule="auto"/>
        <w:ind w:firstLineChars="200" w:firstLine="482"/>
        <w:jc w:val="both"/>
        <w:rPr>
          <w:rFonts w:ascii="Times New Roman" w:hAnsi="Times New Roman"/>
          <w:b/>
          <w:bCs/>
          <w:color w:val="auto"/>
          <w:lang w:eastAsia="zh-CN"/>
        </w:rPr>
      </w:pPr>
      <w:r>
        <w:rPr>
          <w:rFonts w:ascii="Times New Roman" w:hAnsi="Times New Roman" w:hint="eastAsia"/>
          <w:b/>
          <w:bCs/>
          <w:color w:val="auto"/>
          <w:lang w:eastAsia="zh-CN"/>
        </w:rPr>
        <w:t>（</w:t>
      </w:r>
      <w:r>
        <w:rPr>
          <w:rFonts w:ascii="Times New Roman" w:hAnsi="Times New Roman" w:hint="eastAsia"/>
          <w:b/>
          <w:bCs/>
          <w:color w:val="auto"/>
          <w:lang w:eastAsia="zh-CN"/>
        </w:rPr>
        <w:t>2</w:t>
      </w:r>
      <w:r>
        <w:rPr>
          <w:rFonts w:ascii="Times New Roman" w:hAnsi="Times New Roman" w:hint="eastAsia"/>
          <w:b/>
          <w:bCs/>
          <w:color w:val="auto"/>
          <w:lang w:eastAsia="zh-CN"/>
        </w:rPr>
        <w:t>）灾害性海浪</w:t>
      </w:r>
    </w:p>
    <w:p w14:paraId="73FA4236" w14:textId="77777777" w:rsidR="0075791A" w:rsidRDefault="00FB2864">
      <w:pPr>
        <w:pStyle w:val="TableText"/>
        <w:spacing w:line="360" w:lineRule="auto"/>
        <w:ind w:firstLineChars="200" w:firstLine="476"/>
        <w:jc w:val="both"/>
        <w:rPr>
          <w:rFonts w:ascii="Times New Roman" w:hAnsi="Times New Roman"/>
          <w:color w:val="auto"/>
          <w:lang w:eastAsia="zh-CN"/>
        </w:rPr>
      </w:pPr>
      <w:r>
        <w:rPr>
          <w:rFonts w:hint="eastAsia"/>
          <w:color w:val="auto"/>
          <w:spacing w:val="-2"/>
          <w:lang w:eastAsia="zh-CN"/>
        </w:rPr>
        <w:t>通过对</w:t>
      </w:r>
      <w:r>
        <w:rPr>
          <w:color w:val="auto"/>
          <w:spacing w:val="-2"/>
          <w:lang w:eastAsia="zh-CN"/>
        </w:rPr>
        <w:t>《</w:t>
      </w:r>
      <w:r>
        <w:rPr>
          <w:color w:val="auto"/>
          <w:spacing w:val="-2"/>
          <w:lang w:eastAsia="zh-CN"/>
        </w:rPr>
        <w:t>2010</w:t>
      </w:r>
      <w:r>
        <w:rPr>
          <w:color w:val="auto"/>
          <w:spacing w:val="-2"/>
          <w:lang w:eastAsia="zh-CN"/>
        </w:rPr>
        <w:t>～</w:t>
      </w:r>
      <w:r>
        <w:rPr>
          <w:color w:val="auto"/>
          <w:spacing w:val="-2"/>
          <w:lang w:eastAsia="zh-CN"/>
        </w:rPr>
        <w:t xml:space="preserve">2018 </w:t>
      </w:r>
      <w:r>
        <w:rPr>
          <w:color w:val="auto"/>
          <w:spacing w:val="-2"/>
          <w:lang w:eastAsia="zh-CN"/>
        </w:rPr>
        <w:t>年海南省海洋环境状况公</w:t>
      </w:r>
      <w:r>
        <w:rPr>
          <w:color w:val="auto"/>
          <w:spacing w:val="-3"/>
          <w:lang w:eastAsia="zh-CN"/>
        </w:rPr>
        <w:t>报》</w:t>
      </w:r>
      <w:r>
        <w:rPr>
          <w:rFonts w:hint="eastAsia"/>
          <w:color w:val="auto"/>
          <w:spacing w:val="-3"/>
          <w:lang w:eastAsia="zh-CN"/>
        </w:rPr>
        <w:t>灾害性海浪数据统计分析，</w:t>
      </w:r>
      <w:r>
        <w:rPr>
          <w:rFonts w:ascii="Times New Roman" w:hAnsi="Times New Roman" w:hint="eastAsia"/>
          <w:color w:val="auto"/>
          <w:lang w:eastAsia="zh-CN"/>
        </w:rPr>
        <w:t>海南省夏、秋季产生灾害性海浪的因素主要为热带气旋，春、冬季产生灾害性海浪的因素主要为冷空气。</w:t>
      </w:r>
      <w:r>
        <w:rPr>
          <w:rFonts w:ascii="Times New Roman" w:hAnsi="Times New Roman" w:hint="eastAsia"/>
          <w:color w:val="auto"/>
          <w:lang w:eastAsia="zh-CN"/>
        </w:rPr>
        <w:t>2010</w:t>
      </w:r>
      <w:r>
        <w:rPr>
          <w:rFonts w:ascii="Times New Roman" w:hAnsi="Times New Roman" w:hint="eastAsia"/>
          <w:color w:val="auto"/>
          <w:lang w:eastAsia="zh-CN"/>
        </w:rPr>
        <w:t>～</w:t>
      </w:r>
      <w:r>
        <w:rPr>
          <w:rFonts w:ascii="Times New Roman" w:hAnsi="Times New Roman" w:hint="eastAsia"/>
          <w:color w:val="auto"/>
          <w:lang w:eastAsia="zh-CN"/>
        </w:rPr>
        <w:t>2018</w:t>
      </w:r>
      <w:r>
        <w:rPr>
          <w:rFonts w:ascii="Times New Roman" w:hAnsi="Times New Roman" w:hint="eastAsia"/>
          <w:color w:val="auto"/>
          <w:lang w:eastAsia="zh-CN"/>
        </w:rPr>
        <w:t>年期间，南海出现巨浪</w:t>
      </w:r>
      <w:r>
        <w:rPr>
          <w:rFonts w:ascii="Times New Roman" w:hAnsi="Times New Roman" w:hint="eastAsia"/>
          <w:color w:val="auto"/>
          <w:lang w:eastAsia="zh-CN"/>
        </w:rPr>
        <w:t>（</w:t>
      </w:r>
      <w:r>
        <w:rPr>
          <w:rFonts w:ascii="Times New Roman" w:hAnsi="Times New Roman" w:hint="eastAsia"/>
          <w:color w:val="auto"/>
          <w:lang w:eastAsia="zh-CN"/>
        </w:rPr>
        <w:t>浪高大于</w:t>
      </w:r>
      <w:r>
        <w:rPr>
          <w:rFonts w:ascii="Times New Roman" w:hAnsi="Times New Roman" w:hint="eastAsia"/>
          <w:color w:val="auto"/>
          <w:lang w:eastAsia="zh-CN"/>
        </w:rPr>
        <w:t>4m</w:t>
      </w:r>
      <w:r>
        <w:rPr>
          <w:rFonts w:ascii="Times New Roman" w:hAnsi="Times New Roman" w:hint="eastAsia"/>
          <w:color w:val="auto"/>
          <w:lang w:eastAsia="zh-CN"/>
        </w:rPr>
        <w:t>）</w:t>
      </w:r>
      <w:r>
        <w:rPr>
          <w:rFonts w:ascii="Times New Roman" w:hAnsi="Times New Roman" w:hint="eastAsia"/>
          <w:color w:val="auto"/>
          <w:lang w:eastAsia="zh-CN"/>
        </w:rPr>
        <w:t>的年平均日数为</w:t>
      </w:r>
      <w:r>
        <w:rPr>
          <w:rFonts w:ascii="Times New Roman" w:hAnsi="Times New Roman" w:hint="eastAsia"/>
          <w:color w:val="auto"/>
          <w:lang w:eastAsia="zh-CN"/>
        </w:rPr>
        <w:t>64.1</w:t>
      </w:r>
      <w:r>
        <w:rPr>
          <w:rFonts w:ascii="Times New Roman" w:hAnsi="Times New Roman" w:hint="eastAsia"/>
          <w:color w:val="auto"/>
          <w:lang w:eastAsia="zh-CN"/>
        </w:rPr>
        <w:t>天，出现大浪</w:t>
      </w:r>
      <w:r>
        <w:rPr>
          <w:rFonts w:ascii="Times New Roman" w:hAnsi="Times New Roman" w:hint="eastAsia"/>
          <w:color w:val="auto"/>
          <w:lang w:eastAsia="zh-CN"/>
        </w:rPr>
        <w:t>（</w:t>
      </w:r>
      <w:r>
        <w:rPr>
          <w:rFonts w:ascii="Times New Roman" w:hAnsi="Times New Roman" w:hint="eastAsia"/>
          <w:color w:val="auto"/>
          <w:lang w:eastAsia="zh-CN"/>
        </w:rPr>
        <w:t>浪高大于</w:t>
      </w:r>
      <w:r>
        <w:rPr>
          <w:rFonts w:ascii="Times New Roman" w:hAnsi="Times New Roman" w:hint="eastAsia"/>
          <w:color w:val="auto"/>
          <w:lang w:eastAsia="zh-CN"/>
        </w:rPr>
        <w:t>3m</w:t>
      </w:r>
      <w:r>
        <w:rPr>
          <w:rFonts w:ascii="Times New Roman" w:hAnsi="Times New Roman" w:hint="eastAsia"/>
          <w:color w:val="auto"/>
          <w:lang w:eastAsia="zh-CN"/>
        </w:rPr>
        <w:t>）</w:t>
      </w:r>
      <w:r>
        <w:rPr>
          <w:rFonts w:ascii="Times New Roman" w:hAnsi="Times New Roman" w:hint="eastAsia"/>
          <w:color w:val="auto"/>
          <w:lang w:eastAsia="zh-CN"/>
        </w:rPr>
        <w:t>的年平均日数为</w:t>
      </w:r>
      <w:r>
        <w:rPr>
          <w:rFonts w:ascii="Times New Roman" w:hAnsi="Times New Roman" w:hint="eastAsia"/>
          <w:color w:val="auto"/>
          <w:lang w:eastAsia="zh-CN"/>
        </w:rPr>
        <w:t>142</w:t>
      </w:r>
      <w:r>
        <w:rPr>
          <w:rFonts w:ascii="Times New Roman" w:hAnsi="Times New Roman" w:hint="eastAsia"/>
          <w:color w:val="auto"/>
          <w:lang w:eastAsia="zh-CN"/>
        </w:rPr>
        <w:t>天。其中，</w:t>
      </w:r>
      <w:r>
        <w:rPr>
          <w:rFonts w:ascii="Times New Roman" w:hAnsi="Times New Roman" w:hint="eastAsia"/>
          <w:color w:val="auto"/>
          <w:lang w:eastAsia="zh-CN"/>
        </w:rPr>
        <w:t>2011</w:t>
      </w:r>
      <w:r>
        <w:rPr>
          <w:rFonts w:ascii="Times New Roman" w:hAnsi="Times New Roman" w:hint="eastAsia"/>
          <w:color w:val="auto"/>
          <w:lang w:eastAsia="zh-CN"/>
        </w:rPr>
        <w:t>年出现灾害性海浪的日数较多，因热带气旋影响产生的巨浪日数为</w:t>
      </w:r>
      <w:r>
        <w:rPr>
          <w:rFonts w:ascii="Times New Roman" w:hAnsi="Times New Roman" w:hint="eastAsia"/>
          <w:color w:val="auto"/>
          <w:lang w:eastAsia="zh-CN"/>
        </w:rPr>
        <w:t>19</w:t>
      </w:r>
      <w:r>
        <w:rPr>
          <w:rFonts w:ascii="Times New Roman" w:hAnsi="Times New Roman" w:hint="eastAsia"/>
          <w:color w:val="auto"/>
          <w:lang w:eastAsia="zh-CN"/>
        </w:rPr>
        <w:t>天，因冷空气影响产生的巨浪日数为</w:t>
      </w:r>
      <w:r>
        <w:rPr>
          <w:rFonts w:ascii="Times New Roman" w:hAnsi="Times New Roman" w:hint="eastAsia"/>
          <w:color w:val="auto"/>
          <w:lang w:eastAsia="zh-CN"/>
        </w:rPr>
        <w:t>62</w:t>
      </w:r>
      <w:r>
        <w:rPr>
          <w:rFonts w:ascii="Times New Roman" w:hAnsi="Times New Roman" w:hint="eastAsia"/>
          <w:color w:val="auto"/>
          <w:lang w:eastAsia="zh-CN"/>
        </w:rPr>
        <w:t>天</w:t>
      </w:r>
      <w:r>
        <w:rPr>
          <w:rFonts w:ascii="Times New Roman" w:hAnsi="Times New Roman" w:hint="eastAsia"/>
          <w:color w:val="auto"/>
          <w:lang w:eastAsia="zh-CN"/>
        </w:rPr>
        <w:t>（</w:t>
      </w:r>
      <w:r>
        <w:rPr>
          <w:rFonts w:ascii="Times New Roman" w:hAnsi="Times New Roman" w:hint="eastAsia"/>
          <w:color w:val="auto"/>
          <w:lang w:eastAsia="zh-CN"/>
        </w:rPr>
        <w:t>表</w:t>
      </w:r>
      <w:r>
        <w:rPr>
          <w:rFonts w:ascii="Times New Roman" w:hAnsi="Times New Roman" w:hint="eastAsia"/>
          <w:color w:val="auto"/>
          <w:lang w:eastAsia="zh-CN"/>
        </w:rPr>
        <w:t>3.2.8</w:t>
      </w:r>
      <w:r>
        <w:rPr>
          <w:rFonts w:ascii="Times New Roman" w:hAnsi="Times New Roman" w:hint="eastAsia"/>
          <w:color w:val="auto"/>
          <w:lang w:eastAsia="zh-CN"/>
        </w:rPr>
        <w:t>-2</w:t>
      </w:r>
      <w:r>
        <w:rPr>
          <w:rFonts w:ascii="Times New Roman" w:hAnsi="Times New Roman" w:hint="eastAsia"/>
          <w:color w:val="auto"/>
          <w:lang w:eastAsia="zh-CN"/>
        </w:rPr>
        <w:t>）</w:t>
      </w:r>
      <w:r>
        <w:rPr>
          <w:rFonts w:ascii="Times New Roman" w:hAnsi="Times New Roman" w:hint="eastAsia"/>
          <w:color w:val="auto"/>
          <w:lang w:eastAsia="zh-CN"/>
        </w:rPr>
        <w:t>。</w:t>
      </w:r>
    </w:p>
    <w:p w14:paraId="62CB0C93" w14:textId="77777777" w:rsidR="0075791A" w:rsidRDefault="00FB2864">
      <w:pPr>
        <w:pStyle w:val="TableText"/>
        <w:jc w:val="center"/>
        <w:rPr>
          <w:rFonts w:ascii="Times New Roman" w:hAnsi="Times New Roman"/>
          <w:color w:val="auto"/>
          <w:spacing w:val="-2"/>
          <w:lang w:eastAsia="zh-CN"/>
        </w:rPr>
      </w:pPr>
      <w:r>
        <w:rPr>
          <w:rFonts w:ascii="Times New Roman" w:hAnsi="Times New Roman" w:hint="eastAsia"/>
          <w:color w:val="auto"/>
          <w:spacing w:val="-2"/>
          <w:lang w:eastAsia="zh-CN"/>
        </w:rPr>
        <w:t>表</w:t>
      </w:r>
      <w:r>
        <w:rPr>
          <w:rFonts w:ascii="Times New Roman" w:hAnsi="Times New Roman" w:hint="eastAsia"/>
          <w:color w:val="auto"/>
          <w:spacing w:val="-2"/>
          <w:lang w:eastAsia="zh-CN"/>
        </w:rPr>
        <w:t>3.2.8-22010</w:t>
      </w:r>
      <w:r>
        <w:rPr>
          <w:rFonts w:ascii="Times New Roman" w:hAnsi="Times New Roman" w:hint="eastAsia"/>
          <w:color w:val="auto"/>
          <w:spacing w:val="-2"/>
          <w:lang w:eastAsia="zh-CN"/>
        </w:rPr>
        <w:t>～</w:t>
      </w:r>
      <w:r>
        <w:rPr>
          <w:rFonts w:ascii="Times New Roman" w:hAnsi="Times New Roman" w:hint="eastAsia"/>
          <w:color w:val="auto"/>
          <w:spacing w:val="-2"/>
          <w:lang w:eastAsia="zh-CN"/>
        </w:rPr>
        <w:t>2018</w:t>
      </w:r>
      <w:r>
        <w:rPr>
          <w:rFonts w:ascii="Times New Roman" w:hAnsi="Times New Roman" w:hint="eastAsia"/>
          <w:color w:val="auto"/>
          <w:spacing w:val="-2"/>
          <w:lang w:eastAsia="zh-CN"/>
        </w:rPr>
        <w:t>年南海灾害性海浪日数分布表（天）</w:t>
      </w:r>
    </w:p>
    <w:tbl>
      <w:tblPr>
        <w:tblStyle w:val="TableNormal"/>
        <w:tblW w:w="8307" w:type="dxa"/>
        <w:tblInd w:w="4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8"/>
        <w:gridCol w:w="778"/>
        <w:gridCol w:w="784"/>
        <w:gridCol w:w="778"/>
        <w:gridCol w:w="779"/>
        <w:gridCol w:w="779"/>
        <w:gridCol w:w="779"/>
        <w:gridCol w:w="781"/>
        <w:gridCol w:w="714"/>
        <w:gridCol w:w="779"/>
        <w:gridCol w:w="678"/>
      </w:tblGrid>
      <w:tr w:rsidR="0075791A" w14:paraId="0B749F70" w14:textId="77777777">
        <w:trPr>
          <w:trHeight w:val="343"/>
        </w:trPr>
        <w:tc>
          <w:tcPr>
            <w:tcW w:w="678" w:type="dxa"/>
            <w:tcBorders>
              <w:top w:val="single" w:sz="6" w:space="0" w:color="000000"/>
              <w:left w:val="single" w:sz="6" w:space="0" w:color="000000"/>
            </w:tcBorders>
          </w:tcPr>
          <w:p w14:paraId="22AE4017" w14:textId="77777777" w:rsidR="0075791A" w:rsidRDefault="00FB2864">
            <w:pPr>
              <w:pStyle w:val="TableText"/>
              <w:spacing w:before="68" w:line="219" w:lineRule="auto"/>
              <w:ind w:left="128"/>
              <w:rPr>
                <w:rFonts w:ascii="Times New Roman" w:hAnsi="Times New Roman"/>
                <w:color w:val="auto"/>
                <w:sz w:val="21"/>
                <w:szCs w:val="21"/>
              </w:rPr>
            </w:pPr>
            <w:r>
              <w:rPr>
                <w:rFonts w:ascii="Times New Roman" w:hAnsi="Times New Roman"/>
                <w:color w:val="auto"/>
                <w:spacing w:val="-2"/>
                <w:sz w:val="21"/>
                <w:szCs w:val="21"/>
              </w:rPr>
              <w:t>年份</w:t>
            </w:r>
          </w:p>
        </w:tc>
        <w:tc>
          <w:tcPr>
            <w:tcW w:w="778" w:type="dxa"/>
            <w:tcBorders>
              <w:top w:val="single" w:sz="6" w:space="0" w:color="000000"/>
            </w:tcBorders>
          </w:tcPr>
          <w:p w14:paraId="11DD8049" w14:textId="77777777" w:rsidR="0075791A" w:rsidRDefault="00FB2864">
            <w:pPr>
              <w:pStyle w:val="TableText"/>
              <w:spacing w:before="103" w:line="181" w:lineRule="auto"/>
              <w:ind w:left="179"/>
              <w:rPr>
                <w:rFonts w:ascii="Times New Roman" w:hAnsi="Times New Roman"/>
                <w:color w:val="auto"/>
                <w:sz w:val="21"/>
                <w:szCs w:val="21"/>
              </w:rPr>
            </w:pPr>
            <w:r>
              <w:rPr>
                <w:rFonts w:ascii="Times New Roman" w:hAnsi="Times New Roman"/>
                <w:color w:val="auto"/>
                <w:spacing w:val="-2"/>
                <w:sz w:val="21"/>
                <w:szCs w:val="21"/>
              </w:rPr>
              <w:t>2010</w:t>
            </w:r>
          </w:p>
        </w:tc>
        <w:tc>
          <w:tcPr>
            <w:tcW w:w="784" w:type="dxa"/>
            <w:tcBorders>
              <w:top w:val="single" w:sz="6" w:space="0" w:color="000000"/>
            </w:tcBorders>
          </w:tcPr>
          <w:p w14:paraId="798F2065" w14:textId="77777777" w:rsidR="0075791A" w:rsidRDefault="00FB2864">
            <w:pPr>
              <w:pStyle w:val="TableText"/>
              <w:spacing w:before="103" w:line="181" w:lineRule="auto"/>
              <w:ind w:left="181"/>
              <w:rPr>
                <w:rFonts w:ascii="Times New Roman" w:hAnsi="Times New Roman"/>
                <w:color w:val="auto"/>
                <w:sz w:val="21"/>
                <w:szCs w:val="21"/>
              </w:rPr>
            </w:pPr>
            <w:r>
              <w:rPr>
                <w:rFonts w:ascii="Times New Roman" w:hAnsi="Times New Roman"/>
                <w:color w:val="auto"/>
                <w:spacing w:val="-2"/>
                <w:sz w:val="21"/>
                <w:szCs w:val="21"/>
              </w:rPr>
              <w:t>2011</w:t>
            </w:r>
          </w:p>
        </w:tc>
        <w:tc>
          <w:tcPr>
            <w:tcW w:w="778" w:type="dxa"/>
            <w:tcBorders>
              <w:top w:val="single" w:sz="6" w:space="0" w:color="000000"/>
            </w:tcBorders>
          </w:tcPr>
          <w:p w14:paraId="02DAC585" w14:textId="77777777" w:rsidR="0075791A" w:rsidRDefault="00FB2864">
            <w:pPr>
              <w:pStyle w:val="TableText"/>
              <w:spacing w:before="103" w:line="181" w:lineRule="auto"/>
              <w:ind w:left="182"/>
              <w:rPr>
                <w:rFonts w:ascii="Times New Roman" w:hAnsi="Times New Roman"/>
                <w:color w:val="auto"/>
                <w:sz w:val="21"/>
                <w:szCs w:val="21"/>
              </w:rPr>
            </w:pPr>
            <w:r>
              <w:rPr>
                <w:rFonts w:ascii="Times New Roman" w:hAnsi="Times New Roman"/>
                <w:color w:val="auto"/>
                <w:spacing w:val="-2"/>
                <w:sz w:val="21"/>
                <w:szCs w:val="21"/>
              </w:rPr>
              <w:t>2012</w:t>
            </w:r>
          </w:p>
        </w:tc>
        <w:tc>
          <w:tcPr>
            <w:tcW w:w="779" w:type="dxa"/>
            <w:tcBorders>
              <w:top w:val="single" w:sz="6" w:space="0" w:color="000000"/>
            </w:tcBorders>
          </w:tcPr>
          <w:p w14:paraId="1DD8387D" w14:textId="77777777" w:rsidR="0075791A" w:rsidRDefault="00FB2864">
            <w:pPr>
              <w:pStyle w:val="TableText"/>
              <w:spacing w:before="103" w:line="181" w:lineRule="auto"/>
              <w:ind w:left="184"/>
              <w:rPr>
                <w:rFonts w:ascii="Times New Roman" w:hAnsi="Times New Roman"/>
                <w:color w:val="auto"/>
                <w:sz w:val="21"/>
                <w:szCs w:val="21"/>
              </w:rPr>
            </w:pPr>
            <w:r>
              <w:rPr>
                <w:rFonts w:ascii="Times New Roman" w:hAnsi="Times New Roman"/>
                <w:color w:val="auto"/>
                <w:spacing w:val="-2"/>
                <w:sz w:val="21"/>
                <w:szCs w:val="21"/>
              </w:rPr>
              <w:t>2013</w:t>
            </w:r>
          </w:p>
        </w:tc>
        <w:tc>
          <w:tcPr>
            <w:tcW w:w="779" w:type="dxa"/>
            <w:tcBorders>
              <w:top w:val="single" w:sz="6" w:space="0" w:color="000000"/>
            </w:tcBorders>
          </w:tcPr>
          <w:p w14:paraId="0AFBDD98" w14:textId="77777777" w:rsidR="0075791A" w:rsidRDefault="00FB2864">
            <w:pPr>
              <w:pStyle w:val="TableText"/>
              <w:spacing w:before="103" w:line="181" w:lineRule="auto"/>
              <w:ind w:left="186"/>
              <w:rPr>
                <w:rFonts w:ascii="Times New Roman" w:hAnsi="Times New Roman"/>
                <w:color w:val="auto"/>
                <w:sz w:val="21"/>
                <w:szCs w:val="21"/>
              </w:rPr>
            </w:pPr>
            <w:r>
              <w:rPr>
                <w:rFonts w:ascii="Times New Roman" w:hAnsi="Times New Roman"/>
                <w:color w:val="auto"/>
                <w:spacing w:val="-2"/>
                <w:sz w:val="21"/>
                <w:szCs w:val="21"/>
              </w:rPr>
              <w:t>2014</w:t>
            </w:r>
          </w:p>
        </w:tc>
        <w:tc>
          <w:tcPr>
            <w:tcW w:w="779" w:type="dxa"/>
            <w:tcBorders>
              <w:top w:val="single" w:sz="6" w:space="0" w:color="000000"/>
            </w:tcBorders>
          </w:tcPr>
          <w:p w14:paraId="7B70D3F3" w14:textId="77777777" w:rsidR="0075791A" w:rsidRDefault="00FB2864">
            <w:pPr>
              <w:pStyle w:val="TableText"/>
              <w:spacing w:before="103" w:line="181" w:lineRule="auto"/>
              <w:ind w:left="187"/>
              <w:rPr>
                <w:rFonts w:ascii="Times New Roman" w:hAnsi="Times New Roman"/>
                <w:color w:val="auto"/>
                <w:sz w:val="21"/>
                <w:szCs w:val="21"/>
              </w:rPr>
            </w:pPr>
            <w:r>
              <w:rPr>
                <w:rFonts w:ascii="Times New Roman" w:hAnsi="Times New Roman"/>
                <w:color w:val="auto"/>
                <w:spacing w:val="-2"/>
                <w:sz w:val="21"/>
                <w:szCs w:val="21"/>
              </w:rPr>
              <w:t>2015</w:t>
            </w:r>
          </w:p>
        </w:tc>
        <w:tc>
          <w:tcPr>
            <w:tcW w:w="781" w:type="dxa"/>
            <w:tcBorders>
              <w:top w:val="single" w:sz="6" w:space="0" w:color="000000"/>
            </w:tcBorders>
          </w:tcPr>
          <w:p w14:paraId="32801946" w14:textId="77777777" w:rsidR="0075791A" w:rsidRDefault="00FB2864">
            <w:pPr>
              <w:pStyle w:val="TableText"/>
              <w:spacing w:before="103" w:line="181" w:lineRule="auto"/>
              <w:ind w:left="188"/>
              <w:rPr>
                <w:rFonts w:ascii="Times New Roman" w:hAnsi="Times New Roman"/>
                <w:color w:val="auto"/>
                <w:sz w:val="21"/>
                <w:szCs w:val="21"/>
              </w:rPr>
            </w:pPr>
            <w:r>
              <w:rPr>
                <w:rFonts w:ascii="Times New Roman" w:hAnsi="Times New Roman"/>
                <w:color w:val="auto"/>
                <w:spacing w:val="-2"/>
                <w:sz w:val="21"/>
                <w:szCs w:val="21"/>
              </w:rPr>
              <w:t>2016</w:t>
            </w:r>
          </w:p>
        </w:tc>
        <w:tc>
          <w:tcPr>
            <w:tcW w:w="714" w:type="dxa"/>
            <w:tcBorders>
              <w:top w:val="single" w:sz="6" w:space="0" w:color="000000"/>
            </w:tcBorders>
          </w:tcPr>
          <w:p w14:paraId="77565FFA" w14:textId="77777777" w:rsidR="0075791A" w:rsidRDefault="00FB2864">
            <w:pPr>
              <w:pStyle w:val="TableText"/>
              <w:spacing w:before="103" w:line="181" w:lineRule="auto"/>
              <w:ind w:left="156"/>
              <w:rPr>
                <w:rFonts w:ascii="Times New Roman" w:hAnsi="Times New Roman"/>
                <w:color w:val="auto"/>
                <w:sz w:val="21"/>
                <w:szCs w:val="21"/>
              </w:rPr>
            </w:pPr>
            <w:r>
              <w:rPr>
                <w:rFonts w:ascii="Times New Roman" w:hAnsi="Times New Roman"/>
                <w:color w:val="auto"/>
                <w:spacing w:val="-2"/>
                <w:sz w:val="21"/>
                <w:szCs w:val="21"/>
              </w:rPr>
              <w:t>2017</w:t>
            </w:r>
          </w:p>
        </w:tc>
        <w:tc>
          <w:tcPr>
            <w:tcW w:w="779" w:type="dxa"/>
            <w:tcBorders>
              <w:top w:val="single" w:sz="6" w:space="0" w:color="000000"/>
            </w:tcBorders>
          </w:tcPr>
          <w:p w14:paraId="47ACF9F3" w14:textId="77777777" w:rsidR="0075791A" w:rsidRDefault="00FB2864">
            <w:pPr>
              <w:pStyle w:val="TableText"/>
              <w:spacing w:before="103" w:line="181" w:lineRule="auto"/>
              <w:ind w:left="188"/>
              <w:rPr>
                <w:rFonts w:ascii="Times New Roman" w:hAnsi="Times New Roman"/>
                <w:color w:val="auto"/>
                <w:sz w:val="21"/>
                <w:szCs w:val="21"/>
              </w:rPr>
            </w:pPr>
            <w:r>
              <w:rPr>
                <w:rFonts w:ascii="Times New Roman" w:hAnsi="Times New Roman"/>
                <w:color w:val="auto"/>
                <w:spacing w:val="-2"/>
                <w:sz w:val="21"/>
                <w:szCs w:val="21"/>
              </w:rPr>
              <w:t>2018</w:t>
            </w:r>
          </w:p>
        </w:tc>
        <w:tc>
          <w:tcPr>
            <w:tcW w:w="678" w:type="dxa"/>
            <w:tcBorders>
              <w:top w:val="single" w:sz="6" w:space="0" w:color="000000"/>
              <w:right w:val="single" w:sz="6" w:space="0" w:color="000000"/>
            </w:tcBorders>
          </w:tcPr>
          <w:p w14:paraId="51FDAA21" w14:textId="77777777" w:rsidR="0075791A" w:rsidRDefault="00FB2864">
            <w:pPr>
              <w:pStyle w:val="TableText"/>
              <w:spacing w:before="69" w:line="219" w:lineRule="auto"/>
              <w:ind w:left="131"/>
              <w:rPr>
                <w:rFonts w:ascii="Times New Roman" w:hAnsi="Times New Roman"/>
                <w:color w:val="auto"/>
                <w:sz w:val="21"/>
                <w:szCs w:val="21"/>
              </w:rPr>
            </w:pPr>
            <w:r>
              <w:rPr>
                <w:rFonts w:ascii="Times New Roman" w:hAnsi="Times New Roman"/>
                <w:color w:val="auto"/>
                <w:spacing w:val="-2"/>
                <w:sz w:val="21"/>
                <w:szCs w:val="21"/>
              </w:rPr>
              <w:t>平均</w:t>
            </w:r>
          </w:p>
        </w:tc>
      </w:tr>
      <w:tr w:rsidR="0075791A" w14:paraId="2825EB34" w14:textId="77777777">
        <w:trPr>
          <w:trHeight w:val="337"/>
        </w:trPr>
        <w:tc>
          <w:tcPr>
            <w:tcW w:w="678" w:type="dxa"/>
            <w:tcBorders>
              <w:left w:val="single" w:sz="6" w:space="0" w:color="000000"/>
            </w:tcBorders>
          </w:tcPr>
          <w:p w14:paraId="1415514D" w14:textId="77777777" w:rsidR="0075791A" w:rsidRDefault="00FB2864">
            <w:pPr>
              <w:pStyle w:val="TableText"/>
              <w:spacing w:before="68" w:line="219" w:lineRule="auto"/>
              <w:ind w:left="130"/>
              <w:rPr>
                <w:rFonts w:ascii="Times New Roman" w:hAnsi="Times New Roman"/>
                <w:color w:val="auto"/>
                <w:sz w:val="21"/>
                <w:szCs w:val="21"/>
              </w:rPr>
            </w:pPr>
            <w:r>
              <w:rPr>
                <w:rFonts w:ascii="Times New Roman" w:hAnsi="Times New Roman"/>
                <w:color w:val="auto"/>
                <w:spacing w:val="-3"/>
                <w:sz w:val="21"/>
                <w:szCs w:val="21"/>
              </w:rPr>
              <w:t>大浪</w:t>
            </w:r>
          </w:p>
        </w:tc>
        <w:tc>
          <w:tcPr>
            <w:tcW w:w="778" w:type="dxa"/>
          </w:tcPr>
          <w:p w14:paraId="10DCA0A3" w14:textId="77777777" w:rsidR="0075791A" w:rsidRDefault="00FB2864">
            <w:pPr>
              <w:pStyle w:val="TableText"/>
              <w:spacing w:before="102" w:line="181" w:lineRule="auto"/>
              <w:ind w:left="245"/>
              <w:rPr>
                <w:rFonts w:ascii="Times New Roman" w:hAnsi="Times New Roman"/>
                <w:color w:val="auto"/>
                <w:sz w:val="21"/>
                <w:szCs w:val="21"/>
              </w:rPr>
            </w:pPr>
            <w:r>
              <w:rPr>
                <w:rFonts w:ascii="Times New Roman" w:hAnsi="Times New Roman"/>
                <w:color w:val="auto"/>
                <w:spacing w:val="-5"/>
                <w:sz w:val="21"/>
                <w:szCs w:val="21"/>
              </w:rPr>
              <w:t>134</w:t>
            </w:r>
          </w:p>
        </w:tc>
        <w:tc>
          <w:tcPr>
            <w:tcW w:w="784" w:type="dxa"/>
          </w:tcPr>
          <w:p w14:paraId="7B0B4063" w14:textId="77777777" w:rsidR="0075791A" w:rsidRDefault="00FB2864">
            <w:pPr>
              <w:pStyle w:val="TableText"/>
              <w:spacing w:before="102" w:line="181" w:lineRule="auto"/>
              <w:ind w:left="247"/>
              <w:rPr>
                <w:rFonts w:ascii="Times New Roman" w:hAnsi="Times New Roman"/>
                <w:color w:val="auto"/>
                <w:sz w:val="21"/>
                <w:szCs w:val="21"/>
              </w:rPr>
            </w:pPr>
            <w:r>
              <w:rPr>
                <w:rFonts w:ascii="Times New Roman" w:hAnsi="Times New Roman"/>
                <w:color w:val="auto"/>
                <w:spacing w:val="-5"/>
                <w:sz w:val="21"/>
                <w:szCs w:val="21"/>
              </w:rPr>
              <w:t>167</w:t>
            </w:r>
          </w:p>
        </w:tc>
        <w:tc>
          <w:tcPr>
            <w:tcW w:w="778" w:type="dxa"/>
          </w:tcPr>
          <w:p w14:paraId="79B2187D" w14:textId="77777777" w:rsidR="0075791A" w:rsidRDefault="00FB2864">
            <w:pPr>
              <w:pStyle w:val="TableText"/>
              <w:spacing w:before="102" w:line="181" w:lineRule="auto"/>
              <w:ind w:left="248"/>
              <w:rPr>
                <w:rFonts w:ascii="Times New Roman" w:hAnsi="Times New Roman"/>
                <w:color w:val="auto"/>
                <w:sz w:val="21"/>
                <w:szCs w:val="21"/>
              </w:rPr>
            </w:pPr>
            <w:r>
              <w:rPr>
                <w:rFonts w:ascii="Times New Roman" w:hAnsi="Times New Roman"/>
                <w:color w:val="auto"/>
                <w:spacing w:val="-5"/>
                <w:sz w:val="21"/>
                <w:szCs w:val="21"/>
              </w:rPr>
              <w:t>143</w:t>
            </w:r>
          </w:p>
        </w:tc>
        <w:tc>
          <w:tcPr>
            <w:tcW w:w="779" w:type="dxa"/>
          </w:tcPr>
          <w:p w14:paraId="40625D6F" w14:textId="77777777" w:rsidR="0075791A" w:rsidRDefault="00FB2864">
            <w:pPr>
              <w:pStyle w:val="TableText"/>
              <w:spacing w:before="102" w:line="181" w:lineRule="auto"/>
              <w:ind w:left="250"/>
              <w:rPr>
                <w:rFonts w:ascii="Times New Roman" w:hAnsi="Times New Roman"/>
                <w:color w:val="auto"/>
                <w:sz w:val="21"/>
                <w:szCs w:val="21"/>
              </w:rPr>
            </w:pPr>
            <w:r>
              <w:rPr>
                <w:rFonts w:ascii="Times New Roman" w:hAnsi="Times New Roman"/>
                <w:color w:val="auto"/>
                <w:spacing w:val="-5"/>
                <w:sz w:val="21"/>
                <w:szCs w:val="21"/>
              </w:rPr>
              <w:t>162</w:t>
            </w:r>
          </w:p>
        </w:tc>
        <w:tc>
          <w:tcPr>
            <w:tcW w:w="779" w:type="dxa"/>
          </w:tcPr>
          <w:p w14:paraId="18A74611" w14:textId="77777777" w:rsidR="0075791A" w:rsidRDefault="00FB2864">
            <w:pPr>
              <w:pStyle w:val="TableText"/>
              <w:spacing w:before="102" w:line="181" w:lineRule="auto"/>
              <w:ind w:left="252"/>
              <w:rPr>
                <w:rFonts w:ascii="Times New Roman" w:hAnsi="Times New Roman"/>
                <w:color w:val="auto"/>
                <w:sz w:val="21"/>
                <w:szCs w:val="21"/>
              </w:rPr>
            </w:pPr>
            <w:r>
              <w:rPr>
                <w:rFonts w:ascii="Times New Roman" w:hAnsi="Times New Roman"/>
                <w:color w:val="auto"/>
                <w:spacing w:val="-5"/>
                <w:sz w:val="21"/>
                <w:szCs w:val="21"/>
              </w:rPr>
              <w:t>128</w:t>
            </w:r>
          </w:p>
        </w:tc>
        <w:tc>
          <w:tcPr>
            <w:tcW w:w="779" w:type="dxa"/>
          </w:tcPr>
          <w:p w14:paraId="6437AC60" w14:textId="77777777" w:rsidR="0075791A" w:rsidRDefault="00FB2864">
            <w:pPr>
              <w:pStyle w:val="TableText"/>
              <w:spacing w:before="102" w:line="181" w:lineRule="auto"/>
              <w:ind w:left="253"/>
              <w:rPr>
                <w:rFonts w:ascii="Times New Roman" w:hAnsi="Times New Roman"/>
                <w:color w:val="auto"/>
                <w:sz w:val="21"/>
                <w:szCs w:val="21"/>
              </w:rPr>
            </w:pPr>
            <w:r>
              <w:rPr>
                <w:rFonts w:ascii="Times New Roman" w:hAnsi="Times New Roman"/>
                <w:color w:val="auto"/>
                <w:spacing w:val="-5"/>
                <w:sz w:val="21"/>
                <w:szCs w:val="21"/>
              </w:rPr>
              <w:t>116</w:t>
            </w:r>
          </w:p>
        </w:tc>
        <w:tc>
          <w:tcPr>
            <w:tcW w:w="781" w:type="dxa"/>
          </w:tcPr>
          <w:p w14:paraId="46DCD38A" w14:textId="77777777" w:rsidR="0075791A" w:rsidRDefault="00FB2864">
            <w:pPr>
              <w:pStyle w:val="TableText"/>
              <w:spacing w:before="102" w:line="181" w:lineRule="auto"/>
              <w:ind w:left="254"/>
              <w:rPr>
                <w:rFonts w:ascii="Times New Roman" w:hAnsi="Times New Roman"/>
                <w:color w:val="auto"/>
                <w:sz w:val="21"/>
                <w:szCs w:val="21"/>
              </w:rPr>
            </w:pPr>
            <w:r>
              <w:rPr>
                <w:rFonts w:ascii="Times New Roman" w:hAnsi="Times New Roman"/>
                <w:color w:val="auto"/>
                <w:spacing w:val="-5"/>
                <w:sz w:val="21"/>
                <w:szCs w:val="21"/>
              </w:rPr>
              <w:t>132</w:t>
            </w:r>
          </w:p>
        </w:tc>
        <w:tc>
          <w:tcPr>
            <w:tcW w:w="714" w:type="dxa"/>
          </w:tcPr>
          <w:p w14:paraId="20AC27DB" w14:textId="77777777" w:rsidR="0075791A" w:rsidRDefault="00FB2864">
            <w:pPr>
              <w:pStyle w:val="TableText"/>
              <w:spacing w:before="102" w:line="181" w:lineRule="auto"/>
              <w:ind w:left="222"/>
              <w:rPr>
                <w:rFonts w:ascii="Times New Roman" w:hAnsi="Times New Roman"/>
                <w:color w:val="auto"/>
                <w:sz w:val="21"/>
                <w:szCs w:val="21"/>
              </w:rPr>
            </w:pPr>
            <w:r>
              <w:rPr>
                <w:rFonts w:ascii="Times New Roman" w:hAnsi="Times New Roman"/>
                <w:color w:val="auto"/>
                <w:spacing w:val="-5"/>
                <w:sz w:val="21"/>
                <w:szCs w:val="21"/>
              </w:rPr>
              <w:t>159</w:t>
            </w:r>
          </w:p>
        </w:tc>
        <w:tc>
          <w:tcPr>
            <w:tcW w:w="779" w:type="dxa"/>
          </w:tcPr>
          <w:p w14:paraId="0781C46B" w14:textId="77777777" w:rsidR="0075791A" w:rsidRDefault="00FB2864">
            <w:pPr>
              <w:pStyle w:val="TableText"/>
              <w:spacing w:before="102" w:line="181" w:lineRule="auto"/>
              <w:ind w:left="254"/>
              <w:rPr>
                <w:rFonts w:ascii="Times New Roman" w:hAnsi="Times New Roman"/>
                <w:color w:val="auto"/>
                <w:sz w:val="21"/>
                <w:szCs w:val="21"/>
              </w:rPr>
            </w:pPr>
            <w:r>
              <w:rPr>
                <w:rFonts w:ascii="Times New Roman" w:hAnsi="Times New Roman"/>
                <w:color w:val="auto"/>
                <w:spacing w:val="-5"/>
                <w:sz w:val="21"/>
                <w:szCs w:val="21"/>
              </w:rPr>
              <w:t>137</w:t>
            </w:r>
          </w:p>
        </w:tc>
        <w:tc>
          <w:tcPr>
            <w:tcW w:w="678" w:type="dxa"/>
            <w:tcBorders>
              <w:right w:val="single" w:sz="6" w:space="0" w:color="000000"/>
            </w:tcBorders>
          </w:tcPr>
          <w:p w14:paraId="1858F7C4" w14:textId="77777777" w:rsidR="0075791A" w:rsidRDefault="00FB2864">
            <w:pPr>
              <w:pStyle w:val="TableText"/>
              <w:spacing w:before="102" w:line="181" w:lineRule="auto"/>
              <w:ind w:left="200"/>
              <w:rPr>
                <w:rFonts w:ascii="Times New Roman" w:hAnsi="Times New Roman"/>
                <w:color w:val="auto"/>
                <w:sz w:val="21"/>
                <w:szCs w:val="21"/>
              </w:rPr>
            </w:pPr>
            <w:r>
              <w:rPr>
                <w:rFonts w:ascii="Times New Roman" w:hAnsi="Times New Roman"/>
                <w:color w:val="auto"/>
                <w:spacing w:val="-5"/>
                <w:sz w:val="21"/>
                <w:szCs w:val="21"/>
              </w:rPr>
              <w:t>142</w:t>
            </w:r>
          </w:p>
        </w:tc>
      </w:tr>
      <w:tr w:rsidR="0075791A" w14:paraId="0E62AA5E" w14:textId="77777777">
        <w:trPr>
          <w:trHeight w:val="348"/>
        </w:trPr>
        <w:tc>
          <w:tcPr>
            <w:tcW w:w="678" w:type="dxa"/>
            <w:tcBorders>
              <w:left w:val="single" w:sz="6" w:space="0" w:color="000000"/>
              <w:bottom w:val="single" w:sz="6" w:space="0" w:color="000000"/>
            </w:tcBorders>
          </w:tcPr>
          <w:p w14:paraId="51BCEAED" w14:textId="77777777" w:rsidR="0075791A" w:rsidRDefault="00FB2864">
            <w:pPr>
              <w:pStyle w:val="TableText"/>
              <w:spacing w:before="72" w:line="221" w:lineRule="auto"/>
              <w:ind w:left="147"/>
              <w:rPr>
                <w:rFonts w:ascii="Times New Roman" w:hAnsi="Times New Roman"/>
                <w:color w:val="auto"/>
                <w:sz w:val="21"/>
                <w:szCs w:val="21"/>
              </w:rPr>
            </w:pPr>
            <w:r>
              <w:rPr>
                <w:rFonts w:ascii="Times New Roman" w:hAnsi="Times New Roman"/>
                <w:color w:val="auto"/>
                <w:spacing w:val="-7"/>
                <w:sz w:val="21"/>
                <w:szCs w:val="21"/>
              </w:rPr>
              <w:t>巨浪</w:t>
            </w:r>
          </w:p>
        </w:tc>
        <w:tc>
          <w:tcPr>
            <w:tcW w:w="778" w:type="dxa"/>
            <w:tcBorders>
              <w:bottom w:val="single" w:sz="6" w:space="0" w:color="000000"/>
            </w:tcBorders>
          </w:tcPr>
          <w:p w14:paraId="578D7969" w14:textId="77777777" w:rsidR="0075791A" w:rsidRDefault="00FB2864">
            <w:pPr>
              <w:pStyle w:val="TableText"/>
              <w:spacing w:before="107" w:line="181" w:lineRule="auto"/>
              <w:ind w:left="281"/>
              <w:rPr>
                <w:rFonts w:ascii="Times New Roman" w:hAnsi="Times New Roman"/>
                <w:color w:val="auto"/>
                <w:sz w:val="21"/>
                <w:szCs w:val="21"/>
              </w:rPr>
            </w:pPr>
            <w:r>
              <w:rPr>
                <w:rFonts w:ascii="Times New Roman" w:hAnsi="Times New Roman"/>
                <w:color w:val="auto"/>
                <w:spacing w:val="-3"/>
                <w:sz w:val="21"/>
                <w:szCs w:val="21"/>
              </w:rPr>
              <w:t>65</w:t>
            </w:r>
          </w:p>
        </w:tc>
        <w:tc>
          <w:tcPr>
            <w:tcW w:w="784" w:type="dxa"/>
            <w:tcBorders>
              <w:bottom w:val="single" w:sz="6" w:space="0" w:color="000000"/>
            </w:tcBorders>
          </w:tcPr>
          <w:p w14:paraId="69779FE3" w14:textId="77777777" w:rsidR="0075791A" w:rsidRDefault="00FB2864">
            <w:pPr>
              <w:pStyle w:val="TableText"/>
              <w:spacing w:before="107" w:line="181" w:lineRule="auto"/>
              <w:ind w:left="285"/>
              <w:rPr>
                <w:rFonts w:ascii="Times New Roman" w:hAnsi="Times New Roman"/>
                <w:color w:val="auto"/>
                <w:sz w:val="21"/>
                <w:szCs w:val="21"/>
              </w:rPr>
            </w:pPr>
            <w:r>
              <w:rPr>
                <w:rFonts w:ascii="Times New Roman" w:hAnsi="Times New Roman"/>
                <w:color w:val="auto"/>
                <w:spacing w:val="-2"/>
                <w:sz w:val="21"/>
                <w:szCs w:val="21"/>
              </w:rPr>
              <w:t>91</w:t>
            </w:r>
          </w:p>
        </w:tc>
        <w:tc>
          <w:tcPr>
            <w:tcW w:w="778" w:type="dxa"/>
            <w:tcBorders>
              <w:bottom w:val="single" w:sz="6" w:space="0" w:color="000000"/>
            </w:tcBorders>
          </w:tcPr>
          <w:p w14:paraId="2D3DB323" w14:textId="77777777" w:rsidR="0075791A" w:rsidRDefault="00FB2864">
            <w:pPr>
              <w:pStyle w:val="TableText"/>
              <w:spacing w:before="107" w:line="181" w:lineRule="auto"/>
              <w:ind w:left="285"/>
              <w:rPr>
                <w:rFonts w:ascii="Times New Roman" w:hAnsi="Times New Roman"/>
                <w:color w:val="auto"/>
                <w:sz w:val="21"/>
                <w:szCs w:val="21"/>
              </w:rPr>
            </w:pPr>
            <w:r>
              <w:rPr>
                <w:rFonts w:ascii="Times New Roman" w:hAnsi="Times New Roman"/>
                <w:color w:val="auto"/>
                <w:spacing w:val="-3"/>
                <w:sz w:val="21"/>
                <w:szCs w:val="21"/>
              </w:rPr>
              <w:t>67</w:t>
            </w:r>
          </w:p>
        </w:tc>
        <w:tc>
          <w:tcPr>
            <w:tcW w:w="779" w:type="dxa"/>
            <w:tcBorders>
              <w:bottom w:val="single" w:sz="6" w:space="0" w:color="000000"/>
            </w:tcBorders>
          </w:tcPr>
          <w:p w14:paraId="330E203B" w14:textId="77777777" w:rsidR="0075791A" w:rsidRDefault="00FB2864">
            <w:pPr>
              <w:pStyle w:val="TableText"/>
              <w:spacing w:before="107" w:line="181" w:lineRule="auto"/>
              <w:ind w:left="289"/>
              <w:rPr>
                <w:rFonts w:ascii="Times New Roman" w:hAnsi="Times New Roman"/>
                <w:color w:val="auto"/>
                <w:sz w:val="21"/>
                <w:szCs w:val="21"/>
              </w:rPr>
            </w:pPr>
            <w:r>
              <w:rPr>
                <w:rFonts w:ascii="Times New Roman" w:hAnsi="Times New Roman"/>
                <w:color w:val="auto"/>
                <w:spacing w:val="-3"/>
                <w:sz w:val="21"/>
                <w:szCs w:val="21"/>
              </w:rPr>
              <w:t>65</w:t>
            </w:r>
          </w:p>
        </w:tc>
        <w:tc>
          <w:tcPr>
            <w:tcW w:w="779" w:type="dxa"/>
            <w:tcBorders>
              <w:bottom w:val="single" w:sz="6" w:space="0" w:color="000000"/>
            </w:tcBorders>
          </w:tcPr>
          <w:p w14:paraId="3FF73B18" w14:textId="77777777" w:rsidR="0075791A" w:rsidRDefault="00FB2864">
            <w:pPr>
              <w:pStyle w:val="TableText"/>
              <w:spacing w:before="107" w:line="181" w:lineRule="auto"/>
              <w:ind w:left="291"/>
              <w:rPr>
                <w:rFonts w:ascii="Times New Roman" w:hAnsi="Times New Roman"/>
                <w:color w:val="auto"/>
                <w:sz w:val="21"/>
                <w:szCs w:val="21"/>
              </w:rPr>
            </w:pPr>
            <w:r>
              <w:rPr>
                <w:rFonts w:ascii="Times New Roman" w:hAnsi="Times New Roman"/>
                <w:color w:val="auto"/>
                <w:spacing w:val="-3"/>
                <w:sz w:val="21"/>
                <w:szCs w:val="21"/>
              </w:rPr>
              <w:t>51</w:t>
            </w:r>
          </w:p>
        </w:tc>
        <w:tc>
          <w:tcPr>
            <w:tcW w:w="779" w:type="dxa"/>
            <w:tcBorders>
              <w:bottom w:val="single" w:sz="6" w:space="0" w:color="000000"/>
            </w:tcBorders>
          </w:tcPr>
          <w:p w14:paraId="0AA2E263" w14:textId="77777777" w:rsidR="0075791A" w:rsidRDefault="00FB2864">
            <w:pPr>
              <w:pStyle w:val="TableText"/>
              <w:spacing w:before="107" w:line="181" w:lineRule="auto"/>
              <w:ind w:left="287"/>
              <w:rPr>
                <w:rFonts w:ascii="Times New Roman" w:hAnsi="Times New Roman"/>
                <w:color w:val="auto"/>
                <w:sz w:val="21"/>
                <w:szCs w:val="21"/>
              </w:rPr>
            </w:pPr>
            <w:r>
              <w:rPr>
                <w:rFonts w:ascii="Times New Roman" w:hAnsi="Times New Roman"/>
                <w:color w:val="auto"/>
                <w:spacing w:val="-2"/>
                <w:sz w:val="21"/>
                <w:szCs w:val="21"/>
              </w:rPr>
              <w:t>47</w:t>
            </w:r>
          </w:p>
        </w:tc>
        <w:tc>
          <w:tcPr>
            <w:tcW w:w="781" w:type="dxa"/>
            <w:tcBorders>
              <w:bottom w:val="single" w:sz="6" w:space="0" w:color="000000"/>
            </w:tcBorders>
          </w:tcPr>
          <w:p w14:paraId="25D39B33" w14:textId="77777777" w:rsidR="0075791A" w:rsidRDefault="00FB2864">
            <w:pPr>
              <w:pStyle w:val="TableText"/>
              <w:spacing w:before="107" w:line="181" w:lineRule="auto"/>
              <w:ind w:left="296"/>
              <w:rPr>
                <w:rFonts w:ascii="Times New Roman" w:hAnsi="Times New Roman"/>
                <w:color w:val="auto"/>
                <w:sz w:val="21"/>
                <w:szCs w:val="21"/>
              </w:rPr>
            </w:pPr>
            <w:r>
              <w:rPr>
                <w:rFonts w:ascii="Times New Roman" w:hAnsi="Times New Roman"/>
                <w:color w:val="auto"/>
                <w:spacing w:val="-4"/>
                <w:sz w:val="21"/>
                <w:szCs w:val="21"/>
              </w:rPr>
              <w:t>70</w:t>
            </w:r>
          </w:p>
        </w:tc>
        <w:tc>
          <w:tcPr>
            <w:tcW w:w="714" w:type="dxa"/>
            <w:tcBorders>
              <w:bottom w:val="single" w:sz="6" w:space="0" w:color="000000"/>
            </w:tcBorders>
          </w:tcPr>
          <w:p w14:paraId="41F5C5F3" w14:textId="77777777" w:rsidR="0075791A" w:rsidRDefault="00FB2864">
            <w:pPr>
              <w:pStyle w:val="TableText"/>
              <w:spacing w:before="107" w:line="181" w:lineRule="auto"/>
              <w:ind w:left="261"/>
              <w:rPr>
                <w:rFonts w:ascii="Times New Roman" w:hAnsi="Times New Roman"/>
                <w:color w:val="auto"/>
                <w:sz w:val="21"/>
                <w:szCs w:val="21"/>
              </w:rPr>
            </w:pPr>
            <w:r>
              <w:rPr>
                <w:rFonts w:ascii="Times New Roman" w:hAnsi="Times New Roman"/>
                <w:color w:val="auto"/>
                <w:spacing w:val="-3"/>
                <w:sz w:val="21"/>
                <w:szCs w:val="21"/>
              </w:rPr>
              <w:t>68</w:t>
            </w:r>
          </w:p>
        </w:tc>
        <w:tc>
          <w:tcPr>
            <w:tcW w:w="779" w:type="dxa"/>
            <w:tcBorders>
              <w:bottom w:val="single" w:sz="6" w:space="0" w:color="000000"/>
            </w:tcBorders>
          </w:tcPr>
          <w:p w14:paraId="0CB7CDA1" w14:textId="77777777" w:rsidR="0075791A" w:rsidRDefault="00FB2864">
            <w:pPr>
              <w:pStyle w:val="TableText"/>
              <w:spacing w:before="107" w:line="181" w:lineRule="auto"/>
              <w:ind w:left="296"/>
              <w:rPr>
                <w:rFonts w:ascii="Times New Roman" w:hAnsi="Times New Roman"/>
                <w:color w:val="auto"/>
                <w:sz w:val="21"/>
                <w:szCs w:val="21"/>
              </w:rPr>
            </w:pPr>
            <w:r>
              <w:rPr>
                <w:rFonts w:ascii="Times New Roman" w:hAnsi="Times New Roman"/>
                <w:color w:val="auto"/>
                <w:spacing w:val="-3"/>
                <w:sz w:val="21"/>
                <w:szCs w:val="21"/>
              </w:rPr>
              <w:t>53</w:t>
            </w:r>
          </w:p>
        </w:tc>
        <w:tc>
          <w:tcPr>
            <w:tcW w:w="678" w:type="dxa"/>
            <w:tcBorders>
              <w:bottom w:val="single" w:sz="6" w:space="0" w:color="000000"/>
              <w:right w:val="single" w:sz="6" w:space="0" w:color="000000"/>
            </w:tcBorders>
          </w:tcPr>
          <w:p w14:paraId="02583E82" w14:textId="77777777" w:rsidR="0075791A" w:rsidRDefault="00FB2864">
            <w:pPr>
              <w:pStyle w:val="TableText"/>
              <w:spacing w:before="107" w:line="181" w:lineRule="auto"/>
              <w:ind w:left="133"/>
              <w:rPr>
                <w:rFonts w:ascii="Times New Roman" w:hAnsi="Times New Roman"/>
                <w:color w:val="auto"/>
                <w:sz w:val="21"/>
                <w:szCs w:val="21"/>
              </w:rPr>
            </w:pPr>
            <w:r>
              <w:rPr>
                <w:rFonts w:ascii="Times New Roman" w:hAnsi="Times New Roman"/>
                <w:color w:val="auto"/>
                <w:spacing w:val="-2"/>
                <w:sz w:val="21"/>
                <w:szCs w:val="21"/>
              </w:rPr>
              <w:t>64.1</w:t>
            </w:r>
          </w:p>
        </w:tc>
      </w:tr>
    </w:tbl>
    <w:p w14:paraId="7A2E80E9" w14:textId="77777777" w:rsidR="0075791A" w:rsidRDefault="0075791A">
      <w:pPr>
        <w:pStyle w:val="TableText"/>
        <w:spacing w:line="360" w:lineRule="auto"/>
        <w:ind w:firstLineChars="200" w:firstLine="482"/>
        <w:jc w:val="both"/>
        <w:rPr>
          <w:rFonts w:ascii="Times New Roman" w:hAnsi="Times New Roman"/>
          <w:b/>
          <w:bCs/>
          <w:color w:val="auto"/>
          <w:lang w:eastAsia="zh-CN"/>
        </w:rPr>
      </w:pPr>
    </w:p>
    <w:p w14:paraId="6514544B" w14:textId="77777777" w:rsidR="0075791A" w:rsidRDefault="00FB2864">
      <w:pPr>
        <w:pStyle w:val="TableText"/>
        <w:spacing w:line="360" w:lineRule="auto"/>
        <w:ind w:firstLineChars="200" w:firstLine="482"/>
        <w:jc w:val="both"/>
        <w:rPr>
          <w:rFonts w:ascii="Times New Roman" w:hAnsi="Times New Roman"/>
          <w:b/>
          <w:bCs/>
          <w:color w:val="auto"/>
          <w:lang w:eastAsia="zh-CN"/>
        </w:rPr>
      </w:pPr>
      <w:r>
        <w:rPr>
          <w:rFonts w:ascii="Times New Roman" w:hAnsi="Times New Roman" w:hint="eastAsia"/>
          <w:b/>
          <w:bCs/>
          <w:color w:val="auto"/>
          <w:lang w:eastAsia="zh-CN"/>
        </w:rPr>
        <w:t>（</w:t>
      </w:r>
      <w:r>
        <w:rPr>
          <w:rFonts w:ascii="Times New Roman" w:hAnsi="Times New Roman" w:hint="eastAsia"/>
          <w:b/>
          <w:bCs/>
          <w:color w:val="auto"/>
          <w:lang w:eastAsia="zh-CN"/>
        </w:rPr>
        <w:t>3</w:t>
      </w:r>
      <w:r>
        <w:rPr>
          <w:rFonts w:ascii="Times New Roman" w:hAnsi="Times New Roman" w:hint="eastAsia"/>
          <w:b/>
          <w:bCs/>
          <w:color w:val="auto"/>
          <w:lang w:eastAsia="zh-CN"/>
        </w:rPr>
        <w:t>）热带气旋</w:t>
      </w:r>
    </w:p>
    <w:p w14:paraId="57F29F94" w14:textId="77777777" w:rsidR="0075791A" w:rsidRDefault="00FB2864">
      <w:pPr>
        <w:pStyle w:val="TableText"/>
        <w:spacing w:line="360" w:lineRule="auto"/>
        <w:ind w:firstLineChars="200" w:firstLine="476"/>
        <w:jc w:val="both"/>
        <w:rPr>
          <w:color w:val="auto"/>
          <w:spacing w:val="-2"/>
          <w:lang w:eastAsia="zh-CN"/>
        </w:rPr>
      </w:pPr>
      <w:r>
        <w:rPr>
          <w:rFonts w:hint="eastAsia"/>
          <w:color w:val="auto"/>
          <w:spacing w:val="-2"/>
          <w:lang w:eastAsia="zh-CN"/>
        </w:rPr>
        <w:t>根据</w:t>
      </w:r>
      <w:r>
        <w:rPr>
          <w:rFonts w:hint="eastAsia"/>
          <w:color w:val="auto"/>
          <w:spacing w:val="-2"/>
          <w:lang w:eastAsia="zh-CN"/>
        </w:rPr>
        <w:t xml:space="preserve"> </w:t>
      </w:r>
      <w:r>
        <w:rPr>
          <w:rFonts w:hint="eastAsia"/>
          <w:color w:val="auto"/>
          <w:spacing w:val="-2"/>
          <w:lang w:eastAsia="zh-CN"/>
        </w:rPr>
        <w:t>中国气象局热带气旋资料中心”的统计数据，</w:t>
      </w:r>
      <w:r>
        <w:rPr>
          <w:rFonts w:hint="eastAsia"/>
          <w:color w:val="auto"/>
          <w:spacing w:val="-2"/>
          <w:lang w:eastAsia="zh-CN"/>
        </w:rPr>
        <w:t>2010</w:t>
      </w:r>
      <w:r>
        <w:rPr>
          <w:rFonts w:hint="eastAsia"/>
          <w:color w:val="auto"/>
          <w:spacing w:val="-2"/>
          <w:lang w:eastAsia="zh-CN"/>
        </w:rPr>
        <w:t>～</w:t>
      </w:r>
      <w:r>
        <w:rPr>
          <w:rFonts w:hint="eastAsia"/>
          <w:color w:val="auto"/>
          <w:spacing w:val="-2"/>
          <w:lang w:eastAsia="zh-CN"/>
        </w:rPr>
        <w:t>2018</w:t>
      </w:r>
      <w:r>
        <w:rPr>
          <w:rFonts w:hint="eastAsia"/>
          <w:color w:val="auto"/>
          <w:spacing w:val="-2"/>
          <w:lang w:eastAsia="zh-CN"/>
        </w:rPr>
        <w:t>年间，西北太平洋和南海共生成</w:t>
      </w:r>
      <w:r>
        <w:rPr>
          <w:rFonts w:hint="eastAsia"/>
          <w:color w:val="auto"/>
          <w:spacing w:val="-2"/>
          <w:lang w:eastAsia="zh-CN"/>
        </w:rPr>
        <w:t>223</w:t>
      </w:r>
      <w:r>
        <w:rPr>
          <w:rFonts w:hint="eastAsia"/>
          <w:color w:val="auto"/>
          <w:spacing w:val="-2"/>
          <w:lang w:eastAsia="zh-CN"/>
        </w:rPr>
        <w:t>个热带气旋，平均每年生成</w:t>
      </w:r>
      <w:r>
        <w:rPr>
          <w:rFonts w:hint="eastAsia"/>
          <w:color w:val="auto"/>
          <w:spacing w:val="-2"/>
          <w:lang w:eastAsia="zh-CN"/>
        </w:rPr>
        <w:t>27.9</w:t>
      </w:r>
      <w:r>
        <w:rPr>
          <w:rFonts w:hint="eastAsia"/>
          <w:color w:val="auto"/>
          <w:spacing w:val="-2"/>
          <w:lang w:eastAsia="zh-CN"/>
        </w:rPr>
        <w:t>个。有</w:t>
      </w:r>
      <w:r>
        <w:rPr>
          <w:rFonts w:hint="eastAsia"/>
          <w:color w:val="auto"/>
          <w:spacing w:val="-2"/>
          <w:lang w:eastAsia="zh-CN"/>
        </w:rPr>
        <w:t>69</w:t>
      </w:r>
      <w:r>
        <w:rPr>
          <w:rFonts w:hint="eastAsia"/>
          <w:color w:val="auto"/>
          <w:spacing w:val="-2"/>
          <w:lang w:eastAsia="zh-CN"/>
        </w:rPr>
        <w:t>个热带气旋进入南海或在南海生成，有</w:t>
      </w:r>
      <w:r>
        <w:rPr>
          <w:rFonts w:hint="eastAsia"/>
          <w:color w:val="auto"/>
          <w:spacing w:val="-2"/>
          <w:lang w:eastAsia="zh-CN"/>
        </w:rPr>
        <w:t>13</w:t>
      </w:r>
      <w:r>
        <w:rPr>
          <w:rFonts w:hint="eastAsia"/>
          <w:color w:val="auto"/>
          <w:spacing w:val="-2"/>
          <w:lang w:eastAsia="zh-CN"/>
        </w:rPr>
        <w:t>个登陆海南岛。其中，</w:t>
      </w:r>
      <w:r>
        <w:rPr>
          <w:rFonts w:hint="eastAsia"/>
          <w:color w:val="auto"/>
          <w:spacing w:val="-2"/>
          <w:lang w:eastAsia="zh-CN"/>
        </w:rPr>
        <w:t>1002</w:t>
      </w:r>
      <w:r>
        <w:rPr>
          <w:rFonts w:hint="eastAsia"/>
          <w:color w:val="auto"/>
          <w:spacing w:val="-2"/>
          <w:lang w:eastAsia="zh-CN"/>
        </w:rPr>
        <w:t>号台风“康森”于</w:t>
      </w:r>
      <w:r>
        <w:rPr>
          <w:rFonts w:hint="eastAsia"/>
          <w:color w:val="auto"/>
          <w:spacing w:val="-2"/>
          <w:lang w:eastAsia="zh-CN"/>
        </w:rPr>
        <w:t>2010</w:t>
      </w:r>
      <w:r>
        <w:rPr>
          <w:rFonts w:hint="eastAsia"/>
          <w:color w:val="auto"/>
          <w:spacing w:val="-2"/>
          <w:lang w:eastAsia="zh-CN"/>
        </w:rPr>
        <w:t>年</w:t>
      </w:r>
      <w:r>
        <w:rPr>
          <w:rFonts w:hint="eastAsia"/>
          <w:color w:val="auto"/>
          <w:spacing w:val="-2"/>
          <w:lang w:eastAsia="zh-CN"/>
        </w:rPr>
        <w:t>7</w:t>
      </w:r>
      <w:r>
        <w:rPr>
          <w:rFonts w:hint="eastAsia"/>
          <w:color w:val="auto"/>
          <w:spacing w:val="-2"/>
          <w:lang w:eastAsia="zh-CN"/>
        </w:rPr>
        <w:t>月</w:t>
      </w:r>
      <w:r>
        <w:rPr>
          <w:rFonts w:hint="eastAsia"/>
          <w:color w:val="auto"/>
          <w:spacing w:val="-2"/>
          <w:lang w:eastAsia="zh-CN"/>
        </w:rPr>
        <w:t>16</w:t>
      </w:r>
      <w:r>
        <w:rPr>
          <w:rFonts w:hint="eastAsia"/>
          <w:color w:val="auto"/>
          <w:spacing w:val="-2"/>
          <w:lang w:eastAsia="zh-CN"/>
        </w:rPr>
        <w:t>日</w:t>
      </w:r>
      <w:r>
        <w:rPr>
          <w:rFonts w:hint="eastAsia"/>
          <w:color w:val="auto"/>
          <w:spacing w:val="-2"/>
          <w:lang w:eastAsia="zh-CN"/>
        </w:rPr>
        <w:t>19</w:t>
      </w:r>
      <w:r>
        <w:rPr>
          <w:rFonts w:hint="eastAsia"/>
          <w:color w:val="auto"/>
          <w:spacing w:val="-2"/>
          <w:lang w:eastAsia="zh-CN"/>
        </w:rPr>
        <w:t>时</w:t>
      </w:r>
      <w:r>
        <w:rPr>
          <w:rFonts w:hint="eastAsia"/>
          <w:color w:val="auto"/>
          <w:spacing w:val="-2"/>
          <w:lang w:eastAsia="zh-CN"/>
        </w:rPr>
        <w:t>50</w:t>
      </w:r>
      <w:r>
        <w:rPr>
          <w:rFonts w:hint="eastAsia"/>
          <w:color w:val="auto"/>
          <w:spacing w:val="-2"/>
          <w:lang w:eastAsia="zh-CN"/>
        </w:rPr>
        <w:t>分左右在海南岛三亚亚龙湾一带沿海登陆。按月份统计，</w:t>
      </w:r>
      <w:r>
        <w:rPr>
          <w:rFonts w:hint="eastAsia"/>
          <w:color w:val="auto"/>
          <w:spacing w:val="-2"/>
          <w:lang w:eastAsia="zh-CN"/>
        </w:rPr>
        <w:t>7</w:t>
      </w:r>
      <w:r>
        <w:rPr>
          <w:rFonts w:hint="eastAsia"/>
          <w:color w:val="auto"/>
          <w:spacing w:val="-2"/>
          <w:lang w:eastAsia="zh-CN"/>
        </w:rPr>
        <w:t>月登陆次数最多，</w:t>
      </w:r>
      <w:r>
        <w:rPr>
          <w:rFonts w:hint="eastAsia"/>
          <w:color w:val="auto"/>
          <w:spacing w:val="-2"/>
          <w:lang w:eastAsia="zh-CN"/>
        </w:rPr>
        <w:t>6</w:t>
      </w:r>
      <w:r>
        <w:rPr>
          <w:rFonts w:hint="eastAsia"/>
          <w:color w:val="auto"/>
          <w:spacing w:val="-2"/>
          <w:lang w:eastAsia="zh-CN"/>
        </w:rPr>
        <w:t>月和</w:t>
      </w:r>
      <w:r>
        <w:rPr>
          <w:rFonts w:hint="eastAsia"/>
          <w:color w:val="auto"/>
          <w:spacing w:val="-2"/>
          <w:lang w:eastAsia="zh-CN"/>
        </w:rPr>
        <w:t>8</w:t>
      </w:r>
      <w:r>
        <w:rPr>
          <w:rFonts w:hint="eastAsia"/>
          <w:color w:val="auto"/>
          <w:spacing w:val="-2"/>
          <w:lang w:eastAsia="zh-CN"/>
        </w:rPr>
        <w:t>月为其次，</w:t>
      </w:r>
      <w:r>
        <w:rPr>
          <w:rFonts w:hint="eastAsia"/>
          <w:color w:val="auto"/>
          <w:spacing w:val="-2"/>
          <w:lang w:eastAsia="zh-CN"/>
        </w:rPr>
        <w:t>1</w:t>
      </w:r>
      <w:r>
        <w:rPr>
          <w:rFonts w:hint="eastAsia"/>
          <w:color w:val="auto"/>
          <w:spacing w:val="-2"/>
          <w:lang w:eastAsia="zh-CN"/>
        </w:rPr>
        <w:t>月～</w:t>
      </w:r>
      <w:r>
        <w:rPr>
          <w:rFonts w:hint="eastAsia"/>
          <w:color w:val="auto"/>
          <w:spacing w:val="-2"/>
          <w:lang w:eastAsia="zh-CN"/>
        </w:rPr>
        <w:t>4</w:t>
      </w:r>
      <w:r>
        <w:rPr>
          <w:rFonts w:hint="eastAsia"/>
          <w:color w:val="auto"/>
          <w:spacing w:val="-2"/>
          <w:lang w:eastAsia="zh-CN"/>
        </w:rPr>
        <w:t>月和</w:t>
      </w:r>
      <w:r>
        <w:rPr>
          <w:rFonts w:hint="eastAsia"/>
          <w:color w:val="auto"/>
          <w:spacing w:val="-2"/>
          <w:lang w:eastAsia="zh-CN"/>
        </w:rPr>
        <w:t>12</w:t>
      </w:r>
      <w:r>
        <w:rPr>
          <w:rFonts w:hint="eastAsia"/>
          <w:color w:val="auto"/>
          <w:spacing w:val="-2"/>
          <w:lang w:eastAsia="zh-CN"/>
        </w:rPr>
        <w:t>月没有热带气旋登陆三亚（表</w:t>
      </w:r>
      <w:r>
        <w:rPr>
          <w:rFonts w:hint="eastAsia"/>
          <w:color w:val="auto"/>
          <w:spacing w:val="-2"/>
          <w:lang w:eastAsia="zh-CN"/>
        </w:rPr>
        <w:t>3.2.</w:t>
      </w:r>
      <w:r>
        <w:rPr>
          <w:rFonts w:hint="eastAsia"/>
          <w:color w:val="auto"/>
          <w:spacing w:val="-2"/>
          <w:lang w:eastAsia="zh-CN"/>
        </w:rPr>
        <w:t>8-3</w:t>
      </w:r>
      <w:r>
        <w:rPr>
          <w:rFonts w:hint="eastAsia"/>
          <w:color w:val="auto"/>
          <w:spacing w:val="-2"/>
          <w:lang w:eastAsia="zh-CN"/>
        </w:rPr>
        <w:t>）。</w:t>
      </w:r>
    </w:p>
    <w:p w14:paraId="11E0E4E8" w14:textId="77777777" w:rsidR="0075791A" w:rsidRDefault="00FB2864">
      <w:pPr>
        <w:pStyle w:val="TableText"/>
        <w:jc w:val="center"/>
        <w:rPr>
          <w:rFonts w:ascii="Times New Roman" w:hAnsi="Times New Roman"/>
          <w:color w:val="auto"/>
          <w:spacing w:val="-2"/>
          <w:lang w:eastAsia="zh-CN"/>
        </w:rPr>
      </w:pPr>
      <w:r>
        <w:rPr>
          <w:rFonts w:ascii="Times New Roman" w:hAnsi="Times New Roman" w:hint="eastAsia"/>
          <w:color w:val="auto"/>
          <w:spacing w:val="-2"/>
          <w:lang w:eastAsia="zh-CN"/>
        </w:rPr>
        <w:t>表</w:t>
      </w:r>
      <w:r>
        <w:rPr>
          <w:rFonts w:ascii="Times New Roman" w:hAnsi="Times New Roman" w:hint="eastAsia"/>
          <w:color w:val="auto"/>
          <w:spacing w:val="-2"/>
          <w:lang w:eastAsia="zh-CN"/>
        </w:rPr>
        <w:t>3.2.8-3</w:t>
      </w:r>
      <w:r>
        <w:rPr>
          <w:rFonts w:ascii="Times New Roman" w:hAnsi="Times New Roman" w:hint="eastAsia"/>
          <w:color w:val="auto"/>
          <w:spacing w:val="-2"/>
          <w:lang w:eastAsia="zh-CN"/>
        </w:rPr>
        <w:t>登陆三亚的热带气旋按月统计频数表</w:t>
      </w:r>
    </w:p>
    <w:tbl>
      <w:tblPr>
        <w:tblStyle w:val="TableNormal"/>
        <w:tblW w:w="8583" w:type="dxa"/>
        <w:tblInd w:w="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91"/>
        <w:gridCol w:w="923"/>
        <w:gridCol w:w="922"/>
        <w:gridCol w:w="923"/>
        <w:gridCol w:w="923"/>
        <w:gridCol w:w="922"/>
        <w:gridCol w:w="923"/>
        <w:gridCol w:w="922"/>
        <w:gridCol w:w="934"/>
      </w:tblGrid>
      <w:tr w:rsidR="0075791A" w14:paraId="6A968EA4" w14:textId="77777777">
        <w:trPr>
          <w:trHeight w:val="318"/>
        </w:trPr>
        <w:tc>
          <w:tcPr>
            <w:tcW w:w="1191" w:type="dxa"/>
            <w:tcBorders>
              <w:top w:val="single" w:sz="6" w:space="0" w:color="000000"/>
              <w:left w:val="single" w:sz="6" w:space="0" w:color="000000"/>
            </w:tcBorders>
          </w:tcPr>
          <w:p w14:paraId="7BBA6095" w14:textId="77777777" w:rsidR="0075791A" w:rsidRDefault="00FB2864">
            <w:pPr>
              <w:pStyle w:val="TableText"/>
              <w:spacing w:before="57" w:line="220" w:lineRule="auto"/>
              <w:ind w:left="391"/>
              <w:rPr>
                <w:rFonts w:ascii="Times New Roman" w:hAnsi="Times New Roman"/>
                <w:color w:val="auto"/>
                <w:sz w:val="21"/>
                <w:szCs w:val="21"/>
              </w:rPr>
            </w:pPr>
            <w:r>
              <w:rPr>
                <w:rFonts w:ascii="Times New Roman" w:hAnsi="Times New Roman"/>
                <w:color w:val="auto"/>
                <w:spacing w:val="-3"/>
                <w:sz w:val="21"/>
                <w:szCs w:val="21"/>
              </w:rPr>
              <w:t>月份</w:t>
            </w:r>
          </w:p>
        </w:tc>
        <w:tc>
          <w:tcPr>
            <w:tcW w:w="923" w:type="dxa"/>
            <w:tcBorders>
              <w:top w:val="single" w:sz="6" w:space="0" w:color="000000"/>
            </w:tcBorders>
          </w:tcPr>
          <w:p w14:paraId="38183F32" w14:textId="77777777" w:rsidR="0075791A" w:rsidRDefault="00FB2864">
            <w:pPr>
              <w:pStyle w:val="TableText"/>
              <w:spacing w:before="57" w:line="220" w:lineRule="auto"/>
              <w:ind w:left="280"/>
              <w:rPr>
                <w:rFonts w:ascii="Times New Roman" w:hAnsi="Times New Roman"/>
                <w:color w:val="auto"/>
                <w:sz w:val="21"/>
                <w:szCs w:val="21"/>
              </w:rPr>
            </w:pPr>
            <w:r>
              <w:rPr>
                <w:rFonts w:ascii="Times New Roman" w:hAnsi="Times New Roman"/>
                <w:color w:val="auto"/>
                <w:spacing w:val="-6"/>
                <w:sz w:val="21"/>
                <w:szCs w:val="21"/>
              </w:rPr>
              <w:t>5</w:t>
            </w:r>
            <w:r>
              <w:rPr>
                <w:rFonts w:ascii="Times New Roman" w:hAnsi="Times New Roman"/>
                <w:color w:val="auto"/>
                <w:spacing w:val="-6"/>
                <w:sz w:val="21"/>
                <w:szCs w:val="21"/>
              </w:rPr>
              <w:t>月</w:t>
            </w:r>
          </w:p>
        </w:tc>
        <w:tc>
          <w:tcPr>
            <w:tcW w:w="922" w:type="dxa"/>
            <w:tcBorders>
              <w:top w:val="single" w:sz="6" w:space="0" w:color="000000"/>
            </w:tcBorders>
          </w:tcPr>
          <w:p w14:paraId="153D3FCD" w14:textId="77777777" w:rsidR="0075791A" w:rsidRDefault="00FB2864">
            <w:pPr>
              <w:pStyle w:val="TableText"/>
              <w:spacing w:before="57" w:line="220" w:lineRule="auto"/>
              <w:ind w:left="279"/>
              <w:rPr>
                <w:rFonts w:ascii="Times New Roman" w:hAnsi="Times New Roman"/>
                <w:color w:val="auto"/>
                <w:sz w:val="21"/>
                <w:szCs w:val="21"/>
              </w:rPr>
            </w:pPr>
            <w:r>
              <w:rPr>
                <w:rFonts w:ascii="Times New Roman" w:hAnsi="Times New Roman"/>
                <w:color w:val="auto"/>
                <w:spacing w:val="-5"/>
                <w:sz w:val="21"/>
                <w:szCs w:val="21"/>
              </w:rPr>
              <w:t>6</w:t>
            </w:r>
            <w:r>
              <w:rPr>
                <w:rFonts w:ascii="Times New Roman" w:hAnsi="Times New Roman"/>
                <w:color w:val="auto"/>
                <w:spacing w:val="-5"/>
                <w:sz w:val="21"/>
                <w:szCs w:val="21"/>
              </w:rPr>
              <w:t>月</w:t>
            </w:r>
          </w:p>
        </w:tc>
        <w:tc>
          <w:tcPr>
            <w:tcW w:w="923" w:type="dxa"/>
            <w:tcBorders>
              <w:top w:val="single" w:sz="6" w:space="0" w:color="000000"/>
            </w:tcBorders>
          </w:tcPr>
          <w:p w14:paraId="69C55EC2" w14:textId="77777777" w:rsidR="0075791A" w:rsidRDefault="00FB2864">
            <w:pPr>
              <w:pStyle w:val="TableText"/>
              <w:spacing w:before="57" w:line="220" w:lineRule="auto"/>
              <w:ind w:left="284"/>
              <w:rPr>
                <w:rFonts w:ascii="Times New Roman" w:hAnsi="Times New Roman"/>
                <w:color w:val="auto"/>
                <w:sz w:val="21"/>
                <w:szCs w:val="21"/>
              </w:rPr>
            </w:pPr>
            <w:r>
              <w:rPr>
                <w:rFonts w:ascii="Times New Roman" w:hAnsi="Times New Roman"/>
                <w:color w:val="auto"/>
                <w:spacing w:val="-7"/>
                <w:sz w:val="21"/>
                <w:szCs w:val="21"/>
              </w:rPr>
              <w:t>7</w:t>
            </w:r>
            <w:r>
              <w:rPr>
                <w:rFonts w:ascii="Times New Roman" w:hAnsi="Times New Roman"/>
                <w:color w:val="auto"/>
                <w:spacing w:val="-7"/>
                <w:sz w:val="21"/>
                <w:szCs w:val="21"/>
              </w:rPr>
              <w:t>月</w:t>
            </w:r>
          </w:p>
        </w:tc>
        <w:tc>
          <w:tcPr>
            <w:tcW w:w="923" w:type="dxa"/>
            <w:tcBorders>
              <w:top w:val="single" w:sz="6" w:space="0" w:color="000000"/>
            </w:tcBorders>
          </w:tcPr>
          <w:p w14:paraId="53D116A9" w14:textId="77777777" w:rsidR="0075791A" w:rsidRDefault="00FB2864">
            <w:pPr>
              <w:pStyle w:val="TableText"/>
              <w:spacing w:before="57" w:line="220" w:lineRule="auto"/>
              <w:ind w:left="281"/>
              <w:rPr>
                <w:rFonts w:ascii="Times New Roman" w:hAnsi="Times New Roman"/>
                <w:color w:val="auto"/>
                <w:sz w:val="21"/>
                <w:szCs w:val="21"/>
              </w:rPr>
            </w:pPr>
            <w:r>
              <w:rPr>
                <w:rFonts w:ascii="Times New Roman" w:hAnsi="Times New Roman"/>
                <w:color w:val="auto"/>
                <w:spacing w:val="-5"/>
                <w:sz w:val="21"/>
                <w:szCs w:val="21"/>
              </w:rPr>
              <w:t>8</w:t>
            </w:r>
            <w:r>
              <w:rPr>
                <w:rFonts w:ascii="Times New Roman" w:hAnsi="Times New Roman"/>
                <w:color w:val="auto"/>
                <w:spacing w:val="-5"/>
                <w:sz w:val="21"/>
                <w:szCs w:val="21"/>
              </w:rPr>
              <w:t>月</w:t>
            </w:r>
          </w:p>
        </w:tc>
        <w:tc>
          <w:tcPr>
            <w:tcW w:w="922" w:type="dxa"/>
            <w:tcBorders>
              <w:top w:val="single" w:sz="6" w:space="0" w:color="000000"/>
            </w:tcBorders>
          </w:tcPr>
          <w:p w14:paraId="175F3799" w14:textId="77777777" w:rsidR="0075791A" w:rsidRDefault="00FB2864">
            <w:pPr>
              <w:pStyle w:val="TableText"/>
              <w:spacing w:before="57" w:line="220" w:lineRule="auto"/>
              <w:ind w:left="282"/>
              <w:rPr>
                <w:rFonts w:ascii="Times New Roman" w:hAnsi="Times New Roman"/>
                <w:color w:val="auto"/>
                <w:sz w:val="21"/>
                <w:szCs w:val="21"/>
              </w:rPr>
            </w:pPr>
            <w:r>
              <w:rPr>
                <w:rFonts w:ascii="Times New Roman" w:hAnsi="Times New Roman"/>
                <w:color w:val="auto"/>
                <w:spacing w:val="-5"/>
                <w:sz w:val="21"/>
                <w:szCs w:val="21"/>
              </w:rPr>
              <w:t>9</w:t>
            </w:r>
            <w:r>
              <w:rPr>
                <w:rFonts w:ascii="Times New Roman" w:hAnsi="Times New Roman"/>
                <w:color w:val="auto"/>
                <w:spacing w:val="-5"/>
                <w:sz w:val="21"/>
                <w:szCs w:val="21"/>
              </w:rPr>
              <w:t>月</w:t>
            </w:r>
          </w:p>
        </w:tc>
        <w:tc>
          <w:tcPr>
            <w:tcW w:w="923" w:type="dxa"/>
            <w:tcBorders>
              <w:top w:val="single" w:sz="6" w:space="0" w:color="000000"/>
            </w:tcBorders>
          </w:tcPr>
          <w:p w14:paraId="3AE4B921" w14:textId="77777777" w:rsidR="0075791A" w:rsidRDefault="00FB2864">
            <w:pPr>
              <w:pStyle w:val="TableText"/>
              <w:spacing w:before="57" w:line="220" w:lineRule="auto"/>
              <w:ind w:left="246"/>
              <w:rPr>
                <w:rFonts w:ascii="Times New Roman" w:hAnsi="Times New Roman"/>
                <w:color w:val="auto"/>
                <w:sz w:val="21"/>
                <w:szCs w:val="21"/>
              </w:rPr>
            </w:pPr>
            <w:r>
              <w:rPr>
                <w:rFonts w:ascii="Times New Roman" w:hAnsi="Times New Roman"/>
                <w:color w:val="auto"/>
                <w:spacing w:val="-8"/>
                <w:sz w:val="21"/>
                <w:szCs w:val="21"/>
              </w:rPr>
              <w:t>10</w:t>
            </w:r>
            <w:r>
              <w:rPr>
                <w:rFonts w:ascii="Times New Roman" w:hAnsi="Times New Roman"/>
                <w:color w:val="auto"/>
                <w:spacing w:val="-8"/>
                <w:sz w:val="21"/>
                <w:szCs w:val="21"/>
              </w:rPr>
              <w:t>月</w:t>
            </w:r>
          </w:p>
        </w:tc>
        <w:tc>
          <w:tcPr>
            <w:tcW w:w="922" w:type="dxa"/>
            <w:tcBorders>
              <w:top w:val="single" w:sz="6" w:space="0" w:color="000000"/>
            </w:tcBorders>
          </w:tcPr>
          <w:p w14:paraId="739F0AF1" w14:textId="77777777" w:rsidR="0075791A" w:rsidRDefault="00FB2864">
            <w:pPr>
              <w:pStyle w:val="TableText"/>
              <w:spacing w:before="57" w:line="220" w:lineRule="auto"/>
              <w:ind w:left="248"/>
              <w:rPr>
                <w:rFonts w:ascii="Times New Roman" w:hAnsi="Times New Roman"/>
                <w:color w:val="auto"/>
                <w:sz w:val="21"/>
                <w:szCs w:val="21"/>
              </w:rPr>
            </w:pPr>
            <w:r>
              <w:rPr>
                <w:rFonts w:ascii="Times New Roman" w:hAnsi="Times New Roman"/>
                <w:color w:val="auto"/>
                <w:spacing w:val="-8"/>
                <w:sz w:val="21"/>
                <w:szCs w:val="21"/>
              </w:rPr>
              <w:t>11</w:t>
            </w:r>
            <w:r>
              <w:rPr>
                <w:rFonts w:ascii="Times New Roman" w:hAnsi="Times New Roman"/>
                <w:color w:val="auto"/>
                <w:spacing w:val="-8"/>
                <w:sz w:val="21"/>
                <w:szCs w:val="21"/>
              </w:rPr>
              <w:t>月</w:t>
            </w:r>
          </w:p>
        </w:tc>
        <w:tc>
          <w:tcPr>
            <w:tcW w:w="934" w:type="dxa"/>
            <w:tcBorders>
              <w:top w:val="single" w:sz="6" w:space="0" w:color="000000"/>
              <w:right w:val="single" w:sz="6" w:space="0" w:color="000000"/>
            </w:tcBorders>
          </w:tcPr>
          <w:p w14:paraId="3773A53B" w14:textId="77777777" w:rsidR="0075791A" w:rsidRDefault="00FB2864">
            <w:pPr>
              <w:pStyle w:val="TableText"/>
              <w:spacing w:before="57" w:line="220" w:lineRule="auto"/>
              <w:ind w:left="261"/>
              <w:rPr>
                <w:rFonts w:ascii="Times New Roman" w:hAnsi="Times New Roman"/>
                <w:color w:val="auto"/>
                <w:sz w:val="21"/>
                <w:szCs w:val="21"/>
              </w:rPr>
            </w:pPr>
            <w:r>
              <w:rPr>
                <w:rFonts w:ascii="Times New Roman" w:hAnsi="Times New Roman"/>
                <w:color w:val="auto"/>
                <w:spacing w:val="-2"/>
                <w:sz w:val="21"/>
                <w:szCs w:val="21"/>
              </w:rPr>
              <w:t>合计</w:t>
            </w:r>
          </w:p>
        </w:tc>
      </w:tr>
      <w:tr w:rsidR="0075791A" w14:paraId="557733F0" w14:textId="77777777">
        <w:trPr>
          <w:trHeight w:val="314"/>
        </w:trPr>
        <w:tc>
          <w:tcPr>
            <w:tcW w:w="1191" w:type="dxa"/>
            <w:tcBorders>
              <w:left w:val="single" w:sz="6" w:space="0" w:color="000000"/>
            </w:tcBorders>
          </w:tcPr>
          <w:p w14:paraId="2CEB0AFD" w14:textId="77777777" w:rsidR="0075791A" w:rsidRDefault="00FB2864">
            <w:pPr>
              <w:pStyle w:val="TableText"/>
              <w:spacing w:before="56" w:line="218" w:lineRule="auto"/>
              <w:ind w:left="228"/>
              <w:rPr>
                <w:rFonts w:ascii="Times New Roman" w:hAnsi="Times New Roman"/>
                <w:color w:val="auto"/>
                <w:sz w:val="21"/>
                <w:szCs w:val="21"/>
              </w:rPr>
            </w:pPr>
            <w:r>
              <w:rPr>
                <w:rFonts w:ascii="Times New Roman" w:hAnsi="Times New Roman"/>
                <w:color w:val="auto"/>
                <w:spacing w:val="-2"/>
                <w:sz w:val="21"/>
                <w:szCs w:val="21"/>
              </w:rPr>
              <w:t>个数</w:t>
            </w:r>
            <w:r>
              <w:rPr>
                <w:rFonts w:ascii="Times New Roman" w:hAnsi="Times New Roman"/>
                <w:color w:val="auto"/>
                <w:spacing w:val="-2"/>
                <w:sz w:val="21"/>
                <w:szCs w:val="21"/>
              </w:rPr>
              <w:t>/</w:t>
            </w:r>
            <w:r>
              <w:rPr>
                <w:rFonts w:ascii="Times New Roman" w:hAnsi="Times New Roman"/>
                <w:color w:val="auto"/>
                <w:spacing w:val="-2"/>
                <w:sz w:val="21"/>
                <w:szCs w:val="21"/>
              </w:rPr>
              <w:t>个</w:t>
            </w:r>
          </w:p>
        </w:tc>
        <w:tc>
          <w:tcPr>
            <w:tcW w:w="923" w:type="dxa"/>
          </w:tcPr>
          <w:p w14:paraId="5011447B" w14:textId="77777777" w:rsidR="0075791A" w:rsidRDefault="00FB2864">
            <w:pPr>
              <w:pStyle w:val="TableText"/>
              <w:spacing w:before="91" w:line="182" w:lineRule="auto"/>
              <w:ind w:left="404"/>
              <w:rPr>
                <w:rFonts w:ascii="Times New Roman" w:hAnsi="Times New Roman"/>
                <w:color w:val="auto"/>
                <w:sz w:val="21"/>
                <w:szCs w:val="21"/>
              </w:rPr>
            </w:pPr>
            <w:r>
              <w:rPr>
                <w:rFonts w:ascii="Times New Roman" w:hAnsi="Times New Roman"/>
                <w:color w:val="auto"/>
                <w:sz w:val="21"/>
                <w:szCs w:val="21"/>
              </w:rPr>
              <w:t>4</w:t>
            </w:r>
          </w:p>
        </w:tc>
        <w:tc>
          <w:tcPr>
            <w:tcW w:w="922" w:type="dxa"/>
          </w:tcPr>
          <w:p w14:paraId="417D01D8" w14:textId="77777777" w:rsidR="0075791A" w:rsidRDefault="00FB2864">
            <w:pPr>
              <w:pStyle w:val="TableText"/>
              <w:spacing w:before="91" w:line="182" w:lineRule="auto"/>
              <w:ind w:left="411"/>
              <w:rPr>
                <w:rFonts w:ascii="Times New Roman" w:hAnsi="Times New Roman"/>
                <w:color w:val="auto"/>
                <w:sz w:val="21"/>
                <w:szCs w:val="21"/>
              </w:rPr>
            </w:pPr>
            <w:r>
              <w:rPr>
                <w:rFonts w:ascii="Times New Roman" w:hAnsi="Times New Roman"/>
                <w:color w:val="auto"/>
                <w:sz w:val="21"/>
                <w:szCs w:val="21"/>
              </w:rPr>
              <w:t>3</w:t>
            </w:r>
          </w:p>
        </w:tc>
        <w:tc>
          <w:tcPr>
            <w:tcW w:w="923" w:type="dxa"/>
          </w:tcPr>
          <w:p w14:paraId="73BC892B" w14:textId="77777777" w:rsidR="0075791A" w:rsidRDefault="00FB2864">
            <w:pPr>
              <w:pStyle w:val="TableText"/>
              <w:spacing w:before="91" w:line="182" w:lineRule="auto"/>
              <w:ind w:left="410"/>
              <w:rPr>
                <w:rFonts w:ascii="Times New Roman" w:hAnsi="Times New Roman"/>
                <w:color w:val="auto"/>
                <w:sz w:val="21"/>
                <w:szCs w:val="21"/>
              </w:rPr>
            </w:pPr>
            <w:r>
              <w:rPr>
                <w:rFonts w:ascii="Times New Roman" w:hAnsi="Times New Roman"/>
                <w:color w:val="auto"/>
                <w:sz w:val="21"/>
                <w:szCs w:val="21"/>
              </w:rPr>
              <w:t>6</w:t>
            </w:r>
          </w:p>
        </w:tc>
        <w:tc>
          <w:tcPr>
            <w:tcW w:w="923" w:type="dxa"/>
          </w:tcPr>
          <w:p w14:paraId="22E71E53" w14:textId="77777777" w:rsidR="0075791A" w:rsidRDefault="00FB2864">
            <w:pPr>
              <w:pStyle w:val="TableText"/>
              <w:spacing w:before="91" w:line="182" w:lineRule="auto"/>
              <w:ind w:left="414"/>
              <w:rPr>
                <w:rFonts w:ascii="Times New Roman" w:hAnsi="Times New Roman"/>
                <w:color w:val="auto"/>
                <w:sz w:val="21"/>
                <w:szCs w:val="21"/>
              </w:rPr>
            </w:pPr>
            <w:r>
              <w:rPr>
                <w:rFonts w:ascii="Times New Roman" w:hAnsi="Times New Roman"/>
                <w:color w:val="auto"/>
                <w:sz w:val="21"/>
                <w:szCs w:val="21"/>
              </w:rPr>
              <w:t>3</w:t>
            </w:r>
          </w:p>
        </w:tc>
        <w:tc>
          <w:tcPr>
            <w:tcW w:w="922" w:type="dxa"/>
          </w:tcPr>
          <w:p w14:paraId="1783189E" w14:textId="77777777" w:rsidR="0075791A" w:rsidRDefault="00FB2864">
            <w:pPr>
              <w:pStyle w:val="TableText"/>
              <w:spacing w:before="91" w:line="182" w:lineRule="auto"/>
              <w:ind w:left="413"/>
              <w:rPr>
                <w:rFonts w:ascii="Times New Roman" w:hAnsi="Times New Roman"/>
                <w:color w:val="auto"/>
                <w:sz w:val="21"/>
                <w:szCs w:val="21"/>
              </w:rPr>
            </w:pPr>
            <w:r>
              <w:rPr>
                <w:rFonts w:ascii="Times New Roman" w:hAnsi="Times New Roman"/>
                <w:color w:val="auto"/>
                <w:sz w:val="21"/>
                <w:szCs w:val="21"/>
              </w:rPr>
              <w:t>2</w:t>
            </w:r>
          </w:p>
        </w:tc>
        <w:tc>
          <w:tcPr>
            <w:tcW w:w="923" w:type="dxa"/>
          </w:tcPr>
          <w:p w14:paraId="1B541D4C" w14:textId="77777777" w:rsidR="0075791A" w:rsidRDefault="00FB2864">
            <w:pPr>
              <w:pStyle w:val="TableText"/>
              <w:spacing w:before="92" w:line="181" w:lineRule="auto"/>
              <w:ind w:left="417"/>
              <w:rPr>
                <w:rFonts w:ascii="Times New Roman" w:hAnsi="Times New Roman"/>
                <w:color w:val="auto"/>
                <w:sz w:val="21"/>
                <w:szCs w:val="21"/>
              </w:rPr>
            </w:pPr>
            <w:r>
              <w:rPr>
                <w:rFonts w:ascii="Times New Roman" w:hAnsi="Times New Roman"/>
                <w:color w:val="auto"/>
                <w:sz w:val="21"/>
                <w:szCs w:val="21"/>
              </w:rPr>
              <w:t>5</w:t>
            </w:r>
          </w:p>
        </w:tc>
        <w:tc>
          <w:tcPr>
            <w:tcW w:w="922" w:type="dxa"/>
          </w:tcPr>
          <w:p w14:paraId="04F4B36C" w14:textId="77777777" w:rsidR="0075791A" w:rsidRDefault="00FB2864">
            <w:pPr>
              <w:pStyle w:val="TableText"/>
              <w:spacing w:before="91" w:line="182" w:lineRule="auto"/>
              <w:ind w:left="417"/>
              <w:rPr>
                <w:rFonts w:ascii="Times New Roman" w:hAnsi="Times New Roman"/>
                <w:color w:val="auto"/>
                <w:sz w:val="21"/>
                <w:szCs w:val="21"/>
              </w:rPr>
            </w:pPr>
            <w:r>
              <w:rPr>
                <w:rFonts w:ascii="Times New Roman" w:hAnsi="Times New Roman"/>
                <w:color w:val="auto"/>
                <w:sz w:val="21"/>
                <w:szCs w:val="21"/>
              </w:rPr>
              <w:t>2</w:t>
            </w:r>
          </w:p>
        </w:tc>
        <w:tc>
          <w:tcPr>
            <w:tcW w:w="934" w:type="dxa"/>
            <w:tcBorders>
              <w:right w:val="single" w:sz="6" w:space="0" w:color="000000"/>
            </w:tcBorders>
          </w:tcPr>
          <w:p w14:paraId="3A93DC4C" w14:textId="77777777" w:rsidR="0075791A" w:rsidRDefault="00FB2864">
            <w:pPr>
              <w:pStyle w:val="TableText"/>
              <w:spacing w:before="91" w:line="182" w:lineRule="auto"/>
              <w:ind w:left="366"/>
              <w:rPr>
                <w:rFonts w:ascii="Times New Roman" w:hAnsi="Times New Roman"/>
                <w:color w:val="auto"/>
                <w:sz w:val="21"/>
                <w:szCs w:val="21"/>
              </w:rPr>
            </w:pPr>
            <w:r>
              <w:rPr>
                <w:rFonts w:ascii="Times New Roman" w:hAnsi="Times New Roman"/>
                <w:color w:val="auto"/>
                <w:spacing w:val="-3"/>
                <w:sz w:val="21"/>
                <w:szCs w:val="21"/>
              </w:rPr>
              <w:t>25</w:t>
            </w:r>
          </w:p>
        </w:tc>
      </w:tr>
      <w:tr w:rsidR="0075791A" w14:paraId="1737042E" w14:textId="77777777">
        <w:trPr>
          <w:trHeight w:val="324"/>
        </w:trPr>
        <w:tc>
          <w:tcPr>
            <w:tcW w:w="1191" w:type="dxa"/>
            <w:tcBorders>
              <w:left w:val="single" w:sz="6" w:space="0" w:color="000000"/>
              <w:bottom w:val="single" w:sz="6" w:space="0" w:color="000000"/>
            </w:tcBorders>
          </w:tcPr>
          <w:p w14:paraId="59106058" w14:textId="77777777" w:rsidR="0075791A" w:rsidRDefault="00FB2864">
            <w:pPr>
              <w:pStyle w:val="TableText"/>
              <w:spacing w:before="59" w:line="222" w:lineRule="auto"/>
              <w:ind w:left="357"/>
              <w:rPr>
                <w:rFonts w:ascii="Times New Roman" w:hAnsi="Times New Roman"/>
                <w:color w:val="auto"/>
                <w:sz w:val="21"/>
                <w:szCs w:val="21"/>
              </w:rPr>
            </w:pPr>
            <w:r>
              <w:rPr>
                <w:rFonts w:ascii="Times New Roman" w:hAnsi="Times New Roman"/>
                <w:color w:val="auto"/>
                <w:spacing w:val="-10"/>
                <w:sz w:val="21"/>
                <w:szCs w:val="21"/>
              </w:rPr>
              <w:t>比例</w:t>
            </w:r>
            <w:r>
              <w:rPr>
                <w:rFonts w:ascii="Times New Roman" w:hAnsi="Times New Roman"/>
                <w:color w:val="auto"/>
                <w:spacing w:val="-10"/>
                <w:sz w:val="21"/>
                <w:szCs w:val="21"/>
              </w:rPr>
              <w:t>%</w:t>
            </w:r>
          </w:p>
        </w:tc>
        <w:tc>
          <w:tcPr>
            <w:tcW w:w="923" w:type="dxa"/>
            <w:tcBorders>
              <w:bottom w:val="single" w:sz="6" w:space="0" w:color="000000"/>
            </w:tcBorders>
          </w:tcPr>
          <w:p w14:paraId="644CE7DC" w14:textId="77777777" w:rsidR="0075791A" w:rsidRDefault="00FB2864">
            <w:pPr>
              <w:pStyle w:val="TableText"/>
              <w:spacing w:before="93" w:line="183" w:lineRule="auto"/>
              <w:ind w:left="368"/>
              <w:rPr>
                <w:rFonts w:ascii="Times New Roman" w:hAnsi="Times New Roman"/>
                <w:color w:val="auto"/>
                <w:sz w:val="21"/>
                <w:szCs w:val="21"/>
              </w:rPr>
            </w:pPr>
            <w:r>
              <w:rPr>
                <w:rFonts w:ascii="Times New Roman" w:hAnsi="Times New Roman"/>
                <w:color w:val="auto"/>
                <w:spacing w:val="-6"/>
                <w:sz w:val="21"/>
                <w:szCs w:val="21"/>
              </w:rPr>
              <w:t>16</w:t>
            </w:r>
          </w:p>
        </w:tc>
        <w:tc>
          <w:tcPr>
            <w:tcW w:w="922" w:type="dxa"/>
            <w:tcBorders>
              <w:bottom w:val="single" w:sz="6" w:space="0" w:color="000000"/>
            </w:tcBorders>
          </w:tcPr>
          <w:p w14:paraId="7567BF3B" w14:textId="77777777" w:rsidR="0075791A" w:rsidRDefault="00FB2864">
            <w:pPr>
              <w:pStyle w:val="TableText"/>
              <w:spacing w:before="93" w:line="183" w:lineRule="auto"/>
              <w:ind w:left="369"/>
              <w:rPr>
                <w:rFonts w:ascii="Times New Roman" w:hAnsi="Times New Roman"/>
                <w:color w:val="auto"/>
                <w:sz w:val="21"/>
                <w:szCs w:val="21"/>
              </w:rPr>
            </w:pPr>
            <w:r>
              <w:rPr>
                <w:rFonts w:ascii="Times New Roman" w:hAnsi="Times New Roman"/>
                <w:color w:val="auto"/>
                <w:spacing w:val="-6"/>
                <w:sz w:val="21"/>
                <w:szCs w:val="21"/>
              </w:rPr>
              <w:t>12</w:t>
            </w:r>
          </w:p>
        </w:tc>
        <w:tc>
          <w:tcPr>
            <w:tcW w:w="923" w:type="dxa"/>
            <w:tcBorders>
              <w:bottom w:val="single" w:sz="6" w:space="0" w:color="000000"/>
            </w:tcBorders>
          </w:tcPr>
          <w:p w14:paraId="2820323F" w14:textId="77777777" w:rsidR="0075791A" w:rsidRDefault="00FB2864">
            <w:pPr>
              <w:pStyle w:val="TableText"/>
              <w:spacing w:before="94" w:line="182" w:lineRule="auto"/>
              <w:ind w:left="358"/>
              <w:rPr>
                <w:rFonts w:ascii="Times New Roman" w:hAnsi="Times New Roman"/>
                <w:color w:val="auto"/>
                <w:sz w:val="21"/>
                <w:szCs w:val="21"/>
              </w:rPr>
            </w:pPr>
            <w:r>
              <w:rPr>
                <w:rFonts w:ascii="Times New Roman" w:hAnsi="Times New Roman"/>
                <w:color w:val="auto"/>
                <w:spacing w:val="-3"/>
                <w:sz w:val="21"/>
                <w:szCs w:val="21"/>
              </w:rPr>
              <w:t>24</w:t>
            </w:r>
          </w:p>
        </w:tc>
        <w:tc>
          <w:tcPr>
            <w:tcW w:w="923" w:type="dxa"/>
            <w:tcBorders>
              <w:bottom w:val="single" w:sz="6" w:space="0" w:color="000000"/>
            </w:tcBorders>
          </w:tcPr>
          <w:p w14:paraId="76345F71" w14:textId="77777777" w:rsidR="0075791A" w:rsidRDefault="00FB2864">
            <w:pPr>
              <w:pStyle w:val="TableText"/>
              <w:spacing w:before="93" w:line="183" w:lineRule="auto"/>
              <w:ind w:left="373"/>
              <w:rPr>
                <w:rFonts w:ascii="Times New Roman" w:hAnsi="Times New Roman"/>
                <w:color w:val="auto"/>
                <w:sz w:val="21"/>
                <w:szCs w:val="21"/>
              </w:rPr>
            </w:pPr>
            <w:r>
              <w:rPr>
                <w:rFonts w:ascii="Times New Roman" w:hAnsi="Times New Roman"/>
                <w:color w:val="auto"/>
                <w:spacing w:val="-6"/>
                <w:sz w:val="21"/>
                <w:szCs w:val="21"/>
              </w:rPr>
              <w:t>12</w:t>
            </w:r>
          </w:p>
        </w:tc>
        <w:tc>
          <w:tcPr>
            <w:tcW w:w="922" w:type="dxa"/>
            <w:tcBorders>
              <w:bottom w:val="single" w:sz="6" w:space="0" w:color="000000"/>
            </w:tcBorders>
          </w:tcPr>
          <w:p w14:paraId="523E79F8" w14:textId="77777777" w:rsidR="0075791A" w:rsidRDefault="00FB2864">
            <w:pPr>
              <w:pStyle w:val="TableText"/>
              <w:spacing w:before="94" w:line="182" w:lineRule="auto"/>
              <w:ind w:left="412"/>
              <w:rPr>
                <w:rFonts w:ascii="Times New Roman" w:hAnsi="Times New Roman"/>
                <w:color w:val="auto"/>
                <w:sz w:val="21"/>
                <w:szCs w:val="21"/>
              </w:rPr>
            </w:pPr>
            <w:r>
              <w:rPr>
                <w:rFonts w:ascii="Times New Roman" w:hAnsi="Times New Roman"/>
                <w:color w:val="auto"/>
                <w:sz w:val="21"/>
                <w:szCs w:val="21"/>
              </w:rPr>
              <w:t>8</w:t>
            </w:r>
          </w:p>
        </w:tc>
        <w:tc>
          <w:tcPr>
            <w:tcW w:w="923" w:type="dxa"/>
            <w:tcBorders>
              <w:bottom w:val="single" w:sz="6" w:space="0" w:color="000000"/>
            </w:tcBorders>
          </w:tcPr>
          <w:p w14:paraId="41DA0C1D" w14:textId="77777777" w:rsidR="0075791A" w:rsidRDefault="00FB2864">
            <w:pPr>
              <w:pStyle w:val="TableText"/>
              <w:spacing w:before="94" w:line="182" w:lineRule="auto"/>
              <w:ind w:left="415"/>
              <w:rPr>
                <w:rFonts w:ascii="Times New Roman" w:hAnsi="Times New Roman"/>
                <w:color w:val="auto"/>
                <w:sz w:val="21"/>
                <w:szCs w:val="21"/>
              </w:rPr>
            </w:pPr>
            <w:r>
              <w:rPr>
                <w:rFonts w:ascii="Times New Roman" w:hAnsi="Times New Roman"/>
                <w:color w:val="auto"/>
                <w:sz w:val="21"/>
                <w:szCs w:val="21"/>
              </w:rPr>
              <w:t>2</w:t>
            </w:r>
          </w:p>
        </w:tc>
        <w:tc>
          <w:tcPr>
            <w:tcW w:w="922" w:type="dxa"/>
            <w:tcBorders>
              <w:bottom w:val="single" w:sz="6" w:space="0" w:color="000000"/>
            </w:tcBorders>
          </w:tcPr>
          <w:p w14:paraId="650F9963" w14:textId="77777777" w:rsidR="0075791A" w:rsidRDefault="00FB2864">
            <w:pPr>
              <w:pStyle w:val="TableText"/>
              <w:spacing w:before="94" w:line="182" w:lineRule="auto"/>
              <w:ind w:left="415"/>
              <w:rPr>
                <w:rFonts w:ascii="Times New Roman" w:hAnsi="Times New Roman"/>
                <w:color w:val="auto"/>
                <w:sz w:val="21"/>
                <w:szCs w:val="21"/>
              </w:rPr>
            </w:pPr>
            <w:r>
              <w:rPr>
                <w:rFonts w:ascii="Times New Roman" w:hAnsi="Times New Roman"/>
                <w:color w:val="auto"/>
                <w:sz w:val="21"/>
                <w:szCs w:val="21"/>
              </w:rPr>
              <w:t>8</w:t>
            </w:r>
          </w:p>
        </w:tc>
        <w:tc>
          <w:tcPr>
            <w:tcW w:w="934" w:type="dxa"/>
            <w:tcBorders>
              <w:bottom w:val="single" w:sz="6" w:space="0" w:color="000000"/>
              <w:right w:val="single" w:sz="6" w:space="0" w:color="000000"/>
            </w:tcBorders>
          </w:tcPr>
          <w:p w14:paraId="227C578A" w14:textId="77777777" w:rsidR="0075791A" w:rsidRDefault="00FB2864">
            <w:pPr>
              <w:pStyle w:val="TableText"/>
              <w:spacing w:before="93" w:line="183" w:lineRule="auto"/>
              <w:ind w:left="329"/>
              <w:rPr>
                <w:rFonts w:ascii="Times New Roman" w:hAnsi="Times New Roman"/>
                <w:color w:val="auto"/>
                <w:sz w:val="21"/>
                <w:szCs w:val="21"/>
              </w:rPr>
            </w:pPr>
            <w:r>
              <w:rPr>
                <w:rFonts w:ascii="Times New Roman" w:hAnsi="Times New Roman"/>
                <w:color w:val="auto"/>
                <w:spacing w:val="-5"/>
                <w:sz w:val="21"/>
                <w:szCs w:val="21"/>
              </w:rPr>
              <w:t>100</w:t>
            </w:r>
          </w:p>
        </w:tc>
      </w:tr>
    </w:tbl>
    <w:p w14:paraId="34A81148" w14:textId="77777777" w:rsidR="0075791A" w:rsidRDefault="0075791A">
      <w:pPr>
        <w:pStyle w:val="TableText"/>
        <w:spacing w:line="360" w:lineRule="auto"/>
        <w:ind w:firstLineChars="200" w:firstLine="480"/>
        <w:jc w:val="both"/>
        <w:rPr>
          <w:rFonts w:ascii="Times New Roman" w:hAnsi="Times New Roman"/>
          <w:color w:val="auto"/>
          <w:lang w:eastAsia="zh-CN"/>
        </w:rPr>
      </w:pPr>
    </w:p>
    <w:p w14:paraId="2EABD651"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项目区域台风情况见表</w:t>
      </w:r>
      <w:r>
        <w:rPr>
          <w:rFonts w:ascii="Times New Roman" w:hAnsi="Times New Roman" w:hint="eastAsia"/>
          <w:color w:val="auto"/>
          <w:lang w:eastAsia="zh-CN"/>
        </w:rPr>
        <w:t>3.2.8</w:t>
      </w:r>
      <w:r>
        <w:rPr>
          <w:rFonts w:ascii="Times New Roman" w:hAnsi="Times New Roman" w:hint="eastAsia"/>
          <w:color w:val="auto"/>
          <w:lang w:eastAsia="zh-CN"/>
        </w:rPr>
        <w:t>-4</w:t>
      </w:r>
      <w:r>
        <w:rPr>
          <w:rFonts w:ascii="Times New Roman" w:hAnsi="Times New Roman" w:hint="eastAsia"/>
          <w:color w:val="auto"/>
          <w:lang w:eastAsia="zh-CN"/>
        </w:rPr>
        <w:t>。以三亚站的气压为指标，根据各热带气旋对三亚市的影响严重程度，摘录</w:t>
      </w:r>
      <w:r>
        <w:rPr>
          <w:rFonts w:ascii="Times New Roman" w:hAnsi="Times New Roman" w:hint="eastAsia"/>
          <w:color w:val="auto"/>
          <w:lang w:eastAsia="zh-CN"/>
        </w:rPr>
        <w:t>1970</w:t>
      </w:r>
      <w:r>
        <w:rPr>
          <w:rFonts w:ascii="Times New Roman" w:hAnsi="Times New Roman" w:hint="eastAsia"/>
          <w:color w:val="auto"/>
          <w:lang w:eastAsia="zh-CN"/>
        </w:rPr>
        <w:t>～</w:t>
      </w:r>
      <w:r>
        <w:rPr>
          <w:rFonts w:ascii="Times New Roman" w:hAnsi="Times New Roman" w:hint="eastAsia"/>
          <w:color w:val="auto"/>
          <w:lang w:eastAsia="zh-CN"/>
        </w:rPr>
        <w:t>20</w:t>
      </w:r>
      <w:r>
        <w:rPr>
          <w:rFonts w:ascii="Times New Roman" w:hAnsi="Times New Roman" w:hint="eastAsia"/>
          <w:color w:val="auto"/>
          <w:lang w:eastAsia="zh-CN"/>
        </w:rPr>
        <w:t>25</w:t>
      </w:r>
      <w:r>
        <w:rPr>
          <w:rFonts w:ascii="Times New Roman" w:hAnsi="Times New Roman" w:hint="eastAsia"/>
          <w:color w:val="auto"/>
          <w:lang w:eastAsia="zh-CN"/>
        </w:rPr>
        <w:t>年热带气旋登陆时三亚实测气压</w:t>
      </w:r>
      <w:r>
        <w:rPr>
          <w:rFonts w:ascii="Times New Roman" w:hAnsi="Times New Roman" w:hint="eastAsia"/>
          <w:color w:val="auto"/>
          <w:lang w:eastAsia="zh-CN"/>
        </w:rPr>
        <w:t>&lt;990hpa</w:t>
      </w:r>
      <w:r>
        <w:rPr>
          <w:rFonts w:ascii="Times New Roman" w:hAnsi="Times New Roman" w:hint="eastAsia"/>
          <w:color w:val="auto"/>
          <w:lang w:eastAsia="zh-CN"/>
        </w:rPr>
        <w:t>的热带气旋列于表</w:t>
      </w:r>
      <w:r>
        <w:rPr>
          <w:rFonts w:ascii="Times New Roman" w:hAnsi="Times New Roman" w:hint="eastAsia"/>
          <w:color w:val="auto"/>
          <w:lang w:eastAsia="zh-CN"/>
        </w:rPr>
        <w:t>3.2.8</w:t>
      </w:r>
      <w:r>
        <w:rPr>
          <w:rFonts w:ascii="Times New Roman" w:hAnsi="Times New Roman" w:hint="eastAsia"/>
          <w:color w:val="auto"/>
          <w:lang w:eastAsia="zh-CN"/>
        </w:rPr>
        <w:t>-</w:t>
      </w:r>
      <w:r>
        <w:rPr>
          <w:rFonts w:ascii="Times New Roman" w:hAnsi="Times New Roman" w:hint="eastAsia"/>
          <w:color w:val="auto"/>
          <w:lang w:eastAsia="zh-CN"/>
        </w:rPr>
        <w:t>4</w:t>
      </w:r>
      <w:r>
        <w:rPr>
          <w:rFonts w:ascii="Times New Roman" w:hAnsi="Times New Roman" w:hint="eastAsia"/>
          <w:color w:val="auto"/>
          <w:lang w:eastAsia="zh-CN"/>
        </w:rPr>
        <w:t>。</w:t>
      </w:r>
    </w:p>
    <w:p w14:paraId="1149AF21" w14:textId="77777777" w:rsidR="0075791A" w:rsidRDefault="00FB2864">
      <w:pPr>
        <w:pStyle w:val="TableText"/>
        <w:jc w:val="center"/>
        <w:rPr>
          <w:rFonts w:ascii="Times New Roman" w:hAnsi="Times New Roman"/>
          <w:color w:val="auto"/>
          <w:spacing w:val="-2"/>
          <w:lang w:eastAsia="zh-CN"/>
        </w:rPr>
      </w:pPr>
      <w:r>
        <w:rPr>
          <w:rFonts w:ascii="Times New Roman" w:hAnsi="Times New Roman" w:hint="eastAsia"/>
          <w:color w:val="auto"/>
          <w:spacing w:val="-2"/>
          <w:lang w:eastAsia="zh-CN"/>
        </w:rPr>
        <w:t>表</w:t>
      </w:r>
      <w:r>
        <w:rPr>
          <w:rFonts w:ascii="Times New Roman" w:hAnsi="Times New Roman" w:hint="eastAsia"/>
          <w:color w:val="auto"/>
          <w:spacing w:val="-2"/>
          <w:lang w:eastAsia="zh-CN"/>
        </w:rPr>
        <w:t>3.2.8-5 1970</w:t>
      </w:r>
      <w:r>
        <w:rPr>
          <w:rFonts w:ascii="Times New Roman" w:hAnsi="Times New Roman" w:hint="eastAsia"/>
          <w:color w:val="auto"/>
          <w:spacing w:val="-2"/>
          <w:lang w:eastAsia="zh-CN"/>
        </w:rPr>
        <w:t>～</w:t>
      </w:r>
      <w:r>
        <w:rPr>
          <w:rFonts w:ascii="Times New Roman" w:hAnsi="Times New Roman" w:hint="eastAsia"/>
          <w:color w:val="auto"/>
          <w:spacing w:val="-2"/>
          <w:lang w:eastAsia="zh-CN"/>
        </w:rPr>
        <w:t>2025</w:t>
      </w:r>
      <w:r>
        <w:rPr>
          <w:rFonts w:ascii="Times New Roman" w:hAnsi="Times New Roman" w:hint="eastAsia"/>
          <w:color w:val="auto"/>
          <w:spacing w:val="-2"/>
          <w:lang w:eastAsia="zh-CN"/>
        </w:rPr>
        <w:t>年登陆（或严重影响）三亚的部分热带气旋信息统计表</w:t>
      </w:r>
    </w:p>
    <w:tbl>
      <w:tblPr>
        <w:tblStyle w:val="TableNormal"/>
        <w:tblW w:w="8754" w:type="dxa"/>
        <w:tblInd w:w="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8"/>
        <w:gridCol w:w="685"/>
        <w:gridCol w:w="1350"/>
        <w:gridCol w:w="1049"/>
        <w:gridCol w:w="1069"/>
        <w:gridCol w:w="1531"/>
        <w:gridCol w:w="1381"/>
        <w:gridCol w:w="1251"/>
      </w:tblGrid>
      <w:tr w:rsidR="0075791A" w14:paraId="3FA5EC1D" w14:textId="77777777">
        <w:trPr>
          <w:trHeight w:val="323"/>
        </w:trPr>
        <w:tc>
          <w:tcPr>
            <w:tcW w:w="438" w:type="dxa"/>
            <w:vMerge w:val="restart"/>
            <w:tcBorders>
              <w:top w:val="single" w:sz="6" w:space="0" w:color="000000"/>
              <w:left w:val="single" w:sz="6" w:space="0" w:color="000000"/>
              <w:bottom w:val="nil"/>
            </w:tcBorders>
            <w:textDirection w:val="tbRlV"/>
          </w:tcPr>
          <w:p w14:paraId="52D04653" w14:textId="77777777" w:rsidR="0075791A" w:rsidRDefault="00FB2864">
            <w:pPr>
              <w:pStyle w:val="TableText"/>
              <w:spacing w:before="111" w:line="211" w:lineRule="auto"/>
              <w:ind w:left="65"/>
              <w:rPr>
                <w:rFonts w:ascii="Times New Roman" w:hAnsi="Times New Roman"/>
                <w:color w:val="auto"/>
                <w:sz w:val="21"/>
                <w:szCs w:val="21"/>
              </w:rPr>
            </w:pPr>
            <w:r>
              <w:rPr>
                <w:rFonts w:ascii="Times New Roman" w:hAnsi="Times New Roman"/>
                <w:color w:val="auto"/>
                <w:spacing w:val="1"/>
                <w:sz w:val="21"/>
                <w:szCs w:val="21"/>
              </w:rPr>
              <w:t>序号</w:t>
            </w:r>
          </w:p>
        </w:tc>
        <w:tc>
          <w:tcPr>
            <w:tcW w:w="685" w:type="dxa"/>
            <w:vMerge w:val="restart"/>
            <w:tcBorders>
              <w:top w:val="single" w:sz="6" w:space="0" w:color="000000"/>
              <w:bottom w:val="nil"/>
            </w:tcBorders>
          </w:tcPr>
          <w:p w14:paraId="1B26C6FB" w14:textId="77777777" w:rsidR="0075791A" w:rsidRDefault="00FB2864">
            <w:pPr>
              <w:pStyle w:val="TableText"/>
              <w:spacing w:before="220" w:line="221" w:lineRule="auto"/>
              <w:ind w:left="128"/>
              <w:rPr>
                <w:rFonts w:ascii="Times New Roman" w:hAnsi="Times New Roman"/>
                <w:color w:val="auto"/>
                <w:sz w:val="21"/>
                <w:szCs w:val="21"/>
              </w:rPr>
            </w:pPr>
            <w:r>
              <w:rPr>
                <w:rFonts w:ascii="Times New Roman" w:hAnsi="Times New Roman"/>
                <w:color w:val="auto"/>
                <w:spacing w:val="-2"/>
                <w:sz w:val="21"/>
                <w:szCs w:val="21"/>
              </w:rPr>
              <w:t>编号</w:t>
            </w:r>
          </w:p>
        </w:tc>
        <w:tc>
          <w:tcPr>
            <w:tcW w:w="1350" w:type="dxa"/>
            <w:vMerge w:val="restart"/>
            <w:tcBorders>
              <w:top w:val="single" w:sz="6" w:space="0" w:color="000000"/>
              <w:bottom w:val="nil"/>
            </w:tcBorders>
          </w:tcPr>
          <w:p w14:paraId="39AC4315" w14:textId="77777777" w:rsidR="0075791A" w:rsidRDefault="00FB2864">
            <w:pPr>
              <w:pStyle w:val="TableText"/>
              <w:spacing w:before="221" w:line="221" w:lineRule="auto"/>
              <w:ind w:left="253"/>
              <w:rPr>
                <w:rFonts w:ascii="Times New Roman" w:hAnsi="Times New Roman"/>
                <w:color w:val="auto"/>
                <w:sz w:val="21"/>
                <w:szCs w:val="21"/>
              </w:rPr>
            </w:pPr>
            <w:r>
              <w:rPr>
                <w:rFonts w:ascii="Times New Roman" w:hAnsi="Times New Roman"/>
                <w:color w:val="auto"/>
                <w:spacing w:val="-2"/>
                <w:sz w:val="21"/>
                <w:szCs w:val="21"/>
              </w:rPr>
              <w:t>起止时间</w:t>
            </w:r>
          </w:p>
        </w:tc>
        <w:tc>
          <w:tcPr>
            <w:tcW w:w="6281" w:type="dxa"/>
            <w:gridSpan w:val="5"/>
            <w:tcBorders>
              <w:top w:val="single" w:sz="6" w:space="0" w:color="000000"/>
              <w:right w:val="single" w:sz="6" w:space="0" w:color="000000"/>
            </w:tcBorders>
          </w:tcPr>
          <w:p w14:paraId="20964370" w14:textId="77777777" w:rsidR="0075791A" w:rsidRDefault="00FB2864">
            <w:pPr>
              <w:pStyle w:val="TableText"/>
              <w:spacing w:before="57" w:line="223" w:lineRule="auto"/>
              <w:ind w:left="2827"/>
              <w:rPr>
                <w:rFonts w:ascii="Times New Roman" w:hAnsi="Times New Roman"/>
                <w:color w:val="auto"/>
                <w:sz w:val="21"/>
                <w:szCs w:val="21"/>
              </w:rPr>
            </w:pPr>
            <w:r>
              <w:rPr>
                <w:rFonts w:ascii="Times New Roman" w:hAnsi="Times New Roman"/>
                <w:color w:val="auto"/>
                <w:spacing w:val="-2"/>
                <w:sz w:val="21"/>
                <w:szCs w:val="21"/>
              </w:rPr>
              <w:t>登陆时</w:t>
            </w:r>
          </w:p>
        </w:tc>
      </w:tr>
      <w:tr w:rsidR="0075791A" w14:paraId="053B2E48" w14:textId="77777777">
        <w:trPr>
          <w:trHeight w:val="318"/>
        </w:trPr>
        <w:tc>
          <w:tcPr>
            <w:tcW w:w="438" w:type="dxa"/>
            <w:vMerge/>
            <w:tcBorders>
              <w:top w:val="nil"/>
              <w:left w:val="single" w:sz="6" w:space="0" w:color="000000"/>
            </w:tcBorders>
            <w:textDirection w:val="tbRlV"/>
          </w:tcPr>
          <w:p w14:paraId="5B5FF8DD" w14:textId="77777777" w:rsidR="0075791A" w:rsidRDefault="0075791A">
            <w:pPr>
              <w:rPr>
                <w:rFonts w:ascii="Times New Roman" w:hAnsi="Times New Roman"/>
                <w:color w:val="auto"/>
              </w:rPr>
            </w:pPr>
          </w:p>
        </w:tc>
        <w:tc>
          <w:tcPr>
            <w:tcW w:w="685" w:type="dxa"/>
            <w:vMerge/>
            <w:tcBorders>
              <w:top w:val="nil"/>
            </w:tcBorders>
          </w:tcPr>
          <w:p w14:paraId="0BDB1872" w14:textId="77777777" w:rsidR="0075791A" w:rsidRDefault="0075791A">
            <w:pPr>
              <w:rPr>
                <w:rFonts w:ascii="Times New Roman" w:hAnsi="Times New Roman"/>
                <w:color w:val="auto"/>
              </w:rPr>
            </w:pPr>
          </w:p>
        </w:tc>
        <w:tc>
          <w:tcPr>
            <w:tcW w:w="1350" w:type="dxa"/>
            <w:vMerge/>
            <w:tcBorders>
              <w:top w:val="nil"/>
            </w:tcBorders>
          </w:tcPr>
          <w:p w14:paraId="6F457EF0" w14:textId="77777777" w:rsidR="0075791A" w:rsidRDefault="0075791A">
            <w:pPr>
              <w:rPr>
                <w:rFonts w:ascii="Times New Roman" w:hAnsi="Times New Roman"/>
                <w:color w:val="auto"/>
              </w:rPr>
            </w:pPr>
          </w:p>
        </w:tc>
        <w:tc>
          <w:tcPr>
            <w:tcW w:w="1049" w:type="dxa"/>
          </w:tcPr>
          <w:p w14:paraId="5823BFDC" w14:textId="77777777" w:rsidR="0075791A" w:rsidRDefault="00FB2864">
            <w:pPr>
              <w:pStyle w:val="TableText"/>
              <w:spacing w:before="51" w:line="221" w:lineRule="auto"/>
              <w:ind w:left="107"/>
              <w:rPr>
                <w:rFonts w:ascii="Times New Roman" w:hAnsi="Times New Roman"/>
                <w:color w:val="auto"/>
                <w:sz w:val="21"/>
                <w:szCs w:val="21"/>
              </w:rPr>
            </w:pPr>
            <w:r>
              <w:rPr>
                <w:rFonts w:ascii="Times New Roman" w:hAnsi="Times New Roman"/>
                <w:color w:val="auto"/>
                <w:spacing w:val="-3"/>
                <w:sz w:val="21"/>
                <w:szCs w:val="21"/>
              </w:rPr>
              <w:t>登陆强度</w:t>
            </w:r>
          </w:p>
        </w:tc>
        <w:tc>
          <w:tcPr>
            <w:tcW w:w="1069" w:type="dxa"/>
          </w:tcPr>
          <w:p w14:paraId="6E8452BB" w14:textId="77777777" w:rsidR="0075791A" w:rsidRDefault="00FB2864">
            <w:pPr>
              <w:pStyle w:val="TableText"/>
              <w:spacing w:before="51" w:line="221" w:lineRule="auto"/>
              <w:ind w:left="222"/>
              <w:rPr>
                <w:rFonts w:ascii="Times New Roman" w:hAnsi="Times New Roman"/>
                <w:color w:val="auto"/>
                <w:sz w:val="21"/>
                <w:szCs w:val="21"/>
              </w:rPr>
            </w:pPr>
            <w:r>
              <w:rPr>
                <w:rFonts w:ascii="Times New Roman" w:hAnsi="Times New Roman"/>
                <w:color w:val="auto"/>
                <w:spacing w:val="-2"/>
                <w:sz w:val="21"/>
                <w:szCs w:val="21"/>
              </w:rPr>
              <w:t>登陆点</w:t>
            </w:r>
          </w:p>
        </w:tc>
        <w:tc>
          <w:tcPr>
            <w:tcW w:w="1531" w:type="dxa"/>
          </w:tcPr>
          <w:p w14:paraId="6566BAC8" w14:textId="77777777" w:rsidR="0075791A" w:rsidRDefault="00FB2864">
            <w:pPr>
              <w:pStyle w:val="TableText"/>
              <w:spacing w:before="51" w:line="223" w:lineRule="auto"/>
              <w:ind w:left="570"/>
              <w:rPr>
                <w:rFonts w:ascii="Times New Roman" w:hAnsi="Times New Roman"/>
                <w:color w:val="auto"/>
                <w:sz w:val="21"/>
                <w:szCs w:val="21"/>
              </w:rPr>
            </w:pPr>
            <w:r>
              <w:rPr>
                <w:rFonts w:ascii="Times New Roman" w:hAnsi="Times New Roman"/>
                <w:color w:val="auto"/>
                <w:spacing w:val="-4"/>
                <w:sz w:val="21"/>
                <w:szCs w:val="21"/>
              </w:rPr>
              <w:t>时间</w:t>
            </w:r>
          </w:p>
        </w:tc>
        <w:tc>
          <w:tcPr>
            <w:tcW w:w="1381" w:type="dxa"/>
          </w:tcPr>
          <w:p w14:paraId="31186565" w14:textId="77777777" w:rsidR="0075791A" w:rsidRDefault="00FB2864">
            <w:pPr>
              <w:pStyle w:val="TableText"/>
              <w:spacing w:before="50" w:line="216" w:lineRule="auto"/>
              <w:ind w:left="86"/>
              <w:rPr>
                <w:rFonts w:ascii="Times New Roman" w:hAnsi="Times New Roman"/>
                <w:color w:val="auto"/>
                <w:sz w:val="21"/>
                <w:szCs w:val="21"/>
              </w:rPr>
            </w:pPr>
            <w:r>
              <w:rPr>
                <w:rFonts w:ascii="Times New Roman" w:hAnsi="Times New Roman"/>
                <w:color w:val="auto"/>
                <w:spacing w:val="-4"/>
                <w:sz w:val="21"/>
                <w:szCs w:val="21"/>
              </w:rPr>
              <w:t>中心气压</w:t>
            </w:r>
            <w:r>
              <w:rPr>
                <w:rFonts w:ascii="Times New Roman" w:hAnsi="Times New Roman"/>
                <w:color w:val="auto"/>
                <w:spacing w:val="-4"/>
                <w:sz w:val="21"/>
                <w:szCs w:val="21"/>
              </w:rPr>
              <w:t>/hpa</w:t>
            </w:r>
          </w:p>
        </w:tc>
        <w:tc>
          <w:tcPr>
            <w:tcW w:w="1251" w:type="dxa"/>
            <w:tcBorders>
              <w:right w:val="single" w:sz="6" w:space="0" w:color="000000"/>
            </w:tcBorders>
          </w:tcPr>
          <w:p w14:paraId="0FF6AC43" w14:textId="77777777" w:rsidR="0075791A" w:rsidRDefault="00FB2864">
            <w:pPr>
              <w:pStyle w:val="TableText"/>
              <w:spacing w:before="50" w:line="221" w:lineRule="auto"/>
              <w:ind w:left="69"/>
              <w:rPr>
                <w:rFonts w:ascii="Times New Roman" w:hAnsi="Times New Roman"/>
                <w:color w:val="auto"/>
                <w:sz w:val="21"/>
                <w:szCs w:val="21"/>
              </w:rPr>
            </w:pPr>
            <w:r>
              <w:rPr>
                <w:rFonts w:ascii="Times New Roman" w:hAnsi="Times New Roman"/>
                <w:color w:val="auto"/>
                <w:spacing w:val="-5"/>
                <w:sz w:val="21"/>
                <w:szCs w:val="21"/>
              </w:rPr>
              <w:t>中心风力</w:t>
            </w:r>
            <w:r>
              <w:rPr>
                <w:rFonts w:ascii="Times New Roman" w:hAnsi="Times New Roman"/>
                <w:color w:val="auto"/>
                <w:spacing w:val="-5"/>
                <w:sz w:val="21"/>
                <w:szCs w:val="21"/>
              </w:rPr>
              <w:t>/</w:t>
            </w:r>
            <w:r>
              <w:rPr>
                <w:rFonts w:ascii="Times New Roman" w:hAnsi="Times New Roman"/>
                <w:color w:val="auto"/>
                <w:spacing w:val="-5"/>
                <w:sz w:val="21"/>
                <w:szCs w:val="21"/>
              </w:rPr>
              <w:t>级</w:t>
            </w:r>
          </w:p>
        </w:tc>
      </w:tr>
      <w:tr w:rsidR="0075791A" w14:paraId="39521ED0" w14:textId="77777777">
        <w:trPr>
          <w:trHeight w:val="316"/>
        </w:trPr>
        <w:tc>
          <w:tcPr>
            <w:tcW w:w="438" w:type="dxa"/>
            <w:tcBorders>
              <w:left w:val="single" w:sz="6" w:space="0" w:color="000000"/>
            </w:tcBorders>
          </w:tcPr>
          <w:p w14:paraId="4A6B2C83" w14:textId="77777777" w:rsidR="0075791A" w:rsidRDefault="00FB2864">
            <w:pPr>
              <w:pStyle w:val="TableText"/>
              <w:spacing w:before="83" w:line="183" w:lineRule="auto"/>
              <w:ind w:left="179"/>
              <w:rPr>
                <w:rFonts w:ascii="Times New Roman" w:hAnsi="Times New Roman"/>
                <w:color w:val="auto"/>
                <w:sz w:val="21"/>
                <w:szCs w:val="21"/>
              </w:rPr>
            </w:pPr>
            <w:r>
              <w:rPr>
                <w:rFonts w:ascii="Times New Roman" w:hAnsi="Times New Roman"/>
                <w:color w:val="auto"/>
                <w:sz w:val="21"/>
                <w:szCs w:val="21"/>
              </w:rPr>
              <w:t>1</w:t>
            </w:r>
          </w:p>
        </w:tc>
        <w:tc>
          <w:tcPr>
            <w:tcW w:w="685" w:type="dxa"/>
          </w:tcPr>
          <w:p w14:paraId="0C978BD0" w14:textId="77777777" w:rsidR="0075791A" w:rsidRDefault="00FB2864">
            <w:pPr>
              <w:pStyle w:val="TableText"/>
              <w:spacing w:before="84" w:line="183" w:lineRule="auto"/>
              <w:ind w:left="131"/>
              <w:rPr>
                <w:rFonts w:ascii="Times New Roman" w:hAnsi="Times New Roman"/>
                <w:color w:val="auto"/>
                <w:sz w:val="21"/>
                <w:szCs w:val="21"/>
              </w:rPr>
            </w:pPr>
            <w:r>
              <w:rPr>
                <w:rFonts w:ascii="Times New Roman" w:hAnsi="Times New Roman"/>
                <w:color w:val="auto"/>
                <w:spacing w:val="-3"/>
                <w:sz w:val="21"/>
                <w:szCs w:val="21"/>
              </w:rPr>
              <w:t>7113</w:t>
            </w:r>
          </w:p>
        </w:tc>
        <w:tc>
          <w:tcPr>
            <w:tcW w:w="1350" w:type="dxa"/>
          </w:tcPr>
          <w:p w14:paraId="2CDB6575" w14:textId="77777777" w:rsidR="0075791A" w:rsidRDefault="00FB2864">
            <w:pPr>
              <w:pStyle w:val="TableText"/>
              <w:spacing w:before="50" w:line="225" w:lineRule="auto"/>
              <w:ind w:left="45"/>
              <w:rPr>
                <w:rFonts w:ascii="Times New Roman" w:hAnsi="Times New Roman"/>
                <w:color w:val="auto"/>
                <w:sz w:val="21"/>
                <w:szCs w:val="21"/>
              </w:rPr>
            </w:pPr>
            <w:r>
              <w:rPr>
                <w:rFonts w:ascii="Times New Roman" w:hAnsi="Times New Roman"/>
                <w:color w:val="auto"/>
                <w:spacing w:val="-1"/>
                <w:sz w:val="21"/>
                <w:szCs w:val="21"/>
              </w:rPr>
              <w:t>07/09</w:t>
            </w:r>
            <w:r>
              <w:rPr>
                <w:rFonts w:ascii="Times New Roman" w:hAnsi="Times New Roman"/>
                <w:color w:val="auto"/>
                <w:spacing w:val="-1"/>
                <w:sz w:val="21"/>
                <w:szCs w:val="21"/>
              </w:rPr>
              <w:t>～</w:t>
            </w:r>
            <w:r>
              <w:rPr>
                <w:rFonts w:ascii="Times New Roman" w:hAnsi="Times New Roman"/>
                <w:color w:val="auto"/>
                <w:spacing w:val="-1"/>
                <w:sz w:val="21"/>
                <w:szCs w:val="21"/>
              </w:rPr>
              <w:t>07/18</w:t>
            </w:r>
          </w:p>
        </w:tc>
        <w:tc>
          <w:tcPr>
            <w:tcW w:w="1049" w:type="dxa"/>
          </w:tcPr>
          <w:p w14:paraId="77D00A80" w14:textId="77777777" w:rsidR="0075791A" w:rsidRDefault="00FB2864">
            <w:pPr>
              <w:pStyle w:val="TableText"/>
              <w:spacing w:before="85" w:line="182" w:lineRule="auto"/>
              <w:ind w:left="415"/>
              <w:rPr>
                <w:rFonts w:ascii="Times New Roman" w:hAnsi="Times New Roman"/>
                <w:color w:val="auto"/>
                <w:sz w:val="21"/>
                <w:szCs w:val="21"/>
              </w:rPr>
            </w:pPr>
            <w:r>
              <w:rPr>
                <w:rFonts w:ascii="Times New Roman" w:hAnsi="Times New Roman"/>
                <w:color w:val="auto"/>
                <w:spacing w:val="-2"/>
                <w:sz w:val="21"/>
                <w:szCs w:val="21"/>
              </w:rPr>
              <w:t>TS</w:t>
            </w:r>
          </w:p>
        </w:tc>
        <w:tc>
          <w:tcPr>
            <w:tcW w:w="1069" w:type="dxa"/>
          </w:tcPr>
          <w:p w14:paraId="032FB7E8" w14:textId="77777777" w:rsidR="0075791A" w:rsidRDefault="00FB2864">
            <w:pPr>
              <w:pStyle w:val="TableText"/>
              <w:spacing w:before="49" w:line="221" w:lineRule="auto"/>
              <w:ind w:left="115"/>
              <w:rPr>
                <w:rFonts w:ascii="Times New Roman" w:hAnsi="Times New Roman"/>
                <w:color w:val="auto"/>
                <w:sz w:val="21"/>
                <w:szCs w:val="21"/>
              </w:rPr>
            </w:pPr>
            <w:r>
              <w:rPr>
                <w:rFonts w:ascii="Times New Roman" w:hAnsi="Times New Roman"/>
                <w:color w:val="auto"/>
                <w:spacing w:val="-2"/>
                <w:sz w:val="21"/>
                <w:szCs w:val="21"/>
              </w:rPr>
              <w:t>三亚陵水</w:t>
            </w:r>
          </w:p>
        </w:tc>
        <w:tc>
          <w:tcPr>
            <w:tcW w:w="1531" w:type="dxa"/>
          </w:tcPr>
          <w:p w14:paraId="58AEE5DE" w14:textId="77777777" w:rsidR="0075791A" w:rsidRDefault="00FB2864">
            <w:pPr>
              <w:pStyle w:val="TableText"/>
              <w:spacing w:before="50" w:line="225" w:lineRule="auto"/>
              <w:ind w:left="89"/>
              <w:rPr>
                <w:rFonts w:ascii="Times New Roman" w:hAnsi="Times New Roman"/>
                <w:color w:val="auto"/>
                <w:sz w:val="21"/>
                <w:szCs w:val="21"/>
              </w:rPr>
            </w:pPr>
            <w:r>
              <w:rPr>
                <w:rFonts w:ascii="Times New Roman" w:hAnsi="Times New Roman"/>
                <w:color w:val="auto"/>
                <w:spacing w:val="-3"/>
                <w:sz w:val="21"/>
                <w:szCs w:val="21"/>
              </w:rPr>
              <w:t>07/1716</w:t>
            </w:r>
            <w:r>
              <w:rPr>
                <w:rFonts w:ascii="Times New Roman" w:hAnsi="Times New Roman"/>
                <w:color w:val="auto"/>
                <w:spacing w:val="-3"/>
                <w:sz w:val="21"/>
                <w:szCs w:val="21"/>
              </w:rPr>
              <w:t>～</w:t>
            </w:r>
            <w:r>
              <w:rPr>
                <w:rFonts w:ascii="Times New Roman" w:hAnsi="Times New Roman"/>
                <w:color w:val="auto"/>
                <w:spacing w:val="-3"/>
                <w:sz w:val="21"/>
                <w:szCs w:val="21"/>
              </w:rPr>
              <w:t>17h</w:t>
            </w:r>
          </w:p>
        </w:tc>
        <w:tc>
          <w:tcPr>
            <w:tcW w:w="1381" w:type="dxa"/>
          </w:tcPr>
          <w:p w14:paraId="48B56465" w14:textId="77777777" w:rsidR="0075791A" w:rsidRDefault="00FB2864">
            <w:pPr>
              <w:pStyle w:val="TableText"/>
              <w:spacing w:before="85" w:line="182" w:lineRule="auto"/>
              <w:ind w:left="540"/>
              <w:rPr>
                <w:rFonts w:ascii="Times New Roman" w:hAnsi="Times New Roman"/>
                <w:color w:val="auto"/>
                <w:sz w:val="21"/>
                <w:szCs w:val="21"/>
              </w:rPr>
            </w:pPr>
            <w:r>
              <w:rPr>
                <w:rFonts w:ascii="Times New Roman" w:hAnsi="Times New Roman"/>
                <w:color w:val="auto"/>
                <w:spacing w:val="-2"/>
                <w:sz w:val="21"/>
                <w:szCs w:val="21"/>
              </w:rPr>
              <w:t>983</w:t>
            </w:r>
          </w:p>
        </w:tc>
        <w:tc>
          <w:tcPr>
            <w:tcW w:w="1251" w:type="dxa"/>
            <w:tcBorders>
              <w:right w:val="single" w:sz="6" w:space="0" w:color="000000"/>
            </w:tcBorders>
          </w:tcPr>
          <w:p w14:paraId="71D95300" w14:textId="77777777" w:rsidR="0075791A" w:rsidRDefault="00FB2864">
            <w:pPr>
              <w:pStyle w:val="TableText"/>
              <w:spacing w:before="50" w:line="225" w:lineRule="auto"/>
              <w:ind w:left="364"/>
              <w:rPr>
                <w:rFonts w:ascii="Times New Roman" w:hAnsi="Times New Roman"/>
                <w:color w:val="auto"/>
                <w:sz w:val="21"/>
                <w:szCs w:val="21"/>
              </w:rPr>
            </w:pPr>
            <w:r>
              <w:rPr>
                <w:rFonts w:ascii="Times New Roman" w:hAnsi="Times New Roman"/>
                <w:color w:val="auto"/>
                <w:spacing w:val="-2"/>
                <w:sz w:val="21"/>
                <w:szCs w:val="21"/>
              </w:rPr>
              <w:t>9</w:t>
            </w:r>
            <w:r>
              <w:rPr>
                <w:rFonts w:ascii="Times New Roman" w:hAnsi="Times New Roman"/>
                <w:color w:val="auto"/>
                <w:spacing w:val="-2"/>
                <w:sz w:val="21"/>
                <w:szCs w:val="21"/>
              </w:rPr>
              <w:t>～</w:t>
            </w:r>
            <w:r>
              <w:rPr>
                <w:rFonts w:ascii="Times New Roman" w:hAnsi="Times New Roman"/>
                <w:color w:val="auto"/>
                <w:spacing w:val="-2"/>
                <w:sz w:val="21"/>
                <w:szCs w:val="21"/>
              </w:rPr>
              <w:t>10</w:t>
            </w:r>
          </w:p>
        </w:tc>
      </w:tr>
      <w:tr w:rsidR="0075791A" w14:paraId="6CB31A32" w14:textId="77777777">
        <w:trPr>
          <w:trHeight w:val="316"/>
        </w:trPr>
        <w:tc>
          <w:tcPr>
            <w:tcW w:w="438" w:type="dxa"/>
            <w:tcBorders>
              <w:left w:val="single" w:sz="6" w:space="0" w:color="000000"/>
            </w:tcBorders>
          </w:tcPr>
          <w:p w14:paraId="1E74D620" w14:textId="77777777" w:rsidR="0075791A" w:rsidRDefault="00FB2864">
            <w:pPr>
              <w:pStyle w:val="TableText"/>
              <w:spacing w:before="85" w:line="182" w:lineRule="auto"/>
              <w:ind w:left="166"/>
              <w:rPr>
                <w:rFonts w:ascii="Times New Roman" w:hAnsi="Times New Roman"/>
                <w:color w:val="auto"/>
                <w:sz w:val="21"/>
                <w:szCs w:val="21"/>
              </w:rPr>
            </w:pPr>
            <w:r>
              <w:rPr>
                <w:rFonts w:ascii="Times New Roman" w:hAnsi="Times New Roman"/>
                <w:color w:val="auto"/>
                <w:sz w:val="21"/>
                <w:szCs w:val="21"/>
              </w:rPr>
              <w:lastRenderedPageBreak/>
              <w:t>2</w:t>
            </w:r>
          </w:p>
        </w:tc>
        <w:tc>
          <w:tcPr>
            <w:tcW w:w="685" w:type="dxa"/>
          </w:tcPr>
          <w:p w14:paraId="034744D3" w14:textId="77777777" w:rsidR="0075791A" w:rsidRDefault="00FB2864">
            <w:pPr>
              <w:pStyle w:val="TableText"/>
              <w:spacing w:before="84" w:line="183" w:lineRule="auto"/>
              <w:ind w:left="131"/>
              <w:rPr>
                <w:rFonts w:ascii="Times New Roman" w:hAnsi="Times New Roman"/>
                <w:color w:val="auto"/>
                <w:sz w:val="21"/>
                <w:szCs w:val="21"/>
              </w:rPr>
            </w:pPr>
            <w:r>
              <w:rPr>
                <w:rFonts w:ascii="Times New Roman" w:hAnsi="Times New Roman"/>
                <w:color w:val="auto"/>
                <w:spacing w:val="-3"/>
                <w:sz w:val="21"/>
                <w:szCs w:val="21"/>
              </w:rPr>
              <w:t>7126</w:t>
            </w:r>
          </w:p>
        </w:tc>
        <w:tc>
          <w:tcPr>
            <w:tcW w:w="1350" w:type="dxa"/>
          </w:tcPr>
          <w:p w14:paraId="6027F2CC" w14:textId="77777777" w:rsidR="0075791A" w:rsidRDefault="00FB2864">
            <w:pPr>
              <w:pStyle w:val="TableText"/>
              <w:spacing w:before="50" w:line="225" w:lineRule="auto"/>
              <w:ind w:left="59"/>
              <w:rPr>
                <w:rFonts w:ascii="Times New Roman" w:hAnsi="Times New Roman"/>
                <w:color w:val="auto"/>
                <w:sz w:val="21"/>
                <w:szCs w:val="21"/>
              </w:rPr>
            </w:pPr>
            <w:r>
              <w:rPr>
                <w:rFonts w:ascii="Times New Roman" w:hAnsi="Times New Roman"/>
                <w:color w:val="auto"/>
                <w:spacing w:val="-2"/>
                <w:sz w:val="21"/>
                <w:szCs w:val="21"/>
              </w:rPr>
              <w:t>10/01</w:t>
            </w:r>
            <w:r>
              <w:rPr>
                <w:rFonts w:ascii="Times New Roman" w:hAnsi="Times New Roman"/>
                <w:color w:val="auto"/>
                <w:spacing w:val="-2"/>
                <w:sz w:val="21"/>
                <w:szCs w:val="21"/>
              </w:rPr>
              <w:t>～</w:t>
            </w:r>
            <w:r>
              <w:rPr>
                <w:rFonts w:ascii="Times New Roman" w:hAnsi="Times New Roman"/>
                <w:color w:val="auto"/>
                <w:spacing w:val="-2"/>
                <w:sz w:val="21"/>
                <w:szCs w:val="21"/>
              </w:rPr>
              <w:t>10/09</w:t>
            </w:r>
          </w:p>
        </w:tc>
        <w:tc>
          <w:tcPr>
            <w:tcW w:w="1049" w:type="dxa"/>
          </w:tcPr>
          <w:p w14:paraId="779A5307" w14:textId="77777777" w:rsidR="0075791A" w:rsidRDefault="00FB2864">
            <w:pPr>
              <w:pStyle w:val="TableText"/>
              <w:spacing w:before="85" w:line="182" w:lineRule="auto"/>
              <w:ind w:left="368"/>
              <w:rPr>
                <w:rFonts w:ascii="Times New Roman" w:hAnsi="Times New Roman"/>
                <w:color w:val="auto"/>
                <w:sz w:val="21"/>
                <w:szCs w:val="21"/>
              </w:rPr>
            </w:pPr>
            <w:r>
              <w:rPr>
                <w:rFonts w:ascii="Times New Roman" w:hAnsi="Times New Roman"/>
                <w:color w:val="auto"/>
                <w:spacing w:val="-2"/>
                <w:sz w:val="21"/>
                <w:szCs w:val="21"/>
              </w:rPr>
              <w:t>STS</w:t>
            </w:r>
          </w:p>
        </w:tc>
        <w:tc>
          <w:tcPr>
            <w:tcW w:w="1069" w:type="dxa"/>
          </w:tcPr>
          <w:p w14:paraId="767018FE" w14:textId="77777777" w:rsidR="0075791A" w:rsidRDefault="00FB2864">
            <w:pPr>
              <w:pStyle w:val="TableText"/>
              <w:spacing w:before="50" w:line="225" w:lineRule="auto"/>
              <w:ind w:left="323"/>
              <w:rPr>
                <w:rFonts w:ascii="Times New Roman" w:hAnsi="Times New Roman"/>
                <w:color w:val="auto"/>
                <w:sz w:val="21"/>
                <w:szCs w:val="21"/>
              </w:rPr>
            </w:pPr>
            <w:r>
              <w:rPr>
                <w:rFonts w:ascii="Times New Roman" w:hAnsi="Times New Roman"/>
                <w:color w:val="auto"/>
                <w:spacing w:val="-2"/>
                <w:sz w:val="21"/>
                <w:szCs w:val="21"/>
              </w:rPr>
              <w:t>三亚</w:t>
            </w:r>
          </w:p>
        </w:tc>
        <w:tc>
          <w:tcPr>
            <w:tcW w:w="1531" w:type="dxa"/>
          </w:tcPr>
          <w:p w14:paraId="457BC661" w14:textId="77777777" w:rsidR="0075791A" w:rsidRDefault="00FB2864">
            <w:pPr>
              <w:pStyle w:val="TableText"/>
              <w:spacing w:before="50" w:line="225" w:lineRule="auto"/>
              <w:ind w:left="103"/>
              <w:rPr>
                <w:rFonts w:ascii="Times New Roman" w:hAnsi="Times New Roman"/>
                <w:color w:val="auto"/>
                <w:sz w:val="21"/>
                <w:szCs w:val="21"/>
              </w:rPr>
            </w:pPr>
            <w:r>
              <w:rPr>
                <w:rFonts w:ascii="Times New Roman" w:hAnsi="Times New Roman"/>
                <w:color w:val="auto"/>
                <w:spacing w:val="-4"/>
                <w:sz w:val="21"/>
                <w:szCs w:val="21"/>
              </w:rPr>
              <w:t>10/0915</w:t>
            </w:r>
            <w:r>
              <w:rPr>
                <w:rFonts w:ascii="Times New Roman" w:hAnsi="Times New Roman"/>
                <w:color w:val="auto"/>
                <w:spacing w:val="-4"/>
                <w:sz w:val="21"/>
                <w:szCs w:val="21"/>
              </w:rPr>
              <w:t>～</w:t>
            </w:r>
            <w:r>
              <w:rPr>
                <w:rFonts w:ascii="Times New Roman" w:hAnsi="Times New Roman"/>
                <w:color w:val="auto"/>
                <w:spacing w:val="-4"/>
                <w:sz w:val="21"/>
                <w:szCs w:val="21"/>
              </w:rPr>
              <w:t>17h</w:t>
            </w:r>
          </w:p>
        </w:tc>
        <w:tc>
          <w:tcPr>
            <w:tcW w:w="1381" w:type="dxa"/>
          </w:tcPr>
          <w:p w14:paraId="387645B0" w14:textId="77777777" w:rsidR="0075791A" w:rsidRDefault="00FB2864">
            <w:pPr>
              <w:pStyle w:val="TableText"/>
              <w:spacing w:before="85" w:line="182" w:lineRule="auto"/>
              <w:ind w:left="540"/>
              <w:rPr>
                <w:rFonts w:ascii="Times New Roman" w:hAnsi="Times New Roman"/>
                <w:color w:val="auto"/>
                <w:sz w:val="21"/>
                <w:szCs w:val="21"/>
              </w:rPr>
            </w:pPr>
            <w:r>
              <w:rPr>
                <w:rFonts w:ascii="Times New Roman" w:hAnsi="Times New Roman"/>
                <w:color w:val="auto"/>
                <w:spacing w:val="-2"/>
                <w:sz w:val="21"/>
                <w:szCs w:val="21"/>
              </w:rPr>
              <w:t>980</w:t>
            </w:r>
          </w:p>
        </w:tc>
        <w:tc>
          <w:tcPr>
            <w:tcW w:w="1251" w:type="dxa"/>
            <w:tcBorders>
              <w:right w:val="single" w:sz="6" w:space="0" w:color="000000"/>
            </w:tcBorders>
          </w:tcPr>
          <w:p w14:paraId="2C5C5199" w14:textId="77777777" w:rsidR="0075791A" w:rsidRDefault="00FB2864">
            <w:pPr>
              <w:pStyle w:val="TableText"/>
              <w:spacing w:before="84" w:line="183" w:lineRule="auto"/>
              <w:ind w:left="537"/>
              <w:rPr>
                <w:rFonts w:ascii="Times New Roman" w:hAnsi="Times New Roman"/>
                <w:color w:val="auto"/>
                <w:sz w:val="21"/>
                <w:szCs w:val="21"/>
              </w:rPr>
            </w:pPr>
            <w:r>
              <w:rPr>
                <w:rFonts w:ascii="Times New Roman" w:hAnsi="Times New Roman"/>
                <w:color w:val="auto"/>
                <w:spacing w:val="-6"/>
                <w:sz w:val="21"/>
                <w:szCs w:val="21"/>
              </w:rPr>
              <w:t>11</w:t>
            </w:r>
          </w:p>
        </w:tc>
      </w:tr>
      <w:tr w:rsidR="0075791A" w14:paraId="50AE04E7" w14:textId="77777777">
        <w:trPr>
          <w:trHeight w:val="316"/>
        </w:trPr>
        <w:tc>
          <w:tcPr>
            <w:tcW w:w="438" w:type="dxa"/>
            <w:tcBorders>
              <w:left w:val="single" w:sz="6" w:space="0" w:color="000000"/>
            </w:tcBorders>
          </w:tcPr>
          <w:p w14:paraId="2E00D22C" w14:textId="77777777" w:rsidR="0075791A" w:rsidRDefault="00FB2864">
            <w:pPr>
              <w:pStyle w:val="TableText"/>
              <w:spacing w:before="85" w:line="182" w:lineRule="auto"/>
              <w:ind w:left="167"/>
              <w:rPr>
                <w:rFonts w:ascii="Times New Roman" w:hAnsi="Times New Roman"/>
                <w:color w:val="auto"/>
                <w:sz w:val="21"/>
                <w:szCs w:val="21"/>
              </w:rPr>
            </w:pPr>
            <w:r>
              <w:rPr>
                <w:rFonts w:ascii="Times New Roman" w:hAnsi="Times New Roman"/>
                <w:color w:val="auto"/>
                <w:sz w:val="21"/>
                <w:szCs w:val="21"/>
              </w:rPr>
              <w:t>3</w:t>
            </w:r>
          </w:p>
        </w:tc>
        <w:tc>
          <w:tcPr>
            <w:tcW w:w="685" w:type="dxa"/>
          </w:tcPr>
          <w:p w14:paraId="708BABF0" w14:textId="77777777" w:rsidR="0075791A" w:rsidRDefault="00FB2864">
            <w:pPr>
              <w:pStyle w:val="TableText"/>
              <w:spacing w:before="84" w:line="183" w:lineRule="auto"/>
              <w:ind w:left="131"/>
              <w:rPr>
                <w:rFonts w:ascii="Times New Roman" w:hAnsi="Times New Roman"/>
                <w:color w:val="auto"/>
                <w:sz w:val="21"/>
                <w:szCs w:val="21"/>
              </w:rPr>
            </w:pPr>
            <w:r>
              <w:rPr>
                <w:rFonts w:ascii="Times New Roman" w:hAnsi="Times New Roman"/>
                <w:color w:val="auto"/>
                <w:spacing w:val="-3"/>
                <w:sz w:val="21"/>
                <w:szCs w:val="21"/>
              </w:rPr>
              <w:t>7318</w:t>
            </w:r>
          </w:p>
        </w:tc>
        <w:tc>
          <w:tcPr>
            <w:tcW w:w="1350" w:type="dxa"/>
          </w:tcPr>
          <w:p w14:paraId="394FFABE" w14:textId="77777777" w:rsidR="0075791A" w:rsidRDefault="00FB2864">
            <w:pPr>
              <w:pStyle w:val="TableText"/>
              <w:spacing w:before="50" w:line="225" w:lineRule="auto"/>
              <w:ind w:left="59"/>
              <w:rPr>
                <w:rFonts w:ascii="Times New Roman" w:hAnsi="Times New Roman"/>
                <w:color w:val="auto"/>
                <w:sz w:val="21"/>
                <w:szCs w:val="21"/>
              </w:rPr>
            </w:pPr>
            <w:r>
              <w:rPr>
                <w:rFonts w:ascii="Times New Roman" w:hAnsi="Times New Roman"/>
                <w:color w:val="auto"/>
                <w:spacing w:val="-2"/>
                <w:sz w:val="21"/>
                <w:szCs w:val="21"/>
              </w:rPr>
              <w:t>11/11</w:t>
            </w:r>
            <w:r>
              <w:rPr>
                <w:rFonts w:ascii="Times New Roman" w:hAnsi="Times New Roman"/>
                <w:color w:val="auto"/>
                <w:spacing w:val="-2"/>
                <w:sz w:val="21"/>
                <w:szCs w:val="21"/>
              </w:rPr>
              <w:t>～</w:t>
            </w:r>
            <w:r>
              <w:rPr>
                <w:rFonts w:ascii="Times New Roman" w:hAnsi="Times New Roman"/>
                <w:color w:val="auto"/>
                <w:spacing w:val="-2"/>
                <w:sz w:val="21"/>
                <w:szCs w:val="21"/>
              </w:rPr>
              <w:t>11/20</w:t>
            </w:r>
          </w:p>
        </w:tc>
        <w:tc>
          <w:tcPr>
            <w:tcW w:w="1049" w:type="dxa"/>
          </w:tcPr>
          <w:p w14:paraId="4C531BDF" w14:textId="77777777" w:rsidR="0075791A" w:rsidRDefault="00FB2864">
            <w:pPr>
              <w:pStyle w:val="TableText"/>
              <w:spacing w:before="87" w:line="181" w:lineRule="auto"/>
              <w:ind w:left="415"/>
              <w:rPr>
                <w:rFonts w:ascii="Times New Roman" w:hAnsi="Times New Roman"/>
                <w:color w:val="auto"/>
                <w:sz w:val="21"/>
                <w:szCs w:val="21"/>
              </w:rPr>
            </w:pPr>
            <w:r>
              <w:rPr>
                <w:rFonts w:ascii="Times New Roman" w:hAnsi="Times New Roman"/>
                <w:color w:val="auto"/>
                <w:spacing w:val="-2"/>
                <w:sz w:val="21"/>
                <w:szCs w:val="21"/>
              </w:rPr>
              <w:t>TY</w:t>
            </w:r>
          </w:p>
        </w:tc>
        <w:tc>
          <w:tcPr>
            <w:tcW w:w="1069" w:type="dxa"/>
          </w:tcPr>
          <w:p w14:paraId="2B61137A" w14:textId="77777777" w:rsidR="0075791A" w:rsidRDefault="00FB2864">
            <w:pPr>
              <w:pStyle w:val="TableText"/>
              <w:spacing w:before="50" w:line="225" w:lineRule="auto"/>
              <w:ind w:left="323"/>
              <w:rPr>
                <w:rFonts w:ascii="Times New Roman" w:hAnsi="Times New Roman"/>
                <w:color w:val="auto"/>
                <w:sz w:val="21"/>
                <w:szCs w:val="21"/>
              </w:rPr>
            </w:pPr>
            <w:r>
              <w:rPr>
                <w:rFonts w:ascii="Times New Roman" w:hAnsi="Times New Roman"/>
                <w:color w:val="auto"/>
                <w:spacing w:val="-2"/>
                <w:sz w:val="21"/>
                <w:szCs w:val="21"/>
              </w:rPr>
              <w:t>三亚</w:t>
            </w:r>
          </w:p>
        </w:tc>
        <w:tc>
          <w:tcPr>
            <w:tcW w:w="1531" w:type="dxa"/>
          </w:tcPr>
          <w:p w14:paraId="46350484" w14:textId="77777777" w:rsidR="0075791A" w:rsidRDefault="00FB2864">
            <w:pPr>
              <w:pStyle w:val="TableText"/>
              <w:spacing w:before="50" w:line="225" w:lineRule="auto"/>
              <w:ind w:left="103"/>
              <w:rPr>
                <w:rFonts w:ascii="Times New Roman" w:hAnsi="Times New Roman"/>
                <w:color w:val="auto"/>
                <w:sz w:val="21"/>
                <w:szCs w:val="21"/>
              </w:rPr>
            </w:pPr>
            <w:r>
              <w:rPr>
                <w:rFonts w:ascii="Times New Roman" w:hAnsi="Times New Roman"/>
                <w:color w:val="auto"/>
                <w:spacing w:val="-4"/>
                <w:sz w:val="21"/>
                <w:szCs w:val="21"/>
              </w:rPr>
              <w:t>11/1819</w:t>
            </w:r>
            <w:r>
              <w:rPr>
                <w:rFonts w:ascii="Times New Roman" w:hAnsi="Times New Roman"/>
                <w:color w:val="auto"/>
                <w:spacing w:val="-4"/>
                <w:sz w:val="21"/>
                <w:szCs w:val="21"/>
              </w:rPr>
              <w:t>～</w:t>
            </w:r>
            <w:r>
              <w:rPr>
                <w:rFonts w:ascii="Times New Roman" w:hAnsi="Times New Roman"/>
                <w:color w:val="auto"/>
                <w:spacing w:val="-4"/>
                <w:sz w:val="21"/>
                <w:szCs w:val="21"/>
              </w:rPr>
              <w:t>20h</w:t>
            </w:r>
          </w:p>
        </w:tc>
        <w:tc>
          <w:tcPr>
            <w:tcW w:w="1381" w:type="dxa"/>
          </w:tcPr>
          <w:p w14:paraId="7AFB0395" w14:textId="77777777" w:rsidR="0075791A" w:rsidRDefault="00FB2864">
            <w:pPr>
              <w:pStyle w:val="TableText"/>
              <w:spacing w:before="85" w:line="182" w:lineRule="auto"/>
              <w:ind w:left="540"/>
              <w:rPr>
                <w:rFonts w:ascii="Times New Roman" w:hAnsi="Times New Roman"/>
                <w:color w:val="auto"/>
                <w:sz w:val="21"/>
                <w:szCs w:val="21"/>
              </w:rPr>
            </w:pPr>
            <w:r>
              <w:rPr>
                <w:rFonts w:ascii="Times New Roman" w:hAnsi="Times New Roman"/>
                <w:color w:val="auto"/>
                <w:spacing w:val="-2"/>
                <w:sz w:val="21"/>
                <w:szCs w:val="21"/>
              </w:rPr>
              <w:t>973</w:t>
            </w:r>
          </w:p>
        </w:tc>
        <w:tc>
          <w:tcPr>
            <w:tcW w:w="1251" w:type="dxa"/>
            <w:tcBorders>
              <w:right w:val="single" w:sz="6" w:space="0" w:color="000000"/>
            </w:tcBorders>
          </w:tcPr>
          <w:p w14:paraId="0AC55DD9" w14:textId="77777777" w:rsidR="0075791A" w:rsidRDefault="00FB2864">
            <w:pPr>
              <w:pStyle w:val="TableText"/>
              <w:spacing w:before="84" w:line="183" w:lineRule="auto"/>
              <w:ind w:left="537"/>
              <w:rPr>
                <w:rFonts w:ascii="Times New Roman" w:hAnsi="Times New Roman"/>
                <w:color w:val="auto"/>
                <w:sz w:val="21"/>
                <w:szCs w:val="21"/>
              </w:rPr>
            </w:pPr>
            <w:r>
              <w:rPr>
                <w:rFonts w:ascii="Times New Roman" w:hAnsi="Times New Roman"/>
                <w:color w:val="auto"/>
                <w:spacing w:val="-6"/>
                <w:sz w:val="21"/>
                <w:szCs w:val="21"/>
              </w:rPr>
              <w:t>12</w:t>
            </w:r>
          </w:p>
        </w:tc>
      </w:tr>
      <w:tr w:rsidR="0075791A" w14:paraId="444FD77A" w14:textId="77777777">
        <w:trPr>
          <w:trHeight w:val="318"/>
        </w:trPr>
        <w:tc>
          <w:tcPr>
            <w:tcW w:w="438" w:type="dxa"/>
            <w:tcBorders>
              <w:left w:val="single" w:sz="6" w:space="0" w:color="000000"/>
            </w:tcBorders>
          </w:tcPr>
          <w:p w14:paraId="3EFEFF2A" w14:textId="77777777" w:rsidR="0075791A" w:rsidRDefault="00FB2864">
            <w:pPr>
              <w:pStyle w:val="TableText"/>
              <w:spacing w:before="88" w:line="182" w:lineRule="auto"/>
              <w:ind w:left="162"/>
              <w:rPr>
                <w:rFonts w:ascii="Times New Roman" w:hAnsi="Times New Roman"/>
                <w:color w:val="auto"/>
                <w:sz w:val="21"/>
                <w:szCs w:val="21"/>
              </w:rPr>
            </w:pPr>
            <w:r>
              <w:rPr>
                <w:rFonts w:ascii="Times New Roman" w:hAnsi="Times New Roman"/>
                <w:color w:val="auto"/>
                <w:sz w:val="21"/>
                <w:szCs w:val="21"/>
              </w:rPr>
              <w:t>4</w:t>
            </w:r>
          </w:p>
        </w:tc>
        <w:tc>
          <w:tcPr>
            <w:tcW w:w="685" w:type="dxa"/>
          </w:tcPr>
          <w:p w14:paraId="578FC1A7" w14:textId="77777777" w:rsidR="0075791A" w:rsidRDefault="00FB2864">
            <w:pPr>
              <w:pStyle w:val="TableText"/>
              <w:spacing w:before="88" w:line="182" w:lineRule="auto"/>
              <w:ind w:left="131"/>
              <w:rPr>
                <w:rFonts w:ascii="Times New Roman" w:hAnsi="Times New Roman"/>
                <w:color w:val="auto"/>
                <w:sz w:val="21"/>
                <w:szCs w:val="21"/>
              </w:rPr>
            </w:pPr>
            <w:r>
              <w:rPr>
                <w:rFonts w:ascii="Times New Roman" w:hAnsi="Times New Roman"/>
                <w:color w:val="auto"/>
                <w:spacing w:val="-3"/>
                <w:sz w:val="21"/>
                <w:szCs w:val="21"/>
              </w:rPr>
              <w:t>7809</w:t>
            </w:r>
          </w:p>
        </w:tc>
        <w:tc>
          <w:tcPr>
            <w:tcW w:w="1350" w:type="dxa"/>
          </w:tcPr>
          <w:p w14:paraId="410503E0" w14:textId="77777777" w:rsidR="0075791A" w:rsidRDefault="00FB2864">
            <w:pPr>
              <w:pStyle w:val="TableText"/>
              <w:spacing w:before="53" w:line="224" w:lineRule="auto"/>
              <w:ind w:left="45"/>
              <w:rPr>
                <w:rFonts w:ascii="Times New Roman" w:hAnsi="Times New Roman"/>
                <w:color w:val="auto"/>
                <w:sz w:val="21"/>
                <w:szCs w:val="21"/>
              </w:rPr>
            </w:pPr>
            <w:r>
              <w:rPr>
                <w:rFonts w:ascii="Times New Roman" w:hAnsi="Times New Roman"/>
                <w:color w:val="auto"/>
                <w:spacing w:val="-1"/>
                <w:sz w:val="21"/>
                <w:szCs w:val="21"/>
              </w:rPr>
              <w:t>08/09</w:t>
            </w:r>
            <w:r>
              <w:rPr>
                <w:rFonts w:ascii="Times New Roman" w:hAnsi="Times New Roman"/>
                <w:color w:val="auto"/>
                <w:spacing w:val="-1"/>
                <w:sz w:val="21"/>
                <w:szCs w:val="21"/>
              </w:rPr>
              <w:t>～</w:t>
            </w:r>
            <w:r>
              <w:rPr>
                <w:rFonts w:ascii="Times New Roman" w:hAnsi="Times New Roman"/>
                <w:color w:val="auto"/>
                <w:spacing w:val="-1"/>
                <w:sz w:val="21"/>
                <w:szCs w:val="21"/>
              </w:rPr>
              <w:t>08/13</w:t>
            </w:r>
          </w:p>
        </w:tc>
        <w:tc>
          <w:tcPr>
            <w:tcW w:w="1049" w:type="dxa"/>
          </w:tcPr>
          <w:p w14:paraId="78728AE7" w14:textId="77777777" w:rsidR="0075791A" w:rsidRDefault="00FB2864">
            <w:pPr>
              <w:pStyle w:val="TableText"/>
              <w:spacing w:before="88" w:line="182" w:lineRule="auto"/>
              <w:ind w:left="415"/>
              <w:rPr>
                <w:rFonts w:ascii="Times New Roman" w:hAnsi="Times New Roman"/>
                <w:color w:val="auto"/>
                <w:sz w:val="21"/>
                <w:szCs w:val="21"/>
              </w:rPr>
            </w:pPr>
            <w:r>
              <w:rPr>
                <w:rFonts w:ascii="Times New Roman" w:hAnsi="Times New Roman"/>
                <w:color w:val="auto"/>
                <w:spacing w:val="-2"/>
                <w:sz w:val="21"/>
                <w:szCs w:val="21"/>
              </w:rPr>
              <w:t>TS</w:t>
            </w:r>
          </w:p>
        </w:tc>
        <w:tc>
          <w:tcPr>
            <w:tcW w:w="1069" w:type="dxa"/>
          </w:tcPr>
          <w:p w14:paraId="5D47BAA6" w14:textId="77777777" w:rsidR="0075791A" w:rsidRDefault="00FB2864">
            <w:pPr>
              <w:pStyle w:val="TableText"/>
              <w:spacing w:before="52" w:line="221" w:lineRule="auto"/>
              <w:ind w:left="128"/>
              <w:rPr>
                <w:rFonts w:ascii="Times New Roman" w:hAnsi="Times New Roman"/>
                <w:color w:val="auto"/>
                <w:sz w:val="21"/>
                <w:szCs w:val="21"/>
              </w:rPr>
            </w:pPr>
            <w:r>
              <w:rPr>
                <w:rFonts w:ascii="Times New Roman" w:hAnsi="Times New Roman"/>
                <w:color w:val="auto"/>
                <w:spacing w:val="-5"/>
                <w:sz w:val="21"/>
                <w:szCs w:val="21"/>
              </w:rPr>
              <w:t>陵水三亚</w:t>
            </w:r>
          </w:p>
        </w:tc>
        <w:tc>
          <w:tcPr>
            <w:tcW w:w="1531" w:type="dxa"/>
          </w:tcPr>
          <w:p w14:paraId="23D06087" w14:textId="77777777" w:rsidR="0075791A" w:rsidRDefault="00FB2864">
            <w:pPr>
              <w:pStyle w:val="TableText"/>
              <w:spacing w:before="53" w:line="224" w:lineRule="auto"/>
              <w:ind w:left="298"/>
              <w:rPr>
                <w:rFonts w:ascii="Times New Roman" w:hAnsi="Times New Roman"/>
                <w:color w:val="auto"/>
                <w:sz w:val="21"/>
                <w:szCs w:val="21"/>
              </w:rPr>
            </w:pPr>
            <w:r>
              <w:rPr>
                <w:rFonts w:ascii="Times New Roman" w:hAnsi="Times New Roman"/>
                <w:color w:val="auto"/>
                <w:spacing w:val="-3"/>
                <w:sz w:val="21"/>
                <w:szCs w:val="21"/>
              </w:rPr>
              <w:t>08/1110h</w:t>
            </w:r>
          </w:p>
        </w:tc>
        <w:tc>
          <w:tcPr>
            <w:tcW w:w="1381" w:type="dxa"/>
          </w:tcPr>
          <w:p w14:paraId="0C13D5F1" w14:textId="77777777" w:rsidR="0075791A" w:rsidRDefault="00FB2864">
            <w:pPr>
              <w:pStyle w:val="TableText"/>
              <w:spacing w:before="88" w:line="182" w:lineRule="auto"/>
              <w:ind w:left="540"/>
              <w:rPr>
                <w:rFonts w:ascii="Times New Roman" w:hAnsi="Times New Roman"/>
                <w:color w:val="auto"/>
                <w:sz w:val="21"/>
                <w:szCs w:val="21"/>
              </w:rPr>
            </w:pPr>
            <w:r>
              <w:rPr>
                <w:rFonts w:ascii="Times New Roman" w:hAnsi="Times New Roman"/>
                <w:color w:val="auto"/>
                <w:spacing w:val="-2"/>
                <w:sz w:val="21"/>
                <w:szCs w:val="21"/>
              </w:rPr>
              <w:t>983</w:t>
            </w:r>
          </w:p>
        </w:tc>
        <w:tc>
          <w:tcPr>
            <w:tcW w:w="1251" w:type="dxa"/>
            <w:tcBorders>
              <w:right w:val="single" w:sz="6" w:space="0" w:color="000000"/>
            </w:tcBorders>
          </w:tcPr>
          <w:p w14:paraId="7003292F" w14:textId="77777777" w:rsidR="0075791A" w:rsidRDefault="00FB2864">
            <w:pPr>
              <w:pStyle w:val="TableText"/>
              <w:spacing w:before="88" w:line="182" w:lineRule="auto"/>
              <w:ind w:left="575"/>
              <w:rPr>
                <w:rFonts w:ascii="Times New Roman" w:hAnsi="Times New Roman"/>
                <w:color w:val="auto"/>
                <w:sz w:val="21"/>
                <w:szCs w:val="21"/>
              </w:rPr>
            </w:pPr>
            <w:r>
              <w:rPr>
                <w:rFonts w:ascii="Times New Roman" w:hAnsi="Times New Roman"/>
                <w:color w:val="auto"/>
                <w:sz w:val="21"/>
                <w:szCs w:val="21"/>
              </w:rPr>
              <w:t>8</w:t>
            </w:r>
          </w:p>
        </w:tc>
      </w:tr>
      <w:tr w:rsidR="0075791A" w14:paraId="79EC6DFB" w14:textId="77777777">
        <w:trPr>
          <w:trHeight w:val="316"/>
        </w:trPr>
        <w:tc>
          <w:tcPr>
            <w:tcW w:w="438" w:type="dxa"/>
            <w:tcBorders>
              <w:left w:val="single" w:sz="6" w:space="0" w:color="000000"/>
            </w:tcBorders>
          </w:tcPr>
          <w:p w14:paraId="460A3046" w14:textId="77777777" w:rsidR="0075791A" w:rsidRDefault="00FB2864">
            <w:pPr>
              <w:pStyle w:val="TableText"/>
              <w:spacing w:before="88" w:line="181" w:lineRule="auto"/>
              <w:ind w:left="167"/>
              <w:rPr>
                <w:rFonts w:ascii="Times New Roman" w:hAnsi="Times New Roman"/>
                <w:color w:val="auto"/>
                <w:sz w:val="21"/>
                <w:szCs w:val="21"/>
              </w:rPr>
            </w:pPr>
            <w:r>
              <w:rPr>
                <w:rFonts w:ascii="Times New Roman" w:hAnsi="Times New Roman"/>
                <w:color w:val="auto"/>
                <w:sz w:val="21"/>
                <w:szCs w:val="21"/>
              </w:rPr>
              <w:t>5</w:t>
            </w:r>
          </w:p>
        </w:tc>
        <w:tc>
          <w:tcPr>
            <w:tcW w:w="685" w:type="dxa"/>
          </w:tcPr>
          <w:p w14:paraId="0FEAB5D0" w14:textId="77777777" w:rsidR="0075791A" w:rsidRDefault="00FB2864">
            <w:pPr>
              <w:pStyle w:val="TableText"/>
              <w:spacing w:before="86" w:line="183" w:lineRule="auto"/>
              <w:ind w:left="127"/>
              <w:rPr>
                <w:rFonts w:ascii="Times New Roman" w:hAnsi="Times New Roman"/>
                <w:color w:val="auto"/>
                <w:sz w:val="21"/>
                <w:szCs w:val="21"/>
              </w:rPr>
            </w:pPr>
            <w:r>
              <w:rPr>
                <w:rFonts w:ascii="Times New Roman" w:hAnsi="Times New Roman"/>
                <w:color w:val="auto"/>
                <w:spacing w:val="-2"/>
                <w:sz w:val="21"/>
                <w:szCs w:val="21"/>
              </w:rPr>
              <w:t>8105</w:t>
            </w:r>
          </w:p>
        </w:tc>
        <w:tc>
          <w:tcPr>
            <w:tcW w:w="1350" w:type="dxa"/>
          </w:tcPr>
          <w:p w14:paraId="3A4DB1DF" w14:textId="77777777" w:rsidR="0075791A" w:rsidRDefault="00FB2864">
            <w:pPr>
              <w:pStyle w:val="TableText"/>
              <w:spacing w:before="52" w:line="223" w:lineRule="auto"/>
              <w:ind w:left="45"/>
              <w:rPr>
                <w:rFonts w:ascii="Times New Roman" w:hAnsi="Times New Roman"/>
                <w:color w:val="auto"/>
                <w:sz w:val="21"/>
                <w:szCs w:val="21"/>
              </w:rPr>
            </w:pPr>
            <w:r>
              <w:rPr>
                <w:rFonts w:ascii="Times New Roman" w:hAnsi="Times New Roman"/>
                <w:color w:val="auto"/>
                <w:spacing w:val="-1"/>
                <w:sz w:val="21"/>
                <w:szCs w:val="21"/>
              </w:rPr>
              <w:t>06/27</w:t>
            </w:r>
            <w:r>
              <w:rPr>
                <w:rFonts w:ascii="Times New Roman" w:hAnsi="Times New Roman"/>
                <w:color w:val="auto"/>
                <w:spacing w:val="-1"/>
                <w:sz w:val="21"/>
                <w:szCs w:val="21"/>
              </w:rPr>
              <w:t>～</w:t>
            </w:r>
            <w:r>
              <w:rPr>
                <w:rFonts w:ascii="Times New Roman" w:hAnsi="Times New Roman"/>
                <w:color w:val="auto"/>
                <w:spacing w:val="-1"/>
                <w:sz w:val="21"/>
                <w:szCs w:val="21"/>
              </w:rPr>
              <w:t>07/05</w:t>
            </w:r>
          </w:p>
        </w:tc>
        <w:tc>
          <w:tcPr>
            <w:tcW w:w="1049" w:type="dxa"/>
          </w:tcPr>
          <w:p w14:paraId="51AD9286" w14:textId="77777777" w:rsidR="0075791A" w:rsidRDefault="00FB2864">
            <w:pPr>
              <w:pStyle w:val="TableText"/>
              <w:spacing w:before="87" w:line="182" w:lineRule="auto"/>
              <w:ind w:left="368"/>
              <w:rPr>
                <w:rFonts w:ascii="Times New Roman" w:hAnsi="Times New Roman"/>
                <w:color w:val="auto"/>
                <w:sz w:val="21"/>
                <w:szCs w:val="21"/>
              </w:rPr>
            </w:pPr>
            <w:r>
              <w:rPr>
                <w:rFonts w:ascii="Times New Roman" w:hAnsi="Times New Roman"/>
                <w:color w:val="auto"/>
                <w:spacing w:val="-2"/>
                <w:sz w:val="21"/>
                <w:szCs w:val="21"/>
              </w:rPr>
              <w:t>STY</w:t>
            </w:r>
          </w:p>
        </w:tc>
        <w:tc>
          <w:tcPr>
            <w:tcW w:w="1069" w:type="dxa"/>
          </w:tcPr>
          <w:p w14:paraId="0ADB08B5" w14:textId="77777777" w:rsidR="0075791A" w:rsidRDefault="00FB2864">
            <w:pPr>
              <w:pStyle w:val="TableText"/>
              <w:spacing w:before="52" w:line="223" w:lineRule="auto"/>
              <w:ind w:left="323"/>
              <w:rPr>
                <w:rFonts w:ascii="Times New Roman" w:hAnsi="Times New Roman"/>
                <w:color w:val="auto"/>
                <w:sz w:val="21"/>
                <w:szCs w:val="21"/>
              </w:rPr>
            </w:pPr>
            <w:r>
              <w:rPr>
                <w:rFonts w:ascii="Times New Roman" w:hAnsi="Times New Roman"/>
                <w:color w:val="auto"/>
                <w:spacing w:val="-2"/>
                <w:sz w:val="21"/>
                <w:szCs w:val="21"/>
              </w:rPr>
              <w:t>三亚</w:t>
            </w:r>
          </w:p>
        </w:tc>
        <w:tc>
          <w:tcPr>
            <w:tcW w:w="1531" w:type="dxa"/>
          </w:tcPr>
          <w:p w14:paraId="0FE9BC0F" w14:textId="77777777" w:rsidR="0075791A" w:rsidRDefault="00FB2864">
            <w:pPr>
              <w:pStyle w:val="TableText"/>
              <w:spacing w:before="52" w:line="223" w:lineRule="auto"/>
              <w:ind w:left="89"/>
              <w:rPr>
                <w:rFonts w:ascii="Times New Roman" w:hAnsi="Times New Roman"/>
                <w:color w:val="auto"/>
                <w:sz w:val="21"/>
                <w:szCs w:val="21"/>
              </w:rPr>
            </w:pPr>
            <w:r>
              <w:rPr>
                <w:rFonts w:ascii="Times New Roman" w:hAnsi="Times New Roman"/>
                <w:color w:val="auto"/>
                <w:spacing w:val="-1"/>
                <w:sz w:val="21"/>
                <w:szCs w:val="21"/>
              </w:rPr>
              <w:t>07/0402</w:t>
            </w:r>
            <w:r>
              <w:rPr>
                <w:rFonts w:ascii="Times New Roman" w:hAnsi="Times New Roman"/>
                <w:color w:val="auto"/>
                <w:spacing w:val="-1"/>
                <w:sz w:val="21"/>
                <w:szCs w:val="21"/>
              </w:rPr>
              <w:t>～</w:t>
            </w:r>
            <w:r>
              <w:rPr>
                <w:rFonts w:ascii="Times New Roman" w:hAnsi="Times New Roman"/>
                <w:color w:val="auto"/>
                <w:spacing w:val="-1"/>
                <w:sz w:val="21"/>
                <w:szCs w:val="21"/>
              </w:rPr>
              <w:t>03h</w:t>
            </w:r>
          </w:p>
        </w:tc>
        <w:tc>
          <w:tcPr>
            <w:tcW w:w="1381" w:type="dxa"/>
          </w:tcPr>
          <w:p w14:paraId="14E036B0" w14:textId="77777777" w:rsidR="0075791A" w:rsidRDefault="00FB2864">
            <w:pPr>
              <w:pStyle w:val="TableText"/>
              <w:spacing w:before="87" w:line="182" w:lineRule="auto"/>
              <w:ind w:left="540"/>
              <w:rPr>
                <w:rFonts w:ascii="Times New Roman" w:hAnsi="Times New Roman"/>
                <w:color w:val="auto"/>
                <w:sz w:val="21"/>
                <w:szCs w:val="21"/>
              </w:rPr>
            </w:pPr>
            <w:r>
              <w:rPr>
                <w:rFonts w:ascii="Times New Roman" w:hAnsi="Times New Roman"/>
                <w:color w:val="auto"/>
                <w:spacing w:val="-2"/>
                <w:sz w:val="21"/>
                <w:szCs w:val="21"/>
              </w:rPr>
              <w:t>965</w:t>
            </w:r>
          </w:p>
        </w:tc>
        <w:tc>
          <w:tcPr>
            <w:tcW w:w="1251" w:type="dxa"/>
            <w:tcBorders>
              <w:right w:val="single" w:sz="6" w:space="0" w:color="000000"/>
            </w:tcBorders>
          </w:tcPr>
          <w:p w14:paraId="789EA9FE" w14:textId="77777777" w:rsidR="0075791A" w:rsidRDefault="00FB2864">
            <w:pPr>
              <w:pStyle w:val="TableText"/>
              <w:spacing w:before="85" w:line="183" w:lineRule="auto"/>
              <w:ind w:left="537"/>
              <w:rPr>
                <w:rFonts w:ascii="Times New Roman" w:hAnsi="Times New Roman"/>
                <w:color w:val="auto"/>
                <w:sz w:val="21"/>
                <w:szCs w:val="21"/>
              </w:rPr>
            </w:pPr>
            <w:r>
              <w:rPr>
                <w:rFonts w:ascii="Times New Roman" w:hAnsi="Times New Roman"/>
                <w:color w:val="auto"/>
                <w:spacing w:val="-6"/>
                <w:sz w:val="21"/>
                <w:szCs w:val="21"/>
              </w:rPr>
              <w:t>12</w:t>
            </w:r>
          </w:p>
        </w:tc>
      </w:tr>
      <w:tr w:rsidR="0075791A" w14:paraId="4AB79495" w14:textId="77777777">
        <w:trPr>
          <w:trHeight w:val="316"/>
        </w:trPr>
        <w:tc>
          <w:tcPr>
            <w:tcW w:w="438" w:type="dxa"/>
            <w:tcBorders>
              <w:left w:val="single" w:sz="6" w:space="0" w:color="000000"/>
            </w:tcBorders>
          </w:tcPr>
          <w:p w14:paraId="7E4427FF" w14:textId="77777777" w:rsidR="0075791A" w:rsidRDefault="00FB2864">
            <w:pPr>
              <w:pStyle w:val="TableText"/>
              <w:spacing w:before="87" w:line="182" w:lineRule="auto"/>
              <w:ind w:left="165"/>
              <w:rPr>
                <w:rFonts w:ascii="Times New Roman" w:hAnsi="Times New Roman"/>
                <w:color w:val="auto"/>
                <w:sz w:val="21"/>
                <w:szCs w:val="21"/>
              </w:rPr>
            </w:pPr>
            <w:r>
              <w:rPr>
                <w:rFonts w:ascii="Times New Roman" w:hAnsi="Times New Roman"/>
                <w:color w:val="auto"/>
                <w:sz w:val="21"/>
                <w:szCs w:val="21"/>
              </w:rPr>
              <w:t>6</w:t>
            </w:r>
          </w:p>
        </w:tc>
        <w:tc>
          <w:tcPr>
            <w:tcW w:w="685" w:type="dxa"/>
          </w:tcPr>
          <w:p w14:paraId="17BF5E8C" w14:textId="77777777" w:rsidR="0075791A" w:rsidRDefault="00FB2864">
            <w:pPr>
              <w:pStyle w:val="TableText"/>
              <w:spacing w:before="86" w:line="183" w:lineRule="auto"/>
              <w:ind w:left="127"/>
              <w:rPr>
                <w:rFonts w:ascii="Times New Roman" w:hAnsi="Times New Roman"/>
                <w:color w:val="auto"/>
                <w:sz w:val="21"/>
                <w:szCs w:val="21"/>
              </w:rPr>
            </w:pPr>
            <w:r>
              <w:rPr>
                <w:rFonts w:ascii="Times New Roman" w:hAnsi="Times New Roman"/>
                <w:color w:val="auto"/>
                <w:spacing w:val="-2"/>
                <w:sz w:val="21"/>
                <w:szCs w:val="21"/>
              </w:rPr>
              <w:t>8521</w:t>
            </w:r>
          </w:p>
        </w:tc>
        <w:tc>
          <w:tcPr>
            <w:tcW w:w="1350" w:type="dxa"/>
          </w:tcPr>
          <w:p w14:paraId="239ACC8B" w14:textId="77777777" w:rsidR="0075791A" w:rsidRDefault="00FB2864">
            <w:pPr>
              <w:pStyle w:val="TableText"/>
              <w:spacing w:before="52" w:line="223" w:lineRule="auto"/>
              <w:ind w:left="59"/>
              <w:rPr>
                <w:rFonts w:ascii="Times New Roman" w:hAnsi="Times New Roman"/>
                <w:color w:val="auto"/>
                <w:sz w:val="21"/>
                <w:szCs w:val="21"/>
              </w:rPr>
            </w:pPr>
            <w:r>
              <w:rPr>
                <w:rFonts w:ascii="Times New Roman" w:hAnsi="Times New Roman"/>
                <w:color w:val="auto"/>
                <w:spacing w:val="-2"/>
                <w:sz w:val="21"/>
                <w:szCs w:val="21"/>
              </w:rPr>
              <w:t>10/11</w:t>
            </w:r>
            <w:r>
              <w:rPr>
                <w:rFonts w:ascii="Times New Roman" w:hAnsi="Times New Roman"/>
                <w:color w:val="auto"/>
                <w:spacing w:val="-2"/>
                <w:sz w:val="21"/>
                <w:szCs w:val="21"/>
              </w:rPr>
              <w:t>～</w:t>
            </w:r>
            <w:r>
              <w:rPr>
                <w:rFonts w:ascii="Times New Roman" w:hAnsi="Times New Roman"/>
                <w:color w:val="auto"/>
                <w:spacing w:val="-2"/>
                <w:sz w:val="21"/>
                <w:szCs w:val="21"/>
              </w:rPr>
              <w:t>10/22</w:t>
            </w:r>
          </w:p>
        </w:tc>
        <w:tc>
          <w:tcPr>
            <w:tcW w:w="1049" w:type="dxa"/>
          </w:tcPr>
          <w:p w14:paraId="04A5C65E" w14:textId="77777777" w:rsidR="0075791A" w:rsidRDefault="00FB2864">
            <w:pPr>
              <w:pStyle w:val="TableText"/>
              <w:spacing w:before="88" w:line="181" w:lineRule="auto"/>
              <w:ind w:left="415"/>
              <w:rPr>
                <w:rFonts w:ascii="Times New Roman" w:hAnsi="Times New Roman"/>
                <w:color w:val="auto"/>
                <w:sz w:val="21"/>
                <w:szCs w:val="21"/>
              </w:rPr>
            </w:pPr>
            <w:r>
              <w:rPr>
                <w:rFonts w:ascii="Times New Roman" w:hAnsi="Times New Roman"/>
                <w:color w:val="auto"/>
                <w:spacing w:val="-2"/>
                <w:sz w:val="21"/>
                <w:szCs w:val="21"/>
              </w:rPr>
              <w:t>TY</w:t>
            </w:r>
          </w:p>
        </w:tc>
        <w:tc>
          <w:tcPr>
            <w:tcW w:w="1069" w:type="dxa"/>
          </w:tcPr>
          <w:p w14:paraId="66B7BDC4" w14:textId="77777777" w:rsidR="0075791A" w:rsidRDefault="00FB2864">
            <w:pPr>
              <w:pStyle w:val="TableText"/>
              <w:spacing w:before="52" w:line="223" w:lineRule="auto"/>
              <w:ind w:left="323"/>
              <w:rPr>
                <w:rFonts w:ascii="Times New Roman" w:hAnsi="Times New Roman"/>
                <w:color w:val="auto"/>
                <w:sz w:val="21"/>
                <w:szCs w:val="21"/>
              </w:rPr>
            </w:pPr>
            <w:r>
              <w:rPr>
                <w:rFonts w:ascii="Times New Roman" w:hAnsi="Times New Roman"/>
                <w:color w:val="auto"/>
                <w:spacing w:val="-2"/>
                <w:sz w:val="21"/>
                <w:szCs w:val="21"/>
              </w:rPr>
              <w:t>三亚</w:t>
            </w:r>
          </w:p>
        </w:tc>
        <w:tc>
          <w:tcPr>
            <w:tcW w:w="1531" w:type="dxa"/>
          </w:tcPr>
          <w:p w14:paraId="31F7FC31" w14:textId="77777777" w:rsidR="0075791A" w:rsidRDefault="00FB2864">
            <w:pPr>
              <w:pStyle w:val="TableText"/>
              <w:spacing w:before="52" w:line="223" w:lineRule="auto"/>
              <w:ind w:left="312"/>
              <w:rPr>
                <w:rFonts w:ascii="Times New Roman" w:hAnsi="Times New Roman"/>
                <w:color w:val="auto"/>
                <w:sz w:val="21"/>
                <w:szCs w:val="21"/>
              </w:rPr>
            </w:pPr>
            <w:r>
              <w:rPr>
                <w:rFonts w:ascii="Times New Roman" w:hAnsi="Times New Roman"/>
                <w:color w:val="auto"/>
                <w:spacing w:val="-4"/>
                <w:sz w:val="21"/>
                <w:szCs w:val="21"/>
              </w:rPr>
              <w:t>10/2108h</w:t>
            </w:r>
          </w:p>
        </w:tc>
        <w:tc>
          <w:tcPr>
            <w:tcW w:w="1381" w:type="dxa"/>
          </w:tcPr>
          <w:p w14:paraId="1192C489" w14:textId="77777777" w:rsidR="0075791A" w:rsidRDefault="00FB2864">
            <w:pPr>
              <w:pStyle w:val="TableText"/>
              <w:spacing w:before="87" w:line="182" w:lineRule="auto"/>
              <w:ind w:left="540"/>
              <w:rPr>
                <w:rFonts w:ascii="Times New Roman" w:hAnsi="Times New Roman"/>
                <w:color w:val="auto"/>
                <w:sz w:val="21"/>
                <w:szCs w:val="21"/>
              </w:rPr>
            </w:pPr>
            <w:r>
              <w:rPr>
                <w:rFonts w:ascii="Times New Roman" w:hAnsi="Times New Roman"/>
                <w:color w:val="auto"/>
                <w:spacing w:val="-2"/>
                <w:sz w:val="21"/>
                <w:szCs w:val="21"/>
              </w:rPr>
              <w:t>970</w:t>
            </w:r>
          </w:p>
        </w:tc>
        <w:tc>
          <w:tcPr>
            <w:tcW w:w="1251" w:type="dxa"/>
            <w:tcBorders>
              <w:right w:val="single" w:sz="6" w:space="0" w:color="000000"/>
            </w:tcBorders>
          </w:tcPr>
          <w:p w14:paraId="468A825A" w14:textId="77777777" w:rsidR="0075791A" w:rsidRDefault="00FB2864">
            <w:pPr>
              <w:pStyle w:val="TableText"/>
              <w:spacing w:before="86" w:line="183" w:lineRule="auto"/>
              <w:ind w:left="537"/>
              <w:rPr>
                <w:rFonts w:ascii="Times New Roman" w:hAnsi="Times New Roman"/>
                <w:color w:val="auto"/>
                <w:sz w:val="21"/>
                <w:szCs w:val="21"/>
              </w:rPr>
            </w:pPr>
            <w:r>
              <w:rPr>
                <w:rFonts w:ascii="Times New Roman" w:hAnsi="Times New Roman"/>
                <w:color w:val="auto"/>
                <w:spacing w:val="-6"/>
                <w:sz w:val="21"/>
                <w:szCs w:val="21"/>
              </w:rPr>
              <w:t>12</w:t>
            </w:r>
          </w:p>
        </w:tc>
      </w:tr>
      <w:tr w:rsidR="0075791A" w14:paraId="5DE7D022" w14:textId="77777777">
        <w:trPr>
          <w:trHeight w:val="316"/>
        </w:trPr>
        <w:tc>
          <w:tcPr>
            <w:tcW w:w="438" w:type="dxa"/>
            <w:tcBorders>
              <w:left w:val="single" w:sz="6" w:space="0" w:color="000000"/>
            </w:tcBorders>
          </w:tcPr>
          <w:p w14:paraId="7FCBE274" w14:textId="77777777" w:rsidR="0075791A" w:rsidRDefault="00FB2864">
            <w:pPr>
              <w:pStyle w:val="TableText"/>
              <w:spacing w:before="89" w:line="181" w:lineRule="auto"/>
              <w:ind w:left="168"/>
              <w:rPr>
                <w:rFonts w:ascii="Times New Roman" w:hAnsi="Times New Roman"/>
                <w:color w:val="auto"/>
                <w:sz w:val="21"/>
                <w:szCs w:val="21"/>
              </w:rPr>
            </w:pPr>
            <w:r>
              <w:rPr>
                <w:rFonts w:ascii="Times New Roman" w:hAnsi="Times New Roman"/>
                <w:color w:val="auto"/>
                <w:sz w:val="21"/>
                <w:szCs w:val="21"/>
              </w:rPr>
              <w:t>7</w:t>
            </w:r>
          </w:p>
        </w:tc>
        <w:tc>
          <w:tcPr>
            <w:tcW w:w="685" w:type="dxa"/>
          </w:tcPr>
          <w:p w14:paraId="4BBB8389" w14:textId="77777777" w:rsidR="0075791A" w:rsidRDefault="00FB2864">
            <w:pPr>
              <w:pStyle w:val="TableText"/>
              <w:spacing w:before="87" w:line="182" w:lineRule="auto"/>
              <w:ind w:left="127"/>
              <w:rPr>
                <w:rFonts w:ascii="Times New Roman" w:hAnsi="Times New Roman"/>
                <w:color w:val="auto"/>
                <w:sz w:val="21"/>
                <w:szCs w:val="21"/>
              </w:rPr>
            </w:pPr>
            <w:r>
              <w:rPr>
                <w:rFonts w:ascii="Times New Roman" w:hAnsi="Times New Roman"/>
                <w:color w:val="auto"/>
                <w:spacing w:val="-2"/>
                <w:sz w:val="21"/>
                <w:szCs w:val="21"/>
              </w:rPr>
              <w:t>8905</w:t>
            </w:r>
          </w:p>
        </w:tc>
        <w:tc>
          <w:tcPr>
            <w:tcW w:w="1350" w:type="dxa"/>
          </w:tcPr>
          <w:p w14:paraId="73B2014C" w14:textId="77777777" w:rsidR="0075791A" w:rsidRDefault="00FB2864">
            <w:pPr>
              <w:pStyle w:val="TableText"/>
              <w:spacing w:before="52" w:line="223" w:lineRule="auto"/>
              <w:ind w:left="45"/>
              <w:rPr>
                <w:rFonts w:ascii="Times New Roman" w:hAnsi="Times New Roman"/>
                <w:color w:val="auto"/>
                <w:sz w:val="21"/>
                <w:szCs w:val="21"/>
              </w:rPr>
            </w:pPr>
            <w:r>
              <w:rPr>
                <w:rFonts w:ascii="Times New Roman" w:hAnsi="Times New Roman"/>
                <w:color w:val="auto"/>
                <w:spacing w:val="-1"/>
                <w:sz w:val="21"/>
                <w:szCs w:val="21"/>
              </w:rPr>
              <w:t>06/04</w:t>
            </w:r>
            <w:r>
              <w:rPr>
                <w:rFonts w:ascii="Times New Roman" w:hAnsi="Times New Roman"/>
                <w:color w:val="auto"/>
                <w:spacing w:val="-1"/>
                <w:sz w:val="21"/>
                <w:szCs w:val="21"/>
              </w:rPr>
              <w:t>～</w:t>
            </w:r>
            <w:r>
              <w:rPr>
                <w:rFonts w:ascii="Times New Roman" w:hAnsi="Times New Roman"/>
                <w:color w:val="auto"/>
                <w:spacing w:val="-1"/>
                <w:sz w:val="21"/>
                <w:szCs w:val="21"/>
              </w:rPr>
              <w:t>06/12</w:t>
            </w:r>
          </w:p>
        </w:tc>
        <w:tc>
          <w:tcPr>
            <w:tcW w:w="1049" w:type="dxa"/>
          </w:tcPr>
          <w:p w14:paraId="0EE8BB58" w14:textId="77777777" w:rsidR="0075791A" w:rsidRDefault="00FB2864">
            <w:pPr>
              <w:pStyle w:val="TableText"/>
              <w:spacing w:before="89" w:line="181" w:lineRule="auto"/>
              <w:ind w:left="415"/>
              <w:rPr>
                <w:rFonts w:ascii="Times New Roman" w:hAnsi="Times New Roman"/>
                <w:color w:val="auto"/>
                <w:sz w:val="21"/>
                <w:szCs w:val="21"/>
              </w:rPr>
            </w:pPr>
            <w:r>
              <w:rPr>
                <w:rFonts w:ascii="Times New Roman" w:hAnsi="Times New Roman"/>
                <w:color w:val="auto"/>
                <w:spacing w:val="-2"/>
                <w:sz w:val="21"/>
                <w:szCs w:val="21"/>
              </w:rPr>
              <w:t>TY</w:t>
            </w:r>
          </w:p>
        </w:tc>
        <w:tc>
          <w:tcPr>
            <w:tcW w:w="1069" w:type="dxa"/>
          </w:tcPr>
          <w:p w14:paraId="1167E6D4" w14:textId="77777777" w:rsidR="0075791A" w:rsidRDefault="00FB2864">
            <w:pPr>
              <w:pStyle w:val="TableText"/>
              <w:spacing w:before="52" w:line="221" w:lineRule="auto"/>
              <w:ind w:left="128"/>
              <w:rPr>
                <w:rFonts w:ascii="Times New Roman" w:hAnsi="Times New Roman"/>
                <w:color w:val="auto"/>
                <w:sz w:val="21"/>
                <w:szCs w:val="21"/>
              </w:rPr>
            </w:pPr>
            <w:r>
              <w:rPr>
                <w:rFonts w:ascii="Times New Roman" w:hAnsi="Times New Roman"/>
                <w:color w:val="auto"/>
                <w:spacing w:val="-5"/>
                <w:sz w:val="21"/>
                <w:szCs w:val="21"/>
              </w:rPr>
              <w:t>陵水三亚</w:t>
            </w:r>
          </w:p>
        </w:tc>
        <w:tc>
          <w:tcPr>
            <w:tcW w:w="1531" w:type="dxa"/>
          </w:tcPr>
          <w:p w14:paraId="5A0F0DE8" w14:textId="77777777" w:rsidR="0075791A" w:rsidRDefault="00FB2864">
            <w:pPr>
              <w:pStyle w:val="TableText"/>
              <w:spacing w:before="52" w:line="223" w:lineRule="auto"/>
              <w:ind w:left="89"/>
              <w:rPr>
                <w:rFonts w:ascii="Times New Roman" w:hAnsi="Times New Roman"/>
                <w:color w:val="auto"/>
                <w:sz w:val="21"/>
                <w:szCs w:val="21"/>
              </w:rPr>
            </w:pPr>
            <w:r>
              <w:rPr>
                <w:rFonts w:ascii="Times New Roman" w:hAnsi="Times New Roman"/>
                <w:color w:val="auto"/>
                <w:spacing w:val="-3"/>
                <w:sz w:val="21"/>
                <w:szCs w:val="21"/>
              </w:rPr>
              <w:t>06/1011</w:t>
            </w:r>
            <w:r>
              <w:rPr>
                <w:rFonts w:ascii="Times New Roman" w:hAnsi="Times New Roman"/>
                <w:color w:val="auto"/>
                <w:spacing w:val="-3"/>
                <w:sz w:val="21"/>
                <w:szCs w:val="21"/>
              </w:rPr>
              <w:t>～</w:t>
            </w:r>
            <w:r>
              <w:rPr>
                <w:rFonts w:ascii="Times New Roman" w:hAnsi="Times New Roman"/>
                <w:color w:val="auto"/>
                <w:spacing w:val="-3"/>
                <w:sz w:val="21"/>
                <w:szCs w:val="21"/>
              </w:rPr>
              <w:t>12h</w:t>
            </w:r>
          </w:p>
        </w:tc>
        <w:tc>
          <w:tcPr>
            <w:tcW w:w="1381" w:type="dxa"/>
          </w:tcPr>
          <w:p w14:paraId="0E9574A5" w14:textId="77777777" w:rsidR="0075791A" w:rsidRDefault="00FB2864">
            <w:pPr>
              <w:pStyle w:val="TableText"/>
              <w:spacing w:before="87" w:line="182" w:lineRule="auto"/>
              <w:ind w:left="540"/>
              <w:rPr>
                <w:rFonts w:ascii="Times New Roman" w:hAnsi="Times New Roman"/>
                <w:color w:val="auto"/>
                <w:sz w:val="21"/>
                <w:szCs w:val="21"/>
              </w:rPr>
            </w:pPr>
            <w:r>
              <w:rPr>
                <w:rFonts w:ascii="Times New Roman" w:hAnsi="Times New Roman"/>
                <w:color w:val="auto"/>
                <w:spacing w:val="-2"/>
                <w:sz w:val="21"/>
                <w:szCs w:val="21"/>
              </w:rPr>
              <w:t>960</w:t>
            </w:r>
          </w:p>
        </w:tc>
        <w:tc>
          <w:tcPr>
            <w:tcW w:w="1251" w:type="dxa"/>
            <w:tcBorders>
              <w:right w:val="single" w:sz="6" w:space="0" w:color="000000"/>
            </w:tcBorders>
          </w:tcPr>
          <w:p w14:paraId="16A89EFB" w14:textId="77777777" w:rsidR="0075791A" w:rsidRDefault="00FB2864">
            <w:pPr>
              <w:pStyle w:val="TableText"/>
              <w:spacing w:before="86" w:line="183" w:lineRule="auto"/>
              <w:ind w:left="537"/>
              <w:rPr>
                <w:rFonts w:ascii="Times New Roman" w:hAnsi="Times New Roman"/>
                <w:color w:val="auto"/>
                <w:sz w:val="21"/>
                <w:szCs w:val="21"/>
              </w:rPr>
            </w:pPr>
            <w:r>
              <w:rPr>
                <w:rFonts w:ascii="Times New Roman" w:hAnsi="Times New Roman"/>
                <w:color w:val="auto"/>
                <w:spacing w:val="-6"/>
                <w:sz w:val="21"/>
                <w:szCs w:val="21"/>
              </w:rPr>
              <w:t>12</w:t>
            </w:r>
          </w:p>
        </w:tc>
      </w:tr>
      <w:tr w:rsidR="0075791A" w14:paraId="35A56ED6" w14:textId="77777777">
        <w:trPr>
          <w:trHeight w:val="318"/>
        </w:trPr>
        <w:tc>
          <w:tcPr>
            <w:tcW w:w="438" w:type="dxa"/>
            <w:tcBorders>
              <w:left w:val="single" w:sz="6" w:space="0" w:color="000000"/>
            </w:tcBorders>
          </w:tcPr>
          <w:p w14:paraId="21289719" w14:textId="77777777" w:rsidR="0075791A" w:rsidRDefault="00FB2864">
            <w:pPr>
              <w:pStyle w:val="TableText"/>
              <w:spacing w:before="90" w:line="182" w:lineRule="auto"/>
              <w:ind w:left="164"/>
              <w:rPr>
                <w:rFonts w:ascii="Times New Roman" w:hAnsi="Times New Roman"/>
                <w:color w:val="auto"/>
                <w:sz w:val="21"/>
                <w:szCs w:val="21"/>
              </w:rPr>
            </w:pPr>
            <w:r>
              <w:rPr>
                <w:rFonts w:ascii="Times New Roman" w:hAnsi="Times New Roman"/>
                <w:color w:val="auto"/>
                <w:sz w:val="21"/>
                <w:szCs w:val="21"/>
              </w:rPr>
              <w:t>8</w:t>
            </w:r>
          </w:p>
        </w:tc>
        <w:tc>
          <w:tcPr>
            <w:tcW w:w="685" w:type="dxa"/>
          </w:tcPr>
          <w:p w14:paraId="2D395F64" w14:textId="77777777" w:rsidR="0075791A" w:rsidRDefault="00FB2864">
            <w:pPr>
              <w:pStyle w:val="TableText"/>
              <w:spacing w:before="90" w:line="182" w:lineRule="auto"/>
              <w:ind w:left="127"/>
              <w:rPr>
                <w:rFonts w:ascii="Times New Roman" w:hAnsi="Times New Roman"/>
                <w:color w:val="auto"/>
                <w:sz w:val="21"/>
                <w:szCs w:val="21"/>
              </w:rPr>
            </w:pPr>
            <w:r>
              <w:rPr>
                <w:rFonts w:ascii="Times New Roman" w:hAnsi="Times New Roman"/>
                <w:color w:val="auto"/>
                <w:spacing w:val="-2"/>
                <w:sz w:val="21"/>
                <w:szCs w:val="21"/>
              </w:rPr>
              <w:t>8926</w:t>
            </w:r>
          </w:p>
        </w:tc>
        <w:tc>
          <w:tcPr>
            <w:tcW w:w="1350" w:type="dxa"/>
          </w:tcPr>
          <w:p w14:paraId="0D0D59D8" w14:textId="77777777" w:rsidR="0075791A" w:rsidRDefault="00FB2864">
            <w:pPr>
              <w:pStyle w:val="TableText"/>
              <w:spacing w:before="55" w:line="222" w:lineRule="auto"/>
              <w:ind w:left="45"/>
              <w:rPr>
                <w:rFonts w:ascii="Times New Roman" w:hAnsi="Times New Roman"/>
                <w:color w:val="auto"/>
                <w:sz w:val="21"/>
                <w:szCs w:val="21"/>
              </w:rPr>
            </w:pPr>
            <w:r>
              <w:rPr>
                <w:rFonts w:ascii="Times New Roman" w:hAnsi="Times New Roman"/>
                <w:color w:val="auto"/>
                <w:spacing w:val="-1"/>
                <w:sz w:val="21"/>
                <w:szCs w:val="21"/>
              </w:rPr>
              <w:t>09/29</w:t>
            </w:r>
            <w:r>
              <w:rPr>
                <w:rFonts w:ascii="Times New Roman" w:hAnsi="Times New Roman"/>
                <w:color w:val="auto"/>
                <w:spacing w:val="-1"/>
                <w:sz w:val="21"/>
                <w:szCs w:val="21"/>
              </w:rPr>
              <w:t>～</w:t>
            </w:r>
            <w:r>
              <w:rPr>
                <w:rFonts w:ascii="Times New Roman" w:hAnsi="Times New Roman"/>
                <w:color w:val="auto"/>
                <w:spacing w:val="-1"/>
                <w:sz w:val="21"/>
                <w:szCs w:val="21"/>
              </w:rPr>
              <w:t>10/03</w:t>
            </w:r>
          </w:p>
        </w:tc>
        <w:tc>
          <w:tcPr>
            <w:tcW w:w="1049" w:type="dxa"/>
          </w:tcPr>
          <w:p w14:paraId="543C7721" w14:textId="77777777" w:rsidR="0075791A" w:rsidRDefault="00FB2864">
            <w:pPr>
              <w:pStyle w:val="TableText"/>
              <w:spacing w:before="91" w:line="181" w:lineRule="auto"/>
              <w:ind w:left="415"/>
              <w:rPr>
                <w:rFonts w:ascii="Times New Roman" w:hAnsi="Times New Roman"/>
                <w:color w:val="auto"/>
                <w:sz w:val="21"/>
                <w:szCs w:val="21"/>
              </w:rPr>
            </w:pPr>
            <w:r>
              <w:rPr>
                <w:rFonts w:ascii="Times New Roman" w:hAnsi="Times New Roman"/>
                <w:color w:val="auto"/>
                <w:spacing w:val="-2"/>
                <w:sz w:val="21"/>
                <w:szCs w:val="21"/>
              </w:rPr>
              <w:t>TY</w:t>
            </w:r>
          </w:p>
        </w:tc>
        <w:tc>
          <w:tcPr>
            <w:tcW w:w="1069" w:type="dxa"/>
          </w:tcPr>
          <w:p w14:paraId="2EB307A7" w14:textId="77777777" w:rsidR="0075791A" w:rsidRDefault="00FB2864">
            <w:pPr>
              <w:pStyle w:val="TableText"/>
              <w:spacing w:before="55" w:line="222" w:lineRule="auto"/>
              <w:ind w:left="323"/>
              <w:rPr>
                <w:rFonts w:ascii="Times New Roman" w:hAnsi="Times New Roman"/>
                <w:color w:val="auto"/>
                <w:sz w:val="21"/>
                <w:szCs w:val="21"/>
              </w:rPr>
            </w:pPr>
            <w:r>
              <w:rPr>
                <w:rFonts w:ascii="Times New Roman" w:hAnsi="Times New Roman"/>
                <w:color w:val="auto"/>
                <w:spacing w:val="-2"/>
                <w:sz w:val="21"/>
                <w:szCs w:val="21"/>
              </w:rPr>
              <w:t>三亚</w:t>
            </w:r>
          </w:p>
        </w:tc>
        <w:tc>
          <w:tcPr>
            <w:tcW w:w="1531" w:type="dxa"/>
          </w:tcPr>
          <w:p w14:paraId="25396344" w14:textId="77777777" w:rsidR="0075791A" w:rsidRDefault="00FB2864">
            <w:pPr>
              <w:pStyle w:val="TableText"/>
              <w:spacing w:before="55" w:line="222" w:lineRule="auto"/>
              <w:ind w:left="103"/>
              <w:rPr>
                <w:rFonts w:ascii="Times New Roman" w:hAnsi="Times New Roman"/>
                <w:color w:val="auto"/>
                <w:sz w:val="21"/>
                <w:szCs w:val="21"/>
              </w:rPr>
            </w:pPr>
            <w:r>
              <w:rPr>
                <w:rFonts w:ascii="Times New Roman" w:hAnsi="Times New Roman"/>
                <w:color w:val="auto"/>
                <w:spacing w:val="-2"/>
                <w:sz w:val="21"/>
                <w:szCs w:val="21"/>
              </w:rPr>
              <w:t>10/0223</w:t>
            </w:r>
            <w:r>
              <w:rPr>
                <w:rFonts w:ascii="Times New Roman" w:hAnsi="Times New Roman"/>
                <w:color w:val="auto"/>
                <w:spacing w:val="-2"/>
                <w:sz w:val="21"/>
                <w:szCs w:val="21"/>
              </w:rPr>
              <w:t>～</w:t>
            </w:r>
            <w:r>
              <w:rPr>
                <w:rFonts w:ascii="Times New Roman" w:hAnsi="Times New Roman"/>
                <w:color w:val="auto"/>
                <w:spacing w:val="-2"/>
                <w:sz w:val="21"/>
                <w:szCs w:val="21"/>
              </w:rPr>
              <w:t>24h</w:t>
            </w:r>
          </w:p>
        </w:tc>
        <w:tc>
          <w:tcPr>
            <w:tcW w:w="1381" w:type="dxa"/>
          </w:tcPr>
          <w:p w14:paraId="25A1FA20" w14:textId="77777777" w:rsidR="0075791A" w:rsidRDefault="00FB2864">
            <w:pPr>
              <w:pStyle w:val="TableText"/>
              <w:spacing w:before="90" w:line="182" w:lineRule="auto"/>
              <w:ind w:left="540"/>
              <w:rPr>
                <w:rFonts w:ascii="Times New Roman" w:hAnsi="Times New Roman"/>
                <w:color w:val="auto"/>
                <w:sz w:val="21"/>
                <w:szCs w:val="21"/>
              </w:rPr>
            </w:pPr>
            <w:r>
              <w:rPr>
                <w:rFonts w:ascii="Times New Roman" w:hAnsi="Times New Roman"/>
                <w:color w:val="auto"/>
                <w:spacing w:val="-2"/>
                <w:sz w:val="21"/>
                <w:szCs w:val="21"/>
              </w:rPr>
              <w:t>970</w:t>
            </w:r>
          </w:p>
        </w:tc>
        <w:tc>
          <w:tcPr>
            <w:tcW w:w="1251" w:type="dxa"/>
            <w:tcBorders>
              <w:right w:val="single" w:sz="6" w:space="0" w:color="000000"/>
            </w:tcBorders>
          </w:tcPr>
          <w:p w14:paraId="52056FF8" w14:textId="77777777" w:rsidR="0075791A" w:rsidRDefault="00FB2864">
            <w:pPr>
              <w:pStyle w:val="TableText"/>
              <w:spacing w:before="89" w:line="183" w:lineRule="auto"/>
              <w:ind w:left="537"/>
              <w:rPr>
                <w:rFonts w:ascii="Times New Roman" w:hAnsi="Times New Roman"/>
                <w:color w:val="auto"/>
                <w:sz w:val="21"/>
                <w:szCs w:val="21"/>
              </w:rPr>
            </w:pPr>
            <w:r>
              <w:rPr>
                <w:rFonts w:ascii="Times New Roman" w:hAnsi="Times New Roman"/>
                <w:color w:val="auto"/>
                <w:spacing w:val="-6"/>
                <w:sz w:val="21"/>
                <w:szCs w:val="21"/>
              </w:rPr>
              <w:t>12</w:t>
            </w:r>
          </w:p>
        </w:tc>
      </w:tr>
      <w:tr w:rsidR="0075791A" w14:paraId="1E25C83C" w14:textId="77777777">
        <w:trPr>
          <w:trHeight w:val="316"/>
        </w:trPr>
        <w:tc>
          <w:tcPr>
            <w:tcW w:w="438" w:type="dxa"/>
            <w:tcBorders>
              <w:left w:val="single" w:sz="6" w:space="0" w:color="000000"/>
            </w:tcBorders>
          </w:tcPr>
          <w:p w14:paraId="2699D73E" w14:textId="77777777" w:rsidR="0075791A" w:rsidRDefault="00FB2864">
            <w:pPr>
              <w:pStyle w:val="TableText"/>
              <w:spacing w:before="89" w:line="182" w:lineRule="auto"/>
              <w:ind w:left="164"/>
              <w:rPr>
                <w:rFonts w:ascii="Times New Roman" w:hAnsi="Times New Roman"/>
                <w:color w:val="auto"/>
                <w:sz w:val="21"/>
                <w:szCs w:val="21"/>
              </w:rPr>
            </w:pPr>
            <w:r>
              <w:rPr>
                <w:rFonts w:ascii="Times New Roman" w:hAnsi="Times New Roman"/>
                <w:color w:val="auto"/>
                <w:sz w:val="21"/>
                <w:szCs w:val="21"/>
              </w:rPr>
              <w:t>9</w:t>
            </w:r>
          </w:p>
        </w:tc>
        <w:tc>
          <w:tcPr>
            <w:tcW w:w="685" w:type="dxa"/>
          </w:tcPr>
          <w:p w14:paraId="76E334A5" w14:textId="77777777" w:rsidR="0075791A" w:rsidRDefault="00FB2864">
            <w:pPr>
              <w:pStyle w:val="TableText"/>
              <w:spacing w:before="88" w:line="183" w:lineRule="auto"/>
              <w:ind w:left="127"/>
              <w:rPr>
                <w:rFonts w:ascii="Times New Roman" w:hAnsi="Times New Roman"/>
                <w:color w:val="auto"/>
                <w:sz w:val="21"/>
                <w:szCs w:val="21"/>
              </w:rPr>
            </w:pPr>
            <w:r>
              <w:rPr>
                <w:rFonts w:ascii="Times New Roman" w:hAnsi="Times New Roman"/>
                <w:color w:val="auto"/>
                <w:spacing w:val="-2"/>
                <w:sz w:val="21"/>
                <w:szCs w:val="21"/>
              </w:rPr>
              <w:t>9016</w:t>
            </w:r>
          </w:p>
        </w:tc>
        <w:tc>
          <w:tcPr>
            <w:tcW w:w="1350" w:type="dxa"/>
          </w:tcPr>
          <w:p w14:paraId="056796F4" w14:textId="77777777" w:rsidR="0075791A" w:rsidRDefault="00FB2864">
            <w:pPr>
              <w:pStyle w:val="TableText"/>
              <w:spacing w:before="53" w:line="222" w:lineRule="auto"/>
              <w:ind w:left="45"/>
              <w:rPr>
                <w:rFonts w:ascii="Times New Roman" w:hAnsi="Times New Roman"/>
                <w:color w:val="auto"/>
                <w:sz w:val="21"/>
                <w:szCs w:val="21"/>
              </w:rPr>
            </w:pPr>
            <w:r>
              <w:rPr>
                <w:rFonts w:ascii="Times New Roman" w:hAnsi="Times New Roman"/>
                <w:color w:val="auto"/>
                <w:spacing w:val="-1"/>
                <w:sz w:val="21"/>
                <w:szCs w:val="21"/>
              </w:rPr>
              <w:t>08/24</w:t>
            </w:r>
            <w:r>
              <w:rPr>
                <w:rFonts w:ascii="Times New Roman" w:hAnsi="Times New Roman"/>
                <w:color w:val="auto"/>
                <w:spacing w:val="-1"/>
                <w:sz w:val="21"/>
                <w:szCs w:val="21"/>
              </w:rPr>
              <w:t>～</w:t>
            </w:r>
            <w:r>
              <w:rPr>
                <w:rFonts w:ascii="Times New Roman" w:hAnsi="Times New Roman"/>
                <w:color w:val="auto"/>
                <w:spacing w:val="-1"/>
                <w:sz w:val="21"/>
                <w:szCs w:val="21"/>
              </w:rPr>
              <w:t>08/30</w:t>
            </w:r>
          </w:p>
        </w:tc>
        <w:tc>
          <w:tcPr>
            <w:tcW w:w="1049" w:type="dxa"/>
          </w:tcPr>
          <w:p w14:paraId="7216CF9A" w14:textId="77777777" w:rsidR="0075791A" w:rsidRDefault="00FB2864">
            <w:pPr>
              <w:pStyle w:val="TableText"/>
              <w:spacing w:before="90" w:line="181" w:lineRule="auto"/>
              <w:ind w:left="415"/>
              <w:rPr>
                <w:rFonts w:ascii="Times New Roman" w:hAnsi="Times New Roman"/>
                <w:color w:val="auto"/>
                <w:sz w:val="21"/>
                <w:szCs w:val="21"/>
              </w:rPr>
            </w:pPr>
            <w:r>
              <w:rPr>
                <w:rFonts w:ascii="Times New Roman" w:hAnsi="Times New Roman"/>
                <w:color w:val="auto"/>
                <w:spacing w:val="-2"/>
                <w:sz w:val="21"/>
                <w:szCs w:val="21"/>
              </w:rPr>
              <w:t>TY</w:t>
            </w:r>
          </w:p>
        </w:tc>
        <w:tc>
          <w:tcPr>
            <w:tcW w:w="1069" w:type="dxa"/>
          </w:tcPr>
          <w:p w14:paraId="7027334A" w14:textId="77777777" w:rsidR="0075791A" w:rsidRDefault="00FB2864">
            <w:pPr>
              <w:pStyle w:val="TableText"/>
              <w:spacing w:before="53" w:line="221" w:lineRule="auto"/>
              <w:ind w:left="115"/>
              <w:rPr>
                <w:rFonts w:ascii="Times New Roman" w:hAnsi="Times New Roman"/>
                <w:color w:val="auto"/>
                <w:sz w:val="21"/>
                <w:szCs w:val="21"/>
              </w:rPr>
            </w:pPr>
            <w:r>
              <w:rPr>
                <w:rFonts w:ascii="Times New Roman" w:hAnsi="Times New Roman"/>
                <w:color w:val="auto"/>
                <w:spacing w:val="-2"/>
                <w:sz w:val="21"/>
                <w:szCs w:val="21"/>
              </w:rPr>
              <w:t>三亚南部</w:t>
            </w:r>
          </w:p>
        </w:tc>
        <w:tc>
          <w:tcPr>
            <w:tcW w:w="1531" w:type="dxa"/>
          </w:tcPr>
          <w:p w14:paraId="2AE790E6" w14:textId="77777777" w:rsidR="0075791A" w:rsidRDefault="00FB2864">
            <w:pPr>
              <w:pStyle w:val="TableText"/>
              <w:spacing w:before="53" w:line="222" w:lineRule="auto"/>
              <w:ind w:left="298"/>
              <w:rPr>
                <w:rFonts w:ascii="Times New Roman" w:hAnsi="Times New Roman"/>
                <w:color w:val="auto"/>
                <w:sz w:val="21"/>
                <w:szCs w:val="21"/>
              </w:rPr>
            </w:pPr>
            <w:r>
              <w:rPr>
                <w:rFonts w:ascii="Times New Roman" w:hAnsi="Times New Roman"/>
                <w:color w:val="auto"/>
                <w:spacing w:val="-2"/>
                <w:sz w:val="21"/>
                <w:szCs w:val="21"/>
              </w:rPr>
              <w:t>08/2902h</w:t>
            </w:r>
          </w:p>
        </w:tc>
        <w:tc>
          <w:tcPr>
            <w:tcW w:w="1381" w:type="dxa"/>
          </w:tcPr>
          <w:p w14:paraId="10AE9A81" w14:textId="77777777" w:rsidR="0075791A" w:rsidRDefault="00FB2864">
            <w:pPr>
              <w:pStyle w:val="TableText"/>
              <w:spacing w:before="89" w:line="182" w:lineRule="auto"/>
              <w:ind w:left="540"/>
              <w:rPr>
                <w:rFonts w:ascii="Times New Roman" w:hAnsi="Times New Roman"/>
                <w:color w:val="auto"/>
                <w:sz w:val="21"/>
                <w:szCs w:val="21"/>
              </w:rPr>
            </w:pPr>
            <w:r>
              <w:rPr>
                <w:rFonts w:ascii="Times New Roman" w:hAnsi="Times New Roman"/>
                <w:color w:val="auto"/>
                <w:spacing w:val="-2"/>
                <w:sz w:val="21"/>
                <w:szCs w:val="21"/>
              </w:rPr>
              <w:t>965</w:t>
            </w:r>
          </w:p>
        </w:tc>
        <w:tc>
          <w:tcPr>
            <w:tcW w:w="1251" w:type="dxa"/>
            <w:tcBorders>
              <w:right w:val="single" w:sz="6" w:space="0" w:color="000000"/>
            </w:tcBorders>
          </w:tcPr>
          <w:p w14:paraId="1569FD44" w14:textId="77777777" w:rsidR="0075791A" w:rsidRDefault="00FB2864">
            <w:pPr>
              <w:pStyle w:val="TableText"/>
              <w:spacing w:before="87" w:line="183" w:lineRule="auto"/>
              <w:ind w:left="537"/>
              <w:rPr>
                <w:rFonts w:ascii="Times New Roman" w:hAnsi="Times New Roman"/>
                <w:color w:val="auto"/>
                <w:sz w:val="21"/>
                <w:szCs w:val="21"/>
              </w:rPr>
            </w:pPr>
            <w:r>
              <w:rPr>
                <w:rFonts w:ascii="Times New Roman" w:hAnsi="Times New Roman"/>
                <w:color w:val="auto"/>
                <w:spacing w:val="-6"/>
                <w:sz w:val="21"/>
                <w:szCs w:val="21"/>
              </w:rPr>
              <w:t>12</w:t>
            </w:r>
          </w:p>
        </w:tc>
      </w:tr>
      <w:tr w:rsidR="0075791A" w14:paraId="1F751ADF" w14:textId="77777777">
        <w:trPr>
          <w:trHeight w:val="316"/>
        </w:trPr>
        <w:tc>
          <w:tcPr>
            <w:tcW w:w="438" w:type="dxa"/>
            <w:tcBorders>
              <w:left w:val="single" w:sz="6" w:space="0" w:color="000000"/>
            </w:tcBorders>
          </w:tcPr>
          <w:p w14:paraId="2A7F77EC" w14:textId="77777777" w:rsidR="0075791A" w:rsidRDefault="00FB2864">
            <w:pPr>
              <w:pStyle w:val="TableText"/>
              <w:spacing w:before="89" w:line="183" w:lineRule="auto"/>
              <w:ind w:left="126"/>
              <w:rPr>
                <w:rFonts w:ascii="Times New Roman" w:hAnsi="Times New Roman"/>
                <w:color w:val="auto"/>
                <w:sz w:val="21"/>
                <w:szCs w:val="21"/>
              </w:rPr>
            </w:pPr>
            <w:r>
              <w:rPr>
                <w:rFonts w:ascii="Times New Roman" w:hAnsi="Times New Roman"/>
                <w:color w:val="auto"/>
                <w:spacing w:val="-6"/>
                <w:sz w:val="21"/>
                <w:szCs w:val="21"/>
              </w:rPr>
              <w:t>10</w:t>
            </w:r>
          </w:p>
        </w:tc>
        <w:tc>
          <w:tcPr>
            <w:tcW w:w="685" w:type="dxa"/>
          </w:tcPr>
          <w:p w14:paraId="77284F34" w14:textId="77777777" w:rsidR="0075791A" w:rsidRDefault="00FB2864">
            <w:pPr>
              <w:pStyle w:val="TableText"/>
              <w:spacing w:before="90" w:line="182" w:lineRule="auto"/>
              <w:ind w:left="127"/>
              <w:rPr>
                <w:rFonts w:ascii="Times New Roman" w:hAnsi="Times New Roman"/>
                <w:color w:val="auto"/>
                <w:sz w:val="21"/>
                <w:szCs w:val="21"/>
              </w:rPr>
            </w:pPr>
            <w:r>
              <w:rPr>
                <w:rFonts w:ascii="Times New Roman" w:hAnsi="Times New Roman"/>
                <w:color w:val="auto"/>
                <w:spacing w:val="-2"/>
                <w:sz w:val="21"/>
                <w:szCs w:val="21"/>
              </w:rPr>
              <w:t>9204</w:t>
            </w:r>
          </w:p>
        </w:tc>
        <w:tc>
          <w:tcPr>
            <w:tcW w:w="1350" w:type="dxa"/>
          </w:tcPr>
          <w:p w14:paraId="6073801D" w14:textId="77777777" w:rsidR="0075791A" w:rsidRDefault="00FB2864">
            <w:pPr>
              <w:pStyle w:val="TableText"/>
              <w:spacing w:before="54" w:line="221" w:lineRule="auto"/>
              <w:ind w:left="45"/>
              <w:rPr>
                <w:rFonts w:ascii="Times New Roman" w:hAnsi="Times New Roman"/>
                <w:color w:val="auto"/>
                <w:sz w:val="21"/>
                <w:szCs w:val="21"/>
              </w:rPr>
            </w:pPr>
            <w:r>
              <w:rPr>
                <w:rFonts w:ascii="Times New Roman" w:hAnsi="Times New Roman"/>
                <w:color w:val="auto"/>
                <w:spacing w:val="-1"/>
                <w:sz w:val="21"/>
                <w:szCs w:val="21"/>
              </w:rPr>
              <w:t>06/24</w:t>
            </w:r>
            <w:r>
              <w:rPr>
                <w:rFonts w:ascii="Times New Roman" w:hAnsi="Times New Roman"/>
                <w:color w:val="auto"/>
                <w:spacing w:val="-1"/>
                <w:sz w:val="21"/>
                <w:szCs w:val="21"/>
              </w:rPr>
              <w:t>～</w:t>
            </w:r>
            <w:r>
              <w:rPr>
                <w:rFonts w:ascii="Times New Roman" w:hAnsi="Times New Roman"/>
                <w:color w:val="auto"/>
                <w:spacing w:val="-1"/>
                <w:sz w:val="21"/>
                <w:szCs w:val="21"/>
              </w:rPr>
              <w:t>07/01</w:t>
            </w:r>
          </w:p>
        </w:tc>
        <w:tc>
          <w:tcPr>
            <w:tcW w:w="1049" w:type="dxa"/>
          </w:tcPr>
          <w:p w14:paraId="4A06CD0C" w14:textId="77777777" w:rsidR="0075791A" w:rsidRDefault="00FB2864">
            <w:pPr>
              <w:pStyle w:val="TableText"/>
              <w:spacing w:before="91" w:line="181" w:lineRule="auto"/>
              <w:ind w:left="415"/>
              <w:rPr>
                <w:rFonts w:ascii="Times New Roman" w:hAnsi="Times New Roman"/>
                <w:color w:val="auto"/>
                <w:sz w:val="21"/>
                <w:szCs w:val="21"/>
              </w:rPr>
            </w:pPr>
            <w:r>
              <w:rPr>
                <w:rFonts w:ascii="Times New Roman" w:hAnsi="Times New Roman"/>
                <w:color w:val="auto"/>
                <w:spacing w:val="-2"/>
                <w:sz w:val="21"/>
                <w:szCs w:val="21"/>
              </w:rPr>
              <w:t>TY</w:t>
            </w:r>
          </w:p>
        </w:tc>
        <w:tc>
          <w:tcPr>
            <w:tcW w:w="1069" w:type="dxa"/>
          </w:tcPr>
          <w:p w14:paraId="01F53083" w14:textId="77777777" w:rsidR="0075791A" w:rsidRDefault="00FB2864">
            <w:pPr>
              <w:pStyle w:val="TableText"/>
              <w:spacing w:before="54" w:line="221" w:lineRule="auto"/>
              <w:ind w:left="323"/>
              <w:rPr>
                <w:rFonts w:ascii="Times New Roman" w:hAnsi="Times New Roman"/>
                <w:color w:val="auto"/>
                <w:sz w:val="21"/>
                <w:szCs w:val="21"/>
              </w:rPr>
            </w:pPr>
            <w:r>
              <w:rPr>
                <w:rFonts w:ascii="Times New Roman" w:hAnsi="Times New Roman"/>
                <w:color w:val="auto"/>
                <w:spacing w:val="-2"/>
                <w:sz w:val="21"/>
                <w:szCs w:val="21"/>
              </w:rPr>
              <w:t>三亚</w:t>
            </w:r>
          </w:p>
        </w:tc>
        <w:tc>
          <w:tcPr>
            <w:tcW w:w="1531" w:type="dxa"/>
          </w:tcPr>
          <w:p w14:paraId="3652BB53" w14:textId="77777777" w:rsidR="0075791A" w:rsidRDefault="00FB2864">
            <w:pPr>
              <w:pStyle w:val="TableText"/>
              <w:spacing w:before="54" w:line="221" w:lineRule="auto"/>
              <w:ind w:left="298"/>
              <w:rPr>
                <w:rFonts w:ascii="Times New Roman" w:hAnsi="Times New Roman"/>
                <w:color w:val="auto"/>
                <w:sz w:val="21"/>
                <w:szCs w:val="21"/>
              </w:rPr>
            </w:pPr>
            <w:r>
              <w:rPr>
                <w:rFonts w:ascii="Times New Roman" w:hAnsi="Times New Roman"/>
                <w:color w:val="auto"/>
                <w:spacing w:val="-2"/>
                <w:sz w:val="21"/>
                <w:szCs w:val="21"/>
              </w:rPr>
              <w:t>06/2805h</w:t>
            </w:r>
          </w:p>
        </w:tc>
        <w:tc>
          <w:tcPr>
            <w:tcW w:w="1381" w:type="dxa"/>
          </w:tcPr>
          <w:p w14:paraId="1EE93FAA" w14:textId="77777777" w:rsidR="0075791A" w:rsidRDefault="00FB2864">
            <w:pPr>
              <w:pStyle w:val="TableText"/>
              <w:spacing w:before="90" w:line="182" w:lineRule="auto"/>
              <w:ind w:left="540"/>
              <w:rPr>
                <w:rFonts w:ascii="Times New Roman" w:hAnsi="Times New Roman"/>
                <w:color w:val="auto"/>
                <w:sz w:val="21"/>
                <w:szCs w:val="21"/>
              </w:rPr>
            </w:pPr>
            <w:r>
              <w:rPr>
                <w:rFonts w:ascii="Times New Roman" w:hAnsi="Times New Roman"/>
                <w:color w:val="auto"/>
                <w:spacing w:val="-2"/>
                <w:sz w:val="21"/>
                <w:szCs w:val="21"/>
              </w:rPr>
              <w:t>965</w:t>
            </w:r>
          </w:p>
        </w:tc>
        <w:tc>
          <w:tcPr>
            <w:tcW w:w="1251" w:type="dxa"/>
            <w:tcBorders>
              <w:right w:val="single" w:sz="6" w:space="0" w:color="000000"/>
            </w:tcBorders>
          </w:tcPr>
          <w:p w14:paraId="753C256F" w14:textId="77777777" w:rsidR="0075791A" w:rsidRDefault="00FB2864">
            <w:pPr>
              <w:pStyle w:val="TableText"/>
              <w:spacing w:before="88" w:line="183" w:lineRule="auto"/>
              <w:ind w:left="537"/>
              <w:rPr>
                <w:rFonts w:ascii="Times New Roman" w:hAnsi="Times New Roman"/>
                <w:color w:val="auto"/>
                <w:sz w:val="21"/>
                <w:szCs w:val="21"/>
              </w:rPr>
            </w:pPr>
            <w:r>
              <w:rPr>
                <w:rFonts w:ascii="Times New Roman" w:hAnsi="Times New Roman"/>
                <w:color w:val="auto"/>
                <w:spacing w:val="-6"/>
                <w:sz w:val="21"/>
                <w:szCs w:val="21"/>
              </w:rPr>
              <w:t>12</w:t>
            </w:r>
          </w:p>
        </w:tc>
      </w:tr>
      <w:tr w:rsidR="0075791A" w14:paraId="6B7211DA" w14:textId="77777777">
        <w:trPr>
          <w:trHeight w:val="316"/>
        </w:trPr>
        <w:tc>
          <w:tcPr>
            <w:tcW w:w="438" w:type="dxa"/>
            <w:tcBorders>
              <w:left w:val="single" w:sz="6" w:space="0" w:color="000000"/>
            </w:tcBorders>
          </w:tcPr>
          <w:p w14:paraId="6A94A71D" w14:textId="77777777" w:rsidR="0075791A" w:rsidRDefault="00FB2864">
            <w:pPr>
              <w:pStyle w:val="TableText"/>
              <w:spacing w:before="89" w:line="183" w:lineRule="auto"/>
              <w:ind w:left="126"/>
              <w:rPr>
                <w:rFonts w:ascii="Times New Roman" w:hAnsi="Times New Roman"/>
                <w:color w:val="auto"/>
                <w:sz w:val="21"/>
                <w:szCs w:val="21"/>
              </w:rPr>
            </w:pPr>
            <w:r>
              <w:rPr>
                <w:rFonts w:ascii="Times New Roman" w:hAnsi="Times New Roman"/>
                <w:color w:val="auto"/>
                <w:spacing w:val="-6"/>
                <w:sz w:val="21"/>
                <w:szCs w:val="21"/>
              </w:rPr>
              <w:t>11</w:t>
            </w:r>
          </w:p>
        </w:tc>
        <w:tc>
          <w:tcPr>
            <w:tcW w:w="685" w:type="dxa"/>
          </w:tcPr>
          <w:p w14:paraId="63DBF606" w14:textId="77777777" w:rsidR="0075791A" w:rsidRDefault="00FB2864">
            <w:pPr>
              <w:pStyle w:val="TableText"/>
              <w:spacing w:before="90" w:line="182" w:lineRule="auto"/>
              <w:ind w:left="127"/>
              <w:rPr>
                <w:rFonts w:ascii="Times New Roman" w:hAnsi="Times New Roman"/>
                <w:color w:val="auto"/>
                <w:sz w:val="21"/>
                <w:szCs w:val="21"/>
              </w:rPr>
            </w:pPr>
            <w:r>
              <w:rPr>
                <w:rFonts w:ascii="Times New Roman" w:hAnsi="Times New Roman"/>
                <w:color w:val="auto"/>
                <w:spacing w:val="-2"/>
                <w:sz w:val="21"/>
                <w:szCs w:val="21"/>
              </w:rPr>
              <w:t>9508</w:t>
            </w:r>
          </w:p>
        </w:tc>
        <w:tc>
          <w:tcPr>
            <w:tcW w:w="1350" w:type="dxa"/>
          </w:tcPr>
          <w:p w14:paraId="087A3301" w14:textId="77777777" w:rsidR="0075791A" w:rsidRDefault="00FB2864">
            <w:pPr>
              <w:pStyle w:val="TableText"/>
              <w:spacing w:before="54" w:line="221" w:lineRule="auto"/>
              <w:ind w:left="45"/>
              <w:rPr>
                <w:rFonts w:ascii="Times New Roman" w:hAnsi="Times New Roman"/>
                <w:color w:val="auto"/>
                <w:sz w:val="21"/>
                <w:szCs w:val="21"/>
              </w:rPr>
            </w:pPr>
            <w:r>
              <w:rPr>
                <w:rFonts w:ascii="Times New Roman" w:hAnsi="Times New Roman"/>
                <w:color w:val="auto"/>
                <w:spacing w:val="-1"/>
                <w:sz w:val="21"/>
                <w:szCs w:val="21"/>
              </w:rPr>
              <w:t>08/24</w:t>
            </w:r>
            <w:r>
              <w:rPr>
                <w:rFonts w:ascii="Times New Roman" w:hAnsi="Times New Roman"/>
                <w:color w:val="auto"/>
                <w:spacing w:val="-1"/>
                <w:sz w:val="21"/>
                <w:szCs w:val="21"/>
              </w:rPr>
              <w:t>～</w:t>
            </w:r>
            <w:r>
              <w:rPr>
                <w:rFonts w:ascii="Times New Roman" w:hAnsi="Times New Roman"/>
                <w:color w:val="auto"/>
                <w:spacing w:val="-1"/>
                <w:sz w:val="21"/>
                <w:szCs w:val="21"/>
              </w:rPr>
              <w:t>08/30</w:t>
            </w:r>
          </w:p>
        </w:tc>
        <w:tc>
          <w:tcPr>
            <w:tcW w:w="1049" w:type="dxa"/>
          </w:tcPr>
          <w:p w14:paraId="53035347" w14:textId="77777777" w:rsidR="0075791A" w:rsidRDefault="00FB2864">
            <w:pPr>
              <w:pStyle w:val="TableText"/>
              <w:spacing w:before="90" w:line="182" w:lineRule="auto"/>
              <w:ind w:left="368"/>
              <w:rPr>
                <w:rFonts w:ascii="Times New Roman" w:hAnsi="Times New Roman"/>
                <w:color w:val="auto"/>
                <w:sz w:val="21"/>
                <w:szCs w:val="21"/>
              </w:rPr>
            </w:pPr>
            <w:r>
              <w:rPr>
                <w:rFonts w:ascii="Times New Roman" w:hAnsi="Times New Roman"/>
                <w:color w:val="auto"/>
                <w:spacing w:val="-2"/>
                <w:sz w:val="21"/>
                <w:szCs w:val="21"/>
              </w:rPr>
              <w:t>STS</w:t>
            </w:r>
          </w:p>
        </w:tc>
        <w:tc>
          <w:tcPr>
            <w:tcW w:w="1069" w:type="dxa"/>
          </w:tcPr>
          <w:p w14:paraId="419EA12F" w14:textId="77777777" w:rsidR="0075791A" w:rsidRDefault="00FB2864">
            <w:pPr>
              <w:pStyle w:val="TableText"/>
              <w:spacing w:before="54" w:line="221" w:lineRule="auto"/>
              <w:ind w:left="323"/>
              <w:rPr>
                <w:rFonts w:ascii="Times New Roman" w:hAnsi="Times New Roman"/>
                <w:color w:val="auto"/>
                <w:sz w:val="21"/>
                <w:szCs w:val="21"/>
              </w:rPr>
            </w:pPr>
            <w:r>
              <w:rPr>
                <w:rFonts w:ascii="Times New Roman" w:hAnsi="Times New Roman"/>
                <w:color w:val="auto"/>
                <w:spacing w:val="-2"/>
                <w:sz w:val="21"/>
                <w:szCs w:val="21"/>
              </w:rPr>
              <w:t>三亚</w:t>
            </w:r>
          </w:p>
        </w:tc>
        <w:tc>
          <w:tcPr>
            <w:tcW w:w="1531" w:type="dxa"/>
          </w:tcPr>
          <w:p w14:paraId="7D9A7278" w14:textId="77777777" w:rsidR="0075791A" w:rsidRDefault="00FB2864">
            <w:pPr>
              <w:pStyle w:val="TableText"/>
              <w:spacing w:before="54" w:line="221" w:lineRule="auto"/>
              <w:ind w:left="298"/>
              <w:rPr>
                <w:rFonts w:ascii="Times New Roman" w:hAnsi="Times New Roman"/>
                <w:color w:val="auto"/>
                <w:sz w:val="21"/>
                <w:szCs w:val="21"/>
              </w:rPr>
            </w:pPr>
            <w:r>
              <w:rPr>
                <w:rFonts w:ascii="Times New Roman" w:hAnsi="Times New Roman"/>
                <w:color w:val="auto"/>
                <w:spacing w:val="-3"/>
                <w:sz w:val="21"/>
                <w:szCs w:val="21"/>
              </w:rPr>
              <w:t>08/2810h</w:t>
            </w:r>
          </w:p>
        </w:tc>
        <w:tc>
          <w:tcPr>
            <w:tcW w:w="1381" w:type="dxa"/>
          </w:tcPr>
          <w:p w14:paraId="2926631A" w14:textId="77777777" w:rsidR="0075791A" w:rsidRDefault="00FB2864">
            <w:pPr>
              <w:pStyle w:val="TableText"/>
              <w:spacing w:before="90" w:line="182" w:lineRule="auto"/>
              <w:ind w:left="540"/>
              <w:rPr>
                <w:rFonts w:ascii="Times New Roman" w:hAnsi="Times New Roman"/>
                <w:color w:val="auto"/>
                <w:sz w:val="21"/>
                <w:szCs w:val="21"/>
              </w:rPr>
            </w:pPr>
            <w:r>
              <w:rPr>
                <w:rFonts w:ascii="Times New Roman" w:hAnsi="Times New Roman"/>
                <w:color w:val="auto"/>
                <w:spacing w:val="-2"/>
                <w:sz w:val="21"/>
                <w:szCs w:val="21"/>
              </w:rPr>
              <w:t>980</w:t>
            </w:r>
          </w:p>
        </w:tc>
        <w:tc>
          <w:tcPr>
            <w:tcW w:w="1251" w:type="dxa"/>
            <w:tcBorders>
              <w:right w:val="single" w:sz="6" w:space="0" w:color="000000"/>
            </w:tcBorders>
          </w:tcPr>
          <w:p w14:paraId="40B49983" w14:textId="77777777" w:rsidR="0075791A" w:rsidRDefault="00FB2864">
            <w:pPr>
              <w:pStyle w:val="TableText"/>
              <w:spacing w:before="89" w:line="183" w:lineRule="auto"/>
              <w:ind w:left="537"/>
              <w:rPr>
                <w:rFonts w:ascii="Times New Roman" w:hAnsi="Times New Roman"/>
                <w:color w:val="auto"/>
                <w:sz w:val="21"/>
                <w:szCs w:val="21"/>
              </w:rPr>
            </w:pPr>
            <w:r>
              <w:rPr>
                <w:rFonts w:ascii="Times New Roman" w:hAnsi="Times New Roman"/>
                <w:color w:val="auto"/>
                <w:spacing w:val="-6"/>
                <w:sz w:val="21"/>
                <w:szCs w:val="21"/>
              </w:rPr>
              <w:t>10</w:t>
            </w:r>
          </w:p>
        </w:tc>
      </w:tr>
      <w:tr w:rsidR="0075791A" w14:paraId="5ECC5BB6" w14:textId="77777777">
        <w:trPr>
          <w:trHeight w:val="318"/>
        </w:trPr>
        <w:tc>
          <w:tcPr>
            <w:tcW w:w="438" w:type="dxa"/>
            <w:tcBorders>
              <w:left w:val="single" w:sz="6" w:space="0" w:color="000000"/>
            </w:tcBorders>
          </w:tcPr>
          <w:p w14:paraId="1223BB2E" w14:textId="77777777" w:rsidR="0075791A" w:rsidRDefault="00FB2864">
            <w:pPr>
              <w:pStyle w:val="TableText"/>
              <w:spacing w:before="92" w:line="183" w:lineRule="auto"/>
              <w:ind w:left="126"/>
              <w:rPr>
                <w:rFonts w:ascii="Times New Roman" w:hAnsi="Times New Roman"/>
                <w:color w:val="auto"/>
                <w:sz w:val="21"/>
                <w:szCs w:val="21"/>
              </w:rPr>
            </w:pPr>
            <w:r>
              <w:rPr>
                <w:rFonts w:ascii="Times New Roman" w:hAnsi="Times New Roman"/>
                <w:color w:val="auto"/>
                <w:spacing w:val="-6"/>
                <w:sz w:val="21"/>
                <w:szCs w:val="21"/>
              </w:rPr>
              <w:t>12</w:t>
            </w:r>
          </w:p>
        </w:tc>
        <w:tc>
          <w:tcPr>
            <w:tcW w:w="685" w:type="dxa"/>
          </w:tcPr>
          <w:p w14:paraId="7FD0853C" w14:textId="77777777" w:rsidR="0075791A" w:rsidRDefault="00FB2864">
            <w:pPr>
              <w:pStyle w:val="TableText"/>
              <w:spacing w:before="92" w:line="183" w:lineRule="auto"/>
              <w:ind w:left="127"/>
              <w:rPr>
                <w:rFonts w:ascii="Times New Roman" w:hAnsi="Times New Roman"/>
                <w:color w:val="auto"/>
                <w:sz w:val="21"/>
                <w:szCs w:val="21"/>
              </w:rPr>
            </w:pPr>
            <w:r>
              <w:rPr>
                <w:rFonts w:ascii="Times New Roman" w:hAnsi="Times New Roman"/>
                <w:color w:val="auto"/>
                <w:spacing w:val="-2"/>
                <w:sz w:val="21"/>
                <w:szCs w:val="21"/>
              </w:rPr>
              <w:t>9612</w:t>
            </w:r>
          </w:p>
        </w:tc>
        <w:tc>
          <w:tcPr>
            <w:tcW w:w="1350" w:type="dxa"/>
          </w:tcPr>
          <w:p w14:paraId="7D945178" w14:textId="77777777" w:rsidR="0075791A" w:rsidRDefault="00FB2864">
            <w:pPr>
              <w:pStyle w:val="TableText"/>
              <w:spacing w:before="57" w:line="220" w:lineRule="auto"/>
              <w:ind w:left="45"/>
              <w:rPr>
                <w:rFonts w:ascii="Times New Roman" w:hAnsi="Times New Roman"/>
                <w:color w:val="auto"/>
                <w:sz w:val="21"/>
                <w:szCs w:val="21"/>
              </w:rPr>
            </w:pPr>
            <w:r>
              <w:rPr>
                <w:rFonts w:ascii="Times New Roman" w:hAnsi="Times New Roman"/>
                <w:color w:val="auto"/>
                <w:spacing w:val="-1"/>
                <w:sz w:val="21"/>
                <w:szCs w:val="21"/>
              </w:rPr>
              <w:t>08/18</w:t>
            </w:r>
            <w:r>
              <w:rPr>
                <w:rFonts w:ascii="Times New Roman" w:hAnsi="Times New Roman"/>
                <w:color w:val="auto"/>
                <w:spacing w:val="-1"/>
                <w:sz w:val="21"/>
                <w:szCs w:val="21"/>
              </w:rPr>
              <w:t>～</w:t>
            </w:r>
            <w:r>
              <w:rPr>
                <w:rFonts w:ascii="Times New Roman" w:hAnsi="Times New Roman"/>
                <w:color w:val="auto"/>
                <w:spacing w:val="-1"/>
                <w:sz w:val="21"/>
                <w:szCs w:val="21"/>
              </w:rPr>
              <w:t>08/23</w:t>
            </w:r>
          </w:p>
        </w:tc>
        <w:tc>
          <w:tcPr>
            <w:tcW w:w="1049" w:type="dxa"/>
          </w:tcPr>
          <w:p w14:paraId="3E066068" w14:textId="77777777" w:rsidR="0075791A" w:rsidRDefault="00FB2864">
            <w:pPr>
              <w:pStyle w:val="TableText"/>
              <w:spacing w:before="94" w:line="181" w:lineRule="auto"/>
              <w:ind w:left="415"/>
              <w:rPr>
                <w:rFonts w:ascii="Times New Roman" w:hAnsi="Times New Roman"/>
                <w:color w:val="auto"/>
                <w:sz w:val="21"/>
                <w:szCs w:val="21"/>
              </w:rPr>
            </w:pPr>
            <w:r>
              <w:rPr>
                <w:rFonts w:ascii="Times New Roman" w:hAnsi="Times New Roman"/>
                <w:color w:val="auto"/>
                <w:spacing w:val="-2"/>
                <w:sz w:val="21"/>
                <w:szCs w:val="21"/>
              </w:rPr>
              <w:t>TY</w:t>
            </w:r>
          </w:p>
        </w:tc>
        <w:tc>
          <w:tcPr>
            <w:tcW w:w="1069" w:type="dxa"/>
          </w:tcPr>
          <w:p w14:paraId="15AD3A58" w14:textId="77777777" w:rsidR="0075791A" w:rsidRDefault="00FB2864">
            <w:pPr>
              <w:pStyle w:val="TableText"/>
              <w:spacing w:before="57" w:line="220" w:lineRule="auto"/>
              <w:ind w:left="323"/>
              <w:rPr>
                <w:rFonts w:ascii="Times New Roman" w:hAnsi="Times New Roman"/>
                <w:color w:val="auto"/>
                <w:sz w:val="21"/>
                <w:szCs w:val="21"/>
              </w:rPr>
            </w:pPr>
            <w:r>
              <w:rPr>
                <w:rFonts w:ascii="Times New Roman" w:hAnsi="Times New Roman"/>
                <w:color w:val="auto"/>
                <w:spacing w:val="-2"/>
                <w:sz w:val="21"/>
                <w:szCs w:val="21"/>
              </w:rPr>
              <w:t>三亚</w:t>
            </w:r>
          </w:p>
        </w:tc>
        <w:tc>
          <w:tcPr>
            <w:tcW w:w="1531" w:type="dxa"/>
          </w:tcPr>
          <w:p w14:paraId="31A3FD2A" w14:textId="77777777" w:rsidR="0075791A" w:rsidRDefault="00FB2864">
            <w:pPr>
              <w:pStyle w:val="TableText"/>
              <w:spacing w:before="57" w:line="220" w:lineRule="auto"/>
              <w:ind w:left="298"/>
              <w:rPr>
                <w:rFonts w:ascii="Times New Roman" w:hAnsi="Times New Roman"/>
                <w:color w:val="auto"/>
                <w:sz w:val="21"/>
                <w:szCs w:val="21"/>
              </w:rPr>
            </w:pPr>
            <w:r>
              <w:rPr>
                <w:rFonts w:ascii="Times New Roman" w:hAnsi="Times New Roman"/>
                <w:color w:val="auto"/>
                <w:spacing w:val="-2"/>
                <w:sz w:val="21"/>
                <w:szCs w:val="21"/>
              </w:rPr>
              <w:t>09/2206h</w:t>
            </w:r>
          </w:p>
        </w:tc>
        <w:tc>
          <w:tcPr>
            <w:tcW w:w="1381" w:type="dxa"/>
          </w:tcPr>
          <w:p w14:paraId="7B33FAC3" w14:textId="77777777" w:rsidR="0075791A" w:rsidRDefault="00FB2864">
            <w:pPr>
              <w:pStyle w:val="TableText"/>
              <w:spacing w:before="93" w:line="182" w:lineRule="auto"/>
              <w:ind w:left="540"/>
              <w:rPr>
                <w:rFonts w:ascii="Times New Roman" w:hAnsi="Times New Roman"/>
                <w:color w:val="auto"/>
                <w:sz w:val="21"/>
                <w:szCs w:val="21"/>
              </w:rPr>
            </w:pPr>
            <w:r>
              <w:rPr>
                <w:rFonts w:ascii="Times New Roman" w:hAnsi="Times New Roman"/>
                <w:color w:val="auto"/>
                <w:spacing w:val="-2"/>
                <w:sz w:val="21"/>
                <w:szCs w:val="21"/>
              </w:rPr>
              <w:t>970</w:t>
            </w:r>
          </w:p>
        </w:tc>
        <w:tc>
          <w:tcPr>
            <w:tcW w:w="1251" w:type="dxa"/>
            <w:tcBorders>
              <w:right w:val="single" w:sz="6" w:space="0" w:color="000000"/>
            </w:tcBorders>
          </w:tcPr>
          <w:p w14:paraId="1428081F" w14:textId="77777777" w:rsidR="0075791A" w:rsidRDefault="00FB2864">
            <w:pPr>
              <w:pStyle w:val="TableText"/>
              <w:spacing w:before="92" w:line="183" w:lineRule="auto"/>
              <w:ind w:left="537"/>
              <w:rPr>
                <w:rFonts w:ascii="Times New Roman" w:hAnsi="Times New Roman"/>
                <w:color w:val="auto"/>
                <w:sz w:val="21"/>
                <w:szCs w:val="21"/>
              </w:rPr>
            </w:pPr>
            <w:r>
              <w:rPr>
                <w:rFonts w:ascii="Times New Roman" w:hAnsi="Times New Roman"/>
                <w:color w:val="auto"/>
                <w:spacing w:val="-6"/>
                <w:sz w:val="21"/>
                <w:szCs w:val="21"/>
              </w:rPr>
              <w:t>12</w:t>
            </w:r>
          </w:p>
        </w:tc>
      </w:tr>
      <w:tr w:rsidR="0075791A" w14:paraId="04871E01" w14:textId="77777777">
        <w:trPr>
          <w:trHeight w:val="316"/>
        </w:trPr>
        <w:tc>
          <w:tcPr>
            <w:tcW w:w="438" w:type="dxa"/>
            <w:tcBorders>
              <w:left w:val="single" w:sz="6" w:space="0" w:color="000000"/>
            </w:tcBorders>
          </w:tcPr>
          <w:p w14:paraId="60E735C6" w14:textId="77777777" w:rsidR="0075791A" w:rsidRDefault="00FB2864">
            <w:pPr>
              <w:pStyle w:val="TableText"/>
              <w:spacing w:before="90" w:line="183" w:lineRule="auto"/>
              <w:ind w:left="126"/>
              <w:rPr>
                <w:rFonts w:ascii="Times New Roman" w:hAnsi="Times New Roman"/>
                <w:color w:val="auto"/>
                <w:sz w:val="21"/>
                <w:szCs w:val="21"/>
              </w:rPr>
            </w:pPr>
            <w:r>
              <w:rPr>
                <w:rFonts w:ascii="Times New Roman" w:hAnsi="Times New Roman"/>
                <w:color w:val="auto"/>
                <w:spacing w:val="-6"/>
                <w:sz w:val="21"/>
                <w:szCs w:val="21"/>
              </w:rPr>
              <w:t>13</w:t>
            </w:r>
          </w:p>
        </w:tc>
        <w:tc>
          <w:tcPr>
            <w:tcW w:w="685" w:type="dxa"/>
          </w:tcPr>
          <w:p w14:paraId="2106D2E9" w14:textId="77777777" w:rsidR="0075791A" w:rsidRDefault="00FB2864">
            <w:pPr>
              <w:pStyle w:val="TableText"/>
              <w:spacing w:before="90" w:line="183" w:lineRule="auto"/>
              <w:ind w:left="128"/>
              <w:rPr>
                <w:rFonts w:ascii="Times New Roman" w:hAnsi="Times New Roman"/>
                <w:color w:val="auto"/>
                <w:sz w:val="21"/>
                <w:szCs w:val="21"/>
              </w:rPr>
            </w:pPr>
            <w:r>
              <w:rPr>
                <w:rFonts w:ascii="Times New Roman" w:hAnsi="Times New Roman"/>
                <w:color w:val="auto"/>
                <w:spacing w:val="-2"/>
                <w:sz w:val="21"/>
                <w:szCs w:val="21"/>
              </w:rPr>
              <w:t>0016</w:t>
            </w:r>
          </w:p>
        </w:tc>
        <w:tc>
          <w:tcPr>
            <w:tcW w:w="1350" w:type="dxa"/>
          </w:tcPr>
          <w:p w14:paraId="1DD5F04A" w14:textId="77777777" w:rsidR="0075791A" w:rsidRDefault="00FB2864">
            <w:pPr>
              <w:pStyle w:val="TableText"/>
              <w:spacing w:before="56" w:line="219" w:lineRule="auto"/>
              <w:ind w:left="45"/>
              <w:rPr>
                <w:rFonts w:ascii="Times New Roman" w:hAnsi="Times New Roman"/>
                <w:color w:val="auto"/>
                <w:sz w:val="21"/>
                <w:szCs w:val="21"/>
              </w:rPr>
            </w:pPr>
            <w:r>
              <w:rPr>
                <w:rFonts w:ascii="Times New Roman" w:hAnsi="Times New Roman"/>
                <w:color w:val="auto"/>
                <w:spacing w:val="-1"/>
                <w:sz w:val="21"/>
                <w:szCs w:val="21"/>
              </w:rPr>
              <w:t>09/02</w:t>
            </w:r>
            <w:r>
              <w:rPr>
                <w:rFonts w:ascii="Times New Roman" w:hAnsi="Times New Roman"/>
                <w:color w:val="auto"/>
                <w:spacing w:val="-1"/>
                <w:sz w:val="21"/>
                <w:szCs w:val="21"/>
              </w:rPr>
              <w:t>～</w:t>
            </w:r>
            <w:r>
              <w:rPr>
                <w:rFonts w:ascii="Times New Roman" w:hAnsi="Times New Roman"/>
                <w:color w:val="auto"/>
                <w:spacing w:val="-1"/>
                <w:sz w:val="21"/>
                <w:szCs w:val="21"/>
              </w:rPr>
              <w:t>09/10</w:t>
            </w:r>
          </w:p>
        </w:tc>
        <w:tc>
          <w:tcPr>
            <w:tcW w:w="1049" w:type="dxa"/>
          </w:tcPr>
          <w:p w14:paraId="337010D7" w14:textId="77777777" w:rsidR="0075791A" w:rsidRDefault="00FB2864">
            <w:pPr>
              <w:pStyle w:val="TableText"/>
              <w:spacing w:before="92" w:line="181" w:lineRule="auto"/>
              <w:ind w:left="415"/>
              <w:rPr>
                <w:rFonts w:ascii="Times New Roman" w:hAnsi="Times New Roman"/>
                <w:color w:val="auto"/>
                <w:sz w:val="21"/>
                <w:szCs w:val="21"/>
              </w:rPr>
            </w:pPr>
            <w:r>
              <w:rPr>
                <w:rFonts w:ascii="Times New Roman" w:hAnsi="Times New Roman"/>
                <w:color w:val="auto"/>
                <w:spacing w:val="-2"/>
                <w:sz w:val="21"/>
                <w:szCs w:val="21"/>
              </w:rPr>
              <w:t>TY</w:t>
            </w:r>
          </w:p>
        </w:tc>
        <w:tc>
          <w:tcPr>
            <w:tcW w:w="1069" w:type="dxa"/>
          </w:tcPr>
          <w:p w14:paraId="6D42C64B" w14:textId="77777777" w:rsidR="0075791A" w:rsidRDefault="00FB2864">
            <w:pPr>
              <w:pStyle w:val="TableText"/>
              <w:spacing w:before="56" w:line="219" w:lineRule="auto"/>
              <w:ind w:left="128"/>
              <w:rPr>
                <w:rFonts w:ascii="Times New Roman" w:hAnsi="Times New Roman"/>
                <w:color w:val="auto"/>
                <w:sz w:val="21"/>
                <w:szCs w:val="21"/>
              </w:rPr>
            </w:pPr>
            <w:r>
              <w:rPr>
                <w:rFonts w:ascii="Times New Roman" w:hAnsi="Times New Roman"/>
                <w:color w:val="auto"/>
                <w:spacing w:val="-5"/>
                <w:sz w:val="21"/>
                <w:szCs w:val="21"/>
              </w:rPr>
              <w:t>陵水三亚</w:t>
            </w:r>
          </w:p>
        </w:tc>
        <w:tc>
          <w:tcPr>
            <w:tcW w:w="1531" w:type="dxa"/>
          </w:tcPr>
          <w:p w14:paraId="35BE224F" w14:textId="77777777" w:rsidR="0075791A" w:rsidRDefault="00FB2864">
            <w:pPr>
              <w:pStyle w:val="TableText"/>
              <w:spacing w:before="56" w:line="219" w:lineRule="auto"/>
              <w:ind w:left="298"/>
              <w:rPr>
                <w:rFonts w:ascii="Times New Roman" w:hAnsi="Times New Roman"/>
                <w:color w:val="auto"/>
                <w:sz w:val="21"/>
                <w:szCs w:val="21"/>
              </w:rPr>
            </w:pPr>
            <w:r>
              <w:rPr>
                <w:rFonts w:ascii="Times New Roman" w:hAnsi="Times New Roman"/>
                <w:color w:val="auto"/>
                <w:spacing w:val="-2"/>
                <w:sz w:val="21"/>
                <w:szCs w:val="21"/>
              </w:rPr>
              <w:t>09/0908h</w:t>
            </w:r>
          </w:p>
        </w:tc>
        <w:tc>
          <w:tcPr>
            <w:tcW w:w="1381" w:type="dxa"/>
          </w:tcPr>
          <w:p w14:paraId="5A36FC4D" w14:textId="77777777" w:rsidR="0075791A" w:rsidRDefault="00FB2864">
            <w:pPr>
              <w:pStyle w:val="TableText"/>
              <w:spacing w:before="91" w:line="182" w:lineRule="auto"/>
              <w:ind w:left="540"/>
              <w:rPr>
                <w:rFonts w:ascii="Times New Roman" w:hAnsi="Times New Roman"/>
                <w:color w:val="auto"/>
                <w:sz w:val="21"/>
                <w:szCs w:val="21"/>
              </w:rPr>
            </w:pPr>
            <w:r>
              <w:rPr>
                <w:rFonts w:ascii="Times New Roman" w:hAnsi="Times New Roman"/>
                <w:color w:val="auto"/>
                <w:spacing w:val="-2"/>
                <w:sz w:val="21"/>
                <w:szCs w:val="21"/>
              </w:rPr>
              <w:t>975</w:t>
            </w:r>
          </w:p>
        </w:tc>
        <w:tc>
          <w:tcPr>
            <w:tcW w:w="1251" w:type="dxa"/>
            <w:tcBorders>
              <w:right w:val="single" w:sz="6" w:space="0" w:color="000000"/>
            </w:tcBorders>
          </w:tcPr>
          <w:p w14:paraId="0A79FA61" w14:textId="77777777" w:rsidR="0075791A" w:rsidRDefault="00FB2864">
            <w:pPr>
              <w:pStyle w:val="TableText"/>
              <w:spacing w:before="90" w:line="183" w:lineRule="auto"/>
              <w:ind w:left="537"/>
              <w:rPr>
                <w:rFonts w:ascii="Times New Roman" w:hAnsi="Times New Roman"/>
                <w:color w:val="auto"/>
                <w:sz w:val="21"/>
                <w:szCs w:val="21"/>
              </w:rPr>
            </w:pPr>
            <w:r>
              <w:rPr>
                <w:rFonts w:ascii="Times New Roman" w:hAnsi="Times New Roman"/>
                <w:color w:val="auto"/>
                <w:spacing w:val="-6"/>
                <w:sz w:val="21"/>
                <w:szCs w:val="21"/>
              </w:rPr>
              <w:t>12</w:t>
            </w:r>
          </w:p>
        </w:tc>
      </w:tr>
      <w:tr w:rsidR="0075791A" w14:paraId="12111D05" w14:textId="77777777">
        <w:trPr>
          <w:trHeight w:val="316"/>
        </w:trPr>
        <w:tc>
          <w:tcPr>
            <w:tcW w:w="438" w:type="dxa"/>
            <w:tcBorders>
              <w:left w:val="single" w:sz="6" w:space="0" w:color="000000"/>
            </w:tcBorders>
          </w:tcPr>
          <w:p w14:paraId="4E96B9C5" w14:textId="77777777" w:rsidR="0075791A" w:rsidRDefault="00FB2864">
            <w:pPr>
              <w:pStyle w:val="TableText"/>
              <w:spacing w:before="90" w:line="183" w:lineRule="auto"/>
              <w:ind w:left="126"/>
              <w:rPr>
                <w:rFonts w:ascii="Times New Roman" w:hAnsi="Times New Roman"/>
                <w:color w:val="auto"/>
                <w:sz w:val="21"/>
                <w:szCs w:val="21"/>
              </w:rPr>
            </w:pPr>
            <w:r>
              <w:rPr>
                <w:rFonts w:ascii="Times New Roman" w:hAnsi="Times New Roman"/>
                <w:color w:val="auto"/>
                <w:spacing w:val="-6"/>
                <w:sz w:val="21"/>
                <w:szCs w:val="21"/>
              </w:rPr>
              <w:t>14</w:t>
            </w:r>
          </w:p>
        </w:tc>
        <w:tc>
          <w:tcPr>
            <w:tcW w:w="685" w:type="dxa"/>
          </w:tcPr>
          <w:p w14:paraId="07619742" w14:textId="77777777" w:rsidR="0075791A" w:rsidRDefault="00FB2864">
            <w:pPr>
              <w:pStyle w:val="TableText"/>
              <w:spacing w:before="91" w:line="183" w:lineRule="auto"/>
              <w:ind w:left="128"/>
              <w:rPr>
                <w:rFonts w:ascii="Times New Roman" w:hAnsi="Times New Roman"/>
                <w:color w:val="auto"/>
                <w:sz w:val="21"/>
                <w:szCs w:val="21"/>
              </w:rPr>
            </w:pPr>
            <w:r>
              <w:rPr>
                <w:rFonts w:ascii="Times New Roman" w:hAnsi="Times New Roman"/>
                <w:color w:val="auto"/>
                <w:spacing w:val="-2"/>
                <w:sz w:val="21"/>
                <w:szCs w:val="21"/>
              </w:rPr>
              <w:t>0518</w:t>
            </w:r>
          </w:p>
        </w:tc>
        <w:tc>
          <w:tcPr>
            <w:tcW w:w="1350" w:type="dxa"/>
          </w:tcPr>
          <w:p w14:paraId="45F4668A" w14:textId="77777777" w:rsidR="0075791A" w:rsidRDefault="00FB2864">
            <w:pPr>
              <w:pStyle w:val="TableText"/>
              <w:spacing w:before="56" w:line="219" w:lineRule="auto"/>
              <w:ind w:left="45"/>
              <w:rPr>
                <w:rFonts w:ascii="Times New Roman" w:hAnsi="Times New Roman"/>
                <w:color w:val="auto"/>
                <w:sz w:val="21"/>
                <w:szCs w:val="21"/>
              </w:rPr>
            </w:pPr>
            <w:r>
              <w:rPr>
                <w:rFonts w:ascii="Times New Roman" w:hAnsi="Times New Roman"/>
                <w:color w:val="auto"/>
                <w:spacing w:val="-1"/>
                <w:sz w:val="21"/>
                <w:szCs w:val="21"/>
              </w:rPr>
              <w:t>09/20</w:t>
            </w:r>
            <w:r>
              <w:rPr>
                <w:rFonts w:ascii="Times New Roman" w:hAnsi="Times New Roman"/>
                <w:color w:val="auto"/>
                <w:spacing w:val="-1"/>
                <w:sz w:val="21"/>
                <w:szCs w:val="21"/>
              </w:rPr>
              <w:t>～</w:t>
            </w:r>
            <w:r>
              <w:rPr>
                <w:rFonts w:ascii="Times New Roman" w:hAnsi="Times New Roman"/>
                <w:color w:val="auto"/>
                <w:spacing w:val="-1"/>
                <w:sz w:val="21"/>
                <w:szCs w:val="21"/>
              </w:rPr>
              <w:t>09/28</w:t>
            </w:r>
          </w:p>
        </w:tc>
        <w:tc>
          <w:tcPr>
            <w:tcW w:w="1049" w:type="dxa"/>
          </w:tcPr>
          <w:p w14:paraId="4C0E9260" w14:textId="77777777" w:rsidR="0075791A" w:rsidRDefault="00FB2864">
            <w:pPr>
              <w:pStyle w:val="TableText"/>
              <w:spacing w:before="92" w:line="182" w:lineRule="auto"/>
              <w:ind w:left="368"/>
              <w:rPr>
                <w:rFonts w:ascii="Times New Roman" w:hAnsi="Times New Roman"/>
                <w:color w:val="auto"/>
                <w:sz w:val="21"/>
                <w:szCs w:val="21"/>
              </w:rPr>
            </w:pPr>
            <w:r>
              <w:rPr>
                <w:rFonts w:ascii="Times New Roman" w:hAnsi="Times New Roman"/>
                <w:color w:val="auto"/>
                <w:spacing w:val="-2"/>
                <w:sz w:val="21"/>
                <w:szCs w:val="21"/>
              </w:rPr>
              <w:t>STY</w:t>
            </w:r>
          </w:p>
        </w:tc>
        <w:tc>
          <w:tcPr>
            <w:tcW w:w="1069" w:type="dxa"/>
          </w:tcPr>
          <w:p w14:paraId="66124956" w14:textId="77777777" w:rsidR="0075791A" w:rsidRDefault="00FB2864">
            <w:pPr>
              <w:pStyle w:val="TableText"/>
              <w:spacing w:before="56" w:line="219" w:lineRule="auto"/>
              <w:ind w:left="337"/>
              <w:rPr>
                <w:rFonts w:ascii="Times New Roman" w:hAnsi="Times New Roman"/>
                <w:color w:val="auto"/>
                <w:sz w:val="21"/>
                <w:szCs w:val="21"/>
              </w:rPr>
            </w:pPr>
            <w:r>
              <w:rPr>
                <w:rFonts w:ascii="Times New Roman" w:hAnsi="Times New Roman"/>
                <w:color w:val="auto"/>
                <w:spacing w:val="-5"/>
                <w:sz w:val="21"/>
                <w:szCs w:val="21"/>
              </w:rPr>
              <w:t>陵水</w:t>
            </w:r>
          </w:p>
        </w:tc>
        <w:tc>
          <w:tcPr>
            <w:tcW w:w="1531" w:type="dxa"/>
          </w:tcPr>
          <w:p w14:paraId="669447A0" w14:textId="77777777" w:rsidR="0075791A" w:rsidRDefault="00FB2864">
            <w:pPr>
              <w:pStyle w:val="TableText"/>
              <w:spacing w:before="56" w:line="219" w:lineRule="auto"/>
              <w:ind w:left="298"/>
              <w:rPr>
                <w:rFonts w:ascii="Times New Roman" w:hAnsi="Times New Roman"/>
                <w:color w:val="auto"/>
                <w:sz w:val="21"/>
                <w:szCs w:val="21"/>
              </w:rPr>
            </w:pPr>
            <w:r>
              <w:rPr>
                <w:rFonts w:ascii="Times New Roman" w:hAnsi="Times New Roman"/>
                <w:color w:val="auto"/>
                <w:spacing w:val="-2"/>
                <w:sz w:val="21"/>
                <w:szCs w:val="21"/>
              </w:rPr>
              <w:t>09/2603h</w:t>
            </w:r>
          </w:p>
        </w:tc>
        <w:tc>
          <w:tcPr>
            <w:tcW w:w="1381" w:type="dxa"/>
          </w:tcPr>
          <w:p w14:paraId="618CA7BB" w14:textId="77777777" w:rsidR="0075791A" w:rsidRDefault="00FB2864">
            <w:pPr>
              <w:pStyle w:val="TableText"/>
              <w:spacing w:before="92" w:line="182" w:lineRule="auto"/>
              <w:ind w:left="540"/>
              <w:rPr>
                <w:rFonts w:ascii="Times New Roman" w:hAnsi="Times New Roman"/>
                <w:color w:val="auto"/>
                <w:sz w:val="21"/>
                <w:szCs w:val="21"/>
              </w:rPr>
            </w:pPr>
            <w:r>
              <w:rPr>
                <w:rFonts w:ascii="Times New Roman" w:hAnsi="Times New Roman"/>
                <w:color w:val="auto"/>
                <w:spacing w:val="-2"/>
                <w:sz w:val="21"/>
                <w:szCs w:val="21"/>
              </w:rPr>
              <w:t>970</w:t>
            </w:r>
          </w:p>
        </w:tc>
        <w:tc>
          <w:tcPr>
            <w:tcW w:w="1251" w:type="dxa"/>
            <w:tcBorders>
              <w:right w:val="single" w:sz="6" w:space="0" w:color="000000"/>
            </w:tcBorders>
          </w:tcPr>
          <w:p w14:paraId="6C0B8C45" w14:textId="77777777" w:rsidR="0075791A" w:rsidRDefault="00FB2864">
            <w:pPr>
              <w:pStyle w:val="TableText"/>
              <w:spacing w:before="90" w:line="183" w:lineRule="auto"/>
              <w:ind w:left="537"/>
              <w:rPr>
                <w:rFonts w:ascii="Times New Roman" w:hAnsi="Times New Roman"/>
                <w:color w:val="auto"/>
                <w:sz w:val="21"/>
                <w:szCs w:val="21"/>
              </w:rPr>
            </w:pPr>
            <w:r>
              <w:rPr>
                <w:rFonts w:ascii="Times New Roman" w:hAnsi="Times New Roman"/>
                <w:color w:val="auto"/>
                <w:spacing w:val="-6"/>
                <w:sz w:val="21"/>
                <w:szCs w:val="21"/>
              </w:rPr>
              <w:t>12</w:t>
            </w:r>
          </w:p>
        </w:tc>
      </w:tr>
      <w:tr w:rsidR="0075791A" w14:paraId="5265E7C4" w14:textId="77777777">
        <w:trPr>
          <w:trHeight w:val="316"/>
        </w:trPr>
        <w:tc>
          <w:tcPr>
            <w:tcW w:w="438" w:type="dxa"/>
            <w:tcBorders>
              <w:left w:val="single" w:sz="6" w:space="0" w:color="000000"/>
            </w:tcBorders>
          </w:tcPr>
          <w:p w14:paraId="3592F64D" w14:textId="77777777" w:rsidR="0075791A" w:rsidRDefault="00FB2864">
            <w:pPr>
              <w:pStyle w:val="TableText"/>
              <w:spacing w:before="91" w:line="183" w:lineRule="auto"/>
              <w:ind w:left="126"/>
              <w:rPr>
                <w:rFonts w:ascii="Times New Roman" w:hAnsi="Times New Roman"/>
                <w:color w:val="auto"/>
                <w:sz w:val="21"/>
                <w:szCs w:val="21"/>
              </w:rPr>
            </w:pPr>
            <w:r>
              <w:rPr>
                <w:rFonts w:ascii="Times New Roman" w:hAnsi="Times New Roman"/>
                <w:color w:val="auto"/>
                <w:spacing w:val="-6"/>
                <w:sz w:val="21"/>
                <w:szCs w:val="21"/>
              </w:rPr>
              <w:t>15</w:t>
            </w:r>
          </w:p>
        </w:tc>
        <w:tc>
          <w:tcPr>
            <w:tcW w:w="685" w:type="dxa"/>
          </w:tcPr>
          <w:p w14:paraId="61FFA543" w14:textId="77777777" w:rsidR="0075791A" w:rsidRDefault="00FB2864">
            <w:pPr>
              <w:pStyle w:val="TableText"/>
              <w:spacing w:before="91" w:line="183" w:lineRule="auto"/>
              <w:ind w:left="142"/>
              <w:rPr>
                <w:rFonts w:ascii="Times New Roman" w:hAnsi="Times New Roman"/>
                <w:color w:val="auto"/>
                <w:sz w:val="21"/>
                <w:szCs w:val="21"/>
              </w:rPr>
            </w:pPr>
            <w:r>
              <w:rPr>
                <w:rFonts w:ascii="Times New Roman" w:hAnsi="Times New Roman"/>
                <w:color w:val="auto"/>
                <w:spacing w:val="-5"/>
                <w:sz w:val="21"/>
                <w:szCs w:val="21"/>
              </w:rPr>
              <w:t>1002</w:t>
            </w:r>
          </w:p>
        </w:tc>
        <w:tc>
          <w:tcPr>
            <w:tcW w:w="1350" w:type="dxa"/>
          </w:tcPr>
          <w:p w14:paraId="2773EB82" w14:textId="77777777" w:rsidR="0075791A" w:rsidRDefault="00FB2864">
            <w:pPr>
              <w:pStyle w:val="TableText"/>
              <w:spacing w:before="56" w:line="219" w:lineRule="auto"/>
              <w:ind w:left="45"/>
              <w:rPr>
                <w:rFonts w:ascii="Times New Roman" w:hAnsi="Times New Roman"/>
                <w:color w:val="auto"/>
                <w:sz w:val="21"/>
                <w:szCs w:val="21"/>
              </w:rPr>
            </w:pPr>
            <w:r>
              <w:rPr>
                <w:rFonts w:ascii="Times New Roman" w:hAnsi="Times New Roman"/>
                <w:color w:val="auto"/>
                <w:spacing w:val="-1"/>
                <w:sz w:val="21"/>
                <w:szCs w:val="21"/>
              </w:rPr>
              <w:t>07/12</w:t>
            </w:r>
            <w:r>
              <w:rPr>
                <w:rFonts w:ascii="Times New Roman" w:hAnsi="Times New Roman"/>
                <w:color w:val="auto"/>
                <w:spacing w:val="-1"/>
                <w:sz w:val="21"/>
                <w:szCs w:val="21"/>
              </w:rPr>
              <w:t>～</w:t>
            </w:r>
            <w:r>
              <w:rPr>
                <w:rFonts w:ascii="Times New Roman" w:hAnsi="Times New Roman"/>
                <w:color w:val="auto"/>
                <w:spacing w:val="-1"/>
                <w:sz w:val="21"/>
                <w:szCs w:val="21"/>
              </w:rPr>
              <w:t>07/17</w:t>
            </w:r>
          </w:p>
        </w:tc>
        <w:tc>
          <w:tcPr>
            <w:tcW w:w="1049" w:type="dxa"/>
          </w:tcPr>
          <w:p w14:paraId="251EB0D8" w14:textId="77777777" w:rsidR="0075791A" w:rsidRDefault="00FB2864">
            <w:pPr>
              <w:pStyle w:val="TableText"/>
              <w:spacing w:before="93" w:line="181" w:lineRule="auto"/>
              <w:ind w:left="415"/>
              <w:rPr>
                <w:rFonts w:ascii="Times New Roman" w:hAnsi="Times New Roman"/>
                <w:color w:val="auto"/>
                <w:sz w:val="21"/>
                <w:szCs w:val="21"/>
              </w:rPr>
            </w:pPr>
            <w:r>
              <w:rPr>
                <w:rFonts w:ascii="Times New Roman" w:hAnsi="Times New Roman"/>
                <w:color w:val="auto"/>
                <w:spacing w:val="-2"/>
                <w:sz w:val="21"/>
                <w:szCs w:val="21"/>
              </w:rPr>
              <w:t>TY</w:t>
            </w:r>
          </w:p>
        </w:tc>
        <w:tc>
          <w:tcPr>
            <w:tcW w:w="1069" w:type="dxa"/>
          </w:tcPr>
          <w:p w14:paraId="25732769" w14:textId="77777777" w:rsidR="0075791A" w:rsidRDefault="00FB2864">
            <w:pPr>
              <w:pStyle w:val="TableText"/>
              <w:spacing w:before="56" w:line="219" w:lineRule="auto"/>
              <w:ind w:left="323"/>
              <w:rPr>
                <w:rFonts w:ascii="Times New Roman" w:hAnsi="Times New Roman"/>
                <w:color w:val="auto"/>
                <w:sz w:val="21"/>
                <w:szCs w:val="21"/>
              </w:rPr>
            </w:pPr>
            <w:r>
              <w:rPr>
                <w:rFonts w:ascii="Times New Roman" w:hAnsi="Times New Roman"/>
                <w:color w:val="auto"/>
                <w:spacing w:val="-2"/>
                <w:sz w:val="21"/>
                <w:szCs w:val="21"/>
              </w:rPr>
              <w:t>三亚</w:t>
            </w:r>
          </w:p>
        </w:tc>
        <w:tc>
          <w:tcPr>
            <w:tcW w:w="1531" w:type="dxa"/>
          </w:tcPr>
          <w:p w14:paraId="4DBBB1EC" w14:textId="77777777" w:rsidR="0075791A" w:rsidRDefault="00FB2864">
            <w:pPr>
              <w:pStyle w:val="TableText"/>
              <w:spacing w:before="56" w:line="219" w:lineRule="auto"/>
              <w:ind w:left="298"/>
              <w:rPr>
                <w:rFonts w:ascii="Times New Roman" w:hAnsi="Times New Roman"/>
                <w:color w:val="auto"/>
                <w:sz w:val="21"/>
                <w:szCs w:val="21"/>
              </w:rPr>
            </w:pPr>
            <w:r>
              <w:rPr>
                <w:rFonts w:ascii="Times New Roman" w:hAnsi="Times New Roman"/>
                <w:color w:val="auto"/>
                <w:spacing w:val="-2"/>
                <w:sz w:val="21"/>
                <w:szCs w:val="21"/>
              </w:rPr>
              <w:t>07/1620h</w:t>
            </w:r>
          </w:p>
        </w:tc>
        <w:tc>
          <w:tcPr>
            <w:tcW w:w="1381" w:type="dxa"/>
          </w:tcPr>
          <w:p w14:paraId="34A58F37" w14:textId="77777777" w:rsidR="0075791A" w:rsidRDefault="00FB2864">
            <w:pPr>
              <w:pStyle w:val="TableText"/>
              <w:spacing w:before="92" w:line="182" w:lineRule="auto"/>
              <w:ind w:left="540"/>
              <w:rPr>
                <w:rFonts w:ascii="Times New Roman" w:hAnsi="Times New Roman"/>
                <w:color w:val="auto"/>
                <w:sz w:val="21"/>
                <w:szCs w:val="21"/>
              </w:rPr>
            </w:pPr>
            <w:r>
              <w:rPr>
                <w:rFonts w:ascii="Times New Roman" w:hAnsi="Times New Roman"/>
                <w:color w:val="auto"/>
                <w:spacing w:val="-2"/>
                <w:sz w:val="21"/>
                <w:szCs w:val="21"/>
              </w:rPr>
              <w:t>968</w:t>
            </w:r>
          </w:p>
        </w:tc>
        <w:tc>
          <w:tcPr>
            <w:tcW w:w="1251" w:type="dxa"/>
            <w:tcBorders>
              <w:right w:val="single" w:sz="6" w:space="0" w:color="000000"/>
            </w:tcBorders>
          </w:tcPr>
          <w:p w14:paraId="4E73FAB6" w14:textId="77777777" w:rsidR="0075791A" w:rsidRDefault="00FB2864">
            <w:pPr>
              <w:pStyle w:val="TableText"/>
              <w:spacing w:before="91" w:line="183" w:lineRule="auto"/>
              <w:ind w:left="537"/>
              <w:rPr>
                <w:rFonts w:ascii="Times New Roman" w:hAnsi="Times New Roman"/>
                <w:color w:val="auto"/>
                <w:sz w:val="21"/>
                <w:szCs w:val="21"/>
              </w:rPr>
            </w:pPr>
            <w:r>
              <w:rPr>
                <w:rFonts w:ascii="Times New Roman" w:hAnsi="Times New Roman"/>
                <w:color w:val="auto"/>
                <w:spacing w:val="-6"/>
                <w:sz w:val="21"/>
                <w:szCs w:val="21"/>
              </w:rPr>
              <w:t>12</w:t>
            </w:r>
          </w:p>
        </w:tc>
      </w:tr>
      <w:tr w:rsidR="0075791A" w14:paraId="4F1150A6" w14:textId="77777777">
        <w:trPr>
          <w:trHeight w:val="318"/>
        </w:trPr>
        <w:tc>
          <w:tcPr>
            <w:tcW w:w="438" w:type="dxa"/>
            <w:tcBorders>
              <w:left w:val="single" w:sz="6" w:space="0" w:color="000000"/>
            </w:tcBorders>
          </w:tcPr>
          <w:p w14:paraId="2A792744" w14:textId="77777777" w:rsidR="0075791A" w:rsidRDefault="00FB2864">
            <w:pPr>
              <w:pStyle w:val="TableText"/>
              <w:spacing w:before="94" w:line="183" w:lineRule="auto"/>
              <w:ind w:left="126"/>
              <w:rPr>
                <w:rFonts w:ascii="Times New Roman" w:hAnsi="Times New Roman"/>
                <w:color w:val="auto"/>
                <w:sz w:val="21"/>
                <w:szCs w:val="21"/>
              </w:rPr>
            </w:pPr>
            <w:r>
              <w:rPr>
                <w:rFonts w:ascii="Times New Roman" w:hAnsi="Times New Roman"/>
                <w:color w:val="auto"/>
                <w:spacing w:val="-6"/>
                <w:sz w:val="21"/>
                <w:szCs w:val="21"/>
              </w:rPr>
              <w:t>16</w:t>
            </w:r>
          </w:p>
        </w:tc>
        <w:tc>
          <w:tcPr>
            <w:tcW w:w="685" w:type="dxa"/>
          </w:tcPr>
          <w:p w14:paraId="04E4261C" w14:textId="77777777" w:rsidR="0075791A" w:rsidRDefault="00FB2864">
            <w:pPr>
              <w:pStyle w:val="TableText"/>
              <w:spacing w:before="94" w:line="183" w:lineRule="auto"/>
              <w:ind w:left="142"/>
              <w:rPr>
                <w:rFonts w:ascii="Times New Roman" w:hAnsi="Times New Roman"/>
                <w:color w:val="auto"/>
                <w:sz w:val="21"/>
                <w:szCs w:val="21"/>
              </w:rPr>
            </w:pPr>
            <w:r>
              <w:rPr>
                <w:rFonts w:ascii="Times New Roman" w:hAnsi="Times New Roman"/>
                <w:color w:val="auto"/>
                <w:spacing w:val="-5"/>
                <w:sz w:val="21"/>
                <w:szCs w:val="21"/>
              </w:rPr>
              <w:t>1005</w:t>
            </w:r>
          </w:p>
        </w:tc>
        <w:tc>
          <w:tcPr>
            <w:tcW w:w="1350" w:type="dxa"/>
          </w:tcPr>
          <w:p w14:paraId="3F96C1CF" w14:textId="77777777" w:rsidR="0075791A" w:rsidRDefault="00FB2864">
            <w:pPr>
              <w:pStyle w:val="TableText"/>
              <w:spacing w:before="60" w:line="218" w:lineRule="auto"/>
              <w:ind w:left="98"/>
              <w:rPr>
                <w:rFonts w:ascii="Times New Roman" w:hAnsi="Times New Roman"/>
                <w:color w:val="auto"/>
                <w:sz w:val="21"/>
                <w:szCs w:val="21"/>
              </w:rPr>
            </w:pPr>
            <w:r>
              <w:rPr>
                <w:rFonts w:ascii="Times New Roman" w:hAnsi="Times New Roman"/>
                <w:color w:val="auto"/>
                <w:spacing w:val="-1"/>
                <w:sz w:val="21"/>
                <w:szCs w:val="21"/>
              </w:rPr>
              <w:t>08/22</w:t>
            </w:r>
            <w:r>
              <w:rPr>
                <w:rFonts w:ascii="Times New Roman" w:hAnsi="Times New Roman"/>
                <w:color w:val="auto"/>
                <w:spacing w:val="-1"/>
                <w:sz w:val="21"/>
                <w:szCs w:val="21"/>
              </w:rPr>
              <w:t>～</w:t>
            </w:r>
            <w:r>
              <w:rPr>
                <w:rFonts w:ascii="Times New Roman" w:hAnsi="Times New Roman"/>
                <w:color w:val="auto"/>
                <w:spacing w:val="-1"/>
                <w:sz w:val="21"/>
                <w:szCs w:val="21"/>
              </w:rPr>
              <w:t>0824</w:t>
            </w:r>
          </w:p>
        </w:tc>
        <w:tc>
          <w:tcPr>
            <w:tcW w:w="1049" w:type="dxa"/>
          </w:tcPr>
          <w:p w14:paraId="15960089" w14:textId="77777777" w:rsidR="0075791A" w:rsidRDefault="00FB2864">
            <w:pPr>
              <w:pStyle w:val="TableText"/>
              <w:spacing w:before="96" w:line="181" w:lineRule="auto"/>
              <w:ind w:left="415"/>
              <w:rPr>
                <w:rFonts w:ascii="Times New Roman" w:hAnsi="Times New Roman"/>
                <w:color w:val="auto"/>
                <w:sz w:val="21"/>
                <w:szCs w:val="21"/>
              </w:rPr>
            </w:pPr>
            <w:r>
              <w:rPr>
                <w:rFonts w:ascii="Times New Roman" w:hAnsi="Times New Roman"/>
                <w:color w:val="auto"/>
                <w:spacing w:val="-2"/>
                <w:sz w:val="21"/>
                <w:szCs w:val="21"/>
              </w:rPr>
              <w:t>TD</w:t>
            </w:r>
          </w:p>
        </w:tc>
        <w:tc>
          <w:tcPr>
            <w:tcW w:w="1069" w:type="dxa"/>
          </w:tcPr>
          <w:p w14:paraId="369F558C" w14:textId="77777777" w:rsidR="0075791A" w:rsidRDefault="00FB2864">
            <w:pPr>
              <w:pStyle w:val="TableText"/>
              <w:spacing w:before="60" w:line="218" w:lineRule="auto"/>
              <w:ind w:left="115"/>
              <w:rPr>
                <w:rFonts w:ascii="Times New Roman" w:hAnsi="Times New Roman"/>
                <w:color w:val="auto"/>
                <w:sz w:val="21"/>
                <w:szCs w:val="21"/>
              </w:rPr>
            </w:pPr>
            <w:r>
              <w:rPr>
                <w:rFonts w:ascii="Times New Roman" w:hAnsi="Times New Roman"/>
                <w:color w:val="auto"/>
                <w:spacing w:val="-2"/>
                <w:sz w:val="21"/>
                <w:szCs w:val="21"/>
              </w:rPr>
              <w:t>三亚南部</w:t>
            </w:r>
          </w:p>
        </w:tc>
        <w:tc>
          <w:tcPr>
            <w:tcW w:w="1531" w:type="dxa"/>
          </w:tcPr>
          <w:p w14:paraId="19A1A42B" w14:textId="77777777" w:rsidR="0075791A" w:rsidRDefault="00FB2864">
            <w:pPr>
              <w:pStyle w:val="TableText"/>
              <w:spacing w:before="60" w:line="218" w:lineRule="auto"/>
              <w:ind w:left="298"/>
              <w:rPr>
                <w:rFonts w:ascii="Times New Roman" w:hAnsi="Times New Roman"/>
                <w:color w:val="auto"/>
                <w:sz w:val="21"/>
                <w:szCs w:val="21"/>
              </w:rPr>
            </w:pPr>
            <w:r>
              <w:rPr>
                <w:rFonts w:ascii="Times New Roman" w:hAnsi="Times New Roman"/>
                <w:color w:val="auto"/>
                <w:spacing w:val="-2"/>
                <w:sz w:val="21"/>
                <w:szCs w:val="21"/>
              </w:rPr>
              <w:t>08/2322h</w:t>
            </w:r>
          </w:p>
        </w:tc>
        <w:tc>
          <w:tcPr>
            <w:tcW w:w="1381" w:type="dxa"/>
          </w:tcPr>
          <w:p w14:paraId="6923C3F6" w14:textId="77777777" w:rsidR="0075791A" w:rsidRDefault="00FB2864">
            <w:pPr>
              <w:pStyle w:val="TableText"/>
              <w:spacing w:before="95" w:line="182" w:lineRule="auto"/>
              <w:ind w:left="540"/>
              <w:rPr>
                <w:rFonts w:ascii="Times New Roman" w:hAnsi="Times New Roman"/>
                <w:color w:val="auto"/>
                <w:sz w:val="21"/>
                <w:szCs w:val="21"/>
              </w:rPr>
            </w:pPr>
            <w:r>
              <w:rPr>
                <w:rFonts w:ascii="Times New Roman" w:hAnsi="Times New Roman"/>
                <w:color w:val="auto"/>
                <w:spacing w:val="-2"/>
                <w:sz w:val="21"/>
                <w:szCs w:val="21"/>
              </w:rPr>
              <w:t>985</w:t>
            </w:r>
          </w:p>
        </w:tc>
        <w:tc>
          <w:tcPr>
            <w:tcW w:w="1251" w:type="dxa"/>
            <w:tcBorders>
              <w:right w:val="single" w:sz="6" w:space="0" w:color="000000"/>
            </w:tcBorders>
          </w:tcPr>
          <w:p w14:paraId="1C219301" w14:textId="77777777" w:rsidR="0075791A" w:rsidRDefault="00FB2864">
            <w:pPr>
              <w:pStyle w:val="TableText"/>
              <w:spacing w:before="94" w:line="183" w:lineRule="auto"/>
              <w:ind w:left="537"/>
              <w:rPr>
                <w:rFonts w:ascii="Times New Roman" w:hAnsi="Times New Roman"/>
                <w:color w:val="auto"/>
                <w:sz w:val="21"/>
                <w:szCs w:val="21"/>
              </w:rPr>
            </w:pPr>
            <w:r>
              <w:rPr>
                <w:rFonts w:ascii="Times New Roman" w:hAnsi="Times New Roman"/>
                <w:color w:val="auto"/>
                <w:spacing w:val="-6"/>
                <w:sz w:val="21"/>
                <w:szCs w:val="21"/>
              </w:rPr>
              <w:t>10</w:t>
            </w:r>
          </w:p>
        </w:tc>
      </w:tr>
      <w:tr w:rsidR="0075791A" w14:paraId="5FB12DF7" w14:textId="77777777">
        <w:trPr>
          <w:trHeight w:val="316"/>
        </w:trPr>
        <w:tc>
          <w:tcPr>
            <w:tcW w:w="438" w:type="dxa"/>
            <w:tcBorders>
              <w:left w:val="single" w:sz="6" w:space="0" w:color="000000"/>
            </w:tcBorders>
          </w:tcPr>
          <w:p w14:paraId="664FCE7D" w14:textId="77777777" w:rsidR="0075791A" w:rsidRDefault="00FB2864">
            <w:pPr>
              <w:pStyle w:val="TableText"/>
              <w:spacing w:before="92" w:line="183" w:lineRule="auto"/>
              <w:ind w:left="126"/>
              <w:rPr>
                <w:rFonts w:ascii="Times New Roman" w:hAnsi="Times New Roman"/>
                <w:color w:val="auto"/>
                <w:sz w:val="21"/>
                <w:szCs w:val="21"/>
              </w:rPr>
            </w:pPr>
            <w:r>
              <w:rPr>
                <w:rFonts w:ascii="Times New Roman" w:hAnsi="Times New Roman"/>
                <w:color w:val="auto"/>
                <w:spacing w:val="-6"/>
                <w:sz w:val="21"/>
                <w:szCs w:val="21"/>
              </w:rPr>
              <w:t>17</w:t>
            </w:r>
          </w:p>
        </w:tc>
        <w:tc>
          <w:tcPr>
            <w:tcW w:w="685" w:type="dxa"/>
          </w:tcPr>
          <w:p w14:paraId="1EB1779D" w14:textId="77777777" w:rsidR="0075791A" w:rsidRDefault="00FB2864">
            <w:pPr>
              <w:pStyle w:val="TableText"/>
              <w:spacing w:before="92" w:line="183" w:lineRule="auto"/>
              <w:ind w:left="142"/>
              <w:rPr>
                <w:rFonts w:ascii="Times New Roman" w:hAnsi="Times New Roman"/>
                <w:color w:val="auto"/>
                <w:sz w:val="21"/>
                <w:szCs w:val="21"/>
              </w:rPr>
            </w:pPr>
            <w:r>
              <w:rPr>
                <w:rFonts w:ascii="Times New Roman" w:hAnsi="Times New Roman"/>
                <w:color w:val="auto"/>
                <w:spacing w:val="-5"/>
                <w:sz w:val="21"/>
                <w:szCs w:val="21"/>
              </w:rPr>
              <w:t>1108</w:t>
            </w:r>
          </w:p>
        </w:tc>
        <w:tc>
          <w:tcPr>
            <w:tcW w:w="1350" w:type="dxa"/>
          </w:tcPr>
          <w:p w14:paraId="19469296" w14:textId="77777777" w:rsidR="0075791A" w:rsidRDefault="00FB2864">
            <w:pPr>
              <w:pStyle w:val="TableText"/>
              <w:spacing w:before="58" w:line="218" w:lineRule="auto"/>
              <w:ind w:left="45"/>
              <w:rPr>
                <w:rFonts w:ascii="Times New Roman" w:hAnsi="Times New Roman"/>
                <w:color w:val="auto"/>
                <w:sz w:val="21"/>
                <w:szCs w:val="21"/>
              </w:rPr>
            </w:pPr>
            <w:r>
              <w:rPr>
                <w:rFonts w:ascii="Times New Roman" w:hAnsi="Times New Roman"/>
                <w:color w:val="auto"/>
                <w:spacing w:val="-1"/>
                <w:sz w:val="21"/>
                <w:szCs w:val="21"/>
              </w:rPr>
              <w:t>07/25</w:t>
            </w:r>
            <w:r>
              <w:rPr>
                <w:rFonts w:ascii="Times New Roman" w:hAnsi="Times New Roman"/>
                <w:color w:val="auto"/>
                <w:spacing w:val="-1"/>
                <w:sz w:val="21"/>
                <w:szCs w:val="21"/>
              </w:rPr>
              <w:t>～</w:t>
            </w:r>
            <w:r>
              <w:rPr>
                <w:rFonts w:ascii="Times New Roman" w:hAnsi="Times New Roman"/>
                <w:color w:val="auto"/>
                <w:spacing w:val="-1"/>
                <w:sz w:val="21"/>
                <w:szCs w:val="21"/>
              </w:rPr>
              <w:t>07/30</w:t>
            </w:r>
          </w:p>
        </w:tc>
        <w:tc>
          <w:tcPr>
            <w:tcW w:w="1049" w:type="dxa"/>
          </w:tcPr>
          <w:p w14:paraId="43724215" w14:textId="77777777" w:rsidR="0075791A" w:rsidRDefault="00FB2864">
            <w:pPr>
              <w:pStyle w:val="TableText"/>
              <w:spacing w:before="93" w:line="182" w:lineRule="auto"/>
              <w:ind w:left="368"/>
              <w:rPr>
                <w:rFonts w:ascii="Times New Roman" w:hAnsi="Times New Roman"/>
                <w:color w:val="auto"/>
                <w:sz w:val="21"/>
                <w:szCs w:val="21"/>
              </w:rPr>
            </w:pPr>
            <w:r>
              <w:rPr>
                <w:rFonts w:ascii="Times New Roman" w:hAnsi="Times New Roman"/>
                <w:color w:val="auto"/>
                <w:spacing w:val="-2"/>
                <w:sz w:val="21"/>
                <w:szCs w:val="21"/>
              </w:rPr>
              <w:t>STS</w:t>
            </w:r>
          </w:p>
        </w:tc>
        <w:tc>
          <w:tcPr>
            <w:tcW w:w="1069" w:type="dxa"/>
          </w:tcPr>
          <w:p w14:paraId="115E054F" w14:textId="77777777" w:rsidR="0075791A" w:rsidRDefault="00FB2864">
            <w:pPr>
              <w:pStyle w:val="TableText"/>
              <w:spacing w:before="58" w:line="218" w:lineRule="auto"/>
              <w:ind w:left="325"/>
              <w:rPr>
                <w:rFonts w:ascii="Times New Roman" w:hAnsi="Times New Roman"/>
                <w:color w:val="auto"/>
                <w:sz w:val="21"/>
                <w:szCs w:val="21"/>
              </w:rPr>
            </w:pPr>
            <w:r>
              <w:rPr>
                <w:rFonts w:ascii="Times New Roman" w:hAnsi="Times New Roman"/>
                <w:color w:val="auto"/>
                <w:spacing w:val="-2"/>
                <w:sz w:val="21"/>
                <w:szCs w:val="21"/>
              </w:rPr>
              <w:t>文昌</w:t>
            </w:r>
          </w:p>
        </w:tc>
        <w:tc>
          <w:tcPr>
            <w:tcW w:w="1531" w:type="dxa"/>
          </w:tcPr>
          <w:p w14:paraId="5EFE6DD5" w14:textId="77777777" w:rsidR="0075791A" w:rsidRDefault="00FB2864">
            <w:pPr>
              <w:pStyle w:val="TableText"/>
              <w:spacing w:before="58" w:line="218" w:lineRule="auto"/>
              <w:ind w:left="298"/>
              <w:rPr>
                <w:rFonts w:ascii="Times New Roman" w:hAnsi="Times New Roman"/>
                <w:color w:val="auto"/>
                <w:sz w:val="21"/>
                <w:szCs w:val="21"/>
              </w:rPr>
            </w:pPr>
            <w:r>
              <w:rPr>
                <w:rFonts w:ascii="Times New Roman" w:hAnsi="Times New Roman"/>
                <w:color w:val="auto"/>
                <w:spacing w:val="-3"/>
                <w:sz w:val="21"/>
                <w:szCs w:val="21"/>
              </w:rPr>
              <w:t>07/2918h</w:t>
            </w:r>
          </w:p>
        </w:tc>
        <w:tc>
          <w:tcPr>
            <w:tcW w:w="1381" w:type="dxa"/>
          </w:tcPr>
          <w:p w14:paraId="61C85ED1" w14:textId="77777777" w:rsidR="0075791A" w:rsidRDefault="00FB2864">
            <w:pPr>
              <w:pStyle w:val="TableText"/>
              <w:spacing w:before="93" w:line="182" w:lineRule="auto"/>
              <w:ind w:left="540"/>
              <w:rPr>
                <w:rFonts w:ascii="Times New Roman" w:hAnsi="Times New Roman"/>
                <w:color w:val="auto"/>
                <w:sz w:val="21"/>
                <w:szCs w:val="21"/>
              </w:rPr>
            </w:pPr>
            <w:r>
              <w:rPr>
                <w:rFonts w:ascii="Times New Roman" w:hAnsi="Times New Roman"/>
                <w:color w:val="auto"/>
                <w:spacing w:val="-2"/>
                <w:sz w:val="21"/>
                <w:szCs w:val="21"/>
              </w:rPr>
              <w:t>980</w:t>
            </w:r>
          </w:p>
        </w:tc>
        <w:tc>
          <w:tcPr>
            <w:tcW w:w="1251" w:type="dxa"/>
            <w:tcBorders>
              <w:right w:val="single" w:sz="6" w:space="0" w:color="000000"/>
            </w:tcBorders>
          </w:tcPr>
          <w:p w14:paraId="5EEA5AFB" w14:textId="77777777" w:rsidR="0075791A" w:rsidRDefault="00FB2864">
            <w:pPr>
              <w:pStyle w:val="TableText"/>
              <w:spacing w:before="92" w:line="183" w:lineRule="auto"/>
              <w:ind w:left="537"/>
              <w:rPr>
                <w:rFonts w:ascii="Times New Roman" w:hAnsi="Times New Roman"/>
                <w:color w:val="auto"/>
                <w:sz w:val="21"/>
                <w:szCs w:val="21"/>
              </w:rPr>
            </w:pPr>
            <w:r>
              <w:rPr>
                <w:rFonts w:ascii="Times New Roman" w:hAnsi="Times New Roman"/>
                <w:color w:val="auto"/>
                <w:spacing w:val="-6"/>
                <w:sz w:val="21"/>
                <w:szCs w:val="21"/>
              </w:rPr>
              <w:t>10</w:t>
            </w:r>
          </w:p>
        </w:tc>
      </w:tr>
      <w:tr w:rsidR="0075791A" w14:paraId="4BCCCA33" w14:textId="77777777">
        <w:trPr>
          <w:trHeight w:val="316"/>
        </w:trPr>
        <w:tc>
          <w:tcPr>
            <w:tcW w:w="438" w:type="dxa"/>
            <w:tcBorders>
              <w:left w:val="single" w:sz="6" w:space="0" w:color="000000"/>
            </w:tcBorders>
          </w:tcPr>
          <w:p w14:paraId="2B3D5451" w14:textId="77777777" w:rsidR="0075791A" w:rsidRDefault="00FB2864">
            <w:pPr>
              <w:pStyle w:val="TableText"/>
              <w:spacing w:before="93" w:line="183" w:lineRule="auto"/>
              <w:ind w:left="126"/>
              <w:rPr>
                <w:rFonts w:ascii="Times New Roman" w:hAnsi="Times New Roman"/>
                <w:color w:val="auto"/>
                <w:sz w:val="21"/>
                <w:szCs w:val="21"/>
              </w:rPr>
            </w:pPr>
            <w:r>
              <w:rPr>
                <w:rFonts w:ascii="Times New Roman" w:hAnsi="Times New Roman"/>
                <w:color w:val="auto"/>
                <w:spacing w:val="-6"/>
                <w:sz w:val="21"/>
                <w:szCs w:val="21"/>
              </w:rPr>
              <w:t>18</w:t>
            </w:r>
          </w:p>
        </w:tc>
        <w:tc>
          <w:tcPr>
            <w:tcW w:w="685" w:type="dxa"/>
          </w:tcPr>
          <w:p w14:paraId="6AD87D5E" w14:textId="77777777" w:rsidR="0075791A" w:rsidRDefault="00FB2864">
            <w:pPr>
              <w:pStyle w:val="TableText"/>
              <w:spacing w:before="93" w:line="183" w:lineRule="auto"/>
              <w:ind w:left="142"/>
              <w:rPr>
                <w:rFonts w:ascii="Times New Roman" w:hAnsi="Times New Roman"/>
                <w:color w:val="auto"/>
                <w:sz w:val="21"/>
                <w:szCs w:val="21"/>
              </w:rPr>
            </w:pPr>
            <w:r>
              <w:rPr>
                <w:rFonts w:ascii="Times New Roman" w:hAnsi="Times New Roman"/>
                <w:color w:val="auto"/>
                <w:spacing w:val="-5"/>
                <w:sz w:val="21"/>
                <w:szCs w:val="21"/>
              </w:rPr>
              <w:t>1117</w:t>
            </w:r>
          </w:p>
        </w:tc>
        <w:tc>
          <w:tcPr>
            <w:tcW w:w="1350" w:type="dxa"/>
          </w:tcPr>
          <w:p w14:paraId="0E4E661A" w14:textId="77777777" w:rsidR="0075791A" w:rsidRDefault="00FB2864">
            <w:pPr>
              <w:pStyle w:val="TableText"/>
              <w:spacing w:before="59" w:line="217" w:lineRule="auto"/>
              <w:ind w:left="45"/>
              <w:rPr>
                <w:rFonts w:ascii="Times New Roman" w:hAnsi="Times New Roman"/>
                <w:color w:val="auto"/>
                <w:sz w:val="21"/>
                <w:szCs w:val="21"/>
              </w:rPr>
            </w:pPr>
            <w:r>
              <w:rPr>
                <w:rFonts w:ascii="Times New Roman" w:hAnsi="Times New Roman"/>
                <w:color w:val="auto"/>
                <w:spacing w:val="-1"/>
                <w:sz w:val="21"/>
                <w:szCs w:val="21"/>
              </w:rPr>
              <w:t>09/24</w:t>
            </w:r>
            <w:r>
              <w:rPr>
                <w:rFonts w:ascii="Times New Roman" w:hAnsi="Times New Roman"/>
                <w:color w:val="auto"/>
                <w:spacing w:val="-1"/>
                <w:sz w:val="21"/>
                <w:szCs w:val="21"/>
              </w:rPr>
              <w:t>～</w:t>
            </w:r>
            <w:r>
              <w:rPr>
                <w:rFonts w:ascii="Times New Roman" w:hAnsi="Times New Roman"/>
                <w:color w:val="auto"/>
                <w:spacing w:val="-1"/>
                <w:sz w:val="21"/>
                <w:szCs w:val="21"/>
              </w:rPr>
              <w:t>09/30</w:t>
            </w:r>
          </w:p>
        </w:tc>
        <w:tc>
          <w:tcPr>
            <w:tcW w:w="1049" w:type="dxa"/>
          </w:tcPr>
          <w:p w14:paraId="70AFBD19" w14:textId="77777777" w:rsidR="0075791A" w:rsidRDefault="00FB2864">
            <w:pPr>
              <w:pStyle w:val="TableText"/>
              <w:spacing w:before="95" w:line="181" w:lineRule="auto"/>
              <w:ind w:left="415"/>
              <w:rPr>
                <w:rFonts w:ascii="Times New Roman" w:hAnsi="Times New Roman"/>
                <w:color w:val="auto"/>
                <w:sz w:val="21"/>
                <w:szCs w:val="21"/>
              </w:rPr>
            </w:pPr>
            <w:r>
              <w:rPr>
                <w:rFonts w:ascii="Times New Roman" w:hAnsi="Times New Roman"/>
                <w:color w:val="auto"/>
                <w:spacing w:val="-2"/>
                <w:sz w:val="21"/>
                <w:szCs w:val="21"/>
              </w:rPr>
              <w:t>TY</w:t>
            </w:r>
          </w:p>
        </w:tc>
        <w:tc>
          <w:tcPr>
            <w:tcW w:w="1069" w:type="dxa"/>
          </w:tcPr>
          <w:p w14:paraId="20F65721" w14:textId="77777777" w:rsidR="0075791A" w:rsidRDefault="00FB2864">
            <w:pPr>
              <w:pStyle w:val="TableText"/>
              <w:spacing w:before="59" w:line="217" w:lineRule="auto"/>
              <w:ind w:left="325"/>
              <w:rPr>
                <w:rFonts w:ascii="Times New Roman" w:hAnsi="Times New Roman"/>
                <w:color w:val="auto"/>
                <w:sz w:val="21"/>
                <w:szCs w:val="21"/>
              </w:rPr>
            </w:pPr>
            <w:r>
              <w:rPr>
                <w:rFonts w:ascii="Times New Roman" w:hAnsi="Times New Roman"/>
                <w:color w:val="auto"/>
                <w:spacing w:val="-2"/>
                <w:sz w:val="21"/>
                <w:szCs w:val="21"/>
              </w:rPr>
              <w:t>文昌</w:t>
            </w:r>
          </w:p>
        </w:tc>
        <w:tc>
          <w:tcPr>
            <w:tcW w:w="1531" w:type="dxa"/>
          </w:tcPr>
          <w:p w14:paraId="257947F5" w14:textId="77777777" w:rsidR="0075791A" w:rsidRDefault="00FB2864">
            <w:pPr>
              <w:pStyle w:val="TableText"/>
              <w:spacing w:before="59" w:line="217" w:lineRule="auto"/>
              <w:ind w:left="298"/>
              <w:rPr>
                <w:rFonts w:ascii="Times New Roman" w:hAnsi="Times New Roman"/>
                <w:color w:val="auto"/>
                <w:sz w:val="21"/>
                <w:szCs w:val="21"/>
              </w:rPr>
            </w:pPr>
            <w:r>
              <w:rPr>
                <w:rFonts w:ascii="Times New Roman" w:hAnsi="Times New Roman"/>
                <w:color w:val="auto"/>
                <w:spacing w:val="-3"/>
                <w:sz w:val="21"/>
                <w:szCs w:val="21"/>
              </w:rPr>
              <w:t>09/2914h</w:t>
            </w:r>
          </w:p>
        </w:tc>
        <w:tc>
          <w:tcPr>
            <w:tcW w:w="1381" w:type="dxa"/>
          </w:tcPr>
          <w:p w14:paraId="38CA59F8" w14:textId="77777777" w:rsidR="0075791A" w:rsidRDefault="00FB2864">
            <w:pPr>
              <w:pStyle w:val="TableText"/>
              <w:spacing w:before="94" w:line="182" w:lineRule="auto"/>
              <w:ind w:left="540"/>
              <w:rPr>
                <w:rFonts w:ascii="Times New Roman" w:hAnsi="Times New Roman"/>
                <w:color w:val="auto"/>
                <w:sz w:val="21"/>
                <w:szCs w:val="21"/>
              </w:rPr>
            </w:pPr>
            <w:r>
              <w:rPr>
                <w:rFonts w:ascii="Times New Roman" w:hAnsi="Times New Roman"/>
                <w:color w:val="auto"/>
                <w:spacing w:val="-2"/>
                <w:sz w:val="21"/>
                <w:szCs w:val="21"/>
              </w:rPr>
              <w:t>960</w:t>
            </w:r>
          </w:p>
        </w:tc>
        <w:tc>
          <w:tcPr>
            <w:tcW w:w="1251" w:type="dxa"/>
            <w:tcBorders>
              <w:right w:val="single" w:sz="6" w:space="0" w:color="000000"/>
            </w:tcBorders>
          </w:tcPr>
          <w:p w14:paraId="45EA6260" w14:textId="77777777" w:rsidR="0075791A" w:rsidRDefault="00FB2864">
            <w:pPr>
              <w:pStyle w:val="TableText"/>
              <w:spacing w:before="92" w:line="183" w:lineRule="auto"/>
              <w:ind w:left="537"/>
              <w:rPr>
                <w:rFonts w:ascii="Times New Roman" w:hAnsi="Times New Roman"/>
                <w:color w:val="auto"/>
                <w:sz w:val="21"/>
                <w:szCs w:val="21"/>
              </w:rPr>
            </w:pPr>
            <w:r>
              <w:rPr>
                <w:rFonts w:ascii="Times New Roman" w:hAnsi="Times New Roman"/>
                <w:color w:val="auto"/>
                <w:spacing w:val="-6"/>
                <w:sz w:val="21"/>
                <w:szCs w:val="21"/>
              </w:rPr>
              <w:t>14</w:t>
            </w:r>
          </w:p>
        </w:tc>
      </w:tr>
      <w:tr w:rsidR="0075791A" w14:paraId="71A6C0EA" w14:textId="77777777">
        <w:trPr>
          <w:trHeight w:val="316"/>
        </w:trPr>
        <w:tc>
          <w:tcPr>
            <w:tcW w:w="438" w:type="dxa"/>
            <w:tcBorders>
              <w:left w:val="single" w:sz="6" w:space="0" w:color="000000"/>
            </w:tcBorders>
          </w:tcPr>
          <w:p w14:paraId="0A75F1C1" w14:textId="77777777" w:rsidR="0075791A" w:rsidRDefault="00FB2864">
            <w:pPr>
              <w:pStyle w:val="TableText"/>
              <w:spacing w:before="93" w:line="183" w:lineRule="auto"/>
              <w:ind w:left="126"/>
              <w:rPr>
                <w:rFonts w:ascii="Times New Roman" w:hAnsi="Times New Roman"/>
                <w:color w:val="auto"/>
                <w:sz w:val="21"/>
                <w:szCs w:val="21"/>
              </w:rPr>
            </w:pPr>
            <w:r>
              <w:rPr>
                <w:rFonts w:ascii="Times New Roman" w:hAnsi="Times New Roman"/>
                <w:color w:val="auto"/>
                <w:spacing w:val="-6"/>
                <w:sz w:val="21"/>
                <w:szCs w:val="21"/>
              </w:rPr>
              <w:t>19</w:t>
            </w:r>
          </w:p>
        </w:tc>
        <w:tc>
          <w:tcPr>
            <w:tcW w:w="685" w:type="dxa"/>
          </w:tcPr>
          <w:p w14:paraId="69C829D0" w14:textId="77777777" w:rsidR="0075791A" w:rsidRDefault="00FB2864">
            <w:pPr>
              <w:pStyle w:val="TableText"/>
              <w:spacing w:before="93" w:line="183" w:lineRule="auto"/>
              <w:ind w:left="142"/>
              <w:rPr>
                <w:rFonts w:ascii="Times New Roman" w:hAnsi="Times New Roman"/>
                <w:color w:val="auto"/>
                <w:sz w:val="21"/>
                <w:szCs w:val="21"/>
              </w:rPr>
            </w:pPr>
            <w:r>
              <w:rPr>
                <w:rFonts w:ascii="Times New Roman" w:hAnsi="Times New Roman"/>
                <w:color w:val="auto"/>
                <w:spacing w:val="-5"/>
                <w:sz w:val="21"/>
                <w:szCs w:val="21"/>
              </w:rPr>
              <w:t>1309</w:t>
            </w:r>
          </w:p>
        </w:tc>
        <w:tc>
          <w:tcPr>
            <w:tcW w:w="1350" w:type="dxa"/>
          </w:tcPr>
          <w:p w14:paraId="3EF91350" w14:textId="77777777" w:rsidR="0075791A" w:rsidRDefault="00FB2864">
            <w:pPr>
              <w:pStyle w:val="TableText"/>
              <w:spacing w:before="59" w:line="217" w:lineRule="auto"/>
              <w:ind w:left="45"/>
              <w:rPr>
                <w:rFonts w:ascii="Times New Roman" w:hAnsi="Times New Roman"/>
                <w:color w:val="auto"/>
                <w:sz w:val="21"/>
                <w:szCs w:val="21"/>
              </w:rPr>
            </w:pPr>
            <w:r>
              <w:rPr>
                <w:rFonts w:ascii="Times New Roman" w:hAnsi="Times New Roman"/>
                <w:color w:val="auto"/>
                <w:spacing w:val="-1"/>
                <w:sz w:val="21"/>
                <w:szCs w:val="21"/>
              </w:rPr>
              <w:t>07/31</w:t>
            </w:r>
            <w:r>
              <w:rPr>
                <w:rFonts w:ascii="Times New Roman" w:hAnsi="Times New Roman"/>
                <w:color w:val="auto"/>
                <w:spacing w:val="-1"/>
                <w:sz w:val="21"/>
                <w:szCs w:val="21"/>
              </w:rPr>
              <w:t>～</w:t>
            </w:r>
            <w:r>
              <w:rPr>
                <w:rFonts w:ascii="Times New Roman" w:hAnsi="Times New Roman"/>
                <w:color w:val="auto"/>
                <w:spacing w:val="-1"/>
                <w:sz w:val="21"/>
                <w:szCs w:val="21"/>
              </w:rPr>
              <w:t>08/02</w:t>
            </w:r>
          </w:p>
        </w:tc>
        <w:tc>
          <w:tcPr>
            <w:tcW w:w="1049" w:type="dxa"/>
          </w:tcPr>
          <w:p w14:paraId="7466BC7A" w14:textId="77777777" w:rsidR="0075791A" w:rsidRDefault="00FB2864">
            <w:pPr>
              <w:pStyle w:val="TableText"/>
              <w:spacing w:before="94" w:line="182" w:lineRule="auto"/>
              <w:ind w:left="368"/>
              <w:rPr>
                <w:rFonts w:ascii="Times New Roman" w:hAnsi="Times New Roman"/>
                <w:color w:val="auto"/>
                <w:sz w:val="21"/>
                <w:szCs w:val="21"/>
              </w:rPr>
            </w:pPr>
            <w:r>
              <w:rPr>
                <w:rFonts w:ascii="Times New Roman" w:hAnsi="Times New Roman"/>
                <w:color w:val="auto"/>
                <w:spacing w:val="-2"/>
                <w:sz w:val="21"/>
                <w:szCs w:val="21"/>
              </w:rPr>
              <w:t>STS</w:t>
            </w:r>
          </w:p>
        </w:tc>
        <w:tc>
          <w:tcPr>
            <w:tcW w:w="1069" w:type="dxa"/>
          </w:tcPr>
          <w:p w14:paraId="24597B0D" w14:textId="77777777" w:rsidR="0075791A" w:rsidRDefault="00FB2864">
            <w:pPr>
              <w:pStyle w:val="TableText"/>
              <w:spacing w:before="59" w:line="217" w:lineRule="auto"/>
              <w:ind w:left="116"/>
              <w:rPr>
                <w:rFonts w:ascii="Times New Roman" w:hAnsi="Times New Roman"/>
                <w:color w:val="auto"/>
                <w:sz w:val="21"/>
                <w:szCs w:val="21"/>
              </w:rPr>
            </w:pPr>
            <w:r>
              <w:rPr>
                <w:rFonts w:ascii="Times New Roman" w:hAnsi="Times New Roman"/>
                <w:color w:val="auto"/>
                <w:spacing w:val="-2"/>
                <w:sz w:val="21"/>
                <w:szCs w:val="21"/>
              </w:rPr>
              <w:t>文昌东南</w:t>
            </w:r>
          </w:p>
        </w:tc>
        <w:tc>
          <w:tcPr>
            <w:tcW w:w="1531" w:type="dxa"/>
          </w:tcPr>
          <w:p w14:paraId="17D25666" w14:textId="77777777" w:rsidR="0075791A" w:rsidRDefault="00FB2864">
            <w:pPr>
              <w:pStyle w:val="TableText"/>
              <w:spacing w:before="59" w:line="217" w:lineRule="auto"/>
              <w:ind w:left="298"/>
              <w:rPr>
                <w:rFonts w:ascii="Times New Roman" w:hAnsi="Times New Roman"/>
                <w:color w:val="auto"/>
                <w:sz w:val="21"/>
                <w:szCs w:val="21"/>
              </w:rPr>
            </w:pPr>
            <w:r>
              <w:rPr>
                <w:rFonts w:ascii="Times New Roman" w:hAnsi="Times New Roman"/>
                <w:color w:val="auto"/>
                <w:spacing w:val="-3"/>
                <w:sz w:val="21"/>
                <w:szCs w:val="21"/>
              </w:rPr>
              <w:t>08/0217h</w:t>
            </w:r>
          </w:p>
        </w:tc>
        <w:tc>
          <w:tcPr>
            <w:tcW w:w="1381" w:type="dxa"/>
          </w:tcPr>
          <w:p w14:paraId="7B495520" w14:textId="77777777" w:rsidR="0075791A" w:rsidRDefault="00FB2864">
            <w:pPr>
              <w:pStyle w:val="TableText"/>
              <w:spacing w:before="94" w:line="182" w:lineRule="auto"/>
              <w:ind w:left="540"/>
              <w:rPr>
                <w:rFonts w:ascii="Times New Roman" w:hAnsi="Times New Roman"/>
                <w:color w:val="auto"/>
                <w:sz w:val="21"/>
                <w:szCs w:val="21"/>
              </w:rPr>
            </w:pPr>
            <w:r>
              <w:rPr>
                <w:rFonts w:ascii="Times New Roman" w:hAnsi="Times New Roman"/>
                <w:color w:val="auto"/>
                <w:spacing w:val="-2"/>
                <w:sz w:val="21"/>
                <w:szCs w:val="21"/>
              </w:rPr>
              <w:t>980</w:t>
            </w:r>
          </w:p>
        </w:tc>
        <w:tc>
          <w:tcPr>
            <w:tcW w:w="1251" w:type="dxa"/>
            <w:tcBorders>
              <w:right w:val="single" w:sz="6" w:space="0" w:color="000000"/>
            </w:tcBorders>
          </w:tcPr>
          <w:p w14:paraId="4753B72B" w14:textId="77777777" w:rsidR="0075791A" w:rsidRDefault="00FB2864">
            <w:pPr>
              <w:pStyle w:val="TableText"/>
              <w:spacing w:before="94" w:line="182" w:lineRule="auto"/>
              <w:ind w:left="575"/>
              <w:rPr>
                <w:rFonts w:ascii="Times New Roman" w:hAnsi="Times New Roman"/>
                <w:color w:val="auto"/>
                <w:sz w:val="21"/>
                <w:szCs w:val="21"/>
              </w:rPr>
            </w:pPr>
            <w:r>
              <w:rPr>
                <w:rFonts w:ascii="Times New Roman" w:hAnsi="Times New Roman"/>
                <w:color w:val="auto"/>
                <w:sz w:val="21"/>
                <w:szCs w:val="21"/>
              </w:rPr>
              <w:t>8</w:t>
            </w:r>
          </w:p>
        </w:tc>
      </w:tr>
      <w:tr w:rsidR="0075791A" w14:paraId="5A17E712" w14:textId="77777777">
        <w:trPr>
          <w:trHeight w:val="318"/>
        </w:trPr>
        <w:tc>
          <w:tcPr>
            <w:tcW w:w="438" w:type="dxa"/>
            <w:tcBorders>
              <w:left w:val="single" w:sz="6" w:space="0" w:color="000000"/>
            </w:tcBorders>
          </w:tcPr>
          <w:p w14:paraId="2543B81C" w14:textId="77777777" w:rsidR="0075791A" w:rsidRDefault="00FB2864">
            <w:pPr>
              <w:pStyle w:val="TableText"/>
              <w:spacing w:before="97" w:line="182" w:lineRule="auto"/>
              <w:ind w:left="113"/>
              <w:rPr>
                <w:rFonts w:ascii="Times New Roman" w:hAnsi="Times New Roman"/>
                <w:color w:val="auto"/>
                <w:sz w:val="21"/>
                <w:szCs w:val="21"/>
              </w:rPr>
            </w:pPr>
            <w:r>
              <w:rPr>
                <w:rFonts w:ascii="Times New Roman" w:hAnsi="Times New Roman"/>
                <w:color w:val="auto"/>
                <w:spacing w:val="-3"/>
                <w:sz w:val="21"/>
                <w:szCs w:val="21"/>
              </w:rPr>
              <w:t>20</w:t>
            </w:r>
          </w:p>
        </w:tc>
        <w:tc>
          <w:tcPr>
            <w:tcW w:w="685" w:type="dxa"/>
          </w:tcPr>
          <w:p w14:paraId="31FAE19D" w14:textId="77777777" w:rsidR="0075791A" w:rsidRDefault="00FB2864">
            <w:pPr>
              <w:pStyle w:val="TableText"/>
              <w:spacing w:before="96" w:line="183" w:lineRule="auto"/>
              <w:ind w:left="142"/>
              <w:rPr>
                <w:rFonts w:ascii="Times New Roman" w:hAnsi="Times New Roman"/>
                <w:color w:val="auto"/>
                <w:sz w:val="21"/>
                <w:szCs w:val="21"/>
              </w:rPr>
            </w:pPr>
            <w:r>
              <w:rPr>
                <w:rFonts w:ascii="Times New Roman" w:hAnsi="Times New Roman"/>
                <w:color w:val="auto"/>
                <w:spacing w:val="-5"/>
                <w:sz w:val="21"/>
                <w:szCs w:val="21"/>
              </w:rPr>
              <w:t>1330</w:t>
            </w:r>
          </w:p>
        </w:tc>
        <w:tc>
          <w:tcPr>
            <w:tcW w:w="1350" w:type="dxa"/>
          </w:tcPr>
          <w:p w14:paraId="00AE1CE8" w14:textId="77777777" w:rsidR="0075791A" w:rsidRDefault="00FB2864">
            <w:pPr>
              <w:pStyle w:val="TableText"/>
              <w:spacing w:before="62" w:line="216" w:lineRule="auto"/>
              <w:ind w:left="59"/>
              <w:rPr>
                <w:rFonts w:ascii="Times New Roman" w:hAnsi="Times New Roman"/>
                <w:color w:val="auto"/>
                <w:sz w:val="21"/>
                <w:szCs w:val="21"/>
              </w:rPr>
            </w:pPr>
            <w:r>
              <w:rPr>
                <w:rFonts w:ascii="Times New Roman" w:hAnsi="Times New Roman"/>
                <w:color w:val="auto"/>
                <w:spacing w:val="-2"/>
                <w:sz w:val="21"/>
                <w:szCs w:val="21"/>
              </w:rPr>
              <w:t>11/04</w:t>
            </w:r>
            <w:r>
              <w:rPr>
                <w:rFonts w:ascii="Times New Roman" w:hAnsi="Times New Roman"/>
                <w:color w:val="auto"/>
                <w:spacing w:val="-2"/>
                <w:sz w:val="21"/>
                <w:szCs w:val="21"/>
              </w:rPr>
              <w:t>～</w:t>
            </w:r>
            <w:r>
              <w:rPr>
                <w:rFonts w:ascii="Times New Roman" w:hAnsi="Times New Roman"/>
                <w:color w:val="auto"/>
                <w:spacing w:val="-2"/>
                <w:sz w:val="21"/>
                <w:szCs w:val="21"/>
              </w:rPr>
              <w:t>11/11</w:t>
            </w:r>
          </w:p>
        </w:tc>
        <w:tc>
          <w:tcPr>
            <w:tcW w:w="1049" w:type="dxa"/>
          </w:tcPr>
          <w:p w14:paraId="32978DBB" w14:textId="77777777" w:rsidR="0075791A" w:rsidRDefault="00FB2864">
            <w:pPr>
              <w:pStyle w:val="TableText"/>
              <w:spacing w:before="97" w:line="182" w:lineRule="auto"/>
              <w:ind w:left="368"/>
              <w:rPr>
                <w:rFonts w:ascii="Times New Roman" w:hAnsi="Times New Roman"/>
                <w:color w:val="auto"/>
                <w:sz w:val="21"/>
                <w:szCs w:val="21"/>
              </w:rPr>
            </w:pPr>
            <w:r>
              <w:rPr>
                <w:rFonts w:ascii="Times New Roman" w:hAnsi="Times New Roman"/>
                <w:color w:val="auto"/>
                <w:spacing w:val="-2"/>
                <w:sz w:val="21"/>
                <w:szCs w:val="21"/>
              </w:rPr>
              <w:t>STY</w:t>
            </w:r>
          </w:p>
        </w:tc>
        <w:tc>
          <w:tcPr>
            <w:tcW w:w="1069" w:type="dxa"/>
          </w:tcPr>
          <w:p w14:paraId="7B25012B" w14:textId="77777777" w:rsidR="0075791A" w:rsidRDefault="00FB2864">
            <w:pPr>
              <w:pStyle w:val="TableText"/>
              <w:spacing w:before="62" w:line="216" w:lineRule="auto"/>
              <w:ind w:left="115"/>
              <w:rPr>
                <w:rFonts w:ascii="Times New Roman" w:hAnsi="Times New Roman"/>
                <w:color w:val="auto"/>
                <w:sz w:val="21"/>
                <w:szCs w:val="21"/>
              </w:rPr>
            </w:pPr>
            <w:r>
              <w:rPr>
                <w:rFonts w:ascii="Times New Roman" w:hAnsi="Times New Roman"/>
                <w:color w:val="auto"/>
                <w:spacing w:val="-2"/>
                <w:sz w:val="21"/>
                <w:szCs w:val="21"/>
              </w:rPr>
              <w:t>三亚南部</w:t>
            </w:r>
          </w:p>
        </w:tc>
        <w:tc>
          <w:tcPr>
            <w:tcW w:w="1531" w:type="dxa"/>
          </w:tcPr>
          <w:p w14:paraId="55AAC9D7" w14:textId="77777777" w:rsidR="0075791A" w:rsidRDefault="00FB2864">
            <w:pPr>
              <w:pStyle w:val="TableText"/>
              <w:spacing w:before="62" w:line="216" w:lineRule="auto"/>
              <w:ind w:left="312"/>
              <w:rPr>
                <w:rFonts w:ascii="Times New Roman" w:hAnsi="Times New Roman"/>
                <w:color w:val="auto"/>
                <w:sz w:val="21"/>
                <w:szCs w:val="21"/>
              </w:rPr>
            </w:pPr>
            <w:r>
              <w:rPr>
                <w:rFonts w:ascii="Times New Roman" w:hAnsi="Times New Roman"/>
                <w:color w:val="auto"/>
                <w:spacing w:val="-5"/>
                <w:sz w:val="21"/>
                <w:szCs w:val="21"/>
              </w:rPr>
              <w:t>11/1014h</w:t>
            </w:r>
          </w:p>
        </w:tc>
        <w:tc>
          <w:tcPr>
            <w:tcW w:w="1381" w:type="dxa"/>
          </w:tcPr>
          <w:p w14:paraId="140E1F0A" w14:textId="77777777" w:rsidR="0075791A" w:rsidRDefault="00FB2864">
            <w:pPr>
              <w:pStyle w:val="TableText"/>
              <w:spacing w:before="97" w:line="182" w:lineRule="auto"/>
              <w:ind w:left="540"/>
              <w:rPr>
                <w:rFonts w:ascii="Times New Roman" w:hAnsi="Times New Roman"/>
                <w:color w:val="auto"/>
                <w:sz w:val="21"/>
                <w:szCs w:val="21"/>
              </w:rPr>
            </w:pPr>
            <w:r>
              <w:rPr>
                <w:rFonts w:ascii="Times New Roman" w:hAnsi="Times New Roman"/>
                <w:color w:val="auto"/>
                <w:spacing w:val="-2"/>
                <w:sz w:val="21"/>
                <w:szCs w:val="21"/>
              </w:rPr>
              <w:t>955</w:t>
            </w:r>
          </w:p>
        </w:tc>
        <w:tc>
          <w:tcPr>
            <w:tcW w:w="1251" w:type="dxa"/>
            <w:tcBorders>
              <w:right w:val="single" w:sz="6" w:space="0" w:color="000000"/>
            </w:tcBorders>
          </w:tcPr>
          <w:p w14:paraId="7CC9859E" w14:textId="77777777" w:rsidR="0075791A" w:rsidRDefault="00FB2864">
            <w:pPr>
              <w:pStyle w:val="TableText"/>
              <w:spacing w:before="96" w:line="183" w:lineRule="auto"/>
              <w:ind w:left="537"/>
              <w:rPr>
                <w:rFonts w:ascii="Times New Roman" w:hAnsi="Times New Roman"/>
                <w:color w:val="auto"/>
                <w:sz w:val="21"/>
                <w:szCs w:val="21"/>
              </w:rPr>
            </w:pPr>
            <w:r>
              <w:rPr>
                <w:rFonts w:ascii="Times New Roman" w:hAnsi="Times New Roman"/>
                <w:color w:val="auto"/>
                <w:spacing w:val="-6"/>
                <w:sz w:val="21"/>
                <w:szCs w:val="21"/>
              </w:rPr>
              <w:t>14</w:t>
            </w:r>
          </w:p>
        </w:tc>
      </w:tr>
      <w:tr w:rsidR="0075791A" w14:paraId="7E49714B" w14:textId="77777777">
        <w:trPr>
          <w:trHeight w:val="316"/>
        </w:trPr>
        <w:tc>
          <w:tcPr>
            <w:tcW w:w="438" w:type="dxa"/>
            <w:tcBorders>
              <w:left w:val="single" w:sz="6" w:space="0" w:color="000000"/>
            </w:tcBorders>
          </w:tcPr>
          <w:p w14:paraId="6208944C" w14:textId="77777777" w:rsidR="0075791A" w:rsidRDefault="00FB2864">
            <w:pPr>
              <w:pStyle w:val="TableText"/>
              <w:spacing w:before="94" w:line="183" w:lineRule="auto"/>
              <w:ind w:left="113"/>
              <w:rPr>
                <w:rFonts w:ascii="Times New Roman" w:hAnsi="Times New Roman"/>
                <w:color w:val="auto"/>
                <w:sz w:val="21"/>
                <w:szCs w:val="21"/>
              </w:rPr>
            </w:pPr>
            <w:r>
              <w:rPr>
                <w:rFonts w:ascii="Times New Roman" w:hAnsi="Times New Roman"/>
                <w:color w:val="auto"/>
                <w:spacing w:val="-3"/>
                <w:sz w:val="21"/>
                <w:szCs w:val="21"/>
              </w:rPr>
              <w:t>21</w:t>
            </w:r>
          </w:p>
        </w:tc>
        <w:tc>
          <w:tcPr>
            <w:tcW w:w="685" w:type="dxa"/>
          </w:tcPr>
          <w:p w14:paraId="7E2E23FD" w14:textId="77777777" w:rsidR="0075791A" w:rsidRDefault="00FB2864">
            <w:pPr>
              <w:pStyle w:val="TableText"/>
              <w:spacing w:before="95" w:line="183" w:lineRule="auto"/>
              <w:ind w:left="142"/>
              <w:rPr>
                <w:rFonts w:ascii="Times New Roman" w:hAnsi="Times New Roman"/>
                <w:color w:val="auto"/>
                <w:sz w:val="21"/>
                <w:szCs w:val="21"/>
              </w:rPr>
            </w:pPr>
            <w:r>
              <w:rPr>
                <w:rFonts w:ascii="Times New Roman" w:hAnsi="Times New Roman"/>
                <w:color w:val="auto"/>
                <w:spacing w:val="-5"/>
                <w:sz w:val="21"/>
                <w:szCs w:val="21"/>
              </w:rPr>
              <w:t>1409</w:t>
            </w:r>
          </w:p>
        </w:tc>
        <w:tc>
          <w:tcPr>
            <w:tcW w:w="1350" w:type="dxa"/>
          </w:tcPr>
          <w:p w14:paraId="4B278ED4" w14:textId="77777777" w:rsidR="0075791A" w:rsidRDefault="00FB2864">
            <w:pPr>
              <w:pStyle w:val="TableText"/>
              <w:spacing w:before="60" w:line="216" w:lineRule="auto"/>
              <w:ind w:left="45"/>
              <w:rPr>
                <w:rFonts w:ascii="Times New Roman" w:hAnsi="Times New Roman"/>
                <w:color w:val="auto"/>
                <w:sz w:val="21"/>
                <w:szCs w:val="21"/>
              </w:rPr>
            </w:pPr>
            <w:r>
              <w:rPr>
                <w:rFonts w:ascii="Times New Roman" w:hAnsi="Times New Roman"/>
                <w:color w:val="auto"/>
                <w:spacing w:val="-1"/>
                <w:sz w:val="21"/>
                <w:szCs w:val="21"/>
              </w:rPr>
              <w:t>07/12</w:t>
            </w:r>
            <w:r>
              <w:rPr>
                <w:rFonts w:ascii="Times New Roman" w:hAnsi="Times New Roman"/>
                <w:color w:val="auto"/>
                <w:spacing w:val="-1"/>
                <w:sz w:val="21"/>
                <w:szCs w:val="21"/>
              </w:rPr>
              <w:t>～</w:t>
            </w:r>
            <w:r>
              <w:rPr>
                <w:rFonts w:ascii="Times New Roman" w:hAnsi="Times New Roman"/>
                <w:color w:val="auto"/>
                <w:spacing w:val="-1"/>
                <w:sz w:val="21"/>
                <w:szCs w:val="21"/>
              </w:rPr>
              <w:t>07/20</w:t>
            </w:r>
          </w:p>
        </w:tc>
        <w:tc>
          <w:tcPr>
            <w:tcW w:w="1049" w:type="dxa"/>
          </w:tcPr>
          <w:p w14:paraId="479F46D6" w14:textId="77777777" w:rsidR="0075791A" w:rsidRDefault="00FB2864">
            <w:pPr>
              <w:pStyle w:val="TableText"/>
              <w:spacing w:before="96" w:line="182" w:lineRule="auto"/>
              <w:ind w:left="156"/>
              <w:rPr>
                <w:rFonts w:ascii="Times New Roman" w:hAnsi="Times New Roman"/>
                <w:color w:val="auto"/>
                <w:sz w:val="21"/>
                <w:szCs w:val="21"/>
              </w:rPr>
            </w:pPr>
            <w:r>
              <w:rPr>
                <w:rFonts w:ascii="Times New Roman" w:hAnsi="Times New Roman"/>
                <w:color w:val="auto"/>
                <w:spacing w:val="-1"/>
                <w:sz w:val="21"/>
                <w:szCs w:val="21"/>
              </w:rPr>
              <w:t>SuperTY</w:t>
            </w:r>
          </w:p>
        </w:tc>
        <w:tc>
          <w:tcPr>
            <w:tcW w:w="1069" w:type="dxa"/>
          </w:tcPr>
          <w:p w14:paraId="446D6831" w14:textId="77777777" w:rsidR="0075791A" w:rsidRDefault="00FB2864">
            <w:pPr>
              <w:pStyle w:val="TableText"/>
              <w:spacing w:before="60" w:line="216" w:lineRule="auto"/>
              <w:ind w:left="325"/>
              <w:rPr>
                <w:rFonts w:ascii="Times New Roman" w:hAnsi="Times New Roman"/>
                <w:color w:val="auto"/>
                <w:sz w:val="21"/>
                <w:szCs w:val="21"/>
              </w:rPr>
            </w:pPr>
            <w:r>
              <w:rPr>
                <w:rFonts w:ascii="Times New Roman" w:hAnsi="Times New Roman"/>
                <w:color w:val="auto"/>
                <w:spacing w:val="-2"/>
                <w:sz w:val="21"/>
                <w:szCs w:val="21"/>
              </w:rPr>
              <w:t>文昌</w:t>
            </w:r>
          </w:p>
        </w:tc>
        <w:tc>
          <w:tcPr>
            <w:tcW w:w="1531" w:type="dxa"/>
          </w:tcPr>
          <w:p w14:paraId="34430195" w14:textId="77777777" w:rsidR="0075791A" w:rsidRDefault="00FB2864">
            <w:pPr>
              <w:pStyle w:val="TableText"/>
              <w:spacing w:before="60" w:line="216" w:lineRule="auto"/>
              <w:ind w:left="298"/>
              <w:rPr>
                <w:rFonts w:ascii="Times New Roman" w:hAnsi="Times New Roman"/>
                <w:color w:val="auto"/>
                <w:sz w:val="21"/>
                <w:szCs w:val="21"/>
              </w:rPr>
            </w:pPr>
            <w:r>
              <w:rPr>
                <w:rFonts w:ascii="Times New Roman" w:hAnsi="Times New Roman"/>
                <w:color w:val="auto"/>
                <w:spacing w:val="-3"/>
                <w:sz w:val="21"/>
                <w:szCs w:val="21"/>
              </w:rPr>
              <w:t>07/1815h</w:t>
            </w:r>
          </w:p>
        </w:tc>
        <w:tc>
          <w:tcPr>
            <w:tcW w:w="1381" w:type="dxa"/>
          </w:tcPr>
          <w:p w14:paraId="09A08C8C" w14:textId="77777777" w:rsidR="0075791A" w:rsidRDefault="00FB2864">
            <w:pPr>
              <w:pStyle w:val="TableText"/>
              <w:spacing w:before="95" w:line="183" w:lineRule="auto"/>
              <w:ind w:left="540"/>
              <w:rPr>
                <w:rFonts w:ascii="Times New Roman" w:hAnsi="Times New Roman"/>
                <w:color w:val="auto"/>
                <w:sz w:val="21"/>
                <w:szCs w:val="21"/>
              </w:rPr>
            </w:pPr>
            <w:r>
              <w:rPr>
                <w:rFonts w:ascii="Times New Roman" w:hAnsi="Times New Roman"/>
                <w:color w:val="auto"/>
                <w:spacing w:val="-2"/>
                <w:sz w:val="21"/>
                <w:szCs w:val="21"/>
              </w:rPr>
              <w:t>910</w:t>
            </w:r>
          </w:p>
        </w:tc>
        <w:tc>
          <w:tcPr>
            <w:tcW w:w="1251" w:type="dxa"/>
            <w:tcBorders>
              <w:right w:val="single" w:sz="6" w:space="0" w:color="000000"/>
            </w:tcBorders>
          </w:tcPr>
          <w:p w14:paraId="6F3C7B0C" w14:textId="77777777" w:rsidR="0075791A" w:rsidRDefault="00FB2864">
            <w:pPr>
              <w:pStyle w:val="TableText"/>
              <w:spacing w:before="95" w:line="183" w:lineRule="auto"/>
              <w:ind w:left="537"/>
              <w:rPr>
                <w:rFonts w:ascii="Times New Roman" w:hAnsi="Times New Roman"/>
                <w:color w:val="auto"/>
                <w:sz w:val="21"/>
                <w:szCs w:val="21"/>
              </w:rPr>
            </w:pPr>
            <w:r>
              <w:rPr>
                <w:rFonts w:ascii="Times New Roman" w:hAnsi="Times New Roman"/>
                <w:color w:val="auto"/>
                <w:spacing w:val="-6"/>
                <w:sz w:val="21"/>
                <w:szCs w:val="21"/>
              </w:rPr>
              <w:t>17</w:t>
            </w:r>
          </w:p>
        </w:tc>
      </w:tr>
      <w:tr w:rsidR="0075791A" w14:paraId="4FB63560" w14:textId="77777777">
        <w:trPr>
          <w:trHeight w:val="316"/>
        </w:trPr>
        <w:tc>
          <w:tcPr>
            <w:tcW w:w="438" w:type="dxa"/>
            <w:tcBorders>
              <w:left w:val="single" w:sz="6" w:space="0" w:color="000000"/>
            </w:tcBorders>
          </w:tcPr>
          <w:p w14:paraId="628C46DA" w14:textId="77777777" w:rsidR="0075791A" w:rsidRDefault="00FB2864">
            <w:pPr>
              <w:pStyle w:val="TableText"/>
              <w:spacing w:before="96" w:line="182" w:lineRule="auto"/>
              <w:ind w:left="113"/>
              <w:rPr>
                <w:rFonts w:ascii="Times New Roman" w:hAnsi="Times New Roman"/>
                <w:color w:val="auto"/>
                <w:sz w:val="21"/>
                <w:szCs w:val="21"/>
              </w:rPr>
            </w:pPr>
            <w:r>
              <w:rPr>
                <w:rFonts w:ascii="Times New Roman" w:hAnsi="Times New Roman"/>
                <w:color w:val="auto"/>
                <w:spacing w:val="-3"/>
                <w:sz w:val="21"/>
                <w:szCs w:val="21"/>
              </w:rPr>
              <w:t>22</w:t>
            </w:r>
          </w:p>
        </w:tc>
        <w:tc>
          <w:tcPr>
            <w:tcW w:w="685" w:type="dxa"/>
          </w:tcPr>
          <w:p w14:paraId="3A86F5BB" w14:textId="77777777" w:rsidR="0075791A" w:rsidRDefault="00FB2864">
            <w:pPr>
              <w:pStyle w:val="TableText"/>
              <w:spacing w:before="95" w:line="183" w:lineRule="auto"/>
              <w:ind w:left="142"/>
              <w:rPr>
                <w:rFonts w:ascii="Times New Roman" w:hAnsi="Times New Roman"/>
                <w:color w:val="auto"/>
                <w:sz w:val="21"/>
                <w:szCs w:val="21"/>
              </w:rPr>
            </w:pPr>
            <w:r>
              <w:rPr>
                <w:rFonts w:ascii="Times New Roman" w:hAnsi="Times New Roman"/>
                <w:color w:val="auto"/>
                <w:spacing w:val="-5"/>
                <w:sz w:val="21"/>
                <w:szCs w:val="21"/>
              </w:rPr>
              <w:t>1508</w:t>
            </w:r>
          </w:p>
        </w:tc>
        <w:tc>
          <w:tcPr>
            <w:tcW w:w="1350" w:type="dxa"/>
          </w:tcPr>
          <w:p w14:paraId="668DED49" w14:textId="77777777" w:rsidR="0075791A" w:rsidRDefault="00FB2864">
            <w:pPr>
              <w:pStyle w:val="TableText"/>
              <w:spacing w:before="61" w:line="215" w:lineRule="auto"/>
              <w:ind w:left="45"/>
              <w:rPr>
                <w:rFonts w:ascii="Times New Roman" w:hAnsi="Times New Roman"/>
                <w:color w:val="auto"/>
                <w:sz w:val="21"/>
                <w:szCs w:val="21"/>
              </w:rPr>
            </w:pPr>
            <w:r>
              <w:rPr>
                <w:rFonts w:ascii="Times New Roman" w:hAnsi="Times New Roman"/>
                <w:color w:val="auto"/>
                <w:spacing w:val="-1"/>
                <w:sz w:val="21"/>
                <w:szCs w:val="21"/>
              </w:rPr>
              <w:t>06/21</w:t>
            </w:r>
            <w:r>
              <w:rPr>
                <w:rFonts w:ascii="Times New Roman" w:hAnsi="Times New Roman"/>
                <w:color w:val="auto"/>
                <w:spacing w:val="-1"/>
                <w:sz w:val="21"/>
                <w:szCs w:val="21"/>
              </w:rPr>
              <w:t>～</w:t>
            </w:r>
            <w:r>
              <w:rPr>
                <w:rFonts w:ascii="Times New Roman" w:hAnsi="Times New Roman"/>
                <w:color w:val="auto"/>
                <w:spacing w:val="-1"/>
                <w:sz w:val="21"/>
                <w:szCs w:val="21"/>
              </w:rPr>
              <w:t>06/24</w:t>
            </w:r>
          </w:p>
        </w:tc>
        <w:tc>
          <w:tcPr>
            <w:tcW w:w="1049" w:type="dxa"/>
          </w:tcPr>
          <w:p w14:paraId="6DD4E800" w14:textId="77777777" w:rsidR="0075791A" w:rsidRDefault="00FB2864">
            <w:pPr>
              <w:pStyle w:val="TableText"/>
              <w:spacing w:before="96" w:line="182" w:lineRule="auto"/>
              <w:ind w:left="368"/>
              <w:rPr>
                <w:rFonts w:ascii="Times New Roman" w:hAnsi="Times New Roman"/>
                <w:color w:val="auto"/>
                <w:sz w:val="21"/>
                <w:szCs w:val="21"/>
              </w:rPr>
            </w:pPr>
            <w:r>
              <w:rPr>
                <w:rFonts w:ascii="Times New Roman" w:hAnsi="Times New Roman"/>
                <w:color w:val="auto"/>
                <w:spacing w:val="-2"/>
                <w:sz w:val="21"/>
                <w:szCs w:val="21"/>
              </w:rPr>
              <w:t>STS</w:t>
            </w:r>
          </w:p>
        </w:tc>
        <w:tc>
          <w:tcPr>
            <w:tcW w:w="1069" w:type="dxa"/>
          </w:tcPr>
          <w:p w14:paraId="1BD54A14" w14:textId="77777777" w:rsidR="0075791A" w:rsidRDefault="00FB2864">
            <w:pPr>
              <w:pStyle w:val="TableText"/>
              <w:spacing w:before="61" w:line="215" w:lineRule="auto"/>
              <w:ind w:left="328"/>
              <w:rPr>
                <w:rFonts w:ascii="Times New Roman" w:hAnsi="Times New Roman"/>
                <w:color w:val="auto"/>
                <w:sz w:val="21"/>
                <w:szCs w:val="21"/>
              </w:rPr>
            </w:pPr>
            <w:r>
              <w:rPr>
                <w:rFonts w:ascii="Times New Roman" w:hAnsi="Times New Roman"/>
                <w:color w:val="auto"/>
                <w:spacing w:val="-3"/>
                <w:sz w:val="21"/>
                <w:szCs w:val="21"/>
              </w:rPr>
              <w:t>万宁</w:t>
            </w:r>
          </w:p>
        </w:tc>
        <w:tc>
          <w:tcPr>
            <w:tcW w:w="1531" w:type="dxa"/>
          </w:tcPr>
          <w:p w14:paraId="6087A154" w14:textId="77777777" w:rsidR="0075791A" w:rsidRDefault="00FB2864">
            <w:pPr>
              <w:pStyle w:val="TableText"/>
              <w:spacing w:before="61" w:line="215" w:lineRule="auto"/>
              <w:ind w:left="298"/>
              <w:rPr>
                <w:rFonts w:ascii="Times New Roman" w:hAnsi="Times New Roman"/>
                <w:color w:val="auto"/>
                <w:sz w:val="21"/>
                <w:szCs w:val="21"/>
              </w:rPr>
            </w:pPr>
            <w:r>
              <w:rPr>
                <w:rFonts w:ascii="Times New Roman" w:hAnsi="Times New Roman"/>
                <w:color w:val="auto"/>
                <w:spacing w:val="-3"/>
                <w:sz w:val="21"/>
                <w:szCs w:val="21"/>
              </w:rPr>
              <w:t>06/2419h</w:t>
            </w:r>
          </w:p>
        </w:tc>
        <w:tc>
          <w:tcPr>
            <w:tcW w:w="1381" w:type="dxa"/>
          </w:tcPr>
          <w:p w14:paraId="4E44F8F8" w14:textId="77777777" w:rsidR="0075791A" w:rsidRDefault="00FB2864">
            <w:pPr>
              <w:pStyle w:val="TableText"/>
              <w:spacing w:before="96" w:line="182" w:lineRule="auto"/>
              <w:ind w:left="540"/>
              <w:rPr>
                <w:rFonts w:ascii="Times New Roman" w:hAnsi="Times New Roman"/>
                <w:color w:val="auto"/>
                <w:sz w:val="21"/>
                <w:szCs w:val="21"/>
              </w:rPr>
            </w:pPr>
            <w:r>
              <w:rPr>
                <w:rFonts w:ascii="Times New Roman" w:hAnsi="Times New Roman"/>
                <w:color w:val="auto"/>
                <w:spacing w:val="-2"/>
                <w:sz w:val="21"/>
                <w:szCs w:val="21"/>
              </w:rPr>
              <w:t>982</w:t>
            </w:r>
          </w:p>
        </w:tc>
        <w:tc>
          <w:tcPr>
            <w:tcW w:w="1251" w:type="dxa"/>
            <w:tcBorders>
              <w:right w:val="single" w:sz="6" w:space="0" w:color="000000"/>
            </w:tcBorders>
          </w:tcPr>
          <w:p w14:paraId="471019AF" w14:textId="77777777" w:rsidR="0075791A" w:rsidRDefault="00FB2864">
            <w:pPr>
              <w:pStyle w:val="TableText"/>
              <w:spacing w:before="95" w:line="183" w:lineRule="auto"/>
              <w:ind w:left="537"/>
              <w:rPr>
                <w:rFonts w:ascii="Times New Roman" w:hAnsi="Times New Roman"/>
                <w:color w:val="auto"/>
                <w:sz w:val="21"/>
                <w:szCs w:val="21"/>
              </w:rPr>
            </w:pPr>
            <w:r>
              <w:rPr>
                <w:rFonts w:ascii="Times New Roman" w:hAnsi="Times New Roman"/>
                <w:color w:val="auto"/>
                <w:spacing w:val="-6"/>
                <w:sz w:val="21"/>
                <w:szCs w:val="21"/>
              </w:rPr>
              <w:t>10</w:t>
            </w:r>
          </w:p>
        </w:tc>
      </w:tr>
      <w:tr w:rsidR="0075791A" w14:paraId="23A62EAF" w14:textId="77777777">
        <w:trPr>
          <w:trHeight w:val="316"/>
        </w:trPr>
        <w:tc>
          <w:tcPr>
            <w:tcW w:w="438" w:type="dxa"/>
            <w:tcBorders>
              <w:left w:val="single" w:sz="6" w:space="0" w:color="000000"/>
            </w:tcBorders>
          </w:tcPr>
          <w:p w14:paraId="1C2A85CF" w14:textId="77777777" w:rsidR="0075791A" w:rsidRDefault="00FB2864">
            <w:pPr>
              <w:pStyle w:val="TableText"/>
              <w:spacing w:before="96" w:line="182" w:lineRule="auto"/>
              <w:ind w:left="113"/>
              <w:rPr>
                <w:rFonts w:ascii="Times New Roman" w:hAnsi="Times New Roman"/>
                <w:color w:val="auto"/>
                <w:sz w:val="21"/>
                <w:szCs w:val="21"/>
              </w:rPr>
            </w:pPr>
            <w:r>
              <w:rPr>
                <w:rFonts w:ascii="Times New Roman" w:hAnsi="Times New Roman"/>
                <w:color w:val="auto"/>
                <w:spacing w:val="-3"/>
                <w:sz w:val="21"/>
                <w:szCs w:val="21"/>
              </w:rPr>
              <w:t>23</w:t>
            </w:r>
          </w:p>
        </w:tc>
        <w:tc>
          <w:tcPr>
            <w:tcW w:w="685" w:type="dxa"/>
          </w:tcPr>
          <w:p w14:paraId="265C1930" w14:textId="77777777" w:rsidR="0075791A" w:rsidRDefault="00FB2864">
            <w:pPr>
              <w:pStyle w:val="TableText"/>
              <w:spacing w:before="95" w:line="183" w:lineRule="auto"/>
              <w:ind w:left="142"/>
              <w:rPr>
                <w:rFonts w:ascii="Times New Roman" w:hAnsi="Times New Roman"/>
                <w:color w:val="auto"/>
                <w:sz w:val="21"/>
                <w:szCs w:val="21"/>
              </w:rPr>
            </w:pPr>
            <w:r>
              <w:rPr>
                <w:rFonts w:ascii="Times New Roman" w:hAnsi="Times New Roman"/>
                <w:color w:val="auto"/>
                <w:spacing w:val="-5"/>
                <w:sz w:val="21"/>
                <w:szCs w:val="21"/>
              </w:rPr>
              <w:t>1603</w:t>
            </w:r>
          </w:p>
        </w:tc>
        <w:tc>
          <w:tcPr>
            <w:tcW w:w="1350" w:type="dxa"/>
          </w:tcPr>
          <w:p w14:paraId="363F08C0" w14:textId="77777777" w:rsidR="0075791A" w:rsidRDefault="00FB2864">
            <w:pPr>
              <w:pStyle w:val="TableText"/>
              <w:spacing w:before="61" w:line="215" w:lineRule="auto"/>
              <w:ind w:left="45"/>
              <w:rPr>
                <w:rFonts w:ascii="Times New Roman" w:hAnsi="Times New Roman"/>
                <w:color w:val="auto"/>
                <w:sz w:val="21"/>
                <w:szCs w:val="21"/>
              </w:rPr>
            </w:pPr>
            <w:r>
              <w:rPr>
                <w:rFonts w:ascii="Times New Roman" w:hAnsi="Times New Roman"/>
                <w:color w:val="auto"/>
                <w:spacing w:val="-1"/>
                <w:sz w:val="21"/>
                <w:szCs w:val="21"/>
              </w:rPr>
              <w:t>07/26</w:t>
            </w:r>
            <w:r>
              <w:rPr>
                <w:rFonts w:ascii="Times New Roman" w:hAnsi="Times New Roman"/>
                <w:color w:val="auto"/>
                <w:spacing w:val="-1"/>
                <w:sz w:val="21"/>
                <w:szCs w:val="21"/>
              </w:rPr>
              <w:t>～</w:t>
            </w:r>
            <w:r>
              <w:rPr>
                <w:rFonts w:ascii="Times New Roman" w:hAnsi="Times New Roman"/>
                <w:color w:val="auto"/>
                <w:spacing w:val="-1"/>
                <w:sz w:val="21"/>
                <w:szCs w:val="21"/>
              </w:rPr>
              <w:t>07/28</w:t>
            </w:r>
          </w:p>
        </w:tc>
        <w:tc>
          <w:tcPr>
            <w:tcW w:w="1049" w:type="dxa"/>
          </w:tcPr>
          <w:p w14:paraId="2B3F7E13" w14:textId="77777777" w:rsidR="0075791A" w:rsidRDefault="00FB2864">
            <w:pPr>
              <w:pStyle w:val="TableText"/>
              <w:spacing w:before="96" w:line="182" w:lineRule="auto"/>
              <w:ind w:left="368"/>
              <w:rPr>
                <w:rFonts w:ascii="Times New Roman" w:hAnsi="Times New Roman"/>
                <w:color w:val="auto"/>
                <w:sz w:val="21"/>
                <w:szCs w:val="21"/>
              </w:rPr>
            </w:pPr>
            <w:r>
              <w:rPr>
                <w:rFonts w:ascii="Times New Roman" w:hAnsi="Times New Roman"/>
                <w:color w:val="auto"/>
                <w:spacing w:val="-2"/>
                <w:sz w:val="21"/>
                <w:szCs w:val="21"/>
              </w:rPr>
              <w:t>STS</w:t>
            </w:r>
          </w:p>
        </w:tc>
        <w:tc>
          <w:tcPr>
            <w:tcW w:w="1069" w:type="dxa"/>
          </w:tcPr>
          <w:p w14:paraId="3DD46DF4" w14:textId="77777777" w:rsidR="0075791A" w:rsidRDefault="00FB2864">
            <w:pPr>
              <w:pStyle w:val="TableText"/>
              <w:spacing w:before="61" w:line="215" w:lineRule="auto"/>
              <w:ind w:left="328"/>
              <w:rPr>
                <w:rFonts w:ascii="Times New Roman" w:hAnsi="Times New Roman"/>
                <w:color w:val="auto"/>
                <w:sz w:val="21"/>
                <w:szCs w:val="21"/>
              </w:rPr>
            </w:pPr>
            <w:r>
              <w:rPr>
                <w:rFonts w:ascii="Times New Roman" w:hAnsi="Times New Roman"/>
                <w:color w:val="auto"/>
                <w:spacing w:val="-3"/>
                <w:sz w:val="21"/>
                <w:szCs w:val="21"/>
              </w:rPr>
              <w:t>万宁</w:t>
            </w:r>
          </w:p>
        </w:tc>
        <w:tc>
          <w:tcPr>
            <w:tcW w:w="1531" w:type="dxa"/>
          </w:tcPr>
          <w:p w14:paraId="198AF552" w14:textId="77777777" w:rsidR="0075791A" w:rsidRDefault="00FB2864">
            <w:pPr>
              <w:pStyle w:val="TableText"/>
              <w:spacing w:before="61" w:line="215" w:lineRule="auto"/>
              <w:ind w:left="298"/>
              <w:rPr>
                <w:rFonts w:ascii="Times New Roman" w:hAnsi="Times New Roman"/>
                <w:color w:val="auto"/>
                <w:sz w:val="21"/>
                <w:szCs w:val="21"/>
              </w:rPr>
            </w:pPr>
            <w:r>
              <w:rPr>
                <w:rFonts w:ascii="Times New Roman" w:hAnsi="Times New Roman"/>
                <w:color w:val="auto"/>
                <w:spacing w:val="-2"/>
                <w:sz w:val="21"/>
                <w:szCs w:val="21"/>
              </w:rPr>
              <w:t>07/2622h</w:t>
            </w:r>
          </w:p>
        </w:tc>
        <w:tc>
          <w:tcPr>
            <w:tcW w:w="1381" w:type="dxa"/>
          </w:tcPr>
          <w:p w14:paraId="02F20FCD" w14:textId="77777777" w:rsidR="0075791A" w:rsidRDefault="00FB2864">
            <w:pPr>
              <w:pStyle w:val="TableText"/>
              <w:spacing w:before="96" w:line="182" w:lineRule="auto"/>
              <w:ind w:left="540"/>
              <w:rPr>
                <w:rFonts w:ascii="Times New Roman" w:hAnsi="Times New Roman"/>
                <w:color w:val="auto"/>
                <w:sz w:val="21"/>
                <w:szCs w:val="21"/>
              </w:rPr>
            </w:pPr>
            <w:r>
              <w:rPr>
                <w:rFonts w:ascii="Times New Roman" w:hAnsi="Times New Roman"/>
                <w:color w:val="auto"/>
                <w:spacing w:val="-2"/>
                <w:sz w:val="21"/>
                <w:szCs w:val="21"/>
              </w:rPr>
              <w:t>985</w:t>
            </w:r>
          </w:p>
        </w:tc>
        <w:tc>
          <w:tcPr>
            <w:tcW w:w="1251" w:type="dxa"/>
            <w:tcBorders>
              <w:right w:val="single" w:sz="6" w:space="0" w:color="000000"/>
            </w:tcBorders>
          </w:tcPr>
          <w:p w14:paraId="1B54EA1E" w14:textId="77777777" w:rsidR="0075791A" w:rsidRDefault="00FB2864">
            <w:pPr>
              <w:pStyle w:val="TableText"/>
              <w:spacing w:before="95" w:line="183" w:lineRule="auto"/>
              <w:ind w:left="537"/>
              <w:rPr>
                <w:rFonts w:ascii="Times New Roman" w:hAnsi="Times New Roman"/>
                <w:color w:val="auto"/>
                <w:sz w:val="21"/>
                <w:szCs w:val="21"/>
              </w:rPr>
            </w:pPr>
            <w:r>
              <w:rPr>
                <w:rFonts w:ascii="Times New Roman" w:hAnsi="Times New Roman"/>
                <w:color w:val="auto"/>
                <w:spacing w:val="-6"/>
                <w:sz w:val="21"/>
                <w:szCs w:val="21"/>
              </w:rPr>
              <w:t>10</w:t>
            </w:r>
          </w:p>
        </w:tc>
      </w:tr>
      <w:tr w:rsidR="0075791A" w14:paraId="3FA5C781" w14:textId="77777777">
        <w:trPr>
          <w:trHeight w:val="318"/>
        </w:trPr>
        <w:tc>
          <w:tcPr>
            <w:tcW w:w="438" w:type="dxa"/>
            <w:tcBorders>
              <w:left w:val="single" w:sz="6" w:space="0" w:color="000000"/>
            </w:tcBorders>
          </w:tcPr>
          <w:p w14:paraId="3959B961" w14:textId="77777777" w:rsidR="0075791A" w:rsidRDefault="00FB2864">
            <w:pPr>
              <w:pStyle w:val="TableText"/>
              <w:spacing w:before="99" w:line="182" w:lineRule="auto"/>
              <w:ind w:left="113"/>
              <w:rPr>
                <w:rFonts w:ascii="Times New Roman" w:hAnsi="Times New Roman"/>
                <w:color w:val="auto"/>
                <w:sz w:val="21"/>
                <w:szCs w:val="21"/>
              </w:rPr>
            </w:pPr>
            <w:r>
              <w:rPr>
                <w:rFonts w:ascii="Times New Roman" w:hAnsi="Times New Roman"/>
                <w:color w:val="auto"/>
                <w:spacing w:val="-3"/>
                <w:sz w:val="21"/>
                <w:szCs w:val="21"/>
              </w:rPr>
              <w:t>24</w:t>
            </w:r>
          </w:p>
        </w:tc>
        <w:tc>
          <w:tcPr>
            <w:tcW w:w="685" w:type="dxa"/>
          </w:tcPr>
          <w:p w14:paraId="422994DB" w14:textId="77777777" w:rsidR="0075791A" w:rsidRDefault="00FB2864">
            <w:pPr>
              <w:pStyle w:val="TableText"/>
              <w:spacing w:before="98" w:line="183" w:lineRule="auto"/>
              <w:ind w:left="142"/>
              <w:rPr>
                <w:rFonts w:ascii="Times New Roman" w:hAnsi="Times New Roman"/>
                <w:color w:val="auto"/>
                <w:sz w:val="21"/>
                <w:szCs w:val="21"/>
              </w:rPr>
            </w:pPr>
            <w:r>
              <w:rPr>
                <w:rFonts w:ascii="Times New Roman" w:hAnsi="Times New Roman"/>
                <w:color w:val="auto"/>
                <w:spacing w:val="-5"/>
                <w:sz w:val="21"/>
                <w:szCs w:val="21"/>
              </w:rPr>
              <w:t>1621</w:t>
            </w:r>
          </w:p>
        </w:tc>
        <w:tc>
          <w:tcPr>
            <w:tcW w:w="1350" w:type="dxa"/>
          </w:tcPr>
          <w:p w14:paraId="50406E7F" w14:textId="77777777" w:rsidR="0075791A" w:rsidRDefault="00FB2864">
            <w:pPr>
              <w:pStyle w:val="TableText"/>
              <w:spacing w:before="64" w:line="214" w:lineRule="auto"/>
              <w:ind w:left="59"/>
              <w:rPr>
                <w:rFonts w:ascii="Times New Roman" w:hAnsi="Times New Roman"/>
                <w:color w:val="auto"/>
                <w:sz w:val="21"/>
                <w:szCs w:val="21"/>
              </w:rPr>
            </w:pPr>
            <w:r>
              <w:rPr>
                <w:rFonts w:ascii="Times New Roman" w:hAnsi="Times New Roman"/>
                <w:color w:val="auto"/>
                <w:spacing w:val="-2"/>
                <w:sz w:val="21"/>
                <w:szCs w:val="21"/>
              </w:rPr>
              <w:t>10/13</w:t>
            </w:r>
            <w:r>
              <w:rPr>
                <w:rFonts w:ascii="Times New Roman" w:hAnsi="Times New Roman"/>
                <w:color w:val="auto"/>
                <w:spacing w:val="-2"/>
                <w:sz w:val="21"/>
                <w:szCs w:val="21"/>
              </w:rPr>
              <w:t>～</w:t>
            </w:r>
            <w:r>
              <w:rPr>
                <w:rFonts w:ascii="Times New Roman" w:hAnsi="Times New Roman"/>
                <w:color w:val="auto"/>
                <w:spacing w:val="-2"/>
                <w:sz w:val="21"/>
                <w:szCs w:val="21"/>
              </w:rPr>
              <w:t>10/19</w:t>
            </w:r>
          </w:p>
        </w:tc>
        <w:tc>
          <w:tcPr>
            <w:tcW w:w="1049" w:type="dxa"/>
          </w:tcPr>
          <w:p w14:paraId="52DBEF47" w14:textId="77777777" w:rsidR="0075791A" w:rsidRDefault="00FB2864">
            <w:pPr>
              <w:pStyle w:val="TableText"/>
              <w:spacing w:before="99" w:line="182" w:lineRule="auto"/>
              <w:ind w:left="368"/>
              <w:rPr>
                <w:rFonts w:ascii="Times New Roman" w:hAnsi="Times New Roman"/>
                <w:color w:val="auto"/>
                <w:sz w:val="21"/>
                <w:szCs w:val="21"/>
              </w:rPr>
            </w:pPr>
            <w:r>
              <w:rPr>
                <w:rFonts w:ascii="Times New Roman" w:hAnsi="Times New Roman"/>
                <w:color w:val="auto"/>
                <w:spacing w:val="-2"/>
                <w:sz w:val="21"/>
                <w:szCs w:val="21"/>
              </w:rPr>
              <w:t>STS</w:t>
            </w:r>
          </w:p>
        </w:tc>
        <w:tc>
          <w:tcPr>
            <w:tcW w:w="1069" w:type="dxa"/>
          </w:tcPr>
          <w:p w14:paraId="5A775B45" w14:textId="77777777" w:rsidR="0075791A" w:rsidRDefault="00FB2864">
            <w:pPr>
              <w:pStyle w:val="TableText"/>
              <w:spacing w:before="64" w:line="214" w:lineRule="auto"/>
              <w:ind w:left="328"/>
              <w:rPr>
                <w:rFonts w:ascii="Times New Roman" w:hAnsi="Times New Roman"/>
                <w:color w:val="auto"/>
                <w:sz w:val="21"/>
                <w:szCs w:val="21"/>
              </w:rPr>
            </w:pPr>
            <w:r>
              <w:rPr>
                <w:rFonts w:ascii="Times New Roman" w:hAnsi="Times New Roman"/>
                <w:color w:val="auto"/>
                <w:spacing w:val="-3"/>
                <w:sz w:val="21"/>
                <w:szCs w:val="21"/>
              </w:rPr>
              <w:t>万宁</w:t>
            </w:r>
          </w:p>
        </w:tc>
        <w:tc>
          <w:tcPr>
            <w:tcW w:w="1531" w:type="dxa"/>
          </w:tcPr>
          <w:p w14:paraId="2FF55629" w14:textId="77777777" w:rsidR="0075791A" w:rsidRDefault="00FB2864">
            <w:pPr>
              <w:pStyle w:val="TableText"/>
              <w:spacing w:before="64" w:line="214" w:lineRule="auto"/>
              <w:ind w:left="312"/>
              <w:rPr>
                <w:rFonts w:ascii="Times New Roman" w:hAnsi="Times New Roman"/>
                <w:color w:val="auto"/>
                <w:sz w:val="21"/>
                <w:szCs w:val="21"/>
              </w:rPr>
            </w:pPr>
            <w:r>
              <w:rPr>
                <w:rFonts w:ascii="Times New Roman" w:hAnsi="Times New Roman"/>
                <w:color w:val="auto"/>
                <w:spacing w:val="-5"/>
                <w:sz w:val="21"/>
                <w:szCs w:val="21"/>
              </w:rPr>
              <w:t>10/1810h</w:t>
            </w:r>
          </w:p>
        </w:tc>
        <w:tc>
          <w:tcPr>
            <w:tcW w:w="1381" w:type="dxa"/>
          </w:tcPr>
          <w:p w14:paraId="71F7328A" w14:textId="77777777" w:rsidR="0075791A" w:rsidRDefault="00FB2864">
            <w:pPr>
              <w:pStyle w:val="TableText"/>
              <w:spacing w:before="99" w:line="182" w:lineRule="auto"/>
              <w:ind w:left="540"/>
              <w:rPr>
                <w:rFonts w:ascii="Times New Roman" w:hAnsi="Times New Roman"/>
                <w:color w:val="auto"/>
                <w:sz w:val="21"/>
                <w:szCs w:val="21"/>
              </w:rPr>
            </w:pPr>
            <w:r>
              <w:rPr>
                <w:rFonts w:ascii="Times New Roman" w:hAnsi="Times New Roman"/>
                <w:color w:val="auto"/>
                <w:spacing w:val="-2"/>
                <w:sz w:val="21"/>
                <w:szCs w:val="21"/>
              </w:rPr>
              <w:t>960</w:t>
            </w:r>
          </w:p>
        </w:tc>
        <w:tc>
          <w:tcPr>
            <w:tcW w:w="1251" w:type="dxa"/>
            <w:tcBorders>
              <w:right w:val="single" w:sz="6" w:space="0" w:color="000000"/>
            </w:tcBorders>
          </w:tcPr>
          <w:p w14:paraId="335ADB8F" w14:textId="77777777" w:rsidR="0075791A" w:rsidRDefault="00FB2864">
            <w:pPr>
              <w:pStyle w:val="TableText"/>
              <w:spacing w:before="98" w:line="183" w:lineRule="auto"/>
              <w:ind w:left="537"/>
              <w:rPr>
                <w:rFonts w:ascii="Times New Roman" w:hAnsi="Times New Roman"/>
                <w:color w:val="auto"/>
                <w:sz w:val="21"/>
                <w:szCs w:val="21"/>
              </w:rPr>
            </w:pPr>
            <w:r>
              <w:rPr>
                <w:rFonts w:ascii="Times New Roman" w:hAnsi="Times New Roman"/>
                <w:color w:val="auto"/>
                <w:spacing w:val="-6"/>
                <w:sz w:val="21"/>
                <w:szCs w:val="21"/>
              </w:rPr>
              <w:t>14</w:t>
            </w:r>
          </w:p>
        </w:tc>
      </w:tr>
      <w:tr w:rsidR="0075791A" w14:paraId="72A73452" w14:textId="77777777">
        <w:trPr>
          <w:trHeight w:val="327"/>
        </w:trPr>
        <w:tc>
          <w:tcPr>
            <w:tcW w:w="438" w:type="dxa"/>
            <w:tcBorders>
              <w:left w:val="single" w:sz="6" w:space="0" w:color="000000"/>
            </w:tcBorders>
          </w:tcPr>
          <w:p w14:paraId="55E36F70" w14:textId="77777777" w:rsidR="0075791A" w:rsidRDefault="00FB2864">
            <w:pPr>
              <w:pStyle w:val="TableText"/>
              <w:spacing w:before="98" w:line="182" w:lineRule="auto"/>
              <w:ind w:left="113"/>
              <w:rPr>
                <w:rFonts w:ascii="Times New Roman" w:hAnsi="Times New Roman"/>
                <w:color w:val="auto"/>
                <w:sz w:val="21"/>
                <w:szCs w:val="21"/>
              </w:rPr>
            </w:pPr>
            <w:r>
              <w:rPr>
                <w:rFonts w:ascii="Times New Roman" w:hAnsi="Times New Roman"/>
                <w:color w:val="auto"/>
                <w:spacing w:val="-3"/>
                <w:sz w:val="21"/>
                <w:szCs w:val="21"/>
              </w:rPr>
              <w:t>25</w:t>
            </w:r>
          </w:p>
        </w:tc>
        <w:tc>
          <w:tcPr>
            <w:tcW w:w="685" w:type="dxa"/>
          </w:tcPr>
          <w:p w14:paraId="1136F1C9" w14:textId="77777777" w:rsidR="0075791A" w:rsidRDefault="00FB2864">
            <w:pPr>
              <w:pStyle w:val="TableText"/>
              <w:spacing w:before="97" w:line="183" w:lineRule="auto"/>
              <w:ind w:left="142"/>
              <w:rPr>
                <w:rFonts w:ascii="Times New Roman" w:hAnsi="Times New Roman"/>
                <w:color w:val="auto"/>
                <w:sz w:val="21"/>
                <w:szCs w:val="21"/>
              </w:rPr>
            </w:pPr>
            <w:r>
              <w:rPr>
                <w:rFonts w:ascii="Times New Roman" w:hAnsi="Times New Roman"/>
                <w:color w:val="auto"/>
                <w:spacing w:val="-5"/>
                <w:sz w:val="21"/>
                <w:szCs w:val="21"/>
              </w:rPr>
              <w:t>1809</w:t>
            </w:r>
          </w:p>
        </w:tc>
        <w:tc>
          <w:tcPr>
            <w:tcW w:w="1350" w:type="dxa"/>
          </w:tcPr>
          <w:p w14:paraId="03E6542F" w14:textId="77777777" w:rsidR="0075791A" w:rsidRDefault="00FB2864">
            <w:pPr>
              <w:pStyle w:val="TableText"/>
              <w:spacing w:before="63" w:line="223" w:lineRule="auto"/>
              <w:ind w:left="45"/>
              <w:rPr>
                <w:rFonts w:ascii="Times New Roman" w:hAnsi="Times New Roman"/>
                <w:color w:val="auto"/>
                <w:sz w:val="21"/>
                <w:szCs w:val="21"/>
              </w:rPr>
            </w:pPr>
            <w:r>
              <w:rPr>
                <w:rFonts w:ascii="Times New Roman" w:hAnsi="Times New Roman"/>
                <w:color w:val="auto"/>
                <w:spacing w:val="-1"/>
                <w:sz w:val="21"/>
                <w:szCs w:val="21"/>
              </w:rPr>
              <w:t>07/17</w:t>
            </w:r>
            <w:r>
              <w:rPr>
                <w:rFonts w:ascii="Times New Roman" w:hAnsi="Times New Roman"/>
                <w:color w:val="auto"/>
                <w:spacing w:val="-1"/>
                <w:sz w:val="21"/>
                <w:szCs w:val="21"/>
              </w:rPr>
              <w:t>～</w:t>
            </w:r>
            <w:r>
              <w:rPr>
                <w:rFonts w:ascii="Times New Roman" w:hAnsi="Times New Roman"/>
                <w:color w:val="auto"/>
                <w:spacing w:val="-1"/>
                <w:sz w:val="21"/>
                <w:szCs w:val="21"/>
              </w:rPr>
              <w:t>07/23</w:t>
            </w:r>
          </w:p>
        </w:tc>
        <w:tc>
          <w:tcPr>
            <w:tcW w:w="1049" w:type="dxa"/>
          </w:tcPr>
          <w:p w14:paraId="36385056" w14:textId="77777777" w:rsidR="0075791A" w:rsidRDefault="00FB2864">
            <w:pPr>
              <w:pStyle w:val="TableText"/>
              <w:spacing w:before="99" w:line="181" w:lineRule="auto"/>
              <w:ind w:left="415"/>
              <w:rPr>
                <w:rFonts w:ascii="Times New Roman" w:hAnsi="Times New Roman"/>
                <w:color w:val="auto"/>
                <w:sz w:val="21"/>
                <w:szCs w:val="21"/>
              </w:rPr>
            </w:pPr>
            <w:r>
              <w:rPr>
                <w:rFonts w:ascii="Times New Roman" w:hAnsi="Times New Roman"/>
                <w:color w:val="auto"/>
                <w:spacing w:val="-2"/>
                <w:sz w:val="21"/>
                <w:szCs w:val="21"/>
              </w:rPr>
              <w:t>TD</w:t>
            </w:r>
          </w:p>
        </w:tc>
        <w:tc>
          <w:tcPr>
            <w:tcW w:w="1069" w:type="dxa"/>
          </w:tcPr>
          <w:p w14:paraId="296ED51A" w14:textId="77777777" w:rsidR="0075791A" w:rsidRDefault="00FB2864">
            <w:pPr>
              <w:pStyle w:val="TableText"/>
              <w:spacing w:before="63" w:line="221" w:lineRule="auto"/>
              <w:ind w:left="328"/>
              <w:rPr>
                <w:rFonts w:ascii="Times New Roman" w:hAnsi="Times New Roman"/>
                <w:color w:val="auto"/>
                <w:sz w:val="21"/>
                <w:szCs w:val="21"/>
              </w:rPr>
            </w:pPr>
            <w:r>
              <w:rPr>
                <w:rFonts w:ascii="Times New Roman" w:hAnsi="Times New Roman"/>
                <w:color w:val="auto"/>
                <w:spacing w:val="-3"/>
                <w:sz w:val="21"/>
                <w:szCs w:val="21"/>
              </w:rPr>
              <w:t>万宁</w:t>
            </w:r>
          </w:p>
        </w:tc>
        <w:tc>
          <w:tcPr>
            <w:tcW w:w="1531" w:type="dxa"/>
          </w:tcPr>
          <w:p w14:paraId="1BF20277" w14:textId="77777777" w:rsidR="0075791A" w:rsidRDefault="00FB2864">
            <w:pPr>
              <w:pStyle w:val="TableText"/>
              <w:spacing w:before="63" w:line="223" w:lineRule="auto"/>
              <w:ind w:left="351"/>
              <w:rPr>
                <w:rFonts w:ascii="Times New Roman" w:hAnsi="Times New Roman"/>
                <w:color w:val="auto"/>
                <w:sz w:val="21"/>
                <w:szCs w:val="21"/>
              </w:rPr>
            </w:pPr>
            <w:r>
              <w:rPr>
                <w:rFonts w:ascii="Times New Roman" w:hAnsi="Times New Roman"/>
                <w:color w:val="auto"/>
                <w:spacing w:val="-2"/>
                <w:sz w:val="21"/>
                <w:szCs w:val="21"/>
              </w:rPr>
              <w:t>07/185h</w:t>
            </w:r>
          </w:p>
        </w:tc>
        <w:tc>
          <w:tcPr>
            <w:tcW w:w="1381" w:type="dxa"/>
          </w:tcPr>
          <w:p w14:paraId="2E5555AA" w14:textId="77777777" w:rsidR="0075791A" w:rsidRDefault="00FB2864">
            <w:pPr>
              <w:pStyle w:val="TableText"/>
              <w:spacing w:before="98" w:line="182" w:lineRule="auto"/>
              <w:ind w:left="540"/>
              <w:rPr>
                <w:rFonts w:ascii="Times New Roman" w:hAnsi="Times New Roman"/>
                <w:color w:val="auto"/>
                <w:sz w:val="21"/>
                <w:szCs w:val="21"/>
              </w:rPr>
            </w:pPr>
            <w:r>
              <w:rPr>
                <w:rFonts w:ascii="Times New Roman" w:hAnsi="Times New Roman"/>
                <w:color w:val="auto"/>
                <w:spacing w:val="-2"/>
                <w:sz w:val="21"/>
                <w:szCs w:val="21"/>
              </w:rPr>
              <w:t>983</w:t>
            </w:r>
          </w:p>
        </w:tc>
        <w:tc>
          <w:tcPr>
            <w:tcW w:w="1251" w:type="dxa"/>
            <w:tcBorders>
              <w:right w:val="single" w:sz="6" w:space="0" w:color="000000"/>
            </w:tcBorders>
          </w:tcPr>
          <w:p w14:paraId="1AC42AB5" w14:textId="77777777" w:rsidR="0075791A" w:rsidRDefault="00FB2864">
            <w:pPr>
              <w:pStyle w:val="TableText"/>
              <w:spacing w:before="98" w:line="182" w:lineRule="auto"/>
              <w:ind w:left="575"/>
              <w:rPr>
                <w:rFonts w:ascii="Times New Roman" w:hAnsi="Times New Roman"/>
                <w:color w:val="auto"/>
                <w:sz w:val="21"/>
                <w:szCs w:val="21"/>
              </w:rPr>
            </w:pPr>
            <w:r>
              <w:rPr>
                <w:rFonts w:ascii="Times New Roman" w:hAnsi="Times New Roman"/>
                <w:color w:val="auto"/>
                <w:sz w:val="21"/>
                <w:szCs w:val="21"/>
              </w:rPr>
              <w:t>9</w:t>
            </w:r>
          </w:p>
        </w:tc>
      </w:tr>
      <w:tr w:rsidR="0075791A" w14:paraId="3856EB00" w14:textId="77777777">
        <w:trPr>
          <w:trHeight w:val="90"/>
        </w:trPr>
        <w:tc>
          <w:tcPr>
            <w:tcW w:w="438" w:type="dxa"/>
            <w:tcBorders>
              <w:left w:val="single" w:sz="6" w:space="0" w:color="000000"/>
            </w:tcBorders>
          </w:tcPr>
          <w:p w14:paraId="138F3470" w14:textId="77777777" w:rsidR="0075791A" w:rsidRDefault="00FB2864">
            <w:pPr>
              <w:pStyle w:val="TableText"/>
              <w:spacing w:before="98" w:line="183" w:lineRule="auto"/>
              <w:jc w:val="center"/>
              <w:rPr>
                <w:rFonts w:ascii="Times New Roman" w:hAnsi="Times New Roman"/>
                <w:color w:val="auto"/>
                <w:spacing w:val="-5"/>
                <w:sz w:val="21"/>
                <w:szCs w:val="21"/>
                <w:lang w:eastAsia="zh-CN"/>
              </w:rPr>
            </w:pPr>
            <w:r>
              <w:rPr>
                <w:rFonts w:ascii="Times New Roman" w:hAnsi="Times New Roman" w:hint="eastAsia"/>
                <w:color w:val="auto"/>
                <w:spacing w:val="-5"/>
                <w:sz w:val="21"/>
                <w:szCs w:val="21"/>
                <w:lang w:eastAsia="zh-CN"/>
              </w:rPr>
              <w:t>26</w:t>
            </w:r>
          </w:p>
        </w:tc>
        <w:tc>
          <w:tcPr>
            <w:tcW w:w="685" w:type="dxa"/>
          </w:tcPr>
          <w:p w14:paraId="77DB6FE5" w14:textId="77777777" w:rsidR="0075791A" w:rsidRDefault="00FB2864">
            <w:pPr>
              <w:pStyle w:val="TableText"/>
              <w:spacing w:before="98" w:line="183" w:lineRule="auto"/>
              <w:ind w:left="142"/>
              <w:rPr>
                <w:rFonts w:ascii="Times New Roman" w:hAnsi="Times New Roman"/>
                <w:color w:val="auto"/>
                <w:spacing w:val="-5"/>
                <w:sz w:val="21"/>
                <w:szCs w:val="21"/>
              </w:rPr>
            </w:pPr>
            <w:r>
              <w:rPr>
                <w:rFonts w:ascii="Times New Roman" w:hAnsi="Times New Roman"/>
                <w:color w:val="auto"/>
                <w:spacing w:val="-5"/>
                <w:sz w:val="21"/>
                <w:szCs w:val="21"/>
              </w:rPr>
              <w:t>1904</w:t>
            </w:r>
          </w:p>
        </w:tc>
        <w:tc>
          <w:tcPr>
            <w:tcW w:w="1350" w:type="dxa"/>
          </w:tcPr>
          <w:p w14:paraId="3860A1C6" w14:textId="77777777" w:rsidR="0075791A" w:rsidRDefault="00FB2864">
            <w:pPr>
              <w:pStyle w:val="TableText"/>
              <w:spacing w:before="63" w:line="223" w:lineRule="auto"/>
              <w:ind w:left="45"/>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07/01~07/04</w:t>
            </w:r>
          </w:p>
        </w:tc>
        <w:tc>
          <w:tcPr>
            <w:tcW w:w="1049" w:type="dxa"/>
          </w:tcPr>
          <w:p w14:paraId="6E2AECE3" w14:textId="77777777" w:rsidR="0075791A" w:rsidRDefault="00FB2864">
            <w:pPr>
              <w:pStyle w:val="TableText"/>
              <w:spacing w:before="99" w:line="181" w:lineRule="auto"/>
              <w:ind w:left="415"/>
              <w:rPr>
                <w:rFonts w:ascii="Times New Roman" w:hAnsi="Times New Roman"/>
                <w:color w:val="auto"/>
                <w:spacing w:val="-2"/>
                <w:sz w:val="21"/>
                <w:szCs w:val="21"/>
                <w:lang w:eastAsia="zh-CN"/>
              </w:rPr>
            </w:pPr>
            <w:r>
              <w:rPr>
                <w:rFonts w:ascii="Times New Roman" w:hAnsi="Times New Roman" w:hint="eastAsia"/>
                <w:color w:val="auto"/>
                <w:spacing w:val="-2"/>
                <w:sz w:val="21"/>
                <w:szCs w:val="21"/>
                <w:lang w:eastAsia="zh-CN"/>
              </w:rPr>
              <w:t>TS</w:t>
            </w:r>
          </w:p>
        </w:tc>
        <w:tc>
          <w:tcPr>
            <w:tcW w:w="1069" w:type="dxa"/>
          </w:tcPr>
          <w:p w14:paraId="7FCEB6FF" w14:textId="77777777" w:rsidR="0075791A" w:rsidRDefault="00FB2864">
            <w:pPr>
              <w:pStyle w:val="TableText"/>
              <w:spacing w:before="63" w:line="221" w:lineRule="auto"/>
              <w:ind w:left="328"/>
              <w:rPr>
                <w:rFonts w:ascii="Times New Roman" w:hAnsi="Times New Roman"/>
                <w:color w:val="auto"/>
                <w:spacing w:val="-3"/>
                <w:sz w:val="21"/>
                <w:szCs w:val="21"/>
                <w:lang w:eastAsia="zh-CN"/>
              </w:rPr>
            </w:pPr>
            <w:r>
              <w:rPr>
                <w:rFonts w:ascii="Times New Roman" w:hAnsi="Times New Roman" w:hint="eastAsia"/>
                <w:color w:val="auto"/>
                <w:spacing w:val="-3"/>
                <w:sz w:val="21"/>
                <w:szCs w:val="21"/>
                <w:lang w:eastAsia="zh-CN"/>
              </w:rPr>
              <w:t>万宁</w:t>
            </w:r>
          </w:p>
        </w:tc>
        <w:tc>
          <w:tcPr>
            <w:tcW w:w="1531" w:type="dxa"/>
          </w:tcPr>
          <w:p w14:paraId="384F62A0" w14:textId="77777777" w:rsidR="0075791A" w:rsidRDefault="00FB2864">
            <w:pPr>
              <w:pStyle w:val="TableText"/>
              <w:spacing w:before="63" w:line="223" w:lineRule="auto"/>
              <w:ind w:left="351"/>
              <w:rPr>
                <w:rFonts w:ascii="Times New Roman" w:hAnsi="Times New Roman"/>
                <w:color w:val="auto"/>
                <w:spacing w:val="-2"/>
                <w:sz w:val="21"/>
                <w:szCs w:val="21"/>
                <w:lang w:eastAsia="zh-CN"/>
              </w:rPr>
            </w:pPr>
            <w:r>
              <w:rPr>
                <w:rFonts w:ascii="Times New Roman" w:hAnsi="Times New Roman" w:hint="eastAsia"/>
                <w:color w:val="auto"/>
                <w:spacing w:val="-2"/>
                <w:sz w:val="21"/>
                <w:szCs w:val="21"/>
                <w:lang w:eastAsia="zh-CN"/>
              </w:rPr>
              <w:t>07/0301h</w:t>
            </w:r>
          </w:p>
        </w:tc>
        <w:tc>
          <w:tcPr>
            <w:tcW w:w="1381" w:type="dxa"/>
          </w:tcPr>
          <w:p w14:paraId="5887760E" w14:textId="77777777" w:rsidR="0075791A" w:rsidRDefault="00FB2864">
            <w:pPr>
              <w:pStyle w:val="TableText"/>
              <w:spacing w:before="94" w:line="182" w:lineRule="auto"/>
              <w:ind w:left="540"/>
              <w:rPr>
                <w:rFonts w:ascii="Times New Roman" w:hAnsi="Times New Roman"/>
                <w:color w:val="auto"/>
                <w:spacing w:val="-2"/>
                <w:sz w:val="21"/>
                <w:szCs w:val="21"/>
              </w:rPr>
            </w:pPr>
            <w:r>
              <w:rPr>
                <w:rFonts w:ascii="Times New Roman" w:hAnsi="Times New Roman"/>
                <w:color w:val="auto"/>
                <w:spacing w:val="-2"/>
                <w:sz w:val="21"/>
                <w:szCs w:val="21"/>
              </w:rPr>
              <w:t>992</w:t>
            </w:r>
          </w:p>
        </w:tc>
        <w:tc>
          <w:tcPr>
            <w:tcW w:w="1251" w:type="dxa"/>
            <w:tcBorders>
              <w:right w:val="single" w:sz="6" w:space="0" w:color="000000"/>
            </w:tcBorders>
          </w:tcPr>
          <w:p w14:paraId="5FC8E06F" w14:textId="77777777" w:rsidR="0075791A" w:rsidRDefault="00FB2864">
            <w:pPr>
              <w:pStyle w:val="TableText"/>
              <w:spacing w:before="98" w:line="182" w:lineRule="auto"/>
              <w:ind w:left="575"/>
              <w:rPr>
                <w:rFonts w:ascii="Times New Roman" w:hAnsi="Times New Roman"/>
                <w:color w:val="auto"/>
                <w:sz w:val="21"/>
                <w:szCs w:val="21"/>
                <w:lang w:eastAsia="zh-CN"/>
              </w:rPr>
            </w:pPr>
            <w:r>
              <w:rPr>
                <w:rFonts w:ascii="Times New Roman" w:hAnsi="Times New Roman" w:hint="eastAsia"/>
                <w:color w:val="auto"/>
                <w:sz w:val="21"/>
                <w:szCs w:val="21"/>
                <w:lang w:eastAsia="zh-CN"/>
              </w:rPr>
              <w:t>8</w:t>
            </w:r>
          </w:p>
        </w:tc>
      </w:tr>
      <w:tr w:rsidR="0075791A" w14:paraId="69A3AB78" w14:textId="77777777">
        <w:trPr>
          <w:trHeight w:val="90"/>
        </w:trPr>
        <w:tc>
          <w:tcPr>
            <w:tcW w:w="438" w:type="dxa"/>
            <w:tcBorders>
              <w:left w:val="single" w:sz="6" w:space="0" w:color="000000"/>
            </w:tcBorders>
          </w:tcPr>
          <w:p w14:paraId="79822F52" w14:textId="77777777" w:rsidR="0075791A" w:rsidRDefault="00FB2864">
            <w:pPr>
              <w:pStyle w:val="TableText"/>
              <w:spacing w:before="98" w:line="183" w:lineRule="auto"/>
              <w:jc w:val="center"/>
              <w:rPr>
                <w:rFonts w:ascii="Times New Roman" w:hAnsi="Times New Roman"/>
                <w:color w:val="auto"/>
                <w:spacing w:val="-5"/>
                <w:sz w:val="21"/>
                <w:szCs w:val="21"/>
                <w:lang w:eastAsia="zh-CN"/>
              </w:rPr>
            </w:pPr>
            <w:r>
              <w:rPr>
                <w:rFonts w:ascii="Times New Roman" w:hAnsi="Times New Roman" w:hint="eastAsia"/>
                <w:color w:val="auto"/>
                <w:spacing w:val="-5"/>
                <w:sz w:val="21"/>
                <w:szCs w:val="21"/>
                <w:lang w:eastAsia="zh-CN"/>
              </w:rPr>
              <w:t>27</w:t>
            </w:r>
          </w:p>
        </w:tc>
        <w:tc>
          <w:tcPr>
            <w:tcW w:w="685" w:type="dxa"/>
          </w:tcPr>
          <w:p w14:paraId="125E5234" w14:textId="77777777" w:rsidR="0075791A" w:rsidRDefault="00FB2864">
            <w:pPr>
              <w:pStyle w:val="TableText"/>
              <w:spacing w:before="98" w:line="183" w:lineRule="auto"/>
              <w:ind w:left="142"/>
              <w:rPr>
                <w:rFonts w:ascii="Times New Roman" w:hAnsi="Times New Roman"/>
                <w:color w:val="auto"/>
                <w:spacing w:val="-5"/>
                <w:sz w:val="21"/>
                <w:szCs w:val="21"/>
              </w:rPr>
            </w:pPr>
            <w:r>
              <w:rPr>
                <w:rFonts w:ascii="Times New Roman" w:hAnsi="Times New Roman"/>
                <w:color w:val="auto"/>
                <w:spacing w:val="-5"/>
                <w:sz w:val="21"/>
                <w:szCs w:val="21"/>
              </w:rPr>
              <w:t>2104</w:t>
            </w:r>
          </w:p>
        </w:tc>
        <w:tc>
          <w:tcPr>
            <w:tcW w:w="1350" w:type="dxa"/>
          </w:tcPr>
          <w:p w14:paraId="478460A5" w14:textId="77777777" w:rsidR="0075791A" w:rsidRDefault="00FB2864">
            <w:pPr>
              <w:pStyle w:val="TableText"/>
              <w:spacing w:before="63" w:line="223" w:lineRule="auto"/>
              <w:ind w:left="45"/>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06/12~06/13</w:t>
            </w:r>
          </w:p>
        </w:tc>
        <w:tc>
          <w:tcPr>
            <w:tcW w:w="1049" w:type="dxa"/>
          </w:tcPr>
          <w:p w14:paraId="3C7C65EB" w14:textId="77777777" w:rsidR="0075791A" w:rsidRDefault="00FB2864">
            <w:pPr>
              <w:pStyle w:val="TableText"/>
              <w:spacing w:before="99" w:line="181" w:lineRule="auto"/>
              <w:ind w:left="415"/>
              <w:rPr>
                <w:rFonts w:ascii="Times New Roman" w:hAnsi="Times New Roman"/>
                <w:color w:val="auto"/>
                <w:spacing w:val="-2"/>
                <w:sz w:val="21"/>
                <w:szCs w:val="21"/>
                <w:lang w:eastAsia="zh-CN"/>
              </w:rPr>
            </w:pPr>
            <w:r>
              <w:rPr>
                <w:rFonts w:ascii="Times New Roman" w:hAnsi="Times New Roman" w:hint="eastAsia"/>
                <w:color w:val="auto"/>
                <w:spacing w:val="-2"/>
                <w:sz w:val="21"/>
                <w:szCs w:val="21"/>
                <w:lang w:eastAsia="zh-CN"/>
              </w:rPr>
              <w:t>TS</w:t>
            </w:r>
          </w:p>
        </w:tc>
        <w:tc>
          <w:tcPr>
            <w:tcW w:w="1069" w:type="dxa"/>
          </w:tcPr>
          <w:p w14:paraId="0B5EC942" w14:textId="77777777" w:rsidR="0075791A" w:rsidRDefault="00FB2864">
            <w:pPr>
              <w:pStyle w:val="TableText"/>
              <w:spacing w:before="63" w:line="221" w:lineRule="auto"/>
              <w:ind w:left="328"/>
              <w:rPr>
                <w:rFonts w:ascii="Times New Roman" w:hAnsi="Times New Roman"/>
                <w:color w:val="auto"/>
                <w:spacing w:val="-3"/>
                <w:sz w:val="21"/>
                <w:szCs w:val="21"/>
                <w:lang w:eastAsia="zh-CN"/>
              </w:rPr>
            </w:pPr>
            <w:r>
              <w:rPr>
                <w:rFonts w:ascii="Times New Roman" w:hAnsi="Times New Roman" w:hint="eastAsia"/>
                <w:color w:val="auto"/>
                <w:spacing w:val="-3"/>
                <w:sz w:val="21"/>
                <w:szCs w:val="21"/>
                <w:lang w:eastAsia="zh-CN"/>
              </w:rPr>
              <w:t>陵水</w:t>
            </w:r>
          </w:p>
        </w:tc>
        <w:tc>
          <w:tcPr>
            <w:tcW w:w="1531" w:type="dxa"/>
          </w:tcPr>
          <w:p w14:paraId="4E5B9722" w14:textId="77777777" w:rsidR="0075791A" w:rsidRDefault="00FB2864">
            <w:pPr>
              <w:pStyle w:val="TableText"/>
              <w:spacing w:before="63" w:line="223" w:lineRule="auto"/>
              <w:ind w:left="351"/>
              <w:rPr>
                <w:rFonts w:ascii="Times New Roman" w:hAnsi="Times New Roman"/>
                <w:color w:val="auto"/>
                <w:spacing w:val="-2"/>
                <w:sz w:val="21"/>
                <w:szCs w:val="21"/>
                <w:lang w:eastAsia="zh-CN"/>
              </w:rPr>
            </w:pPr>
            <w:r>
              <w:rPr>
                <w:rFonts w:ascii="Times New Roman" w:hAnsi="Times New Roman" w:hint="eastAsia"/>
                <w:color w:val="auto"/>
                <w:spacing w:val="-2"/>
                <w:sz w:val="21"/>
                <w:szCs w:val="21"/>
                <w:lang w:eastAsia="zh-CN"/>
              </w:rPr>
              <w:t>06/1209h</w:t>
            </w:r>
          </w:p>
        </w:tc>
        <w:tc>
          <w:tcPr>
            <w:tcW w:w="1381" w:type="dxa"/>
          </w:tcPr>
          <w:p w14:paraId="2AC1C8FF" w14:textId="77777777" w:rsidR="0075791A" w:rsidRDefault="0075791A">
            <w:pPr>
              <w:pStyle w:val="TableText"/>
              <w:spacing w:before="94" w:line="182" w:lineRule="auto"/>
              <w:ind w:left="540"/>
              <w:rPr>
                <w:rFonts w:ascii="Times New Roman" w:hAnsi="Times New Roman"/>
                <w:color w:val="auto"/>
                <w:spacing w:val="-2"/>
                <w:sz w:val="21"/>
                <w:szCs w:val="21"/>
              </w:rPr>
            </w:pPr>
          </w:p>
        </w:tc>
        <w:tc>
          <w:tcPr>
            <w:tcW w:w="1251" w:type="dxa"/>
            <w:tcBorders>
              <w:right w:val="single" w:sz="6" w:space="0" w:color="000000"/>
            </w:tcBorders>
          </w:tcPr>
          <w:p w14:paraId="6748A9B6" w14:textId="77777777" w:rsidR="0075791A" w:rsidRDefault="00FB2864">
            <w:pPr>
              <w:pStyle w:val="TableText"/>
              <w:spacing w:before="98" w:line="182" w:lineRule="auto"/>
              <w:ind w:left="575"/>
              <w:rPr>
                <w:rFonts w:ascii="Times New Roman" w:hAnsi="Times New Roman"/>
                <w:color w:val="auto"/>
                <w:sz w:val="21"/>
                <w:szCs w:val="21"/>
                <w:lang w:eastAsia="zh-CN"/>
              </w:rPr>
            </w:pPr>
            <w:r>
              <w:rPr>
                <w:rFonts w:ascii="Times New Roman" w:hAnsi="Times New Roman" w:hint="eastAsia"/>
                <w:color w:val="auto"/>
                <w:sz w:val="21"/>
                <w:szCs w:val="21"/>
                <w:lang w:eastAsia="zh-CN"/>
              </w:rPr>
              <w:t>8</w:t>
            </w:r>
          </w:p>
        </w:tc>
      </w:tr>
      <w:tr w:rsidR="0075791A" w14:paraId="547F44AA" w14:textId="77777777">
        <w:trPr>
          <w:trHeight w:val="327"/>
        </w:trPr>
        <w:tc>
          <w:tcPr>
            <w:tcW w:w="438" w:type="dxa"/>
            <w:tcBorders>
              <w:left w:val="single" w:sz="6" w:space="0" w:color="000000"/>
            </w:tcBorders>
          </w:tcPr>
          <w:p w14:paraId="46F5FA34" w14:textId="77777777" w:rsidR="0075791A" w:rsidRDefault="00FB2864">
            <w:pPr>
              <w:pStyle w:val="TableText"/>
              <w:spacing w:before="98" w:line="183" w:lineRule="auto"/>
              <w:jc w:val="center"/>
              <w:rPr>
                <w:rFonts w:ascii="Times New Roman" w:hAnsi="Times New Roman"/>
                <w:color w:val="auto"/>
                <w:spacing w:val="-5"/>
                <w:sz w:val="21"/>
                <w:szCs w:val="21"/>
                <w:lang w:eastAsia="zh-CN"/>
              </w:rPr>
            </w:pPr>
            <w:r>
              <w:rPr>
                <w:rFonts w:ascii="Times New Roman" w:hAnsi="Times New Roman" w:hint="eastAsia"/>
                <w:color w:val="auto"/>
                <w:spacing w:val="-5"/>
                <w:sz w:val="21"/>
                <w:szCs w:val="21"/>
                <w:lang w:eastAsia="zh-CN"/>
              </w:rPr>
              <w:t>28</w:t>
            </w:r>
          </w:p>
        </w:tc>
        <w:tc>
          <w:tcPr>
            <w:tcW w:w="685" w:type="dxa"/>
          </w:tcPr>
          <w:p w14:paraId="658C6E09" w14:textId="77777777" w:rsidR="0075791A" w:rsidRDefault="00FB2864">
            <w:pPr>
              <w:pStyle w:val="TableText"/>
              <w:spacing w:before="98" w:line="183" w:lineRule="auto"/>
              <w:ind w:left="142"/>
              <w:rPr>
                <w:rFonts w:ascii="Times New Roman" w:hAnsi="Times New Roman"/>
                <w:color w:val="auto"/>
                <w:spacing w:val="-5"/>
                <w:sz w:val="21"/>
                <w:szCs w:val="21"/>
                <w:lang w:eastAsia="zh-CN"/>
              </w:rPr>
            </w:pPr>
            <w:r>
              <w:rPr>
                <w:rFonts w:ascii="Times New Roman" w:hAnsi="Times New Roman" w:hint="eastAsia"/>
                <w:color w:val="auto"/>
                <w:spacing w:val="-5"/>
                <w:sz w:val="21"/>
                <w:szCs w:val="21"/>
                <w:lang w:eastAsia="zh-CN"/>
              </w:rPr>
              <w:t>2118</w:t>
            </w:r>
          </w:p>
        </w:tc>
        <w:tc>
          <w:tcPr>
            <w:tcW w:w="1350" w:type="dxa"/>
          </w:tcPr>
          <w:p w14:paraId="5766449B" w14:textId="77777777" w:rsidR="0075791A" w:rsidRDefault="00FB2864">
            <w:pPr>
              <w:pStyle w:val="TableText"/>
              <w:spacing w:before="61" w:line="215" w:lineRule="auto"/>
              <w:ind w:left="45"/>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10/08~10/14</w:t>
            </w:r>
          </w:p>
        </w:tc>
        <w:tc>
          <w:tcPr>
            <w:tcW w:w="1049" w:type="dxa"/>
          </w:tcPr>
          <w:p w14:paraId="0962D963" w14:textId="77777777" w:rsidR="0075791A" w:rsidRDefault="00FB2864">
            <w:pPr>
              <w:pStyle w:val="TableText"/>
              <w:spacing w:before="61" w:line="215" w:lineRule="auto"/>
              <w:ind w:left="45"/>
              <w:jc w:val="center"/>
              <w:rPr>
                <w:rFonts w:ascii="Times New Roman" w:hAnsi="Times New Roman"/>
                <w:color w:val="auto"/>
                <w:spacing w:val="-1"/>
                <w:sz w:val="21"/>
                <w:szCs w:val="21"/>
              </w:rPr>
            </w:pPr>
            <w:r>
              <w:rPr>
                <w:rFonts w:ascii="Times New Roman" w:hAnsi="Times New Roman"/>
                <w:color w:val="auto"/>
                <w:spacing w:val="-1"/>
                <w:sz w:val="21"/>
                <w:szCs w:val="21"/>
              </w:rPr>
              <w:t>TY</w:t>
            </w:r>
          </w:p>
        </w:tc>
        <w:tc>
          <w:tcPr>
            <w:tcW w:w="1069" w:type="dxa"/>
          </w:tcPr>
          <w:p w14:paraId="303A4DBC" w14:textId="77777777" w:rsidR="0075791A" w:rsidRDefault="00FB2864">
            <w:pPr>
              <w:pStyle w:val="TableText"/>
              <w:spacing w:before="61" w:line="215" w:lineRule="auto"/>
              <w:ind w:left="45"/>
              <w:jc w:val="center"/>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琼海</w:t>
            </w:r>
          </w:p>
        </w:tc>
        <w:tc>
          <w:tcPr>
            <w:tcW w:w="1531" w:type="dxa"/>
          </w:tcPr>
          <w:p w14:paraId="47C4E390" w14:textId="77777777" w:rsidR="0075791A" w:rsidRDefault="00FB2864">
            <w:pPr>
              <w:pStyle w:val="TableText"/>
              <w:spacing w:before="61" w:line="215" w:lineRule="auto"/>
              <w:ind w:left="45"/>
              <w:jc w:val="center"/>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10/1315h</w:t>
            </w:r>
          </w:p>
        </w:tc>
        <w:tc>
          <w:tcPr>
            <w:tcW w:w="1381" w:type="dxa"/>
          </w:tcPr>
          <w:p w14:paraId="675AE2FA" w14:textId="77777777" w:rsidR="0075791A" w:rsidRDefault="00FB2864">
            <w:pPr>
              <w:pStyle w:val="TableText"/>
              <w:spacing w:before="94" w:line="182" w:lineRule="auto"/>
              <w:ind w:left="540"/>
              <w:rPr>
                <w:rFonts w:ascii="Times New Roman" w:hAnsi="Times New Roman"/>
                <w:color w:val="auto"/>
                <w:spacing w:val="-2"/>
                <w:sz w:val="21"/>
                <w:szCs w:val="21"/>
                <w:lang w:eastAsia="zh-CN"/>
              </w:rPr>
            </w:pPr>
            <w:r>
              <w:rPr>
                <w:rFonts w:ascii="Times New Roman" w:hAnsi="Times New Roman" w:hint="eastAsia"/>
                <w:color w:val="auto"/>
                <w:spacing w:val="-2"/>
                <w:sz w:val="21"/>
                <w:szCs w:val="21"/>
                <w:lang w:eastAsia="zh-CN"/>
              </w:rPr>
              <w:t>975</w:t>
            </w:r>
          </w:p>
        </w:tc>
        <w:tc>
          <w:tcPr>
            <w:tcW w:w="1251" w:type="dxa"/>
            <w:tcBorders>
              <w:right w:val="single" w:sz="6" w:space="0" w:color="000000"/>
            </w:tcBorders>
          </w:tcPr>
          <w:p w14:paraId="24C27E98" w14:textId="77777777" w:rsidR="0075791A" w:rsidRDefault="00FB2864">
            <w:pPr>
              <w:pStyle w:val="TableText"/>
              <w:spacing w:before="61" w:line="215" w:lineRule="auto"/>
              <w:ind w:left="45"/>
              <w:jc w:val="center"/>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12</w:t>
            </w:r>
          </w:p>
        </w:tc>
      </w:tr>
      <w:tr w:rsidR="0075791A" w14:paraId="5A51F0C9" w14:textId="77777777">
        <w:trPr>
          <w:trHeight w:val="327"/>
        </w:trPr>
        <w:tc>
          <w:tcPr>
            <w:tcW w:w="438" w:type="dxa"/>
            <w:tcBorders>
              <w:left w:val="single" w:sz="6" w:space="0" w:color="000000"/>
            </w:tcBorders>
          </w:tcPr>
          <w:p w14:paraId="317A177C" w14:textId="77777777" w:rsidR="0075791A" w:rsidRDefault="00FB2864">
            <w:pPr>
              <w:pStyle w:val="TableText"/>
              <w:spacing w:before="98" w:line="183" w:lineRule="auto"/>
              <w:jc w:val="center"/>
              <w:rPr>
                <w:rFonts w:ascii="Times New Roman" w:hAnsi="Times New Roman"/>
                <w:color w:val="auto"/>
                <w:spacing w:val="-5"/>
                <w:sz w:val="21"/>
                <w:szCs w:val="21"/>
                <w:lang w:eastAsia="zh-CN"/>
              </w:rPr>
            </w:pPr>
            <w:r>
              <w:rPr>
                <w:rFonts w:ascii="Times New Roman" w:hAnsi="Times New Roman" w:hint="eastAsia"/>
                <w:color w:val="auto"/>
                <w:spacing w:val="-5"/>
                <w:sz w:val="21"/>
                <w:szCs w:val="21"/>
                <w:lang w:eastAsia="zh-CN"/>
              </w:rPr>
              <w:t>29</w:t>
            </w:r>
          </w:p>
        </w:tc>
        <w:tc>
          <w:tcPr>
            <w:tcW w:w="685" w:type="dxa"/>
          </w:tcPr>
          <w:p w14:paraId="33E3AED6" w14:textId="77777777" w:rsidR="0075791A" w:rsidRDefault="00FB2864">
            <w:pPr>
              <w:pStyle w:val="TableText"/>
              <w:spacing w:before="98" w:line="183" w:lineRule="auto"/>
              <w:ind w:left="142"/>
              <w:rPr>
                <w:rFonts w:ascii="Times New Roman" w:hAnsi="Times New Roman"/>
                <w:color w:val="auto"/>
                <w:spacing w:val="-5"/>
                <w:sz w:val="21"/>
                <w:szCs w:val="21"/>
                <w:lang w:eastAsia="zh-CN"/>
              </w:rPr>
            </w:pPr>
            <w:r>
              <w:rPr>
                <w:rFonts w:ascii="Times New Roman" w:hAnsi="Times New Roman" w:hint="eastAsia"/>
                <w:color w:val="auto"/>
                <w:spacing w:val="-5"/>
                <w:sz w:val="21"/>
                <w:szCs w:val="21"/>
                <w:lang w:eastAsia="zh-CN"/>
              </w:rPr>
              <w:t>2404</w:t>
            </w:r>
          </w:p>
        </w:tc>
        <w:tc>
          <w:tcPr>
            <w:tcW w:w="1350" w:type="dxa"/>
          </w:tcPr>
          <w:p w14:paraId="40B729D3" w14:textId="77777777" w:rsidR="0075791A" w:rsidRDefault="00FB2864">
            <w:pPr>
              <w:pStyle w:val="TableText"/>
              <w:spacing w:before="61" w:line="215" w:lineRule="auto"/>
              <w:ind w:left="45"/>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07/21-07/23</w:t>
            </w:r>
          </w:p>
        </w:tc>
        <w:tc>
          <w:tcPr>
            <w:tcW w:w="1049" w:type="dxa"/>
          </w:tcPr>
          <w:p w14:paraId="4DCC5493" w14:textId="77777777" w:rsidR="0075791A" w:rsidRDefault="00FB2864">
            <w:pPr>
              <w:pStyle w:val="TableText"/>
              <w:spacing w:before="61" w:line="215" w:lineRule="auto"/>
              <w:ind w:left="45"/>
              <w:jc w:val="center"/>
              <w:rPr>
                <w:rFonts w:ascii="Times New Roman" w:hAnsi="Times New Roman"/>
                <w:color w:val="auto"/>
                <w:spacing w:val="-1"/>
                <w:sz w:val="21"/>
                <w:szCs w:val="21"/>
              </w:rPr>
            </w:pPr>
            <w:r>
              <w:rPr>
                <w:rFonts w:ascii="Times New Roman" w:hAnsi="Times New Roman"/>
                <w:color w:val="auto"/>
                <w:spacing w:val="-1"/>
                <w:sz w:val="21"/>
                <w:szCs w:val="21"/>
              </w:rPr>
              <w:t>STS</w:t>
            </w:r>
          </w:p>
        </w:tc>
        <w:tc>
          <w:tcPr>
            <w:tcW w:w="1069" w:type="dxa"/>
          </w:tcPr>
          <w:p w14:paraId="32D56BD6" w14:textId="77777777" w:rsidR="0075791A" w:rsidRDefault="00FB2864">
            <w:pPr>
              <w:pStyle w:val="TableText"/>
              <w:spacing w:before="61" w:line="215" w:lineRule="auto"/>
              <w:ind w:left="45"/>
              <w:jc w:val="center"/>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万宁</w:t>
            </w:r>
          </w:p>
        </w:tc>
        <w:tc>
          <w:tcPr>
            <w:tcW w:w="1531" w:type="dxa"/>
          </w:tcPr>
          <w:p w14:paraId="4096C1D1" w14:textId="77777777" w:rsidR="0075791A" w:rsidRDefault="00FB2864">
            <w:pPr>
              <w:pStyle w:val="TableText"/>
              <w:spacing w:before="61" w:line="215" w:lineRule="auto"/>
              <w:ind w:left="45"/>
              <w:jc w:val="center"/>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07/2201h</w:t>
            </w:r>
          </w:p>
        </w:tc>
        <w:tc>
          <w:tcPr>
            <w:tcW w:w="1381" w:type="dxa"/>
          </w:tcPr>
          <w:p w14:paraId="729636EE" w14:textId="77777777" w:rsidR="0075791A" w:rsidRDefault="00FB2864">
            <w:pPr>
              <w:pStyle w:val="TableText"/>
              <w:spacing w:before="94" w:line="182" w:lineRule="auto"/>
              <w:ind w:left="540"/>
              <w:rPr>
                <w:rFonts w:ascii="Times New Roman" w:hAnsi="Times New Roman"/>
                <w:color w:val="auto"/>
                <w:spacing w:val="-2"/>
                <w:sz w:val="21"/>
                <w:szCs w:val="21"/>
                <w:lang w:eastAsia="zh-CN"/>
              </w:rPr>
            </w:pPr>
            <w:r>
              <w:rPr>
                <w:rFonts w:ascii="Times New Roman" w:hAnsi="Times New Roman"/>
                <w:color w:val="auto"/>
                <w:spacing w:val="-2"/>
                <w:sz w:val="21"/>
                <w:szCs w:val="21"/>
              </w:rPr>
              <w:t>985</w:t>
            </w:r>
          </w:p>
        </w:tc>
        <w:tc>
          <w:tcPr>
            <w:tcW w:w="1251" w:type="dxa"/>
            <w:tcBorders>
              <w:right w:val="single" w:sz="6" w:space="0" w:color="000000"/>
            </w:tcBorders>
          </w:tcPr>
          <w:p w14:paraId="07C637A9" w14:textId="77777777" w:rsidR="0075791A" w:rsidRDefault="00FB2864">
            <w:pPr>
              <w:pStyle w:val="TableText"/>
              <w:spacing w:before="61" w:line="215" w:lineRule="auto"/>
              <w:ind w:left="45"/>
              <w:jc w:val="center"/>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10</w:t>
            </w:r>
          </w:p>
        </w:tc>
      </w:tr>
      <w:tr w:rsidR="0075791A" w14:paraId="2C588A2C" w14:textId="77777777">
        <w:trPr>
          <w:trHeight w:val="327"/>
        </w:trPr>
        <w:tc>
          <w:tcPr>
            <w:tcW w:w="438" w:type="dxa"/>
            <w:tcBorders>
              <w:left w:val="single" w:sz="6" w:space="0" w:color="000000"/>
            </w:tcBorders>
          </w:tcPr>
          <w:p w14:paraId="148F372C" w14:textId="77777777" w:rsidR="0075791A" w:rsidRDefault="00FB2864">
            <w:pPr>
              <w:pStyle w:val="TableText"/>
              <w:spacing w:before="98" w:line="183" w:lineRule="auto"/>
              <w:jc w:val="center"/>
              <w:rPr>
                <w:rFonts w:ascii="Times New Roman" w:hAnsi="Times New Roman"/>
                <w:color w:val="auto"/>
                <w:spacing w:val="-5"/>
                <w:sz w:val="21"/>
                <w:szCs w:val="21"/>
                <w:lang w:eastAsia="zh-CN"/>
              </w:rPr>
            </w:pPr>
            <w:r>
              <w:rPr>
                <w:rFonts w:ascii="Times New Roman" w:hAnsi="Times New Roman" w:hint="eastAsia"/>
                <w:color w:val="auto"/>
                <w:spacing w:val="-5"/>
                <w:sz w:val="21"/>
                <w:szCs w:val="21"/>
                <w:lang w:eastAsia="zh-CN"/>
              </w:rPr>
              <w:t>30</w:t>
            </w:r>
          </w:p>
        </w:tc>
        <w:tc>
          <w:tcPr>
            <w:tcW w:w="685" w:type="dxa"/>
          </w:tcPr>
          <w:p w14:paraId="554458E4" w14:textId="77777777" w:rsidR="0075791A" w:rsidRDefault="00FB2864">
            <w:pPr>
              <w:pStyle w:val="TableText"/>
              <w:spacing w:before="98" w:line="183" w:lineRule="auto"/>
              <w:ind w:left="142"/>
              <w:rPr>
                <w:rFonts w:ascii="Times New Roman" w:hAnsi="Times New Roman"/>
                <w:color w:val="auto"/>
                <w:spacing w:val="-5"/>
                <w:sz w:val="21"/>
                <w:szCs w:val="21"/>
                <w:lang w:eastAsia="zh-CN"/>
              </w:rPr>
            </w:pPr>
            <w:r>
              <w:rPr>
                <w:rFonts w:ascii="Times New Roman" w:hAnsi="Times New Roman"/>
                <w:color w:val="auto"/>
                <w:spacing w:val="-5"/>
                <w:sz w:val="21"/>
                <w:szCs w:val="21"/>
              </w:rPr>
              <w:t>2411</w:t>
            </w:r>
          </w:p>
        </w:tc>
        <w:tc>
          <w:tcPr>
            <w:tcW w:w="1350" w:type="dxa"/>
          </w:tcPr>
          <w:p w14:paraId="3A130EBA" w14:textId="77777777" w:rsidR="0075791A" w:rsidRDefault="00FB2864">
            <w:pPr>
              <w:pStyle w:val="TableText"/>
              <w:spacing w:before="61" w:line="215" w:lineRule="auto"/>
              <w:ind w:left="45"/>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09/0~09/08</w:t>
            </w:r>
          </w:p>
        </w:tc>
        <w:tc>
          <w:tcPr>
            <w:tcW w:w="1049" w:type="dxa"/>
          </w:tcPr>
          <w:p w14:paraId="0828BEA1" w14:textId="77777777" w:rsidR="0075791A" w:rsidRDefault="00FB2864">
            <w:pPr>
              <w:pStyle w:val="TableText"/>
              <w:spacing w:before="61" w:line="215" w:lineRule="auto"/>
              <w:ind w:left="45"/>
              <w:jc w:val="center"/>
              <w:rPr>
                <w:rFonts w:ascii="Times New Roman" w:hAnsi="Times New Roman"/>
                <w:color w:val="auto"/>
                <w:spacing w:val="-1"/>
                <w:sz w:val="21"/>
                <w:szCs w:val="21"/>
              </w:rPr>
            </w:pPr>
            <w:r>
              <w:rPr>
                <w:rFonts w:ascii="Times New Roman" w:hAnsi="Times New Roman"/>
                <w:color w:val="auto"/>
                <w:spacing w:val="-1"/>
                <w:sz w:val="21"/>
                <w:szCs w:val="21"/>
              </w:rPr>
              <w:t>Super TY</w:t>
            </w:r>
          </w:p>
        </w:tc>
        <w:tc>
          <w:tcPr>
            <w:tcW w:w="1069" w:type="dxa"/>
          </w:tcPr>
          <w:p w14:paraId="1E25DDCA" w14:textId="77777777" w:rsidR="0075791A" w:rsidRDefault="00FB2864">
            <w:pPr>
              <w:pStyle w:val="TableText"/>
              <w:spacing w:before="61" w:line="215" w:lineRule="auto"/>
              <w:ind w:left="45"/>
              <w:jc w:val="center"/>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文昌</w:t>
            </w:r>
          </w:p>
        </w:tc>
        <w:tc>
          <w:tcPr>
            <w:tcW w:w="1531" w:type="dxa"/>
          </w:tcPr>
          <w:p w14:paraId="2DBA43CF" w14:textId="77777777" w:rsidR="0075791A" w:rsidRDefault="00FB2864">
            <w:pPr>
              <w:pStyle w:val="TableText"/>
              <w:spacing w:before="61" w:line="215" w:lineRule="auto"/>
              <w:ind w:left="45"/>
              <w:jc w:val="center"/>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09/16 16h</w:t>
            </w:r>
          </w:p>
        </w:tc>
        <w:tc>
          <w:tcPr>
            <w:tcW w:w="1381" w:type="dxa"/>
          </w:tcPr>
          <w:p w14:paraId="5DC8233B" w14:textId="77777777" w:rsidR="0075791A" w:rsidRDefault="00FB2864">
            <w:pPr>
              <w:pStyle w:val="TableText"/>
              <w:spacing w:before="94" w:line="182" w:lineRule="auto"/>
              <w:ind w:left="540"/>
              <w:rPr>
                <w:rFonts w:ascii="Times New Roman" w:hAnsi="Times New Roman"/>
                <w:color w:val="auto"/>
                <w:spacing w:val="-2"/>
                <w:sz w:val="21"/>
                <w:szCs w:val="21"/>
              </w:rPr>
            </w:pPr>
            <w:r>
              <w:rPr>
                <w:rFonts w:ascii="Times New Roman" w:hAnsi="Times New Roman"/>
                <w:color w:val="auto"/>
                <w:spacing w:val="-2"/>
                <w:sz w:val="21"/>
                <w:szCs w:val="21"/>
              </w:rPr>
              <w:t>915</w:t>
            </w:r>
          </w:p>
        </w:tc>
        <w:tc>
          <w:tcPr>
            <w:tcW w:w="1251" w:type="dxa"/>
            <w:tcBorders>
              <w:right w:val="single" w:sz="6" w:space="0" w:color="000000"/>
            </w:tcBorders>
          </w:tcPr>
          <w:p w14:paraId="61FC6FC4" w14:textId="77777777" w:rsidR="0075791A" w:rsidRDefault="00FB2864">
            <w:pPr>
              <w:pStyle w:val="TableText"/>
              <w:spacing w:before="61" w:line="215" w:lineRule="auto"/>
              <w:ind w:left="45"/>
              <w:jc w:val="center"/>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17</w:t>
            </w:r>
          </w:p>
        </w:tc>
      </w:tr>
      <w:tr w:rsidR="0075791A" w14:paraId="36CA6070" w14:textId="77777777">
        <w:trPr>
          <w:trHeight w:val="327"/>
        </w:trPr>
        <w:tc>
          <w:tcPr>
            <w:tcW w:w="438" w:type="dxa"/>
            <w:tcBorders>
              <w:left w:val="single" w:sz="6" w:space="0" w:color="000000"/>
              <w:bottom w:val="single" w:sz="6" w:space="0" w:color="000000"/>
            </w:tcBorders>
          </w:tcPr>
          <w:p w14:paraId="5BB976E6" w14:textId="77777777" w:rsidR="0075791A" w:rsidRDefault="00FB2864">
            <w:pPr>
              <w:pStyle w:val="TableText"/>
              <w:spacing w:before="98" w:line="183" w:lineRule="auto"/>
              <w:jc w:val="center"/>
              <w:rPr>
                <w:rFonts w:ascii="Times New Roman" w:hAnsi="Times New Roman"/>
                <w:color w:val="auto"/>
                <w:spacing w:val="-5"/>
                <w:sz w:val="21"/>
                <w:szCs w:val="21"/>
                <w:lang w:eastAsia="zh-CN"/>
              </w:rPr>
            </w:pPr>
            <w:r>
              <w:rPr>
                <w:rFonts w:ascii="Times New Roman" w:hAnsi="Times New Roman" w:hint="eastAsia"/>
                <w:color w:val="auto"/>
                <w:spacing w:val="-5"/>
                <w:sz w:val="21"/>
                <w:szCs w:val="21"/>
                <w:lang w:eastAsia="zh-CN"/>
              </w:rPr>
              <w:t>31</w:t>
            </w:r>
          </w:p>
        </w:tc>
        <w:tc>
          <w:tcPr>
            <w:tcW w:w="685" w:type="dxa"/>
            <w:tcBorders>
              <w:bottom w:val="single" w:sz="6" w:space="0" w:color="000000"/>
            </w:tcBorders>
          </w:tcPr>
          <w:p w14:paraId="7513493E" w14:textId="77777777" w:rsidR="0075791A" w:rsidRDefault="00FB2864">
            <w:pPr>
              <w:pStyle w:val="TableText"/>
              <w:spacing w:before="98" w:line="183" w:lineRule="auto"/>
              <w:ind w:left="142"/>
              <w:rPr>
                <w:rFonts w:ascii="Times New Roman" w:hAnsi="Times New Roman"/>
                <w:color w:val="auto"/>
                <w:spacing w:val="-5"/>
                <w:sz w:val="21"/>
                <w:szCs w:val="21"/>
                <w:lang w:eastAsia="zh-CN"/>
              </w:rPr>
            </w:pPr>
            <w:r>
              <w:rPr>
                <w:rFonts w:ascii="Times New Roman" w:hAnsi="Times New Roman" w:hint="eastAsia"/>
                <w:color w:val="auto"/>
                <w:spacing w:val="-5"/>
                <w:sz w:val="21"/>
                <w:szCs w:val="21"/>
                <w:lang w:eastAsia="zh-CN"/>
              </w:rPr>
              <w:t>2513</w:t>
            </w:r>
          </w:p>
        </w:tc>
        <w:tc>
          <w:tcPr>
            <w:tcW w:w="1350" w:type="dxa"/>
            <w:tcBorders>
              <w:bottom w:val="single" w:sz="6" w:space="0" w:color="000000"/>
            </w:tcBorders>
          </w:tcPr>
          <w:p w14:paraId="7FEDBABE" w14:textId="77777777" w:rsidR="0075791A" w:rsidRDefault="00FB2864">
            <w:pPr>
              <w:pStyle w:val="TableText"/>
              <w:spacing w:before="61" w:line="215" w:lineRule="auto"/>
              <w:ind w:left="45"/>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08/23~08/26</w:t>
            </w:r>
          </w:p>
        </w:tc>
        <w:tc>
          <w:tcPr>
            <w:tcW w:w="1049" w:type="dxa"/>
            <w:tcBorders>
              <w:bottom w:val="single" w:sz="6" w:space="0" w:color="000000"/>
            </w:tcBorders>
          </w:tcPr>
          <w:p w14:paraId="5E220887" w14:textId="77777777" w:rsidR="0075791A" w:rsidRDefault="00FB2864">
            <w:pPr>
              <w:pStyle w:val="TableText"/>
              <w:spacing w:before="61" w:line="215" w:lineRule="auto"/>
              <w:ind w:left="45"/>
              <w:jc w:val="center"/>
              <w:rPr>
                <w:rFonts w:ascii="Times New Roman" w:hAnsi="Times New Roman"/>
                <w:color w:val="auto"/>
                <w:spacing w:val="-1"/>
                <w:sz w:val="21"/>
                <w:szCs w:val="21"/>
              </w:rPr>
            </w:pPr>
            <w:r>
              <w:rPr>
                <w:rFonts w:ascii="Times New Roman" w:hAnsi="Times New Roman"/>
                <w:color w:val="auto"/>
                <w:spacing w:val="-1"/>
                <w:sz w:val="21"/>
                <w:szCs w:val="21"/>
              </w:rPr>
              <w:t>STY</w:t>
            </w:r>
          </w:p>
        </w:tc>
        <w:tc>
          <w:tcPr>
            <w:tcW w:w="1069" w:type="dxa"/>
            <w:tcBorders>
              <w:bottom w:val="single" w:sz="6" w:space="0" w:color="000000"/>
            </w:tcBorders>
          </w:tcPr>
          <w:p w14:paraId="5AAE0679" w14:textId="77777777" w:rsidR="0075791A" w:rsidRDefault="00FB2864">
            <w:pPr>
              <w:pStyle w:val="TableText"/>
              <w:spacing w:before="61" w:line="215" w:lineRule="auto"/>
              <w:ind w:left="45"/>
              <w:jc w:val="center"/>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越南</w:t>
            </w:r>
          </w:p>
        </w:tc>
        <w:tc>
          <w:tcPr>
            <w:tcW w:w="1531" w:type="dxa"/>
            <w:tcBorders>
              <w:bottom w:val="single" w:sz="6" w:space="0" w:color="000000"/>
            </w:tcBorders>
          </w:tcPr>
          <w:p w14:paraId="613B2B38" w14:textId="77777777" w:rsidR="0075791A" w:rsidRDefault="00FB2864">
            <w:pPr>
              <w:pStyle w:val="TableText"/>
              <w:spacing w:before="61" w:line="215" w:lineRule="auto"/>
              <w:ind w:left="45"/>
              <w:jc w:val="center"/>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08/2519h</w:t>
            </w:r>
          </w:p>
        </w:tc>
        <w:tc>
          <w:tcPr>
            <w:tcW w:w="1381" w:type="dxa"/>
            <w:tcBorders>
              <w:bottom w:val="single" w:sz="6" w:space="0" w:color="000000"/>
            </w:tcBorders>
          </w:tcPr>
          <w:p w14:paraId="35F5E653" w14:textId="77777777" w:rsidR="0075791A" w:rsidRDefault="00FB2864">
            <w:pPr>
              <w:pStyle w:val="TableText"/>
              <w:spacing w:before="94" w:line="182" w:lineRule="auto"/>
              <w:ind w:left="540"/>
              <w:rPr>
                <w:rFonts w:ascii="Times New Roman" w:hAnsi="Times New Roman"/>
                <w:color w:val="auto"/>
                <w:spacing w:val="-2"/>
                <w:sz w:val="21"/>
                <w:szCs w:val="21"/>
              </w:rPr>
            </w:pPr>
            <w:r>
              <w:rPr>
                <w:rFonts w:ascii="Times New Roman" w:hAnsi="Times New Roman"/>
                <w:color w:val="auto"/>
                <w:spacing w:val="-2"/>
                <w:sz w:val="21"/>
                <w:szCs w:val="21"/>
              </w:rPr>
              <w:t>965</w:t>
            </w:r>
          </w:p>
        </w:tc>
        <w:tc>
          <w:tcPr>
            <w:tcW w:w="1251" w:type="dxa"/>
            <w:tcBorders>
              <w:bottom w:val="single" w:sz="6" w:space="0" w:color="000000"/>
              <w:right w:val="single" w:sz="6" w:space="0" w:color="000000"/>
            </w:tcBorders>
          </w:tcPr>
          <w:p w14:paraId="3591D5F8" w14:textId="77777777" w:rsidR="0075791A" w:rsidRDefault="00FB2864">
            <w:pPr>
              <w:pStyle w:val="TableText"/>
              <w:spacing w:before="61" w:line="215" w:lineRule="auto"/>
              <w:ind w:left="45"/>
              <w:jc w:val="center"/>
              <w:rPr>
                <w:rFonts w:ascii="Times New Roman" w:hAnsi="Times New Roman"/>
                <w:color w:val="auto"/>
                <w:spacing w:val="-1"/>
                <w:sz w:val="21"/>
                <w:szCs w:val="21"/>
                <w:lang w:eastAsia="zh-CN"/>
              </w:rPr>
            </w:pPr>
            <w:r>
              <w:rPr>
                <w:rFonts w:ascii="Times New Roman" w:hAnsi="Times New Roman" w:hint="eastAsia"/>
                <w:color w:val="auto"/>
                <w:spacing w:val="-1"/>
                <w:sz w:val="21"/>
                <w:szCs w:val="21"/>
                <w:lang w:eastAsia="zh-CN"/>
              </w:rPr>
              <w:t>13</w:t>
            </w:r>
          </w:p>
        </w:tc>
      </w:tr>
    </w:tbl>
    <w:p w14:paraId="0CE27E42" w14:textId="77777777" w:rsidR="0075791A" w:rsidRDefault="0075791A">
      <w:pPr>
        <w:pStyle w:val="TableText"/>
        <w:spacing w:line="360" w:lineRule="auto"/>
        <w:ind w:firstLineChars="200" w:firstLine="482"/>
        <w:jc w:val="both"/>
        <w:rPr>
          <w:rFonts w:ascii="Times New Roman" w:hAnsi="Times New Roman"/>
          <w:b/>
          <w:bCs/>
          <w:color w:val="auto"/>
          <w:lang w:eastAsia="zh-CN"/>
        </w:rPr>
      </w:pPr>
    </w:p>
    <w:p w14:paraId="68126E16" w14:textId="77777777" w:rsidR="0075791A" w:rsidRDefault="00FB2864">
      <w:pPr>
        <w:pStyle w:val="TableText"/>
        <w:spacing w:line="360" w:lineRule="auto"/>
        <w:ind w:firstLineChars="200" w:firstLine="482"/>
        <w:jc w:val="both"/>
        <w:rPr>
          <w:rFonts w:ascii="Times New Roman" w:hAnsi="Times New Roman"/>
          <w:b/>
          <w:bCs/>
          <w:color w:val="auto"/>
          <w:lang w:eastAsia="zh-CN"/>
        </w:rPr>
      </w:pPr>
      <w:r>
        <w:rPr>
          <w:rFonts w:ascii="Times New Roman" w:hAnsi="Times New Roman" w:hint="eastAsia"/>
          <w:b/>
          <w:bCs/>
          <w:color w:val="auto"/>
          <w:lang w:eastAsia="zh-CN"/>
        </w:rPr>
        <w:t>（</w:t>
      </w:r>
      <w:r>
        <w:rPr>
          <w:rFonts w:ascii="Times New Roman" w:hAnsi="Times New Roman" w:hint="eastAsia"/>
          <w:b/>
          <w:bCs/>
          <w:color w:val="auto"/>
          <w:lang w:eastAsia="zh-CN"/>
        </w:rPr>
        <w:t>4</w:t>
      </w:r>
      <w:r>
        <w:rPr>
          <w:rFonts w:ascii="Times New Roman" w:hAnsi="Times New Roman" w:hint="eastAsia"/>
          <w:b/>
          <w:bCs/>
          <w:color w:val="auto"/>
          <w:lang w:eastAsia="zh-CN"/>
        </w:rPr>
        <w:t>）风暴潮</w:t>
      </w:r>
    </w:p>
    <w:p w14:paraId="2616201B"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三亚海域风暴潮现象主要是由热带气旋影响期间在沿岸引发不同程度的风暴增水造成的。</w:t>
      </w:r>
      <w:r>
        <w:rPr>
          <w:rFonts w:ascii="Times New Roman" w:hAnsi="Times New Roman" w:hint="eastAsia"/>
          <w:color w:val="auto"/>
          <w:lang w:eastAsia="zh-CN"/>
        </w:rPr>
        <w:t>2010</w:t>
      </w:r>
      <w:r>
        <w:rPr>
          <w:rFonts w:ascii="Times New Roman" w:hAnsi="Times New Roman" w:hint="eastAsia"/>
          <w:color w:val="auto"/>
          <w:lang w:eastAsia="zh-CN"/>
        </w:rPr>
        <w:t>－</w:t>
      </w:r>
      <w:r>
        <w:rPr>
          <w:rFonts w:ascii="Times New Roman" w:hAnsi="Times New Roman" w:hint="eastAsia"/>
          <w:color w:val="auto"/>
          <w:lang w:eastAsia="zh-CN"/>
        </w:rPr>
        <w:t>20</w:t>
      </w:r>
      <w:r>
        <w:rPr>
          <w:rFonts w:ascii="Times New Roman" w:hAnsi="Times New Roman" w:hint="eastAsia"/>
          <w:color w:val="auto"/>
          <w:lang w:eastAsia="zh-CN"/>
        </w:rPr>
        <w:t>24</w:t>
      </w:r>
      <w:r>
        <w:rPr>
          <w:rFonts w:ascii="Times New Roman" w:hAnsi="Times New Roman" w:hint="eastAsia"/>
          <w:color w:val="auto"/>
          <w:lang w:eastAsia="zh-CN"/>
        </w:rPr>
        <w:t>年间，三亚海域共出现</w:t>
      </w:r>
      <w:r>
        <w:rPr>
          <w:rFonts w:ascii="Times New Roman" w:hAnsi="Times New Roman" w:hint="eastAsia"/>
          <w:color w:val="auto"/>
          <w:lang w:eastAsia="zh-CN"/>
        </w:rPr>
        <w:t>7</w:t>
      </w:r>
      <w:r>
        <w:rPr>
          <w:rFonts w:ascii="Times New Roman" w:hAnsi="Times New Roman" w:hint="eastAsia"/>
          <w:color w:val="auto"/>
          <w:lang w:eastAsia="zh-CN"/>
        </w:rPr>
        <w:t>次较明显的风暴潮过程，分别为：</w:t>
      </w:r>
      <w:r>
        <w:rPr>
          <w:rFonts w:ascii="Times New Roman" w:hAnsi="Times New Roman" w:hint="eastAsia"/>
          <w:color w:val="auto"/>
          <w:lang w:eastAsia="zh-CN"/>
        </w:rPr>
        <w:t>1108</w:t>
      </w:r>
      <w:r>
        <w:rPr>
          <w:rFonts w:ascii="Times New Roman" w:hAnsi="Times New Roman" w:hint="eastAsia"/>
          <w:color w:val="auto"/>
          <w:lang w:eastAsia="zh-CN"/>
        </w:rPr>
        <w:t>号强热带风暴“洛坦”影响期间，三亚站最高潮位</w:t>
      </w:r>
      <w:r>
        <w:rPr>
          <w:rFonts w:ascii="Times New Roman" w:hAnsi="Times New Roman" w:hint="eastAsia"/>
          <w:color w:val="auto"/>
          <w:lang w:eastAsia="zh-CN"/>
        </w:rPr>
        <w:t>227cm</w:t>
      </w:r>
      <w:r>
        <w:rPr>
          <w:rFonts w:ascii="Times New Roman" w:hAnsi="Times New Roman" w:hint="eastAsia"/>
          <w:color w:val="auto"/>
          <w:lang w:eastAsia="zh-CN"/>
        </w:rPr>
        <w:t>，未超当地警戒潮位；</w:t>
      </w:r>
      <w:r>
        <w:rPr>
          <w:rFonts w:ascii="Times New Roman" w:hAnsi="Times New Roman" w:hint="eastAsia"/>
          <w:color w:val="auto"/>
          <w:lang w:eastAsia="zh-CN"/>
        </w:rPr>
        <w:t>1117</w:t>
      </w:r>
      <w:r>
        <w:rPr>
          <w:rFonts w:ascii="Times New Roman" w:hAnsi="Times New Roman" w:hint="eastAsia"/>
          <w:color w:val="auto"/>
          <w:lang w:eastAsia="zh-CN"/>
        </w:rPr>
        <w:t>号强台风“纳沙”影响期间，三亚验潮站最高潮位</w:t>
      </w:r>
      <w:r>
        <w:rPr>
          <w:rFonts w:ascii="Times New Roman" w:hAnsi="Times New Roman" w:hint="eastAsia"/>
          <w:color w:val="auto"/>
          <w:lang w:eastAsia="zh-CN"/>
        </w:rPr>
        <w:t>256cm</w:t>
      </w:r>
      <w:r>
        <w:rPr>
          <w:rFonts w:ascii="Times New Roman" w:hAnsi="Times New Roman" w:hint="eastAsia"/>
          <w:color w:val="auto"/>
          <w:lang w:eastAsia="zh-CN"/>
        </w:rPr>
        <w:t>，接近当地警戒潮位；</w:t>
      </w:r>
      <w:r>
        <w:rPr>
          <w:rFonts w:ascii="Times New Roman" w:hAnsi="Times New Roman" w:hint="eastAsia"/>
          <w:color w:val="auto"/>
          <w:lang w:eastAsia="zh-CN"/>
        </w:rPr>
        <w:t>1119</w:t>
      </w:r>
      <w:r>
        <w:rPr>
          <w:rFonts w:ascii="Times New Roman" w:hAnsi="Times New Roman" w:hint="eastAsia"/>
          <w:color w:val="auto"/>
          <w:lang w:eastAsia="zh-CN"/>
        </w:rPr>
        <w:t>号强台风“尼格”影响期间，三亚海洋验潮站最高潮位</w:t>
      </w:r>
      <w:r>
        <w:rPr>
          <w:rFonts w:ascii="Times New Roman" w:hAnsi="Times New Roman" w:hint="eastAsia"/>
          <w:color w:val="auto"/>
          <w:lang w:eastAsia="zh-CN"/>
        </w:rPr>
        <w:t>273cm</w:t>
      </w:r>
      <w:r>
        <w:rPr>
          <w:rFonts w:ascii="Times New Roman" w:hAnsi="Times New Roman" w:hint="eastAsia"/>
          <w:color w:val="auto"/>
          <w:lang w:eastAsia="zh-CN"/>
        </w:rPr>
        <w:t>，接近当地警戒潮位；</w:t>
      </w:r>
      <w:r>
        <w:rPr>
          <w:rFonts w:ascii="Times New Roman" w:hAnsi="Times New Roman" w:hint="eastAsia"/>
          <w:color w:val="auto"/>
          <w:lang w:eastAsia="zh-CN"/>
        </w:rPr>
        <w:t>1213</w:t>
      </w:r>
      <w:r>
        <w:rPr>
          <w:rFonts w:ascii="Times New Roman" w:hAnsi="Times New Roman" w:hint="eastAsia"/>
          <w:color w:val="auto"/>
          <w:lang w:eastAsia="zh-CN"/>
        </w:rPr>
        <w:t>号台风“启德”影响期间，三亚湾验潮站最大增水</w:t>
      </w:r>
      <w:r>
        <w:rPr>
          <w:rFonts w:ascii="Times New Roman" w:hAnsi="Times New Roman" w:hint="eastAsia"/>
          <w:color w:val="auto"/>
          <w:lang w:eastAsia="zh-CN"/>
        </w:rPr>
        <w:t>36cm</w:t>
      </w:r>
      <w:r>
        <w:rPr>
          <w:rFonts w:ascii="Times New Roman" w:hAnsi="Times New Roman" w:hint="eastAsia"/>
          <w:color w:val="auto"/>
          <w:lang w:eastAsia="zh-CN"/>
        </w:rPr>
        <w:t>，最高潮位</w:t>
      </w:r>
      <w:r>
        <w:rPr>
          <w:rFonts w:ascii="Times New Roman" w:hAnsi="Times New Roman" w:hint="eastAsia"/>
          <w:color w:val="auto"/>
          <w:lang w:eastAsia="zh-CN"/>
        </w:rPr>
        <w:t>220cm</w:t>
      </w:r>
      <w:r>
        <w:rPr>
          <w:rFonts w:ascii="Times New Roman" w:hAnsi="Times New Roman" w:hint="eastAsia"/>
          <w:color w:val="auto"/>
          <w:lang w:eastAsia="zh-CN"/>
        </w:rPr>
        <w:t>；</w:t>
      </w:r>
      <w:r>
        <w:rPr>
          <w:rFonts w:ascii="Times New Roman" w:hAnsi="Times New Roman" w:hint="eastAsia"/>
          <w:color w:val="auto"/>
          <w:lang w:eastAsia="zh-CN"/>
        </w:rPr>
        <w:t>1719</w:t>
      </w:r>
      <w:r>
        <w:rPr>
          <w:rFonts w:ascii="Times New Roman" w:hAnsi="Times New Roman" w:hint="eastAsia"/>
          <w:color w:val="auto"/>
          <w:lang w:eastAsia="zh-CN"/>
        </w:rPr>
        <w:t>号强台风“杜苏芮”影响期间，三亚验潮站最大增水</w:t>
      </w:r>
      <w:r>
        <w:rPr>
          <w:rFonts w:ascii="Times New Roman" w:hAnsi="Times New Roman" w:hint="eastAsia"/>
          <w:color w:val="auto"/>
          <w:lang w:eastAsia="zh-CN"/>
        </w:rPr>
        <w:t>67cm</w:t>
      </w:r>
      <w:r>
        <w:rPr>
          <w:rFonts w:ascii="Times New Roman" w:hAnsi="Times New Roman" w:hint="eastAsia"/>
          <w:color w:val="auto"/>
          <w:lang w:eastAsia="zh-CN"/>
        </w:rPr>
        <w:t>，最高潮位</w:t>
      </w:r>
      <w:r>
        <w:rPr>
          <w:rFonts w:ascii="Times New Roman" w:hAnsi="Times New Roman" w:hint="eastAsia"/>
          <w:color w:val="auto"/>
          <w:lang w:eastAsia="zh-CN"/>
        </w:rPr>
        <w:t>275cm</w:t>
      </w:r>
      <w:r>
        <w:rPr>
          <w:rFonts w:ascii="Times New Roman" w:hAnsi="Times New Roman" w:hint="eastAsia"/>
          <w:color w:val="auto"/>
          <w:lang w:eastAsia="zh-CN"/>
        </w:rPr>
        <w:t>，超蓝色警戒潮位</w:t>
      </w:r>
      <w:r>
        <w:rPr>
          <w:rFonts w:ascii="Times New Roman" w:hAnsi="Times New Roman" w:hint="eastAsia"/>
          <w:color w:val="auto"/>
          <w:lang w:eastAsia="zh-CN"/>
        </w:rPr>
        <w:t>7cm</w:t>
      </w:r>
      <w:r>
        <w:rPr>
          <w:rFonts w:ascii="Times New Roman" w:hAnsi="Times New Roman" w:hint="eastAsia"/>
          <w:color w:val="auto"/>
          <w:lang w:eastAsia="zh-CN"/>
        </w:rPr>
        <w:t>；</w:t>
      </w:r>
      <w:r>
        <w:rPr>
          <w:rFonts w:ascii="Times New Roman" w:hAnsi="Times New Roman" w:hint="eastAsia"/>
          <w:color w:val="auto"/>
          <w:lang w:eastAsia="zh-CN"/>
        </w:rPr>
        <w:t>1809</w:t>
      </w:r>
      <w:r>
        <w:rPr>
          <w:rFonts w:ascii="Times New Roman" w:hAnsi="Times New Roman" w:hint="eastAsia"/>
          <w:color w:val="auto"/>
          <w:lang w:eastAsia="zh-CN"/>
        </w:rPr>
        <w:t>号热带风暴“山神”影响期间，三亚验潮</w:t>
      </w:r>
      <w:r>
        <w:rPr>
          <w:rFonts w:ascii="Times New Roman" w:hAnsi="Times New Roman" w:hint="eastAsia"/>
          <w:color w:val="auto"/>
          <w:lang w:eastAsia="zh-CN"/>
        </w:rPr>
        <w:t>站最大增水</w:t>
      </w:r>
      <w:r>
        <w:rPr>
          <w:rFonts w:ascii="Times New Roman" w:hAnsi="Times New Roman" w:hint="eastAsia"/>
          <w:color w:val="auto"/>
          <w:lang w:eastAsia="zh-CN"/>
        </w:rPr>
        <w:t>60cm</w:t>
      </w:r>
      <w:r>
        <w:rPr>
          <w:rFonts w:ascii="Times New Roman" w:hAnsi="Times New Roman" w:hint="eastAsia"/>
          <w:color w:val="auto"/>
          <w:lang w:eastAsia="zh-CN"/>
        </w:rPr>
        <w:t>，最高潮位为</w:t>
      </w:r>
      <w:r>
        <w:rPr>
          <w:rFonts w:ascii="Times New Roman" w:hAnsi="Times New Roman" w:hint="eastAsia"/>
          <w:color w:val="auto"/>
          <w:lang w:eastAsia="zh-CN"/>
        </w:rPr>
        <w:lastRenderedPageBreak/>
        <w:t>159cm</w:t>
      </w:r>
      <w:r>
        <w:rPr>
          <w:rFonts w:ascii="Times New Roman" w:hAnsi="Times New Roman" w:hint="eastAsia"/>
          <w:color w:val="auto"/>
          <w:lang w:eastAsia="zh-CN"/>
        </w:rPr>
        <w:t>；</w:t>
      </w:r>
      <w:r>
        <w:rPr>
          <w:rFonts w:ascii="Times New Roman" w:hAnsi="Times New Roman" w:hint="eastAsia"/>
          <w:color w:val="auto"/>
          <w:lang w:eastAsia="zh-CN"/>
        </w:rPr>
        <w:t>2118</w:t>
      </w:r>
      <w:r>
        <w:rPr>
          <w:rFonts w:ascii="Times New Roman" w:hAnsi="Times New Roman" w:hint="eastAsia"/>
          <w:color w:val="auto"/>
          <w:lang w:eastAsia="zh-CN"/>
        </w:rPr>
        <w:t>“圆规”台风风暴潮过程中，东方站、莺歌海站出现了超过当地蓝色警戒潮位的高潮位，最大增水分别为</w:t>
      </w:r>
      <w:r>
        <w:rPr>
          <w:rFonts w:ascii="Times New Roman" w:hAnsi="Times New Roman" w:hint="eastAsia"/>
          <w:color w:val="auto"/>
          <w:lang w:eastAsia="zh-CN"/>
        </w:rPr>
        <w:t>68cm</w:t>
      </w:r>
      <w:r>
        <w:rPr>
          <w:rFonts w:ascii="Times New Roman" w:hAnsi="Times New Roman" w:hint="eastAsia"/>
          <w:color w:val="auto"/>
          <w:lang w:eastAsia="zh-CN"/>
        </w:rPr>
        <w:t>和</w:t>
      </w:r>
      <w:r>
        <w:rPr>
          <w:rFonts w:ascii="Times New Roman" w:hAnsi="Times New Roman" w:hint="eastAsia"/>
          <w:color w:val="auto"/>
          <w:lang w:eastAsia="zh-CN"/>
        </w:rPr>
        <w:t>49cm</w:t>
      </w:r>
      <w:r>
        <w:rPr>
          <w:rFonts w:ascii="Times New Roman" w:hAnsi="Times New Roman" w:hint="eastAsia"/>
          <w:color w:val="auto"/>
          <w:lang w:eastAsia="zh-CN"/>
        </w:rPr>
        <w:t>。</w:t>
      </w:r>
    </w:p>
    <w:p w14:paraId="39DA64AE" w14:textId="77777777" w:rsidR="0075791A" w:rsidRDefault="0075791A">
      <w:pPr>
        <w:pStyle w:val="TableText"/>
        <w:spacing w:line="360" w:lineRule="auto"/>
        <w:ind w:firstLineChars="200" w:firstLine="480"/>
        <w:jc w:val="both"/>
        <w:rPr>
          <w:rFonts w:ascii="Times New Roman" w:hAnsi="Times New Roman"/>
          <w:color w:val="auto"/>
          <w:lang w:eastAsia="zh-CN"/>
        </w:rPr>
      </w:pPr>
    </w:p>
    <w:p w14:paraId="0A553BE2" w14:textId="77777777" w:rsidR="0075791A" w:rsidRDefault="0075791A">
      <w:pPr>
        <w:spacing w:before="236" w:line="353" w:lineRule="auto"/>
        <w:ind w:left="31" w:firstLine="478"/>
        <w:jc w:val="both"/>
        <w:rPr>
          <w:rFonts w:ascii="Times New Roman" w:eastAsia="宋体" w:hAnsi="Times New Roman" w:cs="宋体"/>
          <w:color w:val="auto"/>
          <w:spacing w:val="-5"/>
          <w:sz w:val="24"/>
          <w:szCs w:val="24"/>
          <w:lang w:eastAsia="zh-CN"/>
        </w:rPr>
        <w:sectPr w:rsidR="0075791A">
          <w:footerReference w:type="default" r:id="rId87"/>
          <w:pgSz w:w="11906" w:h="16839"/>
          <w:pgMar w:top="1018" w:right="1405" w:bottom="1134" w:left="1417" w:header="746" w:footer="972" w:gutter="0"/>
          <w:cols w:space="720"/>
        </w:sectPr>
      </w:pPr>
    </w:p>
    <w:p w14:paraId="02E70A52" w14:textId="77777777" w:rsidR="0075791A" w:rsidRDefault="00FB2864">
      <w:pPr>
        <w:spacing w:line="360" w:lineRule="auto"/>
        <w:outlineLvl w:val="0"/>
        <w:rPr>
          <w:rFonts w:ascii="Times New Roman" w:eastAsia="宋体" w:hAnsi="Times New Roman" w:cs="Times New Roman"/>
          <w:b/>
          <w:bCs/>
          <w:color w:val="auto"/>
          <w:spacing w:val="-5"/>
          <w:sz w:val="32"/>
          <w:szCs w:val="32"/>
          <w:lang w:eastAsia="zh-CN"/>
        </w:rPr>
      </w:pPr>
      <w:bookmarkStart w:id="202" w:name="bookmark30"/>
      <w:bookmarkStart w:id="203" w:name="_Toc22369"/>
      <w:bookmarkStart w:id="204" w:name="_Toc22988"/>
      <w:bookmarkStart w:id="205" w:name="_Toc29387"/>
      <w:bookmarkEnd w:id="202"/>
      <w:r>
        <w:rPr>
          <w:rFonts w:ascii="Times New Roman" w:eastAsia="宋体" w:hAnsi="Times New Roman" w:cs="Times New Roman" w:hint="eastAsia"/>
          <w:b/>
          <w:bCs/>
          <w:color w:val="auto"/>
          <w:spacing w:val="-5"/>
          <w:sz w:val="32"/>
          <w:szCs w:val="32"/>
          <w:lang w:eastAsia="zh-CN"/>
        </w:rPr>
        <w:lastRenderedPageBreak/>
        <w:t>4</w:t>
      </w:r>
      <w:r>
        <w:rPr>
          <w:rFonts w:ascii="Times New Roman" w:eastAsia="宋体" w:hAnsi="Times New Roman" w:cs="Times New Roman" w:hint="eastAsia"/>
          <w:b/>
          <w:bCs/>
          <w:color w:val="auto"/>
          <w:spacing w:val="-5"/>
          <w:sz w:val="32"/>
          <w:szCs w:val="32"/>
          <w:lang w:eastAsia="zh-CN"/>
        </w:rPr>
        <w:t>资源生态影响分析</w:t>
      </w:r>
      <w:bookmarkEnd w:id="203"/>
      <w:bookmarkEnd w:id="204"/>
      <w:bookmarkEnd w:id="205"/>
    </w:p>
    <w:p w14:paraId="7483AE9F" w14:textId="77777777" w:rsidR="0075791A" w:rsidRDefault="00FB2864">
      <w:pPr>
        <w:spacing w:line="360" w:lineRule="auto"/>
        <w:outlineLvl w:val="1"/>
        <w:rPr>
          <w:rFonts w:ascii="Times New Roman" w:eastAsia="宋体" w:hAnsi="Times New Roman" w:cs="Times New Roman"/>
          <w:b/>
          <w:bCs/>
          <w:color w:val="auto"/>
          <w:spacing w:val="-6"/>
          <w:sz w:val="30"/>
          <w:szCs w:val="30"/>
          <w:lang w:eastAsia="zh-CN"/>
        </w:rPr>
      </w:pPr>
      <w:bookmarkStart w:id="206" w:name="bookmark32"/>
      <w:bookmarkStart w:id="207" w:name="_Toc18648"/>
      <w:bookmarkStart w:id="208" w:name="_Toc13745"/>
      <w:bookmarkStart w:id="209" w:name="_Toc29099"/>
      <w:bookmarkEnd w:id="206"/>
      <w:r>
        <w:rPr>
          <w:rFonts w:ascii="Times New Roman" w:eastAsia="宋体" w:hAnsi="Times New Roman" w:cs="Times New Roman" w:hint="eastAsia"/>
          <w:b/>
          <w:bCs/>
          <w:color w:val="auto"/>
          <w:spacing w:val="-6"/>
          <w:sz w:val="30"/>
          <w:szCs w:val="30"/>
          <w:lang w:eastAsia="zh-CN"/>
        </w:rPr>
        <w:t>4</w:t>
      </w:r>
      <w:r>
        <w:rPr>
          <w:rFonts w:ascii="Times New Roman" w:eastAsia="Times New Roman" w:hAnsi="Times New Roman" w:cs="Times New Roman"/>
          <w:b/>
          <w:bCs/>
          <w:color w:val="auto"/>
          <w:spacing w:val="-6"/>
          <w:sz w:val="30"/>
          <w:szCs w:val="30"/>
          <w:lang w:eastAsia="zh-CN"/>
        </w:rPr>
        <w:t>.1</w:t>
      </w:r>
      <w:bookmarkEnd w:id="207"/>
      <w:bookmarkEnd w:id="208"/>
      <w:bookmarkEnd w:id="209"/>
      <w:r>
        <w:rPr>
          <w:rFonts w:ascii="Times New Roman" w:eastAsia="宋体" w:hAnsi="Times New Roman" w:cs="Times New Roman" w:hint="eastAsia"/>
          <w:b/>
          <w:bCs/>
          <w:color w:val="auto"/>
          <w:spacing w:val="-6"/>
          <w:sz w:val="30"/>
          <w:szCs w:val="30"/>
          <w:lang w:eastAsia="zh-CN"/>
        </w:rPr>
        <w:t>生态评估</w:t>
      </w:r>
    </w:p>
    <w:p w14:paraId="7ACF0ADD"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本项目论证等级为一级论证，根据《海域使用论证技术导则》（</w:t>
      </w:r>
      <w:r>
        <w:rPr>
          <w:rFonts w:ascii="Times New Roman" w:hAnsi="Times New Roman" w:hint="eastAsia"/>
          <w:color w:val="auto"/>
          <w:lang w:eastAsia="zh-CN"/>
        </w:rPr>
        <w:t>GB/T 42361-2023</w:t>
      </w:r>
      <w:r>
        <w:rPr>
          <w:rFonts w:ascii="Times New Roman" w:hAnsi="Times New Roman" w:hint="eastAsia"/>
          <w:color w:val="auto"/>
          <w:lang w:eastAsia="zh-CN"/>
        </w:rPr>
        <w:t>）的要求，开展本项目的生态评估。</w:t>
      </w:r>
    </w:p>
    <w:p w14:paraId="73E0AFDA"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r>
        <w:rPr>
          <w:rFonts w:ascii="Times New Roman" w:eastAsia="Times New Roman" w:hAnsi="Times New Roman" w:cs="Times New Roman" w:hint="eastAsia"/>
          <w:b/>
          <w:bCs/>
          <w:color w:val="auto"/>
          <w:spacing w:val="-3"/>
          <w:sz w:val="28"/>
          <w:szCs w:val="28"/>
          <w:lang w:eastAsia="zh-CN"/>
        </w:rPr>
        <w:t>4.1.1.资源生态敏感目标及关键预测因子</w:t>
      </w:r>
    </w:p>
    <w:p w14:paraId="0DC729DF" w14:textId="77777777" w:rsidR="0075791A" w:rsidRDefault="00FB2864">
      <w:pPr>
        <w:pStyle w:val="TableText"/>
        <w:spacing w:line="360" w:lineRule="auto"/>
        <w:ind w:firstLineChars="200" w:firstLine="482"/>
        <w:jc w:val="both"/>
        <w:rPr>
          <w:rFonts w:ascii="Times New Roman" w:hAnsi="Times New Roman"/>
          <w:b/>
          <w:bCs/>
          <w:color w:val="auto"/>
          <w:lang w:eastAsia="zh-CN"/>
        </w:rPr>
      </w:pPr>
      <w:r>
        <w:rPr>
          <w:rFonts w:ascii="Times New Roman" w:hAnsi="Times New Roman" w:hint="eastAsia"/>
          <w:b/>
          <w:bCs/>
          <w:color w:val="auto"/>
          <w:lang w:eastAsia="zh-CN"/>
        </w:rPr>
        <w:t>1.</w:t>
      </w:r>
      <w:r>
        <w:rPr>
          <w:rFonts w:ascii="Times New Roman" w:hAnsi="Times New Roman" w:hint="eastAsia"/>
          <w:b/>
          <w:bCs/>
          <w:color w:val="auto"/>
          <w:lang w:eastAsia="zh-CN"/>
        </w:rPr>
        <w:t>生态敏感目标</w:t>
      </w:r>
    </w:p>
    <w:p w14:paraId="2C9E043D"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根据本项目用海基本情况和所在海域资源生态基本特征分析，本项目用海周边主要有自然保护区、生态保护红线资源生态敏感目标，具体分布见表</w:t>
      </w:r>
      <w:r>
        <w:rPr>
          <w:rFonts w:ascii="Times New Roman" w:hAnsi="Times New Roman" w:hint="eastAsia"/>
          <w:color w:val="auto"/>
          <w:lang w:eastAsia="zh-CN"/>
        </w:rPr>
        <w:t xml:space="preserve"> </w:t>
      </w:r>
      <w:r>
        <w:rPr>
          <w:rFonts w:ascii="Times New Roman" w:hAnsi="Times New Roman" w:hint="eastAsia"/>
          <w:color w:val="auto"/>
          <w:lang w:eastAsia="zh-CN"/>
        </w:rPr>
        <w:t>4</w:t>
      </w:r>
      <w:r>
        <w:rPr>
          <w:rFonts w:ascii="Times New Roman" w:hAnsi="Times New Roman" w:hint="eastAsia"/>
          <w:color w:val="auto"/>
          <w:lang w:eastAsia="zh-CN"/>
        </w:rPr>
        <w:t>.1.1-1</w:t>
      </w:r>
      <w:r>
        <w:rPr>
          <w:rFonts w:ascii="Times New Roman" w:hAnsi="Times New Roman" w:hint="eastAsia"/>
          <w:color w:val="auto"/>
          <w:lang w:eastAsia="zh-CN"/>
        </w:rPr>
        <w:t>、图</w:t>
      </w:r>
      <w:r>
        <w:rPr>
          <w:rFonts w:ascii="Times New Roman" w:hAnsi="Times New Roman" w:hint="eastAsia"/>
          <w:color w:val="auto"/>
          <w:lang w:eastAsia="zh-CN"/>
        </w:rPr>
        <w:t>4</w:t>
      </w:r>
      <w:r>
        <w:rPr>
          <w:rFonts w:ascii="Times New Roman" w:hAnsi="Times New Roman" w:hint="eastAsia"/>
          <w:color w:val="auto"/>
          <w:lang w:eastAsia="zh-CN"/>
        </w:rPr>
        <w:t>.1.1-1</w:t>
      </w:r>
      <w:r>
        <w:rPr>
          <w:rFonts w:ascii="Times New Roman" w:hAnsi="Times New Roman" w:hint="eastAsia"/>
          <w:color w:val="auto"/>
          <w:lang w:eastAsia="zh-CN"/>
        </w:rPr>
        <w:t>。</w:t>
      </w:r>
    </w:p>
    <w:p w14:paraId="451562CA" w14:textId="77777777" w:rsidR="0075791A" w:rsidRDefault="00FB2864">
      <w:pPr>
        <w:pStyle w:val="TableText"/>
        <w:jc w:val="center"/>
        <w:rPr>
          <w:rFonts w:ascii="Times New Roman" w:hAnsi="Times New Roman"/>
          <w:color w:val="auto"/>
          <w:spacing w:val="-2"/>
          <w:lang w:eastAsia="zh-CN"/>
        </w:rPr>
      </w:pPr>
      <w:r>
        <w:rPr>
          <w:rFonts w:ascii="Times New Roman" w:hAnsi="Times New Roman" w:hint="eastAsia"/>
          <w:color w:val="auto"/>
          <w:spacing w:val="-2"/>
          <w:lang w:eastAsia="zh-CN"/>
        </w:rPr>
        <w:t>表</w:t>
      </w:r>
      <w:r>
        <w:rPr>
          <w:rFonts w:ascii="Times New Roman" w:hAnsi="Times New Roman" w:hint="eastAsia"/>
          <w:color w:val="auto"/>
          <w:spacing w:val="-2"/>
          <w:lang w:eastAsia="zh-CN"/>
        </w:rPr>
        <w:t>4</w:t>
      </w:r>
      <w:r>
        <w:rPr>
          <w:rFonts w:ascii="Times New Roman" w:hAnsi="Times New Roman" w:hint="eastAsia"/>
          <w:color w:val="auto"/>
          <w:spacing w:val="-2"/>
          <w:lang w:eastAsia="zh-CN"/>
        </w:rPr>
        <w:t>.1.1-1</w:t>
      </w:r>
      <w:r>
        <w:rPr>
          <w:rFonts w:ascii="Times New Roman" w:hAnsi="Times New Roman" w:hint="eastAsia"/>
          <w:color w:val="auto"/>
          <w:spacing w:val="-2"/>
          <w:lang w:eastAsia="zh-CN"/>
        </w:rPr>
        <w:t>项目周边生态敏感目标分布</w:t>
      </w:r>
    </w:p>
    <w:tbl>
      <w:tblPr>
        <w:tblStyle w:val="ad"/>
        <w:tblW w:w="8609" w:type="dxa"/>
        <w:jc w:val="center"/>
        <w:tblLayout w:type="fixed"/>
        <w:tblLook w:val="04A0" w:firstRow="1" w:lastRow="0" w:firstColumn="1" w:lastColumn="0" w:noHBand="0" w:noVBand="1"/>
      </w:tblPr>
      <w:tblGrid>
        <w:gridCol w:w="840"/>
        <w:gridCol w:w="1047"/>
        <w:gridCol w:w="2161"/>
        <w:gridCol w:w="1125"/>
        <w:gridCol w:w="903"/>
        <w:gridCol w:w="2533"/>
      </w:tblGrid>
      <w:tr w:rsidR="0075791A" w14:paraId="1D726805" w14:textId="77777777">
        <w:trPr>
          <w:jc w:val="center"/>
        </w:trPr>
        <w:tc>
          <w:tcPr>
            <w:tcW w:w="840" w:type="dxa"/>
            <w:vAlign w:val="center"/>
          </w:tcPr>
          <w:p w14:paraId="607BB5EC" w14:textId="77777777" w:rsidR="0075791A" w:rsidRDefault="00FB2864">
            <w:pPr>
              <w:keepNext/>
              <w:keepLines/>
              <w:kinsoku/>
              <w:adjustRightInd/>
              <w:snapToGrid/>
              <w:jc w:val="center"/>
              <w:textAlignment w:val="auto"/>
              <w:rPr>
                <w:rFonts w:ascii="Times New Roman" w:eastAsia="宋体" w:hAnsi="Times New Roman" w:cs="Times New Roman"/>
                <w:b/>
                <w:bCs/>
                <w:color w:val="auto"/>
                <w:sz w:val="24"/>
                <w:szCs w:val="24"/>
                <w:lang w:eastAsia="zh-CN"/>
              </w:rPr>
            </w:pPr>
            <w:r>
              <w:rPr>
                <w:rFonts w:ascii="Times New Roman" w:hAnsi="Times New Roman" w:cs="Times New Roman"/>
                <w:b/>
                <w:bCs/>
                <w:color w:val="auto"/>
                <w:sz w:val="24"/>
                <w:szCs w:val="24"/>
                <w:lang w:eastAsia="zh-CN"/>
              </w:rPr>
              <w:t>序号</w:t>
            </w:r>
          </w:p>
        </w:tc>
        <w:tc>
          <w:tcPr>
            <w:tcW w:w="1047" w:type="dxa"/>
            <w:vAlign w:val="center"/>
          </w:tcPr>
          <w:p w14:paraId="04FF1713" w14:textId="77777777" w:rsidR="0075791A" w:rsidRDefault="00FB2864">
            <w:pPr>
              <w:keepNext/>
              <w:keepLines/>
              <w:kinsoku/>
              <w:adjustRightInd/>
              <w:snapToGrid/>
              <w:jc w:val="center"/>
              <w:textAlignment w:val="auto"/>
              <w:rPr>
                <w:rFonts w:ascii="Times New Roman" w:hAnsi="Times New Roman" w:cs="Times New Roman"/>
                <w:b/>
                <w:bCs/>
                <w:color w:val="auto"/>
                <w:sz w:val="24"/>
                <w:szCs w:val="24"/>
                <w:lang w:eastAsia="zh-CN"/>
              </w:rPr>
            </w:pPr>
            <w:r>
              <w:rPr>
                <w:rFonts w:ascii="Times New Roman" w:hAnsi="Times New Roman" w:cs="Times New Roman" w:hint="eastAsia"/>
                <w:b/>
                <w:bCs/>
                <w:color w:val="auto"/>
                <w:sz w:val="24"/>
                <w:szCs w:val="24"/>
                <w:lang w:eastAsia="zh-CN"/>
              </w:rPr>
              <w:t>类型</w:t>
            </w:r>
          </w:p>
        </w:tc>
        <w:tc>
          <w:tcPr>
            <w:tcW w:w="2161" w:type="dxa"/>
            <w:vAlign w:val="center"/>
          </w:tcPr>
          <w:p w14:paraId="4924DC70" w14:textId="77777777" w:rsidR="0075791A" w:rsidRDefault="00FB2864">
            <w:pPr>
              <w:keepNext/>
              <w:keepLines/>
              <w:kinsoku/>
              <w:adjustRightInd/>
              <w:snapToGrid/>
              <w:jc w:val="center"/>
              <w:textAlignment w:val="auto"/>
              <w:rPr>
                <w:rFonts w:ascii="Times New Roman" w:eastAsia="宋体" w:hAnsi="Times New Roman" w:cs="Times New Roman"/>
                <w:b/>
                <w:bCs/>
                <w:color w:val="auto"/>
                <w:sz w:val="24"/>
                <w:szCs w:val="24"/>
                <w:lang w:eastAsia="zh-CN"/>
              </w:rPr>
            </w:pPr>
            <w:r>
              <w:rPr>
                <w:rFonts w:ascii="Times New Roman" w:hAnsi="Times New Roman" w:cs="Times New Roman"/>
                <w:b/>
                <w:bCs/>
                <w:color w:val="auto"/>
                <w:sz w:val="24"/>
                <w:szCs w:val="24"/>
                <w:lang w:eastAsia="zh-CN"/>
              </w:rPr>
              <w:t>名称</w:t>
            </w:r>
          </w:p>
        </w:tc>
        <w:tc>
          <w:tcPr>
            <w:tcW w:w="1125" w:type="dxa"/>
            <w:vAlign w:val="center"/>
          </w:tcPr>
          <w:p w14:paraId="262998CB" w14:textId="77777777" w:rsidR="0075791A" w:rsidRDefault="00FB2864">
            <w:pPr>
              <w:keepNext/>
              <w:keepLines/>
              <w:kinsoku/>
              <w:adjustRightInd/>
              <w:snapToGrid/>
              <w:jc w:val="center"/>
              <w:textAlignment w:val="auto"/>
              <w:rPr>
                <w:rFonts w:ascii="Times New Roman" w:eastAsia="宋体" w:hAnsi="Times New Roman" w:cs="Times New Roman"/>
                <w:b/>
                <w:bCs/>
                <w:color w:val="auto"/>
                <w:sz w:val="24"/>
                <w:szCs w:val="24"/>
                <w:lang w:eastAsia="zh-CN"/>
              </w:rPr>
            </w:pPr>
            <w:r>
              <w:rPr>
                <w:rFonts w:ascii="Times New Roman" w:hAnsi="Times New Roman" w:cs="Times New Roman"/>
                <w:b/>
                <w:bCs/>
                <w:color w:val="auto"/>
                <w:sz w:val="24"/>
                <w:szCs w:val="24"/>
                <w:lang w:eastAsia="zh-CN"/>
              </w:rPr>
              <w:t>方位</w:t>
            </w:r>
          </w:p>
        </w:tc>
        <w:tc>
          <w:tcPr>
            <w:tcW w:w="903" w:type="dxa"/>
            <w:vAlign w:val="center"/>
          </w:tcPr>
          <w:p w14:paraId="24D77100" w14:textId="77777777" w:rsidR="0075791A" w:rsidRDefault="00FB2864">
            <w:pPr>
              <w:keepNext/>
              <w:keepLines/>
              <w:kinsoku/>
              <w:adjustRightInd/>
              <w:snapToGrid/>
              <w:jc w:val="center"/>
              <w:textAlignment w:val="auto"/>
              <w:rPr>
                <w:rFonts w:ascii="Times New Roman" w:eastAsia="宋体" w:hAnsi="Times New Roman" w:cs="Times New Roman"/>
                <w:b/>
                <w:bCs/>
                <w:color w:val="auto"/>
                <w:sz w:val="24"/>
                <w:szCs w:val="24"/>
                <w:lang w:eastAsia="zh-CN"/>
              </w:rPr>
            </w:pPr>
            <w:r>
              <w:rPr>
                <w:rFonts w:ascii="Times New Roman" w:hAnsi="Times New Roman" w:cs="Times New Roman"/>
                <w:b/>
                <w:bCs/>
                <w:color w:val="auto"/>
                <w:sz w:val="24"/>
                <w:szCs w:val="24"/>
                <w:lang w:eastAsia="zh-CN"/>
              </w:rPr>
              <w:t>距离</w:t>
            </w:r>
          </w:p>
        </w:tc>
        <w:tc>
          <w:tcPr>
            <w:tcW w:w="2533" w:type="dxa"/>
            <w:vAlign w:val="center"/>
          </w:tcPr>
          <w:p w14:paraId="7816CAE3" w14:textId="77777777" w:rsidR="0075791A" w:rsidRDefault="00FB2864">
            <w:pPr>
              <w:keepNext/>
              <w:keepLines/>
              <w:kinsoku/>
              <w:adjustRightInd/>
              <w:snapToGrid/>
              <w:jc w:val="center"/>
              <w:textAlignment w:val="auto"/>
              <w:rPr>
                <w:rFonts w:ascii="Times New Roman" w:eastAsia="宋体" w:hAnsi="Times New Roman" w:cs="Times New Roman"/>
                <w:b/>
                <w:bCs/>
                <w:color w:val="auto"/>
                <w:sz w:val="24"/>
                <w:szCs w:val="24"/>
                <w:lang w:eastAsia="zh-CN"/>
              </w:rPr>
            </w:pPr>
            <w:r>
              <w:rPr>
                <w:rFonts w:ascii="Times New Roman" w:hAnsi="Times New Roman" w:cs="Times New Roman" w:hint="eastAsia"/>
                <w:b/>
                <w:bCs/>
                <w:color w:val="auto"/>
                <w:sz w:val="24"/>
                <w:szCs w:val="24"/>
                <w:lang w:eastAsia="zh-CN"/>
              </w:rPr>
              <w:t>敏感要素</w:t>
            </w:r>
          </w:p>
        </w:tc>
      </w:tr>
      <w:tr w:rsidR="0075791A" w14:paraId="0CB04735" w14:textId="77777777">
        <w:trPr>
          <w:jc w:val="center"/>
        </w:trPr>
        <w:tc>
          <w:tcPr>
            <w:tcW w:w="840" w:type="dxa"/>
            <w:vAlign w:val="center"/>
          </w:tcPr>
          <w:p w14:paraId="490D3D8A" w14:textId="77777777" w:rsidR="0075791A" w:rsidRDefault="00FB2864">
            <w:pPr>
              <w:keepNext/>
              <w:keepLines/>
              <w:kinsoku/>
              <w:adjustRightInd/>
              <w:snapToGrid/>
              <w:jc w:val="center"/>
              <w:textAlignment w:val="auto"/>
              <w:rPr>
                <w:rFonts w:ascii="Times New Roman" w:eastAsia="Helvetica" w:hAnsi="Times New Roman" w:cs="Times New Roman"/>
                <w:color w:val="auto"/>
                <w:sz w:val="24"/>
                <w:szCs w:val="24"/>
                <w:shd w:val="clear" w:color="auto" w:fill="FFFFFF"/>
                <w:lang w:eastAsia="zh-CN"/>
              </w:rPr>
            </w:pPr>
            <w:r>
              <w:rPr>
                <w:rFonts w:ascii="Times New Roman" w:eastAsia="Helvetica" w:hAnsi="Times New Roman" w:cs="Times New Roman" w:hint="eastAsia"/>
                <w:color w:val="auto"/>
                <w:sz w:val="24"/>
                <w:szCs w:val="24"/>
                <w:shd w:val="clear" w:color="auto" w:fill="FFFFFF"/>
                <w:lang w:eastAsia="zh-CN"/>
              </w:rPr>
              <w:t>1</w:t>
            </w:r>
          </w:p>
        </w:tc>
        <w:tc>
          <w:tcPr>
            <w:tcW w:w="1047" w:type="dxa"/>
            <w:vMerge w:val="restart"/>
            <w:vAlign w:val="center"/>
          </w:tcPr>
          <w:p w14:paraId="1BFEBA0A" w14:textId="77777777" w:rsidR="0075791A" w:rsidRDefault="00FB2864">
            <w:pPr>
              <w:keepNext/>
              <w:keepLines/>
              <w:kinsoku/>
              <w:adjustRightInd/>
              <w:snapToGrid/>
              <w:jc w:val="center"/>
              <w:textAlignment w:val="auto"/>
              <w:rPr>
                <w:rFonts w:ascii="Times New Roman" w:eastAsia="Helvetica" w:hAnsi="Times New Roman" w:cs="Times New Roman"/>
                <w:color w:val="auto"/>
                <w:sz w:val="24"/>
                <w:szCs w:val="24"/>
                <w:shd w:val="clear" w:color="auto" w:fill="FFFFFF"/>
                <w:lang w:eastAsia="zh-CN"/>
              </w:rPr>
            </w:pPr>
            <w:r>
              <w:rPr>
                <w:rFonts w:ascii="Times New Roman" w:eastAsia="Helvetica" w:hAnsi="Times New Roman" w:cs="Times New Roman" w:hint="eastAsia"/>
                <w:color w:val="auto"/>
                <w:sz w:val="24"/>
                <w:szCs w:val="24"/>
                <w:shd w:val="clear" w:color="auto" w:fill="FFFFFF"/>
                <w:lang w:eastAsia="zh-CN"/>
              </w:rPr>
              <w:t>自然保护区</w:t>
            </w:r>
          </w:p>
        </w:tc>
        <w:tc>
          <w:tcPr>
            <w:tcW w:w="2161" w:type="dxa"/>
            <w:vAlign w:val="center"/>
          </w:tcPr>
          <w:p w14:paraId="1633E27C" w14:textId="77777777" w:rsidR="0075791A" w:rsidRDefault="00FB2864">
            <w:pPr>
              <w:keepNext/>
              <w:keepLines/>
              <w:kinsoku/>
              <w:adjustRightInd/>
              <w:snapToGrid/>
              <w:jc w:val="center"/>
              <w:textAlignment w:val="auto"/>
              <w:rPr>
                <w:rFonts w:ascii="Times New Roman" w:eastAsia="Helvetica" w:hAnsi="Times New Roman" w:cs="Times New Roman"/>
                <w:color w:val="auto"/>
                <w:sz w:val="24"/>
                <w:szCs w:val="24"/>
                <w:shd w:val="clear" w:color="auto" w:fill="FFFFFF"/>
                <w:lang w:eastAsia="zh-CN"/>
              </w:rPr>
            </w:pPr>
            <w:r>
              <w:rPr>
                <w:rFonts w:ascii="宋体" w:eastAsia="宋体" w:hAnsi="宋体" w:cs="宋体"/>
                <w:color w:val="auto"/>
                <w:sz w:val="24"/>
                <w:szCs w:val="24"/>
                <w:lang w:eastAsia="zh-CN"/>
              </w:rPr>
              <w:t>三亚市铁炉港红树林自然保护区</w:t>
            </w:r>
            <w:r>
              <w:rPr>
                <w:rFonts w:ascii="Times New Roman" w:eastAsia="Helvetica" w:hAnsi="Times New Roman" w:cs="Times New Roman"/>
                <w:color w:val="auto"/>
                <w:sz w:val="24"/>
                <w:szCs w:val="24"/>
                <w:shd w:val="clear" w:color="auto" w:fill="FFFFFF"/>
                <w:lang w:eastAsia="zh-CN"/>
              </w:rPr>
              <w:t>核心保护区</w:t>
            </w:r>
          </w:p>
        </w:tc>
        <w:tc>
          <w:tcPr>
            <w:tcW w:w="1125" w:type="dxa"/>
            <w:vAlign w:val="center"/>
          </w:tcPr>
          <w:p w14:paraId="5F846225" w14:textId="77777777" w:rsidR="0075791A" w:rsidRDefault="00FB2864">
            <w:pPr>
              <w:keepNext/>
              <w:keepLines/>
              <w:kinsoku/>
              <w:adjustRightInd/>
              <w:snapToGrid/>
              <w:jc w:val="center"/>
              <w:textAlignment w:val="auto"/>
              <w:rPr>
                <w:rFonts w:ascii="Times New Roman" w:hAnsi="Times New Roman" w:cs="Times New Roman"/>
                <w:b/>
                <w:bCs/>
                <w:color w:val="auto"/>
                <w:sz w:val="24"/>
                <w:szCs w:val="24"/>
                <w:lang w:eastAsia="zh-CN"/>
              </w:rPr>
            </w:pPr>
            <w:r>
              <w:rPr>
                <w:rFonts w:ascii="Times New Roman" w:hAnsi="Times New Roman" w:cs="Times New Roman"/>
                <w:color w:val="auto"/>
                <w:sz w:val="24"/>
                <w:szCs w:val="24"/>
                <w:lang w:eastAsia="zh-CN"/>
              </w:rPr>
              <w:t>项目区内</w:t>
            </w:r>
          </w:p>
        </w:tc>
        <w:tc>
          <w:tcPr>
            <w:tcW w:w="903" w:type="dxa"/>
            <w:vAlign w:val="center"/>
          </w:tcPr>
          <w:p w14:paraId="74B620FF" w14:textId="77777777" w:rsidR="0075791A" w:rsidRDefault="00FB2864">
            <w:pPr>
              <w:keepNext/>
              <w:keepLines/>
              <w:kinsoku/>
              <w:adjustRightInd/>
              <w:snapToGrid/>
              <w:jc w:val="center"/>
              <w:textAlignment w:val="auto"/>
              <w:rPr>
                <w:rFonts w:ascii="Times New Roman" w:hAnsi="Times New Roman" w:cs="Times New Roman"/>
                <w:b/>
                <w:bCs/>
                <w:color w:val="auto"/>
                <w:sz w:val="24"/>
                <w:szCs w:val="24"/>
                <w:lang w:eastAsia="zh-CN"/>
              </w:rPr>
            </w:pPr>
            <w:r>
              <w:rPr>
                <w:rFonts w:ascii="Times New Roman" w:hAnsi="Times New Roman" w:cs="Times New Roman"/>
                <w:color w:val="auto"/>
                <w:sz w:val="24"/>
                <w:szCs w:val="24"/>
                <w:lang w:eastAsia="zh-CN"/>
              </w:rPr>
              <w:t>/</w:t>
            </w:r>
          </w:p>
        </w:tc>
        <w:tc>
          <w:tcPr>
            <w:tcW w:w="2533" w:type="dxa"/>
            <w:vAlign w:val="center"/>
          </w:tcPr>
          <w:p w14:paraId="0A1CC4A3" w14:textId="77777777" w:rsidR="0075791A" w:rsidRDefault="00FB2864">
            <w:pPr>
              <w:keepNext/>
              <w:keepLines/>
              <w:kinsoku/>
              <w:adjustRightInd/>
              <w:snapToGrid/>
              <w:jc w:val="center"/>
              <w:textAlignment w:val="auto"/>
              <w:rPr>
                <w:rFonts w:ascii="Times New Roman" w:hAnsi="Times New Roman" w:cs="Times New Roman"/>
                <w:b/>
                <w:bCs/>
                <w:color w:val="auto"/>
                <w:sz w:val="24"/>
                <w:szCs w:val="24"/>
                <w:lang w:eastAsia="zh-CN"/>
              </w:rPr>
            </w:pPr>
            <w:r>
              <w:rPr>
                <w:rFonts w:ascii="Times New Roman" w:hAnsi="Times New Roman" w:cs="Times New Roman" w:hint="eastAsia"/>
                <w:color w:val="auto"/>
                <w:sz w:val="24"/>
                <w:szCs w:val="24"/>
                <w:lang w:eastAsia="zh-CN"/>
              </w:rPr>
              <w:t>红树林</w:t>
            </w:r>
          </w:p>
        </w:tc>
      </w:tr>
      <w:tr w:rsidR="0075791A" w14:paraId="390428C4" w14:textId="77777777">
        <w:trPr>
          <w:jc w:val="center"/>
        </w:trPr>
        <w:tc>
          <w:tcPr>
            <w:tcW w:w="840" w:type="dxa"/>
            <w:vAlign w:val="center"/>
          </w:tcPr>
          <w:p w14:paraId="61A87340" w14:textId="77777777" w:rsidR="0075791A" w:rsidRDefault="00FB2864">
            <w:pPr>
              <w:keepNext/>
              <w:keepLines/>
              <w:kinsoku/>
              <w:adjustRightInd/>
              <w:snapToGrid/>
              <w:jc w:val="center"/>
              <w:textAlignment w:val="auto"/>
              <w:rPr>
                <w:rFonts w:ascii="Times New Roman" w:eastAsia="Helvetica" w:hAnsi="Times New Roman" w:cs="Times New Roman"/>
                <w:color w:val="auto"/>
                <w:sz w:val="24"/>
                <w:szCs w:val="24"/>
                <w:shd w:val="clear" w:color="auto" w:fill="FFFFFF"/>
                <w:lang w:eastAsia="zh-CN"/>
              </w:rPr>
            </w:pPr>
            <w:r>
              <w:rPr>
                <w:rFonts w:ascii="Times New Roman" w:eastAsia="Helvetica" w:hAnsi="Times New Roman" w:cs="Times New Roman" w:hint="eastAsia"/>
                <w:color w:val="auto"/>
                <w:sz w:val="24"/>
                <w:szCs w:val="24"/>
                <w:shd w:val="clear" w:color="auto" w:fill="FFFFFF"/>
                <w:lang w:eastAsia="zh-CN"/>
              </w:rPr>
              <w:t>2</w:t>
            </w:r>
          </w:p>
        </w:tc>
        <w:tc>
          <w:tcPr>
            <w:tcW w:w="1047" w:type="dxa"/>
            <w:vMerge/>
            <w:vAlign w:val="center"/>
          </w:tcPr>
          <w:p w14:paraId="165A4488" w14:textId="77777777" w:rsidR="0075791A" w:rsidRDefault="0075791A">
            <w:pPr>
              <w:keepNext/>
              <w:keepLines/>
              <w:kinsoku/>
              <w:adjustRightInd/>
              <w:snapToGrid/>
              <w:jc w:val="center"/>
              <w:textAlignment w:val="auto"/>
              <w:rPr>
                <w:rFonts w:ascii="Times New Roman" w:eastAsia="Helvetica" w:hAnsi="Times New Roman" w:cs="Times New Roman"/>
                <w:color w:val="auto"/>
                <w:sz w:val="24"/>
                <w:szCs w:val="24"/>
                <w:shd w:val="clear" w:color="auto" w:fill="FFFFFF"/>
              </w:rPr>
            </w:pPr>
          </w:p>
        </w:tc>
        <w:tc>
          <w:tcPr>
            <w:tcW w:w="2161" w:type="dxa"/>
            <w:vAlign w:val="center"/>
          </w:tcPr>
          <w:p w14:paraId="2003C690" w14:textId="77777777" w:rsidR="0075791A" w:rsidRDefault="00FB2864">
            <w:pPr>
              <w:keepNext/>
              <w:keepLines/>
              <w:kinsoku/>
              <w:adjustRightInd/>
              <w:snapToGrid/>
              <w:jc w:val="center"/>
              <w:textAlignment w:val="auto"/>
              <w:rPr>
                <w:rFonts w:ascii="Times New Roman" w:eastAsia="Helvetica" w:hAnsi="Times New Roman" w:cs="Times New Roman"/>
                <w:color w:val="auto"/>
                <w:sz w:val="24"/>
                <w:szCs w:val="24"/>
                <w:shd w:val="clear" w:color="auto" w:fill="FFFFFF"/>
                <w:lang w:eastAsia="zh-CN"/>
              </w:rPr>
            </w:pPr>
            <w:r>
              <w:rPr>
                <w:rFonts w:ascii="宋体" w:eastAsia="宋体" w:hAnsi="宋体" w:cs="宋体"/>
                <w:color w:val="auto"/>
                <w:sz w:val="24"/>
                <w:szCs w:val="24"/>
                <w:lang w:eastAsia="zh-CN"/>
              </w:rPr>
              <w:t>三亚市铁炉港红树林自然保护区</w:t>
            </w:r>
            <w:r>
              <w:rPr>
                <w:rFonts w:ascii="Times New Roman" w:eastAsia="Helvetica" w:hAnsi="Times New Roman" w:cs="Times New Roman"/>
                <w:color w:val="auto"/>
                <w:sz w:val="24"/>
                <w:szCs w:val="24"/>
                <w:shd w:val="clear" w:color="auto" w:fill="FFFFFF"/>
                <w:lang w:eastAsia="zh-CN"/>
              </w:rPr>
              <w:t>一般控制区</w:t>
            </w:r>
          </w:p>
        </w:tc>
        <w:tc>
          <w:tcPr>
            <w:tcW w:w="1125" w:type="dxa"/>
            <w:vAlign w:val="center"/>
          </w:tcPr>
          <w:p w14:paraId="4BE53BC8" w14:textId="77777777" w:rsidR="0075791A" w:rsidRDefault="00FB2864">
            <w:pPr>
              <w:keepNext/>
              <w:keepLines/>
              <w:kinsoku/>
              <w:adjustRightInd/>
              <w:snapToGrid/>
              <w:jc w:val="center"/>
              <w:textAlignment w:val="auto"/>
              <w:rPr>
                <w:rFonts w:ascii="Times New Roman" w:hAnsi="Times New Roman" w:cs="Times New Roman"/>
                <w:b/>
                <w:bCs/>
                <w:color w:val="auto"/>
                <w:sz w:val="24"/>
                <w:szCs w:val="24"/>
                <w:lang w:eastAsia="zh-CN"/>
              </w:rPr>
            </w:pPr>
            <w:r>
              <w:rPr>
                <w:rFonts w:ascii="Times New Roman" w:hAnsi="Times New Roman" w:cs="Times New Roman"/>
                <w:color w:val="auto"/>
                <w:sz w:val="24"/>
                <w:szCs w:val="24"/>
                <w:lang w:eastAsia="zh-CN"/>
              </w:rPr>
              <w:t>项目</w:t>
            </w:r>
            <w:r>
              <w:rPr>
                <w:rFonts w:ascii="Times New Roman" w:hAnsi="Times New Roman" w:cs="Times New Roman" w:hint="eastAsia"/>
                <w:color w:val="auto"/>
                <w:sz w:val="24"/>
                <w:szCs w:val="24"/>
                <w:lang w:eastAsia="zh-CN"/>
              </w:rPr>
              <w:t>区内</w:t>
            </w:r>
          </w:p>
        </w:tc>
        <w:tc>
          <w:tcPr>
            <w:tcW w:w="903" w:type="dxa"/>
            <w:vAlign w:val="center"/>
          </w:tcPr>
          <w:p w14:paraId="34334DB6" w14:textId="77777777" w:rsidR="0075791A" w:rsidRDefault="00FB2864">
            <w:pPr>
              <w:keepNext/>
              <w:keepLines/>
              <w:kinsoku/>
              <w:adjustRightInd/>
              <w:snapToGrid/>
              <w:jc w:val="center"/>
              <w:textAlignment w:val="auto"/>
              <w:rPr>
                <w:rFonts w:ascii="Times New Roman" w:hAnsi="Times New Roman" w:cs="Times New Roman"/>
                <w:b/>
                <w:bCs/>
                <w:color w:val="auto"/>
                <w:sz w:val="24"/>
                <w:szCs w:val="24"/>
                <w:lang w:eastAsia="zh-CN"/>
              </w:rPr>
            </w:pPr>
            <w:r>
              <w:rPr>
                <w:rFonts w:ascii="Times New Roman" w:hAnsi="Times New Roman" w:cs="Times New Roman"/>
                <w:color w:val="auto"/>
                <w:sz w:val="24"/>
                <w:szCs w:val="24"/>
                <w:lang w:eastAsia="zh-CN"/>
              </w:rPr>
              <w:t>/</w:t>
            </w:r>
          </w:p>
        </w:tc>
        <w:tc>
          <w:tcPr>
            <w:tcW w:w="2533" w:type="dxa"/>
            <w:vAlign w:val="center"/>
          </w:tcPr>
          <w:p w14:paraId="2F3901BB" w14:textId="77777777" w:rsidR="0075791A" w:rsidRDefault="00FB2864">
            <w:pPr>
              <w:keepNext/>
              <w:keepLines/>
              <w:kinsoku/>
              <w:adjustRightInd/>
              <w:snapToGrid/>
              <w:jc w:val="center"/>
              <w:textAlignment w:val="auto"/>
              <w:rPr>
                <w:rFonts w:ascii="Times New Roman" w:hAnsi="Times New Roman" w:cs="Times New Roman"/>
                <w:b/>
                <w:bCs/>
                <w:color w:val="auto"/>
                <w:sz w:val="24"/>
                <w:szCs w:val="24"/>
                <w:lang w:eastAsia="zh-CN"/>
              </w:rPr>
            </w:pPr>
            <w:r>
              <w:rPr>
                <w:rFonts w:ascii="Times New Roman" w:hAnsi="Times New Roman" w:cs="Times New Roman" w:hint="eastAsia"/>
                <w:color w:val="auto"/>
                <w:sz w:val="24"/>
                <w:szCs w:val="24"/>
                <w:lang w:eastAsia="zh-CN"/>
              </w:rPr>
              <w:t>红树林</w:t>
            </w:r>
          </w:p>
        </w:tc>
      </w:tr>
      <w:tr w:rsidR="0075791A" w14:paraId="363EFF20" w14:textId="77777777">
        <w:trPr>
          <w:jc w:val="center"/>
        </w:trPr>
        <w:tc>
          <w:tcPr>
            <w:tcW w:w="840" w:type="dxa"/>
            <w:vAlign w:val="center"/>
          </w:tcPr>
          <w:p w14:paraId="6F9CCC21" w14:textId="77777777" w:rsidR="0075791A" w:rsidRDefault="00FB2864">
            <w:pPr>
              <w:keepNext/>
              <w:keepLines/>
              <w:kinsoku/>
              <w:adjustRightInd/>
              <w:snapToGrid/>
              <w:jc w:val="center"/>
              <w:textAlignment w:val="auto"/>
              <w:rPr>
                <w:rFonts w:ascii="Times New Roman" w:eastAsia="Helvetica" w:hAnsi="Times New Roman" w:cs="Times New Roman"/>
                <w:color w:val="auto"/>
                <w:sz w:val="24"/>
                <w:szCs w:val="24"/>
                <w:shd w:val="clear" w:color="auto" w:fill="FFFFFF"/>
                <w:lang w:eastAsia="zh-CN"/>
              </w:rPr>
            </w:pPr>
            <w:r>
              <w:rPr>
                <w:rFonts w:ascii="Times New Roman" w:eastAsia="Helvetica" w:hAnsi="Times New Roman" w:cs="Times New Roman" w:hint="eastAsia"/>
                <w:color w:val="auto"/>
                <w:sz w:val="24"/>
                <w:szCs w:val="24"/>
                <w:shd w:val="clear" w:color="auto" w:fill="FFFFFF"/>
                <w:lang w:eastAsia="zh-CN"/>
              </w:rPr>
              <w:t>3</w:t>
            </w:r>
          </w:p>
        </w:tc>
        <w:tc>
          <w:tcPr>
            <w:tcW w:w="1047" w:type="dxa"/>
            <w:vMerge w:val="restart"/>
            <w:vAlign w:val="center"/>
          </w:tcPr>
          <w:p w14:paraId="6D500186" w14:textId="77777777" w:rsidR="0075791A" w:rsidRDefault="00FB2864">
            <w:pPr>
              <w:keepNext/>
              <w:keepLines/>
              <w:kinsoku/>
              <w:adjustRightInd/>
              <w:snapToGrid/>
              <w:jc w:val="center"/>
              <w:textAlignment w:val="auto"/>
              <w:rPr>
                <w:rFonts w:ascii="Times New Roman" w:eastAsia="Helvetica" w:hAnsi="Times New Roman" w:cs="Times New Roman"/>
                <w:color w:val="auto"/>
                <w:sz w:val="24"/>
                <w:szCs w:val="24"/>
                <w:shd w:val="clear" w:color="auto" w:fill="FFFFFF"/>
                <w:lang w:eastAsia="zh-CN"/>
              </w:rPr>
            </w:pPr>
            <w:r>
              <w:rPr>
                <w:rFonts w:ascii="Times New Roman" w:eastAsia="Helvetica" w:hAnsi="Times New Roman" w:cs="Times New Roman" w:hint="eastAsia"/>
                <w:color w:val="auto"/>
                <w:sz w:val="24"/>
                <w:szCs w:val="24"/>
                <w:shd w:val="clear" w:color="auto" w:fill="FFFFFF"/>
                <w:lang w:eastAsia="zh-CN"/>
              </w:rPr>
              <w:t>生态保护红线</w:t>
            </w:r>
          </w:p>
        </w:tc>
        <w:tc>
          <w:tcPr>
            <w:tcW w:w="2161" w:type="dxa"/>
            <w:vAlign w:val="center"/>
          </w:tcPr>
          <w:p w14:paraId="3157757B" w14:textId="77777777" w:rsidR="0075791A" w:rsidRDefault="00FB2864">
            <w:pPr>
              <w:keepNext/>
              <w:keepLines/>
              <w:kinsoku/>
              <w:adjustRightInd/>
              <w:snapToGrid/>
              <w:jc w:val="center"/>
              <w:textAlignment w:val="auto"/>
              <w:rPr>
                <w:rFonts w:ascii="Times New Roman" w:eastAsia="Helvetica" w:hAnsi="Times New Roman" w:cs="Times New Roman"/>
                <w:color w:val="auto"/>
                <w:sz w:val="24"/>
                <w:szCs w:val="24"/>
                <w:shd w:val="clear" w:color="auto" w:fill="FFFFFF"/>
                <w:lang w:eastAsia="zh-CN"/>
              </w:rPr>
            </w:pPr>
            <w:r>
              <w:rPr>
                <w:rFonts w:ascii="Times New Roman" w:hAnsi="Times New Roman" w:cs="Times New Roman" w:hint="eastAsia"/>
                <w:color w:val="auto"/>
                <w:sz w:val="24"/>
                <w:szCs w:val="24"/>
                <w:lang w:eastAsia="zh-CN"/>
              </w:rPr>
              <w:t>铁炉港重要滩涂及浅海水域</w:t>
            </w:r>
          </w:p>
        </w:tc>
        <w:tc>
          <w:tcPr>
            <w:tcW w:w="1125" w:type="dxa"/>
            <w:vAlign w:val="center"/>
          </w:tcPr>
          <w:p w14:paraId="0342B6A5" w14:textId="77777777" w:rsidR="0075791A" w:rsidRDefault="00FB2864">
            <w:pPr>
              <w:keepNext/>
              <w:keepLines/>
              <w:kinsoku/>
              <w:adjustRightInd/>
              <w:snapToGrid/>
              <w:jc w:val="center"/>
              <w:textAlignment w:val="auto"/>
              <w:rPr>
                <w:rFonts w:ascii="Times New Roman" w:hAnsi="Times New Roman" w:cs="Times New Roman"/>
                <w:b/>
                <w:bCs/>
                <w:color w:val="auto"/>
                <w:sz w:val="24"/>
                <w:szCs w:val="24"/>
                <w:lang w:eastAsia="zh-CN"/>
              </w:rPr>
            </w:pPr>
            <w:r>
              <w:rPr>
                <w:rFonts w:ascii="Times New Roman" w:hAnsi="Times New Roman" w:cs="Times New Roman"/>
                <w:color w:val="auto"/>
                <w:sz w:val="24"/>
                <w:szCs w:val="24"/>
                <w:lang w:eastAsia="zh-CN"/>
              </w:rPr>
              <w:t>项目区内</w:t>
            </w:r>
          </w:p>
        </w:tc>
        <w:tc>
          <w:tcPr>
            <w:tcW w:w="903" w:type="dxa"/>
            <w:vAlign w:val="center"/>
          </w:tcPr>
          <w:p w14:paraId="31658BF1" w14:textId="77777777" w:rsidR="0075791A" w:rsidRDefault="00FB2864">
            <w:pPr>
              <w:keepNext/>
              <w:keepLines/>
              <w:kinsoku/>
              <w:adjustRightInd/>
              <w:snapToGrid/>
              <w:jc w:val="center"/>
              <w:textAlignment w:val="auto"/>
              <w:rPr>
                <w:rFonts w:ascii="Times New Roman" w:hAnsi="Times New Roman" w:cs="Times New Roman"/>
                <w:b/>
                <w:bCs/>
                <w:color w:val="auto"/>
                <w:sz w:val="24"/>
                <w:szCs w:val="24"/>
                <w:lang w:eastAsia="zh-CN"/>
              </w:rPr>
            </w:pPr>
            <w:r>
              <w:rPr>
                <w:rFonts w:ascii="Times New Roman" w:hAnsi="Times New Roman" w:cs="Times New Roman"/>
                <w:color w:val="auto"/>
                <w:sz w:val="24"/>
                <w:szCs w:val="24"/>
                <w:lang w:eastAsia="zh-CN"/>
              </w:rPr>
              <w:t>/</w:t>
            </w:r>
          </w:p>
        </w:tc>
        <w:tc>
          <w:tcPr>
            <w:tcW w:w="2533" w:type="dxa"/>
            <w:vAlign w:val="center"/>
          </w:tcPr>
          <w:p w14:paraId="1FB678A4" w14:textId="77777777" w:rsidR="0075791A" w:rsidRDefault="00FB2864">
            <w:pPr>
              <w:keepNext/>
              <w:keepLines/>
              <w:kinsoku/>
              <w:adjustRightInd/>
              <w:snapToGrid/>
              <w:jc w:val="center"/>
              <w:textAlignment w:val="auto"/>
              <w:rPr>
                <w:rFonts w:ascii="Times New Roman" w:hAnsi="Times New Roman" w:cs="Times New Roman"/>
                <w:b/>
                <w:bCs/>
                <w:color w:val="auto"/>
                <w:sz w:val="24"/>
                <w:szCs w:val="24"/>
                <w:lang w:eastAsia="zh-CN"/>
              </w:rPr>
            </w:pPr>
            <w:r>
              <w:rPr>
                <w:rFonts w:ascii="Times New Roman" w:eastAsia="Helvetica" w:hAnsi="Times New Roman" w:cs="Times New Roman"/>
                <w:color w:val="auto"/>
                <w:sz w:val="24"/>
                <w:szCs w:val="24"/>
                <w:shd w:val="clear" w:color="auto" w:fill="FFFFFF"/>
                <w:lang w:eastAsia="zh-CN"/>
              </w:rPr>
              <w:t>自然保护地以外区域</w:t>
            </w:r>
            <w:r>
              <w:rPr>
                <w:rFonts w:ascii="Times New Roman" w:eastAsia="宋体" w:hAnsi="Times New Roman" w:cs="Times New Roman" w:hint="eastAsia"/>
                <w:color w:val="auto"/>
                <w:sz w:val="24"/>
                <w:szCs w:val="24"/>
                <w:shd w:val="clear" w:color="auto" w:fill="FFFFFF"/>
                <w:lang w:eastAsia="zh-CN"/>
              </w:rPr>
              <w:t>，</w:t>
            </w:r>
            <w:r>
              <w:rPr>
                <w:rFonts w:ascii="Times New Roman" w:hAnsi="Times New Roman" w:cs="Times New Roman" w:hint="eastAsia"/>
                <w:color w:val="auto"/>
                <w:sz w:val="24"/>
                <w:szCs w:val="24"/>
                <w:lang w:eastAsia="zh-CN"/>
              </w:rPr>
              <w:t>重要滩涂及浅海水域</w:t>
            </w:r>
          </w:p>
        </w:tc>
      </w:tr>
      <w:tr w:rsidR="0075791A" w14:paraId="7722FDA4" w14:textId="77777777">
        <w:trPr>
          <w:trHeight w:val="941"/>
          <w:jc w:val="center"/>
        </w:trPr>
        <w:tc>
          <w:tcPr>
            <w:tcW w:w="840" w:type="dxa"/>
            <w:vAlign w:val="center"/>
          </w:tcPr>
          <w:p w14:paraId="29CE3668" w14:textId="77777777" w:rsidR="0075791A" w:rsidRDefault="00FB2864">
            <w:pPr>
              <w:keepNext/>
              <w:keepLines/>
              <w:kinsoku/>
              <w:adjustRightInd/>
              <w:snapToGrid/>
              <w:jc w:val="center"/>
              <w:textAlignment w:val="auto"/>
              <w:rPr>
                <w:rFonts w:ascii="Times New Roman" w:eastAsia="Helvetica" w:hAnsi="Times New Roman" w:cs="Times New Roman"/>
                <w:color w:val="auto"/>
                <w:sz w:val="24"/>
                <w:szCs w:val="24"/>
                <w:shd w:val="clear" w:color="auto" w:fill="FFFFFF"/>
                <w:lang w:eastAsia="zh-CN"/>
              </w:rPr>
            </w:pPr>
            <w:r>
              <w:rPr>
                <w:rFonts w:ascii="Times New Roman" w:eastAsia="Helvetica" w:hAnsi="Times New Roman" w:cs="Times New Roman" w:hint="eastAsia"/>
                <w:color w:val="auto"/>
                <w:sz w:val="24"/>
                <w:szCs w:val="24"/>
                <w:shd w:val="clear" w:color="auto" w:fill="FFFFFF"/>
                <w:lang w:eastAsia="zh-CN"/>
              </w:rPr>
              <w:t>4</w:t>
            </w:r>
          </w:p>
        </w:tc>
        <w:tc>
          <w:tcPr>
            <w:tcW w:w="1047" w:type="dxa"/>
            <w:vMerge/>
            <w:vAlign w:val="center"/>
          </w:tcPr>
          <w:p w14:paraId="670A0E11" w14:textId="77777777" w:rsidR="0075791A" w:rsidRDefault="0075791A">
            <w:pPr>
              <w:keepNext/>
              <w:keepLines/>
              <w:kinsoku/>
              <w:adjustRightInd/>
              <w:snapToGrid/>
              <w:jc w:val="center"/>
              <w:textAlignment w:val="auto"/>
              <w:rPr>
                <w:rFonts w:ascii="Times New Roman" w:eastAsia="Helvetica" w:hAnsi="Times New Roman" w:cs="Times New Roman"/>
                <w:color w:val="auto"/>
                <w:sz w:val="24"/>
                <w:szCs w:val="24"/>
                <w:shd w:val="clear" w:color="auto" w:fill="FFFFFF"/>
                <w:lang w:eastAsia="zh-CN"/>
              </w:rPr>
            </w:pPr>
          </w:p>
        </w:tc>
        <w:tc>
          <w:tcPr>
            <w:tcW w:w="2161" w:type="dxa"/>
            <w:vAlign w:val="center"/>
          </w:tcPr>
          <w:p w14:paraId="07CA9DA9" w14:textId="77777777" w:rsidR="0075791A" w:rsidRDefault="00FB2864">
            <w:pPr>
              <w:keepNext/>
              <w:keepLines/>
              <w:kinsoku/>
              <w:adjustRightInd/>
              <w:snapToGrid/>
              <w:jc w:val="center"/>
              <w:textAlignment w:val="auto"/>
              <w:rPr>
                <w:rFonts w:ascii="Times New Roman" w:hAnsi="Times New Roman" w:cs="Times New Roman"/>
                <w:color w:val="auto"/>
                <w:sz w:val="24"/>
                <w:szCs w:val="24"/>
                <w:lang w:eastAsia="zh-CN"/>
              </w:rPr>
            </w:pPr>
            <w:r>
              <w:rPr>
                <w:rFonts w:ascii="Times New Roman" w:hAnsi="Times New Roman" w:cs="Times New Roman" w:hint="eastAsia"/>
                <w:color w:val="auto"/>
                <w:sz w:val="24"/>
                <w:szCs w:val="24"/>
                <w:lang w:eastAsia="zh-CN"/>
              </w:rPr>
              <w:t>牛车湾</w:t>
            </w:r>
            <w:r>
              <w:rPr>
                <w:rFonts w:ascii="Times New Roman" w:hAnsi="Times New Roman" w:cs="Times New Roman" w:hint="eastAsia"/>
                <w:color w:val="auto"/>
                <w:sz w:val="24"/>
                <w:szCs w:val="24"/>
                <w:lang w:eastAsia="zh-CN"/>
              </w:rPr>
              <w:t>-</w:t>
            </w:r>
            <w:r>
              <w:rPr>
                <w:rFonts w:ascii="Times New Roman" w:hAnsi="Times New Roman" w:cs="Times New Roman" w:hint="eastAsia"/>
                <w:color w:val="auto"/>
                <w:sz w:val="24"/>
                <w:szCs w:val="24"/>
                <w:lang w:eastAsia="zh-CN"/>
              </w:rPr>
              <w:t>亚龙湾海岸防护物理防护极重要区</w:t>
            </w:r>
          </w:p>
        </w:tc>
        <w:tc>
          <w:tcPr>
            <w:tcW w:w="1125" w:type="dxa"/>
            <w:vAlign w:val="center"/>
          </w:tcPr>
          <w:p w14:paraId="030F1D10" w14:textId="77777777" w:rsidR="0075791A" w:rsidRDefault="00FB2864">
            <w:pPr>
              <w:keepNext/>
              <w:keepLines/>
              <w:kinsoku/>
              <w:adjustRightInd/>
              <w:snapToGrid/>
              <w:jc w:val="center"/>
              <w:textAlignment w:val="auto"/>
              <w:rPr>
                <w:rFonts w:ascii="Times New Roman" w:hAnsi="Times New Roman" w:cs="Times New Roman"/>
                <w:color w:val="auto"/>
                <w:sz w:val="24"/>
                <w:szCs w:val="24"/>
                <w:lang w:eastAsia="zh-CN"/>
              </w:rPr>
            </w:pPr>
            <w:r>
              <w:rPr>
                <w:rFonts w:ascii="Times New Roman" w:hAnsi="Times New Roman" w:cs="Times New Roman" w:hint="eastAsia"/>
                <w:color w:val="auto"/>
                <w:sz w:val="24"/>
                <w:szCs w:val="24"/>
                <w:lang w:eastAsia="zh-CN"/>
              </w:rPr>
              <w:t>东南部</w:t>
            </w:r>
          </w:p>
        </w:tc>
        <w:tc>
          <w:tcPr>
            <w:tcW w:w="903" w:type="dxa"/>
            <w:vAlign w:val="center"/>
          </w:tcPr>
          <w:p w14:paraId="75DA98EB" w14:textId="77777777" w:rsidR="0075791A" w:rsidRDefault="00FB2864">
            <w:pPr>
              <w:keepNext/>
              <w:keepLines/>
              <w:kinsoku/>
              <w:adjustRightInd/>
              <w:snapToGrid/>
              <w:jc w:val="center"/>
              <w:textAlignment w:val="auto"/>
              <w:rPr>
                <w:rFonts w:ascii="Times New Roman" w:hAnsi="Times New Roman" w:cs="Times New Roman"/>
                <w:color w:val="auto"/>
                <w:sz w:val="24"/>
                <w:szCs w:val="24"/>
                <w:lang w:eastAsia="zh-CN"/>
              </w:rPr>
            </w:pPr>
            <w:r>
              <w:rPr>
                <w:rFonts w:ascii="Times New Roman" w:hAnsi="Times New Roman" w:cs="Times New Roman" w:hint="eastAsia"/>
                <w:color w:val="auto"/>
                <w:sz w:val="24"/>
                <w:szCs w:val="24"/>
                <w:lang w:eastAsia="zh-CN"/>
              </w:rPr>
              <w:t>1.9km</w:t>
            </w:r>
          </w:p>
        </w:tc>
        <w:tc>
          <w:tcPr>
            <w:tcW w:w="2533" w:type="dxa"/>
            <w:vAlign w:val="center"/>
          </w:tcPr>
          <w:p w14:paraId="5E2972B9" w14:textId="77777777" w:rsidR="0075791A" w:rsidRDefault="00FB2864">
            <w:pPr>
              <w:keepNext/>
              <w:keepLines/>
              <w:kinsoku/>
              <w:adjustRightInd/>
              <w:snapToGrid/>
              <w:jc w:val="center"/>
              <w:textAlignment w:val="auto"/>
              <w:rPr>
                <w:rFonts w:ascii="Times New Roman" w:eastAsia="Helvetica" w:hAnsi="Times New Roman" w:cs="Times New Roman"/>
                <w:color w:val="auto"/>
                <w:sz w:val="24"/>
                <w:szCs w:val="24"/>
                <w:shd w:val="clear" w:color="auto" w:fill="FFFFFF"/>
                <w:lang w:eastAsia="zh-CN"/>
              </w:rPr>
            </w:pPr>
            <w:r>
              <w:rPr>
                <w:rFonts w:ascii="Times New Roman" w:hAnsi="Times New Roman" w:cs="Times New Roman" w:hint="eastAsia"/>
                <w:color w:val="auto"/>
                <w:sz w:val="24"/>
                <w:szCs w:val="24"/>
                <w:lang w:eastAsia="zh-CN"/>
              </w:rPr>
              <w:t>海岸防护物理防护极重要区</w:t>
            </w:r>
          </w:p>
        </w:tc>
      </w:tr>
      <w:tr w:rsidR="0075791A" w14:paraId="472F9096" w14:textId="77777777">
        <w:trPr>
          <w:trHeight w:val="641"/>
          <w:jc w:val="center"/>
        </w:trPr>
        <w:tc>
          <w:tcPr>
            <w:tcW w:w="840" w:type="dxa"/>
            <w:vAlign w:val="center"/>
          </w:tcPr>
          <w:p w14:paraId="14698600" w14:textId="77777777" w:rsidR="0075791A" w:rsidRDefault="00FB2864">
            <w:pPr>
              <w:keepNext/>
              <w:keepLines/>
              <w:kinsoku/>
              <w:adjustRightInd/>
              <w:snapToGrid/>
              <w:jc w:val="center"/>
              <w:textAlignment w:val="auto"/>
              <w:rPr>
                <w:rFonts w:ascii="Times New Roman" w:eastAsia="Helvetica" w:hAnsi="Times New Roman" w:cs="Times New Roman"/>
                <w:color w:val="auto"/>
                <w:sz w:val="24"/>
                <w:szCs w:val="24"/>
                <w:shd w:val="clear" w:color="auto" w:fill="FFFFFF"/>
                <w:lang w:eastAsia="zh-CN"/>
              </w:rPr>
            </w:pPr>
            <w:r>
              <w:rPr>
                <w:rFonts w:ascii="Times New Roman" w:eastAsia="Helvetica" w:hAnsi="Times New Roman" w:cs="Times New Roman" w:hint="eastAsia"/>
                <w:color w:val="auto"/>
                <w:sz w:val="24"/>
                <w:szCs w:val="24"/>
                <w:shd w:val="clear" w:color="auto" w:fill="FFFFFF"/>
                <w:lang w:eastAsia="zh-CN"/>
              </w:rPr>
              <w:t>5</w:t>
            </w:r>
          </w:p>
        </w:tc>
        <w:tc>
          <w:tcPr>
            <w:tcW w:w="1047" w:type="dxa"/>
            <w:vMerge/>
            <w:vAlign w:val="center"/>
          </w:tcPr>
          <w:p w14:paraId="2F466692" w14:textId="77777777" w:rsidR="0075791A" w:rsidRDefault="0075791A">
            <w:pPr>
              <w:keepNext/>
              <w:keepLines/>
              <w:kinsoku/>
              <w:adjustRightInd/>
              <w:snapToGrid/>
              <w:jc w:val="center"/>
              <w:textAlignment w:val="auto"/>
              <w:rPr>
                <w:rFonts w:ascii="Times New Roman" w:eastAsia="Helvetica" w:hAnsi="Times New Roman" w:cs="Times New Roman"/>
                <w:color w:val="auto"/>
                <w:sz w:val="24"/>
                <w:szCs w:val="24"/>
                <w:shd w:val="clear" w:color="auto" w:fill="FFFFFF"/>
                <w:lang w:eastAsia="zh-CN"/>
              </w:rPr>
            </w:pPr>
          </w:p>
        </w:tc>
        <w:tc>
          <w:tcPr>
            <w:tcW w:w="2161" w:type="dxa"/>
            <w:vAlign w:val="center"/>
          </w:tcPr>
          <w:p w14:paraId="3AD9CE33" w14:textId="77777777" w:rsidR="0075791A" w:rsidRDefault="00FB2864">
            <w:pPr>
              <w:keepNext/>
              <w:keepLines/>
              <w:kinsoku/>
              <w:adjustRightInd/>
              <w:snapToGrid/>
              <w:jc w:val="center"/>
              <w:textAlignment w:val="auto"/>
              <w:rPr>
                <w:rFonts w:ascii="Times New Roman" w:hAnsi="Times New Roman" w:cs="Times New Roman"/>
                <w:color w:val="auto"/>
                <w:sz w:val="24"/>
                <w:szCs w:val="24"/>
                <w:lang w:eastAsia="zh-CN"/>
              </w:rPr>
            </w:pPr>
            <w:r>
              <w:rPr>
                <w:rFonts w:ascii="Times New Roman" w:hAnsi="Times New Roman" w:cs="Times New Roman" w:hint="eastAsia"/>
                <w:color w:val="auto"/>
                <w:sz w:val="24"/>
                <w:szCs w:val="24"/>
                <w:lang w:eastAsia="zh-CN"/>
              </w:rPr>
              <w:t>后海珊瑚礁</w:t>
            </w:r>
          </w:p>
        </w:tc>
        <w:tc>
          <w:tcPr>
            <w:tcW w:w="1125" w:type="dxa"/>
            <w:vAlign w:val="center"/>
          </w:tcPr>
          <w:p w14:paraId="50C8483A" w14:textId="77777777" w:rsidR="0075791A" w:rsidRDefault="00FB2864">
            <w:pPr>
              <w:keepNext/>
              <w:keepLines/>
              <w:kinsoku/>
              <w:adjustRightInd/>
              <w:snapToGrid/>
              <w:jc w:val="center"/>
              <w:textAlignment w:val="auto"/>
              <w:rPr>
                <w:rFonts w:ascii="Times New Roman" w:hAnsi="Times New Roman" w:cs="Times New Roman"/>
                <w:color w:val="auto"/>
                <w:sz w:val="24"/>
                <w:szCs w:val="24"/>
                <w:lang w:eastAsia="zh-CN"/>
              </w:rPr>
            </w:pPr>
            <w:r>
              <w:rPr>
                <w:rFonts w:ascii="Times New Roman" w:hAnsi="Times New Roman" w:cs="Times New Roman" w:hint="eastAsia"/>
                <w:color w:val="auto"/>
                <w:sz w:val="24"/>
                <w:szCs w:val="24"/>
                <w:lang w:eastAsia="zh-CN"/>
              </w:rPr>
              <w:t>东部</w:t>
            </w:r>
          </w:p>
        </w:tc>
        <w:tc>
          <w:tcPr>
            <w:tcW w:w="903" w:type="dxa"/>
            <w:vAlign w:val="center"/>
          </w:tcPr>
          <w:p w14:paraId="2E87C0C6" w14:textId="77777777" w:rsidR="0075791A" w:rsidRDefault="00FB2864">
            <w:pPr>
              <w:keepNext/>
              <w:keepLines/>
              <w:kinsoku/>
              <w:adjustRightInd/>
              <w:snapToGrid/>
              <w:jc w:val="center"/>
              <w:textAlignment w:val="auto"/>
              <w:rPr>
                <w:rFonts w:ascii="Times New Roman" w:hAnsi="Times New Roman" w:cs="Times New Roman"/>
                <w:color w:val="auto"/>
                <w:sz w:val="24"/>
                <w:szCs w:val="24"/>
                <w:lang w:eastAsia="zh-CN"/>
              </w:rPr>
            </w:pPr>
            <w:r>
              <w:rPr>
                <w:rFonts w:ascii="Times New Roman" w:hAnsi="Times New Roman" w:cs="Times New Roman" w:hint="eastAsia"/>
                <w:color w:val="auto"/>
                <w:sz w:val="24"/>
                <w:szCs w:val="24"/>
                <w:lang w:eastAsia="zh-CN"/>
              </w:rPr>
              <w:t>2.1km</w:t>
            </w:r>
          </w:p>
        </w:tc>
        <w:tc>
          <w:tcPr>
            <w:tcW w:w="2533" w:type="dxa"/>
            <w:vAlign w:val="center"/>
          </w:tcPr>
          <w:p w14:paraId="28FB2E65" w14:textId="77777777" w:rsidR="0075791A" w:rsidRDefault="00FB2864">
            <w:pPr>
              <w:keepNext/>
              <w:keepLines/>
              <w:kinsoku/>
              <w:adjustRightInd/>
              <w:snapToGrid/>
              <w:jc w:val="center"/>
              <w:textAlignment w:val="auto"/>
              <w:rPr>
                <w:rFonts w:ascii="Times New Roman" w:eastAsia="宋体" w:hAnsi="Times New Roman" w:cs="Times New Roman"/>
                <w:color w:val="auto"/>
                <w:sz w:val="24"/>
                <w:szCs w:val="24"/>
                <w:shd w:val="clear" w:color="auto" w:fill="FFFFFF"/>
                <w:lang w:eastAsia="zh-CN"/>
              </w:rPr>
            </w:pPr>
            <w:r>
              <w:rPr>
                <w:rFonts w:ascii="Times New Roman" w:eastAsia="宋体" w:hAnsi="Times New Roman" w:cs="Times New Roman" w:hint="eastAsia"/>
                <w:color w:val="auto"/>
                <w:sz w:val="24"/>
                <w:szCs w:val="24"/>
                <w:shd w:val="clear" w:color="auto" w:fill="FFFFFF"/>
                <w:lang w:eastAsia="zh-CN"/>
              </w:rPr>
              <w:t>珊瑚礁</w:t>
            </w:r>
          </w:p>
        </w:tc>
      </w:tr>
    </w:tbl>
    <w:p w14:paraId="06CAB7AB" w14:textId="77777777" w:rsidR="0075791A" w:rsidRDefault="0075791A">
      <w:pPr>
        <w:spacing w:before="248" w:line="467" w:lineRule="auto"/>
        <w:ind w:left="10" w:right="161" w:firstLine="458"/>
        <w:rPr>
          <w:rFonts w:ascii="Times New Roman" w:eastAsia="宋体" w:hAnsi="Times New Roman" w:cs="宋体"/>
          <w:color w:val="auto"/>
          <w:spacing w:val="-12"/>
          <w:sz w:val="24"/>
          <w:szCs w:val="24"/>
        </w:rPr>
      </w:pPr>
    </w:p>
    <w:p w14:paraId="29F4C130" w14:textId="77777777" w:rsidR="0075791A" w:rsidRDefault="0075791A">
      <w:pPr>
        <w:jc w:val="center"/>
        <w:rPr>
          <w:rFonts w:ascii="Times New Roman" w:eastAsia="宋体" w:hAnsi="Times New Roman" w:cs="Times New Roman"/>
          <w:color w:val="auto"/>
          <w:sz w:val="24"/>
          <w:szCs w:val="24"/>
          <w:lang w:eastAsia="zh-CN"/>
        </w:rPr>
      </w:pPr>
    </w:p>
    <w:p w14:paraId="2DA40C68" w14:textId="77777777" w:rsidR="0075791A" w:rsidRDefault="00FB2864">
      <w:pPr>
        <w:spacing w:line="360" w:lineRule="auto"/>
        <w:jc w:val="center"/>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t>图</w:t>
      </w:r>
      <w:r>
        <w:rPr>
          <w:rFonts w:ascii="Times New Roman" w:eastAsia="宋体" w:hAnsi="Times New Roman" w:cs="Times New Roman" w:hint="eastAsia"/>
          <w:color w:val="auto"/>
          <w:sz w:val="24"/>
          <w:szCs w:val="24"/>
          <w:lang w:eastAsia="zh-CN"/>
        </w:rPr>
        <w:t xml:space="preserve">4.1.1-1 </w:t>
      </w:r>
      <w:r>
        <w:rPr>
          <w:rFonts w:ascii="Times New Roman" w:eastAsia="宋体" w:hAnsi="Times New Roman" w:cs="Times New Roman" w:hint="eastAsia"/>
          <w:color w:val="auto"/>
          <w:sz w:val="24"/>
          <w:szCs w:val="24"/>
          <w:lang w:eastAsia="zh-CN"/>
        </w:rPr>
        <w:t>项目周边资源生态敏感目标分布图（生态保护红线）</w:t>
      </w:r>
    </w:p>
    <w:p w14:paraId="097CAD94" w14:textId="77777777" w:rsidR="0075791A" w:rsidRDefault="00FB2864">
      <w:pPr>
        <w:pStyle w:val="TableText"/>
        <w:spacing w:line="360" w:lineRule="auto"/>
        <w:ind w:firstLineChars="200" w:firstLine="482"/>
        <w:jc w:val="both"/>
        <w:rPr>
          <w:rFonts w:ascii="Times New Roman" w:hAnsi="Times New Roman"/>
          <w:b/>
          <w:bCs/>
          <w:color w:val="auto"/>
          <w:lang w:eastAsia="zh-CN"/>
        </w:rPr>
      </w:pPr>
      <w:bookmarkStart w:id="210" w:name="_Toc21205"/>
      <w:r>
        <w:rPr>
          <w:rFonts w:ascii="Times New Roman" w:hAnsi="Times New Roman" w:hint="eastAsia"/>
          <w:b/>
          <w:bCs/>
          <w:color w:val="auto"/>
          <w:lang w:eastAsia="zh-CN"/>
        </w:rPr>
        <w:t>2.</w:t>
      </w:r>
      <w:r>
        <w:rPr>
          <w:rFonts w:ascii="Times New Roman" w:hAnsi="Times New Roman" w:hint="eastAsia"/>
          <w:b/>
          <w:bCs/>
          <w:color w:val="auto"/>
          <w:lang w:eastAsia="zh-CN"/>
        </w:rPr>
        <w:t>重点和关键预测因子</w:t>
      </w:r>
      <w:bookmarkEnd w:id="210"/>
    </w:p>
    <w:p w14:paraId="0F1BB84C"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本项目为湿地保护修复项目，根据项目用海特征以及周边敏感目标分布情况，项</w:t>
      </w:r>
      <w:r>
        <w:rPr>
          <w:rFonts w:ascii="Times New Roman" w:hAnsi="Times New Roman" w:hint="eastAsia"/>
          <w:color w:val="auto"/>
          <w:lang w:eastAsia="zh-CN"/>
        </w:rPr>
        <w:t xml:space="preserve"> </w:t>
      </w:r>
      <w:r>
        <w:rPr>
          <w:rFonts w:ascii="Times New Roman" w:hAnsi="Times New Roman" w:hint="eastAsia"/>
          <w:color w:val="auto"/>
          <w:lang w:eastAsia="zh-CN"/>
        </w:rPr>
        <w:t>目建设对水动力、地形地貌与冲淤以及水质环境方面均有一定影响，确定本项目</w:t>
      </w:r>
      <w:r>
        <w:rPr>
          <w:rFonts w:ascii="Times New Roman" w:hAnsi="Times New Roman" w:hint="eastAsia"/>
          <w:color w:val="auto"/>
          <w:lang w:eastAsia="zh-CN"/>
        </w:rPr>
        <w:t xml:space="preserve"> </w:t>
      </w:r>
      <w:r>
        <w:rPr>
          <w:rFonts w:ascii="Times New Roman" w:hAnsi="Times New Roman" w:hint="eastAsia"/>
          <w:color w:val="auto"/>
          <w:lang w:eastAsia="zh-CN"/>
        </w:rPr>
        <w:t>的重点和关键预测因子如下：</w:t>
      </w:r>
    </w:p>
    <w:p w14:paraId="3579F18F"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w:t>
      </w:r>
      <w:r>
        <w:rPr>
          <w:rFonts w:ascii="Times New Roman" w:hAnsi="Times New Roman"/>
          <w:color w:val="auto"/>
          <w:lang w:eastAsia="zh-CN"/>
        </w:rPr>
        <w:t>1</w:t>
      </w:r>
      <w:r>
        <w:rPr>
          <w:rFonts w:ascii="Times New Roman" w:hAnsi="Times New Roman" w:hint="eastAsia"/>
          <w:color w:val="auto"/>
          <w:lang w:eastAsia="zh-CN"/>
        </w:rPr>
        <w:t>）水动力环境：流速、流向、水动力影响范围；</w:t>
      </w:r>
    </w:p>
    <w:p w14:paraId="2234CC66"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lastRenderedPageBreak/>
        <w:t>（</w:t>
      </w:r>
      <w:r>
        <w:rPr>
          <w:rFonts w:ascii="Times New Roman" w:hAnsi="Times New Roman"/>
          <w:color w:val="auto"/>
          <w:lang w:eastAsia="zh-CN"/>
        </w:rPr>
        <w:t>2</w:t>
      </w:r>
      <w:r>
        <w:rPr>
          <w:rFonts w:ascii="Times New Roman" w:hAnsi="Times New Roman" w:hint="eastAsia"/>
          <w:color w:val="auto"/>
          <w:lang w:eastAsia="zh-CN"/>
        </w:rPr>
        <w:t>）地形地貌与冲淤环境：冲淤变化；</w:t>
      </w:r>
    </w:p>
    <w:p w14:paraId="5E92298A"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w:t>
      </w:r>
      <w:r>
        <w:rPr>
          <w:rFonts w:ascii="Times New Roman" w:hAnsi="Times New Roman"/>
          <w:color w:val="auto"/>
          <w:lang w:eastAsia="zh-CN"/>
        </w:rPr>
        <w:t>3</w:t>
      </w:r>
      <w:r>
        <w:rPr>
          <w:rFonts w:ascii="Times New Roman" w:hAnsi="Times New Roman" w:hint="eastAsia"/>
          <w:color w:val="auto"/>
          <w:lang w:eastAsia="zh-CN"/>
        </w:rPr>
        <w:t>）水质环境：悬沙扩散</w:t>
      </w:r>
      <w:r>
        <w:rPr>
          <w:rFonts w:ascii="Times New Roman" w:hAnsi="Times New Roman" w:hint="eastAsia"/>
          <w:color w:val="auto"/>
          <w:lang w:eastAsia="zh-CN"/>
        </w:rPr>
        <w:t>、水体交换</w:t>
      </w:r>
      <w:r>
        <w:rPr>
          <w:rFonts w:ascii="Times New Roman" w:hAnsi="Times New Roman" w:hint="eastAsia"/>
          <w:color w:val="auto"/>
          <w:lang w:eastAsia="zh-CN"/>
        </w:rPr>
        <w:t>。</w:t>
      </w:r>
    </w:p>
    <w:p w14:paraId="28506DB9"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r>
        <w:rPr>
          <w:rFonts w:ascii="Times New Roman" w:eastAsia="Times New Roman" w:hAnsi="Times New Roman" w:cs="Times New Roman" w:hint="eastAsia"/>
          <w:b/>
          <w:bCs/>
          <w:color w:val="auto"/>
          <w:spacing w:val="-3"/>
          <w:sz w:val="28"/>
          <w:szCs w:val="28"/>
          <w:lang w:eastAsia="zh-CN"/>
        </w:rPr>
        <w:t>4.1.2</w:t>
      </w:r>
      <w:bookmarkStart w:id="211" w:name="_Toc27246"/>
      <w:r>
        <w:rPr>
          <w:rFonts w:ascii="Times New Roman" w:eastAsia="Times New Roman" w:hAnsi="Times New Roman" w:cs="Times New Roman" w:hint="eastAsia"/>
          <w:b/>
          <w:bCs/>
          <w:color w:val="auto"/>
          <w:spacing w:val="-3"/>
          <w:sz w:val="28"/>
          <w:szCs w:val="28"/>
          <w:lang w:eastAsia="zh-CN"/>
        </w:rPr>
        <w:t>用海方案设计工况</w:t>
      </w:r>
      <w:bookmarkEnd w:id="211"/>
    </w:p>
    <w:p w14:paraId="308E1CD6"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本报告中透水构筑物为一二期工程中构筑物因防洪、施工等需要对原设计进行优化调整而新增用海申请，该部分用海平面布置图变化微小，不进行方案比选。</w:t>
      </w:r>
    </w:p>
    <w:p w14:paraId="56F51449"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不同用海方案主要为清淤疏浚区。</w:t>
      </w:r>
    </w:p>
    <w:p w14:paraId="1318067F"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1</w:t>
      </w:r>
      <w:r>
        <w:rPr>
          <w:rFonts w:ascii="Times New Roman" w:hAnsi="Times New Roman" w:hint="eastAsia"/>
          <w:color w:val="auto"/>
          <w:lang w:eastAsia="zh-CN"/>
        </w:rPr>
        <w:t>用海方案一</w:t>
      </w:r>
    </w:p>
    <w:p w14:paraId="1BBDDEAD"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清淤疏浚用海面积</w:t>
      </w:r>
      <w:r>
        <w:rPr>
          <w:rFonts w:ascii="Times New Roman" w:hAnsi="Times New Roman" w:hint="eastAsia"/>
          <w:color w:val="auto"/>
          <w:lang w:eastAsia="zh-CN"/>
        </w:rPr>
        <w:t>14.9408</w:t>
      </w:r>
      <w:r>
        <w:rPr>
          <w:rFonts w:ascii="Times New Roman" w:hAnsi="Times New Roman" w:hint="eastAsia"/>
          <w:color w:val="auto"/>
          <w:lang w:eastAsia="zh-CN"/>
        </w:rPr>
        <w:t>公顷，疏浚量</w:t>
      </w:r>
      <w:r>
        <w:rPr>
          <w:rFonts w:ascii="Times New Roman" w:hAnsi="Times New Roman" w:hint="eastAsia"/>
          <w:color w:val="auto"/>
          <w:lang w:eastAsia="zh-CN"/>
        </w:rPr>
        <w:t>8.3</w:t>
      </w:r>
      <w:r>
        <w:rPr>
          <w:rFonts w:ascii="Times New Roman" w:hAnsi="Times New Roman" w:hint="eastAsia"/>
          <w:color w:val="auto"/>
          <w:lang w:eastAsia="zh-CN"/>
        </w:rPr>
        <w:t>万立方米。</w:t>
      </w:r>
    </w:p>
    <w:p w14:paraId="5E145096" w14:textId="77777777" w:rsidR="0075791A" w:rsidRDefault="00FB2864">
      <w:pPr>
        <w:pStyle w:val="TableText"/>
        <w:spacing w:line="360" w:lineRule="auto"/>
        <w:ind w:firstLineChars="200" w:firstLine="480"/>
        <w:jc w:val="center"/>
        <w:rPr>
          <w:rFonts w:ascii="Times New Roman" w:hAnsi="Times New Roman"/>
          <w:color w:val="auto"/>
          <w:lang w:eastAsia="zh-CN"/>
        </w:rPr>
      </w:pPr>
      <w:r>
        <w:rPr>
          <w:rFonts w:ascii="Times New Roman" w:hAnsi="Times New Roman"/>
          <w:noProof/>
          <w:color w:val="auto"/>
          <w:lang w:eastAsia="zh-CN"/>
        </w:rPr>
        <w:drawing>
          <wp:inline distT="0" distB="0" distL="114300" distR="114300" wp14:anchorId="6B64AC57" wp14:editId="10346657">
            <wp:extent cx="4067810" cy="3583305"/>
            <wp:effectExtent l="0" t="0" r="0" b="0"/>
            <wp:docPr id="191" name="图片 191" descr="三亚铁炉港红树林湿地保护修复项目二期（清淤区1）宗海界址图6_20250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三亚铁炉港红树林湿地保护修复项目二期（清淤区1）宗海界址图6_20250929"/>
                    <pic:cNvPicPr>
                      <a:picLocks noChangeAspect="1"/>
                    </pic:cNvPicPr>
                  </pic:nvPicPr>
                  <pic:blipFill>
                    <a:blip r:embed="rId88"/>
                    <a:srcRect l="1123" t="7132" r="25456" b="1394"/>
                    <a:stretch>
                      <a:fillRect/>
                    </a:stretch>
                  </pic:blipFill>
                  <pic:spPr>
                    <a:xfrm>
                      <a:off x="0" y="0"/>
                      <a:ext cx="4067810" cy="3583305"/>
                    </a:xfrm>
                    <a:prstGeom prst="rect">
                      <a:avLst/>
                    </a:prstGeom>
                    <a:ln>
                      <a:solidFill>
                        <a:schemeClr val="tx1"/>
                      </a:solidFill>
                    </a:ln>
                  </pic:spPr>
                </pic:pic>
              </a:graphicData>
            </a:graphic>
          </wp:inline>
        </w:drawing>
      </w:r>
    </w:p>
    <w:p w14:paraId="4C647E1B" w14:textId="77777777" w:rsidR="0075791A" w:rsidRDefault="00FB2864">
      <w:pPr>
        <w:pStyle w:val="TableText"/>
        <w:spacing w:line="360" w:lineRule="auto"/>
        <w:ind w:firstLineChars="200" w:firstLine="480"/>
        <w:jc w:val="center"/>
        <w:rPr>
          <w:rFonts w:ascii="Times New Roman" w:hAnsi="Times New Roman"/>
          <w:color w:val="auto"/>
          <w:lang w:eastAsia="zh-CN"/>
        </w:rPr>
      </w:pPr>
      <w:r>
        <w:rPr>
          <w:rFonts w:ascii="Times New Roman" w:hAnsi="Times New Roman" w:hint="eastAsia"/>
          <w:color w:val="auto"/>
          <w:lang w:eastAsia="zh-CN"/>
        </w:rPr>
        <w:t>图</w:t>
      </w:r>
      <w:r>
        <w:rPr>
          <w:rFonts w:ascii="Times New Roman" w:hAnsi="Times New Roman" w:hint="eastAsia"/>
          <w:color w:val="auto"/>
          <w:lang w:eastAsia="zh-CN"/>
        </w:rPr>
        <w:t xml:space="preserve">4.1.2-1 </w:t>
      </w:r>
      <w:r>
        <w:rPr>
          <w:rFonts w:ascii="Times New Roman" w:hAnsi="Times New Roman" w:hint="eastAsia"/>
          <w:color w:val="auto"/>
          <w:lang w:eastAsia="zh-CN"/>
        </w:rPr>
        <w:t>清淤疏浚用海方案一</w:t>
      </w:r>
    </w:p>
    <w:p w14:paraId="4646B610"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2.</w:t>
      </w:r>
      <w:r>
        <w:rPr>
          <w:rFonts w:ascii="Times New Roman" w:hAnsi="Times New Roman" w:hint="eastAsia"/>
          <w:color w:val="auto"/>
          <w:lang w:eastAsia="zh-CN"/>
        </w:rPr>
        <w:t>用海方案二</w:t>
      </w:r>
    </w:p>
    <w:p w14:paraId="21C35F01"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清淤疏浚用海面积</w:t>
      </w:r>
      <w:r>
        <w:rPr>
          <w:rFonts w:ascii="Times New Roman" w:hAnsi="Times New Roman" w:hint="eastAsia"/>
          <w:color w:val="auto"/>
          <w:lang w:eastAsia="zh-CN"/>
        </w:rPr>
        <w:t>14.8672</w:t>
      </w:r>
      <w:r>
        <w:rPr>
          <w:rFonts w:ascii="Times New Roman" w:hAnsi="Times New Roman" w:hint="eastAsia"/>
          <w:color w:val="auto"/>
          <w:lang w:eastAsia="zh-CN"/>
        </w:rPr>
        <w:t>公顷，疏浚量</w:t>
      </w:r>
      <w:r>
        <w:rPr>
          <w:rFonts w:ascii="Times New Roman" w:hAnsi="Times New Roman" w:hint="eastAsia"/>
          <w:color w:val="auto"/>
          <w:lang w:eastAsia="zh-CN"/>
        </w:rPr>
        <w:t>8.6</w:t>
      </w:r>
      <w:r>
        <w:rPr>
          <w:rFonts w:ascii="Times New Roman" w:hAnsi="Times New Roman" w:hint="eastAsia"/>
          <w:color w:val="auto"/>
          <w:lang w:eastAsia="zh-CN"/>
        </w:rPr>
        <w:t>万立方米。</w:t>
      </w:r>
    </w:p>
    <w:p w14:paraId="5F205F03" w14:textId="77777777" w:rsidR="0075791A" w:rsidRDefault="00FB2864">
      <w:pPr>
        <w:pStyle w:val="TableText"/>
        <w:spacing w:line="360" w:lineRule="auto"/>
        <w:ind w:firstLineChars="200" w:firstLine="480"/>
        <w:jc w:val="center"/>
        <w:rPr>
          <w:rFonts w:ascii="Times New Roman" w:hAnsi="Times New Roman"/>
          <w:color w:val="auto"/>
          <w:lang w:eastAsia="zh-CN"/>
        </w:rPr>
      </w:pPr>
      <w:r>
        <w:rPr>
          <w:rFonts w:ascii="Times New Roman" w:hAnsi="Times New Roman"/>
          <w:noProof/>
          <w:color w:val="auto"/>
          <w:lang w:eastAsia="zh-CN"/>
        </w:rPr>
        <w:lastRenderedPageBreak/>
        <w:drawing>
          <wp:inline distT="0" distB="0" distL="114300" distR="114300" wp14:anchorId="4546DE43" wp14:editId="4AC99531">
            <wp:extent cx="4070985" cy="3584575"/>
            <wp:effectExtent l="0" t="0" r="0" b="0"/>
            <wp:docPr id="192" name="图片 192" descr="三亚铁炉港清淤区1宗海界址图6_2026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三亚铁炉港清淤区1宗海界址图6_20260410"/>
                    <pic:cNvPicPr>
                      <a:picLocks noChangeAspect="1"/>
                    </pic:cNvPicPr>
                  </pic:nvPicPr>
                  <pic:blipFill>
                    <a:blip r:embed="rId89"/>
                    <a:srcRect l="940" t="7051" r="25582" b="1443"/>
                    <a:stretch>
                      <a:fillRect/>
                    </a:stretch>
                  </pic:blipFill>
                  <pic:spPr>
                    <a:xfrm>
                      <a:off x="0" y="0"/>
                      <a:ext cx="4070985" cy="3584575"/>
                    </a:xfrm>
                    <a:prstGeom prst="rect">
                      <a:avLst/>
                    </a:prstGeom>
                    <a:ln>
                      <a:solidFill>
                        <a:schemeClr val="tx1"/>
                      </a:solidFill>
                    </a:ln>
                  </pic:spPr>
                </pic:pic>
              </a:graphicData>
            </a:graphic>
          </wp:inline>
        </w:drawing>
      </w:r>
    </w:p>
    <w:p w14:paraId="77E9D206" w14:textId="77777777" w:rsidR="0075791A" w:rsidRDefault="00FB2864">
      <w:pPr>
        <w:pStyle w:val="TableText"/>
        <w:spacing w:line="360" w:lineRule="auto"/>
        <w:ind w:firstLineChars="200" w:firstLine="480"/>
        <w:jc w:val="center"/>
        <w:rPr>
          <w:rFonts w:ascii="Times New Roman" w:hAnsi="Times New Roman"/>
          <w:color w:val="auto"/>
          <w:lang w:eastAsia="zh-CN"/>
        </w:rPr>
      </w:pPr>
      <w:r>
        <w:rPr>
          <w:rFonts w:ascii="Times New Roman" w:hAnsi="Times New Roman" w:hint="eastAsia"/>
          <w:color w:val="auto"/>
          <w:lang w:eastAsia="zh-CN"/>
        </w:rPr>
        <w:t>图</w:t>
      </w:r>
      <w:r>
        <w:rPr>
          <w:rFonts w:ascii="Times New Roman" w:hAnsi="Times New Roman" w:hint="eastAsia"/>
          <w:color w:val="auto"/>
          <w:lang w:eastAsia="zh-CN"/>
        </w:rPr>
        <w:t xml:space="preserve">4.1.2-2 </w:t>
      </w:r>
      <w:r>
        <w:rPr>
          <w:rFonts w:ascii="Times New Roman" w:hAnsi="Times New Roman" w:hint="eastAsia"/>
          <w:color w:val="auto"/>
          <w:lang w:eastAsia="zh-CN"/>
        </w:rPr>
        <w:t>清淤疏浚用海方案二</w:t>
      </w:r>
    </w:p>
    <w:p w14:paraId="602B2B83"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3.</w:t>
      </w:r>
      <w:r>
        <w:rPr>
          <w:rFonts w:ascii="Times New Roman" w:hAnsi="Times New Roman" w:hint="eastAsia"/>
          <w:color w:val="auto"/>
          <w:lang w:eastAsia="zh-CN"/>
        </w:rPr>
        <w:t>方案比选</w:t>
      </w:r>
    </w:p>
    <w:p w14:paraId="733119D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清淤疏浚区方案一、二均选址于海中海北部浅滩，主要由于该区域铁炉港潮汐通道狭窄，潮流方向变化较大，使得该区域</w:t>
      </w:r>
      <w:r>
        <w:rPr>
          <w:rFonts w:ascii="Times New Roman" w:eastAsia="宋体" w:hAnsi="Times New Roman" w:cs="宋体" w:hint="eastAsia"/>
          <w:color w:val="auto"/>
          <w:spacing w:val="-2"/>
          <w:sz w:val="24"/>
          <w:szCs w:val="24"/>
          <w:lang w:eastAsia="zh-CN"/>
        </w:rPr>
        <w:t>水动力相对较弱，区域浅滩不断发育，南侧水域淤积较严重，导致潮汐通道内水流不畅，降低了潟湖水体与外海水体的交换能力，选址具有唯一性。</w:t>
      </w:r>
    </w:p>
    <w:p w14:paraId="3DB8C0AB" w14:textId="77777777" w:rsidR="0075791A" w:rsidRDefault="00FB2864">
      <w:pPr>
        <w:pStyle w:val="TableText"/>
        <w:spacing w:line="360" w:lineRule="auto"/>
        <w:ind w:firstLineChars="200" w:firstLine="476"/>
        <w:jc w:val="both"/>
        <w:rPr>
          <w:rFonts w:ascii="Times New Roman" w:hAnsi="Times New Roman" w:cs="Times New Roman"/>
          <w:snapToGrid/>
          <w:color w:val="auto"/>
          <w:kern w:val="2"/>
          <w:lang w:eastAsia="zh-CN"/>
        </w:rPr>
      </w:pPr>
      <w:r>
        <w:rPr>
          <w:rFonts w:ascii="Times New Roman" w:hAnsi="Times New Roman" w:hint="eastAsia"/>
          <w:color w:val="auto"/>
          <w:spacing w:val="-2"/>
          <w:lang w:eastAsia="zh-CN"/>
        </w:rPr>
        <w:t>2</w:t>
      </w:r>
      <w:r>
        <w:rPr>
          <w:rFonts w:ascii="Times New Roman" w:hAnsi="Times New Roman" w:hint="eastAsia"/>
          <w:color w:val="auto"/>
          <w:spacing w:val="-2"/>
          <w:lang w:eastAsia="zh-CN"/>
        </w:rPr>
        <w:t>方案二较方案一疏浚区域无明显变化，仅面积略有减小</w:t>
      </w:r>
      <w:r>
        <w:rPr>
          <w:rFonts w:ascii="Times New Roman" w:hAnsi="Times New Roman" w:cs="Times New Roman" w:hint="eastAsia"/>
          <w:snapToGrid/>
          <w:color w:val="auto"/>
          <w:kern w:val="2"/>
          <w:lang w:eastAsia="zh-CN"/>
        </w:rPr>
        <w:t>，因此，项目规模减小对项目海域水动力基本无影响。</w:t>
      </w:r>
    </w:p>
    <w:p w14:paraId="73C43443" w14:textId="77777777" w:rsidR="0075791A" w:rsidRDefault="00FB2864">
      <w:pPr>
        <w:pStyle w:val="TableText"/>
        <w:spacing w:line="360" w:lineRule="auto"/>
        <w:ind w:firstLineChars="200" w:firstLine="480"/>
        <w:jc w:val="both"/>
        <w:rPr>
          <w:rFonts w:ascii="Times New Roman" w:hAnsi="Times New Roman" w:cs="Times New Roman"/>
          <w:snapToGrid/>
          <w:color w:val="auto"/>
          <w:kern w:val="2"/>
          <w:lang w:eastAsia="zh-CN"/>
        </w:rPr>
      </w:pPr>
      <w:r>
        <w:rPr>
          <w:rFonts w:ascii="Times New Roman" w:hAnsi="Times New Roman" w:cs="Times New Roman" w:hint="eastAsia"/>
          <w:snapToGrid/>
          <w:color w:val="auto"/>
          <w:kern w:val="2"/>
          <w:lang w:eastAsia="zh-CN"/>
        </w:rPr>
        <w:t>因此，方案二</w:t>
      </w:r>
      <w:r>
        <w:rPr>
          <w:rFonts w:ascii="Times New Roman" w:hAnsi="Times New Roman" w:cs="Times New Roman" w:hint="eastAsia"/>
          <w:snapToGrid/>
          <w:color w:val="auto"/>
          <w:kern w:val="2"/>
          <w:lang w:eastAsia="zh-CN"/>
        </w:rPr>
        <w:t>用海资源少于方案一，</w:t>
      </w:r>
      <w:r>
        <w:rPr>
          <w:rFonts w:ascii="Times New Roman" w:hAnsi="Times New Roman" w:cs="Times New Roman" w:hint="eastAsia"/>
          <w:snapToGrid/>
          <w:color w:val="auto"/>
          <w:kern w:val="2"/>
          <w:lang w:eastAsia="zh-CN"/>
        </w:rPr>
        <w:t>推荐用海方案二。</w:t>
      </w:r>
    </w:p>
    <w:p w14:paraId="4915EDDE"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hAnsi="Times New Roman" w:cs="Times New Roman" w:hint="eastAsia"/>
          <w:snapToGrid/>
          <w:color w:val="auto"/>
          <w:kern w:val="2"/>
          <w:sz w:val="24"/>
          <w:szCs w:val="24"/>
          <w:lang w:eastAsia="zh-CN"/>
        </w:rPr>
        <w:t>本项目建设对水动力、冲淤环境、纳潮量、水交换能力影响预测分</w:t>
      </w:r>
      <w:r>
        <w:rPr>
          <w:rFonts w:ascii="Times New Roman" w:eastAsia="宋体" w:hAnsi="Times New Roman" w:cs="Times New Roman" w:hint="eastAsia"/>
          <w:snapToGrid/>
          <w:color w:val="auto"/>
          <w:kern w:val="2"/>
          <w:sz w:val="24"/>
          <w:szCs w:val="24"/>
          <w:lang w:eastAsia="zh-CN"/>
        </w:rPr>
        <w:t>析采用</w:t>
      </w:r>
      <w:r>
        <w:rPr>
          <w:rFonts w:ascii="Times New Roman" w:eastAsia="宋体" w:hAnsi="Times New Roman" w:cs="Times New Roman" w:hint="eastAsia"/>
          <w:snapToGrid/>
          <w:color w:val="auto"/>
          <w:kern w:val="2"/>
          <w:sz w:val="24"/>
          <w:szCs w:val="24"/>
          <w:lang w:eastAsia="zh-CN"/>
        </w:rPr>
        <w:t>主要采用海南大学编制的铁炉港红树林湿地保护修复项目清淤疏浚活动数值模拟成果。</w:t>
      </w:r>
    </w:p>
    <w:p w14:paraId="69533D7B" w14:textId="77777777" w:rsidR="0075791A" w:rsidRDefault="00FB2864">
      <w:pPr>
        <w:spacing w:line="360" w:lineRule="auto"/>
        <w:outlineLvl w:val="2"/>
        <w:rPr>
          <w:rFonts w:ascii="Times New Roman" w:eastAsia="宋体" w:hAnsi="Times New Roman" w:cs="Times New Roman"/>
          <w:snapToGrid/>
          <w:color w:val="auto"/>
          <w:kern w:val="2"/>
          <w:sz w:val="24"/>
          <w:szCs w:val="24"/>
          <w:lang w:eastAsia="zh-CN"/>
        </w:rPr>
      </w:pPr>
      <w:bookmarkStart w:id="212" w:name="_Toc31580"/>
      <w:r>
        <w:rPr>
          <w:rFonts w:ascii="Times New Roman" w:eastAsia="Times New Roman" w:hAnsi="Times New Roman" w:cs="Times New Roman" w:hint="eastAsia"/>
          <w:b/>
          <w:bCs/>
          <w:color w:val="auto"/>
          <w:spacing w:val="-3"/>
          <w:sz w:val="28"/>
          <w:szCs w:val="28"/>
          <w:lang w:eastAsia="zh-CN"/>
        </w:rPr>
        <w:t>4</w:t>
      </w:r>
      <w:r>
        <w:rPr>
          <w:rFonts w:ascii="Times New Roman" w:eastAsia="Times New Roman" w:hAnsi="Times New Roman" w:cs="Times New Roman"/>
          <w:b/>
          <w:bCs/>
          <w:color w:val="auto"/>
          <w:spacing w:val="-3"/>
          <w:sz w:val="28"/>
          <w:szCs w:val="28"/>
          <w:lang w:eastAsia="zh-CN"/>
        </w:rPr>
        <w:t>.1.</w:t>
      </w:r>
      <w:r>
        <w:rPr>
          <w:rFonts w:ascii="Times New Roman" w:eastAsia="Times New Roman" w:hAnsi="Times New Roman" w:cs="Times New Roman" w:hint="eastAsia"/>
          <w:b/>
          <w:bCs/>
          <w:color w:val="auto"/>
          <w:spacing w:val="-3"/>
          <w:sz w:val="28"/>
          <w:szCs w:val="28"/>
          <w:lang w:eastAsia="zh-CN"/>
        </w:rPr>
        <w:t>3水动力影响预测分析</w:t>
      </w:r>
      <w:bookmarkEnd w:id="212"/>
    </w:p>
    <w:p w14:paraId="396A7DBD" w14:textId="77777777" w:rsidR="0075791A" w:rsidRDefault="00FB2864">
      <w:pPr>
        <w:spacing w:line="460" w:lineRule="exact"/>
        <w:ind w:firstLine="480"/>
        <w:rPr>
          <w:rFonts w:ascii="宋体" w:hAnsi="宋体"/>
          <w:color w:val="auto"/>
          <w:sz w:val="24"/>
          <w:lang w:eastAsia="zh-CN"/>
        </w:rPr>
      </w:pPr>
      <w:r>
        <w:rPr>
          <w:rFonts w:ascii="宋体" w:hAnsi="宋体" w:hint="eastAsia"/>
          <w:color w:val="auto"/>
          <w:sz w:val="24"/>
          <w:lang w:eastAsia="zh-CN"/>
        </w:rPr>
        <w:t>现根据《水运工程模拟试验技术规范》（</w:t>
      </w:r>
      <w:r>
        <w:rPr>
          <w:rFonts w:ascii="宋体" w:hAnsi="宋体" w:hint="eastAsia"/>
          <w:color w:val="auto"/>
          <w:sz w:val="24"/>
          <w:lang w:eastAsia="zh-CN"/>
        </w:rPr>
        <w:t>JTS/T231-2021</w:t>
      </w:r>
      <w:r>
        <w:rPr>
          <w:rFonts w:ascii="宋体" w:hAnsi="宋体" w:hint="eastAsia"/>
          <w:color w:val="auto"/>
          <w:sz w:val="24"/>
          <w:lang w:eastAsia="zh-CN"/>
        </w:rPr>
        <w:t>）的要求，建立项目工程附近海域的</w:t>
      </w:r>
      <w:r>
        <w:rPr>
          <w:rFonts w:ascii="宋体" w:eastAsia="宋体" w:hAnsi="宋体" w:hint="eastAsia"/>
          <w:color w:val="auto"/>
          <w:sz w:val="24"/>
          <w:lang w:eastAsia="zh-CN"/>
        </w:rPr>
        <w:t>二维</w:t>
      </w:r>
      <w:r>
        <w:rPr>
          <w:rFonts w:ascii="宋体" w:hAnsi="宋体" w:hint="eastAsia"/>
          <w:color w:val="auto"/>
          <w:sz w:val="24"/>
          <w:lang w:eastAsia="zh-CN"/>
        </w:rPr>
        <w:t>潮流数值模型，以预测本项目工程对海洋水动力环境的影响。</w:t>
      </w:r>
    </w:p>
    <w:p w14:paraId="45667E45" w14:textId="77777777" w:rsidR="0075791A" w:rsidRDefault="00FB2864">
      <w:pPr>
        <w:spacing w:before="34" w:line="360" w:lineRule="auto"/>
        <w:ind w:left="5"/>
        <w:outlineLvl w:val="3"/>
        <w:rPr>
          <w:rFonts w:ascii="Times New Roman" w:eastAsia="宋体" w:hAnsi="Times New Roman"/>
          <w:b/>
          <w:color w:val="auto"/>
          <w:sz w:val="24"/>
          <w:szCs w:val="24"/>
          <w:lang w:eastAsia="zh-CN"/>
        </w:rPr>
      </w:pPr>
      <w:bookmarkStart w:id="213" w:name="_Toc97882948"/>
      <w:r>
        <w:rPr>
          <w:rFonts w:ascii="Times New Roman" w:eastAsia="宋体" w:hAnsi="Times New Roman" w:hint="eastAsia"/>
          <w:b/>
          <w:color w:val="auto"/>
          <w:sz w:val="24"/>
          <w:szCs w:val="24"/>
          <w:lang w:eastAsia="zh-CN"/>
        </w:rPr>
        <w:t>4</w:t>
      </w:r>
      <w:r>
        <w:rPr>
          <w:rFonts w:ascii="Times New Roman" w:eastAsia="宋体" w:hAnsi="Times New Roman"/>
          <w:b/>
          <w:color w:val="auto"/>
          <w:sz w:val="24"/>
          <w:szCs w:val="24"/>
          <w:lang w:eastAsia="zh-CN"/>
        </w:rPr>
        <w:t>.1.</w:t>
      </w:r>
      <w:r>
        <w:rPr>
          <w:rFonts w:ascii="Times New Roman" w:eastAsia="宋体" w:hAnsi="Times New Roman" w:hint="eastAsia"/>
          <w:b/>
          <w:color w:val="auto"/>
          <w:sz w:val="24"/>
          <w:szCs w:val="24"/>
          <w:lang w:eastAsia="zh-CN"/>
        </w:rPr>
        <w:t xml:space="preserve">3.1 </w:t>
      </w:r>
      <w:r>
        <w:rPr>
          <w:rFonts w:ascii="Times New Roman" w:eastAsia="宋体" w:hAnsi="Times New Roman" w:hint="eastAsia"/>
          <w:b/>
          <w:color w:val="auto"/>
          <w:sz w:val="24"/>
          <w:szCs w:val="24"/>
          <w:lang w:eastAsia="zh-CN"/>
        </w:rPr>
        <w:t>模型建立及验证</w:t>
      </w:r>
      <w:bookmarkEnd w:id="213"/>
    </w:p>
    <w:p w14:paraId="08070944" w14:textId="77777777" w:rsidR="0075791A" w:rsidRDefault="00FB2864">
      <w:pPr>
        <w:spacing w:line="460" w:lineRule="exact"/>
        <w:ind w:firstLineChars="250" w:firstLine="600"/>
        <w:rPr>
          <w:rFonts w:ascii="宋体" w:hAnsi="宋体"/>
          <w:color w:val="auto"/>
          <w:sz w:val="24"/>
          <w:lang w:eastAsia="zh-CN"/>
        </w:rPr>
      </w:pPr>
      <w:r>
        <w:rPr>
          <w:rFonts w:ascii="宋体" w:hAnsi="宋体" w:hint="eastAsia"/>
          <w:color w:val="auto"/>
          <w:sz w:val="24"/>
          <w:lang w:eastAsia="zh-CN"/>
        </w:rPr>
        <w:lastRenderedPageBreak/>
        <w:t>数值模型采用有限体积元方法对二维潮流运动基本方程组</w:t>
      </w:r>
      <w:r>
        <w:rPr>
          <w:rFonts w:ascii="宋体" w:hAnsi="宋体"/>
          <w:color w:val="auto"/>
          <w:sz w:val="24"/>
          <w:lang w:eastAsia="zh-CN"/>
        </w:rPr>
        <w:t>(</w:t>
      </w:r>
      <w:r>
        <w:rPr>
          <w:rFonts w:ascii="宋体" w:hAnsi="宋体" w:hint="eastAsia"/>
          <w:color w:val="auto"/>
          <w:sz w:val="24"/>
          <w:lang w:eastAsia="zh-CN"/>
        </w:rPr>
        <w:t>见式</w:t>
      </w:r>
      <w:r>
        <w:rPr>
          <w:rFonts w:ascii="宋体" w:eastAsia="宋体" w:hAnsi="宋体" w:hint="eastAsia"/>
          <w:color w:val="auto"/>
          <w:sz w:val="24"/>
          <w:lang w:eastAsia="zh-CN"/>
        </w:rPr>
        <w:t>4</w:t>
      </w:r>
      <w:r>
        <w:rPr>
          <w:rFonts w:ascii="宋体" w:hAnsi="宋体" w:hint="eastAsia"/>
          <w:color w:val="auto"/>
          <w:sz w:val="24"/>
          <w:lang w:eastAsia="zh-CN"/>
        </w:rPr>
        <w:t>-1</w:t>
      </w:r>
      <w:r>
        <w:rPr>
          <w:rFonts w:ascii="宋体" w:hAnsi="宋体" w:hint="eastAsia"/>
          <w:color w:val="auto"/>
          <w:sz w:val="24"/>
          <w:lang w:eastAsia="zh-CN"/>
        </w:rPr>
        <w:t>至</w:t>
      </w:r>
      <w:r>
        <w:rPr>
          <w:rFonts w:ascii="宋体" w:eastAsia="宋体" w:hAnsi="宋体" w:hint="eastAsia"/>
          <w:color w:val="auto"/>
          <w:sz w:val="24"/>
          <w:lang w:eastAsia="zh-CN"/>
        </w:rPr>
        <w:t>4</w:t>
      </w:r>
      <w:r>
        <w:rPr>
          <w:rFonts w:ascii="宋体" w:hAnsi="宋体" w:hint="eastAsia"/>
          <w:color w:val="auto"/>
          <w:sz w:val="24"/>
          <w:lang w:eastAsia="zh-CN"/>
        </w:rPr>
        <w:t>-3</w:t>
      </w:r>
      <w:r>
        <w:rPr>
          <w:rFonts w:ascii="宋体" w:hAnsi="宋体"/>
          <w:color w:val="auto"/>
          <w:sz w:val="24"/>
          <w:lang w:eastAsia="zh-CN"/>
        </w:rPr>
        <w:t>)</w:t>
      </w:r>
      <w:r>
        <w:rPr>
          <w:rFonts w:ascii="宋体" w:hAnsi="宋体" w:hint="eastAsia"/>
          <w:color w:val="auto"/>
          <w:sz w:val="24"/>
          <w:lang w:eastAsia="zh-CN"/>
        </w:rPr>
        <w:t>进行离散，得到离散方程组，从而得出流速、流向、潮位。考虑到滩地随涨、落潮或淹没或露出，因此采用活动边界技术，以保证模型计算的精度和连续性。</w:t>
      </w:r>
    </w:p>
    <w:p w14:paraId="10FB3445" w14:textId="77777777" w:rsidR="0075791A" w:rsidRDefault="00FB2864">
      <w:pPr>
        <w:spacing w:before="120" w:after="120" w:line="460" w:lineRule="atLeast"/>
        <w:ind w:left="539"/>
        <w:rPr>
          <w:rFonts w:ascii="宋体" w:hAnsi="宋体"/>
          <w:b/>
          <w:color w:val="auto"/>
          <w:sz w:val="24"/>
          <w:lang w:eastAsia="zh-CN"/>
        </w:rPr>
      </w:pPr>
      <w:bookmarkStart w:id="214" w:name="_Toc200450317"/>
      <w:r>
        <w:rPr>
          <w:rFonts w:ascii="宋体" w:eastAsia="宋体" w:hAnsi="宋体" w:hint="eastAsia"/>
          <w:b/>
          <w:color w:val="auto"/>
          <w:sz w:val="24"/>
          <w:lang w:eastAsia="zh-CN"/>
        </w:rPr>
        <w:t>1.</w:t>
      </w:r>
      <w:r>
        <w:rPr>
          <w:rFonts w:ascii="宋体" w:hAnsi="宋体"/>
          <w:b/>
          <w:color w:val="auto"/>
          <w:sz w:val="24"/>
          <w:lang w:eastAsia="zh-CN"/>
        </w:rPr>
        <w:t>控制方程</w:t>
      </w:r>
      <w:bookmarkEnd w:id="214"/>
    </w:p>
    <w:p w14:paraId="1011083F" w14:textId="77777777" w:rsidR="0075791A" w:rsidRDefault="00FB2864">
      <w:pPr>
        <w:wordWrap w:val="0"/>
        <w:spacing w:line="460" w:lineRule="atLeast"/>
        <w:ind w:firstLine="480"/>
        <w:jc w:val="right"/>
        <w:rPr>
          <w:rFonts w:ascii="宋体" w:hAnsi="宋体"/>
          <w:color w:val="auto"/>
          <w:sz w:val="24"/>
          <w:lang w:eastAsia="zh-CN"/>
        </w:rPr>
      </w:pPr>
      <w:r>
        <w:rPr>
          <w:rFonts w:ascii="宋体" w:hAnsi="宋体"/>
          <w:noProof/>
          <w:color w:val="auto"/>
          <w:position w:val="-28"/>
          <w:sz w:val="24"/>
        </w:rPr>
        <w:drawing>
          <wp:inline distT="0" distB="0" distL="114300" distR="114300" wp14:anchorId="326D655F" wp14:editId="29D6CEEC">
            <wp:extent cx="1478280" cy="411480"/>
            <wp:effectExtent l="0" t="0" r="0" b="0"/>
            <wp:docPr id="59"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1"/>
                    <pic:cNvPicPr>
                      <a:picLocks noChangeAspect="1"/>
                    </pic:cNvPicPr>
                  </pic:nvPicPr>
                  <pic:blipFill>
                    <a:blip r:embed="rId90"/>
                    <a:stretch>
                      <a:fillRect/>
                    </a:stretch>
                  </pic:blipFill>
                  <pic:spPr>
                    <a:xfrm>
                      <a:off x="0" y="0"/>
                      <a:ext cx="1478280" cy="411480"/>
                    </a:xfrm>
                    <a:prstGeom prst="rect">
                      <a:avLst/>
                    </a:prstGeom>
                    <a:noFill/>
                    <a:ln>
                      <a:noFill/>
                    </a:ln>
                  </pic:spPr>
                </pic:pic>
              </a:graphicData>
            </a:graphic>
          </wp:inline>
        </w:drawing>
      </w:r>
      <w:r>
        <w:rPr>
          <w:rFonts w:ascii="宋体" w:hAnsi="宋体" w:hint="eastAsia"/>
          <w:color w:val="auto"/>
          <w:sz w:val="24"/>
          <w:lang w:eastAsia="zh-CN"/>
        </w:rPr>
        <w:t xml:space="preserve">                                      (</w:t>
      </w:r>
      <w:r>
        <w:rPr>
          <w:rFonts w:ascii="宋体" w:eastAsia="宋体" w:hAnsi="宋体" w:hint="eastAsia"/>
          <w:color w:val="auto"/>
          <w:sz w:val="24"/>
          <w:lang w:eastAsia="zh-CN"/>
        </w:rPr>
        <w:t>4</w:t>
      </w:r>
      <w:r>
        <w:rPr>
          <w:rFonts w:ascii="宋体" w:hAnsi="宋体" w:hint="eastAsia"/>
          <w:color w:val="auto"/>
          <w:sz w:val="24"/>
          <w:lang w:eastAsia="zh-CN"/>
        </w:rPr>
        <w:t>-1)</w:t>
      </w:r>
    </w:p>
    <w:p w14:paraId="78760FCE" w14:textId="77777777" w:rsidR="0075791A" w:rsidRDefault="00FB2864">
      <w:pPr>
        <w:wordWrap w:val="0"/>
        <w:spacing w:line="460" w:lineRule="atLeast"/>
        <w:ind w:firstLine="480"/>
        <w:jc w:val="right"/>
        <w:rPr>
          <w:rFonts w:ascii="宋体" w:hAnsi="宋体"/>
          <w:color w:val="auto"/>
          <w:sz w:val="24"/>
          <w:lang w:eastAsia="zh-CN"/>
        </w:rPr>
      </w:pPr>
      <w:r>
        <w:rPr>
          <w:rFonts w:ascii="宋体" w:hAnsi="宋体" w:hint="eastAsia"/>
          <w:color w:val="auto"/>
          <w:sz w:val="24"/>
          <w:lang w:eastAsia="zh-CN"/>
        </w:rPr>
        <w:t xml:space="preserve">  </w:t>
      </w:r>
      <w:r>
        <w:rPr>
          <w:rFonts w:ascii="宋体" w:hAnsi="宋体"/>
          <w:noProof/>
          <w:color w:val="auto"/>
          <w:position w:val="-28"/>
          <w:sz w:val="24"/>
        </w:rPr>
        <w:drawing>
          <wp:inline distT="0" distB="0" distL="114300" distR="114300" wp14:anchorId="30CCEC4E" wp14:editId="40924B7F">
            <wp:extent cx="4114800" cy="482600"/>
            <wp:effectExtent l="0" t="0" r="0" b="5080"/>
            <wp:docPr id="38"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2"/>
                    <pic:cNvPicPr>
                      <a:picLocks noChangeAspect="1"/>
                    </pic:cNvPicPr>
                  </pic:nvPicPr>
                  <pic:blipFill>
                    <a:blip r:embed="rId91"/>
                    <a:stretch>
                      <a:fillRect/>
                    </a:stretch>
                  </pic:blipFill>
                  <pic:spPr>
                    <a:xfrm>
                      <a:off x="0" y="0"/>
                      <a:ext cx="4114800" cy="482600"/>
                    </a:xfrm>
                    <a:prstGeom prst="rect">
                      <a:avLst/>
                    </a:prstGeom>
                    <a:noFill/>
                    <a:ln>
                      <a:noFill/>
                    </a:ln>
                  </pic:spPr>
                </pic:pic>
              </a:graphicData>
            </a:graphic>
          </wp:inline>
        </w:drawing>
      </w:r>
      <w:r>
        <w:rPr>
          <w:rFonts w:ascii="宋体" w:hAnsi="宋体" w:hint="eastAsia"/>
          <w:color w:val="auto"/>
          <w:sz w:val="24"/>
          <w:lang w:eastAsia="zh-CN"/>
        </w:rPr>
        <w:t xml:space="preserve">    (</w:t>
      </w:r>
      <w:r>
        <w:rPr>
          <w:rFonts w:ascii="宋体" w:eastAsia="宋体" w:hAnsi="宋体" w:hint="eastAsia"/>
          <w:color w:val="auto"/>
          <w:sz w:val="24"/>
          <w:lang w:eastAsia="zh-CN"/>
        </w:rPr>
        <w:t>4</w:t>
      </w:r>
      <w:r>
        <w:rPr>
          <w:rFonts w:ascii="宋体" w:hAnsi="宋体" w:hint="eastAsia"/>
          <w:color w:val="auto"/>
          <w:sz w:val="24"/>
          <w:lang w:eastAsia="zh-CN"/>
        </w:rPr>
        <w:t>-2)</w:t>
      </w:r>
    </w:p>
    <w:p w14:paraId="64495782" w14:textId="77777777" w:rsidR="0075791A" w:rsidRDefault="00FB2864">
      <w:pPr>
        <w:wordWrap w:val="0"/>
        <w:spacing w:line="460" w:lineRule="atLeast"/>
        <w:ind w:firstLine="480"/>
        <w:jc w:val="right"/>
        <w:rPr>
          <w:rFonts w:ascii="宋体" w:hAnsi="宋体"/>
          <w:color w:val="auto"/>
          <w:sz w:val="24"/>
          <w:lang w:eastAsia="zh-CN"/>
        </w:rPr>
      </w:pPr>
      <w:r>
        <w:rPr>
          <w:rFonts w:ascii="宋体" w:hAnsi="宋体"/>
          <w:noProof/>
          <w:color w:val="auto"/>
          <w:position w:val="-28"/>
          <w:sz w:val="24"/>
        </w:rPr>
        <w:drawing>
          <wp:inline distT="0" distB="0" distL="114300" distR="114300" wp14:anchorId="476714D6" wp14:editId="58973D71">
            <wp:extent cx="4070985" cy="482600"/>
            <wp:effectExtent l="0" t="0" r="13335" b="5080"/>
            <wp:docPr id="78"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03"/>
                    <pic:cNvPicPr>
                      <a:picLocks noChangeAspect="1"/>
                    </pic:cNvPicPr>
                  </pic:nvPicPr>
                  <pic:blipFill>
                    <a:blip r:embed="rId92"/>
                    <a:stretch>
                      <a:fillRect/>
                    </a:stretch>
                  </pic:blipFill>
                  <pic:spPr>
                    <a:xfrm>
                      <a:off x="0" y="0"/>
                      <a:ext cx="4070985" cy="482600"/>
                    </a:xfrm>
                    <a:prstGeom prst="rect">
                      <a:avLst/>
                    </a:prstGeom>
                    <a:noFill/>
                    <a:ln>
                      <a:noFill/>
                    </a:ln>
                  </pic:spPr>
                </pic:pic>
              </a:graphicData>
            </a:graphic>
          </wp:inline>
        </w:drawing>
      </w:r>
      <w:r>
        <w:rPr>
          <w:rFonts w:ascii="宋体" w:hAnsi="宋体" w:hint="eastAsia"/>
          <w:color w:val="auto"/>
          <w:sz w:val="24"/>
          <w:lang w:eastAsia="zh-CN"/>
        </w:rPr>
        <w:t xml:space="preserve">       (</w:t>
      </w:r>
      <w:r>
        <w:rPr>
          <w:rFonts w:ascii="宋体" w:eastAsia="宋体" w:hAnsi="宋体" w:hint="eastAsia"/>
          <w:color w:val="auto"/>
          <w:sz w:val="24"/>
          <w:lang w:eastAsia="zh-CN"/>
        </w:rPr>
        <w:t>4</w:t>
      </w:r>
      <w:r>
        <w:rPr>
          <w:rFonts w:ascii="宋体" w:hAnsi="宋体" w:hint="eastAsia"/>
          <w:color w:val="auto"/>
          <w:sz w:val="24"/>
          <w:lang w:eastAsia="zh-CN"/>
        </w:rPr>
        <w:t>-3)</w:t>
      </w:r>
    </w:p>
    <w:p w14:paraId="6CAEF1DD" w14:textId="77777777" w:rsidR="0075791A" w:rsidRDefault="00FB2864">
      <w:pPr>
        <w:spacing w:line="460" w:lineRule="atLeast"/>
        <w:ind w:firstLine="480"/>
        <w:rPr>
          <w:rFonts w:ascii="宋体" w:hAnsi="宋体"/>
          <w:color w:val="auto"/>
          <w:sz w:val="24"/>
          <w:lang w:eastAsia="zh-CN"/>
        </w:rPr>
      </w:pPr>
      <w:r>
        <w:rPr>
          <w:rFonts w:ascii="宋体" w:hAnsi="宋体" w:hint="eastAsia"/>
          <w:color w:val="auto"/>
          <w:sz w:val="24"/>
          <w:lang w:eastAsia="zh-CN"/>
        </w:rPr>
        <w:t>式中：</w:t>
      </w:r>
      <w:r>
        <w:rPr>
          <w:rFonts w:ascii="宋体" w:hAnsi="宋体"/>
          <w:color w:val="auto"/>
          <w:position w:val="-12"/>
          <w:sz w:val="24"/>
        </w:rPr>
        <w:object w:dxaOrig="330" w:dyaOrig="360" w14:anchorId="3D1D00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pt;height:18pt" o:ole="">
            <v:imagedata r:id="rId93" o:title=""/>
            <o:lock v:ext="edit" aspectratio="f"/>
          </v:shape>
          <o:OLEObject Type="Embed" ProgID="Equation.3" ShapeID="_x0000_i1025" DrawAspect="Content" ObjectID="_1838358221" r:id="rId94"/>
        </w:object>
      </w:r>
      <w:r>
        <w:rPr>
          <w:rFonts w:ascii="宋体" w:hAnsi="宋体" w:hint="eastAsia"/>
          <w:color w:val="auto"/>
          <w:sz w:val="24"/>
          <w:lang w:eastAsia="zh-CN"/>
        </w:rPr>
        <w:t>水平方向扩散系数，</w:t>
      </w:r>
      <w:r>
        <w:rPr>
          <w:rFonts w:ascii="宋体" w:hAnsi="宋体"/>
          <w:i/>
          <w:color w:val="auto"/>
          <w:sz w:val="24"/>
        </w:rPr>
        <w:t>η</w:t>
      </w:r>
      <w:r>
        <w:rPr>
          <w:rFonts w:ascii="宋体" w:hAnsi="宋体" w:hint="eastAsia"/>
          <w:color w:val="auto"/>
          <w:sz w:val="24"/>
          <w:lang w:eastAsia="zh-CN"/>
        </w:rPr>
        <w:t>为平均海面起算的海面高度，</w:t>
      </w:r>
      <w:r>
        <w:rPr>
          <w:rFonts w:ascii="宋体" w:hAnsi="宋体" w:hint="eastAsia"/>
          <w:i/>
          <w:color w:val="auto"/>
          <w:sz w:val="24"/>
          <w:lang w:eastAsia="zh-CN"/>
        </w:rPr>
        <w:t>u</w:t>
      </w:r>
      <w:r>
        <w:rPr>
          <w:rFonts w:ascii="宋体" w:hAnsi="宋体" w:hint="eastAsia"/>
          <w:color w:val="auto"/>
          <w:sz w:val="24"/>
          <w:lang w:eastAsia="zh-CN"/>
        </w:rPr>
        <w:t>、</w:t>
      </w:r>
      <w:r>
        <w:rPr>
          <w:rFonts w:ascii="宋体" w:hAnsi="宋体" w:hint="eastAsia"/>
          <w:i/>
          <w:color w:val="auto"/>
          <w:sz w:val="24"/>
          <w:lang w:eastAsia="zh-CN"/>
        </w:rPr>
        <w:t>v</w:t>
      </w:r>
      <w:r>
        <w:rPr>
          <w:rFonts w:ascii="宋体" w:hAnsi="宋体" w:hint="eastAsia"/>
          <w:color w:val="auto"/>
          <w:sz w:val="24"/>
          <w:lang w:eastAsia="zh-CN"/>
        </w:rPr>
        <w:t>为垂向平均流的东、北分量，</w:t>
      </w:r>
      <w:r>
        <w:rPr>
          <w:rFonts w:ascii="宋体" w:hAnsi="宋体" w:hint="eastAsia"/>
          <w:i/>
          <w:color w:val="auto"/>
          <w:sz w:val="24"/>
          <w:lang w:eastAsia="zh-CN"/>
        </w:rPr>
        <w:t>H</w:t>
      </w:r>
      <w:r>
        <w:rPr>
          <w:rFonts w:ascii="宋体" w:hAnsi="宋体" w:hint="eastAsia"/>
          <w:color w:val="auto"/>
          <w:sz w:val="24"/>
          <w:lang w:eastAsia="zh-CN"/>
        </w:rPr>
        <w:t>=</w:t>
      </w:r>
      <w:r>
        <w:rPr>
          <w:rFonts w:ascii="宋体" w:hAnsi="宋体"/>
          <w:noProof/>
          <w:color w:val="auto"/>
          <w:position w:val="-10"/>
          <w:sz w:val="24"/>
        </w:rPr>
        <w:drawing>
          <wp:inline distT="0" distB="0" distL="114300" distR="114300" wp14:anchorId="1CB76FA3" wp14:editId="44428706">
            <wp:extent cx="126365" cy="159385"/>
            <wp:effectExtent l="0" t="0" r="0" b="9525"/>
            <wp:docPr id="18"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5"/>
                    <pic:cNvPicPr>
                      <a:picLocks noChangeAspect="1"/>
                    </pic:cNvPicPr>
                  </pic:nvPicPr>
                  <pic:blipFill>
                    <a:blip r:embed="rId95"/>
                    <a:stretch>
                      <a:fillRect/>
                    </a:stretch>
                  </pic:blipFill>
                  <pic:spPr>
                    <a:xfrm>
                      <a:off x="0" y="0"/>
                      <a:ext cx="126365" cy="159385"/>
                    </a:xfrm>
                    <a:prstGeom prst="rect">
                      <a:avLst/>
                    </a:prstGeom>
                    <a:noFill/>
                    <a:ln>
                      <a:noFill/>
                    </a:ln>
                  </pic:spPr>
                </pic:pic>
              </a:graphicData>
            </a:graphic>
          </wp:inline>
        </w:drawing>
      </w:r>
      <w:r>
        <w:rPr>
          <w:rFonts w:ascii="宋体" w:hAnsi="宋体" w:hint="eastAsia"/>
          <w:color w:val="auto"/>
          <w:sz w:val="24"/>
          <w:lang w:eastAsia="zh-CN"/>
        </w:rPr>
        <w:t>+h</w:t>
      </w:r>
      <w:r>
        <w:rPr>
          <w:rFonts w:ascii="宋体" w:hAnsi="宋体" w:hint="eastAsia"/>
          <w:color w:val="auto"/>
          <w:sz w:val="24"/>
          <w:lang w:eastAsia="zh-CN"/>
        </w:rPr>
        <w:t>总水深，</w:t>
      </w:r>
      <w:r>
        <w:rPr>
          <w:rFonts w:ascii="宋体" w:hAnsi="宋体" w:hint="eastAsia"/>
          <w:i/>
          <w:color w:val="auto"/>
          <w:sz w:val="24"/>
          <w:lang w:eastAsia="zh-CN"/>
        </w:rPr>
        <w:t>h</w:t>
      </w:r>
      <w:r>
        <w:rPr>
          <w:rFonts w:ascii="宋体" w:hAnsi="宋体" w:hint="eastAsia"/>
          <w:color w:val="auto"/>
          <w:sz w:val="24"/>
          <w:lang w:eastAsia="zh-CN"/>
        </w:rPr>
        <w:t>为平均海面起算的水深，</w:t>
      </w:r>
      <w:r>
        <w:rPr>
          <w:rFonts w:ascii="宋体" w:hAnsi="宋体" w:hint="eastAsia"/>
          <w:i/>
          <w:color w:val="auto"/>
          <w:sz w:val="24"/>
          <w:lang w:eastAsia="zh-CN"/>
        </w:rPr>
        <w:t>f</w:t>
      </w:r>
      <w:r>
        <w:rPr>
          <w:rFonts w:ascii="宋体" w:hAnsi="宋体" w:hint="eastAsia"/>
          <w:color w:val="auto"/>
          <w:sz w:val="24"/>
          <w:lang w:eastAsia="zh-CN"/>
        </w:rPr>
        <w:t>为体现地球自转效应的科氏参数，</w:t>
      </w:r>
      <w:r>
        <w:rPr>
          <w:rFonts w:ascii="宋体" w:hAnsi="宋体" w:hint="eastAsia"/>
          <w:i/>
          <w:color w:val="auto"/>
          <w:sz w:val="24"/>
          <w:lang w:eastAsia="zh-CN"/>
        </w:rPr>
        <w:t>R</w:t>
      </w:r>
      <w:r>
        <w:rPr>
          <w:rFonts w:ascii="宋体" w:hAnsi="宋体" w:hint="eastAsia"/>
          <w:i/>
          <w:color w:val="auto"/>
          <w:sz w:val="24"/>
          <w:vertAlign w:val="subscript"/>
          <w:lang w:eastAsia="zh-CN"/>
        </w:rPr>
        <w:t>b</w:t>
      </w:r>
      <w:r>
        <w:rPr>
          <w:rFonts w:ascii="宋体" w:hAnsi="宋体" w:hint="eastAsia"/>
          <w:color w:val="auto"/>
          <w:sz w:val="24"/>
          <w:lang w:eastAsia="zh-CN"/>
        </w:rPr>
        <w:t>为海底摩擦系数，</w:t>
      </w:r>
      <w:r>
        <w:rPr>
          <w:rFonts w:ascii="宋体" w:hAnsi="宋体" w:hint="eastAsia"/>
          <w:i/>
          <w:color w:val="auto"/>
          <w:sz w:val="24"/>
          <w:lang w:eastAsia="zh-CN"/>
        </w:rPr>
        <w:t>g</w:t>
      </w:r>
      <w:r>
        <w:rPr>
          <w:rFonts w:ascii="宋体" w:hAnsi="宋体" w:hint="eastAsia"/>
          <w:color w:val="auto"/>
          <w:sz w:val="24"/>
          <w:lang w:eastAsia="zh-CN"/>
        </w:rPr>
        <w:t>为重力加速度，</w:t>
      </w:r>
      <w:r>
        <w:rPr>
          <w:rFonts w:ascii="宋体" w:hAnsi="宋体" w:hint="eastAsia"/>
          <w:color w:val="auto"/>
          <w:sz w:val="24"/>
          <w:lang w:eastAsia="zh-CN"/>
        </w:rPr>
        <w:t xml:space="preserve"> </w:t>
      </w:r>
    </w:p>
    <w:p w14:paraId="0E818ABF" w14:textId="77777777" w:rsidR="0075791A" w:rsidRDefault="00FB2864">
      <w:pPr>
        <w:spacing w:line="460" w:lineRule="atLeast"/>
        <w:ind w:firstLine="480"/>
        <w:textAlignment w:val="bottom"/>
        <w:rPr>
          <w:rFonts w:ascii="宋体" w:hAnsi="宋体"/>
          <w:color w:val="auto"/>
          <w:sz w:val="24"/>
          <w:lang w:eastAsia="zh-CN"/>
        </w:rPr>
      </w:pPr>
      <w:r>
        <w:rPr>
          <w:rFonts w:ascii="宋体" w:hAnsi="宋体"/>
          <w:noProof/>
          <w:color w:val="auto"/>
          <w:position w:val="-12"/>
          <w:sz w:val="24"/>
        </w:rPr>
        <w:drawing>
          <wp:inline distT="0" distB="0" distL="114300" distR="114300" wp14:anchorId="4742BD9B" wp14:editId="6670C7A3">
            <wp:extent cx="203200" cy="227965"/>
            <wp:effectExtent l="0" t="0" r="10160" b="635"/>
            <wp:docPr id="20"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6"/>
                    <pic:cNvPicPr>
                      <a:picLocks noChangeAspect="1"/>
                    </pic:cNvPicPr>
                  </pic:nvPicPr>
                  <pic:blipFill>
                    <a:blip r:embed="rId96"/>
                    <a:stretch>
                      <a:fillRect/>
                    </a:stretch>
                  </pic:blipFill>
                  <pic:spPr>
                    <a:xfrm>
                      <a:off x="0" y="0"/>
                      <a:ext cx="203200" cy="227965"/>
                    </a:xfrm>
                    <a:prstGeom prst="rect">
                      <a:avLst/>
                    </a:prstGeom>
                    <a:noFill/>
                    <a:ln>
                      <a:noFill/>
                    </a:ln>
                  </pic:spPr>
                </pic:pic>
              </a:graphicData>
            </a:graphic>
          </wp:inline>
        </w:drawing>
      </w:r>
      <w:r>
        <w:rPr>
          <w:rFonts w:ascii="宋体" w:hAnsi="宋体"/>
          <w:color w:val="auto"/>
          <w:sz w:val="24"/>
          <w:lang w:eastAsia="zh-CN"/>
        </w:rPr>
        <w:t>,</w:t>
      </w:r>
      <w:r>
        <w:rPr>
          <w:rFonts w:ascii="宋体" w:hAnsi="宋体"/>
          <w:noProof/>
          <w:color w:val="auto"/>
          <w:position w:val="-14"/>
          <w:sz w:val="24"/>
        </w:rPr>
        <w:drawing>
          <wp:inline distT="0" distB="0" distL="114300" distR="114300" wp14:anchorId="0FA79A60" wp14:editId="2BDA0667">
            <wp:extent cx="203200" cy="247015"/>
            <wp:effectExtent l="0" t="0" r="10160" b="12700"/>
            <wp:docPr id="47" name="图片 107"/>
            <wp:cNvGraphicFramePr/>
            <a:graphic xmlns:a="http://schemas.openxmlformats.org/drawingml/2006/main">
              <a:graphicData uri="http://schemas.openxmlformats.org/drawingml/2006/picture">
                <pic:pic xmlns:pic="http://schemas.openxmlformats.org/drawingml/2006/picture">
                  <pic:nvPicPr>
                    <pic:cNvPr id="47" name="图片 107"/>
                    <pic:cNvPicPr/>
                  </pic:nvPicPr>
                  <pic:blipFill>
                    <a:blip r:embed="rId97"/>
                    <a:stretch>
                      <a:fillRect/>
                    </a:stretch>
                  </pic:blipFill>
                  <pic:spPr>
                    <a:xfrm>
                      <a:off x="0" y="0"/>
                      <a:ext cx="203200" cy="247015"/>
                    </a:xfrm>
                    <a:prstGeom prst="rect">
                      <a:avLst/>
                    </a:prstGeom>
                    <a:noFill/>
                    <a:ln>
                      <a:noFill/>
                    </a:ln>
                  </pic:spPr>
                </pic:pic>
              </a:graphicData>
            </a:graphic>
          </wp:inline>
        </w:drawing>
      </w:r>
      <w:r>
        <w:rPr>
          <w:rFonts w:ascii="宋体" w:hAnsi="宋体"/>
          <w:color w:val="auto"/>
          <w:sz w:val="24"/>
          <w:lang w:eastAsia="zh-CN"/>
        </w:rPr>
        <w:t>为风对自由水面的剪切力在</w:t>
      </w:r>
      <w:r>
        <w:rPr>
          <w:rFonts w:ascii="宋体" w:hAnsi="宋体"/>
          <w:color w:val="auto"/>
          <w:sz w:val="24"/>
          <w:lang w:eastAsia="zh-CN"/>
        </w:rPr>
        <w:t>X</w:t>
      </w:r>
      <w:r>
        <w:rPr>
          <w:rFonts w:ascii="宋体" w:hAnsi="宋体"/>
          <w:color w:val="auto"/>
          <w:sz w:val="24"/>
          <w:lang w:eastAsia="zh-CN"/>
        </w:rPr>
        <w:t>、</w:t>
      </w:r>
      <w:r>
        <w:rPr>
          <w:rFonts w:ascii="宋体" w:hAnsi="宋体"/>
          <w:color w:val="auto"/>
          <w:sz w:val="24"/>
          <w:lang w:eastAsia="zh-CN"/>
        </w:rPr>
        <w:t>Y</w:t>
      </w:r>
      <w:r>
        <w:rPr>
          <w:rFonts w:ascii="宋体" w:hAnsi="宋体"/>
          <w:color w:val="auto"/>
          <w:sz w:val="24"/>
          <w:lang w:eastAsia="zh-CN"/>
        </w:rPr>
        <w:t>方向的分量；</w:t>
      </w:r>
      <w:r>
        <w:rPr>
          <w:rFonts w:ascii="宋体" w:hAnsi="宋体" w:hint="eastAsia"/>
          <w:color w:val="auto"/>
          <w:sz w:val="24"/>
          <w:lang w:eastAsia="zh-CN"/>
        </w:rPr>
        <w:t>其中：</w:t>
      </w:r>
    </w:p>
    <w:p w14:paraId="1AB484C0" w14:textId="77777777" w:rsidR="0075791A" w:rsidRDefault="00FB2864">
      <w:pPr>
        <w:spacing w:line="460" w:lineRule="atLeast"/>
        <w:ind w:firstLine="480"/>
        <w:textAlignment w:val="bottom"/>
        <w:rPr>
          <w:rFonts w:ascii="宋体" w:hAnsi="宋体"/>
          <w:color w:val="auto"/>
          <w:sz w:val="24"/>
          <w:lang w:eastAsia="zh-CN"/>
        </w:rPr>
      </w:pPr>
      <w:r>
        <w:rPr>
          <w:rFonts w:ascii="宋体" w:hAnsi="宋体"/>
          <w:noProof/>
          <w:color w:val="auto"/>
          <w:position w:val="-14"/>
          <w:sz w:val="24"/>
        </w:rPr>
        <w:drawing>
          <wp:inline distT="0" distB="0" distL="114300" distR="114300" wp14:anchorId="663479BA" wp14:editId="062ECC62">
            <wp:extent cx="1478280" cy="304800"/>
            <wp:effectExtent l="0" t="0" r="0" b="0"/>
            <wp:docPr id="40"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8"/>
                    <pic:cNvPicPr>
                      <a:picLocks noChangeAspect="1"/>
                    </pic:cNvPicPr>
                  </pic:nvPicPr>
                  <pic:blipFill>
                    <a:blip r:embed="rId98"/>
                    <a:stretch>
                      <a:fillRect/>
                    </a:stretch>
                  </pic:blipFill>
                  <pic:spPr>
                    <a:xfrm>
                      <a:off x="0" y="0"/>
                      <a:ext cx="1478280" cy="304800"/>
                    </a:xfrm>
                    <a:prstGeom prst="rect">
                      <a:avLst/>
                    </a:prstGeom>
                    <a:noFill/>
                    <a:ln>
                      <a:noFill/>
                    </a:ln>
                  </pic:spPr>
                </pic:pic>
              </a:graphicData>
            </a:graphic>
          </wp:inline>
        </w:drawing>
      </w:r>
      <w:r>
        <w:rPr>
          <w:rFonts w:ascii="宋体" w:hAnsi="宋体"/>
          <w:color w:val="auto"/>
          <w:sz w:val="24"/>
          <w:lang w:eastAsia="zh-CN"/>
        </w:rPr>
        <w:t>，</w:t>
      </w:r>
      <w:r>
        <w:rPr>
          <w:rFonts w:ascii="宋体" w:hAnsi="宋体"/>
          <w:noProof/>
          <w:color w:val="auto"/>
          <w:position w:val="-14"/>
          <w:sz w:val="24"/>
        </w:rPr>
        <w:drawing>
          <wp:inline distT="0" distB="0" distL="114300" distR="114300" wp14:anchorId="4C639016" wp14:editId="229B7695">
            <wp:extent cx="1454150" cy="304800"/>
            <wp:effectExtent l="0" t="0" r="8890" b="0"/>
            <wp:docPr id="1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9"/>
                    <pic:cNvPicPr>
                      <a:picLocks noChangeAspect="1"/>
                    </pic:cNvPicPr>
                  </pic:nvPicPr>
                  <pic:blipFill>
                    <a:blip r:embed="rId99"/>
                    <a:stretch>
                      <a:fillRect/>
                    </a:stretch>
                  </pic:blipFill>
                  <pic:spPr>
                    <a:xfrm>
                      <a:off x="0" y="0"/>
                      <a:ext cx="1454150" cy="304800"/>
                    </a:xfrm>
                    <a:prstGeom prst="rect">
                      <a:avLst/>
                    </a:prstGeom>
                    <a:noFill/>
                    <a:ln>
                      <a:noFill/>
                    </a:ln>
                  </pic:spPr>
                </pic:pic>
              </a:graphicData>
            </a:graphic>
          </wp:inline>
        </w:drawing>
      </w:r>
    </w:p>
    <w:p w14:paraId="1A55788B" w14:textId="77777777" w:rsidR="0075791A" w:rsidRDefault="00FB2864">
      <w:pPr>
        <w:spacing w:line="460" w:lineRule="atLeast"/>
        <w:ind w:firstLine="480"/>
        <w:textAlignment w:val="bottom"/>
        <w:rPr>
          <w:rFonts w:ascii="宋体" w:hAnsi="宋体"/>
          <w:color w:val="auto"/>
          <w:sz w:val="24"/>
          <w:lang w:eastAsia="zh-CN"/>
        </w:rPr>
      </w:pPr>
      <w:r>
        <w:rPr>
          <w:rFonts w:ascii="宋体" w:hAnsi="宋体" w:hint="eastAsia"/>
          <w:color w:val="auto"/>
          <w:position w:val="-7"/>
          <w:sz w:val="24"/>
          <w:lang w:eastAsia="zh-CN"/>
        </w:rPr>
        <w:t>式中：</w:t>
      </w:r>
      <w:r>
        <w:rPr>
          <w:rFonts w:ascii="宋体" w:hAnsi="宋体"/>
          <w:color w:val="auto"/>
          <w:position w:val="-7"/>
          <w:sz w:val="24"/>
        </w:rPr>
        <w:object w:dxaOrig="260" w:dyaOrig="360" w14:anchorId="4120FCC2">
          <v:shape id="_x0000_i1026" type="#_x0000_t75" style="width:13pt;height:18pt" o:ole="" fillcolor="#001">
            <v:imagedata r:id="rId100" o:title=""/>
            <o:lock v:ext="edit" aspectratio="f"/>
          </v:shape>
          <o:OLEObject Type="Embed" ProgID="Equation" ShapeID="_x0000_i1026" DrawAspect="Content" ObjectID="_1838358222" r:id="rId101"/>
        </w:object>
      </w:r>
      <w:r>
        <w:rPr>
          <w:rFonts w:ascii="宋体" w:hAnsi="宋体"/>
          <w:color w:val="auto"/>
          <w:sz w:val="24"/>
          <w:lang w:eastAsia="zh-CN"/>
        </w:rPr>
        <w:t>为风阻力系数；</w:t>
      </w:r>
      <w:r>
        <w:rPr>
          <w:rFonts w:ascii="宋体" w:hAnsi="宋体"/>
          <w:color w:val="auto"/>
          <w:position w:val="-7"/>
          <w:sz w:val="24"/>
        </w:rPr>
        <w:object w:dxaOrig="290" w:dyaOrig="360" w14:anchorId="298D7505">
          <v:shape id="_x0000_i1027" type="#_x0000_t75" style="width:14.5pt;height:18pt" o:ole="" fillcolor="#001">
            <v:imagedata r:id="rId102" o:title=""/>
            <o:lock v:ext="edit" aspectratio="f"/>
          </v:shape>
          <o:OLEObject Type="Embed" ProgID="Equation" ShapeID="_x0000_i1027" DrawAspect="Content" ObjectID="_1838358223" r:id="rId103"/>
        </w:object>
      </w:r>
      <w:r>
        <w:rPr>
          <w:rFonts w:ascii="宋体" w:hAnsi="宋体"/>
          <w:color w:val="auto"/>
          <w:sz w:val="24"/>
          <w:lang w:eastAsia="zh-CN"/>
        </w:rPr>
        <w:t>为空气密度，</w:t>
      </w:r>
      <w:r>
        <w:rPr>
          <w:rFonts w:ascii="宋体" w:hAnsi="宋体"/>
          <w:color w:val="auto"/>
          <w:sz w:val="24"/>
          <w:lang w:eastAsia="zh-CN"/>
        </w:rPr>
        <w:t xml:space="preserve"> </w:t>
      </w:r>
      <w:r>
        <w:rPr>
          <w:rFonts w:ascii="宋体" w:hAnsi="宋体"/>
          <w:color w:val="auto"/>
          <w:position w:val="-7"/>
          <w:sz w:val="24"/>
        </w:rPr>
        <w:object w:dxaOrig="650" w:dyaOrig="360" w14:anchorId="32CF12CA">
          <v:shape id="_x0000_i1028" type="#_x0000_t75" style="width:32.5pt;height:18pt" o:ole="" fillcolor="#001">
            <v:imagedata r:id="rId104" o:title=""/>
            <o:lock v:ext="edit" aspectratio="f"/>
          </v:shape>
          <o:OLEObject Type="Embed" ProgID="Equation" ShapeID="_x0000_i1028" DrawAspect="Content" ObjectID="_1838358224" r:id="rId105"/>
        </w:object>
      </w:r>
      <w:r>
        <w:rPr>
          <w:rFonts w:ascii="宋体" w:hAnsi="宋体"/>
          <w:color w:val="auto"/>
          <w:sz w:val="24"/>
          <w:lang w:eastAsia="zh-CN"/>
        </w:rPr>
        <w:t>风速在</w:t>
      </w:r>
      <w:r>
        <w:rPr>
          <w:rFonts w:ascii="宋体" w:hAnsi="宋体"/>
          <w:color w:val="auto"/>
          <w:sz w:val="24"/>
          <w:lang w:eastAsia="zh-CN"/>
        </w:rPr>
        <w:t>X</w:t>
      </w:r>
      <w:r>
        <w:rPr>
          <w:rFonts w:ascii="宋体" w:hAnsi="宋体"/>
          <w:color w:val="auto"/>
          <w:sz w:val="24"/>
          <w:lang w:eastAsia="zh-CN"/>
        </w:rPr>
        <w:t>、</w:t>
      </w:r>
      <w:r>
        <w:rPr>
          <w:rFonts w:ascii="宋体" w:hAnsi="宋体"/>
          <w:color w:val="auto"/>
          <w:sz w:val="24"/>
          <w:lang w:eastAsia="zh-CN"/>
        </w:rPr>
        <w:t>Y</w:t>
      </w:r>
      <w:r>
        <w:rPr>
          <w:rFonts w:ascii="宋体" w:hAnsi="宋体"/>
          <w:color w:val="auto"/>
          <w:sz w:val="24"/>
          <w:lang w:eastAsia="zh-CN"/>
        </w:rPr>
        <w:t>方向的分量；</w:t>
      </w:r>
    </w:p>
    <w:p w14:paraId="5BFE2836" w14:textId="77777777" w:rsidR="0075791A" w:rsidRDefault="00FB2864">
      <w:pPr>
        <w:spacing w:before="120" w:after="120" w:line="460" w:lineRule="atLeast"/>
        <w:ind w:left="539"/>
        <w:rPr>
          <w:rFonts w:ascii="宋体" w:eastAsia="宋体" w:hAnsi="宋体"/>
          <w:b/>
          <w:color w:val="auto"/>
          <w:sz w:val="24"/>
          <w:lang w:eastAsia="zh-CN"/>
        </w:rPr>
      </w:pPr>
      <w:r>
        <w:rPr>
          <w:rFonts w:ascii="宋体" w:eastAsia="宋体" w:hAnsi="宋体" w:hint="eastAsia"/>
          <w:b/>
          <w:color w:val="auto"/>
          <w:sz w:val="24"/>
          <w:lang w:eastAsia="zh-CN"/>
        </w:rPr>
        <w:t>2.</w:t>
      </w:r>
      <w:r>
        <w:rPr>
          <w:rFonts w:ascii="宋体" w:eastAsia="宋体" w:hAnsi="宋体" w:hint="eastAsia"/>
          <w:b/>
          <w:color w:val="auto"/>
          <w:sz w:val="24"/>
          <w:lang w:eastAsia="zh-CN"/>
        </w:rPr>
        <w:t>边界条件和初始条件</w:t>
      </w:r>
    </w:p>
    <w:p w14:paraId="405996E7" w14:textId="77777777" w:rsidR="0075791A" w:rsidRDefault="00FB2864">
      <w:pPr>
        <w:spacing w:after="120" w:line="460" w:lineRule="atLeast"/>
        <w:ind w:firstLine="482"/>
        <w:rPr>
          <w:rFonts w:ascii="宋体" w:hAnsi="宋体"/>
          <w:b/>
          <w:color w:val="auto"/>
          <w:sz w:val="24"/>
          <w:lang w:eastAsia="zh-CN"/>
        </w:rPr>
      </w:pPr>
      <w:r>
        <w:rPr>
          <w:rFonts w:ascii="宋体" w:hAnsi="宋体"/>
          <w:b/>
          <w:color w:val="auto"/>
          <w:sz w:val="24"/>
          <w:lang w:eastAsia="zh-CN"/>
        </w:rPr>
        <w:t>(1)</w:t>
      </w:r>
      <w:r>
        <w:rPr>
          <w:rFonts w:ascii="宋体" w:hAnsi="宋体"/>
          <w:b/>
          <w:color w:val="auto"/>
          <w:sz w:val="24"/>
          <w:lang w:eastAsia="zh-CN"/>
        </w:rPr>
        <w:t>边界条件</w:t>
      </w:r>
    </w:p>
    <w:p w14:paraId="47FEFC5A" w14:textId="77777777" w:rsidR="0075791A" w:rsidRDefault="00FB2864">
      <w:pPr>
        <w:spacing w:line="460" w:lineRule="atLeast"/>
        <w:ind w:firstLine="480"/>
        <w:rPr>
          <w:rFonts w:ascii="宋体" w:hAnsi="宋体"/>
          <w:color w:val="auto"/>
          <w:sz w:val="24"/>
          <w:lang w:eastAsia="zh-CN"/>
        </w:rPr>
      </w:pPr>
      <w:r>
        <w:rPr>
          <w:rFonts w:ascii="宋体" w:hAnsi="宋体" w:hint="eastAsia"/>
          <w:color w:val="auto"/>
          <w:sz w:val="24"/>
          <w:lang w:eastAsia="zh-CN"/>
        </w:rPr>
        <w:t>在本研究采用的数值模式中，需给定两种边界条件，即闭边界条件和开边界条件。</w:t>
      </w:r>
    </w:p>
    <w:p w14:paraId="1C23D9C5" w14:textId="77777777" w:rsidR="0075791A" w:rsidRDefault="00FB2864">
      <w:pPr>
        <w:spacing w:line="460" w:lineRule="atLeast"/>
        <w:ind w:firstLine="480"/>
        <w:rPr>
          <w:rFonts w:ascii="宋体" w:hAnsi="宋体"/>
          <w:color w:val="auto"/>
          <w:sz w:val="24"/>
          <w:lang w:eastAsia="zh-CN"/>
        </w:rPr>
      </w:pPr>
      <w:r>
        <w:rPr>
          <w:rFonts w:ascii="宋体" w:hAnsi="宋体" w:hint="eastAsia"/>
          <w:color w:val="auto"/>
          <w:sz w:val="24"/>
          <w:lang w:eastAsia="zh-CN"/>
        </w:rPr>
        <w:t>所谓开边界条件即水域边界条件，可以给定水位、流量或调和常数。对于本次数值模拟方案，</w:t>
      </w:r>
      <w:r>
        <w:rPr>
          <w:rFonts w:ascii="宋体" w:hAnsi="宋体"/>
          <w:color w:val="auto"/>
          <w:sz w:val="24"/>
          <w:lang w:eastAsia="zh-CN"/>
        </w:rPr>
        <w:t>计算域</w:t>
      </w:r>
      <w:r>
        <w:rPr>
          <w:rFonts w:ascii="宋体" w:hAnsi="宋体" w:hint="eastAsia"/>
          <w:color w:val="auto"/>
          <w:sz w:val="24"/>
          <w:lang w:eastAsia="zh-CN"/>
        </w:rPr>
        <w:t>外海大网格</w:t>
      </w:r>
      <w:r>
        <w:rPr>
          <w:rFonts w:ascii="宋体" w:hAnsi="宋体"/>
          <w:color w:val="auto"/>
          <w:sz w:val="24"/>
          <w:lang w:eastAsia="zh-CN"/>
        </w:rPr>
        <w:t>开边界</w:t>
      </w:r>
      <w:r>
        <w:rPr>
          <w:rFonts w:ascii="宋体" w:hAnsi="宋体" w:hint="eastAsia"/>
          <w:color w:val="auto"/>
          <w:sz w:val="24"/>
          <w:lang w:eastAsia="zh-CN"/>
        </w:rPr>
        <w:t>条件给定潮汐调和常数。潮汐现象可视作为许多不同周期振动的叠加，分潮振幅</w:t>
      </w:r>
      <w:r>
        <w:rPr>
          <w:rFonts w:ascii="宋体" w:hAnsi="宋体" w:hint="eastAsia"/>
          <w:color w:val="auto"/>
          <w:sz w:val="24"/>
          <w:lang w:eastAsia="zh-CN"/>
        </w:rPr>
        <w:t>(H)</w:t>
      </w:r>
      <w:r>
        <w:rPr>
          <w:rFonts w:ascii="宋体" w:hAnsi="宋体" w:hint="eastAsia"/>
          <w:color w:val="auto"/>
          <w:sz w:val="24"/>
          <w:lang w:eastAsia="zh-CN"/>
        </w:rPr>
        <w:t>和迟角</w:t>
      </w:r>
      <w:r>
        <w:rPr>
          <w:rFonts w:ascii="宋体" w:hAnsi="宋体" w:hint="eastAsia"/>
          <w:color w:val="auto"/>
          <w:sz w:val="24"/>
          <w:lang w:eastAsia="zh-CN"/>
        </w:rPr>
        <w:t>(g)</w:t>
      </w:r>
      <w:r>
        <w:rPr>
          <w:rFonts w:ascii="宋体" w:hAnsi="宋体" w:hint="eastAsia"/>
          <w:color w:val="auto"/>
          <w:sz w:val="24"/>
          <w:lang w:eastAsia="zh-CN"/>
        </w:rPr>
        <w:t>只与地点有关，称为潮汐调和常数。从理论上讲，分潮的数目是很多的，但大部分影响不大，一般以</w:t>
      </w:r>
      <w:r>
        <w:rPr>
          <w:rFonts w:ascii="宋体" w:hAnsi="宋体" w:hint="eastAsia"/>
          <w:color w:val="auto"/>
          <w:sz w:val="24"/>
          <w:lang w:eastAsia="zh-CN"/>
        </w:rPr>
        <w:t>M</w:t>
      </w:r>
      <w:r>
        <w:rPr>
          <w:rFonts w:ascii="宋体" w:hAnsi="宋体" w:hint="eastAsia"/>
          <w:color w:val="auto"/>
          <w:sz w:val="24"/>
          <w:vertAlign w:val="subscript"/>
          <w:lang w:eastAsia="zh-CN"/>
        </w:rPr>
        <w:t>2</w:t>
      </w:r>
      <w:r>
        <w:rPr>
          <w:rFonts w:ascii="宋体" w:hAnsi="宋体" w:hint="eastAsia"/>
          <w:color w:val="auto"/>
          <w:sz w:val="24"/>
          <w:lang w:eastAsia="zh-CN"/>
        </w:rPr>
        <w:t>、</w:t>
      </w:r>
      <w:r>
        <w:rPr>
          <w:rFonts w:ascii="宋体" w:hAnsi="宋体" w:hint="eastAsia"/>
          <w:color w:val="auto"/>
          <w:sz w:val="24"/>
          <w:lang w:eastAsia="zh-CN"/>
        </w:rPr>
        <w:t>S</w:t>
      </w:r>
      <w:r>
        <w:rPr>
          <w:rFonts w:ascii="宋体" w:hAnsi="宋体" w:hint="eastAsia"/>
          <w:color w:val="auto"/>
          <w:sz w:val="24"/>
          <w:vertAlign w:val="subscript"/>
          <w:lang w:eastAsia="zh-CN"/>
        </w:rPr>
        <w:t>2</w:t>
      </w:r>
      <w:r>
        <w:rPr>
          <w:rFonts w:ascii="宋体" w:hAnsi="宋体" w:hint="eastAsia"/>
          <w:color w:val="auto"/>
          <w:sz w:val="24"/>
          <w:lang w:eastAsia="zh-CN"/>
        </w:rPr>
        <w:t>、</w:t>
      </w:r>
      <w:r>
        <w:rPr>
          <w:rFonts w:ascii="宋体" w:hAnsi="宋体" w:hint="eastAsia"/>
          <w:color w:val="auto"/>
          <w:sz w:val="24"/>
          <w:lang w:eastAsia="zh-CN"/>
        </w:rPr>
        <w:t>K</w:t>
      </w:r>
      <w:r>
        <w:rPr>
          <w:rFonts w:ascii="宋体" w:hAnsi="宋体" w:hint="eastAsia"/>
          <w:color w:val="auto"/>
          <w:sz w:val="24"/>
          <w:vertAlign w:val="subscript"/>
          <w:lang w:eastAsia="zh-CN"/>
        </w:rPr>
        <w:t>1</w:t>
      </w:r>
      <w:r>
        <w:rPr>
          <w:rFonts w:ascii="宋体" w:hAnsi="宋体" w:hint="eastAsia"/>
          <w:color w:val="auto"/>
          <w:sz w:val="24"/>
          <w:lang w:eastAsia="zh-CN"/>
        </w:rPr>
        <w:t>、</w:t>
      </w:r>
      <w:r>
        <w:rPr>
          <w:rFonts w:ascii="宋体" w:hAnsi="宋体" w:hint="eastAsia"/>
          <w:color w:val="auto"/>
          <w:sz w:val="24"/>
          <w:lang w:eastAsia="zh-CN"/>
        </w:rPr>
        <w:t>O</w:t>
      </w:r>
      <w:r>
        <w:rPr>
          <w:rFonts w:ascii="宋体" w:hAnsi="宋体" w:hint="eastAsia"/>
          <w:color w:val="auto"/>
          <w:sz w:val="24"/>
          <w:vertAlign w:val="subscript"/>
          <w:lang w:eastAsia="zh-CN"/>
        </w:rPr>
        <w:t>1</w:t>
      </w:r>
      <w:r>
        <w:rPr>
          <w:rFonts w:ascii="宋体" w:hAnsi="宋体" w:hint="eastAsia"/>
          <w:color w:val="auto"/>
          <w:sz w:val="24"/>
          <w:lang w:eastAsia="zh-CN"/>
        </w:rPr>
        <w:t>分潮最大，因此</w:t>
      </w:r>
      <w:r>
        <w:rPr>
          <w:rFonts w:ascii="宋体" w:hAnsi="宋体"/>
          <w:color w:val="auto"/>
          <w:sz w:val="24"/>
          <w:lang w:eastAsia="zh-CN"/>
        </w:rPr>
        <w:t>计算域</w:t>
      </w:r>
      <w:r>
        <w:rPr>
          <w:rFonts w:ascii="宋体" w:hAnsi="宋体" w:hint="eastAsia"/>
          <w:color w:val="auto"/>
          <w:sz w:val="24"/>
          <w:lang w:eastAsia="zh-CN"/>
        </w:rPr>
        <w:t>外海</w:t>
      </w:r>
      <w:r>
        <w:rPr>
          <w:rFonts w:ascii="宋体" w:hAnsi="宋体"/>
          <w:color w:val="auto"/>
          <w:sz w:val="24"/>
          <w:lang w:eastAsia="zh-CN"/>
        </w:rPr>
        <w:t>开边界选取四个主要分潮</w:t>
      </w:r>
      <w:r>
        <w:rPr>
          <w:rFonts w:ascii="宋体" w:hAnsi="宋体"/>
          <w:color w:val="auto"/>
          <w:sz w:val="24"/>
          <w:lang w:eastAsia="zh-CN"/>
        </w:rPr>
        <w:t>(M</w:t>
      </w:r>
      <w:r>
        <w:rPr>
          <w:rFonts w:ascii="宋体" w:hAnsi="宋体"/>
          <w:color w:val="auto"/>
          <w:sz w:val="24"/>
          <w:vertAlign w:val="subscript"/>
          <w:lang w:eastAsia="zh-CN"/>
        </w:rPr>
        <w:t>2</w:t>
      </w:r>
      <w:r>
        <w:rPr>
          <w:rFonts w:ascii="宋体" w:hAnsi="宋体"/>
          <w:color w:val="auto"/>
          <w:sz w:val="24"/>
          <w:lang w:eastAsia="zh-CN"/>
        </w:rPr>
        <w:t>、</w:t>
      </w:r>
      <w:r>
        <w:rPr>
          <w:rFonts w:ascii="宋体" w:hAnsi="宋体"/>
          <w:color w:val="auto"/>
          <w:sz w:val="24"/>
          <w:lang w:eastAsia="zh-CN"/>
        </w:rPr>
        <w:t>S</w:t>
      </w:r>
      <w:r>
        <w:rPr>
          <w:rFonts w:ascii="宋体" w:hAnsi="宋体"/>
          <w:color w:val="auto"/>
          <w:sz w:val="24"/>
          <w:vertAlign w:val="subscript"/>
          <w:lang w:eastAsia="zh-CN"/>
        </w:rPr>
        <w:t>2</w:t>
      </w:r>
      <w:r>
        <w:rPr>
          <w:rFonts w:ascii="宋体" w:hAnsi="宋体"/>
          <w:color w:val="auto"/>
          <w:sz w:val="24"/>
          <w:lang w:eastAsia="zh-CN"/>
        </w:rPr>
        <w:t>、</w:t>
      </w:r>
      <w:r>
        <w:rPr>
          <w:rFonts w:ascii="宋体" w:hAnsi="宋体"/>
          <w:color w:val="auto"/>
          <w:sz w:val="24"/>
          <w:lang w:eastAsia="zh-CN"/>
        </w:rPr>
        <w:t>K</w:t>
      </w:r>
      <w:r>
        <w:rPr>
          <w:rFonts w:ascii="宋体" w:hAnsi="宋体"/>
          <w:color w:val="auto"/>
          <w:sz w:val="24"/>
          <w:vertAlign w:val="subscript"/>
          <w:lang w:eastAsia="zh-CN"/>
        </w:rPr>
        <w:t>1</w:t>
      </w:r>
      <w:r>
        <w:rPr>
          <w:rFonts w:ascii="宋体" w:hAnsi="宋体"/>
          <w:color w:val="auto"/>
          <w:sz w:val="24"/>
          <w:lang w:eastAsia="zh-CN"/>
        </w:rPr>
        <w:t>、</w:t>
      </w:r>
      <w:r>
        <w:rPr>
          <w:rFonts w:ascii="宋体" w:hAnsi="宋体"/>
          <w:color w:val="auto"/>
          <w:sz w:val="24"/>
          <w:lang w:eastAsia="zh-CN"/>
        </w:rPr>
        <w:t>O</w:t>
      </w:r>
      <w:r>
        <w:rPr>
          <w:rFonts w:ascii="宋体" w:hAnsi="宋体"/>
          <w:color w:val="auto"/>
          <w:sz w:val="24"/>
          <w:vertAlign w:val="subscript"/>
          <w:lang w:eastAsia="zh-CN"/>
        </w:rPr>
        <w:t>1</w:t>
      </w:r>
      <w:r>
        <w:rPr>
          <w:rFonts w:ascii="宋体" w:hAnsi="宋体"/>
          <w:color w:val="auto"/>
          <w:sz w:val="24"/>
          <w:lang w:eastAsia="zh-CN"/>
        </w:rPr>
        <w:t>)</w:t>
      </w:r>
      <w:r>
        <w:rPr>
          <w:rFonts w:ascii="宋体" w:hAnsi="宋体" w:hint="eastAsia"/>
          <w:color w:val="auto"/>
          <w:sz w:val="24"/>
          <w:lang w:eastAsia="zh-CN"/>
        </w:rPr>
        <w:t>叠加</w:t>
      </w:r>
      <w:r>
        <w:rPr>
          <w:rFonts w:ascii="宋体" w:hAnsi="宋体"/>
          <w:color w:val="auto"/>
          <w:sz w:val="24"/>
          <w:lang w:eastAsia="zh-CN"/>
        </w:rPr>
        <w:t>，</w:t>
      </w:r>
      <w:r>
        <w:rPr>
          <w:rFonts w:ascii="宋体" w:hAnsi="宋体" w:hint="eastAsia"/>
          <w:color w:val="auto"/>
          <w:sz w:val="24"/>
          <w:lang w:eastAsia="zh-CN"/>
        </w:rPr>
        <w:t>其值</w:t>
      </w:r>
      <w:r>
        <w:rPr>
          <w:rFonts w:ascii="宋体" w:hAnsi="宋体"/>
          <w:color w:val="auto"/>
          <w:sz w:val="24"/>
          <w:lang w:eastAsia="zh-CN"/>
        </w:rPr>
        <w:t>根据历史调查资料计算的调和常数和有关文献提供，并根据部分水文观测站的实测潮位结果进行调整</w:t>
      </w:r>
      <w:r>
        <w:rPr>
          <w:rFonts w:ascii="宋体" w:hAnsi="宋体" w:hint="eastAsia"/>
          <w:color w:val="auto"/>
          <w:sz w:val="24"/>
          <w:lang w:eastAsia="zh-CN"/>
        </w:rPr>
        <w:t>。</w:t>
      </w:r>
    </w:p>
    <w:p w14:paraId="26662293" w14:textId="77777777" w:rsidR="0075791A" w:rsidRDefault="00FB2864">
      <w:pPr>
        <w:spacing w:line="460" w:lineRule="atLeast"/>
        <w:ind w:firstLine="480"/>
        <w:rPr>
          <w:rFonts w:ascii="宋体" w:hAnsi="宋体"/>
          <w:color w:val="auto"/>
          <w:sz w:val="24"/>
          <w:lang w:eastAsia="zh-CN"/>
        </w:rPr>
      </w:pPr>
      <w:r>
        <w:rPr>
          <w:rFonts w:ascii="宋体" w:hAnsi="宋体" w:hint="eastAsia"/>
          <w:color w:val="auto"/>
          <w:sz w:val="24"/>
          <w:lang w:eastAsia="zh-CN"/>
        </w:rPr>
        <w:t>所谓闭边界条件即水陆交界条件，</w:t>
      </w:r>
      <w:r>
        <w:rPr>
          <w:rFonts w:ascii="宋体" w:hAnsi="宋体"/>
          <w:color w:val="auto"/>
          <w:sz w:val="24"/>
          <w:lang w:eastAsia="zh-CN"/>
        </w:rPr>
        <w:t>计算水域与陆地交界的固边界上</w:t>
      </w:r>
      <w:r>
        <w:rPr>
          <w:rFonts w:ascii="宋体" w:hAnsi="宋体"/>
          <w:color w:val="auto"/>
          <w:sz w:val="24"/>
        </w:rPr>
        <w:object w:dxaOrig="300" w:dyaOrig="360" w14:anchorId="4D109E48">
          <v:shape id="_x0000_i1029" type="#_x0000_t75" style="width:15pt;height:18pt" o:ole="">
            <v:imagedata r:id="rId106" o:title=""/>
          </v:shape>
          <o:OLEObject Type="Embed" ProgID="Equation.DSMT4" ShapeID="_x0000_i1029" DrawAspect="Content" ObjectID="_1838358225" r:id="rId107"/>
        </w:object>
      </w:r>
      <w:r>
        <w:rPr>
          <w:rFonts w:ascii="宋体" w:hAnsi="宋体"/>
          <w:color w:val="auto"/>
          <w:sz w:val="24"/>
          <w:lang w:eastAsia="zh-CN"/>
        </w:rPr>
        <w:t>有：</w:t>
      </w:r>
    </w:p>
    <w:p w14:paraId="37492A3C" w14:textId="77777777" w:rsidR="0075791A" w:rsidRDefault="00FB2864">
      <w:pPr>
        <w:spacing w:line="460" w:lineRule="atLeast"/>
        <w:ind w:firstLine="480"/>
        <w:rPr>
          <w:rFonts w:ascii="宋体" w:hAnsi="宋体"/>
          <w:color w:val="auto"/>
          <w:sz w:val="24"/>
          <w:lang w:eastAsia="zh-CN"/>
        </w:rPr>
      </w:pPr>
      <w:r>
        <w:rPr>
          <w:rFonts w:ascii="宋体" w:hAnsi="宋体"/>
          <w:color w:val="auto"/>
          <w:sz w:val="24"/>
        </w:rPr>
        <w:object w:dxaOrig="1110" w:dyaOrig="510" w14:anchorId="11951443">
          <v:shape id="_x0000_i1030" type="#_x0000_t75" style="width:55.5pt;height:25.5pt" o:ole="" fillcolor="#001">
            <v:imagedata r:id="rId108" o:title=""/>
            <o:lock v:ext="edit" aspectratio="f"/>
          </v:shape>
          <o:OLEObject Type="Embed" ProgID="Equation.3" ShapeID="_x0000_i1030" DrawAspect="Content" ObjectID="_1838358226" r:id="rId109"/>
        </w:object>
      </w:r>
      <w:r>
        <w:rPr>
          <w:rFonts w:ascii="宋体" w:hAnsi="宋体"/>
          <w:color w:val="auto"/>
          <w:sz w:val="24"/>
          <w:lang w:eastAsia="zh-CN"/>
        </w:rPr>
        <w:t xml:space="preserve">                                             </w:t>
      </w:r>
      <w:r>
        <w:rPr>
          <w:rFonts w:ascii="宋体" w:hAnsi="宋体" w:hint="eastAsia"/>
          <w:color w:val="auto"/>
          <w:sz w:val="24"/>
          <w:lang w:eastAsia="zh-CN"/>
        </w:rPr>
        <w:t xml:space="preserve">   </w:t>
      </w:r>
      <w:r>
        <w:rPr>
          <w:rFonts w:ascii="宋体" w:hAnsi="宋体"/>
          <w:color w:val="auto"/>
          <w:sz w:val="24"/>
          <w:lang w:eastAsia="zh-CN"/>
        </w:rPr>
        <w:t>(</w:t>
      </w:r>
      <w:r>
        <w:rPr>
          <w:rFonts w:ascii="宋体" w:eastAsia="宋体" w:hAnsi="宋体" w:hint="eastAsia"/>
          <w:color w:val="auto"/>
          <w:sz w:val="24"/>
          <w:lang w:eastAsia="zh-CN"/>
        </w:rPr>
        <w:t>4</w:t>
      </w:r>
      <w:r>
        <w:rPr>
          <w:rFonts w:ascii="宋体" w:hAnsi="宋体" w:hint="eastAsia"/>
          <w:color w:val="auto"/>
          <w:sz w:val="24"/>
          <w:lang w:eastAsia="zh-CN"/>
        </w:rPr>
        <w:t>-4</w:t>
      </w:r>
      <w:r>
        <w:rPr>
          <w:rFonts w:ascii="宋体" w:hAnsi="宋体"/>
          <w:color w:val="auto"/>
          <w:sz w:val="24"/>
          <w:lang w:eastAsia="zh-CN"/>
        </w:rPr>
        <w:t>)</w:t>
      </w:r>
    </w:p>
    <w:p w14:paraId="0CE6088E" w14:textId="77777777" w:rsidR="0075791A" w:rsidRDefault="00FB2864">
      <w:pPr>
        <w:spacing w:line="460" w:lineRule="atLeast"/>
        <w:ind w:firstLine="480"/>
        <w:rPr>
          <w:rFonts w:ascii="宋体" w:hAnsi="宋体"/>
          <w:color w:val="auto"/>
          <w:sz w:val="24"/>
          <w:lang w:eastAsia="zh-CN"/>
        </w:rPr>
      </w:pPr>
      <w:r>
        <w:rPr>
          <w:rFonts w:ascii="宋体" w:hAnsi="宋体"/>
          <w:color w:val="auto"/>
          <w:sz w:val="24"/>
          <w:lang w:eastAsia="zh-CN"/>
        </w:rPr>
        <w:lastRenderedPageBreak/>
        <w:t>式中：</w:t>
      </w:r>
      <w:r>
        <w:rPr>
          <w:rFonts w:ascii="宋体" w:hAnsi="宋体"/>
          <w:color w:val="auto"/>
          <w:sz w:val="24"/>
        </w:rPr>
        <w:object w:dxaOrig="200" w:dyaOrig="280" w14:anchorId="1F371B98">
          <v:shape id="_x0000_i1031" type="#_x0000_t75" style="width:10pt;height:14pt" o:ole="" fillcolor="#001">
            <v:imagedata r:id="rId110" o:title=""/>
            <o:lock v:ext="edit" aspectratio="f"/>
          </v:shape>
          <o:OLEObject Type="Embed" ProgID="Equation.3" ShapeID="_x0000_i1031" DrawAspect="Content" ObjectID="_1838358227" r:id="rId111"/>
        </w:object>
      </w:r>
      <w:r>
        <w:rPr>
          <w:rFonts w:ascii="宋体" w:hAnsi="宋体"/>
          <w:color w:val="auto"/>
          <w:sz w:val="24"/>
          <w:lang w:eastAsia="zh-CN"/>
        </w:rPr>
        <w:t>为固边界法向；</w:t>
      </w:r>
      <w:r>
        <w:rPr>
          <w:rFonts w:ascii="宋体" w:hAnsi="宋体"/>
          <w:color w:val="auto"/>
          <w:sz w:val="24"/>
        </w:rPr>
        <w:object w:dxaOrig="990" w:dyaOrig="360" w14:anchorId="202A541D">
          <v:shape id="_x0000_i1032" type="#_x0000_t75" style="width:49.5pt;height:18pt" o:ole="" fillcolor="#001">
            <v:imagedata r:id="rId112" o:title=""/>
            <o:lock v:ext="edit" aspectratio="f"/>
          </v:shape>
          <o:OLEObject Type="Embed" ProgID="Equation.3" ShapeID="_x0000_i1032" DrawAspect="Content" ObjectID="_1838358228" r:id="rId113"/>
        </w:object>
      </w:r>
      <w:r>
        <w:rPr>
          <w:rFonts w:ascii="宋体" w:hAnsi="宋体"/>
          <w:color w:val="auto"/>
          <w:sz w:val="24"/>
          <w:lang w:eastAsia="zh-CN"/>
        </w:rPr>
        <w:t>、</w:t>
      </w:r>
      <w:r>
        <w:rPr>
          <w:rFonts w:ascii="宋体" w:hAnsi="宋体"/>
          <w:color w:val="auto"/>
          <w:sz w:val="24"/>
        </w:rPr>
        <w:object w:dxaOrig="980" w:dyaOrig="360" w14:anchorId="12E9915D">
          <v:shape id="_x0000_i1033" type="#_x0000_t75" style="width:49pt;height:18pt" o:ole="" fillcolor="#001">
            <v:imagedata r:id="rId114" o:title=""/>
            <o:lock v:ext="edit" aspectratio="f"/>
          </v:shape>
          <o:OLEObject Type="Embed" ProgID="Equation.3" ShapeID="_x0000_i1033" DrawAspect="Content" ObjectID="_1838358229" r:id="rId115"/>
        </w:object>
      </w:r>
      <w:r>
        <w:rPr>
          <w:rFonts w:ascii="宋体" w:hAnsi="宋体"/>
          <w:color w:val="auto"/>
          <w:sz w:val="24"/>
          <w:lang w:eastAsia="zh-CN"/>
        </w:rPr>
        <w:t>和</w:t>
      </w:r>
      <w:r>
        <w:rPr>
          <w:rFonts w:ascii="宋体" w:hAnsi="宋体"/>
          <w:color w:val="auto"/>
          <w:sz w:val="24"/>
        </w:rPr>
        <w:object w:dxaOrig="950" w:dyaOrig="360" w14:anchorId="257A5270">
          <v:shape id="_x0000_i1034" type="#_x0000_t75" style="width:47.5pt;height:18pt" o:ole="" fillcolor="#001">
            <v:imagedata r:id="rId116" o:title=""/>
            <o:lock v:ext="edit" aspectratio="f"/>
          </v:shape>
          <o:OLEObject Type="Embed" ProgID="Equation.3" ShapeID="_x0000_i1034" DrawAspect="Content" ObjectID="_1838358230" r:id="rId117"/>
        </w:object>
      </w:r>
      <w:r>
        <w:rPr>
          <w:rFonts w:ascii="宋体" w:hAnsi="宋体"/>
          <w:color w:val="auto"/>
          <w:sz w:val="24"/>
          <w:lang w:eastAsia="zh-CN"/>
        </w:rPr>
        <w:t>为已知值</w:t>
      </w:r>
      <w:r>
        <w:rPr>
          <w:rFonts w:ascii="宋体" w:hAnsi="宋体"/>
          <w:color w:val="auto"/>
          <w:sz w:val="24"/>
          <w:lang w:eastAsia="zh-CN"/>
        </w:rPr>
        <w:t>(</w:t>
      </w:r>
      <w:r>
        <w:rPr>
          <w:rFonts w:ascii="宋体" w:hAnsi="宋体"/>
          <w:color w:val="auto"/>
          <w:sz w:val="24"/>
          <w:lang w:eastAsia="zh-CN"/>
        </w:rPr>
        <w:t>实测或准实测或分析值</w:t>
      </w:r>
      <w:r>
        <w:rPr>
          <w:rFonts w:ascii="宋体" w:hAnsi="宋体"/>
          <w:color w:val="auto"/>
          <w:sz w:val="24"/>
          <w:lang w:eastAsia="zh-CN"/>
        </w:rPr>
        <w:t>)</w:t>
      </w:r>
      <w:r>
        <w:rPr>
          <w:rFonts w:ascii="宋体" w:hAnsi="宋体"/>
          <w:color w:val="auto"/>
          <w:sz w:val="24"/>
          <w:lang w:eastAsia="zh-CN"/>
        </w:rPr>
        <w:t>。式</w:t>
      </w:r>
      <w:r>
        <w:rPr>
          <w:rFonts w:ascii="宋体" w:hAnsi="宋体"/>
          <w:color w:val="auto"/>
          <w:sz w:val="24"/>
          <w:lang w:eastAsia="zh-CN"/>
        </w:rPr>
        <w:t>(</w:t>
      </w:r>
      <w:r>
        <w:rPr>
          <w:rFonts w:ascii="宋体" w:hAnsi="宋体" w:hint="eastAsia"/>
          <w:color w:val="auto"/>
          <w:sz w:val="24"/>
          <w:lang w:eastAsia="zh-CN"/>
        </w:rPr>
        <w:t>1-4</w:t>
      </w:r>
      <w:r>
        <w:rPr>
          <w:rFonts w:ascii="宋体" w:hAnsi="宋体"/>
          <w:color w:val="auto"/>
          <w:sz w:val="24"/>
          <w:lang w:eastAsia="zh-CN"/>
        </w:rPr>
        <w:t>)</w:t>
      </w:r>
      <w:r>
        <w:rPr>
          <w:rFonts w:ascii="宋体" w:hAnsi="宋体"/>
          <w:color w:val="auto"/>
          <w:sz w:val="24"/>
          <w:lang w:eastAsia="zh-CN"/>
        </w:rPr>
        <w:t>中的</w:t>
      </w:r>
      <w:r>
        <w:rPr>
          <w:rFonts w:ascii="宋体" w:hAnsi="宋体"/>
          <w:color w:val="auto"/>
          <w:sz w:val="24"/>
        </w:rPr>
        <w:object w:dxaOrig="260" w:dyaOrig="350" w14:anchorId="60B94842">
          <v:shape id="_x0000_i1035" type="#_x0000_t75" style="width:13pt;height:17.5pt" o:ole="" fillcolor="#001">
            <v:imagedata r:id="rId118" o:title=""/>
            <o:lock v:ext="edit" aspectratio="f"/>
          </v:shape>
          <o:OLEObject Type="Embed" ProgID="Equation.3" ShapeID="_x0000_i1035" DrawAspect="Content" ObjectID="_1838358231" r:id="rId119"/>
        </w:object>
      </w:r>
      <w:r>
        <w:rPr>
          <w:rFonts w:ascii="宋体" w:hAnsi="宋体"/>
          <w:color w:val="auto"/>
          <w:sz w:val="24"/>
          <w:lang w:eastAsia="zh-CN"/>
        </w:rPr>
        <w:t>为流速矢量</w:t>
      </w:r>
      <w:r>
        <w:rPr>
          <w:rFonts w:ascii="宋体" w:hAnsi="宋体"/>
          <w:color w:val="auto"/>
          <w:sz w:val="24"/>
          <w:lang w:eastAsia="zh-CN"/>
        </w:rPr>
        <w:t>(</w:t>
      </w:r>
      <w:r>
        <w:rPr>
          <w:rFonts w:ascii="宋体" w:hAnsi="宋体"/>
          <w:color w:val="auto"/>
          <w:sz w:val="24"/>
        </w:rPr>
        <w:object w:dxaOrig="1480" w:dyaOrig="500" w14:anchorId="3F16074F">
          <v:shape id="_x0000_i1036" type="#_x0000_t75" style="width:74pt;height:25pt" o:ole="" fillcolor="#001">
            <v:imagedata r:id="rId120" o:title=""/>
            <o:lock v:ext="edit" aspectratio="f"/>
          </v:shape>
          <o:OLEObject Type="Embed" ProgID="Equation.3" ShapeID="_x0000_i1036" DrawAspect="Content" ObjectID="_1838358232" r:id="rId121"/>
        </w:object>
      </w:r>
      <w:r>
        <w:rPr>
          <w:rFonts w:ascii="宋体" w:hAnsi="宋体"/>
          <w:color w:val="auto"/>
          <w:sz w:val="24"/>
          <w:lang w:eastAsia="zh-CN"/>
        </w:rPr>
        <w:t>)</w:t>
      </w:r>
      <w:r>
        <w:rPr>
          <w:rFonts w:ascii="宋体" w:hAnsi="宋体"/>
          <w:color w:val="auto"/>
          <w:sz w:val="24"/>
          <w:lang w:eastAsia="zh-CN"/>
        </w:rPr>
        <w:t>，其物理意义为流速矢量沿固边界的法向分量为零。</w:t>
      </w:r>
    </w:p>
    <w:p w14:paraId="6FE2F15F" w14:textId="77777777" w:rsidR="0075791A" w:rsidRDefault="00FB2864">
      <w:pPr>
        <w:spacing w:before="120" w:after="120" w:line="460" w:lineRule="atLeast"/>
        <w:ind w:firstLine="482"/>
        <w:rPr>
          <w:rFonts w:ascii="宋体" w:hAnsi="宋体"/>
          <w:b/>
          <w:color w:val="auto"/>
          <w:sz w:val="24"/>
          <w:lang w:eastAsia="zh-CN"/>
        </w:rPr>
      </w:pPr>
      <w:r>
        <w:rPr>
          <w:rFonts w:ascii="宋体" w:hAnsi="宋体"/>
          <w:b/>
          <w:color w:val="auto"/>
          <w:sz w:val="24"/>
          <w:lang w:eastAsia="zh-CN"/>
        </w:rPr>
        <w:t>(2)</w:t>
      </w:r>
      <w:r>
        <w:rPr>
          <w:rFonts w:ascii="宋体" w:hAnsi="宋体"/>
          <w:b/>
          <w:color w:val="auto"/>
          <w:sz w:val="24"/>
          <w:lang w:eastAsia="zh-CN"/>
        </w:rPr>
        <w:t>初始条件</w:t>
      </w:r>
    </w:p>
    <w:p w14:paraId="7052B5C8" w14:textId="77777777" w:rsidR="0075791A" w:rsidRDefault="00FB2864">
      <w:pPr>
        <w:spacing w:line="460" w:lineRule="atLeast"/>
        <w:ind w:firstLine="480"/>
        <w:rPr>
          <w:rFonts w:ascii="宋体" w:hAnsi="宋体"/>
          <w:b/>
          <w:color w:val="auto"/>
          <w:sz w:val="24"/>
          <w:lang w:eastAsia="zh-CN"/>
        </w:rPr>
      </w:pPr>
      <w:r>
        <w:rPr>
          <w:rFonts w:ascii="宋体" w:hAnsi="宋体"/>
          <w:color w:val="auto"/>
          <w:position w:val="-66"/>
          <w:sz w:val="24"/>
        </w:rPr>
        <w:object w:dxaOrig="2620" w:dyaOrig="1440" w14:anchorId="4B233ACA">
          <v:shape id="_x0000_i1037" type="#_x0000_t75" style="width:131pt;height:1in" o:ole="" fillcolor="#001">
            <v:imagedata r:id="rId122" o:title=""/>
            <o:lock v:ext="edit" aspectratio="f"/>
          </v:shape>
          <o:OLEObject Type="Embed" ProgID="Equation.3" ShapeID="_x0000_i1037" DrawAspect="Content" ObjectID="_1838358233" r:id="rId123"/>
        </w:object>
      </w:r>
      <w:r>
        <w:rPr>
          <w:rFonts w:ascii="宋体" w:hAnsi="宋体"/>
          <w:color w:val="auto"/>
          <w:sz w:val="24"/>
          <w:lang w:eastAsia="zh-CN"/>
        </w:rPr>
        <w:t xml:space="preserve">                                    (</w:t>
      </w:r>
      <w:r>
        <w:rPr>
          <w:rFonts w:ascii="宋体" w:eastAsia="宋体" w:hAnsi="宋体" w:hint="eastAsia"/>
          <w:color w:val="auto"/>
          <w:sz w:val="24"/>
          <w:lang w:eastAsia="zh-CN"/>
        </w:rPr>
        <w:t>4</w:t>
      </w:r>
      <w:r>
        <w:rPr>
          <w:rFonts w:ascii="宋体" w:hAnsi="宋体" w:hint="eastAsia"/>
          <w:color w:val="auto"/>
          <w:sz w:val="24"/>
          <w:lang w:eastAsia="zh-CN"/>
        </w:rPr>
        <w:t>-5</w:t>
      </w:r>
      <w:r>
        <w:rPr>
          <w:rFonts w:ascii="宋体" w:hAnsi="宋体"/>
          <w:color w:val="auto"/>
          <w:sz w:val="24"/>
          <w:lang w:eastAsia="zh-CN"/>
        </w:rPr>
        <w:t>)</w:t>
      </w:r>
    </w:p>
    <w:p w14:paraId="3014A5A1" w14:textId="77777777" w:rsidR="0075791A" w:rsidRDefault="00FB2864">
      <w:pPr>
        <w:pStyle w:val="20"/>
        <w:spacing w:line="460" w:lineRule="atLeast"/>
        <w:ind w:firstLine="560"/>
        <w:rPr>
          <w:rFonts w:ascii="宋体" w:hAnsi="宋体"/>
          <w:color w:val="auto"/>
        </w:rPr>
      </w:pPr>
      <w:r>
        <w:rPr>
          <w:rFonts w:ascii="宋体" w:hAnsi="宋体"/>
          <w:color w:val="auto"/>
        </w:rPr>
        <w:t>式中：</w:t>
      </w:r>
      <w:r>
        <w:rPr>
          <w:rFonts w:ascii="宋体" w:hAnsi="宋体"/>
          <w:color w:val="auto"/>
          <w:position w:val="-12"/>
        </w:rPr>
        <w:object w:dxaOrig="1090" w:dyaOrig="360" w14:anchorId="2193301A">
          <v:shape id="_x0000_i1038" type="#_x0000_t75" style="width:54.5pt;height:18pt" o:ole="" fillcolor="#001">
            <v:imagedata r:id="rId124" o:title=""/>
            <o:lock v:ext="edit" aspectratio="f"/>
          </v:shape>
          <o:OLEObject Type="Embed" ProgID="Equation.3" ShapeID="_x0000_i1038" DrawAspect="Content" ObjectID="_1838358234" r:id="rId125"/>
        </w:object>
      </w:r>
      <w:r>
        <w:rPr>
          <w:rFonts w:ascii="宋体" w:hAnsi="宋体"/>
          <w:color w:val="auto"/>
        </w:rPr>
        <w:t>、</w:t>
      </w:r>
      <w:r>
        <w:rPr>
          <w:rFonts w:ascii="宋体" w:hAnsi="宋体"/>
          <w:color w:val="auto"/>
          <w:position w:val="-12"/>
        </w:rPr>
        <w:object w:dxaOrig="1090" w:dyaOrig="360" w14:anchorId="26A90B52">
          <v:shape id="_x0000_i1039" type="#_x0000_t75" style="width:54.5pt;height:18pt" o:ole="" fillcolor="#001">
            <v:imagedata r:id="rId126" o:title=""/>
            <o:lock v:ext="edit" aspectratio="f"/>
          </v:shape>
          <o:OLEObject Type="Embed" ProgID="Equation.3" ShapeID="_x0000_i1039" DrawAspect="Content" ObjectID="_1838358235" r:id="rId127"/>
        </w:object>
      </w:r>
      <w:r>
        <w:rPr>
          <w:rFonts w:ascii="宋体" w:hAnsi="宋体"/>
          <w:color w:val="auto"/>
        </w:rPr>
        <w:t>和</w:t>
      </w:r>
      <w:r>
        <w:rPr>
          <w:rFonts w:ascii="宋体" w:hAnsi="宋体"/>
          <w:color w:val="auto"/>
          <w:position w:val="-12"/>
        </w:rPr>
        <w:object w:dxaOrig="1060" w:dyaOrig="360" w14:anchorId="3E241345">
          <v:shape id="_x0000_i1040" type="#_x0000_t75" style="width:53pt;height:18pt" o:ole="" fillcolor="#001">
            <v:imagedata r:id="rId128" o:title=""/>
            <o:lock v:ext="edit" aspectratio="f"/>
          </v:shape>
          <o:OLEObject Type="Embed" ProgID="Equation.3" ShapeID="_x0000_i1040" DrawAspect="Content" ObjectID="_1838358236" r:id="rId129"/>
        </w:object>
      </w:r>
      <w:r>
        <w:rPr>
          <w:rFonts w:ascii="宋体" w:hAnsi="宋体"/>
          <w:color w:val="auto"/>
        </w:rPr>
        <w:t>为初始时刻</w:t>
      </w:r>
      <w:r>
        <w:rPr>
          <w:rFonts w:ascii="宋体" w:hAnsi="宋体"/>
          <w:color w:val="auto"/>
          <w:position w:val="-12"/>
        </w:rPr>
        <w:object w:dxaOrig="210" w:dyaOrig="360" w14:anchorId="090406AD">
          <v:shape id="_x0000_i1041" type="#_x0000_t75" style="width:10.5pt;height:18pt" o:ole="" fillcolor="#001">
            <v:imagedata r:id="rId130" o:title=""/>
            <o:lock v:ext="edit" aspectratio="f"/>
          </v:shape>
          <o:OLEObject Type="Embed" ProgID="Equation.3" ShapeID="_x0000_i1041" DrawAspect="Content" ObjectID="_1838358237" r:id="rId131"/>
        </w:object>
      </w:r>
      <w:r>
        <w:rPr>
          <w:rFonts w:ascii="宋体" w:hAnsi="宋体"/>
          <w:color w:val="auto"/>
        </w:rPr>
        <w:t>的已知值。</w:t>
      </w:r>
    </w:p>
    <w:p w14:paraId="2322E197" w14:textId="77777777" w:rsidR="0075791A" w:rsidRDefault="00FB2864">
      <w:pPr>
        <w:spacing w:before="120" w:after="120" w:line="460" w:lineRule="atLeast"/>
        <w:ind w:firstLine="482"/>
        <w:rPr>
          <w:rFonts w:ascii="宋体" w:hAnsi="宋体"/>
          <w:b/>
          <w:color w:val="auto"/>
          <w:sz w:val="24"/>
          <w:lang w:eastAsia="zh-CN"/>
        </w:rPr>
      </w:pPr>
      <w:r>
        <w:rPr>
          <w:rFonts w:ascii="宋体" w:hAnsi="宋体"/>
          <w:b/>
          <w:color w:val="auto"/>
          <w:sz w:val="24"/>
          <w:lang w:eastAsia="zh-CN"/>
        </w:rPr>
        <w:t>(</w:t>
      </w:r>
      <w:r>
        <w:rPr>
          <w:rFonts w:ascii="宋体" w:hAnsi="宋体" w:hint="eastAsia"/>
          <w:b/>
          <w:color w:val="auto"/>
          <w:sz w:val="24"/>
          <w:lang w:eastAsia="zh-CN"/>
        </w:rPr>
        <w:t>3)</w:t>
      </w:r>
      <w:r>
        <w:rPr>
          <w:rFonts w:ascii="宋体" w:hAnsi="宋体" w:hint="eastAsia"/>
          <w:b/>
          <w:color w:val="auto"/>
          <w:sz w:val="24"/>
          <w:lang w:eastAsia="zh-CN"/>
        </w:rPr>
        <w:t>活动边界处理</w:t>
      </w:r>
    </w:p>
    <w:p w14:paraId="0C351801" w14:textId="77777777" w:rsidR="0075791A" w:rsidRDefault="00FB2864">
      <w:pPr>
        <w:spacing w:line="460" w:lineRule="atLeast"/>
        <w:ind w:firstLine="480"/>
        <w:rPr>
          <w:rFonts w:ascii="宋体" w:hAnsi="宋体"/>
          <w:color w:val="auto"/>
          <w:sz w:val="24"/>
          <w:lang w:eastAsia="zh-CN"/>
        </w:rPr>
      </w:pPr>
      <w:r>
        <w:rPr>
          <w:rFonts w:ascii="宋体" w:hAnsi="宋体" w:hint="eastAsia"/>
          <w:color w:val="auto"/>
          <w:sz w:val="24"/>
          <w:lang w:eastAsia="zh-CN"/>
        </w:rPr>
        <w:t>本模型采用干湿点判断法处理潮滩活动边界，在岸边界处，将邻近计算点的水位等值外推，根据潮滩“淹没”与“干出”过程同潮位变化的相关关系，当水深</w:t>
      </w:r>
      <w:r>
        <w:rPr>
          <w:rFonts w:ascii="宋体" w:hAnsi="宋体"/>
          <w:color w:val="auto"/>
          <w:position w:val="-6"/>
          <w:sz w:val="24"/>
        </w:rPr>
        <w:object w:dxaOrig="550" w:dyaOrig="290" w14:anchorId="7A80CEB2">
          <v:shape id="_x0000_i1042" type="#_x0000_t75" style="width:27.5pt;height:14.5pt" o:ole="">
            <v:imagedata r:id="rId132" o:title=""/>
            <o:lock v:ext="edit" aspectratio="f"/>
          </v:shape>
          <o:OLEObject Type="Embed" ProgID="Equation.3" ShapeID="_x0000_i1042" DrawAspect="Content" ObjectID="_1838358238" r:id="rId133"/>
        </w:object>
      </w:r>
      <w:r>
        <w:rPr>
          <w:rFonts w:ascii="宋体" w:hAnsi="宋体" w:hint="eastAsia"/>
          <w:color w:val="auto"/>
          <w:sz w:val="24"/>
          <w:lang w:eastAsia="zh-CN"/>
        </w:rPr>
        <w:t>时，潮滩露出，当水深</w:t>
      </w:r>
      <w:r>
        <w:rPr>
          <w:rFonts w:ascii="宋体" w:hAnsi="宋体"/>
          <w:color w:val="auto"/>
          <w:position w:val="-6"/>
          <w:sz w:val="24"/>
        </w:rPr>
        <w:object w:dxaOrig="550" w:dyaOrig="290" w14:anchorId="3A86772E">
          <v:shape id="_x0000_i1043" type="#_x0000_t75" style="width:27.5pt;height:14.5pt" o:ole="">
            <v:imagedata r:id="rId134" o:title=""/>
            <o:lock v:ext="edit" aspectratio="f"/>
          </v:shape>
          <o:OLEObject Type="Embed" ProgID="Equation.3" ShapeID="_x0000_i1043" DrawAspect="Content" ObjectID="_1838358239" r:id="rId135"/>
        </w:object>
      </w:r>
      <w:r>
        <w:rPr>
          <w:rFonts w:ascii="宋体" w:hAnsi="宋体" w:hint="eastAsia"/>
          <w:color w:val="auto"/>
          <w:sz w:val="24"/>
          <w:lang w:eastAsia="zh-CN"/>
        </w:rPr>
        <w:t>时，潮滩淹没。如果在某一时刻某节点干出，那么将此格点从有效计算域中去掉；同时，对流速做瞬时垂直壁处理，将与此水位点相邻的流速点设置为零流速；如果某个水位点判断为淹没，则将此点归入计算域。为了确保潮流方程不失去物理意义，选取一个最小水深</w:t>
      </w:r>
      <w:r>
        <w:rPr>
          <w:rFonts w:ascii="宋体" w:hAnsi="宋体" w:hint="eastAsia"/>
          <w:i/>
          <w:color w:val="auto"/>
          <w:sz w:val="24"/>
          <w:lang w:eastAsia="zh-CN"/>
        </w:rPr>
        <w:t>h</w:t>
      </w:r>
      <w:r>
        <w:rPr>
          <w:rFonts w:ascii="宋体" w:hAnsi="宋体" w:hint="eastAsia"/>
          <w:color w:val="auto"/>
          <w:sz w:val="24"/>
          <w:vertAlign w:val="subscript"/>
          <w:lang w:eastAsia="zh-CN"/>
        </w:rPr>
        <w:t>min</w:t>
      </w:r>
      <w:r>
        <w:rPr>
          <w:rFonts w:ascii="宋体" w:hAnsi="宋体" w:hint="eastAsia"/>
          <w:color w:val="auto"/>
          <w:sz w:val="24"/>
          <w:lang w:eastAsia="zh-CN"/>
        </w:rPr>
        <w:t>作为判断值，若</w:t>
      </w:r>
      <w:r>
        <w:rPr>
          <w:rFonts w:ascii="宋体" w:hAnsi="宋体"/>
          <w:color w:val="auto"/>
          <w:position w:val="-10"/>
          <w:sz w:val="24"/>
        </w:rPr>
        <w:object w:dxaOrig="810" w:dyaOrig="350" w14:anchorId="5396E492">
          <v:shape id="_x0000_i1044" type="#_x0000_t75" style="width:40.5pt;height:17.5pt" o:ole="">
            <v:imagedata r:id="rId136" o:title=""/>
            <o:lock v:ext="edit" aspectratio="f"/>
          </v:shape>
          <o:OLEObject Type="Embed" ProgID="Equation.3" ShapeID="_x0000_i1044" DrawAspect="Content" ObjectID="_1838358240" r:id="rId137"/>
        </w:object>
      </w:r>
      <w:r>
        <w:rPr>
          <w:rFonts w:ascii="宋体" w:hAnsi="宋体" w:hint="eastAsia"/>
          <w:color w:val="auto"/>
          <w:sz w:val="24"/>
          <w:lang w:eastAsia="zh-CN"/>
        </w:rPr>
        <w:t>，则认为网格点干出。</w:t>
      </w:r>
    </w:p>
    <w:p w14:paraId="6BE6900A" w14:textId="77777777" w:rsidR="0075791A" w:rsidRDefault="00FB2864">
      <w:pPr>
        <w:spacing w:before="120" w:after="120" w:line="460" w:lineRule="atLeast"/>
        <w:ind w:firstLine="482"/>
        <w:rPr>
          <w:rFonts w:ascii="宋体" w:hAnsi="宋体"/>
          <w:b/>
          <w:color w:val="auto"/>
          <w:sz w:val="24"/>
          <w:lang w:eastAsia="zh-CN"/>
        </w:rPr>
      </w:pPr>
      <w:r>
        <w:rPr>
          <w:rFonts w:ascii="宋体" w:hAnsi="宋体" w:hint="eastAsia"/>
          <w:b/>
          <w:color w:val="auto"/>
          <w:sz w:val="24"/>
          <w:lang w:eastAsia="zh-CN"/>
        </w:rPr>
        <w:t>(4</w:t>
      </w:r>
      <w:r>
        <w:rPr>
          <w:rFonts w:ascii="宋体" w:hAnsi="宋体"/>
          <w:b/>
          <w:color w:val="auto"/>
          <w:sz w:val="24"/>
          <w:lang w:eastAsia="zh-CN"/>
        </w:rPr>
        <w:t>)</w:t>
      </w:r>
      <w:bookmarkStart w:id="215" w:name="_Toc102379719"/>
      <w:r>
        <w:rPr>
          <w:rFonts w:ascii="宋体" w:hAnsi="宋体" w:hint="eastAsia"/>
          <w:b/>
          <w:color w:val="auto"/>
          <w:sz w:val="24"/>
          <w:lang w:eastAsia="zh-CN"/>
        </w:rPr>
        <w:t>计算域的确定及网格剖分</w:t>
      </w:r>
      <w:bookmarkEnd w:id="215"/>
    </w:p>
    <w:p w14:paraId="0730B9E3" w14:textId="77777777" w:rsidR="0075791A" w:rsidRDefault="00FB2864">
      <w:pPr>
        <w:spacing w:line="460" w:lineRule="atLeast"/>
        <w:ind w:firstLine="480"/>
        <w:rPr>
          <w:rFonts w:ascii="宋体" w:hAnsi="宋体"/>
          <w:color w:val="auto"/>
          <w:sz w:val="24"/>
          <w:lang w:eastAsia="zh-CN"/>
        </w:rPr>
      </w:pPr>
      <w:r>
        <w:rPr>
          <w:rFonts w:ascii="宋体" w:hAnsi="宋体" w:cs="宋体"/>
          <w:color w:val="auto"/>
          <w:sz w:val="24"/>
          <w:lang w:eastAsia="zh-CN"/>
        </w:rPr>
        <w:t xml:space="preserve"> </w:t>
      </w:r>
      <w:bookmarkStart w:id="216" w:name="_Toc203531716"/>
      <w:bookmarkStart w:id="217" w:name="_Toc169605381"/>
      <w:r>
        <w:rPr>
          <w:rFonts w:ascii="宋体" w:hAnsi="宋体" w:hint="eastAsia"/>
          <w:color w:val="auto"/>
          <w:sz w:val="24"/>
          <w:lang w:eastAsia="zh-CN"/>
        </w:rPr>
        <w:t>从满足工程研究需要出发，选定计算域为三亚以南海域。具体范围为：纬度</w:t>
      </w:r>
      <w:r>
        <w:rPr>
          <w:rFonts w:ascii="宋体" w:hAnsi="宋体" w:hint="eastAsia"/>
          <w:color w:val="auto"/>
          <w:sz w:val="24"/>
          <w:lang w:eastAsia="zh-CN"/>
        </w:rPr>
        <w:t>16</w:t>
      </w:r>
      <w:r>
        <w:rPr>
          <w:rFonts w:ascii="宋体" w:hAnsi="宋体" w:hint="eastAsia"/>
          <w:color w:val="auto"/>
          <w:sz w:val="24"/>
          <w:lang w:eastAsia="zh-CN"/>
        </w:rPr>
        <w:t>°</w:t>
      </w:r>
      <w:r>
        <w:rPr>
          <w:rFonts w:ascii="宋体" w:hAnsi="宋体"/>
          <w:color w:val="auto"/>
          <w:sz w:val="24"/>
          <w:lang w:eastAsia="zh-CN"/>
        </w:rPr>
        <w:t>4</w:t>
      </w:r>
      <w:r>
        <w:rPr>
          <w:rFonts w:ascii="宋体" w:hAnsi="宋体" w:hint="eastAsia"/>
          <w:color w:val="auto"/>
          <w:sz w:val="24"/>
          <w:lang w:eastAsia="zh-CN"/>
        </w:rPr>
        <w:t>6</w:t>
      </w:r>
      <w:r>
        <w:rPr>
          <w:rFonts w:ascii="宋体" w:hAnsi="宋体" w:hint="eastAsia"/>
          <w:color w:val="auto"/>
          <w:sz w:val="24"/>
          <w:lang w:eastAsia="zh-CN"/>
        </w:rPr>
        <w:t>′</w:t>
      </w:r>
      <w:r>
        <w:rPr>
          <w:rFonts w:ascii="宋体" w:hAnsi="宋体" w:hint="eastAsia"/>
          <w:color w:val="auto"/>
          <w:sz w:val="24"/>
          <w:lang w:eastAsia="zh-CN"/>
        </w:rPr>
        <w:t>N</w:t>
      </w:r>
      <w:r>
        <w:rPr>
          <w:rFonts w:ascii="宋体" w:hAnsi="宋体" w:hint="eastAsia"/>
          <w:color w:val="auto"/>
          <w:sz w:val="24"/>
          <w:lang w:eastAsia="zh-CN"/>
        </w:rPr>
        <w:t>至</w:t>
      </w:r>
      <w:r>
        <w:rPr>
          <w:rFonts w:ascii="宋体" w:hAnsi="宋体" w:hint="eastAsia"/>
          <w:color w:val="auto"/>
          <w:sz w:val="24"/>
          <w:lang w:eastAsia="zh-CN"/>
        </w:rPr>
        <w:t>17</w:t>
      </w:r>
      <w:r>
        <w:rPr>
          <w:rFonts w:ascii="宋体" w:hAnsi="宋体" w:hint="eastAsia"/>
          <w:color w:val="auto"/>
          <w:sz w:val="24"/>
          <w:lang w:eastAsia="zh-CN"/>
        </w:rPr>
        <w:t>°</w:t>
      </w:r>
      <w:r>
        <w:rPr>
          <w:rFonts w:ascii="宋体" w:hAnsi="宋体" w:hint="eastAsia"/>
          <w:color w:val="auto"/>
          <w:sz w:val="24"/>
          <w:lang w:eastAsia="zh-CN"/>
        </w:rPr>
        <w:t>40</w:t>
      </w:r>
      <w:r>
        <w:rPr>
          <w:rFonts w:ascii="宋体" w:hAnsi="宋体" w:hint="eastAsia"/>
          <w:color w:val="auto"/>
          <w:sz w:val="24"/>
          <w:lang w:eastAsia="zh-CN"/>
        </w:rPr>
        <w:t>′</w:t>
      </w:r>
      <w:r>
        <w:rPr>
          <w:rFonts w:ascii="宋体" w:hAnsi="宋体" w:hint="eastAsia"/>
          <w:color w:val="auto"/>
          <w:sz w:val="24"/>
          <w:lang w:eastAsia="zh-CN"/>
        </w:rPr>
        <w:t>N</w:t>
      </w:r>
      <w:r>
        <w:rPr>
          <w:rFonts w:ascii="宋体" w:hAnsi="宋体" w:hint="eastAsia"/>
          <w:color w:val="auto"/>
          <w:sz w:val="24"/>
          <w:lang w:eastAsia="zh-CN"/>
        </w:rPr>
        <w:t>，经度</w:t>
      </w:r>
      <w:r>
        <w:rPr>
          <w:rFonts w:ascii="宋体" w:hAnsi="宋体"/>
          <w:color w:val="auto"/>
          <w:sz w:val="24"/>
          <w:lang w:eastAsia="zh-CN"/>
        </w:rPr>
        <w:t>1</w:t>
      </w:r>
      <w:r>
        <w:rPr>
          <w:rFonts w:ascii="宋体" w:hAnsi="宋体" w:hint="eastAsia"/>
          <w:color w:val="auto"/>
          <w:sz w:val="24"/>
          <w:lang w:eastAsia="zh-CN"/>
        </w:rPr>
        <w:t>07</w:t>
      </w:r>
      <w:r>
        <w:rPr>
          <w:rFonts w:ascii="宋体" w:hAnsi="宋体" w:hint="eastAsia"/>
          <w:color w:val="auto"/>
          <w:sz w:val="24"/>
          <w:lang w:eastAsia="zh-CN"/>
        </w:rPr>
        <w:t>°</w:t>
      </w:r>
      <w:r>
        <w:rPr>
          <w:rFonts w:ascii="宋体" w:hAnsi="宋体" w:hint="eastAsia"/>
          <w:color w:val="auto"/>
          <w:sz w:val="24"/>
          <w:lang w:eastAsia="zh-CN"/>
        </w:rPr>
        <w:t>48</w:t>
      </w:r>
      <w:r>
        <w:rPr>
          <w:rFonts w:ascii="宋体" w:hAnsi="宋体" w:hint="eastAsia"/>
          <w:color w:val="auto"/>
          <w:sz w:val="24"/>
          <w:lang w:eastAsia="zh-CN"/>
        </w:rPr>
        <w:t>′</w:t>
      </w:r>
      <w:r>
        <w:rPr>
          <w:rFonts w:ascii="宋体" w:hAnsi="宋体" w:hint="eastAsia"/>
          <w:color w:val="auto"/>
          <w:sz w:val="24"/>
          <w:lang w:eastAsia="zh-CN"/>
        </w:rPr>
        <w:t>E</w:t>
      </w:r>
      <w:r>
        <w:rPr>
          <w:rFonts w:ascii="宋体" w:hAnsi="宋体" w:hint="eastAsia"/>
          <w:color w:val="auto"/>
          <w:sz w:val="24"/>
          <w:lang w:eastAsia="zh-CN"/>
        </w:rPr>
        <w:t>至</w:t>
      </w:r>
      <w:r>
        <w:rPr>
          <w:rFonts w:ascii="宋体" w:hAnsi="宋体"/>
          <w:color w:val="auto"/>
          <w:sz w:val="24"/>
          <w:lang w:eastAsia="zh-CN"/>
        </w:rPr>
        <w:t>11</w:t>
      </w:r>
      <w:r>
        <w:rPr>
          <w:rFonts w:ascii="宋体" w:hAnsi="宋体" w:hint="eastAsia"/>
          <w:color w:val="auto"/>
          <w:sz w:val="24"/>
          <w:lang w:eastAsia="zh-CN"/>
        </w:rPr>
        <w:t>1</w:t>
      </w:r>
      <w:r>
        <w:rPr>
          <w:rFonts w:ascii="宋体" w:hAnsi="宋体" w:hint="eastAsia"/>
          <w:color w:val="auto"/>
          <w:sz w:val="24"/>
          <w:lang w:eastAsia="zh-CN"/>
        </w:rPr>
        <w:t>°</w:t>
      </w:r>
      <w:r>
        <w:rPr>
          <w:rFonts w:ascii="宋体" w:hAnsi="宋体" w:hint="eastAsia"/>
          <w:color w:val="auto"/>
          <w:sz w:val="24"/>
          <w:lang w:eastAsia="zh-CN"/>
        </w:rPr>
        <w:t>42</w:t>
      </w:r>
      <w:r>
        <w:rPr>
          <w:rFonts w:ascii="宋体" w:hAnsi="宋体" w:hint="eastAsia"/>
          <w:color w:val="auto"/>
          <w:sz w:val="24"/>
          <w:lang w:eastAsia="zh-CN"/>
        </w:rPr>
        <w:t>′</w:t>
      </w:r>
      <w:r>
        <w:rPr>
          <w:rFonts w:ascii="宋体" w:hAnsi="宋体" w:hint="eastAsia"/>
          <w:color w:val="auto"/>
          <w:sz w:val="24"/>
          <w:lang w:eastAsia="zh-CN"/>
        </w:rPr>
        <w:t>E</w:t>
      </w:r>
      <w:r>
        <w:rPr>
          <w:rFonts w:ascii="宋体" w:hAnsi="宋体" w:hint="eastAsia"/>
          <w:color w:val="auto"/>
          <w:sz w:val="24"/>
          <w:lang w:eastAsia="zh-CN"/>
        </w:rPr>
        <w:t>，东西长约</w:t>
      </w:r>
      <w:r>
        <w:rPr>
          <w:rFonts w:ascii="宋体" w:hAnsi="宋体" w:hint="eastAsia"/>
          <w:color w:val="auto"/>
          <w:sz w:val="24"/>
          <w:lang w:eastAsia="zh-CN"/>
        </w:rPr>
        <w:t>433</w:t>
      </w:r>
      <w:r>
        <w:rPr>
          <w:rFonts w:ascii="宋体" w:hAnsi="宋体"/>
          <w:color w:val="auto"/>
          <w:sz w:val="24"/>
          <w:lang w:eastAsia="zh-CN"/>
        </w:rPr>
        <w:t>km</w:t>
      </w:r>
      <w:r>
        <w:rPr>
          <w:rFonts w:ascii="宋体" w:hAnsi="宋体" w:hint="eastAsia"/>
          <w:color w:val="auto"/>
          <w:sz w:val="24"/>
          <w:lang w:eastAsia="zh-CN"/>
        </w:rPr>
        <w:t>，南北宽约</w:t>
      </w:r>
      <w:r>
        <w:rPr>
          <w:rFonts w:ascii="宋体" w:hAnsi="宋体"/>
          <w:color w:val="auto"/>
          <w:sz w:val="24"/>
          <w:lang w:eastAsia="zh-CN"/>
        </w:rPr>
        <w:t>2</w:t>
      </w:r>
      <w:r>
        <w:rPr>
          <w:rFonts w:ascii="宋体" w:hAnsi="宋体" w:hint="eastAsia"/>
          <w:color w:val="auto"/>
          <w:sz w:val="24"/>
          <w:lang w:eastAsia="zh-CN"/>
        </w:rPr>
        <w:t>23</w:t>
      </w:r>
      <w:r>
        <w:rPr>
          <w:rFonts w:ascii="宋体" w:hAnsi="宋体"/>
          <w:color w:val="auto"/>
          <w:sz w:val="24"/>
          <w:lang w:eastAsia="zh-CN"/>
        </w:rPr>
        <w:t>km</w:t>
      </w:r>
      <w:r>
        <w:rPr>
          <w:rFonts w:ascii="宋体" w:hAnsi="宋体" w:hint="eastAsia"/>
          <w:color w:val="auto"/>
          <w:sz w:val="24"/>
          <w:lang w:eastAsia="zh-CN"/>
        </w:rPr>
        <w:t>。</w:t>
      </w:r>
    </w:p>
    <w:p w14:paraId="7357DC74" w14:textId="77777777" w:rsidR="0075791A" w:rsidRDefault="00FB2864">
      <w:pPr>
        <w:spacing w:line="460" w:lineRule="atLeast"/>
        <w:ind w:firstLine="480"/>
        <w:rPr>
          <w:rFonts w:ascii="宋体" w:hAnsi="宋体"/>
          <w:color w:val="auto"/>
          <w:sz w:val="24"/>
          <w:lang w:eastAsia="zh-CN"/>
        </w:rPr>
      </w:pPr>
      <w:r>
        <w:rPr>
          <w:rFonts w:ascii="宋体" w:hAnsi="宋体" w:hint="eastAsia"/>
          <w:color w:val="auto"/>
          <w:sz w:val="24"/>
          <w:lang w:eastAsia="zh-CN"/>
        </w:rPr>
        <w:t>本模型采用三角形网格剖分计算区域，三角形网格节点数为</w:t>
      </w:r>
      <w:r>
        <w:rPr>
          <w:rFonts w:ascii="宋体" w:hAnsi="宋体"/>
          <w:color w:val="auto"/>
          <w:sz w:val="24"/>
          <w:lang w:eastAsia="zh-CN"/>
        </w:rPr>
        <w:t>16397</w:t>
      </w:r>
      <w:r>
        <w:rPr>
          <w:rFonts w:ascii="宋体" w:hAnsi="宋体" w:hint="eastAsia"/>
          <w:color w:val="auto"/>
          <w:sz w:val="24"/>
          <w:lang w:eastAsia="zh-CN"/>
        </w:rPr>
        <w:t>个，三角形个数为</w:t>
      </w:r>
      <w:r>
        <w:rPr>
          <w:rFonts w:ascii="宋体" w:hAnsi="宋体"/>
          <w:color w:val="auto"/>
          <w:sz w:val="24"/>
          <w:lang w:eastAsia="zh-CN"/>
        </w:rPr>
        <w:t>31177</w:t>
      </w:r>
      <w:r>
        <w:rPr>
          <w:rFonts w:ascii="宋体" w:hAnsi="宋体" w:hint="eastAsia"/>
          <w:color w:val="auto"/>
          <w:sz w:val="24"/>
          <w:lang w:eastAsia="zh-CN"/>
        </w:rPr>
        <w:t>个，相邻网格节点最大间距为</w:t>
      </w:r>
      <w:r>
        <w:rPr>
          <w:rFonts w:ascii="宋体" w:hAnsi="宋体" w:hint="eastAsia"/>
          <w:color w:val="auto"/>
          <w:sz w:val="24"/>
          <w:lang w:eastAsia="zh-CN"/>
        </w:rPr>
        <w:t>5000</w:t>
      </w:r>
      <w:r>
        <w:rPr>
          <w:rFonts w:ascii="宋体" w:hAnsi="宋体"/>
          <w:color w:val="auto"/>
          <w:sz w:val="24"/>
          <w:lang w:eastAsia="zh-CN"/>
        </w:rPr>
        <w:t>m</w:t>
      </w:r>
      <w:r>
        <w:rPr>
          <w:rFonts w:ascii="宋体" w:hAnsi="宋体" w:hint="eastAsia"/>
          <w:color w:val="auto"/>
          <w:sz w:val="24"/>
          <w:lang w:eastAsia="zh-CN"/>
        </w:rPr>
        <w:t>，位于外海边界处；最小间距为</w:t>
      </w:r>
      <w:r>
        <w:rPr>
          <w:rFonts w:ascii="宋体" w:hAnsi="宋体" w:hint="eastAsia"/>
          <w:color w:val="auto"/>
          <w:sz w:val="24"/>
          <w:lang w:eastAsia="zh-CN"/>
        </w:rPr>
        <w:t>30</w:t>
      </w:r>
      <w:r>
        <w:rPr>
          <w:rFonts w:ascii="宋体" w:hAnsi="宋体"/>
          <w:color w:val="auto"/>
          <w:sz w:val="24"/>
          <w:lang w:eastAsia="zh-CN"/>
        </w:rPr>
        <w:t>m</w:t>
      </w:r>
      <w:r>
        <w:rPr>
          <w:rFonts w:ascii="宋体" w:hAnsi="宋体" w:hint="eastAsia"/>
          <w:color w:val="auto"/>
          <w:sz w:val="24"/>
          <w:lang w:eastAsia="zh-CN"/>
        </w:rPr>
        <w:t>，位于项目工程区域附近。网格剖分见图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w:t>
      </w:r>
      <w:r>
        <w:rPr>
          <w:rFonts w:ascii="宋体" w:hAnsi="宋体"/>
          <w:color w:val="auto"/>
          <w:sz w:val="24"/>
          <w:lang w:eastAsia="zh-CN"/>
        </w:rPr>
        <w:t>1</w:t>
      </w:r>
      <w:r>
        <w:rPr>
          <w:rFonts w:ascii="宋体" w:hAnsi="宋体" w:hint="eastAsia"/>
          <w:color w:val="auto"/>
          <w:sz w:val="24"/>
          <w:lang w:eastAsia="zh-CN"/>
        </w:rPr>
        <w:t>和图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w:t>
      </w:r>
      <w:r>
        <w:rPr>
          <w:rFonts w:ascii="宋体" w:hAnsi="宋体"/>
          <w:color w:val="auto"/>
          <w:sz w:val="24"/>
          <w:lang w:eastAsia="zh-CN"/>
        </w:rPr>
        <w:t>2</w:t>
      </w:r>
      <w:r>
        <w:rPr>
          <w:rFonts w:ascii="宋体" w:hAnsi="宋体" w:hint="eastAsia"/>
          <w:color w:val="auto"/>
          <w:sz w:val="24"/>
          <w:lang w:eastAsia="zh-CN"/>
        </w:rPr>
        <w:t>（局部放大）。</w:t>
      </w:r>
    </w:p>
    <w:p w14:paraId="0CB147AE" w14:textId="77777777" w:rsidR="0075791A" w:rsidRDefault="00FB2864">
      <w:pPr>
        <w:spacing w:line="460" w:lineRule="atLeast"/>
        <w:ind w:firstLine="480"/>
        <w:rPr>
          <w:rFonts w:ascii="宋体" w:hAnsi="宋体"/>
          <w:color w:val="auto"/>
          <w:sz w:val="24"/>
          <w:lang w:eastAsia="zh-CN"/>
        </w:rPr>
      </w:pPr>
      <w:r>
        <w:rPr>
          <w:rFonts w:ascii="宋体" w:hAnsi="宋体" w:hint="eastAsia"/>
          <w:color w:val="auto"/>
          <w:sz w:val="24"/>
          <w:lang w:eastAsia="zh-CN"/>
        </w:rPr>
        <w:t>模型水深和岸线由以下海图确定：</w:t>
      </w:r>
      <w:r>
        <w:rPr>
          <w:rFonts w:ascii="宋体" w:hAnsi="宋体" w:hint="eastAsia"/>
          <w:color w:val="auto"/>
          <w:sz w:val="24"/>
          <w:lang w:eastAsia="zh-CN"/>
        </w:rPr>
        <w:t>2021</w:t>
      </w:r>
      <w:r>
        <w:rPr>
          <w:rFonts w:ascii="宋体" w:hAnsi="宋体" w:hint="eastAsia"/>
          <w:color w:val="auto"/>
          <w:sz w:val="24"/>
          <w:lang w:eastAsia="zh-CN"/>
        </w:rPr>
        <w:t>年</w:t>
      </w:r>
      <w:r>
        <w:rPr>
          <w:rFonts w:ascii="宋体" w:hAnsi="宋体" w:hint="eastAsia"/>
          <w:color w:val="auto"/>
          <w:sz w:val="24"/>
          <w:lang w:eastAsia="zh-CN"/>
        </w:rPr>
        <w:t>6</w:t>
      </w:r>
      <w:r>
        <w:rPr>
          <w:rFonts w:ascii="宋体" w:hAnsi="宋体" w:hint="eastAsia"/>
          <w:color w:val="auto"/>
          <w:sz w:val="24"/>
          <w:lang w:eastAsia="zh-CN"/>
        </w:rPr>
        <w:t>月出版图号为</w:t>
      </w:r>
      <w:r>
        <w:rPr>
          <w:rFonts w:ascii="宋体" w:hAnsi="宋体" w:hint="eastAsia"/>
          <w:color w:val="auto"/>
          <w:sz w:val="24"/>
          <w:lang w:eastAsia="zh-CN"/>
        </w:rPr>
        <w:t>10016(</w:t>
      </w:r>
      <w:r>
        <w:rPr>
          <w:rFonts w:ascii="宋体" w:hAnsi="宋体" w:hint="eastAsia"/>
          <w:color w:val="auto"/>
          <w:sz w:val="24"/>
          <w:lang w:eastAsia="zh-CN"/>
        </w:rPr>
        <w:t>香港至海防，比例尺</w:t>
      </w:r>
      <w:r>
        <w:rPr>
          <w:rFonts w:ascii="宋体" w:hAnsi="宋体" w:hint="eastAsia"/>
          <w:color w:val="auto"/>
          <w:sz w:val="24"/>
          <w:lang w:eastAsia="zh-CN"/>
        </w:rPr>
        <w:t>:1:1000000)</w:t>
      </w:r>
      <w:r>
        <w:rPr>
          <w:rFonts w:ascii="宋体" w:hAnsi="宋体" w:hint="eastAsia"/>
          <w:color w:val="auto"/>
          <w:sz w:val="24"/>
          <w:lang w:eastAsia="zh-CN"/>
        </w:rPr>
        <w:t>海图，</w:t>
      </w:r>
      <w:r>
        <w:rPr>
          <w:rFonts w:ascii="宋体" w:hAnsi="宋体" w:hint="eastAsia"/>
          <w:color w:val="auto"/>
          <w:sz w:val="24"/>
          <w:lang w:eastAsia="zh-CN"/>
        </w:rPr>
        <w:t>2022</w:t>
      </w:r>
      <w:r>
        <w:rPr>
          <w:rFonts w:ascii="宋体" w:hAnsi="宋体" w:hint="eastAsia"/>
          <w:color w:val="auto"/>
          <w:sz w:val="24"/>
          <w:lang w:eastAsia="zh-CN"/>
        </w:rPr>
        <w:t>年</w:t>
      </w:r>
      <w:r>
        <w:rPr>
          <w:rFonts w:ascii="宋体" w:hAnsi="宋体" w:hint="eastAsia"/>
          <w:color w:val="auto"/>
          <w:sz w:val="24"/>
          <w:lang w:eastAsia="zh-CN"/>
        </w:rPr>
        <w:t>3</w:t>
      </w:r>
      <w:r>
        <w:rPr>
          <w:rFonts w:ascii="宋体" w:hAnsi="宋体" w:hint="eastAsia"/>
          <w:color w:val="auto"/>
          <w:sz w:val="24"/>
          <w:lang w:eastAsia="zh-CN"/>
        </w:rPr>
        <w:t>月出版图号为</w:t>
      </w:r>
      <w:r>
        <w:rPr>
          <w:rFonts w:ascii="宋体" w:hAnsi="宋体" w:hint="eastAsia"/>
          <w:color w:val="auto"/>
          <w:sz w:val="24"/>
          <w:lang w:eastAsia="zh-CN"/>
        </w:rPr>
        <w:t>16341</w:t>
      </w:r>
      <w:r>
        <w:rPr>
          <w:rFonts w:ascii="宋体" w:hAnsi="宋体" w:hint="eastAsia"/>
          <w:color w:val="auto"/>
          <w:sz w:val="24"/>
          <w:lang w:eastAsia="zh-CN"/>
        </w:rPr>
        <w:t>（三亚港附近，比例尺</w:t>
      </w:r>
      <w:r>
        <w:rPr>
          <w:rFonts w:ascii="宋体" w:hAnsi="宋体" w:hint="eastAsia"/>
          <w:color w:val="auto"/>
          <w:sz w:val="24"/>
          <w:lang w:eastAsia="zh-CN"/>
        </w:rPr>
        <w:t>:1:25000</w:t>
      </w:r>
      <w:r>
        <w:rPr>
          <w:rFonts w:ascii="宋体" w:hAnsi="宋体" w:hint="eastAsia"/>
          <w:color w:val="auto"/>
          <w:sz w:val="24"/>
          <w:lang w:eastAsia="zh-CN"/>
        </w:rPr>
        <w:t>）海图，</w:t>
      </w:r>
      <w:r>
        <w:rPr>
          <w:rFonts w:ascii="宋体" w:hAnsi="宋体" w:hint="eastAsia"/>
          <w:color w:val="auto"/>
          <w:sz w:val="24"/>
          <w:lang w:eastAsia="zh-CN"/>
        </w:rPr>
        <w:t>2021</w:t>
      </w:r>
      <w:r>
        <w:rPr>
          <w:rFonts w:ascii="宋体" w:hAnsi="宋体" w:hint="eastAsia"/>
          <w:color w:val="auto"/>
          <w:sz w:val="24"/>
          <w:lang w:eastAsia="zh-CN"/>
        </w:rPr>
        <w:t>年出版图号为</w:t>
      </w:r>
      <w:r>
        <w:rPr>
          <w:rFonts w:ascii="宋体" w:hAnsi="宋体" w:hint="eastAsia"/>
          <w:color w:val="auto"/>
          <w:sz w:val="24"/>
          <w:lang w:eastAsia="zh-CN"/>
        </w:rPr>
        <w:t>16</w:t>
      </w:r>
      <w:r>
        <w:rPr>
          <w:rFonts w:ascii="宋体" w:hAnsi="宋体" w:hint="eastAsia"/>
          <w:color w:val="auto"/>
          <w:sz w:val="24"/>
          <w:lang w:eastAsia="zh-CN"/>
        </w:rPr>
        <w:t>170</w:t>
      </w:r>
      <w:r>
        <w:rPr>
          <w:rFonts w:ascii="宋体" w:hAnsi="宋体" w:hint="eastAsia"/>
          <w:color w:val="auto"/>
          <w:sz w:val="24"/>
          <w:lang w:eastAsia="zh-CN"/>
        </w:rPr>
        <w:t>（大洲岛至三亚港，比例尺</w:t>
      </w:r>
      <w:r>
        <w:rPr>
          <w:rFonts w:ascii="宋体" w:hAnsi="宋体" w:hint="eastAsia"/>
          <w:color w:val="auto"/>
          <w:sz w:val="24"/>
          <w:lang w:eastAsia="zh-CN"/>
        </w:rPr>
        <w:t>:1:150000</w:t>
      </w:r>
      <w:r>
        <w:rPr>
          <w:rFonts w:ascii="宋体" w:hAnsi="宋体" w:hint="eastAsia"/>
          <w:color w:val="auto"/>
          <w:sz w:val="24"/>
          <w:lang w:eastAsia="zh-CN"/>
        </w:rPr>
        <w:t>）。</w:t>
      </w:r>
      <w:r>
        <w:rPr>
          <w:rFonts w:ascii="宋体" w:hAnsi="宋体" w:hint="eastAsia"/>
          <w:color w:val="auto"/>
          <w:sz w:val="24"/>
          <w:lang w:eastAsia="zh-CN"/>
        </w:rPr>
        <w:lastRenderedPageBreak/>
        <w:t>项目区域水深由</w:t>
      </w:r>
      <w:r>
        <w:rPr>
          <w:rFonts w:ascii="宋体" w:hAnsi="宋体" w:hint="eastAsia"/>
          <w:color w:val="auto"/>
          <w:sz w:val="24"/>
          <w:lang w:eastAsia="zh-CN"/>
        </w:rPr>
        <w:t>2025</w:t>
      </w:r>
      <w:r>
        <w:rPr>
          <w:rFonts w:ascii="宋体" w:hAnsi="宋体" w:hint="eastAsia"/>
          <w:color w:val="auto"/>
          <w:sz w:val="24"/>
          <w:lang w:eastAsia="zh-CN"/>
        </w:rPr>
        <w:t>年实测的</w:t>
      </w:r>
      <w:r>
        <w:rPr>
          <w:rFonts w:ascii="宋体" w:hAnsi="宋体" w:hint="eastAsia"/>
          <w:color w:val="auto"/>
          <w:sz w:val="24"/>
          <w:lang w:eastAsia="zh-CN"/>
        </w:rPr>
        <w:t>1:500</w:t>
      </w:r>
      <w:r>
        <w:rPr>
          <w:rFonts w:ascii="宋体" w:hAnsi="宋体" w:hint="eastAsia"/>
          <w:color w:val="auto"/>
          <w:sz w:val="24"/>
          <w:lang w:eastAsia="zh-CN"/>
        </w:rPr>
        <w:t>水下地形测量资料插值后取得。所有水深都转化至平均海平面再插值至网格点上，项目区域计算水深分布和网格剖分见图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w:t>
      </w:r>
      <w:r>
        <w:rPr>
          <w:rFonts w:ascii="宋体" w:eastAsia="宋体" w:hAnsi="宋体" w:hint="eastAsia"/>
          <w:color w:val="auto"/>
          <w:sz w:val="24"/>
          <w:lang w:eastAsia="zh-CN"/>
        </w:rPr>
        <w:t>3</w:t>
      </w:r>
      <w:r>
        <w:rPr>
          <w:rFonts w:ascii="宋体" w:hAnsi="宋体" w:hint="eastAsia"/>
          <w:color w:val="auto"/>
          <w:sz w:val="24"/>
          <w:lang w:eastAsia="zh-CN"/>
        </w:rPr>
        <w:t>。</w:t>
      </w:r>
    </w:p>
    <w:p w14:paraId="0817834E" w14:textId="77777777" w:rsidR="0075791A" w:rsidRDefault="00FB2864">
      <w:pPr>
        <w:tabs>
          <w:tab w:val="left" w:pos="8640"/>
        </w:tabs>
        <w:spacing w:line="460" w:lineRule="exact"/>
        <w:ind w:right="91" w:firstLine="480"/>
        <w:textAlignment w:val="bottom"/>
        <w:rPr>
          <w:rFonts w:ascii="宋体" w:hAnsi="宋体"/>
          <w:color w:val="auto"/>
          <w:sz w:val="24"/>
          <w:lang w:eastAsia="zh-CN"/>
        </w:rPr>
      </w:pPr>
      <w:r>
        <w:rPr>
          <w:rFonts w:ascii="宋体" w:hAnsi="宋体" w:hint="eastAsia"/>
          <w:color w:val="auto"/>
          <w:sz w:val="24"/>
          <w:lang w:eastAsia="zh-CN"/>
        </w:rPr>
        <w:t>计算域外海开边界条件根据历史调查资料计算的调和常数和有关文献提供，</w:t>
      </w:r>
      <w:r>
        <w:rPr>
          <w:rFonts w:ascii="宋体" w:hAnsi="宋体"/>
          <w:color w:val="auto"/>
          <w:sz w:val="24"/>
          <w:lang w:eastAsia="zh-CN"/>
        </w:rPr>
        <w:t>选取</w:t>
      </w:r>
      <w:r>
        <w:rPr>
          <w:rFonts w:ascii="宋体" w:hAnsi="宋体" w:hint="eastAsia"/>
          <w:color w:val="auto"/>
          <w:sz w:val="24"/>
          <w:lang w:eastAsia="zh-CN"/>
        </w:rPr>
        <w:t>8</w:t>
      </w:r>
      <w:r>
        <w:rPr>
          <w:rFonts w:ascii="宋体" w:hAnsi="宋体"/>
          <w:color w:val="auto"/>
          <w:sz w:val="24"/>
          <w:lang w:eastAsia="zh-CN"/>
        </w:rPr>
        <w:t>个主要分潮</w:t>
      </w:r>
      <w:r>
        <w:rPr>
          <w:rFonts w:ascii="宋体" w:hAnsi="宋体" w:hint="eastAsia"/>
          <w:color w:val="auto"/>
          <w:sz w:val="24"/>
          <w:lang w:eastAsia="zh-CN"/>
        </w:rPr>
        <w:t>（</w:t>
      </w:r>
      <w:r>
        <w:rPr>
          <w:rFonts w:ascii="宋体" w:hAnsi="宋体"/>
          <w:color w:val="auto"/>
          <w:sz w:val="24"/>
          <w:lang w:eastAsia="zh-CN"/>
        </w:rPr>
        <w:t>M</w:t>
      </w:r>
      <w:r>
        <w:rPr>
          <w:rFonts w:ascii="宋体" w:hAnsi="宋体"/>
          <w:color w:val="auto"/>
          <w:sz w:val="24"/>
          <w:vertAlign w:val="subscript"/>
          <w:lang w:eastAsia="zh-CN"/>
        </w:rPr>
        <w:t>2</w:t>
      </w:r>
      <w:r>
        <w:rPr>
          <w:rFonts w:ascii="宋体" w:hAnsi="宋体"/>
          <w:color w:val="auto"/>
          <w:sz w:val="24"/>
          <w:lang w:eastAsia="zh-CN"/>
        </w:rPr>
        <w:t>、</w:t>
      </w:r>
      <w:r>
        <w:rPr>
          <w:rFonts w:ascii="宋体" w:hAnsi="宋体"/>
          <w:color w:val="auto"/>
          <w:sz w:val="24"/>
          <w:lang w:eastAsia="zh-CN"/>
        </w:rPr>
        <w:t>S</w:t>
      </w:r>
      <w:r>
        <w:rPr>
          <w:rFonts w:ascii="宋体" w:hAnsi="宋体"/>
          <w:color w:val="auto"/>
          <w:sz w:val="24"/>
          <w:vertAlign w:val="subscript"/>
          <w:lang w:eastAsia="zh-CN"/>
        </w:rPr>
        <w:t>2</w:t>
      </w:r>
      <w:r>
        <w:rPr>
          <w:rFonts w:ascii="宋体" w:hAnsi="宋体"/>
          <w:color w:val="auto"/>
          <w:sz w:val="24"/>
          <w:lang w:eastAsia="zh-CN"/>
        </w:rPr>
        <w:t>、</w:t>
      </w:r>
      <w:r>
        <w:rPr>
          <w:rFonts w:ascii="宋体" w:hAnsi="宋体"/>
          <w:color w:val="auto"/>
          <w:sz w:val="24"/>
          <w:lang w:eastAsia="zh-CN"/>
        </w:rPr>
        <w:t>N</w:t>
      </w:r>
      <w:r>
        <w:rPr>
          <w:rFonts w:ascii="宋体" w:hAnsi="宋体"/>
          <w:color w:val="auto"/>
          <w:sz w:val="24"/>
          <w:vertAlign w:val="subscript"/>
          <w:lang w:eastAsia="zh-CN"/>
        </w:rPr>
        <w:t>2</w:t>
      </w:r>
      <w:r>
        <w:rPr>
          <w:rFonts w:ascii="宋体" w:hAnsi="宋体"/>
          <w:color w:val="auto"/>
          <w:sz w:val="24"/>
          <w:lang w:eastAsia="zh-CN"/>
        </w:rPr>
        <w:t>、</w:t>
      </w:r>
      <w:r>
        <w:rPr>
          <w:rFonts w:ascii="宋体" w:hAnsi="宋体"/>
          <w:color w:val="auto"/>
          <w:sz w:val="24"/>
          <w:lang w:eastAsia="zh-CN"/>
        </w:rPr>
        <w:t>K</w:t>
      </w:r>
      <w:r>
        <w:rPr>
          <w:rFonts w:ascii="宋体" w:hAnsi="宋体"/>
          <w:color w:val="auto"/>
          <w:sz w:val="24"/>
          <w:vertAlign w:val="subscript"/>
          <w:lang w:eastAsia="zh-CN"/>
        </w:rPr>
        <w:t>2</w:t>
      </w:r>
      <w:r>
        <w:rPr>
          <w:rFonts w:ascii="宋体" w:hAnsi="宋体"/>
          <w:color w:val="auto"/>
          <w:sz w:val="24"/>
          <w:lang w:eastAsia="zh-CN"/>
        </w:rPr>
        <w:t>、</w:t>
      </w:r>
      <w:r>
        <w:rPr>
          <w:rFonts w:ascii="宋体" w:hAnsi="宋体"/>
          <w:color w:val="auto"/>
          <w:sz w:val="24"/>
          <w:lang w:eastAsia="zh-CN"/>
        </w:rPr>
        <w:t>K</w:t>
      </w:r>
      <w:r>
        <w:rPr>
          <w:rFonts w:ascii="宋体" w:hAnsi="宋体"/>
          <w:color w:val="auto"/>
          <w:sz w:val="24"/>
          <w:vertAlign w:val="subscript"/>
          <w:lang w:eastAsia="zh-CN"/>
        </w:rPr>
        <w:t>1</w:t>
      </w:r>
      <w:r>
        <w:rPr>
          <w:rFonts w:ascii="宋体" w:hAnsi="宋体"/>
          <w:color w:val="auto"/>
          <w:sz w:val="24"/>
          <w:lang w:eastAsia="zh-CN"/>
        </w:rPr>
        <w:t>、</w:t>
      </w:r>
      <w:r>
        <w:rPr>
          <w:rFonts w:ascii="宋体" w:hAnsi="宋体"/>
          <w:color w:val="auto"/>
          <w:sz w:val="24"/>
          <w:lang w:eastAsia="zh-CN"/>
        </w:rPr>
        <w:t>O</w:t>
      </w:r>
      <w:r>
        <w:rPr>
          <w:rFonts w:ascii="宋体" w:hAnsi="宋体"/>
          <w:color w:val="auto"/>
          <w:sz w:val="24"/>
          <w:vertAlign w:val="subscript"/>
          <w:lang w:eastAsia="zh-CN"/>
        </w:rPr>
        <w:t>1</w:t>
      </w:r>
      <w:r>
        <w:rPr>
          <w:rFonts w:ascii="宋体" w:hAnsi="宋体"/>
          <w:color w:val="auto"/>
          <w:sz w:val="24"/>
          <w:lang w:eastAsia="zh-CN"/>
        </w:rPr>
        <w:t>、</w:t>
      </w:r>
      <w:r>
        <w:rPr>
          <w:rFonts w:ascii="宋体" w:hAnsi="宋体"/>
          <w:color w:val="auto"/>
          <w:sz w:val="24"/>
          <w:lang w:eastAsia="zh-CN"/>
        </w:rPr>
        <w:t>P</w:t>
      </w:r>
      <w:r>
        <w:rPr>
          <w:rFonts w:ascii="宋体" w:hAnsi="宋体"/>
          <w:color w:val="auto"/>
          <w:sz w:val="24"/>
          <w:vertAlign w:val="subscript"/>
          <w:lang w:eastAsia="zh-CN"/>
        </w:rPr>
        <w:t>1</w:t>
      </w:r>
      <w:r>
        <w:rPr>
          <w:rFonts w:ascii="宋体" w:hAnsi="宋体" w:hint="eastAsia"/>
          <w:color w:val="auto"/>
          <w:sz w:val="24"/>
          <w:lang w:eastAsia="zh-CN"/>
        </w:rPr>
        <w:t>、</w:t>
      </w:r>
      <w:r>
        <w:rPr>
          <w:rFonts w:ascii="宋体" w:hAnsi="宋体"/>
          <w:color w:val="auto"/>
          <w:sz w:val="24"/>
          <w:lang w:eastAsia="zh-CN"/>
        </w:rPr>
        <w:t>Q</w:t>
      </w:r>
      <w:r>
        <w:rPr>
          <w:rFonts w:ascii="宋体" w:hAnsi="宋体"/>
          <w:color w:val="auto"/>
          <w:sz w:val="24"/>
          <w:vertAlign w:val="subscript"/>
          <w:lang w:eastAsia="zh-CN"/>
        </w:rPr>
        <w:t>1</w:t>
      </w:r>
      <w:r>
        <w:rPr>
          <w:rFonts w:ascii="宋体" w:hAnsi="宋体" w:hint="eastAsia"/>
          <w:color w:val="auto"/>
          <w:sz w:val="24"/>
          <w:lang w:eastAsia="zh-CN"/>
        </w:rPr>
        <w:t>）叠加</w:t>
      </w:r>
      <w:r>
        <w:rPr>
          <w:rFonts w:ascii="宋体" w:hAnsi="宋体"/>
          <w:color w:val="auto"/>
          <w:sz w:val="24"/>
          <w:lang w:eastAsia="zh-CN"/>
        </w:rPr>
        <w:t>，</w:t>
      </w:r>
      <w:r>
        <w:rPr>
          <w:rFonts w:ascii="宋体" w:hAnsi="宋体" w:hint="eastAsia"/>
          <w:color w:val="auto"/>
          <w:sz w:val="24"/>
          <w:lang w:eastAsia="zh-CN"/>
        </w:rPr>
        <w:t>并根据部分水文观测站的实测潮位结果进行调整。由于没有实测风速资料，在此只模拟了计算域内的潮流场。</w:t>
      </w:r>
    </w:p>
    <w:p w14:paraId="0914F772" w14:textId="77777777" w:rsidR="0075791A" w:rsidRDefault="00FB2864">
      <w:pPr>
        <w:tabs>
          <w:tab w:val="left" w:pos="8640"/>
        </w:tabs>
        <w:spacing w:line="460" w:lineRule="exact"/>
        <w:ind w:right="91" w:firstLine="480"/>
        <w:textAlignment w:val="bottom"/>
        <w:rPr>
          <w:rFonts w:ascii="宋体" w:hAnsi="宋体" w:cs="宋体"/>
          <w:color w:val="auto"/>
          <w:sz w:val="24"/>
          <w:lang w:eastAsia="zh-CN"/>
        </w:rPr>
      </w:pPr>
      <w:r>
        <w:rPr>
          <w:rFonts w:ascii="宋体" w:hAnsi="宋体" w:hint="eastAsia"/>
          <w:color w:val="auto"/>
          <w:sz w:val="24"/>
          <w:lang w:eastAsia="zh-CN"/>
        </w:rPr>
        <w:t>本项目</w:t>
      </w:r>
      <w:r>
        <w:rPr>
          <w:rFonts w:ascii="宋体" w:eastAsia="宋体" w:hAnsi="宋体" w:hint="eastAsia"/>
          <w:color w:val="auto"/>
          <w:sz w:val="24"/>
          <w:lang w:eastAsia="zh-CN"/>
        </w:rPr>
        <w:t>主要</w:t>
      </w:r>
      <w:r>
        <w:rPr>
          <w:rFonts w:ascii="宋体" w:hAnsi="宋体" w:hint="eastAsia"/>
          <w:color w:val="auto"/>
          <w:sz w:val="24"/>
          <w:lang w:eastAsia="zh-CN"/>
        </w:rPr>
        <w:t>为疏浚工程，工程前后通过改变疏浚区的水深来体现本项目工程。</w:t>
      </w:r>
    </w:p>
    <w:p w14:paraId="0465750F" w14:textId="77777777" w:rsidR="0075791A" w:rsidRDefault="00FB2864">
      <w:pPr>
        <w:spacing w:before="120" w:after="120" w:line="460" w:lineRule="atLeast"/>
        <w:ind w:left="539"/>
        <w:rPr>
          <w:rFonts w:ascii="宋体" w:eastAsia="宋体" w:hAnsi="宋体"/>
          <w:b/>
          <w:color w:val="auto"/>
          <w:sz w:val="24"/>
          <w:lang w:eastAsia="zh-CN"/>
        </w:rPr>
      </w:pPr>
      <w:bookmarkStart w:id="218" w:name="_Toc97882950"/>
      <w:bookmarkEnd w:id="216"/>
      <w:bookmarkEnd w:id="217"/>
      <w:r>
        <w:rPr>
          <w:rFonts w:ascii="宋体" w:eastAsia="宋体" w:hAnsi="宋体" w:hint="eastAsia"/>
          <w:b/>
          <w:color w:val="auto"/>
          <w:sz w:val="24"/>
          <w:lang w:eastAsia="zh-CN"/>
        </w:rPr>
        <w:t>3.</w:t>
      </w:r>
      <w:r>
        <w:rPr>
          <w:rFonts w:ascii="宋体" w:eastAsia="宋体" w:hAnsi="宋体" w:hint="eastAsia"/>
          <w:b/>
          <w:color w:val="auto"/>
          <w:sz w:val="24"/>
          <w:lang w:eastAsia="zh-CN"/>
        </w:rPr>
        <w:t>模型验证</w:t>
      </w:r>
      <w:bookmarkEnd w:id="218"/>
    </w:p>
    <w:p w14:paraId="43486D1B" w14:textId="77777777" w:rsidR="0075791A" w:rsidRDefault="00FB2864">
      <w:pPr>
        <w:spacing w:line="440" w:lineRule="exact"/>
        <w:ind w:right="-79" w:firstLine="480"/>
        <w:rPr>
          <w:rFonts w:ascii="宋体" w:hAnsi="宋体" w:cs="宋体"/>
          <w:color w:val="auto"/>
          <w:sz w:val="24"/>
          <w:lang w:eastAsia="zh-CN"/>
        </w:rPr>
      </w:pPr>
      <w:r>
        <w:rPr>
          <w:rFonts w:ascii="宋体" w:hAnsi="宋体" w:cs="宋体" w:hint="eastAsia"/>
          <w:color w:val="auto"/>
          <w:sz w:val="24"/>
          <w:lang w:eastAsia="zh-CN"/>
        </w:rPr>
        <w:t>项目附近海区的实测海流</w:t>
      </w:r>
      <w:r>
        <w:rPr>
          <w:rFonts w:ascii="宋体" w:hAnsi="宋体" w:hint="eastAsia"/>
          <w:color w:val="auto"/>
          <w:sz w:val="24"/>
          <w:lang w:eastAsia="zh-CN"/>
        </w:rPr>
        <w:t>资料为</w:t>
      </w:r>
      <w:r>
        <w:rPr>
          <w:rFonts w:ascii="宋体" w:hAnsi="宋体"/>
          <w:color w:val="auto"/>
          <w:sz w:val="24"/>
          <w:lang w:eastAsia="zh-CN"/>
        </w:rPr>
        <w:t>2023</w:t>
      </w:r>
      <w:r>
        <w:rPr>
          <w:rFonts w:ascii="宋体" w:hAnsi="宋体"/>
          <w:color w:val="auto"/>
          <w:sz w:val="24"/>
          <w:lang w:eastAsia="zh-CN"/>
        </w:rPr>
        <w:t>年</w:t>
      </w:r>
      <w:r>
        <w:rPr>
          <w:rFonts w:ascii="宋体" w:hAnsi="宋体"/>
          <w:color w:val="auto"/>
          <w:sz w:val="24"/>
          <w:lang w:eastAsia="zh-CN"/>
        </w:rPr>
        <w:t>6</w:t>
      </w:r>
      <w:r>
        <w:rPr>
          <w:rFonts w:ascii="宋体" w:hAnsi="宋体"/>
          <w:color w:val="auto"/>
          <w:sz w:val="24"/>
          <w:lang w:eastAsia="zh-CN"/>
        </w:rPr>
        <w:t>月</w:t>
      </w:r>
      <w:r>
        <w:rPr>
          <w:rFonts w:ascii="宋体" w:hAnsi="宋体"/>
          <w:color w:val="auto"/>
          <w:sz w:val="24"/>
          <w:lang w:eastAsia="zh-CN"/>
        </w:rPr>
        <w:t>19</w:t>
      </w:r>
      <w:r>
        <w:rPr>
          <w:rFonts w:ascii="宋体" w:hAnsi="宋体"/>
          <w:color w:val="auto"/>
          <w:sz w:val="24"/>
          <w:lang w:eastAsia="zh-CN"/>
        </w:rPr>
        <w:t>日</w:t>
      </w:r>
      <w:r>
        <w:rPr>
          <w:rFonts w:ascii="宋体" w:hAnsi="宋体" w:hint="eastAsia"/>
          <w:color w:val="auto"/>
          <w:sz w:val="24"/>
          <w:lang w:eastAsia="zh-CN"/>
        </w:rPr>
        <w:t>1</w:t>
      </w:r>
      <w:r>
        <w:rPr>
          <w:rFonts w:ascii="宋体" w:hAnsi="宋体"/>
          <w:color w:val="auto"/>
          <w:sz w:val="24"/>
          <w:lang w:eastAsia="zh-CN"/>
        </w:rPr>
        <w:t>1</w:t>
      </w:r>
      <w:r>
        <w:rPr>
          <w:rFonts w:ascii="宋体" w:hAnsi="宋体" w:hint="eastAsia"/>
          <w:color w:val="auto"/>
          <w:sz w:val="24"/>
          <w:lang w:eastAsia="zh-CN"/>
        </w:rPr>
        <w:t>:00</w:t>
      </w:r>
      <w:r>
        <w:rPr>
          <w:rFonts w:ascii="宋体" w:hAnsi="宋体" w:hint="eastAsia"/>
          <w:color w:val="auto"/>
          <w:sz w:val="24"/>
          <w:lang w:eastAsia="zh-CN"/>
        </w:rPr>
        <w:t>时至</w:t>
      </w:r>
      <w:r>
        <w:rPr>
          <w:rFonts w:ascii="宋体" w:hAnsi="宋体"/>
          <w:color w:val="auto"/>
          <w:sz w:val="24"/>
          <w:lang w:eastAsia="zh-CN"/>
        </w:rPr>
        <w:t>20</w:t>
      </w:r>
      <w:r>
        <w:rPr>
          <w:rFonts w:ascii="宋体" w:hAnsi="宋体" w:hint="eastAsia"/>
          <w:color w:val="auto"/>
          <w:sz w:val="24"/>
          <w:lang w:eastAsia="zh-CN"/>
        </w:rPr>
        <w:t>日</w:t>
      </w:r>
      <w:r>
        <w:rPr>
          <w:rFonts w:ascii="宋体" w:hAnsi="宋体" w:hint="eastAsia"/>
          <w:color w:val="auto"/>
          <w:sz w:val="24"/>
          <w:lang w:eastAsia="zh-CN"/>
        </w:rPr>
        <w:t>1</w:t>
      </w:r>
      <w:r>
        <w:rPr>
          <w:rFonts w:ascii="宋体" w:hAnsi="宋体"/>
          <w:color w:val="auto"/>
          <w:sz w:val="24"/>
          <w:lang w:eastAsia="zh-CN"/>
        </w:rPr>
        <w:t>2</w:t>
      </w:r>
      <w:r>
        <w:rPr>
          <w:rFonts w:ascii="宋体" w:hAnsi="宋体" w:hint="eastAsia"/>
          <w:color w:val="auto"/>
          <w:sz w:val="24"/>
          <w:lang w:eastAsia="zh-CN"/>
        </w:rPr>
        <w:t>:00</w:t>
      </w:r>
      <w:r>
        <w:rPr>
          <w:rFonts w:ascii="宋体" w:hAnsi="宋体" w:cs="宋体" w:hint="eastAsia"/>
          <w:color w:val="auto"/>
          <w:sz w:val="24"/>
          <w:lang w:eastAsia="zh-CN"/>
        </w:rPr>
        <w:t>时，模型的计算时间步长为</w:t>
      </w:r>
      <w:r>
        <w:rPr>
          <w:rFonts w:ascii="宋体" w:hAnsi="宋体" w:cs="宋体" w:hint="eastAsia"/>
          <w:color w:val="auto"/>
          <w:sz w:val="24"/>
          <w:lang w:eastAsia="zh-CN"/>
        </w:rPr>
        <w:t>2</w:t>
      </w:r>
      <w:r>
        <w:rPr>
          <w:rFonts w:ascii="宋体" w:hAnsi="宋体" w:cs="宋体"/>
          <w:color w:val="auto"/>
          <w:sz w:val="24"/>
          <w:lang w:eastAsia="zh-CN"/>
        </w:rPr>
        <w:t>0s</w:t>
      </w:r>
      <w:r>
        <w:rPr>
          <w:rFonts w:ascii="宋体" w:hAnsi="宋体" w:cs="宋体" w:hint="eastAsia"/>
          <w:color w:val="auto"/>
          <w:sz w:val="24"/>
          <w:lang w:eastAsia="zh-CN"/>
        </w:rPr>
        <w:t>，每隔半个小时输出网格点的水位和流速、流向用于模型的验证。</w:t>
      </w:r>
    </w:p>
    <w:p w14:paraId="4C8E888A" w14:textId="77777777" w:rsidR="0075791A" w:rsidRDefault="00FB2864">
      <w:pPr>
        <w:spacing w:line="440" w:lineRule="exact"/>
        <w:ind w:right="-79" w:firstLine="482"/>
        <w:rPr>
          <w:rFonts w:ascii="宋体" w:hAnsi="宋体"/>
          <w:color w:val="auto"/>
          <w:sz w:val="24"/>
          <w:lang w:eastAsia="zh-CN"/>
        </w:rPr>
      </w:pPr>
      <w:r>
        <w:rPr>
          <w:rFonts w:ascii="宋体" w:hAnsi="宋体" w:hint="eastAsia"/>
          <w:b/>
          <w:bCs/>
          <w:color w:val="auto"/>
          <w:sz w:val="24"/>
          <w:lang w:eastAsia="zh-CN"/>
        </w:rPr>
        <w:t>潮流的验证</w:t>
      </w:r>
      <w:r>
        <w:rPr>
          <w:rFonts w:ascii="宋体" w:hAnsi="宋体" w:hint="eastAsia"/>
          <w:color w:val="auto"/>
          <w:sz w:val="24"/>
          <w:lang w:eastAsia="zh-CN"/>
        </w:rPr>
        <w:t>：本项目工程的水文现状调查设置了</w:t>
      </w:r>
      <w:r>
        <w:rPr>
          <w:rFonts w:ascii="宋体" w:hAnsi="宋体"/>
          <w:color w:val="auto"/>
          <w:sz w:val="24"/>
          <w:lang w:eastAsia="zh-CN"/>
        </w:rPr>
        <w:t>4</w:t>
      </w:r>
      <w:r>
        <w:rPr>
          <w:rFonts w:ascii="宋体" w:hAnsi="宋体" w:hint="eastAsia"/>
          <w:color w:val="auto"/>
          <w:sz w:val="24"/>
          <w:lang w:eastAsia="zh-CN"/>
        </w:rPr>
        <w:t>个海流测站（</w:t>
      </w:r>
      <w:r>
        <w:rPr>
          <w:rFonts w:ascii="宋体" w:hAnsi="宋体"/>
          <w:color w:val="auto"/>
          <w:sz w:val="24"/>
          <w:lang w:eastAsia="zh-CN"/>
        </w:rPr>
        <w:t>调查站位</w:t>
      </w:r>
      <w:r>
        <w:rPr>
          <w:rFonts w:ascii="宋体" w:hAnsi="宋体" w:hint="eastAsia"/>
          <w:color w:val="auto"/>
          <w:sz w:val="24"/>
          <w:lang w:eastAsia="zh-CN"/>
        </w:rPr>
        <w:t>见图</w:t>
      </w:r>
      <w:r>
        <w:rPr>
          <w:rFonts w:ascii="宋体" w:hAnsi="宋体" w:hint="eastAsia"/>
          <w:color w:val="auto"/>
          <w:sz w:val="24"/>
          <w:lang w:eastAsia="zh-CN"/>
        </w:rPr>
        <w:t>1-4</w:t>
      </w:r>
      <w:r>
        <w:rPr>
          <w:rFonts w:ascii="宋体" w:hAnsi="宋体" w:hint="eastAsia"/>
          <w:color w:val="auto"/>
          <w:sz w:val="24"/>
          <w:lang w:eastAsia="zh-CN"/>
        </w:rPr>
        <w:t>）。根据实测资料和模型计算结果绘制流向、流速验证曲线如图</w:t>
      </w:r>
      <w:r>
        <w:rPr>
          <w:rFonts w:ascii="宋体" w:hAnsi="宋体" w:hint="eastAsia"/>
          <w:color w:val="auto"/>
          <w:sz w:val="24"/>
          <w:lang w:eastAsia="zh-CN"/>
        </w:rPr>
        <w:t>1-6</w:t>
      </w:r>
      <w:r>
        <w:rPr>
          <w:rFonts w:ascii="宋体" w:hAnsi="宋体" w:hint="eastAsia"/>
          <w:color w:val="auto"/>
          <w:sz w:val="24"/>
          <w:lang w:eastAsia="zh-CN"/>
        </w:rPr>
        <w:t>～图</w:t>
      </w:r>
      <w:r>
        <w:rPr>
          <w:rFonts w:ascii="宋体" w:hAnsi="宋体" w:hint="eastAsia"/>
          <w:color w:val="auto"/>
          <w:sz w:val="24"/>
          <w:lang w:eastAsia="zh-CN"/>
        </w:rPr>
        <w:t>1-12</w:t>
      </w:r>
      <w:r>
        <w:rPr>
          <w:rFonts w:ascii="宋体" w:hAnsi="宋体" w:hint="eastAsia"/>
          <w:color w:val="auto"/>
          <w:sz w:val="24"/>
          <w:lang w:eastAsia="zh-CN"/>
        </w:rPr>
        <w:t>。由于实测流速为表层、</w:t>
      </w:r>
      <w:r>
        <w:rPr>
          <w:rFonts w:ascii="宋体" w:hAnsi="宋体" w:hint="eastAsia"/>
          <w:color w:val="auto"/>
          <w:sz w:val="24"/>
          <w:lang w:eastAsia="zh-CN"/>
        </w:rPr>
        <w:t>0</w:t>
      </w:r>
      <w:r>
        <w:rPr>
          <w:rFonts w:ascii="宋体" w:hAnsi="宋体"/>
          <w:color w:val="auto"/>
          <w:sz w:val="24"/>
          <w:lang w:eastAsia="zh-CN"/>
        </w:rPr>
        <w:t>.6H</w:t>
      </w:r>
      <w:r>
        <w:rPr>
          <w:rFonts w:ascii="宋体" w:hAnsi="宋体" w:hint="eastAsia"/>
          <w:color w:val="auto"/>
          <w:sz w:val="24"/>
          <w:lang w:eastAsia="zh-CN"/>
        </w:rPr>
        <w:t>、底层共三层，而本模型为二维模型，因此采用垂向平均实测流速、流向资料进行验证。</w:t>
      </w:r>
    </w:p>
    <w:p w14:paraId="1318E6E9" w14:textId="77777777" w:rsidR="0075791A" w:rsidRDefault="00FB2864">
      <w:pPr>
        <w:spacing w:line="440" w:lineRule="exact"/>
        <w:ind w:right="-79" w:firstLine="482"/>
        <w:rPr>
          <w:rFonts w:ascii="宋体" w:hAnsi="宋体"/>
          <w:color w:val="auto"/>
          <w:sz w:val="24"/>
          <w:lang w:eastAsia="zh-CN"/>
        </w:rPr>
      </w:pPr>
      <w:r>
        <w:rPr>
          <w:rFonts w:ascii="宋体" w:hAnsi="宋体" w:hint="eastAsia"/>
          <w:b/>
          <w:bCs/>
          <w:color w:val="auto"/>
          <w:sz w:val="24"/>
          <w:lang w:eastAsia="zh-CN"/>
        </w:rPr>
        <w:t>潮位的验证</w:t>
      </w:r>
      <w:r>
        <w:rPr>
          <w:rFonts w:ascii="宋体" w:hAnsi="宋体" w:hint="eastAsia"/>
          <w:color w:val="auto"/>
          <w:sz w:val="24"/>
          <w:lang w:eastAsia="zh-CN"/>
        </w:rPr>
        <w:t>：潮位资料采用</w:t>
      </w:r>
      <w:r>
        <w:rPr>
          <w:rFonts w:ascii="宋体" w:hAnsi="宋体" w:cs="宋体" w:hint="eastAsia"/>
          <w:color w:val="auto"/>
          <w:sz w:val="24"/>
          <w:lang w:eastAsia="zh-CN"/>
        </w:rPr>
        <w:t>202</w:t>
      </w:r>
      <w:r>
        <w:rPr>
          <w:rFonts w:ascii="宋体" w:hAnsi="宋体" w:cs="宋体"/>
          <w:color w:val="auto"/>
          <w:sz w:val="24"/>
          <w:lang w:eastAsia="zh-CN"/>
        </w:rPr>
        <w:t>3</w:t>
      </w:r>
      <w:r>
        <w:rPr>
          <w:rFonts w:ascii="宋体" w:hAnsi="宋体" w:cs="宋体" w:hint="eastAsia"/>
          <w:color w:val="auto"/>
          <w:sz w:val="24"/>
          <w:lang w:eastAsia="zh-CN"/>
        </w:rPr>
        <w:t>年</w:t>
      </w:r>
      <w:r>
        <w:rPr>
          <w:rFonts w:ascii="宋体" w:hAnsi="宋体" w:cs="宋体"/>
          <w:color w:val="auto"/>
          <w:sz w:val="24"/>
          <w:lang w:eastAsia="zh-CN"/>
        </w:rPr>
        <w:t>6</w:t>
      </w:r>
      <w:r>
        <w:rPr>
          <w:rFonts w:ascii="宋体" w:hAnsi="宋体" w:cs="宋体" w:hint="eastAsia"/>
          <w:color w:val="auto"/>
          <w:sz w:val="24"/>
          <w:lang w:eastAsia="zh-CN"/>
        </w:rPr>
        <w:t>月</w:t>
      </w:r>
      <w:r>
        <w:rPr>
          <w:rFonts w:ascii="宋体" w:hAnsi="宋体" w:cs="宋体" w:hint="eastAsia"/>
          <w:color w:val="auto"/>
          <w:sz w:val="24"/>
          <w:lang w:eastAsia="zh-CN"/>
        </w:rPr>
        <w:t>1</w:t>
      </w:r>
      <w:r>
        <w:rPr>
          <w:rFonts w:ascii="宋体" w:hAnsi="宋体" w:cs="宋体"/>
          <w:color w:val="auto"/>
          <w:sz w:val="24"/>
          <w:lang w:eastAsia="zh-CN"/>
        </w:rPr>
        <w:t>9</w:t>
      </w:r>
      <w:r>
        <w:rPr>
          <w:rFonts w:ascii="宋体" w:hAnsi="宋体" w:cs="宋体" w:hint="eastAsia"/>
          <w:color w:val="auto"/>
          <w:sz w:val="24"/>
          <w:lang w:eastAsia="zh-CN"/>
        </w:rPr>
        <w:t>日</w:t>
      </w:r>
      <w:r>
        <w:rPr>
          <w:rFonts w:ascii="宋体" w:hAnsi="宋体" w:cs="宋体" w:hint="eastAsia"/>
          <w:color w:val="auto"/>
          <w:sz w:val="24"/>
          <w:lang w:eastAsia="zh-CN"/>
        </w:rPr>
        <w:t>1</w:t>
      </w:r>
      <w:r>
        <w:rPr>
          <w:rFonts w:ascii="宋体" w:hAnsi="宋体" w:cs="宋体"/>
          <w:color w:val="auto"/>
          <w:sz w:val="24"/>
          <w:lang w:eastAsia="zh-CN"/>
        </w:rPr>
        <w:t>1</w:t>
      </w:r>
      <w:r>
        <w:rPr>
          <w:rFonts w:ascii="宋体" w:hAnsi="宋体" w:cs="宋体" w:hint="eastAsia"/>
          <w:color w:val="auto"/>
          <w:sz w:val="24"/>
          <w:lang w:eastAsia="zh-CN"/>
        </w:rPr>
        <w:t>:00</w:t>
      </w:r>
      <w:r>
        <w:rPr>
          <w:rFonts w:ascii="宋体" w:hAnsi="宋体" w:cs="宋体" w:hint="eastAsia"/>
          <w:color w:val="auto"/>
          <w:sz w:val="24"/>
          <w:lang w:eastAsia="zh-CN"/>
        </w:rPr>
        <w:t>时至</w:t>
      </w:r>
      <w:r>
        <w:rPr>
          <w:rFonts w:ascii="宋体" w:hAnsi="宋体" w:cs="宋体"/>
          <w:color w:val="auto"/>
          <w:sz w:val="24"/>
          <w:lang w:eastAsia="zh-CN"/>
        </w:rPr>
        <w:t>20</w:t>
      </w:r>
      <w:r>
        <w:rPr>
          <w:rFonts w:ascii="宋体" w:hAnsi="宋体" w:cs="宋体" w:hint="eastAsia"/>
          <w:color w:val="auto"/>
          <w:sz w:val="24"/>
          <w:lang w:eastAsia="zh-CN"/>
        </w:rPr>
        <w:t>日</w:t>
      </w:r>
      <w:r>
        <w:rPr>
          <w:rFonts w:ascii="宋体" w:hAnsi="宋体" w:cs="宋体" w:hint="eastAsia"/>
          <w:color w:val="auto"/>
          <w:sz w:val="24"/>
          <w:lang w:eastAsia="zh-CN"/>
        </w:rPr>
        <w:t>1</w:t>
      </w:r>
      <w:r>
        <w:rPr>
          <w:rFonts w:ascii="宋体" w:hAnsi="宋体" w:cs="宋体"/>
          <w:color w:val="auto"/>
          <w:sz w:val="24"/>
          <w:lang w:eastAsia="zh-CN"/>
        </w:rPr>
        <w:t>2</w:t>
      </w:r>
      <w:r>
        <w:rPr>
          <w:rFonts w:ascii="宋体" w:hAnsi="宋体" w:cs="宋体" w:hint="eastAsia"/>
          <w:color w:val="auto"/>
          <w:sz w:val="24"/>
          <w:lang w:eastAsia="zh-CN"/>
        </w:rPr>
        <w:t>:00</w:t>
      </w:r>
      <w:r>
        <w:rPr>
          <w:rFonts w:ascii="宋体" w:hAnsi="宋体" w:cs="宋体" w:hint="eastAsia"/>
          <w:color w:val="auto"/>
          <w:sz w:val="24"/>
          <w:lang w:eastAsia="zh-CN"/>
        </w:rPr>
        <w:t>时</w:t>
      </w:r>
      <w:r>
        <w:rPr>
          <w:rFonts w:ascii="宋体" w:hAnsi="宋体" w:hint="eastAsia"/>
          <w:color w:val="auto"/>
          <w:sz w:val="24"/>
          <w:lang w:eastAsia="zh-CN"/>
        </w:rPr>
        <w:t>项目区域附近</w:t>
      </w:r>
      <w:r>
        <w:rPr>
          <w:rFonts w:ascii="宋体" w:hAnsi="宋体"/>
          <w:color w:val="auto"/>
          <w:sz w:val="24"/>
          <w:lang w:eastAsia="zh-CN"/>
        </w:rPr>
        <w:t>1</w:t>
      </w:r>
      <w:r>
        <w:rPr>
          <w:rFonts w:ascii="宋体" w:hAnsi="宋体" w:hint="eastAsia"/>
          <w:color w:val="auto"/>
          <w:sz w:val="24"/>
          <w:lang w:eastAsia="zh-CN"/>
        </w:rPr>
        <w:t>个站</w:t>
      </w:r>
      <w:r>
        <w:rPr>
          <w:rFonts w:ascii="宋体" w:hAnsi="宋体"/>
          <w:color w:val="auto"/>
          <w:sz w:val="24"/>
          <w:lang w:eastAsia="zh-CN"/>
        </w:rPr>
        <w:t>的</w:t>
      </w:r>
      <w:r>
        <w:rPr>
          <w:rFonts w:ascii="宋体" w:hAnsi="宋体" w:hint="eastAsia"/>
          <w:color w:val="auto"/>
          <w:sz w:val="24"/>
          <w:lang w:eastAsia="zh-CN"/>
        </w:rPr>
        <w:t>观测</w:t>
      </w:r>
      <w:r>
        <w:rPr>
          <w:rFonts w:ascii="宋体" w:hAnsi="宋体"/>
          <w:color w:val="auto"/>
          <w:sz w:val="24"/>
          <w:lang w:eastAsia="zh-CN"/>
        </w:rPr>
        <w:t>资料</w:t>
      </w:r>
      <w:r>
        <w:rPr>
          <w:rFonts w:ascii="宋体" w:hAnsi="宋体"/>
          <w:color w:val="auto"/>
          <w:sz w:val="24"/>
          <w:lang w:eastAsia="zh-CN"/>
        </w:rPr>
        <w:t>(6</w:t>
      </w:r>
      <w:r>
        <w:rPr>
          <w:rFonts w:ascii="宋体" w:hAnsi="宋体" w:hint="eastAsia"/>
          <w:color w:val="auto"/>
          <w:sz w:val="24"/>
          <w:lang w:eastAsia="zh-CN"/>
        </w:rPr>
        <w:t>号站，见图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-4</w:t>
      </w:r>
      <w:r>
        <w:rPr>
          <w:rFonts w:ascii="宋体" w:hAnsi="宋体"/>
          <w:color w:val="auto"/>
          <w:sz w:val="24"/>
          <w:lang w:eastAsia="zh-CN"/>
        </w:rPr>
        <w:t>)</w:t>
      </w:r>
      <w:r>
        <w:rPr>
          <w:rFonts w:ascii="宋体" w:hAnsi="宋体" w:hint="eastAsia"/>
          <w:color w:val="auto"/>
          <w:sz w:val="24"/>
          <w:lang w:eastAsia="zh-CN"/>
        </w:rPr>
        <w:t>，潮位验证曲线见图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-5</w:t>
      </w:r>
      <w:r>
        <w:rPr>
          <w:rFonts w:ascii="宋体" w:hAnsi="宋体" w:hint="eastAsia"/>
          <w:color w:val="auto"/>
          <w:sz w:val="24"/>
          <w:lang w:eastAsia="zh-CN"/>
        </w:rPr>
        <w:t>。</w:t>
      </w:r>
    </w:p>
    <w:p w14:paraId="3D5F24C7" w14:textId="77777777" w:rsidR="0075791A" w:rsidRDefault="00FB2864">
      <w:pPr>
        <w:spacing w:line="440" w:lineRule="exact"/>
        <w:ind w:firstLine="480"/>
        <w:rPr>
          <w:rFonts w:ascii="宋体" w:hAnsi="宋体" w:cs="宋体"/>
          <w:color w:val="auto"/>
          <w:sz w:val="24"/>
          <w:lang w:eastAsia="zh-CN"/>
        </w:rPr>
      </w:pPr>
      <w:r>
        <w:rPr>
          <w:rFonts w:ascii="宋体" w:hAnsi="宋体" w:cs="宋体" w:hint="eastAsia"/>
          <w:color w:val="auto"/>
          <w:sz w:val="24"/>
          <w:lang w:eastAsia="zh-CN"/>
        </w:rPr>
        <w:t>根据潮位验证曲线（图</w:t>
      </w:r>
      <w:r>
        <w:rPr>
          <w:rFonts w:ascii="Times New Roman" w:eastAsia="宋体" w:hAnsi="Times New Roman" w:cs="Times New Roman" w:hint="eastAsia"/>
          <w:color w:val="auto"/>
          <w:sz w:val="24"/>
          <w:szCs w:val="24"/>
          <w:lang w:eastAsia="zh-CN"/>
        </w:rPr>
        <w:t>4.1.3</w:t>
      </w:r>
      <w:r>
        <w:rPr>
          <w:rFonts w:ascii="宋体" w:hAnsi="宋体" w:cs="宋体" w:hint="eastAsia"/>
          <w:color w:val="auto"/>
          <w:sz w:val="24"/>
          <w:lang w:eastAsia="zh-CN"/>
        </w:rPr>
        <w:t>-5</w:t>
      </w:r>
      <w:r>
        <w:rPr>
          <w:rFonts w:ascii="宋体" w:hAnsi="宋体" w:cs="宋体" w:hint="eastAsia"/>
          <w:color w:val="auto"/>
          <w:sz w:val="24"/>
          <w:lang w:eastAsia="zh-CN"/>
        </w:rPr>
        <w:t>）分析显示，模型计算潮位过程与实测潮位过程吻合良好，潮位验证的平均绝对误差为</w:t>
      </w:r>
      <w:r>
        <w:rPr>
          <w:rFonts w:ascii="宋体" w:hAnsi="宋体" w:cs="宋体" w:hint="eastAsia"/>
          <w:color w:val="auto"/>
          <w:sz w:val="24"/>
          <w:lang w:eastAsia="zh-CN"/>
        </w:rPr>
        <w:t>6.1</w:t>
      </w:r>
      <w:r>
        <w:rPr>
          <w:rFonts w:ascii="宋体" w:hAnsi="宋体" w:cs="宋体"/>
          <w:color w:val="auto"/>
          <w:sz w:val="24"/>
          <w:lang w:eastAsia="zh-CN"/>
        </w:rPr>
        <w:t>cm</w:t>
      </w:r>
      <w:r>
        <w:rPr>
          <w:rFonts w:ascii="宋体" w:hAnsi="宋体" w:cs="宋体" w:hint="eastAsia"/>
          <w:color w:val="auto"/>
          <w:sz w:val="24"/>
          <w:lang w:eastAsia="zh-CN"/>
        </w:rPr>
        <w:t>，模型计算潮位基本可以反映实际潮位过程。</w:t>
      </w:r>
    </w:p>
    <w:p w14:paraId="0612BF9D" w14:textId="77777777" w:rsidR="0075791A" w:rsidRDefault="00FB2864">
      <w:pPr>
        <w:spacing w:line="440" w:lineRule="exact"/>
        <w:ind w:firstLine="480"/>
        <w:rPr>
          <w:rFonts w:ascii="宋体" w:hAnsi="宋体" w:cs="宋体"/>
          <w:color w:val="auto"/>
          <w:sz w:val="24"/>
          <w:lang w:eastAsia="zh-CN"/>
        </w:rPr>
      </w:pPr>
      <w:r>
        <w:rPr>
          <w:rFonts w:ascii="宋体" w:hAnsi="宋体" w:cs="宋体" w:hint="eastAsia"/>
          <w:color w:val="auto"/>
          <w:sz w:val="24"/>
          <w:lang w:eastAsia="zh-CN"/>
        </w:rPr>
        <w:t>根据流速、流向验证曲线（图</w:t>
      </w:r>
      <w:r>
        <w:rPr>
          <w:rFonts w:ascii="Times New Roman" w:eastAsia="宋体" w:hAnsi="Times New Roman" w:cs="Times New Roman" w:hint="eastAsia"/>
          <w:color w:val="auto"/>
          <w:sz w:val="24"/>
          <w:szCs w:val="24"/>
          <w:lang w:eastAsia="zh-CN"/>
        </w:rPr>
        <w:t>4.1.3</w:t>
      </w:r>
      <w:r>
        <w:rPr>
          <w:rFonts w:ascii="宋体" w:hAnsi="宋体" w:cs="宋体" w:hint="eastAsia"/>
          <w:color w:val="auto"/>
          <w:sz w:val="24"/>
          <w:lang w:eastAsia="zh-CN"/>
        </w:rPr>
        <w:t>-6</w:t>
      </w:r>
      <w:r>
        <w:rPr>
          <w:rFonts w:ascii="宋体" w:hAnsi="宋体" w:cs="宋体" w:hint="eastAsia"/>
          <w:color w:val="auto"/>
          <w:sz w:val="24"/>
          <w:lang w:eastAsia="zh-CN"/>
        </w:rPr>
        <w:t>至图</w:t>
      </w:r>
      <w:r>
        <w:rPr>
          <w:rFonts w:ascii="Times New Roman" w:eastAsia="宋体" w:hAnsi="Times New Roman" w:cs="Times New Roman" w:hint="eastAsia"/>
          <w:color w:val="auto"/>
          <w:sz w:val="24"/>
          <w:szCs w:val="24"/>
          <w:lang w:eastAsia="zh-CN"/>
        </w:rPr>
        <w:t>4.1.3</w:t>
      </w:r>
      <w:r>
        <w:rPr>
          <w:rFonts w:ascii="宋体" w:hAnsi="宋体" w:cs="宋体" w:hint="eastAsia"/>
          <w:color w:val="auto"/>
          <w:sz w:val="24"/>
          <w:lang w:eastAsia="zh-CN"/>
        </w:rPr>
        <w:t>-11</w:t>
      </w:r>
      <w:r>
        <w:rPr>
          <w:rFonts w:ascii="宋体" w:hAnsi="宋体" w:cs="宋体" w:hint="eastAsia"/>
          <w:color w:val="auto"/>
          <w:sz w:val="24"/>
          <w:lang w:eastAsia="zh-CN"/>
        </w:rPr>
        <w:t>）分析显示，模型计算流速、流向与实测流速、流向基本吻合，仅在涨急、落急最大流速过程，模型计算值略小于实测值，这可能与本数值模型未考虑风应力和浅水分潮等因素有关，使得纯潮流作用下的最大流速小于实测最大流速。</w:t>
      </w:r>
    </w:p>
    <w:p w14:paraId="184D8AEE" w14:textId="77777777" w:rsidR="0075791A" w:rsidRDefault="00FB2864">
      <w:pPr>
        <w:spacing w:line="440" w:lineRule="exact"/>
        <w:ind w:firstLine="480"/>
        <w:rPr>
          <w:rFonts w:ascii="宋体" w:hAnsi="宋体" w:cs="宋体"/>
          <w:color w:val="auto"/>
          <w:sz w:val="24"/>
          <w:lang w:eastAsia="zh-CN"/>
        </w:rPr>
      </w:pPr>
      <w:r>
        <w:rPr>
          <w:rFonts w:ascii="宋体" w:hAnsi="宋体" w:cs="宋体" w:hint="eastAsia"/>
          <w:color w:val="auto"/>
          <w:sz w:val="24"/>
          <w:lang w:eastAsia="zh-CN"/>
        </w:rPr>
        <w:t>综上分析可知，模型计算潮位、潮流流速、流向与实测值基本吻合，验证效果较好，因此，本报告中采用模型基本可以反映工程海</w:t>
      </w:r>
      <w:r>
        <w:rPr>
          <w:rFonts w:ascii="宋体" w:hAnsi="宋体" w:cs="宋体" w:hint="eastAsia"/>
          <w:color w:val="auto"/>
          <w:sz w:val="24"/>
          <w:lang w:eastAsia="zh-CN"/>
        </w:rPr>
        <w:t>域的流场状况，可用于本项目工程的动力场和物质输运分析。</w:t>
      </w:r>
    </w:p>
    <w:p w14:paraId="71D79C55" w14:textId="77777777" w:rsidR="0075791A" w:rsidRDefault="00FB2864">
      <w:pPr>
        <w:rPr>
          <w:color w:val="auto"/>
        </w:rPr>
      </w:pPr>
      <w:r>
        <w:rPr>
          <w:noProof/>
          <w:color w:val="auto"/>
        </w:rPr>
        <w:lastRenderedPageBreak/>
        <w:drawing>
          <wp:inline distT="0" distB="0" distL="114300" distR="114300" wp14:anchorId="5ECB8C1B" wp14:editId="41CAC432">
            <wp:extent cx="5448935" cy="2801620"/>
            <wp:effectExtent l="0" t="0" r="6985" b="2540"/>
            <wp:docPr id="21" name="图片 129"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9" descr="untitled"/>
                    <pic:cNvPicPr>
                      <a:picLocks noChangeAspect="1"/>
                    </pic:cNvPicPr>
                  </pic:nvPicPr>
                  <pic:blipFill>
                    <a:blip r:embed="rId138"/>
                    <a:stretch>
                      <a:fillRect/>
                    </a:stretch>
                  </pic:blipFill>
                  <pic:spPr>
                    <a:xfrm>
                      <a:off x="0" y="0"/>
                      <a:ext cx="5448935" cy="2801620"/>
                    </a:xfrm>
                    <a:prstGeom prst="rect">
                      <a:avLst/>
                    </a:prstGeom>
                    <a:noFill/>
                    <a:ln>
                      <a:noFill/>
                    </a:ln>
                  </pic:spPr>
                </pic:pic>
              </a:graphicData>
            </a:graphic>
          </wp:inline>
        </w:drawing>
      </w:r>
    </w:p>
    <w:p w14:paraId="77955AD7" w14:textId="77777777" w:rsidR="0075791A" w:rsidRDefault="00FB2864">
      <w:pPr>
        <w:spacing w:beforeLines="50" w:before="120" w:line="360" w:lineRule="auto"/>
        <w:jc w:val="center"/>
        <w:rPr>
          <w:rFonts w:ascii="宋体" w:hAnsi="宋体"/>
          <w:color w:val="auto"/>
          <w:sz w:val="24"/>
          <w:lang w:eastAsia="zh-CN"/>
        </w:rPr>
      </w:pPr>
      <w:r>
        <w:rPr>
          <w:rFonts w:ascii="宋体" w:hAnsi="宋体" w:hint="eastAsia"/>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color w:val="auto"/>
          <w:sz w:val="24"/>
          <w:lang w:eastAsia="zh-CN"/>
        </w:rPr>
        <w:t xml:space="preserve">-1 </w:t>
      </w:r>
      <w:r>
        <w:rPr>
          <w:rFonts w:ascii="宋体" w:hAnsi="宋体" w:hint="eastAsia"/>
          <w:color w:val="auto"/>
          <w:sz w:val="24"/>
          <w:lang w:eastAsia="zh-CN"/>
        </w:rPr>
        <w:t>数学模型计算网格（大范围）</w:t>
      </w:r>
    </w:p>
    <w:p w14:paraId="37CAF4F3" w14:textId="77777777" w:rsidR="0075791A" w:rsidRDefault="00FB2864">
      <w:pPr>
        <w:spacing w:beforeLines="50" w:before="120" w:line="360" w:lineRule="auto"/>
        <w:jc w:val="center"/>
        <w:rPr>
          <w:rFonts w:ascii="宋体" w:hAnsi="宋体"/>
          <w:color w:val="auto"/>
          <w:sz w:val="24"/>
        </w:rPr>
      </w:pPr>
      <w:r>
        <w:rPr>
          <w:rFonts w:ascii="宋体" w:hAnsi="宋体"/>
          <w:noProof/>
          <w:color w:val="auto"/>
          <w:sz w:val="24"/>
        </w:rPr>
        <w:drawing>
          <wp:inline distT="0" distB="0" distL="114300" distR="114300" wp14:anchorId="1AD58A95" wp14:editId="0D32367F">
            <wp:extent cx="5542915" cy="3868420"/>
            <wp:effectExtent l="0" t="0" r="4445" b="2540"/>
            <wp:docPr id="22"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0"/>
                    <pic:cNvPicPr>
                      <a:picLocks noChangeAspect="1"/>
                    </pic:cNvPicPr>
                  </pic:nvPicPr>
                  <pic:blipFill>
                    <a:blip r:embed="rId139"/>
                    <a:stretch>
                      <a:fillRect/>
                    </a:stretch>
                  </pic:blipFill>
                  <pic:spPr>
                    <a:xfrm>
                      <a:off x="0" y="0"/>
                      <a:ext cx="5542915" cy="3868420"/>
                    </a:xfrm>
                    <a:prstGeom prst="rect">
                      <a:avLst/>
                    </a:prstGeom>
                    <a:noFill/>
                    <a:ln>
                      <a:noFill/>
                    </a:ln>
                  </pic:spPr>
                </pic:pic>
              </a:graphicData>
            </a:graphic>
          </wp:inline>
        </w:drawing>
      </w:r>
    </w:p>
    <w:p w14:paraId="0023D816" w14:textId="77777777" w:rsidR="0075791A" w:rsidRDefault="00FB2864">
      <w:pPr>
        <w:rPr>
          <w:color w:val="auto"/>
        </w:rPr>
      </w:pPr>
      <w:r>
        <w:rPr>
          <w:noProof/>
          <w:color w:val="auto"/>
        </w:rPr>
        <w:lastRenderedPageBreak/>
        <w:drawing>
          <wp:inline distT="0" distB="0" distL="114300" distR="114300" wp14:anchorId="5A615ABC" wp14:editId="63E2CBC4">
            <wp:extent cx="5542915" cy="3860800"/>
            <wp:effectExtent l="0" t="0" r="4445" b="10160"/>
            <wp:docPr id="37"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31"/>
                    <pic:cNvPicPr>
                      <a:picLocks noChangeAspect="1"/>
                    </pic:cNvPicPr>
                  </pic:nvPicPr>
                  <pic:blipFill>
                    <a:blip r:embed="rId140"/>
                    <a:stretch>
                      <a:fillRect/>
                    </a:stretch>
                  </pic:blipFill>
                  <pic:spPr>
                    <a:xfrm>
                      <a:off x="0" y="0"/>
                      <a:ext cx="5542915" cy="3860800"/>
                    </a:xfrm>
                    <a:prstGeom prst="rect">
                      <a:avLst/>
                    </a:prstGeom>
                    <a:noFill/>
                    <a:ln>
                      <a:noFill/>
                    </a:ln>
                  </pic:spPr>
                </pic:pic>
              </a:graphicData>
            </a:graphic>
          </wp:inline>
        </w:drawing>
      </w:r>
    </w:p>
    <w:p w14:paraId="7A25743E" w14:textId="77777777" w:rsidR="0075791A" w:rsidRDefault="00FB2864">
      <w:pPr>
        <w:spacing w:beforeLines="50" w:before="120" w:line="360" w:lineRule="auto"/>
        <w:jc w:val="center"/>
        <w:rPr>
          <w:color w:val="auto"/>
          <w:lang w:eastAsia="zh-CN"/>
        </w:rPr>
      </w:pPr>
      <w:r>
        <w:rPr>
          <w:rFonts w:ascii="宋体" w:hAnsi="宋体" w:hint="eastAsia"/>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 xml:space="preserve">-2 </w:t>
      </w:r>
      <w:r>
        <w:rPr>
          <w:rFonts w:ascii="宋体" w:hAnsi="宋体" w:hint="eastAsia"/>
          <w:color w:val="auto"/>
          <w:sz w:val="24"/>
          <w:lang w:eastAsia="zh-CN"/>
        </w:rPr>
        <w:t>项目附近网格图（工程附近局部放大）</w:t>
      </w:r>
      <w:bookmarkStart w:id="219" w:name="OLE_LINK6"/>
      <w:r>
        <w:rPr>
          <w:noProof/>
          <w:color w:val="auto"/>
        </w:rPr>
        <w:drawing>
          <wp:inline distT="0" distB="0" distL="114300" distR="114300" wp14:anchorId="0EB00682" wp14:editId="11F656B6">
            <wp:extent cx="5224780" cy="2729230"/>
            <wp:effectExtent l="0" t="0" r="2540" b="13970"/>
            <wp:docPr id="43" name="图片 132" descr="dep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32" descr="depth"/>
                    <pic:cNvPicPr>
                      <a:picLocks noChangeAspect="1"/>
                    </pic:cNvPicPr>
                  </pic:nvPicPr>
                  <pic:blipFill>
                    <a:blip r:embed="rId141"/>
                    <a:stretch>
                      <a:fillRect/>
                    </a:stretch>
                  </pic:blipFill>
                  <pic:spPr>
                    <a:xfrm>
                      <a:off x="0" y="0"/>
                      <a:ext cx="5224780" cy="2729230"/>
                    </a:xfrm>
                    <a:prstGeom prst="rect">
                      <a:avLst/>
                    </a:prstGeom>
                    <a:noFill/>
                    <a:ln>
                      <a:noFill/>
                    </a:ln>
                  </pic:spPr>
                </pic:pic>
              </a:graphicData>
            </a:graphic>
          </wp:inline>
        </w:drawing>
      </w:r>
    </w:p>
    <w:p w14:paraId="09E96DD5" w14:textId="77777777" w:rsidR="0075791A" w:rsidRDefault="00FB2864">
      <w:pPr>
        <w:spacing w:beforeLines="50" w:before="120" w:line="360" w:lineRule="auto"/>
        <w:jc w:val="center"/>
        <w:rPr>
          <w:rFonts w:ascii="宋体" w:hAnsi="宋体"/>
          <w:color w:val="auto"/>
          <w:sz w:val="24"/>
          <w:lang w:eastAsia="zh-CN"/>
        </w:rPr>
      </w:pPr>
      <w:r>
        <w:rPr>
          <w:rFonts w:ascii="宋体" w:hAnsi="宋体" w:hint="eastAsia"/>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 xml:space="preserve">-3  </w:t>
      </w:r>
      <w:r>
        <w:rPr>
          <w:rFonts w:ascii="宋体" w:hAnsi="宋体" w:hint="eastAsia"/>
          <w:color w:val="auto"/>
          <w:sz w:val="24"/>
          <w:lang w:eastAsia="zh-CN"/>
        </w:rPr>
        <w:t>数学模型计算区域水下地形图</w:t>
      </w:r>
      <w:bookmarkEnd w:id="219"/>
    </w:p>
    <w:p w14:paraId="5B273741" w14:textId="77777777" w:rsidR="0075791A" w:rsidRDefault="00FB2864">
      <w:pPr>
        <w:spacing w:line="240" w:lineRule="atLeast"/>
        <w:jc w:val="center"/>
        <w:rPr>
          <w:color w:val="auto"/>
        </w:rPr>
      </w:pPr>
      <w:r>
        <w:rPr>
          <w:noProof/>
          <w:color w:val="auto"/>
        </w:rPr>
        <w:lastRenderedPageBreak/>
        <w:drawing>
          <wp:inline distT="0" distB="0" distL="114300" distR="114300" wp14:anchorId="32694169" wp14:editId="0AFF22F4">
            <wp:extent cx="5542915" cy="3860800"/>
            <wp:effectExtent l="0" t="0" r="4445" b="10160"/>
            <wp:docPr id="86"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33"/>
                    <pic:cNvPicPr>
                      <a:picLocks noChangeAspect="1"/>
                    </pic:cNvPicPr>
                  </pic:nvPicPr>
                  <pic:blipFill>
                    <a:blip r:embed="rId142"/>
                    <a:stretch>
                      <a:fillRect/>
                    </a:stretch>
                  </pic:blipFill>
                  <pic:spPr>
                    <a:xfrm>
                      <a:off x="0" y="0"/>
                      <a:ext cx="5542915" cy="3860800"/>
                    </a:xfrm>
                    <a:prstGeom prst="rect">
                      <a:avLst/>
                    </a:prstGeom>
                    <a:noFill/>
                    <a:ln>
                      <a:noFill/>
                    </a:ln>
                  </pic:spPr>
                </pic:pic>
              </a:graphicData>
            </a:graphic>
          </wp:inline>
        </w:drawing>
      </w:r>
    </w:p>
    <w:p w14:paraId="0A7F9F45" w14:textId="77777777" w:rsidR="0075791A" w:rsidRDefault="00FB2864">
      <w:pPr>
        <w:spacing w:beforeLines="50" w:before="120" w:line="360" w:lineRule="auto"/>
        <w:jc w:val="center"/>
        <w:rPr>
          <w:rFonts w:ascii="宋体" w:hAnsi="宋体"/>
          <w:color w:val="auto"/>
          <w:sz w:val="24"/>
          <w:lang w:eastAsia="zh-CN"/>
        </w:rPr>
      </w:pPr>
      <w:r>
        <w:rPr>
          <w:rFonts w:ascii="宋体" w:hAnsi="宋体" w:hint="eastAsia"/>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color w:val="auto"/>
          <w:sz w:val="24"/>
          <w:lang w:eastAsia="zh-CN"/>
        </w:rPr>
        <w:t xml:space="preserve">-4 </w:t>
      </w:r>
      <w:r>
        <w:rPr>
          <w:rFonts w:ascii="宋体" w:hAnsi="宋体" w:hint="eastAsia"/>
          <w:color w:val="auto"/>
          <w:sz w:val="24"/>
          <w:lang w:eastAsia="zh-CN"/>
        </w:rPr>
        <w:t>测流站点和验潮点位置示意图</w:t>
      </w:r>
    </w:p>
    <w:p w14:paraId="5D0DC7B2" w14:textId="77777777" w:rsidR="0075791A" w:rsidRDefault="0075791A">
      <w:pPr>
        <w:spacing w:beforeLines="50" w:before="120" w:line="360" w:lineRule="auto"/>
        <w:jc w:val="center"/>
        <w:rPr>
          <w:rFonts w:ascii="宋体" w:hAnsi="宋体"/>
          <w:color w:val="auto"/>
          <w:sz w:val="24"/>
          <w:lang w:eastAsia="zh-CN"/>
        </w:rPr>
        <w:sectPr w:rsidR="0075791A">
          <w:pgSz w:w="11906" w:h="16838"/>
          <w:pgMar w:top="1701" w:right="1588" w:bottom="1588" w:left="1588" w:header="964" w:footer="992" w:gutter="0"/>
          <w:pgNumType w:start="1"/>
          <w:cols w:space="720"/>
          <w:docGrid w:linePitch="312"/>
        </w:sectPr>
      </w:pPr>
    </w:p>
    <w:p w14:paraId="74B2E941" w14:textId="77777777" w:rsidR="0075791A" w:rsidRDefault="00FB2864">
      <w:pPr>
        <w:spacing w:line="240" w:lineRule="atLeast"/>
        <w:jc w:val="center"/>
        <w:rPr>
          <w:color w:val="auto"/>
        </w:rPr>
      </w:pPr>
      <w:r>
        <w:rPr>
          <w:noProof/>
          <w:color w:val="auto"/>
        </w:rPr>
        <w:lastRenderedPageBreak/>
        <w:drawing>
          <wp:inline distT="0" distB="0" distL="114300" distR="114300" wp14:anchorId="78EC9AE4" wp14:editId="27FF1C22">
            <wp:extent cx="5274945" cy="2598420"/>
            <wp:effectExtent l="0" t="0" r="13335" b="7620"/>
            <wp:docPr id="120"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34"/>
                    <pic:cNvPicPr>
                      <a:picLocks noChangeAspect="1"/>
                    </pic:cNvPicPr>
                  </pic:nvPicPr>
                  <pic:blipFill>
                    <a:blip r:embed="rId143"/>
                    <a:stretch>
                      <a:fillRect/>
                    </a:stretch>
                  </pic:blipFill>
                  <pic:spPr>
                    <a:xfrm>
                      <a:off x="0" y="0"/>
                      <a:ext cx="5274945" cy="2598420"/>
                    </a:xfrm>
                    <a:prstGeom prst="rect">
                      <a:avLst/>
                    </a:prstGeom>
                    <a:noFill/>
                    <a:ln>
                      <a:noFill/>
                    </a:ln>
                  </pic:spPr>
                </pic:pic>
              </a:graphicData>
            </a:graphic>
          </wp:inline>
        </w:drawing>
      </w:r>
    </w:p>
    <w:p w14:paraId="0EAB4A8B" w14:textId="77777777" w:rsidR="0075791A" w:rsidRDefault="00FB2864">
      <w:pPr>
        <w:spacing w:beforeLines="50" w:before="120" w:line="360" w:lineRule="auto"/>
        <w:jc w:val="center"/>
        <w:rPr>
          <w:rFonts w:ascii="宋体" w:hAnsi="宋体"/>
          <w:color w:val="auto"/>
          <w:sz w:val="24"/>
          <w:lang w:eastAsia="zh-CN"/>
        </w:rPr>
      </w:pPr>
      <w:r>
        <w:rPr>
          <w:rFonts w:ascii="宋体" w:hAnsi="宋体"/>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-5  6</w:t>
      </w:r>
      <w:r>
        <w:rPr>
          <w:rFonts w:ascii="宋体" w:hAnsi="宋体" w:hint="eastAsia"/>
          <w:color w:val="auto"/>
          <w:sz w:val="24"/>
          <w:lang w:eastAsia="zh-CN"/>
        </w:rPr>
        <w:t>号站潮位验证</w:t>
      </w:r>
      <w:r>
        <w:rPr>
          <w:rFonts w:ascii="宋体" w:hAnsi="宋体" w:hint="eastAsia"/>
          <w:color w:val="auto"/>
          <w:sz w:val="24"/>
          <w:lang w:eastAsia="zh-CN"/>
        </w:rPr>
        <w:t>(2023</w:t>
      </w:r>
      <w:r>
        <w:rPr>
          <w:rFonts w:ascii="宋体" w:hAnsi="宋体" w:hint="eastAsia"/>
          <w:color w:val="auto"/>
          <w:sz w:val="24"/>
          <w:lang w:eastAsia="zh-CN"/>
        </w:rPr>
        <w:t>年</w:t>
      </w:r>
      <w:r>
        <w:rPr>
          <w:rFonts w:ascii="宋体" w:hAnsi="宋体" w:hint="eastAsia"/>
          <w:color w:val="auto"/>
          <w:sz w:val="24"/>
          <w:lang w:eastAsia="zh-CN"/>
        </w:rPr>
        <w:t>6</w:t>
      </w:r>
      <w:r>
        <w:rPr>
          <w:rFonts w:ascii="宋体" w:hAnsi="宋体" w:hint="eastAsia"/>
          <w:color w:val="auto"/>
          <w:sz w:val="24"/>
          <w:lang w:eastAsia="zh-CN"/>
        </w:rPr>
        <w:t>月</w:t>
      </w:r>
      <w:r>
        <w:rPr>
          <w:rFonts w:ascii="宋体" w:hAnsi="宋体" w:hint="eastAsia"/>
          <w:color w:val="auto"/>
          <w:sz w:val="24"/>
          <w:lang w:eastAsia="zh-CN"/>
        </w:rPr>
        <w:t>19</w:t>
      </w:r>
      <w:r>
        <w:rPr>
          <w:rFonts w:ascii="宋体" w:hAnsi="宋体" w:hint="eastAsia"/>
          <w:color w:val="auto"/>
          <w:sz w:val="24"/>
          <w:lang w:eastAsia="zh-CN"/>
        </w:rPr>
        <w:t>日～</w:t>
      </w:r>
      <w:r>
        <w:rPr>
          <w:rFonts w:ascii="宋体" w:hAnsi="宋体" w:hint="eastAsia"/>
          <w:color w:val="auto"/>
          <w:sz w:val="24"/>
          <w:lang w:eastAsia="zh-CN"/>
        </w:rPr>
        <w:t>20</w:t>
      </w:r>
      <w:r>
        <w:rPr>
          <w:rFonts w:ascii="宋体" w:hAnsi="宋体" w:hint="eastAsia"/>
          <w:color w:val="auto"/>
          <w:sz w:val="24"/>
          <w:lang w:eastAsia="zh-CN"/>
        </w:rPr>
        <w:t>日</w:t>
      </w:r>
      <w:r>
        <w:rPr>
          <w:rFonts w:ascii="宋体" w:hAnsi="宋体" w:hint="eastAsia"/>
          <w:color w:val="auto"/>
          <w:sz w:val="24"/>
          <w:lang w:eastAsia="zh-CN"/>
        </w:rPr>
        <w:t>)</w:t>
      </w:r>
    </w:p>
    <w:p w14:paraId="5C576793" w14:textId="77777777" w:rsidR="0075791A" w:rsidRDefault="00FB2864">
      <w:pPr>
        <w:spacing w:line="240" w:lineRule="atLeast"/>
        <w:jc w:val="center"/>
        <w:rPr>
          <w:color w:val="auto"/>
        </w:rPr>
      </w:pPr>
      <w:r>
        <w:rPr>
          <w:noProof/>
          <w:color w:val="auto"/>
        </w:rPr>
        <w:drawing>
          <wp:inline distT="0" distB="0" distL="114300" distR="114300" wp14:anchorId="00E70F36" wp14:editId="3B3F2957">
            <wp:extent cx="5274310" cy="2510155"/>
            <wp:effectExtent l="0" t="0" r="13970" b="4445"/>
            <wp:docPr id="87"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35"/>
                    <pic:cNvPicPr>
                      <a:picLocks noChangeAspect="1"/>
                    </pic:cNvPicPr>
                  </pic:nvPicPr>
                  <pic:blipFill>
                    <a:blip r:embed="rId144"/>
                    <a:stretch>
                      <a:fillRect/>
                    </a:stretch>
                  </pic:blipFill>
                  <pic:spPr>
                    <a:xfrm>
                      <a:off x="0" y="0"/>
                      <a:ext cx="5274310" cy="2510155"/>
                    </a:xfrm>
                    <a:prstGeom prst="rect">
                      <a:avLst/>
                    </a:prstGeom>
                    <a:noFill/>
                    <a:ln>
                      <a:noFill/>
                    </a:ln>
                  </pic:spPr>
                </pic:pic>
              </a:graphicData>
            </a:graphic>
          </wp:inline>
        </w:drawing>
      </w:r>
    </w:p>
    <w:p w14:paraId="202D4B45" w14:textId="77777777" w:rsidR="0075791A" w:rsidRDefault="00FB2864">
      <w:pPr>
        <w:spacing w:line="240" w:lineRule="atLeast"/>
        <w:jc w:val="center"/>
        <w:rPr>
          <w:color w:val="auto"/>
        </w:rPr>
      </w:pPr>
      <w:r>
        <w:rPr>
          <w:noProof/>
          <w:color w:val="auto"/>
        </w:rPr>
        <w:drawing>
          <wp:inline distT="0" distB="0" distL="114300" distR="114300" wp14:anchorId="0121B438" wp14:editId="050B7D79">
            <wp:extent cx="5276850" cy="2336165"/>
            <wp:effectExtent l="0" t="0" r="11430" b="10795"/>
            <wp:docPr id="9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36"/>
                    <pic:cNvPicPr>
                      <a:picLocks noChangeAspect="1"/>
                    </pic:cNvPicPr>
                  </pic:nvPicPr>
                  <pic:blipFill>
                    <a:blip r:embed="rId145"/>
                    <a:stretch>
                      <a:fillRect/>
                    </a:stretch>
                  </pic:blipFill>
                  <pic:spPr>
                    <a:xfrm>
                      <a:off x="0" y="0"/>
                      <a:ext cx="5276850" cy="2336165"/>
                    </a:xfrm>
                    <a:prstGeom prst="rect">
                      <a:avLst/>
                    </a:prstGeom>
                    <a:noFill/>
                    <a:ln>
                      <a:noFill/>
                    </a:ln>
                  </pic:spPr>
                </pic:pic>
              </a:graphicData>
            </a:graphic>
          </wp:inline>
        </w:drawing>
      </w:r>
    </w:p>
    <w:p w14:paraId="04AD59E1" w14:textId="77777777" w:rsidR="0075791A" w:rsidRDefault="00FB2864">
      <w:pPr>
        <w:spacing w:beforeLines="50" w:before="120" w:line="360" w:lineRule="auto"/>
        <w:jc w:val="center"/>
        <w:rPr>
          <w:rFonts w:ascii="宋体" w:hAnsi="宋体"/>
          <w:color w:val="auto"/>
          <w:sz w:val="24"/>
          <w:lang w:eastAsia="zh-CN"/>
        </w:rPr>
      </w:pPr>
      <w:r>
        <w:rPr>
          <w:rFonts w:ascii="宋体" w:hAnsi="宋体"/>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 xml:space="preserve">-6a </w:t>
      </w:r>
      <w:r>
        <w:rPr>
          <w:rFonts w:ascii="宋体" w:hAnsi="宋体" w:hint="eastAsia"/>
          <w:color w:val="auto"/>
          <w:sz w:val="24"/>
          <w:lang w:eastAsia="zh-CN"/>
        </w:rPr>
        <w:t>1</w:t>
      </w:r>
      <w:r>
        <w:rPr>
          <w:rFonts w:ascii="宋体" w:hAnsi="宋体" w:hint="eastAsia"/>
          <w:color w:val="auto"/>
          <w:sz w:val="24"/>
          <w:lang w:eastAsia="zh-CN"/>
        </w:rPr>
        <w:t>号站潮流流速流向验证曲线</w:t>
      </w:r>
      <w:r>
        <w:rPr>
          <w:rFonts w:ascii="宋体" w:hAnsi="宋体" w:hint="eastAsia"/>
          <w:color w:val="auto"/>
          <w:sz w:val="24"/>
          <w:lang w:eastAsia="zh-CN"/>
        </w:rPr>
        <w:t>(2023</w:t>
      </w:r>
      <w:r>
        <w:rPr>
          <w:rFonts w:ascii="宋体" w:hAnsi="宋体" w:hint="eastAsia"/>
          <w:color w:val="auto"/>
          <w:sz w:val="24"/>
          <w:lang w:eastAsia="zh-CN"/>
        </w:rPr>
        <w:t>年</w:t>
      </w:r>
      <w:r>
        <w:rPr>
          <w:rFonts w:ascii="宋体" w:hAnsi="宋体" w:hint="eastAsia"/>
          <w:color w:val="auto"/>
          <w:sz w:val="24"/>
          <w:lang w:eastAsia="zh-CN"/>
        </w:rPr>
        <w:t>6</w:t>
      </w:r>
      <w:r>
        <w:rPr>
          <w:rFonts w:ascii="宋体" w:hAnsi="宋体" w:hint="eastAsia"/>
          <w:color w:val="auto"/>
          <w:sz w:val="24"/>
          <w:lang w:eastAsia="zh-CN"/>
        </w:rPr>
        <w:t>月</w:t>
      </w:r>
      <w:r>
        <w:rPr>
          <w:rFonts w:ascii="宋体" w:hAnsi="宋体" w:hint="eastAsia"/>
          <w:color w:val="auto"/>
          <w:sz w:val="24"/>
          <w:lang w:eastAsia="zh-CN"/>
        </w:rPr>
        <w:t>19</w:t>
      </w:r>
      <w:r>
        <w:rPr>
          <w:rFonts w:ascii="宋体" w:hAnsi="宋体" w:hint="eastAsia"/>
          <w:color w:val="auto"/>
          <w:sz w:val="24"/>
          <w:lang w:eastAsia="zh-CN"/>
        </w:rPr>
        <w:t>～</w:t>
      </w:r>
      <w:r>
        <w:rPr>
          <w:rFonts w:ascii="宋体" w:hAnsi="宋体" w:hint="eastAsia"/>
          <w:color w:val="auto"/>
          <w:sz w:val="24"/>
          <w:lang w:eastAsia="zh-CN"/>
        </w:rPr>
        <w:t>20</w:t>
      </w:r>
      <w:r>
        <w:rPr>
          <w:rFonts w:ascii="宋体" w:hAnsi="宋体" w:hint="eastAsia"/>
          <w:color w:val="auto"/>
          <w:sz w:val="24"/>
          <w:lang w:eastAsia="zh-CN"/>
        </w:rPr>
        <w:t>日</w:t>
      </w:r>
      <w:r>
        <w:rPr>
          <w:rFonts w:ascii="宋体" w:hAnsi="宋体" w:hint="eastAsia"/>
          <w:color w:val="auto"/>
          <w:sz w:val="24"/>
          <w:lang w:eastAsia="zh-CN"/>
        </w:rPr>
        <w:t>)</w:t>
      </w:r>
    </w:p>
    <w:p w14:paraId="095DCEFB" w14:textId="77777777" w:rsidR="0075791A" w:rsidRDefault="00FB2864">
      <w:pPr>
        <w:spacing w:line="240" w:lineRule="atLeast"/>
        <w:jc w:val="center"/>
        <w:rPr>
          <w:color w:val="auto"/>
        </w:rPr>
      </w:pPr>
      <w:r>
        <w:rPr>
          <w:noProof/>
          <w:color w:val="auto"/>
        </w:rPr>
        <w:lastRenderedPageBreak/>
        <w:drawing>
          <wp:inline distT="0" distB="0" distL="114300" distR="114300" wp14:anchorId="24D9361E" wp14:editId="3BFDF3D9">
            <wp:extent cx="5274310" cy="2498725"/>
            <wp:effectExtent l="0" t="0" r="13970" b="635"/>
            <wp:docPr id="85"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37"/>
                    <pic:cNvPicPr>
                      <a:picLocks noChangeAspect="1"/>
                    </pic:cNvPicPr>
                  </pic:nvPicPr>
                  <pic:blipFill>
                    <a:blip r:embed="rId146"/>
                    <a:stretch>
                      <a:fillRect/>
                    </a:stretch>
                  </pic:blipFill>
                  <pic:spPr>
                    <a:xfrm>
                      <a:off x="0" y="0"/>
                      <a:ext cx="5274310" cy="2498725"/>
                    </a:xfrm>
                    <a:prstGeom prst="rect">
                      <a:avLst/>
                    </a:prstGeom>
                    <a:noFill/>
                    <a:ln>
                      <a:noFill/>
                    </a:ln>
                  </pic:spPr>
                </pic:pic>
              </a:graphicData>
            </a:graphic>
          </wp:inline>
        </w:drawing>
      </w:r>
    </w:p>
    <w:p w14:paraId="6EDA162C" w14:textId="77777777" w:rsidR="0075791A" w:rsidRDefault="00FB2864">
      <w:pPr>
        <w:spacing w:line="240" w:lineRule="atLeast"/>
        <w:jc w:val="center"/>
        <w:rPr>
          <w:color w:val="auto"/>
        </w:rPr>
      </w:pPr>
      <w:r>
        <w:rPr>
          <w:noProof/>
          <w:color w:val="auto"/>
        </w:rPr>
        <w:drawing>
          <wp:inline distT="0" distB="0" distL="114300" distR="114300" wp14:anchorId="1880A94F" wp14:editId="1AEBF2D9">
            <wp:extent cx="5276850" cy="2479675"/>
            <wp:effectExtent l="0" t="0" r="11430" b="4445"/>
            <wp:docPr id="127"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38"/>
                    <pic:cNvPicPr>
                      <a:picLocks noChangeAspect="1"/>
                    </pic:cNvPicPr>
                  </pic:nvPicPr>
                  <pic:blipFill>
                    <a:blip r:embed="rId147"/>
                    <a:stretch>
                      <a:fillRect/>
                    </a:stretch>
                  </pic:blipFill>
                  <pic:spPr>
                    <a:xfrm>
                      <a:off x="0" y="0"/>
                      <a:ext cx="5276850" cy="2479675"/>
                    </a:xfrm>
                    <a:prstGeom prst="rect">
                      <a:avLst/>
                    </a:prstGeom>
                    <a:noFill/>
                    <a:ln>
                      <a:noFill/>
                    </a:ln>
                  </pic:spPr>
                </pic:pic>
              </a:graphicData>
            </a:graphic>
          </wp:inline>
        </w:drawing>
      </w:r>
    </w:p>
    <w:p w14:paraId="3F918F85" w14:textId="77777777" w:rsidR="0075791A" w:rsidRDefault="00FB2864">
      <w:pPr>
        <w:spacing w:beforeLines="50" w:before="120" w:line="360" w:lineRule="auto"/>
        <w:jc w:val="center"/>
        <w:rPr>
          <w:rFonts w:ascii="宋体" w:hAnsi="宋体"/>
          <w:color w:val="auto"/>
          <w:sz w:val="24"/>
          <w:lang w:eastAsia="zh-CN"/>
        </w:rPr>
      </w:pPr>
      <w:r>
        <w:rPr>
          <w:rFonts w:ascii="宋体" w:hAnsi="宋体"/>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-6b 6</w:t>
      </w:r>
      <w:r>
        <w:rPr>
          <w:rFonts w:ascii="宋体" w:hAnsi="宋体" w:hint="eastAsia"/>
          <w:color w:val="auto"/>
          <w:sz w:val="24"/>
          <w:lang w:eastAsia="zh-CN"/>
        </w:rPr>
        <w:t>号站潮流流速流向验证曲线</w:t>
      </w:r>
      <w:r>
        <w:rPr>
          <w:rFonts w:ascii="宋体" w:hAnsi="宋体" w:hint="eastAsia"/>
          <w:color w:val="auto"/>
          <w:sz w:val="24"/>
          <w:lang w:eastAsia="zh-CN"/>
        </w:rPr>
        <w:t>(2023</w:t>
      </w:r>
      <w:r>
        <w:rPr>
          <w:rFonts w:ascii="宋体" w:hAnsi="宋体" w:hint="eastAsia"/>
          <w:color w:val="auto"/>
          <w:sz w:val="24"/>
          <w:lang w:eastAsia="zh-CN"/>
        </w:rPr>
        <w:t>年</w:t>
      </w:r>
      <w:r>
        <w:rPr>
          <w:rFonts w:ascii="宋体" w:hAnsi="宋体" w:hint="eastAsia"/>
          <w:color w:val="auto"/>
          <w:sz w:val="24"/>
          <w:lang w:eastAsia="zh-CN"/>
        </w:rPr>
        <w:t>6</w:t>
      </w:r>
      <w:r>
        <w:rPr>
          <w:rFonts w:ascii="宋体" w:hAnsi="宋体" w:hint="eastAsia"/>
          <w:color w:val="auto"/>
          <w:sz w:val="24"/>
          <w:lang w:eastAsia="zh-CN"/>
        </w:rPr>
        <w:t>月</w:t>
      </w:r>
      <w:r>
        <w:rPr>
          <w:rFonts w:ascii="宋体" w:hAnsi="宋体" w:hint="eastAsia"/>
          <w:color w:val="auto"/>
          <w:sz w:val="24"/>
          <w:lang w:eastAsia="zh-CN"/>
        </w:rPr>
        <w:t>19</w:t>
      </w:r>
      <w:r>
        <w:rPr>
          <w:rFonts w:ascii="宋体" w:hAnsi="宋体" w:hint="eastAsia"/>
          <w:color w:val="auto"/>
          <w:sz w:val="24"/>
          <w:lang w:eastAsia="zh-CN"/>
        </w:rPr>
        <w:t>～</w:t>
      </w:r>
      <w:r>
        <w:rPr>
          <w:rFonts w:ascii="宋体" w:hAnsi="宋体" w:hint="eastAsia"/>
          <w:color w:val="auto"/>
          <w:sz w:val="24"/>
          <w:lang w:eastAsia="zh-CN"/>
        </w:rPr>
        <w:t>20</w:t>
      </w:r>
      <w:r>
        <w:rPr>
          <w:rFonts w:ascii="宋体" w:hAnsi="宋体" w:hint="eastAsia"/>
          <w:color w:val="auto"/>
          <w:sz w:val="24"/>
          <w:lang w:eastAsia="zh-CN"/>
        </w:rPr>
        <w:t>日</w:t>
      </w:r>
      <w:r>
        <w:rPr>
          <w:rFonts w:ascii="宋体" w:hAnsi="宋体" w:hint="eastAsia"/>
          <w:color w:val="auto"/>
          <w:sz w:val="24"/>
          <w:lang w:eastAsia="zh-CN"/>
        </w:rPr>
        <w:t>)</w:t>
      </w:r>
    </w:p>
    <w:p w14:paraId="4E3BACC5" w14:textId="77777777" w:rsidR="0075791A" w:rsidRDefault="00FB2864">
      <w:pPr>
        <w:spacing w:line="240" w:lineRule="atLeast"/>
        <w:jc w:val="center"/>
        <w:rPr>
          <w:color w:val="auto"/>
        </w:rPr>
      </w:pPr>
      <w:r>
        <w:rPr>
          <w:noProof/>
          <w:color w:val="auto"/>
        </w:rPr>
        <w:drawing>
          <wp:inline distT="0" distB="0" distL="114300" distR="114300" wp14:anchorId="68D03CAE" wp14:editId="17B4D4DA">
            <wp:extent cx="5274310" cy="2519680"/>
            <wp:effectExtent l="0" t="0" r="13970" b="10160"/>
            <wp:docPr id="100"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39"/>
                    <pic:cNvPicPr>
                      <a:picLocks noChangeAspect="1"/>
                    </pic:cNvPicPr>
                  </pic:nvPicPr>
                  <pic:blipFill>
                    <a:blip r:embed="rId148"/>
                    <a:stretch>
                      <a:fillRect/>
                    </a:stretch>
                  </pic:blipFill>
                  <pic:spPr>
                    <a:xfrm>
                      <a:off x="0" y="0"/>
                      <a:ext cx="5274310" cy="2519680"/>
                    </a:xfrm>
                    <a:prstGeom prst="rect">
                      <a:avLst/>
                    </a:prstGeom>
                    <a:noFill/>
                    <a:ln>
                      <a:noFill/>
                    </a:ln>
                  </pic:spPr>
                </pic:pic>
              </a:graphicData>
            </a:graphic>
          </wp:inline>
        </w:drawing>
      </w:r>
    </w:p>
    <w:p w14:paraId="625FD808" w14:textId="77777777" w:rsidR="0075791A" w:rsidRDefault="00FB2864">
      <w:pPr>
        <w:spacing w:line="240" w:lineRule="atLeast"/>
        <w:jc w:val="center"/>
        <w:rPr>
          <w:color w:val="auto"/>
        </w:rPr>
      </w:pPr>
      <w:r>
        <w:rPr>
          <w:noProof/>
          <w:color w:val="auto"/>
        </w:rPr>
        <w:lastRenderedPageBreak/>
        <w:drawing>
          <wp:inline distT="0" distB="0" distL="114300" distR="114300" wp14:anchorId="0F56696B" wp14:editId="0116E685">
            <wp:extent cx="5274310" cy="2484755"/>
            <wp:effectExtent l="0" t="0" r="13970" b="14605"/>
            <wp:docPr id="125"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40"/>
                    <pic:cNvPicPr>
                      <a:picLocks noChangeAspect="1"/>
                    </pic:cNvPicPr>
                  </pic:nvPicPr>
                  <pic:blipFill>
                    <a:blip r:embed="rId149"/>
                    <a:stretch>
                      <a:fillRect/>
                    </a:stretch>
                  </pic:blipFill>
                  <pic:spPr>
                    <a:xfrm>
                      <a:off x="0" y="0"/>
                      <a:ext cx="5274310" cy="2484755"/>
                    </a:xfrm>
                    <a:prstGeom prst="rect">
                      <a:avLst/>
                    </a:prstGeom>
                    <a:noFill/>
                    <a:ln>
                      <a:noFill/>
                    </a:ln>
                  </pic:spPr>
                </pic:pic>
              </a:graphicData>
            </a:graphic>
          </wp:inline>
        </w:drawing>
      </w:r>
    </w:p>
    <w:p w14:paraId="11EF9C47" w14:textId="77777777" w:rsidR="0075791A" w:rsidRDefault="00FB2864">
      <w:pPr>
        <w:spacing w:beforeLines="50" w:before="120" w:line="360" w:lineRule="auto"/>
        <w:jc w:val="center"/>
        <w:rPr>
          <w:rFonts w:ascii="宋体" w:hAnsi="宋体"/>
          <w:color w:val="auto"/>
          <w:sz w:val="24"/>
          <w:lang w:eastAsia="zh-CN"/>
        </w:rPr>
      </w:pPr>
      <w:r>
        <w:rPr>
          <w:rFonts w:ascii="宋体" w:hAnsi="宋体"/>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-6c 7</w:t>
      </w:r>
      <w:r>
        <w:rPr>
          <w:rFonts w:ascii="宋体" w:hAnsi="宋体" w:hint="eastAsia"/>
          <w:color w:val="auto"/>
          <w:sz w:val="24"/>
          <w:lang w:eastAsia="zh-CN"/>
        </w:rPr>
        <w:t>号站潮流流速流向验证曲线</w:t>
      </w:r>
      <w:r>
        <w:rPr>
          <w:rFonts w:ascii="宋体" w:hAnsi="宋体" w:hint="eastAsia"/>
          <w:color w:val="auto"/>
          <w:sz w:val="24"/>
          <w:lang w:eastAsia="zh-CN"/>
        </w:rPr>
        <w:t>(2023</w:t>
      </w:r>
      <w:r>
        <w:rPr>
          <w:rFonts w:ascii="宋体" w:hAnsi="宋体" w:hint="eastAsia"/>
          <w:color w:val="auto"/>
          <w:sz w:val="24"/>
          <w:lang w:eastAsia="zh-CN"/>
        </w:rPr>
        <w:t>年</w:t>
      </w:r>
      <w:r>
        <w:rPr>
          <w:rFonts w:ascii="宋体" w:hAnsi="宋体" w:hint="eastAsia"/>
          <w:color w:val="auto"/>
          <w:sz w:val="24"/>
          <w:lang w:eastAsia="zh-CN"/>
        </w:rPr>
        <w:t>6</w:t>
      </w:r>
      <w:r>
        <w:rPr>
          <w:rFonts w:ascii="宋体" w:hAnsi="宋体" w:hint="eastAsia"/>
          <w:color w:val="auto"/>
          <w:sz w:val="24"/>
          <w:lang w:eastAsia="zh-CN"/>
        </w:rPr>
        <w:t>月</w:t>
      </w:r>
      <w:r>
        <w:rPr>
          <w:rFonts w:ascii="宋体" w:hAnsi="宋体" w:hint="eastAsia"/>
          <w:color w:val="auto"/>
          <w:sz w:val="24"/>
          <w:lang w:eastAsia="zh-CN"/>
        </w:rPr>
        <w:t>19</w:t>
      </w:r>
      <w:r>
        <w:rPr>
          <w:rFonts w:ascii="宋体" w:hAnsi="宋体" w:hint="eastAsia"/>
          <w:color w:val="auto"/>
          <w:sz w:val="24"/>
          <w:lang w:eastAsia="zh-CN"/>
        </w:rPr>
        <w:t>～</w:t>
      </w:r>
      <w:r>
        <w:rPr>
          <w:rFonts w:ascii="宋体" w:hAnsi="宋体" w:hint="eastAsia"/>
          <w:color w:val="auto"/>
          <w:sz w:val="24"/>
          <w:lang w:eastAsia="zh-CN"/>
        </w:rPr>
        <w:t>20</w:t>
      </w:r>
      <w:r>
        <w:rPr>
          <w:rFonts w:ascii="宋体" w:hAnsi="宋体" w:hint="eastAsia"/>
          <w:color w:val="auto"/>
          <w:sz w:val="24"/>
          <w:lang w:eastAsia="zh-CN"/>
        </w:rPr>
        <w:t>日</w:t>
      </w:r>
      <w:r>
        <w:rPr>
          <w:rFonts w:ascii="宋体" w:hAnsi="宋体" w:hint="eastAsia"/>
          <w:color w:val="auto"/>
          <w:sz w:val="24"/>
          <w:lang w:eastAsia="zh-CN"/>
        </w:rPr>
        <w:t>)</w:t>
      </w:r>
    </w:p>
    <w:p w14:paraId="304AFC74" w14:textId="77777777" w:rsidR="0075791A" w:rsidRDefault="00FB2864">
      <w:pPr>
        <w:spacing w:line="240" w:lineRule="atLeast"/>
        <w:jc w:val="center"/>
        <w:rPr>
          <w:color w:val="auto"/>
        </w:rPr>
      </w:pPr>
      <w:r>
        <w:rPr>
          <w:noProof/>
          <w:color w:val="auto"/>
        </w:rPr>
        <w:drawing>
          <wp:inline distT="0" distB="0" distL="114300" distR="114300" wp14:anchorId="66963C14" wp14:editId="2C8BBB36">
            <wp:extent cx="5274310" cy="2376805"/>
            <wp:effectExtent l="0" t="0" r="13970" b="635"/>
            <wp:docPr id="89"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41"/>
                    <pic:cNvPicPr>
                      <a:picLocks noChangeAspect="1"/>
                    </pic:cNvPicPr>
                  </pic:nvPicPr>
                  <pic:blipFill>
                    <a:blip r:embed="rId150"/>
                    <a:stretch>
                      <a:fillRect/>
                    </a:stretch>
                  </pic:blipFill>
                  <pic:spPr>
                    <a:xfrm>
                      <a:off x="0" y="0"/>
                      <a:ext cx="5274310" cy="2376805"/>
                    </a:xfrm>
                    <a:prstGeom prst="rect">
                      <a:avLst/>
                    </a:prstGeom>
                    <a:noFill/>
                    <a:ln>
                      <a:noFill/>
                    </a:ln>
                  </pic:spPr>
                </pic:pic>
              </a:graphicData>
            </a:graphic>
          </wp:inline>
        </w:drawing>
      </w:r>
    </w:p>
    <w:p w14:paraId="47C3AB82" w14:textId="77777777" w:rsidR="0075791A" w:rsidRDefault="00FB2864">
      <w:pPr>
        <w:spacing w:line="240" w:lineRule="atLeast"/>
        <w:jc w:val="center"/>
        <w:rPr>
          <w:color w:val="auto"/>
        </w:rPr>
      </w:pPr>
      <w:r>
        <w:rPr>
          <w:noProof/>
          <w:color w:val="auto"/>
        </w:rPr>
        <w:drawing>
          <wp:inline distT="0" distB="0" distL="114300" distR="114300" wp14:anchorId="0799D3CC" wp14:editId="335EF008">
            <wp:extent cx="5273040" cy="2359660"/>
            <wp:effectExtent l="0" t="0" r="0" b="2540"/>
            <wp:docPr id="133"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42"/>
                    <pic:cNvPicPr>
                      <a:picLocks noChangeAspect="1"/>
                    </pic:cNvPicPr>
                  </pic:nvPicPr>
                  <pic:blipFill>
                    <a:blip r:embed="rId151"/>
                    <a:stretch>
                      <a:fillRect/>
                    </a:stretch>
                  </pic:blipFill>
                  <pic:spPr>
                    <a:xfrm>
                      <a:off x="0" y="0"/>
                      <a:ext cx="5273040" cy="2359660"/>
                    </a:xfrm>
                    <a:prstGeom prst="rect">
                      <a:avLst/>
                    </a:prstGeom>
                    <a:noFill/>
                    <a:ln>
                      <a:noFill/>
                    </a:ln>
                  </pic:spPr>
                </pic:pic>
              </a:graphicData>
            </a:graphic>
          </wp:inline>
        </w:drawing>
      </w:r>
    </w:p>
    <w:p w14:paraId="38976B00" w14:textId="77777777" w:rsidR="0075791A" w:rsidRDefault="00FB2864">
      <w:pPr>
        <w:spacing w:beforeLines="50" w:before="120" w:line="360" w:lineRule="auto"/>
        <w:jc w:val="center"/>
        <w:rPr>
          <w:rFonts w:ascii="宋体" w:hAnsi="宋体"/>
          <w:color w:val="auto"/>
          <w:sz w:val="24"/>
          <w:lang w:eastAsia="zh-CN"/>
        </w:rPr>
      </w:pPr>
      <w:r>
        <w:rPr>
          <w:rFonts w:ascii="宋体" w:hAnsi="宋体"/>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-6d 10</w:t>
      </w:r>
      <w:r>
        <w:rPr>
          <w:rFonts w:ascii="宋体" w:hAnsi="宋体" w:hint="eastAsia"/>
          <w:color w:val="auto"/>
          <w:sz w:val="24"/>
          <w:lang w:eastAsia="zh-CN"/>
        </w:rPr>
        <w:t>号站潮流流速流向验证曲线</w:t>
      </w:r>
      <w:r>
        <w:rPr>
          <w:rFonts w:ascii="宋体" w:hAnsi="宋体" w:hint="eastAsia"/>
          <w:color w:val="auto"/>
          <w:sz w:val="24"/>
          <w:lang w:eastAsia="zh-CN"/>
        </w:rPr>
        <w:t>(2023</w:t>
      </w:r>
      <w:r>
        <w:rPr>
          <w:rFonts w:ascii="宋体" w:hAnsi="宋体" w:hint="eastAsia"/>
          <w:color w:val="auto"/>
          <w:sz w:val="24"/>
          <w:lang w:eastAsia="zh-CN"/>
        </w:rPr>
        <w:t>年</w:t>
      </w:r>
      <w:r>
        <w:rPr>
          <w:rFonts w:ascii="宋体" w:hAnsi="宋体" w:hint="eastAsia"/>
          <w:color w:val="auto"/>
          <w:sz w:val="24"/>
          <w:lang w:eastAsia="zh-CN"/>
        </w:rPr>
        <w:t>6</w:t>
      </w:r>
      <w:r>
        <w:rPr>
          <w:rFonts w:ascii="宋体" w:hAnsi="宋体" w:hint="eastAsia"/>
          <w:color w:val="auto"/>
          <w:sz w:val="24"/>
          <w:lang w:eastAsia="zh-CN"/>
        </w:rPr>
        <w:t>月</w:t>
      </w:r>
      <w:r>
        <w:rPr>
          <w:rFonts w:ascii="宋体" w:hAnsi="宋体" w:hint="eastAsia"/>
          <w:color w:val="auto"/>
          <w:sz w:val="24"/>
          <w:lang w:eastAsia="zh-CN"/>
        </w:rPr>
        <w:t>19</w:t>
      </w:r>
      <w:r>
        <w:rPr>
          <w:rFonts w:ascii="宋体" w:hAnsi="宋体" w:hint="eastAsia"/>
          <w:color w:val="auto"/>
          <w:sz w:val="24"/>
          <w:lang w:eastAsia="zh-CN"/>
        </w:rPr>
        <w:t>～</w:t>
      </w:r>
      <w:r>
        <w:rPr>
          <w:rFonts w:ascii="宋体" w:hAnsi="宋体" w:hint="eastAsia"/>
          <w:color w:val="auto"/>
          <w:sz w:val="24"/>
          <w:lang w:eastAsia="zh-CN"/>
        </w:rPr>
        <w:t>20</w:t>
      </w:r>
      <w:r>
        <w:rPr>
          <w:rFonts w:ascii="宋体" w:hAnsi="宋体" w:hint="eastAsia"/>
          <w:color w:val="auto"/>
          <w:sz w:val="24"/>
          <w:lang w:eastAsia="zh-CN"/>
        </w:rPr>
        <w:t>日</w:t>
      </w:r>
      <w:r>
        <w:rPr>
          <w:rFonts w:ascii="宋体" w:hAnsi="宋体" w:hint="eastAsia"/>
          <w:color w:val="auto"/>
          <w:sz w:val="24"/>
          <w:lang w:eastAsia="zh-CN"/>
        </w:rPr>
        <w:t>)</w:t>
      </w:r>
    </w:p>
    <w:p w14:paraId="23F0B180" w14:textId="77777777" w:rsidR="0075791A" w:rsidRDefault="0075791A">
      <w:pPr>
        <w:spacing w:line="240" w:lineRule="atLeast"/>
        <w:jc w:val="center"/>
        <w:rPr>
          <w:color w:val="auto"/>
          <w:lang w:eastAsia="zh-CN"/>
        </w:rPr>
      </w:pPr>
    </w:p>
    <w:p w14:paraId="63D62E73" w14:textId="77777777" w:rsidR="0075791A" w:rsidRDefault="00FB2864">
      <w:pPr>
        <w:spacing w:before="34" w:line="360" w:lineRule="auto"/>
        <w:ind w:left="5"/>
        <w:outlineLvl w:val="3"/>
        <w:rPr>
          <w:rFonts w:ascii="Times New Roman" w:eastAsia="宋体" w:hAnsi="Times New Roman"/>
          <w:b/>
          <w:color w:val="auto"/>
          <w:sz w:val="24"/>
          <w:szCs w:val="24"/>
          <w:lang w:eastAsia="zh-CN"/>
        </w:rPr>
      </w:pPr>
      <w:bookmarkStart w:id="220" w:name="_Toc97882951"/>
      <w:r>
        <w:rPr>
          <w:rFonts w:ascii="Times New Roman" w:eastAsia="宋体" w:hAnsi="Times New Roman" w:hint="eastAsia"/>
          <w:b/>
          <w:color w:val="auto"/>
          <w:sz w:val="24"/>
          <w:szCs w:val="24"/>
          <w:lang w:eastAsia="zh-CN"/>
        </w:rPr>
        <w:t>4.1.3.2</w:t>
      </w:r>
      <w:r>
        <w:rPr>
          <w:rFonts w:ascii="Times New Roman" w:eastAsia="宋体" w:hAnsi="Times New Roman" w:hint="eastAsia"/>
          <w:b/>
          <w:color w:val="auto"/>
          <w:sz w:val="24"/>
          <w:szCs w:val="24"/>
          <w:lang w:eastAsia="zh-CN"/>
        </w:rPr>
        <w:t>工程前后项目区域潮流动力场变化分析</w:t>
      </w:r>
      <w:bookmarkEnd w:id="220"/>
    </w:p>
    <w:p w14:paraId="2AC0DF66" w14:textId="77777777" w:rsidR="0075791A" w:rsidRDefault="00FB2864">
      <w:pPr>
        <w:spacing w:line="460" w:lineRule="exact"/>
        <w:ind w:firstLine="480"/>
        <w:rPr>
          <w:rFonts w:ascii="宋体" w:hAnsi="宋体"/>
          <w:color w:val="auto"/>
          <w:sz w:val="24"/>
          <w:lang w:eastAsia="zh-CN"/>
        </w:rPr>
      </w:pPr>
      <w:r>
        <w:rPr>
          <w:rFonts w:ascii="宋体" w:hAnsi="宋体" w:hint="eastAsia"/>
          <w:color w:val="auto"/>
          <w:sz w:val="24"/>
          <w:lang w:eastAsia="zh-CN"/>
        </w:rPr>
        <w:lastRenderedPageBreak/>
        <w:t>本项目拟在铁炉港内部区域进行疏浚。本章节利用已经通过验证的数值模型，预测本项目实施前、后项目海域的水文动力场环境的改变。</w:t>
      </w:r>
    </w:p>
    <w:p w14:paraId="44471BEE" w14:textId="77777777" w:rsidR="0075791A" w:rsidRDefault="00FB2864">
      <w:pPr>
        <w:spacing w:line="460" w:lineRule="atLeast"/>
        <w:ind w:firstLine="480"/>
        <w:rPr>
          <w:rFonts w:ascii="宋体" w:hAnsi="宋体"/>
          <w:color w:val="auto"/>
          <w:sz w:val="24"/>
          <w:lang w:eastAsia="zh-CN"/>
        </w:rPr>
      </w:pPr>
      <w:r>
        <w:rPr>
          <w:rFonts w:ascii="宋体" w:hAnsi="宋体" w:hint="eastAsia"/>
          <w:color w:val="auto"/>
          <w:sz w:val="24"/>
          <w:lang w:eastAsia="zh-CN"/>
        </w:rPr>
        <w:t>为反映项目区域海域潮流特征，</w:t>
      </w:r>
      <w:r>
        <w:rPr>
          <w:rFonts w:ascii="宋体" w:hAnsi="宋体"/>
          <w:color w:val="auto"/>
          <w:sz w:val="24"/>
          <w:lang w:eastAsia="zh-CN"/>
        </w:rPr>
        <w:t>本报告给出潮汐动力较强的大潮情况</w:t>
      </w:r>
      <w:r>
        <w:rPr>
          <w:rFonts w:ascii="宋体" w:hAnsi="宋体" w:hint="eastAsia"/>
          <w:color w:val="auto"/>
          <w:sz w:val="24"/>
          <w:lang w:eastAsia="zh-CN"/>
        </w:rPr>
        <w:t>下落急与涨急时刻的潮流特征，工程前后的流场分布见</w:t>
      </w:r>
      <w:r>
        <w:rPr>
          <w:rFonts w:ascii="宋体" w:hAnsi="宋体"/>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w:t>
      </w:r>
      <w:r>
        <w:rPr>
          <w:rFonts w:ascii="宋体" w:eastAsia="宋体" w:hAnsi="宋体" w:hint="eastAsia"/>
          <w:color w:val="auto"/>
          <w:sz w:val="24"/>
          <w:lang w:eastAsia="zh-CN"/>
        </w:rPr>
        <w:t>7</w:t>
      </w:r>
      <w:r>
        <w:rPr>
          <w:rFonts w:ascii="宋体" w:hAnsi="宋体" w:hint="eastAsia"/>
          <w:color w:val="auto"/>
          <w:sz w:val="24"/>
          <w:lang w:eastAsia="zh-CN"/>
        </w:rPr>
        <w:t>和</w:t>
      </w:r>
      <w:r>
        <w:rPr>
          <w:rFonts w:ascii="宋体" w:hAnsi="宋体"/>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w:t>
      </w:r>
      <w:r>
        <w:rPr>
          <w:rFonts w:ascii="宋体" w:eastAsia="宋体" w:hAnsi="宋体" w:hint="eastAsia"/>
          <w:color w:val="auto"/>
          <w:sz w:val="24"/>
          <w:lang w:eastAsia="zh-CN"/>
        </w:rPr>
        <w:t>8</w:t>
      </w:r>
      <w:r>
        <w:rPr>
          <w:rFonts w:ascii="宋体" w:hAnsi="宋体"/>
          <w:color w:val="auto"/>
          <w:sz w:val="24"/>
          <w:lang w:eastAsia="zh-CN"/>
        </w:rPr>
        <w:t>。流场的数值计算结果表明：</w:t>
      </w:r>
    </w:p>
    <w:p w14:paraId="77074510" w14:textId="77777777" w:rsidR="0075791A" w:rsidRDefault="00FB2864">
      <w:pPr>
        <w:spacing w:line="440" w:lineRule="exact"/>
        <w:ind w:firstLine="480"/>
        <w:rPr>
          <w:rFonts w:ascii="宋体" w:hAnsi="宋体"/>
          <w:color w:val="auto"/>
          <w:sz w:val="24"/>
          <w:lang w:eastAsia="zh-CN"/>
        </w:rPr>
      </w:pPr>
      <w:r>
        <w:rPr>
          <w:rFonts w:ascii="宋体" w:hAnsi="宋体" w:hint="eastAsia"/>
          <w:color w:val="auto"/>
          <w:sz w:val="24"/>
          <w:lang w:eastAsia="zh-CN"/>
        </w:rPr>
        <w:t>铁炉港所在的海棠湾海区处于弱潮海区，平均潮差小于</w:t>
      </w:r>
      <w:r>
        <w:rPr>
          <w:rFonts w:ascii="宋体" w:hAnsi="宋体" w:hint="eastAsia"/>
          <w:color w:val="auto"/>
          <w:sz w:val="24"/>
          <w:lang w:eastAsia="zh-CN"/>
        </w:rPr>
        <w:t>1.0m</w:t>
      </w:r>
      <w:r>
        <w:rPr>
          <w:rFonts w:ascii="宋体" w:hAnsi="宋体" w:hint="eastAsia"/>
          <w:color w:val="auto"/>
          <w:sz w:val="24"/>
          <w:lang w:eastAsia="zh-CN"/>
        </w:rPr>
        <w:t>，最大潮差小于</w:t>
      </w:r>
      <w:r>
        <w:rPr>
          <w:rFonts w:ascii="宋体" w:hAnsi="宋体" w:hint="eastAsia"/>
          <w:color w:val="auto"/>
          <w:sz w:val="24"/>
          <w:lang w:eastAsia="zh-CN"/>
        </w:rPr>
        <w:t>2.0m</w:t>
      </w:r>
      <w:r>
        <w:rPr>
          <w:rFonts w:ascii="宋体" w:hAnsi="宋体" w:hint="eastAsia"/>
          <w:color w:val="auto"/>
          <w:sz w:val="24"/>
          <w:lang w:eastAsia="zh-CN"/>
        </w:rPr>
        <w:t>，潮流动力较弱，大潮涨急、落急最大流速小于</w:t>
      </w:r>
      <w:r>
        <w:rPr>
          <w:rFonts w:ascii="宋体" w:hAnsi="宋体" w:hint="eastAsia"/>
          <w:color w:val="auto"/>
          <w:sz w:val="24"/>
          <w:lang w:eastAsia="zh-CN"/>
        </w:rPr>
        <w:t>4</w:t>
      </w:r>
      <w:r>
        <w:rPr>
          <w:rFonts w:ascii="宋体" w:hAnsi="宋体"/>
          <w:color w:val="auto"/>
          <w:sz w:val="24"/>
          <w:lang w:eastAsia="zh-CN"/>
        </w:rPr>
        <w:t>0cm/s</w:t>
      </w:r>
      <w:r>
        <w:rPr>
          <w:rFonts w:ascii="宋体" w:hAnsi="宋体" w:hint="eastAsia"/>
          <w:color w:val="auto"/>
          <w:sz w:val="24"/>
          <w:lang w:eastAsia="zh-CN"/>
        </w:rPr>
        <w:t>。本项目位于铁炉港泻湖内，铁炉港泻湖纳潮面积约</w:t>
      </w:r>
      <w:r>
        <w:rPr>
          <w:rFonts w:ascii="宋体" w:hAnsi="宋体" w:hint="eastAsia"/>
          <w:color w:val="auto"/>
          <w:sz w:val="24"/>
          <w:lang w:eastAsia="zh-CN"/>
        </w:rPr>
        <w:t>8.29km</w:t>
      </w:r>
      <w:r>
        <w:rPr>
          <w:rFonts w:ascii="宋体" w:hAnsi="宋体" w:hint="eastAsia"/>
          <w:color w:val="auto"/>
          <w:sz w:val="24"/>
          <w:vertAlign w:val="superscript"/>
          <w:lang w:eastAsia="zh-CN"/>
        </w:rPr>
        <w:t>2</w:t>
      </w:r>
      <w:r>
        <w:rPr>
          <w:rFonts w:ascii="宋体" w:hAnsi="宋体" w:hint="eastAsia"/>
          <w:color w:val="auto"/>
          <w:sz w:val="24"/>
          <w:lang w:eastAsia="zh-CN"/>
        </w:rPr>
        <w:t>，由于纳潮面积较大，涨落潮容</w:t>
      </w:r>
      <w:r>
        <w:rPr>
          <w:rFonts w:ascii="宋体" w:hAnsi="宋体" w:hint="eastAsia"/>
          <w:color w:val="auto"/>
          <w:sz w:val="24"/>
          <w:lang w:eastAsia="zh-CN"/>
        </w:rPr>
        <w:t>纳的纳潮量也较大，再加上潮汐通道较为狭窄，泻湖口门最窄处只有</w:t>
      </w:r>
      <w:r>
        <w:rPr>
          <w:rFonts w:ascii="宋体" w:hAnsi="宋体" w:hint="eastAsia"/>
          <w:color w:val="auto"/>
          <w:sz w:val="24"/>
          <w:lang w:eastAsia="zh-CN"/>
        </w:rPr>
        <w:t>120m</w:t>
      </w:r>
      <w:r>
        <w:rPr>
          <w:rFonts w:ascii="宋体" w:hAnsi="宋体" w:hint="eastAsia"/>
          <w:color w:val="auto"/>
          <w:sz w:val="24"/>
          <w:lang w:eastAsia="zh-CN"/>
        </w:rPr>
        <w:t>左右，涨落潮时水流在狭窄的潮汐通道内集中，形成较大的潮流，最大流速可达到</w:t>
      </w:r>
      <w:r>
        <w:rPr>
          <w:rFonts w:ascii="宋体" w:hAnsi="宋体" w:hint="eastAsia"/>
          <w:color w:val="auto"/>
          <w:sz w:val="24"/>
          <w:lang w:eastAsia="zh-CN"/>
        </w:rPr>
        <w:t>100cm/s</w:t>
      </w:r>
      <w:r>
        <w:rPr>
          <w:rFonts w:ascii="宋体" w:hAnsi="宋体" w:hint="eastAsia"/>
          <w:color w:val="auto"/>
          <w:sz w:val="24"/>
          <w:lang w:eastAsia="zh-CN"/>
        </w:rPr>
        <w:t>以上。</w:t>
      </w:r>
    </w:p>
    <w:p w14:paraId="6CF15B37" w14:textId="77777777" w:rsidR="0075791A" w:rsidRDefault="00FB2864">
      <w:pPr>
        <w:spacing w:line="440" w:lineRule="exact"/>
        <w:ind w:firstLine="480"/>
        <w:rPr>
          <w:rFonts w:ascii="宋体" w:hAnsi="宋体"/>
          <w:color w:val="auto"/>
          <w:sz w:val="24"/>
          <w:lang w:eastAsia="zh-CN"/>
        </w:rPr>
      </w:pPr>
      <w:r>
        <w:rPr>
          <w:rFonts w:ascii="宋体" w:hAnsi="宋体" w:hint="eastAsia"/>
          <w:color w:val="auto"/>
          <w:sz w:val="24"/>
          <w:lang w:eastAsia="zh-CN"/>
        </w:rPr>
        <w:t>从涨急流场图可以看出，涨潮时潮汐通道内最大流速在</w:t>
      </w:r>
      <w:r>
        <w:rPr>
          <w:rFonts w:ascii="宋体" w:hAnsi="宋体" w:hint="eastAsia"/>
          <w:color w:val="auto"/>
          <w:sz w:val="24"/>
          <w:lang w:eastAsia="zh-CN"/>
        </w:rPr>
        <w:t>80cm/s</w:t>
      </w:r>
      <w:r>
        <w:rPr>
          <w:rFonts w:ascii="宋体" w:hAnsi="宋体" w:hint="eastAsia"/>
          <w:color w:val="auto"/>
          <w:sz w:val="24"/>
          <w:lang w:eastAsia="zh-CN"/>
        </w:rPr>
        <w:t>左右，落潮时最大流速在</w:t>
      </w:r>
      <w:r>
        <w:rPr>
          <w:rFonts w:ascii="宋体" w:hAnsi="宋体" w:hint="eastAsia"/>
          <w:color w:val="auto"/>
          <w:sz w:val="24"/>
          <w:lang w:eastAsia="zh-CN"/>
        </w:rPr>
        <w:t>100cm/s</w:t>
      </w:r>
      <w:r>
        <w:rPr>
          <w:rFonts w:ascii="宋体" w:hAnsi="宋体" w:hint="eastAsia"/>
          <w:color w:val="auto"/>
          <w:sz w:val="24"/>
          <w:lang w:eastAsia="zh-CN"/>
        </w:rPr>
        <w:t>左右，落潮流大于涨潮流，这有利于泥沙向外海输运，从而有利于维持潮汐通道内深槽的水深。自港口岭泻湖口门至打狗坡以西的潮汐通道内，都维持较大的流速，这也是泻湖一直未产生较大的淤积，能维持潮汐深槽的原因。只有铁炉港最北侧的泻湖内部，才处于较封闭的海洋环境，最大</w:t>
      </w:r>
      <w:r>
        <w:rPr>
          <w:rFonts w:ascii="宋体" w:hAnsi="宋体" w:hint="eastAsia"/>
          <w:color w:val="auto"/>
          <w:sz w:val="24"/>
          <w:lang w:eastAsia="zh-CN"/>
        </w:rPr>
        <w:t>流速小于</w:t>
      </w:r>
      <w:r>
        <w:rPr>
          <w:rFonts w:ascii="宋体" w:hAnsi="宋体" w:hint="eastAsia"/>
          <w:color w:val="auto"/>
          <w:sz w:val="24"/>
          <w:lang w:eastAsia="zh-CN"/>
        </w:rPr>
        <w:t>20cm/s</w:t>
      </w:r>
      <w:r>
        <w:rPr>
          <w:rFonts w:ascii="宋体" w:hAnsi="宋体" w:hint="eastAsia"/>
          <w:color w:val="auto"/>
          <w:sz w:val="24"/>
          <w:lang w:eastAsia="zh-CN"/>
        </w:rPr>
        <w:t>。</w:t>
      </w:r>
    </w:p>
    <w:p w14:paraId="0245361C" w14:textId="77777777" w:rsidR="0075791A" w:rsidRDefault="00FB2864">
      <w:pPr>
        <w:spacing w:line="440" w:lineRule="exact"/>
        <w:ind w:firstLine="480"/>
        <w:rPr>
          <w:rFonts w:ascii="宋体" w:hAnsi="宋体"/>
          <w:color w:val="auto"/>
          <w:sz w:val="24"/>
          <w:lang w:eastAsia="zh-CN"/>
        </w:rPr>
      </w:pPr>
      <w:r>
        <w:rPr>
          <w:rFonts w:ascii="宋体" w:hAnsi="宋体" w:hint="eastAsia"/>
          <w:color w:val="auto"/>
          <w:sz w:val="24"/>
          <w:lang w:eastAsia="zh-CN"/>
        </w:rPr>
        <w:t>最大流速出现在铁炉港与外海相连的港口岭附近的潮汐通道内，口门东西两侧的防波堤使水流集中，落潮时形成的落潮强流向铁炉湾内延伸的最远距离达到</w:t>
      </w:r>
      <w:r>
        <w:rPr>
          <w:rFonts w:ascii="宋体" w:hAnsi="宋体" w:hint="eastAsia"/>
          <w:color w:val="auto"/>
          <w:sz w:val="24"/>
          <w:lang w:eastAsia="zh-CN"/>
        </w:rPr>
        <w:t>1km</w:t>
      </w:r>
      <w:r>
        <w:rPr>
          <w:rFonts w:ascii="宋体" w:hAnsi="宋体" w:hint="eastAsia"/>
          <w:color w:val="auto"/>
          <w:sz w:val="24"/>
          <w:lang w:eastAsia="zh-CN"/>
        </w:rPr>
        <w:t>以上。</w:t>
      </w:r>
    </w:p>
    <w:p w14:paraId="34397DA8" w14:textId="77777777" w:rsidR="0075791A" w:rsidRDefault="00FB2864">
      <w:pPr>
        <w:spacing w:line="440" w:lineRule="exact"/>
        <w:ind w:firstLine="480"/>
        <w:rPr>
          <w:rFonts w:ascii="宋体" w:hAnsi="宋体"/>
          <w:color w:val="auto"/>
          <w:sz w:val="24"/>
          <w:lang w:eastAsia="zh-CN"/>
        </w:rPr>
      </w:pPr>
      <w:r>
        <w:rPr>
          <w:rFonts w:ascii="宋体" w:hAnsi="宋体" w:hint="eastAsia"/>
          <w:color w:val="auto"/>
          <w:sz w:val="24"/>
          <w:lang w:eastAsia="zh-CN"/>
        </w:rPr>
        <w:t>工程前后的流场未发生明显的变化，通过增大水深的方式体现疏浚工程的存在，从工程前后的流速大小改变图可以看出，其流速改变的最大值在</w:t>
      </w:r>
      <w:r>
        <w:rPr>
          <w:rFonts w:ascii="宋体" w:hAnsi="宋体" w:hint="eastAsia"/>
          <w:color w:val="auto"/>
          <w:sz w:val="24"/>
          <w:lang w:eastAsia="zh-CN"/>
        </w:rPr>
        <w:t>15cm/s</w:t>
      </w:r>
      <w:r>
        <w:rPr>
          <w:rFonts w:ascii="宋体" w:hAnsi="宋体" w:hint="eastAsia"/>
          <w:color w:val="auto"/>
          <w:sz w:val="24"/>
          <w:lang w:eastAsia="zh-CN"/>
        </w:rPr>
        <w:t>左右，落潮时流速改变幅度略大于涨潮时。同时也可以看到，由于本项目疏浚，导致过水断面面积增大，因此疏浚区附近的分流比下降，即过水量下降，导致疏浚区的附近流速也呈下降趋势。</w:t>
      </w:r>
    </w:p>
    <w:p w14:paraId="1C965354" w14:textId="77777777" w:rsidR="0075791A" w:rsidRDefault="00FB2864">
      <w:pPr>
        <w:spacing w:line="440" w:lineRule="exact"/>
        <w:ind w:firstLine="480"/>
        <w:rPr>
          <w:rFonts w:ascii="宋体" w:hAnsi="宋体"/>
          <w:color w:val="auto"/>
          <w:sz w:val="24"/>
          <w:lang w:eastAsia="zh-CN"/>
        </w:rPr>
      </w:pPr>
      <w:r>
        <w:rPr>
          <w:rFonts w:ascii="宋体" w:hAnsi="宋体" w:hint="eastAsia"/>
          <w:color w:val="auto"/>
          <w:sz w:val="24"/>
          <w:lang w:eastAsia="zh-CN"/>
        </w:rPr>
        <w:t>总体来说，本项目疏浚工程所在的</w:t>
      </w:r>
      <w:r>
        <w:rPr>
          <w:rFonts w:ascii="宋体" w:hAnsi="宋体" w:hint="eastAsia"/>
          <w:color w:val="auto"/>
          <w:sz w:val="24"/>
          <w:lang w:eastAsia="zh-CN"/>
        </w:rPr>
        <w:t>海棠湾附近海区潮流动力弱，最大流速小于</w:t>
      </w:r>
      <w:r>
        <w:rPr>
          <w:rFonts w:ascii="宋体" w:hAnsi="宋体" w:hint="eastAsia"/>
          <w:color w:val="auto"/>
          <w:sz w:val="24"/>
          <w:lang w:eastAsia="zh-CN"/>
        </w:rPr>
        <w:t>40cm/s</w:t>
      </w:r>
      <w:r>
        <w:rPr>
          <w:rFonts w:ascii="宋体" w:hAnsi="宋体" w:hint="eastAsia"/>
          <w:color w:val="auto"/>
          <w:sz w:val="24"/>
          <w:lang w:eastAsia="zh-CN"/>
        </w:rPr>
        <w:t>。工程前后疏浚区流速的改变幅度较小，最大改变幅度在</w:t>
      </w:r>
      <w:r>
        <w:rPr>
          <w:rFonts w:ascii="宋体" w:hAnsi="宋体" w:hint="eastAsia"/>
          <w:color w:val="auto"/>
          <w:sz w:val="24"/>
          <w:lang w:eastAsia="zh-CN"/>
        </w:rPr>
        <w:t>15cm/s</w:t>
      </w:r>
      <w:r>
        <w:rPr>
          <w:rFonts w:ascii="宋体" w:hAnsi="宋体" w:hint="eastAsia"/>
          <w:color w:val="auto"/>
          <w:sz w:val="24"/>
          <w:lang w:eastAsia="zh-CN"/>
        </w:rPr>
        <w:t>左右，流速改变幅度大于</w:t>
      </w:r>
      <w:r>
        <w:rPr>
          <w:rFonts w:ascii="宋体" w:hAnsi="宋体" w:hint="eastAsia"/>
          <w:color w:val="auto"/>
          <w:sz w:val="24"/>
          <w:lang w:eastAsia="zh-CN"/>
        </w:rPr>
        <w:t>3cm/s</w:t>
      </w:r>
      <w:r>
        <w:rPr>
          <w:rFonts w:ascii="宋体" w:hAnsi="宋体" w:hint="eastAsia"/>
          <w:color w:val="auto"/>
          <w:sz w:val="24"/>
          <w:lang w:eastAsia="zh-CN"/>
        </w:rPr>
        <w:t>的范围的最远距离约</w:t>
      </w:r>
      <w:r>
        <w:rPr>
          <w:rFonts w:ascii="宋体" w:hAnsi="宋体" w:hint="eastAsia"/>
          <w:color w:val="auto"/>
          <w:sz w:val="24"/>
          <w:lang w:eastAsia="zh-CN"/>
        </w:rPr>
        <w:t>400m</w:t>
      </w:r>
      <w:r>
        <w:rPr>
          <w:rFonts w:ascii="宋体" w:hAnsi="宋体" w:hint="eastAsia"/>
          <w:color w:val="auto"/>
          <w:sz w:val="24"/>
          <w:lang w:eastAsia="zh-CN"/>
        </w:rPr>
        <w:t>。因此疏浚工程的实施对流速改变的幅度和范围都较小，只局限在疏浚区的小范围内，对周边的海洋动力环境影响较小。</w:t>
      </w:r>
    </w:p>
    <w:p w14:paraId="4E0777F6" w14:textId="77777777" w:rsidR="0075791A" w:rsidRDefault="0075791A">
      <w:pPr>
        <w:rPr>
          <w:color w:val="auto"/>
          <w:lang w:eastAsia="zh-CN"/>
        </w:rPr>
      </w:pPr>
    </w:p>
    <w:p w14:paraId="0F91E5EC" w14:textId="77777777" w:rsidR="0075791A" w:rsidRDefault="00FB2864">
      <w:pPr>
        <w:rPr>
          <w:color w:val="auto"/>
        </w:rPr>
      </w:pPr>
      <w:r>
        <w:rPr>
          <w:noProof/>
          <w:color w:val="auto"/>
        </w:rPr>
        <w:lastRenderedPageBreak/>
        <w:drawing>
          <wp:inline distT="0" distB="0" distL="114300" distR="114300" wp14:anchorId="5C2B4237" wp14:editId="0298139F">
            <wp:extent cx="5272405" cy="3672205"/>
            <wp:effectExtent l="0" t="0" r="635" b="635"/>
            <wp:docPr id="90"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43"/>
                    <pic:cNvPicPr>
                      <a:picLocks noChangeAspect="1"/>
                    </pic:cNvPicPr>
                  </pic:nvPicPr>
                  <pic:blipFill>
                    <a:blip r:embed="rId152"/>
                    <a:stretch>
                      <a:fillRect/>
                    </a:stretch>
                  </pic:blipFill>
                  <pic:spPr>
                    <a:xfrm>
                      <a:off x="0" y="0"/>
                      <a:ext cx="5272405" cy="3672205"/>
                    </a:xfrm>
                    <a:prstGeom prst="rect">
                      <a:avLst/>
                    </a:prstGeom>
                    <a:noFill/>
                    <a:ln>
                      <a:noFill/>
                    </a:ln>
                  </pic:spPr>
                </pic:pic>
              </a:graphicData>
            </a:graphic>
          </wp:inline>
        </w:drawing>
      </w:r>
    </w:p>
    <w:p w14:paraId="6B2E4222" w14:textId="77777777" w:rsidR="0075791A" w:rsidRDefault="00FB2864">
      <w:pPr>
        <w:spacing w:beforeLines="50" w:before="120" w:line="360" w:lineRule="auto"/>
        <w:ind w:firstLine="480"/>
        <w:jc w:val="center"/>
        <w:rPr>
          <w:rFonts w:ascii="宋体" w:hAnsi="宋体"/>
          <w:color w:val="auto"/>
          <w:sz w:val="24"/>
          <w:lang w:eastAsia="zh-CN"/>
        </w:rPr>
      </w:pPr>
      <w:r>
        <w:rPr>
          <w:rFonts w:ascii="宋体" w:hAnsi="宋体" w:hint="eastAsia"/>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w:t>
      </w:r>
      <w:r>
        <w:rPr>
          <w:rFonts w:ascii="宋体" w:eastAsia="宋体" w:hAnsi="宋体" w:hint="eastAsia"/>
          <w:color w:val="auto"/>
          <w:sz w:val="24"/>
          <w:lang w:eastAsia="zh-CN"/>
        </w:rPr>
        <w:t>7</w:t>
      </w:r>
      <w:r>
        <w:rPr>
          <w:rFonts w:ascii="宋体" w:hAnsi="宋体" w:hint="eastAsia"/>
          <w:color w:val="auto"/>
          <w:sz w:val="24"/>
          <w:lang w:eastAsia="zh-CN"/>
        </w:rPr>
        <w:t>a</w:t>
      </w:r>
      <w:r>
        <w:rPr>
          <w:rFonts w:ascii="宋体" w:hAnsi="宋体" w:hint="eastAsia"/>
          <w:color w:val="auto"/>
          <w:sz w:val="24"/>
          <w:lang w:eastAsia="zh-CN"/>
        </w:rPr>
        <w:t>铁炉港附近涨急流场图（工程前）</w:t>
      </w:r>
    </w:p>
    <w:p w14:paraId="68AC036B" w14:textId="77777777" w:rsidR="0075791A" w:rsidRDefault="00FB2864">
      <w:pPr>
        <w:rPr>
          <w:color w:val="auto"/>
        </w:rPr>
      </w:pPr>
      <w:r>
        <w:rPr>
          <w:noProof/>
          <w:color w:val="auto"/>
        </w:rPr>
        <w:drawing>
          <wp:inline distT="0" distB="0" distL="114300" distR="114300" wp14:anchorId="1F3573DC" wp14:editId="60AA8222">
            <wp:extent cx="5272405" cy="3672205"/>
            <wp:effectExtent l="0" t="0" r="635" b="635"/>
            <wp:docPr id="91"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44"/>
                    <pic:cNvPicPr>
                      <a:picLocks noChangeAspect="1"/>
                    </pic:cNvPicPr>
                  </pic:nvPicPr>
                  <pic:blipFill>
                    <a:blip r:embed="rId153"/>
                    <a:stretch>
                      <a:fillRect/>
                    </a:stretch>
                  </pic:blipFill>
                  <pic:spPr>
                    <a:xfrm>
                      <a:off x="0" y="0"/>
                      <a:ext cx="5272405" cy="3672205"/>
                    </a:xfrm>
                    <a:prstGeom prst="rect">
                      <a:avLst/>
                    </a:prstGeom>
                    <a:noFill/>
                    <a:ln>
                      <a:noFill/>
                    </a:ln>
                  </pic:spPr>
                </pic:pic>
              </a:graphicData>
            </a:graphic>
          </wp:inline>
        </w:drawing>
      </w:r>
    </w:p>
    <w:p w14:paraId="2A0BFD75" w14:textId="77777777" w:rsidR="0075791A" w:rsidRDefault="00FB2864">
      <w:pPr>
        <w:spacing w:beforeLines="50" w:before="120" w:line="360" w:lineRule="auto"/>
        <w:ind w:firstLine="480"/>
        <w:jc w:val="center"/>
        <w:rPr>
          <w:rFonts w:ascii="宋体" w:hAnsi="宋体"/>
          <w:color w:val="auto"/>
          <w:sz w:val="24"/>
          <w:lang w:eastAsia="zh-CN"/>
        </w:rPr>
      </w:pPr>
      <w:r>
        <w:rPr>
          <w:rFonts w:ascii="宋体" w:hAnsi="宋体" w:hint="eastAsia"/>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w:t>
      </w:r>
      <w:r>
        <w:rPr>
          <w:rFonts w:ascii="宋体" w:eastAsia="宋体" w:hAnsi="宋体" w:hint="eastAsia"/>
          <w:color w:val="auto"/>
          <w:sz w:val="24"/>
          <w:lang w:eastAsia="zh-CN"/>
        </w:rPr>
        <w:t>7</w:t>
      </w:r>
      <w:r>
        <w:rPr>
          <w:rFonts w:ascii="宋体" w:hAnsi="宋体" w:hint="eastAsia"/>
          <w:color w:val="auto"/>
          <w:sz w:val="24"/>
          <w:lang w:eastAsia="zh-CN"/>
        </w:rPr>
        <w:t>b</w:t>
      </w:r>
      <w:r>
        <w:rPr>
          <w:rFonts w:ascii="宋体" w:hAnsi="宋体" w:hint="eastAsia"/>
          <w:color w:val="auto"/>
          <w:sz w:val="24"/>
          <w:lang w:eastAsia="zh-CN"/>
        </w:rPr>
        <w:t>铁炉港附近涨急流场图（工程后）</w:t>
      </w:r>
    </w:p>
    <w:p w14:paraId="29074653" w14:textId="77777777" w:rsidR="0075791A" w:rsidRDefault="00FB2864">
      <w:pPr>
        <w:rPr>
          <w:color w:val="auto"/>
        </w:rPr>
      </w:pPr>
      <w:r>
        <w:rPr>
          <w:noProof/>
          <w:color w:val="auto"/>
        </w:rPr>
        <w:lastRenderedPageBreak/>
        <w:drawing>
          <wp:inline distT="0" distB="0" distL="114300" distR="114300" wp14:anchorId="084F4093" wp14:editId="636D024B">
            <wp:extent cx="5272405" cy="3672205"/>
            <wp:effectExtent l="0" t="0" r="635" b="635"/>
            <wp:docPr id="92"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45"/>
                    <pic:cNvPicPr>
                      <a:picLocks noChangeAspect="1"/>
                    </pic:cNvPicPr>
                  </pic:nvPicPr>
                  <pic:blipFill>
                    <a:blip r:embed="rId154"/>
                    <a:stretch>
                      <a:fillRect/>
                    </a:stretch>
                  </pic:blipFill>
                  <pic:spPr>
                    <a:xfrm>
                      <a:off x="0" y="0"/>
                      <a:ext cx="5272405" cy="3672205"/>
                    </a:xfrm>
                    <a:prstGeom prst="rect">
                      <a:avLst/>
                    </a:prstGeom>
                    <a:noFill/>
                    <a:ln>
                      <a:noFill/>
                    </a:ln>
                  </pic:spPr>
                </pic:pic>
              </a:graphicData>
            </a:graphic>
          </wp:inline>
        </w:drawing>
      </w:r>
    </w:p>
    <w:p w14:paraId="1721A94F" w14:textId="77777777" w:rsidR="0075791A" w:rsidRDefault="00FB2864">
      <w:pPr>
        <w:spacing w:beforeLines="50" w:before="120" w:line="360" w:lineRule="auto"/>
        <w:ind w:firstLine="480"/>
        <w:jc w:val="center"/>
        <w:rPr>
          <w:rFonts w:ascii="宋体" w:hAnsi="宋体"/>
          <w:color w:val="auto"/>
          <w:sz w:val="24"/>
          <w:lang w:eastAsia="zh-CN"/>
        </w:rPr>
      </w:pPr>
      <w:r>
        <w:rPr>
          <w:rFonts w:ascii="宋体" w:hAnsi="宋体" w:hint="eastAsia"/>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w:t>
      </w:r>
      <w:r>
        <w:rPr>
          <w:rFonts w:ascii="宋体" w:eastAsia="宋体" w:hAnsi="宋体" w:hint="eastAsia"/>
          <w:color w:val="auto"/>
          <w:sz w:val="24"/>
          <w:lang w:eastAsia="zh-CN"/>
        </w:rPr>
        <w:t>8</w:t>
      </w:r>
      <w:r>
        <w:rPr>
          <w:rFonts w:ascii="宋体" w:hAnsi="宋体" w:hint="eastAsia"/>
          <w:color w:val="auto"/>
          <w:sz w:val="24"/>
          <w:lang w:eastAsia="zh-CN"/>
        </w:rPr>
        <w:t>a</w:t>
      </w:r>
      <w:r>
        <w:rPr>
          <w:rFonts w:ascii="宋体" w:hAnsi="宋体" w:hint="eastAsia"/>
          <w:color w:val="auto"/>
          <w:sz w:val="24"/>
          <w:lang w:eastAsia="zh-CN"/>
        </w:rPr>
        <w:t>铁炉港附近落急流场图（工程前）</w:t>
      </w:r>
    </w:p>
    <w:p w14:paraId="0168F64C" w14:textId="77777777" w:rsidR="0075791A" w:rsidRDefault="00FB2864">
      <w:pPr>
        <w:rPr>
          <w:color w:val="auto"/>
        </w:rPr>
      </w:pPr>
      <w:r>
        <w:rPr>
          <w:noProof/>
          <w:color w:val="auto"/>
        </w:rPr>
        <w:drawing>
          <wp:inline distT="0" distB="0" distL="114300" distR="114300" wp14:anchorId="67FDEE9B" wp14:editId="13B797B6">
            <wp:extent cx="5272405" cy="3672205"/>
            <wp:effectExtent l="0" t="0" r="635" b="635"/>
            <wp:docPr id="112"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46"/>
                    <pic:cNvPicPr>
                      <a:picLocks noChangeAspect="1"/>
                    </pic:cNvPicPr>
                  </pic:nvPicPr>
                  <pic:blipFill>
                    <a:blip r:embed="rId155"/>
                    <a:stretch>
                      <a:fillRect/>
                    </a:stretch>
                  </pic:blipFill>
                  <pic:spPr>
                    <a:xfrm>
                      <a:off x="0" y="0"/>
                      <a:ext cx="5272405" cy="3672205"/>
                    </a:xfrm>
                    <a:prstGeom prst="rect">
                      <a:avLst/>
                    </a:prstGeom>
                    <a:noFill/>
                    <a:ln>
                      <a:noFill/>
                    </a:ln>
                  </pic:spPr>
                </pic:pic>
              </a:graphicData>
            </a:graphic>
          </wp:inline>
        </w:drawing>
      </w:r>
    </w:p>
    <w:p w14:paraId="32BD76BC" w14:textId="77777777" w:rsidR="0075791A" w:rsidRDefault="00FB2864">
      <w:pPr>
        <w:spacing w:beforeLines="50" w:before="120" w:line="360" w:lineRule="auto"/>
        <w:ind w:firstLine="480"/>
        <w:jc w:val="center"/>
        <w:rPr>
          <w:rFonts w:ascii="宋体" w:hAnsi="宋体"/>
          <w:color w:val="auto"/>
          <w:sz w:val="24"/>
          <w:lang w:eastAsia="zh-CN"/>
        </w:rPr>
      </w:pPr>
      <w:r>
        <w:rPr>
          <w:rFonts w:ascii="宋体" w:hAnsi="宋体" w:hint="eastAsia"/>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w:t>
      </w:r>
      <w:r>
        <w:rPr>
          <w:rFonts w:ascii="宋体" w:eastAsia="宋体" w:hAnsi="宋体" w:hint="eastAsia"/>
          <w:color w:val="auto"/>
          <w:sz w:val="24"/>
          <w:lang w:eastAsia="zh-CN"/>
        </w:rPr>
        <w:t>8</w:t>
      </w:r>
      <w:r>
        <w:rPr>
          <w:rFonts w:ascii="宋体" w:hAnsi="宋体" w:hint="eastAsia"/>
          <w:color w:val="auto"/>
          <w:sz w:val="24"/>
          <w:lang w:eastAsia="zh-CN"/>
        </w:rPr>
        <w:t>b</w:t>
      </w:r>
      <w:r>
        <w:rPr>
          <w:rFonts w:ascii="宋体" w:hAnsi="宋体" w:hint="eastAsia"/>
          <w:color w:val="auto"/>
          <w:sz w:val="24"/>
          <w:lang w:eastAsia="zh-CN"/>
        </w:rPr>
        <w:t>铁炉港附近落急流场图（工程后）</w:t>
      </w:r>
    </w:p>
    <w:p w14:paraId="2980DBD2" w14:textId="77777777" w:rsidR="0075791A" w:rsidRDefault="00FB2864">
      <w:pPr>
        <w:rPr>
          <w:color w:val="auto"/>
        </w:rPr>
      </w:pPr>
      <w:r>
        <w:rPr>
          <w:noProof/>
          <w:color w:val="auto"/>
        </w:rPr>
        <w:lastRenderedPageBreak/>
        <w:drawing>
          <wp:inline distT="0" distB="0" distL="114300" distR="114300" wp14:anchorId="0543EE13" wp14:editId="1A10F0EC">
            <wp:extent cx="5272405" cy="3672205"/>
            <wp:effectExtent l="0" t="0" r="635" b="635"/>
            <wp:docPr id="109"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47"/>
                    <pic:cNvPicPr>
                      <a:picLocks noChangeAspect="1"/>
                    </pic:cNvPicPr>
                  </pic:nvPicPr>
                  <pic:blipFill>
                    <a:blip r:embed="rId156"/>
                    <a:stretch>
                      <a:fillRect/>
                    </a:stretch>
                  </pic:blipFill>
                  <pic:spPr>
                    <a:xfrm>
                      <a:off x="0" y="0"/>
                      <a:ext cx="5272405" cy="3672205"/>
                    </a:xfrm>
                    <a:prstGeom prst="rect">
                      <a:avLst/>
                    </a:prstGeom>
                    <a:noFill/>
                    <a:ln>
                      <a:noFill/>
                    </a:ln>
                  </pic:spPr>
                </pic:pic>
              </a:graphicData>
            </a:graphic>
          </wp:inline>
        </w:drawing>
      </w:r>
    </w:p>
    <w:p w14:paraId="4F7DDE3E" w14:textId="77777777" w:rsidR="0075791A" w:rsidRDefault="00FB2864">
      <w:pPr>
        <w:spacing w:beforeLines="50" w:before="120" w:line="360" w:lineRule="auto"/>
        <w:jc w:val="center"/>
        <w:rPr>
          <w:rFonts w:ascii="宋体" w:hAnsi="宋体"/>
          <w:color w:val="auto"/>
          <w:sz w:val="24"/>
          <w:lang w:eastAsia="zh-CN"/>
        </w:rPr>
      </w:pPr>
      <w:r>
        <w:rPr>
          <w:rFonts w:ascii="宋体" w:hAnsi="宋体" w:hint="eastAsia"/>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w:t>
      </w:r>
      <w:r>
        <w:rPr>
          <w:rFonts w:ascii="宋体" w:eastAsia="宋体" w:hAnsi="宋体" w:hint="eastAsia"/>
          <w:color w:val="auto"/>
          <w:sz w:val="24"/>
          <w:lang w:eastAsia="zh-CN"/>
        </w:rPr>
        <w:t>9</w:t>
      </w:r>
      <w:r>
        <w:rPr>
          <w:rFonts w:ascii="宋体" w:hAnsi="宋体"/>
          <w:color w:val="auto"/>
          <w:sz w:val="24"/>
          <w:lang w:eastAsia="zh-CN"/>
        </w:rPr>
        <w:t>a</w:t>
      </w:r>
      <w:r>
        <w:rPr>
          <w:rFonts w:ascii="宋体" w:hAnsi="宋体" w:hint="eastAsia"/>
          <w:color w:val="auto"/>
          <w:sz w:val="24"/>
          <w:lang w:eastAsia="zh-CN"/>
        </w:rPr>
        <w:t>工程前后涨急流速改变等值线图</w:t>
      </w:r>
    </w:p>
    <w:p w14:paraId="2AC3D5A4" w14:textId="77777777" w:rsidR="0075791A" w:rsidRDefault="00FB2864">
      <w:pPr>
        <w:rPr>
          <w:color w:val="auto"/>
        </w:rPr>
      </w:pPr>
      <w:r>
        <w:rPr>
          <w:noProof/>
          <w:color w:val="auto"/>
        </w:rPr>
        <w:drawing>
          <wp:inline distT="0" distB="0" distL="114300" distR="114300" wp14:anchorId="16F7530C" wp14:editId="2939A783">
            <wp:extent cx="5272405" cy="3672205"/>
            <wp:effectExtent l="0" t="0" r="635" b="635"/>
            <wp:docPr id="97"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48"/>
                    <pic:cNvPicPr>
                      <a:picLocks noChangeAspect="1"/>
                    </pic:cNvPicPr>
                  </pic:nvPicPr>
                  <pic:blipFill>
                    <a:blip r:embed="rId157"/>
                    <a:stretch>
                      <a:fillRect/>
                    </a:stretch>
                  </pic:blipFill>
                  <pic:spPr>
                    <a:xfrm>
                      <a:off x="0" y="0"/>
                      <a:ext cx="5272405" cy="3672205"/>
                    </a:xfrm>
                    <a:prstGeom prst="rect">
                      <a:avLst/>
                    </a:prstGeom>
                    <a:noFill/>
                    <a:ln>
                      <a:noFill/>
                    </a:ln>
                  </pic:spPr>
                </pic:pic>
              </a:graphicData>
            </a:graphic>
          </wp:inline>
        </w:drawing>
      </w:r>
    </w:p>
    <w:p w14:paraId="35E7BFF5" w14:textId="77777777" w:rsidR="0075791A" w:rsidRDefault="00FB2864">
      <w:pPr>
        <w:spacing w:beforeLines="50" w:before="120" w:line="360" w:lineRule="auto"/>
        <w:jc w:val="center"/>
        <w:rPr>
          <w:rFonts w:ascii="宋体" w:hAnsi="宋体"/>
          <w:color w:val="auto"/>
          <w:sz w:val="24"/>
          <w:lang w:eastAsia="zh-CN"/>
        </w:rPr>
      </w:pPr>
      <w:r>
        <w:rPr>
          <w:rFonts w:ascii="宋体" w:hAnsi="宋体" w:hint="eastAsia"/>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w:t>
      </w:r>
      <w:r>
        <w:rPr>
          <w:rFonts w:ascii="宋体" w:eastAsia="宋体" w:hAnsi="宋体" w:hint="eastAsia"/>
          <w:color w:val="auto"/>
          <w:sz w:val="24"/>
          <w:lang w:eastAsia="zh-CN"/>
        </w:rPr>
        <w:t>9</w:t>
      </w:r>
      <w:r>
        <w:rPr>
          <w:rFonts w:ascii="宋体" w:hAnsi="宋体"/>
          <w:color w:val="auto"/>
          <w:sz w:val="24"/>
          <w:lang w:eastAsia="zh-CN"/>
        </w:rPr>
        <w:t>b</w:t>
      </w:r>
      <w:r>
        <w:rPr>
          <w:rFonts w:ascii="宋体" w:hAnsi="宋体" w:hint="eastAsia"/>
          <w:color w:val="auto"/>
          <w:sz w:val="24"/>
          <w:lang w:eastAsia="zh-CN"/>
        </w:rPr>
        <w:t>工程前后落急流速改变等值线图</w:t>
      </w:r>
    </w:p>
    <w:p w14:paraId="16BBE981" w14:textId="77777777" w:rsidR="0075791A" w:rsidRDefault="0075791A">
      <w:pPr>
        <w:rPr>
          <w:rFonts w:ascii="宋体" w:hAnsi="宋体"/>
          <w:color w:val="auto"/>
          <w:sz w:val="24"/>
          <w:lang w:eastAsia="zh-CN"/>
        </w:rPr>
      </w:pPr>
    </w:p>
    <w:p w14:paraId="41F9C8FD"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r>
        <w:rPr>
          <w:rFonts w:ascii="Times New Roman" w:eastAsia="Times New Roman" w:hAnsi="Times New Roman" w:cs="Times New Roman" w:hint="eastAsia"/>
          <w:b/>
          <w:bCs/>
          <w:color w:val="auto"/>
          <w:spacing w:val="-3"/>
          <w:sz w:val="28"/>
          <w:szCs w:val="28"/>
          <w:lang w:eastAsia="zh-CN"/>
        </w:rPr>
        <w:t>4.1.4工程前后床底冲淤变化</w:t>
      </w:r>
    </w:p>
    <w:p w14:paraId="26A0648F" w14:textId="77777777" w:rsidR="0075791A" w:rsidRDefault="00FB2864">
      <w:pPr>
        <w:spacing w:before="34" w:line="360" w:lineRule="auto"/>
        <w:ind w:left="5"/>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4.1.4.1</w:t>
      </w:r>
      <w:r>
        <w:rPr>
          <w:rFonts w:ascii="Times New Roman" w:eastAsia="宋体" w:hAnsi="Times New Roman" w:hint="eastAsia"/>
          <w:b/>
          <w:color w:val="auto"/>
          <w:sz w:val="24"/>
          <w:szCs w:val="24"/>
          <w:lang w:eastAsia="zh-CN"/>
        </w:rPr>
        <w:t>计算公式</w:t>
      </w:r>
    </w:p>
    <w:p w14:paraId="723E82D6" w14:textId="77777777" w:rsidR="0075791A" w:rsidRDefault="00FB2864">
      <w:pPr>
        <w:spacing w:line="460" w:lineRule="atLeast"/>
        <w:ind w:firstLine="482"/>
        <w:rPr>
          <w:rFonts w:ascii="宋体" w:hAnsi="宋体"/>
          <w:color w:val="auto"/>
          <w:sz w:val="24"/>
          <w:lang w:eastAsia="zh-CN"/>
        </w:rPr>
      </w:pPr>
      <w:r>
        <w:rPr>
          <w:rFonts w:ascii="宋体" w:hAnsi="宋体" w:hint="eastAsia"/>
          <w:color w:val="auto"/>
          <w:sz w:val="24"/>
          <w:lang w:eastAsia="zh-CN"/>
        </w:rPr>
        <w:lastRenderedPageBreak/>
        <w:t>根据</w:t>
      </w:r>
      <w:r>
        <w:rPr>
          <w:rFonts w:ascii="宋体" w:hAnsi="宋体" w:hint="eastAsia"/>
          <w:color w:val="auto"/>
          <w:sz w:val="24"/>
          <w:lang w:eastAsia="zh-CN"/>
        </w:rPr>
        <w:t>2023</w:t>
      </w:r>
      <w:r>
        <w:rPr>
          <w:rFonts w:ascii="宋体" w:hAnsi="宋体" w:hint="eastAsia"/>
          <w:color w:val="auto"/>
          <w:sz w:val="24"/>
          <w:lang w:eastAsia="zh-CN"/>
        </w:rPr>
        <w:t>年</w:t>
      </w:r>
      <w:r>
        <w:rPr>
          <w:rFonts w:ascii="宋体" w:hAnsi="宋体" w:hint="eastAsia"/>
          <w:color w:val="auto"/>
          <w:sz w:val="24"/>
          <w:lang w:eastAsia="zh-CN"/>
        </w:rPr>
        <w:t>6</w:t>
      </w:r>
      <w:r>
        <w:rPr>
          <w:rFonts w:ascii="宋体" w:hAnsi="宋体" w:hint="eastAsia"/>
          <w:color w:val="auto"/>
          <w:sz w:val="24"/>
          <w:lang w:eastAsia="zh-CN"/>
        </w:rPr>
        <w:t>月</w:t>
      </w:r>
      <w:r>
        <w:rPr>
          <w:rFonts w:ascii="宋体" w:hAnsi="宋体" w:hint="eastAsia"/>
          <w:color w:val="auto"/>
          <w:sz w:val="24"/>
          <w:lang w:eastAsia="zh-CN"/>
        </w:rPr>
        <w:t>4</w:t>
      </w:r>
      <w:r>
        <w:rPr>
          <w:rFonts w:ascii="宋体" w:hAnsi="宋体" w:hint="eastAsia"/>
          <w:color w:val="auto"/>
          <w:sz w:val="24"/>
          <w:lang w:eastAsia="zh-CN"/>
        </w:rPr>
        <w:t>站同步的水文测验悬沙采样分析结果：铁炉港附近海域的悬沙平均含量约为</w:t>
      </w:r>
      <w:r>
        <w:rPr>
          <w:rFonts w:ascii="宋体" w:hAnsi="宋体" w:hint="eastAsia"/>
          <w:color w:val="auto"/>
          <w:sz w:val="24"/>
          <w:lang w:eastAsia="zh-CN"/>
        </w:rPr>
        <w:t>32.6mg/l</w:t>
      </w:r>
      <w:r>
        <w:rPr>
          <w:rFonts w:ascii="宋体" w:hAnsi="宋体" w:hint="eastAsia"/>
          <w:color w:val="auto"/>
          <w:sz w:val="24"/>
          <w:lang w:eastAsia="zh-CN"/>
        </w:rPr>
        <w:t>。</w:t>
      </w:r>
    </w:p>
    <w:p w14:paraId="632E311E" w14:textId="77777777" w:rsidR="0075791A" w:rsidRDefault="00FB2864">
      <w:pPr>
        <w:spacing w:line="460" w:lineRule="exact"/>
        <w:ind w:firstLineChars="200" w:firstLine="480"/>
        <w:rPr>
          <w:rFonts w:ascii="宋体" w:hAnsi="宋体"/>
          <w:color w:val="auto"/>
          <w:sz w:val="24"/>
          <w:lang w:eastAsia="zh-CN"/>
        </w:rPr>
      </w:pPr>
      <w:r>
        <w:rPr>
          <w:rFonts w:ascii="宋体" w:hAnsi="宋体" w:hint="eastAsia"/>
          <w:color w:val="auto"/>
          <w:sz w:val="24"/>
          <w:lang w:eastAsia="zh-CN"/>
        </w:rPr>
        <w:t>悬沙含量的分布特征为：项目海域总体含沙量较低。离岸较近的悬沙略大，但整体差别不大。各站悬浮泥沙垂向浓度分布大体随水深增加浓度增大趋势。</w:t>
      </w:r>
    </w:p>
    <w:p w14:paraId="7E1F42F5" w14:textId="77777777" w:rsidR="0075791A" w:rsidRDefault="00FB2864">
      <w:pPr>
        <w:spacing w:line="460" w:lineRule="exact"/>
        <w:ind w:firstLineChars="200" w:firstLine="480"/>
        <w:rPr>
          <w:rFonts w:ascii="宋体" w:hAnsi="宋体"/>
          <w:color w:val="auto"/>
          <w:sz w:val="24"/>
          <w:lang w:eastAsia="zh-CN"/>
        </w:rPr>
      </w:pPr>
      <w:r>
        <w:rPr>
          <w:rFonts w:ascii="宋体" w:hAnsi="宋体" w:hint="eastAsia"/>
          <w:color w:val="auto"/>
          <w:sz w:val="24"/>
          <w:lang w:eastAsia="zh-CN"/>
        </w:rPr>
        <w:t>为了定量地研究本项目工程完成以后周边近岸区的泥沙回淤情况，在完成潮流数值计算以后，对于泥沙的淤积影响进行计算分析。回淤强度的计算采用公式（</w:t>
      </w:r>
      <w:r>
        <w:rPr>
          <w:rFonts w:ascii="宋体" w:eastAsia="宋体" w:hAnsi="宋体" w:hint="eastAsia"/>
          <w:color w:val="auto"/>
          <w:sz w:val="24"/>
          <w:lang w:eastAsia="zh-CN"/>
        </w:rPr>
        <w:t>4</w:t>
      </w:r>
      <w:r>
        <w:rPr>
          <w:rFonts w:ascii="宋体" w:hAnsi="宋体" w:hint="eastAsia"/>
          <w:color w:val="auto"/>
          <w:sz w:val="24"/>
          <w:lang w:eastAsia="zh-CN"/>
        </w:rPr>
        <w:t>-7</w:t>
      </w:r>
      <w:r>
        <w:rPr>
          <w:rFonts w:ascii="宋体" w:hAnsi="宋体" w:hint="eastAsia"/>
          <w:color w:val="auto"/>
          <w:sz w:val="24"/>
          <w:lang w:eastAsia="zh-CN"/>
        </w:rPr>
        <w:t>）进行计算：</w:t>
      </w:r>
    </w:p>
    <w:p w14:paraId="1058A2E6" w14:textId="77777777" w:rsidR="0075791A" w:rsidRDefault="00FB2864">
      <w:pPr>
        <w:spacing w:after="120" w:line="480" w:lineRule="atLeast"/>
        <w:ind w:firstLineChars="200" w:firstLine="480"/>
        <w:rPr>
          <w:rFonts w:ascii="宋体" w:hAnsi="宋体"/>
          <w:color w:val="auto"/>
          <w:sz w:val="24"/>
          <w:lang w:eastAsia="zh-CN"/>
        </w:rPr>
      </w:pPr>
      <w:r>
        <w:rPr>
          <w:rFonts w:ascii="宋体" w:hAnsi="宋体"/>
          <w:color w:val="auto"/>
          <w:position w:val="-30"/>
          <w:sz w:val="24"/>
        </w:rPr>
        <w:object w:dxaOrig="2566" w:dyaOrig="752" w14:anchorId="23DC1041">
          <v:shape id="_x0000_i1045" type="#_x0000_t75" style="width:128.3pt;height:37.6pt" o:ole="">
            <v:imagedata r:id="rId158" o:title=""/>
          </v:shape>
          <o:OLEObject Type="Embed" ProgID="Equation.KSEE3" ShapeID="_x0000_i1045" DrawAspect="Content" ObjectID="_1838358241" r:id="rId159"/>
        </w:object>
      </w:r>
      <w:r>
        <w:rPr>
          <w:rFonts w:ascii="宋体" w:hAnsi="宋体" w:hint="eastAsia"/>
          <w:color w:val="auto"/>
          <w:sz w:val="24"/>
          <w:lang w:eastAsia="zh-CN"/>
        </w:rPr>
        <w:t xml:space="preserve">                    </w:t>
      </w:r>
      <w:r>
        <w:rPr>
          <w:rFonts w:ascii="宋体" w:hAnsi="宋体"/>
          <w:color w:val="auto"/>
          <w:sz w:val="24"/>
          <w:lang w:eastAsia="zh-CN"/>
        </w:rPr>
        <w:t xml:space="preserve">  </w:t>
      </w:r>
      <w:r>
        <w:rPr>
          <w:rFonts w:ascii="宋体" w:hAnsi="宋体" w:hint="eastAsia"/>
          <w:color w:val="auto"/>
          <w:sz w:val="24"/>
          <w:lang w:eastAsia="zh-CN"/>
        </w:rPr>
        <w:t xml:space="preserve">            </w:t>
      </w:r>
      <w:r>
        <w:rPr>
          <w:rFonts w:ascii="宋体" w:hAnsi="宋体" w:hint="eastAsia"/>
          <w:color w:val="auto"/>
          <w:sz w:val="24"/>
          <w:lang w:eastAsia="zh-CN"/>
        </w:rPr>
        <w:t>（</w:t>
      </w:r>
      <w:r>
        <w:rPr>
          <w:rFonts w:ascii="宋体" w:eastAsia="宋体" w:hAnsi="宋体" w:hint="eastAsia"/>
          <w:color w:val="auto"/>
          <w:sz w:val="24"/>
          <w:lang w:eastAsia="zh-CN"/>
        </w:rPr>
        <w:t>4</w:t>
      </w:r>
      <w:r>
        <w:rPr>
          <w:rFonts w:ascii="宋体" w:hAnsi="宋体" w:hint="eastAsia"/>
          <w:color w:val="auto"/>
          <w:sz w:val="24"/>
          <w:lang w:eastAsia="zh-CN"/>
        </w:rPr>
        <w:t>-7</w:t>
      </w:r>
      <w:r>
        <w:rPr>
          <w:rFonts w:ascii="宋体" w:hAnsi="宋体" w:hint="eastAsia"/>
          <w:color w:val="auto"/>
          <w:sz w:val="24"/>
          <w:lang w:eastAsia="zh-CN"/>
        </w:rPr>
        <w:t>）</w:t>
      </w:r>
    </w:p>
    <w:p w14:paraId="336E08A1" w14:textId="77777777" w:rsidR="0075791A" w:rsidRDefault="00FB2864">
      <w:pPr>
        <w:spacing w:line="360" w:lineRule="auto"/>
        <w:ind w:firstLineChars="200" w:firstLine="480"/>
        <w:rPr>
          <w:rFonts w:ascii="宋体" w:hAnsi="宋体" w:cs="宋体"/>
          <w:color w:val="auto"/>
          <w:sz w:val="24"/>
          <w:lang w:eastAsia="zh-CN"/>
        </w:rPr>
      </w:pPr>
      <w:r>
        <w:rPr>
          <w:rFonts w:ascii="宋体" w:hAnsi="宋体" w:hint="eastAsia"/>
          <w:color w:val="auto"/>
          <w:sz w:val="24"/>
          <w:lang w:eastAsia="zh-CN"/>
        </w:rPr>
        <w:t>式中，</w:t>
      </w:r>
      <w:r>
        <w:rPr>
          <w:rFonts w:ascii="宋体" w:hAnsi="宋体"/>
          <w:color w:val="auto"/>
          <w:sz w:val="24"/>
        </w:rPr>
        <w:t>ω</w:t>
      </w:r>
      <w:r>
        <w:rPr>
          <w:rFonts w:ascii="宋体" w:hAnsi="宋体" w:hint="eastAsia"/>
          <w:color w:val="auto"/>
          <w:sz w:val="24"/>
          <w:lang w:eastAsia="zh-CN"/>
        </w:rPr>
        <w:t>为泥沙沉速，单位</w:t>
      </w:r>
      <w:r>
        <w:rPr>
          <w:rFonts w:ascii="宋体" w:hAnsi="宋体"/>
          <w:color w:val="auto"/>
          <w:sz w:val="24"/>
          <w:lang w:eastAsia="zh-CN"/>
        </w:rPr>
        <w:t>m/s</w:t>
      </w:r>
      <w:r>
        <w:rPr>
          <w:rFonts w:ascii="宋体" w:hAnsi="宋体" w:hint="eastAsia"/>
          <w:color w:val="auto"/>
          <w:sz w:val="24"/>
          <w:lang w:eastAsia="zh-CN"/>
        </w:rPr>
        <w:t>，根据</w:t>
      </w:r>
      <w:r>
        <w:rPr>
          <w:rFonts w:ascii="宋体" w:hAnsi="宋体" w:hint="eastAsia"/>
          <w:color w:val="auto"/>
          <w:sz w:val="24"/>
          <w:lang w:eastAsia="zh-CN"/>
        </w:rPr>
        <w:t>2023</w:t>
      </w:r>
      <w:r>
        <w:rPr>
          <w:rFonts w:ascii="宋体" w:hAnsi="宋体" w:hint="eastAsia"/>
          <w:color w:val="auto"/>
          <w:sz w:val="24"/>
          <w:lang w:eastAsia="zh-CN"/>
        </w:rPr>
        <w:t>年</w:t>
      </w:r>
      <w:r>
        <w:rPr>
          <w:rFonts w:ascii="宋体" w:hAnsi="宋体" w:hint="eastAsia"/>
          <w:color w:val="auto"/>
          <w:sz w:val="24"/>
          <w:lang w:eastAsia="zh-CN"/>
        </w:rPr>
        <w:t>6</w:t>
      </w:r>
      <w:r>
        <w:rPr>
          <w:rFonts w:ascii="宋体" w:hAnsi="宋体" w:hint="eastAsia"/>
          <w:color w:val="auto"/>
          <w:sz w:val="24"/>
          <w:lang w:eastAsia="zh-CN"/>
        </w:rPr>
        <w:t>月</w:t>
      </w:r>
      <w:r>
        <w:rPr>
          <w:rFonts w:ascii="宋体" w:hAnsi="宋体" w:hint="eastAsia"/>
          <w:color w:val="auto"/>
          <w:sz w:val="24"/>
          <w:lang w:eastAsia="zh-CN"/>
        </w:rPr>
        <w:t>19</w:t>
      </w:r>
      <w:r>
        <w:rPr>
          <w:rFonts w:ascii="宋体" w:hAnsi="宋体" w:hint="eastAsia"/>
          <w:color w:val="auto"/>
          <w:sz w:val="24"/>
          <w:lang w:eastAsia="zh-CN"/>
        </w:rPr>
        <w:t>日至</w:t>
      </w:r>
      <w:r>
        <w:rPr>
          <w:rFonts w:ascii="宋体" w:hAnsi="宋体" w:hint="eastAsia"/>
          <w:color w:val="auto"/>
          <w:sz w:val="24"/>
          <w:lang w:eastAsia="zh-CN"/>
        </w:rPr>
        <w:t>20</w:t>
      </w:r>
      <w:r>
        <w:rPr>
          <w:rFonts w:ascii="宋体" w:hAnsi="宋体" w:hint="eastAsia"/>
          <w:color w:val="auto"/>
          <w:sz w:val="24"/>
          <w:lang w:eastAsia="zh-CN"/>
        </w:rPr>
        <w:t>日的实测悬沙含量和粒度分析资料，铁炉港所在海域所含悬沙为粘土质粉砂和粉砂，平均粒径为</w:t>
      </w:r>
      <w:r>
        <w:rPr>
          <w:rFonts w:ascii="宋体" w:hAnsi="宋体" w:hint="eastAsia"/>
          <w:color w:val="auto"/>
          <w:sz w:val="24"/>
          <w:lang w:eastAsia="zh-CN"/>
        </w:rPr>
        <w:t>0.012mm</w:t>
      </w:r>
      <w:r>
        <w:rPr>
          <w:rFonts w:ascii="宋体" w:hAnsi="宋体" w:hint="eastAsia"/>
          <w:color w:val="auto"/>
          <w:sz w:val="24"/>
          <w:lang w:eastAsia="zh-CN"/>
        </w:rPr>
        <w:t>，在此</w:t>
      </w:r>
      <w:r>
        <w:rPr>
          <w:rFonts w:ascii="宋体" w:hAnsi="宋体" w:cs="宋体" w:hint="eastAsia"/>
          <w:color w:val="auto"/>
          <w:sz w:val="24"/>
          <w:lang w:eastAsia="zh-CN"/>
        </w:rPr>
        <w:t>取粘土质粉砂的沉速为</w:t>
      </w:r>
      <w:r>
        <w:rPr>
          <w:rFonts w:ascii="宋体" w:hAnsi="宋体" w:cs="宋体"/>
          <w:color w:val="auto"/>
          <w:sz w:val="24"/>
          <w:lang w:eastAsia="zh-CN"/>
        </w:rPr>
        <w:t>0.05cm/s</w:t>
      </w:r>
      <w:r>
        <w:rPr>
          <w:rFonts w:ascii="宋体" w:hAnsi="宋体" w:cs="宋体" w:hint="eastAsia"/>
          <w:color w:val="auto"/>
          <w:sz w:val="24"/>
          <w:lang w:eastAsia="zh-CN"/>
        </w:rPr>
        <w:t>。</w:t>
      </w:r>
    </w:p>
    <w:p w14:paraId="1F4DCF5F" w14:textId="77777777" w:rsidR="0075791A" w:rsidRDefault="00FB2864">
      <w:pPr>
        <w:spacing w:before="34" w:line="360" w:lineRule="auto"/>
        <w:ind w:left="5"/>
        <w:outlineLvl w:val="3"/>
        <w:rPr>
          <w:rFonts w:ascii="Times New Roman" w:eastAsia="宋体" w:hAnsi="Times New Roman"/>
          <w:b/>
          <w:color w:val="auto"/>
          <w:sz w:val="24"/>
          <w:szCs w:val="24"/>
          <w:lang w:eastAsia="zh-CN"/>
        </w:rPr>
      </w:pPr>
      <w:bookmarkStart w:id="221" w:name="_Toc172451506"/>
      <w:bookmarkEnd w:id="221"/>
      <w:r>
        <w:rPr>
          <w:rFonts w:ascii="Times New Roman" w:eastAsia="宋体" w:hAnsi="Times New Roman" w:hint="eastAsia"/>
          <w:b/>
          <w:color w:val="auto"/>
          <w:sz w:val="24"/>
          <w:szCs w:val="24"/>
          <w:lang w:eastAsia="zh-CN"/>
        </w:rPr>
        <w:t xml:space="preserve">4.1.4.2 </w:t>
      </w:r>
      <w:r>
        <w:rPr>
          <w:rFonts w:ascii="Times New Roman" w:eastAsia="宋体" w:hAnsi="Times New Roman" w:hint="eastAsia"/>
          <w:b/>
          <w:color w:val="auto"/>
          <w:sz w:val="24"/>
          <w:szCs w:val="24"/>
          <w:lang w:eastAsia="zh-CN"/>
        </w:rPr>
        <w:t>计算参数的确定</w:t>
      </w:r>
    </w:p>
    <w:p w14:paraId="071942E9" w14:textId="77777777" w:rsidR="0075791A" w:rsidRDefault="00FB2864">
      <w:pPr>
        <w:spacing w:line="440" w:lineRule="atLeast"/>
        <w:rPr>
          <w:rFonts w:ascii="宋体" w:hAnsi="宋体"/>
          <w:color w:val="auto"/>
          <w:sz w:val="24"/>
          <w:lang w:eastAsia="zh-CN"/>
        </w:rPr>
      </w:pPr>
      <w:r>
        <w:rPr>
          <w:rFonts w:ascii="宋体" w:hAnsi="宋体" w:hint="eastAsia"/>
          <w:color w:val="auto"/>
          <w:sz w:val="24"/>
          <w:lang w:eastAsia="zh-CN"/>
        </w:rPr>
        <w:t xml:space="preserve">    </w:t>
      </w:r>
      <w:r>
        <w:rPr>
          <w:rFonts w:ascii="宋体" w:hAnsi="宋体"/>
          <w:color w:val="auto"/>
          <w:position w:val="-6"/>
          <w:sz w:val="24"/>
        </w:rPr>
        <w:object w:dxaOrig="240" w:dyaOrig="220" w14:anchorId="4C6841EA">
          <v:shape id="_x0000_i1046" type="#_x0000_t75" style="width:12pt;height:11pt" o:ole="">
            <v:imagedata r:id="rId160" o:title=""/>
          </v:shape>
          <o:OLEObject Type="Embed" ProgID="Equation.KSEE3" ShapeID="_x0000_i1046" DrawAspect="Content" ObjectID="_1838358242" r:id="rId161"/>
        </w:object>
      </w:r>
      <w:r>
        <w:rPr>
          <w:rFonts w:ascii="宋体" w:hAnsi="宋体" w:hint="eastAsia"/>
          <w:color w:val="auto"/>
          <w:sz w:val="24"/>
          <w:lang w:eastAsia="zh-CN"/>
        </w:rPr>
        <w:t>为沉降几率，取</w:t>
      </w:r>
      <w:r>
        <w:rPr>
          <w:rFonts w:ascii="宋体" w:hAnsi="宋体"/>
          <w:color w:val="auto"/>
          <w:sz w:val="24"/>
          <w:lang w:eastAsia="zh-CN"/>
        </w:rPr>
        <w:t>0.67</w:t>
      </w:r>
      <w:r>
        <w:rPr>
          <w:rFonts w:ascii="宋体" w:hAnsi="宋体"/>
          <w:color w:val="auto"/>
          <w:sz w:val="24"/>
          <w:lang w:eastAsia="zh-CN"/>
        </w:rPr>
        <w:t>；</w:t>
      </w:r>
    </w:p>
    <w:p w14:paraId="6F289E7D" w14:textId="77777777" w:rsidR="0075791A" w:rsidRDefault="00FB2864">
      <w:pPr>
        <w:spacing w:line="440" w:lineRule="atLeast"/>
        <w:rPr>
          <w:rFonts w:ascii="宋体" w:hAnsi="宋体"/>
          <w:color w:val="auto"/>
          <w:sz w:val="24"/>
          <w:lang w:eastAsia="zh-CN"/>
        </w:rPr>
      </w:pPr>
      <w:r>
        <w:rPr>
          <w:rFonts w:ascii="宋体" w:hAnsi="宋体" w:hint="eastAsia"/>
          <w:color w:val="auto"/>
          <w:sz w:val="24"/>
          <w:lang w:eastAsia="zh-CN"/>
        </w:rPr>
        <w:t xml:space="preserve">   </w:t>
      </w:r>
      <w:r>
        <w:rPr>
          <w:rFonts w:ascii="宋体" w:hAnsi="宋体"/>
          <w:color w:val="auto"/>
          <w:sz w:val="24"/>
          <w:lang w:eastAsia="zh-CN"/>
        </w:rPr>
        <w:t xml:space="preserve"> t</w:t>
      </w:r>
      <w:r>
        <w:rPr>
          <w:rFonts w:ascii="宋体" w:hAnsi="宋体" w:hint="eastAsia"/>
          <w:color w:val="auto"/>
          <w:sz w:val="24"/>
          <w:lang w:eastAsia="zh-CN"/>
        </w:rPr>
        <w:t>为年淤积历时，单位取秒（</w:t>
      </w:r>
      <w:r>
        <w:rPr>
          <w:rFonts w:ascii="宋体" w:hAnsi="宋体" w:hint="eastAsia"/>
          <w:color w:val="auto"/>
          <w:sz w:val="24"/>
          <w:lang w:eastAsia="zh-CN"/>
        </w:rPr>
        <w:t>S</w:t>
      </w:r>
      <w:r>
        <w:rPr>
          <w:rFonts w:ascii="宋体" w:hAnsi="宋体" w:hint="eastAsia"/>
          <w:color w:val="auto"/>
          <w:sz w:val="24"/>
          <w:lang w:eastAsia="zh-CN"/>
        </w:rPr>
        <w:t>），一年即为</w:t>
      </w:r>
      <w:r>
        <w:rPr>
          <w:rFonts w:ascii="宋体" w:hAnsi="宋体" w:hint="eastAsia"/>
          <w:color w:val="auto"/>
          <w:sz w:val="24"/>
          <w:lang w:eastAsia="zh-CN"/>
        </w:rPr>
        <w:t>31557600</w:t>
      </w:r>
      <w:r>
        <w:rPr>
          <w:rFonts w:ascii="宋体" w:hAnsi="宋体" w:hint="eastAsia"/>
          <w:color w:val="auto"/>
          <w:sz w:val="24"/>
          <w:lang w:eastAsia="zh-CN"/>
        </w:rPr>
        <w:t>秒；</w:t>
      </w:r>
    </w:p>
    <w:p w14:paraId="045503F2" w14:textId="77777777" w:rsidR="0075791A" w:rsidRDefault="00FB2864">
      <w:pPr>
        <w:spacing w:line="440" w:lineRule="exact"/>
        <w:ind w:firstLineChars="150" w:firstLine="360"/>
        <w:rPr>
          <w:rFonts w:ascii="宋体" w:hAnsi="宋体"/>
          <w:color w:val="auto"/>
          <w:sz w:val="24"/>
          <w:lang w:eastAsia="zh-CN"/>
        </w:rPr>
      </w:pPr>
      <w:r>
        <w:rPr>
          <w:rFonts w:ascii="宋体" w:hAnsi="宋体" w:hint="eastAsia"/>
          <w:color w:val="auto"/>
          <w:sz w:val="24"/>
          <w:lang w:eastAsia="zh-CN"/>
        </w:rPr>
        <w:t xml:space="preserve"> </w:t>
      </w:r>
      <w:r>
        <w:rPr>
          <w:rFonts w:ascii="宋体" w:hAnsi="宋体"/>
          <w:noProof/>
          <w:color w:val="auto"/>
          <w:sz w:val="24"/>
        </w:rPr>
        <w:drawing>
          <wp:inline distT="0" distB="0" distL="114300" distR="114300" wp14:anchorId="56B57F9B" wp14:editId="0BED2FBC">
            <wp:extent cx="139700" cy="177165"/>
            <wp:effectExtent l="0" t="0" r="12700" b="0"/>
            <wp:docPr id="14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51"/>
                    <pic:cNvPicPr>
                      <a:picLocks noChangeAspect="1"/>
                    </pic:cNvPicPr>
                  </pic:nvPicPr>
                  <pic:blipFill>
                    <a:blip r:embed="rId162"/>
                    <a:stretch>
                      <a:fillRect/>
                    </a:stretch>
                  </pic:blipFill>
                  <pic:spPr>
                    <a:xfrm>
                      <a:off x="0" y="0"/>
                      <a:ext cx="139700" cy="177165"/>
                    </a:xfrm>
                    <a:prstGeom prst="rect">
                      <a:avLst/>
                    </a:prstGeom>
                    <a:noFill/>
                    <a:ln>
                      <a:noFill/>
                    </a:ln>
                  </pic:spPr>
                </pic:pic>
              </a:graphicData>
            </a:graphic>
          </wp:inline>
        </w:drawing>
      </w:r>
      <w:r>
        <w:rPr>
          <w:rFonts w:ascii="宋体" w:hAnsi="宋体" w:hint="eastAsia"/>
          <w:color w:val="auto"/>
          <w:sz w:val="24"/>
          <w:lang w:eastAsia="zh-CN"/>
        </w:rPr>
        <w:t>为水体平均悬沙含量，取</w:t>
      </w:r>
      <w:r>
        <w:rPr>
          <w:rFonts w:ascii="宋体" w:hAnsi="宋体" w:hint="eastAsia"/>
          <w:color w:val="auto"/>
          <w:sz w:val="24"/>
          <w:lang w:eastAsia="zh-CN"/>
        </w:rPr>
        <w:t>6</w:t>
      </w:r>
      <w:r>
        <w:rPr>
          <w:rFonts w:ascii="宋体" w:hAnsi="宋体" w:hint="eastAsia"/>
          <w:color w:val="auto"/>
          <w:sz w:val="24"/>
          <w:lang w:eastAsia="zh-CN"/>
        </w:rPr>
        <w:t>个站的平均悬沙含量</w:t>
      </w:r>
      <w:r>
        <w:rPr>
          <w:rFonts w:ascii="宋体" w:hAnsi="宋体" w:hint="eastAsia"/>
          <w:color w:val="auto"/>
          <w:sz w:val="24"/>
          <w:lang w:eastAsia="zh-CN"/>
        </w:rPr>
        <w:t>32</w:t>
      </w:r>
      <w:r>
        <w:rPr>
          <w:rFonts w:ascii="宋体" w:hAnsi="宋体"/>
          <w:color w:val="auto"/>
          <w:sz w:val="24"/>
          <w:lang w:eastAsia="zh-CN"/>
        </w:rPr>
        <w:t>.6mg/L</w:t>
      </w:r>
      <w:r>
        <w:rPr>
          <w:rFonts w:ascii="宋体" w:hAnsi="宋体" w:hint="eastAsia"/>
          <w:color w:val="auto"/>
          <w:sz w:val="24"/>
          <w:lang w:eastAsia="zh-CN"/>
        </w:rPr>
        <w:t>，即</w:t>
      </w:r>
      <w:r>
        <w:rPr>
          <w:rFonts w:ascii="宋体" w:hAnsi="宋体"/>
          <w:color w:val="auto"/>
          <w:sz w:val="24"/>
          <w:lang w:eastAsia="zh-CN"/>
        </w:rPr>
        <w:t>0.0326kg/m</w:t>
      </w:r>
      <w:r>
        <w:rPr>
          <w:rFonts w:ascii="宋体" w:hAnsi="宋体"/>
          <w:color w:val="auto"/>
          <w:sz w:val="24"/>
          <w:vertAlign w:val="superscript"/>
          <w:lang w:eastAsia="zh-CN"/>
        </w:rPr>
        <w:t>3</w:t>
      </w:r>
      <w:r>
        <w:rPr>
          <w:rFonts w:ascii="宋体" w:hAnsi="宋体" w:hint="eastAsia"/>
          <w:color w:val="auto"/>
          <w:sz w:val="24"/>
          <w:lang w:eastAsia="zh-CN"/>
        </w:rPr>
        <w:t>，单位：</w:t>
      </w:r>
      <w:r>
        <w:rPr>
          <w:rFonts w:ascii="宋体" w:hAnsi="宋体"/>
          <w:color w:val="auto"/>
          <w:sz w:val="24"/>
          <w:lang w:eastAsia="zh-CN"/>
        </w:rPr>
        <w:t>kg/m</w:t>
      </w:r>
      <w:r>
        <w:rPr>
          <w:rFonts w:ascii="宋体" w:hAnsi="宋体"/>
          <w:color w:val="auto"/>
          <w:sz w:val="24"/>
          <w:vertAlign w:val="superscript"/>
          <w:lang w:eastAsia="zh-CN"/>
        </w:rPr>
        <w:t>3</w:t>
      </w:r>
      <w:r>
        <w:rPr>
          <w:rFonts w:ascii="宋体" w:hAnsi="宋体" w:hint="eastAsia"/>
          <w:color w:val="auto"/>
          <w:sz w:val="24"/>
          <w:lang w:eastAsia="zh-CN"/>
        </w:rPr>
        <w:t>；</w:t>
      </w:r>
    </w:p>
    <w:p w14:paraId="4C8508FF" w14:textId="77777777" w:rsidR="0075791A" w:rsidRDefault="00FB2864">
      <w:pPr>
        <w:spacing w:line="460" w:lineRule="exact"/>
        <w:rPr>
          <w:rFonts w:ascii="宋体" w:hAnsi="宋体"/>
          <w:color w:val="auto"/>
          <w:sz w:val="24"/>
          <w:lang w:eastAsia="zh-CN"/>
        </w:rPr>
      </w:pPr>
      <w:r>
        <w:rPr>
          <w:rFonts w:ascii="宋体" w:hAnsi="宋体" w:hint="eastAsia"/>
          <w:color w:val="auto"/>
          <w:sz w:val="24"/>
          <w:lang w:eastAsia="zh-CN"/>
        </w:rPr>
        <w:t xml:space="preserve">    </w:t>
      </w:r>
      <w:r>
        <w:rPr>
          <w:rFonts w:ascii="宋体" w:hAnsi="宋体"/>
          <w:color w:val="auto"/>
          <w:position w:val="-12"/>
          <w:sz w:val="24"/>
        </w:rPr>
        <w:object w:dxaOrig="300" w:dyaOrig="360" w14:anchorId="254CEB48">
          <v:shape id="_x0000_i1047" type="#_x0000_t75" style="width:15pt;height:18pt" o:ole="">
            <v:imagedata r:id="rId163" o:title=""/>
          </v:shape>
          <o:OLEObject Type="Embed" ProgID="Equation.KSEE3" ShapeID="_x0000_i1047" DrawAspect="Content" ObjectID="_1838358243" r:id="rId164"/>
        </w:object>
      </w:r>
      <w:r>
        <w:rPr>
          <w:rFonts w:ascii="宋体" w:hAnsi="宋体" w:hint="eastAsia"/>
          <w:color w:val="auto"/>
          <w:sz w:val="24"/>
          <w:lang w:eastAsia="zh-CN"/>
        </w:rPr>
        <w:t>为泥沙干容重，按照公式</w:t>
      </w:r>
      <w:r>
        <w:rPr>
          <w:rFonts w:ascii="宋体" w:hAnsi="宋体"/>
          <w:color w:val="auto"/>
          <w:position w:val="-12"/>
          <w:sz w:val="24"/>
        </w:rPr>
        <w:object w:dxaOrig="1800" w:dyaOrig="380" w14:anchorId="12EAF48A">
          <v:shape id="_x0000_i1048" type="#_x0000_t75" style="width:90pt;height:19pt" o:ole="">
            <v:imagedata r:id="rId165" o:title=""/>
          </v:shape>
          <o:OLEObject Type="Embed" ProgID="Equation.DSMT4" ShapeID="_x0000_i1048" DrawAspect="Content" ObjectID="_1838358244" r:id="rId166"/>
        </w:object>
      </w:r>
      <w:r>
        <w:rPr>
          <w:rFonts w:ascii="宋体" w:hAnsi="宋体" w:hint="eastAsia"/>
          <w:color w:val="auto"/>
          <w:sz w:val="24"/>
          <w:lang w:eastAsia="zh-CN"/>
        </w:rPr>
        <w:t>计算，单位为</w:t>
      </w:r>
      <w:r>
        <w:rPr>
          <w:rFonts w:ascii="宋体" w:hAnsi="宋体"/>
          <w:color w:val="auto"/>
          <w:sz w:val="24"/>
          <w:lang w:eastAsia="zh-CN"/>
        </w:rPr>
        <w:t>kg/m</w:t>
      </w:r>
      <w:r>
        <w:rPr>
          <w:rFonts w:ascii="宋体" w:hAnsi="宋体"/>
          <w:color w:val="auto"/>
          <w:sz w:val="24"/>
          <w:vertAlign w:val="superscript"/>
          <w:lang w:eastAsia="zh-CN"/>
        </w:rPr>
        <w:t>3</w:t>
      </w:r>
      <w:r>
        <w:rPr>
          <w:rFonts w:ascii="宋体" w:hAnsi="宋体" w:hint="eastAsia"/>
          <w:color w:val="auto"/>
          <w:sz w:val="24"/>
          <w:lang w:eastAsia="zh-CN"/>
        </w:rPr>
        <w:t>，</w:t>
      </w:r>
      <w:r>
        <w:rPr>
          <w:rFonts w:ascii="宋体" w:hAnsi="宋体" w:hint="eastAsia"/>
          <w:color w:val="auto"/>
          <w:sz w:val="24"/>
          <w:lang w:eastAsia="zh-CN"/>
        </w:rPr>
        <w:t>D</w:t>
      </w:r>
      <w:r>
        <w:rPr>
          <w:rFonts w:ascii="宋体" w:hAnsi="宋体" w:hint="eastAsia"/>
          <w:color w:val="auto"/>
          <w:sz w:val="24"/>
          <w:vertAlign w:val="subscript"/>
          <w:lang w:eastAsia="zh-CN"/>
        </w:rPr>
        <w:t>50</w:t>
      </w:r>
      <w:r>
        <w:rPr>
          <w:rFonts w:ascii="宋体" w:hAnsi="宋体" w:hint="eastAsia"/>
          <w:color w:val="auto"/>
          <w:sz w:val="24"/>
          <w:lang w:eastAsia="zh-CN"/>
        </w:rPr>
        <w:t>为泥沙中值粒径；</w:t>
      </w:r>
    </w:p>
    <w:p w14:paraId="26B6ED50" w14:textId="77777777" w:rsidR="0075791A" w:rsidRDefault="00FB2864">
      <w:pPr>
        <w:spacing w:line="460" w:lineRule="exact"/>
        <w:ind w:firstLine="480"/>
        <w:rPr>
          <w:rFonts w:ascii="宋体" w:hAnsi="宋体"/>
          <w:color w:val="auto"/>
          <w:sz w:val="24"/>
          <w:lang w:eastAsia="zh-CN"/>
        </w:rPr>
      </w:pPr>
      <w:r>
        <w:rPr>
          <w:rFonts w:ascii="宋体" w:hAnsi="宋体" w:hint="eastAsia"/>
          <w:color w:val="auto"/>
          <w:sz w:val="24"/>
          <w:lang w:eastAsia="zh-CN"/>
        </w:rPr>
        <w:t>V1</w:t>
      </w:r>
      <w:r>
        <w:rPr>
          <w:rFonts w:ascii="宋体" w:hAnsi="宋体" w:hint="eastAsia"/>
          <w:color w:val="auto"/>
          <w:sz w:val="24"/>
          <w:lang w:eastAsia="zh-CN"/>
        </w:rPr>
        <w:t>，</w:t>
      </w:r>
      <w:r>
        <w:rPr>
          <w:rFonts w:ascii="宋体" w:hAnsi="宋体" w:hint="eastAsia"/>
          <w:color w:val="auto"/>
          <w:sz w:val="24"/>
          <w:lang w:eastAsia="zh-CN"/>
        </w:rPr>
        <w:t>V2</w:t>
      </w:r>
      <w:r>
        <w:rPr>
          <w:rFonts w:ascii="宋体" w:hAnsi="宋体" w:hint="eastAsia"/>
          <w:color w:val="auto"/>
          <w:sz w:val="24"/>
          <w:lang w:eastAsia="zh-CN"/>
        </w:rPr>
        <w:t>分别为数值计算工程前、工程后全潮平均流速，单位为</w:t>
      </w:r>
      <w:r>
        <w:rPr>
          <w:rFonts w:ascii="宋体" w:hAnsi="宋体"/>
          <w:color w:val="auto"/>
          <w:sz w:val="24"/>
          <w:lang w:eastAsia="zh-CN"/>
        </w:rPr>
        <w:t>m/s</w:t>
      </w:r>
      <w:r>
        <w:rPr>
          <w:rFonts w:ascii="宋体" w:hAnsi="宋体" w:hint="eastAsia"/>
          <w:color w:val="auto"/>
          <w:sz w:val="24"/>
          <w:lang w:eastAsia="zh-CN"/>
        </w:rPr>
        <w:t>，全潮平均流速的取值采用流速大小绝对值的平均值</w:t>
      </w:r>
      <w:r>
        <w:rPr>
          <w:rFonts w:ascii="宋体" w:hAnsi="宋体"/>
          <w:color w:val="auto"/>
          <w:sz w:val="24"/>
          <w:lang w:eastAsia="zh-CN"/>
        </w:rPr>
        <w:t>；</w:t>
      </w:r>
    </w:p>
    <w:p w14:paraId="52BAE543" w14:textId="77777777" w:rsidR="0075791A" w:rsidRDefault="00FB2864">
      <w:pPr>
        <w:spacing w:line="460" w:lineRule="exact"/>
        <w:ind w:firstLineChars="200" w:firstLine="480"/>
        <w:rPr>
          <w:rFonts w:ascii="宋体" w:hAnsi="宋体"/>
          <w:color w:val="auto"/>
          <w:sz w:val="24"/>
          <w:lang w:eastAsia="zh-CN"/>
        </w:rPr>
      </w:pPr>
      <w:r>
        <w:rPr>
          <w:rFonts w:ascii="宋体" w:hAnsi="宋体"/>
          <w:color w:val="auto"/>
          <w:sz w:val="24"/>
          <w:lang w:eastAsia="zh-CN"/>
        </w:rPr>
        <w:t>M</w:t>
      </w:r>
      <w:r>
        <w:rPr>
          <w:rFonts w:ascii="宋体" w:hAnsi="宋体" w:hint="eastAsia"/>
          <w:color w:val="auto"/>
          <w:sz w:val="24"/>
          <w:lang w:eastAsia="zh-CN"/>
        </w:rPr>
        <w:t>根据当地的流速与含沙量的关系近似取作</w:t>
      </w:r>
      <w:r>
        <w:rPr>
          <w:rFonts w:ascii="宋体" w:hAnsi="宋体" w:hint="eastAsia"/>
          <w:color w:val="auto"/>
          <w:sz w:val="24"/>
          <w:lang w:eastAsia="zh-CN"/>
        </w:rPr>
        <w:t>1</w:t>
      </w:r>
      <w:r>
        <w:rPr>
          <w:rFonts w:ascii="宋体" w:hAnsi="宋体" w:hint="eastAsia"/>
          <w:color w:val="auto"/>
          <w:sz w:val="24"/>
          <w:lang w:eastAsia="zh-CN"/>
        </w:rPr>
        <w:t>。</w:t>
      </w:r>
    </w:p>
    <w:p w14:paraId="66FA14F4" w14:textId="77777777" w:rsidR="0075791A" w:rsidRDefault="00FB2864">
      <w:pPr>
        <w:spacing w:line="460" w:lineRule="exact"/>
        <w:ind w:firstLineChars="200" w:firstLine="480"/>
        <w:rPr>
          <w:rFonts w:ascii="宋体" w:hAnsi="宋体"/>
          <w:color w:val="auto"/>
          <w:sz w:val="24"/>
          <w:lang w:eastAsia="zh-CN"/>
        </w:rPr>
      </w:pPr>
      <w:r>
        <w:rPr>
          <w:rFonts w:ascii="宋体" w:hAnsi="宋体" w:hint="eastAsia"/>
          <w:color w:val="auto"/>
          <w:sz w:val="24"/>
          <w:lang w:eastAsia="zh-CN"/>
        </w:rPr>
        <w:t>根据以上的设定和潮流数值模拟计算的结果，计算得到工程后疏浚区内悬浮沙引起的泥沙每年回淤强度情况，绘制出冲淤强度等值线图</w:t>
      </w:r>
      <w:r>
        <w:rPr>
          <w:rFonts w:ascii="宋体" w:hAnsi="宋体"/>
          <w:color w:val="auto"/>
          <w:sz w:val="24"/>
          <w:lang w:eastAsia="zh-CN"/>
        </w:rPr>
        <w:t>(</w:t>
      </w:r>
      <w:r>
        <w:rPr>
          <w:rFonts w:ascii="宋体" w:hAnsi="宋体" w:hint="eastAsia"/>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w:t>
      </w:r>
      <w:r>
        <w:rPr>
          <w:rFonts w:ascii="宋体" w:eastAsia="宋体" w:hAnsi="宋体" w:hint="eastAsia"/>
          <w:color w:val="auto"/>
          <w:sz w:val="24"/>
          <w:lang w:eastAsia="zh-CN"/>
        </w:rPr>
        <w:t>10</w:t>
      </w:r>
      <w:r>
        <w:rPr>
          <w:rFonts w:ascii="宋体" w:hAnsi="宋体"/>
          <w:color w:val="auto"/>
          <w:sz w:val="24"/>
          <w:lang w:eastAsia="zh-CN"/>
        </w:rPr>
        <w:t>) (</w:t>
      </w:r>
      <w:r>
        <w:rPr>
          <w:rFonts w:ascii="宋体" w:hAnsi="宋体" w:hint="eastAsia"/>
          <w:color w:val="auto"/>
          <w:sz w:val="24"/>
          <w:lang w:eastAsia="zh-CN"/>
        </w:rPr>
        <w:t>-</w:t>
      </w:r>
      <w:r>
        <w:rPr>
          <w:rFonts w:ascii="宋体" w:hAnsi="宋体" w:hint="eastAsia"/>
          <w:color w:val="auto"/>
          <w:sz w:val="24"/>
          <w:lang w:eastAsia="zh-CN"/>
        </w:rPr>
        <w:t>表示淤积，</w:t>
      </w:r>
      <w:r>
        <w:rPr>
          <w:rFonts w:ascii="宋体" w:hAnsi="宋体" w:hint="eastAsia"/>
          <w:color w:val="auto"/>
          <w:sz w:val="24"/>
          <w:lang w:eastAsia="zh-CN"/>
        </w:rPr>
        <w:t>+</w:t>
      </w:r>
      <w:r>
        <w:rPr>
          <w:rFonts w:ascii="宋体" w:hAnsi="宋体" w:hint="eastAsia"/>
          <w:color w:val="auto"/>
          <w:sz w:val="24"/>
          <w:lang w:eastAsia="zh-CN"/>
        </w:rPr>
        <w:t>表示冲刷</w:t>
      </w:r>
      <w:r>
        <w:rPr>
          <w:rFonts w:ascii="宋体" w:hAnsi="宋体"/>
          <w:color w:val="auto"/>
          <w:sz w:val="24"/>
          <w:lang w:eastAsia="zh-CN"/>
        </w:rPr>
        <w:t>)</w:t>
      </w:r>
      <w:r>
        <w:rPr>
          <w:rFonts w:ascii="宋体" w:hAnsi="宋体"/>
          <w:color w:val="auto"/>
          <w:sz w:val="24"/>
          <w:lang w:eastAsia="zh-CN"/>
        </w:rPr>
        <w:t>。</w:t>
      </w:r>
    </w:p>
    <w:p w14:paraId="2302B7C6" w14:textId="77777777" w:rsidR="0075791A" w:rsidRDefault="00FB2864">
      <w:pPr>
        <w:rPr>
          <w:color w:val="auto"/>
        </w:rPr>
      </w:pPr>
      <w:r>
        <w:rPr>
          <w:rFonts w:hint="eastAsia"/>
          <w:noProof/>
          <w:color w:val="auto"/>
        </w:rPr>
        <w:lastRenderedPageBreak/>
        <w:drawing>
          <wp:inline distT="0" distB="0" distL="114300" distR="114300" wp14:anchorId="5AB3FB44" wp14:editId="45BB5531">
            <wp:extent cx="5276850" cy="3612515"/>
            <wp:effectExtent l="0" t="0" r="11430" b="14605"/>
            <wp:docPr id="140"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54"/>
                    <pic:cNvPicPr>
                      <a:picLocks noChangeAspect="1"/>
                    </pic:cNvPicPr>
                  </pic:nvPicPr>
                  <pic:blipFill>
                    <a:blip r:embed="rId167"/>
                    <a:stretch>
                      <a:fillRect/>
                    </a:stretch>
                  </pic:blipFill>
                  <pic:spPr>
                    <a:xfrm>
                      <a:off x="0" y="0"/>
                      <a:ext cx="5276850" cy="3612515"/>
                    </a:xfrm>
                    <a:prstGeom prst="rect">
                      <a:avLst/>
                    </a:prstGeom>
                    <a:noFill/>
                    <a:ln>
                      <a:noFill/>
                    </a:ln>
                  </pic:spPr>
                </pic:pic>
              </a:graphicData>
            </a:graphic>
          </wp:inline>
        </w:drawing>
      </w:r>
    </w:p>
    <w:p w14:paraId="3A50E652" w14:textId="77777777" w:rsidR="0075791A" w:rsidRDefault="00FB2864">
      <w:pPr>
        <w:spacing w:line="460" w:lineRule="exact"/>
        <w:jc w:val="center"/>
        <w:rPr>
          <w:rFonts w:ascii="宋体" w:hAnsi="宋体"/>
          <w:color w:val="auto"/>
          <w:sz w:val="24"/>
          <w:lang w:eastAsia="zh-CN"/>
        </w:rPr>
      </w:pPr>
      <w:r>
        <w:rPr>
          <w:rFonts w:ascii="宋体" w:hAnsi="宋体" w:hint="eastAsia"/>
          <w:color w:val="auto"/>
          <w:sz w:val="24"/>
          <w:lang w:eastAsia="zh-CN"/>
        </w:rPr>
        <w:t>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w:t>
      </w:r>
      <w:r>
        <w:rPr>
          <w:rFonts w:ascii="宋体" w:eastAsia="宋体" w:hAnsi="宋体" w:hint="eastAsia"/>
          <w:color w:val="auto"/>
          <w:sz w:val="24"/>
          <w:lang w:eastAsia="zh-CN"/>
        </w:rPr>
        <w:t xml:space="preserve">10 </w:t>
      </w:r>
      <w:r>
        <w:rPr>
          <w:rFonts w:ascii="宋体" w:hAnsi="宋体" w:hint="eastAsia"/>
          <w:color w:val="auto"/>
          <w:sz w:val="24"/>
          <w:lang w:eastAsia="zh-CN"/>
        </w:rPr>
        <w:t>项目工程附近冲淤图</w:t>
      </w:r>
    </w:p>
    <w:p w14:paraId="4CA0A4E4" w14:textId="77777777" w:rsidR="0075791A" w:rsidRDefault="0075791A">
      <w:pPr>
        <w:spacing w:line="460" w:lineRule="exact"/>
        <w:jc w:val="center"/>
        <w:rPr>
          <w:rFonts w:ascii="宋体" w:hAnsi="宋体"/>
          <w:color w:val="auto"/>
          <w:sz w:val="24"/>
          <w:lang w:eastAsia="zh-CN"/>
        </w:rPr>
      </w:pPr>
    </w:p>
    <w:p w14:paraId="49E29525" w14:textId="77777777" w:rsidR="0075791A" w:rsidRDefault="00FB2864">
      <w:pPr>
        <w:spacing w:before="34" w:line="360" w:lineRule="auto"/>
        <w:ind w:left="5"/>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 xml:space="preserve">4.1.4.3 </w:t>
      </w:r>
      <w:r>
        <w:rPr>
          <w:rFonts w:ascii="Times New Roman" w:eastAsia="宋体" w:hAnsi="Times New Roman" w:hint="eastAsia"/>
          <w:b/>
          <w:color w:val="auto"/>
          <w:sz w:val="24"/>
          <w:szCs w:val="24"/>
          <w:lang w:eastAsia="zh-CN"/>
        </w:rPr>
        <w:t>计算结果分析</w:t>
      </w:r>
    </w:p>
    <w:p w14:paraId="14808FE0" w14:textId="77777777" w:rsidR="0075791A" w:rsidRDefault="00FB2864">
      <w:pPr>
        <w:spacing w:line="360" w:lineRule="auto"/>
        <w:ind w:firstLineChars="200" w:firstLine="480"/>
        <w:rPr>
          <w:rFonts w:ascii="宋体" w:hAnsi="宋体"/>
          <w:color w:val="auto"/>
          <w:sz w:val="24"/>
          <w:lang w:eastAsia="zh-CN"/>
        </w:rPr>
      </w:pPr>
      <w:bookmarkStart w:id="222" w:name="_Toc172451508"/>
      <w:bookmarkEnd w:id="222"/>
      <w:r>
        <w:rPr>
          <w:rFonts w:ascii="宋体" w:hAnsi="宋体" w:hint="eastAsia"/>
          <w:color w:val="auto"/>
          <w:sz w:val="24"/>
          <w:lang w:eastAsia="zh-CN"/>
        </w:rPr>
        <w:t>由图</w:t>
      </w:r>
      <w:r>
        <w:rPr>
          <w:rFonts w:ascii="Times New Roman" w:eastAsia="宋体" w:hAnsi="Times New Roman" w:cs="Times New Roman" w:hint="eastAsia"/>
          <w:color w:val="auto"/>
          <w:sz w:val="24"/>
          <w:szCs w:val="24"/>
          <w:lang w:eastAsia="zh-CN"/>
        </w:rPr>
        <w:t>4.1.3</w:t>
      </w:r>
      <w:r>
        <w:rPr>
          <w:rFonts w:ascii="宋体" w:hAnsi="宋体" w:hint="eastAsia"/>
          <w:color w:val="auto"/>
          <w:sz w:val="24"/>
          <w:lang w:eastAsia="zh-CN"/>
        </w:rPr>
        <w:t>-</w:t>
      </w:r>
      <w:r>
        <w:rPr>
          <w:rFonts w:ascii="宋体" w:eastAsia="宋体" w:hAnsi="宋体" w:hint="eastAsia"/>
          <w:color w:val="auto"/>
          <w:sz w:val="24"/>
          <w:lang w:eastAsia="zh-CN"/>
        </w:rPr>
        <w:t>10</w:t>
      </w:r>
      <w:r>
        <w:rPr>
          <w:rFonts w:ascii="宋体" w:hAnsi="宋体" w:hint="eastAsia"/>
          <w:color w:val="auto"/>
          <w:sz w:val="24"/>
          <w:lang w:eastAsia="zh-CN"/>
        </w:rPr>
        <w:t>可以看出，疏浚工程完成后，由于疏浚后水深增加，流速略有减小，因此，泥沙将在疏浚区及附近水域落淤，但由流速改变幅度较小，海水悬沙含量也小，因此疏浚区的年淤积强度最大值只有</w:t>
      </w:r>
      <w:r>
        <w:rPr>
          <w:rFonts w:ascii="宋体" w:hAnsi="宋体" w:hint="eastAsia"/>
          <w:color w:val="auto"/>
          <w:sz w:val="24"/>
          <w:lang w:eastAsia="zh-CN"/>
        </w:rPr>
        <w:t>13cm/a</w:t>
      </w:r>
      <w:r>
        <w:rPr>
          <w:rFonts w:ascii="宋体" w:hAnsi="宋体" w:hint="eastAsia"/>
          <w:color w:val="auto"/>
          <w:sz w:val="24"/>
          <w:lang w:eastAsia="zh-CN"/>
        </w:rPr>
        <w:t>左右；在疏浚区的南侧连接处，由于流速略有增加，导致小幅度的冲刷，最大冲刷幅度在</w:t>
      </w:r>
      <w:r>
        <w:rPr>
          <w:rFonts w:ascii="宋体" w:hAnsi="宋体" w:hint="eastAsia"/>
          <w:color w:val="auto"/>
          <w:sz w:val="24"/>
          <w:lang w:eastAsia="zh-CN"/>
        </w:rPr>
        <w:t>7cm/a</w:t>
      </w:r>
      <w:r>
        <w:rPr>
          <w:rFonts w:ascii="宋体" w:hAnsi="宋体" w:hint="eastAsia"/>
          <w:color w:val="auto"/>
          <w:sz w:val="24"/>
          <w:lang w:eastAsia="zh-CN"/>
        </w:rPr>
        <w:t>左右。</w:t>
      </w:r>
    </w:p>
    <w:p w14:paraId="231C3947" w14:textId="77777777" w:rsidR="0075791A" w:rsidRDefault="00FB2864">
      <w:pPr>
        <w:spacing w:line="360" w:lineRule="auto"/>
        <w:ind w:firstLineChars="200" w:firstLine="480"/>
        <w:rPr>
          <w:rFonts w:ascii="宋体" w:hAnsi="宋体"/>
          <w:color w:val="auto"/>
          <w:sz w:val="24"/>
          <w:lang w:eastAsia="zh-CN"/>
        </w:rPr>
      </w:pPr>
      <w:r>
        <w:rPr>
          <w:rFonts w:ascii="宋体" w:hAnsi="宋体" w:hint="eastAsia"/>
          <w:color w:val="auto"/>
          <w:sz w:val="24"/>
          <w:lang w:eastAsia="zh-CN"/>
        </w:rPr>
        <w:t>因此，总体而言，本项目工程后悬浮沙引起冲淤的范围较小，主要集中在疏浚区及附近的小范围内，冲淤幅度也较小，最大值在±</w:t>
      </w:r>
      <w:r>
        <w:rPr>
          <w:rFonts w:ascii="宋体" w:hAnsi="宋体" w:hint="eastAsia"/>
          <w:color w:val="auto"/>
          <w:sz w:val="24"/>
          <w:lang w:eastAsia="zh-CN"/>
        </w:rPr>
        <w:t>13</w:t>
      </w:r>
      <w:r>
        <w:rPr>
          <w:rFonts w:ascii="宋体" w:hAnsi="宋体"/>
          <w:color w:val="auto"/>
          <w:sz w:val="24"/>
          <w:lang w:eastAsia="zh-CN"/>
        </w:rPr>
        <w:t>cm/a</w:t>
      </w:r>
      <w:r>
        <w:rPr>
          <w:rFonts w:ascii="宋体" w:hAnsi="宋体" w:hint="eastAsia"/>
          <w:color w:val="auto"/>
          <w:sz w:val="24"/>
          <w:lang w:eastAsia="zh-CN"/>
        </w:rPr>
        <w:t>左右。</w:t>
      </w:r>
    </w:p>
    <w:p w14:paraId="0CCE156A"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r>
        <w:rPr>
          <w:rFonts w:ascii="Times New Roman" w:eastAsia="Times New Roman" w:hAnsi="Times New Roman" w:cs="Times New Roman" w:hint="eastAsia"/>
          <w:b/>
          <w:bCs/>
          <w:color w:val="auto"/>
          <w:spacing w:val="-3"/>
          <w:sz w:val="28"/>
          <w:szCs w:val="28"/>
          <w:lang w:eastAsia="zh-CN"/>
        </w:rPr>
        <w:t>4.1.5工程前后铁炉港纳潮量变化</w:t>
      </w:r>
    </w:p>
    <w:p w14:paraId="591834F6" w14:textId="77777777" w:rsidR="0075791A" w:rsidRDefault="00FB2864">
      <w:pPr>
        <w:pStyle w:val="TECHNICALINFO"/>
        <w:widowControl w:val="0"/>
        <w:spacing w:line="460" w:lineRule="exact"/>
        <w:ind w:firstLineChars="200" w:firstLine="480"/>
        <w:rPr>
          <w:rFonts w:ascii="宋体" w:hAnsi="宋体"/>
          <w:color w:val="auto"/>
          <w:lang w:val="en-US" w:eastAsia="zh-CN"/>
        </w:rPr>
      </w:pPr>
      <w:r>
        <w:rPr>
          <w:rFonts w:ascii="宋体" w:hAnsi="宋体" w:hint="eastAsia"/>
          <w:color w:val="auto"/>
          <w:lang w:val="en-US" w:eastAsia="zh-CN"/>
        </w:rPr>
        <w:t>纳潮量是反映港湾和潟湖在高低潮过程中所能容纳的海水量，它是反映港湾</w:t>
      </w:r>
      <w:r>
        <w:rPr>
          <w:rFonts w:ascii="宋体" w:hAnsi="宋体" w:hint="eastAsia"/>
          <w:color w:val="auto"/>
          <w:lang w:val="en-US" w:eastAsia="zh-CN"/>
        </w:rPr>
        <w:t>或者潟湖水体交换能力和抗污染能力的标志量之一。通常把平均潮位时的纳潮量称为纳潮量。</w:t>
      </w:r>
    </w:p>
    <w:p w14:paraId="10B496B7" w14:textId="77777777" w:rsidR="0075791A" w:rsidRDefault="00FB2864">
      <w:pPr>
        <w:pStyle w:val="TECHNICALINFO"/>
        <w:widowControl w:val="0"/>
        <w:spacing w:line="460" w:lineRule="exact"/>
        <w:rPr>
          <w:rFonts w:ascii="宋体" w:hAnsi="宋体"/>
          <w:color w:val="auto"/>
          <w:lang w:val="en-US" w:eastAsia="zh-CN"/>
        </w:rPr>
      </w:pPr>
      <w:r>
        <w:rPr>
          <w:rFonts w:ascii="宋体" w:hAnsi="宋体" w:hint="eastAsia"/>
          <w:color w:val="auto"/>
          <w:lang w:val="en-US" w:eastAsia="zh-CN"/>
        </w:rPr>
        <w:t xml:space="preserve">    </w:t>
      </w:r>
      <w:r>
        <w:rPr>
          <w:rFonts w:ascii="宋体" w:hAnsi="宋体" w:hint="eastAsia"/>
          <w:color w:val="auto"/>
          <w:lang w:val="en-US" w:eastAsia="zh-CN"/>
        </w:rPr>
        <w:t>纳潮量的计算通常采用如下公式：</w:t>
      </w:r>
    </w:p>
    <w:p w14:paraId="7B0699AF" w14:textId="77777777" w:rsidR="0075791A" w:rsidRDefault="00FB2864">
      <w:pPr>
        <w:jc w:val="center"/>
        <w:rPr>
          <w:color w:val="auto"/>
        </w:rPr>
      </w:pPr>
      <w:r>
        <w:rPr>
          <w:color w:val="auto"/>
        </w:rPr>
        <w:object w:dxaOrig="2729" w:dyaOrig="626" w14:anchorId="3EC00B72">
          <v:shape id="_x0000_i1049" type="#_x0000_t75" style="width:136.5pt;height:31.5pt" o:ole="">
            <v:imagedata r:id="rId168" o:title=""/>
          </v:shape>
          <o:OLEObject Type="Embed" ProgID="Equation.KSEE3" ShapeID="_x0000_i1049" DrawAspect="Content" ObjectID="_1838358245" r:id="rId169"/>
        </w:object>
      </w:r>
    </w:p>
    <w:p w14:paraId="4742B90C" w14:textId="77777777" w:rsidR="0075791A" w:rsidRDefault="00FB2864">
      <w:pPr>
        <w:spacing w:line="460" w:lineRule="exact"/>
        <w:ind w:firstLineChars="200" w:firstLine="480"/>
        <w:rPr>
          <w:rFonts w:ascii="宋体" w:hAnsi="宋体"/>
          <w:color w:val="auto"/>
          <w:sz w:val="24"/>
          <w:lang w:eastAsia="zh-CN"/>
        </w:rPr>
      </w:pPr>
      <w:r>
        <w:rPr>
          <w:rFonts w:ascii="宋体" w:hAnsi="宋体" w:hint="eastAsia"/>
          <w:color w:val="auto"/>
          <w:sz w:val="24"/>
          <w:lang w:eastAsia="zh-CN"/>
        </w:rPr>
        <w:t>式中，</w:t>
      </w:r>
      <w:r>
        <w:rPr>
          <w:rFonts w:ascii="宋体" w:hAnsi="宋体" w:hint="eastAsia"/>
          <w:color w:val="auto"/>
          <w:sz w:val="24"/>
          <w:lang w:eastAsia="zh-CN"/>
        </w:rPr>
        <w:t>Q</w:t>
      </w:r>
      <w:r>
        <w:rPr>
          <w:rFonts w:ascii="宋体" w:hAnsi="宋体" w:hint="eastAsia"/>
          <w:color w:val="auto"/>
          <w:sz w:val="24"/>
          <w:lang w:eastAsia="zh-CN"/>
        </w:rPr>
        <w:t>为纳潮量；</w:t>
      </w:r>
      <w:r>
        <w:rPr>
          <w:rFonts w:ascii="宋体" w:hAnsi="宋体"/>
          <w:color w:val="auto"/>
          <w:position w:val="-10"/>
          <w:sz w:val="24"/>
        </w:rPr>
        <w:object w:dxaOrig="263" w:dyaOrig="363" w14:anchorId="6883FBAA">
          <v:shape id="_x0000_i1050" type="#_x0000_t75" style="width:13pt;height:18pt" o:ole="">
            <v:imagedata r:id="rId170" o:title=""/>
          </v:shape>
          <o:OLEObject Type="Embed" ProgID="Equation.KSEE3" ShapeID="_x0000_i1050" DrawAspect="Content" ObjectID="_1838358246" r:id="rId171"/>
        </w:object>
      </w:r>
      <w:r>
        <w:rPr>
          <w:rFonts w:ascii="宋体" w:hAnsi="宋体" w:hint="eastAsia"/>
          <w:color w:val="auto"/>
          <w:sz w:val="24"/>
          <w:lang w:eastAsia="zh-CN"/>
        </w:rPr>
        <w:t>为年平均高潮水域面积；</w:t>
      </w:r>
      <w:r>
        <w:rPr>
          <w:rFonts w:ascii="宋体" w:hAnsi="宋体"/>
          <w:color w:val="auto"/>
          <w:position w:val="-10"/>
          <w:sz w:val="24"/>
        </w:rPr>
        <w:object w:dxaOrig="275" w:dyaOrig="363" w14:anchorId="2A5A8E23">
          <v:shape id="_x0000_i1051" type="#_x0000_t75" style="width:14pt;height:18pt" o:ole="">
            <v:imagedata r:id="rId172" o:title=""/>
          </v:shape>
          <o:OLEObject Type="Embed" ProgID="Equation.KSEE3" ShapeID="_x0000_i1051" DrawAspect="Content" ObjectID="_1838358247" r:id="rId173"/>
        </w:object>
      </w:r>
      <w:r>
        <w:rPr>
          <w:rFonts w:ascii="宋体" w:hAnsi="宋体" w:hint="eastAsia"/>
          <w:color w:val="auto"/>
          <w:sz w:val="24"/>
          <w:lang w:eastAsia="zh-CN"/>
        </w:rPr>
        <w:t>为年平均低潮水域面积；</w:t>
      </w:r>
      <w:r>
        <w:rPr>
          <w:rFonts w:ascii="宋体" w:hAnsi="宋体"/>
          <w:color w:val="auto"/>
          <w:position w:val="-10"/>
          <w:sz w:val="24"/>
        </w:rPr>
        <w:object w:dxaOrig="238" w:dyaOrig="363" w14:anchorId="6F0BA556">
          <v:shape id="_x0000_i1052" type="#_x0000_t75" style="width:12pt;height:18pt" o:ole="">
            <v:imagedata r:id="rId174" o:title=""/>
          </v:shape>
          <o:OLEObject Type="Embed" ProgID="Equation.KSEE3" ShapeID="_x0000_i1052" DrawAspect="Content" ObjectID="_1838358248" r:id="rId175"/>
        </w:object>
      </w:r>
      <w:r>
        <w:rPr>
          <w:rFonts w:ascii="宋体" w:hAnsi="宋体" w:hint="eastAsia"/>
          <w:color w:val="auto"/>
          <w:sz w:val="24"/>
          <w:lang w:eastAsia="zh-CN"/>
        </w:rPr>
        <w:t>为年平均高潮高；</w:t>
      </w:r>
      <w:r>
        <w:rPr>
          <w:rFonts w:ascii="宋体" w:hAnsi="宋体"/>
          <w:color w:val="auto"/>
          <w:position w:val="-10"/>
          <w:sz w:val="24"/>
        </w:rPr>
        <w:object w:dxaOrig="263" w:dyaOrig="363" w14:anchorId="2CD2BF2B">
          <v:shape id="_x0000_i1053" type="#_x0000_t75" style="width:13pt;height:18pt" o:ole="">
            <v:imagedata r:id="rId176" o:title=""/>
          </v:shape>
          <o:OLEObject Type="Embed" ProgID="Equation.KSEE3" ShapeID="_x0000_i1053" DrawAspect="Content" ObjectID="_1838358249" r:id="rId177"/>
        </w:object>
      </w:r>
      <w:r>
        <w:rPr>
          <w:rFonts w:ascii="宋体" w:hAnsi="宋体" w:hint="eastAsia"/>
          <w:color w:val="auto"/>
          <w:sz w:val="24"/>
          <w:lang w:eastAsia="zh-CN"/>
        </w:rPr>
        <w:t>为年平均低潮高。</w:t>
      </w:r>
    </w:p>
    <w:p w14:paraId="65C1DF8B" w14:textId="77777777" w:rsidR="0075791A" w:rsidRDefault="00FB2864">
      <w:pPr>
        <w:pStyle w:val="TECHNICALINFO"/>
        <w:widowControl w:val="0"/>
        <w:spacing w:line="460" w:lineRule="exact"/>
        <w:ind w:firstLineChars="200" w:firstLine="480"/>
        <w:rPr>
          <w:rFonts w:ascii="宋体" w:hAnsi="宋体"/>
          <w:color w:val="auto"/>
          <w:lang w:val="en-US" w:eastAsia="zh-CN"/>
        </w:rPr>
      </w:pPr>
      <w:r>
        <w:rPr>
          <w:rFonts w:ascii="宋体" w:hAnsi="宋体" w:hint="eastAsia"/>
          <w:color w:val="auto"/>
          <w:lang w:val="en-US" w:eastAsia="zh-CN"/>
        </w:rPr>
        <w:t>维持铁炉港及潮汐通道较大的纳潮量是维护潮汐通道水深的重要因素。工程前后潮</w:t>
      </w:r>
      <w:r>
        <w:rPr>
          <w:rFonts w:ascii="宋体" w:hAnsi="宋体" w:hint="eastAsia"/>
          <w:color w:val="auto"/>
          <w:lang w:val="en-US" w:eastAsia="zh-CN"/>
        </w:rPr>
        <w:lastRenderedPageBreak/>
        <w:t>差基本未变，工程后部分海域疏浚水深增加，特别是低潮线以上的区域疏浚后将有效增加纳潮量，工程前后纳潮量对比见表</w:t>
      </w:r>
      <w:r>
        <w:rPr>
          <w:rFonts w:ascii="宋体" w:hAnsi="宋体" w:hint="eastAsia"/>
          <w:color w:val="auto"/>
          <w:lang w:val="en-US" w:eastAsia="zh-CN"/>
        </w:rPr>
        <w:t>4.1.5-1</w:t>
      </w:r>
      <w:r>
        <w:rPr>
          <w:rFonts w:ascii="宋体" w:hAnsi="宋体" w:hint="eastAsia"/>
          <w:color w:val="auto"/>
          <w:lang w:val="en-US" w:eastAsia="zh-CN"/>
        </w:rPr>
        <w:t>，纳潮量计算范围示意图见图</w:t>
      </w:r>
      <w:r>
        <w:rPr>
          <w:rFonts w:ascii="宋体" w:hAnsi="宋体" w:hint="eastAsia"/>
          <w:color w:val="auto"/>
          <w:lang w:val="en-US" w:eastAsia="zh-CN"/>
        </w:rPr>
        <w:t>4.1.5-1</w:t>
      </w:r>
      <w:r>
        <w:rPr>
          <w:rFonts w:ascii="宋体" w:hAnsi="宋体" w:hint="eastAsia"/>
          <w:color w:val="auto"/>
          <w:lang w:val="en-US" w:eastAsia="zh-CN"/>
        </w:rPr>
        <w:t>，铁炉港纳潮面积大约为</w:t>
      </w:r>
      <w:r>
        <w:rPr>
          <w:rFonts w:ascii="宋体" w:hAnsi="宋体" w:hint="eastAsia"/>
          <w:color w:val="auto"/>
          <w:lang w:val="en-US" w:eastAsia="zh-CN"/>
        </w:rPr>
        <w:t>8.294km</w:t>
      </w:r>
      <w:r>
        <w:rPr>
          <w:rFonts w:ascii="宋体" w:hAnsi="宋体" w:hint="eastAsia"/>
          <w:color w:val="auto"/>
          <w:vertAlign w:val="superscript"/>
          <w:lang w:val="en-US" w:eastAsia="zh-CN"/>
        </w:rPr>
        <w:t>2</w:t>
      </w:r>
      <w:r>
        <w:rPr>
          <w:rFonts w:ascii="宋体" w:hAnsi="宋体" w:hint="eastAsia"/>
          <w:color w:val="auto"/>
          <w:lang w:val="en-US" w:eastAsia="zh-CN"/>
        </w:rPr>
        <w:t>。由计算结果可知，工程前铁炉港的平均纳潮量约为</w:t>
      </w:r>
      <w:r>
        <w:rPr>
          <w:rFonts w:ascii="宋体" w:hAnsi="宋体" w:hint="eastAsia"/>
          <w:color w:val="auto"/>
          <w:lang w:val="en-US" w:eastAsia="zh-CN"/>
        </w:rPr>
        <w:t>911</w:t>
      </w:r>
      <w:r>
        <w:rPr>
          <w:rFonts w:ascii="宋体" w:hAnsi="宋体"/>
          <w:color w:val="auto"/>
          <w:lang w:val="en-US" w:eastAsia="zh-CN"/>
        </w:rPr>
        <w:t>.</w:t>
      </w:r>
      <w:r>
        <w:rPr>
          <w:rFonts w:ascii="宋体" w:hAnsi="宋体" w:hint="eastAsia"/>
          <w:color w:val="auto"/>
          <w:lang w:val="en-US" w:eastAsia="zh-CN"/>
        </w:rPr>
        <w:t>55</w:t>
      </w:r>
      <w:r>
        <w:rPr>
          <w:rFonts w:ascii="宋体" w:hAnsi="宋体" w:hint="eastAsia"/>
          <w:color w:val="auto"/>
          <w:lang w:val="en-US" w:eastAsia="zh-CN"/>
        </w:rPr>
        <w:t>万</w:t>
      </w:r>
      <w:r>
        <w:rPr>
          <w:rFonts w:ascii="宋体" w:hAnsi="宋体"/>
          <w:color w:val="auto"/>
          <w:lang w:val="en-US" w:eastAsia="zh-CN"/>
        </w:rPr>
        <w:t>m</w:t>
      </w:r>
      <w:r>
        <w:rPr>
          <w:rFonts w:ascii="宋体" w:hAnsi="宋体"/>
          <w:color w:val="auto"/>
          <w:vertAlign w:val="superscript"/>
          <w:lang w:val="en-US" w:eastAsia="zh-CN"/>
        </w:rPr>
        <w:t>3</w:t>
      </w:r>
      <w:r>
        <w:rPr>
          <w:rFonts w:ascii="宋体" w:hAnsi="宋体" w:hint="eastAsia"/>
          <w:color w:val="auto"/>
          <w:lang w:val="en-US" w:eastAsia="zh-CN"/>
        </w:rPr>
        <w:t>，工程后纳潮量为</w:t>
      </w:r>
      <w:r>
        <w:rPr>
          <w:rFonts w:ascii="宋体" w:hAnsi="宋体" w:hint="eastAsia"/>
          <w:color w:val="auto"/>
          <w:lang w:val="en-US" w:eastAsia="zh-CN"/>
        </w:rPr>
        <w:t>915</w:t>
      </w:r>
      <w:r>
        <w:rPr>
          <w:rFonts w:ascii="宋体" w:hAnsi="宋体"/>
          <w:color w:val="auto"/>
          <w:lang w:val="en-US" w:eastAsia="zh-CN"/>
        </w:rPr>
        <w:t>.</w:t>
      </w:r>
      <w:r>
        <w:rPr>
          <w:rFonts w:ascii="宋体" w:hAnsi="宋体" w:hint="eastAsia"/>
          <w:color w:val="auto"/>
          <w:lang w:val="en-US" w:eastAsia="zh-CN"/>
        </w:rPr>
        <w:t>71</w:t>
      </w:r>
      <w:r>
        <w:rPr>
          <w:rFonts w:ascii="宋体" w:hAnsi="宋体" w:hint="eastAsia"/>
          <w:color w:val="auto"/>
          <w:lang w:val="en-US" w:eastAsia="zh-CN"/>
        </w:rPr>
        <w:t>万</w:t>
      </w:r>
      <w:r>
        <w:rPr>
          <w:rFonts w:ascii="宋体" w:hAnsi="宋体"/>
          <w:color w:val="auto"/>
          <w:lang w:val="en-US" w:eastAsia="zh-CN"/>
        </w:rPr>
        <w:t>m</w:t>
      </w:r>
      <w:r>
        <w:rPr>
          <w:rFonts w:ascii="宋体" w:hAnsi="宋体"/>
          <w:color w:val="auto"/>
          <w:vertAlign w:val="superscript"/>
          <w:lang w:val="en-US" w:eastAsia="zh-CN"/>
        </w:rPr>
        <w:t>3</w:t>
      </w:r>
      <w:r>
        <w:rPr>
          <w:rFonts w:ascii="宋体" w:hAnsi="宋体" w:hint="eastAsia"/>
          <w:color w:val="auto"/>
          <w:lang w:val="en-US" w:eastAsia="zh-CN"/>
        </w:rPr>
        <w:t>，增加值为</w:t>
      </w:r>
      <w:r>
        <w:rPr>
          <w:rFonts w:ascii="宋体" w:hAnsi="宋体" w:hint="eastAsia"/>
          <w:color w:val="auto"/>
          <w:lang w:val="en-US" w:eastAsia="zh-CN"/>
        </w:rPr>
        <w:t>4</w:t>
      </w:r>
      <w:r>
        <w:rPr>
          <w:rFonts w:ascii="宋体" w:hAnsi="宋体"/>
          <w:color w:val="auto"/>
          <w:lang w:val="en-US" w:eastAsia="zh-CN"/>
        </w:rPr>
        <w:t>.</w:t>
      </w:r>
      <w:r>
        <w:rPr>
          <w:rFonts w:ascii="宋体" w:hAnsi="宋体" w:hint="eastAsia"/>
          <w:color w:val="auto"/>
          <w:lang w:val="en-US" w:eastAsia="zh-CN"/>
        </w:rPr>
        <w:t>16</w:t>
      </w:r>
      <w:r>
        <w:rPr>
          <w:rFonts w:ascii="宋体" w:hAnsi="宋体" w:hint="eastAsia"/>
          <w:color w:val="auto"/>
          <w:lang w:val="en-US" w:eastAsia="zh-CN"/>
        </w:rPr>
        <w:t>万</w:t>
      </w:r>
      <w:r>
        <w:rPr>
          <w:rFonts w:ascii="宋体" w:hAnsi="宋体"/>
          <w:color w:val="auto"/>
          <w:lang w:val="en-US" w:eastAsia="zh-CN"/>
        </w:rPr>
        <w:t>m</w:t>
      </w:r>
      <w:r>
        <w:rPr>
          <w:rFonts w:ascii="宋体" w:hAnsi="宋体"/>
          <w:color w:val="auto"/>
          <w:vertAlign w:val="superscript"/>
          <w:lang w:val="en-US" w:eastAsia="zh-CN"/>
        </w:rPr>
        <w:t>3</w:t>
      </w:r>
      <w:r>
        <w:rPr>
          <w:rFonts w:ascii="宋体" w:hAnsi="宋体" w:hint="eastAsia"/>
          <w:color w:val="auto"/>
          <w:lang w:val="en-US" w:eastAsia="zh-CN"/>
        </w:rPr>
        <w:t>，工程后纳潮量平均增加幅度约</w:t>
      </w:r>
      <w:r>
        <w:rPr>
          <w:rFonts w:ascii="宋体" w:hAnsi="宋体" w:hint="eastAsia"/>
          <w:color w:val="auto"/>
          <w:lang w:val="en-US" w:eastAsia="zh-CN"/>
        </w:rPr>
        <w:t>0</w:t>
      </w:r>
      <w:r>
        <w:rPr>
          <w:rFonts w:ascii="宋体" w:hAnsi="宋体"/>
          <w:color w:val="auto"/>
          <w:lang w:val="en-US" w:eastAsia="zh-CN"/>
        </w:rPr>
        <w:t>.</w:t>
      </w:r>
      <w:r>
        <w:rPr>
          <w:rFonts w:ascii="宋体" w:hAnsi="宋体" w:hint="eastAsia"/>
          <w:color w:val="auto"/>
          <w:lang w:val="en-US" w:eastAsia="zh-CN"/>
        </w:rPr>
        <w:t>47</w:t>
      </w:r>
      <w:r>
        <w:rPr>
          <w:rFonts w:ascii="宋体" w:hAnsi="宋体"/>
          <w:color w:val="auto"/>
          <w:lang w:val="en-US" w:eastAsia="zh-CN"/>
        </w:rPr>
        <w:t>%</w:t>
      </w:r>
      <w:r>
        <w:rPr>
          <w:rFonts w:ascii="宋体" w:hAnsi="宋体"/>
          <w:color w:val="auto"/>
          <w:lang w:val="en-US" w:eastAsia="zh-CN"/>
        </w:rPr>
        <w:t>，</w:t>
      </w:r>
      <w:r>
        <w:rPr>
          <w:rFonts w:ascii="宋体" w:hAnsi="宋体" w:hint="eastAsia"/>
          <w:color w:val="auto"/>
          <w:lang w:val="en-US" w:eastAsia="zh-CN"/>
        </w:rPr>
        <w:t>纳潮量略有增加，这有利于维持铁炉港潮汐通道和泻湖口门的稳定。</w:t>
      </w:r>
    </w:p>
    <w:p w14:paraId="59A9BDB2" w14:textId="77777777" w:rsidR="0075791A" w:rsidRDefault="00FB2864">
      <w:pPr>
        <w:spacing w:line="460" w:lineRule="atLeast"/>
        <w:ind w:right="-79"/>
        <w:jc w:val="center"/>
        <w:rPr>
          <w:rFonts w:ascii="宋体" w:hAnsi="宋体"/>
          <w:color w:val="auto"/>
          <w:sz w:val="24"/>
        </w:rPr>
      </w:pPr>
      <w:r>
        <w:rPr>
          <w:rFonts w:ascii="宋体" w:hAnsi="宋体" w:hint="eastAsia"/>
          <w:color w:val="auto"/>
          <w:sz w:val="24"/>
        </w:rPr>
        <w:t>表</w:t>
      </w:r>
      <w:r>
        <w:rPr>
          <w:rFonts w:ascii="宋体" w:hAnsi="宋体" w:hint="eastAsia"/>
          <w:color w:val="auto"/>
          <w:lang w:eastAsia="zh-CN"/>
        </w:rPr>
        <w:t>4.1.5-</w:t>
      </w:r>
      <w:r>
        <w:rPr>
          <w:rFonts w:ascii="宋体" w:hAnsi="宋体" w:hint="eastAsia"/>
          <w:color w:val="auto"/>
          <w:sz w:val="24"/>
        </w:rPr>
        <w:t xml:space="preserve">1  </w:t>
      </w:r>
      <w:r>
        <w:rPr>
          <w:rFonts w:ascii="宋体" w:hAnsi="宋体" w:hint="eastAsia"/>
          <w:color w:val="auto"/>
          <w:sz w:val="24"/>
        </w:rPr>
        <w:t>纳潮量统计（</w:t>
      </w:r>
      <w:r>
        <w:rPr>
          <w:rFonts w:ascii="宋体" w:hAnsi="宋体"/>
          <w:color w:val="auto"/>
          <w:sz w:val="24"/>
        </w:rPr>
        <w:t>m</w:t>
      </w:r>
      <w:r>
        <w:rPr>
          <w:rFonts w:ascii="宋体" w:hAnsi="宋体"/>
          <w:color w:val="auto"/>
          <w:sz w:val="24"/>
          <w:vertAlign w:val="superscript"/>
        </w:rPr>
        <w:t>3</w:t>
      </w:r>
      <w:r>
        <w:rPr>
          <w:rFonts w:ascii="宋体" w:hAnsi="宋体" w:hint="eastAsia"/>
          <w:color w:val="auto"/>
          <w:sz w:val="24"/>
        </w:rPr>
        <w:t>）</w:t>
      </w:r>
    </w:p>
    <w:tbl>
      <w:tblPr>
        <w:tblW w:w="787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878"/>
        <w:gridCol w:w="2220"/>
        <w:gridCol w:w="1320"/>
        <w:gridCol w:w="1320"/>
        <w:gridCol w:w="1080"/>
        <w:gridCol w:w="1058"/>
      </w:tblGrid>
      <w:tr w:rsidR="0075791A" w14:paraId="64AFB7C5" w14:textId="77777777">
        <w:trPr>
          <w:jc w:val="center"/>
        </w:trPr>
        <w:tc>
          <w:tcPr>
            <w:tcW w:w="878" w:type="dxa"/>
          </w:tcPr>
          <w:p w14:paraId="5FDF4C93" w14:textId="77777777" w:rsidR="0075791A" w:rsidRDefault="00FB2864">
            <w:pPr>
              <w:jc w:val="center"/>
              <w:rPr>
                <w:rFonts w:ascii="宋体" w:hAnsi="宋体"/>
                <w:color w:val="auto"/>
              </w:rPr>
            </w:pPr>
            <w:r>
              <w:rPr>
                <w:rFonts w:ascii="宋体" w:hAnsi="宋体" w:hint="eastAsia"/>
                <w:color w:val="auto"/>
              </w:rPr>
              <w:t>序号</w:t>
            </w:r>
          </w:p>
        </w:tc>
        <w:tc>
          <w:tcPr>
            <w:tcW w:w="2220" w:type="dxa"/>
            <w:vAlign w:val="center"/>
          </w:tcPr>
          <w:p w14:paraId="1489875C" w14:textId="77777777" w:rsidR="0075791A" w:rsidRDefault="00FB2864">
            <w:pPr>
              <w:jc w:val="center"/>
              <w:rPr>
                <w:rFonts w:ascii="宋体" w:hAnsi="宋体"/>
                <w:color w:val="auto"/>
              </w:rPr>
            </w:pPr>
            <w:r>
              <w:rPr>
                <w:rFonts w:ascii="宋体" w:hAnsi="宋体" w:hint="eastAsia"/>
                <w:color w:val="auto"/>
              </w:rPr>
              <w:t>铁炉港口门潮差</w:t>
            </w:r>
            <w:r>
              <w:rPr>
                <w:rFonts w:ascii="宋体" w:hAnsi="宋体" w:hint="eastAsia"/>
                <w:color w:val="auto"/>
              </w:rPr>
              <w:t>(m)</w:t>
            </w:r>
          </w:p>
        </w:tc>
        <w:tc>
          <w:tcPr>
            <w:tcW w:w="1320" w:type="dxa"/>
          </w:tcPr>
          <w:p w14:paraId="7B1A93BC" w14:textId="77777777" w:rsidR="0075791A" w:rsidRDefault="00FB2864">
            <w:pPr>
              <w:jc w:val="center"/>
              <w:rPr>
                <w:rFonts w:ascii="宋体" w:hAnsi="宋体"/>
                <w:color w:val="auto"/>
              </w:rPr>
            </w:pPr>
            <w:r>
              <w:rPr>
                <w:rFonts w:ascii="宋体" w:hAnsi="宋体" w:hint="eastAsia"/>
                <w:color w:val="auto"/>
              </w:rPr>
              <w:t>工程前</w:t>
            </w:r>
          </w:p>
        </w:tc>
        <w:tc>
          <w:tcPr>
            <w:tcW w:w="1320" w:type="dxa"/>
            <w:vAlign w:val="center"/>
          </w:tcPr>
          <w:p w14:paraId="45A27FCB" w14:textId="77777777" w:rsidR="0075791A" w:rsidRDefault="00FB2864">
            <w:pPr>
              <w:jc w:val="center"/>
              <w:rPr>
                <w:rFonts w:ascii="宋体" w:hAnsi="宋体"/>
                <w:color w:val="auto"/>
              </w:rPr>
            </w:pPr>
            <w:r>
              <w:rPr>
                <w:rFonts w:ascii="宋体" w:hAnsi="宋体" w:hint="eastAsia"/>
                <w:color w:val="auto"/>
              </w:rPr>
              <w:t>工程后</w:t>
            </w:r>
          </w:p>
        </w:tc>
        <w:tc>
          <w:tcPr>
            <w:tcW w:w="1080" w:type="dxa"/>
            <w:vAlign w:val="center"/>
          </w:tcPr>
          <w:p w14:paraId="060D6930" w14:textId="77777777" w:rsidR="0075791A" w:rsidRDefault="00FB2864">
            <w:pPr>
              <w:jc w:val="center"/>
              <w:rPr>
                <w:rFonts w:ascii="宋体" w:hAnsi="宋体"/>
                <w:color w:val="auto"/>
              </w:rPr>
            </w:pPr>
            <w:r>
              <w:rPr>
                <w:rFonts w:ascii="宋体" w:hAnsi="宋体" w:hint="eastAsia"/>
                <w:color w:val="auto"/>
              </w:rPr>
              <w:t>增量</w:t>
            </w:r>
          </w:p>
        </w:tc>
        <w:tc>
          <w:tcPr>
            <w:tcW w:w="1058" w:type="dxa"/>
            <w:vAlign w:val="center"/>
          </w:tcPr>
          <w:p w14:paraId="4B891321" w14:textId="77777777" w:rsidR="0075791A" w:rsidRDefault="00FB2864">
            <w:pPr>
              <w:jc w:val="center"/>
              <w:rPr>
                <w:rFonts w:ascii="宋体" w:hAnsi="宋体"/>
                <w:color w:val="auto"/>
              </w:rPr>
            </w:pPr>
            <w:r>
              <w:rPr>
                <w:rFonts w:ascii="宋体" w:hAnsi="宋体" w:hint="eastAsia"/>
                <w:color w:val="auto"/>
              </w:rPr>
              <w:t>增幅（</w:t>
            </w:r>
            <w:r>
              <w:rPr>
                <w:rFonts w:hint="eastAsia"/>
                <w:color w:val="auto"/>
                <w:sz w:val="22"/>
                <w:szCs w:val="22"/>
              </w:rPr>
              <w:t>%</w:t>
            </w:r>
            <w:r>
              <w:rPr>
                <w:rFonts w:ascii="宋体" w:hAnsi="宋体" w:hint="eastAsia"/>
                <w:color w:val="auto"/>
              </w:rPr>
              <w:t>）</w:t>
            </w:r>
          </w:p>
        </w:tc>
      </w:tr>
      <w:tr w:rsidR="0075791A" w14:paraId="0C93D9BA" w14:textId="77777777">
        <w:trPr>
          <w:cantSplit/>
          <w:jc w:val="center"/>
        </w:trPr>
        <w:tc>
          <w:tcPr>
            <w:tcW w:w="878" w:type="dxa"/>
          </w:tcPr>
          <w:p w14:paraId="4429F827" w14:textId="77777777" w:rsidR="0075791A" w:rsidRDefault="00FB2864">
            <w:pPr>
              <w:jc w:val="center"/>
              <w:rPr>
                <w:rFonts w:ascii="宋体" w:hAnsi="宋体" w:cs="宋体"/>
                <w:color w:val="auto"/>
              </w:rPr>
            </w:pPr>
            <w:r>
              <w:rPr>
                <w:rFonts w:ascii="宋体" w:hAnsi="宋体" w:cs="宋体" w:hint="eastAsia"/>
                <w:color w:val="auto"/>
              </w:rPr>
              <w:t>1</w:t>
            </w:r>
          </w:p>
        </w:tc>
        <w:tc>
          <w:tcPr>
            <w:tcW w:w="2220" w:type="dxa"/>
            <w:vAlign w:val="center"/>
          </w:tcPr>
          <w:p w14:paraId="1921C61D" w14:textId="77777777" w:rsidR="0075791A" w:rsidRDefault="00FB2864">
            <w:pPr>
              <w:jc w:val="center"/>
              <w:rPr>
                <w:rFonts w:ascii="宋体" w:hAnsi="宋体" w:cs="宋体"/>
                <w:color w:val="auto"/>
              </w:rPr>
            </w:pPr>
            <w:r>
              <w:rPr>
                <w:rFonts w:ascii="宋体" w:hAnsi="宋体" w:cs="宋体" w:hint="eastAsia"/>
                <w:color w:val="auto"/>
              </w:rPr>
              <w:t>1.16</w:t>
            </w:r>
          </w:p>
        </w:tc>
        <w:tc>
          <w:tcPr>
            <w:tcW w:w="1320" w:type="dxa"/>
            <w:vAlign w:val="center"/>
          </w:tcPr>
          <w:p w14:paraId="3FBA0720" w14:textId="77777777" w:rsidR="0075791A" w:rsidRDefault="00FB2864">
            <w:pPr>
              <w:jc w:val="center"/>
              <w:rPr>
                <w:rFonts w:ascii="宋体" w:hAnsi="宋体" w:cs="宋体"/>
                <w:color w:val="auto"/>
              </w:rPr>
            </w:pPr>
            <w:r>
              <w:rPr>
                <w:rFonts w:ascii="宋体" w:hAnsi="宋体" w:hint="eastAsia"/>
                <w:color w:val="auto"/>
              </w:rPr>
              <w:t>9673670</w:t>
            </w:r>
          </w:p>
        </w:tc>
        <w:tc>
          <w:tcPr>
            <w:tcW w:w="1320" w:type="dxa"/>
            <w:vAlign w:val="center"/>
          </w:tcPr>
          <w:p w14:paraId="5EB02021" w14:textId="77777777" w:rsidR="0075791A" w:rsidRDefault="00FB2864">
            <w:pPr>
              <w:jc w:val="center"/>
              <w:rPr>
                <w:rFonts w:ascii="宋体" w:hAnsi="宋体" w:cs="宋体"/>
                <w:color w:val="auto"/>
              </w:rPr>
            </w:pPr>
            <w:r>
              <w:rPr>
                <w:rFonts w:ascii="宋体" w:hAnsi="宋体" w:hint="eastAsia"/>
                <w:color w:val="auto"/>
              </w:rPr>
              <w:t>9706510</w:t>
            </w:r>
          </w:p>
        </w:tc>
        <w:tc>
          <w:tcPr>
            <w:tcW w:w="1080" w:type="dxa"/>
            <w:vAlign w:val="center"/>
          </w:tcPr>
          <w:p w14:paraId="25CD7319" w14:textId="77777777" w:rsidR="0075791A" w:rsidRDefault="00FB2864">
            <w:pPr>
              <w:jc w:val="center"/>
              <w:rPr>
                <w:rFonts w:ascii="宋体" w:hAnsi="宋体" w:cs="宋体"/>
                <w:color w:val="auto"/>
              </w:rPr>
            </w:pPr>
            <w:r>
              <w:rPr>
                <w:rFonts w:ascii="宋体" w:hAnsi="宋体" w:hint="eastAsia"/>
                <w:color w:val="auto"/>
              </w:rPr>
              <w:t>32840</w:t>
            </w:r>
          </w:p>
        </w:tc>
        <w:tc>
          <w:tcPr>
            <w:tcW w:w="1058" w:type="dxa"/>
            <w:vAlign w:val="center"/>
          </w:tcPr>
          <w:p w14:paraId="55C54924" w14:textId="77777777" w:rsidR="0075791A" w:rsidRDefault="00FB2864">
            <w:pPr>
              <w:jc w:val="center"/>
              <w:rPr>
                <w:rFonts w:ascii="宋体" w:hAnsi="宋体" w:cs="宋体"/>
                <w:color w:val="auto"/>
              </w:rPr>
            </w:pPr>
            <w:r>
              <w:rPr>
                <w:rFonts w:ascii="宋体" w:hAnsi="宋体" w:hint="eastAsia"/>
                <w:color w:val="auto"/>
              </w:rPr>
              <w:t>0.34</w:t>
            </w:r>
          </w:p>
        </w:tc>
      </w:tr>
      <w:tr w:rsidR="0075791A" w14:paraId="6A22A582" w14:textId="77777777">
        <w:trPr>
          <w:cantSplit/>
          <w:jc w:val="center"/>
        </w:trPr>
        <w:tc>
          <w:tcPr>
            <w:tcW w:w="878" w:type="dxa"/>
          </w:tcPr>
          <w:p w14:paraId="1F145A69" w14:textId="77777777" w:rsidR="0075791A" w:rsidRDefault="00FB2864">
            <w:pPr>
              <w:jc w:val="center"/>
              <w:rPr>
                <w:rFonts w:ascii="宋体" w:hAnsi="宋体" w:cs="宋体"/>
                <w:color w:val="auto"/>
              </w:rPr>
            </w:pPr>
            <w:r>
              <w:rPr>
                <w:rFonts w:ascii="宋体" w:hAnsi="宋体" w:cs="宋体" w:hint="eastAsia"/>
                <w:color w:val="auto"/>
              </w:rPr>
              <w:t>2</w:t>
            </w:r>
          </w:p>
        </w:tc>
        <w:tc>
          <w:tcPr>
            <w:tcW w:w="2220" w:type="dxa"/>
            <w:vAlign w:val="center"/>
          </w:tcPr>
          <w:p w14:paraId="6ADD3D91" w14:textId="77777777" w:rsidR="0075791A" w:rsidRDefault="00FB2864">
            <w:pPr>
              <w:jc w:val="center"/>
              <w:rPr>
                <w:rFonts w:ascii="宋体" w:hAnsi="宋体" w:cs="宋体"/>
                <w:color w:val="auto"/>
              </w:rPr>
            </w:pPr>
            <w:r>
              <w:rPr>
                <w:rFonts w:ascii="宋体" w:hAnsi="宋体" w:cs="宋体" w:hint="eastAsia"/>
                <w:color w:val="auto"/>
              </w:rPr>
              <w:t>1.32</w:t>
            </w:r>
          </w:p>
        </w:tc>
        <w:tc>
          <w:tcPr>
            <w:tcW w:w="1320" w:type="dxa"/>
            <w:vAlign w:val="center"/>
          </w:tcPr>
          <w:p w14:paraId="448FD232" w14:textId="77777777" w:rsidR="0075791A" w:rsidRDefault="00FB2864">
            <w:pPr>
              <w:jc w:val="center"/>
              <w:rPr>
                <w:rFonts w:ascii="宋体" w:hAnsi="宋体" w:cs="宋体"/>
                <w:color w:val="auto"/>
              </w:rPr>
            </w:pPr>
            <w:r>
              <w:rPr>
                <w:rFonts w:ascii="宋体" w:hAnsi="宋体" w:hint="eastAsia"/>
                <w:color w:val="auto"/>
              </w:rPr>
              <w:t>10666830</w:t>
            </w:r>
          </w:p>
        </w:tc>
        <w:tc>
          <w:tcPr>
            <w:tcW w:w="1320" w:type="dxa"/>
            <w:vAlign w:val="center"/>
          </w:tcPr>
          <w:p w14:paraId="5C7F9F01" w14:textId="77777777" w:rsidR="0075791A" w:rsidRDefault="00FB2864">
            <w:pPr>
              <w:jc w:val="center"/>
              <w:rPr>
                <w:rFonts w:ascii="宋体" w:hAnsi="宋体" w:cs="宋体"/>
                <w:color w:val="auto"/>
              </w:rPr>
            </w:pPr>
            <w:r>
              <w:rPr>
                <w:rFonts w:ascii="宋体" w:hAnsi="宋体" w:hint="eastAsia"/>
                <w:color w:val="auto"/>
              </w:rPr>
              <w:t>10698890</w:t>
            </w:r>
          </w:p>
        </w:tc>
        <w:tc>
          <w:tcPr>
            <w:tcW w:w="1080" w:type="dxa"/>
            <w:vAlign w:val="center"/>
          </w:tcPr>
          <w:p w14:paraId="2703D736" w14:textId="77777777" w:rsidR="0075791A" w:rsidRDefault="00FB2864">
            <w:pPr>
              <w:jc w:val="center"/>
              <w:rPr>
                <w:rFonts w:ascii="宋体" w:hAnsi="宋体" w:cs="宋体"/>
                <w:color w:val="auto"/>
              </w:rPr>
            </w:pPr>
            <w:r>
              <w:rPr>
                <w:rFonts w:ascii="宋体" w:hAnsi="宋体" w:hint="eastAsia"/>
                <w:color w:val="auto"/>
              </w:rPr>
              <w:t>32060</w:t>
            </w:r>
          </w:p>
        </w:tc>
        <w:tc>
          <w:tcPr>
            <w:tcW w:w="1058" w:type="dxa"/>
            <w:vAlign w:val="center"/>
          </w:tcPr>
          <w:p w14:paraId="5963F108" w14:textId="77777777" w:rsidR="0075791A" w:rsidRDefault="00FB2864">
            <w:pPr>
              <w:jc w:val="center"/>
              <w:rPr>
                <w:rFonts w:ascii="宋体" w:hAnsi="宋体" w:cs="宋体"/>
                <w:color w:val="auto"/>
              </w:rPr>
            </w:pPr>
            <w:r>
              <w:rPr>
                <w:rFonts w:ascii="宋体" w:hAnsi="宋体" w:hint="eastAsia"/>
                <w:color w:val="auto"/>
              </w:rPr>
              <w:t>0.30</w:t>
            </w:r>
          </w:p>
        </w:tc>
      </w:tr>
      <w:tr w:rsidR="0075791A" w14:paraId="3B55C827" w14:textId="77777777">
        <w:trPr>
          <w:cantSplit/>
          <w:jc w:val="center"/>
        </w:trPr>
        <w:tc>
          <w:tcPr>
            <w:tcW w:w="878" w:type="dxa"/>
          </w:tcPr>
          <w:p w14:paraId="4E3451C1" w14:textId="77777777" w:rsidR="0075791A" w:rsidRDefault="00FB2864">
            <w:pPr>
              <w:jc w:val="center"/>
              <w:rPr>
                <w:rFonts w:ascii="宋体" w:hAnsi="宋体" w:cs="宋体"/>
                <w:color w:val="auto"/>
              </w:rPr>
            </w:pPr>
            <w:r>
              <w:rPr>
                <w:rFonts w:ascii="宋体" w:hAnsi="宋体" w:cs="宋体" w:hint="eastAsia"/>
                <w:color w:val="auto"/>
              </w:rPr>
              <w:t>3</w:t>
            </w:r>
          </w:p>
        </w:tc>
        <w:tc>
          <w:tcPr>
            <w:tcW w:w="2220" w:type="dxa"/>
            <w:vAlign w:val="center"/>
          </w:tcPr>
          <w:p w14:paraId="483137AC" w14:textId="77777777" w:rsidR="0075791A" w:rsidRDefault="00FB2864">
            <w:pPr>
              <w:jc w:val="center"/>
              <w:rPr>
                <w:rFonts w:ascii="宋体" w:hAnsi="宋体" w:cs="宋体"/>
                <w:color w:val="auto"/>
              </w:rPr>
            </w:pPr>
            <w:r>
              <w:rPr>
                <w:rFonts w:ascii="宋体" w:hAnsi="宋体" w:cs="宋体" w:hint="eastAsia"/>
                <w:color w:val="auto"/>
              </w:rPr>
              <w:t>1.27</w:t>
            </w:r>
          </w:p>
        </w:tc>
        <w:tc>
          <w:tcPr>
            <w:tcW w:w="1320" w:type="dxa"/>
            <w:vAlign w:val="center"/>
          </w:tcPr>
          <w:p w14:paraId="2331A42B" w14:textId="77777777" w:rsidR="0075791A" w:rsidRDefault="00FB2864">
            <w:pPr>
              <w:jc w:val="center"/>
              <w:rPr>
                <w:rFonts w:ascii="宋体" w:hAnsi="宋体" w:cs="宋体"/>
                <w:color w:val="auto"/>
              </w:rPr>
            </w:pPr>
            <w:r>
              <w:rPr>
                <w:rFonts w:ascii="宋体" w:hAnsi="宋体" w:hint="eastAsia"/>
                <w:color w:val="auto"/>
              </w:rPr>
              <w:t>10131350</w:t>
            </w:r>
          </w:p>
        </w:tc>
        <w:tc>
          <w:tcPr>
            <w:tcW w:w="1320" w:type="dxa"/>
            <w:vAlign w:val="center"/>
          </w:tcPr>
          <w:p w14:paraId="4273C190" w14:textId="77777777" w:rsidR="0075791A" w:rsidRDefault="00FB2864">
            <w:pPr>
              <w:jc w:val="center"/>
              <w:rPr>
                <w:rFonts w:ascii="宋体" w:hAnsi="宋体" w:cs="宋体"/>
                <w:color w:val="auto"/>
              </w:rPr>
            </w:pPr>
            <w:r>
              <w:rPr>
                <w:rFonts w:ascii="宋体" w:hAnsi="宋体" w:hint="eastAsia"/>
                <w:color w:val="auto"/>
              </w:rPr>
              <w:t>10187780</w:t>
            </w:r>
          </w:p>
        </w:tc>
        <w:tc>
          <w:tcPr>
            <w:tcW w:w="1080" w:type="dxa"/>
            <w:vAlign w:val="center"/>
          </w:tcPr>
          <w:p w14:paraId="6DD59723" w14:textId="77777777" w:rsidR="0075791A" w:rsidRDefault="00FB2864">
            <w:pPr>
              <w:jc w:val="center"/>
              <w:rPr>
                <w:rFonts w:ascii="宋体" w:hAnsi="宋体" w:cs="宋体"/>
                <w:color w:val="auto"/>
              </w:rPr>
            </w:pPr>
            <w:r>
              <w:rPr>
                <w:rFonts w:ascii="宋体" w:hAnsi="宋体" w:hint="eastAsia"/>
                <w:color w:val="auto"/>
              </w:rPr>
              <w:t>56430</w:t>
            </w:r>
          </w:p>
        </w:tc>
        <w:tc>
          <w:tcPr>
            <w:tcW w:w="1058" w:type="dxa"/>
            <w:vAlign w:val="center"/>
          </w:tcPr>
          <w:p w14:paraId="36141426" w14:textId="77777777" w:rsidR="0075791A" w:rsidRDefault="00FB2864">
            <w:pPr>
              <w:jc w:val="center"/>
              <w:rPr>
                <w:rFonts w:ascii="宋体" w:hAnsi="宋体" w:cs="宋体"/>
                <w:color w:val="auto"/>
              </w:rPr>
            </w:pPr>
            <w:r>
              <w:rPr>
                <w:rFonts w:ascii="宋体" w:hAnsi="宋体" w:hint="eastAsia"/>
                <w:color w:val="auto"/>
              </w:rPr>
              <w:t>0.56</w:t>
            </w:r>
          </w:p>
        </w:tc>
      </w:tr>
      <w:tr w:rsidR="0075791A" w14:paraId="206E94A2" w14:textId="77777777">
        <w:trPr>
          <w:cantSplit/>
          <w:jc w:val="center"/>
        </w:trPr>
        <w:tc>
          <w:tcPr>
            <w:tcW w:w="878" w:type="dxa"/>
          </w:tcPr>
          <w:p w14:paraId="64EC4B8B" w14:textId="77777777" w:rsidR="0075791A" w:rsidRDefault="00FB2864">
            <w:pPr>
              <w:jc w:val="center"/>
              <w:rPr>
                <w:rFonts w:ascii="宋体" w:hAnsi="宋体" w:cs="宋体"/>
                <w:color w:val="auto"/>
              </w:rPr>
            </w:pPr>
            <w:r>
              <w:rPr>
                <w:rFonts w:ascii="宋体" w:hAnsi="宋体" w:cs="宋体" w:hint="eastAsia"/>
                <w:color w:val="auto"/>
              </w:rPr>
              <w:t>4</w:t>
            </w:r>
          </w:p>
        </w:tc>
        <w:tc>
          <w:tcPr>
            <w:tcW w:w="2220" w:type="dxa"/>
            <w:vAlign w:val="center"/>
          </w:tcPr>
          <w:p w14:paraId="581B095B" w14:textId="77777777" w:rsidR="0075791A" w:rsidRDefault="00FB2864">
            <w:pPr>
              <w:jc w:val="center"/>
              <w:rPr>
                <w:rFonts w:ascii="宋体" w:hAnsi="宋体" w:cs="宋体"/>
                <w:color w:val="auto"/>
              </w:rPr>
            </w:pPr>
            <w:r>
              <w:rPr>
                <w:rFonts w:ascii="宋体" w:hAnsi="宋体" w:cs="宋体" w:hint="eastAsia"/>
                <w:color w:val="auto"/>
              </w:rPr>
              <w:t>1.20</w:t>
            </w:r>
          </w:p>
        </w:tc>
        <w:tc>
          <w:tcPr>
            <w:tcW w:w="1320" w:type="dxa"/>
            <w:vAlign w:val="center"/>
          </w:tcPr>
          <w:p w14:paraId="2042DD8C" w14:textId="77777777" w:rsidR="0075791A" w:rsidRDefault="00FB2864">
            <w:pPr>
              <w:jc w:val="center"/>
              <w:rPr>
                <w:rFonts w:ascii="宋体" w:hAnsi="宋体" w:cs="宋体"/>
                <w:color w:val="auto"/>
              </w:rPr>
            </w:pPr>
            <w:r>
              <w:rPr>
                <w:rFonts w:ascii="宋体" w:hAnsi="宋体" w:hint="eastAsia"/>
                <w:color w:val="auto"/>
              </w:rPr>
              <w:t>9440780</w:t>
            </w:r>
          </w:p>
        </w:tc>
        <w:tc>
          <w:tcPr>
            <w:tcW w:w="1320" w:type="dxa"/>
            <w:vAlign w:val="center"/>
          </w:tcPr>
          <w:p w14:paraId="403A1681" w14:textId="77777777" w:rsidR="0075791A" w:rsidRDefault="00FB2864">
            <w:pPr>
              <w:jc w:val="center"/>
              <w:rPr>
                <w:rFonts w:ascii="宋体" w:hAnsi="宋体" w:cs="宋体"/>
                <w:color w:val="auto"/>
              </w:rPr>
            </w:pPr>
            <w:r>
              <w:rPr>
                <w:rFonts w:ascii="宋体" w:hAnsi="宋体" w:hint="eastAsia"/>
                <w:color w:val="auto"/>
              </w:rPr>
              <w:t>9498890</w:t>
            </w:r>
          </w:p>
        </w:tc>
        <w:tc>
          <w:tcPr>
            <w:tcW w:w="1080" w:type="dxa"/>
            <w:vAlign w:val="center"/>
          </w:tcPr>
          <w:p w14:paraId="0F7E3A1E" w14:textId="77777777" w:rsidR="0075791A" w:rsidRDefault="00FB2864">
            <w:pPr>
              <w:jc w:val="center"/>
              <w:rPr>
                <w:rFonts w:ascii="宋体" w:hAnsi="宋体" w:cs="宋体"/>
                <w:color w:val="auto"/>
              </w:rPr>
            </w:pPr>
            <w:r>
              <w:rPr>
                <w:rFonts w:ascii="宋体" w:hAnsi="宋体" w:hint="eastAsia"/>
                <w:color w:val="auto"/>
              </w:rPr>
              <w:t>58110</w:t>
            </w:r>
          </w:p>
        </w:tc>
        <w:tc>
          <w:tcPr>
            <w:tcW w:w="1058" w:type="dxa"/>
            <w:vAlign w:val="center"/>
          </w:tcPr>
          <w:p w14:paraId="78884FE9" w14:textId="77777777" w:rsidR="0075791A" w:rsidRDefault="00FB2864">
            <w:pPr>
              <w:jc w:val="center"/>
              <w:rPr>
                <w:rFonts w:ascii="宋体" w:hAnsi="宋体" w:cs="宋体"/>
                <w:color w:val="auto"/>
              </w:rPr>
            </w:pPr>
            <w:r>
              <w:rPr>
                <w:rFonts w:ascii="宋体" w:hAnsi="宋体" w:hint="eastAsia"/>
                <w:color w:val="auto"/>
              </w:rPr>
              <w:t>0.62</w:t>
            </w:r>
          </w:p>
        </w:tc>
      </w:tr>
      <w:tr w:rsidR="0075791A" w14:paraId="45FD51DE" w14:textId="77777777">
        <w:trPr>
          <w:cantSplit/>
          <w:jc w:val="center"/>
        </w:trPr>
        <w:tc>
          <w:tcPr>
            <w:tcW w:w="878" w:type="dxa"/>
          </w:tcPr>
          <w:p w14:paraId="4D48CF69" w14:textId="77777777" w:rsidR="0075791A" w:rsidRDefault="00FB2864">
            <w:pPr>
              <w:jc w:val="center"/>
              <w:rPr>
                <w:rFonts w:ascii="宋体" w:hAnsi="宋体" w:cs="宋体"/>
                <w:color w:val="auto"/>
              </w:rPr>
            </w:pPr>
            <w:r>
              <w:rPr>
                <w:rFonts w:ascii="宋体" w:hAnsi="宋体" w:cs="宋体" w:hint="eastAsia"/>
                <w:color w:val="auto"/>
              </w:rPr>
              <w:t>5</w:t>
            </w:r>
          </w:p>
        </w:tc>
        <w:tc>
          <w:tcPr>
            <w:tcW w:w="2220" w:type="dxa"/>
            <w:vAlign w:val="center"/>
          </w:tcPr>
          <w:p w14:paraId="7D49D0B3" w14:textId="77777777" w:rsidR="0075791A" w:rsidRDefault="00FB2864">
            <w:pPr>
              <w:jc w:val="center"/>
              <w:rPr>
                <w:rFonts w:ascii="宋体" w:hAnsi="宋体" w:cs="宋体"/>
                <w:color w:val="auto"/>
              </w:rPr>
            </w:pPr>
            <w:r>
              <w:rPr>
                <w:rFonts w:ascii="宋体" w:hAnsi="宋体" w:cs="宋体" w:hint="eastAsia"/>
                <w:color w:val="auto"/>
              </w:rPr>
              <w:t>1.08</w:t>
            </w:r>
          </w:p>
        </w:tc>
        <w:tc>
          <w:tcPr>
            <w:tcW w:w="1320" w:type="dxa"/>
            <w:vAlign w:val="center"/>
          </w:tcPr>
          <w:p w14:paraId="13D84FE7" w14:textId="77777777" w:rsidR="0075791A" w:rsidRDefault="00FB2864">
            <w:pPr>
              <w:jc w:val="center"/>
              <w:rPr>
                <w:rFonts w:ascii="宋体" w:hAnsi="宋体" w:cs="宋体"/>
                <w:color w:val="auto"/>
              </w:rPr>
            </w:pPr>
            <w:r>
              <w:rPr>
                <w:rFonts w:ascii="宋体" w:hAnsi="宋体" w:hint="eastAsia"/>
                <w:color w:val="auto"/>
              </w:rPr>
              <w:t>8430460</w:t>
            </w:r>
          </w:p>
        </w:tc>
        <w:tc>
          <w:tcPr>
            <w:tcW w:w="1320" w:type="dxa"/>
            <w:vAlign w:val="center"/>
          </w:tcPr>
          <w:p w14:paraId="6C7E018B" w14:textId="77777777" w:rsidR="0075791A" w:rsidRDefault="00FB2864">
            <w:pPr>
              <w:jc w:val="center"/>
              <w:rPr>
                <w:rFonts w:ascii="宋体" w:hAnsi="宋体" w:cs="宋体"/>
                <w:color w:val="auto"/>
              </w:rPr>
            </w:pPr>
            <w:r>
              <w:rPr>
                <w:rFonts w:ascii="宋体" w:hAnsi="宋体" w:hint="eastAsia"/>
                <w:color w:val="auto"/>
              </w:rPr>
              <w:t>8455250</w:t>
            </w:r>
          </w:p>
        </w:tc>
        <w:tc>
          <w:tcPr>
            <w:tcW w:w="1080" w:type="dxa"/>
            <w:vAlign w:val="center"/>
          </w:tcPr>
          <w:p w14:paraId="390E2D47" w14:textId="77777777" w:rsidR="0075791A" w:rsidRDefault="00FB2864">
            <w:pPr>
              <w:jc w:val="center"/>
              <w:rPr>
                <w:rFonts w:ascii="宋体" w:hAnsi="宋体" w:cs="宋体"/>
                <w:color w:val="auto"/>
              </w:rPr>
            </w:pPr>
            <w:r>
              <w:rPr>
                <w:rFonts w:ascii="宋体" w:hAnsi="宋体" w:hint="eastAsia"/>
                <w:color w:val="auto"/>
              </w:rPr>
              <w:t>24790</w:t>
            </w:r>
          </w:p>
        </w:tc>
        <w:tc>
          <w:tcPr>
            <w:tcW w:w="1058" w:type="dxa"/>
            <w:vAlign w:val="center"/>
          </w:tcPr>
          <w:p w14:paraId="6FEBD954" w14:textId="77777777" w:rsidR="0075791A" w:rsidRDefault="00FB2864">
            <w:pPr>
              <w:jc w:val="center"/>
              <w:rPr>
                <w:rFonts w:ascii="宋体" w:hAnsi="宋体" w:cs="宋体"/>
                <w:color w:val="auto"/>
              </w:rPr>
            </w:pPr>
            <w:r>
              <w:rPr>
                <w:rFonts w:ascii="宋体" w:hAnsi="宋体" w:hint="eastAsia"/>
                <w:color w:val="auto"/>
              </w:rPr>
              <w:t>0.29</w:t>
            </w:r>
          </w:p>
        </w:tc>
      </w:tr>
      <w:tr w:rsidR="0075791A" w14:paraId="6E014156" w14:textId="77777777">
        <w:trPr>
          <w:cantSplit/>
          <w:jc w:val="center"/>
        </w:trPr>
        <w:tc>
          <w:tcPr>
            <w:tcW w:w="878" w:type="dxa"/>
          </w:tcPr>
          <w:p w14:paraId="223A9049" w14:textId="77777777" w:rsidR="0075791A" w:rsidRDefault="00FB2864">
            <w:pPr>
              <w:jc w:val="center"/>
              <w:rPr>
                <w:rFonts w:ascii="宋体" w:hAnsi="宋体" w:cs="宋体"/>
                <w:color w:val="auto"/>
              </w:rPr>
            </w:pPr>
            <w:r>
              <w:rPr>
                <w:rFonts w:ascii="宋体" w:hAnsi="宋体" w:cs="宋体" w:hint="eastAsia"/>
                <w:color w:val="auto"/>
              </w:rPr>
              <w:t>6</w:t>
            </w:r>
          </w:p>
        </w:tc>
        <w:tc>
          <w:tcPr>
            <w:tcW w:w="2220" w:type="dxa"/>
            <w:vAlign w:val="center"/>
          </w:tcPr>
          <w:p w14:paraId="3BBE03CE" w14:textId="77777777" w:rsidR="0075791A" w:rsidRDefault="00FB2864">
            <w:pPr>
              <w:jc w:val="center"/>
              <w:rPr>
                <w:rFonts w:ascii="宋体" w:hAnsi="宋体" w:cs="宋体"/>
                <w:color w:val="auto"/>
              </w:rPr>
            </w:pPr>
            <w:r>
              <w:rPr>
                <w:rFonts w:ascii="宋体" w:hAnsi="宋体" w:cs="宋体" w:hint="eastAsia"/>
                <w:color w:val="auto"/>
              </w:rPr>
              <w:t>0.93</w:t>
            </w:r>
          </w:p>
        </w:tc>
        <w:tc>
          <w:tcPr>
            <w:tcW w:w="1320" w:type="dxa"/>
            <w:vAlign w:val="center"/>
          </w:tcPr>
          <w:p w14:paraId="03A4D406" w14:textId="77777777" w:rsidR="0075791A" w:rsidRDefault="00FB2864">
            <w:pPr>
              <w:jc w:val="center"/>
              <w:rPr>
                <w:rFonts w:ascii="宋体" w:hAnsi="宋体" w:cs="宋体"/>
                <w:color w:val="auto"/>
              </w:rPr>
            </w:pPr>
            <w:r>
              <w:rPr>
                <w:rFonts w:ascii="宋体" w:hAnsi="宋体" w:hint="eastAsia"/>
                <w:color w:val="auto"/>
              </w:rPr>
              <w:t>7328150</w:t>
            </w:r>
          </w:p>
        </w:tc>
        <w:tc>
          <w:tcPr>
            <w:tcW w:w="1320" w:type="dxa"/>
            <w:vAlign w:val="center"/>
          </w:tcPr>
          <w:p w14:paraId="6566AA04" w14:textId="77777777" w:rsidR="0075791A" w:rsidRDefault="00FB2864">
            <w:pPr>
              <w:jc w:val="center"/>
              <w:rPr>
                <w:rFonts w:ascii="宋体" w:hAnsi="宋体" w:cs="宋体"/>
                <w:color w:val="auto"/>
              </w:rPr>
            </w:pPr>
            <w:r>
              <w:rPr>
                <w:rFonts w:ascii="宋体" w:hAnsi="宋体" w:hint="eastAsia"/>
                <w:color w:val="auto"/>
              </w:rPr>
              <w:t>7363200</w:t>
            </w:r>
          </w:p>
        </w:tc>
        <w:tc>
          <w:tcPr>
            <w:tcW w:w="1080" w:type="dxa"/>
            <w:vAlign w:val="center"/>
          </w:tcPr>
          <w:p w14:paraId="2E95525E" w14:textId="77777777" w:rsidR="0075791A" w:rsidRDefault="00FB2864">
            <w:pPr>
              <w:jc w:val="center"/>
              <w:rPr>
                <w:rFonts w:ascii="宋体" w:hAnsi="宋体" w:cs="宋体"/>
                <w:color w:val="auto"/>
              </w:rPr>
            </w:pPr>
            <w:r>
              <w:rPr>
                <w:rFonts w:ascii="宋体" w:hAnsi="宋体" w:hint="eastAsia"/>
                <w:color w:val="auto"/>
              </w:rPr>
              <w:t>35050</w:t>
            </w:r>
          </w:p>
        </w:tc>
        <w:tc>
          <w:tcPr>
            <w:tcW w:w="1058" w:type="dxa"/>
            <w:vAlign w:val="center"/>
          </w:tcPr>
          <w:p w14:paraId="31859DBE" w14:textId="77777777" w:rsidR="0075791A" w:rsidRDefault="00FB2864">
            <w:pPr>
              <w:jc w:val="center"/>
              <w:rPr>
                <w:rFonts w:ascii="宋体" w:hAnsi="宋体" w:cs="宋体"/>
                <w:color w:val="auto"/>
              </w:rPr>
            </w:pPr>
            <w:r>
              <w:rPr>
                <w:rFonts w:ascii="宋体" w:hAnsi="宋体" w:hint="eastAsia"/>
                <w:color w:val="auto"/>
              </w:rPr>
              <w:t>0.48</w:t>
            </w:r>
          </w:p>
        </w:tc>
      </w:tr>
      <w:tr w:rsidR="0075791A" w14:paraId="5338CAC1" w14:textId="77777777">
        <w:trPr>
          <w:cantSplit/>
          <w:jc w:val="center"/>
        </w:trPr>
        <w:tc>
          <w:tcPr>
            <w:tcW w:w="878" w:type="dxa"/>
          </w:tcPr>
          <w:p w14:paraId="41346CBD" w14:textId="77777777" w:rsidR="0075791A" w:rsidRDefault="00FB2864">
            <w:pPr>
              <w:jc w:val="center"/>
              <w:rPr>
                <w:rFonts w:ascii="宋体" w:hAnsi="宋体" w:cs="宋体"/>
                <w:color w:val="auto"/>
              </w:rPr>
            </w:pPr>
            <w:r>
              <w:rPr>
                <w:rFonts w:ascii="宋体" w:hAnsi="宋体" w:cs="宋体" w:hint="eastAsia"/>
                <w:color w:val="auto"/>
              </w:rPr>
              <w:t>7</w:t>
            </w:r>
          </w:p>
        </w:tc>
        <w:tc>
          <w:tcPr>
            <w:tcW w:w="2220" w:type="dxa"/>
            <w:vAlign w:val="center"/>
          </w:tcPr>
          <w:p w14:paraId="133C691A" w14:textId="77777777" w:rsidR="0075791A" w:rsidRDefault="00FB2864">
            <w:pPr>
              <w:jc w:val="center"/>
              <w:rPr>
                <w:rFonts w:ascii="宋体" w:hAnsi="宋体" w:cs="宋体"/>
                <w:color w:val="auto"/>
              </w:rPr>
            </w:pPr>
            <w:r>
              <w:rPr>
                <w:rFonts w:ascii="宋体" w:hAnsi="宋体" w:cs="宋体" w:hint="eastAsia"/>
                <w:color w:val="auto"/>
              </w:rPr>
              <w:t>0.76</w:t>
            </w:r>
          </w:p>
        </w:tc>
        <w:tc>
          <w:tcPr>
            <w:tcW w:w="1320" w:type="dxa"/>
            <w:vAlign w:val="center"/>
          </w:tcPr>
          <w:p w14:paraId="0F98C724" w14:textId="77777777" w:rsidR="0075791A" w:rsidRDefault="00FB2864">
            <w:pPr>
              <w:jc w:val="center"/>
              <w:rPr>
                <w:rFonts w:ascii="宋体" w:hAnsi="宋体" w:cs="宋体"/>
                <w:color w:val="auto"/>
              </w:rPr>
            </w:pPr>
            <w:r>
              <w:rPr>
                <w:rFonts w:ascii="宋体" w:hAnsi="宋体" w:hint="eastAsia"/>
                <w:color w:val="auto"/>
              </w:rPr>
              <w:t>5911260</w:t>
            </w:r>
          </w:p>
        </w:tc>
        <w:tc>
          <w:tcPr>
            <w:tcW w:w="1320" w:type="dxa"/>
            <w:vAlign w:val="center"/>
          </w:tcPr>
          <w:p w14:paraId="731C687F" w14:textId="77777777" w:rsidR="0075791A" w:rsidRDefault="00FB2864">
            <w:pPr>
              <w:jc w:val="center"/>
              <w:rPr>
                <w:rFonts w:ascii="宋体" w:hAnsi="宋体" w:cs="宋体"/>
                <w:color w:val="auto"/>
              </w:rPr>
            </w:pPr>
            <w:r>
              <w:rPr>
                <w:rFonts w:ascii="宋体" w:hAnsi="宋体" w:hint="eastAsia"/>
                <w:color w:val="auto"/>
              </w:rPr>
              <w:t>5948440</w:t>
            </w:r>
          </w:p>
        </w:tc>
        <w:tc>
          <w:tcPr>
            <w:tcW w:w="1080" w:type="dxa"/>
            <w:vAlign w:val="center"/>
          </w:tcPr>
          <w:p w14:paraId="23E1C7B9" w14:textId="77777777" w:rsidR="0075791A" w:rsidRDefault="00FB2864">
            <w:pPr>
              <w:jc w:val="center"/>
              <w:rPr>
                <w:rFonts w:ascii="宋体" w:hAnsi="宋体" w:cs="宋体"/>
                <w:color w:val="auto"/>
              </w:rPr>
            </w:pPr>
            <w:r>
              <w:rPr>
                <w:rFonts w:ascii="宋体" w:hAnsi="宋体" w:hint="eastAsia"/>
                <w:color w:val="auto"/>
              </w:rPr>
              <w:t>37180</w:t>
            </w:r>
          </w:p>
        </w:tc>
        <w:tc>
          <w:tcPr>
            <w:tcW w:w="1058" w:type="dxa"/>
            <w:vAlign w:val="center"/>
          </w:tcPr>
          <w:p w14:paraId="27B7DA27" w14:textId="77777777" w:rsidR="0075791A" w:rsidRDefault="00FB2864">
            <w:pPr>
              <w:jc w:val="center"/>
              <w:rPr>
                <w:rFonts w:ascii="宋体" w:hAnsi="宋体" w:cs="宋体"/>
                <w:color w:val="auto"/>
              </w:rPr>
            </w:pPr>
            <w:r>
              <w:rPr>
                <w:rFonts w:ascii="宋体" w:hAnsi="宋体" w:hint="eastAsia"/>
                <w:color w:val="auto"/>
              </w:rPr>
              <w:t>0.63</w:t>
            </w:r>
          </w:p>
        </w:tc>
      </w:tr>
      <w:tr w:rsidR="0075791A" w14:paraId="3F57BC5B" w14:textId="77777777">
        <w:trPr>
          <w:cantSplit/>
          <w:jc w:val="center"/>
        </w:trPr>
        <w:tc>
          <w:tcPr>
            <w:tcW w:w="878" w:type="dxa"/>
          </w:tcPr>
          <w:p w14:paraId="44C73DFB" w14:textId="77777777" w:rsidR="0075791A" w:rsidRDefault="00FB2864">
            <w:pPr>
              <w:jc w:val="center"/>
              <w:rPr>
                <w:rFonts w:ascii="宋体" w:hAnsi="宋体" w:cs="宋体"/>
                <w:color w:val="auto"/>
              </w:rPr>
            </w:pPr>
            <w:r>
              <w:rPr>
                <w:rFonts w:ascii="宋体" w:hAnsi="宋体" w:cs="宋体" w:hint="eastAsia"/>
                <w:color w:val="auto"/>
              </w:rPr>
              <w:t>8</w:t>
            </w:r>
          </w:p>
        </w:tc>
        <w:tc>
          <w:tcPr>
            <w:tcW w:w="2220" w:type="dxa"/>
            <w:vAlign w:val="center"/>
          </w:tcPr>
          <w:p w14:paraId="2AA1A74B" w14:textId="77777777" w:rsidR="0075791A" w:rsidRDefault="00FB2864">
            <w:pPr>
              <w:jc w:val="center"/>
              <w:rPr>
                <w:rFonts w:ascii="宋体" w:hAnsi="宋体" w:cs="宋体"/>
                <w:color w:val="auto"/>
              </w:rPr>
            </w:pPr>
            <w:r>
              <w:rPr>
                <w:rFonts w:ascii="宋体" w:hAnsi="宋体" w:cs="宋体" w:hint="eastAsia"/>
                <w:color w:val="auto"/>
              </w:rPr>
              <w:t>0.78</w:t>
            </w:r>
          </w:p>
        </w:tc>
        <w:tc>
          <w:tcPr>
            <w:tcW w:w="1320" w:type="dxa"/>
            <w:vAlign w:val="center"/>
          </w:tcPr>
          <w:p w14:paraId="169BAB4F" w14:textId="77777777" w:rsidR="0075791A" w:rsidRDefault="00FB2864">
            <w:pPr>
              <w:jc w:val="center"/>
              <w:rPr>
                <w:rFonts w:ascii="宋体" w:hAnsi="宋体" w:cs="宋体"/>
                <w:color w:val="auto"/>
              </w:rPr>
            </w:pPr>
            <w:r>
              <w:rPr>
                <w:rFonts w:ascii="宋体" w:hAnsi="宋体" w:hint="eastAsia"/>
                <w:color w:val="auto"/>
              </w:rPr>
              <w:t>5925550</w:t>
            </w:r>
          </w:p>
        </w:tc>
        <w:tc>
          <w:tcPr>
            <w:tcW w:w="1320" w:type="dxa"/>
            <w:vAlign w:val="center"/>
          </w:tcPr>
          <w:p w14:paraId="6D07BEFA" w14:textId="77777777" w:rsidR="0075791A" w:rsidRDefault="00FB2864">
            <w:pPr>
              <w:jc w:val="center"/>
              <w:rPr>
                <w:rFonts w:ascii="宋体" w:hAnsi="宋体" w:cs="宋体"/>
                <w:color w:val="auto"/>
              </w:rPr>
            </w:pPr>
            <w:r>
              <w:rPr>
                <w:rFonts w:ascii="宋体" w:hAnsi="宋体" w:hint="eastAsia"/>
                <w:color w:val="auto"/>
              </w:rPr>
              <w:t>5964710</w:t>
            </w:r>
          </w:p>
        </w:tc>
        <w:tc>
          <w:tcPr>
            <w:tcW w:w="1080" w:type="dxa"/>
            <w:vAlign w:val="center"/>
          </w:tcPr>
          <w:p w14:paraId="5D366F62" w14:textId="77777777" w:rsidR="0075791A" w:rsidRDefault="00FB2864">
            <w:pPr>
              <w:jc w:val="center"/>
              <w:rPr>
                <w:rFonts w:ascii="宋体" w:hAnsi="宋体" w:cs="宋体"/>
                <w:color w:val="auto"/>
              </w:rPr>
            </w:pPr>
            <w:r>
              <w:rPr>
                <w:rFonts w:ascii="宋体" w:hAnsi="宋体" w:hint="eastAsia"/>
                <w:color w:val="auto"/>
              </w:rPr>
              <w:t>39160</w:t>
            </w:r>
          </w:p>
        </w:tc>
        <w:tc>
          <w:tcPr>
            <w:tcW w:w="1058" w:type="dxa"/>
            <w:vAlign w:val="center"/>
          </w:tcPr>
          <w:p w14:paraId="0C5BF878" w14:textId="77777777" w:rsidR="0075791A" w:rsidRDefault="00FB2864">
            <w:pPr>
              <w:jc w:val="center"/>
              <w:rPr>
                <w:rFonts w:ascii="宋体" w:hAnsi="宋体" w:cs="宋体"/>
                <w:color w:val="auto"/>
              </w:rPr>
            </w:pPr>
            <w:r>
              <w:rPr>
                <w:rFonts w:ascii="宋体" w:hAnsi="宋体" w:hint="eastAsia"/>
                <w:color w:val="auto"/>
              </w:rPr>
              <w:t>0.66</w:t>
            </w:r>
          </w:p>
        </w:tc>
      </w:tr>
      <w:tr w:rsidR="0075791A" w14:paraId="1FD077E2" w14:textId="77777777">
        <w:trPr>
          <w:cantSplit/>
          <w:jc w:val="center"/>
        </w:trPr>
        <w:tc>
          <w:tcPr>
            <w:tcW w:w="878" w:type="dxa"/>
          </w:tcPr>
          <w:p w14:paraId="23E1C1B5" w14:textId="77777777" w:rsidR="0075791A" w:rsidRDefault="00FB2864">
            <w:pPr>
              <w:jc w:val="center"/>
              <w:rPr>
                <w:rFonts w:ascii="宋体" w:hAnsi="宋体" w:cs="宋体"/>
                <w:color w:val="auto"/>
              </w:rPr>
            </w:pPr>
            <w:r>
              <w:rPr>
                <w:rFonts w:ascii="宋体" w:hAnsi="宋体" w:cs="宋体" w:hint="eastAsia"/>
                <w:color w:val="auto"/>
              </w:rPr>
              <w:t>9</w:t>
            </w:r>
          </w:p>
        </w:tc>
        <w:tc>
          <w:tcPr>
            <w:tcW w:w="2220" w:type="dxa"/>
            <w:vAlign w:val="center"/>
          </w:tcPr>
          <w:p w14:paraId="26D0FDA5" w14:textId="77777777" w:rsidR="0075791A" w:rsidRDefault="00FB2864">
            <w:pPr>
              <w:jc w:val="center"/>
              <w:rPr>
                <w:rFonts w:ascii="宋体" w:hAnsi="宋体" w:cs="宋体"/>
                <w:color w:val="auto"/>
              </w:rPr>
            </w:pPr>
            <w:r>
              <w:rPr>
                <w:rFonts w:ascii="宋体" w:hAnsi="宋体" w:cs="宋体" w:hint="eastAsia"/>
                <w:color w:val="auto"/>
              </w:rPr>
              <w:t>0.92</w:t>
            </w:r>
          </w:p>
        </w:tc>
        <w:tc>
          <w:tcPr>
            <w:tcW w:w="1320" w:type="dxa"/>
            <w:vAlign w:val="center"/>
          </w:tcPr>
          <w:p w14:paraId="3A9F61F5" w14:textId="77777777" w:rsidR="0075791A" w:rsidRDefault="00FB2864">
            <w:pPr>
              <w:jc w:val="center"/>
              <w:rPr>
                <w:rFonts w:ascii="宋体" w:hAnsi="宋体" w:cs="宋体"/>
                <w:color w:val="auto"/>
              </w:rPr>
            </w:pPr>
            <w:r>
              <w:rPr>
                <w:rFonts w:ascii="宋体" w:hAnsi="宋体" w:hint="eastAsia"/>
                <w:color w:val="auto"/>
              </w:rPr>
              <w:t>7208150</w:t>
            </w:r>
          </w:p>
        </w:tc>
        <w:tc>
          <w:tcPr>
            <w:tcW w:w="1320" w:type="dxa"/>
            <w:vAlign w:val="center"/>
          </w:tcPr>
          <w:p w14:paraId="0F7DC4A1" w14:textId="77777777" w:rsidR="0075791A" w:rsidRDefault="00FB2864">
            <w:pPr>
              <w:jc w:val="center"/>
              <w:rPr>
                <w:rFonts w:ascii="宋体" w:hAnsi="宋体" w:cs="宋体"/>
                <w:color w:val="auto"/>
              </w:rPr>
            </w:pPr>
            <w:r>
              <w:rPr>
                <w:rFonts w:ascii="宋体" w:hAnsi="宋体" w:hint="eastAsia"/>
                <w:color w:val="auto"/>
              </w:rPr>
              <w:t>7261730</w:t>
            </w:r>
          </w:p>
        </w:tc>
        <w:tc>
          <w:tcPr>
            <w:tcW w:w="1080" w:type="dxa"/>
            <w:vAlign w:val="center"/>
          </w:tcPr>
          <w:p w14:paraId="66ED190C" w14:textId="77777777" w:rsidR="0075791A" w:rsidRDefault="00FB2864">
            <w:pPr>
              <w:jc w:val="center"/>
              <w:rPr>
                <w:rFonts w:ascii="宋体" w:hAnsi="宋体" w:cs="宋体"/>
                <w:color w:val="auto"/>
              </w:rPr>
            </w:pPr>
            <w:r>
              <w:rPr>
                <w:rFonts w:ascii="宋体" w:hAnsi="宋体" w:hint="eastAsia"/>
                <w:color w:val="auto"/>
              </w:rPr>
              <w:t>53580</w:t>
            </w:r>
          </w:p>
        </w:tc>
        <w:tc>
          <w:tcPr>
            <w:tcW w:w="1058" w:type="dxa"/>
            <w:vAlign w:val="center"/>
          </w:tcPr>
          <w:p w14:paraId="30E6C2EB" w14:textId="77777777" w:rsidR="0075791A" w:rsidRDefault="00FB2864">
            <w:pPr>
              <w:jc w:val="center"/>
              <w:rPr>
                <w:rFonts w:ascii="宋体" w:hAnsi="宋体" w:cs="宋体"/>
                <w:color w:val="auto"/>
              </w:rPr>
            </w:pPr>
            <w:r>
              <w:rPr>
                <w:rFonts w:ascii="宋体" w:hAnsi="宋体" w:hint="eastAsia"/>
                <w:color w:val="auto"/>
              </w:rPr>
              <w:t>0.74</w:t>
            </w:r>
          </w:p>
        </w:tc>
      </w:tr>
      <w:tr w:rsidR="0075791A" w14:paraId="6C34FCAC" w14:textId="77777777">
        <w:trPr>
          <w:cantSplit/>
          <w:jc w:val="center"/>
        </w:trPr>
        <w:tc>
          <w:tcPr>
            <w:tcW w:w="878" w:type="dxa"/>
          </w:tcPr>
          <w:p w14:paraId="1B93C9A8" w14:textId="77777777" w:rsidR="0075791A" w:rsidRDefault="00FB2864">
            <w:pPr>
              <w:jc w:val="center"/>
              <w:rPr>
                <w:rFonts w:ascii="宋体" w:hAnsi="宋体" w:cs="宋体"/>
                <w:color w:val="auto"/>
              </w:rPr>
            </w:pPr>
            <w:r>
              <w:rPr>
                <w:rFonts w:ascii="宋体" w:hAnsi="宋体" w:cs="宋体" w:hint="eastAsia"/>
                <w:color w:val="auto"/>
              </w:rPr>
              <w:t>10</w:t>
            </w:r>
          </w:p>
        </w:tc>
        <w:tc>
          <w:tcPr>
            <w:tcW w:w="2220" w:type="dxa"/>
            <w:vAlign w:val="center"/>
          </w:tcPr>
          <w:p w14:paraId="0FAC007C" w14:textId="77777777" w:rsidR="0075791A" w:rsidRDefault="00FB2864">
            <w:pPr>
              <w:jc w:val="center"/>
              <w:rPr>
                <w:rFonts w:ascii="宋体" w:hAnsi="宋体" w:cs="宋体"/>
                <w:color w:val="auto"/>
              </w:rPr>
            </w:pPr>
            <w:r>
              <w:rPr>
                <w:rFonts w:ascii="宋体" w:hAnsi="宋体" w:cs="宋体" w:hint="eastAsia"/>
                <w:color w:val="auto"/>
              </w:rPr>
              <w:t>1.08</w:t>
            </w:r>
          </w:p>
        </w:tc>
        <w:tc>
          <w:tcPr>
            <w:tcW w:w="1320" w:type="dxa"/>
            <w:vAlign w:val="center"/>
          </w:tcPr>
          <w:p w14:paraId="549B4F57" w14:textId="77777777" w:rsidR="0075791A" w:rsidRDefault="00FB2864">
            <w:pPr>
              <w:jc w:val="center"/>
              <w:rPr>
                <w:rFonts w:ascii="宋体" w:hAnsi="宋体" w:cs="宋体"/>
                <w:color w:val="auto"/>
              </w:rPr>
            </w:pPr>
            <w:r>
              <w:rPr>
                <w:rFonts w:ascii="宋体" w:hAnsi="宋体" w:hint="eastAsia"/>
                <w:color w:val="auto"/>
              </w:rPr>
              <w:t>8564470</w:t>
            </w:r>
          </w:p>
        </w:tc>
        <w:tc>
          <w:tcPr>
            <w:tcW w:w="1320" w:type="dxa"/>
            <w:vAlign w:val="center"/>
          </w:tcPr>
          <w:p w14:paraId="653FA295" w14:textId="77777777" w:rsidR="0075791A" w:rsidRDefault="00FB2864">
            <w:pPr>
              <w:jc w:val="center"/>
              <w:rPr>
                <w:rFonts w:ascii="宋体" w:hAnsi="宋体" w:cs="宋体"/>
                <w:color w:val="auto"/>
              </w:rPr>
            </w:pPr>
            <w:r>
              <w:rPr>
                <w:rFonts w:ascii="宋体" w:hAnsi="宋体" w:hint="eastAsia"/>
                <w:color w:val="auto"/>
              </w:rPr>
              <w:t>8607640</w:t>
            </w:r>
          </w:p>
        </w:tc>
        <w:tc>
          <w:tcPr>
            <w:tcW w:w="1080" w:type="dxa"/>
            <w:vAlign w:val="center"/>
          </w:tcPr>
          <w:p w14:paraId="554D1022" w14:textId="77777777" w:rsidR="0075791A" w:rsidRDefault="00FB2864">
            <w:pPr>
              <w:jc w:val="center"/>
              <w:rPr>
                <w:rFonts w:ascii="宋体" w:hAnsi="宋体" w:cs="宋体"/>
                <w:color w:val="auto"/>
              </w:rPr>
            </w:pPr>
            <w:r>
              <w:rPr>
                <w:rFonts w:ascii="宋体" w:hAnsi="宋体" w:hint="eastAsia"/>
                <w:color w:val="auto"/>
              </w:rPr>
              <w:t>43170</w:t>
            </w:r>
          </w:p>
        </w:tc>
        <w:tc>
          <w:tcPr>
            <w:tcW w:w="1058" w:type="dxa"/>
            <w:vAlign w:val="center"/>
          </w:tcPr>
          <w:p w14:paraId="0870D8AC" w14:textId="77777777" w:rsidR="0075791A" w:rsidRDefault="00FB2864">
            <w:pPr>
              <w:jc w:val="center"/>
              <w:rPr>
                <w:rFonts w:ascii="宋体" w:hAnsi="宋体" w:cs="宋体"/>
                <w:color w:val="auto"/>
              </w:rPr>
            </w:pPr>
            <w:r>
              <w:rPr>
                <w:rFonts w:ascii="宋体" w:hAnsi="宋体" w:hint="eastAsia"/>
                <w:color w:val="auto"/>
              </w:rPr>
              <w:t>0.50</w:t>
            </w:r>
          </w:p>
        </w:tc>
      </w:tr>
      <w:tr w:rsidR="0075791A" w14:paraId="281ACB7F" w14:textId="77777777">
        <w:trPr>
          <w:cantSplit/>
          <w:jc w:val="center"/>
        </w:trPr>
        <w:tc>
          <w:tcPr>
            <w:tcW w:w="878" w:type="dxa"/>
          </w:tcPr>
          <w:p w14:paraId="47CE498C" w14:textId="77777777" w:rsidR="0075791A" w:rsidRDefault="00FB2864">
            <w:pPr>
              <w:jc w:val="center"/>
              <w:rPr>
                <w:rFonts w:ascii="宋体" w:hAnsi="宋体" w:cs="宋体"/>
                <w:color w:val="auto"/>
              </w:rPr>
            </w:pPr>
            <w:r>
              <w:rPr>
                <w:rFonts w:ascii="宋体" w:hAnsi="宋体" w:cs="宋体" w:hint="eastAsia"/>
                <w:color w:val="auto"/>
              </w:rPr>
              <w:t>11</w:t>
            </w:r>
          </w:p>
        </w:tc>
        <w:tc>
          <w:tcPr>
            <w:tcW w:w="2220" w:type="dxa"/>
            <w:vAlign w:val="center"/>
          </w:tcPr>
          <w:p w14:paraId="4FE84B76" w14:textId="77777777" w:rsidR="0075791A" w:rsidRDefault="00FB2864">
            <w:pPr>
              <w:jc w:val="center"/>
              <w:rPr>
                <w:rFonts w:ascii="宋体" w:hAnsi="宋体" w:cs="宋体"/>
                <w:color w:val="auto"/>
              </w:rPr>
            </w:pPr>
            <w:r>
              <w:rPr>
                <w:rFonts w:ascii="宋体" w:hAnsi="宋体" w:cs="宋体" w:hint="eastAsia"/>
                <w:color w:val="auto"/>
              </w:rPr>
              <w:t>1.23</w:t>
            </w:r>
          </w:p>
        </w:tc>
        <w:tc>
          <w:tcPr>
            <w:tcW w:w="1320" w:type="dxa"/>
            <w:vAlign w:val="center"/>
          </w:tcPr>
          <w:p w14:paraId="1DA3D246" w14:textId="77777777" w:rsidR="0075791A" w:rsidRDefault="00FB2864">
            <w:pPr>
              <w:jc w:val="center"/>
              <w:rPr>
                <w:rFonts w:ascii="宋体" w:hAnsi="宋体" w:cs="宋体"/>
                <w:color w:val="auto"/>
              </w:rPr>
            </w:pPr>
            <w:r>
              <w:rPr>
                <w:rFonts w:ascii="宋体" w:hAnsi="宋体" w:hint="eastAsia"/>
                <w:color w:val="auto"/>
              </w:rPr>
              <w:t>9718600</w:t>
            </w:r>
          </w:p>
        </w:tc>
        <w:tc>
          <w:tcPr>
            <w:tcW w:w="1320" w:type="dxa"/>
            <w:vAlign w:val="center"/>
          </w:tcPr>
          <w:p w14:paraId="30C68A31" w14:textId="77777777" w:rsidR="0075791A" w:rsidRDefault="00FB2864">
            <w:pPr>
              <w:jc w:val="center"/>
              <w:rPr>
                <w:rFonts w:ascii="宋体" w:hAnsi="宋体" w:cs="宋体"/>
                <w:color w:val="auto"/>
              </w:rPr>
            </w:pPr>
            <w:r>
              <w:rPr>
                <w:rFonts w:ascii="宋体" w:hAnsi="宋体" w:hint="eastAsia"/>
                <w:color w:val="auto"/>
              </w:rPr>
              <w:t>9746300</w:t>
            </w:r>
          </w:p>
        </w:tc>
        <w:tc>
          <w:tcPr>
            <w:tcW w:w="1080" w:type="dxa"/>
            <w:vAlign w:val="center"/>
          </w:tcPr>
          <w:p w14:paraId="4BB04D92" w14:textId="77777777" w:rsidR="0075791A" w:rsidRDefault="00FB2864">
            <w:pPr>
              <w:jc w:val="center"/>
              <w:rPr>
                <w:rFonts w:ascii="宋体" w:hAnsi="宋体" w:cs="宋体"/>
                <w:color w:val="auto"/>
              </w:rPr>
            </w:pPr>
            <w:r>
              <w:rPr>
                <w:rFonts w:ascii="宋体" w:hAnsi="宋体" w:hint="eastAsia"/>
                <w:color w:val="auto"/>
              </w:rPr>
              <w:t>27700</w:t>
            </w:r>
          </w:p>
        </w:tc>
        <w:tc>
          <w:tcPr>
            <w:tcW w:w="1058" w:type="dxa"/>
            <w:vAlign w:val="center"/>
          </w:tcPr>
          <w:p w14:paraId="459CB6BA" w14:textId="77777777" w:rsidR="0075791A" w:rsidRDefault="00FB2864">
            <w:pPr>
              <w:jc w:val="center"/>
              <w:rPr>
                <w:rFonts w:ascii="宋体" w:hAnsi="宋体" w:cs="宋体"/>
                <w:color w:val="auto"/>
              </w:rPr>
            </w:pPr>
            <w:r>
              <w:rPr>
                <w:rFonts w:ascii="宋体" w:hAnsi="宋体" w:hint="eastAsia"/>
                <w:color w:val="auto"/>
              </w:rPr>
              <w:t>0.29</w:t>
            </w:r>
          </w:p>
        </w:tc>
      </w:tr>
      <w:tr w:rsidR="0075791A" w14:paraId="56D2F588" w14:textId="77777777">
        <w:trPr>
          <w:cantSplit/>
          <w:jc w:val="center"/>
        </w:trPr>
        <w:tc>
          <w:tcPr>
            <w:tcW w:w="878" w:type="dxa"/>
          </w:tcPr>
          <w:p w14:paraId="26FD9D62" w14:textId="77777777" w:rsidR="0075791A" w:rsidRDefault="00FB2864">
            <w:pPr>
              <w:jc w:val="center"/>
              <w:rPr>
                <w:rFonts w:ascii="宋体" w:hAnsi="宋体" w:cs="宋体"/>
                <w:color w:val="auto"/>
              </w:rPr>
            </w:pPr>
            <w:r>
              <w:rPr>
                <w:rFonts w:ascii="宋体" w:hAnsi="宋体" w:cs="宋体" w:hint="eastAsia"/>
                <w:color w:val="auto"/>
              </w:rPr>
              <w:t>12</w:t>
            </w:r>
          </w:p>
        </w:tc>
        <w:tc>
          <w:tcPr>
            <w:tcW w:w="2220" w:type="dxa"/>
            <w:vAlign w:val="center"/>
          </w:tcPr>
          <w:p w14:paraId="6A8B6EB3" w14:textId="77777777" w:rsidR="0075791A" w:rsidRDefault="00FB2864">
            <w:pPr>
              <w:jc w:val="center"/>
              <w:rPr>
                <w:rFonts w:ascii="宋体" w:hAnsi="宋体" w:cs="宋体"/>
                <w:color w:val="auto"/>
              </w:rPr>
            </w:pPr>
            <w:r>
              <w:rPr>
                <w:rFonts w:ascii="宋体" w:hAnsi="宋体" w:cs="宋体" w:hint="eastAsia"/>
                <w:color w:val="auto"/>
              </w:rPr>
              <w:t>1.32</w:t>
            </w:r>
          </w:p>
        </w:tc>
        <w:tc>
          <w:tcPr>
            <w:tcW w:w="1320" w:type="dxa"/>
            <w:vAlign w:val="center"/>
          </w:tcPr>
          <w:p w14:paraId="0222A86A" w14:textId="77777777" w:rsidR="0075791A" w:rsidRDefault="00FB2864">
            <w:pPr>
              <w:jc w:val="center"/>
              <w:rPr>
                <w:rFonts w:ascii="宋体" w:hAnsi="宋体" w:cs="宋体"/>
                <w:color w:val="auto"/>
              </w:rPr>
            </w:pPr>
            <w:r>
              <w:rPr>
                <w:rFonts w:ascii="宋体" w:hAnsi="宋体" w:hint="eastAsia"/>
                <w:color w:val="auto"/>
              </w:rPr>
              <w:t>10575490</w:t>
            </w:r>
          </w:p>
        </w:tc>
        <w:tc>
          <w:tcPr>
            <w:tcW w:w="1320" w:type="dxa"/>
            <w:vAlign w:val="center"/>
          </w:tcPr>
          <w:p w14:paraId="06A3A6C1" w14:textId="77777777" w:rsidR="0075791A" w:rsidRDefault="00FB2864">
            <w:pPr>
              <w:jc w:val="center"/>
              <w:rPr>
                <w:rFonts w:ascii="宋体" w:hAnsi="宋体" w:cs="宋体"/>
                <w:color w:val="auto"/>
              </w:rPr>
            </w:pPr>
            <w:r>
              <w:rPr>
                <w:rFonts w:ascii="宋体" w:hAnsi="宋体" w:hint="eastAsia"/>
                <w:color w:val="auto"/>
              </w:rPr>
              <w:t>10622990</w:t>
            </w:r>
          </w:p>
        </w:tc>
        <w:tc>
          <w:tcPr>
            <w:tcW w:w="1080" w:type="dxa"/>
            <w:vAlign w:val="center"/>
          </w:tcPr>
          <w:p w14:paraId="4F40EF17" w14:textId="77777777" w:rsidR="0075791A" w:rsidRDefault="00FB2864">
            <w:pPr>
              <w:jc w:val="center"/>
              <w:rPr>
                <w:rFonts w:ascii="宋体" w:hAnsi="宋体" w:cs="宋体"/>
                <w:color w:val="auto"/>
              </w:rPr>
            </w:pPr>
            <w:r>
              <w:rPr>
                <w:rFonts w:ascii="宋体" w:hAnsi="宋体" w:hint="eastAsia"/>
                <w:color w:val="auto"/>
              </w:rPr>
              <w:t>47500</w:t>
            </w:r>
          </w:p>
        </w:tc>
        <w:tc>
          <w:tcPr>
            <w:tcW w:w="1058" w:type="dxa"/>
            <w:vAlign w:val="center"/>
          </w:tcPr>
          <w:p w14:paraId="09211FF0" w14:textId="77777777" w:rsidR="0075791A" w:rsidRDefault="00FB2864">
            <w:pPr>
              <w:jc w:val="center"/>
              <w:rPr>
                <w:rFonts w:ascii="宋体" w:hAnsi="宋体" w:cs="宋体"/>
                <w:color w:val="auto"/>
              </w:rPr>
            </w:pPr>
            <w:r>
              <w:rPr>
                <w:rFonts w:ascii="宋体" w:hAnsi="宋体" w:hint="eastAsia"/>
                <w:color w:val="auto"/>
              </w:rPr>
              <w:t>0.45</w:t>
            </w:r>
          </w:p>
        </w:tc>
      </w:tr>
      <w:tr w:rsidR="0075791A" w14:paraId="7644BE03" w14:textId="77777777">
        <w:trPr>
          <w:cantSplit/>
          <w:jc w:val="center"/>
        </w:trPr>
        <w:tc>
          <w:tcPr>
            <w:tcW w:w="878" w:type="dxa"/>
          </w:tcPr>
          <w:p w14:paraId="762236D9" w14:textId="77777777" w:rsidR="0075791A" w:rsidRDefault="00FB2864">
            <w:pPr>
              <w:jc w:val="center"/>
              <w:rPr>
                <w:rFonts w:ascii="宋体" w:hAnsi="宋体" w:cs="宋体"/>
                <w:color w:val="auto"/>
              </w:rPr>
            </w:pPr>
            <w:r>
              <w:rPr>
                <w:rFonts w:ascii="宋体" w:hAnsi="宋体" w:cs="宋体" w:hint="eastAsia"/>
                <w:color w:val="auto"/>
              </w:rPr>
              <w:t>13</w:t>
            </w:r>
          </w:p>
        </w:tc>
        <w:tc>
          <w:tcPr>
            <w:tcW w:w="2220" w:type="dxa"/>
            <w:vAlign w:val="center"/>
          </w:tcPr>
          <w:p w14:paraId="199F17DF" w14:textId="77777777" w:rsidR="0075791A" w:rsidRDefault="00FB2864">
            <w:pPr>
              <w:jc w:val="center"/>
              <w:rPr>
                <w:rFonts w:ascii="宋体" w:hAnsi="宋体" w:cs="宋体"/>
                <w:color w:val="auto"/>
              </w:rPr>
            </w:pPr>
            <w:r>
              <w:rPr>
                <w:rFonts w:ascii="宋体" w:hAnsi="宋体" w:cs="宋体" w:hint="eastAsia"/>
                <w:color w:val="auto"/>
              </w:rPr>
              <w:t>1.38</w:t>
            </w:r>
          </w:p>
        </w:tc>
        <w:tc>
          <w:tcPr>
            <w:tcW w:w="1320" w:type="dxa"/>
            <w:vAlign w:val="center"/>
          </w:tcPr>
          <w:p w14:paraId="0763955D" w14:textId="77777777" w:rsidR="0075791A" w:rsidRDefault="00FB2864">
            <w:pPr>
              <w:jc w:val="center"/>
              <w:rPr>
                <w:rFonts w:ascii="宋体" w:hAnsi="宋体" w:cs="宋体"/>
                <w:color w:val="auto"/>
              </w:rPr>
            </w:pPr>
            <w:r>
              <w:rPr>
                <w:rFonts w:ascii="宋体" w:hAnsi="宋体" w:hint="eastAsia"/>
                <w:color w:val="auto"/>
              </w:rPr>
              <w:t>11087160</w:t>
            </w:r>
          </w:p>
        </w:tc>
        <w:tc>
          <w:tcPr>
            <w:tcW w:w="1320" w:type="dxa"/>
            <w:vAlign w:val="center"/>
          </w:tcPr>
          <w:p w14:paraId="1265D1FA" w14:textId="77777777" w:rsidR="0075791A" w:rsidRDefault="00FB2864">
            <w:pPr>
              <w:jc w:val="center"/>
              <w:rPr>
                <w:rFonts w:ascii="宋体" w:hAnsi="宋体" w:cs="宋体"/>
                <w:color w:val="auto"/>
              </w:rPr>
            </w:pPr>
            <w:r>
              <w:rPr>
                <w:rFonts w:ascii="宋体" w:hAnsi="宋体" w:hint="eastAsia"/>
                <w:color w:val="auto"/>
              </w:rPr>
              <w:t>11128280</w:t>
            </w:r>
          </w:p>
        </w:tc>
        <w:tc>
          <w:tcPr>
            <w:tcW w:w="1080" w:type="dxa"/>
            <w:vAlign w:val="center"/>
          </w:tcPr>
          <w:p w14:paraId="67351858" w14:textId="77777777" w:rsidR="0075791A" w:rsidRDefault="00FB2864">
            <w:pPr>
              <w:jc w:val="center"/>
              <w:rPr>
                <w:rFonts w:ascii="宋体" w:hAnsi="宋体" w:cs="宋体"/>
                <w:color w:val="auto"/>
              </w:rPr>
            </w:pPr>
            <w:r>
              <w:rPr>
                <w:rFonts w:ascii="宋体" w:hAnsi="宋体" w:hint="eastAsia"/>
                <w:color w:val="auto"/>
              </w:rPr>
              <w:t>41120</w:t>
            </w:r>
          </w:p>
        </w:tc>
        <w:tc>
          <w:tcPr>
            <w:tcW w:w="1058" w:type="dxa"/>
            <w:vAlign w:val="center"/>
          </w:tcPr>
          <w:p w14:paraId="7AF3CE78" w14:textId="77777777" w:rsidR="0075791A" w:rsidRDefault="00FB2864">
            <w:pPr>
              <w:jc w:val="center"/>
              <w:rPr>
                <w:rFonts w:ascii="宋体" w:hAnsi="宋体" w:cs="宋体"/>
                <w:color w:val="auto"/>
              </w:rPr>
            </w:pPr>
            <w:r>
              <w:rPr>
                <w:rFonts w:ascii="宋体" w:hAnsi="宋体" w:hint="eastAsia"/>
                <w:color w:val="auto"/>
              </w:rPr>
              <w:t>0.37</w:t>
            </w:r>
          </w:p>
        </w:tc>
      </w:tr>
      <w:tr w:rsidR="0075791A" w14:paraId="25EA7065" w14:textId="77777777">
        <w:trPr>
          <w:cantSplit/>
          <w:jc w:val="center"/>
        </w:trPr>
        <w:tc>
          <w:tcPr>
            <w:tcW w:w="878" w:type="dxa"/>
          </w:tcPr>
          <w:p w14:paraId="463A7300" w14:textId="77777777" w:rsidR="0075791A" w:rsidRDefault="00FB2864">
            <w:pPr>
              <w:jc w:val="center"/>
              <w:rPr>
                <w:rFonts w:ascii="宋体" w:hAnsi="宋体" w:cs="宋体"/>
                <w:color w:val="auto"/>
              </w:rPr>
            </w:pPr>
            <w:r>
              <w:rPr>
                <w:rFonts w:ascii="宋体" w:hAnsi="宋体" w:cs="宋体" w:hint="eastAsia"/>
                <w:color w:val="auto"/>
              </w:rPr>
              <w:t>14</w:t>
            </w:r>
          </w:p>
        </w:tc>
        <w:tc>
          <w:tcPr>
            <w:tcW w:w="2220" w:type="dxa"/>
            <w:vAlign w:val="center"/>
          </w:tcPr>
          <w:p w14:paraId="4B5A8EDB" w14:textId="77777777" w:rsidR="0075791A" w:rsidRDefault="00FB2864">
            <w:pPr>
              <w:jc w:val="center"/>
              <w:rPr>
                <w:rFonts w:ascii="宋体" w:hAnsi="宋体" w:cs="宋体"/>
                <w:color w:val="auto"/>
              </w:rPr>
            </w:pPr>
            <w:r>
              <w:rPr>
                <w:rFonts w:ascii="宋体" w:hAnsi="宋体" w:cs="宋体" w:hint="eastAsia"/>
                <w:color w:val="auto"/>
              </w:rPr>
              <w:t>1.39</w:t>
            </w:r>
          </w:p>
        </w:tc>
        <w:tc>
          <w:tcPr>
            <w:tcW w:w="1320" w:type="dxa"/>
            <w:vAlign w:val="center"/>
          </w:tcPr>
          <w:p w14:paraId="6C2748D0" w14:textId="77777777" w:rsidR="0075791A" w:rsidRDefault="00FB2864">
            <w:pPr>
              <w:jc w:val="center"/>
              <w:rPr>
                <w:rFonts w:ascii="宋体" w:hAnsi="宋体" w:cs="宋体"/>
                <w:color w:val="auto"/>
              </w:rPr>
            </w:pPr>
            <w:r>
              <w:rPr>
                <w:rFonts w:ascii="宋体" w:hAnsi="宋体" w:hint="eastAsia"/>
                <w:color w:val="auto"/>
              </w:rPr>
              <w:t>11140410</w:t>
            </w:r>
          </w:p>
        </w:tc>
        <w:tc>
          <w:tcPr>
            <w:tcW w:w="1320" w:type="dxa"/>
            <w:vAlign w:val="center"/>
          </w:tcPr>
          <w:p w14:paraId="3A214AED" w14:textId="77777777" w:rsidR="0075791A" w:rsidRDefault="00FB2864">
            <w:pPr>
              <w:jc w:val="center"/>
              <w:rPr>
                <w:rFonts w:ascii="宋体" w:hAnsi="宋体" w:cs="宋体"/>
                <w:color w:val="auto"/>
              </w:rPr>
            </w:pPr>
            <w:r>
              <w:rPr>
                <w:rFonts w:ascii="宋体" w:hAnsi="宋体" w:hint="eastAsia"/>
                <w:color w:val="auto"/>
              </w:rPr>
              <w:t>11181740</w:t>
            </w:r>
          </w:p>
        </w:tc>
        <w:tc>
          <w:tcPr>
            <w:tcW w:w="1080" w:type="dxa"/>
            <w:vAlign w:val="center"/>
          </w:tcPr>
          <w:p w14:paraId="2A442736" w14:textId="77777777" w:rsidR="0075791A" w:rsidRDefault="00FB2864">
            <w:pPr>
              <w:jc w:val="center"/>
              <w:rPr>
                <w:rFonts w:ascii="宋体" w:hAnsi="宋体" w:cs="宋体"/>
                <w:color w:val="auto"/>
              </w:rPr>
            </w:pPr>
            <w:r>
              <w:rPr>
                <w:rFonts w:ascii="宋体" w:hAnsi="宋体" w:hint="eastAsia"/>
                <w:color w:val="auto"/>
              </w:rPr>
              <w:t>41330</w:t>
            </w:r>
          </w:p>
        </w:tc>
        <w:tc>
          <w:tcPr>
            <w:tcW w:w="1058" w:type="dxa"/>
            <w:vAlign w:val="center"/>
          </w:tcPr>
          <w:p w14:paraId="13A1168A" w14:textId="77777777" w:rsidR="0075791A" w:rsidRDefault="00FB2864">
            <w:pPr>
              <w:jc w:val="center"/>
              <w:rPr>
                <w:rFonts w:ascii="宋体" w:hAnsi="宋体" w:cs="宋体"/>
                <w:color w:val="auto"/>
              </w:rPr>
            </w:pPr>
            <w:r>
              <w:rPr>
                <w:rFonts w:ascii="宋体" w:hAnsi="宋体" w:hint="eastAsia"/>
                <w:color w:val="auto"/>
              </w:rPr>
              <w:t>0.37</w:t>
            </w:r>
          </w:p>
        </w:tc>
      </w:tr>
      <w:tr w:rsidR="0075791A" w14:paraId="7FD37468" w14:textId="77777777">
        <w:trPr>
          <w:cantSplit/>
          <w:jc w:val="center"/>
        </w:trPr>
        <w:tc>
          <w:tcPr>
            <w:tcW w:w="878" w:type="dxa"/>
          </w:tcPr>
          <w:p w14:paraId="2DE69860" w14:textId="77777777" w:rsidR="0075791A" w:rsidRDefault="00FB2864">
            <w:pPr>
              <w:jc w:val="center"/>
              <w:rPr>
                <w:rFonts w:ascii="宋体" w:hAnsi="宋体" w:cs="宋体"/>
                <w:color w:val="auto"/>
              </w:rPr>
            </w:pPr>
            <w:r>
              <w:rPr>
                <w:rFonts w:ascii="宋体" w:hAnsi="宋体" w:cs="宋体" w:hint="eastAsia"/>
                <w:color w:val="auto"/>
              </w:rPr>
              <w:t>15</w:t>
            </w:r>
          </w:p>
        </w:tc>
        <w:tc>
          <w:tcPr>
            <w:tcW w:w="2220" w:type="dxa"/>
            <w:vAlign w:val="center"/>
          </w:tcPr>
          <w:p w14:paraId="027071DF" w14:textId="77777777" w:rsidR="0075791A" w:rsidRDefault="00FB2864">
            <w:pPr>
              <w:jc w:val="center"/>
              <w:rPr>
                <w:rFonts w:ascii="宋体" w:hAnsi="宋体" w:cs="宋体"/>
                <w:color w:val="auto"/>
              </w:rPr>
            </w:pPr>
            <w:r>
              <w:rPr>
                <w:rFonts w:ascii="宋体" w:hAnsi="宋体" w:cs="宋体" w:hint="eastAsia"/>
                <w:color w:val="auto"/>
              </w:rPr>
              <w:t>1.36</w:t>
            </w:r>
          </w:p>
        </w:tc>
        <w:tc>
          <w:tcPr>
            <w:tcW w:w="1320" w:type="dxa"/>
            <w:vAlign w:val="center"/>
          </w:tcPr>
          <w:p w14:paraId="2ECD2711" w14:textId="77777777" w:rsidR="0075791A" w:rsidRDefault="00FB2864">
            <w:pPr>
              <w:jc w:val="center"/>
              <w:rPr>
                <w:rFonts w:ascii="宋体" w:hAnsi="宋体" w:cs="宋体"/>
                <w:color w:val="auto"/>
              </w:rPr>
            </w:pPr>
            <w:r>
              <w:rPr>
                <w:rFonts w:ascii="宋体" w:hAnsi="宋体" w:hint="eastAsia"/>
                <w:color w:val="auto"/>
              </w:rPr>
              <w:t>10930660</w:t>
            </w:r>
          </w:p>
        </w:tc>
        <w:tc>
          <w:tcPr>
            <w:tcW w:w="1320" w:type="dxa"/>
            <w:vAlign w:val="center"/>
          </w:tcPr>
          <w:p w14:paraId="0F6093B8" w14:textId="77777777" w:rsidR="0075791A" w:rsidRDefault="00FB2864">
            <w:pPr>
              <w:jc w:val="center"/>
              <w:rPr>
                <w:rFonts w:ascii="宋体" w:hAnsi="宋体" w:cs="宋体"/>
                <w:color w:val="auto"/>
              </w:rPr>
            </w:pPr>
            <w:r>
              <w:rPr>
                <w:rFonts w:ascii="宋体" w:hAnsi="宋体" w:hint="eastAsia"/>
                <w:color w:val="auto"/>
              </w:rPr>
              <w:t>10985140</w:t>
            </w:r>
          </w:p>
        </w:tc>
        <w:tc>
          <w:tcPr>
            <w:tcW w:w="1080" w:type="dxa"/>
            <w:vAlign w:val="center"/>
          </w:tcPr>
          <w:p w14:paraId="070FAA7A" w14:textId="77777777" w:rsidR="0075791A" w:rsidRDefault="00FB2864">
            <w:pPr>
              <w:jc w:val="center"/>
              <w:rPr>
                <w:rFonts w:ascii="宋体" w:hAnsi="宋体" w:cs="宋体"/>
                <w:color w:val="auto"/>
              </w:rPr>
            </w:pPr>
            <w:r>
              <w:rPr>
                <w:rFonts w:ascii="宋体" w:hAnsi="宋体" w:hint="eastAsia"/>
                <w:color w:val="auto"/>
              </w:rPr>
              <w:t>54480</w:t>
            </w:r>
          </w:p>
        </w:tc>
        <w:tc>
          <w:tcPr>
            <w:tcW w:w="1058" w:type="dxa"/>
            <w:vAlign w:val="center"/>
          </w:tcPr>
          <w:p w14:paraId="7F0BB95F" w14:textId="77777777" w:rsidR="0075791A" w:rsidRDefault="00FB2864">
            <w:pPr>
              <w:jc w:val="center"/>
              <w:rPr>
                <w:rFonts w:ascii="宋体" w:hAnsi="宋体" w:cs="宋体"/>
                <w:color w:val="auto"/>
              </w:rPr>
            </w:pPr>
            <w:r>
              <w:rPr>
                <w:rFonts w:ascii="宋体" w:hAnsi="宋体" w:hint="eastAsia"/>
                <w:color w:val="auto"/>
              </w:rPr>
              <w:t>0.50</w:t>
            </w:r>
          </w:p>
        </w:tc>
      </w:tr>
      <w:tr w:rsidR="0075791A" w14:paraId="7D2F4327" w14:textId="77777777">
        <w:trPr>
          <w:cantSplit/>
          <w:jc w:val="center"/>
        </w:trPr>
        <w:tc>
          <w:tcPr>
            <w:tcW w:w="3098" w:type="dxa"/>
            <w:gridSpan w:val="2"/>
          </w:tcPr>
          <w:p w14:paraId="6E25C692" w14:textId="77777777" w:rsidR="0075791A" w:rsidRDefault="00FB2864">
            <w:pPr>
              <w:jc w:val="center"/>
              <w:rPr>
                <w:rFonts w:ascii="宋体" w:hAnsi="宋体" w:cs="宋体"/>
                <w:b/>
                <w:color w:val="auto"/>
              </w:rPr>
            </w:pPr>
            <w:bookmarkStart w:id="223" w:name="_Hlk357585089"/>
            <w:r>
              <w:rPr>
                <w:rFonts w:ascii="宋体" w:hAnsi="宋体" w:cs="宋体" w:hint="eastAsia"/>
                <w:b/>
                <w:color w:val="auto"/>
              </w:rPr>
              <w:t>平均值</w:t>
            </w:r>
          </w:p>
        </w:tc>
        <w:tc>
          <w:tcPr>
            <w:tcW w:w="1320" w:type="dxa"/>
            <w:vAlign w:val="center"/>
          </w:tcPr>
          <w:p w14:paraId="3A3FB491" w14:textId="77777777" w:rsidR="0075791A" w:rsidRDefault="00FB2864">
            <w:pPr>
              <w:jc w:val="center"/>
              <w:rPr>
                <w:rFonts w:ascii="宋体" w:hAnsi="宋体" w:cs="宋体"/>
                <w:b/>
                <w:color w:val="auto"/>
                <w:sz w:val="22"/>
                <w:szCs w:val="22"/>
              </w:rPr>
            </w:pPr>
            <w:r>
              <w:rPr>
                <w:rFonts w:hint="eastAsia"/>
                <w:b/>
                <w:color w:val="auto"/>
                <w:sz w:val="22"/>
                <w:szCs w:val="22"/>
              </w:rPr>
              <w:t>9115533</w:t>
            </w:r>
          </w:p>
        </w:tc>
        <w:tc>
          <w:tcPr>
            <w:tcW w:w="1320" w:type="dxa"/>
            <w:vAlign w:val="center"/>
          </w:tcPr>
          <w:p w14:paraId="38FEFD50" w14:textId="77777777" w:rsidR="0075791A" w:rsidRDefault="00FB2864">
            <w:pPr>
              <w:jc w:val="center"/>
              <w:rPr>
                <w:rFonts w:ascii="宋体" w:hAnsi="宋体" w:cs="宋体"/>
                <w:b/>
                <w:color w:val="auto"/>
                <w:sz w:val="22"/>
                <w:szCs w:val="22"/>
              </w:rPr>
            </w:pPr>
            <w:r>
              <w:rPr>
                <w:rFonts w:hint="eastAsia"/>
                <w:b/>
                <w:color w:val="auto"/>
                <w:sz w:val="22"/>
                <w:szCs w:val="22"/>
              </w:rPr>
              <w:t>9157166</w:t>
            </w:r>
          </w:p>
        </w:tc>
        <w:tc>
          <w:tcPr>
            <w:tcW w:w="1080" w:type="dxa"/>
            <w:vAlign w:val="center"/>
          </w:tcPr>
          <w:p w14:paraId="2948A95A" w14:textId="77777777" w:rsidR="0075791A" w:rsidRDefault="00FB2864">
            <w:pPr>
              <w:jc w:val="center"/>
              <w:rPr>
                <w:rFonts w:ascii="宋体" w:hAnsi="宋体" w:cs="宋体"/>
                <w:b/>
                <w:color w:val="auto"/>
                <w:sz w:val="22"/>
                <w:szCs w:val="22"/>
              </w:rPr>
            </w:pPr>
            <w:r>
              <w:rPr>
                <w:rFonts w:hint="eastAsia"/>
                <w:b/>
                <w:color w:val="auto"/>
                <w:sz w:val="22"/>
                <w:szCs w:val="22"/>
              </w:rPr>
              <w:t>41633</w:t>
            </w:r>
          </w:p>
        </w:tc>
        <w:tc>
          <w:tcPr>
            <w:tcW w:w="1058" w:type="dxa"/>
            <w:vAlign w:val="center"/>
          </w:tcPr>
          <w:p w14:paraId="63959984" w14:textId="77777777" w:rsidR="0075791A" w:rsidRDefault="00FB2864">
            <w:pPr>
              <w:jc w:val="center"/>
              <w:rPr>
                <w:rFonts w:ascii="宋体" w:hAnsi="宋体" w:cs="宋体"/>
                <w:b/>
                <w:color w:val="auto"/>
                <w:sz w:val="22"/>
                <w:szCs w:val="22"/>
              </w:rPr>
            </w:pPr>
            <w:r>
              <w:rPr>
                <w:rFonts w:hint="eastAsia"/>
                <w:b/>
                <w:color w:val="auto"/>
                <w:sz w:val="22"/>
                <w:szCs w:val="22"/>
              </w:rPr>
              <w:t>0.47</w:t>
            </w:r>
          </w:p>
        </w:tc>
      </w:tr>
      <w:bookmarkEnd w:id="223"/>
    </w:tbl>
    <w:p w14:paraId="19302615" w14:textId="77777777" w:rsidR="0075791A" w:rsidRDefault="0075791A">
      <w:pPr>
        <w:rPr>
          <w:color w:val="auto"/>
        </w:rPr>
      </w:pPr>
    </w:p>
    <w:p w14:paraId="6731B14B" w14:textId="77777777" w:rsidR="0075791A" w:rsidRDefault="00FB2864">
      <w:pPr>
        <w:jc w:val="center"/>
        <w:rPr>
          <w:color w:val="auto"/>
        </w:rPr>
      </w:pPr>
      <w:r>
        <w:rPr>
          <w:noProof/>
          <w:color w:val="auto"/>
        </w:rPr>
        <w:drawing>
          <wp:inline distT="0" distB="0" distL="114300" distR="114300" wp14:anchorId="2BFC8FE4" wp14:editId="1328EB4F">
            <wp:extent cx="5258435" cy="3599815"/>
            <wp:effectExtent l="0" t="0" r="14605" b="12065"/>
            <wp:docPr id="16"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0"/>
                    <pic:cNvPicPr>
                      <a:picLocks noChangeAspect="1"/>
                    </pic:cNvPicPr>
                  </pic:nvPicPr>
                  <pic:blipFill>
                    <a:blip r:embed="rId178"/>
                    <a:stretch>
                      <a:fillRect/>
                    </a:stretch>
                  </pic:blipFill>
                  <pic:spPr>
                    <a:xfrm>
                      <a:off x="0" y="0"/>
                      <a:ext cx="5258435" cy="3599815"/>
                    </a:xfrm>
                    <a:prstGeom prst="rect">
                      <a:avLst/>
                    </a:prstGeom>
                    <a:noFill/>
                    <a:ln>
                      <a:noFill/>
                    </a:ln>
                  </pic:spPr>
                </pic:pic>
              </a:graphicData>
            </a:graphic>
          </wp:inline>
        </w:drawing>
      </w:r>
    </w:p>
    <w:p w14:paraId="786B76E4" w14:textId="77777777" w:rsidR="0075791A" w:rsidRDefault="00FB2864">
      <w:pPr>
        <w:jc w:val="center"/>
        <w:rPr>
          <w:rFonts w:ascii="宋体" w:hAnsi="宋体"/>
          <w:color w:val="auto"/>
          <w:sz w:val="24"/>
          <w:lang w:eastAsia="zh-CN"/>
        </w:rPr>
      </w:pPr>
      <w:r>
        <w:rPr>
          <w:rFonts w:ascii="宋体" w:hAnsi="宋体" w:hint="eastAsia"/>
          <w:color w:val="auto"/>
          <w:sz w:val="24"/>
          <w:lang w:eastAsia="zh-CN"/>
        </w:rPr>
        <w:t>图</w:t>
      </w:r>
      <w:r>
        <w:rPr>
          <w:rFonts w:ascii="宋体" w:hAnsi="宋体" w:hint="eastAsia"/>
          <w:color w:val="auto"/>
          <w:lang w:eastAsia="zh-CN"/>
        </w:rPr>
        <w:t>4.1.5-</w:t>
      </w:r>
      <w:r>
        <w:rPr>
          <w:rFonts w:ascii="宋体" w:hAnsi="宋体" w:hint="eastAsia"/>
          <w:color w:val="auto"/>
          <w:sz w:val="24"/>
          <w:lang w:eastAsia="zh-CN"/>
        </w:rPr>
        <w:t>1</w:t>
      </w:r>
      <w:r>
        <w:rPr>
          <w:rFonts w:ascii="宋体" w:hAnsi="宋体"/>
          <w:color w:val="auto"/>
          <w:sz w:val="24"/>
          <w:lang w:eastAsia="zh-CN"/>
        </w:rPr>
        <w:t xml:space="preserve"> </w:t>
      </w:r>
      <w:r>
        <w:rPr>
          <w:rFonts w:ascii="宋体" w:hAnsi="宋体" w:hint="eastAsia"/>
          <w:color w:val="auto"/>
          <w:sz w:val="24"/>
          <w:lang w:eastAsia="zh-CN"/>
        </w:rPr>
        <w:t>纳潮量计算区域示意图</w:t>
      </w:r>
    </w:p>
    <w:p w14:paraId="4DBCF134"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224" w:name="_Toc463581761"/>
      <w:r>
        <w:rPr>
          <w:rFonts w:ascii="Times New Roman" w:eastAsia="Times New Roman" w:hAnsi="Times New Roman" w:cs="Times New Roman" w:hint="eastAsia"/>
          <w:b/>
          <w:bCs/>
          <w:color w:val="auto"/>
          <w:spacing w:val="-3"/>
          <w:sz w:val="28"/>
          <w:szCs w:val="28"/>
          <w:lang w:eastAsia="zh-CN"/>
        </w:rPr>
        <w:lastRenderedPageBreak/>
        <w:t>4.1.6 铁炉港潮汐汊道稳定性分析</w:t>
      </w:r>
      <w:bookmarkEnd w:id="224"/>
    </w:p>
    <w:p w14:paraId="647E32C7" w14:textId="77777777" w:rsidR="0075791A" w:rsidRDefault="00FB2864">
      <w:pPr>
        <w:spacing w:line="360" w:lineRule="auto"/>
        <w:ind w:firstLine="480"/>
        <w:rPr>
          <w:rFonts w:ascii="宋体" w:hAnsi="宋体"/>
          <w:color w:val="auto"/>
          <w:sz w:val="24"/>
          <w:lang w:eastAsia="zh-CN"/>
        </w:rPr>
      </w:pPr>
      <w:r>
        <w:rPr>
          <w:rFonts w:ascii="宋体" w:hAnsi="宋体" w:hint="eastAsia"/>
          <w:color w:val="auto"/>
          <w:sz w:val="24"/>
          <w:lang w:eastAsia="zh-CN"/>
        </w:rPr>
        <w:t>潮汐汊道是砂质海岸常见的地貌形态，它是末次冰期海侵以来海平面上升淹没沿岸低地和河谷而形成的。通常情况下，潮汐汊道由潮汐水道、纳潮盆地和潮流三角洲等地貌单元组成。潮汐水道是连接外海和纳潮盆地的过水通道；纳潮盆地在涨潮时吸纳涨潮水体，落潮时排出涨潮水体，排出的水体当然也包含注入到潟湖内的淡水径流。由于潮汐汊道特别是纳潮盆地具有较高的利用价值，因此国内外对于潮汐汊道的研究非常丰富。如何保持潮汐汊道的稳定，是人们普遍关心的问题。</w:t>
      </w:r>
    </w:p>
    <w:p w14:paraId="586EE2CB" w14:textId="77777777" w:rsidR="0075791A" w:rsidRDefault="00FB2864">
      <w:pPr>
        <w:spacing w:line="360" w:lineRule="auto"/>
        <w:ind w:firstLine="480"/>
        <w:rPr>
          <w:rFonts w:ascii="宋体" w:hAnsi="宋体"/>
          <w:color w:val="auto"/>
          <w:sz w:val="24"/>
          <w:lang w:eastAsia="zh-CN"/>
        </w:rPr>
      </w:pPr>
      <w:r>
        <w:rPr>
          <w:rFonts w:ascii="宋体" w:hAnsi="宋体" w:hint="eastAsia"/>
          <w:color w:val="auto"/>
          <w:sz w:val="24"/>
          <w:lang w:eastAsia="zh-CN"/>
        </w:rPr>
        <w:t>早在</w:t>
      </w:r>
      <w:r>
        <w:rPr>
          <w:rFonts w:ascii="宋体" w:hAnsi="宋体" w:hint="eastAsia"/>
          <w:color w:val="auto"/>
          <w:sz w:val="24"/>
          <w:lang w:eastAsia="zh-CN"/>
        </w:rPr>
        <w:t>1931</w:t>
      </w:r>
      <w:r>
        <w:rPr>
          <w:rFonts w:ascii="宋体" w:hAnsi="宋体" w:hint="eastAsia"/>
          <w:color w:val="auto"/>
          <w:sz w:val="24"/>
          <w:lang w:eastAsia="zh-CN"/>
        </w:rPr>
        <w:t>年，</w:t>
      </w:r>
      <w:r>
        <w:rPr>
          <w:rFonts w:ascii="宋体" w:hAnsi="宋体" w:hint="eastAsia"/>
          <w:color w:val="auto"/>
          <w:sz w:val="24"/>
          <w:lang w:eastAsia="zh-CN"/>
        </w:rPr>
        <w:t>O</w:t>
      </w:r>
      <w:r>
        <w:rPr>
          <w:rFonts w:ascii="宋体" w:hAnsi="宋体"/>
          <w:color w:val="auto"/>
          <w:sz w:val="24"/>
          <w:lang w:eastAsia="zh-CN"/>
        </w:rPr>
        <w:t>’</w:t>
      </w:r>
      <w:r>
        <w:rPr>
          <w:rFonts w:ascii="宋体" w:hAnsi="宋体" w:hint="eastAsia"/>
          <w:color w:val="auto"/>
          <w:sz w:val="24"/>
          <w:lang w:eastAsia="zh-CN"/>
        </w:rPr>
        <w:t>Brien</w:t>
      </w:r>
      <w:r>
        <w:rPr>
          <w:rFonts w:ascii="宋体" w:hAnsi="宋体" w:hint="eastAsia"/>
          <w:color w:val="auto"/>
          <w:sz w:val="24"/>
          <w:lang w:eastAsia="zh-CN"/>
        </w:rPr>
        <w:t>提出了潮汐汊道的纳潮量（</w:t>
      </w:r>
      <w:r>
        <w:rPr>
          <w:rFonts w:ascii="宋体" w:hAnsi="宋体" w:hint="eastAsia"/>
          <w:color w:val="auto"/>
          <w:sz w:val="24"/>
          <w:lang w:eastAsia="zh-CN"/>
        </w:rPr>
        <w:t>P</w:t>
      </w:r>
      <w:r>
        <w:rPr>
          <w:rFonts w:ascii="宋体" w:hAnsi="宋体" w:hint="eastAsia"/>
          <w:color w:val="auto"/>
          <w:sz w:val="24"/>
          <w:lang w:eastAsia="zh-CN"/>
        </w:rPr>
        <w:t>）与口门处平均海平面下的过水断</w:t>
      </w:r>
      <w:r>
        <w:rPr>
          <w:rFonts w:ascii="宋体" w:hAnsi="宋体" w:hint="eastAsia"/>
          <w:color w:val="auto"/>
          <w:sz w:val="24"/>
          <w:lang w:eastAsia="zh-CN"/>
        </w:rPr>
        <w:t>面面积（</w:t>
      </w:r>
      <w:r>
        <w:rPr>
          <w:rFonts w:ascii="宋体" w:hAnsi="宋体" w:hint="eastAsia"/>
          <w:color w:val="auto"/>
          <w:sz w:val="24"/>
          <w:lang w:eastAsia="zh-CN"/>
        </w:rPr>
        <w:t>A</w:t>
      </w:r>
      <w:r>
        <w:rPr>
          <w:rFonts w:ascii="宋体" w:hAnsi="宋体" w:hint="eastAsia"/>
          <w:color w:val="auto"/>
          <w:sz w:val="24"/>
          <w:lang w:eastAsia="zh-CN"/>
        </w:rPr>
        <w:t>）之间存在如下关系式：</w:t>
      </w:r>
      <w:r>
        <w:rPr>
          <w:rFonts w:ascii="宋体" w:hAnsi="宋体"/>
          <w:color w:val="auto"/>
          <w:position w:val="-6"/>
          <w:sz w:val="24"/>
        </w:rPr>
        <w:object w:dxaOrig="859" w:dyaOrig="320" w14:anchorId="23D7E222">
          <v:shape id="_x0000_i1054" type="#_x0000_t75" style="width:43pt;height:16pt" o:ole="">
            <v:imagedata r:id="rId179" o:title=""/>
          </v:shape>
          <o:OLEObject Type="Embed" ProgID="Equation.DSMT4" ShapeID="_x0000_i1054" DrawAspect="Content" ObjectID="_1838358250" r:id="rId180"/>
        </w:object>
      </w:r>
      <w:r>
        <w:rPr>
          <w:rFonts w:ascii="宋体" w:hAnsi="宋体" w:hint="eastAsia"/>
          <w:color w:val="auto"/>
          <w:sz w:val="24"/>
          <w:lang w:eastAsia="zh-CN"/>
        </w:rPr>
        <w:t>。其中</w:t>
      </w:r>
      <w:r>
        <w:rPr>
          <w:rFonts w:ascii="宋体" w:hAnsi="宋体" w:hint="eastAsia"/>
          <w:color w:val="auto"/>
          <w:sz w:val="24"/>
          <w:lang w:eastAsia="zh-CN"/>
        </w:rPr>
        <w:t>C</w:t>
      </w:r>
      <w:r>
        <w:rPr>
          <w:rFonts w:ascii="宋体" w:hAnsi="宋体" w:hint="eastAsia"/>
          <w:color w:val="auto"/>
          <w:sz w:val="24"/>
          <w:lang w:eastAsia="zh-CN"/>
        </w:rPr>
        <w:t>和</w:t>
      </w:r>
      <w:r>
        <w:rPr>
          <w:rFonts w:ascii="宋体" w:hAnsi="宋体" w:hint="eastAsia"/>
          <w:color w:val="auto"/>
          <w:sz w:val="24"/>
          <w:lang w:eastAsia="zh-CN"/>
        </w:rPr>
        <w:t>n</w:t>
      </w:r>
      <w:r>
        <w:rPr>
          <w:rFonts w:ascii="宋体" w:hAnsi="宋体" w:hint="eastAsia"/>
          <w:color w:val="auto"/>
          <w:sz w:val="24"/>
          <w:lang w:eastAsia="zh-CN"/>
        </w:rPr>
        <w:t>是常数，在不同的自然条件下，</w:t>
      </w:r>
      <w:r>
        <w:rPr>
          <w:rFonts w:ascii="宋体" w:hAnsi="宋体" w:hint="eastAsia"/>
          <w:color w:val="auto"/>
          <w:sz w:val="24"/>
          <w:lang w:eastAsia="zh-CN"/>
        </w:rPr>
        <w:t>C</w:t>
      </w:r>
      <w:r>
        <w:rPr>
          <w:rFonts w:ascii="宋体" w:hAnsi="宋体" w:hint="eastAsia"/>
          <w:color w:val="auto"/>
          <w:sz w:val="24"/>
          <w:lang w:eastAsia="zh-CN"/>
        </w:rPr>
        <w:t>和</w:t>
      </w:r>
      <w:r>
        <w:rPr>
          <w:rFonts w:ascii="宋体" w:hAnsi="宋体" w:hint="eastAsia"/>
          <w:color w:val="auto"/>
          <w:sz w:val="24"/>
          <w:lang w:eastAsia="zh-CN"/>
        </w:rPr>
        <w:t>n</w:t>
      </w:r>
      <w:r>
        <w:rPr>
          <w:rFonts w:ascii="宋体" w:hAnsi="宋体" w:hint="eastAsia"/>
          <w:color w:val="auto"/>
          <w:sz w:val="24"/>
          <w:lang w:eastAsia="zh-CN"/>
        </w:rPr>
        <w:t>的值不同。一般说来，</w:t>
      </w:r>
      <w:r>
        <w:rPr>
          <w:rFonts w:ascii="宋体" w:hAnsi="宋体" w:hint="eastAsia"/>
          <w:color w:val="auto"/>
          <w:sz w:val="24"/>
          <w:lang w:eastAsia="zh-CN"/>
        </w:rPr>
        <w:t>C</w:t>
      </w:r>
      <w:r>
        <w:rPr>
          <w:rFonts w:ascii="宋体" w:hAnsi="宋体" w:hint="eastAsia"/>
          <w:color w:val="auto"/>
          <w:sz w:val="24"/>
          <w:lang w:eastAsia="zh-CN"/>
        </w:rPr>
        <w:t>值变化的范围较大，变化幅度可能相差几十倍；而</w:t>
      </w:r>
      <w:r>
        <w:rPr>
          <w:rFonts w:ascii="宋体" w:hAnsi="宋体" w:hint="eastAsia"/>
          <w:color w:val="auto"/>
          <w:sz w:val="24"/>
          <w:lang w:eastAsia="zh-CN"/>
        </w:rPr>
        <w:t>n</w:t>
      </w:r>
      <w:r>
        <w:rPr>
          <w:rFonts w:ascii="宋体" w:hAnsi="宋体" w:hint="eastAsia"/>
          <w:color w:val="auto"/>
          <w:sz w:val="24"/>
          <w:lang w:eastAsia="zh-CN"/>
        </w:rPr>
        <w:t>的变化幅度相对较小，一般在</w:t>
      </w:r>
      <w:r>
        <w:rPr>
          <w:rFonts w:ascii="宋体" w:hAnsi="宋体" w:hint="eastAsia"/>
          <w:color w:val="auto"/>
          <w:sz w:val="24"/>
          <w:lang w:eastAsia="zh-CN"/>
        </w:rPr>
        <w:t>1</w:t>
      </w:r>
      <w:r>
        <w:rPr>
          <w:rFonts w:ascii="宋体" w:hAnsi="宋体" w:hint="eastAsia"/>
          <w:color w:val="auto"/>
          <w:sz w:val="24"/>
          <w:lang w:eastAsia="zh-CN"/>
        </w:rPr>
        <w:t>左右。在不同的涨落潮历时、断面平均流速、纳潮量、沿岸输沙量的情况下，都有特定的拟合曲线。如：</w:t>
      </w:r>
    </w:p>
    <w:p w14:paraId="30FF722B" w14:textId="77777777" w:rsidR="0075791A" w:rsidRDefault="00FB2864">
      <w:pPr>
        <w:spacing w:line="360" w:lineRule="auto"/>
        <w:ind w:firstLine="480"/>
        <w:rPr>
          <w:rFonts w:ascii="宋体" w:hAnsi="宋体"/>
          <w:color w:val="auto"/>
          <w:sz w:val="24"/>
          <w:lang w:eastAsia="zh-CN"/>
        </w:rPr>
      </w:pPr>
      <w:r>
        <w:rPr>
          <w:rFonts w:ascii="宋体" w:hAnsi="宋体" w:hint="eastAsia"/>
          <w:color w:val="auto"/>
          <w:sz w:val="24"/>
          <w:lang w:eastAsia="zh-CN"/>
        </w:rPr>
        <w:t>O</w:t>
      </w:r>
      <w:r>
        <w:rPr>
          <w:rFonts w:ascii="宋体" w:hAnsi="宋体"/>
          <w:color w:val="auto"/>
          <w:sz w:val="24"/>
          <w:lang w:eastAsia="zh-CN"/>
        </w:rPr>
        <w:t>’</w:t>
      </w:r>
      <w:r>
        <w:rPr>
          <w:rFonts w:ascii="宋体" w:hAnsi="宋体" w:hint="eastAsia"/>
          <w:color w:val="auto"/>
          <w:sz w:val="24"/>
          <w:lang w:eastAsia="zh-CN"/>
        </w:rPr>
        <w:t>Brien</w:t>
      </w:r>
      <w:r>
        <w:rPr>
          <w:rFonts w:ascii="宋体" w:hAnsi="宋体" w:hint="eastAsia"/>
          <w:color w:val="auto"/>
          <w:sz w:val="24"/>
          <w:lang w:eastAsia="zh-CN"/>
        </w:rPr>
        <w:t>于</w:t>
      </w:r>
      <w:r>
        <w:rPr>
          <w:rFonts w:ascii="宋体" w:hAnsi="宋体" w:hint="eastAsia"/>
          <w:color w:val="auto"/>
          <w:sz w:val="24"/>
          <w:lang w:eastAsia="zh-CN"/>
        </w:rPr>
        <w:t>1969</w:t>
      </w:r>
      <w:r>
        <w:rPr>
          <w:rFonts w:ascii="宋体" w:hAnsi="宋体" w:hint="eastAsia"/>
          <w:color w:val="auto"/>
          <w:sz w:val="24"/>
          <w:lang w:eastAsia="zh-CN"/>
        </w:rPr>
        <w:t>年根据美国砂质海岸潟湖的相关分析得出如下关系式：</w:t>
      </w:r>
      <w:r>
        <w:rPr>
          <w:rFonts w:ascii="宋体" w:hAnsi="宋体"/>
          <w:color w:val="auto"/>
          <w:position w:val="-6"/>
          <w:sz w:val="24"/>
        </w:rPr>
        <w:object w:dxaOrig="2200" w:dyaOrig="320" w14:anchorId="2C0B012D">
          <v:shape id="_x0000_i1055" type="#_x0000_t75" style="width:110pt;height:16pt" o:ole="">
            <v:imagedata r:id="rId181" o:title=""/>
          </v:shape>
          <o:OLEObject Type="Embed" ProgID="Equation.DSMT4" ShapeID="_x0000_i1055" DrawAspect="Content" ObjectID="_1838358251" r:id="rId182"/>
        </w:object>
      </w:r>
      <w:r>
        <w:rPr>
          <w:rFonts w:ascii="宋体" w:hAnsi="宋体" w:hint="eastAsia"/>
          <w:color w:val="auto"/>
          <w:sz w:val="24"/>
          <w:lang w:eastAsia="zh-CN"/>
        </w:rPr>
        <w:t>，其中</w:t>
      </w:r>
      <w:r>
        <w:rPr>
          <w:rFonts w:ascii="宋体" w:hAnsi="宋体" w:hint="eastAsia"/>
          <w:color w:val="auto"/>
          <w:sz w:val="24"/>
          <w:lang w:eastAsia="zh-CN"/>
        </w:rPr>
        <w:t>P</w:t>
      </w:r>
      <w:r>
        <w:rPr>
          <w:rFonts w:ascii="宋体" w:hAnsi="宋体" w:hint="eastAsia"/>
          <w:color w:val="auto"/>
          <w:sz w:val="24"/>
          <w:lang w:eastAsia="zh-CN"/>
        </w:rPr>
        <w:t>的单位为</w:t>
      </w:r>
      <w:r>
        <w:rPr>
          <w:rFonts w:ascii="宋体" w:hAnsi="宋体" w:hint="eastAsia"/>
          <w:color w:val="auto"/>
          <w:sz w:val="24"/>
          <w:lang w:eastAsia="zh-CN"/>
        </w:rPr>
        <w:t>km</w:t>
      </w:r>
      <w:r>
        <w:rPr>
          <w:rFonts w:ascii="宋体" w:hAnsi="宋体" w:hint="eastAsia"/>
          <w:color w:val="auto"/>
          <w:sz w:val="24"/>
          <w:vertAlign w:val="superscript"/>
          <w:lang w:eastAsia="zh-CN"/>
        </w:rPr>
        <w:t>3</w:t>
      </w:r>
      <w:r>
        <w:rPr>
          <w:rFonts w:ascii="宋体" w:hAnsi="宋体" w:hint="eastAsia"/>
          <w:color w:val="auto"/>
          <w:sz w:val="24"/>
          <w:lang w:eastAsia="zh-CN"/>
        </w:rPr>
        <w:t>，</w:t>
      </w:r>
      <w:r>
        <w:rPr>
          <w:rFonts w:ascii="宋体" w:hAnsi="宋体" w:hint="eastAsia"/>
          <w:color w:val="auto"/>
          <w:sz w:val="24"/>
          <w:lang w:eastAsia="zh-CN"/>
        </w:rPr>
        <w:t>A</w:t>
      </w:r>
      <w:r>
        <w:rPr>
          <w:rFonts w:ascii="宋体" w:hAnsi="宋体" w:hint="eastAsia"/>
          <w:color w:val="auto"/>
          <w:sz w:val="24"/>
          <w:lang w:eastAsia="zh-CN"/>
        </w:rPr>
        <w:t>的单位为</w:t>
      </w:r>
      <w:r>
        <w:rPr>
          <w:rFonts w:ascii="宋体" w:hAnsi="宋体" w:hint="eastAsia"/>
          <w:color w:val="auto"/>
          <w:sz w:val="24"/>
          <w:lang w:eastAsia="zh-CN"/>
        </w:rPr>
        <w:t>km</w:t>
      </w:r>
      <w:r>
        <w:rPr>
          <w:rFonts w:ascii="宋体" w:hAnsi="宋体" w:hint="eastAsia"/>
          <w:color w:val="auto"/>
          <w:sz w:val="24"/>
          <w:vertAlign w:val="superscript"/>
          <w:lang w:eastAsia="zh-CN"/>
        </w:rPr>
        <w:t>2</w:t>
      </w:r>
      <w:r>
        <w:rPr>
          <w:rFonts w:ascii="宋体" w:hAnsi="宋体" w:hint="eastAsia"/>
          <w:color w:val="auto"/>
          <w:sz w:val="24"/>
          <w:lang w:eastAsia="zh-CN"/>
        </w:rPr>
        <w:t>（下同）；</w:t>
      </w:r>
    </w:p>
    <w:p w14:paraId="52CBAF17" w14:textId="77777777" w:rsidR="0075791A" w:rsidRDefault="00FB2864">
      <w:pPr>
        <w:spacing w:line="360" w:lineRule="auto"/>
        <w:ind w:leftChars="228" w:left="479"/>
        <w:rPr>
          <w:rFonts w:ascii="宋体" w:hAnsi="宋体"/>
          <w:color w:val="auto"/>
          <w:sz w:val="24"/>
          <w:lang w:eastAsia="zh-CN"/>
        </w:rPr>
      </w:pPr>
      <w:r>
        <w:rPr>
          <w:rFonts w:ascii="宋体" w:hAnsi="宋体" w:hint="eastAsia"/>
          <w:color w:val="auto"/>
          <w:sz w:val="24"/>
          <w:lang w:eastAsia="zh-CN"/>
        </w:rPr>
        <w:t>张忍顺推算出我国环渤海沿岸自然状态下的</w:t>
      </w:r>
      <w:r>
        <w:rPr>
          <w:rFonts w:ascii="宋体" w:hAnsi="宋体" w:hint="eastAsia"/>
          <w:color w:val="auto"/>
          <w:sz w:val="24"/>
          <w:lang w:eastAsia="zh-CN"/>
        </w:rPr>
        <w:t>P-A</w:t>
      </w:r>
      <w:r>
        <w:rPr>
          <w:rFonts w:ascii="宋体" w:hAnsi="宋体" w:hint="eastAsia"/>
          <w:color w:val="auto"/>
          <w:sz w:val="24"/>
          <w:lang w:eastAsia="zh-CN"/>
        </w:rPr>
        <w:t>关系为：</w:t>
      </w:r>
      <w:r>
        <w:rPr>
          <w:rFonts w:ascii="宋体" w:hAnsi="宋体"/>
          <w:color w:val="auto"/>
          <w:position w:val="-6"/>
          <w:sz w:val="24"/>
        </w:rPr>
        <w:object w:dxaOrig="1600" w:dyaOrig="320" w14:anchorId="3D38F87C">
          <v:shape id="_x0000_i1056" type="#_x0000_t75" style="width:80pt;height:16pt" o:ole="">
            <v:imagedata r:id="rId183" o:title=""/>
          </v:shape>
          <o:OLEObject Type="Embed" ProgID="Equation.DSMT4" ShapeID="_x0000_i1056" DrawAspect="Content" ObjectID="_1838358252" r:id="rId184"/>
        </w:object>
      </w:r>
      <w:r>
        <w:rPr>
          <w:rFonts w:ascii="宋体" w:hAnsi="宋体" w:hint="eastAsia"/>
          <w:color w:val="auto"/>
          <w:sz w:val="24"/>
          <w:lang w:eastAsia="zh-CN"/>
        </w:rPr>
        <w:t>；张乔民根据华南地区</w:t>
      </w:r>
      <w:r>
        <w:rPr>
          <w:rFonts w:ascii="宋体" w:hAnsi="宋体" w:hint="eastAsia"/>
          <w:color w:val="auto"/>
          <w:sz w:val="24"/>
          <w:lang w:eastAsia="zh-CN"/>
        </w:rPr>
        <w:t>21</w:t>
      </w:r>
      <w:r>
        <w:rPr>
          <w:rFonts w:ascii="宋体" w:hAnsi="宋体" w:hint="eastAsia"/>
          <w:color w:val="auto"/>
          <w:sz w:val="24"/>
          <w:lang w:eastAsia="zh-CN"/>
        </w:rPr>
        <w:t>个潟湖的分析得到华南溺谷湾型潟湖的</w:t>
      </w:r>
      <w:r>
        <w:rPr>
          <w:rFonts w:ascii="宋体" w:hAnsi="宋体" w:hint="eastAsia"/>
          <w:color w:val="auto"/>
          <w:sz w:val="24"/>
          <w:lang w:eastAsia="zh-CN"/>
        </w:rPr>
        <w:t>P-A</w:t>
      </w:r>
      <w:r>
        <w:rPr>
          <w:rFonts w:ascii="宋体" w:hAnsi="宋体" w:hint="eastAsia"/>
          <w:color w:val="auto"/>
          <w:sz w:val="24"/>
          <w:lang w:eastAsia="zh-CN"/>
        </w:rPr>
        <w:t>关系式为：</w:t>
      </w:r>
      <w:r>
        <w:rPr>
          <w:rFonts w:ascii="宋体" w:hAnsi="宋体"/>
          <w:color w:val="auto"/>
          <w:position w:val="-6"/>
          <w:sz w:val="24"/>
        </w:rPr>
        <w:object w:dxaOrig="2140" w:dyaOrig="320" w14:anchorId="4DA17E6B">
          <v:shape id="_x0000_i1057" type="#_x0000_t75" style="width:107pt;height:16pt" o:ole="">
            <v:imagedata r:id="rId185" o:title=""/>
          </v:shape>
          <o:OLEObject Type="Embed" ProgID="Equation.DSMT4" ShapeID="_x0000_i1057" DrawAspect="Content" ObjectID="_1838358253" r:id="rId186"/>
        </w:object>
      </w:r>
      <w:r>
        <w:rPr>
          <w:rFonts w:ascii="宋体" w:hAnsi="宋体" w:hint="eastAsia"/>
          <w:color w:val="auto"/>
          <w:sz w:val="24"/>
          <w:lang w:eastAsia="zh-CN"/>
        </w:rPr>
        <w:t>。</w:t>
      </w:r>
    </w:p>
    <w:p w14:paraId="6B08EC88" w14:textId="77777777" w:rsidR="0075791A" w:rsidRDefault="00FB2864">
      <w:pPr>
        <w:spacing w:line="360" w:lineRule="auto"/>
        <w:ind w:firstLine="480"/>
        <w:rPr>
          <w:rFonts w:ascii="宋体" w:hAnsi="宋体"/>
          <w:color w:val="auto"/>
          <w:sz w:val="24"/>
          <w:lang w:eastAsia="zh-CN"/>
        </w:rPr>
      </w:pPr>
      <w:r>
        <w:rPr>
          <w:rFonts w:ascii="宋体" w:hAnsi="宋体" w:hint="eastAsia"/>
          <w:color w:val="auto"/>
          <w:sz w:val="24"/>
          <w:lang w:eastAsia="zh-CN"/>
        </w:rPr>
        <w:t>铁炉港是海南省三亚市面积最大的潟湖之一，发育了潮汐汊道——潟湖地貌体系，铁炉港纳潮面积大约为</w:t>
      </w:r>
      <w:r>
        <w:rPr>
          <w:rFonts w:ascii="宋体" w:hAnsi="宋体" w:hint="eastAsia"/>
          <w:color w:val="auto"/>
          <w:sz w:val="24"/>
          <w:lang w:eastAsia="zh-CN"/>
        </w:rPr>
        <w:t>8.29 km</w:t>
      </w:r>
      <w:r>
        <w:rPr>
          <w:rFonts w:ascii="宋体" w:hAnsi="宋体" w:hint="eastAsia"/>
          <w:color w:val="auto"/>
          <w:sz w:val="24"/>
          <w:vertAlign w:val="superscript"/>
          <w:lang w:eastAsia="zh-CN"/>
        </w:rPr>
        <w:t>2</w:t>
      </w:r>
      <w:r>
        <w:rPr>
          <w:rFonts w:ascii="宋体" w:hAnsi="宋体" w:hint="eastAsia"/>
          <w:color w:val="auto"/>
          <w:sz w:val="24"/>
          <w:lang w:eastAsia="zh-CN"/>
        </w:rPr>
        <w:t>，通过潮汐汊道与外海相连。铁炉港内大部分水域的水深小于</w:t>
      </w:r>
      <w:r>
        <w:rPr>
          <w:rFonts w:ascii="宋体" w:hAnsi="宋体" w:hint="eastAsia"/>
          <w:color w:val="auto"/>
          <w:sz w:val="24"/>
          <w:lang w:eastAsia="zh-CN"/>
        </w:rPr>
        <w:t>2.5m</w:t>
      </w:r>
      <w:r>
        <w:rPr>
          <w:rFonts w:ascii="宋体" w:hAnsi="宋体" w:hint="eastAsia"/>
          <w:color w:val="auto"/>
          <w:sz w:val="24"/>
          <w:lang w:eastAsia="zh-CN"/>
        </w:rPr>
        <w:t>，小于</w:t>
      </w:r>
      <w:r>
        <w:rPr>
          <w:rFonts w:ascii="宋体" w:hAnsi="宋体" w:hint="eastAsia"/>
          <w:color w:val="auto"/>
          <w:sz w:val="24"/>
          <w:lang w:eastAsia="zh-CN"/>
        </w:rPr>
        <w:t>2.5m</w:t>
      </w:r>
      <w:r>
        <w:rPr>
          <w:rFonts w:ascii="宋体" w:hAnsi="宋体" w:hint="eastAsia"/>
          <w:color w:val="auto"/>
          <w:sz w:val="24"/>
          <w:lang w:eastAsia="zh-CN"/>
        </w:rPr>
        <w:t>水深的区域占总面积的</w:t>
      </w:r>
      <w:r>
        <w:rPr>
          <w:rFonts w:ascii="宋体" w:hAnsi="宋体" w:hint="eastAsia"/>
          <w:color w:val="auto"/>
          <w:sz w:val="24"/>
          <w:lang w:eastAsia="zh-CN"/>
        </w:rPr>
        <w:t>70%</w:t>
      </w:r>
      <w:r>
        <w:rPr>
          <w:rFonts w:ascii="宋体" w:hAnsi="宋体" w:hint="eastAsia"/>
          <w:color w:val="auto"/>
          <w:sz w:val="24"/>
          <w:lang w:eastAsia="zh-CN"/>
        </w:rPr>
        <w:t>，但由于纳潮面积大，其纳潮量仍然很大。铁炉港潮汐汊道——潟湖地貌体系</w:t>
      </w:r>
      <w:r>
        <w:rPr>
          <w:rFonts w:ascii="宋体" w:hAnsi="宋体" w:hint="eastAsia"/>
          <w:color w:val="auto"/>
          <w:sz w:val="24"/>
          <w:lang w:eastAsia="zh-CN"/>
        </w:rPr>
        <w:t>由落潮流控制，在潮汐汊道发育了落潮槽，潮汐汊道口门处则为冲刷深槽，水深可达</w:t>
      </w:r>
      <w:r>
        <w:rPr>
          <w:rFonts w:ascii="宋体" w:hAnsi="宋体" w:hint="eastAsia"/>
          <w:color w:val="auto"/>
          <w:sz w:val="24"/>
          <w:lang w:eastAsia="zh-CN"/>
        </w:rPr>
        <w:t>5m</w:t>
      </w:r>
      <w:r>
        <w:rPr>
          <w:rFonts w:ascii="宋体" w:hAnsi="宋体" w:hint="eastAsia"/>
          <w:color w:val="auto"/>
          <w:sz w:val="24"/>
          <w:lang w:eastAsia="zh-CN"/>
        </w:rPr>
        <w:t>左右。</w:t>
      </w:r>
    </w:p>
    <w:p w14:paraId="5066FBD1" w14:textId="77777777" w:rsidR="0075791A" w:rsidRDefault="00FB2864">
      <w:pPr>
        <w:spacing w:line="360" w:lineRule="auto"/>
        <w:ind w:firstLineChars="200" w:firstLine="480"/>
        <w:rPr>
          <w:rFonts w:ascii="宋体" w:hAnsi="宋体"/>
          <w:color w:val="auto"/>
          <w:sz w:val="24"/>
          <w:lang w:eastAsia="zh-CN"/>
        </w:rPr>
      </w:pPr>
      <w:r>
        <w:rPr>
          <w:rFonts w:ascii="宋体" w:hAnsi="宋体" w:hint="eastAsia"/>
          <w:color w:val="auto"/>
          <w:sz w:val="24"/>
          <w:lang w:eastAsia="zh-CN"/>
        </w:rPr>
        <w:t>现根据张乔民得出的华南溺谷湾型潟湖的</w:t>
      </w:r>
      <w:r>
        <w:rPr>
          <w:rFonts w:ascii="宋体" w:hAnsi="宋体" w:hint="eastAsia"/>
          <w:color w:val="auto"/>
          <w:sz w:val="24"/>
          <w:lang w:eastAsia="zh-CN"/>
        </w:rPr>
        <w:t>P-A</w:t>
      </w:r>
      <w:r>
        <w:rPr>
          <w:rFonts w:ascii="宋体" w:hAnsi="宋体" w:hint="eastAsia"/>
          <w:color w:val="auto"/>
          <w:sz w:val="24"/>
          <w:lang w:eastAsia="zh-CN"/>
        </w:rPr>
        <w:t>关系式，对铁炉港的稳定性进行探讨。在平均海平面下，铁炉港最窄处（宽约</w:t>
      </w:r>
      <w:r>
        <w:rPr>
          <w:rFonts w:ascii="宋体" w:hAnsi="宋体" w:hint="eastAsia"/>
          <w:color w:val="auto"/>
          <w:sz w:val="24"/>
          <w:lang w:eastAsia="zh-CN"/>
        </w:rPr>
        <w:t>120m</w:t>
      </w:r>
      <w:r>
        <w:rPr>
          <w:rFonts w:ascii="宋体" w:hAnsi="宋体" w:hint="eastAsia"/>
          <w:color w:val="auto"/>
          <w:sz w:val="24"/>
          <w:lang w:eastAsia="zh-CN"/>
        </w:rPr>
        <w:t>）的过水断面面积为</w:t>
      </w:r>
      <w:r>
        <w:rPr>
          <w:rFonts w:ascii="宋体" w:hAnsi="宋体" w:hint="eastAsia"/>
          <w:color w:val="auto"/>
          <w:sz w:val="24"/>
          <w:lang w:eastAsia="zh-CN"/>
        </w:rPr>
        <w:t>430m</w:t>
      </w:r>
      <w:r>
        <w:rPr>
          <w:rFonts w:ascii="宋体" w:hAnsi="宋体" w:hint="eastAsia"/>
          <w:color w:val="auto"/>
          <w:sz w:val="24"/>
          <w:vertAlign w:val="superscript"/>
          <w:lang w:eastAsia="zh-CN"/>
        </w:rPr>
        <w:t>2</w:t>
      </w:r>
      <w:r>
        <w:rPr>
          <w:rFonts w:ascii="宋体" w:hAnsi="宋体" w:hint="eastAsia"/>
          <w:color w:val="auto"/>
          <w:sz w:val="24"/>
          <w:lang w:eastAsia="zh-CN"/>
        </w:rPr>
        <w:t>。将平均纳潮量</w:t>
      </w:r>
      <w:bookmarkStart w:id="225" w:name="OLE_LINK9"/>
      <w:bookmarkStart w:id="226" w:name="OLE_LINK10"/>
      <w:r>
        <w:rPr>
          <w:rFonts w:ascii="宋体" w:hAnsi="宋体" w:hint="eastAsia"/>
          <w:color w:val="auto"/>
          <w:sz w:val="24"/>
          <w:lang w:eastAsia="zh-CN"/>
        </w:rPr>
        <w:t>0.0</w:t>
      </w:r>
      <w:bookmarkEnd w:id="225"/>
      <w:bookmarkEnd w:id="226"/>
      <w:r>
        <w:rPr>
          <w:rFonts w:ascii="宋体" w:hAnsi="宋体" w:hint="eastAsia"/>
          <w:color w:val="auto"/>
          <w:sz w:val="24"/>
          <w:lang w:eastAsia="zh-CN"/>
        </w:rPr>
        <w:t>0912km</w:t>
      </w:r>
      <w:r>
        <w:rPr>
          <w:rFonts w:ascii="宋体" w:hAnsi="宋体" w:hint="eastAsia"/>
          <w:color w:val="auto"/>
          <w:sz w:val="24"/>
          <w:vertAlign w:val="superscript"/>
          <w:lang w:eastAsia="zh-CN"/>
        </w:rPr>
        <w:t>3</w:t>
      </w:r>
      <w:r>
        <w:rPr>
          <w:rFonts w:ascii="宋体" w:hAnsi="宋体" w:hint="eastAsia"/>
          <w:color w:val="auto"/>
          <w:sz w:val="24"/>
          <w:lang w:eastAsia="zh-CN"/>
        </w:rPr>
        <w:t>代入</w:t>
      </w:r>
      <w:r>
        <w:rPr>
          <w:rFonts w:ascii="宋体" w:hAnsi="宋体"/>
          <w:color w:val="auto"/>
          <w:position w:val="-6"/>
          <w:sz w:val="24"/>
        </w:rPr>
        <w:object w:dxaOrig="2140" w:dyaOrig="320" w14:anchorId="477BB2C0">
          <v:shape id="_x0000_i1058" type="#_x0000_t75" style="width:107pt;height:16pt" o:ole="">
            <v:imagedata r:id="rId185" o:title=""/>
          </v:shape>
          <o:OLEObject Type="Embed" ProgID="Equation.DSMT4" ShapeID="_x0000_i1058" DrawAspect="Content" ObjectID="_1838358254" r:id="rId187"/>
        </w:object>
      </w:r>
      <w:r>
        <w:rPr>
          <w:rFonts w:ascii="宋体" w:hAnsi="宋体" w:hint="eastAsia"/>
          <w:color w:val="auto"/>
          <w:sz w:val="24"/>
          <w:lang w:eastAsia="zh-CN"/>
        </w:rPr>
        <w:t>可得到自然状态均衡态条件下的过水断面面积为</w:t>
      </w:r>
      <w:r>
        <w:rPr>
          <w:rFonts w:ascii="宋体" w:hAnsi="宋体" w:hint="eastAsia"/>
          <w:color w:val="auto"/>
          <w:sz w:val="24"/>
          <w:lang w:eastAsia="zh-CN"/>
        </w:rPr>
        <w:t>1192m</w:t>
      </w:r>
      <w:r>
        <w:rPr>
          <w:rFonts w:ascii="宋体" w:hAnsi="宋体" w:hint="eastAsia"/>
          <w:color w:val="auto"/>
          <w:sz w:val="24"/>
          <w:vertAlign w:val="superscript"/>
          <w:lang w:eastAsia="zh-CN"/>
        </w:rPr>
        <w:t>2</w:t>
      </w:r>
      <w:r>
        <w:rPr>
          <w:rFonts w:ascii="宋体" w:hAnsi="宋体" w:hint="eastAsia"/>
          <w:color w:val="auto"/>
          <w:sz w:val="24"/>
          <w:lang w:eastAsia="zh-CN"/>
        </w:rPr>
        <w:t>，这要大于现状条件下潮汐通道内最窄处的过水断面面积（</w:t>
      </w:r>
      <w:r>
        <w:rPr>
          <w:rFonts w:ascii="宋体" w:hAnsi="宋体" w:hint="eastAsia"/>
          <w:color w:val="auto"/>
          <w:sz w:val="24"/>
          <w:lang w:eastAsia="zh-CN"/>
        </w:rPr>
        <w:t>430m</w:t>
      </w:r>
      <w:r>
        <w:rPr>
          <w:rFonts w:ascii="宋体" w:hAnsi="宋体" w:hint="eastAsia"/>
          <w:color w:val="auto"/>
          <w:sz w:val="24"/>
          <w:vertAlign w:val="superscript"/>
          <w:lang w:eastAsia="zh-CN"/>
        </w:rPr>
        <w:t>2</w:t>
      </w:r>
      <w:r>
        <w:rPr>
          <w:rFonts w:ascii="宋体" w:hAnsi="宋体" w:hint="eastAsia"/>
          <w:color w:val="auto"/>
          <w:sz w:val="24"/>
          <w:lang w:eastAsia="zh-CN"/>
        </w:rPr>
        <w:t>）。因此，在自然演变条件下，铁炉港潮汐通道将会维持现有的水深和过水断面面积</w:t>
      </w:r>
      <w:r>
        <w:rPr>
          <w:rFonts w:ascii="宋体" w:hAnsi="宋体" w:hint="eastAsia"/>
          <w:color w:val="auto"/>
          <w:sz w:val="24"/>
          <w:lang w:eastAsia="zh-CN"/>
        </w:rPr>
        <w:t>，潮汐通道内不会产生明显的淤积。由于铁炉港有部分区域为红树林，计算纳潮量时未考虑红树林区域，因此纳潮量的计算结果偏小，但不会影响到铁炉港潮汐汊道口门稳定性的判断。</w:t>
      </w:r>
    </w:p>
    <w:p w14:paraId="19D755AC" w14:textId="77777777" w:rsidR="0075791A" w:rsidRDefault="00FB2864">
      <w:pPr>
        <w:spacing w:line="360" w:lineRule="auto"/>
        <w:ind w:firstLineChars="182" w:firstLine="437"/>
        <w:rPr>
          <w:rFonts w:ascii="宋体" w:hAnsi="宋体"/>
          <w:color w:val="auto"/>
          <w:sz w:val="24"/>
          <w:lang w:eastAsia="zh-CN"/>
        </w:rPr>
      </w:pPr>
      <w:r>
        <w:rPr>
          <w:rFonts w:ascii="宋体" w:hAnsi="宋体" w:hint="eastAsia"/>
          <w:color w:val="auto"/>
          <w:sz w:val="24"/>
          <w:lang w:eastAsia="zh-CN"/>
        </w:rPr>
        <w:lastRenderedPageBreak/>
        <w:t>再利用</w:t>
      </w:r>
      <w:r>
        <w:rPr>
          <w:rFonts w:ascii="宋体" w:hAnsi="宋体" w:hint="eastAsia"/>
          <w:color w:val="auto"/>
          <w:sz w:val="24"/>
          <w:lang w:eastAsia="zh-CN"/>
        </w:rPr>
        <w:t>O</w:t>
      </w:r>
      <w:r>
        <w:rPr>
          <w:rFonts w:ascii="宋体" w:hAnsi="宋体"/>
          <w:color w:val="auto"/>
          <w:sz w:val="24"/>
          <w:lang w:eastAsia="zh-CN"/>
        </w:rPr>
        <w:t>’</w:t>
      </w:r>
      <w:r>
        <w:rPr>
          <w:rFonts w:ascii="宋体" w:hAnsi="宋体" w:hint="eastAsia"/>
          <w:color w:val="auto"/>
          <w:sz w:val="24"/>
          <w:lang w:eastAsia="zh-CN"/>
        </w:rPr>
        <w:t>Brien</w:t>
      </w:r>
      <w:r>
        <w:rPr>
          <w:rFonts w:ascii="宋体" w:hAnsi="宋体" w:hint="eastAsia"/>
          <w:color w:val="auto"/>
          <w:sz w:val="24"/>
          <w:lang w:eastAsia="zh-CN"/>
        </w:rPr>
        <w:t>的</w:t>
      </w:r>
      <w:r>
        <w:rPr>
          <w:rFonts w:ascii="宋体" w:hAnsi="宋体" w:hint="eastAsia"/>
          <w:color w:val="auto"/>
          <w:sz w:val="24"/>
          <w:lang w:eastAsia="zh-CN"/>
        </w:rPr>
        <w:t>P-A</w:t>
      </w:r>
      <w:r>
        <w:rPr>
          <w:rFonts w:ascii="宋体" w:hAnsi="宋体" w:hint="eastAsia"/>
          <w:color w:val="auto"/>
          <w:sz w:val="24"/>
          <w:lang w:eastAsia="zh-CN"/>
        </w:rPr>
        <w:t>关系式</w:t>
      </w:r>
      <w:r>
        <w:rPr>
          <w:rFonts w:ascii="宋体" w:hAnsi="宋体"/>
          <w:color w:val="auto"/>
          <w:position w:val="-6"/>
          <w:sz w:val="24"/>
        </w:rPr>
        <w:object w:dxaOrig="2200" w:dyaOrig="320" w14:anchorId="6F854E75">
          <v:shape id="_x0000_i1059" type="#_x0000_t75" style="width:110pt;height:16pt" o:ole="">
            <v:imagedata r:id="rId181" o:title=""/>
          </v:shape>
          <o:OLEObject Type="Embed" ProgID="Equation.DSMT4" ShapeID="_x0000_i1059" DrawAspect="Content" ObjectID="_1838358255" r:id="rId188"/>
        </w:object>
      </w:r>
      <w:r>
        <w:rPr>
          <w:rFonts w:ascii="宋体" w:hAnsi="宋体" w:hint="eastAsia"/>
          <w:color w:val="auto"/>
          <w:sz w:val="24"/>
          <w:lang w:eastAsia="zh-CN"/>
        </w:rPr>
        <w:t>进行探讨。将纳潮</w:t>
      </w:r>
      <w:r>
        <w:rPr>
          <w:rFonts w:ascii="宋体" w:hAnsi="宋体" w:hint="eastAsia"/>
          <w:color w:val="auto"/>
          <w:sz w:val="24"/>
          <w:lang w:eastAsia="zh-CN"/>
        </w:rPr>
        <w:t>0.00912km</w:t>
      </w:r>
      <w:r>
        <w:rPr>
          <w:rFonts w:ascii="宋体" w:hAnsi="宋体" w:hint="eastAsia"/>
          <w:color w:val="auto"/>
          <w:sz w:val="24"/>
          <w:vertAlign w:val="superscript"/>
          <w:lang w:eastAsia="zh-CN"/>
        </w:rPr>
        <w:t>3</w:t>
      </w:r>
      <w:r>
        <w:rPr>
          <w:rFonts w:ascii="宋体" w:hAnsi="宋体" w:hint="eastAsia"/>
          <w:color w:val="auto"/>
          <w:sz w:val="24"/>
          <w:lang w:eastAsia="zh-CN"/>
        </w:rPr>
        <w:t>代入式中计算得到口门处的断面面积为</w:t>
      </w:r>
      <w:r>
        <w:rPr>
          <w:rFonts w:ascii="宋体" w:hAnsi="宋体" w:hint="eastAsia"/>
          <w:color w:val="auto"/>
          <w:sz w:val="24"/>
          <w:lang w:eastAsia="zh-CN"/>
        </w:rPr>
        <w:t>751m</w:t>
      </w:r>
      <w:r>
        <w:rPr>
          <w:rFonts w:ascii="宋体" w:hAnsi="宋体" w:hint="eastAsia"/>
          <w:color w:val="auto"/>
          <w:sz w:val="24"/>
          <w:vertAlign w:val="superscript"/>
          <w:lang w:eastAsia="zh-CN"/>
        </w:rPr>
        <w:t>2</w:t>
      </w:r>
      <w:r>
        <w:rPr>
          <w:rFonts w:ascii="宋体" w:hAnsi="宋体" w:hint="eastAsia"/>
          <w:color w:val="auto"/>
          <w:sz w:val="24"/>
          <w:lang w:eastAsia="zh-CN"/>
        </w:rPr>
        <w:t>，这同样大于现状条件下潮汐通道内最窄处的过水断面面积（</w:t>
      </w:r>
      <w:r>
        <w:rPr>
          <w:rFonts w:ascii="宋体" w:hAnsi="宋体" w:hint="eastAsia"/>
          <w:color w:val="auto"/>
          <w:sz w:val="24"/>
          <w:lang w:eastAsia="zh-CN"/>
        </w:rPr>
        <w:t>430m</w:t>
      </w:r>
      <w:r>
        <w:rPr>
          <w:rFonts w:ascii="宋体" w:hAnsi="宋体" w:hint="eastAsia"/>
          <w:color w:val="auto"/>
          <w:sz w:val="24"/>
          <w:vertAlign w:val="superscript"/>
          <w:lang w:eastAsia="zh-CN"/>
        </w:rPr>
        <w:t>2</w:t>
      </w:r>
      <w:r>
        <w:rPr>
          <w:rFonts w:ascii="宋体" w:hAnsi="宋体" w:hint="eastAsia"/>
          <w:color w:val="auto"/>
          <w:sz w:val="24"/>
          <w:lang w:eastAsia="zh-CN"/>
        </w:rPr>
        <w:t>）。因此，现状条件下，铁炉港潮汐通道将能继续维持现有过水断面面积和潮汐深槽。</w:t>
      </w:r>
    </w:p>
    <w:p w14:paraId="74FE6BAB" w14:textId="77777777" w:rsidR="0075791A" w:rsidRDefault="00FB2864">
      <w:pPr>
        <w:spacing w:line="360" w:lineRule="auto"/>
        <w:ind w:firstLineChars="200" w:firstLine="480"/>
        <w:rPr>
          <w:rFonts w:ascii="宋体" w:hAnsi="宋体"/>
          <w:color w:val="auto"/>
          <w:sz w:val="24"/>
          <w:lang w:eastAsia="zh-CN"/>
        </w:rPr>
      </w:pPr>
      <w:r>
        <w:rPr>
          <w:rFonts w:ascii="宋体" w:hAnsi="宋体" w:hint="eastAsia"/>
          <w:color w:val="auto"/>
          <w:sz w:val="24"/>
          <w:lang w:eastAsia="zh-CN"/>
        </w:rPr>
        <w:t>由此可知，铁炉港潮汐通道过水断面面积小于</w:t>
      </w:r>
      <w:r>
        <w:rPr>
          <w:rFonts w:ascii="宋体" w:hAnsi="宋体" w:hint="eastAsia"/>
          <w:color w:val="auto"/>
          <w:sz w:val="24"/>
          <w:lang w:eastAsia="zh-CN"/>
        </w:rPr>
        <w:t>均衡态条件下的过水断面面积，因此在目前情况下，铁炉港潮汐通道将继续维持现有的过水断面面积和潮汐深槽，不会出现明显的淤积。工程后纳潮量增加，这有利于维持铁炉港潮汐汊道的稳定。</w:t>
      </w:r>
    </w:p>
    <w:p w14:paraId="5F756433"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227" w:name="_Toc463581755"/>
      <w:bookmarkStart w:id="228" w:name="_Toc293070410"/>
      <w:r>
        <w:rPr>
          <w:rFonts w:ascii="Times New Roman" w:eastAsia="Times New Roman" w:hAnsi="Times New Roman" w:cs="Times New Roman" w:hint="eastAsia"/>
          <w:b/>
          <w:bCs/>
          <w:color w:val="auto"/>
          <w:spacing w:val="-3"/>
          <w:sz w:val="28"/>
          <w:szCs w:val="28"/>
          <w:lang w:eastAsia="zh-CN"/>
        </w:rPr>
        <w:t>4.1.7铁炉港水交换能力</w:t>
      </w:r>
      <w:bookmarkEnd w:id="227"/>
      <w:bookmarkEnd w:id="228"/>
      <w:r>
        <w:rPr>
          <w:rFonts w:ascii="Times New Roman" w:eastAsia="Times New Roman" w:hAnsi="Times New Roman" w:cs="Times New Roman" w:hint="eastAsia"/>
          <w:b/>
          <w:bCs/>
          <w:color w:val="auto"/>
          <w:spacing w:val="-3"/>
          <w:sz w:val="28"/>
          <w:szCs w:val="28"/>
          <w:lang w:eastAsia="zh-CN"/>
        </w:rPr>
        <w:t>计算和分析</w:t>
      </w:r>
    </w:p>
    <w:p w14:paraId="3591D3B7" w14:textId="77777777" w:rsidR="0075791A" w:rsidRDefault="00FB2864">
      <w:pPr>
        <w:widowControl w:val="0"/>
        <w:kinsoku/>
        <w:autoSpaceDE/>
        <w:autoSpaceDN/>
        <w:adjustRightInd/>
        <w:snapToGrid/>
        <w:spacing w:line="360" w:lineRule="auto"/>
        <w:jc w:val="both"/>
        <w:textAlignment w:val="auto"/>
        <w:rPr>
          <w:rFonts w:ascii="Times New Roman" w:eastAsia="宋体" w:hAnsi="Times New Roman"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 xml:space="preserve">    </w:t>
      </w:r>
      <w:r>
        <w:rPr>
          <w:rFonts w:ascii="宋体" w:eastAsia="宋体" w:hAnsi="宋体" w:cs="Times New Roman" w:hint="eastAsia"/>
          <w:snapToGrid/>
          <w:color w:val="auto"/>
          <w:kern w:val="2"/>
          <w:sz w:val="24"/>
          <w:szCs w:val="22"/>
          <w:lang w:eastAsia="zh-CN"/>
        </w:rPr>
        <w:t>铁炉港是一个较封闭的潟湖，与外海通过最窄处仅宽约</w:t>
      </w:r>
      <w:r>
        <w:rPr>
          <w:rFonts w:ascii="宋体" w:eastAsia="宋体" w:hAnsi="宋体" w:cs="Times New Roman" w:hint="eastAsia"/>
          <w:snapToGrid/>
          <w:color w:val="auto"/>
          <w:kern w:val="2"/>
          <w:sz w:val="24"/>
          <w:szCs w:val="22"/>
          <w:lang w:eastAsia="zh-CN"/>
        </w:rPr>
        <w:t>120m</w:t>
      </w:r>
      <w:r>
        <w:rPr>
          <w:rFonts w:ascii="宋体" w:eastAsia="宋体" w:hAnsi="宋体" w:cs="Times New Roman" w:hint="eastAsia"/>
          <w:snapToGrid/>
          <w:color w:val="auto"/>
          <w:kern w:val="2"/>
          <w:sz w:val="24"/>
          <w:szCs w:val="22"/>
          <w:lang w:eastAsia="zh-CN"/>
        </w:rPr>
        <w:t>的狭窄潮汐通道相连，铁炉港的水交换能力较弱，特别是内湾距离外海较远，内湾物质向外海输运的距离长，水交换速率较慢。为了研究铁炉港的水体交换能力，探讨铁炉港不同区域的水体半交换周期，在此利用潮流物质输运模型进行数值模拟。模拟假定铁炉港内部的初始相对浓度为</w:t>
      </w:r>
      <w:r>
        <w:rPr>
          <w:rFonts w:ascii="宋体" w:eastAsia="宋体" w:hAnsi="宋体" w:cs="Times New Roman" w:hint="eastAsia"/>
          <w:snapToGrid/>
          <w:color w:val="auto"/>
          <w:kern w:val="2"/>
          <w:sz w:val="24"/>
          <w:szCs w:val="22"/>
          <w:lang w:eastAsia="zh-CN"/>
        </w:rPr>
        <w:t>100(</w:t>
      </w:r>
      <w:r>
        <w:rPr>
          <w:rFonts w:ascii="宋体" w:eastAsia="宋体" w:hAnsi="宋体" w:cs="Times New Roman" w:hint="eastAsia"/>
          <w:snapToGrid/>
          <w:color w:val="auto"/>
          <w:kern w:val="2"/>
          <w:sz w:val="24"/>
          <w:szCs w:val="22"/>
          <w:lang w:eastAsia="zh-CN"/>
        </w:rPr>
        <w:t>见图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-1)</w:t>
      </w:r>
      <w:r>
        <w:rPr>
          <w:rFonts w:ascii="宋体" w:eastAsia="宋体" w:hAnsi="宋体" w:cs="Times New Roman" w:hint="eastAsia"/>
          <w:snapToGrid/>
          <w:color w:val="auto"/>
          <w:kern w:val="2"/>
          <w:sz w:val="24"/>
          <w:szCs w:val="22"/>
          <w:lang w:eastAsia="zh-CN"/>
        </w:rPr>
        <w:t>，模型计算</w:t>
      </w:r>
      <w:r>
        <w:rPr>
          <w:rFonts w:ascii="宋体" w:eastAsia="宋体" w:hAnsi="宋体" w:cs="Times New Roman" w:hint="eastAsia"/>
          <w:snapToGrid/>
          <w:color w:val="auto"/>
          <w:kern w:val="2"/>
          <w:sz w:val="24"/>
          <w:szCs w:val="22"/>
          <w:lang w:eastAsia="zh-CN"/>
        </w:rPr>
        <w:t>100</w:t>
      </w:r>
      <w:r>
        <w:rPr>
          <w:rFonts w:ascii="宋体" w:eastAsia="宋体" w:hAnsi="宋体" w:cs="Times New Roman" w:hint="eastAsia"/>
          <w:snapToGrid/>
          <w:color w:val="auto"/>
          <w:kern w:val="2"/>
          <w:sz w:val="24"/>
          <w:szCs w:val="22"/>
          <w:lang w:eastAsia="zh-CN"/>
        </w:rPr>
        <w:t>天，每隔</w:t>
      </w:r>
      <w:r>
        <w:rPr>
          <w:rFonts w:ascii="宋体" w:eastAsia="宋体" w:hAnsi="宋体" w:cs="Times New Roman" w:hint="eastAsia"/>
          <w:snapToGrid/>
          <w:color w:val="auto"/>
          <w:kern w:val="2"/>
          <w:sz w:val="24"/>
          <w:szCs w:val="22"/>
          <w:lang w:eastAsia="zh-CN"/>
        </w:rPr>
        <w:t>10</w:t>
      </w:r>
      <w:r>
        <w:rPr>
          <w:rFonts w:ascii="宋体" w:eastAsia="宋体" w:hAnsi="宋体" w:cs="Times New Roman" w:hint="eastAsia"/>
          <w:snapToGrid/>
          <w:color w:val="auto"/>
          <w:kern w:val="2"/>
          <w:sz w:val="24"/>
          <w:szCs w:val="22"/>
          <w:lang w:eastAsia="zh-CN"/>
        </w:rPr>
        <w:t>天绘制一张相对浓度等值线图进行分析。</w:t>
      </w:r>
    </w:p>
    <w:p w14:paraId="3673EF7E" w14:textId="77777777" w:rsidR="0075791A" w:rsidRDefault="00FB2864">
      <w:pPr>
        <w:spacing w:before="34" w:line="360" w:lineRule="auto"/>
        <w:ind w:left="5"/>
        <w:outlineLvl w:val="3"/>
        <w:rPr>
          <w:rFonts w:ascii="Times New Roman" w:eastAsia="宋体" w:hAnsi="Times New Roman"/>
          <w:b/>
          <w:color w:val="auto"/>
          <w:sz w:val="24"/>
          <w:szCs w:val="24"/>
          <w:lang w:eastAsia="zh-CN"/>
        </w:rPr>
      </w:pPr>
      <w:bookmarkStart w:id="229" w:name="_Toc293070411"/>
      <w:bookmarkStart w:id="230" w:name="_Toc463581756"/>
      <w:r>
        <w:rPr>
          <w:rFonts w:ascii="Times New Roman" w:eastAsia="宋体" w:hAnsi="Times New Roman" w:hint="eastAsia"/>
          <w:b/>
          <w:color w:val="auto"/>
          <w:sz w:val="24"/>
          <w:szCs w:val="24"/>
          <w:lang w:eastAsia="zh-CN"/>
        </w:rPr>
        <w:t xml:space="preserve">4.1.7.1 </w:t>
      </w:r>
      <w:bookmarkEnd w:id="229"/>
      <w:r>
        <w:rPr>
          <w:rFonts w:ascii="Times New Roman" w:eastAsia="宋体" w:hAnsi="Times New Roman" w:hint="eastAsia"/>
          <w:b/>
          <w:color w:val="auto"/>
          <w:sz w:val="24"/>
          <w:szCs w:val="24"/>
          <w:lang w:eastAsia="zh-CN"/>
        </w:rPr>
        <w:t>水交换计算方法</w:t>
      </w:r>
      <w:bookmarkEnd w:id="230"/>
    </w:p>
    <w:p w14:paraId="18B790B7" w14:textId="77777777" w:rsidR="0075791A" w:rsidRDefault="00FB2864">
      <w:pPr>
        <w:widowControl w:val="0"/>
        <w:kinsoku/>
        <w:autoSpaceDE/>
        <w:autoSpaceDN/>
        <w:adjustRightInd/>
        <w:spacing w:line="360" w:lineRule="auto"/>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 xml:space="preserve">    </w:t>
      </w:r>
      <w:r>
        <w:rPr>
          <w:rFonts w:ascii="宋体" w:eastAsia="宋体" w:hAnsi="宋体" w:cs="Times New Roman" w:hint="eastAsia"/>
          <w:snapToGrid/>
          <w:color w:val="auto"/>
          <w:kern w:val="2"/>
          <w:sz w:val="24"/>
          <w:szCs w:val="22"/>
          <w:lang w:eastAsia="zh-CN"/>
        </w:rPr>
        <w:t>根据《水运工程模拟试验技术规范》（</w:t>
      </w:r>
      <w:r>
        <w:rPr>
          <w:rFonts w:ascii="宋体" w:eastAsia="宋体" w:hAnsi="宋体" w:cs="Times New Roman" w:hint="eastAsia"/>
          <w:snapToGrid/>
          <w:color w:val="auto"/>
          <w:kern w:val="2"/>
          <w:sz w:val="24"/>
          <w:szCs w:val="22"/>
          <w:lang w:eastAsia="zh-CN"/>
        </w:rPr>
        <w:t>JTS/T231-2021</w:t>
      </w:r>
      <w:r>
        <w:rPr>
          <w:rFonts w:ascii="宋体" w:eastAsia="宋体" w:hAnsi="宋体" w:cs="Times New Roman" w:hint="eastAsia"/>
          <w:snapToGrid/>
          <w:color w:val="auto"/>
          <w:kern w:val="2"/>
          <w:sz w:val="24"/>
          <w:szCs w:val="22"/>
          <w:lang w:eastAsia="zh-CN"/>
        </w:rPr>
        <w:t>）及</w:t>
      </w:r>
      <w:r>
        <w:rPr>
          <w:rFonts w:ascii="宋体" w:eastAsia="宋体" w:hAnsi="宋体" w:cs="Times New Roman" w:hint="eastAsia"/>
          <w:snapToGrid/>
          <w:color w:val="auto"/>
          <w:kern w:val="2"/>
          <w:sz w:val="24"/>
          <w:szCs w:val="22"/>
          <w:lang w:eastAsia="zh-CN"/>
        </w:rPr>
        <w:t>有关研究方法，建立工程海域二维潮流泥沙输运扩散模型。用差分方法对二维潮流及物质输运扩散基本方程组（如下）进行离散，得到离散方程组，根据潮流模型计算出的水位、流速，从而得出在潮流动力作用下的水体含沙量分布。考虑滩地随涨、落潮或淹没或露出，采用活动边界技术，以保证计算的精度和连续性。</w:t>
      </w:r>
    </w:p>
    <w:p w14:paraId="55376B16" w14:textId="77777777" w:rsidR="0075791A" w:rsidRDefault="00FB2864">
      <w:pPr>
        <w:widowControl w:val="0"/>
        <w:kinsoku/>
        <w:autoSpaceDE/>
        <w:autoSpaceDN/>
        <w:adjustRightInd/>
        <w:spacing w:line="360" w:lineRule="auto"/>
        <w:ind w:firstLineChars="200" w:firstLine="482"/>
        <w:jc w:val="both"/>
        <w:textAlignment w:val="auto"/>
        <w:rPr>
          <w:rFonts w:ascii="宋体" w:eastAsia="宋体" w:hAnsi="宋体" w:cs="Times New Roman"/>
          <w:b/>
          <w:snapToGrid/>
          <w:color w:val="auto"/>
          <w:kern w:val="2"/>
          <w:sz w:val="24"/>
          <w:szCs w:val="22"/>
          <w:lang w:eastAsia="zh-CN"/>
        </w:rPr>
      </w:pPr>
      <w:r>
        <w:rPr>
          <w:rFonts w:ascii="宋体" w:eastAsia="宋体" w:hAnsi="宋体" w:cs="Times New Roman" w:hint="eastAsia"/>
          <w:b/>
          <w:snapToGrid/>
          <w:color w:val="auto"/>
          <w:kern w:val="2"/>
          <w:sz w:val="24"/>
          <w:szCs w:val="22"/>
          <w:lang w:eastAsia="zh-CN"/>
        </w:rPr>
        <w:t>(1)</w:t>
      </w:r>
      <w:r>
        <w:rPr>
          <w:rFonts w:ascii="宋体" w:eastAsia="宋体" w:hAnsi="宋体" w:cs="Times New Roman" w:hint="eastAsia"/>
          <w:b/>
          <w:snapToGrid/>
          <w:color w:val="auto"/>
          <w:kern w:val="2"/>
          <w:sz w:val="24"/>
          <w:szCs w:val="22"/>
          <w:lang w:eastAsia="zh-CN"/>
        </w:rPr>
        <w:t>二维物质输运扩散基本方程</w:t>
      </w:r>
    </w:p>
    <w:p w14:paraId="4A140415" w14:textId="77777777" w:rsidR="0075791A" w:rsidRDefault="00FB2864">
      <w:pPr>
        <w:widowControl w:val="0"/>
        <w:kinsoku/>
        <w:autoSpaceDE/>
        <w:autoSpaceDN/>
        <w:adjustRightInd/>
        <w:spacing w:line="360" w:lineRule="auto"/>
        <w:ind w:firstLineChars="50" w:firstLine="12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 xml:space="preserve">  </w:t>
      </w:r>
      <w:r>
        <w:rPr>
          <w:rFonts w:ascii="宋体" w:eastAsia="宋体" w:hAnsi="宋体" w:cs="Times New Roman"/>
          <w:snapToGrid/>
          <w:color w:val="auto"/>
          <w:kern w:val="2"/>
          <w:position w:val="-30"/>
          <w:sz w:val="24"/>
          <w:szCs w:val="22"/>
          <w:lang w:eastAsia="zh-CN"/>
        </w:rPr>
        <w:object w:dxaOrig="7150" w:dyaOrig="701" w14:anchorId="681FCF1E">
          <v:shape id="_x0000_i1060" type="#_x0000_t75" style="width:357.5pt;height:35pt" o:ole="">
            <v:imagedata r:id="rId189" o:title=""/>
          </v:shape>
          <o:OLEObject Type="Embed" ProgID="Equation.DSMT4" ShapeID="_x0000_i1060" DrawAspect="Content" ObjectID="_1838358256" r:id="rId190"/>
        </w:object>
      </w:r>
      <w:r>
        <w:rPr>
          <w:rFonts w:ascii="宋体" w:eastAsia="宋体" w:hAnsi="宋体" w:cs="Times New Roman" w:hint="eastAsia"/>
          <w:snapToGrid/>
          <w:color w:val="auto"/>
          <w:kern w:val="2"/>
          <w:sz w:val="24"/>
          <w:szCs w:val="22"/>
          <w:lang w:eastAsia="zh-CN"/>
        </w:rPr>
        <w:t xml:space="preserve"> (</w:t>
      </w:r>
      <w:r>
        <w:rPr>
          <w:rFonts w:ascii="宋体" w:eastAsia="宋体" w:hAnsi="宋体" w:cs="Times New Roman" w:hint="eastAsia"/>
          <w:snapToGrid/>
          <w:color w:val="auto"/>
          <w:kern w:val="2"/>
          <w:sz w:val="24"/>
          <w:szCs w:val="22"/>
          <w:lang w:eastAsia="zh-CN"/>
        </w:rPr>
        <w:t>4</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szCs w:val="22"/>
          <w:lang w:eastAsia="zh-CN"/>
        </w:rPr>
        <w:t>8</w:t>
      </w:r>
      <w:r>
        <w:rPr>
          <w:rFonts w:ascii="宋体" w:eastAsia="宋体" w:hAnsi="宋体" w:cs="Times New Roman" w:hint="eastAsia"/>
          <w:snapToGrid/>
          <w:color w:val="auto"/>
          <w:kern w:val="2"/>
          <w:sz w:val="24"/>
          <w:szCs w:val="22"/>
          <w:lang w:eastAsia="zh-CN"/>
        </w:rPr>
        <w:t>)</w:t>
      </w:r>
    </w:p>
    <w:p w14:paraId="7CED7257" w14:textId="77777777" w:rsidR="0075791A" w:rsidRDefault="00FB2864">
      <w:pPr>
        <w:widowControl w:val="0"/>
        <w:kinsoku/>
        <w:autoSpaceDE/>
        <w:autoSpaceDN/>
        <w:adjustRightInd/>
        <w:spacing w:line="360" w:lineRule="auto"/>
        <w:ind w:firstLine="480"/>
        <w:textAlignment w:val="auto"/>
        <w:rPr>
          <w:rFonts w:ascii="宋体" w:eastAsia="宋体" w:hAnsi="宋体" w:cs="Times New Roman"/>
          <w:snapToGrid/>
          <w:color w:val="auto"/>
          <w:kern w:val="2"/>
          <w:sz w:val="24"/>
          <w:szCs w:val="22"/>
          <w:lang w:eastAsia="zh-CN"/>
        </w:rPr>
      </w:pPr>
      <w:r>
        <w:rPr>
          <w:rFonts w:ascii="宋体" w:eastAsia="宋体" w:hAnsi="宋体" w:cs="Times New Roman"/>
          <w:snapToGrid/>
          <w:color w:val="auto"/>
          <w:kern w:val="2"/>
          <w:sz w:val="24"/>
          <w:szCs w:val="22"/>
          <w:lang w:eastAsia="zh-CN"/>
        </w:rPr>
        <w:t>式中：</w:t>
      </w:r>
      <w:r>
        <w:rPr>
          <w:rFonts w:ascii="宋体" w:eastAsia="宋体" w:hAnsi="宋体" w:cs="Times New Roman"/>
          <w:snapToGrid/>
          <w:color w:val="auto"/>
          <w:kern w:val="2"/>
          <w:sz w:val="24"/>
          <w:szCs w:val="22"/>
          <w:lang w:eastAsia="zh-CN"/>
        </w:rPr>
        <w:t>c</w:t>
      </w:r>
      <w:r>
        <w:rPr>
          <w:rFonts w:ascii="宋体" w:eastAsia="宋体" w:hAnsi="宋体" w:cs="Times New Roman"/>
          <w:snapToGrid/>
          <w:color w:val="auto"/>
          <w:kern w:val="2"/>
          <w:sz w:val="24"/>
          <w:szCs w:val="22"/>
          <w:lang w:eastAsia="zh-CN"/>
        </w:rPr>
        <w:t>为污染物浓度</w:t>
      </w:r>
      <w:r>
        <w:rPr>
          <w:rFonts w:ascii="宋体" w:eastAsia="宋体" w:hAnsi="宋体" w:cs="Times New Roman" w:hint="eastAsia"/>
          <w:snapToGrid/>
          <w:color w:val="auto"/>
          <w:kern w:val="2"/>
          <w:sz w:val="24"/>
          <w:szCs w:val="22"/>
          <w:lang w:eastAsia="zh-CN"/>
        </w:rPr>
        <w:t>，在本次研究中为示踪浓度，即采用相对浓度</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u</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v</w:t>
      </w:r>
      <w:r>
        <w:rPr>
          <w:rFonts w:ascii="宋体" w:eastAsia="宋体" w:hAnsi="宋体" w:cs="Times New Roman"/>
          <w:snapToGrid/>
          <w:color w:val="auto"/>
          <w:kern w:val="2"/>
          <w:sz w:val="24"/>
          <w:szCs w:val="22"/>
          <w:lang w:eastAsia="zh-CN"/>
        </w:rPr>
        <w:t>为</w:t>
      </w:r>
      <w:r>
        <w:rPr>
          <w:rFonts w:ascii="宋体" w:eastAsia="宋体" w:hAnsi="宋体" w:cs="Times New Roman"/>
          <w:snapToGrid/>
          <w:color w:val="auto"/>
          <w:kern w:val="2"/>
          <w:sz w:val="24"/>
          <w:szCs w:val="22"/>
          <w:lang w:eastAsia="zh-CN"/>
        </w:rPr>
        <w:t>x</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y</w:t>
      </w:r>
      <w:r>
        <w:rPr>
          <w:rFonts w:ascii="宋体" w:eastAsia="宋体" w:hAnsi="宋体" w:cs="Times New Roman"/>
          <w:snapToGrid/>
          <w:color w:val="auto"/>
          <w:kern w:val="2"/>
          <w:sz w:val="24"/>
          <w:szCs w:val="22"/>
          <w:lang w:eastAsia="zh-CN"/>
        </w:rPr>
        <w:t>方向的速度分量（</w:t>
      </w:r>
      <w:r>
        <w:rPr>
          <w:rFonts w:ascii="宋体" w:eastAsia="宋体" w:hAnsi="宋体" w:cs="Times New Roman"/>
          <w:snapToGrid/>
          <w:color w:val="auto"/>
          <w:kern w:val="2"/>
          <w:sz w:val="24"/>
          <w:szCs w:val="22"/>
          <w:lang w:eastAsia="zh-CN"/>
        </w:rPr>
        <w:t>m/s</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h</w:t>
      </w:r>
      <w:r>
        <w:rPr>
          <w:rFonts w:ascii="宋体" w:eastAsia="宋体" w:hAnsi="宋体" w:cs="Times New Roman"/>
          <w:snapToGrid/>
          <w:color w:val="auto"/>
          <w:kern w:val="2"/>
          <w:sz w:val="24"/>
          <w:szCs w:val="22"/>
          <w:lang w:eastAsia="zh-CN"/>
        </w:rPr>
        <w:t>为水深（</w:t>
      </w:r>
      <w:r>
        <w:rPr>
          <w:rFonts w:ascii="宋体" w:eastAsia="宋体" w:hAnsi="宋体" w:cs="Times New Roman"/>
          <w:snapToGrid/>
          <w:color w:val="auto"/>
          <w:kern w:val="2"/>
          <w:sz w:val="24"/>
          <w:szCs w:val="22"/>
          <w:lang w:eastAsia="zh-CN"/>
        </w:rPr>
        <w:t>m</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D</w:t>
      </w:r>
      <w:r>
        <w:rPr>
          <w:rFonts w:ascii="宋体" w:eastAsia="宋体" w:hAnsi="宋体" w:cs="Times New Roman"/>
          <w:snapToGrid/>
          <w:color w:val="auto"/>
          <w:kern w:val="2"/>
          <w:sz w:val="24"/>
          <w:szCs w:val="22"/>
          <w:vertAlign w:val="subscript"/>
          <w:lang w:eastAsia="zh-CN"/>
        </w:rPr>
        <w:t>x</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D</w:t>
      </w:r>
      <w:r>
        <w:rPr>
          <w:rFonts w:ascii="宋体" w:eastAsia="宋体" w:hAnsi="宋体" w:cs="Times New Roman"/>
          <w:snapToGrid/>
          <w:color w:val="auto"/>
          <w:kern w:val="2"/>
          <w:sz w:val="24"/>
          <w:szCs w:val="22"/>
          <w:vertAlign w:val="subscript"/>
          <w:lang w:eastAsia="zh-CN"/>
        </w:rPr>
        <w:t>y</w:t>
      </w:r>
      <w:r>
        <w:rPr>
          <w:rFonts w:ascii="宋体" w:eastAsia="宋体" w:hAnsi="宋体" w:cs="Times New Roman"/>
          <w:snapToGrid/>
          <w:color w:val="auto"/>
          <w:kern w:val="2"/>
          <w:sz w:val="24"/>
          <w:szCs w:val="22"/>
          <w:lang w:eastAsia="zh-CN"/>
        </w:rPr>
        <w:t>为</w:t>
      </w:r>
      <w:r>
        <w:rPr>
          <w:rFonts w:ascii="宋体" w:eastAsia="宋体" w:hAnsi="宋体" w:cs="Times New Roman"/>
          <w:snapToGrid/>
          <w:color w:val="auto"/>
          <w:kern w:val="2"/>
          <w:sz w:val="24"/>
          <w:szCs w:val="22"/>
          <w:lang w:eastAsia="zh-CN"/>
        </w:rPr>
        <w:t>x</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y</w:t>
      </w:r>
      <w:r>
        <w:rPr>
          <w:rFonts w:ascii="宋体" w:eastAsia="宋体" w:hAnsi="宋体" w:cs="Times New Roman"/>
          <w:snapToGrid/>
          <w:color w:val="auto"/>
          <w:kern w:val="2"/>
          <w:sz w:val="24"/>
          <w:szCs w:val="22"/>
          <w:lang w:eastAsia="zh-CN"/>
        </w:rPr>
        <w:t>方向的扩散系数（</w:t>
      </w:r>
      <w:r>
        <w:rPr>
          <w:rFonts w:ascii="宋体" w:eastAsia="宋体" w:hAnsi="宋体" w:cs="Times New Roman"/>
          <w:snapToGrid/>
          <w:color w:val="auto"/>
          <w:kern w:val="2"/>
          <w:sz w:val="24"/>
          <w:szCs w:val="22"/>
          <w:lang w:eastAsia="zh-CN"/>
        </w:rPr>
        <w:t>m</w:t>
      </w:r>
      <w:r>
        <w:rPr>
          <w:rFonts w:ascii="宋体" w:eastAsia="宋体" w:hAnsi="宋体" w:cs="Times New Roman"/>
          <w:snapToGrid/>
          <w:color w:val="auto"/>
          <w:kern w:val="2"/>
          <w:sz w:val="24"/>
          <w:szCs w:val="22"/>
          <w:vertAlign w:val="superscript"/>
          <w:lang w:eastAsia="zh-CN"/>
        </w:rPr>
        <w:t>2</w:t>
      </w:r>
      <w:r>
        <w:rPr>
          <w:rFonts w:ascii="宋体" w:eastAsia="宋体" w:hAnsi="宋体" w:cs="Times New Roman"/>
          <w:snapToGrid/>
          <w:color w:val="auto"/>
          <w:kern w:val="2"/>
          <w:sz w:val="24"/>
          <w:szCs w:val="22"/>
          <w:lang w:eastAsia="zh-CN"/>
        </w:rPr>
        <w:t>/s</w:t>
      </w:r>
      <w:r>
        <w:rPr>
          <w:rFonts w:ascii="宋体" w:eastAsia="宋体" w:hAnsi="宋体" w:cs="Times New Roman"/>
          <w:snapToGrid/>
          <w:color w:val="auto"/>
          <w:kern w:val="2"/>
          <w:sz w:val="24"/>
          <w:szCs w:val="22"/>
          <w:lang w:eastAsia="zh-CN"/>
        </w:rPr>
        <w:t>）</w:t>
      </w:r>
      <w:r>
        <w:rPr>
          <w:rFonts w:ascii="宋体" w:eastAsia="宋体" w:hAnsi="宋体" w:cs="Times New Roman" w:hint="eastAsia"/>
          <w:snapToGrid/>
          <w:color w:val="auto"/>
          <w:kern w:val="2"/>
          <w:sz w:val="24"/>
          <w:szCs w:val="22"/>
          <w:lang w:eastAsia="zh-CN"/>
        </w:rPr>
        <w:t>，悬沙紊动扩散系数</w:t>
      </w:r>
      <w:r>
        <w:rPr>
          <w:rFonts w:ascii="宋体" w:eastAsia="宋体" w:hAnsi="宋体" w:cs="Times New Roman"/>
          <w:snapToGrid/>
          <w:color w:val="auto"/>
          <w:kern w:val="2"/>
          <w:position w:val="-12"/>
          <w:sz w:val="24"/>
          <w:szCs w:val="22"/>
          <w:lang w:eastAsia="zh-CN"/>
        </w:rPr>
        <w:object w:dxaOrig="338" w:dyaOrig="363" w14:anchorId="2759B267">
          <v:shape id="_x0000_i1061" type="#_x0000_t75" style="width:17pt;height:18pt" o:ole="">
            <v:imagedata r:id="rId191" o:title=""/>
          </v:shape>
          <o:OLEObject Type="Embed" ProgID="Equation.3" ShapeID="_x0000_i1061" DrawAspect="Content" ObjectID="_1838358257" r:id="rId192"/>
        </w:object>
      </w:r>
      <w:r>
        <w:rPr>
          <w:rFonts w:ascii="宋体" w:eastAsia="宋体" w:hAnsi="宋体" w:cs="Times New Roman" w:hint="eastAsia"/>
          <w:snapToGrid/>
          <w:color w:val="auto"/>
          <w:kern w:val="2"/>
          <w:sz w:val="24"/>
          <w:szCs w:val="22"/>
          <w:lang w:eastAsia="zh-CN"/>
        </w:rPr>
        <w:t>和</w:t>
      </w:r>
      <w:r>
        <w:rPr>
          <w:rFonts w:ascii="宋体" w:eastAsia="宋体" w:hAnsi="宋体" w:cs="Times New Roman"/>
          <w:snapToGrid/>
          <w:color w:val="auto"/>
          <w:kern w:val="2"/>
          <w:position w:val="-14"/>
          <w:sz w:val="24"/>
          <w:szCs w:val="22"/>
          <w:lang w:eastAsia="zh-CN"/>
        </w:rPr>
        <w:object w:dxaOrig="338" w:dyaOrig="376" w14:anchorId="371DE09A">
          <v:shape id="_x0000_i1062" type="#_x0000_t75" style="width:17pt;height:19pt" o:ole="">
            <v:imagedata r:id="rId193" o:title=""/>
          </v:shape>
          <o:OLEObject Type="Embed" ProgID="Equation.3" ShapeID="_x0000_i1062" DrawAspect="Content" ObjectID="_1838358258" r:id="rId194"/>
        </w:object>
      </w:r>
      <w:r>
        <w:rPr>
          <w:rFonts w:ascii="宋体" w:eastAsia="宋体" w:hAnsi="宋体" w:cs="Times New Roman" w:hint="eastAsia"/>
          <w:snapToGrid/>
          <w:color w:val="auto"/>
          <w:kern w:val="2"/>
          <w:sz w:val="24"/>
          <w:szCs w:val="22"/>
          <w:lang w:eastAsia="zh-CN"/>
        </w:rPr>
        <w:t>可取与相应的水流紊动粘性系数</w:t>
      </w:r>
      <w:r>
        <w:rPr>
          <w:rFonts w:ascii="宋体" w:eastAsia="宋体" w:hAnsi="宋体" w:cs="Times New Roman"/>
          <w:snapToGrid/>
          <w:color w:val="auto"/>
          <w:kern w:val="2"/>
          <w:position w:val="-12"/>
          <w:sz w:val="24"/>
          <w:szCs w:val="22"/>
          <w:lang w:eastAsia="zh-CN"/>
        </w:rPr>
        <w:object w:dxaOrig="338" w:dyaOrig="363" w14:anchorId="103E3CDB">
          <v:shape id="_x0000_i1063" type="#_x0000_t75" style="width:17pt;height:18pt" o:ole="">
            <v:imagedata r:id="rId195" o:title=""/>
          </v:shape>
          <o:OLEObject Type="Embed" ProgID="Equation.3" ShapeID="_x0000_i1063" DrawAspect="Content" ObjectID="_1838358259" r:id="rId196"/>
        </w:object>
      </w:r>
      <w:r>
        <w:rPr>
          <w:rFonts w:ascii="宋体" w:eastAsia="宋体" w:hAnsi="宋体" w:cs="Times New Roman" w:hint="eastAsia"/>
          <w:snapToGrid/>
          <w:color w:val="auto"/>
          <w:kern w:val="2"/>
          <w:sz w:val="24"/>
          <w:szCs w:val="22"/>
          <w:lang w:eastAsia="zh-CN"/>
        </w:rPr>
        <w:t>，</w:t>
      </w:r>
      <w:r>
        <w:rPr>
          <w:rFonts w:ascii="宋体" w:eastAsia="宋体" w:hAnsi="宋体" w:cs="Times New Roman"/>
          <w:snapToGrid/>
          <w:color w:val="auto"/>
          <w:kern w:val="2"/>
          <w:position w:val="-12"/>
          <w:sz w:val="24"/>
          <w:szCs w:val="22"/>
          <w:lang w:eastAsia="zh-CN"/>
        </w:rPr>
        <w:object w:dxaOrig="338" w:dyaOrig="376" w14:anchorId="3EB146EB">
          <v:shape id="_x0000_i1064" type="#_x0000_t75" style="width:17pt;height:19pt" o:ole="">
            <v:imagedata r:id="rId197" o:title=""/>
          </v:shape>
          <o:OLEObject Type="Embed" ProgID="Equation.3" ShapeID="_x0000_i1064" DrawAspect="Content" ObjectID="_1838358260" r:id="rId198"/>
        </w:object>
      </w:r>
      <w:r>
        <w:rPr>
          <w:rFonts w:ascii="宋体" w:eastAsia="宋体" w:hAnsi="宋体" w:cs="Times New Roman" w:hint="eastAsia"/>
          <w:snapToGrid/>
          <w:color w:val="auto"/>
          <w:kern w:val="2"/>
          <w:sz w:val="24"/>
          <w:szCs w:val="22"/>
          <w:lang w:eastAsia="zh-CN"/>
        </w:rPr>
        <w:t>相同数值，其取值范围为</w:t>
      </w:r>
      <w:r>
        <w:rPr>
          <w:rFonts w:ascii="宋体" w:eastAsia="宋体" w:hAnsi="宋体" w:cs="Times New Roman" w:hint="eastAsia"/>
          <w:snapToGrid/>
          <w:color w:val="auto"/>
          <w:kern w:val="2"/>
          <w:sz w:val="24"/>
          <w:szCs w:val="22"/>
          <w:lang w:eastAsia="zh-CN"/>
        </w:rPr>
        <w:t>50</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szCs w:val="22"/>
          <w:lang w:eastAsia="zh-CN"/>
        </w:rPr>
        <w:t>500m</w:t>
      </w:r>
      <w:r>
        <w:rPr>
          <w:rFonts w:ascii="宋体" w:eastAsia="宋体" w:hAnsi="宋体" w:cs="Times New Roman" w:hint="eastAsia"/>
          <w:snapToGrid/>
          <w:color w:val="auto"/>
          <w:kern w:val="2"/>
          <w:sz w:val="24"/>
          <w:szCs w:val="22"/>
          <w:vertAlign w:val="superscript"/>
          <w:lang w:eastAsia="zh-CN"/>
        </w:rPr>
        <w:t>2</w:t>
      </w:r>
      <w:r>
        <w:rPr>
          <w:rFonts w:ascii="宋体" w:eastAsia="宋体" w:hAnsi="宋体" w:cs="Times New Roman" w:hint="eastAsia"/>
          <w:snapToGrid/>
          <w:color w:val="auto"/>
          <w:kern w:val="2"/>
          <w:sz w:val="24"/>
          <w:szCs w:val="22"/>
          <w:lang w:eastAsia="zh-CN"/>
        </w:rPr>
        <w:t>/s</w:t>
      </w:r>
      <w:r>
        <w:rPr>
          <w:rFonts w:ascii="宋体" w:eastAsia="宋体" w:hAnsi="宋体" w:cs="Times New Roman" w:hint="eastAsia"/>
          <w:snapToGrid/>
          <w:color w:val="auto"/>
          <w:kern w:val="2"/>
          <w:sz w:val="24"/>
          <w:szCs w:val="22"/>
          <w:lang w:eastAsia="zh-CN"/>
        </w:rPr>
        <w:t>；</w:t>
      </w:r>
      <w:r>
        <w:rPr>
          <w:rFonts w:ascii="宋体" w:eastAsia="宋体" w:hAnsi="宋体" w:cs="Times New Roman"/>
          <w:snapToGrid/>
          <w:color w:val="auto"/>
          <w:kern w:val="2"/>
          <w:sz w:val="24"/>
          <w:szCs w:val="22"/>
          <w:lang w:eastAsia="zh-CN"/>
        </w:rPr>
        <w:t>F</w:t>
      </w:r>
      <w:r>
        <w:rPr>
          <w:rFonts w:ascii="宋体" w:eastAsia="宋体" w:hAnsi="宋体" w:cs="Times New Roman"/>
          <w:snapToGrid/>
          <w:color w:val="auto"/>
          <w:kern w:val="2"/>
          <w:sz w:val="24"/>
          <w:szCs w:val="22"/>
          <w:lang w:eastAsia="zh-CN"/>
        </w:rPr>
        <w:t>为衰减系数（</w:t>
      </w:r>
      <w:r>
        <w:rPr>
          <w:rFonts w:ascii="宋体" w:eastAsia="宋体" w:hAnsi="宋体" w:cs="Times New Roman"/>
          <w:snapToGrid/>
          <w:color w:val="auto"/>
          <w:kern w:val="2"/>
          <w:position w:val="-24"/>
          <w:sz w:val="24"/>
          <w:szCs w:val="22"/>
          <w:lang w:eastAsia="zh-CN"/>
        </w:rPr>
        <w:object w:dxaOrig="977" w:dyaOrig="626" w14:anchorId="31FA8967">
          <v:shape id="_x0000_i1065" type="#_x0000_t75" style="width:49pt;height:31.5pt" o:ole="">
            <v:imagedata r:id="rId199" o:title=""/>
          </v:shape>
          <o:OLEObject Type="Embed" ProgID="Equation.3" ShapeID="_x0000_i1065" DrawAspect="Content" ObjectID="_1838358261" r:id="rId200"/>
        </w:object>
      </w:r>
      <w:r>
        <w:rPr>
          <w:rFonts w:ascii="宋体" w:eastAsia="宋体" w:hAnsi="宋体" w:cs="Times New Roman"/>
          <w:snapToGrid/>
          <w:color w:val="auto"/>
          <w:kern w:val="2"/>
          <w:sz w:val="24"/>
          <w:szCs w:val="22"/>
          <w:lang w:eastAsia="zh-CN"/>
        </w:rPr>
        <w:t>）</w:t>
      </w:r>
      <w:r>
        <w:rPr>
          <w:rFonts w:ascii="宋体" w:eastAsia="宋体" w:hAnsi="宋体" w:cs="Times New Roman" w:hint="eastAsia"/>
          <w:snapToGrid/>
          <w:color w:val="auto"/>
          <w:kern w:val="2"/>
          <w:sz w:val="24"/>
          <w:szCs w:val="22"/>
          <w:lang w:eastAsia="zh-CN"/>
        </w:rPr>
        <w:t>，本次研究不考虑物质的降解，即示踪物为保守物质</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S</w:t>
      </w:r>
      <w:r>
        <w:rPr>
          <w:rFonts w:ascii="宋体" w:eastAsia="宋体" w:hAnsi="宋体" w:cs="Times New Roman"/>
          <w:snapToGrid/>
          <w:color w:val="auto"/>
          <w:kern w:val="2"/>
          <w:sz w:val="24"/>
          <w:szCs w:val="22"/>
          <w:lang w:eastAsia="zh-CN"/>
        </w:rPr>
        <w:t>为源漏项（</w:t>
      </w:r>
      <w:r>
        <w:rPr>
          <w:rFonts w:ascii="宋体" w:eastAsia="宋体" w:hAnsi="宋体" w:cs="Times New Roman"/>
          <w:snapToGrid/>
          <w:color w:val="auto"/>
          <w:kern w:val="2"/>
          <w:sz w:val="24"/>
          <w:szCs w:val="22"/>
          <w:lang w:eastAsia="zh-CN"/>
        </w:rPr>
        <w:t>m</w:t>
      </w:r>
      <w:r>
        <w:rPr>
          <w:rFonts w:ascii="宋体" w:eastAsia="宋体" w:hAnsi="宋体" w:cs="Times New Roman"/>
          <w:snapToGrid/>
          <w:color w:val="auto"/>
          <w:kern w:val="2"/>
          <w:sz w:val="24"/>
          <w:szCs w:val="22"/>
          <w:vertAlign w:val="superscript"/>
          <w:lang w:eastAsia="zh-CN"/>
        </w:rPr>
        <w:t>3</w:t>
      </w:r>
      <w:r>
        <w:rPr>
          <w:rFonts w:ascii="宋体" w:eastAsia="宋体" w:hAnsi="宋体" w:cs="Times New Roman"/>
          <w:snapToGrid/>
          <w:color w:val="auto"/>
          <w:kern w:val="2"/>
          <w:sz w:val="24"/>
          <w:szCs w:val="22"/>
          <w:lang w:eastAsia="zh-CN"/>
        </w:rPr>
        <w:t>/s/m</w:t>
      </w:r>
      <w:r>
        <w:rPr>
          <w:rFonts w:ascii="宋体" w:eastAsia="宋体" w:hAnsi="宋体" w:cs="Times New Roman"/>
          <w:snapToGrid/>
          <w:color w:val="auto"/>
          <w:kern w:val="2"/>
          <w:sz w:val="24"/>
          <w:szCs w:val="22"/>
          <w:vertAlign w:val="superscript"/>
          <w:lang w:eastAsia="zh-CN"/>
        </w:rPr>
        <w:t>2</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u</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v</w:t>
      </w:r>
      <w:r>
        <w:rPr>
          <w:rFonts w:ascii="宋体" w:eastAsia="宋体" w:hAnsi="宋体" w:cs="Times New Roman"/>
          <w:snapToGrid/>
          <w:color w:val="auto"/>
          <w:kern w:val="2"/>
          <w:sz w:val="24"/>
          <w:szCs w:val="22"/>
          <w:lang w:eastAsia="zh-CN"/>
        </w:rPr>
        <w:t>和</w:t>
      </w:r>
      <w:r>
        <w:rPr>
          <w:rFonts w:ascii="宋体" w:eastAsia="宋体" w:hAnsi="宋体" w:cs="Times New Roman"/>
          <w:snapToGrid/>
          <w:color w:val="auto"/>
          <w:kern w:val="2"/>
          <w:sz w:val="24"/>
          <w:szCs w:val="22"/>
          <w:lang w:eastAsia="zh-CN"/>
        </w:rPr>
        <w:t>h</w:t>
      </w:r>
      <w:r>
        <w:rPr>
          <w:rFonts w:ascii="宋体" w:eastAsia="宋体" w:hAnsi="宋体" w:cs="Times New Roman"/>
          <w:snapToGrid/>
          <w:color w:val="auto"/>
          <w:kern w:val="2"/>
          <w:sz w:val="24"/>
          <w:szCs w:val="22"/>
          <w:lang w:eastAsia="zh-CN"/>
        </w:rPr>
        <w:t>由水动力模型提供。</w:t>
      </w:r>
    </w:p>
    <w:p w14:paraId="3C487635" w14:textId="77777777" w:rsidR="0075791A" w:rsidRDefault="00FB2864">
      <w:pPr>
        <w:widowControl w:val="0"/>
        <w:kinsoku/>
        <w:autoSpaceDE/>
        <w:autoSpaceDN/>
        <w:adjustRightIn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snapToGrid/>
          <w:color w:val="auto"/>
          <w:kern w:val="2"/>
          <w:sz w:val="24"/>
          <w:szCs w:val="22"/>
          <w:lang w:eastAsia="zh-CN"/>
        </w:rPr>
        <w:t>采用三阶有限差分格式进行离散，上述</w:t>
      </w:r>
      <w:r>
        <w:rPr>
          <w:rFonts w:ascii="宋体" w:eastAsia="宋体" w:hAnsi="宋体" w:cs="Times New Roman" w:hint="eastAsia"/>
          <w:snapToGrid/>
          <w:color w:val="auto"/>
          <w:kern w:val="2"/>
          <w:sz w:val="24"/>
          <w:szCs w:val="22"/>
          <w:lang w:eastAsia="zh-CN"/>
        </w:rPr>
        <w:t>方程</w:t>
      </w:r>
      <w:r>
        <w:rPr>
          <w:rFonts w:ascii="宋体" w:eastAsia="宋体" w:hAnsi="宋体" w:cs="Times New Roman"/>
          <w:snapToGrid/>
          <w:color w:val="auto"/>
          <w:kern w:val="2"/>
          <w:sz w:val="24"/>
          <w:szCs w:val="22"/>
          <w:lang w:eastAsia="zh-CN"/>
        </w:rPr>
        <w:t>的定解条件为：</w:t>
      </w:r>
    </w:p>
    <w:p w14:paraId="42EB99CF" w14:textId="77777777" w:rsidR="0075791A" w:rsidRDefault="00FB2864">
      <w:pPr>
        <w:widowControl w:val="0"/>
        <w:kinsoku/>
        <w:autoSpaceDE/>
        <w:autoSpaceDN/>
        <w:adjustRightIn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snapToGrid/>
          <w:color w:val="auto"/>
          <w:kern w:val="2"/>
          <w:sz w:val="24"/>
          <w:szCs w:val="22"/>
          <w:lang w:eastAsia="zh-CN"/>
        </w:rPr>
        <w:lastRenderedPageBreak/>
        <w:t>初始条件：</w:t>
      </w:r>
      <w:r>
        <w:rPr>
          <w:rFonts w:ascii="宋体" w:eastAsia="宋体" w:hAnsi="宋体" w:cs="Times New Roman"/>
          <w:snapToGrid/>
          <w:color w:val="auto"/>
          <w:kern w:val="2"/>
          <w:position w:val="-12"/>
          <w:sz w:val="24"/>
          <w:szCs w:val="22"/>
          <w:lang w:eastAsia="zh-CN"/>
        </w:rPr>
        <w:object w:dxaOrig="1415" w:dyaOrig="363" w14:anchorId="7375FAB3">
          <v:shape id="_x0000_i1066" type="#_x0000_t75" style="width:71pt;height:18pt" o:ole="">
            <v:imagedata r:id="rId201" o:title=""/>
          </v:shape>
          <o:OLEObject Type="Embed" ProgID="Equation.DSMT4" ShapeID="_x0000_i1066" DrawAspect="Content" ObjectID="_1838358262" r:id="rId202"/>
        </w:object>
      </w:r>
      <w:r>
        <w:rPr>
          <w:rFonts w:ascii="宋体" w:eastAsia="宋体" w:hAnsi="宋体" w:cs="Times New Roman"/>
          <w:snapToGrid/>
          <w:color w:val="auto"/>
          <w:kern w:val="2"/>
          <w:sz w:val="24"/>
          <w:szCs w:val="22"/>
          <w:lang w:eastAsia="zh-CN"/>
        </w:rPr>
        <w:t>；</w:t>
      </w:r>
    </w:p>
    <w:p w14:paraId="637869C5" w14:textId="77777777" w:rsidR="0075791A" w:rsidRDefault="00FB2864">
      <w:pPr>
        <w:widowControl w:val="0"/>
        <w:kinsoku/>
        <w:autoSpaceDE/>
        <w:autoSpaceDN/>
        <w:adjustRightIn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snapToGrid/>
          <w:color w:val="auto"/>
          <w:kern w:val="2"/>
          <w:sz w:val="24"/>
          <w:szCs w:val="22"/>
          <w:lang w:eastAsia="zh-CN"/>
        </w:rPr>
        <w:t>陆边界条件：</w:t>
      </w:r>
      <w:r>
        <w:rPr>
          <w:rFonts w:ascii="宋体" w:eastAsia="宋体" w:hAnsi="宋体" w:cs="Times New Roman"/>
          <w:snapToGrid/>
          <w:color w:val="auto"/>
          <w:kern w:val="2"/>
          <w:position w:val="-24"/>
          <w:sz w:val="24"/>
          <w:szCs w:val="22"/>
          <w:lang w:eastAsia="zh-CN"/>
        </w:rPr>
        <w:object w:dxaOrig="764" w:dyaOrig="626" w14:anchorId="101F8D68">
          <v:shape id="_x0000_i1067" type="#_x0000_t75" style="width:38pt;height:31.5pt" o:ole="">
            <v:imagedata r:id="rId203" o:title=""/>
          </v:shape>
          <o:OLEObject Type="Embed" ProgID="Equation.DSMT4" ShapeID="_x0000_i1067" DrawAspect="Content" ObjectID="_1838358263" r:id="rId204"/>
        </w:object>
      </w:r>
      <w:r>
        <w:rPr>
          <w:rFonts w:ascii="宋体" w:eastAsia="宋体" w:hAnsi="宋体" w:cs="Times New Roman"/>
          <w:snapToGrid/>
          <w:color w:val="auto"/>
          <w:kern w:val="2"/>
          <w:sz w:val="24"/>
          <w:szCs w:val="22"/>
          <w:lang w:eastAsia="zh-CN"/>
        </w:rPr>
        <w:t>（沿法线方向的浓度梯度为零）；</w:t>
      </w:r>
    </w:p>
    <w:p w14:paraId="1D7EA706" w14:textId="77777777" w:rsidR="0075791A" w:rsidRDefault="00FB2864">
      <w:pPr>
        <w:widowControl w:val="0"/>
        <w:kinsoku/>
        <w:autoSpaceDE/>
        <w:autoSpaceDN/>
        <w:adjustRightInd/>
        <w:spacing w:line="360" w:lineRule="auto"/>
        <w:ind w:firstLineChars="200" w:firstLine="480"/>
        <w:jc w:val="both"/>
        <w:textAlignment w:val="auto"/>
        <w:rPr>
          <w:rFonts w:ascii="宋体" w:eastAsia="宋体" w:hAnsi="宋体" w:cs="Times New Roman"/>
          <w:b/>
          <w:snapToGrid/>
          <w:color w:val="auto"/>
          <w:kern w:val="2"/>
          <w:sz w:val="24"/>
          <w:szCs w:val="22"/>
          <w:lang w:eastAsia="zh-CN"/>
        </w:rPr>
      </w:pPr>
      <w:r>
        <w:rPr>
          <w:rFonts w:ascii="宋体" w:eastAsia="宋体" w:hAnsi="宋体" w:cs="Times New Roman"/>
          <w:snapToGrid/>
          <w:color w:val="auto"/>
          <w:kern w:val="2"/>
          <w:sz w:val="24"/>
          <w:szCs w:val="22"/>
          <w:lang w:eastAsia="zh-CN"/>
        </w:rPr>
        <w:t>水边界条件：</w:t>
      </w:r>
      <w:r>
        <w:rPr>
          <w:rFonts w:ascii="宋体" w:eastAsia="宋体" w:hAnsi="宋体" w:cs="Times New Roman"/>
          <w:snapToGrid/>
          <w:color w:val="auto"/>
          <w:kern w:val="2"/>
          <w:position w:val="-12"/>
          <w:sz w:val="24"/>
          <w:szCs w:val="22"/>
          <w:lang w:eastAsia="zh-CN"/>
        </w:rPr>
        <w:object w:dxaOrig="1465" w:dyaOrig="363" w14:anchorId="2580834F">
          <v:shape id="_x0000_i1068" type="#_x0000_t75" style="width:73.5pt;height:18pt" o:ole="">
            <v:imagedata r:id="rId205" o:title=""/>
          </v:shape>
          <o:OLEObject Type="Embed" ProgID="Equation.DSMT4" ShapeID="_x0000_i1068" DrawAspect="Content" ObjectID="_1838358264" r:id="rId206"/>
        </w:object>
      </w:r>
      <w:r>
        <w:rPr>
          <w:rFonts w:ascii="宋体" w:eastAsia="宋体" w:hAnsi="宋体" w:cs="Times New Roman"/>
          <w:snapToGrid/>
          <w:color w:val="auto"/>
          <w:kern w:val="2"/>
          <w:sz w:val="24"/>
          <w:szCs w:val="22"/>
          <w:lang w:eastAsia="zh-CN"/>
        </w:rPr>
        <w:t>（流入）、</w:t>
      </w:r>
      <w:r>
        <w:rPr>
          <w:rFonts w:ascii="宋体" w:eastAsia="宋体" w:hAnsi="宋体" w:cs="Times New Roman"/>
          <w:snapToGrid/>
          <w:color w:val="auto"/>
          <w:kern w:val="2"/>
          <w:position w:val="-12"/>
          <w:sz w:val="24"/>
          <w:szCs w:val="22"/>
          <w:lang w:eastAsia="zh-CN"/>
        </w:rPr>
        <w:object w:dxaOrig="1277" w:dyaOrig="363" w14:anchorId="4E3A2DD6">
          <v:shape id="_x0000_i1069" type="#_x0000_t75" style="width:64pt;height:18pt" o:ole="">
            <v:imagedata r:id="rId207" o:title=""/>
          </v:shape>
          <o:OLEObject Type="Embed" ProgID="Equation.DSMT4" ShapeID="_x0000_i1069" DrawAspect="Content" ObjectID="_1838358265" r:id="rId208"/>
        </w:object>
      </w:r>
      <w:r>
        <w:rPr>
          <w:rFonts w:ascii="宋体" w:eastAsia="宋体" w:hAnsi="宋体" w:cs="Times New Roman"/>
          <w:snapToGrid/>
          <w:color w:val="auto"/>
          <w:kern w:val="2"/>
          <w:sz w:val="24"/>
          <w:szCs w:val="22"/>
          <w:lang w:eastAsia="zh-CN"/>
        </w:rPr>
        <w:t>计算值（流出）。</w:t>
      </w:r>
    </w:p>
    <w:p w14:paraId="1EDA5FB5" w14:textId="77777777" w:rsidR="0075791A" w:rsidRDefault="00FB2864">
      <w:pPr>
        <w:widowControl w:val="0"/>
        <w:kinsoku/>
        <w:autoSpaceDE/>
        <w:autoSpaceDN/>
        <w:adjustRightInd/>
        <w:spacing w:line="360" w:lineRule="auto"/>
        <w:ind w:firstLineChars="200" w:firstLine="482"/>
        <w:jc w:val="both"/>
        <w:textAlignment w:val="auto"/>
        <w:rPr>
          <w:rFonts w:ascii="宋体" w:eastAsia="宋体" w:hAnsi="宋体" w:cs="Times New Roman"/>
          <w:b/>
          <w:snapToGrid/>
          <w:color w:val="auto"/>
          <w:kern w:val="2"/>
          <w:sz w:val="24"/>
          <w:szCs w:val="22"/>
          <w:lang w:eastAsia="zh-CN"/>
        </w:rPr>
      </w:pPr>
      <w:r>
        <w:rPr>
          <w:rFonts w:ascii="宋体" w:eastAsia="宋体" w:hAnsi="宋体" w:cs="Times New Roman"/>
          <w:b/>
          <w:snapToGrid/>
          <w:color w:val="auto"/>
          <w:kern w:val="2"/>
          <w:sz w:val="24"/>
          <w:szCs w:val="22"/>
          <w:lang w:eastAsia="zh-CN"/>
        </w:rPr>
        <w:t>(2)</w:t>
      </w:r>
      <w:r>
        <w:rPr>
          <w:rFonts w:ascii="宋体" w:eastAsia="宋体" w:hAnsi="宋体" w:cs="Times New Roman"/>
          <w:b/>
          <w:snapToGrid/>
          <w:color w:val="auto"/>
          <w:kern w:val="2"/>
          <w:sz w:val="24"/>
          <w:szCs w:val="22"/>
          <w:lang w:eastAsia="zh-CN"/>
        </w:rPr>
        <w:t>数值方法</w:t>
      </w:r>
    </w:p>
    <w:p w14:paraId="3A966404" w14:textId="77777777" w:rsidR="0075791A" w:rsidRDefault="00FB2864">
      <w:pPr>
        <w:widowControl w:val="0"/>
        <w:kinsoku/>
        <w:autoSpaceDE/>
        <w:autoSpaceDN/>
        <w:adjustRightInd/>
        <w:spacing w:line="360" w:lineRule="auto"/>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snapToGrid/>
          <w:color w:val="auto"/>
          <w:kern w:val="2"/>
          <w:sz w:val="24"/>
          <w:szCs w:val="22"/>
          <w:lang w:eastAsia="zh-CN"/>
        </w:rPr>
        <w:t xml:space="preserve">    </w:t>
      </w:r>
      <w:r>
        <w:rPr>
          <w:rFonts w:ascii="宋体" w:eastAsia="宋体" w:hAnsi="宋体" w:cs="Times New Roman"/>
          <w:snapToGrid/>
          <w:color w:val="auto"/>
          <w:kern w:val="2"/>
          <w:sz w:val="24"/>
          <w:szCs w:val="22"/>
          <w:lang w:eastAsia="zh-CN"/>
        </w:rPr>
        <w:t>将一个时间步长分为两个半步长，在每个半时间步长内，依下述求解过程计算潮位及</w:t>
      </w:r>
      <w:r>
        <w:rPr>
          <w:rFonts w:ascii="宋体" w:eastAsia="宋体" w:hAnsi="宋体" w:cs="Times New Roman"/>
          <w:snapToGrid/>
          <w:color w:val="auto"/>
          <w:kern w:val="2"/>
          <w:sz w:val="24"/>
          <w:szCs w:val="22"/>
          <w:lang w:eastAsia="zh-CN"/>
        </w:rPr>
        <w:t>x</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y</w:t>
      </w:r>
      <w:r>
        <w:rPr>
          <w:rFonts w:ascii="宋体" w:eastAsia="宋体" w:hAnsi="宋体" w:cs="Times New Roman"/>
          <w:snapToGrid/>
          <w:color w:val="auto"/>
          <w:kern w:val="2"/>
          <w:sz w:val="24"/>
          <w:szCs w:val="22"/>
          <w:lang w:eastAsia="zh-CN"/>
        </w:rPr>
        <w:t>方向流速。离散差分方程如下：</w:t>
      </w:r>
    </w:p>
    <w:p w14:paraId="3687CF4F" w14:textId="77777777" w:rsidR="0075791A" w:rsidRDefault="00FB2864">
      <w:pPr>
        <w:widowControl w:val="0"/>
        <w:kinsoku/>
        <w:autoSpaceDE/>
        <w:autoSpaceDN/>
        <w:adjustRightIn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snapToGrid/>
          <w:color w:val="auto"/>
          <w:kern w:val="2"/>
          <w:sz w:val="24"/>
          <w:szCs w:val="22"/>
          <w:lang w:eastAsia="zh-CN"/>
        </w:rPr>
        <w:t>前半步长：</w:t>
      </w:r>
    </w:p>
    <w:p w14:paraId="1328EC15" w14:textId="77777777" w:rsidR="0075791A" w:rsidRDefault="00FB2864">
      <w:pPr>
        <w:widowControl w:val="0"/>
        <w:kinsoku/>
        <w:autoSpaceDE/>
        <w:autoSpaceDN/>
        <w:adjustRightInd/>
        <w:spacing w:line="360" w:lineRule="auto"/>
        <w:ind w:firstLine="420"/>
        <w:jc w:val="right"/>
        <w:textAlignment w:val="auto"/>
        <w:rPr>
          <w:rFonts w:ascii="宋体" w:eastAsia="宋体" w:hAnsi="宋体" w:cs="Times New Roman"/>
          <w:snapToGrid/>
          <w:color w:val="auto"/>
          <w:kern w:val="2"/>
          <w:sz w:val="24"/>
          <w:szCs w:val="22"/>
          <w:lang w:eastAsia="zh-CN"/>
        </w:rPr>
      </w:pPr>
      <w:r>
        <w:rPr>
          <w:rFonts w:ascii="宋体" w:eastAsia="宋体" w:hAnsi="宋体" w:cs="Times New Roman"/>
          <w:snapToGrid/>
          <w:color w:val="auto"/>
          <w:kern w:val="2"/>
          <w:position w:val="-14"/>
          <w:sz w:val="24"/>
          <w:szCs w:val="22"/>
          <w:lang w:eastAsia="zh-CN"/>
        </w:rPr>
        <w:object w:dxaOrig="4182" w:dyaOrig="526" w14:anchorId="28FD572A">
          <v:shape id="_x0000_i1070" type="#_x0000_t75" style="width:209pt;height:26.5pt" o:ole="">
            <v:imagedata r:id="rId209" o:title=""/>
          </v:shape>
          <o:OLEObject Type="Embed" ProgID="Equation.3" ShapeID="_x0000_i1070" DrawAspect="Content" ObjectID="_1838358266" r:id="rId210"/>
        </w:object>
      </w:r>
      <w:r>
        <w:rPr>
          <w:rFonts w:ascii="宋体" w:eastAsia="宋体" w:hAnsi="宋体" w:cs="Times New Roman"/>
          <w:snapToGrid/>
          <w:color w:val="auto"/>
          <w:kern w:val="2"/>
          <w:sz w:val="24"/>
          <w:szCs w:val="22"/>
          <w:lang w:eastAsia="zh-CN"/>
        </w:rPr>
        <w:t xml:space="preserve">                 (</w:t>
      </w:r>
      <w:r>
        <w:rPr>
          <w:rFonts w:ascii="宋体" w:eastAsia="宋体" w:hAnsi="宋体" w:cs="Times New Roman" w:hint="eastAsia"/>
          <w:snapToGrid/>
          <w:color w:val="auto"/>
          <w:kern w:val="2"/>
          <w:sz w:val="24"/>
          <w:szCs w:val="22"/>
          <w:lang w:eastAsia="zh-CN"/>
        </w:rPr>
        <w:t>4</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szCs w:val="22"/>
          <w:lang w:eastAsia="zh-CN"/>
        </w:rPr>
        <w:t>9</w:t>
      </w:r>
      <w:r>
        <w:rPr>
          <w:rFonts w:ascii="宋体" w:eastAsia="宋体" w:hAnsi="宋体" w:cs="Times New Roman"/>
          <w:snapToGrid/>
          <w:color w:val="auto"/>
          <w:kern w:val="2"/>
          <w:sz w:val="24"/>
          <w:szCs w:val="22"/>
          <w:lang w:eastAsia="zh-CN"/>
        </w:rPr>
        <w:t>)</w:t>
      </w:r>
    </w:p>
    <w:p w14:paraId="23F5A810" w14:textId="77777777" w:rsidR="0075791A" w:rsidRDefault="00FB2864">
      <w:pPr>
        <w:widowControl w:val="0"/>
        <w:kinsoku/>
        <w:autoSpaceDE/>
        <w:autoSpaceDN/>
        <w:adjustRightIn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snapToGrid/>
          <w:color w:val="auto"/>
          <w:kern w:val="2"/>
          <w:sz w:val="24"/>
          <w:szCs w:val="22"/>
          <w:lang w:eastAsia="zh-CN"/>
        </w:rPr>
        <w:t>后半步长：</w:t>
      </w:r>
    </w:p>
    <w:p w14:paraId="223D3DC3" w14:textId="77777777" w:rsidR="0075791A" w:rsidRDefault="00FB2864">
      <w:pPr>
        <w:widowControl w:val="0"/>
        <w:kinsoku/>
        <w:autoSpaceDE/>
        <w:autoSpaceDN/>
        <w:adjustRightInd/>
        <w:spacing w:line="360" w:lineRule="auto"/>
        <w:ind w:firstLineChars="200" w:firstLine="480"/>
        <w:jc w:val="right"/>
        <w:textAlignment w:val="auto"/>
        <w:rPr>
          <w:rFonts w:ascii="宋体" w:eastAsia="宋体" w:hAnsi="宋体" w:cs="Times New Roman"/>
          <w:snapToGrid/>
          <w:color w:val="auto"/>
          <w:kern w:val="2"/>
          <w:sz w:val="24"/>
          <w:szCs w:val="22"/>
          <w:lang w:eastAsia="zh-CN"/>
        </w:rPr>
      </w:pPr>
      <w:r>
        <w:rPr>
          <w:rFonts w:ascii="宋体" w:eastAsia="宋体" w:hAnsi="宋体" w:cs="Times New Roman"/>
          <w:snapToGrid/>
          <w:color w:val="auto"/>
          <w:kern w:val="2"/>
          <w:position w:val="-14"/>
          <w:sz w:val="24"/>
          <w:szCs w:val="22"/>
          <w:lang w:eastAsia="zh-CN"/>
        </w:rPr>
        <w:object w:dxaOrig="4220" w:dyaOrig="426" w14:anchorId="1A05B9BB">
          <v:shape id="_x0000_i1071" type="#_x0000_t75" style="width:211pt;height:21.5pt" o:ole="">
            <v:imagedata r:id="rId211" o:title=""/>
          </v:shape>
          <o:OLEObject Type="Embed" ProgID="Equation.3" ShapeID="_x0000_i1071" DrawAspect="Content" ObjectID="_1838358267" r:id="rId212"/>
        </w:object>
      </w:r>
      <w:r>
        <w:rPr>
          <w:rFonts w:ascii="宋体" w:eastAsia="宋体" w:hAnsi="宋体" w:cs="Times New Roman"/>
          <w:snapToGrid/>
          <w:color w:val="auto"/>
          <w:kern w:val="2"/>
          <w:sz w:val="24"/>
          <w:szCs w:val="22"/>
          <w:lang w:eastAsia="zh-CN"/>
        </w:rPr>
        <w:t xml:space="preserve">               (</w:t>
      </w:r>
      <w:r>
        <w:rPr>
          <w:rFonts w:ascii="宋体" w:eastAsia="宋体" w:hAnsi="宋体" w:cs="Times New Roman" w:hint="eastAsia"/>
          <w:snapToGrid/>
          <w:color w:val="auto"/>
          <w:kern w:val="2"/>
          <w:sz w:val="24"/>
          <w:szCs w:val="22"/>
          <w:lang w:eastAsia="zh-CN"/>
        </w:rPr>
        <w:t>4</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szCs w:val="22"/>
          <w:lang w:eastAsia="zh-CN"/>
        </w:rPr>
        <w:t>10</w:t>
      </w:r>
      <w:r>
        <w:rPr>
          <w:rFonts w:ascii="宋体" w:eastAsia="宋体" w:hAnsi="宋体" w:cs="Times New Roman"/>
          <w:snapToGrid/>
          <w:color w:val="auto"/>
          <w:kern w:val="2"/>
          <w:sz w:val="24"/>
          <w:szCs w:val="22"/>
          <w:lang w:eastAsia="zh-CN"/>
        </w:rPr>
        <w:t>)</w:t>
      </w:r>
    </w:p>
    <w:p w14:paraId="2277346A" w14:textId="77777777" w:rsidR="0075791A" w:rsidRDefault="00FB2864">
      <w:pPr>
        <w:widowControl w:val="0"/>
        <w:kinsoku/>
        <w:autoSpaceDE/>
        <w:autoSpaceDN/>
        <w:adjustRightIn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snapToGrid/>
          <w:color w:val="auto"/>
          <w:kern w:val="2"/>
          <w:sz w:val="24"/>
          <w:szCs w:val="22"/>
          <w:lang w:eastAsia="zh-CN"/>
        </w:rPr>
        <w:t>上式中</w:t>
      </w:r>
      <w:r>
        <w:rPr>
          <w:rFonts w:ascii="宋体" w:eastAsia="宋体" w:hAnsi="宋体" w:cs="Times New Roman"/>
          <w:snapToGrid/>
          <w:color w:val="auto"/>
          <w:kern w:val="2"/>
          <w:sz w:val="24"/>
          <w:szCs w:val="22"/>
          <w:lang w:eastAsia="zh-CN"/>
        </w:rPr>
        <w:t>As1</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Bs1</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Cs1</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Ds1</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As2</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Bs2</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Cs2</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Ds1</w:t>
      </w:r>
      <w:r>
        <w:rPr>
          <w:rFonts w:ascii="宋体" w:eastAsia="宋体" w:hAnsi="宋体" w:cs="Times New Roman"/>
          <w:snapToGrid/>
          <w:color w:val="auto"/>
          <w:kern w:val="2"/>
          <w:sz w:val="24"/>
          <w:szCs w:val="22"/>
          <w:lang w:eastAsia="zh-CN"/>
        </w:rPr>
        <w:t>，</w:t>
      </w:r>
      <w:r>
        <w:rPr>
          <w:rFonts w:ascii="宋体" w:eastAsia="宋体" w:hAnsi="宋体" w:cs="Times New Roman"/>
          <w:snapToGrid/>
          <w:color w:val="auto"/>
          <w:kern w:val="2"/>
          <w:sz w:val="24"/>
          <w:szCs w:val="22"/>
          <w:lang w:eastAsia="zh-CN"/>
        </w:rPr>
        <w:t>Ds2</w:t>
      </w:r>
      <w:r>
        <w:rPr>
          <w:rFonts w:ascii="宋体" w:eastAsia="宋体" w:hAnsi="宋体" w:cs="Times New Roman"/>
          <w:snapToGrid/>
          <w:color w:val="auto"/>
          <w:kern w:val="2"/>
          <w:sz w:val="24"/>
          <w:szCs w:val="22"/>
          <w:lang w:eastAsia="zh-CN"/>
        </w:rPr>
        <w:t>为已知系数。</w:t>
      </w:r>
    </w:p>
    <w:p w14:paraId="5222806D" w14:textId="77777777" w:rsidR="0075791A" w:rsidRDefault="00FB2864">
      <w:pPr>
        <w:widowControl w:val="0"/>
        <w:kinsoku/>
        <w:autoSpaceDE/>
        <w:autoSpaceDN/>
        <w:adjustRightIn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假设铁炉港水体内示踪物的初始相对浓度为</w:t>
      </w:r>
      <w:r>
        <w:rPr>
          <w:rFonts w:ascii="宋体" w:eastAsia="宋体" w:hAnsi="宋体" w:cs="Times New Roman" w:hint="eastAsia"/>
          <w:snapToGrid/>
          <w:color w:val="auto"/>
          <w:kern w:val="2"/>
          <w:sz w:val="24"/>
          <w:szCs w:val="22"/>
          <w:lang w:eastAsia="zh-CN"/>
        </w:rPr>
        <w:t>100</w:t>
      </w:r>
      <w:r>
        <w:rPr>
          <w:rFonts w:ascii="宋体" w:eastAsia="宋体" w:hAnsi="宋体" w:cs="Times New Roman" w:hint="eastAsia"/>
          <w:snapToGrid/>
          <w:color w:val="auto"/>
          <w:kern w:val="2"/>
          <w:sz w:val="24"/>
          <w:szCs w:val="22"/>
          <w:lang w:eastAsia="zh-CN"/>
        </w:rPr>
        <w:t>。</w:t>
      </w:r>
    </w:p>
    <w:p w14:paraId="10A5BF1A" w14:textId="77777777" w:rsidR="0075791A" w:rsidRDefault="00FB2864">
      <w:pPr>
        <w:widowControl w:val="0"/>
        <w:kinsoku/>
        <w:autoSpaceDE/>
        <w:autoSpaceDN/>
        <w:adjustRightInd/>
        <w:spacing w:line="360" w:lineRule="auto"/>
        <w:ind w:firstLineChars="200" w:firstLine="482"/>
        <w:jc w:val="both"/>
        <w:textAlignment w:val="auto"/>
        <w:rPr>
          <w:rFonts w:ascii="宋体" w:eastAsia="宋体" w:hAnsi="宋体" w:cs="Times New Roman"/>
          <w:b/>
          <w:snapToGrid/>
          <w:color w:val="auto"/>
          <w:kern w:val="2"/>
          <w:sz w:val="24"/>
          <w:szCs w:val="22"/>
          <w:lang w:eastAsia="zh-CN"/>
        </w:rPr>
      </w:pPr>
      <w:r>
        <w:rPr>
          <w:rFonts w:ascii="宋体" w:eastAsia="宋体" w:hAnsi="宋体" w:cs="Times New Roman" w:hint="eastAsia"/>
          <w:b/>
          <w:snapToGrid/>
          <w:color w:val="auto"/>
          <w:kern w:val="2"/>
          <w:sz w:val="24"/>
          <w:szCs w:val="22"/>
          <w:lang w:eastAsia="zh-CN"/>
        </w:rPr>
        <w:t>(3)</w:t>
      </w:r>
      <w:r>
        <w:rPr>
          <w:rFonts w:ascii="宋体" w:eastAsia="宋体" w:hAnsi="宋体" w:cs="Times New Roman" w:hint="eastAsia"/>
          <w:b/>
          <w:snapToGrid/>
          <w:color w:val="auto"/>
          <w:kern w:val="2"/>
          <w:sz w:val="24"/>
          <w:szCs w:val="22"/>
          <w:lang w:eastAsia="zh-CN"/>
        </w:rPr>
        <w:t>海水交换周期的计算方法</w:t>
      </w:r>
    </w:p>
    <w:p w14:paraId="41A0F255" w14:textId="77777777" w:rsidR="0075791A" w:rsidRDefault="00FB2864">
      <w:pPr>
        <w:widowControl w:val="0"/>
        <w:kinsoku/>
        <w:autoSpaceDE/>
        <w:autoSpaceDN/>
        <w:adjustRightIn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国内外对海水交换能力进行了大量的研究，应用实测资料</w:t>
      </w:r>
      <w:r>
        <w:rPr>
          <w:rFonts w:ascii="宋体" w:eastAsia="宋体" w:hAnsi="宋体" w:cs="Times New Roman" w:hint="eastAsia"/>
          <w:snapToGrid/>
          <w:color w:val="auto"/>
          <w:kern w:val="2"/>
          <w:sz w:val="24"/>
          <w:szCs w:val="22"/>
          <w:lang w:eastAsia="zh-CN"/>
        </w:rPr>
        <w:t xml:space="preserve"> Parker</w:t>
      </w:r>
      <w:r>
        <w:rPr>
          <w:rFonts w:ascii="宋体" w:eastAsia="宋体" w:hAnsi="宋体" w:cs="Times New Roman" w:hint="eastAsia"/>
          <w:snapToGrid/>
          <w:color w:val="auto"/>
          <w:kern w:val="2"/>
          <w:sz w:val="24"/>
          <w:szCs w:val="22"/>
          <w:lang w:eastAsia="zh-CN"/>
        </w:rPr>
        <w:t>，柏井，中村武弘等定义了不同的海水交换率以描述海湾的水交换能力。</w:t>
      </w:r>
    </w:p>
    <w:p w14:paraId="567D6EF5" w14:textId="77777777" w:rsidR="0075791A" w:rsidRDefault="00FB2864">
      <w:pPr>
        <w:widowControl w:val="0"/>
        <w:kinsoku/>
        <w:autoSpaceDE/>
        <w:autoSpaceDN/>
        <w:adjustRightIn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图</w:t>
      </w:r>
      <w:r>
        <w:rPr>
          <w:rFonts w:ascii="宋体" w:eastAsia="宋体" w:hAnsi="宋体" w:cs="Times New Roman" w:hint="eastAsia"/>
          <w:snapToGrid/>
          <w:color w:val="auto"/>
          <w:kern w:val="2"/>
          <w:sz w:val="24"/>
          <w:szCs w:val="22"/>
          <w:lang w:eastAsia="zh-CN"/>
        </w:rPr>
        <w:t xml:space="preserve"> </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 xml:space="preserve">-1 </w:t>
      </w:r>
      <w:r>
        <w:rPr>
          <w:rFonts w:ascii="宋体" w:eastAsia="宋体" w:hAnsi="宋体" w:cs="Times New Roman" w:hint="eastAsia"/>
          <w:snapToGrid/>
          <w:color w:val="auto"/>
          <w:kern w:val="2"/>
          <w:sz w:val="24"/>
          <w:szCs w:val="22"/>
          <w:lang w:eastAsia="zh-CN"/>
        </w:rPr>
        <w:t>给出了</w:t>
      </w:r>
      <w:r>
        <w:rPr>
          <w:rFonts w:ascii="宋体" w:eastAsia="宋体" w:hAnsi="宋体" w:cs="Times New Roman" w:hint="eastAsia"/>
          <w:snapToGrid/>
          <w:color w:val="auto"/>
          <w:kern w:val="2"/>
          <w:sz w:val="24"/>
          <w:szCs w:val="22"/>
          <w:lang w:eastAsia="zh-CN"/>
        </w:rPr>
        <w:t xml:space="preserve"> Parker </w:t>
      </w:r>
      <w:r>
        <w:rPr>
          <w:rFonts w:ascii="宋体" w:eastAsia="宋体" w:hAnsi="宋体" w:cs="Times New Roman" w:hint="eastAsia"/>
          <w:snapToGrid/>
          <w:color w:val="auto"/>
          <w:kern w:val="2"/>
          <w:sz w:val="24"/>
          <w:szCs w:val="22"/>
          <w:lang w:eastAsia="zh-CN"/>
        </w:rPr>
        <w:t>等人的计算方法中所用到的几个重要参量的示意。其中</w:t>
      </w:r>
      <w:r>
        <w:rPr>
          <w:rFonts w:ascii="宋体" w:eastAsia="宋体" w:hAnsi="宋体" w:cs="Times New Roman" w:hint="eastAsia"/>
          <w:snapToGrid/>
          <w:color w:val="auto"/>
          <w:kern w:val="2"/>
          <w:sz w:val="24"/>
          <w:szCs w:val="22"/>
          <w:lang w:eastAsia="zh-CN"/>
        </w:rPr>
        <w:t>C</w:t>
      </w:r>
      <w:r>
        <w:rPr>
          <w:rFonts w:ascii="宋体" w:eastAsia="宋体" w:hAnsi="宋体" w:cs="Times New Roman" w:hint="eastAsia"/>
          <w:snapToGrid/>
          <w:color w:val="auto"/>
          <w:kern w:val="2"/>
          <w:sz w:val="24"/>
          <w:szCs w:val="22"/>
          <w:vertAlign w:val="subscript"/>
          <w:lang w:eastAsia="zh-CN"/>
        </w:rPr>
        <w:t>B</w:t>
      </w:r>
      <w:r>
        <w:rPr>
          <w:rFonts w:ascii="宋体" w:eastAsia="宋体" w:hAnsi="宋体" w:cs="Times New Roman" w:hint="eastAsia"/>
          <w:snapToGrid/>
          <w:color w:val="auto"/>
          <w:kern w:val="2"/>
          <w:sz w:val="24"/>
          <w:szCs w:val="22"/>
          <w:lang w:eastAsia="zh-CN"/>
        </w:rPr>
        <w:t>为湾内水的指标物质平均浓度；</w:t>
      </w:r>
      <w:r>
        <w:rPr>
          <w:rFonts w:ascii="宋体" w:eastAsia="宋体" w:hAnsi="宋体" w:cs="Times New Roman" w:hint="eastAsia"/>
          <w:snapToGrid/>
          <w:color w:val="auto"/>
          <w:kern w:val="2"/>
          <w:sz w:val="24"/>
          <w:szCs w:val="22"/>
          <w:lang w:eastAsia="zh-CN"/>
        </w:rPr>
        <w:t>C</w:t>
      </w:r>
      <w:r>
        <w:rPr>
          <w:rFonts w:ascii="宋体" w:eastAsia="宋体" w:hAnsi="宋体" w:cs="Times New Roman" w:hint="eastAsia"/>
          <w:snapToGrid/>
          <w:color w:val="auto"/>
          <w:kern w:val="2"/>
          <w:sz w:val="24"/>
          <w:szCs w:val="22"/>
          <w:vertAlign w:val="subscript"/>
          <w:lang w:eastAsia="zh-CN"/>
        </w:rPr>
        <w:t>0</w:t>
      </w:r>
      <w:r>
        <w:rPr>
          <w:rFonts w:ascii="宋体" w:eastAsia="宋体" w:hAnsi="宋体" w:cs="Times New Roman" w:hint="eastAsia"/>
          <w:snapToGrid/>
          <w:color w:val="auto"/>
          <w:kern w:val="2"/>
          <w:sz w:val="24"/>
          <w:szCs w:val="22"/>
          <w:lang w:eastAsia="zh-CN"/>
        </w:rPr>
        <w:t>为外海水的指标物质平均浓度；</w:t>
      </w:r>
      <w:r>
        <w:rPr>
          <w:rFonts w:ascii="宋体" w:eastAsia="宋体" w:hAnsi="宋体" w:cs="Times New Roman" w:hint="eastAsia"/>
          <w:snapToGrid/>
          <w:color w:val="auto"/>
          <w:kern w:val="2"/>
          <w:sz w:val="24"/>
          <w:szCs w:val="22"/>
          <w:lang w:eastAsia="zh-CN"/>
        </w:rPr>
        <w:t>C</w:t>
      </w:r>
      <w:r>
        <w:rPr>
          <w:rFonts w:ascii="宋体" w:eastAsia="宋体" w:hAnsi="宋体" w:cs="Times New Roman" w:hint="eastAsia"/>
          <w:snapToGrid/>
          <w:color w:val="auto"/>
          <w:kern w:val="2"/>
          <w:sz w:val="24"/>
          <w:szCs w:val="22"/>
          <w:vertAlign w:val="subscript"/>
          <w:lang w:eastAsia="zh-CN"/>
        </w:rPr>
        <w:t>E</w:t>
      </w:r>
      <w:r>
        <w:rPr>
          <w:rFonts w:ascii="宋体" w:eastAsia="宋体" w:hAnsi="宋体" w:cs="Times New Roman" w:hint="eastAsia"/>
          <w:snapToGrid/>
          <w:color w:val="auto"/>
          <w:kern w:val="2"/>
          <w:sz w:val="24"/>
          <w:szCs w:val="22"/>
          <w:lang w:eastAsia="zh-CN"/>
        </w:rPr>
        <w:t>为落潮时流出水的指标物质平均浓度；</w:t>
      </w:r>
      <w:r>
        <w:rPr>
          <w:rFonts w:ascii="宋体" w:eastAsia="宋体" w:hAnsi="宋体" w:cs="Times New Roman" w:hint="eastAsia"/>
          <w:snapToGrid/>
          <w:color w:val="auto"/>
          <w:kern w:val="2"/>
          <w:sz w:val="24"/>
          <w:szCs w:val="22"/>
          <w:lang w:eastAsia="zh-CN"/>
        </w:rPr>
        <w:t>C</w:t>
      </w:r>
      <w:r>
        <w:rPr>
          <w:rFonts w:ascii="宋体" w:eastAsia="宋体" w:hAnsi="宋体" w:cs="Times New Roman" w:hint="eastAsia"/>
          <w:snapToGrid/>
          <w:color w:val="auto"/>
          <w:kern w:val="2"/>
          <w:sz w:val="24"/>
          <w:szCs w:val="22"/>
          <w:vertAlign w:val="subscript"/>
          <w:lang w:eastAsia="zh-CN"/>
        </w:rPr>
        <w:t>F</w:t>
      </w:r>
      <w:r>
        <w:rPr>
          <w:rFonts w:ascii="宋体" w:eastAsia="宋体" w:hAnsi="宋体" w:cs="Times New Roman" w:hint="eastAsia"/>
          <w:snapToGrid/>
          <w:color w:val="auto"/>
          <w:kern w:val="2"/>
          <w:sz w:val="24"/>
          <w:szCs w:val="22"/>
          <w:lang w:eastAsia="zh-CN"/>
        </w:rPr>
        <w:t>为涨潮时流入水的指标物质平均浓度。</w:t>
      </w:r>
    </w:p>
    <w:p w14:paraId="2516A32B" w14:textId="77777777" w:rsidR="0075791A" w:rsidRDefault="00FB2864">
      <w:pPr>
        <w:widowControl w:val="0"/>
        <w:kinsoku/>
        <w:autoSpaceDE/>
        <w:autoSpaceDN/>
        <w:adjustRightInd/>
        <w:spacing w:line="360" w:lineRule="auto"/>
        <w:jc w:val="center"/>
        <w:textAlignment w:val="auto"/>
        <w:rPr>
          <w:rFonts w:ascii="宋体" w:eastAsia="宋体" w:hAnsi="宋体" w:cs="Times New Roman"/>
          <w:snapToGrid/>
          <w:color w:val="auto"/>
          <w:kern w:val="2"/>
          <w:sz w:val="24"/>
          <w:szCs w:val="22"/>
          <w:lang w:eastAsia="zh-CN"/>
        </w:rPr>
      </w:pPr>
      <w:r>
        <w:rPr>
          <w:rFonts w:ascii="宋体" w:eastAsia="宋体" w:hAnsi="宋体" w:cs="Times New Roman"/>
          <w:noProof/>
          <w:snapToGrid/>
          <w:color w:val="auto"/>
          <w:kern w:val="2"/>
          <w:sz w:val="24"/>
          <w:szCs w:val="22"/>
          <w:lang w:eastAsia="zh-CN"/>
        </w:rPr>
        <w:lastRenderedPageBreak/>
        <w:drawing>
          <wp:inline distT="0" distB="0" distL="0" distR="0" wp14:anchorId="68B2FBBF" wp14:editId="3570ACCC">
            <wp:extent cx="4962525" cy="3105150"/>
            <wp:effectExtent l="0" t="0" r="5715" b="381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a:xfrm>
                      <a:off x="0" y="0"/>
                      <a:ext cx="4962525" cy="3105150"/>
                    </a:xfrm>
                    <a:prstGeom prst="rect">
                      <a:avLst/>
                    </a:prstGeom>
                    <a:noFill/>
                    <a:ln>
                      <a:noFill/>
                    </a:ln>
                  </pic:spPr>
                </pic:pic>
              </a:graphicData>
            </a:graphic>
          </wp:inline>
        </w:drawing>
      </w:r>
    </w:p>
    <w:p w14:paraId="707E6D41" w14:textId="77777777" w:rsidR="0075791A" w:rsidRDefault="00FB2864">
      <w:pPr>
        <w:widowControl w:val="0"/>
        <w:kinsoku/>
        <w:autoSpaceDE/>
        <w:autoSpaceDN/>
        <w:adjustRightInd/>
        <w:spacing w:line="360" w:lineRule="auto"/>
        <w:jc w:val="center"/>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 xml:space="preserve">-1a </w:t>
      </w:r>
      <w:r>
        <w:rPr>
          <w:rFonts w:ascii="宋体" w:eastAsia="宋体" w:hAnsi="宋体" w:cs="Times New Roman" w:hint="eastAsia"/>
          <w:snapToGrid/>
          <w:color w:val="auto"/>
          <w:kern w:val="2"/>
          <w:sz w:val="24"/>
          <w:szCs w:val="22"/>
          <w:lang w:eastAsia="zh-CN"/>
        </w:rPr>
        <w:t>海湾水体交换参数示意图</w:t>
      </w:r>
    </w:p>
    <w:p w14:paraId="3D323F24" w14:textId="77777777" w:rsidR="0075791A" w:rsidRDefault="00FB2864">
      <w:pPr>
        <w:widowControl w:val="0"/>
        <w:kinsoku/>
        <w:autoSpaceDE/>
        <w:autoSpaceDN/>
        <w:adjustRightInd/>
        <w:spacing w:line="360" w:lineRule="auto"/>
        <w:jc w:val="center"/>
        <w:textAlignment w:val="auto"/>
        <w:rPr>
          <w:rFonts w:ascii="宋体" w:eastAsia="宋体" w:hAnsi="宋体" w:cs="Times New Roman"/>
          <w:snapToGrid/>
          <w:color w:val="auto"/>
          <w:kern w:val="2"/>
          <w:sz w:val="24"/>
          <w:szCs w:val="22"/>
          <w:lang w:eastAsia="zh-CN"/>
        </w:rPr>
      </w:pPr>
      <w:r>
        <w:rPr>
          <w:rFonts w:ascii="宋体" w:eastAsia="宋体" w:hAnsi="宋体" w:cs="Times New Roman"/>
          <w:noProof/>
          <w:snapToGrid/>
          <w:color w:val="auto"/>
          <w:kern w:val="2"/>
          <w:sz w:val="24"/>
          <w:szCs w:val="22"/>
          <w:lang w:eastAsia="zh-CN"/>
        </w:rPr>
        <w:drawing>
          <wp:inline distT="0" distB="0" distL="0" distR="0" wp14:anchorId="3EA1E2DB" wp14:editId="6388AFBE">
            <wp:extent cx="4707255" cy="3093085"/>
            <wp:effectExtent l="0" t="0" r="1905" b="635"/>
            <wp:docPr id="208" name="图片 208" descr="QQ图片2013051211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QQ图片20130512113201"/>
                    <pic:cNvPicPr>
                      <a:picLocks noChangeAspect="1" noChangeArrowheads="1"/>
                    </pic:cNvPicPr>
                  </pic:nvPicPr>
                  <pic:blipFill>
                    <a:blip r:embed="rId214">
                      <a:extLst>
                        <a:ext uri="{28A0092B-C50C-407E-A947-70E740481C1C}">
                          <a14:useLocalDpi xmlns:a14="http://schemas.microsoft.com/office/drawing/2010/main" val="0"/>
                        </a:ext>
                      </a:extLst>
                    </a:blip>
                    <a:srcRect l="1068" t="3468"/>
                    <a:stretch>
                      <a:fillRect/>
                    </a:stretch>
                  </pic:blipFill>
                  <pic:spPr>
                    <a:xfrm>
                      <a:off x="0" y="0"/>
                      <a:ext cx="4707255" cy="3093085"/>
                    </a:xfrm>
                    <a:prstGeom prst="rect">
                      <a:avLst/>
                    </a:prstGeom>
                    <a:noFill/>
                    <a:ln>
                      <a:noFill/>
                    </a:ln>
                  </pic:spPr>
                </pic:pic>
              </a:graphicData>
            </a:graphic>
          </wp:inline>
        </w:drawing>
      </w:r>
    </w:p>
    <w:p w14:paraId="4BAD0A8A" w14:textId="77777777" w:rsidR="0075791A" w:rsidRDefault="00FB2864">
      <w:pPr>
        <w:widowControl w:val="0"/>
        <w:kinsoku/>
        <w:autoSpaceDE/>
        <w:autoSpaceDN/>
        <w:adjustRightInd/>
        <w:spacing w:line="360" w:lineRule="auto"/>
        <w:jc w:val="center"/>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 xml:space="preserve">-1b </w:t>
      </w:r>
      <w:r>
        <w:rPr>
          <w:rFonts w:ascii="宋体" w:eastAsia="宋体" w:hAnsi="宋体" w:cs="Times New Roman" w:hint="eastAsia"/>
          <w:snapToGrid/>
          <w:color w:val="auto"/>
          <w:kern w:val="2"/>
          <w:sz w:val="24"/>
          <w:szCs w:val="22"/>
          <w:lang w:eastAsia="zh-CN"/>
        </w:rPr>
        <w:t>涨落潮时的水交换参数示意图</w:t>
      </w:r>
    </w:p>
    <w:p w14:paraId="487A2E64" w14:textId="77777777" w:rsidR="0075791A" w:rsidRDefault="00FB2864">
      <w:pPr>
        <w:widowControl w:val="0"/>
        <w:kinsoku/>
        <w:autoSpaceDE/>
        <w:autoSpaceDN/>
        <w:adjustRightIn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由于海水受海洋动力因素作用及径流降水不断注入新水的影响，一个湾内的旧水要完全交换出去是复杂漫长的。如果不考虑径流、降水，只考虑潮汐和海流作用下的水交换，水交换周期的计算方法为：设湾内海水总量为</w:t>
      </w:r>
      <w:r>
        <w:rPr>
          <w:rFonts w:ascii="宋体" w:eastAsia="宋体" w:hAnsi="宋体" w:cs="Times New Roman" w:hint="eastAsia"/>
          <w:snapToGrid/>
          <w:color w:val="auto"/>
          <w:kern w:val="2"/>
          <w:sz w:val="24"/>
          <w:szCs w:val="22"/>
          <w:lang w:eastAsia="zh-CN"/>
        </w:rPr>
        <w:t>Q</w:t>
      </w:r>
      <w:r>
        <w:rPr>
          <w:rFonts w:ascii="宋体" w:eastAsia="宋体" w:hAnsi="宋体" w:cs="Times New Roman" w:hint="eastAsia"/>
          <w:snapToGrid/>
          <w:color w:val="auto"/>
          <w:kern w:val="2"/>
          <w:sz w:val="24"/>
          <w:szCs w:val="22"/>
          <w:lang w:eastAsia="zh-CN"/>
        </w:rPr>
        <w:t>，在一个潮周期内涨潮带入湾内的水量与落潮时流出的水量相同，即</w:t>
      </w:r>
      <w:r>
        <w:rPr>
          <w:rFonts w:ascii="宋体" w:eastAsia="宋体" w:hAnsi="宋体" w:cs="Times New Roman" w:hint="eastAsia"/>
          <w:snapToGrid/>
          <w:color w:val="auto"/>
          <w:kern w:val="2"/>
          <w:sz w:val="24"/>
          <w:szCs w:val="22"/>
          <w:lang w:eastAsia="zh-CN"/>
        </w:rPr>
        <w:t xml:space="preserve"> Q</w:t>
      </w:r>
      <w:r>
        <w:rPr>
          <w:rFonts w:ascii="宋体" w:eastAsia="宋体" w:hAnsi="宋体" w:cs="Times New Roman"/>
          <w:snapToGrid/>
          <w:color w:val="auto"/>
          <w:kern w:val="2"/>
          <w:sz w:val="24"/>
          <w:szCs w:val="22"/>
          <w:vertAlign w:val="subscript"/>
          <w:lang w:eastAsia="zh-CN"/>
        </w:rPr>
        <w:t>0</w:t>
      </w:r>
      <w:r>
        <w:rPr>
          <w:rFonts w:ascii="宋体" w:eastAsia="宋体" w:hAnsi="宋体" w:cs="Times New Roman"/>
          <w:snapToGrid/>
          <w:color w:val="auto"/>
          <w:kern w:val="2"/>
          <w:sz w:val="24"/>
          <w:szCs w:val="22"/>
          <w:lang w:eastAsia="zh-CN"/>
        </w:rPr>
        <w:t>=Q</w:t>
      </w:r>
      <w:r>
        <w:rPr>
          <w:rFonts w:ascii="宋体" w:eastAsia="宋体" w:hAnsi="宋体" w:cs="Times New Roman"/>
          <w:snapToGrid/>
          <w:color w:val="auto"/>
          <w:kern w:val="2"/>
          <w:sz w:val="24"/>
          <w:szCs w:val="22"/>
          <w:vertAlign w:val="subscript"/>
          <w:lang w:eastAsia="zh-CN"/>
        </w:rPr>
        <w:t>B</w:t>
      </w:r>
      <w:r>
        <w:rPr>
          <w:rFonts w:ascii="宋体" w:eastAsia="宋体" w:hAnsi="宋体" w:cs="Times New Roman" w:hint="eastAsia"/>
          <w:snapToGrid/>
          <w:color w:val="auto"/>
          <w:kern w:val="2"/>
          <w:sz w:val="24"/>
          <w:szCs w:val="22"/>
          <w:lang w:eastAsia="zh-CN"/>
        </w:rPr>
        <w:t>。则经过一个潮周期后，湾内剩下的旧水量占湾内总水量的比例为：</w:t>
      </w:r>
    </w:p>
    <w:p w14:paraId="12529F80" w14:textId="77777777" w:rsidR="0075791A" w:rsidRDefault="00FB2864">
      <w:pPr>
        <w:widowControl w:val="0"/>
        <w:kinsoku/>
        <w:autoSpaceDE/>
        <w:autoSpaceDN/>
        <w:adjustRightInd/>
        <w:spacing w:line="360" w:lineRule="auto"/>
        <w:ind w:firstLineChars="1250" w:firstLine="300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noProof/>
          <w:snapToGrid/>
          <w:color w:val="auto"/>
          <w:kern w:val="2"/>
          <w:sz w:val="24"/>
          <w:szCs w:val="22"/>
          <w:lang w:eastAsia="zh-CN"/>
        </w:rPr>
        <w:lastRenderedPageBreak/>
        <w:drawing>
          <wp:inline distT="0" distB="0" distL="0" distR="0" wp14:anchorId="0DCAF11B" wp14:editId="3D904D8F">
            <wp:extent cx="1359535" cy="516890"/>
            <wp:effectExtent l="0" t="0" r="12065" b="1270"/>
            <wp:docPr id="209" name="图片 209" descr="QQ图片2013051211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QQ图片2013051211360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a:xfrm>
                      <a:off x="0" y="0"/>
                      <a:ext cx="1359535" cy="516890"/>
                    </a:xfrm>
                    <a:prstGeom prst="rect">
                      <a:avLst/>
                    </a:prstGeom>
                    <a:noFill/>
                    <a:ln>
                      <a:noFill/>
                    </a:ln>
                  </pic:spPr>
                </pic:pic>
              </a:graphicData>
            </a:graphic>
          </wp:inline>
        </w:drawing>
      </w:r>
      <w:r>
        <w:rPr>
          <w:rFonts w:ascii="宋体" w:eastAsia="宋体" w:hAnsi="宋体" w:cs="Times New Roman" w:hint="eastAsia"/>
          <w:snapToGrid/>
          <w:color w:val="auto"/>
          <w:kern w:val="2"/>
          <w:sz w:val="24"/>
          <w:szCs w:val="22"/>
          <w:lang w:eastAsia="zh-CN"/>
        </w:rPr>
        <w:t xml:space="preserve">                    </w:t>
      </w:r>
      <w:r>
        <w:rPr>
          <w:rFonts w:ascii="宋体" w:eastAsia="宋体" w:hAnsi="宋体" w:cs="Times New Roman"/>
          <w:snapToGrid/>
          <w:color w:val="auto"/>
          <w:kern w:val="2"/>
          <w:sz w:val="24"/>
          <w:szCs w:val="22"/>
          <w:lang w:eastAsia="zh-CN"/>
        </w:rPr>
        <w:t>(</w:t>
      </w:r>
      <w:r>
        <w:rPr>
          <w:rFonts w:ascii="宋体" w:eastAsia="宋体" w:hAnsi="宋体" w:cs="Times New Roman" w:hint="eastAsia"/>
          <w:snapToGrid/>
          <w:color w:val="auto"/>
          <w:kern w:val="2"/>
          <w:sz w:val="24"/>
          <w:szCs w:val="22"/>
          <w:lang w:eastAsia="zh-CN"/>
        </w:rPr>
        <w:t>3</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szCs w:val="22"/>
          <w:lang w:eastAsia="zh-CN"/>
        </w:rPr>
        <w:t>11</w:t>
      </w:r>
      <w:r>
        <w:rPr>
          <w:rFonts w:ascii="宋体" w:eastAsia="宋体" w:hAnsi="宋体" w:cs="Times New Roman"/>
          <w:snapToGrid/>
          <w:color w:val="auto"/>
          <w:kern w:val="2"/>
          <w:sz w:val="24"/>
          <w:szCs w:val="22"/>
          <w:lang w:eastAsia="zh-CN"/>
        </w:rPr>
        <w:t>)</w:t>
      </w:r>
    </w:p>
    <w:p w14:paraId="06BDBDEE" w14:textId="77777777" w:rsidR="0075791A" w:rsidRDefault="00FB2864">
      <w:pPr>
        <w:widowControl w:val="0"/>
        <w:kinsoku/>
        <w:autoSpaceDE/>
        <w:autoSpaceDN/>
        <w:adjustRightInd/>
        <w:spacing w:line="360" w:lineRule="auto"/>
        <w:ind w:firstLineChars="150" w:firstLine="36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经过两个潮周期后，湾内剩下的旧水量占湾内总水量的比例为：</w:t>
      </w:r>
    </w:p>
    <w:p w14:paraId="382C116D" w14:textId="77777777" w:rsidR="0075791A" w:rsidRDefault="00FB2864">
      <w:pPr>
        <w:widowControl w:val="0"/>
        <w:kinsoku/>
        <w:autoSpaceDE/>
        <w:autoSpaceDN/>
        <w:adjustRightInd/>
        <w:spacing w:line="360" w:lineRule="auto"/>
        <w:ind w:firstLineChars="1200" w:firstLine="28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noProof/>
          <w:snapToGrid/>
          <w:color w:val="auto"/>
          <w:kern w:val="2"/>
          <w:sz w:val="24"/>
          <w:szCs w:val="22"/>
          <w:lang w:eastAsia="zh-CN"/>
        </w:rPr>
        <w:drawing>
          <wp:inline distT="0" distB="0" distL="0" distR="0" wp14:anchorId="63FC3BFE" wp14:editId="5E965F54">
            <wp:extent cx="1598295" cy="492760"/>
            <wp:effectExtent l="0" t="0" r="1905" b="10160"/>
            <wp:docPr id="210" name="图片 210" descr="QQ图片20130512113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QQ图片2013051211365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a:xfrm>
                      <a:off x="0" y="0"/>
                      <a:ext cx="1598295" cy="492760"/>
                    </a:xfrm>
                    <a:prstGeom prst="rect">
                      <a:avLst/>
                    </a:prstGeom>
                    <a:noFill/>
                    <a:ln>
                      <a:noFill/>
                    </a:ln>
                  </pic:spPr>
                </pic:pic>
              </a:graphicData>
            </a:graphic>
          </wp:inline>
        </w:drawing>
      </w:r>
      <w:r>
        <w:rPr>
          <w:rFonts w:ascii="宋体" w:eastAsia="宋体" w:hAnsi="宋体" w:cs="Times New Roman" w:hint="eastAsia"/>
          <w:snapToGrid/>
          <w:color w:val="auto"/>
          <w:kern w:val="2"/>
          <w:sz w:val="24"/>
          <w:szCs w:val="22"/>
          <w:lang w:eastAsia="zh-CN"/>
        </w:rPr>
        <w:t xml:space="preserve">                  </w:t>
      </w:r>
      <w:r>
        <w:rPr>
          <w:rFonts w:ascii="宋体" w:eastAsia="宋体" w:hAnsi="宋体" w:cs="Times New Roman"/>
          <w:snapToGrid/>
          <w:color w:val="auto"/>
          <w:kern w:val="2"/>
          <w:sz w:val="24"/>
          <w:szCs w:val="22"/>
          <w:lang w:eastAsia="zh-CN"/>
        </w:rPr>
        <w:t>(</w:t>
      </w:r>
      <w:r>
        <w:rPr>
          <w:rFonts w:ascii="宋体" w:eastAsia="宋体" w:hAnsi="宋体" w:cs="Times New Roman" w:hint="eastAsia"/>
          <w:snapToGrid/>
          <w:color w:val="auto"/>
          <w:kern w:val="2"/>
          <w:sz w:val="24"/>
          <w:szCs w:val="22"/>
          <w:lang w:eastAsia="zh-CN"/>
        </w:rPr>
        <w:t>3</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szCs w:val="22"/>
          <w:lang w:eastAsia="zh-CN"/>
        </w:rPr>
        <w:t>12</w:t>
      </w:r>
      <w:r>
        <w:rPr>
          <w:rFonts w:ascii="宋体" w:eastAsia="宋体" w:hAnsi="宋体" w:cs="Times New Roman"/>
          <w:snapToGrid/>
          <w:color w:val="auto"/>
          <w:kern w:val="2"/>
          <w:sz w:val="24"/>
          <w:szCs w:val="22"/>
          <w:lang w:eastAsia="zh-CN"/>
        </w:rPr>
        <w:t>)</w:t>
      </w:r>
    </w:p>
    <w:p w14:paraId="0DA564C2" w14:textId="77777777" w:rsidR="0075791A" w:rsidRDefault="00FB2864">
      <w:pPr>
        <w:widowControl w:val="0"/>
        <w:kinsoku/>
        <w:autoSpaceDE/>
        <w:autoSpaceDN/>
        <w:adjustRightInd/>
        <w:spacing w:line="360" w:lineRule="auto"/>
        <w:ind w:firstLineChars="150" w:firstLine="36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以此类推，经过</w:t>
      </w:r>
      <w:r>
        <w:rPr>
          <w:rFonts w:ascii="宋体" w:eastAsia="宋体" w:hAnsi="宋体" w:cs="Times New Roman" w:hint="eastAsia"/>
          <w:snapToGrid/>
          <w:color w:val="auto"/>
          <w:kern w:val="2"/>
          <w:sz w:val="24"/>
          <w:szCs w:val="22"/>
          <w:lang w:eastAsia="zh-CN"/>
        </w:rPr>
        <w:t xml:space="preserve"> n </w:t>
      </w:r>
      <w:r>
        <w:rPr>
          <w:rFonts w:ascii="宋体" w:eastAsia="宋体" w:hAnsi="宋体" w:cs="Times New Roman" w:hint="eastAsia"/>
          <w:snapToGrid/>
          <w:color w:val="auto"/>
          <w:kern w:val="2"/>
          <w:sz w:val="24"/>
          <w:szCs w:val="22"/>
          <w:lang w:eastAsia="zh-CN"/>
        </w:rPr>
        <w:t>个潮周期后，湾内所剩的旧水量占湾内总水量的比例为：</w:t>
      </w:r>
    </w:p>
    <w:p w14:paraId="1D171802" w14:textId="77777777" w:rsidR="0075791A" w:rsidRDefault="00FB2864">
      <w:pPr>
        <w:widowControl w:val="0"/>
        <w:kinsoku/>
        <w:autoSpaceDE/>
        <w:autoSpaceDN/>
        <w:adjustRightInd/>
        <w:spacing w:line="360" w:lineRule="auto"/>
        <w:ind w:firstLineChars="1150" w:firstLine="276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noProof/>
          <w:snapToGrid/>
          <w:color w:val="auto"/>
          <w:kern w:val="2"/>
          <w:sz w:val="24"/>
          <w:szCs w:val="22"/>
          <w:lang w:eastAsia="zh-CN"/>
        </w:rPr>
        <w:drawing>
          <wp:inline distT="0" distB="0" distL="0" distR="0" wp14:anchorId="49D41479" wp14:editId="68224291">
            <wp:extent cx="1868805" cy="469265"/>
            <wp:effectExtent l="0" t="0" r="5715" b="3175"/>
            <wp:docPr id="5" name="图片 5" descr="QQ图片2013051211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QQ图片2013051211375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a:xfrm>
                      <a:off x="0" y="0"/>
                      <a:ext cx="1868805" cy="469265"/>
                    </a:xfrm>
                    <a:prstGeom prst="rect">
                      <a:avLst/>
                    </a:prstGeom>
                    <a:noFill/>
                    <a:ln>
                      <a:noFill/>
                    </a:ln>
                  </pic:spPr>
                </pic:pic>
              </a:graphicData>
            </a:graphic>
          </wp:inline>
        </w:drawing>
      </w:r>
      <w:r>
        <w:rPr>
          <w:rFonts w:ascii="宋体" w:eastAsia="宋体" w:hAnsi="宋体" w:cs="Times New Roman" w:hint="eastAsia"/>
          <w:snapToGrid/>
          <w:color w:val="auto"/>
          <w:kern w:val="2"/>
          <w:sz w:val="24"/>
          <w:szCs w:val="22"/>
          <w:lang w:eastAsia="zh-CN"/>
        </w:rPr>
        <w:t xml:space="preserve">               </w:t>
      </w:r>
      <w:r>
        <w:rPr>
          <w:rFonts w:ascii="宋体" w:eastAsia="宋体" w:hAnsi="宋体" w:cs="Times New Roman"/>
          <w:snapToGrid/>
          <w:color w:val="auto"/>
          <w:kern w:val="2"/>
          <w:sz w:val="24"/>
          <w:szCs w:val="22"/>
          <w:lang w:eastAsia="zh-CN"/>
        </w:rPr>
        <w:t>(</w:t>
      </w:r>
      <w:r>
        <w:rPr>
          <w:rFonts w:ascii="宋体" w:eastAsia="宋体" w:hAnsi="宋体" w:cs="Times New Roman" w:hint="eastAsia"/>
          <w:snapToGrid/>
          <w:color w:val="auto"/>
          <w:kern w:val="2"/>
          <w:sz w:val="24"/>
          <w:szCs w:val="22"/>
          <w:lang w:eastAsia="zh-CN"/>
        </w:rPr>
        <w:t>3</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szCs w:val="22"/>
          <w:lang w:eastAsia="zh-CN"/>
        </w:rPr>
        <w:t>13</w:t>
      </w:r>
      <w:r>
        <w:rPr>
          <w:rFonts w:ascii="宋体" w:eastAsia="宋体" w:hAnsi="宋体" w:cs="Times New Roman"/>
          <w:snapToGrid/>
          <w:color w:val="auto"/>
          <w:kern w:val="2"/>
          <w:sz w:val="24"/>
          <w:szCs w:val="22"/>
          <w:lang w:eastAsia="zh-CN"/>
        </w:rPr>
        <w:t>)</w:t>
      </w:r>
    </w:p>
    <w:p w14:paraId="1A00BAAD" w14:textId="77777777" w:rsidR="0075791A" w:rsidRDefault="00FB2864">
      <w:pPr>
        <w:widowControl w:val="0"/>
        <w:kinsoku/>
        <w:autoSpaceDE/>
        <w:autoSpaceDN/>
        <w:adjustRightInd/>
        <w:spacing w:line="360" w:lineRule="auto"/>
        <w:ind w:firstLineChars="150" w:firstLine="36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假设经过</w:t>
      </w:r>
      <w:r>
        <w:rPr>
          <w:rFonts w:ascii="宋体" w:eastAsia="宋体" w:hAnsi="宋体" w:cs="Times New Roman" w:hint="eastAsia"/>
          <w:snapToGrid/>
          <w:color w:val="auto"/>
          <w:kern w:val="2"/>
          <w:sz w:val="24"/>
          <w:szCs w:val="22"/>
          <w:lang w:eastAsia="zh-CN"/>
        </w:rPr>
        <w:t xml:space="preserve"> x </w:t>
      </w:r>
      <w:r>
        <w:rPr>
          <w:rFonts w:ascii="宋体" w:eastAsia="宋体" w:hAnsi="宋体" w:cs="Times New Roman" w:hint="eastAsia"/>
          <w:snapToGrid/>
          <w:color w:val="auto"/>
          <w:kern w:val="2"/>
          <w:sz w:val="24"/>
          <w:szCs w:val="22"/>
          <w:lang w:eastAsia="zh-CN"/>
        </w:rPr>
        <w:t>个潮周期以后，湾内海水被交换出</w:t>
      </w:r>
      <w:r>
        <w:rPr>
          <w:rFonts w:ascii="宋体" w:eastAsia="宋体" w:hAnsi="宋体" w:cs="Times New Roman" w:hint="eastAsia"/>
          <w:snapToGrid/>
          <w:color w:val="auto"/>
          <w:kern w:val="2"/>
          <w:sz w:val="24"/>
          <w:szCs w:val="22"/>
          <w:lang w:eastAsia="zh-CN"/>
        </w:rPr>
        <w:t xml:space="preserve"> 50%</w:t>
      </w:r>
      <w:r>
        <w:rPr>
          <w:rFonts w:ascii="宋体" w:eastAsia="宋体" w:hAnsi="宋体" w:cs="Times New Roman" w:hint="eastAsia"/>
          <w:snapToGrid/>
          <w:color w:val="auto"/>
          <w:kern w:val="2"/>
          <w:sz w:val="24"/>
          <w:szCs w:val="22"/>
          <w:lang w:eastAsia="zh-CN"/>
        </w:rPr>
        <w:t>，则有：</w:t>
      </w:r>
    </w:p>
    <w:p w14:paraId="2906504C" w14:textId="77777777" w:rsidR="0075791A" w:rsidRDefault="00FB2864">
      <w:pPr>
        <w:widowControl w:val="0"/>
        <w:kinsoku/>
        <w:autoSpaceDE/>
        <w:autoSpaceDN/>
        <w:adjustRightInd/>
        <w:spacing w:line="360" w:lineRule="auto"/>
        <w:ind w:firstLineChars="150" w:firstLine="36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 xml:space="preserve">                      </w:t>
      </w:r>
      <w:r>
        <w:rPr>
          <w:rFonts w:ascii="宋体" w:eastAsia="宋体" w:hAnsi="宋体" w:cs="Times New Roman"/>
          <w:noProof/>
          <w:snapToGrid/>
          <w:color w:val="auto"/>
          <w:kern w:val="2"/>
          <w:sz w:val="24"/>
          <w:szCs w:val="22"/>
          <w:lang w:eastAsia="zh-CN"/>
        </w:rPr>
        <w:drawing>
          <wp:inline distT="0" distB="0" distL="0" distR="0" wp14:anchorId="0560A200" wp14:editId="67338E00">
            <wp:extent cx="659765" cy="262255"/>
            <wp:effectExtent l="0" t="0" r="10795" b="12065"/>
            <wp:docPr id="211" name="图片 211" descr="QQ图片2013051211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QQ图片2013051211382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a:xfrm>
                      <a:off x="0" y="0"/>
                      <a:ext cx="659765" cy="262255"/>
                    </a:xfrm>
                    <a:prstGeom prst="rect">
                      <a:avLst/>
                    </a:prstGeom>
                    <a:noFill/>
                    <a:ln>
                      <a:noFill/>
                    </a:ln>
                  </pic:spPr>
                </pic:pic>
              </a:graphicData>
            </a:graphic>
          </wp:inline>
        </w:drawing>
      </w:r>
      <w:r>
        <w:rPr>
          <w:rFonts w:ascii="宋体" w:eastAsia="宋体" w:hAnsi="宋体" w:cs="Times New Roman" w:hint="eastAsia"/>
          <w:snapToGrid/>
          <w:color w:val="auto"/>
          <w:kern w:val="2"/>
          <w:sz w:val="24"/>
          <w:szCs w:val="22"/>
          <w:lang w:eastAsia="zh-CN"/>
        </w:rPr>
        <w:t xml:space="preserve">                            </w:t>
      </w:r>
      <w:r>
        <w:rPr>
          <w:rFonts w:ascii="宋体" w:eastAsia="宋体" w:hAnsi="宋体" w:cs="Times New Roman"/>
          <w:snapToGrid/>
          <w:color w:val="auto"/>
          <w:kern w:val="2"/>
          <w:sz w:val="24"/>
          <w:szCs w:val="22"/>
          <w:lang w:eastAsia="zh-CN"/>
        </w:rPr>
        <w:t>(</w:t>
      </w:r>
      <w:r>
        <w:rPr>
          <w:rFonts w:ascii="宋体" w:eastAsia="宋体" w:hAnsi="宋体" w:cs="Times New Roman" w:hint="eastAsia"/>
          <w:snapToGrid/>
          <w:color w:val="auto"/>
          <w:kern w:val="2"/>
          <w:sz w:val="24"/>
          <w:szCs w:val="22"/>
          <w:lang w:eastAsia="zh-CN"/>
        </w:rPr>
        <w:t>3</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szCs w:val="22"/>
          <w:lang w:eastAsia="zh-CN"/>
        </w:rPr>
        <w:t>14</w:t>
      </w:r>
      <w:r>
        <w:rPr>
          <w:rFonts w:ascii="宋体" w:eastAsia="宋体" w:hAnsi="宋体" w:cs="Times New Roman"/>
          <w:snapToGrid/>
          <w:color w:val="auto"/>
          <w:kern w:val="2"/>
          <w:sz w:val="24"/>
          <w:szCs w:val="22"/>
          <w:lang w:eastAsia="zh-CN"/>
        </w:rPr>
        <w:t>)</w:t>
      </w:r>
    </w:p>
    <w:p w14:paraId="72433817" w14:textId="77777777" w:rsidR="0075791A" w:rsidRDefault="00FB2864">
      <w:pPr>
        <w:widowControl w:val="0"/>
        <w:kinsoku/>
        <w:autoSpaceDE/>
        <w:autoSpaceDN/>
        <w:adjustRightInd/>
        <w:spacing w:line="360" w:lineRule="auto"/>
        <w:ind w:firstLineChars="150" w:firstLine="36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于是得到湾内海水交换出</w:t>
      </w:r>
      <w:r>
        <w:rPr>
          <w:rFonts w:ascii="宋体" w:eastAsia="宋体" w:hAnsi="宋体" w:cs="Times New Roman" w:hint="eastAsia"/>
          <w:snapToGrid/>
          <w:color w:val="auto"/>
          <w:kern w:val="2"/>
          <w:sz w:val="24"/>
          <w:szCs w:val="22"/>
          <w:lang w:eastAsia="zh-CN"/>
        </w:rPr>
        <w:t xml:space="preserve"> 50%</w:t>
      </w:r>
      <w:r>
        <w:rPr>
          <w:rFonts w:ascii="宋体" w:eastAsia="宋体" w:hAnsi="宋体" w:cs="Times New Roman" w:hint="eastAsia"/>
          <w:snapToGrid/>
          <w:color w:val="auto"/>
          <w:kern w:val="2"/>
          <w:sz w:val="24"/>
          <w:szCs w:val="22"/>
          <w:lang w:eastAsia="zh-CN"/>
        </w:rPr>
        <w:t>时的周期数</w:t>
      </w:r>
      <w:r>
        <w:rPr>
          <w:rFonts w:ascii="宋体" w:eastAsia="宋体" w:hAnsi="宋体" w:cs="Times New Roman" w:hint="eastAsia"/>
          <w:snapToGrid/>
          <w:color w:val="auto"/>
          <w:kern w:val="2"/>
          <w:sz w:val="24"/>
          <w:szCs w:val="22"/>
          <w:lang w:eastAsia="zh-CN"/>
        </w:rPr>
        <w:t xml:space="preserve"> x</w:t>
      </w:r>
      <w:r>
        <w:rPr>
          <w:rFonts w:ascii="宋体" w:eastAsia="宋体" w:hAnsi="宋体" w:cs="Times New Roman" w:hint="eastAsia"/>
          <w:snapToGrid/>
          <w:color w:val="auto"/>
          <w:kern w:val="2"/>
          <w:sz w:val="24"/>
          <w:szCs w:val="22"/>
          <w:lang w:eastAsia="zh-CN"/>
        </w:rPr>
        <w:t>：</w:t>
      </w:r>
    </w:p>
    <w:p w14:paraId="17CBCB4F" w14:textId="77777777" w:rsidR="0075791A" w:rsidRDefault="00FB2864">
      <w:pPr>
        <w:widowControl w:val="0"/>
        <w:kinsoku/>
        <w:autoSpaceDE/>
        <w:autoSpaceDN/>
        <w:adjustRightInd/>
        <w:spacing w:line="360" w:lineRule="auto"/>
        <w:ind w:firstLineChars="1300" w:firstLine="312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noProof/>
          <w:snapToGrid/>
          <w:color w:val="auto"/>
          <w:kern w:val="2"/>
          <w:sz w:val="24"/>
          <w:szCs w:val="22"/>
          <w:lang w:eastAsia="zh-CN"/>
        </w:rPr>
        <w:drawing>
          <wp:inline distT="0" distB="0" distL="0" distR="0" wp14:anchorId="3FDB7216" wp14:editId="60B498E5">
            <wp:extent cx="1296035" cy="238760"/>
            <wp:effectExtent l="0" t="0" r="14605" b="5080"/>
            <wp:docPr id="214" name="图片 214" descr="QQ图片2013051211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QQ图片2013051211385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a:xfrm>
                      <a:off x="0" y="0"/>
                      <a:ext cx="1296035" cy="238760"/>
                    </a:xfrm>
                    <a:prstGeom prst="rect">
                      <a:avLst/>
                    </a:prstGeom>
                    <a:noFill/>
                    <a:ln>
                      <a:noFill/>
                    </a:ln>
                  </pic:spPr>
                </pic:pic>
              </a:graphicData>
            </a:graphic>
          </wp:inline>
        </w:drawing>
      </w:r>
      <w:r>
        <w:rPr>
          <w:rFonts w:ascii="宋体" w:eastAsia="宋体" w:hAnsi="宋体" w:cs="Times New Roman" w:hint="eastAsia"/>
          <w:snapToGrid/>
          <w:color w:val="auto"/>
          <w:kern w:val="2"/>
          <w:sz w:val="24"/>
          <w:szCs w:val="22"/>
          <w:lang w:eastAsia="zh-CN"/>
        </w:rPr>
        <w:t xml:space="preserve">                  </w:t>
      </w:r>
      <w:r>
        <w:rPr>
          <w:rFonts w:ascii="宋体" w:eastAsia="宋体" w:hAnsi="宋体" w:cs="Times New Roman"/>
          <w:snapToGrid/>
          <w:color w:val="auto"/>
          <w:kern w:val="2"/>
          <w:sz w:val="24"/>
          <w:szCs w:val="22"/>
          <w:lang w:eastAsia="zh-CN"/>
        </w:rPr>
        <w:t>(</w:t>
      </w:r>
      <w:r>
        <w:rPr>
          <w:rFonts w:ascii="宋体" w:eastAsia="宋体" w:hAnsi="宋体" w:cs="Times New Roman" w:hint="eastAsia"/>
          <w:snapToGrid/>
          <w:color w:val="auto"/>
          <w:kern w:val="2"/>
          <w:sz w:val="24"/>
          <w:szCs w:val="22"/>
          <w:lang w:eastAsia="zh-CN"/>
        </w:rPr>
        <w:t>3</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szCs w:val="22"/>
          <w:lang w:eastAsia="zh-CN"/>
        </w:rPr>
        <w:t>15</w:t>
      </w:r>
      <w:r>
        <w:rPr>
          <w:rFonts w:ascii="宋体" w:eastAsia="宋体" w:hAnsi="宋体" w:cs="Times New Roman"/>
          <w:snapToGrid/>
          <w:color w:val="auto"/>
          <w:kern w:val="2"/>
          <w:sz w:val="24"/>
          <w:szCs w:val="22"/>
          <w:lang w:eastAsia="zh-CN"/>
        </w:rPr>
        <w:t>)</w:t>
      </w:r>
    </w:p>
    <w:p w14:paraId="00436068" w14:textId="77777777" w:rsidR="0075791A" w:rsidRDefault="00FB2864">
      <w:pPr>
        <w:widowControl w:val="0"/>
        <w:kinsoku/>
        <w:autoSpaceDE/>
        <w:autoSpaceDN/>
        <w:adjustRightIn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应用</w:t>
      </w:r>
      <w:r>
        <w:rPr>
          <w:rFonts w:ascii="宋体" w:eastAsia="宋体" w:hAnsi="宋体" w:cs="Times New Roman" w:hint="eastAsia"/>
          <w:snapToGrid/>
          <w:color w:val="auto"/>
          <w:kern w:val="2"/>
          <w:sz w:val="24"/>
          <w:szCs w:val="22"/>
          <w:lang w:eastAsia="zh-CN"/>
        </w:rPr>
        <w:t xml:space="preserve"> Parker</w:t>
      </w:r>
      <w:r>
        <w:rPr>
          <w:rFonts w:ascii="宋体" w:eastAsia="宋体" w:hAnsi="宋体" w:cs="Times New Roman" w:hint="eastAsia"/>
          <w:snapToGrid/>
          <w:color w:val="auto"/>
          <w:kern w:val="2"/>
          <w:sz w:val="24"/>
          <w:szCs w:val="22"/>
          <w:lang w:eastAsia="zh-CN"/>
        </w:rPr>
        <w:t>，柏井等所定义的海水交换率可用以衡量海湾的海水交换能力，但是经常会出现实测资料缺乏等问题，且由于公式中对湾内污染物均匀程度的假设，对于大面积或混合不均匀的情况下海水交换率公式的适用性仍有待研究。因此应用数值模拟的结果来衡量水交换能力。</w:t>
      </w:r>
    </w:p>
    <w:p w14:paraId="33D62CEE" w14:textId="77777777" w:rsidR="0075791A" w:rsidRDefault="00FB2864">
      <w:pPr>
        <w:widowControl w:val="0"/>
        <w:kinsoku/>
        <w:autoSpaceDE/>
        <w:autoSpaceDN/>
        <w:adjustRightIn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在此研究本项目疏浚工程前后的水交换能力。</w:t>
      </w:r>
    </w:p>
    <w:p w14:paraId="3A867450" w14:textId="77777777" w:rsidR="0075791A" w:rsidRDefault="0075791A">
      <w:pPr>
        <w:widowControl w:val="0"/>
        <w:kinsoku/>
        <w:autoSpaceDE/>
        <w:autoSpaceDN/>
        <w:adjustRightInd/>
        <w:spacing w:line="360" w:lineRule="auto"/>
        <w:ind w:firstLineChars="200" w:firstLine="480"/>
        <w:jc w:val="both"/>
        <w:textAlignment w:val="auto"/>
        <w:rPr>
          <w:rFonts w:ascii="宋体" w:eastAsia="宋体" w:hAnsi="宋体" w:cs="Times New Roman"/>
          <w:snapToGrid/>
          <w:color w:val="auto"/>
          <w:kern w:val="2"/>
          <w:sz w:val="24"/>
          <w:szCs w:val="22"/>
          <w:lang w:eastAsia="zh-CN"/>
        </w:rPr>
      </w:pPr>
    </w:p>
    <w:p w14:paraId="5328FEB9" w14:textId="77777777" w:rsidR="0075791A" w:rsidRDefault="00FB2864">
      <w:pPr>
        <w:spacing w:before="34" w:line="360" w:lineRule="auto"/>
        <w:ind w:left="5"/>
        <w:outlineLvl w:val="3"/>
        <w:rPr>
          <w:rFonts w:ascii="Times New Roman" w:eastAsia="宋体" w:hAnsi="Times New Roman"/>
          <w:b/>
          <w:color w:val="auto"/>
          <w:sz w:val="24"/>
          <w:szCs w:val="24"/>
          <w:lang w:eastAsia="zh-CN"/>
        </w:rPr>
      </w:pPr>
      <w:bookmarkStart w:id="231" w:name="_Toc463581757"/>
      <w:r>
        <w:rPr>
          <w:rFonts w:ascii="Times New Roman" w:eastAsia="宋体" w:hAnsi="Times New Roman" w:hint="eastAsia"/>
          <w:b/>
          <w:color w:val="auto"/>
          <w:sz w:val="24"/>
          <w:szCs w:val="24"/>
          <w:lang w:eastAsia="zh-CN"/>
        </w:rPr>
        <w:t xml:space="preserve">4.1.7.2 </w:t>
      </w:r>
      <w:r>
        <w:rPr>
          <w:rFonts w:ascii="Times New Roman" w:eastAsia="宋体" w:hAnsi="Times New Roman" w:hint="eastAsia"/>
          <w:b/>
          <w:color w:val="auto"/>
          <w:sz w:val="24"/>
          <w:szCs w:val="24"/>
          <w:lang w:eastAsia="zh-CN"/>
        </w:rPr>
        <w:t>水交换计算结果</w:t>
      </w:r>
      <w:bookmarkEnd w:id="231"/>
    </w:p>
    <w:p w14:paraId="66C0DAFE" w14:textId="77777777" w:rsidR="0075791A" w:rsidRDefault="00FB2864">
      <w:pPr>
        <w:widowControl w:val="0"/>
        <w:kinsoku/>
        <w:autoSpaceDE/>
        <w:autoSpaceDN/>
        <w:adjustRightInd/>
        <w:snapToGrid/>
        <w:spacing w:line="360" w:lineRule="auto"/>
        <w:jc w:val="center"/>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noProof/>
          <w:snapToGrid/>
          <w:color w:val="auto"/>
          <w:kern w:val="2"/>
          <w:sz w:val="24"/>
          <w:szCs w:val="22"/>
          <w:lang w:eastAsia="zh-CN"/>
        </w:rPr>
        <w:lastRenderedPageBreak/>
        <w:drawing>
          <wp:inline distT="0" distB="0" distL="0" distR="0" wp14:anchorId="0B5A8068" wp14:editId="29FCC8E2">
            <wp:extent cx="5274310" cy="3673475"/>
            <wp:effectExtent l="0" t="0" r="13970" b="1460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0F9E2FAC"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2  </w:t>
      </w:r>
      <w:r>
        <w:rPr>
          <w:rFonts w:ascii="宋体" w:eastAsia="宋体" w:hAnsi="宋体" w:cs="Times New Roman" w:hint="eastAsia"/>
          <w:snapToGrid/>
          <w:color w:val="auto"/>
          <w:kern w:val="2"/>
          <w:sz w:val="24"/>
          <w:lang w:eastAsia="zh-CN"/>
        </w:rPr>
        <w:t>水交换计算初始浓度场</w:t>
      </w:r>
    </w:p>
    <w:p w14:paraId="42979474" w14:textId="77777777" w:rsidR="0075791A" w:rsidRDefault="00FB2864">
      <w:pPr>
        <w:widowControl w:val="0"/>
        <w:kinsoku/>
        <w:autoSpaceDE/>
        <w:autoSpaceDN/>
        <w:adjustRightInd/>
        <w:snapToGrid/>
        <w:spacing w:line="360" w:lineRule="auto"/>
        <w:jc w:val="center"/>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hint="eastAsia"/>
          <w:noProof/>
          <w:snapToGrid/>
          <w:color w:val="auto"/>
          <w:kern w:val="2"/>
          <w:sz w:val="24"/>
          <w:szCs w:val="22"/>
          <w:lang w:eastAsia="zh-CN"/>
        </w:rPr>
        <w:drawing>
          <wp:inline distT="0" distB="0" distL="0" distR="0" wp14:anchorId="61B35B4B" wp14:editId="38C23A3E">
            <wp:extent cx="5274310" cy="3673475"/>
            <wp:effectExtent l="0" t="0" r="13970" b="1460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4C26FE1B"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3a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1</w:t>
      </w:r>
      <w:r>
        <w:rPr>
          <w:rFonts w:ascii="宋体" w:eastAsia="宋体" w:hAnsi="宋体" w:cs="Times New Roman" w:hint="eastAsia"/>
          <w:snapToGrid/>
          <w:color w:val="auto"/>
          <w:kern w:val="2"/>
          <w:sz w:val="24"/>
          <w:lang w:eastAsia="zh-CN"/>
        </w:rPr>
        <w:t>天后的相对浓度等值线（工程前）</w:t>
      </w:r>
    </w:p>
    <w:p w14:paraId="0EEF3518"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noProof/>
          <w:snapToGrid/>
          <w:color w:val="auto"/>
          <w:kern w:val="2"/>
          <w:sz w:val="24"/>
          <w:lang w:eastAsia="zh-CN"/>
        </w:rPr>
        <w:lastRenderedPageBreak/>
        <w:drawing>
          <wp:inline distT="0" distB="0" distL="0" distR="0" wp14:anchorId="0E4128E1" wp14:editId="74C9F6BC">
            <wp:extent cx="5274310" cy="3673475"/>
            <wp:effectExtent l="0" t="0" r="13970" b="1460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09D480AF"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3b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1</w:t>
      </w:r>
      <w:r>
        <w:rPr>
          <w:rFonts w:ascii="宋体" w:eastAsia="宋体" w:hAnsi="宋体" w:cs="Times New Roman" w:hint="eastAsia"/>
          <w:snapToGrid/>
          <w:color w:val="auto"/>
          <w:kern w:val="2"/>
          <w:sz w:val="24"/>
          <w:lang w:eastAsia="zh-CN"/>
        </w:rPr>
        <w:t>天后的相对浓度等值线（工程后）</w:t>
      </w:r>
    </w:p>
    <w:p w14:paraId="38597E6F" w14:textId="77777777" w:rsidR="0075791A" w:rsidRDefault="0075791A">
      <w:pPr>
        <w:widowControl w:val="0"/>
        <w:kinsoku/>
        <w:autoSpaceDE/>
        <w:autoSpaceDN/>
        <w:adjustRightInd/>
        <w:snapToGrid/>
        <w:spacing w:line="360" w:lineRule="auto"/>
        <w:ind w:firstLineChars="200" w:firstLine="480"/>
        <w:jc w:val="both"/>
        <w:textAlignment w:val="auto"/>
        <w:rPr>
          <w:rFonts w:ascii="宋体" w:eastAsia="宋体" w:hAnsi="宋体" w:cs="Times New Roman"/>
          <w:snapToGrid/>
          <w:color w:val="auto"/>
          <w:kern w:val="2"/>
          <w:sz w:val="24"/>
          <w:szCs w:val="22"/>
          <w:lang w:eastAsia="zh-CN"/>
        </w:rPr>
      </w:pPr>
    </w:p>
    <w:p w14:paraId="5C543F64"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假设铁炉港的初始浓度为</w:t>
      </w:r>
      <w:r>
        <w:rPr>
          <w:rFonts w:ascii="宋体" w:eastAsia="宋体" w:hAnsi="宋体" w:cs="Times New Roman" w:hint="eastAsia"/>
          <w:snapToGrid/>
          <w:color w:val="auto"/>
          <w:kern w:val="2"/>
          <w:sz w:val="24"/>
          <w:szCs w:val="22"/>
          <w:lang w:eastAsia="zh-CN"/>
        </w:rPr>
        <w:t>100</w:t>
      </w:r>
      <w:r>
        <w:rPr>
          <w:rFonts w:ascii="宋体" w:eastAsia="宋体" w:hAnsi="宋体" w:cs="Times New Roman" w:hint="eastAsia"/>
          <w:snapToGrid/>
          <w:color w:val="auto"/>
          <w:kern w:val="2"/>
          <w:sz w:val="24"/>
          <w:szCs w:val="22"/>
          <w:lang w:eastAsia="zh-CN"/>
        </w:rPr>
        <w:t>，外海初始浓度为</w:t>
      </w:r>
      <w:r>
        <w:rPr>
          <w:rFonts w:ascii="宋体" w:eastAsia="宋体" w:hAnsi="宋体" w:cs="Times New Roman" w:hint="eastAsia"/>
          <w:snapToGrid/>
          <w:color w:val="auto"/>
          <w:kern w:val="2"/>
          <w:sz w:val="24"/>
          <w:szCs w:val="22"/>
          <w:lang w:eastAsia="zh-CN"/>
        </w:rPr>
        <w:t>0</w:t>
      </w:r>
      <w:r>
        <w:rPr>
          <w:rFonts w:ascii="宋体" w:eastAsia="宋体" w:hAnsi="宋体" w:cs="Times New Roman" w:hint="eastAsia"/>
          <w:snapToGrid/>
          <w:color w:val="auto"/>
          <w:kern w:val="2"/>
          <w:sz w:val="24"/>
          <w:szCs w:val="22"/>
          <w:lang w:eastAsia="zh-CN"/>
        </w:rPr>
        <w:t>，计算铁炉港内的水交换速率。</w:t>
      </w:r>
    </w:p>
    <w:p w14:paraId="2710BBB7"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由图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-3</w:t>
      </w:r>
      <w:r>
        <w:rPr>
          <w:rFonts w:ascii="宋体" w:eastAsia="宋体" w:hAnsi="宋体" w:cs="Times New Roman" w:hint="eastAsia"/>
          <w:snapToGrid/>
          <w:color w:val="auto"/>
          <w:kern w:val="2"/>
          <w:sz w:val="24"/>
          <w:szCs w:val="22"/>
          <w:lang w:eastAsia="zh-CN"/>
        </w:rPr>
        <w:t>可以看出，模拟计算</w:t>
      </w:r>
      <w:r>
        <w:rPr>
          <w:rFonts w:ascii="宋体" w:eastAsia="宋体" w:hAnsi="宋体" w:cs="Times New Roman" w:hint="eastAsia"/>
          <w:snapToGrid/>
          <w:color w:val="auto"/>
          <w:kern w:val="2"/>
          <w:sz w:val="24"/>
          <w:szCs w:val="22"/>
          <w:lang w:eastAsia="zh-CN"/>
        </w:rPr>
        <w:t>1</w:t>
      </w:r>
      <w:r>
        <w:rPr>
          <w:rFonts w:ascii="宋体" w:eastAsia="宋体" w:hAnsi="宋体" w:cs="Times New Roman" w:hint="eastAsia"/>
          <w:snapToGrid/>
          <w:color w:val="auto"/>
          <w:kern w:val="2"/>
          <w:sz w:val="24"/>
          <w:szCs w:val="22"/>
          <w:lang w:eastAsia="zh-CN"/>
        </w:rPr>
        <w:t>天以后，铁炉港潮汐通道内相对浓度等值线</w:t>
      </w:r>
      <w:r>
        <w:rPr>
          <w:rFonts w:ascii="宋体" w:eastAsia="宋体" w:hAnsi="宋体" w:cs="Times New Roman" w:hint="eastAsia"/>
          <w:snapToGrid/>
          <w:color w:val="auto"/>
          <w:kern w:val="2"/>
          <w:sz w:val="24"/>
          <w:szCs w:val="22"/>
          <w:lang w:eastAsia="zh-CN"/>
        </w:rPr>
        <w:t>50</w:t>
      </w:r>
      <w:r>
        <w:rPr>
          <w:rFonts w:ascii="宋体" w:eastAsia="宋体" w:hAnsi="宋体" w:cs="Times New Roman" w:hint="eastAsia"/>
          <w:snapToGrid/>
          <w:color w:val="auto"/>
          <w:kern w:val="2"/>
          <w:sz w:val="24"/>
          <w:szCs w:val="22"/>
          <w:lang w:eastAsia="zh-CN"/>
        </w:rPr>
        <w:t>（示踪物质相对浓度下降至初始浓度的</w:t>
      </w:r>
      <w:r>
        <w:rPr>
          <w:rFonts w:ascii="宋体" w:eastAsia="宋体" w:hAnsi="宋体" w:cs="Times New Roman" w:hint="eastAsia"/>
          <w:snapToGrid/>
          <w:color w:val="auto"/>
          <w:kern w:val="2"/>
          <w:sz w:val="24"/>
          <w:szCs w:val="22"/>
          <w:lang w:eastAsia="zh-CN"/>
        </w:rPr>
        <w:t>50%</w:t>
      </w:r>
      <w:r>
        <w:rPr>
          <w:rFonts w:ascii="宋体" w:eastAsia="宋体" w:hAnsi="宋体" w:cs="Times New Roman" w:hint="eastAsia"/>
          <w:snapToGrid/>
          <w:color w:val="auto"/>
          <w:kern w:val="2"/>
          <w:sz w:val="24"/>
          <w:szCs w:val="22"/>
          <w:lang w:eastAsia="zh-CN"/>
        </w:rPr>
        <w:t>）已自口门向潟湖内延伸约</w:t>
      </w:r>
      <w:r>
        <w:rPr>
          <w:rFonts w:ascii="宋体" w:eastAsia="宋体" w:hAnsi="宋体" w:cs="Times New Roman" w:hint="eastAsia"/>
          <w:snapToGrid/>
          <w:color w:val="auto"/>
          <w:kern w:val="2"/>
          <w:sz w:val="24"/>
          <w:szCs w:val="22"/>
          <w:lang w:eastAsia="zh-CN"/>
        </w:rPr>
        <w:t>1.4km</w:t>
      </w:r>
      <w:r>
        <w:rPr>
          <w:rFonts w:ascii="宋体" w:eastAsia="宋体" w:hAnsi="宋体" w:cs="Times New Roman" w:hint="eastAsia"/>
          <w:snapToGrid/>
          <w:color w:val="auto"/>
          <w:kern w:val="2"/>
          <w:sz w:val="24"/>
          <w:szCs w:val="22"/>
          <w:lang w:eastAsia="zh-CN"/>
        </w:rPr>
        <w:t>。工程前后的</w:t>
      </w:r>
      <w:r>
        <w:rPr>
          <w:rFonts w:ascii="宋体" w:eastAsia="宋体" w:hAnsi="宋体" w:cs="Times New Roman" w:hint="eastAsia"/>
          <w:snapToGrid/>
          <w:color w:val="auto"/>
          <w:kern w:val="2"/>
          <w:sz w:val="24"/>
          <w:szCs w:val="22"/>
          <w:lang w:eastAsia="zh-CN"/>
        </w:rPr>
        <w:t>1</w:t>
      </w:r>
      <w:r>
        <w:rPr>
          <w:rFonts w:ascii="宋体" w:eastAsia="宋体" w:hAnsi="宋体" w:cs="Times New Roman" w:hint="eastAsia"/>
          <w:snapToGrid/>
          <w:color w:val="auto"/>
          <w:kern w:val="2"/>
          <w:sz w:val="24"/>
          <w:szCs w:val="22"/>
          <w:lang w:eastAsia="zh-CN"/>
        </w:rPr>
        <w:t>天半交换周期等时线几乎重叠，可见工程前后</w:t>
      </w:r>
      <w:r>
        <w:rPr>
          <w:rFonts w:ascii="宋体" w:eastAsia="宋体" w:hAnsi="宋体" w:cs="Times New Roman" w:hint="eastAsia"/>
          <w:snapToGrid/>
          <w:color w:val="auto"/>
          <w:kern w:val="2"/>
          <w:sz w:val="24"/>
          <w:szCs w:val="22"/>
          <w:lang w:eastAsia="zh-CN"/>
        </w:rPr>
        <w:t>1</w:t>
      </w:r>
      <w:r>
        <w:rPr>
          <w:rFonts w:ascii="宋体" w:eastAsia="宋体" w:hAnsi="宋体" w:cs="Times New Roman" w:hint="eastAsia"/>
          <w:snapToGrid/>
          <w:color w:val="auto"/>
          <w:kern w:val="2"/>
          <w:sz w:val="24"/>
          <w:szCs w:val="22"/>
          <w:lang w:eastAsia="zh-CN"/>
        </w:rPr>
        <w:t>天的水体半交换周期没有明显的变化。</w:t>
      </w:r>
    </w:p>
    <w:p w14:paraId="47FE33E5"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工程后，由图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-4</w:t>
      </w:r>
      <w:r>
        <w:rPr>
          <w:rFonts w:ascii="宋体" w:eastAsia="宋体" w:hAnsi="宋体" w:cs="Times New Roman" w:hint="eastAsia"/>
          <w:snapToGrid/>
          <w:color w:val="auto"/>
          <w:kern w:val="2"/>
          <w:sz w:val="24"/>
          <w:szCs w:val="22"/>
          <w:lang w:eastAsia="zh-CN"/>
        </w:rPr>
        <w:t>可以看出，计算</w:t>
      </w:r>
      <w:r>
        <w:rPr>
          <w:rFonts w:ascii="宋体" w:eastAsia="宋体" w:hAnsi="宋体" w:cs="Times New Roman" w:hint="eastAsia"/>
          <w:snapToGrid/>
          <w:color w:val="auto"/>
          <w:kern w:val="2"/>
          <w:sz w:val="24"/>
          <w:szCs w:val="22"/>
          <w:lang w:eastAsia="zh-CN"/>
        </w:rPr>
        <w:t>5</w:t>
      </w:r>
      <w:r>
        <w:rPr>
          <w:rFonts w:ascii="宋体" w:eastAsia="宋体" w:hAnsi="宋体" w:cs="Times New Roman" w:hint="eastAsia"/>
          <w:snapToGrid/>
          <w:color w:val="auto"/>
          <w:kern w:val="2"/>
          <w:sz w:val="24"/>
          <w:szCs w:val="22"/>
          <w:lang w:eastAsia="zh-CN"/>
        </w:rPr>
        <w:t>天以后，铁炉港潮汐通道内石尾以东水域的相对浓度</w:t>
      </w:r>
      <w:r>
        <w:rPr>
          <w:rFonts w:ascii="宋体" w:eastAsia="宋体" w:hAnsi="宋体" w:cs="Times New Roman" w:hint="eastAsia"/>
          <w:snapToGrid/>
          <w:color w:val="auto"/>
          <w:kern w:val="2"/>
          <w:sz w:val="24"/>
          <w:szCs w:val="22"/>
          <w:lang w:eastAsia="zh-CN"/>
        </w:rPr>
        <w:t>下降至</w:t>
      </w:r>
      <w:r>
        <w:rPr>
          <w:rFonts w:ascii="宋体" w:eastAsia="宋体" w:hAnsi="宋体" w:cs="Times New Roman" w:hint="eastAsia"/>
          <w:snapToGrid/>
          <w:color w:val="auto"/>
          <w:kern w:val="2"/>
          <w:sz w:val="24"/>
          <w:szCs w:val="22"/>
          <w:lang w:eastAsia="zh-CN"/>
        </w:rPr>
        <w:t>50</w:t>
      </w:r>
      <w:r>
        <w:rPr>
          <w:rFonts w:ascii="宋体" w:eastAsia="宋体" w:hAnsi="宋体" w:cs="Times New Roman" w:hint="eastAsia"/>
          <w:snapToGrid/>
          <w:color w:val="auto"/>
          <w:kern w:val="2"/>
          <w:sz w:val="24"/>
          <w:szCs w:val="22"/>
          <w:lang w:eastAsia="zh-CN"/>
        </w:rPr>
        <w:t>以下，可见铁炉港潮汐通道石尾附近的水体半交换周期在</w:t>
      </w:r>
      <w:r>
        <w:rPr>
          <w:rFonts w:ascii="宋体" w:eastAsia="宋体" w:hAnsi="宋体" w:cs="Times New Roman" w:hint="eastAsia"/>
          <w:snapToGrid/>
          <w:color w:val="auto"/>
          <w:kern w:val="2"/>
          <w:sz w:val="24"/>
          <w:szCs w:val="22"/>
          <w:lang w:eastAsia="zh-CN"/>
        </w:rPr>
        <w:t>5</w:t>
      </w:r>
      <w:r>
        <w:rPr>
          <w:rFonts w:ascii="宋体" w:eastAsia="宋体" w:hAnsi="宋体" w:cs="Times New Roman" w:hint="eastAsia"/>
          <w:snapToGrid/>
          <w:color w:val="auto"/>
          <w:kern w:val="2"/>
          <w:sz w:val="24"/>
          <w:szCs w:val="22"/>
          <w:lang w:eastAsia="zh-CN"/>
        </w:rPr>
        <w:t>天左右。与模拟计算</w:t>
      </w:r>
      <w:r>
        <w:rPr>
          <w:rFonts w:ascii="宋体" w:eastAsia="宋体" w:hAnsi="宋体" w:cs="Times New Roman" w:hint="eastAsia"/>
          <w:snapToGrid/>
          <w:color w:val="auto"/>
          <w:kern w:val="2"/>
          <w:sz w:val="24"/>
          <w:szCs w:val="22"/>
          <w:lang w:eastAsia="zh-CN"/>
        </w:rPr>
        <w:t>1</w:t>
      </w:r>
      <w:r>
        <w:rPr>
          <w:rFonts w:ascii="宋体" w:eastAsia="宋体" w:hAnsi="宋体" w:cs="Times New Roman" w:hint="eastAsia"/>
          <w:snapToGrid/>
          <w:color w:val="auto"/>
          <w:kern w:val="2"/>
          <w:sz w:val="24"/>
          <w:szCs w:val="22"/>
          <w:lang w:eastAsia="zh-CN"/>
        </w:rPr>
        <w:t>天以后类似，工程前后</w:t>
      </w:r>
      <w:r>
        <w:rPr>
          <w:rFonts w:ascii="宋体" w:eastAsia="宋体" w:hAnsi="宋体" w:cs="Times New Roman" w:hint="eastAsia"/>
          <w:snapToGrid/>
          <w:color w:val="auto"/>
          <w:kern w:val="2"/>
          <w:sz w:val="24"/>
          <w:szCs w:val="22"/>
          <w:lang w:eastAsia="zh-CN"/>
        </w:rPr>
        <w:t>5</w:t>
      </w:r>
      <w:r>
        <w:rPr>
          <w:rFonts w:ascii="宋体" w:eastAsia="宋体" w:hAnsi="宋体" w:cs="Times New Roman" w:hint="eastAsia"/>
          <w:snapToGrid/>
          <w:color w:val="auto"/>
          <w:kern w:val="2"/>
          <w:sz w:val="24"/>
          <w:szCs w:val="22"/>
          <w:lang w:eastAsia="zh-CN"/>
        </w:rPr>
        <w:t>天的水体半交换周期无明显变化。</w:t>
      </w:r>
    </w:p>
    <w:p w14:paraId="7E19BEEA" w14:textId="77777777" w:rsidR="0075791A" w:rsidRDefault="00FB2864">
      <w:pPr>
        <w:widowControl w:val="0"/>
        <w:kinsoku/>
        <w:autoSpaceDE/>
        <w:autoSpaceDN/>
        <w:adjustRightInd/>
        <w:snapToGrid/>
        <w:spacing w:line="360" w:lineRule="auto"/>
        <w:jc w:val="center"/>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hint="eastAsia"/>
          <w:noProof/>
          <w:snapToGrid/>
          <w:color w:val="auto"/>
          <w:kern w:val="2"/>
          <w:sz w:val="24"/>
          <w:szCs w:val="22"/>
          <w:lang w:eastAsia="zh-CN"/>
        </w:rPr>
        <w:lastRenderedPageBreak/>
        <w:drawing>
          <wp:inline distT="0" distB="0" distL="0" distR="0" wp14:anchorId="030B7094" wp14:editId="68EA8EFE">
            <wp:extent cx="5274310" cy="3673475"/>
            <wp:effectExtent l="0" t="0" r="13970" b="1460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3CBE1856"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4a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5</w:t>
      </w:r>
      <w:r>
        <w:rPr>
          <w:rFonts w:ascii="宋体" w:eastAsia="宋体" w:hAnsi="宋体" w:cs="Times New Roman" w:hint="eastAsia"/>
          <w:snapToGrid/>
          <w:color w:val="auto"/>
          <w:kern w:val="2"/>
          <w:sz w:val="24"/>
          <w:lang w:eastAsia="zh-CN"/>
        </w:rPr>
        <w:t>天后的相对浓度等值线（工程前）</w:t>
      </w:r>
    </w:p>
    <w:p w14:paraId="63B8627F" w14:textId="77777777" w:rsidR="0075791A" w:rsidRDefault="00FB2864">
      <w:pPr>
        <w:widowControl w:val="0"/>
        <w:kinsoku/>
        <w:autoSpaceDE/>
        <w:autoSpaceDN/>
        <w:adjustRightInd/>
        <w:snapToGrid/>
        <w:spacing w:line="360" w:lineRule="auto"/>
        <w:jc w:val="center"/>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hint="eastAsia"/>
          <w:noProof/>
          <w:snapToGrid/>
          <w:color w:val="auto"/>
          <w:kern w:val="2"/>
          <w:sz w:val="24"/>
          <w:szCs w:val="22"/>
          <w:lang w:eastAsia="zh-CN"/>
        </w:rPr>
        <w:drawing>
          <wp:inline distT="0" distB="0" distL="0" distR="0" wp14:anchorId="097C8D15" wp14:editId="0A3D0AD7">
            <wp:extent cx="5274310" cy="3673475"/>
            <wp:effectExtent l="0" t="0" r="13970" b="1460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33A79860"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4b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5</w:t>
      </w:r>
      <w:r>
        <w:rPr>
          <w:rFonts w:ascii="宋体" w:eastAsia="宋体" w:hAnsi="宋体" w:cs="Times New Roman" w:hint="eastAsia"/>
          <w:snapToGrid/>
          <w:color w:val="auto"/>
          <w:kern w:val="2"/>
          <w:sz w:val="24"/>
          <w:lang w:eastAsia="zh-CN"/>
        </w:rPr>
        <w:t>天后的相对浓度等值线（工程后）</w:t>
      </w:r>
    </w:p>
    <w:p w14:paraId="3F8D667A" w14:textId="77777777" w:rsidR="0075791A" w:rsidRDefault="00FB2864">
      <w:pPr>
        <w:widowControl w:val="0"/>
        <w:kinsoku/>
        <w:autoSpaceDE/>
        <w:autoSpaceDN/>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hint="eastAsia"/>
          <w:snapToGrid/>
          <w:color w:val="auto"/>
          <w:kern w:val="2"/>
          <w:sz w:val="24"/>
          <w:szCs w:val="22"/>
          <w:lang w:eastAsia="zh-CN"/>
        </w:rPr>
        <w:t>由图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Times New Roman" w:eastAsia="宋体" w:hAnsi="Times New Roman" w:cs="Times New Roman" w:hint="eastAsia"/>
          <w:snapToGrid/>
          <w:color w:val="auto"/>
          <w:kern w:val="2"/>
          <w:sz w:val="24"/>
          <w:szCs w:val="22"/>
          <w:lang w:eastAsia="zh-CN"/>
        </w:rPr>
        <w:t>5</w:t>
      </w:r>
      <w:r>
        <w:rPr>
          <w:rFonts w:ascii="Times New Roman" w:eastAsia="宋体" w:hAnsi="Times New Roman" w:cs="Times New Roman"/>
          <w:snapToGrid/>
          <w:color w:val="auto"/>
          <w:kern w:val="2"/>
          <w:sz w:val="24"/>
          <w:szCs w:val="22"/>
          <w:lang w:eastAsia="zh-CN"/>
        </w:rPr>
        <w:t>a</w:t>
      </w:r>
      <w:r>
        <w:rPr>
          <w:rFonts w:ascii="Times New Roman" w:eastAsia="宋体" w:hAnsi="Times New Roman" w:cs="Times New Roman" w:hint="eastAsia"/>
          <w:snapToGrid/>
          <w:color w:val="auto"/>
          <w:kern w:val="2"/>
          <w:sz w:val="24"/>
          <w:szCs w:val="22"/>
          <w:lang w:eastAsia="zh-CN"/>
        </w:rPr>
        <w:t>可以看出，计算</w:t>
      </w:r>
      <w:r>
        <w:rPr>
          <w:rFonts w:ascii="Times New Roman" w:eastAsia="宋体" w:hAnsi="Times New Roman" w:cs="Times New Roman" w:hint="eastAsia"/>
          <w:snapToGrid/>
          <w:color w:val="auto"/>
          <w:kern w:val="2"/>
          <w:sz w:val="24"/>
          <w:szCs w:val="22"/>
          <w:lang w:eastAsia="zh-CN"/>
        </w:rPr>
        <w:t>1</w:t>
      </w:r>
      <w:r>
        <w:rPr>
          <w:rFonts w:ascii="Times New Roman" w:eastAsia="宋体" w:hAnsi="Times New Roman" w:cs="Times New Roman"/>
          <w:snapToGrid/>
          <w:color w:val="auto"/>
          <w:kern w:val="2"/>
          <w:sz w:val="24"/>
          <w:szCs w:val="22"/>
          <w:lang w:eastAsia="zh-CN"/>
        </w:rPr>
        <w:t>0</w:t>
      </w:r>
      <w:r>
        <w:rPr>
          <w:rFonts w:ascii="Times New Roman" w:eastAsia="宋体" w:hAnsi="Times New Roman" w:cs="Times New Roman" w:hint="eastAsia"/>
          <w:snapToGrid/>
          <w:color w:val="auto"/>
          <w:kern w:val="2"/>
          <w:sz w:val="24"/>
          <w:szCs w:val="22"/>
          <w:lang w:eastAsia="zh-CN"/>
        </w:rPr>
        <w:t>天以后，铁炉港潮汐通道的相对浓度</w:t>
      </w:r>
      <w:r>
        <w:rPr>
          <w:rFonts w:ascii="Times New Roman" w:eastAsia="宋体" w:hAnsi="Times New Roman" w:cs="Times New Roman"/>
          <w:snapToGrid/>
          <w:color w:val="auto"/>
          <w:kern w:val="2"/>
          <w:sz w:val="24"/>
          <w:szCs w:val="22"/>
          <w:lang w:eastAsia="zh-CN"/>
        </w:rPr>
        <w:t>50</w:t>
      </w:r>
      <w:r>
        <w:rPr>
          <w:rFonts w:ascii="Times New Roman" w:eastAsia="宋体" w:hAnsi="Times New Roman" w:cs="Times New Roman" w:hint="eastAsia"/>
          <w:snapToGrid/>
          <w:color w:val="auto"/>
          <w:kern w:val="2"/>
          <w:sz w:val="24"/>
          <w:szCs w:val="22"/>
          <w:lang w:eastAsia="zh-CN"/>
        </w:rPr>
        <w:t>等值线由口门向潟湖内延伸了</w:t>
      </w:r>
      <w:r>
        <w:rPr>
          <w:rFonts w:ascii="Times New Roman" w:eastAsia="宋体" w:hAnsi="Times New Roman" w:cs="Times New Roman" w:hint="eastAsia"/>
          <w:snapToGrid/>
          <w:color w:val="auto"/>
          <w:kern w:val="2"/>
          <w:sz w:val="24"/>
          <w:szCs w:val="22"/>
          <w:lang w:eastAsia="zh-CN"/>
        </w:rPr>
        <w:t>3km</w:t>
      </w:r>
      <w:r>
        <w:rPr>
          <w:rFonts w:ascii="Times New Roman" w:eastAsia="宋体" w:hAnsi="Times New Roman" w:cs="Times New Roman" w:hint="eastAsia"/>
          <w:snapToGrid/>
          <w:color w:val="auto"/>
          <w:kern w:val="2"/>
          <w:sz w:val="24"/>
          <w:szCs w:val="22"/>
          <w:lang w:eastAsia="zh-CN"/>
        </w:rPr>
        <w:t>左右。已到达疏浚区的南侧。</w:t>
      </w:r>
    </w:p>
    <w:p w14:paraId="2EA13ABA" w14:textId="77777777" w:rsidR="0075791A" w:rsidRDefault="00FB2864">
      <w:pPr>
        <w:widowControl w:val="0"/>
        <w:kinsoku/>
        <w:autoSpaceDE/>
        <w:autoSpaceDN/>
        <w:adjustRightInd/>
        <w:snapToGrid/>
        <w:spacing w:line="360" w:lineRule="auto"/>
        <w:jc w:val="center"/>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noProof/>
          <w:snapToGrid/>
          <w:color w:val="auto"/>
          <w:kern w:val="2"/>
          <w:sz w:val="24"/>
          <w:szCs w:val="22"/>
          <w:lang w:eastAsia="zh-CN"/>
        </w:rPr>
        <w:lastRenderedPageBreak/>
        <w:drawing>
          <wp:inline distT="0" distB="0" distL="0" distR="0" wp14:anchorId="62D59406" wp14:editId="369C93AE">
            <wp:extent cx="5274310" cy="3673475"/>
            <wp:effectExtent l="0" t="0" r="13970" b="1460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7A56B454"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5a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10</w:t>
      </w:r>
      <w:r>
        <w:rPr>
          <w:rFonts w:ascii="宋体" w:eastAsia="宋体" w:hAnsi="宋体" w:cs="Times New Roman" w:hint="eastAsia"/>
          <w:snapToGrid/>
          <w:color w:val="auto"/>
          <w:kern w:val="2"/>
          <w:sz w:val="24"/>
          <w:lang w:eastAsia="zh-CN"/>
        </w:rPr>
        <w:t>天后的相对浓度等值线（工程前）</w:t>
      </w:r>
    </w:p>
    <w:p w14:paraId="6B50F4A5" w14:textId="77777777" w:rsidR="0075791A" w:rsidRDefault="00FB2864">
      <w:pPr>
        <w:widowControl w:val="0"/>
        <w:kinsoku/>
        <w:autoSpaceDE/>
        <w:autoSpaceDN/>
        <w:adjustRightInd/>
        <w:snapToGrid/>
        <w:spacing w:line="360" w:lineRule="auto"/>
        <w:jc w:val="center"/>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hint="eastAsia"/>
          <w:noProof/>
          <w:snapToGrid/>
          <w:color w:val="auto"/>
          <w:kern w:val="2"/>
          <w:sz w:val="24"/>
          <w:szCs w:val="22"/>
          <w:lang w:eastAsia="zh-CN"/>
        </w:rPr>
        <w:drawing>
          <wp:inline distT="0" distB="0" distL="0" distR="0" wp14:anchorId="2FDA4A76" wp14:editId="646758F2">
            <wp:extent cx="5274310" cy="3673475"/>
            <wp:effectExtent l="0" t="0" r="13970" b="1460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1BC66125"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5b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10</w:t>
      </w:r>
      <w:r>
        <w:rPr>
          <w:rFonts w:ascii="宋体" w:eastAsia="宋体" w:hAnsi="宋体" w:cs="Times New Roman" w:hint="eastAsia"/>
          <w:snapToGrid/>
          <w:color w:val="auto"/>
          <w:kern w:val="2"/>
          <w:sz w:val="24"/>
          <w:lang w:eastAsia="zh-CN"/>
        </w:rPr>
        <w:t>天后的相对浓度等值线（工程后）</w:t>
      </w:r>
    </w:p>
    <w:p w14:paraId="24897E04" w14:textId="77777777" w:rsidR="0075791A" w:rsidRDefault="00FB2864">
      <w:pPr>
        <w:widowControl w:val="0"/>
        <w:kinsoku/>
        <w:autoSpaceDE/>
        <w:autoSpaceDN/>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hint="eastAsia"/>
          <w:snapToGrid/>
          <w:color w:val="auto"/>
          <w:kern w:val="2"/>
          <w:sz w:val="24"/>
          <w:szCs w:val="22"/>
          <w:lang w:eastAsia="zh-CN"/>
        </w:rPr>
        <w:t>由图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Times New Roman" w:eastAsia="宋体" w:hAnsi="Times New Roman" w:cs="Times New Roman" w:hint="eastAsia"/>
          <w:snapToGrid/>
          <w:color w:val="auto"/>
          <w:kern w:val="2"/>
          <w:sz w:val="24"/>
          <w:szCs w:val="22"/>
          <w:lang w:eastAsia="zh-CN"/>
        </w:rPr>
        <w:t>6</w:t>
      </w:r>
      <w:r>
        <w:rPr>
          <w:rFonts w:ascii="Times New Roman" w:eastAsia="宋体" w:hAnsi="Times New Roman" w:cs="Times New Roman" w:hint="eastAsia"/>
          <w:snapToGrid/>
          <w:color w:val="auto"/>
          <w:kern w:val="2"/>
          <w:sz w:val="24"/>
          <w:szCs w:val="22"/>
          <w:lang w:eastAsia="zh-CN"/>
        </w:rPr>
        <w:t>可以看出，计算</w:t>
      </w:r>
      <w:r>
        <w:rPr>
          <w:rFonts w:ascii="Times New Roman" w:eastAsia="宋体" w:hAnsi="Times New Roman" w:cs="Times New Roman"/>
          <w:snapToGrid/>
          <w:color w:val="auto"/>
          <w:kern w:val="2"/>
          <w:sz w:val="24"/>
          <w:szCs w:val="22"/>
          <w:lang w:eastAsia="zh-CN"/>
        </w:rPr>
        <w:t>20</w:t>
      </w:r>
      <w:r>
        <w:rPr>
          <w:rFonts w:ascii="Times New Roman" w:eastAsia="宋体" w:hAnsi="Times New Roman" w:cs="Times New Roman" w:hint="eastAsia"/>
          <w:snapToGrid/>
          <w:color w:val="auto"/>
          <w:kern w:val="2"/>
          <w:sz w:val="24"/>
          <w:szCs w:val="22"/>
          <w:lang w:eastAsia="zh-CN"/>
        </w:rPr>
        <w:t>天以后，铁炉港潮汐通道的相对浓度</w:t>
      </w:r>
      <w:r>
        <w:rPr>
          <w:rFonts w:ascii="Times New Roman" w:eastAsia="宋体" w:hAnsi="Times New Roman" w:cs="Times New Roman" w:hint="eastAsia"/>
          <w:snapToGrid/>
          <w:color w:val="auto"/>
          <w:kern w:val="2"/>
          <w:sz w:val="24"/>
          <w:szCs w:val="22"/>
          <w:lang w:eastAsia="zh-CN"/>
        </w:rPr>
        <w:t>50</w:t>
      </w:r>
      <w:r>
        <w:rPr>
          <w:rFonts w:ascii="Times New Roman" w:eastAsia="宋体" w:hAnsi="Times New Roman" w:cs="Times New Roman" w:hint="eastAsia"/>
          <w:snapToGrid/>
          <w:color w:val="auto"/>
          <w:kern w:val="2"/>
          <w:sz w:val="24"/>
          <w:szCs w:val="22"/>
          <w:lang w:eastAsia="zh-CN"/>
        </w:rPr>
        <w:t>等值线已到达打狗坡南侧。工程后水交换速度略有加快。</w:t>
      </w:r>
    </w:p>
    <w:p w14:paraId="49B4346C" w14:textId="77777777" w:rsidR="0075791A" w:rsidRDefault="00FB2864">
      <w:pPr>
        <w:widowControl w:val="0"/>
        <w:kinsoku/>
        <w:autoSpaceDE/>
        <w:autoSpaceDN/>
        <w:adjustRightInd/>
        <w:snapToGrid/>
        <w:spacing w:line="360" w:lineRule="auto"/>
        <w:jc w:val="center"/>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noProof/>
          <w:snapToGrid/>
          <w:color w:val="auto"/>
          <w:kern w:val="2"/>
          <w:sz w:val="24"/>
          <w:szCs w:val="22"/>
          <w:lang w:eastAsia="zh-CN"/>
        </w:rPr>
        <w:lastRenderedPageBreak/>
        <w:drawing>
          <wp:inline distT="0" distB="0" distL="0" distR="0" wp14:anchorId="6BCC3213" wp14:editId="13A9EDE7">
            <wp:extent cx="5274310" cy="3673475"/>
            <wp:effectExtent l="0" t="0" r="13970" b="1460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214BEC54"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6a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20</w:t>
      </w:r>
      <w:r>
        <w:rPr>
          <w:rFonts w:ascii="宋体" w:eastAsia="宋体" w:hAnsi="宋体" w:cs="Times New Roman" w:hint="eastAsia"/>
          <w:snapToGrid/>
          <w:color w:val="auto"/>
          <w:kern w:val="2"/>
          <w:sz w:val="24"/>
          <w:lang w:eastAsia="zh-CN"/>
        </w:rPr>
        <w:t>天后的相对浓度等值线（工程前）</w:t>
      </w:r>
    </w:p>
    <w:p w14:paraId="78B604DD" w14:textId="77777777" w:rsidR="0075791A" w:rsidRDefault="00FB2864">
      <w:pPr>
        <w:widowControl w:val="0"/>
        <w:kinsoku/>
        <w:autoSpaceDE/>
        <w:autoSpaceDN/>
        <w:adjustRightInd/>
        <w:snapToGrid/>
        <w:spacing w:line="360" w:lineRule="auto"/>
        <w:jc w:val="center"/>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hint="eastAsia"/>
          <w:noProof/>
          <w:snapToGrid/>
          <w:color w:val="auto"/>
          <w:kern w:val="2"/>
          <w:sz w:val="24"/>
          <w:szCs w:val="22"/>
          <w:lang w:eastAsia="zh-CN"/>
        </w:rPr>
        <w:drawing>
          <wp:inline distT="0" distB="0" distL="0" distR="0" wp14:anchorId="79187914" wp14:editId="3AE9DD04">
            <wp:extent cx="5274310" cy="3673475"/>
            <wp:effectExtent l="0" t="0" r="13970" b="14605"/>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79E594E2"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6b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20</w:t>
      </w:r>
      <w:r>
        <w:rPr>
          <w:rFonts w:ascii="宋体" w:eastAsia="宋体" w:hAnsi="宋体" w:cs="Times New Roman" w:hint="eastAsia"/>
          <w:snapToGrid/>
          <w:color w:val="auto"/>
          <w:kern w:val="2"/>
          <w:sz w:val="24"/>
          <w:lang w:eastAsia="zh-CN"/>
        </w:rPr>
        <w:t>天后的相对浓度等值线（工程后）</w:t>
      </w:r>
    </w:p>
    <w:p w14:paraId="778D9304" w14:textId="77777777" w:rsidR="0075791A" w:rsidRDefault="00FB2864">
      <w:pPr>
        <w:widowControl w:val="0"/>
        <w:kinsoku/>
        <w:autoSpaceDE/>
        <w:autoSpaceDN/>
        <w:adjustRightInd/>
        <w:snapToGrid/>
        <w:spacing w:line="360" w:lineRule="auto"/>
        <w:ind w:firstLineChars="200" w:firstLine="480"/>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30</w:t>
      </w:r>
      <w:r>
        <w:rPr>
          <w:rFonts w:ascii="宋体" w:eastAsia="宋体" w:hAnsi="宋体" w:cs="Times New Roman" w:hint="eastAsia"/>
          <w:snapToGrid/>
          <w:color w:val="auto"/>
          <w:kern w:val="2"/>
          <w:sz w:val="24"/>
          <w:lang w:eastAsia="zh-CN"/>
        </w:rPr>
        <w:t>天以后，相对浓度</w:t>
      </w:r>
      <w:r>
        <w:rPr>
          <w:rFonts w:ascii="宋体" w:eastAsia="宋体" w:hAnsi="宋体" w:cs="Times New Roman" w:hint="eastAsia"/>
          <w:snapToGrid/>
          <w:color w:val="auto"/>
          <w:kern w:val="2"/>
          <w:sz w:val="24"/>
          <w:lang w:eastAsia="zh-CN"/>
        </w:rPr>
        <w:t>50</w:t>
      </w:r>
      <w:r>
        <w:rPr>
          <w:rFonts w:ascii="宋体" w:eastAsia="宋体" w:hAnsi="宋体" w:cs="Times New Roman" w:hint="eastAsia"/>
          <w:snapToGrid/>
          <w:color w:val="auto"/>
          <w:kern w:val="2"/>
          <w:sz w:val="24"/>
          <w:lang w:eastAsia="zh-CN"/>
        </w:rPr>
        <w:t>等值线已到达疏浚区中部，工程前后仍然无明显差异。</w:t>
      </w:r>
    </w:p>
    <w:p w14:paraId="0D4DF678" w14:textId="77777777" w:rsidR="0075791A" w:rsidRDefault="00FB2864">
      <w:pPr>
        <w:widowControl w:val="0"/>
        <w:kinsoku/>
        <w:autoSpaceDE/>
        <w:autoSpaceDN/>
        <w:adjustRightInd/>
        <w:snapToGrid/>
        <w:spacing w:line="360" w:lineRule="auto"/>
        <w:jc w:val="center"/>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noProof/>
          <w:snapToGrid/>
          <w:color w:val="auto"/>
          <w:kern w:val="2"/>
          <w:sz w:val="24"/>
          <w:szCs w:val="22"/>
          <w:lang w:eastAsia="zh-CN"/>
        </w:rPr>
        <w:lastRenderedPageBreak/>
        <w:drawing>
          <wp:inline distT="0" distB="0" distL="0" distR="0" wp14:anchorId="38D0B9E5" wp14:editId="3A785F0F">
            <wp:extent cx="5274310" cy="3673475"/>
            <wp:effectExtent l="0" t="0" r="13970" b="1460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02F5105F"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7a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30</w:t>
      </w:r>
      <w:r>
        <w:rPr>
          <w:rFonts w:ascii="宋体" w:eastAsia="宋体" w:hAnsi="宋体" w:cs="Times New Roman" w:hint="eastAsia"/>
          <w:snapToGrid/>
          <w:color w:val="auto"/>
          <w:kern w:val="2"/>
          <w:sz w:val="24"/>
          <w:lang w:eastAsia="zh-CN"/>
        </w:rPr>
        <w:t>天后的相对浓度等值线（工程前）</w:t>
      </w:r>
    </w:p>
    <w:p w14:paraId="0E81B786" w14:textId="77777777" w:rsidR="0075791A" w:rsidRDefault="00FB2864">
      <w:pPr>
        <w:widowControl w:val="0"/>
        <w:kinsoku/>
        <w:autoSpaceDE/>
        <w:autoSpaceDN/>
        <w:adjustRightInd/>
        <w:snapToGrid/>
        <w:spacing w:line="360" w:lineRule="auto"/>
        <w:jc w:val="center"/>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hint="eastAsia"/>
          <w:noProof/>
          <w:snapToGrid/>
          <w:color w:val="auto"/>
          <w:kern w:val="2"/>
          <w:sz w:val="24"/>
          <w:szCs w:val="22"/>
          <w:lang w:eastAsia="zh-CN"/>
        </w:rPr>
        <w:drawing>
          <wp:inline distT="0" distB="0" distL="0" distR="0" wp14:anchorId="36E38643" wp14:editId="51A27A93">
            <wp:extent cx="5274310" cy="3673475"/>
            <wp:effectExtent l="0" t="0" r="13970" b="1460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216A4D33"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7b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30</w:t>
      </w:r>
      <w:r>
        <w:rPr>
          <w:rFonts w:ascii="宋体" w:eastAsia="宋体" w:hAnsi="宋体" w:cs="Times New Roman" w:hint="eastAsia"/>
          <w:snapToGrid/>
          <w:color w:val="auto"/>
          <w:kern w:val="2"/>
          <w:sz w:val="24"/>
          <w:lang w:eastAsia="zh-CN"/>
        </w:rPr>
        <w:t>天后的相对浓度等值线（工程后）</w:t>
      </w:r>
    </w:p>
    <w:p w14:paraId="06206CE1" w14:textId="77777777" w:rsidR="0075791A" w:rsidRDefault="00FB2864">
      <w:pPr>
        <w:widowControl w:val="0"/>
        <w:kinsoku/>
        <w:autoSpaceDE/>
        <w:autoSpaceDN/>
        <w:adjustRightInd/>
        <w:snapToGrid/>
        <w:spacing w:line="360" w:lineRule="auto"/>
        <w:ind w:firstLineChars="200" w:firstLine="480"/>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40</w:t>
      </w:r>
      <w:r>
        <w:rPr>
          <w:rFonts w:ascii="宋体" w:eastAsia="宋体" w:hAnsi="宋体" w:cs="Times New Roman" w:hint="eastAsia"/>
          <w:snapToGrid/>
          <w:color w:val="auto"/>
          <w:kern w:val="2"/>
          <w:sz w:val="24"/>
          <w:lang w:eastAsia="zh-CN"/>
        </w:rPr>
        <w:t>天以后，相对浓度</w:t>
      </w:r>
      <w:r>
        <w:rPr>
          <w:rFonts w:ascii="宋体" w:eastAsia="宋体" w:hAnsi="宋体" w:cs="Times New Roman" w:hint="eastAsia"/>
          <w:snapToGrid/>
          <w:color w:val="auto"/>
          <w:kern w:val="2"/>
          <w:sz w:val="24"/>
          <w:lang w:eastAsia="zh-CN"/>
        </w:rPr>
        <w:t>50</w:t>
      </w:r>
      <w:r>
        <w:rPr>
          <w:rFonts w:ascii="宋体" w:eastAsia="宋体" w:hAnsi="宋体" w:cs="Times New Roman" w:hint="eastAsia"/>
          <w:snapToGrid/>
          <w:color w:val="auto"/>
          <w:kern w:val="2"/>
          <w:sz w:val="24"/>
          <w:lang w:eastAsia="zh-CN"/>
        </w:rPr>
        <w:t>等值线已到达疏浚区中北部，工程前后仍然无明显差异。</w:t>
      </w:r>
    </w:p>
    <w:p w14:paraId="24FDB4EE" w14:textId="77777777" w:rsidR="0075791A" w:rsidRDefault="00FB2864">
      <w:pPr>
        <w:widowControl w:val="0"/>
        <w:kinsoku/>
        <w:autoSpaceDE/>
        <w:autoSpaceDN/>
        <w:adjustRightInd/>
        <w:snapToGrid/>
        <w:spacing w:line="360" w:lineRule="auto"/>
        <w:jc w:val="center"/>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noProof/>
          <w:snapToGrid/>
          <w:color w:val="auto"/>
          <w:kern w:val="2"/>
          <w:sz w:val="24"/>
          <w:szCs w:val="22"/>
          <w:lang w:eastAsia="zh-CN"/>
        </w:rPr>
        <w:lastRenderedPageBreak/>
        <w:drawing>
          <wp:inline distT="0" distB="0" distL="0" distR="0" wp14:anchorId="6145491E" wp14:editId="3A12FD6F">
            <wp:extent cx="5274310" cy="3673475"/>
            <wp:effectExtent l="0" t="0" r="13970" b="1460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3412C2FD"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8a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40</w:t>
      </w:r>
      <w:r>
        <w:rPr>
          <w:rFonts w:ascii="宋体" w:eastAsia="宋体" w:hAnsi="宋体" w:cs="Times New Roman" w:hint="eastAsia"/>
          <w:snapToGrid/>
          <w:color w:val="auto"/>
          <w:kern w:val="2"/>
          <w:sz w:val="24"/>
          <w:lang w:eastAsia="zh-CN"/>
        </w:rPr>
        <w:t>天后的相对浓度等值线（工程前）</w:t>
      </w:r>
    </w:p>
    <w:p w14:paraId="4ECF240C" w14:textId="77777777" w:rsidR="0075791A" w:rsidRDefault="00FB2864">
      <w:pPr>
        <w:widowControl w:val="0"/>
        <w:kinsoku/>
        <w:autoSpaceDE/>
        <w:autoSpaceDN/>
        <w:adjustRightInd/>
        <w:snapToGrid/>
        <w:spacing w:line="360" w:lineRule="auto"/>
        <w:jc w:val="center"/>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hint="eastAsia"/>
          <w:noProof/>
          <w:snapToGrid/>
          <w:color w:val="auto"/>
          <w:kern w:val="2"/>
          <w:sz w:val="24"/>
          <w:szCs w:val="22"/>
          <w:lang w:eastAsia="zh-CN"/>
        </w:rPr>
        <w:drawing>
          <wp:inline distT="0" distB="0" distL="0" distR="0" wp14:anchorId="059156A2" wp14:editId="33B52705">
            <wp:extent cx="5274310" cy="3673475"/>
            <wp:effectExtent l="0" t="0" r="13970" b="1460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7BA6CCC7"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8b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40</w:t>
      </w:r>
      <w:r>
        <w:rPr>
          <w:rFonts w:ascii="宋体" w:eastAsia="宋体" w:hAnsi="宋体" w:cs="Times New Roman" w:hint="eastAsia"/>
          <w:snapToGrid/>
          <w:color w:val="auto"/>
          <w:kern w:val="2"/>
          <w:sz w:val="24"/>
          <w:lang w:eastAsia="zh-CN"/>
        </w:rPr>
        <w:t>天后的相对浓度等值线（工程后）</w:t>
      </w:r>
    </w:p>
    <w:p w14:paraId="490AE820" w14:textId="77777777" w:rsidR="0075791A" w:rsidRDefault="00FB2864">
      <w:pPr>
        <w:widowControl w:val="0"/>
        <w:kinsoku/>
        <w:autoSpaceDE/>
        <w:autoSpaceDN/>
        <w:adjustRightInd/>
        <w:snapToGrid/>
        <w:spacing w:line="360" w:lineRule="auto"/>
        <w:ind w:firstLineChars="200" w:firstLine="480"/>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60</w:t>
      </w:r>
      <w:r>
        <w:rPr>
          <w:rFonts w:ascii="宋体" w:eastAsia="宋体" w:hAnsi="宋体" w:cs="Times New Roman" w:hint="eastAsia"/>
          <w:snapToGrid/>
          <w:color w:val="auto"/>
          <w:kern w:val="2"/>
          <w:sz w:val="24"/>
          <w:lang w:eastAsia="zh-CN"/>
        </w:rPr>
        <w:t>天以后，相对浓度</w:t>
      </w:r>
      <w:r>
        <w:rPr>
          <w:rFonts w:ascii="宋体" w:eastAsia="宋体" w:hAnsi="宋体" w:cs="Times New Roman" w:hint="eastAsia"/>
          <w:snapToGrid/>
          <w:color w:val="auto"/>
          <w:kern w:val="2"/>
          <w:sz w:val="24"/>
          <w:lang w:eastAsia="zh-CN"/>
        </w:rPr>
        <w:t>50</w:t>
      </w:r>
      <w:r>
        <w:rPr>
          <w:rFonts w:ascii="宋体" w:eastAsia="宋体" w:hAnsi="宋体" w:cs="Times New Roman" w:hint="eastAsia"/>
          <w:snapToGrid/>
          <w:color w:val="auto"/>
          <w:kern w:val="2"/>
          <w:sz w:val="24"/>
          <w:lang w:eastAsia="zh-CN"/>
        </w:rPr>
        <w:t>等值线已到达疏浚区北侧，工程前后水交换速率略有加快。</w:t>
      </w:r>
    </w:p>
    <w:p w14:paraId="4277FAF4"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noProof/>
          <w:snapToGrid/>
          <w:color w:val="auto"/>
          <w:kern w:val="2"/>
          <w:sz w:val="24"/>
          <w:szCs w:val="22"/>
          <w:lang w:eastAsia="zh-CN"/>
        </w:rPr>
        <w:lastRenderedPageBreak/>
        <w:drawing>
          <wp:inline distT="0" distB="0" distL="0" distR="0" wp14:anchorId="47A6BE10" wp14:editId="62D63E15">
            <wp:extent cx="5274310" cy="3673475"/>
            <wp:effectExtent l="0" t="0" r="13970" b="1460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0FE328A0"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9a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60</w:t>
      </w:r>
      <w:r>
        <w:rPr>
          <w:rFonts w:ascii="宋体" w:eastAsia="宋体" w:hAnsi="宋体" w:cs="Times New Roman" w:hint="eastAsia"/>
          <w:snapToGrid/>
          <w:color w:val="auto"/>
          <w:kern w:val="2"/>
          <w:sz w:val="24"/>
          <w:lang w:eastAsia="zh-CN"/>
        </w:rPr>
        <w:t>天后的相对浓度等值线（工程前）</w:t>
      </w:r>
    </w:p>
    <w:p w14:paraId="189A4EA1" w14:textId="77777777" w:rsidR="0075791A" w:rsidRDefault="00FB2864">
      <w:pPr>
        <w:widowControl w:val="0"/>
        <w:kinsoku/>
        <w:autoSpaceDE/>
        <w:autoSpaceDN/>
        <w:adjustRightInd/>
        <w:snapToGrid/>
        <w:spacing w:line="360" w:lineRule="auto"/>
        <w:jc w:val="center"/>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hint="eastAsia"/>
          <w:noProof/>
          <w:snapToGrid/>
          <w:color w:val="auto"/>
          <w:kern w:val="2"/>
          <w:sz w:val="24"/>
          <w:szCs w:val="22"/>
          <w:lang w:eastAsia="zh-CN"/>
        </w:rPr>
        <w:drawing>
          <wp:inline distT="0" distB="0" distL="0" distR="0" wp14:anchorId="50189667" wp14:editId="5A4EC109">
            <wp:extent cx="5274310" cy="3673475"/>
            <wp:effectExtent l="0" t="0" r="13970" b="1460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72C73B6B"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9b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60</w:t>
      </w:r>
      <w:r>
        <w:rPr>
          <w:rFonts w:ascii="宋体" w:eastAsia="宋体" w:hAnsi="宋体" w:cs="Times New Roman" w:hint="eastAsia"/>
          <w:snapToGrid/>
          <w:color w:val="auto"/>
          <w:kern w:val="2"/>
          <w:sz w:val="24"/>
          <w:lang w:eastAsia="zh-CN"/>
        </w:rPr>
        <w:t>天后的相对浓度等值线（工程后）</w:t>
      </w:r>
    </w:p>
    <w:p w14:paraId="603F7C45" w14:textId="77777777" w:rsidR="0075791A" w:rsidRDefault="00FB2864">
      <w:pPr>
        <w:widowControl w:val="0"/>
        <w:kinsoku/>
        <w:autoSpaceDE/>
        <w:autoSpaceDN/>
        <w:adjustRightInd/>
        <w:snapToGrid/>
        <w:spacing w:line="360" w:lineRule="auto"/>
        <w:ind w:firstLineChars="200" w:firstLine="480"/>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80</w:t>
      </w:r>
      <w:r>
        <w:rPr>
          <w:rFonts w:ascii="宋体" w:eastAsia="宋体" w:hAnsi="宋体" w:cs="Times New Roman" w:hint="eastAsia"/>
          <w:snapToGrid/>
          <w:color w:val="auto"/>
          <w:kern w:val="2"/>
          <w:sz w:val="24"/>
          <w:lang w:eastAsia="zh-CN"/>
        </w:rPr>
        <w:t>天以后，相对浓度</w:t>
      </w:r>
      <w:r>
        <w:rPr>
          <w:rFonts w:ascii="宋体" w:eastAsia="宋体" w:hAnsi="宋体" w:cs="Times New Roman" w:hint="eastAsia"/>
          <w:snapToGrid/>
          <w:color w:val="auto"/>
          <w:kern w:val="2"/>
          <w:sz w:val="24"/>
          <w:lang w:eastAsia="zh-CN"/>
        </w:rPr>
        <w:t>50</w:t>
      </w:r>
      <w:r>
        <w:rPr>
          <w:rFonts w:ascii="宋体" w:eastAsia="宋体" w:hAnsi="宋体" w:cs="Times New Roman" w:hint="eastAsia"/>
          <w:snapToGrid/>
          <w:color w:val="auto"/>
          <w:kern w:val="2"/>
          <w:sz w:val="24"/>
          <w:lang w:eastAsia="zh-CN"/>
        </w:rPr>
        <w:t>等值线已到达疏浚区以西的潟湖内部，工程前后水交换速率有一定的加快。</w:t>
      </w:r>
    </w:p>
    <w:p w14:paraId="7E8F3B67"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noProof/>
          <w:snapToGrid/>
          <w:color w:val="auto"/>
          <w:kern w:val="2"/>
          <w:sz w:val="24"/>
          <w:szCs w:val="22"/>
          <w:lang w:eastAsia="zh-CN"/>
        </w:rPr>
        <w:lastRenderedPageBreak/>
        <w:drawing>
          <wp:inline distT="0" distB="0" distL="0" distR="0" wp14:anchorId="1A506B63" wp14:editId="1A3464C6">
            <wp:extent cx="5274310" cy="3673475"/>
            <wp:effectExtent l="0" t="0" r="13970" b="14605"/>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57E6E48A"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10a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80</w:t>
      </w:r>
      <w:r>
        <w:rPr>
          <w:rFonts w:ascii="宋体" w:eastAsia="宋体" w:hAnsi="宋体" w:cs="Times New Roman" w:hint="eastAsia"/>
          <w:snapToGrid/>
          <w:color w:val="auto"/>
          <w:kern w:val="2"/>
          <w:sz w:val="24"/>
          <w:lang w:eastAsia="zh-CN"/>
        </w:rPr>
        <w:t>天后的相对浓度等值线（工程前）</w:t>
      </w:r>
    </w:p>
    <w:p w14:paraId="4FDA615E" w14:textId="77777777" w:rsidR="0075791A" w:rsidRDefault="00FB2864">
      <w:pPr>
        <w:widowControl w:val="0"/>
        <w:kinsoku/>
        <w:autoSpaceDE/>
        <w:autoSpaceDN/>
        <w:adjustRightInd/>
        <w:snapToGrid/>
        <w:spacing w:line="360" w:lineRule="auto"/>
        <w:jc w:val="center"/>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hint="eastAsia"/>
          <w:noProof/>
          <w:snapToGrid/>
          <w:color w:val="auto"/>
          <w:kern w:val="2"/>
          <w:sz w:val="24"/>
          <w:szCs w:val="22"/>
          <w:lang w:eastAsia="zh-CN"/>
        </w:rPr>
        <w:drawing>
          <wp:inline distT="0" distB="0" distL="0" distR="0" wp14:anchorId="670AAF0F" wp14:editId="1FEAB5F5">
            <wp:extent cx="5274310" cy="3673475"/>
            <wp:effectExtent l="0" t="0" r="13970" b="1460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07D627D2" w14:textId="77777777" w:rsidR="0075791A" w:rsidRDefault="00FB2864">
      <w:pPr>
        <w:widowControl w:val="0"/>
        <w:kinsoku/>
        <w:autoSpaceDE/>
        <w:autoSpaceDN/>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10b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80</w:t>
      </w:r>
      <w:r>
        <w:rPr>
          <w:rFonts w:ascii="宋体" w:eastAsia="宋体" w:hAnsi="宋体" w:cs="Times New Roman" w:hint="eastAsia"/>
          <w:snapToGrid/>
          <w:color w:val="auto"/>
          <w:kern w:val="2"/>
          <w:sz w:val="24"/>
          <w:lang w:eastAsia="zh-CN"/>
        </w:rPr>
        <w:t>天后的相对浓度等值线（工程后）</w:t>
      </w:r>
    </w:p>
    <w:p w14:paraId="3DC26082" w14:textId="77777777" w:rsidR="0075791A" w:rsidRDefault="00FB2864">
      <w:pPr>
        <w:widowControl w:val="0"/>
        <w:kinsoku/>
        <w:autoSpaceDE/>
        <w:autoSpaceDN/>
        <w:adjustRightInd/>
        <w:snapToGrid/>
        <w:spacing w:line="360" w:lineRule="auto"/>
        <w:ind w:firstLineChars="200" w:firstLine="480"/>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100</w:t>
      </w:r>
      <w:r>
        <w:rPr>
          <w:rFonts w:ascii="宋体" w:eastAsia="宋体" w:hAnsi="宋体" w:cs="Times New Roman" w:hint="eastAsia"/>
          <w:snapToGrid/>
          <w:color w:val="auto"/>
          <w:kern w:val="2"/>
          <w:sz w:val="24"/>
          <w:lang w:eastAsia="zh-CN"/>
        </w:rPr>
        <w:t>天以后，相对浓度</w:t>
      </w:r>
      <w:r>
        <w:rPr>
          <w:rFonts w:ascii="宋体" w:eastAsia="宋体" w:hAnsi="宋体" w:cs="Times New Roman" w:hint="eastAsia"/>
          <w:snapToGrid/>
          <w:color w:val="auto"/>
          <w:kern w:val="2"/>
          <w:sz w:val="24"/>
          <w:lang w:eastAsia="zh-CN"/>
        </w:rPr>
        <w:t>50</w:t>
      </w:r>
      <w:r>
        <w:rPr>
          <w:rFonts w:ascii="宋体" w:eastAsia="宋体" w:hAnsi="宋体" w:cs="Times New Roman" w:hint="eastAsia"/>
          <w:snapToGrid/>
          <w:color w:val="auto"/>
          <w:kern w:val="2"/>
          <w:sz w:val="24"/>
          <w:lang w:eastAsia="zh-CN"/>
        </w:rPr>
        <w:t>等值线已到达疏浚区以西的潟湖中部，工程后相对浓度</w:t>
      </w:r>
      <w:r>
        <w:rPr>
          <w:rFonts w:ascii="宋体" w:eastAsia="宋体" w:hAnsi="宋体" w:cs="Times New Roman" w:hint="eastAsia"/>
          <w:snapToGrid/>
          <w:color w:val="auto"/>
          <w:kern w:val="2"/>
          <w:sz w:val="24"/>
          <w:lang w:eastAsia="zh-CN"/>
        </w:rPr>
        <w:t>50</w:t>
      </w:r>
      <w:r>
        <w:rPr>
          <w:rFonts w:ascii="宋体" w:eastAsia="宋体" w:hAnsi="宋体" w:cs="Times New Roman" w:hint="eastAsia"/>
          <w:snapToGrid/>
          <w:color w:val="auto"/>
          <w:kern w:val="2"/>
          <w:sz w:val="24"/>
          <w:lang w:eastAsia="zh-CN"/>
        </w:rPr>
        <w:t>等值线比工程前向潟湖内部延伸了</w:t>
      </w:r>
      <w:r>
        <w:rPr>
          <w:rFonts w:ascii="宋体" w:eastAsia="宋体" w:hAnsi="宋体" w:cs="Times New Roman" w:hint="eastAsia"/>
          <w:snapToGrid/>
          <w:color w:val="auto"/>
          <w:kern w:val="2"/>
          <w:sz w:val="24"/>
          <w:lang w:eastAsia="zh-CN"/>
        </w:rPr>
        <w:t>150m</w:t>
      </w:r>
      <w:r>
        <w:rPr>
          <w:rFonts w:ascii="宋体" w:eastAsia="宋体" w:hAnsi="宋体" w:cs="Times New Roman" w:hint="eastAsia"/>
          <w:snapToGrid/>
          <w:color w:val="auto"/>
          <w:kern w:val="2"/>
          <w:sz w:val="24"/>
          <w:lang w:eastAsia="zh-CN"/>
        </w:rPr>
        <w:t>左右，可见工程后铁炉港内的水交换略有加快。</w:t>
      </w:r>
    </w:p>
    <w:p w14:paraId="64FD1E10"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noProof/>
          <w:snapToGrid/>
          <w:color w:val="auto"/>
          <w:kern w:val="2"/>
          <w:sz w:val="24"/>
          <w:szCs w:val="22"/>
          <w:lang w:eastAsia="zh-CN"/>
        </w:rPr>
        <w:lastRenderedPageBreak/>
        <w:drawing>
          <wp:inline distT="0" distB="0" distL="0" distR="0" wp14:anchorId="0A5333E0" wp14:editId="34F9D0DF">
            <wp:extent cx="5274310" cy="3673475"/>
            <wp:effectExtent l="0" t="0" r="13970" b="1460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5D77268D" w14:textId="77777777" w:rsidR="0075791A" w:rsidRDefault="00FB2864">
      <w:pPr>
        <w:widowControl w:val="0"/>
        <w:kinsoku/>
        <w:autoSpaceDE/>
        <w:autoSpaceDN/>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11a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100</w:t>
      </w:r>
      <w:r>
        <w:rPr>
          <w:rFonts w:ascii="宋体" w:eastAsia="宋体" w:hAnsi="宋体" w:cs="Times New Roman" w:hint="eastAsia"/>
          <w:snapToGrid/>
          <w:color w:val="auto"/>
          <w:kern w:val="2"/>
          <w:sz w:val="24"/>
          <w:lang w:eastAsia="zh-CN"/>
        </w:rPr>
        <w:t>天后的相对浓度等值线（工程前）</w:t>
      </w:r>
    </w:p>
    <w:p w14:paraId="3F0EC7CA" w14:textId="77777777" w:rsidR="0075791A" w:rsidRDefault="00FB2864">
      <w:pPr>
        <w:widowControl w:val="0"/>
        <w:kinsoku/>
        <w:autoSpaceDE/>
        <w:autoSpaceDN/>
        <w:adjustRightInd/>
        <w:snapToGrid/>
        <w:spacing w:line="360" w:lineRule="auto"/>
        <w:jc w:val="center"/>
        <w:textAlignment w:val="auto"/>
        <w:rPr>
          <w:rFonts w:ascii="Times New Roman" w:eastAsia="宋体" w:hAnsi="Times New Roman" w:cs="Times New Roman"/>
          <w:snapToGrid/>
          <w:color w:val="auto"/>
          <w:kern w:val="2"/>
          <w:sz w:val="24"/>
          <w:szCs w:val="22"/>
          <w:lang w:eastAsia="zh-CN"/>
        </w:rPr>
      </w:pPr>
      <w:r>
        <w:rPr>
          <w:rFonts w:ascii="Times New Roman" w:eastAsia="宋体" w:hAnsi="Times New Roman" w:cs="Times New Roman" w:hint="eastAsia"/>
          <w:noProof/>
          <w:snapToGrid/>
          <w:color w:val="auto"/>
          <w:kern w:val="2"/>
          <w:sz w:val="24"/>
          <w:szCs w:val="22"/>
          <w:lang w:eastAsia="zh-CN"/>
        </w:rPr>
        <w:drawing>
          <wp:inline distT="0" distB="0" distL="0" distR="0" wp14:anchorId="6ECED333" wp14:editId="0F8943B7">
            <wp:extent cx="5274310" cy="3673475"/>
            <wp:effectExtent l="0" t="0" r="13970" b="1460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a:xfrm>
                      <a:off x="0" y="0"/>
                      <a:ext cx="5274310" cy="3673541"/>
                    </a:xfrm>
                    <a:prstGeom prst="rect">
                      <a:avLst/>
                    </a:prstGeom>
                    <a:noFill/>
                    <a:ln>
                      <a:noFill/>
                    </a:ln>
                  </pic:spPr>
                </pic:pic>
              </a:graphicData>
            </a:graphic>
          </wp:inline>
        </w:drawing>
      </w:r>
    </w:p>
    <w:p w14:paraId="35135EAF"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11b </w:t>
      </w:r>
      <w:r>
        <w:rPr>
          <w:rFonts w:ascii="宋体" w:eastAsia="宋体" w:hAnsi="宋体" w:cs="Times New Roman" w:hint="eastAsia"/>
          <w:snapToGrid/>
          <w:color w:val="auto"/>
          <w:kern w:val="2"/>
          <w:sz w:val="24"/>
          <w:lang w:eastAsia="zh-CN"/>
        </w:rPr>
        <w:t>计算</w:t>
      </w:r>
      <w:r>
        <w:rPr>
          <w:rFonts w:ascii="宋体" w:eastAsia="宋体" w:hAnsi="宋体" w:cs="Times New Roman" w:hint="eastAsia"/>
          <w:snapToGrid/>
          <w:color w:val="auto"/>
          <w:kern w:val="2"/>
          <w:sz w:val="24"/>
          <w:lang w:eastAsia="zh-CN"/>
        </w:rPr>
        <w:t>100</w:t>
      </w:r>
      <w:r>
        <w:rPr>
          <w:rFonts w:ascii="宋体" w:eastAsia="宋体" w:hAnsi="宋体" w:cs="Times New Roman" w:hint="eastAsia"/>
          <w:snapToGrid/>
          <w:color w:val="auto"/>
          <w:kern w:val="2"/>
          <w:sz w:val="24"/>
          <w:lang w:eastAsia="zh-CN"/>
        </w:rPr>
        <w:t>天后的相对浓度等值线（工程后）</w:t>
      </w:r>
    </w:p>
    <w:p w14:paraId="4324324C"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noProof/>
          <w:snapToGrid/>
          <w:color w:val="auto"/>
          <w:kern w:val="2"/>
          <w:sz w:val="24"/>
          <w:szCs w:val="22"/>
          <w:lang w:eastAsia="zh-CN"/>
        </w:rPr>
        <w:lastRenderedPageBreak/>
        <w:drawing>
          <wp:inline distT="0" distB="0" distL="0" distR="0" wp14:anchorId="1FF78472" wp14:editId="75A0CF65">
            <wp:extent cx="5274310" cy="3608705"/>
            <wp:effectExtent l="0" t="0" r="13970" b="317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a:xfrm>
                      <a:off x="0" y="0"/>
                      <a:ext cx="5274310" cy="3608884"/>
                    </a:xfrm>
                    <a:prstGeom prst="rect">
                      <a:avLst/>
                    </a:prstGeom>
                    <a:noFill/>
                    <a:ln>
                      <a:noFill/>
                    </a:ln>
                  </pic:spPr>
                </pic:pic>
              </a:graphicData>
            </a:graphic>
          </wp:inline>
        </w:drawing>
      </w:r>
    </w:p>
    <w:p w14:paraId="5EAA5577" w14:textId="77777777" w:rsidR="0075791A" w:rsidRDefault="00FB2864">
      <w:pPr>
        <w:widowControl w:val="0"/>
        <w:kinsoku/>
        <w:autoSpaceDE/>
        <w:autoSpaceDN/>
        <w:adjustRightInd/>
        <w:snapToGrid/>
        <w:spacing w:line="360" w:lineRule="auto"/>
        <w:jc w:val="center"/>
        <w:textAlignment w:val="auto"/>
        <w:rPr>
          <w:rFonts w:ascii="宋体" w:eastAsia="宋体" w:hAnsi="宋体" w:cs="Times New Roman"/>
          <w:snapToGrid/>
          <w:color w:val="auto"/>
          <w:kern w:val="2"/>
          <w:sz w:val="24"/>
          <w:lang w:eastAsia="zh-CN"/>
        </w:rPr>
      </w:pPr>
      <w:r>
        <w:rPr>
          <w:rFonts w:ascii="宋体" w:eastAsia="宋体" w:hAnsi="宋体" w:cs="Times New Roman" w:hint="eastAsia"/>
          <w:snapToGrid/>
          <w:color w:val="auto"/>
          <w:kern w:val="2"/>
          <w:sz w:val="24"/>
          <w:lang w:eastAsia="zh-CN"/>
        </w:rPr>
        <w:t>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w:t>
      </w:r>
      <w:r>
        <w:rPr>
          <w:rFonts w:ascii="宋体" w:eastAsia="宋体" w:hAnsi="宋体" w:cs="Times New Roman" w:hint="eastAsia"/>
          <w:snapToGrid/>
          <w:color w:val="auto"/>
          <w:kern w:val="2"/>
          <w:sz w:val="24"/>
          <w:lang w:eastAsia="zh-CN"/>
        </w:rPr>
        <w:t xml:space="preserve">12 </w:t>
      </w:r>
      <w:r>
        <w:rPr>
          <w:rFonts w:ascii="宋体" w:eastAsia="宋体" w:hAnsi="宋体" w:cs="Times New Roman" w:hint="eastAsia"/>
          <w:snapToGrid/>
          <w:color w:val="auto"/>
          <w:kern w:val="2"/>
          <w:sz w:val="24"/>
          <w:lang w:eastAsia="zh-CN"/>
        </w:rPr>
        <w:t>工程前后水体半交换周期图</w:t>
      </w:r>
    </w:p>
    <w:p w14:paraId="479D977D"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从图</w:t>
      </w:r>
      <w:r>
        <w:rPr>
          <w:rFonts w:ascii="宋体" w:eastAsia="宋体" w:hAnsi="宋体" w:cs="Times New Roman" w:hint="eastAsia"/>
          <w:snapToGrid/>
          <w:color w:val="auto"/>
          <w:kern w:val="2"/>
          <w:sz w:val="24"/>
          <w:szCs w:val="22"/>
          <w:lang w:eastAsia="zh-CN"/>
        </w:rPr>
        <w:t>4.1.7</w:t>
      </w:r>
      <w:r>
        <w:rPr>
          <w:rFonts w:ascii="宋体" w:eastAsia="宋体" w:hAnsi="宋体" w:cs="Times New Roman" w:hint="eastAsia"/>
          <w:snapToGrid/>
          <w:color w:val="auto"/>
          <w:kern w:val="2"/>
          <w:sz w:val="24"/>
          <w:szCs w:val="22"/>
          <w:lang w:eastAsia="zh-CN"/>
        </w:rPr>
        <w:t>-12</w:t>
      </w:r>
      <w:r>
        <w:rPr>
          <w:rFonts w:ascii="宋体" w:eastAsia="宋体" w:hAnsi="宋体" w:cs="Times New Roman" w:hint="eastAsia"/>
          <w:snapToGrid/>
          <w:color w:val="auto"/>
          <w:kern w:val="2"/>
          <w:sz w:val="24"/>
          <w:szCs w:val="22"/>
          <w:lang w:eastAsia="zh-CN"/>
        </w:rPr>
        <w:t>可以看出，工程前后铁炉港潮汐通道内的水体交换速率略有加快，这表明工程后铁炉港潮流通道的水动力略有增强，水流流速加快，有利于潮汐通道与外海的水体交换，铁炉港潮汐通道内疏浚区水域南侧的水体半交换周期大约在</w:t>
      </w:r>
      <w:r>
        <w:rPr>
          <w:rFonts w:ascii="宋体" w:eastAsia="宋体" w:hAnsi="宋体" w:cs="Times New Roman" w:hint="eastAsia"/>
          <w:snapToGrid/>
          <w:color w:val="auto"/>
          <w:kern w:val="2"/>
          <w:sz w:val="24"/>
          <w:szCs w:val="22"/>
          <w:lang w:eastAsia="zh-CN"/>
        </w:rPr>
        <w:t>25</w:t>
      </w:r>
      <w:r>
        <w:rPr>
          <w:rFonts w:ascii="宋体" w:eastAsia="宋体" w:hAnsi="宋体" w:cs="Times New Roman" w:hint="eastAsia"/>
          <w:snapToGrid/>
          <w:color w:val="auto"/>
          <w:kern w:val="2"/>
          <w:sz w:val="24"/>
          <w:szCs w:val="22"/>
          <w:lang w:eastAsia="zh-CN"/>
        </w:rPr>
        <w:t>天左右，西北侧则在</w:t>
      </w:r>
      <w:r>
        <w:rPr>
          <w:rFonts w:ascii="宋体" w:eastAsia="宋体" w:hAnsi="宋体" w:cs="Times New Roman" w:hint="eastAsia"/>
          <w:snapToGrid/>
          <w:color w:val="auto"/>
          <w:kern w:val="2"/>
          <w:sz w:val="24"/>
          <w:szCs w:val="22"/>
          <w:lang w:eastAsia="zh-CN"/>
        </w:rPr>
        <w:t>60</w:t>
      </w:r>
      <w:r>
        <w:rPr>
          <w:rFonts w:ascii="宋体" w:eastAsia="宋体" w:hAnsi="宋体" w:cs="Times New Roman" w:hint="eastAsia"/>
          <w:snapToGrid/>
          <w:color w:val="auto"/>
          <w:kern w:val="2"/>
          <w:sz w:val="24"/>
          <w:szCs w:val="22"/>
          <w:lang w:eastAsia="zh-CN"/>
        </w:rPr>
        <w:t>天左右。再往西北的铁炉港潟湖内，工程前后的水体半交换周期加快速度与工程前相比略有增加，相对浓度等值线</w:t>
      </w:r>
      <w:r>
        <w:rPr>
          <w:rFonts w:ascii="宋体" w:eastAsia="宋体" w:hAnsi="宋体" w:cs="Times New Roman" w:hint="eastAsia"/>
          <w:snapToGrid/>
          <w:color w:val="auto"/>
          <w:kern w:val="2"/>
          <w:sz w:val="24"/>
          <w:szCs w:val="22"/>
          <w:lang w:eastAsia="zh-CN"/>
        </w:rPr>
        <w:t>50</w:t>
      </w:r>
      <w:r>
        <w:rPr>
          <w:rFonts w:ascii="宋体" w:eastAsia="宋体" w:hAnsi="宋体" w:cs="Times New Roman" w:hint="eastAsia"/>
          <w:snapToGrid/>
          <w:color w:val="auto"/>
          <w:kern w:val="2"/>
          <w:sz w:val="24"/>
          <w:szCs w:val="22"/>
          <w:lang w:eastAsia="zh-CN"/>
        </w:rPr>
        <w:t>向潟湖内延伸了</w:t>
      </w:r>
      <w:r>
        <w:rPr>
          <w:rFonts w:ascii="宋体" w:eastAsia="宋体" w:hAnsi="宋体" w:cs="Times New Roman" w:hint="eastAsia"/>
          <w:snapToGrid/>
          <w:color w:val="auto"/>
          <w:kern w:val="2"/>
          <w:sz w:val="24"/>
          <w:szCs w:val="22"/>
          <w:lang w:eastAsia="zh-CN"/>
        </w:rPr>
        <w:t>150m</w:t>
      </w:r>
      <w:r>
        <w:rPr>
          <w:rFonts w:ascii="宋体" w:eastAsia="宋体" w:hAnsi="宋体" w:cs="Times New Roman" w:hint="eastAsia"/>
          <w:snapToGrid/>
          <w:color w:val="auto"/>
          <w:kern w:val="2"/>
          <w:sz w:val="24"/>
          <w:szCs w:val="22"/>
          <w:lang w:eastAsia="zh-CN"/>
        </w:rPr>
        <w:t>左右，这表明本项目疏浚工程有利于潟湖内部与外海的水体交换，主要原因在于疏浚后扩大了过水断面面积，同时增加了潟湖的纳潮量，整体上有利于潟湖的水交换和污染物稀</w:t>
      </w:r>
      <w:r>
        <w:rPr>
          <w:rFonts w:ascii="宋体" w:eastAsia="宋体" w:hAnsi="宋体" w:cs="Times New Roman" w:hint="eastAsia"/>
          <w:snapToGrid/>
          <w:color w:val="auto"/>
          <w:kern w:val="2"/>
          <w:sz w:val="24"/>
          <w:szCs w:val="22"/>
          <w:lang w:eastAsia="zh-CN"/>
        </w:rPr>
        <w:t>释，有利于潟湖的水质改善。</w:t>
      </w:r>
    </w:p>
    <w:p w14:paraId="03C96769" w14:textId="77777777" w:rsidR="0075791A" w:rsidRDefault="00FB2864">
      <w:pPr>
        <w:spacing w:line="360" w:lineRule="auto"/>
        <w:outlineLvl w:val="2"/>
        <w:rPr>
          <w:rFonts w:ascii="Times New Roman" w:eastAsia="宋体" w:hAnsi="Times New Roman" w:cs="Times New Roman"/>
          <w:b/>
          <w:bCs/>
          <w:color w:val="auto"/>
          <w:spacing w:val="-3"/>
          <w:sz w:val="24"/>
          <w:szCs w:val="24"/>
          <w:lang w:eastAsia="zh-CN"/>
        </w:rPr>
      </w:pPr>
      <w:bookmarkStart w:id="232" w:name="_Toc15295"/>
      <w:r>
        <w:rPr>
          <w:rFonts w:ascii="Times New Roman" w:eastAsia="宋体" w:hAnsi="Times New Roman" w:cs="Times New Roman" w:hint="eastAsia"/>
          <w:b/>
          <w:bCs/>
          <w:color w:val="auto"/>
          <w:spacing w:val="-3"/>
          <w:sz w:val="24"/>
          <w:szCs w:val="24"/>
          <w:lang w:eastAsia="zh-CN"/>
        </w:rPr>
        <w:t>4.1.8</w:t>
      </w:r>
      <w:r>
        <w:rPr>
          <w:rFonts w:ascii="Times New Roman" w:eastAsia="宋体" w:hAnsi="Times New Roman" w:cs="Times New Roman" w:hint="eastAsia"/>
          <w:b/>
          <w:bCs/>
          <w:color w:val="auto"/>
          <w:spacing w:val="-3"/>
          <w:sz w:val="24"/>
          <w:szCs w:val="24"/>
          <w:lang w:eastAsia="zh-CN"/>
        </w:rPr>
        <w:t>水质环境影响预测分析</w:t>
      </w:r>
      <w:bookmarkEnd w:id="232"/>
    </w:p>
    <w:p w14:paraId="6090E82E"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本节采用海南绿屿环境科技有限公司编制的《</w:t>
      </w:r>
      <w:bookmarkStart w:id="233" w:name="OLE_LINK24"/>
      <w:r>
        <w:rPr>
          <w:rFonts w:ascii="Times New Roman" w:eastAsia="宋体" w:hAnsi="Times New Roman" w:cs="Times New Roman" w:hint="eastAsia"/>
          <w:snapToGrid/>
          <w:color w:val="auto"/>
          <w:kern w:val="2"/>
          <w:sz w:val="24"/>
          <w:szCs w:val="24"/>
          <w:lang w:eastAsia="zh-CN"/>
        </w:rPr>
        <w:t>铁炉港红树林湿地保护修复项目</w:t>
      </w:r>
      <w:bookmarkEnd w:id="233"/>
      <w:r>
        <w:rPr>
          <w:rFonts w:ascii="Times New Roman" w:eastAsia="宋体" w:hAnsi="Times New Roman" w:cs="Times New Roman" w:hint="eastAsia"/>
          <w:snapToGrid/>
          <w:color w:val="auto"/>
          <w:kern w:val="2"/>
          <w:sz w:val="24"/>
          <w:szCs w:val="24"/>
          <w:lang w:eastAsia="zh-CN"/>
        </w:rPr>
        <w:t>（二期）</w:t>
      </w:r>
      <w:bookmarkStart w:id="234" w:name="_Toc19714"/>
      <w:bookmarkStart w:id="235" w:name="_Toc19594"/>
      <w:bookmarkStart w:id="236" w:name="_Toc7488"/>
      <w:bookmarkStart w:id="237" w:name="_Toc27831"/>
      <w:bookmarkStart w:id="238" w:name="_Toc32576"/>
      <w:bookmarkStart w:id="239" w:name="_Toc24675"/>
      <w:r>
        <w:rPr>
          <w:rFonts w:ascii="Times New Roman" w:eastAsia="宋体" w:hAnsi="Times New Roman" w:cs="Times New Roman" w:hint="eastAsia"/>
          <w:snapToGrid/>
          <w:color w:val="auto"/>
          <w:kern w:val="2"/>
          <w:sz w:val="24"/>
          <w:szCs w:val="24"/>
          <w:lang w:eastAsia="zh-CN"/>
        </w:rPr>
        <w:t>建设项目环境影响报告表</w:t>
      </w:r>
      <w:bookmarkEnd w:id="234"/>
      <w:bookmarkEnd w:id="235"/>
      <w:bookmarkEnd w:id="236"/>
      <w:bookmarkEnd w:id="237"/>
      <w:bookmarkEnd w:id="238"/>
      <w:bookmarkEnd w:id="239"/>
      <w:r>
        <w:rPr>
          <w:rFonts w:ascii="Times New Roman" w:eastAsia="宋体" w:hAnsi="Times New Roman" w:cs="Times New Roman" w:hint="eastAsia"/>
          <w:snapToGrid/>
          <w:color w:val="auto"/>
          <w:kern w:val="2"/>
          <w:sz w:val="24"/>
          <w:szCs w:val="24"/>
          <w:lang w:eastAsia="zh-CN"/>
        </w:rPr>
        <w:t>》中相应章节内容。</w:t>
      </w:r>
    </w:p>
    <w:p w14:paraId="32282007"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项目施工过程中，清淤施工产生的悬浮泥沙将对海域环境产生一定的影响。通常，施工产生的悬浮泥沙源强越大，水质越浑浊，对环境的影响也就越大。再则，其影响程度还取决于海域的环境容量（负荷限度），即海域的地理条件和水体的活跃程度。后者主要是指海流的输运、扩散能力和海水的更新率。一般来说海域越封闭，水域容积越小，海水交换能力越弱，稀释能力越低，环境负荷能力也就越低。</w:t>
      </w:r>
    </w:p>
    <w:p w14:paraId="486174EC"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lastRenderedPageBreak/>
        <w:t>环境影响预测的目的，在于将上述原则与系统工程的方法联系起来，预测清淤疏浚所形成的悬浮物影响浓度场和定量地描述可能产生的环境后果，为采取防范措施提供科学依</w:t>
      </w:r>
      <w:r>
        <w:rPr>
          <w:rFonts w:ascii="Times New Roman" w:eastAsia="宋体" w:hAnsi="Times New Roman" w:cs="Times New Roman" w:hint="eastAsia"/>
          <w:snapToGrid/>
          <w:color w:val="auto"/>
          <w:kern w:val="2"/>
          <w:sz w:val="24"/>
          <w:szCs w:val="24"/>
          <w:lang w:eastAsia="zh-CN"/>
        </w:rPr>
        <w:t>据。</w:t>
      </w:r>
    </w:p>
    <w:p w14:paraId="5DCF6D68" w14:textId="77777777" w:rsidR="0075791A" w:rsidRDefault="00FB2864">
      <w:pPr>
        <w:spacing w:line="360" w:lineRule="auto"/>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4.1.8.1</w:t>
      </w:r>
      <w:r>
        <w:rPr>
          <w:rFonts w:ascii="Times New Roman" w:eastAsia="宋体" w:hAnsi="Times New Roman"/>
          <w:b/>
          <w:color w:val="auto"/>
          <w:sz w:val="24"/>
          <w:szCs w:val="24"/>
          <w:lang w:eastAsia="zh-CN"/>
        </w:rPr>
        <w:t>水质模型简介</w:t>
      </w:r>
    </w:p>
    <w:p w14:paraId="79A5094B"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潮流是海域污染物进行稀释扩散的主要动力因素，根据《水运工程模拟试验技术规范》</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JTS/T231-2021</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及有关研究方法，在获得可靠的潮流场基础上，通过平面二维非恒定的对流</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扩散模型，可进行水质预测计算。</w:t>
      </w:r>
    </w:p>
    <w:p w14:paraId="4B626C45"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1</w:t>
      </w:r>
      <w:r>
        <w:rPr>
          <w:rFonts w:ascii="Times New Roman" w:eastAsia="宋体" w:hAnsi="Times New Roman" w:cs="Times New Roman"/>
          <w:snapToGrid/>
          <w:color w:val="auto"/>
          <w:kern w:val="2"/>
          <w:sz w:val="24"/>
          <w:szCs w:val="24"/>
          <w:lang w:eastAsia="zh-CN"/>
        </w:rPr>
        <w:t>）二维水质对流扩散控制方程：</w:t>
      </w:r>
    </w:p>
    <w:p w14:paraId="19E06DCF" w14:textId="77777777" w:rsidR="0075791A" w:rsidRDefault="00FB2864">
      <w:pPr>
        <w:widowControl w:val="0"/>
        <w:kinsoku/>
        <w:adjustRightInd/>
        <w:snapToGrid/>
        <w:spacing w:line="360" w:lineRule="auto"/>
        <w:ind w:firstLineChars="200" w:firstLine="480"/>
        <w:jc w:val="right"/>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noProof/>
          <w:snapToGrid/>
          <w:color w:val="auto"/>
          <w:kern w:val="2"/>
          <w:sz w:val="24"/>
          <w:szCs w:val="24"/>
          <w:lang w:eastAsia="zh-CN"/>
        </w:rPr>
        <w:drawing>
          <wp:inline distT="0" distB="0" distL="114300" distR="114300" wp14:anchorId="3541488F" wp14:editId="24895AF6">
            <wp:extent cx="3783965" cy="329565"/>
            <wp:effectExtent l="0" t="0" r="10795" b="5715"/>
            <wp:docPr id="135" name="图片 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369"/>
                    <pic:cNvPicPr>
                      <a:picLocks noChangeAspect="1"/>
                    </pic:cNvPicPr>
                  </pic:nvPicPr>
                  <pic:blipFill>
                    <a:blip r:embed="rId240"/>
                    <a:stretch>
                      <a:fillRect/>
                    </a:stretch>
                  </pic:blipFill>
                  <pic:spPr>
                    <a:xfrm>
                      <a:off x="0" y="0"/>
                      <a:ext cx="3783965" cy="329565"/>
                    </a:xfrm>
                    <a:prstGeom prst="rect">
                      <a:avLst/>
                    </a:prstGeom>
                    <a:noFill/>
                    <a:ln>
                      <a:noFill/>
                    </a:ln>
                  </pic:spPr>
                </pic:pic>
              </a:graphicData>
            </a:graphic>
          </wp:inline>
        </w:drawing>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1</w:t>
      </w:r>
      <w:r>
        <w:rPr>
          <w:rFonts w:ascii="Times New Roman" w:eastAsia="宋体" w:hAnsi="Times New Roman" w:cs="Times New Roman"/>
          <w:snapToGrid/>
          <w:color w:val="auto"/>
          <w:kern w:val="2"/>
          <w:sz w:val="24"/>
          <w:szCs w:val="24"/>
          <w:lang w:eastAsia="zh-CN"/>
        </w:rPr>
        <w:t>）</w:t>
      </w:r>
    </w:p>
    <w:p w14:paraId="51E15067"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式中：</w:t>
      </w:r>
      <w:r>
        <w:rPr>
          <w:rFonts w:ascii="Times New Roman" w:eastAsia="宋体" w:hAnsi="Times New Roman" w:cs="Times New Roman"/>
          <w:snapToGrid/>
          <w:color w:val="auto"/>
          <w:kern w:val="2"/>
          <w:sz w:val="24"/>
          <w:szCs w:val="24"/>
          <w:lang w:eastAsia="zh-CN"/>
        </w:rPr>
        <w:t>D</w:t>
      </w:r>
      <w:r>
        <w:rPr>
          <w:rFonts w:ascii="Times New Roman" w:eastAsia="宋体" w:hAnsi="Times New Roman" w:cs="Times New Roman"/>
          <w:snapToGrid/>
          <w:color w:val="auto"/>
          <w:kern w:val="2"/>
          <w:sz w:val="24"/>
          <w:szCs w:val="24"/>
          <w:vertAlign w:val="subscript"/>
          <w:lang w:eastAsia="zh-CN"/>
        </w:rPr>
        <w:t>X</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D</w:t>
      </w:r>
      <w:r>
        <w:rPr>
          <w:rFonts w:ascii="Times New Roman" w:eastAsia="宋体" w:hAnsi="Times New Roman" w:cs="Times New Roman"/>
          <w:snapToGrid/>
          <w:color w:val="auto"/>
          <w:kern w:val="2"/>
          <w:sz w:val="24"/>
          <w:szCs w:val="24"/>
          <w:vertAlign w:val="subscript"/>
          <w:lang w:eastAsia="zh-CN"/>
        </w:rPr>
        <w:t>Y</w:t>
      </w:r>
      <w:r>
        <w:rPr>
          <w:rFonts w:ascii="Times New Roman" w:eastAsia="宋体" w:hAnsi="Times New Roman" w:cs="Times New Roman"/>
          <w:snapToGrid/>
          <w:color w:val="auto"/>
          <w:kern w:val="2"/>
          <w:sz w:val="24"/>
          <w:szCs w:val="24"/>
          <w:lang w:eastAsia="zh-CN"/>
        </w:rPr>
        <w:t>为</w:t>
      </w:r>
      <w:r>
        <w:rPr>
          <w:rFonts w:ascii="Times New Roman" w:eastAsia="宋体" w:hAnsi="Times New Roman" w:cs="Times New Roman"/>
          <w:snapToGrid/>
          <w:color w:val="auto"/>
          <w:kern w:val="2"/>
          <w:sz w:val="24"/>
          <w:szCs w:val="24"/>
          <w:lang w:eastAsia="zh-CN"/>
        </w:rPr>
        <w:t>x</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y</w:t>
      </w:r>
      <w:r>
        <w:rPr>
          <w:rFonts w:ascii="Times New Roman" w:eastAsia="宋体" w:hAnsi="Times New Roman" w:cs="Times New Roman"/>
          <w:snapToGrid/>
          <w:color w:val="auto"/>
          <w:kern w:val="2"/>
          <w:sz w:val="24"/>
          <w:szCs w:val="24"/>
          <w:lang w:eastAsia="zh-CN"/>
        </w:rPr>
        <w:t>方向的扩散系数；</w:t>
      </w:r>
      <w:r>
        <w:rPr>
          <w:rFonts w:ascii="Times New Roman" w:eastAsia="宋体" w:hAnsi="Times New Roman" w:cs="Times New Roman"/>
          <w:snapToGrid/>
          <w:color w:val="auto"/>
          <w:kern w:val="2"/>
          <w:sz w:val="24"/>
          <w:szCs w:val="24"/>
          <w:lang w:eastAsia="zh-CN"/>
        </w:rPr>
        <w:t>c</w:t>
      </w:r>
      <w:r>
        <w:rPr>
          <w:rFonts w:ascii="Times New Roman" w:eastAsia="宋体" w:hAnsi="Times New Roman" w:cs="Times New Roman"/>
          <w:snapToGrid/>
          <w:color w:val="auto"/>
          <w:kern w:val="2"/>
          <w:sz w:val="24"/>
          <w:szCs w:val="24"/>
          <w:lang w:eastAsia="zh-CN"/>
        </w:rPr>
        <w:t>为污染物浓度；</w:t>
      </w:r>
      <w:r>
        <w:rPr>
          <w:rFonts w:ascii="Times New Roman" w:eastAsia="宋体" w:hAnsi="Times New Roman" w:cs="Times New Roman"/>
          <w:snapToGrid/>
          <w:color w:val="auto"/>
          <w:kern w:val="2"/>
          <w:sz w:val="24"/>
          <w:szCs w:val="24"/>
          <w:lang w:eastAsia="zh-CN"/>
        </w:rPr>
        <w:t>F</w:t>
      </w:r>
      <w:r>
        <w:rPr>
          <w:rFonts w:ascii="Times New Roman" w:eastAsia="宋体" w:hAnsi="Times New Roman" w:cs="Times New Roman"/>
          <w:snapToGrid/>
          <w:color w:val="auto"/>
          <w:kern w:val="2"/>
          <w:sz w:val="24"/>
          <w:szCs w:val="24"/>
          <w:lang w:eastAsia="zh-CN"/>
        </w:rPr>
        <w:t>为衰减系数，模型中取</w:t>
      </w:r>
      <w:r>
        <w:rPr>
          <w:rFonts w:ascii="Times New Roman" w:eastAsia="宋体" w:hAnsi="Times New Roman" w:cs="Times New Roman"/>
          <w:snapToGrid/>
          <w:color w:val="auto"/>
          <w:kern w:val="2"/>
          <w:sz w:val="24"/>
          <w:szCs w:val="24"/>
          <w:lang w:eastAsia="zh-CN"/>
        </w:rPr>
        <w:t>F=p*ws</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p</w:t>
      </w:r>
      <w:r>
        <w:rPr>
          <w:rFonts w:ascii="Times New Roman" w:eastAsia="宋体" w:hAnsi="Times New Roman" w:cs="Times New Roman"/>
          <w:snapToGrid/>
          <w:color w:val="auto"/>
          <w:kern w:val="2"/>
          <w:sz w:val="24"/>
          <w:szCs w:val="24"/>
          <w:lang w:eastAsia="zh-CN"/>
        </w:rPr>
        <w:t>为沉降概率，</w:t>
      </w:r>
      <w:r>
        <w:rPr>
          <w:rFonts w:ascii="Times New Roman" w:eastAsia="宋体" w:hAnsi="Times New Roman" w:cs="Times New Roman"/>
          <w:snapToGrid/>
          <w:color w:val="auto"/>
          <w:kern w:val="2"/>
          <w:sz w:val="24"/>
          <w:szCs w:val="24"/>
          <w:lang w:eastAsia="zh-CN"/>
        </w:rPr>
        <w:t>ws</w:t>
      </w:r>
      <w:r>
        <w:rPr>
          <w:rFonts w:ascii="Times New Roman" w:eastAsia="宋体" w:hAnsi="Times New Roman" w:cs="Times New Roman"/>
          <w:snapToGrid/>
          <w:color w:val="auto"/>
          <w:kern w:val="2"/>
          <w:sz w:val="24"/>
          <w:szCs w:val="24"/>
          <w:lang w:eastAsia="zh-CN"/>
        </w:rPr>
        <w:t>为沉速；</w:t>
      </w:r>
      <w:r>
        <w:rPr>
          <w:rFonts w:ascii="Times New Roman" w:eastAsia="宋体" w:hAnsi="Times New Roman" w:cs="Times New Roman"/>
          <w:snapToGrid/>
          <w:color w:val="auto"/>
          <w:kern w:val="2"/>
          <w:sz w:val="24"/>
          <w:szCs w:val="24"/>
          <w:lang w:eastAsia="zh-CN"/>
        </w:rPr>
        <w:t>s</w:t>
      </w:r>
      <w:r>
        <w:rPr>
          <w:rFonts w:ascii="Times New Roman" w:eastAsia="宋体" w:hAnsi="Times New Roman" w:cs="Times New Roman"/>
          <w:snapToGrid/>
          <w:color w:val="auto"/>
          <w:kern w:val="2"/>
          <w:sz w:val="24"/>
          <w:szCs w:val="24"/>
          <w:lang w:eastAsia="zh-CN"/>
        </w:rPr>
        <w:t>为污染物源强，</w:t>
      </w:r>
      <w:r>
        <w:rPr>
          <w:rFonts w:ascii="Times New Roman" w:eastAsia="宋体" w:hAnsi="Times New Roman" w:cs="Times New Roman"/>
          <w:snapToGrid/>
          <w:color w:val="auto"/>
          <w:kern w:val="2"/>
          <w:sz w:val="24"/>
          <w:szCs w:val="24"/>
          <w:lang w:eastAsia="zh-CN"/>
        </w:rPr>
        <w:t>s=QSCS</w:t>
      </w:r>
      <w:r>
        <w:rPr>
          <w:rFonts w:ascii="Times New Roman" w:eastAsia="宋体" w:hAnsi="Times New Roman" w:cs="Times New Roman"/>
          <w:snapToGrid/>
          <w:color w:val="auto"/>
          <w:kern w:val="2"/>
          <w:sz w:val="24"/>
          <w:szCs w:val="24"/>
          <w:lang w:eastAsia="zh-CN"/>
        </w:rPr>
        <w:t>，式中</w:t>
      </w:r>
      <w:r>
        <w:rPr>
          <w:rFonts w:ascii="Times New Roman" w:eastAsia="宋体" w:hAnsi="Times New Roman" w:cs="Times New Roman"/>
          <w:snapToGrid/>
          <w:color w:val="auto"/>
          <w:kern w:val="2"/>
          <w:sz w:val="24"/>
          <w:szCs w:val="24"/>
          <w:lang w:eastAsia="zh-CN"/>
        </w:rPr>
        <w:t>QS</w:t>
      </w:r>
      <w:r>
        <w:rPr>
          <w:rFonts w:ascii="Times New Roman" w:eastAsia="宋体" w:hAnsi="Times New Roman" w:cs="Times New Roman"/>
          <w:snapToGrid/>
          <w:color w:val="auto"/>
          <w:kern w:val="2"/>
          <w:sz w:val="24"/>
          <w:szCs w:val="24"/>
          <w:lang w:eastAsia="zh-CN"/>
        </w:rPr>
        <w:t>为排放量，</w:t>
      </w:r>
      <w:r>
        <w:rPr>
          <w:rFonts w:ascii="Times New Roman" w:eastAsia="宋体" w:hAnsi="Times New Roman" w:cs="Times New Roman"/>
          <w:snapToGrid/>
          <w:color w:val="auto"/>
          <w:kern w:val="2"/>
          <w:sz w:val="24"/>
          <w:szCs w:val="24"/>
          <w:lang w:eastAsia="zh-CN"/>
        </w:rPr>
        <w:t>CS</w:t>
      </w:r>
      <w:r>
        <w:rPr>
          <w:rFonts w:ascii="Times New Roman" w:eastAsia="宋体" w:hAnsi="Times New Roman" w:cs="Times New Roman"/>
          <w:snapToGrid/>
          <w:color w:val="auto"/>
          <w:kern w:val="2"/>
          <w:sz w:val="24"/>
          <w:szCs w:val="24"/>
          <w:lang w:eastAsia="zh-CN"/>
        </w:rPr>
        <w:t>为浓度。</w:t>
      </w:r>
    </w:p>
    <w:p w14:paraId="4BD64DB8"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2</w:t>
      </w:r>
      <w:r>
        <w:rPr>
          <w:rFonts w:ascii="Times New Roman" w:eastAsia="宋体" w:hAnsi="Times New Roman" w:cs="Times New Roman"/>
          <w:snapToGrid/>
          <w:color w:val="auto"/>
          <w:kern w:val="2"/>
          <w:sz w:val="24"/>
          <w:szCs w:val="24"/>
          <w:lang w:eastAsia="zh-CN"/>
        </w:rPr>
        <w:t>）边界条件</w:t>
      </w:r>
    </w:p>
    <w:p w14:paraId="77705E90"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岸边界条件：浓度通量为零；</w:t>
      </w:r>
    </w:p>
    <w:p w14:paraId="2CE8A889"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开边界条件：</w:t>
      </w:r>
    </w:p>
    <w:p w14:paraId="74964ABC"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入流：</w:t>
      </w:r>
      <w:r>
        <w:rPr>
          <w:rFonts w:ascii="Times New Roman" w:eastAsia="宋体" w:hAnsi="Times New Roman" w:cs="Times New Roman"/>
          <w:snapToGrid/>
          <w:color w:val="auto"/>
          <w:kern w:val="2"/>
          <w:sz w:val="24"/>
          <w:szCs w:val="24"/>
          <w:lang w:eastAsia="zh-CN"/>
        </w:rPr>
        <w:object w:dxaOrig="626" w:dyaOrig="290" w14:anchorId="44734E02">
          <v:shape id="_x0000_i1072" type="#_x0000_t75" style="width:31.5pt;height:14.5pt" o:ole="">
            <v:imagedata r:id="rId241" o:title=""/>
          </v:shape>
          <o:OLEObject Type="Embed" ProgID="Equation.3" ShapeID="_x0000_i1072" DrawAspect="Content" ObjectID="_1838358268" r:id="rId242"/>
        </w:object>
      </w:r>
      <w:r>
        <w:rPr>
          <w:rFonts w:ascii="Times New Roman" w:eastAsia="宋体" w:hAnsi="Times New Roman" w:cs="Times New Roman"/>
          <w:snapToGrid/>
          <w:color w:val="auto"/>
          <w:kern w:val="2"/>
          <w:sz w:val="24"/>
          <w:szCs w:val="24"/>
          <w:lang w:eastAsia="zh-CN"/>
        </w:rPr>
        <w:t>，式中</w:t>
      </w:r>
      <w:r>
        <w:rPr>
          <w:rFonts w:ascii="Times New Roman" w:eastAsia="宋体" w:hAnsi="Times New Roman" w:cs="Times New Roman"/>
          <w:snapToGrid/>
          <w:color w:val="auto"/>
          <w:kern w:val="2"/>
          <w:sz w:val="24"/>
          <w:szCs w:val="24"/>
          <w:lang w:eastAsia="zh-CN"/>
        </w:rPr>
        <w:object w:dxaOrig="156" w:dyaOrig="156" w14:anchorId="168476E0">
          <v:shape id="_x0000_i1073" type="#_x0000_t75" style="width:8pt;height:8pt" o:ole="">
            <v:imagedata r:id="rId243" o:title=""/>
          </v:shape>
          <o:OLEObject Type="Embed" ProgID="Equation.3" ShapeID="_x0000_i1073" DrawAspect="Content" ObjectID="_1838358269" r:id="rId244"/>
        </w:object>
      </w:r>
      <w:r>
        <w:rPr>
          <w:rFonts w:ascii="Times New Roman" w:eastAsia="宋体" w:hAnsi="Times New Roman" w:cs="Times New Roman"/>
          <w:snapToGrid/>
          <w:color w:val="auto"/>
          <w:kern w:val="2"/>
          <w:sz w:val="24"/>
          <w:szCs w:val="24"/>
          <w:lang w:eastAsia="zh-CN"/>
        </w:rPr>
        <w:t>为水边界，</w:t>
      </w:r>
      <w:r>
        <w:rPr>
          <w:rFonts w:ascii="Times New Roman" w:eastAsia="宋体" w:hAnsi="Times New Roman" w:cs="Times New Roman"/>
          <w:snapToGrid/>
          <w:color w:val="auto"/>
          <w:kern w:val="2"/>
          <w:sz w:val="24"/>
          <w:szCs w:val="24"/>
          <w:lang w:eastAsia="zh-CN"/>
        </w:rPr>
        <w:t>P0</w:t>
      </w:r>
      <w:r>
        <w:rPr>
          <w:rFonts w:ascii="Times New Roman" w:eastAsia="宋体" w:hAnsi="Times New Roman" w:cs="Times New Roman"/>
          <w:snapToGrid/>
          <w:color w:val="auto"/>
          <w:kern w:val="2"/>
          <w:sz w:val="24"/>
          <w:szCs w:val="24"/>
          <w:lang w:eastAsia="zh-CN"/>
        </w:rPr>
        <w:t>为边界浓度，模型仅计算增量影响，取</w:t>
      </w:r>
      <w:r>
        <w:rPr>
          <w:rFonts w:ascii="Times New Roman" w:eastAsia="宋体" w:hAnsi="Times New Roman" w:cs="Times New Roman"/>
          <w:snapToGrid/>
          <w:color w:val="auto"/>
          <w:kern w:val="2"/>
          <w:sz w:val="24"/>
          <w:szCs w:val="24"/>
          <w:lang w:eastAsia="zh-CN"/>
        </w:rPr>
        <w:t>P0=0</w:t>
      </w:r>
      <w:r>
        <w:rPr>
          <w:rFonts w:ascii="Times New Roman" w:eastAsia="宋体" w:hAnsi="Times New Roman" w:cs="Times New Roman"/>
          <w:snapToGrid/>
          <w:color w:val="auto"/>
          <w:kern w:val="2"/>
          <w:sz w:val="24"/>
          <w:szCs w:val="24"/>
          <w:lang w:eastAsia="zh-CN"/>
        </w:rPr>
        <w:t>。</w:t>
      </w:r>
    </w:p>
    <w:p w14:paraId="44BE0CA0"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出流：</w:t>
      </w:r>
      <w:r>
        <w:rPr>
          <w:rFonts w:ascii="Times New Roman" w:eastAsia="宋体" w:hAnsi="Times New Roman" w:cs="Times New Roman"/>
          <w:noProof/>
          <w:snapToGrid/>
          <w:color w:val="auto"/>
          <w:kern w:val="2"/>
          <w:sz w:val="24"/>
          <w:szCs w:val="24"/>
          <w:lang w:eastAsia="zh-CN"/>
        </w:rPr>
        <w:drawing>
          <wp:inline distT="0" distB="0" distL="114300" distR="114300" wp14:anchorId="72D1222C" wp14:editId="5C18F808">
            <wp:extent cx="621665" cy="223520"/>
            <wp:effectExtent l="0" t="0" r="3175" b="5080"/>
            <wp:docPr id="136" name="图片 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370"/>
                    <pic:cNvPicPr>
                      <a:picLocks noChangeAspect="1"/>
                    </pic:cNvPicPr>
                  </pic:nvPicPr>
                  <pic:blipFill>
                    <a:blip r:embed="rId245"/>
                    <a:stretch>
                      <a:fillRect/>
                    </a:stretch>
                  </pic:blipFill>
                  <pic:spPr>
                    <a:xfrm>
                      <a:off x="0" y="0"/>
                      <a:ext cx="621665" cy="223520"/>
                    </a:xfrm>
                    <a:prstGeom prst="rect">
                      <a:avLst/>
                    </a:prstGeom>
                    <a:noFill/>
                    <a:ln>
                      <a:noFill/>
                    </a:ln>
                  </pic:spPr>
                </pic:pic>
              </a:graphicData>
            </a:graphic>
          </wp:inline>
        </w:drawing>
      </w:r>
      <w:r>
        <w:rPr>
          <w:rFonts w:ascii="Times New Roman" w:eastAsia="宋体" w:hAnsi="Times New Roman" w:cs="Times New Roman"/>
          <w:snapToGrid/>
          <w:color w:val="auto"/>
          <w:kern w:val="2"/>
          <w:sz w:val="24"/>
          <w:szCs w:val="24"/>
          <w:lang w:eastAsia="zh-CN"/>
        </w:rPr>
        <w:t>，式中</w:t>
      </w:r>
      <w:r>
        <w:rPr>
          <w:rFonts w:ascii="Times New Roman" w:eastAsia="宋体" w:hAnsi="Times New Roman" w:cs="Times New Roman"/>
          <w:snapToGrid/>
          <w:color w:val="auto"/>
          <w:kern w:val="2"/>
          <w:sz w:val="24"/>
          <w:szCs w:val="24"/>
          <w:lang w:eastAsia="zh-CN"/>
        </w:rPr>
        <w:t>Un</w:t>
      </w:r>
      <w:r>
        <w:rPr>
          <w:rFonts w:ascii="Times New Roman" w:eastAsia="宋体" w:hAnsi="Times New Roman" w:cs="Times New Roman"/>
          <w:snapToGrid/>
          <w:color w:val="auto"/>
          <w:kern w:val="2"/>
          <w:sz w:val="24"/>
          <w:szCs w:val="24"/>
          <w:lang w:eastAsia="zh-CN"/>
        </w:rPr>
        <w:t>边界法向流速，</w:t>
      </w:r>
      <w:r>
        <w:rPr>
          <w:rFonts w:ascii="Times New Roman" w:eastAsia="宋体" w:hAnsi="Times New Roman" w:cs="Times New Roman"/>
          <w:snapToGrid/>
          <w:color w:val="auto"/>
          <w:kern w:val="2"/>
          <w:sz w:val="24"/>
          <w:szCs w:val="24"/>
          <w:lang w:eastAsia="zh-CN"/>
        </w:rPr>
        <w:t>n</w:t>
      </w:r>
      <w:r>
        <w:rPr>
          <w:rFonts w:ascii="Times New Roman" w:eastAsia="宋体" w:hAnsi="Times New Roman" w:cs="Times New Roman"/>
          <w:snapToGrid/>
          <w:color w:val="auto"/>
          <w:kern w:val="2"/>
          <w:sz w:val="24"/>
          <w:szCs w:val="24"/>
          <w:lang w:eastAsia="zh-CN"/>
        </w:rPr>
        <w:t>为法向。</w:t>
      </w:r>
    </w:p>
    <w:p w14:paraId="49F7398E"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3</w:t>
      </w:r>
      <w:r>
        <w:rPr>
          <w:rFonts w:ascii="Times New Roman" w:eastAsia="宋体" w:hAnsi="Times New Roman" w:cs="Times New Roman"/>
          <w:snapToGrid/>
          <w:color w:val="auto"/>
          <w:kern w:val="2"/>
          <w:sz w:val="24"/>
          <w:szCs w:val="24"/>
          <w:lang w:eastAsia="zh-CN"/>
        </w:rPr>
        <w:t>）初始条件</w:t>
      </w:r>
    </w:p>
    <w:p w14:paraId="2C67D7DA"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noProof/>
          <w:snapToGrid/>
          <w:color w:val="auto"/>
          <w:kern w:val="2"/>
          <w:sz w:val="24"/>
          <w:szCs w:val="24"/>
          <w:lang w:eastAsia="zh-CN"/>
        </w:rPr>
        <w:drawing>
          <wp:inline distT="0" distB="0" distL="114300" distR="114300" wp14:anchorId="44F02319" wp14:editId="4B7F47E7">
            <wp:extent cx="620395" cy="181610"/>
            <wp:effectExtent l="0" t="0" r="4445" b="1270"/>
            <wp:docPr id="137" name="图片 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371"/>
                    <pic:cNvPicPr>
                      <a:picLocks noChangeAspect="1"/>
                    </pic:cNvPicPr>
                  </pic:nvPicPr>
                  <pic:blipFill>
                    <a:blip r:embed="rId246"/>
                    <a:stretch>
                      <a:fillRect/>
                    </a:stretch>
                  </pic:blipFill>
                  <pic:spPr>
                    <a:xfrm>
                      <a:off x="0" y="0"/>
                      <a:ext cx="620395" cy="181610"/>
                    </a:xfrm>
                    <a:prstGeom prst="rect">
                      <a:avLst/>
                    </a:prstGeom>
                    <a:noFill/>
                    <a:ln>
                      <a:noFill/>
                    </a:ln>
                  </pic:spPr>
                </pic:pic>
              </a:graphicData>
            </a:graphic>
          </wp:inline>
        </w:drawing>
      </w:r>
    </w:p>
    <w:p w14:paraId="26D082D0" w14:textId="77777777" w:rsidR="0075791A" w:rsidRDefault="00FB2864">
      <w:pPr>
        <w:spacing w:line="360" w:lineRule="auto"/>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4.1.8.2</w:t>
      </w:r>
      <w:r>
        <w:rPr>
          <w:rFonts w:ascii="Times New Roman" w:eastAsia="宋体" w:hAnsi="Times New Roman"/>
          <w:b/>
          <w:color w:val="auto"/>
          <w:sz w:val="24"/>
          <w:szCs w:val="24"/>
          <w:lang w:eastAsia="zh-CN"/>
        </w:rPr>
        <w:t>悬浮泥沙源强及发生点位置</w:t>
      </w:r>
    </w:p>
    <w:p w14:paraId="28373D61"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bookmarkStart w:id="240" w:name="_Toc288051688"/>
      <w:r>
        <w:rPr>
          <w:rFonts w:ascii="Times New Roman" w:eastAsia="宋体" w:hAnsi="Times New Roman" w:cs="Times New Roman"/>
          <w:snapToGrid/>
          <w:color w:val="auto"/>
          <w:kern w:val="2"/>
          <w:sz w:val="24"/>
          <w:szCs w:val="24"/>
          <w:lang w:eastAsia="zh-CN"/>
        </w:rPr>
        <w:t>施工过程中对海床的扰动，将使施工点附近水体中悬浮泥沙的含量增加。根据</w:t>
      </w:r>
      <w:r>
        <w:rPr>
          <w:rFonts w:ascii="Times New Roman" w:eastAsia="宋体" w:hAnsi="Times New Roman" w:cs="Times New Roman" w:hint="eastAsia"/>
          <w:snapToGrid/>
          <w:color w:val="auto"/>
          <w:kern w:val="2"/>
          <w:sz w:val="24"/>
          <w:szCs w:val="24"/>
          <w:lang w:eastAsia="zh-CN"/>
        </w:rPr>
        <w:t>清淤</w:t>
      </w:r>
      <w:r>
        <w:rPr>
          <w:rFonts w:ascii="Times New Roman" w:eastAsia="宋体" w:hAnsi="Times New Roman" w:cs="Times New Roman"/>
          <w:snapToGrid/>
          <w:color w:val="auto"/>
          <w:kern w:val="2"/>
          <w:sz w:val="24"/>
          <w:szCs w:val="24"/>
          <w:lang w:eastAsia="zh-CN"/>
        </w:rPr>
        <w:t>施工位置和特点，模拟中选取部分代表点进行模拟、预测和评价。</w:t>
      </w:r>
      <w:r>
        <w:rPr>
          <w:rFonts w:ascii="Times New Roman" w:eastAsia="宋体" w:hAnsi="Times New Roman" w:cs="Times New Roman" w:hint="eastAsia"/>
          <w:snapToGrid/>
          <w:color w:val="auto"/>
          <w:kern w:val="2"/>
          <w:sz w:val="24"/>
          <w:szCs w:val="24"/>
          <w:lang w:eastAsia="zh-CN"/>
        </w:rPr>
        <w:t>疏浚施工悬浮物</w:t>
      </w:r>
      <w:r>
        <w:rPr>
          <w:rFonts w:ascii="Times New Roman" w:eastAsia="宋体" w:hAnsi="Times New Roman" w:cs="Times New Roman"/>
          <w:snapToGrid/>
          <w:color w:val="auto"/>
          <w:kern w:val="2"/>
          <w:sz w:val="24"/>
          <w:szCs w:val="24"/>
          <w:lang w:eastAsia="zh-CN"/>
        </w:rPr>
        <w:t>典型源强位置分布图如图</w:t>
      </w:r>
      <w:r>
        <w:rPr>
          <w:rFonts w:ascii="Times New Roman" w:eastAsia="宋体" w:hAnsi="Times New Roman" w:cs="Times New Roman" w:hint="eastAsia"/>
          <w:snapToGrid/>
          <w:color w:val="auto"/>
          <w:kern w:val="2"/>
          <w:sz w:val="24"/>
          <w:szCs w:val="24"/>
          <w:lang w:eastAsia="zh-CN"/>
        </w:rPr>
        <w:t>4.1.8</w:t>
      </w:r>
      <w:r>
        <w:rPr>
          <w:rFonts w:ascii="Times New Roman" w:eastAsia="宋体" w:hAnsi="Times New Roman" w:cs="Times New Roman"/>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snapToGrid/>
          <w:color w:val="auto"/>
          <w:kern w:val="2"/>
          <w:sz w:val="24"/>
          <w:szCs w:val="24"/>
          <w:lang w:eastAsia="zh-CN"/>
        </w:rPr>
        <w:t>所示，本项目共设置了</w:t>
      </w:r>
      <w:r>
        <w:rPr>
          <w:rFonts w:ascii="Times New Roman" w:eastAsia="宋体" w:hAnsi="Times New Roman" w:cs="Times New Roman" w:hint="eastAsia"/>
          <w:snapToGrid/>
          <w:color w:val="auto"/>
          <w:kern w:val="2"/>
          <w:sz w:val="24"/>
          <w:szCs w:val="24"/>
          <w:lang w:eastAsia="zh-CN"/>
        </w:rPr>
        <w:t>65</w:t>
      </w:r>
      <w:r>
        <w:rPr>
          <w:rFonts w:ascii="Times New Roman" w:eastAsia="宋体" w:hAnsi="Times New Roman" w:cs="Times New Roman"/>
          <w:snapToGrid/>
          <w:color w:val="auto"/>
          <w:kern w:val="2"/>
          <w:sz w:val="24"/>
          <w:szCs w:val="24"/>
          <w:lang w:eastAsia="zh-CN"/>
        </w:rPr>
        <w:t>个施工源点。</w:t>
      </w:r>
    </w:p>
    <w:p w14:paraId="6A3A8794" w14:textId="77777777" w:rsidR="0075791A" w:rsidRDefault="00FB2864">
      <w:pPr>
        <w:spacing w:line="360" w:lineRule="auto"/>
        <w:jc w:val="center"/>
        <w:rPr>
          <w:rFonts w:ascii="Times New Roman" w:eastAsia="宋体" w:hAnsi="Times New Roman" w:cs="Times New Roman"/>
          <w:color w:val="auto"/>
          <w:sz w:val="24"/>
          <w:szCs w:val="24"/>
          <w:lang w:eastAsia="zh-CN"/>
        </w:rPr>
      </w:pPr>
      <w:r>
        <w:rPr>
          <w:noProof/>
          <w:color w:val="auto"/>
          <w:lang w:eastAsia="zh-CN"/>
        </w:rPr>
        <w:lastRenderedPageBreak/>
        <w:drawing>
          <wp:inline distT="0" distB="0" distL="114300" distR="114300" wp14:anchorId="6CF6503E" wp14:editId="407146DF">
            <wp:extent cx="5264785" cy="3595370"/>
            <wp:effectExtent l="19050" t="19050" r="19685" b="27940"/>
            <wp:docPr id="180" name="图片 180" descr="源强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源强点"/>
                    <pic:cNvPicPr>
                      <a:picLocks noChangeAspect="1"/>
                    </pic:cNvPicPr>
                  </pic:nvPicPr>
                  <pic:blipFill>
                    <a:blip r:embed="rId247">
                      <a:lum contrast="6000"/>
                    </a:blip>
                    <a:stretch>
                      <a:fillRect/>
                    </a:stretch>
                  </pic:blipFill>
                  <pic:spPr>
                    <a:xfrm>
                      <a:off x="0" y="0"/>
                      <a:ext cx="5264785" cy="3595370"/>
                    </a:xfrm>
                    <a:prstGeom prst="rect">
                      <a:avLst/>
                    </a:prstGeom>
                    <a:ln w="19050">
                      <a:solidFill>
                        <a:schemeClr val="tx1"/>
                      </a:solidFill>
                    </a:ln>
                  </pic:spPr>
                </pic:pic>
              </a:graphicData>
            </a:graphic>
          </wp:inline>
        </w:drawing>
      </w:r>
    </w:p>
    <w:p w14:paraId="627034B2" w14:textId="77777777" w:rsidR="0075791A" w:rsidRDefault="00FB2864">
      <w:pPr>
        <w:spacing w:line="360" w:lineRule="auto"/>
        <w:jc w:val="center"/>
        <w:rPr>
          <w:rFonts w:ascii="Times New Roman" w:eastAsia="宋体" w:hAnsi="Times New Roman" w:cs="Times New Roman"/>
          <w:color w:val="auto"/>
          <w:sz w:val="24"/>
          <w:szCs w:val="24"/>
          <w:lang w:eastAsia="zh-CN"/>
        </w:rPr>
      </w:pPr>
      <w:r>
        <w:rPr>
          <w:rFonts w:ascii="Times New Roman" w:eastAsia="宋体" w:hAnsi="Times New Roman" w:cs="Times New Roman"/>
          <w:color w:val="auto"/>
          <w:sz w:val="24"/>
          <w:szCs w:val="24"/>
          <w:lang w:eastAsia="zh-CN"/>
        </w:rPr>
        <w:t>图</w:t>
      </w:r>
      <w:r>
        <w:rPr>
          <w:rFonts w:ascii="Times New Roman" w:eastAsia="宋体" w:hAnsi="Times New Roman" w:cs="Times New Roman" w:hint="eastAsia"/>
          <w:color w:val="auto"/>
          <w:sz w:val="24"/>
          <w:szCs w:val="24"/>
          <w:lang w:eastAsia="zh-CN"/>
        </w:rPr>
        <w:t>4.1.8.2-1</w:t>
      </w:r>
      <w:r>
        <w:rPr>
          <w:rFonts w:ascii="Times New Roman" w:eastAsia="宋体" w:hAnsi="Times New Roman" w:cs="Times New Roman"/>
          <w:color w:val="auto"/>
          <w:sz w:val="24"/>
          <w:szCs w:val="24"/>
          <w:lang w:eastAsia="zh-CN"/>
        </w:rPr>
        <w:t xml:space="preserve">  </w:t>
      </w:r>
      <w:r>
        <w:rPr>
          <w:rFonts w:ascii="Times New Roman" w:eastAsia="宋体" w:hAnsi="Times New Roman" w:cs="Times New Roman" w:hint="eastAsia"/>
          <w:color w:val="auto"/>
          <w:sz w:val="24"/>
          <w:szCs w:val="24"/>
          <w:lang w:eastAsia="zh-CN"/>
        </w:rPr>
        <w:t>疏浚（</w:t>
      </w:r>
      <w:r>
        <w:rPr>
          <w:rFonts w:ascii="Times New Roman" w:eastAsia="宋体" w:hAnsi="Times New Roman" w:cs="Times New Roman" w:hint="eastAsia"/>
          <w:color w:val="auto"/>
          <w:sz w:val="24"/>
          <w:szCs w:val="24"/>
          <w:lang w:eastAsia="zh-CN"/>
        </w:rPr>
        <w:t>A</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color w:val="auto"/>
          <w:sz w:val="24"/>
          <w:szCs w:val="24"/>
          <w:lang w:eastAsia="zh-CN"/>
        </w:rPr>
        <w:t>悬浮物典型源强位置分布图</w:t>
      </w:r>
    </w:p>
    <w:bookmarkEnd w:id="240"/>
    <w:p w14:paraId="05A27B24" w14:textId="77777777" w:rsidR="0075791A" w:rsidRDefault="00FB2864">
      <w:pPr>
        <w:spacing w:line="360" w:lineRule="auto"/>
        <w:ind w:firstLineChars="200" w:firstLine="480"/>
        <w:jc w:val="both"/>
        <w:rPr>
          <w:rFonts w:ascii="Times New Roman" w:eastAsia="宋体" w:hAnsi="Times New Roman"/>
          <w:color w:val="auto"/>
          <w:sz w:val="24"/>
          <w:szCs w:val="24"/>
          <w:lang w:eastAsia="zh-CN"/>
        </w:rPr>
      </w:pPr>
      <w:r>
        <w:rPr>
          <w:rFonts w:ascii="Times New Roman" w:eastAsia="宋体" w:hAnsi="Times New Roman"/>
          <w:color w:val="auto"/>
          <w:sz w:val="24"/>
          <w:szCs w:val="24"/>
          <w:lang w:eastAsia="zh-CN"/>
        </w:rPr>
        <w:t>根据《水运工程建设项目环境影响评价指南》（</w:t>
      </w:r>
      <w:r>
        <w:rPr>
          <w:rFonts w:ascii="Times New Roman" w:eastAsia="宋体" w:hAnsi="Times New Roman"/>
          <w:color w:val="auto"/>
          <w:sz w:val="24"/>
          <w:szCs w:val="24"/>
          <w:lang w:eastAsia="zh-CN"/>
        </w:rPr>
        <w:t>JTS/T105—2021</w:t>
      </w:r>
      <w:r>
        <w:rPr>
          <w:rFonts w:ascii="Times New Roman" w:eastAsia="宋体" w:hAnsi="Times New Roman"/>
          <w:color w:val="auto"/>
          <w:sz w:val="24"/>
          <w:szCs w:val="24"/>
          <w:lang w:eastAsia="zh-CN"/>
        </w:rPr>
        <w:t>）推荐的经验公式，计算清淤产生的悬浮物。本工程采用的挖泥船效率约</w:t>
      </w:r>
      <w:r>
        <w:rPr>
          <w:rFonts w:ascii="Times New Roman" w:eastAsia="宋体" w:hAnsi="Times New Roman"/>
          <w:color w:val="auto"/>
          <w:sz w:val="24"/>
          <w:szCs w:val="24"/>
          <w:lang w:eastAsia="zh-CN"/>
        </w:rPr>
        <w:t>400m</w:t>
      </w:r>
      <w:r>
        <w:rPr>
          <w:rFonts w:ascii="Times New Roman" w:eastAsia="宋体" w:hAnsi="Times New Roman"/>
          <w:color w:val="auto"/>
          <w:sz w:val="24"/>
          <w:szCs w:val="24"/>
          <w:vertAlign w:val="superscript"/>
          <w:lang w:eastAsia="zh-CN"/>
        </w:rPr>
        <w:t>3</w:t>
      </w:r>
      <w:r>
        <w:rPr>
          <w:rFonts w:ascii="Times New Roman" w:eastAsia="宋体" w:hAnsi="Times New Roman"/>
          <w:color w:val="auto"/>
          <w:sz w:val="24"/>
          <w:szCs w:val="24"/>
          <w:lang w:eastAsia="zh-CN"/>
        </w:rPr>
        <w:t>/h</w:t>
      </w:r>
      <w:r>
        <w:rPr>
          <w:rFonts w:ascii="Times New Roman" w:eastAsia="宋体" w:hAnsi="Times New Roman"/>
          <w:color w:val="auto"/>
          <w:sz w:val="24"/>
          <w:szCs w:val="24"/>
          <w:lang w:eastAsia="zh-CN"/>
        </w:rPr>
        <w:t>，每天施工约</w:t>
      </w:r>
      <w:r>
        <w:rPr>
          <w:rFonts w:ascii="Times New Roman" w:eastAsia="宋体" w:hAnsi="Times New Roman" w:hint="eastAsia"/>
          <w:color w:val="auto"/>
          <w:sz w:val="24"/>
          <w:szCs w:val="24"/>
          <w:lang w:eastAsia="zh-CN"/>
        </w:rPr>
        <w:t>8</w:t>
      </w:r>
      <w:r>
        <w:rPr>
          <w:rFonts w:ascii="Times New Roman" w:eastAsia="宋体" w:hAnsi="Times New Roman"/>
          <w:color w:val="auto"/>
          <w:sz w:val="24"/>
          <w:szCs w:val="24"/>
          <w:lang w:eastAsia="zh-CN"/>
        </w:rPr>
        <w:t>小时，根据经验公式计算，清淤时悬浮物产生量约为</w:t>
      </w:r>
      <w:r>
        <w:rPr>
          <w:rFonts w:ascii="Times New Roman" w:eastAsia="宋体" w:hAnsi="Times New Roman"/>
          <w:color w:val="auto"/>
          <w:sz w:val="24"/>
          <w:szCs w:val="24"/>
          <w:lang w:eastAsia="zh-CN"/>
        </w:rPr>
        <w:t>16.906t/h</w:t>
      </w:r>
      <w:r>
        <w:rPr>
          <w:rFonts w:ascii="Times New Roman" w:eastAsia="宋体" w:hAnsi="Times New Roman"/>
          <w:color w:val="auto"/>
          <w:sz w:val="24"/>
          <w:szCs w:val="24"/>
          <w:lang w:eastAsia="zh-CN"/>
        </w:rPr>
        <w:t>（</w:t>
      </w:r>
      <w:r>
        <w:rPr>
          <w:rFonts w:ascii="Times New Roman" w:eastAsia="宋体" w:hAnsi="Times New Roman"/>
          <w:color w:val="auto"/>
          <w:sz w:val="24"/>
          <w:szCs w:val="24"/>
          <w:lang w:eastAsia="zh-CN"/>
        </w:rPr>
        <w:t>4.70kg/s</w:t>
      </w:r>
      <w:r>
        <w:rPr>
          <w:rFonts w:ascii="Times New Roman" w:eastAsia="宋体" w:hAnsi="Times New Roman"/>
          <w:color w:val="auto"/>
          <w:sz w:val="24"/>
          <w:szCs w:val="24"/>
          <w:lang w:eastAsia="zh-CN"/>
        </w:rPr>
        <w:t>）。防污帘泥沙拦截率按</w:t>
      </w:r>
      <w:r>
        <w:rPr>
          <w:rFonts w:ascii="Times New Roman" w:eastAsia="宋体" w:hAnsi="Times New Roman"/>
          <w:color w:val="auto"/>
          <w:sz w:val="24"/>
          <w:szCs w:val="24"/>
          <w:lang w:eastAsia="zh-CN"/>
        </w:rPr>
        <w:t>60%</w:t>
      </w:r>
      <w:r>
        <w:rPr>
          <w:rFonts w:ascii="Times New Roman" w:eastAsia="宋体" w:hAnsi="Times New Roman"/>
          <w:color w:val="auto"/>
          <w:sz w:val="24"/>
          <w:szCs w:val="24"/>
          <w:lang w:eastAsia="zh-CN"/>
        </w:rPr>
        <w:t>考虑。微地形改造施工</w:t>
      </w:r>
      <w:r>
        <w:rPr>
          <w:rFonts w:ascii="Times New Roman" w:eastAsia="宋体" w:hAnsi="Times New Roman" w:hint="eastAsia"/>
          <w:color w:val="auto"/>
          <w:sz w:val="24"/>
          <w:szCs w:val="24"/>
          <w:lang w:eastAsia="zh-CN"/>
        </w:rPr>
        <w:t>工程产生的土方约为</w:t>
      </w:r>
      <w:r>
        <w:rPr>
          <w:rFonts w:ascii="Times New Roman" w:eastAsia="宋体" w:hAnsi="Times New Roman" w:hint="eastAsia"/>
          <w:color w:val="auto"/>
          <w:sz w:val="24"/>
          <w:szCs w:val="24"/>
          <w:lang w:eastAsia="zh-CN"/>
        </w:rPr>
        <w:t>39692m</w:t>
      </w:r>
      <w:r>
        <w:rPr>
          <w:rFonts w:ascii="Times New Roman" w:eastAsia="宋体" w:hAnsi="Times New Roman" w:hint="eastAsia"/>
          <w:color w:val="auto"/>
          <w:sz w:val="24"/>
          <w:szCs w:val="24"/>
          <w:vertAlign w:val="superscript"/>
          <w:lang w:eastAsia="zh-CN"/>
        </w:rPr>
        <w:t>3</w:t>
      </w:r>
      <w:r>
        <w:rPr>
          <w:rFonts w:ascii="Times New Roman" w:eastAsia="宋体" w:hAnsi="Times New Roman" w:hint="eastAsia"/>
          <w:color w:val="auto"/>
          <w:sz w:val="24"/>
          <w:szCs w:val="24"/>
          <w:lang w:eastAsia="zh-CN"/>
        </w:rPr>
        <w:t>，工期为</w:t>
      </w:r>
      <w:r>
        <w:rPr>
          <w:rFonts w:ascii="Times New Roman" w:eastAsia="宋体" w:hAnsi="Times New Roman" w:hint="eastAsia"/>
          <w:color w:val="auto"/>
          <w:sz w:val="24"/>
          <w:szCs w:val="24"/>
          <w:lang w:eastAsia="zh-CN"/>
        </w:rPr>
        <w:t>10</w:t>
      </w:r>
      <w:r>
        <w:rPr>
          <w:rFonts w:ascii="Times New Roman" w:eastAsia="宋体" w:hAnsi="Times New Roman" w:hint="eastAsia"/>
          <w:color w:val="auto"/>
          <w:sz w:val="24"/>
          <w:szCs w:val="24"/>
          <w:lang w:eastAsia="zh-CN"/>
        </w:rPr>
        <w:t>天，按每天工作</w:t>
      </w:r>
      <w:r>
        <w:rPr>
          <w:rFonts w:ascii="Times New Roman" w:eastAsia="宋体" w:hAnsi="Times New Roman" w:hint="eastAsia"/>
          <w:color w:val="auto"/>
          <w:sz w:val="24"/>
          <w:szCs w:val="24"/>
          <w:lang w:eastAsia="zh-CN"/>
        </w:rPr>
        <w:t>8</w:t>
      </w:r>
      <w:r>
        <w:rPr>
          <w:rFonts w:ascii="Times New Roman" w:eastAsia="宋体" w:hAnsi="Times New Roman" w:hint="eastAsia"/>
          <w:color w:val="auto"/>
          <w:sz w:val="24"/>
          <w:szCs w:val="24"/>
          <w:lang w:eastAsia="zh-CN"/>
        </w:rPr>
        <w:t>小时计，密度按</w:t>
      </w:r>
      <w:r>
        <w:rPr>
          <w:rFonts w:ascii="Times New Roman" w:eastAsia="宋体" w:hAnsi="Times New Roman" w:hint="eastAsia"/>
          <w:color w:val="auto"/>
          <w:sz w:val="24"/>
          <w:szCs w:val="24"/>
          <w:lang w:eastAsia="zh-CN"/>
        </w:rPr>
        <w:t>1120kg/m</w:t>
      </w:r>
      <w:r>
        <w:rPr>
          <w:rFonts w:ascii="Times New Roman" w:eastAsia="宋体" w:hAnsi="Times New Roman" w:hint="eastAsia"/>
          <w:color w:val="auto"/>
          <w:sz w:val="24"/>
          <w:szCs w:val="24"/>
          <w:vertAlign w:val="superscript"/>
          <w:lang w:eastAsia="zh-CN"/>
        </w:rPr>
        <w:t>3</w:t>
      </w:r>
      <w:r>
        <w:rPr>
          <w:rFonts w:ascii="Times New Roman" w:eastAsia="宋体" w:hAnsi="Times New Roman" w:hint="eastAsia"/>
          <w:color w:val="auto"/>
          <w:sz w:val="24"/>
          <w:szCs w:val="24"/>
          <w:lang w:eastAsia="zh-CN"/>
        </w:rPr>
        <w:t>计，表层沙含泥量</w:t>
      </w:r>
      <w:r>
        <w:rPr>
          <w:rFonts w:ascii="Times New Roman" w:eastAsia="宋体" w:hAnsi="Times New Roman" w:hint="eastAsia"/>
          <w:color w:val="auto"/>
          <w:sz w:val="24"/>
          <w:szCs w:val="24"/>
          <w:lang w:eastAsia="zh-CN"/>
        </w:rPr>
        <w:t>&lt;1.5%</w:t>
      </w:r>
      <w:r>
        <w:rPr>
          <w:rFonts w:ascii="Times New Roman" w:eastAsia="宋体" w:hAnsi="Times New Roman" w:hint="eastAsia"/>
          <w:color w:val="auto"/>
          <w:sz w:val="24"/>
          <w:szCs w:val="24"/>
          <w:lang w:eastAsia="zh-CN"/>
        </w:rPr>
        <w:t>（按</w:t>
      </w:r>
      <w:r>
        <w:rPr>
          <w:rFonts w:ascii="Times New Roman" w:eastAsia="宋体" w:hAnsi="Times New Roman" w:hint="eastAsia"/>
          <w:color w:val="auto"/>
          <w:sz w:val="24"/>
          <w:szCs w:val="24"/>
          <w:lang w:eastAsia="zh-CN"/>
        </w:rPr>
        <w:t>1.5%</w:t>
      </w:r>
      <w:r>
        <w:rPr>
          <w:rFonts w:ascii="Times New Roman" w:eastAsia="宋体" w:hAnsi="Times New Roman" w:hint="eastAsia"/>
          <w:color w:val="auto"/>
          <w:sz w:val="24"/>
          <w:szCs w:val="24"/>
          <w:lang w:eastAsia="zh-CN"/>
        </w:rPr>
        <w:t>算）），本项目微地形改造施工产生的源强为</w:t>
      </w:r>
      <w:r>
        <w:rPr>
          <w:rFonts w:ascii="Times New Roman" w:eastAsia="宋体" w:hAnsi="Times New Roman" w:hint="eastAsia"/>
          <w:color w:val="auto"/>
          <w:sz w:val="24"/>
          <w:szCs w:val="24"/>
          <w:lang w:eastAsia="zh-CN"/>
        </w:rPr>
        <w:t>=39692</w:t>
      </w:r>
      <w:r>
        <w:rPr>
          <w:rFonts w:ascii="Times New Roman" w:eastAsia="宋体" w:hAnsi="Times New Roman" w:hint="eastAsia"/>
          <w:color w:val="auto"/>
          <w:sz w:val="24"/>
          <w:szCs w:val="24"/>
          <w:lang w:eastAsia="zh-CN"/>
        </w:rPr>
        <w:t>×</w:t>
      </w:r>
      <w:r>
        <w:rPr>
          <w:rFonts w:ascii="Times New Roman" w:eastAsia="宋体" w:hAnsi="Times New Roman" w:hint="eastAsia"/>
          <w:color w:val="auto"/>
          <w:sz w:val="24"/>
          <w:szCs w:val="24"/>
          <w:lang w:eastAsia="zh-CN"/>
        </w:rPr>
        <w:t>1120</w:t>
      </w:r>
      <w:r>
        <w:rPr>
          <w:rFonts w:ascii="Times New Roman" w:eastAsia="宋体" w:hAnsi="Times New Roman" w:hint="eastAsia"/>
          <w:color w:val="auto"/>
          <w:sz w:val="24"/>
          <w:szCs w:val="24"/>
          <w:lang w:eastAsia="zh-CN"/>
        </w:rPr>
        <w:t>×</w:t>
      </w:r>
      <w:r>
        <w:rPr>
          <w:rFonts w:ascii="Times New Roman" w:eastAsia="宋体" w:hAnsi="Times New Roman" w:hint="eastAsia"/>
          <w:color w:val="auto"/>
          <w:sz w:val="24"/>
          <w:szCs w:val="24"/>
          <w:lang w:eastAsia="zh-CN"/>
        </w:rPr>
        <w:t>1.5%</w:t>
      </w:r>
      <w:r>
        <w:rPr>
          <w:rFonts w:ascii="Times New Roman" w:eastAsia="宋体" w:hAnsi="Times New Roman" w:hint="eastAsia"/>
          <w:color w:val="auto"/>
          <w:sz w:val="24"/>
          <w:szCs w:val="24"/>
          <w:lang w:eastAsia="zh-CN"/>
        </w:rPr>
        <w:t>÷（</w:t>
      </w:r>
      <w:r>
        <w:rPr>
          <w:rFonts w:ascii="Times New Roman" w:eastAsia="宋体" w:hAnsi="Times New Roman" w:hint="eastAsia"/>
          <w:color w:val="auto"/>
          <w:sz w:val="24"/>
          <w:szCs w:val="24"/>
          <w:lang w:eastAsia="zh-CN"/>
        </w:rPr>
        <w:t>10</w:t>
      </w:r>
      <w:r>
        <w:rPr>
          <w:rFonts w:ascii="Times New Roman" w:eastAsia="宋体" w:hAnsi="Times New Roman" w:hint="eastAsia"/>
          <w:color w:val="auto"/>
          <w:sz w:val="24"/>
          <w:szCs w:val="24"/>
          <w:lang w:eastAsia="zh-CN"/>
        </w:rPr>
        <w:t>×</w:t>
      </w:r>
      <w:r>
        <w:rPr>
          <w:rFonts w:ascii="Times New Roman" w:eastAsia="宋体" w:hAnsi="Times New Roman" w:hint="eastAsia"/>
          <w:color w:val="auto"/>
          <w:sz w:val="24"/>
          <w:szCs w:val="24"/>
          <w:lang w:eastAsia="zh-CN"/>
        </w:rPr>
        <w:t>8</w:t>
      </w:r>
      <w:r>
        <w:rPr>
          <w:rFonts w:ascii="Times New Roman" w:eastAsia="宋体" w:hAnsi="Times New Roman" w:hint="eastAsia"/>
          <w:color w:val="auto"/>
          <w:sz w:val="24"/>
          <w:szCs w:val="24"/>
          <w:lang w:eastAsia="zh-CN"/>
        </w:rPr>
        <w:t>×</w:t>
      </w:r>
      <w:r>
        <w:rPr>
          <w:rFonts w:ascii="Times New Roman" w:eastAsia="宋体" w:hAnsi="Times New Roman" w:hint="eastAsia"/>
          <w:color w:val="auto"/>
          <w:sz w:val="24"/>
          <w:szCs w:val="24"/>
          <w:lang w:eastAsia="zh-CN"/>
        </w:rPr>
        <w:t>3600</w:t>
      </w:r>
      <w:r>
        <w:rPr>
          <w:rFonts w:ascii="Times New Roman" w:eastAsia="宋体" w:hAnsi="Times New Roman" w:hint="eastAsia"/>
          <w:color w:val="auto"/>
          <w:sz w:val="24"/>
          <w:szCs w:val="24"/>
          <w:lang w:eastAsia="zh-CN"/>
        </w:rPr>
        <w:t>）</w:t>
      </w:r>
      <w:r>
        <w:rPr>
          <w:rFonts w:ascii="Times New Roman" w:eastAsia="宋体" w:hAnsi="Times New Roman" w:hint="eastAsia"/>
          <w:color w:val="auto"/>
          <w:sz w:val="24"/>
          <w:szCs w:val="24"/>
          <w:lang w:eastAsia="zh-CN"/>
        </w:rPr>
        <w:t>=2.32kg/s</w:t>
      </w:r>
      <w:r>
        <w:rPr>
          <w:rFonts w:ascii="Times New Roman" w:eastAsia="宋体" w:hAnsi="Times New Roman" w:hint="eastAsia"/>
          <w:color w:val="auto"/>
          <w:sz w:val="24"/>
          <w:szCs w:val="24"/>
          <w:lang w:eastAsia="zh-CN"/>
        </w:rPr>
        <w:t>，</w:t>
      </w:r>
      <w:r>
        <w:rPr>
          <w:rFonts w:ascii="Times New Roman" w:eastAsia="宋体" w:hAnsi="Times New Roman"/>
          <w:color w:val="auto"/>
          <w:sz w:val="24"/>
          <w:szCs w:val="24"/>
          <w:lang w:eastAsia="zh-CN"/>
        </w:rPr>
        <w:t>防污帘泥沙拦截率按</w:t>
      </w:r>
      <w:r>
        <w:rPr>
          <w:rFonts w:ascii="Times New Roman" w:eastAsia="宋体" w:hAnsi="Times New Roman"/>
          <w:color w:val="auto"/>
          <w:sz w:val="24"/>
          <w:szCs w:val="24"/>
          <w:lang w:eastAsia="zh-CN"/>
        </w:rPr>
        <w:t>60%</w:t>
      </w:r>
      <w:r>
        <w:rPr>
          <w:rFonts w:ascii="Times New Roman" w:eastAsia="宋体" w:hAnsi="Times New Roman"/>
          <w:color w:val="auto"/>
          <w:sz w:val="24"/>
          <w:szCs w:val="24"/>
          <w:lang w:eastAsia="zh-CN"/>
        </w:rPr>
        <w:t>考虑</w:t>
      </w:r>
      <w:r>
        <w:rPr>
          <w:rFonts w:ascii="Times New Roman" w:eastAsia="宋体" w:hAnsi="Times New Roman" w:hint="eastAsia"/>
          <w:color w:val="auto"/>
          <w:sz w:val="24"/>
          <w:szCs w:val="24"/>
          <w:lang w:eastAsia="zh-CN"/>
        </w:rPr>
        <w:t>。</w:t>
      </w:r>
      <w:r>
        <w:rPr>
          <w:rFonts w:ascii="Times New Roman" w:eastAsia="宋体" w:hAnsi="Times New Roman"/>
          <w:color w:val="auto"/>
          <w:sz w:val="24"/>
          <w:szCs w:val="24"/>
          <w:lang w:eastAsia="zh-CN"/>
        </w:rPr>
        <w:t>单个源点源强为</w:t>
      </w:r>
      <w:r>
        <w:rPr>
          <w:rFonts w:ascii="Times New Roman" w:eastAsia="宋体" w:hAnsi="Times New Roman"/>
          <w:color w:val="auto"/>
          <w:sz w:val="24"/>
          <w:szCs w:val="24"/>
          <w:lang w:eastAsia="zh-CN"/>
        </w:rPr>
        <w:t>4.70kg/s</w:t>
      </w:r>
      <w:r>
        <w:rPr>
          <w:rFonts w:ascii="Times New Roman" w:eastAsia="宋体" w:hAnsi="Times New Roman" w:hint="eastAsia"/>
          <w:color w:val="auto"/>
          <w:sz w:val="24"/>
          <w:szCs w:val="24"/>
          <w:lang w:eastAsia="zh-CN"/>
        </w:rPr>
        <w:t>。</w:t>
      </w:r>
    </w:p>
    <w:p w14:paraId="455ACBD3" w14:textId="77777777" w:rsidR="0075791A" w:rsidRDefault="00FB2864">
      <w:pPr>
        <w:spacing w:line="360" w:lineRule="auto"/>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4.1.8.3</w:t>
      </w:r>
      <w:r>
        <w:rPr>
          <w:rFonts w:ascii="Times New Roman" w:eastAsia="宋体" w:hAnsi="Times New Roman" w:hint="eastAsia"/>
          <w:b/>
          <w:color w:val="auto"/>
          <w:sz w:val="24"/>
          <w:szCs w:val="24"/>
          <w:lang w:eastAsia="zh-CN"/>
        </w:rPr>
        <w:t>悬浮泥沙工况设置</w:t>
      </w:r>
    </w:p>
    <w:p w14:paraId="474A3CE3"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根据工程设计，本项目分别模拟预测了不同清淤范围施工时源点产生悬浮泥沙对水质环境影响、所有源点叠加工况和对应布设防污帘后施工过程中悬浮泥沙扩散范围和各点最大</w:t>
      </w:r>
      <w:r>
        <w:rPr>
          <w:rFonts w:ascii="Times New Roman" w:eastAsia="宋体" w:hAnsi="Times New Roman" w:cs="Times New Roman" w:hint="eastAsia"/>
          <w:snapToGrid/>
          <w:color w:val="auto"/>
          <w:kern w:val="2"/>
          <w:sz w:val="24"/>
          <w:szCs w:val="24"/>
          <w:lang w:eastAsia="zh-CN"/>
        </w:rPr>
        <w:t>的</w:t>
      </w:r>
      <w:r>
        <w:rPr>
          <w:rFonts w:ascii="Times New Roman" w:eastAsia="宋体" w:hAnsi="Times New Roman" w:cs="Times New Roman"/>
          <w:snapToGrid/>
          <w:color w:val="auto"/>
          <w:kern w:val="2"/>
          <w:sz w:val="24"/>
          <w:szCs w:val="24"/>
          <w:lang w:eastAsia="zh-CN"/>
        </w:rPr>
        <w:t>浓度增量分布，连接各点不同浓度增量预测值最外沿，做出悬浮泥沙增量的最大包络线图，计算时间为</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snapToGrid/>
          <w:color w:val="auto"/>
          <w:kern w:val="2"/>
          <w:sz w:val="24"/>
          <w:szCs w:val="24"/>
          <w:lang w:eastAsia="zh-CN"/>
        </w:rPr>
        <w:t>天，包含了完整的大、中、小潮过程。悬浮物扩散计算工况如下：</w:t>
      </w:r>
    </w:p>
    <w:p w14:paraId="060EA523"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工况</w:t>
      </w:r>
      <w:r>
        <w:rPr>
          <w:rFonts w:ascii="Times New Roman" w:eastAsia="宋体" w:hAnsi="Times New Roman" w:cs="Times New Roman"/>
          <w:snapToGrid/>
          <w:color w:val="auto"/>
          <w:kern w:val="2"/>
          <w:sz w:val="24"/>
          <w:szCs w:val="24"/>
          <w:lang w:eastAsia="zh-CN"/>
        </w:rPr>
        <w:t>1</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A</w:t>
      </w:r>
      <w:r>
        <w:rPr>
          <w:rFonts w:ascii="Times New Roman" w:eastAsia="宋体" w:hAnsi="Times New Roman" w:cs="Times New Roman"/>
          <w:snapToGrid/>
          <w:color w:val="auto"/>
          <w:kern w:val="2"/>
          <w:sz w:val="24"/>
          <w:szCs w:val="24"/>
          <w:lang w:eastAsia="zh-CN"/>
        </w:rPr>
        <w:t>清淤区域施工</w:t>
      </w:r>
      <w:r>
        <w:rPr>
          <w:rFonts w:ascii="Times New Roman" w:eastAsia="宋体" w:hAnsi="Times New Roman" w:cs="Times New Roman"/>
          <w:snapToGrid/>
          <w:color w:val="auto"/>
          <w:kern w:val="2"/>
          <w:sz w:val="24"/>
          <w:szCs w:val="24"/>
          <w:lang w:eastAsia="zh-CN"/>
        </w:rPr>
        <w:t>65</w:t>
      </w:r>
      <w:r>
        <w:rPr>
          <w:rFonts w:ascii="Times New Roman" w:eastAsia="宋体" w:hAnsi="Times New Roman" w:cs="Times New Roman"/>
          <w:snapToGrid/>
          <w:color w:val="auto"/>
          <w:kern w:val="2"/>
          <w:sz w:val="24"/>
          <w:szCs w:val="24"/>
          <w:lang w:eastAsia="zh-CN"/>
        </w:rPr>
        <w:t>个源点叠加，单个源点源强为</w:t>
      </w:r>
      <w:r>
        <w:rPr>
          <w:rFonts w:ascii="Times New Roman" w:eastAsia="宋体" w:hAnsi="Times New Roman" w:cs="Times New Roman"/>
          <w:snapToGrid/>
          <w:color w:val="auto"/>
          <w:kern w:val="2"/>
          <w:sz w:val="24"/>
          <w:szCs w:val="24"/>
          <w:lang w:eastAsia="zh-CN"/>
        </w:rPr>
        <w:t>4.70kg/s</w:t>
      </w:r>
      <w:r>
        <w:rPr>
          <w:rFonts w:ascii="Times New Roman" w:eastAsia="宋体" w:hAnsi="Times New Roman" w:cs="Times New Roman"/>
          <w:snapToGrid/>
          <w:color w:val="auto"/>
          <w:kern w:val="2"/>
          <w:sz w:val="24"/>
          <w:szCs w:val="24"/>
          <w:lang w:eastAsia="zh-CN"/>
        </w:rPr>
        <w:t>；</w:t>
      </w:r>
    </w:p>
    <w:p w14:paraId="7AE1ECEE"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工况</w:t>
      </w:r>
      <w:r>
        <w:rPr>
          <w:rFonts w:ascii="Times New Roman" w:eastAsia="宋体" w:hAnsi="Times New Roman" w:cs="Times New Roman"/>
          <w:snapToGrid/>
          <w:color w:val="auto"/>
          <w:kern w:val="2"/>
          <w:sz w:val="24"/>
          <w:szCs w:val="24"/>
          <w:lang w:eastAsia="zh-CN"/>
        </w:rPr>
        <w:t>2</w:t>
      </w:r>
      <w:r>
        <w:rPr>
          <w:rFonts w:ascii="Times New Roman" w:eastAsia="宋体" w:hAnsi="Times New Roman" w:cs="Times New Roman"/>
          <w:snapToGrid/>
          <w:color w:val="auto"/>
          <w:kern w:val="2"/>
          <w:sz w:val="24"/>
          <w:szCs w:val="24"/>
          <w:lang w:eastAsia="zh-CN"/>
        </w:rPr>
        <w:t>：工况</w:t>
      </w:r>
      <w:r>
        <w:rPr>
          <w:rFonts w:ascii="Times New Roman" w:eastAsia="宋体" w:hAnsi="Times New Roman" w:cs="Times New Roman"/>
          <w:snapToGrid/>
          <w:color w:val="auto"/>
          <w:kern w:val="2"/>
          <w:sz w:val="24"/>
          <w:szCs w:val="24"/>
          <w:lang w:eastAsia="zh-CN"/>
        </w:rPr>
        <w:t>1</w:t>
      </w:r>
      <w:r>
        <w:rPr>
          <w:rFonts w:ascii="Times New Roman" w:eastAsia="宋体" w:hAnsi="Times New Roman" w:cs="Times New Roman"/>
          <w:snapToGrid/>
          <w:color w:val="auto"/>
          <w:kern w:val="2"/>
          <w:sz w:val="24"/>
          <w:szCs w:val="24"/>
          <w:lang w:eastAsia="zh-CN"/>
        </w:rPr>
        <w:t>施工设置防污帘。</w:t>
      </w:r>
    </w:p>
    <w:p w14:paraId="484B4FA9" w14:textId="77777777" w:rsidR="0075791A" w:rsidRDefault="00FB2864">
      <w:pPr>
        <w:spacing w:line="360" w:lineRule="auto"/>
        <w:outlineLvl w:val="3"/>
        <w:rPr>
          <w:rFonts w:ascii="Times New Roman" w:eastAsia="宋体" w:hAnsi="Times New Roman"/>
          <w:b/>
          <w:color w:val="auto"/>
          <w:sz w:val="24"/>
          <w:szCs w:val="24"/>
          <w:lang w:eastAsia="zh-CN"/>
        </w:rPr>
      </w:pPr>
      <w:bookmarkStart w:id="241" w:name="_Toc31801"/>
      <w:r>
        <w:rPr>
          <w:rFonts w:ascii="Times New Roman" w:eastAsia="宋体" w:hAnsi="Times New Roman" w:hint="eastAsia"/>
          <w:b/>
          <w:color w:val="auto"/>
          <w:sz w:val="24"/>
          <w:szCs w:val="24"/>
          <w:lang w:eastAsia="zh-CN"/>
        </w:rPr>
        <w:t>4.1.8.4</w:t>
      </w:r>
      <w:r>
        <w:rPr>
          <w:rFonts w:ascii="Times New Roman" w:eastAsia="宋体" w:hAnsi="Times New Roman"/>
          <w:b/>
          <w:color w:val="auto"/>
          <w:sz w:val="24"/>
          <w:szCs w:val="24"/>
          <w:lang w:eastAsia="zh-CN"/>
        </w:rPr>
        <w:t>悬浮泥沙计算结果分析</w:t>
      </w:r>
      <w:bookmarkEnd w:id="241"/>
    </w:p>
    <w:p w14:paraId="0C3BE123"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lastRenderedPageBreak/>
        <w:t>自悬浮物产生的初始时刻起，源点附近由于沉降、掺混过程所形成的悬浮物混浊云团，在海流作用下扩散迁移形成</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污染区</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。由于持续作业，云团核心浓度</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中心含沙量</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随着时间的推移而不断升高，云团面积不断扩大。在初始阶段，这一过程演变很快</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但经过一定时间后，浓度随时间的变化变缓，至某一时间不再升高，即达到所谓</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平衡态</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。它表征了</w:t>
      </w:r>
      <w:r>
        <w:rPr>
          <w:rFonts w:ascii="Times New Roman" w:eastAsia="宋体" w:hAnsi="Times New Roman" w:cs="Times New Roman" w:hint="eastAsia"/>
          <w:snapToGrid/>
          <w:color w:val="auto"/>
          <w:kern w:val="2"/>
          <w:sz w:val="24"/>
          <w:szCs w:val="24"/>
          <w:lang w:eastAsia="zh-CN"/>
        </w:rPr>
        <w:t>多种</w:t>
      </w:r>
      <w:r>
        <w:rPr>
          <w:rFonts w:ascii="Times New Roman" w:eastAsia="宋体" w:hAnsi="Times New Roman" w:cs="Times New Roman"/>
          <w:snapToGrid/>
          <w:color w:val="auto"/>
          <w:kern w:val="2"/>
          <w:sz w:val="24"/>
          <w:szCs w:val="24"/>
          <w:lang w:eastAsia="zh-CN"/>
        </w:rPr>
        <w:t>因素</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源强、自净能力</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对环境水质的影响程度。潮混合使核心浓度达到平衡态的时间，决定于水域的地形特征和流场的强弱以及流态。通常，水域小</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流场强，达到平衡态的时间就短。</w:t>
      </w:r>
    </w:p>
    <w:p w14:paraId="7038ADEA"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A</w:t>
      </w:r>
      <w:r>
        <w:rPr>
          <w:rFonts w:ascii="Times New Roman" w:eastAsia="宋体" w:hAnsi="Times New Roman" w:cs="Times New Roman"/>
          <w:snapToGrid/>
          <w:color w:val="auto"/>
          <w:kern w:val="2"/>
          <w:sz w:val="24"/>
          <w:szCs w:val="24"/>
          <w:lang w:eastAsia="zh-CN"/>
        </w:rPr>
        <w:t>清淤区域疏浚施工产生的悬浮泥沙扩散范围见图</w:t>
      </w:r>
      <w:r>
        <w:rPr>
          <w:rFonts w:ascii="Times New Roman" w:eastAsia="宋体" w:hAnsi="Times New Roman" w:hint="eastAsia"/>
          <w:bCs/>
          <w:color w:val="auto"/>
          <w:sz w:val="24"/>
          <w:szCs w:val="24"/>
          <w:lang w:eastAsia="zh-CN"/>
        </w:rPr>
        <w:t>4.1.8.4-1</w:t>
      </w:r>
      <w:r>
        <w:rPr>
          <w:rFonts w:ascii="Times New Roman" w:eastAsia="宋体" w:hAnsi="Times New Roman" w:cs="Times New Roman"/>
          <w:snapToGrid/>
          <w:color w:val="auto"/>
          <w:kern w:val="2"/>
          <w:sz w:val="24"/>
          <w:szCs w:val="24"/>
          <w:lang w:eastAsia="zh-CN"/>
        </w:rPr>
        <w:t>，模拟结果表明疏浚工程施工期间产生的悬浮泥沙超一、二类水质标准（</w:t>
      </w:r>
      <w:r>
        <w:rPr>
          <w:rFonts w:ascii="Times New Roman" w:eastAsia="宋体" w:hAnsi="Times New Roman" w:cs="Times New Roman"/>
          <w:snapToGrid/>
          <w:color w:val="auto"/>
          <w:kern w:val="2"/>
          <w:sz w:val="24"/>
          <w:szCs w:val="24"/>
          <w:lang w:eastAsia="zh-CN"/>
        </w:rPr>
        <w:t>&gt;10mg/L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2.57</w:t>
      </w:r>
      <w:r>
        <w:rPr>
          <w:rFonts w:ascii="Times New Roman" w:eastAsia="宋体" w:hAnsi="Times New Roman" w:cs="Times New Roman" w:hint="eastAsia"/>
          <w:snapToGrid/>
          <w:color w:val="auto"/>
          <w:kern w:val="2"/>
          <w:sz w:val="24"/>
          <w:szCs w:val="24"/>
          <w:lang w:eastAsia="zh-CN"/>
        </w:rPr>
        <w:t>0</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，超三类水质标准（</w:t>
      </w:r>
      <w:r>
        <w:rPr>
          <w:rFonts w:ascii="Times New Roman" w:eastAsia="宋体" w:hAnsi="Times New Roman" w:cs="Times New Roman"/>
          <w:snapToGrid/>
          <w:color w:val="auto"/>
          <w:kern w:val="2"/>
          <w:sz w:val="24"/>
          <w:szCs w:val="24"/>
          <w:lang w:eastAsia="zh-CN"/>
        </w:rPr>
        <w:t>&gt;100mg/L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12.73</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，超四类水质标准（</w:t>
      </w:r>
      <w:r>
        <w:rPr>
          <w:rFonts w:ascii="Times New Roman" w:eastAsia="宋体" w:hAnsi="Times New Roman" w:cs="Times New Roman"/>
          <w:snapToGrid/>
          <w:color w:val="auto"/>
          <w:kern w:val="2"/>
          <w:sz w:val="24"/>
          <w:szCs w:val="24"/>
          <w:lang w:eastAsia="zh-CN"/>
        </w:rPr>
        <w:t>&gt;150mg/L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76.90</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w:t>
      </w:r>
    </w:p>
    <w:p w14:paraId="4974DEAC"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设置防污帘后疏浚施工</w:t>
      </w:r>
      <w:r>
        <w:rPr>
          <w:rFonts w:ascii="Times New Roman" w:eastAsia="宋体" w:hAnsi="Times New Roman" w:cs="Times New Roman"/>
          <w:snapToGrid/>
          <w:color w:val="auto"/>
          <w:kern w:val="2"/>
          <w:sz w:val="24"/>
          <w:szCs w:val="24"/>
          <w:lang w:eastAsia="zh-CN"/>
        </w:rPr>
        <w:t>产生的悬浮泥沙扩散范围见图</w:t>
      </w:r>
      <w:r>
        <w:rPr>
          <w:rFonts w:ascii="Times New Roman" w:eastAsia="宋体" w:hAnsi="Times New Roman" w:hint="eastAsia"/>
          <w:bCs/>
          <w:color w:val="auto"/>
          <w:sz w:val="24"/>
          <w:szCs w:val="24"/>
          <w:lang w:eastAsia="zh-CN"/>
        </w:rPr>
        <w:t>4.1.8.4-2</w:t>
      </w:r>
      <w:r>
        <w:rPr>
          <w:rFonts w:ascii="Times New Roman" w:eastAsia="宋体" w:hAnsi="Times New Roman" w:cs="Times New Roman"/>
          <w:snapToGrid/>
          <w:color w:val="auto"/>
          <w:kern w:val="2"/>
          <w:sz w:val="24"/>
          <w:szCs w:val="24"/>
          <w:lang w:eastAsia="zh-CN"/>
        </w:rPr>
        <w:t>，模拟结果表明施工期间产生的悬浮泥沙超一、二类水质标准（</w:t>
      </w:r>
      <w:r>
        <w:rPr>
          <w:rFonts w:ascii="Times New Roman" w:eastAsia="宋体" w:hAnsi="Times New Roman" w:cs="Times New Roman"/>
          <w:snapToGrid/>
          <w:color w:val="auto"/>
          <w:kern w:val="2"/>
          <w:sz w:val="24"/>
          <w:szCs w:val="24"/>
          <w:lang w:eastAsia="zh-CN"/>
        </w:rPr>
        <w:t>&gt;10mg/L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33.67</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，超三类水质标准（</w:t>
      </w:r>
      <w:r>
        <w:rPr>
          <w:rFonts w:ascii="Times New Roman" w:eastAsia="宋体" w:hAnsi="Times New Roman" w:cs="Times New Roman"/>
          <w:snapToGrid/>
          <w:color w:val="auto"/>
          <w:kern w:val="2"/>
          <w:sz w:val="24"/>
          <w:szCs w:val="24"/>
          <w:lang w:eastAsia="zh-CN"/>
        </w:rPr>
        <w:t>&gt;100mg/L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8.04</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超四类水质标准（</w:t>
      </w:r>
      <w:r>
        <w:rPr>
          <w:rFonts w:ascii="Times New Roman" w:eastAsia="宋体" w:hAnsi="Times New Roman" w:cs="Times New Roman"/>
          <w:snapToGrid/>
          <w:color w:val="auto"/>
          <w:kern w:val="2"/>
          <w:sz w:val="24"/>
          <w:szCs w:val="24"/>
          <w:lang w:eastAsia="zh-CN"/>
        </w:rPr>
        <w:t>&gt;150mg/L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43.87</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w:t>
      </w:r>
    </w:p>
    <w:p w14:paraId="238F3F48" w14:textId="77777777" w:rsidR="0075791A" w:rsidRDefault="00FB2864">
      <w:pPr>
        <w:jc w:val="center"/>
        <w:rPr>
          <w:color w:val="auto"/>
          <w:lang w:eastAsia="zh-CN"/>
        </w:rPr>
      </w:pPr>
      <w:r>
        <w:rPr>
          <w:noProof/>
          <w:color w:val="auto"/>
          <w:lang w:eastAsia="zh-CN"/>
        </w:rPr>
        <w:drawing>
          <wp:inline distT="0" distB="0" distL="114300" distR="114300" wp14:anchorId="54B8A5AA" wp14:editId="4AB83DA1">
            <wp:extent cx="4102735" cy="3341370"/>
            <wp:effectExtent l="0" t="0" r="12065" b="11430"/>
            <wp:docPr id="190" name="图片 190" descr="作图PPT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作图PPT_21"/>
                    <pic:cNvPicPr>
                      <a:picLocks noChangeAspect="1"/>
                    </pic:cNvPicPr>
                  </pic:nvPicPr>
                  <pic:blipFill>
                    <a:blip r:embed="rId248"/>
                    <a:stretch>
                      <a:fillRect/>
                    </a:stretch>
                  </pic:blipFill>
                  <pic:spPr>
                    <a:xfrm>
                      <a:off x="0" y="0"/>
                      <a:ext cx="4102735" cy="3341370"/>
                    </a:xfrm>
                    <a:prstGeom prst="rect">
                      <a:avLst/>
                    </a:prstGeom>
                  </pic:spPr>
                </pic:pic>
              </a:graphicData>
            </a:graphic>
          </wp:inline>
        </w:drawing>
      </w:r>
    </w:p>
    <w:p w14:paraId="497B7BFB" w14:textId="77777777" w:rsidR="0075791A" w:rsidRDefault="00FB2864">
      <w:pPr>
        <w:spacing w:line="360" w:lineRule="auto"/>
        <w:jc w:val="center"/>
        <w:rPr>
          <w:rFonts w:ascii="Times New Roman" w:eastAsia="宋体" w:hAnsi="Times New Roman" w:cs="Times New Roman"/>
          <w:color w:val="auto"/>
          <w:sz w:val="24"/>
          <w:szCs w:val="24"/>
          <w:lang w:eastAsia="zh-CN"/>
        </w:rPr>
      </w:pPr>
      <w:r>
        <w:rPr>
          <w:rFonts w:ascii="Times New Roman" w:eastAsia="宋体" w:hAnsi="Times New Roman" w:cs="Times New Roman"/>
          <w:color w:val="auto"/>
          <w:sz w:val="24"/>
          <w:szCs w:val="24"/>
          <w:lang w:eastAsia="zh-CN"/>
        </w:rPr>
        <w:t>图</w:t>
      </w:r>
      <w:r>
        <w:rPr>
          <w:rFonts w:ascii="Times New Roman" w:eastAsia="宋体" w:hAnsi="Times New Roman" w:cs="Times New Roman" w:hint="eastAsia"/>
          <w:color w:val="auto"/>
          <w:sz w:val="24"/>
          <w:szCs w:val="24"/>
          <w:lang w:eastAsia="zh-CN"/>
        </w:rPr>
        <w:t xml:space="preserve">4.1.8.4-1 </w:t>
      </w:r>
      <w:r>
        <w:rPr>
          <w:rFonts w:ascii="Times New Roman" w:eastAsia="宋体" w:hAnsi="Times New Roman" w:cs="Times New Roman"/>
          <w:color w:val="auto"/>
          <w:sz w:val="24"/>
          <w:szCs w:val="24"/>
          <w:lang w:eastAsia="zh-CN"/>
        </w:rPr>
        <w:t>清淤区域</w:t>
      </w:r>
      <w:r>
        <w:rPr>
          <w:rFonts w:ascii="Times New Roman" w:eastAsia="宋体" w:hAnsi="Times New Roman" w:cs="Times New Roman"/>
          <w:color w:val="auto"/>
          <w:sz w:val="24"/>
          <w:szCs w:val="24"/>
          <w:lang w:eastAsia="zh-CN"/>
        </w:rPr>
        <w:t>A</w:t>
      </w:r>
      <w:r>
        <w:rPr>
          <w:rFonts w:ascii="Times New Roman" w:eastAsia="宋体" w:hAnsi="Times New Roman" w:cs="Times New Roman"/>
          <w:color w:val="auto"/>
          <w:sz w:val="24"/>
          <w:szCs w:val="24"/>
          <w:lang w:eastAsia="zh-CN"/>
        </w:rPr>
        <w:t>施工产生悬浮泥沙扩散最大包络线图（工况</w:t>
      </w:r>
      <w:r>
        <w:rPr>
          <w:rFonts w:ascii="Times New Roman" w:eastAsia="宋体" w:hAnsi="Times New Roman" w:cs="Times New Roman" w:hint="eastAsia"/>
          <w:color w:val="auto"/>
          <w:sz w:val="24"/>
          <w:szCs w:val="24"/>
          <w:lang w:eastAsia="zh-CN"/>
        </w:rPr>
        <w:t>1</w:t>
      </w:r>
      <w:r>
        <w:rPr>
          <w:rFonts w:ascii="Times New Roman" w:eastAsia="宋体" w:hAnsi="Times New Roman" w:cs="Times New Roman"/>
          <w:color w:val="auto"/>
          <w:sz w:val="24"/>
          <w:szCs w:val="24"/>
          <w:lang w:eastAsia="zh-CN"/>
        </w:rPr>
        <w:t>）</w:t>
      </w:r>
    </w:p>
    <w:p w14:paraId="21502952" w14:textId="77777777" w:rsidR="0075791A" w:rsidRDefault="00FB2864">
      <w:pPr>
        <w:spacing w:line="360" w:lineRule="auto"/>
        <w:jc w:val="center"/>
        <w:rPr>
          <w:rFonts w:ascii="Times New Roman" w:eastAsia="宋体" w:hAnsi="Times New Roman" w:cs="Times New Roman"/>
          <w:color w:val="auto"/>
          <w:sz w:val="24"/>
          <w:szCs w:val="24"/>
          <w:lang w:eastAsia="zh-CN"/>
        </w:rPr>
      </w:pPr>
      <w:r>
        <w:rPr>
          <w:b/>
          <w:bCs/>
          <w:noProof/>
          <w:color w:val="auto"/>
          <w:lang w:eastAsia="zh-CN"/>
        </w:rPr>
        <w:lastRenderedPageBreak/>
        <w:drawing>
          <wp:inline distT="0" distB="0" distL="114300" distR="114300" wp14:anchorId="19211F49" wp14:editId="26B9E62C">
            <wp:extent cx="4002405" cy="3208655"/>
            <wp:effectExtent l="0" t="0" r="5715" b="6985"/>
            <wp:docPr id="195" name="图片 195" descr="作图PPT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作图PPT_22"/>
                    <pic:cNvPicPr>
                      <a:picLocks noChangeAspect="1"/>
                    </pic:cNvPicPr>
                  </pic:nvPicPr>
                  <pic:blipFill>
                    <a:blip r:embed="rId249"/>
                    <a:stretch>
                      <a:fillRect/>
                    </a:stretch>
                  </pic:blipFill>
                  <pic:spPr>
                    <a:xfrm>
                      <a:off x="0" y="0"/>
                      <a:ext cx="4002405" cy="3208655"/>
                    </a:xfrm>
                    <a:prstGeom prst="rect">
                      <a:avLst/>
                    </a:prstGeom>
                  </pic:spPr>
                </pic:pic>
              </a:graphicData>
            </a:graphic>
          </wp:inline>
        </w:drawing>
      </w:r>
    </w:p>
    <w:p w14:paraId="1B4E002A" w14:textId="77777777" w:rsidR="0075791A" w:rsidRDefault="00FB2864">
      <w:pPr>
        <w:spacing w:line="360" w:lineRule="auto"/>
        <w:jc w:val="center"/>
        <w:rPr>
          <w:rFonts w:ascii="Times New Roman" w:eastAsia="宋体" w:hAnsi="Times New Roman" w:cs="Times New Roman"/>
          <w:color w:val="auto"/>
          <w:sz w:val="24"/>
          <w:szCs w:val="24"/>
          <w:lang w:eastAsia="zh-CN"/>
        </w:rPr>
      </w:pPr>
      <w:r>
        <w:rPr>
          <w:rFonts w:ascii="Times New Roman" w:eastAsia="宋体" w:hAnsi="Times New Roman" w:cs="Times New Roman"/>
          <w:color w:val="auto"/>
          <w:sz w:val="24"/>
          <w:szCs w:val="24"/>
          <w:lang w:eastAsia="zh-CN"/>
        </w:rPr>
        <w:t>图</w:t>
      </w:r>
      <w:r>
        <w:rPr>
          <w:rFonts w:ascii="Times New Roman" w:eastAsia="宋体" w:hAnsi="Times New Roman" w:cs="Times New Roman" w:hint="eastAsia"/>
          <w:color w:val="auto"/>
          <w:sz w:val="24"/>
          <w:szCs w:val="24"/>
          <w:lang w:eastAsia="zh-CN"/>
        </w:rPr>
        <w:t xml:space="preserve">4.1.8.4-2 </w:t>
      </w:r>
      <w:r>
        <w:rPr>
          <w:rFonts w:ascii="Times New Roman" w:eastAsia="宋体" w:hAnsi="Times New Roman" w:cs="Times New Roman"/>
          <w:color w:val="auto"/>
          <w:sz w:val="24"/>
          <w:szCs w:val="24"/>
          <w:lang w:eastAsia="zh-CN"/>
        </w:rPr>
        <w:t>设置防污帘施工产生悬浮泥沙扩散最大包络线图（工况</w:t>
      </w:r>
      <w:r>
        <w:rPr>
          <w:rFonts w:ascii="Times New Roman" w:eastAsia="宋体" w:hAnsi="Times New Roman" w:cs="Times New Roman" w:hint="eastAsia"/>
          <w:color w:val="auto"/>
          <w:sz w:val="24"/>
          <w:szCs w:val="24"/>
          <w:lang w:eastAsia="zh-CN"/>
        </w:rPr>
        <w:t>2</w:t>
      </w:r>
      <w:r>
        <w:rPr>
          <w:rFonts w:ascii="Times New Roman" w:eastAsia="宋体" w:hAnsi="Times New Roman" w:cs="Times New Roman"/>
          <w:color w:val="auto"/>
          <w:sz w:val="24"/>
          <w:szCs w:val="24"/>
          <w:lang w:eastAsia="zh-CN"/>
        </w:rPr>
        <w:t>）</w:t>
      </w:r>
    </w:p>
    <w:p w14:paraId="1A6908C7" w14:textId="77777777" w:rsidR="0075791A" w:rsidRDefault="0075791A">
      <w:pPr>
        <w:spacing w:line="360" w:lineRule="auto"/>
        <w:jc w:val="center"/>
        <w:rPr>
          <w:rFonts w:ascii="Times New Roman" w:eastAsia="宋体" w:hAnsi="Times New Roman" w:cs="Times New Roman"/>
          <w:color w:val="auto"/>
          <w:sz w:val="24"/>
          <w:szCs w:val="24"/>
          <w:lang w:eastAsia="zh-CN"/>
        </w:rPr>
      </w:pPr>
    </w:p>
    <w:p w14:paraId="4A8272A4" w14:textId="77777777" w:rsidR="0075791A" w:rsidRDefault="00FB2864">
      <w:pPr>
        <w:jc w:val="center"/>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t>表</w:t>
      </w:r>
      <w:r>
        <w:rPr>
          <w:rFonts w:ascii="Times New Roman" w:eastAsia="宋体" w:hAnsi="Times New Roman" w:hint="eastAsia"/>
          <w:bCs/>
          <w:color w:val="auto"/>
          <w:sz w:val="24"/>
          <w:szCs w:val="24"/>
          <w:lang w:eastAsia="zh-CN"/>
        </w:rPr>
        <w:t>4.1.8.4-</w:t>
      </w:r>
      <w:r>
        <w:rPr>
          <w:rFonts w:ascii="Times New Roman" w:eastAsia="宋体" w:hAnsi="Times New Roman" w:cs="Times New Roman" w:hint="eastAsia"/>
          <w:color w:val="auto"/>
          <w:sz w:val="24"/>
          <w:szCs w:val="24"/>
          <w:lang w:eastAsia="zh-CN"/>
        </w:rPr>
        <w:t xml:space="preserve">1 </w:t>
      </w:r>
      <w:r>
        <w:rPr>
          <w:rFonts w:ascii="Times New Roman" w:eastAsia="宋体" w:hAnsi="Times New Roman" w:cs="Times New Roman" w:hint="eastAsia"/>
          <w:color w:val="auto"/>
          <w:sz w:val="24"/>
          <w:szCs w:val="24"/>
          <w:lang w:eastAsia="zh-CN"/>
        </w:rPr>
        <w:t>清淤施工产生的悬浮泥沙扩散面积一览表（公顷）</w:t>
      </w:r>
    </w:p>
    <w:tbl>
      <w:tblPr>
        <w:tblW w:w="88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8"/>
        <w:gridCol w:w="1704"/>
        <w:gridCol w:w="1026"/>
        <w:gridCol w:w="1035"/>
        <w:gridCol w:w="1404"/>
        <w:gridCol w:w="1411"/>
      </w:tblGrid>
      <w:tr w:rsidR="0075791A" w14:paraId="34FDE192" w14:textId="77777777">
        <w:trPr>
          <w:trHeight w:val="733"/>
          <w:jc w:val="center"/>
        </w:trPr>
        <w:tc>
          <w:tcPr>
            <w:tcW w:w="2258" w:type="dxa"/>
            <w:shd w:val="clear" w:color="auto" w:fill="auto"/>
            <w:vAlign w:val="center"/>
          </w:tcPr>
          <w:p w14:paraId="0974C7D6" w14:textId="77777777" w:rsidR="0075791A" w:rsidRDefault="00FB2864">
            <w:pPr>
              <w:pStyle w:val="af1"/>
              <w:rPr>
                <w:rFonts w:eastAsiaTheme="minorEastAsia"/>
                <w:b/>
                <w:bCs/>
                <w:sz w:val="24"/>
                <w:szCs w:val="24"/>
              </w:rPr>
            </w:pPr>
            <w:r>
              <w:rPr>
                <w:rFonts w:eastAsiaTheme="minorEastAsia"/>
                <w:b/>
                <w:bCs/>
                <w:sz w:val="24"/>
                <w:szCs w:val="24"/>
              </w:rPr>
              <w:t>悬浮泥沙浓度</w:t>
            </w:r>
          </w:p>
        </w:tc>
        <w:tc>
          <w:tcPr>
            <w:tcW w:w="1704" w:type="dxa"/>
            <w:shd w:val="clear" w:color="auto" w:fill="auto"/>
            <w:vAlign w:val="center"/>
          </w:tcPr>
          <w:p w14:paraId="60231071" w14:textId="77777777" w:rsidR="0075791A" w:rsidRDefault="00FB2864">
            <w:pPr>
              <w:pStyle w:val="af1"/>
              <w:rPr>
                <w:rFonts w:eastAsiaTheme="minorEastAsia"/>
                <w:b/>
                <w:bCs/>
                <w:sz w:val="24"/>
                <w:szCs w:val="24"/>
              </w:rPr>
            </w:pPr>
            <w:r>
              <w:rPr>
                <w:rFonts w:eastAsiaTheme="minorEastAsia"/>
                <w:b/>
                <w:bCs/>
                <w:sz w:val="24"/>
                <w:szCs w:val="24"/>
              </w:rPr>
              <w:t>&gt;10 mg/L</w:t>
            </w:r>
            <w:r>
              <w:rPr>
                <w:rFonts w:eastAsiaTheme="minorEastAsia"/>
                <w:b/>
                <w:bCs/>
                <w:sz w:val="24"/>
                <w:szCs w:val="24"/>
              </w:rPr>
              <w:t>（超</w:t>
            </w:r>
            <w:r>
              <w:rPr>
                <w:rFonts w:eastAsiaTheme="minorEastAsia"/>
                <w:b/>
                <w:bCs/>
                <w:sz w:val="24"/>
                <w:szCs w:val="24"/>
              </w:rPr>
              <w:t>Ⅰ</w:t>
            </w:r>
            <w:r>
              <w:rPr>
                <w:rFonts w:eastAsiaTheme="minorEastAsia"/>
                <w:b/>
                <w:bCs/>
                <w:sz w:val="24"/>
                <w:szCs w:val="24"/>
              </w:rPr>
              <w:t>、</w:t>
            </w:r>
            <w:r>
              <w:rPr>
                <w:rFonts w:eastAsiaTheme="minorEastAsia"/>
                <w:b/>
                <w:bCs/>
                <w:sz w:val="24"/>
                <w:szCs w:val="24"/>
              </w:rPr>
              <w:t>Ⅱ</w:t>
            </w:r>
            <w:r>
              <w:rPr>
                <w:rFonts w:eastAsiaTheme="minorEastAsia"/>
                <w:b/>
                <w:bCs/>
                <w:sz w:val="24"/>
                <w:szCs w:val="24"/>
              </w:rPr>
              <w:t>类海水水质</w:t>
            </w:r>
          </w:p>
        </w:tc>
        <w:tc>
          <w:tcPr>
            <w:tcW w:w="1026" w:type="dxa"/>
            <w:vAlign w:val="center"/>
          </w:tcPr>
          <w:p w14:paraId="3C3AA5A1" w14:textId="77777777" w:rsidR="0075791A" w:rsidRDefault="00FB2864">
            <w:pPr>
              <w:pStyle w:val="af1"/>
              <w:rPr>
                <w:rFonts w:eastAsiaTheme="minorEastAsia"/>
                <w:b/>
                <w:bCs/>
                <w:sz w:val="24"/>
                <w:szCs w:val="24"/>
              </w:rPr>
            </w:pPr>
            <w:r>
              <w:rPr>
                <w:rFonts w:eastAsiaTheme="minorEastAsia"/>
                <w:b/>
                <w:bCs/>
                <w:sz w:val="24"/>
                <w:szCs w:val="24"/>
              </w:rPr>
              <w:t>&gt;20 mg/L</w:t>
            </w:r>
          </w:p>
        </w:tc>
        <w:tc>
          <w:tcPr>
            <w:tcW w:w="1035" w:type="dxa"/>
            <w:vAlign w:val="center"/>
          </w:tcPr>
          <w:p w14:paraId="30F0DE84" w14:textId="77777777" w:rsidR="0075791A" w:rsidRDefault="00FB2864">
            <w:pPr>
              <w:pStyle w:val="af1"/>
              <w:rPr>
                <w:rFonts w:eastAsiaTheme="minorEastAsia"/>
                <w:b/>
                <w:bCs/>
                <w:sz w:val="24"/>
                <w:szCs w:val="24"/>
              </w:rPr>
            </w:pPr>
            <w:r>
              <w:rPr>
                <w:rFonts w:eastAsiaTheme="minorEastAsia"/>
                <w:b/>
                <w:bCs/>
                <w:sz w:val="24"/>
                <w:szCs w:val="24"/>
              </w:rPr>
              <w:t>&gt;50 mg/L</w:t>
            </w:r>
          </w:p>
        </w:tc>
        <w:tc>
          <w:tcPr>
            <w:tcW w:w="1404" w:type="dxa"/>
            <w:vAlign w:val="center"/>
          </w:tcPr>
          <w:p w14:paraId="23953D4E" w14:textId="77777777" w:rsidR="0075791A" w:rsidRDefault="00FB2864">
            <w:pPr>
              <w:pStyle w:val="af1"/>
              <w:rPr>
                <w:rFonts w:eastAsiaTheme="minorEastAsia"/>
                <w:b/>
                <w:bCs/>
                <w:sz w:val="24"/>
                <w:szCs w:val="24"/>
              </w:rPr>
            </w:pPr>
            <w:r>
              <w:rPr>
                <w:rFonts w:eastAsiaTheme="minorEastAsia"/>
                <w:b/>
                <w:bCs/>
                <w:sz w:val="24"/>
                <w:szCs w:val="24"/>
              </w:rPr>
              <w:t>&gt;100</w:t>
            </w:r>
            <w:r>
              <w:rPr>
                <w:rFonts w:eastAsiaTheme="minorEastAsia" w:hint="eastAsia"/>
                <w:b/>
                <w:bCs/>
                <w:sz w:val="24"/>
                <w:szCs w:val="24"/>
              </w:rPr>
              <w:t xml:space="preserve"> </w:t>
            </w:r>
            <w:r>
              <w:rPr>
                <w:rFonts w:eastAsiaTheme="minorEastAsia"/>
                <w:b/>
                <w:bCs/>
                <w:sz w:val="24"/>
                <w:szCs w:val="24"/>
              </w:rPr>
              <w:t>mg/L</w:t>
            </w:r>
            <w:r>
              <w:rPr>
                <w:rFonts w:eastAsiaTheme="minorEastAsia"/>
                <w:b/>
                <w:bCs/>
                <w:sz w:val="24"/>
                <w:szCs w:val="24"/>
              </w:rPr>
              <w:t>（超</w:t>
            </w:r>
            <w:r>
              <w:rPr>
                <w:rFonts w:eastAsiaTheme="minorEastAsia"/>
                <w:b/>
                <w:bCs/>
                <w:sz w:val="24"/>
                <w:szCs w:val="24"/>
              </w:rPr>
              <w:t>Ⅲ</w:t>
            </w:r>
            <w:r>
              <w:rPr>
                <w:rFonts w:eastAsiaTheme="minorEastAsia"/>
                <w:b/>
                <w:bCs/>
                <w:sz w:val="24"/>
                <w:szCs w:val="24"/>
              </w:rPr>
              <w:t>类海水水质</w:t>
            </w:r>
          </w:p>
        </w:tc>
        <w:tc>
          <w:tcPr>
            <w:tcW w:w="1411" w:type="dxa"/>
            <w:vAlign w:val="center"/>
          </w:tcPr>
          <w:p w14:paraId="2F5D9A86" w14:textId="77777777" w:rsidR="0075791A" w:rsidRDefault="00FB2864">
            <w:pPr>
              <w:pStyle w:val="af1"/>
              <w:rPr>
                <w:rFonts w:eastAsiaTheme="minorEastAsia"/>
                <w:b/>
                <w:bCs/>
                <w:sz w:val="24"/>
                <w:szCs w:val="24"/>
              </w:rPr>
            </w:pPr>
            <w:r>
              <w:rPr>
                <w:rFonts w:eastAsiaTheme="minorEastAsia"/>
                <w:b/>
                <w:bCs/>
                <w:sz w:val="24"/>
                <w:szCs w:val="24"/>
              </w:rPr>
              <w:t>&gt;150</w:t>
            </w:r>
            <w:r>
              <w:rPr>
                <w:rFonts w:eastAsiaTheme="minorEastAsia" w:hint="eastAsia"/>
                <w:b/>
                <w:bCs/>
                <w:sz w:val="24"/>
                <w:szCs w:val="24"/>
              </w:rPr>
              <w:t xml:space="preserve"> </w:t>
            </w:r>
            <w:r>
              <w:rPr>
                <w:rFonts w:eastAsiaTheme="minorEastAsia"/>
                <w:b/>
                <w:bCs/>
                <w:sz w:val="24"/>
                <w:szCs w:val="24"/>
              </w:rPr>
              <w:t>mg/L</w:t>
            </w:r>
            <w:r>
              <w:rPr>
                <w:rFonts w:eastAsiaTheme="minorEastAsia"/>
                <w:b/>
                <w:bCs/>
                <w:sz w:val="24"/>
                <w:szCs w:val="24"/>
              </w:rPr>
              <w:t>（超</w:t>
            </w:r>
            <w:r>
              <w:rPr>
                <w:rFonts w:eastAsiaTheme="minorEastAsia"/>
                <w:b/>
                <w:bCs/>
                <w:sz w:val="24"/>
                <w:szCs w:val="24"/>
              </w:rPr>
              <w:t>Ⅳ</w:t>
            </w:r>
            <w:r>
              <w:rPr>
                <w:rFonts w:eastAsiaTheme="minorEastAsia"/>
                <w:b/>
                <w:bCs/>
                <w:sz w:val="24"/>
                <w:szCs w:val="24"/>
              </w:rPr>
              <w:t>类海水水质</w:t>
            </w:r>
          </w:p>
        </w:tc>
      </w:tr>
      <w:tr w:rsidR="0075791A" w14:paraId="3568183E" w14:textId="77777777">
        <w:trPr>
          <w:trHeight w:val="505"/>
          <w:jc w:val="center"/>
        </w:trPr>
        <w:tc>
          <w:tcPr>
            <w:tcW w:w="2258" w:type="dxa"/>
            <w:vAlign w:val="center"/>
          </w:tcPr>
          <w:p w14:paraId="0AC35E2E" w14:textId="77777777" w:rsidR="0075791A" w:rsidRDefault="00FB2864">
            <w:pPr>
              <w:pStyle w:val="af1"/>
              <w:rPr>
                <w:sz w:val="24"/>
                <w:szCs w:val="24"/>
              </w:rPr>
            </w:pPr>
            <w:r>
              <w:rPr>
                <w:rFonts w:hint="eastAsia"/>
              </w:rPr>
              <w:t>清淤区域</w:t>
            </w:r>
            <w:r>
              <w:rPr>
                <w:rFonts w:hint="eastAsia"/>
              </w:rPr>
              <w:t>A</w:t>
            </w:r>
          </w:p>
        </w:tc>
        <w:tc>
          <w:tcPr>
            <w:tcW w:w="1704" w:type="dxa"/>
            <w:shd w:val="clear" w:color="auto" w:fill="auto"/>
            <w:vAlign w:val="center"/>
          </w:tcPr>
          <w:p w14:paraId="0400D0C6" w14:textId="77777777" w:rsidR="0075791A" w:rsidRDefault="00FB2864">
            <w:pPr>
              <w:pStyle w:val="af1"/>
              <w:spacing w:line="276" w:lineRule="auto"/>
              <w:rPr>
                <w:sz w:val="24"/>
                <w:szCs w:val="24"/>
              </w:rPr>
            </w:pPr>
            <w:r>
              <w:rPr>
                <w:rFonts w:eastAsiaTheme="minorEastAsia" w:hint="eastAsia"/>
              </w:rPr>
              <w:t>2.57</w:t>
            </w:r>
          </w:p>
        </w:tc>
        <w:tc>
          <w:tcPr>
            <w:tcW w:w="1026" w:type="dxa"/>
            <w:shd w:val="clear" w:color="auto" w:fill="auto"/>
            <w:vAlign w:val="center"/>
          </w:tcPr>
          <w:p w14:paraId="2E55E90A" w14:textId="77777777" w:rsidR="0075791A" w:rsidRDefault="00FB2864">
            <w:pPr>
              <w:pStyle w:val="af1"/>
              <w:spacing w:line="276" w:lineRule="auto"/>
              <w:rPr>
                <w:rFonts w:eastAsiaTheme="minorEastAsia"/>
                <w:sz w:val="24"/>
                <w:szCs w:val="24"/>
              </w:rPr>
            </w:pPr>
            <w:r>
              <w:rPr>
                <w:rFonts w:eastAsiaTheme="minorEastAsia" w:hint="eastAsia"/>
              </w:rPr>
              <w:t>30.24</w:t>
            </w:r>
          </w:p>
        </w:tc>
        <w:tc>
          <w:tcPr>
            <w:tcW w:w="1035" w:type="dxa"/>
            <w:shd w:val="clear" w:color="auto" w:fill="auto"/>
            <w:vAlign w:val="center"/>
          </w:tcPr>
          <w:p w14:paraId="30D9E572" w14:textId="77777777" w:rsidR="0075791A" w:rsidRDefault="00FB2864">
            <w:pPr>
              <w:pStyle w:val="af1"/>
              <w:spacing w:line="276" w:lineRule="auto"/>
              <w:rPr>
                <w:rFonts w:eastAsiaTheme="minorEastAsia"/>
                <w:sz w:val="24"/>
                <w:szCs w:val="24"/>
              </w:rPr>
            </w:pPr>
            <w:r>
              <w:rPr>
                <w:rFonts w:eastAsiaTheme="minorEastAsia" w:hint="eastAsia"/>
              </w:rPr>
              <w:t>3.52</w:t>
            </w:r>
          </w:p>
        </w:tc>
        <w:tc>
          <w:tcPr>
            <w:tcW w:w="1404" w:type="dxa"/>
            <w:shd w:val="clear" w:color="auto" w:fill="auto"/>
            <w:vAlign w:val="center"/>
          </w:tcPr>
          <w:p w14:paraId="324424D3" w14:textId="77777777" w:rsidR="0075791A" w:rsidRDefault="00FB2864">
            <w:pPr>
              <w:pStyle w:val="af1"/>
              <w:spacing w:line="276" w:lineRule="auto"/>
              <w:rPr>
                <w:rFonts w:eastAsiaTheme="minorEastAsia"/>
                <w:sz w:val="24"/>
                <w:szCs w:val="24"/>
              </w:rPr>
            </w:pPr>
            <w:r>
              <w:rPr>
                <w:rFonts w:eastAsiaTheme="minorEastAsia" w:hint="eastAsia"/>
              </w:rPr>
              <w:t>12.73</w:t>
            </w:r>
          </w:p>
        </w:tc>
        <w:tc>
          <w:tcPr>
            <w:tcW w:w="1411" w:type="dxa"/>
            <w:shd w:val="clear" w:color="auto" w:fill="auto"/>
            <w:vAlign w:val="center"/>
          </w:tcPr>
          <w:p w14:paraId="7B458765" w14:textId="77777777" w:rsidR="0075791A" w:rsidRDefault="00FB2864">
            <w:pPr>
              <w:pStyle w:val="af1"/>
              <w:spacing w:line="276" w:lineRule="auto"/>
              <w:rPr>
                <w:rFonts w:eastAsiaTheme="minorEastAsia"/>
                <w:sz w:val="24"/>
                <w:szCs w:val="24"/>
              </w:rPr>
            </w:pPr>
            <w:r>
              <w:rPr>
                <w:rFonts w:eastAsiaTheme="minorEastAsia" w:hint="eastAsia"/>
              </w:rPr>
              <w:t>76.90</w:t>
            </w:r>
          </w:p>
        </w:tc>
      </w:tr>
      <w:tr w:rsidR="0075791A" w14:paraId="246B683F" w14:textId="77777777">
        <w:trPr>
          <w:trHeight w:val="505"/>
          <w:jc w:val="center"/>
        </w:trPr>
        <w:tc>
          <w:tcPr>
            <w:tcW w:w="2258" w:type="dxa"/>
            <w:vAlign w:val="center"/>
          </w:tcPr>
          <w:p w14:paraId="7576C163" w14:textId="77777777" w:rsidR="0075791A" w:rsidRDefault="00FB2864">
            <w:pPr>
              <w:pStyle w:val="af1"/>
              <w:rPr>
                <w:sz w:val="24"/>
                <w:szCs w:val="24"/>
              </w:rPr>
            </w:pPr>
            <w:r>
              <w:t>设置防污帘</w:t>
            </w:r>
          </w:p>
        </w:tc>
        <w:tc>
          <w:tcPr>
            <w:tcW w:w="1704" w:type="dxa"/>
            <w:shd w:val="clear" w:color="auto" w:fill="auto"/>
            <w:vAlign w:val="center"/>
          </w:tcPr>
          <w:p w14:paraId="67E5DC03" w14:textId="77777777" w:rsidR="0075791A" w:rsidRDefault="00FB2864">
            <w:pPr>
              <w:pStyle w:val="af1"/>
              <w:spacing w:line="276" w:lineRule="auto"/>
              <w:rPr>
                <w:sz w:val="24"/>
                <w:szCs w:val="24"/>
              </w:rPr>
            </w:pPr>
            <w:r>
              <w:rPr>
                <w:rFonts w:hint="eastAsia"/>
              </w:rPr>
              <w:t>33.67</w:t>
            </w:r>
          </w:p>
        </w:tc>
        <w:tc>
          <w:tcPr>
            <w:tcW w:w="1026" w:type="dxa"/>
            <w:shd w:val="clear" w:color="auto" w:fill="auto"/>
            <w:vAlign w:val="center"/>
          </w:tcPr>
          <w:p w14:paraId="78365267" w14:textId="77777777" w:rsidR="0075791A" w:rsidRDefault="00FB2864">
            <w:pPr>
              <w:pStyle w:val="af1"/>
              <w:spacing w:line="276" w:lineRule="auto"/>
              <w:rPr>
                <w:rFonts w:eastAsiaTheme="minorEastAsia"/>
                <w:sz w:val="24"/>
                <w:szCs w:val="24"/>
              </w:rPr>
            </w:pPr>
            <w:r>
              <w:rPr>
                <w:rFonts w:hint="eastAsia"/>
              </w:rPr>
              <w:t>15.30</w:t>
            </w:r>
          </w:p>
        </w:tc>
        <w:tc>
          <w:tcPr>
            <w:tcW w:w="1035" w:type="dxa"/>
            <w:shd w:val="clear" w:color="auto" w:fill="auto"/>
            <w:vAlign w:val="center"/>
          </w:tcPr>
          <w:p w14:paraId="57042829" w14:textId="77777777" w:rsidR="0075791A" w:rsidRDefault="00FB2864">
            <w:pPr>
              <w:pStyle w:val="af1"/>
              <w:spacing w:line="276" w:lineRule="auto"/>
              <w:rPr>
                <w:rFonts w:eastAsiaTheme="minorEastAsia"/>
                <w:sz w:val="24"/>
                <w:szCs w:val="24"/>
              </w:rPr>
            </w:pPr>
            <w:r>
              <w:rPr>
                <w:rFonts w:eastAsiaTheme="minorEastAsia" w:hint="eastAsia"/>
              </w:rPr>
              <w:t>6.10</w:t>
            </w:r>
          </w:p>
        </w:tc>
        <w:tc>
          <w:tcPr>
            <w:tcW w:w="1404" w:type="dxa"/>
            <w:shd w:val="clear" w:color="auto" w:fill="auto"/>
            <w:vAlign w:val="center"/>
          </w:tcPr>
          <w:p w14:paraId="558598B7" w14:textId="77777777" w:rsidR="0075791A" w:rsidRDefault="00FB2864">
            <w:pPr>
              <w:pStyle w:val="af1"/>
              <w:spacing w:line="276" w:lineRule="auto"/>
              <w:rPr>
                <w:rFonts w:eastAsiaTheme="minorEastAsia"/>
                <w:sz w:val="24"/>
                <w:szCs w:val="24"/>
              </w:rPr>
            </w:pPr>
            <w:r>
              <w:rPr>
                <w:rFonts w:eastAsiaTheme="minorEastAsia" w:hint="eastAsia"/>
              </w:rPr>
              <w:t>8.04</w:t>
            </w:r>
          </w:p>
        </w:tc>
        <w:tc>
          <w:tcPr>
            <w:tcW w:w="1411" w:type="dxa"/>
            <w:shd w:val="clear" w:color="auto" w:fill="auto"/>
            <w:vAlign w:val="center"/>
          </w:tcPr>
          <w:p w14:paraId="01408CEF" w14:textId="77777777" w:rsidR="0075791A" w:rsidRDefault="00FB2864">
            <w:pPr>
              <w:pStyle w:val="af1"/>
              <w:spacing w:line="276" w:lineRule="auto"/>
              <w:rPr>
                <w:rFonts w:eastAsiaTheme="minorEastAsia"/>
                <w:sz w:val="24"/>
                <w:szCs w:val="24"/>
              </w:rPr>
            </w:pPr>
            <w:r>
              <w:rPr>
                <w:rFonts w:eastAsiaTheme="minorEastAsia" w:hint="eastAsia"/>
              </w:rPr>
              <w:t>43.87</w:t>
            </w:r>
          </w:p>
        </w:tc>
      </w:tr>
    </w:tbl>
    <w:p w14:paraId="478AEDF0"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由</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snapToGrid/>
          <w:color w:val="auto"/>
          <w:kern w:val="2"/>
          <w:sz w:val="24"/>
          <w:szCs w:val="24"/>
          <w:lang w:eastAsia="zh-CN"/>
        </w:rPr>
        <w:t>种工况的扩散面积可知，本项目</w:t>
      </w:r>
      <w:r>
        <w:rPr>
          <w:rFonts w:ascii="Times New Roman" w:eastAsia="宋体" w:hAnsi="Times New Roman" w:cs="Times New Roman" w:hint="eastAsia"/>
          <w:snapToGrid/>
          <w:color w:val="auto"/>
          <w:kern w:val="2"/>
          <w:sz w:val="24"/>
          <w:szCs w:val="24"/>
          <w:lang w:eastAsia="zh-CN"/>
        </w:rPr>
        <w:t>铁炉港中部</w:t>
      </w:r>
      <w:r>
        <w:rPr>
          <w:rFonts w:ascii="Times New Roman" w:eastAsia="宋体" w:hAnsi="Times New Roman" w:cs="Times New Roman"/>
          <w:snapToGrid/>
          <w:color w:val="auto"/>
          <w:kern w:val="2"/>
          <w:sz w:val="24"/>
          <w:szCs w:val="24"/>
          <w:lang w:eastAsia="zh-CN"/>
        </w:rPr>
        <w:t>施工过程中产生的悬浮物扩散范围只局限在项目周边范围内，</w:t>
      </w:r>
      <w:r>
        <w:rPr>
          <w:rFonts w:ascii="Times New Roman" w:eastAsia="宋体" w:hAnsi="Times New Roman" w:cs="Times New Roman" w:hint="eastAsia"/>
          <w:snapToGrid/>
          <w:color w:val="auto"/>
          <w:kern w:val="2"/>
          <w:sz w:val="24"/>
          <w:szCs w:val="24"/>
          <w:lang w:eastAsia="zh-CN"/>
        </w:rPr>
        <w:t>中部</w:t>
      </w:r>
      <w:r>
        <w:rPr>
          <w:rFonts w:ascii="Times New Roman" w:eastAsia="宋体" w:hAnsi="Times New Roman" w:cs="Times New Roman"/>
          <w:snapToGrid/>
          <w:color w:val="auto"/>
          <w:kern w:val="2"/>
          <w:sz w:val="24"/>
          <w:szCs w:val="24"/>
          <w:lang w:eastAsia="zh-CN"/>
        </w:rPr>
        <w:t>施工过程中产生的悬浮物扩散范围和</w:t>
      </w:r>
      <w:r>
        <w:rPr>
          <w:rFonts w:ascii="Times New Roman" w:eastAsia="宋体" w:hAnsi="Times New Roman" w:cs="Times New Roman" w:hint="eastAsia"/>
          <w:snapToGrid/>
          <w:color w:val="auto"/>
          <w:kern w:val="2"/>
          <w:sz w:val="24"/>
          <w:szCs w:val="24"/>
          <w:lang w:eastAsia="zh-CN"/>
        </w:rPr>
        <w:t>西北</w:t>
      </w:r>
      <w:r>
        <w:rPr>
          <w:rFonts w:ascii="Times New Roman" w:eastAsia="宋体" w:hAnsi="Times New Roman" w:cs="Times New Roman"/>
          <w:snapToGrid/>
          <w:color w:val="auto"/>
          <w:kern w:val="2"/>
          <w:sz w:val="24"/>
          <w:szCs w:val="24"/>
          <w:lang w:eastAsia="zh-CN"/>
        </w:rPr>
        <w:t>部相比稍大，这是由于</w:t>
      </w:r>
      <w:r>
        <w:rPr>
          <w:rFonts w:ascii="Times New Roman" w:eastAsia="宋体" w:hAnsi="Times New Roman" w:cs="Times New Roman" w:hint="eastAsia"/>
          <w:snapToGrid/>
          <w:color w:val="auto"/>
          <w:kern w:val="2"/>
          <w:sz w:val="24"/>
          <w:szCs w:val="24"/>
          <w:lang w:eastAsia="zh-CN"/>
        </w:rPr>
        <w:t>中</w:t>
      </w:r>
      <w:r>
        <w:rPr>
          <w:rFonts w:ascii="Times New Roman" w:eastAsia="宋体" w:hAnsi="Times New Roman" w:cs="Times New Roman"/>
          <w:snapToGrid/>
          <w:color w:val="auto"/>
          <w:kern w:val="2"/>
          <w:sz w:val="24"/>
          <w:szCs w:val="24"/>
          <w:lang w:eastAsia="zh-CN"/>
        </w:rPr>
        <w:t>部水动力较</w:t>
      </w:r>
      <w:r>
        <w:rPr>
          <w:rFonts w:ascii="Times New Roman" w:eastAsia="宋体" w:hAnsi="Times New Roman" w:cs="Times New Roman" w:hint="eastAsia"/>
          <w:snapToGrid/>
          <w:color w:val="auto"/>
          <w:kern w:val="2"/>
          <w:sz w:val="24"/>
          <w:szCs w:val="24"/>
          <w:lang w:eastAsia="zh-CN"/>
        </w:rPr>
        <w:t>大</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流速比西北部大，扩散范围大</w:t>
      </w:r>
      <w:r>
        <w:rPr>
          <w:rFonts w:ascii="Times New Roman" w:eastAsia="宋体" w:hAnsi="Times New Roman" w:cs="Times New Roman"/>
          <w:snapToGrid/>
          <w:color w:val="auto"/>
          <w:kern w:val="2"/>
          <w:sz w:val="24"/>
          <w:szCs w:val="24"/>
          <w:lang w:eastAsia="zh-CN"/>
        </w:rPr>
        <w:t>。结合各工况悬浮泥沙扩散最大包络线可知，清淤项目施工过程中均未对</w:t>
      </w:r>
      <w:r>
        <w:rPr>
          <w:rFonts w:ascii="Times New Roman" w:eastAsia="宋体" w:hAnsi="Times New Roman" w:cs="Times New Roman" w:hint="eastAsia"/>
          <w:snapToGrid/>
          <w:color w:val="auto"/>
          <w:kern w:val="2"/>
          <w:sz w:val="24"/>
          <w:szCs w:val="24"/>
          <w:lang w:eastAsia="zh-CN"/>
        </w:rPr>
        <w:t>珊瑚礁分布区、海草床分布区</w:t>
      </w:r>
      <w:r>
        <w:rPr>
          <w:rFonts w:ascii="Times New Roman" w:eastAsia="宋体" w:hAnsi="Times New Roman" w:cs="Times New Roman"/>
          <w:snapToGrid/>
          <w:color w:val="auto"/>
          <w:kern w:val="2"/>
          <w:sz w:val="24"/>
          <w:szCs w:val="24"/>
          <w:lang w:eastAsia="zh-CN"/>
        </w:rPr>
        <w:t>等区域产生不利影响，同时也未对周边生态红线造成不利影响，且所有源点叠加后超</w:t>
      </w:r>
      <w:r>
        <w:rPr>
          <w:rFonts w:ascii="Times New Roman" w:eastAsia="宋体" w:hAnsi="Times New Roman" w:cs="Times New Roman"/>
          <w:snapToGrid/>
          <w:color w:val="auto"/>
          <w:kern w:val="2"/>
          <w:sz w:val="24"/>
          <w:szCs w:val="24"/>
          <w:lang w:eastAsia="zh-CN"/>
        </w:rPr>
        <w:t>I</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Ⅱ</w:t>
      </w:r>
      <w:r>
        <w:rPr>
          <w:rFonts w:ascii="Times New Roman" w:eastAsia="宋体" w:hAnsi="Times New Roman" w:cs="Times New Roman"/>
          <w:snapToGrid/>
          <w:color w:val="auto"/>
          <w:kern w:val="2"/>
          <w:sz w:val="24"/>
          <w:szCs w:val="24"/>
          <w:lang w:eastAsia="zh-CN"/>
        </w:rPr>
        <w:t>类水质</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&gt;10mg/L</w:t>
      </w:r>
      <w:r>
        <w:rPr>
          <w:rFonts w:ascii="Times New Roman" w:eastAsia="宋体" w:hAnsi="Times New Roman" w:cs="Times New Roman" w:hint="eastAsia"/>
          <w:snapToGrid/>
          <w:color w:val="auto"/>
          <w:kern w:val="2"/>
          <w:sz w:val="24"/>
          <w:szCs w:val="24"/>
          <w:lang w:eastAsia="zh-CN"/>
        </w:rPr>
        <w:t>）扩散的最远距离仅有</w:t>
      </w:r>
      <w:r>
        <w:rPr>
          <w:rFonts w:ascii="Times New Roman" w:eastAsia="宋体" w:hAnsi="Times New Roman" w:cs="Times New Roman" w:hint="eastAsia"/>
          <w:snapToGrid/>
          <w:color w:val="auto"/>
          <w:kern w:val="2"/>
          <w:sz w:val="24"/>
          <w:szCs w:val="24"/>
          <w:lang w:eastAsia="zh-CN"/>
        </w:rPr>
        <w:t>1.2km</w:t>
      </w:r>
      <w:r>
        <w:rPr>
          <w:rFonts w:ascii="Times New Roman" w:eastAsia="宋体" w:hAnsi="Times New Roman" w:cs="Times New Roman" w:hint="eastAsia"/>
          <w:snapToGrid/>
          <w:color w:val="auto"/>
          <w:kern w:val="2"/>
          <w:sz w:val="24"/>
          <w:szCs w:val="24"/>
          <w:lang w:eastAsia="zh-CN"/>
        </w:rPr>
        <w:t>左右</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所有工况下悬浮物不同浓度的超标面积见表</w:t>
      </w:r>
      <w:r>
        <w:rPr>
          <w:rFonts w:ascii="Times New Roman" w:eastAsia="宋体" w:hAnsi="Times New Roman" w:cs="Times New Roman" w:hint="eastAsia"/>
          <w:snapToGrid/>
          <w:color w:val="auto"/>
          <w:kern w:val="2"/>
          <w:sz w:val="24"/>
          <w:szCs w:val="24"/>
          <w:lang w:eastAsia="zh-CN"/>
        </w:rPr>
        <w:t xml:space="preserve">4.1.8.4-1 </w:t>
      </w:r>
      <w:r>
        <w:rPr>
          <w:rFonts w:ascii="Times New Roman" w:eastAsia="宋体" w:hAnsi="Times New Roman" w:cs="Times New Roman" w:hint="eastAsia"/>
          <w:snapToGrid/>
          <w:color w:val="auto"/>
          <w:kern w:val="2"/>
          <w:sz w:val="24"/>
          <w:szCs w:val="24"/>
          <w:lang w:eastAsia="zh-CN"/>
        </w:rPr>
        <w:t>。</w:t>
      </w:r>
    </w:p>
    <w:p w14:paraId="37D6E63E"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由此可知，本项目施工产生的悬浮泥沙的浓度增量和范围都较小。此外，施工过程中产生的悬浮泥沙对海水水质的影响，时间是短暂的，这种影响一旦施工完毕，在较短的时间内（</w:t>
      </w:r>
      <w:r>
        <w:rPr>
          <w:rFonts w:ascii="Times New Roman" w:eastAsia="宋体" w:hAnsi="Times New Roman" w:cs="Times New Roman" w:hint="eastAsia"/>
          <w:snapToGrid/>
          <w:color w:val="auto"/>
          <w:kern w:val="2"/>
          <w:sz w:val="24"/>
          <w:szCs w:val="24"/>
          <w:lang w:eastAsia="zh-CN"/>
        </w:rPr>
        <w:t>12</w:t>
      </w:r>
      <w:r>
        <w:rPr>
          <w:rFonts w:ascii="Times New Roman" w:eastAsia="宋体" w:hAnsi="Times New Roman" w:cs="Times New Roman" w:hint="eastAsia"/>
          <w:snapToGrid/>
          <w:color w:val="auto"/>
          <w:kern w:val="2"/>
          <w:sz w:val="24"/>
          <w:szCs w:val="24"/>
          <w:lang w:eastAsia="zh-CN"/>
        </w:rPr>
        <w:t>小时）也就结束。</w:t>
      </w:r>
    </w:p>
    <w:p w14:paraId="4A4BB6C8" w14:textId="77777777" w:rsidR="0075791A" w:rsidRDefault="00FB2864">
      <w:pPr>
        <w:spacing w:line="360" w:lineRule="auto"/>
        <w:outlineLvl w:val="2"/>
        <w:rPr>
          <w:rFonts w:ascii="Times New Roman" w:eastAsia="宋体" w:hAnsi="Times New Roman" w:cs="Times New Roman"/>
          <w:b/>
          <w:bCs/>
          <w:color w:val="auto"/>
          <w:spacing w:val="-3"/>
          <w:sz w:val="24"/>
          <w:szCs w:val="24"/>
          <w:lang w:eastAsia="zh-CN"/>
        </w:rPr>
      </w:pPr>
      <w:bookmarkStart w:id="242" w:name="_Toc11239"/>
      <w:r>
        <w:rPr>
          <w:rFonts w:ascii="Times New Roman" w:eastAsia="宋体" w:hAnsi="Times New Roman" w:cs="Times New Roman" w:hint="eastAsia"/>
          <w:b/>
          <w:bCs/>
          <w:color w:val="auto"/>
          <w:spacing w:val="-3"/>
          <w:sz w:val="24"/>
          <w:szCs w:val="24"/>
          <w:lang w:eastAsia="zh-CN"/>
        </w:rPr>
        <w:t>4.1.9</w:t>
      </w:r>
      <w:r>
        <w:rPr>
          <w:rFonts w:ascii="Times New Roman" w:eastAsia="宋体" w:hAnsi="Times New Roman" w:cs="Times New Roman"/>
          <w:b/>
          <w:bCs/>
          <w:color w:val="auto"/>
          <w:spacing w:val="-3"/>
          <w:sz w:val="24"/>
          <w:szCs w:val="24"/>
          <w:lang w:eastAsia="zh-CN"/>
        </w:rPr>
        <w:t>总结</w:t>
      </w:r>
      <w:bookmarkEnd w:id="242"/>
    </w:p>
    <w:p w14:paraId="55B003D3" w14:textId="77777777" w:rsidR="0075791A" w:rsidRDefault="00FB2864">
      <w:pPr>
        <w:spacing w:line="360" w:lineRule="auto"/>
        <w:ind w:firstLineChars="200" w:firstLine="480"/>
        <w:rPr>
          <w:rFonts w:ascii="Times New Roman" w:eastAsia="宋体" w:hAnsi="Times New Roman"/>
          <w:color w:val="auto"/>
          <w:sz w:val="24"/>
          <w:szCs w:val="24"/>
          <w:lang w:eastAsia="zh-CN"/>
        </w:rPr>
      </w:pPr>
      <w:r>
        <w:rPr>
          <w:rFonts w:ascii="Times New Roman" w:eastAsia="宋体" w:hAnsi="Times New Roman"/>
          <w:color w:val="auto"/>
          <w:sz w:val="24"/>
          <w:szCs w:val="24"/>
          <w:lang w:eastAsia="zh-CN"/>
        </w:rPr>
        <w:lastRenderedPageBreak/>
        <w:t>水动力环境影响：</w:t>
      </w:r>
      <w:r>
        <w:rPr>
          <w:rFonts w:ascii="宋体" w:hAnsi="宋体" w:hint="eastAsia"/>
          <w:color w:val="auto"/>
          <w:sz w:val="24"/>
          <w:lang w:eastAsia="zh-CN"/>
        </w:rPr>
        <w:t>本项目疏浚工程所在的海棠湾附近海区潮流动力弱，最大流速小于</w:t>
      </w:r>
      <w:r>
        <w:rPr>
          <w:rFonts w:ascii="宋体" w:hAnsi="宋体" w:hint="eastAsia"/>
          <w:color w:val="auto"/>
          <w:sz w:val="24"/>
          <w:lang w:eastAsia="zh-CN"/>
        </w:rPr>
        <w:t>40cm/s</w:t>
      </w:r>
      <w:r>
        <w:rPr>
          <w:rFonts w:ascii="宋体" w:hAnsi="宋体" w:hint="eastAsia"/>
          <w:color w:val="auto"/>
          <w:sz w:val="24"/>
          <w:lang w:eastAsia="zh-CN"/>
        </w:rPr>
        <w:t>。工程前后疏浚区流速的改变幅度较小，最大改变幅度在</w:t>
      </w:r>
      <w:r>
        <w:rPr>
          <w:rFonts w:ascii="宋体" w:hAnsi="宋体" w:hint="eastAsia"/>
          <w:color w:val="auto"/>
          <w:sz w:val="24"/>
          <w:lang w:eastAsia="zh-CN"/>
        </w:rPr>
        <w:t>15cm/s</w:t>
      </w:r>
      <w:r>
        <w:rPr>
          <w:rFonts w:ascii="宋体" w:hAnsi="宋体" w:hint="eastAsia"/>
          <w:color w:val="auto"/>
          <w:sz w:val="24"/>
          <w:lang w:eastAsia="zh-CN"/>
        </w:rPr>
        <w:t>左右，流速改变幅度大于</w:t>
      </w:r>
      <w:r>
        <w:rPr>
          <w:rFonts w:ascii="宋体" w:hAnsi="宋体" w:hint="eastAsia"/>
          <w:color w:val="auto"/>
          <w:sz w:val="24"/>
          <w:lang w:eastAsia="zh-CN"/>
        </w:rPr>
        <w:t>3cm/s</w:t>
      </w:r>
      <w:r>
        <w:rPr>
          <w:rFonts w:ascii="宋体" w:hAnsi="宋体" w:hint="eastAsia"/>
          <w:color w:val="auto"/>
          <w:sz w:val="24"/>
          <w:lang w:eastAsia="zh-CN"/>
        </w:rPr>
        <w:t>的范围的最远距离约</w:t>
      </w:r>
      <w:r>
        <w:rPr>
          <w:rFonts w:ascii="宋体" w:hAnsi="宋体" w:hint="eastAsia"/>
          <w:color w:val="auto"/>
          <w:sz w:val="24"/>
          <w:lang w:eastAsia="zh-CN"/>
        </w:rPr>
        <w:t>400m</w:t>
      </w:r>
      <w:r>
        <w:rPr>
          <w:rFonts w:ascii="宋体" w:hAnsi="宋体" w:hint="eastAsia"/>
          <w:color w:val="auto"/>
          <w:sz w:val="24"/>
          <w:lang w:eastAsia="zh-CN"/>
        </w:rPr>
        <w:t>。因此疏浚工程的实施对流速改变的幅度和范围都较小，只局限在疏浚区的小范围内，对周边的海洋动力环境影响较小。</w:t>
      </w:r>
    </w:p>
    <w:p w14:paraId="5C8FA871" w14:textId="77777777" w:rsidR="0075791A" w:rsidRDefault="00FB2864">
      <w:pPr>
        <w:spacing w:line="360" w:lineRule="auto"/>
        <w:ind w:firstLineChars="200" w:firstLine="480"/>
        <w:rPr>
          <w:rFonts w:ascii="宋体" w:hAnsi="宋体"/>
          <w:color w:val="auto"/>
          <w:sz w:val="24"/>
          <w:lang w:eastAsia="zh-CN"/>
        </w:rPr>
      </w:pPr>
      <w:r>
        <w:rPr>
          <w:rFonts w:ascii="Times New Roman" w:eastAsia="宋体" w:hAnsi="Times New Roman" w:hint="eastAsia"/>
          <w:color w:val="auto"/>
          <w:sz w:val="24"/>
          <w:szCs w:val="24"/>
          <w:lang w:eastAsia="zh-CN"/>
        </w:rPr>
        <w:t>冲淤变化：</w:t>
      </w:r>
      <w:r>
        <w:rPr>
          <w:rFonts w:ascii="宋体" w:hAnsi="宋体" w:hint="eastAsia"/>
          <w:color w:val="auto"/>
          <w:sz w:val="24"/>
          <w:lang w:eastAsia="zh-CN"/>
        </w:rPr>
        <w:t>疏浚工程完成后，由于疏浚后水深增加，流速略有减小，因此，泥沙将在疏浚区及附近水域落淤，但由流速改变幅度较小，海水悬沙含量也小，因此疏浚区的年淤积强度最大值只有</w:t>
      </w:r>
      <w:r>
        <w:rPr>
          <w:rFonts w:ascii="宋体" w:hAnsi="宋体" w:hint="eastAsia"/>
          <w:color w:val="auto"/>
          <w:sz w:val="24"/>
          <w:lang w:eastAsia="zh-CN"/>
        </w:rPr>
        <w:t>13cm/a</w:t>
      </w:r>
      <w:r>
        <w:rPr>
          <w:rFonts w:ascii="宋体" w:hAnsi="宋体" w:hint="eastAsia"/>
          <w:color w:val="auto"/>
          <w:sz w:val="24"/>
          <w:lang w:eastAsia="zh-CN"/>
        </w:rPr>
        <w:t>左右；在疏浚区的南侧连接处，由于流</w:t>
      </w:r>
      <w:r>
        <w:rPr>
          <w:rFonts w:ascii="宋体" w:hAnsi="宋体" w:hint="eastAsia"/>
          <w:color w:val="auto"/>
          <w:sz w:val="24"/>
          <w:lang w:eastAsia="zh-CN"/>
        </w:rPr>
        <w:t>速略有增加，导致小幅度的冲刷，最大冲刷幅度在</w:t>
      </w:r>
      <w:r>
        <w:rPr>
          <w:rFonts w:ascii="宋体" w:hAnsi="宋体" w:hint="eastAsia"/>
          <w:color w:val="auto"/>
          <w:sz w:val="24"/>
          <w:lang w:eastAsia="zh-CN"/>
        </w:rPr>
        <w:t>7cm/a</w:t>
      </w:r>
      <w:r>
        <w:rPr>
          <w:rFonts w:ascii="宋体" w:hAnsi="宋体" w:hint="eastAsia"/>
          <w:color w:val="auto"/>
          <w:sz w:val="24"/>
          <w:lang w:eastAsia="zh-CN"/>
        </w:rPr>
        <w:t>左右。</w:t>
      </w:r>
    </w:p>
    <w:p w14:paraId="0E3DDB62" w14:textId="77777777" w:rsidR="0075791A" w:rsidRDefault="00FB2864">
      <w:pPr>
        <w:spacing w:line="360" w:lineRule="auto"/>
        <w:ind w:firstLineChars="200" w:firstLine="480"/>
        <w:rPr>
          <w:rFonts w:ascii="Times New Roman" w:eastAsia="宋体" w:hAnsi="Times New Roman"/>
          <w:color w:val="auto"/>
          <w:sz w:val="24"/>
          <w:szCs w:val="24"/>
          <w:lang w:eastAsia="zh-CN"/>
        </w:rPr>
      </w:pPr>
      <w:r>
        <w:rPr>
          <w:rFonts w:ascii="宋体" w:hAnsi="宋体" w:hint="eastAsia"/>
          <w:color w:val="auto"/>
          <w:sz w:val="24"/>
          <w:lang w:eastAsia="zh-CN"/>
        </w:rPr>
        <w:t>总体而言，本项目工程后悬浮沙引起冲淤的范围较小，主要集中在疏浚区及附近的小范围内，冲淤幅度也较小，最大值在±</w:t>
      </w:r>
      <w:r>
        <w:rPr>
          <w:rFonts w:ascii="宋体" w:hAnsi="宋体" w:hint="eastAsia"/>
          <w:color w:val="auto"/>
          <w:sz w:val="24"/>
          <w:lang w:eastAsia="zh-CN"/>
        </w:rPr>
        <w:t>13</w:t>
      </w:r>
      <w:r>
        <w:rPr>
          <w:rFonts w:ascii="宋体" w:hAnsi="宋体"/>
          <w:color w:val="auto"/>
          <w:sz w:val="24"/>
          <w:lang w:eastAsia="zh-CN"/>
        </w:rPr>
        <w:t>cm/a</w:t>
      </w:r>
      <w:r>
        <w:rPr>
          <w:rFonts w:ascii="宋体" w:hAnsi="宋体" w:hint="eastAsia"/>
          <w:color w:val="auto"/>
          <w:sz w:val="24"/>
          <w:lang w:eastAsia="zh-CN"/>
        </w:rPr>
        <w:t>左右。</w:t>
      </w:r>
    </w:p>
    <w:p w14:paraId="7615FA64" w14:textId="77777777" w:rsidR="0075791A" w:rsidRDefault="00FB2864">
      <w:pPr>
        <w:spacing w:line="360" w:lineRule="auto"/>
        <w:ind w:firstLineChars="200" w:firstLine="480"/>
        <w:rPr>
          <w:rFonts w:ascii="Times New Roman" w:eastAsia="宋体" w:hAnsi="Times New Roman"/>
          <w:color w:val="auto"/>
          <w:sz w:val="24"/>
          <w:szCs w:val="24"/>
          <w:lang w:eastAsia="zh-CN"/>
        </w:rPr>
      </w:pPr>
      <w:r>
        <w:rPr>
          <w:rFonts w:ascii="Times New Roman" w:eastAsia="宋体" w:hAnsi="Times New Roman" w:hint="eastAsia"/>
          <w:color w:val="auto"/>
          <w:sz w:val="24"/>
          <w:szCs w:val="24"/>
          <w:lang w:eastAsia="zh-CN"/>
        </w:rPr>
        <w:t>纳潮量变化：</w:t>
      </w:r>
      <w:r>
        <w:rPr>
          <w:rFonts w:ascii="宋体" w:hAnsi="宋体" w:hint="eastAsia"/>
          <w:color w:val="auto"/>
          <w:sz w:val="24"/>
          <w:szCs w:val="24"/>
          <w:lang w:eastAsia="zh-CN"/>
        </w:rPr>
        <w:t>工程前铁炉港的平均纳潮量约为</w:t>
      </w:r>
      <w:r>
        <w:rPr>
          <w:rFonts w:ascii="宋体" w:hAnsi="宋体" w:hint="eastAsia"/>
          <w:color w:val="auto"/>
          <w:sz w:val="24"/>
          <w:szCs w:val="24"/>
          <w:lang w:eastAsia="zh-CN"/>
        </w:rPr>
        <w:t>911</w:t>
      </w:r>
      <w:r>
        <w:rPr>
          <w:rFonts w:ascii="宋体" w:hAnsi="宋体"/>
          <w:color w:val="auto"/>
          <w:sz w:val="24"/>
          <w:szCs w:val="24"/>
          <w:lang w:eastAsia="zh-CN"/>
        </w:rPr>
        <w:t>.</w:t>
      </w:r>
      <w:r>
        <w:rPr>
          <w:rFonts w:ascii="宋体" w:hAnsi="宋体" w:hint="eastAsia"/>
          <w:color w:val="auto"/>
          <w:sz w:val="24"/>
          <w:szCs w:val="24"/>
          <w:lang w:eastAsia="zh-CN"/>
        </w:rPr>
        <w:t>55</w:t>
      </w:r>
      <w:r>
        <w:rPr>
          <w:rFonts w:ascii="宋体" w:hAnsi="宋体" w:hint="eastAsia"/>
          <w:color w:val="auto"/>
          <w:sz w:val="24"/>
          <w:szCs w:val="24"/>
          <w:lang w:eastAsia="zh-CN"/>
        </w:rPr>
        <w:t>万</w:t>
      </w:r>
      <w:r>
        <w:rPr>
          <w:rFonts w:ascii="宋体" w:hAnsi="宋体"/>
          <w:color w:val="auto"/>
          <w:sz w:val="24"/>
          <w:szCs w:val="24"/>
          <w:lang w:eastAsia="zh-CN"/>
        </w:rPr>
        <w:t>m</w:t>
      </w:r>
      <w:r>
        <w:rPr>
          <w:rFonts w:ascii="宋体" w:hAnsi="宋体"/>
          <w:color w:val="auto"/>
          <w:sz w:val="24"/>
          <w:szCs w:val="24"/>
          <w:vertAlign w:val="superscript"/>
          <w:lang w:eastAsia="zh-CN"/>
        </w:rPr>
        <w:t>3</w:t>
      </w:r>
      <w:r>
        <w:rPr>
          <w:rFonts w:ascii="宋体" w:hAnsi="宋体" w:hint="eastAsia"/>
          <w:color w:val="auto"/>
          <w:sz w:val="24"/>
          <w:szCs w:val="24"/>
          <w:lang w:eastAsia="zh-CN"/>
        </w:rPr>
        <w:t>，工程后纳潮量为</w:t>
      </w:r>
      <w:r>
        <w:rPr>
          <w:rFonts w:ascii="宋体" w:hAnsi="宋体" w:hint="eastAsia"/>
          <w:color w:val="auto"/>
          <w:sz w:val="24"/>
          <w:szCs w:val="24"/>
          <w:lang w:eastAsia="zh-CN"/>
        </w:rPr>
        <w:t>915</w:t>
      </w:r>
      <w:r>
        <w:rPr>
          <w:rFonts w:ascii="宋体" w:hAnsi="宋体"/>
          <w:color w:val="auto"/>
          <w:sz w:val="24"/>
          <w:szCs w:val="24"/>
          <w:lang w:eastAsia="zh-CN"/>
        </w:rPr>
        <w:t>.</w:t>
      </w:r>
      <w:r>
        <w:rPr>
          <w:rFonts w:ascii="宋体" w:hAnsi="宋体" w:hint="eastAsia"/>
          <w:color w:val="auto"/>
          <w:sz w:val="24"/>
          <w:szCs w:val="24"/>
          <w:lang w:eastAsia="zh-CN"/>
        </w:rPr>
        <w:t>71</w:t>
      </w:r>
      <w:r>
        <w:rPr>
          <w:rFonts w:ascii="宋体" w:hAnsi="宋体" w:hint="eastAsia"/>
          <w:color w:val="auto"/>
          <w:sz w:val="24"/>
          <w:szCs w:val="24"/>
          <w:lang w:eastAsia="zh-CN"/>
        </w:rPr>
        <w:t>万</w:t>
      </w:r>
      <w:r>
        <w:rPr>
          <w:rFonts w:ascii="宋体" w:hAnsi="宋体"/>
          <w:color w:val="auto"/>
          <w:sz w:val="24"/>
          <w:szCs w:val="24"/>
          <w:lang w:eastAsia="zh-CN"/>
        </w:rPr>
        <w:t>m</w:t>
      </w:r>
      <w:r>
        <w:rPr>
          <w:rFonts w:ascii="宋体" w:hAnsi="宋体"/>
          <w:color w:val="auto"/>
          <w:sz w:val="24"/>
          <w:szCs w:val="24"/>
          <w:vertAlign w:val="superscript"/>
          <w:lang w:eastAsia="zh-CN"/>
        </w:rPr>
        <w:t>3</w:t>
      </w:r>
      <w:r>
        <w:rPr>
          <w:rFonts w:ascii="宋体" w:hAnsi="宋体" w:hint="eastAsia"/>
          <w:color w:val="auto"/>
          <w:sz w:val="24"/>
          <w:szCs w:val="24"/>
          <w:lang w:eastAsia="zh-CN"/>
        </w:rPr>
        <w:t>，增加值为</w:t>
      </w:r>
      <w:r>
        <w:rPr>
          <w:rFonts w:ascii="宋体" w:hAnsi="宋体" w:hint="eastAsia"/>
          <w:color w:val="auto"/>
          <w:sz w:val="24"/>
          <w:szCs w:val="24"/>
          <w:lang w:eastAsia="zh-CN"/>
        </w:rPr>
        <w:t>4</w:t>
      </w:r>
      <w:r>
        <w:rPr>
          <w:rFonts w:ascii="宋体" w:hAnsi="宋体"/>
          <w:color w:val="auto"/>
          <w:sz w:val="24"/>
          <w:szCs w:val="24"/>
          <w:lang w:eastAsia="zh-CN"/>
        </w:rPr>
        <w:t>.</w:t>
      </w:r>
      <w:r>
        <w:rPr>
          <w:rFonts w:ascii="宋体" w:hAnsi="宋体" w:hint="eastAsia"/>
          <w:color w:val="auto"/>
          <w:sz w:val="24"/>
          <w:szCs w:val="24"/>
          <w:lang w:eastAsia="zh-CN"/>
        </w:rPr>
        <w:t>16</w:t>
      </w:r>
      <w:r>
        <w:rPr>
          <w:rFonts w:ascii="宋体" w:hAnsi="宋体" w:hint="eastAsia"/>
          <w:color w:val="auto"/>
          <w:sz w:val="24"/>
          <w:szCs w:val="24"/>
          <w:lang w:eastAsia="zh-CN"/>
        </w:rPr>
        <w:t>万</w:t>
      </w:r>
      <w:r>
        <w:rPr>
          <w:rFonts w:ascii="宋体" w:hAnsi="宋体"/>
          <w:color w:val="auto"/>
          <w:sz w:val="24"/>
          <w:szCs w:val="24"/>
          <w:lang w:eastAsia="zh-CN"/>
        </w:rPr>
        <w:t>m</w:t>
      </w:r>
      <w:r>
        <w:rPr>
          <w:rFonts w:ascii="宋体" w:hAnsi="宋体"/>
          <w:color w:val="auto"/>
          <w:sz w:val="24"/>
          <w:szCs w:val="24"/>
          <w:vertAlign w:val="superscript"/>
          <w:lang w:eastAsia="zh-CN"/>
        </w:rPr>
        <w:t>3</w:t>
      </w:r>
      <w:r>
        <w:rPr>
          <w:rFonts w:ascii="宋体" w:hAnsi="宋体" w:hint="eastAsia"/>
          <w:color w:val="auto"/>
          <w:sz w:val="24"/>
          <w:szCs w:val="24"/>
          <w:lang w:eastAsia="zh-CN"/>
        </w:rPr>
        <w:t>，工程后纳潮量平均增加幅度约</w:t>
      </w:r>
      <w:r>
        <w:rPr>
          <w:rFonts w:ascii="宋体" w:hAnsi="宋体" w:hint="eastAsia"/>
          <w:color w:val="auto"/>
          <w:sz w:val="24"/>
          <w:szCs w:val="24"/>
          <w:lang w:eastAsia="zh-CN"/>
        </w:rPr>
        <w:t>0</w:t>
      </w:r>
      <w:r>
        <w:rPr>
          <w:rFonts w:ascii="宋体" w:hAnsi="宋体"/>
          <w:color w:val="auto"/>
          <w:sz w:val="24"/>
          <w:szCs w:val="24"/>
          <w:lang w:eastAsia="zh-CN"/>
        </w:rPr>
        <w:t>.</w:t>
      </w:r>
      <w:r>
        <w:rPr>
          <w:rFonts w:ascii="宋体" w:hAnsi="宋体" w:hint="eastAsia"/>
          <w:color w:val="auto"/>
          <w:sz w:val="24"/>
          <w:szCs w:val="24"/>
          <w:lang w:eastAsia="zh-CN"/>
        </w:rPr>
        <w:t>47</w:t>
      </w:r>
      <w:r>
        <w:rPr>
          <w:rFonts w:ascii="宋体" w:hAnsi="宋体"/>
          <w:color w:val="auto"/>
          <w:sz w:val="24"/>
          <w:szCs w:val="24"/>
          <w:lang w:eastAsia="zh-CN"/>
        </w:rPr>
        <w:t>%</w:t>
      </w:r>
      <w:r>
        <w:rPr>
          <w:rFonts w:ascii="宋体" w:hAnsi="宋体"/>
          <w:color w:val="auto"/>
          <w:sz w:val="24"/>
          <w:szCs w:val="24"/>
          <w:lang w:eastAsia="zh-CN"/>
        </w:rPr>
        <w:t>，</w:t>
      </w:r>
      <w:r>
        <w:rPr>
          <w:rFonts w:ascii="宋体" w:hAnsi="宋体" w:hint="eastAsia"/>
          <w:color w:val="auto"/>
          <w:sz w:val="24"/>
          <w:szCs w:val="24"/>
          <w:lang w:eastAsia="zh-CN"/>
        </w:rPr>
        <w:t>纳潮量略有增加，这有利于维持铁炉港潮汐通道和泻湖口门的稳定。</w:t>
      </w:r>
    </w:p>
    <w:p w14:paraId="4433CC95" w14:textId="77777777" w:rsidR="0075791A" w:rsidRDefault="00FB2864">
      <w:pPr>
        <w:spacing w:line="360" w:lineRule="auto"/>
        <w:ind w:firstLineChars="200" w:firstLine="480"/>
        <w:rPr>
          <w:rFonts w:ascii="Times New Roman" w:eastAsia="宋体" w:hAnsi="Times New Roman"/>
          <w:color w:val="auto"/>
          <w:sz w:val="24"/>
          <w:szCs w:val="24"/>
          <w:lang w:eastAsia="zh-CN"/>
        </w:rPr>
      </w:pPr>
      <w:r>
        <w:rPr>
          <w:rFonts w:ascii="Times New Roman" w:eastAsia="宋体" w:hAnsi="Times New Roman" w:hint="eastAsia"/>
          <w:color w:val="auto"/>
          <w:sz w:val="24"/>
          <w:szCs w:val="24"/>
          <w:lang w:eastAsia="zh-CN"/>
        </w:rPr>
        <w:t>潮汐汊道稳定性分析：</w:t>
      </w:r>
      <w:r>
        <w:rPr>
          <w:rFonts w:ascii="宋体" w:hAnsi="宋体" w:hint="eastAsia"/>
          <w:color w:val="auto"/>
          <w:sz w:val="24"/>
          <w:lang w:eastAsia="zh-CN"/>
        </w:rPr>
        <w:t>铁炉港潮汐通道过水断面面积小于均衡态条件下的过水断面面积，因此在目前情况下，铁炉港潮汐通道将继续维持现有的过水断面面积和潮汐深槽，不会出现明显的淤积。工程后纳潮量增加，这有利于维持铁炉港潮汐汊道的稳定。</w:t>
      </w:r>
    </w:p>
    <w:p w14:paraId="123C4C85"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Times New Roman" w:eastAsia="宋体" w:hAnsi="Times New Roman" w:hint="eastAsia"/>
          <w:color w:val="auto"/>
          <w:sz w:val="24"/>
          <w:szCs w:val="24"/>
          <w:lang w:eastAsia="zh-CN"/>
        </w:rPr>
        <w:t>水交换能力：</w:t>
      </w:r>
      <w:r>
        <w:rPr>
          <w:rFonts w:ascii="宋体" w:eastAsia="宋体" w:hAnsi="宋体" w:cs="Times New Roman" w:hint="eastAsia"/>
          <w:snapToGrid/>
          <w:color w:val="auto"/>
          <w:kern w:val="2"/>
          <w:sz w:val="24"/>
          <w:szCs w:val="22"/>
          <w:lang w:eastAsia="zh-CN"/>
        </w:rPr>
        <w:t>本项目疏浚工程有利于潟湖内部与外海的水体交换，主要原因在于疏浚后扩大了过水断面面积，同时增加了潟湖的纳潮量，整体上有利于潟湖的水交换和污染物稀释，有利于潟湖的水质改善。</w:t>
      </w:r>
    </w:p>
    <w:p w14:paraId="2E503C5F" w14:textId="77777777" w:rsidR="0075791A" w:rsidRDefault="00FB2864">
      <w:pPr>
        <w:spacing w:line="360" w:lineRule="auto"/>
        <w:ind w:firstLineChars="200" w:firstLine="480"/>
        <w:rPr>
          <w:rFonts w:ascii="Times New Roman" w:eastAsia="宋体" w:hAnsi="Times New Roman"/>
          <w:color w:val="auto"/>
          <w:sz w:val="24"/>
          <w:szCs w:val="24"/>
          <w:lang w:eastAsia="zh-CN"/>
        </w:rPr>
      </w:pPr>
      <w:r>
        <w:rPr>
          <w:rFonts w:ascii="Times New Roman" w:eastAsia="宋体" w:hAnsi="Times New Roman"/>
          <w:color w:val="auto"/>
          <w:sz w:val="24"/>
          <w:szCs w:val="24"/>
          <w:lang w:eastAsia="zh-CN"/>
        </w:rPr>
        <w:t>水质环境影响：本项目施工过程中产生的悬浮物扩散范围只局限在项目周边范围内，</w:t>
      </w:r>
      <w:r>
        <w:rPr>
          <w:rFonts w:ascii="Times New Roman" w:eastAsia="宋体" w:hAnsi="Times New Roman" w:hint="eastAsia"/>
          <w:color w:val="auto"/>
          <w:sz w:val="24"/>
          <w:szCs w:val="24"/>
          <w:lang w:eastAsia="zh-CN"/>
        </w:rPr>
        <w:t>微地形改造</w:t>
      </w:r>
      <w:r>
        <w:rPr>
          <w:rFonts w:ascii="Times New Roman" w:eastAsia="宋体" w:hAnsi="Times New Roman"/>
          <w:color w:val="auto"/>
          <w:sz w:val="24"/>
          <w:szCs w:val="24"/>
          <w:lang w:eastAsia="zh-CN"/>
        </w:rPr>
        <w:t>项目施工过程中未对珊瑚礁分布区、海草床分布区等区域产生不利影响，同时对周边</w:t>
      </w:r>
      <w:r>
        <w:rPr>
          <w:rFonts w:ascii="Times New Roman" w:eastAsia="宋体" w:hAnsi="Times New Roman" w:hint="eastAsia"/>
          <w:color w:val="auto"/>
          <w:sz w:val="24"/>
          <w:szCs w:val="24"/>
          <w:lang w:eastAsia="zh-CN"/>
        </w:rPr>
        <w:t>生态保护红线</w:t>
      </w:r>
      <w:r>
        <w:rPr>
          <w:rFonts w:ascii="Times New Roman" w:eastAsia="宋体" w:hAnsi="Times New Roman"/>
          <w:color w:val="auto"/>
          <w:sz w:val="24"/>
          <w:szCs w:val="24"/>
          <w:lang w:eastAsia="zh-CN"/>
        </w:rPr>
        <w:t>影响</w:t>
      </w:r>
      <w:r>
        <w:rPr>
          <w:rFonts w:ascii="Times New Roman" w:eastAsia="宋体" w:hAnsi="Times New Roman" w:hint="eastAsia"/>
          <w:color w:val="auto"/>
          <w:sz w:val="24"/>
          <w:szCs w:val="24"/>
          <w:lang w:eastAsia="zh-CN"/>
        </w:rPr>
        <w:t>较小，</w:t>
      </w:r>
      <w:r>
        <w:rPr>
          <w:rFonts w:ascii="Times New Roman" w:eastAsia="宋体" w:hAnsi="Times New Roman"/>
          <w:color w:val="auto"/>
          <w:sz w:val="24"/>
          <w:szCs w:val="24"/>
          <w:lang w:eastAsia="zh-CN"/>
        </w:rPr>
        <w:t>且所有源点叠加后超</w:t>
      </w:r>
      <w:r>
        <w:rPr>
          <w:rFonts w:ascii="Times New Roman" w:eastAsia="宋体" w:hAnsi="Times New Roman"/>
          <w:color w:val="auto"/>
          <w:sz w:val="24"/>
          <w:szCs w:val="24"/>
          <w:lang w:eastAsia="zh-CN"/>
        </w:rPr>
        <w:t>I</w:t>
      </w:r>
      <w:r>
        <w:rPr>
          <w:rFonts w:ascii="Times New Roman" w:eastAsia="宋体" w:hAnsi="Times New Roman"/>
          <w:color w:val="auto"/>
          <w:sz w:val="24"/>
          <w:szCs w:val="24"/>
          <w:lang w:eastAsia="zh-CN"/>
        </w:rPr>
        <w:t>、</w:t>
      </w:r>
      <w:r>
        <w:rPr>
          <w:rFonts w:ascii="Times New Roman" w:eastAsia="宋体" w:hAnsi="Times New Roman"/>
          <w:color w:val="auto"/>
          <w:sz w:val="24"/>
          <w:szCs w:val="24"/>
          <w:lang w:eastAsia="zh-CN"/>
        </w:rPr>
        <w:t>Ⅱ</w:t>
      </w:r>
      <w:r>
        <w:rPr>
          <w:rFonts w:ascii="Times New Roman" w:eastAsia="宋体" w:hAnsi="Times New Roman"/>
          <w:color w:val="auto"/>
          <w:sz w:val="24"/>
          <w:szCs w:val="24"/>
          <w:lang w:eastAsia="zh-CN"/>
        </w:rPr>
        <w:t>类水质</w:t>
      </w:r>
      <w:r>
        <w:rPr>
          <w:rFonts w:ascii="Times New Roman" w:eastAsia="宋体" w:hAnsi="Times New Roman" w:hint="eastAsia"/>
          <w:color w:val="auto"/>
          <w:sz w:val="24"/>
          <w:szCs w:val="24"/>
          <w:lang w:eastAsia="zh-CN"/>
        </w:rPr>
        <w:t>（</w:t>
      </w:r>
      <w:r>
        <w:rPr>
          <w:rFonts w:ascii="Times New Roman" w:eastAsia="宋体" w:hAnsi="Times New Roman"/>
          <w:color w:val="auto"/>
          <w:sz w:val="24"/>
          <w:szCs w:val="24"/>
          <w:lang w:eastAsia="zh-CN"/>
        </w:rPr>
        <w:t>&gt;10mg/L</w:t>
      </w:r>
      <w:r>
        <w:rPr>
          <w:rFonts w:ascii="Times New Roman" w:eastAsia="宋体" w:hAnsi="Times New Roman" w:hint="eastAsia"/>
          <w:color w:val="auto"/>
          <w:sz w:val="24"/>
          <w:szCs w:val="24"/>
          <w:lang w:eastAsia="zh-CN"/>
        </w:rPr>
        <w:t>）</w:t>
      </w:r>
      <w:r>
        <w:rPr>
          <w:rFonts w:ascii="Times New Roman" w:eastAsia="宋体" w:hAnsi="Times New Roman" w:hint="eastAsia"/>
          <w:color w:val="auto"/>
          <w:sz w:val="24"/>
          <w:szCs w:val="24"/>
          <w:lang w:eastAsia="zh-CN"/>
        </w:rPr>
        <w:t>扩散的最远距离仅有</w:t>
      </w:r>
      <w:r>
        <w:rPr>
          <w:rFonts w:ascii="Times New Roman" w:eastAsia="宋体" w:hAnsi="Times New Roman" w:hint="eastAsia"/>
          <w:color w:val="auto"/>
          <w:sz w:val="24"/>
          <w:szCs w:val="24"/>
          <w:lang w:eastAsia="zh-CN"/>
        </w:rPr>
        <w:t>1.2</w:t>
      </w:r>
      <w:r>
        <w:rPr>
          <w:rFonts w:ascii="Times New Roman" w:eastAsia="宋体" w:hAnsi="Times New Roman" w:hint="eastAsia"/>
          <w:color w:val="auto"/>
          <w:sz w:val="24"/>
          <w:szCs w:val="24"/>
          <w:lang w:eastAsia="zh-CN"/>
        </w:rPr>
        <w:t>km</w:t>
      </w:r>
      <w:r>
        <w:rPr>
          <w:rFonts w:ascii="Times New Roman" w:eastAsia="宋体" w:hAnsi="Times New Roman" w:hint="eastAsia"/>
          <w:color w:val="auto"/>
          <w:sz w:val="24"/>
          <w:szCs w:val="24"/>
          <w:lang w:eastAsia="zh-CN"/>
        </w:rPr>
        <w:t>左右</w:t>
      </w:r>
      <w:r>
        <w:rPr>
          <w:rFonts w:ascii="Times New Roman" w:eastAsia="宋体" w:hAnsi="Times New Roman"/>
          <w:color w:val="auto"/>
          <w:sz w:val="24"/>
          <w:szCs w:val="24"/>
          <w:lang w:eastAsia="zh-CN"/>
        </w:rPr>
        <w:t>。此外，施工过程中产生的悬浮泥沙对海水水质的影响，时间是短暂的，这种影响一旦施工完毕，在较短的时间内（</w:t>
      </w:r>
      <w:r>
        <w:rPr>
          <w:rFonts w:ascii="Times New Roman" w:eastAsia="宋体" w:hAnsi="Times New Roman"/>
          <w:color w:val="auto"/>
          <w:sz w:val="24"/>
          <w:szCs w:val="24"/>
          <w:lang w:eastAsia="zh-CN"/>
        </w:rPr>
        <w:t>12</w:t>
      </w:r>
      <w:r>
        <w:rPr>
          <w:rFonts w:ascii="Times New Roman" w:eastAsia="宋体" w:hAnsi="Times New Roman"/>
          <w:color w:val="auto"/>
          <w:sz w:val="24"/>
          <w:szCs w:val="24"/>
          <w:lang w:eastAsia="zh-CN"/>
        </w:rPr>
        <w:t>小时）也就结束。</w:t>
      </w:r>
    </w:p>
    <w:p w14:paraId="5728C8E0" w14:textId="77777777" w:rsidR="0075791A" w:rsidRDefault="00FB2864">
      <w:pPr>
        <w:spacing w:line="360" w:lineRule="auto"/>
        <w:outlineLvl w:val="1"/>
        <w:rPr>
          <w:rFonts w:ascii="Times New Roman" w:eastAsia="宋体" w:hAnsi="Times New Roman" w:cs="Times New Roman"/>
          <w:b/>
          <w:bCs/>
          <w:color w:val="auto"/>
          <w:spacing w:val="-6"/>
          <w:sz w:val="24"/>
          <w:szCs w:val="24"/>
          <w:lang w:eastAsia="zh-CN"/>
        </w:rPr>
      </w:pPr>
      <w:bookmarkStart w:id="243" w:name="bookmark34"/>
      <w:bookmarkStart w:id="244" w:name="_Toc24901"/>
      <w:bookmarkStart w:id="245" w:name="_Toc1934"/>
      <w:bookmarkStart w:id="246" w:name="_Toc355"/>
      <w:bookmarkEnd w:id="243"/>
      <w:r>
        <w:rPr>
          <w:rFonts w:ascii="Times New Roman" w:eastAsia="宋体" w:hAnsi="Times New Roman" w:cs="Times New Roman" w:hint="eastAsia"/>
          <w:b/>
          <w:bCs/>
          <w:color w:val="auto"/>
          <w:spacing w:val="-6"/>
          <w:sz w:val="24"/>
          <w:szCs w:val="24"/>
          <w:lang w:eastAsia="zh-CN"/>
        </w:rPr>
        <w:t>4</w:t>
      </w:r>
      <w:r>
        <w:rPr>
          <w:rFonts w:ascii="Times New Roman" w:eastAsia="宋体" w:hAnsi="Times New Roman" w:cs="Times New Roman"/>
          <w:b/>
          <w:bCs/>
          <w:color w:val="auto"/>
          <w:spacing w:val="-6"/>
          <w:sz w:val="24"/>
          <w:szCs w:val="24"/>
          <w:lang w:eastAsia="zh-CN"/>
        </w:rPr>
        <w:t>.2</w:t>
      </w:r>
      <w:r>
        <w:rPr>
          <w:rFonts w:ascii="Times New Roman" w:eastAsia="宋体" w:hAnsi="Times New Roman" w:cs="Times New Roman"/>
          <w:b/>
          <w:bCs/>
          <w:color w:val="auto"/>
          <w:spacing w:val="-6"/>
          <w:sz w:val="24"/>
          <w:szCs w:val="24"/>
          <w:lang w:eastAsia="zh-CN"/>
        </w:rPr>
        <w:t>资源影响分析</w:t>
      </w:r>
      <w:bookmarkEnd w:id="244"/>
      <w:bookmarkEnd w:id="245"/>
      <w:bookmarkEnd w:id="246"/>
    </w:p>
    <w:p w14:paraId="52AF1456" w14:textId="77777777" w:rsidR="0075791A" w:rsidRDefault="00FB2864">
      <w:pPr>
        <w:spacing w:line="360" w:lineRule="auto"/>
        <w:outlineLvl w:val="2"/>
        <w:rPr>
          <w:rFonts w:ascii="Times New Roman" w:eastAsia="宋体" w:hAnsi="Times New Roman" w:cs="Times New Roman"/>
          <w:b/>
          <w:bCs/>
          <w:color w:val="auto"/>
          <w:spacing w:val="-3"/>
          <w:sz w:val="24"/>
          <w:szCs w:val="24"/>
          <w:lang w:eastAsia="zh-CN"/>
        </w:rPr>
      </w:pPr>
      <w:bookmarkStart w:id="247" w:name="_Toc25885"/>
      <w:r>
        <w:rPr>
          <w:rFonts w:ascii="Times New Roman" w:eastAsia="宋体" w:hAnsi="Times New Roman" w:cs="Times New Roman" w:hint="eastAsia"/>
          <w:b/>
          <w:bCs/>
          <w:color w:val="auto"/>
          <w:spacing w:val="-3"/>
          <w:sz w:val="24"/>
          <w:szCs w:val="24"/>
          <w:lang w:eastAsia="zh-CN"/>
        </w:rPr>
        <w:t>4.2.1</w:t>
      </w:r>
      <w:r>
        <w:rPr>
          <w:rFonts w:ascii="Times New Roman" w:eastAsia="宋体" w:hAnsi="Times New Roman" w:cs="Times New Roman" w:hint="eastAsia"/>
          <w:b/>
          <w:bCs/>
          <w:color w:val="auto"/>
          <w:spacing w:val="-3"/>
          <w:sz w:val="24"/>
          <w:szCs w:val="24"/>
          <w:lang w:eastAsia="zh-CN"/>
        </w:rPr>
        <w:t>海洋空间资源影响分析</w:t>
      </w:r>
      <w:bookmarkEnd w:id="247"/>
    </w:p>
    <w:p w14:paraId="21AC14B7"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根据最终的总平面布置图及宗海图，本项目申请用海方式为专用航道、锚地及其他开放式，用海面积为</w:t>
      </w:r>
      <w:r>
        <w:rPr>
          <w:rFonts w:ascii="Times New Roman" w:eastAsia="宋体" w:hAnsi="Times New Roman" w:cs="宋体" w:hint="eastAsia"/>
          <w:color w:val="auto"/>
          <w:sz w:val="24"/>
          <w:szCs w:val="24"/>
          <w:lang w:eastAsia="zh-CN"/>
        </w:rPr>
        <w:t>14.8672</w:t>
      </w:r>
      <w:r>
        <w:rPr>
          <w:rFonts w:ascii="Times New Roman" w:eastAsia="宋体" w:hAnsi="Times New Roman" w:cs="宋体" w:hint="eastAsia"/>
          <w:color w:val="auto"/>
          <w:sz w:val="24"/>
          <w:szCs w:val="24"/>
          <w:lang w:eastAsia="zh-CN"/>
        </w:rPr>
        <w:t>公顷；透水构筑物用海面积为</w:t>
      </w:r>
      <w:r>
        <w:rPr>
          <w:rFonts w:ascii="Times New Roman" w:eastAsia="宋体" w:hAnsi="Times New Roman" w:cs="宋体" w:hint="eastAsia"/>
          <w:color w:val="auto"/>
          <w:sz w:val="24"/>
          <w:szCs w:val="24"/>
          <w:lang w:eastAsia="zh-CN"/>
        </w:rPr>
        <w:t>0.3793</w:t>
      </w:r>
      <w:r>
        <w:rPr>
          <w:rFonts w:ascii="Times New Roman" w:eastAsia="宋体" w:hAnsi="Times New Roman" w:cs="宋体" w:hint="eastAsia"/>
          <w:color w:val="auto"/>
          <w:sz w:val="24"/>
          <w:szCs w:val="24"/>
          <w:lang w:eastAsia="zh-CN"/>
        </w:rPr>
        <w:t>公顷，即占用海洋空间资源</w:t>
      </w:r>
      <w:r>
        <w:rPr>
          <w:rFonts w:ascii="Times New Roman" w:eastAsia="宋体" w:hAnsi="Times New Roman" w:cs="宋体" w:hint="eastAsia"/>
          <w:color w:val="auto"/>
          <w:spacing w:val="-4"/>
          <w:sz w:val="24"/>
          <w:szCs w:val="24"/>
          <w:lang w:eastAsia="zh-CN"/>
        </w:rPr>
        <w:t>15.2465</w:t>
      </w:r>
      <w:r>
        <w:rPr>
          <w:rFonts w:ascii="Times New Roman" w:eastAsia="宋体" w:hAnsi="Times New Roman" w:cs="宋体" w:hint="eastAsia"/>
          <w:color w:val="auto"/>
          <w:sz w:val="24"/>
          <w:szCs w:val="24"/>
          <w:lang w:eastAsia="zh-CN"/>
        </w:rPr>
        <w:t>公顷，为排他性占用。</w:t>
      </w:r>
    </w:p>
    <w:p w14:paraId="61A3726A"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lastRenderedPageBreak/>
        <w:t>本项目清淤区距离海岸线</w:t>
      </w:r>
      <w:r>
        <w:rPr>
          <w:rFonts w:ascii="Times New Roman" w:eastAsia="宋体" w:hAnsi="Times New Roman" w:cs="宋体" w:hint="eastAsia"/>
          <w:color w:val="auto"/>
          <w:sz w:val="24"/>
          <w:szCs w:val="24"/>
          <w:lang w:eastAsia="zh-CN"/>
        </w:rPr>
        <w:t>20~145m</w:t>
      </w:r>
      <w:r>
        <w:rPr>
          <w:rFonts w:ascii="Times New Roman" w:eastAsia="宋体" w:hAnsi="Times New Roman" w:cs="宋体" w:hint="eastAsia"/>
          <w:color w:val="auto"/>
          <w:sz w:val="24"/>
          <w:szCs w:val="24"/>
          <w:lang w:eastAsia="zh-CN"/>
        </w:rPr>
        <w:t>之间，不占用自然海岸线；新增巡护码头安全防护范围接人工岸线</w:t>
      </w:r>
      <w:r>
        <w:rPr>
          <w:rFonts w:ascii="Times New Roman" w:eastAsia="宋体" w:hAnsi="Times New Roman" w:cs="宋体" w:hint="eastAsia"/>
          <w:color w:val="auto"/>
          <w:sz w:val="24"/>
          <w:szCs w:val="24"/>
          <w:lang w:eastAsia="zh-CN"/>
        </w:rPr>
        <w:t>42m</w:t>
      </w:r>
      <w:r>
        <w:rPr>
          <w:rFonts w:ascii="Times New Roman" w:eastAsia="宋体" w:hAnsi="Times New Roman" w:cs="宋体" w:hint="eastAsia"/>
          <w:color w:val="auto"/>
          <w:sz w:val="24"/>
          <w:szCs w:val="24"/>
          <w:lang w:eastAsia="zh-CN"/>
        </w:rPr>
        <w:t>，构筑物巡护码头未接海岸线。</w:t>
      </w:r>
    </w:p>
    <w:p w14:paraId="566946B7"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项目不占用岛礁资源。</w:t>
      </w:r>
    </w:p>
    <w:p w14:paraId="1FCABE23" w14:textId="77777777" w:rsidR="0075791A" w:rsidRDefault="00FB2864">
      <w:pPr>
        <w:spacing w:line="360" w:lineRule="auto"/>
        <w:outlineLvl w:val="2"/>
        <w:rPr>
          <w:rFonts w:ascii="Times New Roman" w:eastAsia="宋体" w:hAnsi="Times New Roman" w:cs="Times New Roman"/>
          <w:b/>
          <w:bCs/>
          <w:color w:val="auto"/>
          <w:spacing w:val="-3"/>
          <w:sz w:val="24"/>
          <w:szCs w:val="24"/>
          <w:lang w:eastAsia="zh-CN"/>
        </w:rPr>
      </w:pPr>
      <w:bookmarkStart w:id="248" w:name="_Toc10551"/>
      <w:r>
        <w:rPr>
          <w:rFonts w:ascii="Times New Roman" w:eastAsia="宋体" w:hAnsi="Times New Roman" w:cs="Times New Roman" w:hint="eastAsia"/>
          <w:b/>
          <w:bCs/>
          <w:color w:val="auto"/>
          <w:spacing w:val="-3"/>
          <w:sz w:val="24"/>
          <w:szCs w:val="24"/>
          <w:lang w:eastAsia="zh-CN"/>
        </w:rPr>
        <w:t>4.2.2</w:t>
      </w:r>
      <w:r>
        <w:rPr>
          <w:rFonts w:ascii="Times New Roman" w:eastAsia="宋体" w:hAnsi="Times New Roman" w:cs="Times New Roman" w:hint="eastAsia"/>
          <w:b/>
          <w:bCs/>
          <w:color w:val="auto"/>
          <w:spacing w:val="-3"/>
          <w:sz w:val="24"/>
          <w:szCs w:val="24"/>
          <w:lang w:eastAsia="zh-CN"/>
        </w:rPr>
        <w:t>海洋生物资源影响分析</w:t>
      </w:r>
      <w:bookmarkEnd w:id="248"/>
    </w:p>
    <w:p w14:paraId="3FED0E85"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本项目对海洋生态环境及渔业资源的</w:t>
      </w:r>
      <w:r>
        <w:rPr>
          <w:rFonts w:ascii="Times New Roman" w:eastAsia="宋体" w:hAnsi="Times New Roman" w:cs="Times New Roman" w:hint="eastAsia"/>
          <w:snapToGrid/>
          <w:color w:val="auto"/>
          <w:kern w:val="2"/>
          <w:sz w:val="24"/>
          <w:szCs w:val="24"/>
          <w:lang w:eastAsia="zh-CN"/>
        </w:rPr>
        <w:t>负面</w:t>
      </w:r>
      <w:r>
        <w:rPr>
          <w:rFonts w:ascii="Times New Roman" w:eastAsia="宋体" w:hAnsi="Times New Roman" w:cs="Times New Roman" w:hint="eastAsia"/>
          <w:snapToGrid/>
          <w:color w:val="auto"/>
          <w:kern w:val="2"/>
          <w:sz w:val="24"/>
          <w:szCs w:val="24"/>
          <w:lang w:eastAsia="zh-CN"/>
        </w:rPr>
        <w:t>影响主要发生在施工期，运营期工程本身对海洋生态环境及渔业资源无不良影响，</w:t>
      </w:r>
      <w:r>
        <w:rPr>
          <w:rFonts w:ascii="Times New Roman" w:eastAsia="宋体" w:hAnsi="Times New Roman" w:cs="Times New Roman" w:hint="eastAsia"/>
          <w:snapToGrid/>
          <w:color w:val="auto"/>
          <w:kern w:val="2"/>
          <w:sz w:val="24"/>
          <w:szCs w:val="24"/>
          <w:lang w:eastAsia="zh-CN"/>
        </w:rPr>
        <w:t>主要为正面影响</w:t>
      </w:r>
      <w:r>
        <w:rPr>
          <w:rFonts w:ascii="Times New Roman" w:eastAsia="宋体" w:hAnsi="Times New Roman" w:cs="Times New Roman" w:hint="eastAsia"/>
          <w:snapToGrid/>
          <w:color w:val="auto"/>
          <w:kern w:val="2"/>
          <w:sz w:val="24"/>
          <w:szCs w:val="24"/>
          <w:lang w:eastAsia="zh-CN"/>
        </w:rPr>
        <w:t>。</w:t>
      </w:r>
    </w:p>
    <w:p w14:paraId="0452DAF0" w14:textId="77777777" w:rsidR="0075791A" w:rsidRDefault="00FB2864">
      <w:pPr>
        <w:spacing w:line="360" w:lineRule="auto"/>
        <w:outlineLvl w:val="3"/>
        <w:rPr>
          <w:rFonts w:ascii="Times New Roman" w:eastAsia="宋体" w:hAnsi="Times New Roman" w:cs="宋体"/>
          <w:color w:val="auto"/>
          <w:sz w:val="24"/>
          <w:szCs w:val="24"/>
          <w:lang w:eastAsia="zh-CN"/>
        </w:rPr>
      </w:pPr>
      <w:r>
        <w:rPr>
          <w:rFonts w:ascii="Times New Roman" w:eastAsia="宋体" w:hAnsi="Times New Roman" w:hint="eastAsia"/>
          <w:b/>
          <w:color w:val="auto"/>
          <w:sz w:val="24"/>
          <w:szCs w:val="24"/>
          <w:lang w:eastAsia="zh-CN"/>
        </w:rPr>
        <w:t>4</w:t>
      </w:r>
      <w:hyperlink r:id="rId250" w:history="1">
        <w:r>
          <w:rPr>
            <w:rFonts w:ascii="Times New Roman" w:eastAsia="宋体" w:hAnsi="Times New Roman" w:hint="eastAsia"/>
            <w:b/>
            <w:color w:val="auto"/>
            <w:sz w:val="24"/>
            <w:szCs w:val="24"/>
            <w:lang w:eastAsia="zh-CN"/>
          </w:rPr>
          <w:t>.2.2.1</w:t>
        </w:r>
      </w:hyperlink>
      <w:r>
        <w:rPr>
          <w:rFonts w:ascii="Times New Roman" w:eastAsia="宋体" w:hAnsi="Times New Roman" w:hint="eastAsia"/>
          <w:b/>
          <w:color w:val="auto"/>
          <w:sz w:val="24"/>
          <w:szCs w:val="24"/>
          <w:lang w:eastAsia="zh-CN"/>
        </w:rPr>
        <w:t>对底栖生物和潮间带生物的影响</w:t>
      </w:r>
    </w:p>
    <w:p w14:paraId="79A5DBC3"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本项目</w:t>
      </w:r>
      <w:r>
        <w:rPr>
          <w:rFonts w:ascii="Times New Roman" w:eastAsia="宋体" w:hAnsi="Times New Roman" w:cs="Times New Roman" w:hint="eastAsia"/>
          <w:snapToGrid/>
          <w:color w:val="auto"/>
          <w:kern w:val="2"/>
          <w:sz w:val="24"/>
          <w:szCs w:val="24"/>
          <w:lang w:eastAsia="zh-CN"/>
        </w:rPr>
        <w:t>清淤</w:t>
      </w:r>
      <w:r>
        <w:rPr>
          <w:rFonts w:ascii="Times New Roman" w:eastAsia="宋体" w:hAnsi="Times New Roman" w:cs="Times New Roman" w:hint="eastAsia"/>
          <w:snapToGrid/>
          <w:color w:val="auto"/>
          <w:kern w:val="2"/>
          <w:sz w:val="24"/>
          <w:szCs w:val="24"/>
          <w:lang w:eastAsia="zh-CN"/>
        </w:rPr>
        <w:t>工程不可避免对潮间带滩涂和浅海的生态环境产生不可逆的影响。主要影响包括以下几个方面：</w:t>
      </w:r>
    </w:p>
    <w:p w14:paraId="6AECB8FB"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施工机械的搅动作用，将破坏底栖生物的栖息地和生存环境，移动能力较强的部分生物可能逃离工程区，但绝大部分底栖生物将随着底泥被挖运而受损或消亡，从而导致生物资源损失，如底栖生物、潮间带生物、浮游生物、鱼卵仔稚鱼和无脊椎动物等。</w:t>
      </w:r>
      <w:r>
        <w:rPr>
          <w:rFonts w:ascii="Times New Roman" w:eastAsia="宋体" w:hAnsi="Times New Roman" w:cs="Times New Roman" w:hint="eastAsia"/>
          <w:snapToGrid/>
          <w:color w:val="auto"/>
          <w:kern w:val="2"/>
          <w:sz w:val="24"/>
          <w:szCs w:val="24"/>
          <w:lang w:eastAsia="zh-CN"/>
        </w:rPr>
        <w:t>疏浚物作为红树林种植土石方来源，微地形改造</w:t>
      </w:r>
      <w:r>
        <w:rPr>
          <w:rFonts w:ascii="Times New Roman" w:eastAsia="宋体" w:hAnsi="Times New Roman" w:cs="Times New Roman" w:hint="eastAsia"/>
          <w:snapToGrid/>
          <w:color w:val="auto"/>
          <w:kern w:val="2"/>
          <w:sz w:val="24"/>
          <w:szCs w:val="24"/>
          <w:lang w:eastAsia="zh-CN"/>
        </w:rPr>
        <w:t>将直接覆盖原有滩涂，原有滩涂海域内无逃避能力的物种将遭到直接危害，如底栖生物、潮间带生物等，滩涂整地使一些生物赖以生存的生境暂时丧失。但施工完成后种植区将形成新的</w:t>
      </w:r>
      <w:r>
        <w:rPr>
          <w:rFonts w:ascii="Times New Roman" w:eastAsia="宋体" w:hAnsi="Times New Roman" w:cs="Times New Roman" w:hint="eastAsia"/>
          <w:snapToGrid/>
          <w:color w:val="auto"/>
          <w:kern w:val="2"/>
          <w:sz w:val="24"/>
          <w:szCs w:val="24"/>
          <w:lang w:eastAsia="zh-CN"/>
        </w:rPr>
        <w:t>滩涂底土环境，底栖生物、潮间带生物可重新形成生态系统。</w:t>
      </w:r>
    </w:p>
    <w:p w14:paraId="168159D1" w14:textId="77777777" w:rsidR="0075791A" w:rsidRDefault="00FB2864">
      <w:pPr>
        <w:spacing w:line="360" w:lineRule="auto"/>
        <w:outlineLvl w:val="3"/>
        <w:rPr>
          <w:rFonts w:ascii="Times New Roman" w:eastAsia="宋体" w:hAnsi="Times New Roman"/>
          <w:b/>
          <w:color w:val="auto"/>
          <w:sz w:val="24"/>
          <w:szCs w:val="24"/>
          <w:lang w:eastAsia="zh-CN"/>
        </w:rPr>
      </w:pPr>
      <w:hyperlink r:id="rId251" w:history="1">
        <w:r>
          <w:rPr>
            <w:rFonts w:ascii="Times New Roman" w:eastAsia="宋体" w:hAnsi="Times New Roman" w:hint="eastAsia"/>
            <w:b/>
            <w:color w:val="auto"/>
            <w:sz w:val="24"/>
            <w:szCs w:val="24"/>
            <w:lang w:eastAsia="zh-CN"/>
          </w:rPr>
          <w:t>4.2.2.2</w:t>
        </w:r>
      </w:hyperlink>
      <w:r>
        <w:rPr>
          <w:rFonts w:ascii="Times New Roman" w:eastAsia="宋体" w:hAnsi="Times New Roman" w:hint="eastAsia"/>
          <w:b/>
          <w:color w:val="auto"/>
          <w:sz w:val="24"/>
          <w:szCs w:val="24"/>
          <w:lang w:eastAsia="zh-CN"/>
        </w:rPr>
        <w:t>对浮游生物的影响</w:t>
      </w:r>
    </w:p>
    <w:p w14:paraId="7B5F584D"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施工扰动的泥沙和悬浮物将造成水体透明度下降，削弱水体的真光层厚度，溶解氧降低，减缓浮游植物的光合作用，进而妨碍浮游植物的细胞分裂和生长。浮游植物生物量降低导致局部水域初级生产力水平降低。此外，施工作业产生的悬浮物会粘附在滤食性浮游动物体表，干扰其正常的生理功能，滤食性浮游动物吞食悬浮颗粒会造成内部消化系统紊乱。</w:t>
      </w:r>
    </w:p>
    <w:p w14:paraId="13CB76B7" w14:textId="77777777" w:rsidR="0075791A" w:rsidRDefault="00FB2864">
      <w:pPr>
        <w:spacing w:line="360" w:lineRule="auto"/>
        <w:outlineLvl w:val="3"/>
        <w:rPr>
          <w:rFonts w:ascii="Times New Roman" w:eastAsia="宋体" w:hAnsi="Times New Roman"/>
          <w:b/>
          <w:color w:val="auto"/>
          <w:lang w:eastAsia="zh-CN"/>
        </w:rPr>
      </w:pPr>
      <w:hyperlink r:id="rId252" w:history="1">
        <w:r>
          <w:rPr>
            <w:rFonts w:ascii="Times New Roman" w:eastAsia="宋体" w:hAnsi="Times New Roman" w:hint="eastAsia"/>
            <w:b/>
            <w:color w:val="auto"/>
            <w:lang w:eastAsia="zh-CN"/>
          </w:rPr>
          <w:t>4.2.2.3</w:t>
        </w:r>
      </w:hyperlink>
      <w:r>
        <w:rPr>
          <w:rFonts w:ascii="Times New Roman" w:eastAsia="宋体" w:hAnsi="Times New Roman" w:hint="eastAsia"/>
          <w:b/>
          <w:color w:val="auto"/>
          <w:lang w:eastAsia="zh-CN"/>
        </w:rPr>
        <w:t>对渔业资源的影响</w:t>
      </w:r>
    </w:p>
    <w:p w14:paraId="7F95FDF4" w14:textId="77777777" w:rsidR="0075791A" w:rsidRDefault="00FB2864">
      <w:pPr>
        <w:widowControl w:val="0"/>
        <w:kinsoku/>
        <w:adjustRightInd/>
        <w:snapToGrid/>
        <w:spacing w:line="360" w:lineRule="auto"/>
        <w:ind w:firstLineChars="200" w:firstLine="420"/>
        <w:jc w:val="both"/>
        <w:textAlignment w:val="auto"/>
        <w:rPr>
          <w:rFonts w:ascii="Times New Roman" w:eastAsia="宋体" w:hAnsi="Times New Roman" w:cs="Times New Roman"/>
          <w:snapToGrid/>
          <w:color w:val="auto"/>
          <w:kern w:val="2"/>
          <w:lang w:eastAsia="zh-CN"/>
        </w:rPr>
      </w:pPr>
      <w:r>
        <w:rPr>
          <w:rFonts w:ascii="Times New Roman" w:eastAsia="宋体" w:hAnsi="Times New Roman" w:cs="Times New Roman" w:hint="eastAsia"/>
          <w:snapToGrid/>
          <w:color w:val="auto"/>
          <w:kern w:val="2"/>
          <w:lang w:eastAsia="zh-CN"/>
        </w:rPr>
        <w:t>工程施工过程中，对游泳生物也会产生一定的影响。鱼类等游泳动物，适应水环境变化的能力相对较强，但对于环境骤然变化，反应是敏感的，项目施工过程中引起的水中悬浮泥沙含量增加，必然引起“驱散效应”、鱼类等游泳动物将避开混浊区。</w:t>
      </w:r>
    </w:p>
    <w:p w14:paraId="383C71AD" w14:textId="77777777" w:rsidR="0075791A" w:rsidRDefault="00FB2864">
      <w:pPr>
        <w:widowControl w:val="0"/>
        <w:kinsoku/>
        <w:adjustRightInd/>
        <w:snapToGrid/>
        <w:spacing w:line="360" w:lineRule="auto"/>
        <w:ind w:firstLineChars="200" w:firstLine="420"/>
        <w:jc w:val="both"/>
        <w:textAlignment w:val="auto"/>
        <w:rPr>
          <w:rFonts w:ascii="Times New Roman" w:eastAsia="宋体" w:hAnsi="Times New Roman" w:cs="Times New Roman"/>
          <w:snapToGrid/>
          <w:color w:val="auto"/>
          <w:kern w:val="2"/>
          <w:lang w:eastAsia="zh-CN"/>
        </w:rPr>
      </w:pPr>
      <w:r>
        <w:rPr>
          <w:rFonts w:ascii="Times New Roman" w:eastAsia="宋体" w:hAnsi="Times New Roman" w:cs="Times New Roman" w:hint="eastAsia"/>
          <w:snapToGrid/>
          <w:color w:val="auto"/>
          <w:kern w:val="2"/>
          <w:lang w:eastAsia="zh-CN"/>
        </w:rPr>
        <w:t>疏浚施工过程引起水中悬浮物增加，使游泳生物的呼吸器官积聚泥沙，严惩损害呼吸器官的滤水和呼吸功能，甚至导致其窒息死亡。根据有关实验数据，悬浮物的含量为</w:t>
      </w:r>
      <w:r>
        <w:rPr>
          <w:rFonts w:ascii="Times New Roman" w:eastAsia="宋体" w:hAnsi="Times New Roman" w:cs="Times New Roman" w:hint="eastAsia"/>
          <w:snapToGrid/>
          <w:color w:val="auto"/>
          <w:kern w:val="2"/>
          <w:lang w:eastAsia="zh-CN"/>
        </w:rPr>
        <w:t>80000mg/L</w:t>
      </w:r>
      <w:r>
        <w:rPr>
          <w:rFonts w:ascii="Times New Roman" w:eastAsia="宋体" w:hAnsi="Times New Roman" w:cs="Times New Roman" w:hint="eastAsia"/>
          <w:snapToGrid/>
          <w:color w:val="auto"/>
          <w:kern w:val="2"/>
          <w:lang w:eastAsia="zh-CN"/>
        </w:rPr>
        <w:t>时，鱼类最多只能存活</w:t>
      </w:r>
      <w:r>
        <w:rPr>
          <w:rFonts w:ascii="Times New Roman" w:eastAsia="宋体" w:hAnsi="Times New Roman" w:cs="Times New Roman" w:hint="eastAsia"/>
          <w:snapToGrid/>
          <w:color w:val="auto"/>
          <w:kern w:val="2"/>
          <w:lang w:eastAsia="zh-CN"/>
        </w:rPr>
        <w:t>1</w:t>
      </w:r>
      <w:r>
        <w:rPr>
          <w:rFonts w:ascii="Times New Roman" w:eastAsia="宋体" w:hAnsi="Times New Roman" w:cs="Times New Roman" w:hint="eastAsia"/>
          <w:snapToGrid/>
          <w:color w:val="auto"/>
          <w:kern w:val="2"/>
          <w:lang w:eastAsia="zh-CN"/>
        </w:rPr>
        <w:t>天；含量为</w:t>
      </w:r>
      <w:r>
        <w:rPr>
          <w:rFonts w:ascii="Times New Roman" w:eastAsia="宋体" w:hAnsi="Times New Roman" w:cs="Times New Roman" w:hint="eastAsia"/>
          <w:snapToGrid/>
          <w:color w:val="auto"/>
          <w:kern w:val="2"/>
          <w:lang w:eastAsia="zh-CN"/>
        </w:rPr>
        <w:t>6000mg/L</w:t>
      </w:r>
      <w:r>
        <w:rPr>
          <w:rFonts w:ascii="Times New Roman" w:eastAsia="宋体" w:hAnsi="Times New Roman" w:cs="Times New Roman" w:hint="eastAsia"/>
          <w:snapToGrid/>
          <w:color w:val="auto"/>
          <w:kern w:val="2"/>
          <w:lang w:eastAsia="zh-CN"/>
        </w:rPr>
        <w:t>时，最多能存活</w:t>
      </w:r>
      <w:r>
        <w:rPr>
          <w:rFonts w:ascii="Times New Roman" w:eastAsia="宋体" w:hAnsi="Times New Roman" w:cs="Times New Roman" w:hint="eastAsia"/>
          <w:snapToGrid/>
          <w:color w:val="auto"/>
          <w:kern w:val="2"/>
          <w:lang w:eastAsia="zh-CN"/>
        </w:rPr>
        <w:t>1</w:t>
      </w:r>
      <w:r>
        <w:rPr>
          <w:rFonts w:ascii="Times New Roman" w:eastAsia="宋体" w:hAnsi="Times New Roman" w:cs="Times New Roman" w:hint="eastAsia"/>
          <w:snapToGrid/>
          <w:color w:val="auto"/>
          <w:kern w:val="2"/>
          <w:lang w:eastAsia="zh-CN"/>
        </w:rPr>
        <w:t>周；若每天作短时间搅拌，使沉淀的淤泥泛起，保持悬浮物质含量达到</w:t>
      </w:r>
      <w:r>
        <w:rPr>
          <w:rFonts w:ascii="Times New Roman" w:eastAsia="宋体" w:hAnsi="Times New Roman" w:cs="Times New Roman" w:hint="eastAsia"/>
          <w:snapToGrid/>
          <w:color w:val="auto"/>
          <w:kern w:val="2"/>
          <w:lang w:eastAsia="zh-CN"/>
        </w:rPr>
        <w:t>2300mg/L</w:t>
      </w:r>
      <w:r>
        <w:rPr>
          <w:rFonts w:ascii="Times New Roman" w:eastAsia="宋体" w:hAnsi="Times New Roman" w:cs="Times New Roman" w:hint="eastAsia"/>
          <w:snapToGrid/>
          <w:color w:val="auto"/>
          <w:kern w:val="2"/>
          <w:lang w:eastAsia="zh-CN"/>
        </w:rPr>
        <w:t>，则鱼类能存活</w:t>
      </w:r>
      <w:r>
        <w:rPr>
          <w:rFonts w:ascii="Times New Roman" w:eastAsia="宋体" w:hAnsi="Times New Roman" w:cs="Times New Roman" w:hint="eastAsia"/>
          <w:snapToGrid/>
          <w:color w:val="auto"/>
          <w:kern w:val="2"/>
          <w:lang w:eastAsia="zh-CN"/>
        </w:rPr>
        <w:t>3~4</w:t>
      </w:r>
      <w:r>
        <w:rPr>
          <w:rFonts w:ascii="Times New Roman" w:eastAsia="宋体" w:hAnsi="Times New Roman" w:cs="Times New Roman" w:hint="eastAsia"/>
          <w:snapToGrid/>
          <w:color w:val="auto"/>
          <w:kern w:val="2"/>
          <w:lang w:eastAsia="zh-CN"/>
        </w:rPr>
        <w:t>周；通常悬浮物浓度的含量在</w:t>
      </w:r>
      <w:r>
        <w:rPr>
          <w:rFonts w:ascii="Times New Roman" w:eastAsia="宋体" w:hAnsi="Times New Roman" w:cs="Times New Roman" w:hint="eastAsia"/>
          <w:snapToGrid/>
          <w:color w:val="auto"/>
          <w:kern w:val="2"/>
          <w:lang w:eastAsia="zh-CN"/>
        </w:rPr>
        <w:t>200mg/L</w:t>
      </w:r>
      <w:r>
        <w:rPr>
          <w:rFonts w:ascii="Times New Roman" w:eastAsia="宋体" w:hAnsi="Times New Roman" w:cs="Times New Roman" w:hint="eastAsia"/>
          <w:snapToGrid/>
          <w:color w:val="auto"/>
          <w:kern w:val="2"/>
          <w:lang w:eastAsia="zh-CN"/>
        </w:rPr>
        <w:t>以下时，不会导致直接死亡。</w:t>
      </w:r>
    </w:p>
    <w:p w14:paraId="01E1D364" w14:textId="77777777" w:rsidR="0075791A" w:rsidRDefault="00FB2864">
      <w:pPr>
        <w:widowControl w:val="0"/>
        <w:kinsoku/>
        <w:adjustRightInd/>
        <w:snapToGrid/>
        <w:spacing w:line="360" w:lineRule="auto"/>
        <w:ind w:firstLineChars="200" w:firstLine="420"/>
        <w:jc w:val="both"/>
        <w:textAlignment w:val="auto"/>
        <w:rPr>
          <w:rFonts w:ascii="Times New Roman" w:eastAsia="宋体" w:hAnsi="Times New Roman" w:cs="Times New Roman"/>
          <w:snapToGrid/>
          <w:color w:val="auto"/>
          <w:kern w:val="2"/>
          <w:lang w:eastAsia="zh-CN"/>
        </w:rPr>
      </w:pPr>
      <w:r>
        <w:rPr>
          <w:rFonts w:ascii="Times New Roman" w:eastAsia="宋体" w:hAnsi="Times New Roman" w:cs="Times New Roman" w:hint="eastAsia"/>
          <w:snapToGrid/>
          <w:color w:val="auto"/>
          <w:kern w:val="2"/>
          <w:lang w:eastAsia="zh-CN"/>
        </w:rPr>
        <w:lastRenderedPageBreak/>
        <w:t>在水生食物链中，除了初级生产者——浮游藻类以外，其它营养级上的生物既是消费者，也是上一营养级生物的饵料。因此，浮游植</w:t>
      </w:r>
      <w:r>
        <w:rPr>
          <w:rFonts w:ascii="Times New Roman" w:eastAsia="宋体" w:hAnsi="Times New Roman" w:cs="Times New Roman" w:hint="eastAsia"/>
          <w:snapToGrid/>
          <w:color w:val="auto"/>
          <w:kern w:val="2"/>
          <w:lang w:eastAsia="zh-CN"/>
        </w:rPr>
        <w:t>物生物量的减少，会使以浮游植物为饵料的浮游动物生物量也相应减少，以浮游生物为食的鱼类等由于饵料的贫乏而导致资源量下降。</w:t>
      </w:r>
    </w:p>
    <w:p w14:paraId="4F775920" w14:textId="77777777" w:rsidR="0075791A" w:rsidRDefault="00FB2864">
      <w:pPr>
        <w:widowControl w:val="0"/>
        <w:kinsoku/>
        <w:adjustRightInd/>
        <w:snapToGrid/>
        <w:spacing w:line="360" w:lineRule="auto"/>
        <w:ind w:firstLineChars="200" w:firstLine="420"/>
        <w:jc w:val="both"/>
        <w:textAlignment w:val="auto"/>
        <w:rPr>
          <w:rFonts w:ascii="Times New Roman" w:eastAsia="宋体" w:hAnsi="Times New Roman" w:cs="Times New Roman"/>
          <w:snapToGrid/>
          <w:color w:val="auto"/>
          <w:kern w:val="2"/>
          <w:lang w:eastAsia="zh-CN"/>
        </w:rPr>
      </w:pPr>
      <w:r>
        <w:rPr>
          <w:rFonts w:ascii="Times New Roman" w:eastAsia="宋体" w:hAnsi="Times New Roman" w:cs="Times New Roman" w:hint="eastAsia"/>
          <w:snapToGrid/>
          <w:color w:val="auto"/>
          <w:kern w:val="2"/>
          <w:lang w:eastAsia="zh-CN"/>
        </w:rPr>
        <w:t>工程施工属于短期行为，随着施工期的结束，其环境影响会很快消失。</w:t>
      </w:r>
    </w:p>
    <w:p w14:paraId="30A30A81"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249" w:name="_Toc31498"/>
      <w:bookmarkStart w:id="250" w:name="_Toc18167"/>
      <w:bookmarkStart w:id="251" w:name="_Toc16741"/>
      <w:r>
        <w:rPr>
          <w:rFonts w:ascii="Times New Roman" w:eastAsia="宋体" w:hAnsi="Times New Roman" w:cs="Times New Roman" w:hint="eastAsia"/>
          <w:b/>
          <w:bCs/>
          <w:color w:val="auto"/>
          <w:spacing w:val="-6"/>
          <w:sz w:val="30"/>
          <w:szCs w:val="30"/>
          <w:lang w:eastAsia="zh-CN"/>
        </w:rPr>
        <w:t>4</w:t>
      </w:r>
      <w:r>
        <w:rPr>
          <w:rFonts w:ascii="Times New Roman" w:eastAsia="Times New Roman" w:hAnsi="Times New Roman" w:cs="Times New Roman"/>
          <w:b/>
          <w:bCs/>
          <w:color w:val="auto"/>
          <w:spacing w:val="-6"/>
          <w:sz w:val="30"/>
          <w:szCs w:val="30"/>
          <w:lang w:eastAsia="zh-CN"/>
        </w:rPr>
        <w:t>.3生态影响分析</w:t>
      </w:r>
      <w:bookmarkEnd w:id="249"/>
      <w:bookmarkEnd w:id="250"/>
      <w:bookmarkEnd w:id="251"/>
    </w:p>
    <w:p w14:paraId="79D6B43A" w14:textId="77777777" w:rsidR="0075791A" w:rsidRDefault="00FB2864">
      <w:pPr>
        <w:spacing w:line="360" w:lineRule="auto"/>
        <w:outlineLvl w:val="2"/>
        <w:rPr>
          <w:rFonts w:ascii="Times New Roman" w:eastAsia="宋体" w:hAnsi="Times New Roman" w:cs="Times New Roman"/>
          <w:b/>
          <w:bCs/>
          <w:color w:val="auto"/>
          <w:spacing w:val="-3"/>
          <w:sz w:val="24"/>
          <w:szCs w:val="24"/>
          <w:lang w:eastAsia="zh-CN"/>
        </w:rPr>
      </w:pPr>
      <w:bookmarkStart w:id="252" w:name="_Toc25795"/>
      <w:r>
        <w:rPr>
          <w:rFonts w:ascii="Times New Roman" w:eastAsia="宋体" w:hAnsi="Times New Roman" w:cs="Times New Roman" w:hint="eastAsia"/>
          <w:b/>
          <w:bCs/>
          <w:color w:val="auto"/>
          <w:spacing w:val="-3"/>
          <w:sz w:val="24"/>
          <w:szCs w:val="24"/>
          <w:lang w:eastAsia="zh-CN"/>
        </w:rPr>
        <w:t>4.3.1</w:t>
      </w:r>
      <w:r>
        <w:rPr>
          <w:rFonts w:ascii="Times New Roman" w:eastAsia="宋体" w:hAnsi="Times New Roman" w:cs="Times New Roman" w:hint="eastAsia"/>
          <w:b/>
          <w:bCs/>
          <w:color w:val="auto"/>
          <w:spacing w:val="-3"/>
          <w:sz w:val="24"/>
          <w:szCs w:val="24"/>
          <w:lang w:eastAsia="zh-CN"/>
        </w:rPr>
        <w:t>对水文动力环境影响分析</w:t>
      </w:r>
      <w:bookmarkEnd w:id="252"/>
    </w:p>
    <w:p w14:paraId="3CCD0C35"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宋体" w:hAnsi="宋体" w:hint="eastAsia"/>
          <w:color w:val="auto"/>
          <w:sz w:val="24"/>
          <w:lang w:eastAsia="zh-CN"/>
        </w:rPr>
        <w:t>本项目疏浚工程所在的海棠湾附近海区潮流动力弱，最大流速小于</w:t>
      </w:r>
      <w:r>
        <w:rPr>
          <w:rFonts w:ascii="宋体" w:hAnsi="宋体" w:hint="eastAsia"/>
          <w:color w:val="auto"/>
          <w:sz w:val="24"/>
          <w:lang w:eastAsia="zh-CN"/>
        </w:rPr>
        <w:t>40cm/s</w:t>
      </w:r>
      <w:r>
        <w:rPr>
          <w:rFonts w:ascii="宋体" w:hAnsi="宋体" w:hint="eastAsia"/>
          <w:color w:val="auto"/>
          <w:sz w:val="24"/>
          <w:lang w:eastAsia="zh-CN"/>
        </w:rPr>
        <w:t>。工程前后疏浚区流速的改变幅度较小，最大改变幅度在</w:t>
      </w:r>
      <w:r>
        <w:rPr>
          <w:rFonts w:ascii="宋体" w:hAnsi="宋体" w:hint="eastAsia"/>
          <w:color w:val="auto"/>
          <w:sz w:val="24"/>
          <w:lang w:eastAsia="zh-CN"/>
        </w:rPr>
        <w:t>15cm/s</w:t>
      </w:r>
      <w:r>
        <w:rPr>
          <w:rFonts w:ascii="宋体" w:hAnsi="宋体" w:hint="eastAsia"/>
          <w:color w:val="auto"/>
          <w:sz w:val="24"/>
          <w:lang w:eastAsia="zh-CN"/>
        </w:rPr>
        <w:t>左右，流速改变幅度大于</w:t>
      </w:r>
      <w:r>
        <w:rPr>
          <w:rFonts w:ascii="宋体" w:hAnsi="宋体" w:hint="eastAsia"/>
          <w:color w:val="auto"/>
          <w:sz w:val="24"/>
          <w:lang w:eastAsia="zh-CN"/>
        </w:rPr>
        <w:t>3cm/s</w:t>
      </w:r>
      <w:r>
        <w:rPr>
          <w:rFonts w:ascii="宋体" w:hAnsi="宋体" w:hint="eastAsia"/>
          <w:color w:val="auto"/>
          <w:sz w:val="24"/>
          <w:lang w:eastAsia="zh-CN"/>
        </w:rPr>
        <w:t>的范围的最远距离约</w:t>
      </w:r>
      <w:r>
        <w:rPr>
          <w:rFonts w:ascii="宋体" w:hAnsi="宋体" w:hint="eastAsia"/>
          <w:color w:val="auto"/>
          <w:sz w:val="24"/>
          <w:lang w:eastAsia="zh-CN"/>
        </w:rPr>
        <w:t>400m</w:t>
      </w:r>
      <w:r>
        <w:rPr>
          <w:rFonts w:ascii="宋体" w:hAnsi="宋体" w:hint="eastAsia"/>
          <w:color w:val="auto"/>
          <w:sz w:val="24"/>
          <w:lang w:eastAsia="zh-CN"/>
        </w:rPr>
        <w:t>。因此疏浚工程的实施对流速改变的幅度和范围都较小，只局限在疏浚区的小范围内，对周边的海洋动力环境影响较小。</w:t>
      </w:r>
    </w:p>
    <w:p w14:paraId="215A1FE7" w14:textId="77777777" w:rsidR="0075791A" w:rsidRDefault="00FB2864">
      <w:pPr>
        <w:spacing w:line="360" w:lineRule="auto"/>
        <w:outlineLvl w:val="2"/>
        <w:rPr>
          <w:rFonts w:ascii="Times New Roman" w:eastAsia="宋体" w:hAnsi="Times New Roman" w:cs="Times New Roman"/>
          <w:b/>
          <w:bCs/>
          <w:color w:val="auto"/>
          <w:spacing w:val="-3"/>
          <w:sz w:val="24"/>
          <w:szCs w:val="24"/>
          <w:lang w:eastAsia="zh-CN"/>
        </w:rPr>
      </w:pPr>
      <w:r>
        <w:rPr>
          <w:rFonts w:ascii="Times New Roman" w:eastAsia="宋体" w:hAnsi="Times New Roman" w:cs="Times New Roman" w:hint="eastAsia"/>
          <w:b/>
          <w:bCs/>
          <w:color w:val="auto"/>
          <w:spacing w:val="-3"/>
          <w:sz w:val="24"/>
          <w:szCs w:val="24"/>
          <w:lang w:eastAsia="zh-CN"/>
        </w:rPr>
        <w:t>4.3.2</w:t>
      </w:r>
      <w:r>
        <w:rPr>
          <w:rFonts w:ascii="Times New Roman" w:eastAsia="宋体" w:hAnsi="Times New Roman" w:cs="Times New Roman" w:hint="eastAsia"/>
          <w:b/>
          <w:bCs/>
          <w:color w:val="auto"/>
          <w:spacing w:val="-3"/>
          <w:sz w:val="24"/>
          <w:szCs w:val="24"/>
          <w:lang w:eastAsia="zh-CN"/>
        </w:rPr>
        <w:t>对铁炉港纳潮量和水体交换的影响分析</w:t>
      </w:r>
    </w:p>
    <w:p w14:paraId="1986A1CF"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一个海湾可以接纳的潮水的体积就是该海湾的纳潮量。纳潮量是海湾环境评价的重要指标，纳潮量的大小反应了海湾的自净能力，决定海湾与外海的交换强度</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对海湾环境、生态及冲淤等方面</w:t>
      </w:r>
      <w:r>
        <w:rPr>
          <w:rFonts w:ascii="Times New Roman" w:eastAsia="宋体" w:hAnsi="Times New Roman" w:cs="Times New Roman" w:hint="eastAsia"/>
          <w:snapToGrid/>
          <w:color w:val="auto"/>
          <w:kern w:val="2"/>
          <w:sz w:val="24"/>
          <w:szCs w:val="24"/>
          <w:lang w:eastAsia="zh-CN"/>
        </w:rPr>
        <w:t>意义重大。</w:t>
      </w:r>
    </w:p>
    <w:p w14:paraId="5CFA4136" w14:textId="77777777" w:rsidR="0075791A" w:rsidRDefault="00FB2864">
      <w:pPr>
        <w:spacing w:line="360" w:lineRule="auto"/>
        <w:ind w:firstLineChars="200" w:firstLine="480"/>
        <w:rPr>
          <w:rFonts w:ascii="Times New Roman" w:eastAsia="宋体" w:hAnsi="Times New Roman"/>
          <w:color w:val="auto"/>
          <w:sz w:val="24"/>
          <w:szCs w:val="24"/>
          <w:lang w:eastAsia="zh-CN"/>
        </w:rPr>
      </w:pPr>
      <w:r>
        <w:rPr>
          <w:rFonts w:ascii="宋体" w:hAnsi="宋体" w:hint="eastAsia"/>
          <w:color w:val="auto"/>
          <w:sz w:val="24"/>
          <w:szCs w:val="24"/>
          <w:lang w:eastAsia="zh-CN"/>
        </w:rPr>
        <w:t>工程前铁炉港的平均纳潮量约为</w:t>
      </w:r>
      <w:r>
        <w:rPr>
          <w:rFonts w:ascii="宋体" w:hAnsi="宋体" w:hint="eastAsia"/>
          <w:color w:val="auto"/>
          <w:sz w:val="24"/>
          <w:szCs w:val="24"/>
          <w:lang w:eastAsia="zh-CN"/>
        </w:rPr>
        <w:t>911</w:t>
      </w:r>
      <w:r>
        <w:rPr>
          <w:rFonts w:ascii="宋体" w:hAnsi="宋体"/>
          <w:color w:val="auto"/>
          <w:sz w:val="24"/>
          <w:szCs w:val="24"/>
          <w:lang w:eastAsia="zh-CN"/>
        </w:rPr>
        <w:t>.</w:t>
      </w:r>
      <w:r>
        <w:rPr>
          <w:rFonts w:ascii="宋体" w:hAnsi="宋体" w:hint="eastAsia"/>
          <w:color w:val="auto"/>
          <w:sz w:val="24"/>
          <w:szCs w:val="24"/>
          <w:lang w:eastAsia="zh-CN"/>
        </w:rPr>
        <w:t>55</w:t>
      </w:r>
      <w:r>
        <w:rPr>
          <w:rFonts w:ascii="宋体" w:hAnsi="宋体" w:hint="eastAsia"/>
          <w:color w:val="auto"/>
          <w:sz w:val="24"/>
          <w:szCs w:val="24"/>
          <w:lang w:eastAsia="zh-CN"/>
        </w:rPr>
        <w:t>万</w:t>
      </w:r>
      <w:r>
        <w:rPr>
          <w:rFonts w:ascii="宋体" w:hAnsi="宋体"/>
          <w:color w:val="auto"/>
          <w:sz w:val="24"/>
          <w:szCs w:val="24"/>
          <w:lang w:eastAsia="zh-CN"/>
        </w:rPr>
        <w:t>m</w:t>
      </w:r>
      <w:r>
        <w:rPr>
          <w:rFonts w:ascii="宋体" w:hAnsi="宋体"/>
          <w:color w:val="auto"/>
          <w:sz w:val="24"/>
          <w:szCs w:val="24"/>
          <w:vertAlign w:val="superscript"/>
          <w:lang w:eastAsia="zh-CN"/>
        </w:rPr>
        <w:t>3</w:t>
      </w:r>
      <w:r>
        <w:rPr>
          <w:rFonts w:ascii="宋体" w:hAnsi="宋体" w:hint="eastAsia"/>
          <w:color w:val="auto"/>
          <w:sz w:val="24"/>
          <w:szCs w:val="24"/>
          <w:lang w:eastAsia="zh-CN"/>
        </w:rPr>
        <w:t>，工程后纳潮量为</w:t>
      </w:r>
      <w:r>
        <w:rPr>
          <w:rFonts w:ascii="宋体" w:hAnsi="宋体" w:hint="eastAsia"/>
          <w:color w:val="auto"/>
          <w:sz w:val="24"/>
          <w:szCs w:val="24"/>
          <w:lang w:eastAsia="zh-CN"/>
        </w:rPr>
        <w:t>915</w:t>
      </w:r>
      <w:r>
        <w:rPr>
          <w:rFonts w:ascii="宋体" w:hAnsi="宋体"/>
          <w:color w:val="auto"/>
          <w:sz w:val="24"/>
          <w:szCs w:val="24"/>
          <w:lang w:eastAsia="zh-CN"/>
        </w:rPr>
        <w:t>.</w:t>
      </w:r>
      <w:r>
        <w:rPr>
          <w:rFonts w:ascii="宋体" w:hAnsi="宋体" w:hint="eastAsia"/>
          <w:color w:val="auto"/>
          <w:sz w:val="24"/>
          <w:szCs w:val="24"/>
          <w:lang w:eastAsia="zh-CN"/>
        </w:rPr>
        <w:t>71</w:t>
      </w:r>
      <w:r>
        <w:rPr>
          <w:rFonts w:ascii="宋体" w:hAnsi="宋体" w:hint="eastAsia"/>
          <w:color w:val="auto"/>
          <w:sz w:val="24"/>
          <w:szCs w:val="24"/>
          <w:lang w:eastAsia="zh-CN"/>
        </w:rPr>
        <w:t>万</w:t>
      </w:r>
      <w:r>
        <w:rPr>
          <w:rFonts w:ascii="宋体" w:hAnsi="宋体"/>
          <w:color w:val="auto"/>
          <w:sz w:val="24"/>
          <w:szCs w:val="24"/>
          <w:lang w:eastAsia="zh-CN"/>
        </w:rPr>
        <w:t>m</w:t>
      </w:r>
      <w:r>
        <w:rPr>
          <w:rFonts w:ascii="宋体" w:hAnsi="宋体"/>
          <w:color w:val="auto"/>
          <w:sz w:val="24"/>
          <w:szCs w:val="24"/>
          <w:vertAlign w:val="superscript"/>
          <w:lang w:eastAsia="zh-CN"/>
        </w:rPr>
        <w:t>3</w:t>
      </w:r>
      <w:r>
        <w:rPr>
          <w:rFonts w:ascii="宋体" w:hAnsi="宋体" w:hint="eastAsia"/>
          <w:color w:val="auto"/>
          <w:sz w:val="24"/>
          <w:szCs w:val="24"/>
          <w:lang w:eastAsia="zh-CN"/>
        </w:rPr>
        <w:t>，增加值为</w:t>
      </w:r>
      <w:r>
        <w:rPr>
          <w:rFonts w:ascii="宋体" w:hAnsi="宋体" w:hint="eastAsia"/>
          <w:color w:val="auto"/>
          <w:sz w:val="24"/>
          <w:szCs w:val="24"/>
          <w:lang w:eastAsia="zh-CN"/>
        </w:rPr>
        <w:t>4</w:t>
      </w:r>
      <w:r>
        <w:rPr>
          <w:rFonts w:ascii="宋体" w:hAnsi="宋体"/>
          <w:color w:val="auto"/>
          <w:sz w:val="24"/>
          <w:szCs w:val="24"/>
          <w:lang w:eastAsia="zh-CN"/>
        </w:rPr>
        <w:t>.</w:t>
      </w:r>
      <w:r>
        <w:rPr>
          <w:rFonts w:ascii="宋体" w:hAnsi="宋体" w:hint="eastAsia"/>
          <w:color w:val="auto"/>
          <w:sz w:val="24"/>
          <w:szCs w:val="24"/>
          <w:lang w:eastAsia="zh-CN"/>
        </w:rPr>
        <w:t>16</w:t>
      </w:r>
      <w:r>
        <w:rPr>
          <w:rFonts w:ascii="宋体" w:hAnsi="宋体" w:hint="eastAsia"/>
          <w:color w:val="auto"/>
          <w:sz w:val="24"/>
          <w:szCs w:val="24"/>
          <w:lang w:eastAsia="zh-CN"/>
        </w:rPr>
        <w:t>万</w:t>
      </w:r>
      <w:r>
        <w:rPr>
          <w:rFonts w:ascii="宋体" w:hAnsi="宋体"/>
          <w:color w:val="auto"/>
          <w:sz w:val="24"/>
          <w:szCs w:val="24"/>
          <w:lang w:eastAsia="zh-CN"/>
        </w:rPr>
        <w:t>m</w:t>
      </w:r>
      <w:r>
        <w:rPr>
          <w:rFonts w:ascii="宋体" w:hAnsi="宋体"/>
          <w:color w:val="auto"/>
          <w:sz w:val="24"/>
          <w:szCs w:val="24"/>
          <w:vertAlign w:val="superscript"/>
          <w:lang w:eastAsia="zh-CN"/>
        </w:rPr>
        <w:t>3</w:t>
      </w:r>
      <w:r>
        <w:rPr>
          <w:rFonts w:ascii="宋体" w:hAnsi="宋体" w:hint="eastAsia"/>
          <w:color w:val="auto"/>
          <w:sz w:val="24"/>
          <w:szCs w:val="24"/>
          <w:lang w:eastAsia="zh-CN"/>
        </w:rPr>
        <w:t>，工程后纳潮量平均增加幅度约</w:t>
      </w:r>
      <w:r>
        <w:rPr>
          <w:rFonts w:ascii="宋体" w:hAnsi="宋体" w:hint="eastAsia"/>
          <w:color w:val="auto"/>
          <w:sz w:val="24"/>
          <w:szCs w:val="24"/>
          <w:lang w:eastAsia="zh-CN"/>
        </w:rPr>
        <w:t>0</w:t>
      </w:r>
      <w:r>
        <w:rPr>
          <w:rFonts w:ascii="宋体" w:hAnsi="宋体"/>
          <w:color w:val="auto"/>
          <w:sz w:val="24"/>
          <w:szCs w:val="24"/>
          <w:lang w:eastAsia="zh-CN"/>
        </w:rPr>
        <w:t>.</w:t>
      </w:r>
      <w:r>
        <w:rPr>
          <w:rFonts w:ascii="宋体" w:hAnsi="宋体" w:hint="eastAsia"/>
          <w:color w:val="auto"/>
          <w:sz w:val="24"/>
          <w:szCs w:val="24"/>
          <w:lang w:eastAsia="zh-CN"/>
        </w:rPr>
        <w:t>47</w:t>
      </w:r>
      <w:r>
        <w:rPr>
          <w:rFonts w:ascii="宋体" w:hAnsi="宋体"/>
          <w:color w:val="auto"/>
          <w:sz w:val="24"/>
          <w:szCs w:val="24"/>
          <w:lang w:eastAsia="zh-CN"/>
        </w:rPr>
        <w:t>%</w:t>
      </w:r>
      <w:r>
        <w:rPr>
          <w:rFonts w:ascii="宋体" w:hAnsi="宋体"/>
          <w:color w:val="auto"/>
          <w:sz w:val="24"/>
          <w:szCs w:val="24"/>
          <w:lang w:eastAsia="zh-CN"/>
        </w:rPr>
        <w:t>，</w:t>
      </w:r>
      <w:r>
        <w:rPr>
          <w:rFonts w:ascii="宋体" w:hAnsi="宋体" w:hint="eastAsia"/>
          <w:color w:val="auto"/>
          <w:sz w:val="24"/>
          <w:szCs w:val="24"/>
          <w:lang w:eastAsia="zh-CN"/>
        </w:rPr>
        <w:t>纳潮量略有增加，这有利于维持铁炉港潮汐通道和泻湖口门的稳定。</w:t>
      </w:r>
    </w:p>
    <w:p w14:paraId="07A4AB9B"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Times New Roman"/>
          <w:snapToGrid/>
          <w:color w:val="auto"/>
          <w:kern w:val="2"/>
          <w:sz w:val="24"/>
          <w:szCs w:val="22"/>
          <w:lang w:eastAsia="zh-CN"/>
        </w:rPr>
      </w:pPr>
      <w:r>
        <w:rPr>
          <w:rFonts w:ascii="宋体" w:eastAsia="宋体" w:hAnsi="宋体" w:cs="Times New Roman" w:hint="eastAsia"/>
          <w:snapToGrid/>
          <w:color w:val="auto"/>
          <w:kern w:val="2"/>
          <w:sz w:val="24"/>
          <w:szCs w:val="22"/>
          <w:lang w:eastAsia="zh-CN"/>
        </w:rPr>
        <w:t>本项目疏浚工程有利于潟湖内部与外海的水体交换，主要原因在于疏浚后扩大了过水断面面积，同时增加了潟湖的纳潮量，整体上有利于潟湖的水交换和污染物稀释，有利于潟湖的水质改善。</w:t>
      </w:r>
    </w:p>
    <w:p w14:paraId="53581DDE" w14:textId="77777777" w:rsidR="0075791A" w:rsidRDefault="00FB2864">
      <w:pPr>
        <w:spacing w:line="360" w:lineRule="auto"/>
        <w:outlineLvl w:val="2"/>
        <w:rPr>
          <w:rFonts w:ascii="Times New Roman" w:eastAsia="宋体" w:hAnsi="Times New Roman" w:cs="Times New Roman"/>
          <w:b/>
          <w:bCs/>
          <w:color w:val="auto"/>
          <w:spacing w:val="-3"/>
          <w:sz w:val="24"/>
          <w:szCs w:val="24"/>
          <w:lang w:eastAsia="zh-CN"/>
        </w:rPr>
      </w:pPr>
      <w:bookmarkStart w:id="253" w:name="_Toc18086"/>
      <w:r>
        <w:rPr>
          <w:rFonts w:ascii="Times New Roman" w:eastAsia="宋体" w:hAnsi="Times New Roman" w:cs="Times New Roman" w:hint="eastAsia"/>
          <w:b/>
          <w:bCs/>
          <w:color w:val="auto"/>
          <w:spacing w:val="-3"/>
          <w:sz w:val="24"/>
          <w:szCs w:val="24"/>
          <w:lang w:eastAsia="zh-CN"/>
        </w:rPr>
        <w:t>4.3.3</w:t>
      </w:r>
      <w:r>
        <w:rPr>
          <w:rFonts w:ascii="Times New Roman" w:eastAsia="宋体" w:hAnsi="Times New Roman" w:cs="Times New Roman" w:hint="eastAsia"/>
          <w:b/>
          <w:bCs/>
          <w:color w:val="auto"/>
          <w:spacing w:val="-3"/>
          <w:sz w:val="24"/>
          <w:szCs w:val="24"/>
          <w:lang w:eastAsia="zh-CN"/>
        </w:rPr>
        <w:t>对海水水质环境影响分析</w:t>
      </w:r>
      <w:bookmarkEnd w:id="253"/>
    </w:p>
    <w:p w14:paraId="767EAF34" w14:textId="77777777" w:rsidR="0075791A" w:rsidRDefault="00FB2864">
      <w:pPr>
        <w:spacing w:line="360" w:lineRule="auto"/>
        <w:ind w:firstLineChars="200" w:firstLine="480"/>
        <w:rPr>
          <w:rFonts w:ascii="Times New Roman" w:eastAsia="宋体" w:hAnsi="Times New Roman"/>
          <w:color w:val="auto"/>
          <w:sz w:val="24"/>
          <w:szCs w:val="24"/>
          <w:lang w:eastAsia="zh-CN"/>
        </w:rPr>
      </w:pPr>
      <w:r>
        <w:rPr>
          <w:rFonts w:ascii="Times New Roman" w:eastAsia="宋体" w:hAnsi="Times New Roman"/>
          <w:color w:val="auto"/>
          <w:sz w:val="24"/>
          <w:szCs w:val="24"/>
          <w:lang w:eastAsia="zh-CN"/>
        </w:rPr>
        <w:t>本项目施工过程中产生的悬浮物扩散范围只局限在项目周边范围内，</w:t>
      </w:r>
      <w:r>
        <w:rPr>
          <w:rFonts w:ascii="Times New Roman" w:eastAsia="宋体" w:hAnsi="Times New Roman" w:hint="eastAsia"/>
          <w:color w:val="auto"/>
          <w:sz w:val="24"/>
          <w:szCs w:val="24"/>
          <w:lang w:eastAsia="zh-CN"/>
        </w:rPr>
        <w:t>微地形改造</w:t>
      </w:r>
      <w:r>
        <w:rPr>
          <w:rFonts w:ascii="Times New Roman" w:eastAsia="宋体" w:hAnsi="Times New Roman"/>
          <w:color w:val="auto"/>
          <w:sz w:val="24"/>
          <w:szCs w:val="24"/>
          <w:lang w:eastAsia="zh-CN"/>
        </w:rPr>
        <w:t>项目施工过程中未对珊瑚礁分布区、海草床分布区等区域产生不利影响，同时对周边</w:t>
      </w:r>
      <w:r>
        <w:rPr>
          <w:rFonts w:ascii="Times New Roman" w:eastAsia="宋体" w:hAnsi="Times New Roman" w:hint="eastAsia"/>
          <w:color w:val="auto"/>
          <w:sz w:val="24"/>
          <w:szCs w:val="24"/>
          <w:lang w:eastAsia="zh-CN"/>
        </w:rPr>
        <w:t>生态保护红线</w:t>
      </w:r>
      <w:r>
        <w:rPr>
          <w:rFonts w:ascii="Times New Roman" w:eastAsia="宋体" w:hAnsi="Times New Roman"/>
          <w:color w:val="auto"/>
          <w:sz w:val="24"/>
          <w:szCs w:val="24"/>
          <w:lang w:eastAsia="zh-CN"/>
        </w:rPr>
        <w:t>影响</w:t>
      </w:r>
      <w:r>
        <w:rPr>
          <w:rFonts w:ascii="Times New Roman" w:eastAsia="宋体" w:hAnsi="Times New Roman" w:hint="eastAsia"/>
          <w:color w:val="auto"/>
          <w:sz w:val="24"/>
          <w:szCs w:val="24"/>
          <w:lang w:eastAsia="zh-CN"/>
        </w:rPr>
        <w:t>较小，</w:t>
      </w:r>
      <w:r>
        <w:rPr>
          <w:rFonts w:ascii="Times New Roman" w:eastAsia="宋体" w:hAnsi="Times New Roman"/>
          <w:color w:val="auto"/>
          <w:sz w:val="24"/>
          <w:szCs w:val="24"/>
          <w:lang w:eastAsia="zh-CN"/>
        </w:rPr>
        <w:t>且所有源点叠加后超</w:t>
      </w:r>
      <w:r>
        <w:rPr>
          <w:rFonts w:ascii="Times New Roman" w:eastAsia="宋体" w:hAnsi="Times New Roman"/>
          <w:color w:val="auto"/>
          <w:sz w:val="24"/>
          <w:szCs w:val="24"/>
          <w:lang w:eastAsia="zh-CN"/>
        </w:rPr>
        <w:t>I</w:t>
      </w:r>
      <w:r>
        <w:rPr>
          <w:rFonts w:ascii="Times New Roman" w:eastAsia="宋体" w:hAnsi="Times New Roman"/>
          <w:color w:val="auto"/>
          <w:sz w:val="24"/>
          <w:szCs w:val="24"/>
          <w:lang w:eastAsia="zh-CN"/>
        </w:rPr>
        <w:t>、</w:t>
      </w:r>
      <w:r>
        <w:rPr>
          <w:rFonts w:ascii="Times New Roman" w:eastAsia="宋体" w:hAnsi="Times New Roman"/>
          <w:color w:val="auto"/>
          <w:sz w:val="24"/>
          <w:szCs w:val="24"/>
          <w:lang w:eastAsia="zh-CN"/>
        </w:rPr>
        <w:t>Ⅱ</w:t>
      </w:r>
      <w:r>
        <w:rPr>
          <w:rFonts w:ascii="Times New Roman" w:eastAsia="宋体" w:hAnsi="Times New Roman"/>
          <w:color w:val="auto"/>
          <w:sz w:val="24"/>
          <w:szCs w:val="24"/>
          <w:lang w:eastAsia="zh-CN"/>
        </w:rPr>
        <w:t>类水质</w:t>
      </w:r>
      <w:r>
        <w:rPr>
          <w:rFonts w:ascii="Times New Roman" w:eastAsia="宋体" w:hAnsi="Times New Roman" w:hint="eastAsia"/>
          <w:color w:val="auto"/>
          <w:sz w:val="24"/>
          <w:szCs w:val="24"/>
          <w:lang w:eastAsia="zh-CN"/>
        </w:rPr>
        <w:t>（</w:t>
      </w:r>
      <w:r>
        <w:rPr>
          <w:rFonts w:ascii="Times New Roman" w:eastAsia="宋体" w:hAnsi="Times New Roman"/>
          <w:color w:val="auto"/>
          <w:sz w:val="24"/>
          <w:szCs w:val="24"/>
          <w:lang w:eastAsia="zh-CN"/>
        </w:rPr>
        <w:t>&gt;10mg/L</w:t>
      </w:r>
      <w:r>
        <w:rPr>
          <w:rFonts w:ascii="Times New Roman" w:eastAsia="宋体" w:hAnsi="Times New Roman" w:hint="eastAsia"/>
          <w:color w:val="auto"/>
          <w:sz w:val="24"/>
          <w:szCs w:val="24"/>
          <w:lang w:eastAsia="zh-CN"/>
        </w:rPr>
        <w:t>）</w:t>
      </w:r>
      <w:r>
        <w:rPr>
          <w:rFonts w:ascii="Times New Roman" w:eastAsia="宋体" w:hAnsi="Times New Roman" w:hint="eastAsia"/>
          <w:color w:val="auto"/>
          <w:sz w:val="24"/>
          <w:szCs w:val="24"/>
          <w:lang w:eastAsia="zh-CN"/>
        </w:rPr>
        <w:t>扩散的最远距离仅有</w:t>
      </w:r>
      <w:r>
        <w:rPr>
          <w:rFonts w:ascii="Times New Roman" w:eastAsia="宋体" w:hAnsi="Times New Roman" w:hint="eastAsia"/>
          <w:color w:val="auto"/>
          <w:sz w:val="24"/>
          <w:szCs w:val="24"/>
          <w:lang w:eastAsia="zh-CN"/>
        </w:rPr>
        <w:t>1.2</w:t>
      </w:r>
      <w:r>
        <w:rPr>
          <w:rFonts w:ascii="Times New Roman" w:eastAsia="宋体" w:hAnsi="Times New Roman" w:hint="eastAsia"/>
          <w:color w:val="auto"/>
          <w:sz w:val="24"/>
          <w:szCs w:val="24"/>
          <w:lang w:eastAsia="zh-CN"/>
        </w:rPr>
        <w:t>km</w:t>
      </w:r>
      <w:r>
        <w:rPr>
          <w:rFonts w:ascii="Times New Roman" w:eastAsia="宋体" w:hAnsi="Times New Roman" w:hint="eastAsia"/>
          <w:color w:val="auto"/>
          <w:sz w:val="24"/>
          <w:szCs w:val="24"/>
          <w:lang w:eastAsia="zh-CN"/>
        </w:rPr>
        <w:t>左右</w:t>
      </w:r>
      <w:r>
        <w:rPr>
          <w:rFonts w:ascii="Times New Roman" w:eastAsia="宋体" w:hAnsi="Times New Roman"/>
          <w:color w:val="auto"/>
          <w:sz w:val="24"/>
          <w:szCs w:val="24"/>
          <w:lang w:eastAsia="zh-CN"/>
        </w:rPr>
        <w:t>。此外，施工过程中产生的悬浮泥沙对海水水质的影响，时间是短暂的，这种影响一旦施工完毕，在较短的时间内（</w:t>
      </w:r>
      <w:r>
        <w:rPr>
          <w:rFonts w:ascii="Times New Roman" w:eastAsia="宋体" w:hAnsi="Times New Roman"/>
          <w:color w:val="auto"/>
          <w:sz w:val="24"/>
          <w:szCs w:val="24"/>
          <w:lang w:eastAsia="zh-CN"/>
        </w:rPr>
        <w:t>12</w:t>
      </w:r>
      <w:r>
        <w:rPr>
          <w:rFonts w:ascii="Times New Roman" w:eastAsia="宋体" w:hAnsi="Times New Roman"/>
          <w:color w:val="auto"/>
          <w:sz w:val="24"/>
          <w:szCs w:val="24"/>
          <w:lang w:eastAsia="zh-CN"/>
        </w:rPr>
        <w:t>小时）也就结束。</w:t>
      </w:r>
    </w:p>
    <w:p w14:paraId="75144AC2" w14:textId="77777777" w:rsidR="0075791A" w:rsidRDefault="00FB2864">
      <w:pPr>
        <w:spacing w:line="360" w:lineRule="auto"/>
        <w:outlineLvl w:val="2"/>
        <w:rPr>
          <w:rFonts w:ascii="Times New Roman" w:eastAsia="宋体" w:hAnsi="Times New Roman" w:cs="Times New Roman"/>
          <w:b/>
          <w:bCs/>
          <w:color w:val="auto"/>
          <w:spacing w:val="-3"/>
          <w:sz w:val="24"/>
          <w:szCs w:val="24"/>
          <w:lang w:eastAsia="zh-CN"/>
        </w:rPr>
      </w:pPr>
      <w:bookmarkStart w:id="254" w:name="_Toc19927"/>
      <w:r>
        <w:rPr>
          <w:rFonts w:ascii="Times New Roman" w:eastAsia="宋体" w:hAnsi="Times New Roman" w:cs="Times New Roman" w:hint="eastAsia"/>
          <w:b/>
          <w:bCs/>
          <w:color w:val="auto"/>
          <w:spacing w:val="-3"/>
          <w:sz w:val="24"/>
          <w:szCs w:val="24"/>
          <w:lang w:eastAsia="zh-CN"/>
        </w:rPr>
        <w:t>4.3.4</w:t>
      </w:r>
      <w:r>
        <w:rPr>
          <w:rFonts w:ascii="Times New Roman" w:eastAsia="宋体" w:hAnsi="Times New Roman" w:cs="Times New Roman" w:hint="eastAsia"/>
          <w:b/>
          <w:bCs/>
          <w:color w:val="auto"/>
          <w:spacing w:val="-3"/>
          <w:sz w:val="24"/>
          <w:szCs w:val="24"/>
          <w:lang w:eastAsia="zh-CN"/>
        </w:rPr>
        <w:t>对地形地貌与冲淤环境影响分析</w:t>
      </w:r>
      <w:bookmarkEnd w:id="254"/>
    </w:p>
    <w:p w14:paraId="2684F1D5" w14:textId="77777777" w:rsidR="0075791A" w:rsidRDefault="00FB2864">
      <w:pPr>
        <w:spacing w:line="360" w:lineRule="auto"/>
        <w:ind w:firstLineChars="200" w:firstLine="480"/>
        <w:rPr>
          <w:rFonts w:ascii="Times New Roman" w:eastAsia="宋体" w:hAnsi="Times New Roman"/>
          <w:color w:val="auto"/>
          <w:sz w:val="24"/>
          <w:szCs w:val="24"/>
          <w:lang w:eastAsia="zh-CN"/>
        </w:rPr>
      </w:pPr>
      <w:r>
        <w:rPr>
          <w:rFonts w:ascii="宋体" w:hAnsi="宋体" w:hint="eastAsia"/>
          <w:color w:val="auto"/>
          <w:sz w:val="24"/>
          <w:lang w:eastAsia="zh-CN"/>
        </w:rPr>
        <w:t>疏浚工程完成后，由于疏浚后水深增加，流速略有减小，因此，泥沙将在疏浚区及附近水域落淤，但由流速改变幅度较小，海水悬沙含量也小，因此疏浚区的年淤积强度最大值只有</w:t>
      </w:r>
      <w:r>
        <w:rPr>
          <w:rFonts w:ascii="宋体" w:hAnsi="宋体" w:hint="eastAsia"/>
          <w:color w:val="auto"/>
          <w:sz w:val="24"/>
          <w:lang w:eastAsia="zh-CN"/>
        </w:rPr>
        <w:t>13cm/a</w:t>
      </w:r>
      <w:r>
        <w:rPr>
          <w:rFonts w:ascii="宋体" w:hAnsi="宋体" w:hint="eastAsia"/>
          <w:color w:val="auto"/>
          <w:sz w:val="24"/>
          <w:lang w:eastAsia="zh-CN"/>
        </w:rPr>
        <w:t>左右；在疏浚区的南侧连接处，由于流速略有增加，导致小幅度的冲</w:t>
      </w:r>
      <w:r>
        <w:rPr>
          <w:rFonts w:ascii="宋体" w:hAnsi="宋体" w:hint="eastAsia"/>
          <w:color w:val="auto"/>
          <w:sz w:val="24"/>
          <w:lang w:eastAsia="zh-CN"/>
        </w:rPr>
        <w:lastRenderedPageBreak/>
        <w:t>刷，最大冲刷幅度在</w:t>
      </w:r>
      <w:r>
        <w:rPr>
          <w:rFonts w:ascii="宋体" w:hAnsi="宋体" w:hint="eastAsia"/>
          <w:color w:val="auto"/>
          <w:sz w:val="24"/>
          <w:lang w:eastAsia="zh-CN"/>
        </w:rPr>
        <w:t>7cm/a</w:t>
      </w:r>
      <w:r>
        <w:rPr>
          <w:rFonts w:ascii="宋体" w:hAnsi="宋体" w:hint="eastAsia"/>
          <w:color w:val="auto"/>
          <w:sz w:val="24"/>
          <w:lang w:eastAsia="zh-CN"/>
        </w:rPr>
        <w:t>左右。本项目工程后悬浮沙引起冲淤的范围较小，主要集中在疏浚区及附近的小范围内，冲淤幅度也较</w:t>
      </w:r>
      <w:r>
        <w:rPr>
          <w:rFonts w:ascii="宋体" w:hAnsi="宋体" w:hint="eastAsia"/>
          <w:color w:val="auto"/>
          <w:sz w:val="24"/>
          <w:lang w:eastAsia="zh-CN"/>
        </w:rPr>
        <w:t>小，最大值在±</w:t>
      </w:r>
      <w:r>
        <w:rPr>
          <w:rFonts w:ascii="宋体" w:hAnsi="宋体" w:hint="eastAsia"/>
          <w:color w:val="auto"/>
          <w:sz w:val="24"/>
          <w:lang w:eastAsia="zh-CN"/>
        </w:rPr>
        <w:t>13</w:t>
      </w:r>
      <w:r>
        <w:rPr>
          <w:rFonts w:ascii="宋体" w:hAnsi="宋体"/>
          <w:color w:val="auto"/>
          <w:sz w:val="24"/>
          <w:lang w:eastAsia="zh-CN"/>
        </w:rPr>
        <w:t>cm/a</w:t>
      </w:r>
      <w:r>
        <w:rPr>
          <w:rFonts w:ascii="宋体" w:hAnsi="宋体" w:hint="eastAsia"/>
          <w:color w:val="auto"/>
          <w:sz w:val="24"/>
          <w:lang w:eastAsia="zh-CN"/>
        </w:rPr>
        <w:t>左右。</w:t>
      </w:r>
    </w:p>
    <w:p w14:paraId="553E4DDF" w14:textId="77777777" w:rsidR="0075791A" w:rsidRDefault="00FB2864">
      <w:pPr>
        <w:spacing w:line="360" w:lineRule="auto"/>
        <w:ind w:firstLineChars="200" w:firstLine="480"/>
        <w:rPr>
          <w:rFonts w:ascii="Times New Roman" w:eastAsia="宋体" w:hAnsi="Times New Roman"/>
          <w:color w:val="auto"/>
          <w:sz w:val="24"/>
          <w:szCs w:val="24"/>
          <w:lang w:eastAsia="zh-CN"/>
        </w:rPr>
      </w:pPr>
      <w:r>
        <w:rPr>
          <w:rFonts w:ascii="宋体" w:hAnsi="宋体" w:hint="eastAsia"/>
          <w:color w:val="auto"/>
          <w:sz w:val="24"/>
          <w:lang w:eastAsia="zh-CN"/>
        </w:rPr>
        <w:t>铁炉港潮汐通道过水断面面积小于均衡态条件下的过水断面面积，因此在目前情况下，铁炉港潮汐通道将继续维持现有的过水断面面积和潮汐深槽，不会出现明显的淤积。工程后纳潮量增加，这有利于维持铁炉港潮汐汊道的稳定。</w:t>
      </w:r>
    </w:p>
    <w:p w14:paraId="523E4784" w14:textId="77777777" w:rsidR="0075791A" w:rsidRDefault="00FB2864">
      <w:pPr>
        <w:spacing w:line="360" w:lineRule="auto"/>
        <w:outlineLvl w:val="2"/>
        <w:rPr>
          <w:rFonts w:ascii="Times New Roman" w:eastAsia="宋体" w:hAnsi="Times New Roman" w:cs="Times New Roman"/>
          <w:b/>
          <w:bCs/>
          <w:color w:val="auto"/>
          <w:spacing w:val="-3"/>
          <w:sz w:val="24"/>
          <w:szCs w:val="24"/>
          <w:lang w:eastAsia="zh-CN"/>
        </w:rPr>
      </w:pPr>
      <w:bookmarkStart w:id="255" w:name="_Toc21932"/>
      <w:r>
        <w:rPr>
          <w:rFonts w:ascii="Times New Roman" w:eastAsia="宋体" w:hAnsi="Times New Roman" w:cs="Times New Roman" w:hint="eastAsia"/>
          <w:b/>
          <w:bCs/>
          <w:color w:val="auto"/>
          <w:spacing w:val="-3"/>
          <w:sz w:val="24"/>
          <w:szCs w:val="24"/>
          <w:lang w:eastAsia="zh-CN"/>
        </w:rPr>
        <w:t>4.3.5</w:t>
      </w:r>
      <w:r>
        <w:rPr>
          <w:rFonts w:ascii="Times New Roman" w:eastAsia="宋体" w:hAnsi="Times New Roman" w:cs="Times New Roman" w:hint="eastAsia"/>
          <w:b/>
          <w:bCs/>
          <w:color w:val="auto"/>
          <w:spacing w:val="-3"/>
          <w:sz w:val="24"/>
          <w:szCs w:val="24"/>
          <w:lang w:eastAsia="zh-CN"/>
        </w:rPr>
        <w:t>对岸线稳定性影响分析</w:t>
      </w:r>
      <w:bookmarkEnd w:id="255"/>
    </w:p>
    <w:p w14:paraId="3A4A752F"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bookmarkStart w:id="256" w:name="_Toc14886"/>
      <w:r>
        <w:rPr>
          <w:rFonts w:ascii="Times New Roman" w:eastAsia="宋体" w:hAnsi="Times New Roman" w:cs="Times New Roman" w:hint="eastAsia"/>
          <w:snapToGrid/>
          <w:color w:val="auto"/>
          <w:kern w:val="2"/>
          <w:sz w:val="24"/>
          <w:szCs w:val="24"/>
          <w:lang w:eastAsia="zh-CN"/>
        </w:rPr>
        <w:t>本项目建设内容为清淤工程，清淤区域为因水动力较弱与海湾淤积区域，清淤区与海岸线距离在</w:t>
      </w:r>
      <w:r>
        <w:rPr>
          <w:rFonts w:ascii="Times New Roman" w:eastAsia="宋体" w:hAnsi="Times New Roman" w:cs="Times New Roman" w:hint="eastAsia"/>
          <w:snapToGrid/>
          <w:color w:val="auto"/>
          <w:kern w:val="2"/>
          <w:sz w:val="24"/>
          <w:szCs w:val="24"/>
          <w:lang w:eastAsia="zh-CN"/>
        </w:rPr>
        <w:t>20~145m</w:t>
      </w:r>
      <w:r>
        <w:rPr>
          <w:rFonts w:ascii="Times New Roman" w:eastAsia="宋体" w:hAnsi="Times New Roman" w:cs="Times New Roman" w:hint="eastAsia"/>
          <w:snapToGrid/>
          <w:color w:val="auto"/>
          <w:kern w:val="2"/>
          <w:sz w:val="24"/>
          <w:szCs w:val="24"/>
          <w:lang w:eastAsia="zh-CN"/>
        </w:rPr>
        <w:t>之间，且清淤区域周边海岸线主要为顺岸的非透水构筑物岸线、自然岸线的砂质岸线。</w:t>
      </w:r>
    </w:p>
    <w:p w14:paraId="557E6AEF"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根据铁炉港内受地形影响</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海流</w:t>
      </w:r>
      <w:r>
        <w:rPr>
          <w:rFonts w:ascii="Times New Roman" w:eastAsia="宋体" w:hAnsi="Times New Roman" w:cs="Times New Roman"/>
          <w:snapToGrid/>
          <w:color w:val="auto"/>
          <w:kern w:val="2"/>
          <w:sz w:val="24"/>
          <w:szCs w:val="24"/>
          <w:lang w:eastAsia="zh-CN"/>
        </w:rPr>
        <w:t>流速较弱。清淤工程各方案实施前后，</w:t>
      </w:r>
      <w:r>
        <w:rPr>
          <w:rFonts w:ascii="Times New Roman" w:eastAsia="宋体" w:hAnsi="Times New Roman" w:cs="Times New Roman" w:hint="eastAsia"/>
          <w:snapToGrid/>
          <w:color w:val="auto"/>
          <w:kern w:val="2"/>
          <w:sz w:val="24"/>
          <w:szCs w:val="24"/>
          <w:lang w:eastAsia="zh-CN"/>
        </w:rPr>
        <w:t>港内流速变化不大。</w:t>
      </w:r>
      <w:r>
        <w:rPr>
          <w:rFonts w:ascii="Times New Roman" w:eastAsia="宋体" w:hAnsi="Times New Roman" w:cs="Times New Roman"/>
          <w:snapToGrid/>
          <w:color w:val="auto"/>
          <w:kern w:val="2"/>
          <w:sz w:val="24"/>
          <w:szCs w:val="24"/>
          <w:lang w:eastAsia="zh-CN"/>
        </w:rPr>
        <w:t>清淤工程对</w:t>
      </w:r>
      <w:r>
        <w:rPr>
          <w:rFonts w:ascii="Times New Roman" w:eastAsia="宋体" w:hAnsi="Times New Roman" w:cs="Times New Roman" w:hint="eastAsia"/>
          <w:snapToGrid/>
          <w:color w:val="auto"/>
          <w:kern w:val="2"/>
          <w:sz w:val="24"/>
          <w:szCs w:val="24"/>
          <w:lang w:eastAsia="zh-CN"/>
        </w:rPr>
        <w:t>铁炉港</w:t>
      </w:r>
      <w:r>
        <w:rPr>
          <w:rFonts w:ascii="Times New Roman" w:eastAsia="宋体" w:hAnsi="Times New Roman" w:cs="Times New Roman"/>
          <w:snapToGrid/>
          <w:color w:val="auto"/>
          <w:kern w:val="2"/>
          <w:sz w:val="24"/>
          <w:szCs w:val="24"/>
          <w:lang w:eastAsia="zh-CN"/>
        </w:rPr>
        <w:t>流场影响范围局限在</w:t>
      </w:r>
      <w:r>
        <w:rPr>
          <w:rFonts w:ascii="Times New Roman" w:eastAsia="宋体" w:hAnsi="Times New Roman" w:cs="Times New Roman" w:hint="eastAsia"/>
          <w:snapToGrid/>
          <w:color w:val="auto"/>
          <w:kern w:val="2"/>
          <w:sz w:val="24"/>
          <w:szCs w:val="24"/>
          <w:lang w:eastAsia="zh-CN"/>
        </w:rPr>
        <w:t>港内海水与淡水交汇处与高尔夫中央球场北部</w:t>
      </w:r>
      <w:r>
        <w:rPr>
          <w:rFonts w:ascii="Times New Roman" w:eastAsia="宋体" w:hAnsi="Times New Roman" w:cs="Times New Roman"/>
          <w:snapToGrid/>
          <w:color w:val="auto"/>
          <w:kern w:val="2"/>
          <w:sz w:val="24"/>
          <w:szCs w:val="24"/>
          <w:lang w:eastAsia="zh-CN"/>
        </w:rPr>
        <w:t>，工程建设对周边海域水动力影响较小。</w:t>
      </w:r>
      <w:r>
        <w:rPr>
          <w:rFonts w:ascii="Times New Roman" w:eastAsia="宋体" w:hAnsi="Times New Roman" w:cs="Times New Roman" w:hint="eastAsia"/>
          <w:snapToGrid/>
          <w:color w:val="auto"/>
          <w:kern w:val="2"/>
          <w:sz w:val="24"/>
          <w:szCs w:val="24"/>
          <w:lang w:eastAsia="zh-CN"/>
        </w:rPr>
        <w:t>同时，根据冲淤分析，虽然入海通道及中部由淤积状态改为轻微冲刷，且附近岸线主要为人工岸线，轻微的冲淤变化对岸线稳定性无影响。</w:t>
      </w:r>
    </w:p>
    <w:p w14:paraId="6DD92B03" w14:textId="77777777" w:rsidR="0075791A" w:rsidRDefault="00FB2864">
      <w:pPr>
        <w:spacing w:line="360" w:lineRule="auto"/>
        <w:outlineLvl w:val="2"/>
        <w:rPr>
          <w:rFonts w:ascii="Times New Roman" w:eastAsia="宋体" w:hAnsi="Times New Roman" w:cs="Times New Roman"/>
          <w:b/>
          <w:bCs/>
          <w:color w:val="auto"/>
          <w:spacing w:val="-3"/>
          <w:sz w:val="24"/>
          <w:szCs w:val="24"/>
          <w:lang w:eastAsia="zh-CN"/>
        </w:rPr>
      </w:pPr>
      <w:r>
        <w:rPr>
          <w:rFonts w:ascii="Times New Roman" w:eastAsia="宋体" w:hAnsi="Times New Roman" w:cs="Times New Roman" w:hint="eastAsia"/>
          <w:b/>
          <w:bCs/>
          <w:color w:val="auto"/>
          <w:spacing w:val="-3"/>
          <w:sz w:val="24"/>
          <w:szCs w:val="24"/>
          <w:lang w:eastAsia="zh-CN"/>
        </w:rPr>
        <w:t>4.3.6</w:t>
      </w:r>
      <w:r>
        <w:rPr>
          <w:rFonts w:ascii="Times New Roman" w:eastAsia="宋体" w:hAnsi="Times New Roman" w:cs="Times New Roman" w:hint="eastAsia"/>
          <w:b/>
          <w:bCs/>
          <w:color w:val="auto"/>
          <w:spacing w:val="-3"/>
          <w:sz w:val="24"/>
          <w:szCs w:val="24"/>
          <w:lang w:eastAsia="zh-CN"/>
        </w:rPr>
        <w:t>对红树林生态系统影响分析</w:t>
      </w:r>
      <w:bookmarkEnd w:id="256"/>
    </w:p>
    <w:p w14:paraId="3F540A46"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）工程施工产生的悬浮泥沙扩散对红树林的影响分析</w:t>
      </w:r>
    </w:p>
    <w:p w14:paraId="161B06C2"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工程施工过程中产生的悬浮泥沙（</w:t>
      </w:r>
      <w:r>
        <w:rPr>
          <w:rFonts w:ascii="Times New Roman" w:eastAsia="宋体" w:hAnsi="Times New Roman" w:cs="Times New Roman" w:hint="eastAsia"/>
          <w:snapToGrid/>
          <w:color w:val="auto"/>
          <w:kern w:val="2"/>
          <w:sz w:val="24"/>
          <w:szCs w:val="24"/>
          <w:lang w:eastAsia="zh-CN"/>
        </w:rPr>
        <w:t>SS</w:t>
      </w:r>
      <w:r>
        <w:rPr>
          <w:rFonts w:ascii="Times New Roman" w:eastAsia="宋体" w:hAnsi="Times New Roman" w:cs="Times New Roman" w:hint="eastAsia"/>
          <w:snapToGrid/>
          <w:color w:val="auto"/>
          <w:kern w:val="2"/>
          <w:sz w:val="24"/>
          <w:szCs w:val="24"/>
          <w:lang w:eastAsia="zh-CN"/>
        </w:rPr>
        <w:t>）会导致水体中悬浮物浓度增加，对红树林生态系统造成多方面的影响。悬浮泥沙增加水体浊度，降低光照透射率，影</w:t>
      </w:r>
      <w:r>
        <w:rPr>
          <w:rFonts w:ascii="Times New Roman" w:eastAsia="宋体" w:hAnsi="Times New Roman" w:cs="Times New Roman" w:hint="eastAsia"/>
          <w:snapToGrid/>
          <w:color w:val="auto"/>
          <w:kern w:val="2"/>
          <w:sz w:val="24"/>
          <w:szCs w:val="24"/>
          <w:lang w:eastAsia="zh-CN"/>
        </w:rPr>
        <w:t>响红树林植物叶片的光合作用效率。红树林植物的气孔可能被悬浮泥沙覆盖，进一步阻碍气体交换和光合作用。红树林植物的气孔和呼吸根需要与空气接触进行气体交换。悬浮泥沙沉降后会覆盖叶片和根系，堵塞气孔和呼吸根，阻碍氧气和二氧化碳的交换。工程施工过程中产生的悬浮泥沙（</w:t>
      </w:r>
      <w:r>
        <w:rPr>
          <w:rFonts w:ascii="Times New Roman" w:eastAsia="宋体" w:hAnsi="Times New Roman" w:cs="Times New Roman" w:hint="eastAsia"/>
          <w:snapToGrid/>
          <w:color w:val="auto"/>
          <w:kern w:val="2"/>
          <w:sz w:val="24"/>
          <w:szCs w:val="24"/>
          <w:lang w:eastAsia="zh-CN"/>
        </w:rPr>
        <w:t>SS</w:t>
      </w:r>
      <w:r>
        <w:rPr>
          <w:rFonts w:ascii="Times New Roman" w:eastAsia="宋体" w:hAnsi="Times New Roman" w:cs="Times New Roman" w:hint="eastAsia"/>
          <w:snapToGrid/>
          <w:color w:val="auto"/>
          <w:kern w:val="2"/>
          <w:sz w:val="24"/>
          <w:szCs w:val="24"/>
          <w:lang w:eastAsia="zh-CN"/>
        </w:rPr>
        <w:t>）对红树林的影响不容忽视，主要体现在降低水体透光度、堵塞气孔、改变沉积环境、覆盖根系、影响底栖生物和携带污染物等方面。这些影响可能导致红树林生态系统功能退化，甚至丧失。</w:t>
      </w:r>
    </w:p>
    <w:p w14:paraId="25DF0676"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根据红树林现状调查资料可知，项目清淤区距红树林分布区较近</w:t>
      </w:r>
      <w:r>
        <w:rPr>
          <w:rFonts w:ascii="Times New Roman" w:eastAsia="宋体" w:hAnsi="Times New Roman" w:cs="Times New Roman"/>
          <w:snapToGrid/>
          <w:color w:val="auto"/>
          <w:kern w:val="2"/>
          <w:sz w:val="24"/>
          <w:szCs w:val="24"/>
          <w:lang w:eastAsia="zh-CN"/>
        </w:rPr>
        <w:t>疏浚工程施工期间产生的悬浮</w:t>
      </w:r>
      <w:r>
        <w:rPr>
          <w:rFonts w:ascii="Times New Roman" w:eastAsia="宋体" w:hAnsi="Times New Roman" w:cs="Times New Roman"/>
          <w:snapToGrid/>
          <w:color w:val="auto"/>
          <w:kern w:val="2"/>
          <w:sz w:val="24"/>
          <w:szCs w:val="24"/>
          <w:lang w:eastAsia="zh-CN"/>
        </w:rPr>
        <w:t>泥沙超一、二类水质标准（</w:t>
      </w:r>
      <w:r>
        <w:rPr>
          <w:rFonts w:ascii="Times New Roman" w:eastAsia="宋体" w:hAnsi="Times New Roman" w:cs="Times New Roman"/>
          <w:snapToGrid/>
          <w:color w:val="auto"/>
          <w:kern w:val="2"/>
          <w:sz w:val="24"/>
          <w:szCs w:val="24"/>
          <w:lang w:eastAsia="zh-CN"/>
        </w:rPr>
        <w:t>&gt;10mg/L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2.570</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，超三类水质标准（</w:t>
      </w:r>
      <w:r>
        <w:rPr>
          <w:rFonts w:ascii="Times New Roman" w:eastAsia="宋体" w:hAnsi="Times New Roman" w:cs="Times New Roman"/>
          <w:snapToGrid/>
          <w:color w:val="auto"/>
          <w:kern w:val="2"/>
          <w:sz w:val="24"/>
          <w:szCs w:val="24"/>
          <w:lang w:eastAsia="zh-CN"/>
        </w:rPr>
        <w:t>&gt;100mg/L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12.73</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，超四类水质标准（</w:t>
      </w:r>
      <w:r>
        <w:rPr>
          <w:rFonts w:ascii="Times New Roman" w:eastAsia="宋体" w:hAnsi="Times New Roman" w:cs="Times New Roman"/>
          <w:snapToGrid/>
          <w:color w:val="auto"/>
          <w:kern w:val="2"/>
          <w:sz w:val="24"/>
          <w:szCs w:val="24"/>
          <w:lang w:eastAsia="zh-CN"/>
        </w:rPr>
        <w:t>&gt;150mg/L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76.90</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。且所有源点叠加后超</w:t>
      </w:r>
      <w:r>
        <w:rPr>
          <w:rFonts w:ascii="Times New Roman" w:eastAsia="宋体" w:hAnsi="Times New Roman" w:cs="Times New Roman"/>
          <w:snapToGrid/>
          <w:color w:val="auto"/>
          <w:kern w:val="2"/>
          <w:sz w:val="24"/>
          <w:szCs w:val="24"/>
          <w:lang w:eastAsia="zh-CN"/>
        </w:rPr>
        <w:t>I</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Ⅱ</w:t>
      </w:r>
      <w:r>
        <w:rPr>
          <w:rFonts w:ascii="Times New Roman" w:eastAsia="宋体" w:hAnsi="Times New Roman" w:cs="Times New Roman"/>
          <w:snapToGrid/>
          <w:color w:val="auto"/>
          <w:kern w:val="2"/>
          <w:sz w:val="24"/>
          <w:szCs w:val="24"/>
          <w:lang w:eastAsia="zh-CN"/>
        </w:rPr>
        <w:t>类水质</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&gt;10mg/L</w:t>
      </w:r>
      <w:r>
        <w:rPr>
          <w:rFonts w:ascii="Times New Roman" w:eastAsia="宋体" w:hAnsi="Times New Roman" w:cs="Times New Roman" w:hint="eastAsia"/>
          <w:snapToGrid/>
          <w:color w:val="auto"/>
          <w:kern w:val="2"/>
          <w:sz w:val="24"/>
          <w:szCs w:val="24"/>
          <w:lang w:eastAsia="zh-CN"/>
        </w:rPr>
        <w:t>）扩散的最远距离仅有</w:t>
      </w:r>
      <w:r>
        <w:rPr>
          <w:rFonts w:ascii="Times New Roman" w:eastAsia="宋体" w:hAnsi="Times New Roman" w:cs="Times New Roman" w:hint="eastAsia"/>
          <w:snapToGrid/>
          <w:color w:val="auto"/>
          <w:kern w:val="2"/>
          <w:sz w:val="24"/>
          <w:szCs w:val="24"/>
          <w:lang w:eastAsia="zh-CN"/>
        </w:rPr>
        <w:t>1.2km</w:t>
      </w:r>
      <w:r>
        <w:rPr>
          <w:rFonts w:ascii="Times New Roman" w:eastAsia="宋体" w:hAnsi="Times New Roman" w:cs="Times New Roman" w:hint="eastAsia"/>
          <w:snapToGrid/>
          <w:color w:val="auto"/>
          <w:kern w:val="2"/>
          <w:sz w:val="24"/>
          <w:szCs w:val="24"/>
          <w:lang w:eastAsia="zh-CN"/>
        </w:rPr>
        <w:t>左右</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施工期悬浮泥沙扩散范围相对较小，但会对周围水质产生影响，从而影响到附近红树林生态系统的稳定与生长。</w:t>
      </w:r>
    </w:p>
    <w:p w14:paraId="7807A95E"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lastRenderedPageBreak/>
        <w:t>因此，通过控制设置防污帘、对红树林进行生态修复、施工避让涨潮期等措施，可以有效减轻悬浮泥沙对红树林的危害。施</w:t>
      </w:r>
      <w:r>
        <w:rPr>
          <w:rFonts w:ascii="Times New Roman" w:eastAsia="宋体" w:hAnsi="Times New Roman" w:cs="Times New Roman"/>
          <w:snapToGrid/>
          <w:color w:val="auto"/>
          <w:kern w:val="2"/>
          <w:sz w:val="24"/>
          <w:szCs w:val="24"/>
          <w:lang w:eastAsia="zh-CN"/>
        </w:rPr>
        <w:t>工期间，采取防污帘、控制施工强度</w:t>
      </w:r>
      <w:r>
        <w:rPr>
          <w:rFonts w:ascii="Times New Roman" w:eastAsia="宋体" w:hAnsi="Times New Roman" w:cs="Times New Roman" w:hint="eastAsia"/>
          <w:snapToGrid/>
          <w:color w:val="auto"/>
          <w:kern w:val="2"/>
          <w:sz w:val="24"/>
          <w:szCs w:val="24"/>
          <w:lang w:eastAsia="zh-CN"/>
        </w:rPr>
        <w:t>、施工避让涨潮期</w:t>
      </w:r>
      <w:r>
        <w:rPr>
          <w:rFonts w:ascii="Times New Roman" w:eastAsia="宋体" w:hAnsi="Times New Roman" w:cs="Times New Roman"/>
          <w:snapToGrid/>
          <w:color w:val="auto"/>
          <w:kern w:val="2"/>
          <w:sz w:val="24"/>
          <w:szCs w:val="24"/>
          <w:lang w:eastAsia="zh-CN"/>
        </w:rPr>
        <w:t>等措施后，悬沙扩散范围将很小，仅在施工点水域周围扩散，随着施工结束而悬沙自然沉降后，影响也随之消失，因此，项目施工不会对红树林生境产生较大影响。</w:t>
      </w:r>
    </w:p>
    <w:p w14:paraId="58F96672"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岸滩冲淤对红树林的影响</w:t>
      </w:r>
      <w:r>
        <w:rPr>
          <w:rFonts w:ascii="Times New Roman" w:eastAsia="宋体" w:hAnsi="Times New Roman" w:cs="Times New Roman" w:hint="eastAsia"/>
          <w:snapToGrid/>
          <w:color w:val="auto"/>
          <w:kern w:val="2"/>
          <w:sz w:val="24"/>
          <w:szCs w:val="24"/>
          <w:lang w:eastAsia="zh-CN"/>
        </w:rPr>
        <w:t>分析</w:t>
      </w:r>
    </w:p>
    <w:p w14:paraId="72DC0172"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清淤疏浚范围西侧存在两处红树林分布区，距离最小约</w:t>
      </w:r>
      <w:r>
        <w:rPr>
          <w:rFonts w:ascii="Times New Roman" w:eastAsia="宋体" w:hAnsi="Times New Roman" w:cs="Times New Roman" w:hint="eastAsia"/>
          <w:snapToGrid/>
          <w:color w:val="auto"/>
          <w:kern w:val="2"/>
          <w:sz w:val="24"/>
          <w:szCs w:val="24"/>
          <w:lang w:eastAsia="zh-CN"/>
        </w:rPr>
        <w:t>6~10m</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从数值模拟结果可</w:t>
      </w:r>
      <w:r>
        <w:rPr>
          <w:rFonts w:ascii="Times New Roman" w:eastAsia="宋体" w:hAnsi="Times New Roman" w:cs="Times New Roman"/>
          <w:snapToGrid/>
          <w:color w:val="auto"/>
          <w:kern w:val="2"/>
          <w:sz w:val="24"/>
          <w:szCs w:val="24"/>
          <w:lang w:eastAsia="zh-CN"/>
        </w:rPr>
        <w:t>以看出，工程实施后，工程区域海底冲淤环境发生一定程度的变化，主要变化为河口入海口处淤积状态转为冲刷状态，这是由于清淤后</w:t>
      </w:r>
      <w:r>
        <w:rPr>
          <w:rFonts w:ascii="Times New Roman" w:eastAsia="宋体" w:hAnsi="Times New Roman" w:cs="Times New Roman" w:hint="eastAsia"/>
          <w:snapToGrid/>
          <w:color w:val="auto"/>
          <w:kern w:val="2"/>
          <w:sz w:val="24"/>
          <w:szCs w:val="24"/>
          <w:lang w:eastAsia="zh-CN"/>
        </w:rPr>
        <w:t>入海通道</w:t>
      </w:r>
      <w:r>
        <w:rPr>
          <w:rFonts w:ascii="Times New Roman" w:eastAsia="宋体" w:hAnsi="Times New Roman" w:cs="Times New Roman"/>
          <w:snapToGrid/>
          <w:color w:val="auto"/>
          <w:kern w:val="2"/>
          <w:sz w:val="24"/>
          <w:szCs w:val="24"/>
          <w:lang w:eastAsia="zh-CN"/>
        </w:rPr>
        <w:t>水深变深，流速增大引起的。工程周边冲淤年变化量在</w:t>
      </w:r>
      <w:r>
        <w:rPr>
          <w:rFonts w:ascii="Times New Roman" w:eastAsia="宋体" w:hAnsi="Times New Roman" w:cs="Times New Roman" w:hint="eastAsia"/>
          <w:snapToGrid/>
          <w:color w:val="auto"/>
          <w:kern w:val="2"/>
          <w:sz w:val="24"/>
          <w:szCs w:val="24"/>
          <w:lang w:eastAsia="zh-CN"/>
        </w:rPr>
        <w:t>0.9</w:t>
      </w:r>
      <w:r>
        <w:rPr>
          <w:rFonts w:ascii="Times New Roman" w:eastAsia="宋体" w:hAnsi="Times New Roman" w:cs="Times New Roman"/>
          <w:snapToGrid/>
          <w:color w:val="auto"/>
          <w:kern w:val="2"/>
          <w:sz w:val="24"/>
          <w:szCs w:val="24"/>
          <w:lang w:eastAsia="zh-CN"/>
        </w:rPr>
        <w:t>cm/a</w:t>
      </w:r>
      <w:r>
        <w:rPr>
          <w:rFonts w:ascii="Times New Roman" w:eastAsia="宋体" w:hAnsi="Times New Roman" w:cs="Times New Roman"/>
          <w:snapToGrid/>
          <w:color w:val="auto"/>
          <w:kern w:val="2"/>
          <w:sz w:val="24"/>
          <w:szCs w:val="24"/>
          <w:lang w:eastAsia="zh-CN"/>
        </w:rPr>
        <w:t>以内，总体上项目区域外冲淤变化量不大，冲淤环境对周边红树林生境影响较小。</w:t>
      </w:r>
    </w:p>
    <w:p w14:paraId="7D30710A" w14:textId="77777777" w:rsidR="0075791A" w:rsidRDefault="00FB2864">
      <w:pPr>
        <w:spacing w:line="360" w:lineRule="auto"/>
        <w:outlineLvl w:val="2"/>
        <w:rPr>
          <w:rFonts w:ascii="Times New Roman" w:eastAsia="宋体" w:hAnsi="Times New Roman" w:cs="Times New Roman"/>
          <w:b/>
          <w:bCs/>
          <w:color w:val="auto"/>
          <w:spacing w:val="-3"/>
          <w:sz w:val="24"/>
          <w:szCs w:val="24"/>
          <w:lang w:eastAsia="zh-CN"/>
        </w:rPr>
      </w:pPr>
      <w:bookmarkStart w:id="257" w:name="_Toc23608"/>
      <w:r>
        <w:rPr>
          <w:rFonts w:ascii="Times New Roman" w:eastAsia="宋体" w:hAnsi="Times New Roman" w:cs="Times New Roman" w:hint="eastAsia"/>
          <w:b/>
          <w:bCs/>
          <w:color w:val="auto"/>
          <w:spacing w:val="-3"/>
          <w:sz w:val="24"/>
          <w:szCs w:val="24"/>
          <w:lang w:eastAsia="zh-CN"/>
        </w:rPr>
        <w:t>4.3.7</w:t>
      </w:r>
      <w:r>
        <w:rPr>
          <w:rFonts w:ascii="Times New Roman" w:eastAsia="宋体" w:hAnsi="Times New Roman" w:cs="Times New Roman" w:hint="eastAsia"/>
          <w:b/>
          <w:bCs/>
          <w:color w:val="auto"/>
          <w:spacing w:val="-3"/>
          <w:sz w:val="24"/>
          <w:szCs w:val="24"/>
          <w:lang w:eastAsia="zh-CN"/>
        </w:rPr>
        <w:t>对保护区动物的影响分析</w:t>
      </w:r>
      <w:bookmarkEnd w:id="257"/>
    </w:p>
    <w:p w14:paraId="466D8BF0"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区域不同陆生脊椎动物群受施工的影响不同，具体如下：</w:t>
      </w:r>
    </w:p>
    <w:p w14:paraId="739E410A"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1</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施工对</w:t>
      </w:r>
      <w:r>
        <w:rPr>
          <w:rFonts w:ascii="Times New Roman" w:eastAsia="宋体" w:hAnsi="Times New Roman" w:cs="Times New Roman"/>
          <w:snapToGrid/>
          <w:color w:val="auto"/>
          <w:kern w:val="2"/>
          <w:sz w:val="24"/>
          <w:szCs w:val="24"/>
          <w:lang w:eastAsia="zh-CN"/>
        </w:rPr>
        <w:t>陆生脊椎动物群的影响</w:t>
      </w:r>
    </w:p>
    <w:p w14:paraId="19320815"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项目施工期，对陆生脊椎动物的直接影响在于生境的局部丧失、改变和施工的直接干扰，因此陆生脊椎动物更多的表现为直接逃离干扰源，进入临近安全或干扰较小的生境中，鸟类和哺乳动物活动能力较强，施工期间，在施工区域有明显的种类减少和种群数量下降，而在施工区外人为干扰相对较小的相似生境中，会出现鸟类和兽类种类增加和数量增多的现象，而两栖爬行动物运动能力相对较弱，对生境要求范围相对较小，项目施工的直接干扰会逐渐引起该类动物种类和数量在施工区的减少。对于白天活动的鸟类和兽类，施工影响较为明显和直接，尤其是涉禽类、陆禽类、攀禽</w:t>
      </w:r>
      <w:r>
        <w:rPr>
          <w:rFonts w:ascii="Times New Roman" w:eastAsia="宋体" w:hAnsi="Times New Roman" w:cs="Times New Roman"/>
          <w:snapToGrid/>
          <w:color w:val="auto"/>
          <w:kern w:val="2"/>
          <w:sz w:val="24"/>
          <w:szCs w:val="24"/>
          <w:lang w:eastAsia="zh-CN"/>
        </w:rPr>
        <w:t>类这些和红树林湿地联系较为紧密，施工会产生较为明显的近距离干扰影响，直接会导致项目施工所在局部区域的这些动物群的种类和数量明显降低或在该区缺失，且这些动物群大多数都是适应人为干扰能力较弱的物种</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适应人为干扰能力较弱物种，由于施工的直接影响，在各施工区距离</w:t>
      </w:r>
      <w:r>
        <w:rPr>
          <w:rFonts w:ascii="Times New Roman" w:eastAsia="宋体" w:hAnsi="Times New Roman" w:cs="Times New Roman"/>
          <w:snapToGrid/>
          <w:color w:val="auto"/>
          <w:kern w:val="2"/>
          <w:sz w:val="24"/>
          <w:szCs w:val="24"/>
          <w:lang w:eastAsia="zh-CN"/>
        </w:rPr>
        <w:t>300m</w:t>
      </w:r>
      <w:r>
        <w:rPr>
          <w:rFonts w:ascii="Times New Roman" w:eastAsia="宋体" w:hAnsi="Times New Roman" w:cs="Times New Roman"/>
          <w:snapToGrid/>
          <w:color w:val="auto"/>
          <w:kern w:val="2"/>
          <w:sz w:val="24"/>
          <w:szCs w:val="24"/>
          <w:lang w:eastAsia="zh-CN"/>
        </w:rPr>
        <w:t>范围内（开阔地带</w:t>
      </w:r>
      <w:r>
        <w:rPr>
          <w:rFonts w:ascii="Times New Roman" w:eastAsia="宋体" w:hAnsi="Times New Roman" w:cs="Times New Roman"/>
          <w:snapToGrid/>
          <w:color w:val="auto"/>
          <w:kern w:val="2"/>
          <w:sz w:val="24"/>
          <w:szCs w:val="24"/>
          <w:lang w:eastAsia="zh-CN"/>
        </w:rPr>
        <w:t>300m</w:t>
      </w:r>
      <w:r>
        <w:rPr>
          <w:rFonts w:ascii="Times New Roman" w:eastAsia="宋体" w:hAnsi="Times New Roman" w:cs="Times New Roman"/>
          <w:snapToGrid/>
          <w:color w:val="auto"/>
          <w:kern w:val="2"/>
          <w:sz w:val="24"/>
          <w:szCs w:val="24"/>
          <w:lang w:eastAsia="zh-CN"/>
        </w:rPr>
        <w:t>、非开阔地带</w:t>
      </w:r>
      <w:r>
        <w:rPr>
          <w:rFonts w:ascii="Times New Roman" w:eastAsia="宋体" w:hAnsi="Times New Roman" w:cs="Times New Roman"/>
          <w:snapToGrid/>
          <w:color w:val="auto"/>
          <w:kern w:val="2"/>
          <w:sz w:val="24"/>
          <w:szCs w:val="24"/>
          <w:lang w:eastAsia="zh-CN"/>
        </w:rPr>
        <w:t>200m</w:t>
      </w:r>
      <w:r>
        <w:rPr>
          <w:rFonts w:ascii="Times New Roman" w:eastAsia="宋体" w:hAnsi="Times New Roman" w:cs="Times New Roman"/>
          <w:snapToGrid/>
          <w:color w:val="auto"/>
          <w:kern w:val="2"/>
          <w:sz w:val="24"/>
          <w:szCs w:val="24"/>
          <w:lang w:eastAsia="zh-CN"/>
        </w:rPr>
        <w:t>）会出现急剧的种类减少和种群数量下降，而相对远离施工干扰（</w:t>
      </w:r>
      <w:r>
        <w:rPr>
          <w:rFonts w:ascii="Times New Roman" w:eastAsia="宋体" w:hAnsi="Times New Roman" w:cs="Times New Roman"/>
          <w:snapToGrid/>
          <w:color w:val="auto"/>
          <w:kern w:val="2"/>
          <w:sz w:val="24"/>
          <w:szCs w:val="24"/>
          <w:lang w:eastAsia="zh-CN"/>
        </w:rPr>
        <w:t>&gt;300m</w:t>
      </w:r>
      <w:r>
        <w:rPr>
          <w:rFonts w:ascii="Times New Roman" w:eastAsia="宋体" w:hAnsi="Times New Roman" w:cs="Times New Roman"/>
          <w:snapToGrid/>
          <w:color w:val="auto"/>
          <w:kern w:val="2"/>
          <w:sz w:val="24"/>
          <w:szCs w:val="24"/>
          <w:lang w:eastAsia="zh-CN"/>
        </w:rPr>
        <w:t>）的临近相似生境则成为这些动物比较理想的临时栖息和活动场所，适应人为干扰能力较弱的物种中绝大多数为重点保护陆生脊椎动物，且多集中分布于区域</w:t>
      </w:r>
      <w:r>
        <w:rPr>
          <w:rFonts w:ascii="Times New Roman" w:eastAsia="宋体" w:hAnsi="Times New Roman" w:cs="Times New Roman"/>
          <w:snapToGrid/>
          <w:color w:val="auto"/>
          <w:kern w:val="2"/>
          <w:sz w:val="24"/>
          <w:szCs w:val="24"/>
          <w:lang w:eastAsia="zh-CN"/>
        </w:rPr>
        <w:t>周边的红树林湿地、灌草丛或林地边缘生境，因此这些区域附近的建设施工会直接影响该区域生活的陆生脊椎动物群。本项目工程区域现状为</w:t>
      </w:r>
      <w:r>
        <w:rPr>
          <w:rFonts w:ascii="Times New Roman" w:eastAsia="宋体" w:hAnsi="Times New Roman" w:cs="Times New Roman" w:hint="eastAsia"/>
          <w:snapToGrid/>
          <w:color w:val="auto"/>
          <w:kern w:val="2"/>
          <w:sz w:val="24"/>
          <w:szCs w:val="24"/>
          <w:lang w:eastAsia="zh-CN"/>
        </w:rPr>
        <w:t>滩涂</w:t>
      </w:r>
      <w:r>
        <w:rPr>
          <w:rFonts w:ascii="Times New Roman" w:eastAsia="宋体" w:hAnsi="Times New Roman" w:cs="Times New Roman"/>
          <w:snapToGrid/>
          <w:color w:val="auto"/>
          <w:kern w:val="2"/>
          <w:sz w:val="24"/>
          <w:szCs w:val="24"/>
          <w:lang w:eastAsia="zh-CN"/>
        </w:rPr>
        <w:t>，项目施工时，靠近重点保护陆生脊椎动物集中分布的区域应减少施工人数，尽量减小施工对该区域的干扰，减轻项目施工对区域重点保护陆生脊椎动物的影响。而适应人</w:t>
      </w:r>
      <w:r>
        <w:rPr>
          <w:rFonts w:ascii="Times New Roman" w:eastAsia="宋体" w:hAnsi="Times New Roman" w:cs="Times New Roman"/>
          <w:snapToGrid/>
          <w:color w:val="auto"/>
          <w:kern w:val="2"/>
          <w:sz w:val="24"/>
          <w:szCs w:val="24"/>
          <w:lang w:eastAsia="zh-CN"/>
        </w:rPr>
        <w:lastRenderedPageBreak/>
        <w:t>为干扰能力较强的雀形目鸟类和兽类（除上述鸟和兽类之外的物种），在施工期间，工程项目的直接近距离施工接触（</w:t>
      </w:r>
      <w:r>
        <w:rPr>
          <w:rFonts w:ascii="Times New Roman" w:eastAsia="宋体" w:hAnsi="Times New Roman" w:cs="Times New Roman"/>
          <w:snapToGrid/>
          <w:color w:val="auto"/>
          <w:kern w:val="2"/>
          <w:sz w:val="24"/>
          <w:szCs w:val="24"/>
          <w:lang w:eastAsia="zh-CN"/>
        </w:rPr>
        <w:t>&lt;50m</w:t>
      </w:r>
      <w:r>
        <w:rPr>
          <w:rFonts w:ascii="Times New Roman" w:eastAsia="宋体" w:hAnsi="Times New Roman" w:cs="Times New Roman"/>
          <w:snapToGrid/>
          <w:color w:val="auto"/>
          <w:kern w:val="2"/>
          <w:sz w:val="24"/>
          <w:szCs w:val="24"/>
          <w:lang w:eastAsia="zh-CN"/>
        </w:rPr>
        <w:t>），会引起该类动物的逃避，表现为远离干扰，部分直接接触施工区域的鸟类和兽类会受到一定的影响，影响强度大时（即施工近距离干扰</w:t>
      </w:r>
      <w:r>
        <w:rPr>
          <w:rFonts w:ascii="Times New Roman" w:eastAsia="宋体" w:hAnsi="Times New Roman" w:cs="Times New Roman"/>
          <w:snapToGrid/>
          <w:color w:val="auto"/>
          <w:kern w:val="2"/>
          <w:sz w:val="24"/>
          <w:szCs w:val="24"/>
          <w:lang w:eastAsia="zh-CN"/>
        </w:rPr>
        <w:t>&lt;50m</w:t>
      </w:r>
      <w:r>
        <w:rPr>
          <w:rFonts w:ascii="Times New Roman" w:eastAsia="宋体" w:hAnsi="Times New Roman" w:cs="Times New Roman"/>
          <w:snapToGrid/>
          <w:color w:val="auto"/>
          <w:kern w:val="2"/>
          <w:sz w:val="24"/>
          <w:szCs w:val="24"/>
          <w:lang w:eastAsia="zh-CN"/>
        </w:rPr>
        <w:t>时）则迫使其逃离，这些适应人为干扰能力强的物种可能在施工期间表现为局部种类和数量的慢慢减少和下降。</w:t>
      </w:r>
    </w:p>
    <w:p w14:paraId="2F6CD363"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对于两栖爬行动物，其活动和迁移能力较弱，要求生境范围相对较小，施工期间可能会有部分种类与施工干扰的直接接触，但只要其生境没有受到较大的破坏、污染，基本不会对其产生明显的影响，且其生物学特性所决定，白天基本隐蔽、夜晚活动，因此非破坏和污染生境类施工活动基本对其产生的负面影响较。爬行动物的活动能力相对较强，白天活动的类群适应人为干扰能力相对较强，施工的直接接触会导致该类群动物迅速逃离干扰，但其逃离距离不大</w:t>
      </w:r>
      <w:r>
        <w:rPr>
          <w:rFonts w:ascii="Times New Roman" w:eastAsia="宋体" w:hAnsi="Times New Roman" w:cs="Times New Roman"/>
          <w:snapToGrid/>
          <w:color w:val="auto"/>
          <w:kern w:val="2"/>
          <w:sz w:val="24"/>
          <w:szCs w:val="24"/>
          <w:lang w:eastAsia="zh-CN"/>
        </w:rPr>
        <w:t>，可能会临时性的隐蔽于非直接干扰接触区域，甚至在施工活动较小的区域进行取食等活动，工程很少造成该类动物的直接死亡或大的影响；而夜行性的爬行动物，其中水栖类群的蛇类集中分布湿地环境中，白天隐蔽于水环境周围，水环境的存在与否和水质的好坏都会影响到这一类群的分布，施工时，局部的施工开挖可能会造成一定的干扰和污染现象发生，大多数种类会在近距离的干扰下进行迁移和逃离，进入临近人为干扰相对较小的区域进行隐蔽，施工也有一定的进度，因此也为这些动物远离干扰、寻找适合的生存环境提供了时间。夜行性的陆生爬行动物种类，隐蔽性较强</w:t>
      </w:r>
      <w:r>
        <w:rPr>
          <w:rFonts w:ascii="Times New Roman" w:eastAsia="宋体" w:hAnsi="Times New Roman" w:cs="Times New Roman"/>
          <w:snapToGrid/>
          <w:color w:val="auto"/>
          <w:kern w:val="2"/>
          <w:sz w:val="24"/>
          <w:szCs w:val="24"/>
          <w:lang w:eastAsia="zh-CN"/>
        </w:rPr>
        <w:t>，项目施工的直接干扰会引起其进入临近安全地带，虽具有一定的影响但基本上不会影响当地的种群数量，其他类群对人为干扰适应能力较强，可在人为干扰强度大的区域生存。</w:t>
      </w:r>
    </w:p>
    <w:p w14:paraId="7CF65AEC"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snapToGrid/>
          <w:color w:val="auto"/>
          <w:kern w:val="2"/>
          <w:sz w:val="24"/>
          <w:szCs w:val="24"/>
          <w:lang w:eastAsia="zh-CN"/>
        </w:rPr>
        <w:t>）项目施工对鸟</w:t>
      </w:r>
      <w:r>
        <w:rPr>
          <w:rFonts w:ascii="Times New Roman" w:eastAsia="宋体" w:hAnsi="Times New Roman" w:cs="Times New Roman" w:hint="eastAsia"/>
          <w:snapToGrid/>
          <w:color w:val="auto"/>
          <w:kern w:val="2"/>
          <w:sz w:val="24"/>
          <w:szCs w:val="24"/>
          <w:lang w:eastAsia="zh-CN"/>
        </w:rPr>
        <w:t>类</w:t>
      </w:r>
      <w:r>
        <w:rPr>
          <w:rFonts w:ascii="Times New Roman" w:eastAsia="宋体" w:hAnsi="Times New Roman" w:cs="Times New Roman"/>
          <w:snapToGrid/>
          <w:color w:val="auto"/>
          <w:kern w:val="2"/>
          <w:sz w:val="24"/>
          <w:szCs w:val="24"/>
          <w:lang w:eastAsia="zh-CN"/>
        </w:rPr>
        <w:t>的影响</w:t>
      </w:r>
    </w:p>
    <w:p w14:paraId="120B0766"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施工工程及人为活动将对在基围鱼塘中觅食的鸟类产生较强的干扰。从对各种鸟类觅食行为的研究结果表明，干扰半径一般在</w:t>
      </w:r>
      <w:r>
        <w:rPr>
          <w:rFonts w:ascii="Times New Roman" w:eastAsia="宋体" w:hAnsi="Times New Roman" w:cs="Times New Roman"/>
          <w:snapToGrid/>
          <w:color w:val="auto"/>
          <w:kern w:val="2"/>
          <w:sz w:val="24"/>
          <w:szCs w:val="24"/>
          <w:lang w:eastAsia="zh-CN"/>
        </w:rPr>
        <w:t>35m</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100m</w:t>
      </w:r>
      <w:r>
        <w:rPr>
          <w:rFonts w:ascii="Times New Roman" w:eastAsia="宋体" w:hAnsi="Times New Roman" w:cs="Times New Roman"/>
          <w:snapToGrid/>
          <w:color w:val="auto"/>
          <w:kern w:val="2"/>
          <w:sz w:val="24"/>
          <w:szCs w:val="24"/>
          <w:lang w:eastAsia="zh-CN"/>
        </w:rPr>
        <w:t>左右，此范围内鸟类由于躲避干扰将无法正常觅食，减少在受影响区域的觅食时间，使鸟类被迫将其觅食活动转移至其他地区。英国野生动物保护组织研究显示，交通工具发出的噪声，已经严重影响了许多生活在这样环境中的鸟</w:t>
      </w:r>
      <w:r>
        <w:rPr>
          <w:rFonts w:ascii="Times New Roman" w:eastAsia="宋体" w:hAnsi="Times New Roman" w:cs="Times New Roman"/>
          <w:snapToGrid/>
          <w:color w:val="auto"/>
          <w:kern w:val="2"/>
          <w:sz w:val="24"/>
          <w:szCs w:val="24"/>
          <w:lang w:eastAsia="zh-CN"/>
        </w:rPr>
        <w:t>类：有的鸟类鸣叫声变得单调，对于某些鸟类而言，鸣叫声是它们找寻配偶的主要方式，噪声对其影响是灾难性的，直接影响鸟类繁殖。若选择有动力的施工机械，且在鸟类繁殖期进行施工噪声将对繁殖期的鸟类产生直接影响。大部分鸟类都具有季节性繁殖的特性，光照被认为是鸟类季节性繁殖最重要的同步信号。鸟类或者一年一季繁殖或者一年两季繁殖，其余时间处于休产状态。对于休产期的鸟类其一般</w:t>
      </w:r>
      <w:r>
        <w:rPr>
          <w:rFonts w:ascii="Times New Roman" w:eastAsia="宋体" w:hAnsi="Times New Roman" w:cs="Times New Roman"/>
          <w:snapToGrid/>
          <w:color w:val="auto"/>
          <w:kern w:val="2"/>
          <w:sz w:val="24"/>
          <w:szCs w:val="24"/>
          <w:lang w:eastAsia="zh-CN"/>
        </w:rPr>
        <w:lastRenderedPageBreak/>
        <w:t>会选择刺激性光照（即非自然光）少的生境进行栖息，以消除光钝化状态，恢复光敏感性，为下一个季节顺利繁殖做好准备。若选择在夜间施工，其光照可能使鸟类受到过多</w:t>
      </w:r>
      <w:r>
        <w:rPr>
          <w:rFonts w:ascii="Times New Roman" w:eastAsia="宋体" w:hAnsi="Times New Roman" w:cs="Times New Roman"/>
          <w:snapToGrid/>
          <w:color w:val="auto"/>
          <w:kern w:val="2"/>
          <w:sz w:val="24"/>
          <w:szCs w:val="24"/>
          <w:lang w:eastAsia="zh-CN"/>
        </w:rPr>
        <w:t>额外的非自然光照，从而对其繁殖造成影响。</w:t>
      </w:r>
    </w:p>
    <w:p w14:paraId="4C278AAD" w14:textId="77777777" w:rsidR="0075791A" w:rsidRDefault="00FB2864">
      <w:pPr>
        <w:spacing w:line="360" w:lineRule="auto"/>
        <w:outlineLvl w:val="2"/>
        <w:rPr>
          <w:rFonts w:ascii="Times New Roman" w:eastAsia="宋体" w:hAnsi="Times New Roman" w:cs="Times New Roman"/>
          <w:b/>
          <w:bCs/>
          <w:color w:val="auto"/>
          <w:spacing w:val="-3"/>
          <w:sz w:val="24"/>
          <w:szCs w:val="24"/>
          <w:lang w:eastAsia="zh-CN"/>
        </w:rPr>
      </w:pPr>
      <w:bookmarkStart w:id="258" w:name="_Toc32046"/>
      <w:r>
        <w:rPr>
          <w:rFonts w:ascii="Times New Roman" w:eastAsia="宋体" w:hAnsi="Times New Roman" w:cs="Times New Roman" w:hint="eastAsia"/>
          <w:b/>
          <w:bCs/>
          <w:color w:val="auto"/>
          <w:spacing w:val="-3"/>
          <w:sz w:val="24"/>
          <w:szCs w:val="24"/>
          <w:lang w:eastAsia="zh-CN"/>
        </w:rPr>
        <w:t>4.3.8</w:t>
      </w:r>
      <w:r>
        <w:rPr>
          <w:rFonts w:ascii="Times New Roman" w:eastAsia="宋体" w:hAnsi="Times New Roman" w:cs="Times New Roman" w:hint="eastAsia"/>
          <w:b/>
          <w:bCs/>
          <w:color w:val="auto"/>
          <w:spacing w:val="-3"/>
          <w:sz w:val="24"/>
          <w:szCs w:val="24"/>
          <w:lang w:eastAsia="zh-CN"/>
        </w:rPr>
        <w:t>对珊瑚礁生态系统影响分析</w:t>
      </w:r>
      <w:bookmarkEnd w:id="258"/>
    </w:p>
    <w:p w14:paraId="23FFF8A6"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）工程施工产生的污染物（</w:t>
      </w:r>
      <w:r>
        <w:rPr>
          <w:rFonts w:ascii="Times New Roman" w:eastAsia="宋体" w:hAnsi="Times New Roman" w:cs="Times New Roman" w:hint="eastAsia"/>
          <w:snapToGrid/>
          <w:color w:val="auto"/>
          <w:kern w:val="2"/>
          <w:sz w:val="24"/>
          <w:szCs w:val="24"/>
          <w:lang w:eastAsia="zh-CN"/>
        </w:rPr>
        <w:t>SS</w:t>
      </w:r>
      <w:r>
        <w:rPr>
          <w:rFonts w:ascii="Times New Roman" w:eastAsia="宋体" w:hAnsi="Times New Roman" w:cs="Times New Roman" w:hint="eastAsia"/>
          <w:snapToGrid/>
          <w:color w:val="auto"/>
          <w:kern w:val="2"/>
          <w:sz w:val="24"/>
          <w:szCs w:val="24"/>
          <w:lang w:eastAsia="zh-CN"/>
        </w:rPr>
        <w:t>）扩散对珊瑚礁的影响分析</w:t>
      </w:r>
    </w:p>
    <w:p w14:paraId="2DF2BE10"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工程施工过程中产生的污染物（</w:t>
      </w:r>
      <w:r>
        <w:rPr>
          <w:rFonts w:ascii="Times New Roman" w:eastAsia="宋体" w:hAnsi="Times New Roman" w:cs="Times New Roman" w:hint="eastAsia"/>
          <w:snapToGrid/>
          <w:color w:val="auto"/>
          <w:kern w:val="2"/>
          <w:sz w:val="24"/>
          <w:szCs w:val="24"/>
          <w:lang w:eastAsia="zh-CN"/>
        </w:rPr>
        <w:t>SS</w:t>
      </w:r>
      <w:r>
        <w:rPr>
          <w:rFonts w:ascii="Times New Roman" w:eastAsia="宋体" w:hAnsi="Times New Roman" w:cs="Times New Roman" w:hint="eastAsia"/>
          <w:snapToGrid/>
          <w:color w:val="auto"/>
          <w:kern w:val="2"/>
          <w:sz w:val="24"/>
          <w:szCs w:val="24"/>
          <w:lang w:eastAsia="zh-CN"/>
        </w:rPr>
        <w:t>）造成水体中悬浮物浓度增加，降低海水的透光度，影响共生藻类的光合作用，大量的悬浮物也会使珊瑚虫窒息死亡，其他礁栖生物也会因生存环境的恶化而受到影响，从而对污染物（</w:t>
      </w:r>
      <w:r>
        <w:rPr>
          <w:rFonts w:ascii="Times New Roman" w:eastAsia="宋体" w:hAnsi="Times New Roman" w:cs="Times New Roman" w:hint="eastAsia"/>
          <w:snapToGrid/>
          <w:color w:val="auto"/>
          <w:kern w:val="2"/>
          <w:sz w:val="24"/>
          <w:szCs w:val="24"/>
          <w:lang w:eastAsia="zh-CN"/>
        </w:rPr>
        <w:t>SS</w:t>
      </w:r>
      <w:r>
        <w:rPr>
          <w:rFonts w:ascii="Times New Roman" w:eastAsia="宋体" w:hAnsi="Times New Roman" w:cs="Times New Roman" w:hint="eastAsia"/>
          <w:snapToGrid/>
          <w:color w:val="auto"/>
          <w:kern w:val="2"/>
          <w:sz w:val="24"/>
          <w:szCs w:val="24"/>
          <w:lang w:eastAsia="zh-CN"/>
        </w:rPr>
        <w:t>）扩散区域的珊瑚生态造成不利影响。根据相关研究，当污染物（</w:t>
      </w:r>
      <w:r>
        <w:rPr>
          <w:rFonts w:ascii="Times New Roman" w:eastAsia="宋体" w:hAnsi="Times New Roman" w:cs="Times New Roman" w:hint="eastAsia"/>
          <w:snapToGrid/>
          <w:color w:val="auto"/>
          <w:kern w:val="2"/>
          <w:sz w:val="24"/>
          <w:szCs w:val="24"/>
          <w:lang w:eastAsia="zh-CN"/>
        </w:rPr>
        <w:t>SS</w:t>
      </w:r>
      <w:r>
        <w:rPr>
          <w:rFonts w:ascii="Times New Roman" w:eastAsia="宋体" w:hAnsi="Times New Roman" w:cs="Times New Roman" w:hint="eastAsia"/>
          <w:snapToGrid/>
          <w:color w:val="auto"/>
          <w:kern w:val="2"/>
          <w:sz w:val="24"/>
          <w:szCs w:val="24"/>
          <w:lang w:eastAsia="zh-CN"/>
        </w:rPr>
        <w:t>）的沉积率大于</w:t>
      </w:r>
      <w:r>
        <w:rPr>
          <w:rFonts w:ascii="Times New Roman" w:eastAsia="宋体" w:hAnsi="Times New Roman" w:cs="Times New Roman" w:hint="eastAsia"/>
          <w:snapToGrid/>
          <w:color w:val="auto"/>
          <w:kern w:val="2"/>
          <w:sz w:val="24"/>
          <w:szCs w:val="24"/>
          <w:lang w:eastAsia="zh-CN"/>
        </w:rPr>
        <w:t>100mg/cm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时，可在几天内杀死珊瑚组织。当污染物（</w:t>
      </w:r>
      <w:r>
        <w:rPr>
          <w:rFonts w:ascii="Times New Roman" w:eastAsia="宋体" w:hAnsi="Times New Roman" w:cs="Times New Roman" w:hint="eastAsia"/>
          <w:snapToGrid/>
          <w:color w:val="auto"/>
          <w:kern w:val="2"/>
          <w:sz w:val="24"/>
          <w:szCs w:val="24"/>
          <w:lang w:eastAsia="zh-CN"/>
        </w:rPr>
        <w:t>SS</w:t>
      </w:r>
      <w:r>
        <w:rPr>
          <w:rFonts w:ascii="Times New Roman" w:eastAsia="宋体" w:hAnsi="Times New Roman" w:cs="Times New Roman" w:hint="eastAsia"/>
          <w:snapToGrid/>
          <w:color w:val="auto"/>
          <w:kern w:val="2"/>
          <w:sz w:val="24"/>
          <w:szCs w:val="24"/>
          <w:lang w:eastAsia="zh-CN"/>
        </w:rPr>
        <w:t>）的沉积率小于</w:t>
      </w:r>
      <w:r>
        <w:rPr>
          <w:rFonts w:ascii="Times New Roman" w:eastAsia="宋体" w:hAnsi="Times New Roman" w:cs="Times New Roman" w:hint="eastAsia"/>
          <w:snapToGrid/>
          <w:color w:val="auto"/>
          <w:kern w:val="2"/>
          <w:sz w:val="24"/>
          <w:szCs w:val="24"/>
          <w:lang w:eastAsia="zh-CN"/>
        </w:rPr>
        <w:t>12mg/cm</w:t>
      </w:r>
      <w:r>
        <w:rPr>
          <w:rFonts w:ascii="Times New Roman" w:eastAsia="宋体" w:hAnsi="Times New Roman" w:cs="Times New Roman" w:hint="eastAsia"/>
          <w:snapToGrid/>
          <w:color w:val="auto"/>
          <w:kern w:val="2"/>
          <w:sz w:val="24"/>
          <w:szCs w:val="24"/>
          <w:vertAlign w:val="superscript"/>
          <w:lang w:eastAsia="zh-CN"/>
        </w:rPr>
        <w:t>2</w:t>
      </w:r>
      <w:r>
        <w:rPr>
          <w:rFonts w:ascii="Times New Roman" w:eastAsia="宋体" w:hAnsi="Times New Roman" w:cs="Times New Roman" w:hint="eastAsia"/>
          <w:snapToGrid/>
          <w:color w:val="auto"/>
          <w:kern w:val="2"/>
          <w:sz w:val="24"/>
          <w:szCs w:val="24"/>
          <w:lang w:eastAsia="zh-CN"/>
        </w:rPr>
        <w:t>时，与透明颗粒层（可能有细菌和硅藻引起）结合后也可以杀死新附着的珊瑚。研究表明，珊瑚短期受到的污染物（</w:t>
      </w:r>
      <w:r>
        <w:rPr>
          <w:rFonts w:ascii="Times New Roman" w:eastAsia="宋体" w:hAnsi="Times New Roman" w:cs="Times New Roman" w:hint="eastAsia"/>
          <w:snapToGrid/>
          <w:color w:val="auto"/>
          <w:kern w:val="2"/>
          <w:sz w:val="24"/>
          <w:szCs w:val="24"/>
          <w:lang w:eastAsia="zh-CN"/>
        </w:rPr>
        <w:t>SS</w:t>
      </w:r>
      <w:r>
        <w:rPr>
          <w:rFonts w:ascii="Times New Roman" w:eastAsia="宋体" w:hAnsi="Times New Roman" w:cs="Times New Roman" w:hint="eastAsia"/>
          <w:snapToGrid/>
          <w:color w:val="auto"/>
          <w:kern w:val="2"/>
          <w:sz w:val="24"/>
          <w:szCs w:val="24"/>
          <w:lang w:eastAsia="zh-CN"/>
        </w:rPr>
        <w:t>）影响，将会影响到珊瑚长期的生长，减少幼体珊瑚量，延迟珊瑚恢复。且不同的水体浑浊度对造礁石珊瑚生长均有不同程度的抑制作用，且抑制作用随浑浊度的增加而加强。因此，工程施工过程中产生的污染物（</w:t>
      </w:r>
      <w:r>
        <w:rPr>
          <w:rFonts w:ascii="Times New Roman" w:eastAsia="宋体" w:hAnsi="Times New Roman" w:cs="Times New Roman" w:hint="eastAsia"/>
          <w:snapToGrid/>
          <w:color w:val="auto"/>
          <w:kern w:val="2"/>
          <w:sz w:val="24"/>
          <w:szCs w:val="24"/>
          <w:lang w:eastAsia="zh-CN"/>
        </w:rPr>
        <w:t>SS</w:t>
      </w:r>
      <w:r>
        <w:rPr>
          <w:rFonts w:ascii="Times New Roman" w:eastAsia="宋体" w:hAnsi="Times New Roman" w:cs="Times New Roman" w:hint="eastAsia"/>
          <w:snapToGrid/>
          <w:color w:val="auto"/>
          <w:kern w:val="2"/>
          <w:sz w:val="24"/>
          <w:szCs w:val="24"/>
          <w:lang w:eastAsia="zh-CN"/>
        </w:rPr>
        <w:t>）对工程附近海域的珊瑚的影响不容忽视。</w:t>
      </w:r>
    </w:p>
    <w:p w14:paraId="547249C6"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根据珊瑚礁现状调查资料可知，本项目疏浚区无珊瑚礁分布，</w:t>
      </w:r>
      <w:r>
        <w:rPr>
          <w:rFonts w:ascii="Times New Roman" w:eastAsia="宋体" w:hAnsi="Times New Roman" w:cs="Times New Roman"/>
          <w:snapToGrid/>
          <w:color w:val="auto"/>
          <w:kern w:val="2"/>
          <w:sz w:val="24"/>
          <w:szCs w:val="24"/>
          <w:lang w:eastAsia="zh-CN"/>
        </w:rPr>
        <w:t>施工期间所有源点</w:t>
      </w:r>
      <w:r>
        <w:rPr>
          <w:rFonts w:ascii="Times New Roman" w:eastAsia="宋体" w:hAnsi="Times New Roman" w:cs="Times New Roman" w:hint="eastAsia"/>
          <w:snapToGrid/>
          <w:color w:val="auto"/>
          <w:kern w:val="2"/>
          <w:sz w:val="24"/>
          <w:szCs w:val="24"/>
          <w:lang w:eastAsia="zh-CN"/>
        </w:rPr>
        <w:t>叠加</w:t>
      </w:r>
      <w:r>
        <w:rPr>
          <w:rFonts w:ascii="Times New Roman" w:eastAsia="宋体" w:hAnsi="Times New Roman" w:cs="Times New Roman"/>
          <w:snapToGrid/>
          <w:color w:val="auto"/>
          <w:kern w:val="2"/>
          <w:sz w:val="24"/>
          <w:szCs w:val="24"/>
          <w:lang w:eastAsia="zh-CN"/>
        </w:rPr>
        <w:t>产生的</w:t>
      </w:r>
      <w:r>
        <w:rPr>
          <w:rFonts w:ascii="Times New Roman" w:eastAsia="宋体" w:hAnsi="Times New Roman" w:cs="Times New Roman"/>
          <w:snapToGrid/>
          <w:color w:val="auto"/>
          <w:kern w:val="2"/>
          <w:sz w:val="24"/>
          <w:szCs w:val="24"/>
          <w:lang w:eastAsia="zh-CN"/>
        </w:rPr>
        <w:t>悬浮泥沙超一、二类水质标准（</w:t>
      </w:r>
      <w:r>
        <w:rPr>
          <w:rFonts w:ascii="Times New Roman" w:eastAsia="宋体" w:hAnsi="Times New Roman" w:cs="Times New Roman"/>
          <w:snapToGrid/>
          <w:color w:val="auto"/>
          <w:kern w:val="2"/>
          <w:sz w:val="24"/>
          <w:szCs w:val="24"/>
          <w:lang w:eastAsia="zh-CN"/>
        </w:rPr>
        <w:t>&gt;10mg/L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2.570</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，超三类水质标准（</w:t>
      </w:r>
      <w:r>
        <w:rPr>
          <w:rFonts w:ascii="Times New Roman" w:eastAsia="宋体" w:hAnsi="Times New Roman" w:cs="Times New Roman"/>
          <w:snapToGrid/>
          <w:color w:val="auto"/>
          <w:kern w:val="2"/>
          <w:sz w:val="24"/>
          <w:szCs w:val="24"/>
          <w:lang w:eastAsia="zh-CN"/>
        </w:rPr>
        <w:t>&gt;100mg/L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12.73</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，超四类水质标准（</w:t>
      </w:r>
      <w:r>
        <w:rPr>
          <w:rFonts w:ascii="Times New Roman" w:eastAsia="宋体" w:hAnsi="Times New Roman" w:cs="Times New Roman"/>
          <w:snapToGrid/>
          <w:color w:val="auto"/>
          <w:kern w:val="2"/>
          <w:sz w:val="24"/>
          <w:szCs w:val="24"/>
          <w:lang w:eastAsia="zh-CN"/>
        </w:rPr>
        <w:t>&gt;150mg/L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76.90</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。且所有源点叠加后超</w:t>
      </w:r>
      <w:r>
        <w:rPr>
          <w:rFonts w:ascii="Times New Roman" w:eastAsia="宋体" w:hAnsi="Times New Roman" w:cs="Times New Roman"/>
          <w:snapToGrid/>
          <w:color w:val="auto"/>
          <w:kern w:val="2"/>
          <w:sz w:val="24"/>
          <w:szCs w:val="24"/>
          <w:lang w:eastAsia="zh-CN"/>
        </w:rPr>
        <w:t>I</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Ⅱ</w:t>
      </w:r>
      <w:r>
        <w:rPr>
          <w:rFonts w:ascii="Times New Roman" w:eastAsia="宋体" w:hAnsi="Times New Roman" w:cs="Times New Roman"/>
          <w:snapToGrid/>
          <w:color w:val="auto"/>
          <w:kern w:val="2"/>
          <w:sz w:val="24"/>
          <w:szCs w:val="24"/>
          <w:lang w:eastAsia="zh-CN"/>
        </w:rPr>
        <w:t>类水质</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&gt;10mg/L</w:t>
      </w:r>
      <w:r>
        <w:rPr>
          <w:rFonts w:ascii="Times New Roman" w:eastAsia="宋体" w:hAnsi="Times New Roman" w:cs="Times New Roman" w:hint="eastAsia"/>
          <w:snapToGrid/>
          <w:color w:val="auto"/>
          <w:kern w:val="2"/>
          <w:sz w:val="24"/>
          <w:szCs w:val="24"/>
          <w:lang w:eastAsia="zh-CN"/>
        </w:rPr>
        <w:t>）扩散的最远距离仅有</w:t>
      </w:r>
      <w:r>
        <w:rPr>
          <w:rFonts w:ascii="Times New Roman" w:eastAsia="宋体" w:hAnsi="Times New Roman" w:cs="Times New Roman" w:hint="eastAsia"/>
          <w:snapToGrid/>
          <w:color w:val="auto"/>
          <w:kern w:val="2"/>
          <w:sz w:val="24"/>
          <w:szCs w:val="24"/>
          <w:lang w:eastAsia="zh-CN"/>
        </w:rPr>
        <w:t>1.2km</w:t>
      </w:r>
      <w:r>
        <w:rPr>
          <w:rFonts w:ascii="Times New Roman" w:eastAsia="宋体" w:hAnsi="Times New Roman" w:cs="Times New Roman" w:hint="eastAsia"/>
          <w:snapToGrid/>
          <w:color w:val="auto"/>
          <w:kern w:val="2"/>
          <w:sz w:val="24"/>
          <w:szCs w:val="24"/>
          <w:lang w:eastAsia="zh-CN"/>
        </w:rPr>
        <w:t>左右</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施工期悬浮泥沙没有扩散到周边珊瑚礁</w:t>
      </w:r>
      <w:r>
        <w:rPr>
          <w:rFonts w:ascii="Times New Roman" w:eastAsia="宋体" w:hAnsi="Times New Roman" w:cs="Times New Roman" w:hint="eastAsia"/>
          <w:snapToGrid/>
          <w:color w:val="auto"/>
          <w:kern w:val="2"/>
          <w:sz w:val="24"/>
          <w:szCs w:val="24"/>
          <w:lang w:eastAsia="zh-CN"/>
        </w:rPr>
        <w:t>分布</w:t>
      </w:r>
      <w:r>
        <w:rPr>
          <w:rFonts w:ascii="Times New Roman" w:eastAsia="宋体" w:hAnsi="Times New Roman" w:cs="Times New Roman" w:hint="eastAsia"/>
          <w:snapToGrid/>
          <w:color w:val="auto"/>
          <w:kern w:val="2"/>
          <w:sz w:val="24"/>
          <w:szCs w:val="24"/>
          <w:lang w:eastAsia="zh-CN"/>
        </w:rPr>
        <w:t>区内，距珊瑚礁分布区的边界约为</w:t>
      </w:r>
      <w:r>
        <w:rPr>
          <w:rFonts w:ascii="Times New Roman" w:eastAsia="宋体" w:hAnsi="Times New Roman" w:cs="Times New Roman" w:hint="eastAsia"/>
          <w:snapToGrid/>
          <w:color w:val="auto"/>
          <w:kern w:val="2"/>
          <w:sz w:val="24"/>
          <w:szCs w:val="24"/>
          <w:lang w:eastAsia="zh-CN"/>
        </w:rPr>
        <w:t>3.2k</w:t>
      </w:r>
      <w:r>
        <w:rPr>
          <w:rFonts w:ascii="Times New Roman" w:eastAsia="宋体" w:hAnsi="Times New Roman" w:cs="Times New Roman" w:hint="eastAsia"/>
          <w:snapToGrid/>
          <w:color w:val="auto"/>
          <w:kern w:val="2"/>
          <w:sz w:val="24"/>
          <w:szCs w:val="24"/>
          <w:lang w:eastAsia="zh-CN"/>
        </w:rPr>
        <w:t>m</w:t>
      </w:r>
      <w:r>
        <w:rPr>
          <w:rFonts w:ascii="Times New Roman" w:eastAsia="宋体" w:hAnsi="Times New Roman" w:cs="Times New Roman" w:hint="eastAsia"/>
          <w:snapToGrid/>
          <w:color w:val="auto"/>
          <w:kern w:val="2"/>
          <w:sz w:val="24"/>
          <w:szCs w:val="24"/>
          <w:lang w:eastAsia="zh-CN"/>
        </w:rPr>
        <w:t>。</w:t>
      </w:r>
    </w:p>
    <w:p w14:paraId="3F85023A"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因此，项目施工产生的悬浮泥沙对珊瑚礁资源的影响较小。</w:t>
      </w:r>
    </w:p>
    <w:p w14:paraId="6CB347FB"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）项目建设潮流场改变对珊瑚礁的影响</w:t>
      </w:r>
    </w:p>
    <w:p w14:paraId="34DD4B04"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通过对比工程建设前后涨急和落急时刻流场可知，铁炉港内水域涨落潮流场基本呈现西北向东南流；受港内地形影响，港内水域流速较弱。清淤工程各方案实施前后，港内流速变化不大。清淤工程对铁炉湾流场影响范围局限在港内海水与淡水交汇处与高尔夫中央球场北部，工程建设对周边海域水动力影响较小</w:t>
      </w:r>
      <w:r>
        <w:rPr>
          <w:rFonts w:ascii="Times New Roman" w:eastAsia="宋体" w:hAnsi="Times New Roman" w:cs="Times New Roman" w:hint="eastAsia"/>
          <w:snapToGrid/>
          <w:color w:val="auto"/>
          <w:kern w:val="2"/>
          <w:sz w:val="24"/>
          <w:szCs w:val="24"/>
          <w:lang w:eastAsia="zh-CN"/>
        </w:rPr>
        <w:t>，因此对珊瑚礁影响较小</w:t>
      </w:r>
    </w:p>
    <w:p w14:paraId="2893A269" w14:textId="77777777" w:rsidR="0075791A" w:rsidRDefault="00FB2864">
      <w:pPr>
        <w:spacing w:line="360" w:lineRule="auto"/>
        <w:outlineLvl w:val="2"/>
        <w:rPr>
          <w:rFonts w:ascii="Times New Roman" w:eastAsia="宋体" w:hAnsi="Times New Roman" w:cs="Times New Roman"/>
          <w:b/>
          <w:bCs/>
          <w:color w:val="auto"/>
          <w:spacing w:val="-3"/>
          <w:sz w:val="24"/>
          <w:szCs w:val="24"/>
          <w:lang w:eastAsia="zh-CN"/>
        </w:rPr>
      </w:pPr>
      <w:r>
        <w:rPr>
          <w:rFonts w:ascii="Times New Roman" w:eastAsia="宋体" w:hAnsi="Times New Roman" w:cs="Times New Roman" w:hint="eastAsia"/>
          <w:b/>
          <w:bCs/>
          <w:color w:val="auto"/>
          <w:spacing w:val="-3"/>
          <w:sz w:val="24"/>
          <w:szCs w:val="24"/>
          <w:lang w:eastAsia="zh-CN"/>
        </w:rPr>
        <w:t>4.3.9</w:t>
      </w:r>
      <w:r>
        <w:rPr>
          <w:rFonts w:ascii="Times New Roman" w:eastAsia="宋体" w:hAnsi="Times New Roman" w:cs="Times New Roman" w:hint="eastAsia"/>
          <w:b/>
          <w:bCs/>
          <w:color w:val="auto"/>
          <w:spacing w:val="-3"/>
          <w:sz w:val="24"/>
          <w:szCs w:val="24"/>
          <w:lang w:eastAsia="zh-CN"/>
        </w:rPr>
        <w:t>对海草床生态系统影响分析</w:t>
      </w:r>
    </w:p>
    <w:p w14:paraId="42CA5456"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）悬浮泥沙扩散对海草床的影响分析</w:t>
      </w:r>
    </w:p>
    <w:p w14:paraId="671237F0"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工程施工过程中产生的悬浮泥沙（</w:t>
      </w:r>
      <w:r>
        <w:rPr>
          <w:rFonts w:ascii="Times New Roman" w:eastAsia="宋体" w:hAnsi="Times New Roman" w:cs="Times New Roman" w:hint="eastAsia"/>
          <w:snapToGrid/>
          <w:color w:val="auto"/>
          <w:kern w:val="2"/>
          <w:sz w:val="24"/>
          <w:szCs w:val="24"/>
          <w:lang w:eastAsia="zh-CN"/>
        </w:rPr>
        <w:t>SS</w:t>
      </w:r>
      <w:r>
        <w:rPr>
          <w:rFonts w:ascii="Times New Roman" w:eastAsia="宋体" w:hAnsi="Times New Roman" w:cs="Times New Roman" w:hint="eastAsia"/>
          <w:snapToGrid/>
          <w:color w:val="auto"/>
          <w:kern w:val="2"/>
          <w:sz w:val="24"/>
          <w:szCs w:val="24"/>
          <w:lang w:eastAsia="zh-CN"/>
        </w:rPr>
        <w:t>）将导致水体浊度增加，悬浮物会降低水体透光率，直接影响海草的光合作用效率。根据数值模拟结果，本项目施工期间悬浮泥沙超</w:t>
      </w:r>
      <w:r>
        <w:rPr>
          <w:rFonts w:ascii="Times New Roman" w:eastAsia="宋体" w:hAnsi="Times New Roman" w:cs="Times New Roman" w:hint="eastAsia"/>
          <w:snapToGrid/>
          <w:color w:val="auto"/>
          <w:kern w:val="2"/>
          <w:sz w:val="24"/>
          <w:szCs w:val="24"/>
          <w:lang w:eastAsia="zh-CN"/>
        </w:rPr>
        <w:lastRenderedPageBreak/>
        <w:t>一、二类水质标准（</w:t>
      </w:r>
      <w:r>
        <w:rPr>
          <w:rFonts w:ascii="Times New Roman" w:eastAsia="宋体" w:hAnsi="Times New Roman" w:cs="Times New Roman" w:hint="eastAsia"/>
          <w:snapToGrid/>
          <w:color w:val="auto"/>
          <w:kern w:val="2"/>
          <w:sz w:val="24"/>
          <w:szCs w:val="24"/>
          <w:lang w:eastAsia="zh-CN"/>
        </w:rPr>
        <w:t>&gt;10mg/L</w:t>
      </w:r>
      <w:r>
        <w:rPr>
          <w:rFonts w:ascii="Times New Roman" w:eastAsia="宋体" w:hAnsi="Times New Roman" w:cs="Times New Roman" w:hint="eastAsia"/>
          <w:snapToGrid/>
          <w:color w:val="auto"/>
          <w:kern w:val="2"/>
          <w:sz w:val="24"/>
          <w:szCs w:val="24"/>
          <w:lang w:eastAsia="zh-CN"/>
        </w:rPr>
        <w:t>）的最大影响范围仅局限为施工区域附近，但影响最远距离仅</w:t>
      </w:r>
      <w:r>
        <w:rPr>
          <w:rFonts w:ascii="Times New Roman" w:eastAsia="宋体" w:hAnsi="Times New Roman" w:cs="Times New Roman" w:hint="eastAsia"/>
          <w:snapToGrid/>
          <w:color w:val="auto"/>
          <w:kern w:val="2"/>
          <w:sz w:val="24"/>
          <w:szCs w:val="24"/>
          <w:lang w:eastAsia="zh-CN"/>
        </w:rPr>
        <w:t>1.2km</w:t>
      </w:r>
      <w:r>
        <w:rPr>
          <w:rFonts w:ascii="Times New Roman" w:eastAsia="宋体" w:hAnsi="Times New Roman" w:cs="Times New Roman" w:hint="eastAsia"/>
          <w:snapToGrid/>
          <w:color w:val="auto"/>
          <w:kern w:val="2"/>
          <w:sz w:val="24"/>
          <w:szCs w:val="24"/>
          <w:lang w:eastAsia="zh-CN"/>
        </w:rPr>
        <w:t>，即均位于铁炉港潟湖内。由于项目施工区距离现存海草床分布区较远（最近距离约</w:t>
      </w:r>
      <w:r>
        <w:rPr>
          <w:rFonts w:ascii="Times New Roman" w:eastAsia="宋体" w:hAnsi="Times New Roman" w:cs="Times New Roman" w:hint="eastAsia"/>
          <w:snapToGrid/>
          <w:color w:val="auto"/>
          <w:kern w:val="2"/>
          <w:sz w:val="24"/>
          <w:szCs w:val="24"/>
          <w:lang w:eastAsia="zh-CN"/>
        </w:rPr>
        <w:t>7km</w:t>
      </w:r>
      <w:r>
        <w:rPr>
          <w:rFonts w:ascii="Times New Roman" w:eastAsia="宋体" w:hAnsi="Times New Roman" w:cs="Times New Roman" w:hint="eastAsia"/>
          <w:snapToGrid/>
          <w:color w:val="auto"/>
          <w:kern w:val="2"/>
          <w:sz w:val="24"/>
          <w:szCs w:val="24"/>
          <w:lang w:eastAsia="zh-CN"/>
        </w:rPr>
        <w:t>），且后海海草床主要分布在珊瑚礁盘的潟湖内，呈斑块状分布，施工产生的悬浮泥沙不会扩散至海草床分布区域。通过采取设置防污帘、控制施工强度、避开涨潮期作业等措施，可进一步降低悬浮泥沙的影响范</w:t>
      </w:r>
      <w:r>
        <w:rPr>
          <w:rFonts w:ascii="Times New Roman" w:eastAsia="宋体" w:hAnsi="Times New Roman" w:cs="Times New Roman" w:hint="eastAsia"/>
          <w:snapToGrid/>
          <w:color w:val="auto"/>
          <w:kern w:val="2"/>
          <w:sz w:val="24"/>
          <w:szCs w:val="24"/>
          <w:lang w:eastAsia="zh-CN"/>
        </w:rPr>
        <w:t>围，减少对海草床造成实质性的影响。</w:t>
      </w:r>
    </w:p>
    <w:p w14:paraId="40F8E414"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）项目建设潮流场改变对海草床的影响分析</w:t>
      </w:r>
    </w:p>
    <w:p w14:paraId="2752B0B4"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根据水动力模拟结果，工程实施后主要改变发生在河口入海口处，由淤积状态转为冲刷状态，但周边区域年冲淤变化量不超过</w:t>
      </w:r>
      <w:r>
        <w:rPr>
          <w:rFonts w:ascii="Times New Roman" w:eastAsia="宋体" w:hAnsi="Times New Roman" w:cs="Times New Roman" w:hint="eastAsia"/>
          <w:snapToGrid/>
          <w:color w:val="auto"/>
          <w:kern w:val="2"/>
          <w:sz w:val="24"/>
          <w:szCs w:val="24"/>
          <w:lang w:eastAsia="zh-CN"/>
        </w:rPr>
        <w:t>0.9cm/a</w:t>
      </w:r>
      <w:r>
        <w:rPr>
          <w:rFonts w:ascii="Times New Roman" w:eastAsia="宋体" w:hAnsi="Times New Roman" w:cs="Times New Roman" w:hint="eastAsia"/>
          <w:snapToGrid/>
          <w:color w:val="auto"/>
          <w:kern w:val="2"/>
          <w:sz w:val="24"/>
          <w:szCs w:val="24"/>
          <w:lang w:eastAsia="zh-CN"/>
        </w:rPr>
        <w:t>。海草床对水流变化较为敏感，特别是泰来草和圆叶丝粉草等物种适宜生长在水流相对稳定的环境中。模拟显示工程对铁炉湾整体流场影响有限，主要影响范围局限在港内海水与淡水交汇处，对后海海域海草床分布区的水动力环境基本不产生影响。考虑到海草床所在潟湖区域与工程区存在一定的地形隔离，且现存海草床面积较小（</w:t>
      </w:r>
      <w:r>
        <w:rPr>
          <w:rFonts w:ascii="Times New Roman" w:eastAsia="宋体" w:hAnsi="Times New Roman" w:cs="Times New Roman" w:hint="eastAsia"/>
          <w:snapToGrid/>
          <w:color w:val="auto"/>
          <w:kern w:val="2"/>
          <w:sz w:val="24"/>
          <w:szCs w:val="24"/>
          <w:lang w:eastAsia="zh-CN"/>
        </w:rPr>
        <w:t>3.38</w:t>
      </w:r>
      <w:r>
        <w:rPr>
          <w:rFonts w:ascii="Times New Roman" w:eastAsia="宋体" w:hAnsi="Times New Roman" w:cs="Times New Roman" w:hint="eastAsia"/>
          <w:snapToGrid/>
          <w:color w:val="auto"/>
          <w:kern w:val="2"/>
          <w:sz w:val="24"/>
          <w:szCs w:val="24"/>
          <w:lang w:eastAsia="zh-CN"/>
        </w:rPr>
        <w:t>公顷），</w:t>
      </w:r>
      <w:r>
        <w:rPr>
          <w:rFonts w:ascii="Times New Roman" w:eastAsia="宋体" w:hAnsi="Times New Roman" w:cs="Times New Roman" w:hint="eastAsia"/>
          <w:snapToGrid/>
          <w:color w:val="auto"/>
          <w:kern w:val="2"/>
          <w:sz w:val="24"/>
          <w:szCs w:val="24"/>
          <w:lang w:eastAsia="zh-CN"/>
        </w:rPr>
        <w:t>呈斑块状分布，项目建设对海草床的生存环境影响较小。</w:t>
      </w:r>
    </w:p>
    <w:p w14:paraId="2A51B046"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259" w:name="_Toc14161"/>
      <w:bookmarkStart w:id="260" w:name="_Toc22569"/>
      <w:r>
        <w:rPr>
          <w:rFonts w:ascii="Times New Roman" w:eastAsia="Times New Roman" w:hAnsi="Times New Roman" w:cs="Times New Roman" w:hint="eastAsia"/>
          <w:b/>
          <w:bCs/>
          <w:color w:val="auto"/>
          <w:spacing w:val="-6"/>
          <w:sz w:val="30"/>
          <w:szCs w:val="30"/>
          <w:lang w:eastAsia="zh-CN"/>
        </w:rPr>
        <w:t>4.4项目建设正向效果</w:t>
      </w:r>
      <w:bookmarkEnd w:id="259"/>
      <w:bookmarkEnd w:id="260"/>
    </w:p>
    <w:p w14:paraId="1AE440D4"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铁炉港红树林湿地保护修复项目的效益集中体现在三个方面，包括生态效益、经济效益以及社会效益。</w:t>
      </w:r>
    </w:p>
    <w:p w14:paraId="4197BEDC" w14:textId="77777777" w:rsidR="0075791A" w:rsidRDefault="00FB2864">
      <w:pPr>
        <w:spacing w:line="360" w:lineRule="auto"/>
        <w:outlineLvl w:val="2"/>
        <w:rPr>
          <w:rFonts w:ascii="Times New Roman" w:eastAsia="宋体" w:hAnsi="Times New Roman" w:cs="Times New Roman"/>
          <w:b/>
          <w:bCs/>
          <w:color w:val="auto"/>
          <w:spacing w:val="-3"/>
          <w:sz w:val="24"/>
          <w:szCs w:val="24"/>
          <w:lang w:eastAsia="zh-CN"/>
        </w:rPr>
      </w:pPr>
      <w:r>
        <w:rPr>
          <w:rFonts w:ascii="Times New Roman" w:eastAsia="宋体" w:hAnsi="Times New Roman" w:cs="Times New Roman" w:hint="eastAsia"/>
          <w:b/>
          <w:bCs/>
          <w:color w:val="auto"/>
          <w:spacing w:val="-3"/>
          <w:sz w:val="24"/>
          <w:szCs w:val="24"/>
          <w:lang w:eastAsia="zh-CN"/>
        </w:rPr>
        <w:t>4.4.1</w:t>
      </w:r>
      <w:r>
        <w:rPr>
          <w:rFonts w:ascii="Times New Roman" w:eastAsia="宋体" w:hAnsi="Times New Roman" w:cs="Times New Roman" w:hint="eastAsia"/>
          <w:b/>
          <w:bCs/>
          <w:color w:val="auto"/>
          <w:spacing w:val="-3"/>
          <w:sz w:val="24"/>
          <w:szCs w:val="24"/>
          <w:lang w:eastAsia="zh-CN"/>
        </w:rPr>
        <w:t>生态效益</w:t>
      </w:r>
    </w:p>
    <w:p w14:paraId="7581E073"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）抗风消浪，造陆护堤，构建区域生态安全格局</w:t>
      </w:r>
    </w:p>
    <w:p w14:paraId="128C9683"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树林具有较强的抗风和消浪性能，被称为热带、亚热带海岸带第一道防护林，具有巨大的减灾作用。红树林具有抗御强台风危害的作用，保护海堤免于冲毁，削减堤内经济损失的功能，据专家评估，</w:t>
      </w:r>
      <w:r>
        <w:rPr>
          <w:rFonts w:ascii="Times New Roman" w:eastAsia="宋体" w:hAnsi="Times New Roman" w:cs="Times New Roman" w:hint="eastAsia"/>
          <w:snapToGrid/>
          <w:color w:val="auto"/>
          <w:kern w:val="2"/>
          <w:sz w:val="24"/>
          <w:szCs w:val="24"/>
          <w:lang w:eastAsia="zh-CN"/>
        </w:rPr>
        <w:t>1000</w:t>
      </w:r>
      <w:r>
        <w:rPr>
          <w:rFonts w:ascii="Times New Roman" w:eastAsia="宋体" w:hAnsi="Times New Roman" w:cs="Times New Roman" w:hint="eastAsia"/>
          <w:snapToGrid/>
          <w:color w:val="auto"/>
          <w:kern w:val="2"/>
          <w:sz w:val="24"/>
          <w:szCs w:val="24"/>
          <w:lang w:eastAsia="zh-CN"/>
        </w:rPr>
        <w:t>米红树林分布海岸线每年可提供约</w:t>
      </w:r>
      <w:r>
        <w:rPr>
          <w:rFonts w:ascii="Times New Roman" w:eastAsia="宋体" w:hAnsi="Times New Roman" w:cs="Times New Roman" w:hint="eastAsia"/>
          <w:snapToGrid/>
          <w:color w:val="auto"/>
          <w:kern w:val="2"/>
          <w:sz w:val="24"/>
          <w:szCs w:val="24"/>
          <w:lang w:eastAsia="zh-CN"/>
        </w:rPr>
        <w:t>8</w:t>
      </w:r>
      <w:r>
        <w:rPr>
          <w:rFonts w:ascii="Times New Roman" w:eastAsia="宋体" w:hAnsi="Times New Roman" w:cs="Times New Roman" w:hint="eastAsia"/>
          <w:snapToGrid/>
          <w:color w:val="auto"/>
          <w:kern w:val="2"/>
          <w:sz w:val="24"/>
          <w:szCs w:val="24"/>
          <w:lang w:eastAsia="zh-CN"/>
        </w:rPr>
        <w:t>万元的台风灾害防护效益。红树林生态系统致密的林冠和密集交错的根系减慢水体流速和减弱近地面的风速，沉降水体中的悬浮颗粒，促进土壤形成，起到保护土壤并造陆护堤作用，从而达到保护海岸的目的。基于铁炉港红树林湿地保护修复项目，可以有效抵抗强台风，大幅消除波浪带来的不利影响，有效促淤保滩，促进沿海地区的可持</w:t>
      </w:r>
      <w:r>
        <w:rPr>
          <w:rFonts w:ascii="Times New Roman" w:eastAsia="宋体" w:hAnsi="Times New Roman" w:cs="Times New Roman" w:hint="eastAsia"/>
          <w:snapToGrid/>
          <w:color w:val="auto"/>
          <w:kern w:val="2"/>
          <w:sz w:val="24"/>
          <w:szCs w:val="24"/>
          <w:lang w:eastAsia="zh-CN"/>
        </w:rPr>
        <w:t>续发展。从而使铁炉港保护区的功能得以充分发挥，进一步发挥红树林防风防浪、保堤护岸、促淤造陆、国土保护等生态功能。</w:t>
      </w:r>
    </w:p>
    <w:p w14:paraId="3676E772"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）维护区域生物多样性稳定</w:t>
      </w:r>
    </w:p>
    <w:p w14:paraId="0A99E1AD"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lastRenderedPageBreak/>
        <w:t>通过对拉关木进行源头预防、监测预警、治理修复等方面进行可持续管理，进一步加强外来入侵物种防控，构建全链条防控体系，促进红树林生态系统和底栖动物生境的良性循环，有效保护剩余的红树林生态系统，保证铁炉港保护区核心区域生态系统结构功能和生态稳定状态。</w:t>
      </w:r>
    </w:p>
    <w:p w14:paraId="4C73547B"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）保持水土，丰富多元物种生境</w:t>
      </w:r>
    </w:p>
    <w:p w14:paraId="7F7CDA15"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大量研究已经证明，红树林具有促淤保滩的功能。红树林通过密集交错的根系网络碎屑，促进水体中</w:t>
      </w:r>
      <w:r>
        <w:rPr>
          <w:rFonts w:ascii="Times New Roman" w:eastAsia="宋体" w:hAnsi="Times New Roman" w:cs="Times New Roman" w:hint="eastAsia"/>
          <w:snapToGrid/>
          <w:color w:val="auto"/>
          <w:kern w:val="2"/>
          <w:sz w:val="24"/>
          <w:szCs w:val="24"/>
          <w:lang w:eastAsia="zh-CN"/>
        </w:rPr>
        <w:t>颗粒物质的沉降，进而促进了土壤沉积物的形成。红树植物本身具有丰富的凋落物，加上林内海洋生物的排泄物、遗骸等，为红树林海岸的淤积提供了大量的物质来源。红树林这个“沧海变陆”的进程让人们看到了在一定程度上抵御和缓解温室效应带来的海平面上升的希望。</w:t>
      </w:r>
    </w:p>
    <w:p w14:paraId="73C74AF1"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红树林是天然过滤器，可净化海水，吸收污染物，降低海水富营养化程度，防止赤潮发生。通过减缓海水流速，使得各种悬浮物沉降，固定、吸收和分解各种污染物，防止污染发生，净化沿海水体。红树植物还能吸收土壤中的重金属元素，浓集于植物体内，降低水体重金属污染程度。修复退化的本地红树</w:t>
      </w:r>
      <w:r>
        <w:rPr>
          <w:rFonts w:ascii="Times New Roman" w:eastAsia="宋体" w:hAnsi="Times New Roman" w:cs="Times New Roman" w:hint="eastAsia"/>
          <w:snapToGrid/>
          <w:color w:val="auto"/>
          <w:kern w:val="2"/>
          <w:sz w:val="24"/>
          <w:szCs w:val="24"/>
          <w:lang w:eastAsia="zh-CN"/>
        </w:rPr>
        <w:t>，红榄李、木果楝、瓶花木、正红树、海滨猫尾木种等植物丰富度增加，提升植被覆盖率，能更好地发挥降解污染物、净化水体的功能，赤潮发生的频率就会大大降低，危害程度大幅减弱，近海捕捞和海水养殖业的发展就比较顺利。</w:t>
      </w:r>
    </w:p>
    <w:p w14:paraId="3F92EE5F"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项目建设完成后，随着围海养殖活动的退出，乡土红树林群落的形成，鸟类及珍稀物种栖息地的恢复，动物和植物协调发展，将有效恢复该区域的生态环境，而区内的乡土红树林群落也可按其自然规律稳定地进行演替、发展，发挥其最大的生态功能。修复后的自然本地植被生境不但为水生动物、水生植物提供了优良的生存场所，也为多种珍稀濒危</w:t>
      </w:r>
      <w:r>
        <w:rPr>
          <w:rFonts w:ascii="Times New Roman" w:eastAsia="宋体" w:hAnsi="Times New Roman" w:cs="Times New Roman" w:hint="eastAsia"/>
          <w:snapToGrid/>
          <w:color w:val="auto"/>
          <w:kern w:val="2"/>
          <w:sz w:val="24"/>
          <w:szCs w:val="24"/>
          <w:lang w:eastAsia="zh-CN"/>
        </w:rPr>
        <w:t>野生动物，特别是为鸬鹚、黑水鸡、黑翅鸢、牛背鹭、大白鹭、白鹭等鸟类提供了必需的栖息、迁徙和繁殖场所。同时，自然潮滩为许多物种保存了基因特性，使得许多野生生物能在不受干扰的情况下生存和繁衍。</w:t>
      </w:r>
    </w:p>
    <w:p w14:paraId="02CF7EDE"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4</w:t>
      </w:r>
      <w:r>
        <w:rPr>
          <w:rFonts w:ascii="Times New Roman" w:eastAsia="宋体" w:hAnsi="Times New Roman" w:cs="Times New Roman" w:hint="eastAsia"/>
          <w:snapToGrid/>
          <w:color w:val="auto"/>
          <w:kern w:val="2"/>
          <w:sz w:val="24"/>
          <w:szCs w:val="24"/>
          <w:lang w:eastAsia="zh-CN"/>
        </w:rPr>
        <w:t>）超强固碳，调节城市气候环境</w:t>
      </w:r>
    </w:p>
    <w:p w14:paraId="6D42C1A5"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红树林具有超强的生产力和固碳能力，有利于减缓气候变化。红树林、海草床、盐沼被认为是</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个重要的海岸带蓝碳生态系统，红树林从大气和海洋中封存和储存大量的沿海蓝碳，在储存碳的能力方面优于大多数其他森林，滨海湿地是唯一能把碳长期固定在土壤里长达一百万年的生境，其中</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公顷的红树林能抵消</w:t>
      </w:r>
      <w:r>
        <w:rPr>
          <w:rFonts w:ascii="Times New Roman" w:eastAsia="宋体" w:hAnsi="Times New Roman" w:cs="Times New Roman" w:hint="eastAsia"/>
          <w:snapToGrid/>
          <w:color w:val="auto"/>
          <w:kern w:val="2"/>
          <w:sz w:val="24"/>
          <w:szCs w:val="24"/>
          <w:lang w:eastAsia="zh-CN"/>
        </w:rPr>
        <w:t>726</w:t>
      </w:r>
      <w:r>
        <w:rPr>
          <w:rFonts w:ascii="Times New Roman" w:eastAsia="宋体" w:hAnsi="Times New Roman" w:cs="Times New Roman" w:hint="eastAsia"/>
          <w:snapToGrid/>
          <w:color w:val="auto"/>
          <w:kern w:val="2"/>
          <w:sz w:val="24"/>
          <w:szCs w:val="24"/>
          <w:lang w:eastAsia="zh-CN"/>
        </w:rPr>
        <w:t>吨碳排</w:t>
      </w:r>
      <w:r>
        <w:rPr>
          <w:rFonts w:ascii="Times New Roman" w:eastAsia="宋体" w:hAnsi="Times New Roman" w:cs="Times New Roman" w:hint="eastAsia"/>
          <w:snapToGrid/>
          <w:color w:val="auto"/>
          <w:kern w:val="2"/>
          <w:sz w:val="24"/>
          <w:szCs w:val="24"/>
          <w:lang w:eastAsia="zh-CN"/>
        </w:rPr>
        <w:t>放量。铁炉港水面开阔，沿岸分布大面积红树林，通过水的汽化和红树林群落的蒸腾作用达到散热降温、</w:t>
      </w:r>
      <w:r>
        <w:rPr>
          <w:rFonts w:ascii="Times New Roman" w:eastAsia="宋体" w:hAnsi="Times New Roman" w:cs="Times New Roman" w:hint="eastAsia"/>
          <w:snapToGrid/>
          <w:color w:val="auto"/>
          <w:kern w:val="2"/>
          <w:sz w:val="24"/>
          <w:szCs w:val="24"/>
          <w:lang w:eastAsia="zh-CN"/>
        </w:rPr>
        <w:lastRenderedPageBreak/>
        <w:t>直接调节区域气候的效果，大大缓解了三亚市的城市热岛效应。</w:t>
      </w:r>
    </w:p>
    <w:p w14:paraId="350BBD39"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生态效益指标计划完成情况</w:t>
      </w:r>
    </w:p>
    <w:p w14:paraId="1E66FBDE"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①</w:t>
      </w:r>
      <w:r>
        <w:rPr>
          <w:rFonts w:ascii="Times New Roman" w:eastAsia="宋体" w:hAnsi="Times New Roman" w:cs="Times New Roman"/>
          <w:snapToGrid/>
          <w:color w:val="auto"/>
          <w:kern w:val="2"/>
          <w:sz w:val="24"/>
          <w:szCs w:val="24"/>
          <w:lang w:eastAsia="zh-CN"/>
        </w:rPr>
        <w:t>重要栖息地保护率</w:t>
      </w:r>
      <w:r>
        <w:rPr>
          <w:rFonts w:ascii="Times New Roman" w:eastAsia="宋体" w:hAnsi="Times New Roman" w:cs="Times New Roman" w:hint="eastAsia"/>
          <w:snapToGrid/>
          <w:color w:val="auto"/>
          <w:kern w:val="2"/>
          <w:sz w:val="24"/>
          <w:szCs w:val="24"/>
          <w:lang w:eastAsia="zh-CN"/>
        </w:rPr>
        <w:t>提升率</w:t>
      </w:r>
    </w:p>
    <w:p w14:paraId="6FD9240D"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铁炉港鸟类资源丰富，多珍稀鸟类和迁徙水鸟，处于重要的鸟类迁徙通</w:t>
      </w:r>
      <w:r>
        <w:rPr>
          <w:rFonts w:ascii="Times New Roman" w:eastAsia="宋体" w:hAnsi="Times New Roman" w:cs="Times New Roman"/>
          <w:snapToGrid/>
          <w:color w:val="auto"/>
          <w:kern w:val="2"/>
          <w:sz w:val="24"/>
          <w:szCs w:val="24"/>
          <w:lang w:eastAsia="zh-CN"/>
        </w:rPr>
        <w:t>道上，是水鸟重要的栖息地</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2023</w:t>
      </w:r>
      <w:r>
        <w:rPr>
          <w:rFonts w:ascii="Times New Roman" w:eastAsia="宋体" w:hAnsi="Times New Roman" w:cs="Times New Roman" w:hint="eastAsia"/>
          <w:snapToGrid/>
          <w:color w:val="auto"/>
          <w:kern w:val="2"/>
          <w:sz w:val="24"/>
          <w:szCs w:val="24"/>
          <w:lang w:eastAsia="zh-CN"/>
        </w:rPr>
        <w:t>年底，</w:t>
      </w:r>
      <w:r>
        <w:rPr>
          <w:rFonts w:ascii="Times New Roman" w:eastAsia="宋体" w:hAnsi="Times New Roman" w:cs="Times New Roman" w:hint="eastAsia"/>
          <w:snapToGrid/>
          <w:color w:val="auto"/>
          <w:kern w:val="2"/>
          <w:sz w:val="24"/>
          <w:szCs w:val="24"/>
          <w:lang w:eastAsia="zh-CN"/>
        </w:rPr>
        <w:t>国家林业和草原局</w:t>
      </w:r>
      <w:r>
        <w:rPr>
          <w:rFonts w:ascii="Times New Roman" w:eastAsia="宋体" w:hAnsi="Times New Roman" w:cs="Times New Roman" w:hint="eastAsia"/>
          <w:snapToGrid/>
          <w:color w:val="auto"/>
          <w:kern w:val="2"/>
          <w:sz w:val="24"/>
          <w:szCs w:val="24"/>
          <w:lang w:eastAsia="zh-CN"/>
        </w:rPr>
        <w:t>发布的</w:t>
      </w:r>
      <w:r>
        <w:rPr>
          <w:rFonts w:ascii="Times New Roman" w:eastAsia="宋体" w:hAnsi="Times New Roman" w:cs="Times New Roman" w:hint="eastAsia"/>
          <w:snapToGrid/>
          <w:color w:val="auto"/>
          <w:kern w:val="2"/>
          <w:sz w:val="24"/>
          <w:szCs w:val="24"/>
          <w:lang w:eastAsia="zh-CN"/>
        </w:rPr>
        <w:t>《陆生野生动物重要栖息地名录（第一批）》</w:t>
      </w:r>
      <w:r>
        <w:rPr>
          <w:rFonts w:ascii="Times New Roman" w:eastAsia="宋体" w:hAnsi="Times New Roman" w:cs="Times New Roman" w:hint="eastAsia"/>
          <w:snapToGrid/>
          <w:color w:val="auto"/>
          <w:kern w:val="2"/>
          <w:sz w:val="24"/>
          <w:szCs w:val="24"/>
          <w:lang w:eastAsia="zh-CN"/>
        </w:rPr>
        <w:t>名录，三亚铁炉港未列入其中，但根据现场调查发现，核心区的古树区存在大面积的稳定区域供水鸟进行繁殖、越冬，觅食、栖息，面积大约</w:t>
      </w:r>
      <w:r>
        <w:rPr>
          <w:rFonts w:ascii="Times New Roman" w:eastAsia="宋体" w:hAnsi="Times New Roman" w:cs="Times New Roman" w:hint="eastAsia"/>
          <w:snapToGrid/>
          <w:color w:val="auto"/>
          <w:kern w:val="2"/>
          <w:sz w:val="24"/>
          <w:szCs w:val="24"/>
          <w:lang w:eastAsia="zh-CN"/>
        </w:rPr>
        <w:t>20.5</w:t>
      </w:r>
      <w:r>
        <w:rPr>
          <w:rFonts w:ascii="Times New Roman" w:eastAsia="宋体" w:hAnsi="Times New Roman" w:cs="Times New Roman" w:hint="eastAsia"/>
          <w:snapToGrid/>
          <w:color w:val="auto"/>
          <w:kern w:val="2"/>
          <w:sz w:val="24"/>
          <w:szCs w:val="24"/>
          <w:lang w:eastAsia="zh-CN"/>
        </w:rPr>
        <w:t>公顷；在项目东边退塘还湿区域地块，偶尔发现水鸟停留在塘埂上。</w:t>
      </w:r>
    </w:p>
    <w:p w14:paraId="7848ED99"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本项目的实施，将通过提升红树林湿地生态环境，完成</w:t>
      </w:r>
      <w:r>
        <w:rPr>
          <w:rFonts w:ascii="Times New Roman" w:eastAsia="宋体" w:hAnsi="Times New Roman" w:cs="Times New Roman" w:hint="eastAsia"/>
          <w:snapToGrid/>
          <w:color w:val="auto"/>
          <w:kern w:val="2"/>
          <w:sz w:val="24"/>
          <w:szCs w:val="24"/>
          <w:lang w:eastAsia="zh-CN"/>
        </w:rPr>
        <w:t>33.4</w:t>
      </w:r>
      <w:r>
        <w:rPr>
          <w:rFonts w:ascii="Times New Roman" w:eastAsia="宋体" w:hAnsi="Times New Roman" w:cs="Times New Roman" w:hint="eastAsia"/>
          <w:snapToGrid/>
          <w:color w:val="auto"/>
          <w:kern w:val="2"/>
          <w:sz w:val="24"/>
          <w:szCs w:val="24"/>
          <w:lang w:eastAsia="zh-CN"/>
        </w:rPr>
        <w:t>公顷的鸟类栖息地建设，实现</w:t>
      </w:r>
      <w:r>
        <w:rPr>
          <w:rFonts w:ascii="Times New Roman" w:eastAsia="宋体" w:hAnsi="Times New Roman" w:cs="Times New Roman" w:hint="eastAsia"/>
          <w:snapToGrid/>
          <w:color w:val="auto"/>
          <w:kern w:val="2"/>
          <w:sz w:val="24"/>
          <w:szCs w:val="24"/>
          <w:lang w:eastAsia="zh-CN"/>
        </w:rPr>
        <w:t>10%</w:t>
      </w:r>
      <w:r>
        <w:rPr>
          <w:rFonts w:ascii="Times New Roman" w:eastAsia="宋体" w:hAnsi="Times New Roman" w:cs="Times New Roman" w:hint="eastAsia"/>
          <w:snapToGrid/>
          <w:color w:val="auto"/>
          <w:kern w:val="2"/>
          <w:sz w:val="24"/>
          <w:szCs w:val="24"/>
          <w:lang w:eastAsia="zh-CN"/>
        </w:rPr>
        <w:t>的</w:t>
      </w:r>
      <w:r>
        <w:rPr>
          <w:rFonts w:ascii="Times New Roman" w:eastAsia="宋体" w:hAnsi="Times New Roman" w:cs="Times New Roman"/>
          <w:snapToGrid/>
          <w:color w:val="auto"/>
          <w:kern w:val="2"/>
          <w:sz w:val="24"/>
          <w:szCs w:val="24"/>
          <w:lang w:eastAsia="zh-CN"/>
        </w:rPr>
        <w:t>重要栖息地保护率</w:t>
      </w:r>
      <w:r>
        <w:rPr>
          <w:rFonts w:ascii="Times New Roman" w:eastAsia="宋体" w:hAnsi="Times New Roman" w:cs="Times New Roman" w:hint="eastAsia"/>
          <w:snapToGrid/>
          <w:color w:val="auto"/>
          <w:kern w:val="2"/>
          <w:sz w:val="24"/>
          <w:szCs w:val="24"/>
          <w:lang w:eastAsia="zh-CN"/>
        </w:rPr>
        <w:t>提升率，为重要野生动物如</w:t>
      </w:r>
      <w:r>
        <w:rPr>
          <w:rFonts w:ascii="Times New Roman" w:eastAsia="宋体" w:hAnsi="Times New Roman" w:cs="Times New Roman" w:hint="eastAsia"/>
          <w:snapToGrid/>
          <w:color w:val="auto"/>
          <w:kern w:val="2"/>
          <w:sz w:val="24"/>
          <w:szCs w:val="24"/>
          <w:lang w:eastAsia="zh-CN"/>
        </w:rPr>
        <w:t>岩鹭（</w:t>
      </w:r>
      <w:r>
        <w:rPr>
          <w:rFonts w:ascii="Times New Roman" w:eastAsia="宋体" w:hAnsi="Times New Roman" w:cs="Times New Roman" w:hint="eastAsia"/>
          <w:snapToGrid/>
          <w:color w:val="auto"/>
          <w:kern w:val="2"/>
          <w:sz w:val="24"/>
          <w:szCs w:val="24"/>
          <w:lang w:eastAsia="zh-CN"/>
        </w:rPr>
        <w:t>Egretta sacra</w:t>
      </w:r>
      <w:r>
        <w:rPr>
          <w:rFonts w:ascii="Times New Roman" w:eastAsia="宋体" w:hAnsi="Times New Roman" w:cs="Times New Roman" w:hint="eastAsia"/>
          <w:snapToGrid/>
          <w:color w:val="auto"/>
          <w:kern w:val="2"/>
          <w:sz w:val="24"/>
          <w:szCs w:val="24"/>
          <w:lang w:eastAsia="zh-CN"/>
        </w:rPr>
        <w:t>）、红隼（</w:t>
      </w:r>
      <w:r>
        <w:rPr>
          <w:rFonts w:ascii="Times New Roman" w:eastAsia="宋体" w:hAnsi="Times New Roman" w:cs="Times New Roman" w:hint="eastAsia"/>
          <w:snapToGrid/>
          <w:color w:val="auto"/>
          <w:kern w:val="2"/>
          <w:sz w:val="24"/>
          <w:szCs w:val="24"/>
          <w:lang w:eastAsia="zh-CN"/>
        </w:rPr>
        <w:t>Falco</w:t>
      </w:r>
      <w:r>
        <w:rPr>
          <w:rFonts w:ascii="Times New Roman" w:eastAsia="宋体" w:hAnsi="Times New Roman" w:cs="Times New Roman" w:hint="eastAsia"/>
          <w:snapToGrid/>
          <w:color w:val="auto"/>
          <w:kern w:val="2"/>
          <w:sz w:val="24"/>
          <w:szCs w:val="24"/>
          <w:lang w:eastAsia="zh-CN"/>
        </w:rPr>
        <w:t xml:space="preserve"> </w:t>
      </w:r>
      <w:r>
        <w:rPr>
          <w:rFonts w:ascii="Times New Roman" w:eastAsia="宋体" w:hAnsi="Times New Roman" w:cs="Times New Roman" w:hint="eastAsia"/>
          <w:snapToGrid/>
          <w:color w:val="auto"/>
          <w:kern w:val="2"/>
          <w:sz w:val="24"/>
          <w:szCs w:val="24"/>
          <w:lang w:eastAsia="zh-CN"/>
        </w:rPr>
        <w:t>tinnunculus</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等</w:t>
      </w:r>
      <w:r>
        <w:rPr>
          <w:rFonts w:ascii="Times New Roman" w:eastAsia="宋体" w:hAnsi="Times New Roman" w:cs="Times New Roman" w:hint="eastAsia"/>
          <w:snapToGrid/>
          <w:color w:val="auto"/>
          <w:kern w:val="2"/>
          <w:sz w:val="24"/>
          <w:szCs w:val="24"/>
          <w:lang w:eastAsia="zh-CN"/>
        </w:rPr>
        <w:t>8</w:t>
      </w:r>
      <w:r>
        <w:rPr>
          <w:rFonts w:ascii="Times New Roman" w:eastAsia="宋体" w:hAnsi="Times New Roman" w:cs="Times New Roman" w:hint="eastAsia"/>
          <w:snapToGrid/>
          <w:color w:val="auto"/>
          <w:kern w:val="2"/>
          <w:sz w:val="24"/>
          <w:szCs w:val="24"/>
          <w:lang w:eastAsia="zh-CN"/>
        </w:rPr>
        <w:t>种</w:t>
      </w:r>
      <w:r>
        <w:rPr>
          <w:rFonts w:ascii="Times New Roman" w:eastAsia="宋体" w:hAnsi="Times New Roman" w:cs="Times New Roman" w:hint="eastAsia"/>
          <w:snapToGrid/>
          <w:color w:val="auto"/>
          <w:kern w:val="2"/>
          <w:sz w:val="24"/>
          <w:szCs w:val="24"/>
          <w:lang w:eastAsia="zh-CN"/>
        </w:rPr>
        <w:t>国家Ⅱ级重点保护野生动物</w:t>
      </w:r>
      <w:r>
        <w:rPr>
          <w:rFonts w:ascii="Times New Roman" w:eastAsia="宋体" w:hAnsi="Times New Roman" w:cs="Times New Roman" w:hint="eastAsia"/>
          <w:snapToGrid/>
          <w:color w:val="auto"/>
          <w:kern w:val="2"/>
          <w:sz w:val="24"/>
          <w:szCs w:val="24"/>
          <w:lang w:eastAsia="zh-CN"/>
        </w:rPr>
        <w:t>和其他</w:t>
      </w:r>
      <w:r>
        <w:rPr>
          <w:rFonts w:ascii="Times New Roman" w:eastAsia="宋体" w:hAnsi="Times New Roman" w:cs="Times New Roman" w:hint="eastAsia"/>
          <w:snapToGrid/>
          <w:color w:val="auto"/>
          <w:kern w:val="2"/>
          <w:sz w:val="24"/>
          <w:szCs w:val="24"/>
          <w:lang w:eastAsia="zh-CN"/>
        </w:rPr>
        <w:t>海南省重点保护野生动物，</w:t>
      </w:r>
      <w:r>
        <w:rPr>
          <w:rFonts w:ascii="Times New Roman" w:eastAsia="宋体" w:hAnsi="Times New Roman" w:cs="Times New Roman" w:hint="eastAsia"/>
          <w:snapToGrid/>
          <w:color w:val="auto"/>
          <w:kern w:val="2"/>
          <w:sz w:val="24"/>
          <w:szCs w:val="24"/>
          <w:lang w:eastAsia="zh-CN"/>
        </w:rPr>
        <w:t>提供栖息地、觅食地，确保物种的</w:t>
      </w:r>
      <w:r>
        <w:rPr>
          <w:rFonts w:ascii="Times New Roman" w:eastAsia="宋体" w:hAnsi="Times New Roman" w:cs="Times New Roman" w:hint="eastAsia"/>
          <w:snapToGrid/>
          <w:color w:val="auto"/>
          <w:kern w:val="2"/>
          <w:sz w:val="24"/>
          <w:szCs w:val="24"/>
          <w:lang w:eastAsia="zh-CN"/>
        </w:rPr>
        <w:t>生存和繁衍，保持食物</w:t>
      </w:r>
      <w:r>
        <w:rPr>
          <w:rFonts w:ascii="Times New Roman" w:eastAsia="宋体" w:hAnsi="Times New Roman" w:cs="Times New Roman" w:hint="eastAsia"/>
          <w:snapToGrid/>
          <w:color w:val="auto"/>
          <w:kern w:val="2"/>
          <w:sz w:val="24"/>
          <w:szCs w:val="24"/>
          <w:lang w:eastAsia="zh-CN"/>
        </w:rPr>
        <w:t>链的连续性，保障生物群落的多样性和复杂性。</w:t>
      </w:r>
    </w:p>
    <w:p w14:paraId="20CFEF8F"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②污染削减能力提升率</w:t>
      </w:r>
    </w:p>
    <w:p w14:paraId="642606DB"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污染削减能力提升率通过计算污染物削减前后的差值来评估，项目选用的海南本地湿地植物能通过去除污水中的氮、磷等营养物质，吸附悬浮物，减少磷释放等方式，对水质进行有效净化，完成污染削减能力提升率</w:t>
      </w:r>
      <w:r>
        <w:rPr>
          <w:rFonts w:ascii="Times New Roman" w:eastAsia="宋体" w:hAnsi="Times New Roman" w:cs="Times New Roman"/>
          <w:snapToGrid/>
          <w:color w:val="auto"/>
          <w:kern w:val="2"/>
          <w:sz w:val="24"/>
          <w:szCs w:val="24"/>
          <w:lang w:eastAsia="zh-CN"/>
        </w:rPr>
        <w:t>11%</w:t>
      </w:r>
      <w:r>
        <w:rPr>
          <w:rFonts w:ascii="Times New Roman" w:eastAsia="宋体" w:hAnsi="Times New Roman" w:cs="Times New Roman" w:hint="eastAsia"/>
          <w:snapToGrid/>
          <w:color w:val="auto"/>
          <w:kern w:val="2"/>
          <w:sz w:val="24"/>
          <w:szCs w:val="24"/>
          <w:lang w:eastAsia="zh-CN"/>
        </w:rPr>
        <w:t>的绩效目标。</w:t>
      </w:r>
    </w:p>
    <w:p w14:paraId="21E1EB75"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污染削减能力提升率可通过计算污染物削减前后的差值来评估，具体公式为：</w:t>
      </w:r>
    </w:p>
    <w:p w14:paraId="7312B08E"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污染削减能力提升率</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削减量</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基线排放量</w:t>
      </w:r>
      <w:r>
        <w:rPr>
          <w:rFonts w:ascii="Times New Roman" w:eastAsia="宋体" w:hAnsi="Times New Roman" w:cs="Times New Roman"/>
          <w:snapToGrid/>
          <w:color w:val="auto"/>
          <w:kern w:val="2"/>
          <w:sz w:val="24"/>
          <w:szCs w:val="24"/>
          <w:lang w:eastAsia="zh-CN"/>
        </w:rPr>
        <w:t>)×100%</w:t>
      </w:r>
    </w:p>
    <w:p w14:paraId="2F0C3B9C"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其中，削减量为实施生态修复项目后的污染物削减量，基线排放量为项目实施前的污染物排放量</w:t>
      </w:r>
      <w:r>
        <w:rPr>
          <w:rFonts w:ascii="Times New Roman" w:eastAsia="宋体" w:hAnsi="Times New Roman" w:cs="Times New Roman" w:hint="eastAsia"/>
          <w:snapToGrid/>
          <w:color w:val="auto"/>
          <w:kern w:val="2"/>
          <w:sz w:val="24"/>
          <w:szCs w:val="24"/>
          <w:lang w:eastAsia="zh-CN"/>
        </w:rPr>
        <w:t>。</w:t>
      </w:r>
    </w:p>
    <w:p w14:paraId="0357AB9D"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目前，铁炉港</w:t>
      </w:r>
      <w:r>
        <w:rPr>
          <w:rFonts w:ascii="Times New Roman" w:eastAsia="宋体" w:hAnsi="Times New Roman" w:cs="Times New Roman"/>
          <w:snapToGrid/>
          <w:color w:val="auto"/>
          <w:kern w:val="2"/>
          <w:sz w:val="24"/>
          <w:szCs w:val="24"/>
          <w:lang w:eastAsia="zh-CN"/>
        </w:rPr>
        <w:t>感潮河段海水状态下超标因子多为活性磷酸盐和无机氮，河流淡</w:t>
      </w:r>
      <w:r>
        <w:rPr>
          <w:rFonts w:ascii="Times New Roman" w:eastAsia="宋体" w:hAnsi="Times New Roman" w:cs="Times New Roman" w:hint="eastAsia"/>
          <w:snapToGrid/>
          <w:color w:val="auto"/>
          <w:kern w:val="2"/>
          <w:sz w:val="24"/>
          <w:szCs w:val="24"/>
          <w:lang w:eastAsia="zh-CN"/>
        </w:rPr>
        <w:t>水状态下超标因子多为氨氮和总磷，在进行退塘还林相关工程后，养殖污染逐渐减少，其主要污染还是周边地表的径流污染和淡水河水质污染，项目从污染源头进行控制，主要通过湿地植物净化吸收，微生物转换等过程，减少土壤和水土中的污染物负荷，对周边人为破坏和径流污染进行处理，经相关实验表明：</w:t>
      </w:r>
    </w:p>
    <w:p w14:paraId="555F54A4" w14:textId="77777777" w:rsidR="0075791A" w:rsidRDefault="00FB2864">
      <w:pPr>
        <w:widowControl w:val="0"/>
        <w:kinsoku/>
        <w:adjustRightInd/>
        <w:snapToGrid/>
        <w:ind w:firstLineChars="200" w:firstLine="480"/>
        <w:jc w:val="center"/>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表</w:t>
      </w:r>
      <w:r>
        <w:rPr>
          <w:rFonts w:ascii="Times New Roman" w:eastAsia="宋体" w:hAnsi="Times New Roman" w:cs="Times New Roman" w:hint="eastAsia"/>
          <w:snapToGrid/>
          <w:color w:val="auto"/>
          <w:kern w:val="2"/>
          <w:sz w:val="24"/>
          <w:szCs w:val="24"/>
          <w:lang w:eastAsia="zh-CN"/>
        </w:rPr>
        <w:t xml:space="preserve">4.4.1-1 </w:t>
      </w:r>
      <w:r>
        <w:rPr>
          <w:rFonts w:ascii="Times New Roman" w:eastAsia="宋体" w:hAnsi="Times New Roman" w:cs="Times New Roman" w:hint="eastAsia"/>
          <w:snapToGrid/>
          <w:color w:val="auto"/>
          <w:kern w:val="2"/>
          <w:sz w:val="24"/>
          <w:szCs w:val="24"/>
          <w:lang w:eastAsia="zh-CN"/>
        </w:rPr>
        <w:t>湿地植物净化率统计表</w:t>
      </w:r>
    </w:p>
    <w:tbl>
      <w:tblPr>
        <w:tblStyle w:val="ad"/>
        <w:tblW w:w="0" w:type="auto"/>
        <w:jc w:val="center"/>
        <w:tblLook w:val="04A0" w:firstRow="1" w:lastRow="0" w:firstColumn="1" w:lastColumn="0" w:noHBand="0" w:noVBand="1"/>
      </w:tblPr>
      <w:tblGrid>
        <w:gridCol w:w="594"/>
        <w:gridCol w:w="1074"/>
        <w:gridCol w:w="1314"/>
        <w:gridCol w:w="834"/>
        <w:gridCol w:w="594"/>
        <w:gridCol w:w="1074"/>
        <w:gridCol w:w="1056"/>
        <w:gridCol w:w="1221"/>
      </w:tblGrid>
      <w:tr w:rsidR="0075791A" w14:paraId="05E4E6E5" w14:textId="77777777">
        <w:trPr>
          <w:trHeight w:val="472"/>
          <w:jc w:val="center"/>
        </w:trPr>
        <w:tc>
          <w:tcPr>
            <w:tcW w:w="0" w:type="auto"/>
            <w:tcMar>
              <w:top w:w="0" w:type="dxa"/>
              <w:left w:w="57" w:type="dxa"/>
              <w:bottom w:w="0" w:type="dxa"/>
              <w:right w:w="57" w:type="dxa"/>
            </w:tcMar>
            <w:vAlign w:val="center"/>
          </w:tcPr>
          <w:p w14:paraId="453EF0AB"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序号</w:t>
            </w:r>
          </w:p>
        </w:tc>
        <w:tc>
          <w:tcPr>
            <w:tcW w:w="0" w:type="auto"/>
            <w:tcMar>
              <w:top w:w="0" w:type="dxa"/>
              <w:left w:w="57" w:type="dxa"/>
              <w:bottom w:w="0" w:type="dxa"/>
              <w:right w:w="57" w:type="dxa"/>
            </w:tcMar>
            <w:vAlign w:val="center"/>
          </w:tcPr>
          <w:p w14:paraId="1AA3A8D7"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植物名称</w:t>
            </w:r>
          </w:p>
        </w:tc>
        <w:tc>
          <w:tcPr>
            <w:tcW w:w="0" w:type="auto"/>
            <w:tcMar>
              <w:top w:w="0" w:type="dxa"/>
              <w:left w:w="57" w:type="dxa"/>
              <w:bottom w:w="0" w:type="dxa"/>
              <w:right w:w="57" w:type="dxa"/>
            </w:tcMar>
            <w:vAlign w:val="center"/>
          </w:tcPr>
          <w:p w14:paraId="1390F5FB"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主要功能</w:t>
            </w:r>
          </w:p>
        </w:tc>
        <w:tc>
          <w:tcPr>
            <w:tcW w:w="0" w:type="auto"/>
            <w:tcMar>
              <w:top w:w="0" w:type="dxa"/>
              <w:left w:w="57" w:type="dxa"/>
              <w:bottom w:w="0" w:type="dxa"/>
              <w:right w:w="57" w:type="dxa"/>
            </w:tcMar>
            <w:vAlign w:val="center"/>
          </w:tcPr>
          <w:p w14:paraId="3B3968AA"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净化率</w:t>
            </w:r>
          </w:p>
        </w:tc>
        <w:tc>
          <w:tcPr>
            <w:tcW w:w="0" w:type="auto"/>
            <w:tcMar>
              <w:top w:w="0" w:type="dxa"/>
              <w:left w:w="57" w:type="dxa"/>
              <w:bottom w:w="0" w:type="dxa"/>
              <w:right w:w="57" w:type="dxa"/>
            </w:tcMar>
            <w:vAlign w:val="center"/>
          </w:tcPr>
          <w:p w14:paraId="24710A5E"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序号</w:t>
            </w:r>
          </w:p>
        </w:tc>
        <w:tc>
          <w:tcPr>
            <w:tcW w:w="0" w:type="auto"/>
            <w:tcMar>
              <w:top w:w="0" w:type="dxa"/>
              <w:left w:w="57" w:type="dxa"/>
              <w:bottom w:w="0" w:type="dxa"/>
              <w:right w:w="57" w:type="dxa"/>
            </w:tcMar>
            <w:vAlign w:val="center"/>
          </w:tcPr>
          <w:p w14:paraId="1FA76C00"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植物名称</w:t>
            </w:r>
          </w:p>
        </w:tc>
        <w:tc>
          <w:tcPr>
            <w:tcW w:w="0" w:type="auto"/>
            <w:tcMar>
              <w:top w:w="0" w:type="dxa"/>
              <w:left w:w="57" w:type="dxa"/>
              <w:bottom w:w="0" w:type="dxa"/>
              <w:right w:w="57" w:type="dxa"/>
            </w:tcMar>
            <w:vAlign w:val="center"/>
          </w:tcPr>
          <w:p w14:paraId="74E70A26"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主要功能</w:t>
            </w:r>
          </w:p>
        </w:tc>
        <w:tc>
          <w:tcPr>
            <w:tcW w:w="0" w:type="auto"/>
            <w:tcMar>
              <w:top w:w="0" w:type="dxa"/>
              <w:left w:w="57" w:type="dxa"/>
              <w:bottom w:w="0" w:type="dxa"/>
              <w:right w:w="57" w:type="dxa"/>
            </w:tcMar>
            <w:vAlign w:val="center"/>
          </w:tcPr>
          <w:p w14:paraId="5E7D3EF3"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净化率</w:t>
            </w:r>
          </w:p>
        </w:tc>
      </w:tr>
      <w:tr w:rsidR="0075791A" w14:paraId="1299F5C7" w14:textId="77777777">
        <w:trPr>
          <w:trHeight w:val="472"/>
          <w:jc w:val="center"/>
        </w:trPr>
        <w:tc>
          <w:tcPr>
            <w:tcW w:w="0" w:type="auto"/>
            <w:tcMar>
              <w:top w:w="0" w:type="dxa"/>
              <w:left w:w="57" w:type="dxa"/>
              <w:bottom w:w="0" w:type="dxa"/>
              <w:right w:w="57" w:type="dxa"/>
            </w:tcMar>
            <w:vAlign w:val="center"/>
          </w:tcPr>
          <w:p w14:paraId="397A80E9" w14:textId="77777777" w:rsidR="0075791A" w:rsidRDefault="00FB2864">
            <w:pPr>
              <w:pStyle w:val="a0"/>
              <w:spacing w:line="280" w:lineRule="exact"/>
              <w:ind w:firstLineChars="0" w:firstLine="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1</w:t>
            </w:r>
          </w:p>
        </w:tc>
        <w:tc>
          <w:tcPr>
            <w:tcW w:w="0" w:type="auto"/>
            <w:tcMar>
              <w:top w:w="0" w:type="dxa"/>
              <w:left w:w="57" w:type="dxa"/>
              <w:bottom w:w="0" w:type="dxa"/>
              <w:right w:w="57" w:type="dxa"/>
            </w:tcMar>
            <w:vAlign w:val="center"/>
          </w:tcPr>
          <w:p w14:paraId="2BB03A72" w14:textId="77777777" w:rsidR="0075791A" w:rsidRDefault="00FB2864">
            <w:pPr>
              <w:pStyle w:val="a0"/>
              <w:spacing w:line="280" w:lineRule="exact"/>
              <w:ind w:firstLineChars="0" w:firstLine="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眼子菜</w:t>
            </w:r>
          </w:p>
        </w:tc>
        <w:tc>
          <w:tcPr>
            <w:tcW w:w="0" w:type="auto"/>
            <w:tcMar>
              <w:top w:w="0" w:type="dxa"/>
              <w:left w:w="57" w:type="dxa"/>
              <w:bottom w:w="0" w:type="dxa"/>
              <w:right w:w="57" w:type="dxa"/>
            </w:tcMar>
            <w:vAlign w:val="center"/>
          </w:tcPr>
          <w:p w14:paraId="22BEEC0D"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除氮</w:t>
            </w:r>
          </w:p>
        </w:tc>
        <w:tc>
          <w:tcPr>
            <w:tcW w:w="0" w:type="auto"/>
            <w:tcMar>
              <w:top w:w="0" w:type="dxa"/>
              <w:left w:w="57" w:type="dxa"/>
              <w:bottom w:w="0" w:type="dxa"/>
              <w:right w:w="57" w:type="dxa"/>
            </w:tcMar>
            <w:vAlign w:val="center"/>
          </w:tcPr>
          <w:p w14:paraId="117270E3"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64%</w:t>
            </w:r>
          </w:p>
        </w:tc>
        <w:tc>
          <w:tcPr>
            <w:tcW w:w="0" w:type="auto"/>
            <w:tcMar>
              <w:top w:w="0" w:type="dxa"/>
              <w:left w:w="57" w:type="dxa"/>
              <w:bottom w:w="0" w:type="dxa"/>
              <w:right w:w="57" w:type="dxa"/>
            </w:tcMar>
            <w:vAlign w:val="center"/>
          </w:tcPr>
          <w:p w14:paraId="6E6176D9" w14:textId="77777777" w:rsidR="0075791A" w:rsidRDefault="00FB2864">
            <w:pPr>
              <w:pStyle w:val="a0"/>
              <w:spacing w:line="280" w:lineRule="exact"/>
              <w:ind w:firstLineChars="0" w:firstLine="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3</w:t>
            </w:r>
          </w:p>
        </w:tc>
        <w:tc>
          <w:tcPr>
            <w:tcW w:w="0" w:type="auto"/>
            <w:tcMar>
              <w:top w:w="0" w:type="dxa"/>
              <w:left w:w="57" w:type="dxa"/>
              <w:bottom w:w="0" w:type="dxa"/>
              <w:right w:w="57" w:type="dxa"/>
            </w:tcMar>
            <w:vAlign w:val="center"/>
          </w:tcPr>
          <w:p w14:paraId="2C19607D" w14:textId="77777777" w:rsidR="0075791A" w:rsidRDefault="00FB2864">
            <w:pPr>
              <w:pStyle w:val="a0"/>
              <w:spacing w:line="280" w:lineRule="exact"/>
              <w:ind w:firstLineChars="0" w:firstLine="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卡开芦</w:t>
            </w:r>
          </w:p>
        </w:tc>
        <w:tc>
          <w:tcPr>
            <w:tcW w:w="0" w:type="auto"/>
            <w:tcMar>
              <w:top w:w="0" w:type="dxa"/>
              <w:left w:w="57" w:type="dxa"/>
              <w:bottom w:w="0" w:type="dxa"/>
              <w:right w:w="57" w:type="dxa"/>
            </w:tcMar>
            <w:vAlign w:val="center"/>
          </w:tcPr>
          <w:p w14:paraId="64976669"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除镉</w:t>
            </w:r>
          </w:p>
        </w:tc>
        <w:tc>
          <w:tcPr>
            <w:tcW w:w="0" w:type="auto"/>
            <w:tcMar>
              <w:top w:w="0" w:type="dxa"/>
              <w:left w:w="57" w:type="dxa"/>
              <w:bottom w:w="0" w:type="dxa"/>
              <w:right w:w="57" w:type="dxa"/>
            </w:tcMar>
            <w:vAlign w:val="center"/>
          </w:tcPr>
          <w:p w14:paraId="1F40C388" w14:textId="77777777" w:rsidR="0075791A" w:rsidRDefault="00FB2864">
            <w:pPr>
              <w:ind w:firstLineChars="200" w:firstLine="48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80%</w:t>
            </w:r>
          </w:p>
        </w:tc>
      </w:tr>
      <w:tr w:rsidR="0075791A" w14:paraId="02E020C9" w14:textId="77777777">
        <w:trPr>
          <w:trHeight w:val="472"/>
          <w:jc w:val="center"/>
        </w:trPr>
        <w:tc>
          <w:tcPr>
            <w:tcW w:w="0" w:type="auto"/>
            <w:tcMar>
              <w:top w:w="0" w:type="dxa"/>
              <w:left w:w="57" w:type="dxa"/>
              <w:bottom w:w="0" w:type="dxa"/>
              <w:right w:w="57" w:type="dxa"/>
            </w:tcMar>
            <w:vAlign w:val="center"/>
          </w:tcPr>
          <w:p w14:paraId="37767DB4" w14:textId="77777777" w:rsidR="0075791A" w:rsidRDefault="0075791A">
            <w:pPr>
              <w:pStyle w:val="a0"/>
              <w:spacing w:line="280" w:lineRule="exact"/>
              <w:ind w:firstLineChars="0" w:firstLine="0"/>
              <w:jc w:val="center"/>
              <w:rPr>
                <w:rFonts w:ascii="宋体" w:eastAsia="宋体" w:hAnsi="宋体" w:cs="宋体"/>
                <w:color w:val="auto"/>
                <w:kern w:val="2"/>
                <w:sz w:val="24"/>
                <w:szCs w:val="24"/>
                <w:lang w:eastAsia="zh-CN"/>
              </w:rPr>
            </w:pPr>
          </w:p>
        </w:tc>
        <w:tc>
          <w:tcPr>
            <w:tcW w:w="0" w:type="auto"/>
            <w:tcMar>
              <w:top w:w="0" w:type="dxa"/>
              <w:left w:w="57" w:type="dxa"/>
              <w:bottom w:w="0" w:type="dxa"/>
              <w:right w:w="57" w:type="dxa"/>
            </w:tcMar>
            <w:vAlign w:val="center"/>
          </w:tcPr>
          <w:p w14:paraId="57C134E3" w14:textId="77777777" w:rsidR="0075791A" w:rsidRDefault="0075791A">
            <w:pPr>
              <w:pStyle w:val="a0"/>
              <w:spacing w:line="280" w:lineRule="exact"/>
              <w:ind w:firstLineChars="0" w:firstLine="0"/>
              <w:jc w:val="center"/>
              <w:rPr>
                <w:rFonts w:ascii="宋体" w:eastAsia="宋体" w:hAnsi="宋体" w:cs="宋体"/>
                <w:color w:val="auto"/>
                <w:kern w:val="2"/>
                <w:sz w:val="24"/>
                <w:szCs w:val="24"/>
                <w:lang w:eastAsia="zh-CN"/>
              </w:rPr>
            </w:pPr>
          </w:p>
        </w:tc>
        <w:tc>
          <w:tcPr>
            <w:tcW w:w="0" w:type="auto"/>
            <w:tcMar>
              <w:top w:w="0" w:type="dxa"/>
              <w:left w:w="57" w:type="dxa"/>
              <w:bottom w:w="0" w:type="dxa"/>
              <w:right w:w="57" w:type="dxa"/>
            </w:tcMar>
            <w:vAlign w:val="center"/>
          </w:tcPr>
          <w:p w14:paraId="2A16C1C8"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除磷</w:t>
            </w:r>
          </w:p>
        </w:tc>
        <w:tc>
          <w:tcPr>
            <w:tcW w:w="0" w:type="auto"/>
            <w:tcMar>
              <w:top w:w="0" w:type="dxa"/>
              <w:left w:w="57" w:type="dxa"/>
              <w:bottom w:w="0" w:type="dxa"/>
              <w:right w:w="57" w:type="dxa"/>
            </w:tcMar>
            <w:vAlign w:val="center"/>
          </w:tcPr>
          <w:p w14:paraId="4614DCEA"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83%</w:t>
            </w:r>
          </w:p>
        </w:tc>
        <w:tc>
          <w:tcPr>
            <w:tcW w:w="0" w:type="auto"/>
            <w:tcMar>
              <w:top w:w="0" w:type="dxa"/>
              <w:left w:w="57" w:type="dxa"/>
              <w:bottom w:w="0" w:type="dxa"/>
              <w:right w:w="57" w:type="dxa"/>
            </w:tcMar>
            <w:vAlign w:val="center"/>
          </w:tcPr>
          <w:p w14:paraId="296BCCE2" w14:textId="77777777" w:rsidR="0075791A" w:rsidRDefault="0075791A">
            <w:pPr>
              <w:pStyle w:val="a0"/>
              <w:spacing w:line="280" w:lineRule="exact"/>
              <w:ind w:firstLineChars="0" w:firstLine="0"/>
              <w:jc w:val="center"/>
              <w:rPr>
                <w:rFonts w:ascii="宋体" w:eastAsia="宋体" w:hAnsi="宋体" w:cs="宋体"/>
                <w:color w:val="auto"/>
                <w:kern w:val="2"/>
                <w:sz w:val="24"/>
                <w:szCs w:val="24"/>
                <w:lang w:eastAsia="zh-CN"/>
              </w:rPr>
            </w:pPr>
          </w:p>
        </w:tc>
        <w:tc>
          <w:tcPr>
            <w:tcW w:w="0" w:type="auto"/>
            <w:tcMar>
              <w:top w:w="0" w:type="dxa"/>
              <w:left w:w="57" w:type="dxa"/>
              <w:bottom w:w="0" w:type="dxa"/>
              <w:right w:w="57" w:type="dxa"/>
            </w:tcMar>
            <w:vAlign w:val="center"/>
          </w:tcPr>
          <w:p w14:paraId="279FC5B5" w14:textId="77777777" w:rsidR="0075791A" w:rsidRDefault="0075791A">
            <w:pPr>
              <w:pStyle w:val="a0"/>
              <w:spacing w:line="280" w:lineRule="exact"/>
              <w:ind w:firstLineChars="0" w:firstLine="0"/>
              <w:jc w:val="center"/>
              <w:rPr>
                <w:rFonts w:ascii="宋体" w:eastAsia="宋体" w:hAnsi="宋体" w:cs="宋体"/>
                <w:color w:val="auto"/>
                <w:kern w:val="2"/>
                <w:sz w:val="24"/>
                <w:szCs w:val="24"/>
                <w:lang w:eastAsia="zh-CN"/>
              </w:rPr>
            </w:pPr>
          </w:p>
        </w:tc>
        <w:tc>
          <w:tcPr>
            <w:tcW w:w="0" w:type="auto"/>
            <w:tcMar>
              <w:top w:w="0" w:type="dxa"/>
              <w:left w:w="57" w:type="dxa"/>
              <w:bottom w:w="0" w:type="dxa"/>
              <w:right w:w="57" w:type="dxa"/>
            </w:tcMar>
            <w:vAlign w:val="center"/>
          </w:tcPr>
          <w:p w14:paraId="37706ECC"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除磷</w:t>
            </w:r>
          </w:p>
        </w:tc>
        <w:tc>
          <w:tcPr>
            <w:tcW w:w="0" w:type="auto"/>
            <w:tcMar>
              <w:top w:w="0" w:type="dxa"/>
              <w:left w:w="57" w:type="dxa"/>
              <w:bottom w:w="0" w:type="dxa"/>
              <w:right w:w="57" w:type="dxa"/>
            </w:tcMar>
            <w:vAlign w:val="center"/>
          </w:tcPr>
          <w:p w14:paraId="6F574ADE" w14:textId="77777777" w:rsidR="0075791A" w:rsidRDefault="00FB2864">
            <w:pPr>
              <w:ind w:firstLineChars="200" w:firstLine="48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93%</w:t>
            </w:r>
          </w:p>
        </w:tc>
      </w:tr>
      <w:tr w:rsidR="0075791A" w14:paraId="3B12086E" w14:textId="77777777">
        <w:trPr>
          <w:trHeight w:val="472"/>
          <w:jc w:val="center"/>
        </w:trPr>
        <w:tc>
          <w:tcPr>
            <w:tcW w:w="0" w:type="auto"/>
            <w:tcMar>
              <w:top w:w="0" w:type="dxa"/>
              <w:left w:w="57" w:type="dxa"/>
              <w:bottom w:w="0" w:type="dxa"/>
              <w:right w:w="57" w:type="dxa"/>
            </w:tcMar>
            <w:vAlign w:val="center"/>
          </w:tcPr>
          <w:p w14:paraId="6B56757D" w14:textId="77777777" w:rsidR="0075791A" w:rsidRDefault="00FB2864">
            <w:pPr>
              <w:pStyle w:val="a0"/>
              <w:spacing w:line="280" w:lineRule="exact"/>
              <w:ind w:firstLineChars="0" w:firstLine="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2</w:t>
            </w:r>
          </w:p>
        </w:tc>
        <w:tc>
          <w:tcPr>
            <w:tcW w:w="0" w:type="auto"/>
            <w:tcMar>
              <w:top w:w="0" w:type="dxa"/>
              <w:left w:w="57" w:type="dxa"/>
              <w:bottom w:w="0" w:type="dxa"/>
              <w:right w:w="57" w:type="dxa"/>
            </w:tcMar>
            <w:vAlign w:val="center"/>
          </w:tcPr>
          <w:p w14:paraId="6EE63EA3" w14:textId="77777777" w:rsidR="0075791A" w:rsidRDefault="00FB2864">
            <w:pPr>
              <w:pStyle w:val="a0"/>
              <w:spacing w:line="280" w:lineRule="exact"/>
              <w:ind w:firstLineChars="0" w:firstLine="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香蒲</w:t>
            </w:r>
          </w:p>
        </w:tc>
        <w:tc>
          <w:tcPr>
            <w:tcW w:w="0" w:type="auto"/>
            <w:tcMar>
              <w:top w:w="0" w:type="dxa"/>
              <w:left w:w="57" w:type="dxa"/>
              <w:bottom w:w="0" w:type="dxa"/>
              <w:right w:w="57" w:type="dxa"/>
            </w:tcMar>
            <w:vAlign w:val="center"/>
          </w:tcPr>
          <w:p w14:paraId="11FDD84C"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滞留悬浮物</w:t>
            </w:r>
          </w:p>
        </w:tc>
        <w:tc>
          <w:tcPr>
            <w:tcW w:w="0" w:type="auto"/>
            <w:tcMar>
              <w:top w:w="0" w:type="dxa"/>
              <w:left w:w="57" w:type="dxa"/>
              <w:bottom w:w="0" w:type="dxa"/>
              <w:right w:w="57" w:type="dxa"/>
            </w:tcMar>
            <w:vAlign w:val="center"/>
          </w:tcPr>
          <w:p w14:paraId="525F906F"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85%</w:t>
            </w:r>
          </w:p>
        </w:tc>
        <w:tc>
          <w:tcPr>
            <w:tcW w:w="0" w:type="auto"/>
            <w:tcMar>
              <w:top w:w="0" w:type="dxa"/>
              <w:left w:w="57" w:type="dxa"/>
              <w:bottom w:w="0" w:type="dxa"/>
              <w:right w:w="57" w:type="dxa"/>
            </w:tcMar>
            <w:vAlign w:val="center"/>
          </w:tcPr>
          <w:p w14:paraId="3734CE56" w14:textId="77777777" w:rsidR="0075791A" w:rsidRDefault="00FB2864">
            <w:pPr>
              <w:pStyle w:val="a0"/>
              <w:spacing w:line="280" w:lineRule="exact"/>
              <w:ind w:firstLineChars="0" w:firstLine="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4</w:t>
            </w:r>
          </w:p>
        </w:tc>
        <w:tc>
          <w:tcPr>
            <w:tcW w:w="0" w:type="auto"/>
            <w:tcMar>
              <w:top w:w="0" w:type="dxa"/>
              <w:left w:w="57" w:type="dxa"/>
              <w:bottom w:w="0" w:type="dxa"/>
              <w:right w:w="57" w:type="dxa"/>
            </w:tcMar>
            <w:vAlign w:val="center"/>
          </w:tcPr>
          <w:p w14:paraId="7FDC952D" w14:textId="77777777" w:rsidR="0075791A" w:rsidRDefault="00FB2864">
            <w:pPr>
              <w:pStyle w:val="a0"/>
              <w:spacing w:line="280" w:lineRule="exact"/>
              <w:ind w:firstLineChars="0" w:firstLine="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荇菜</w:t>
            </w:r>
          </w:p>
        </w:tc>
        <w:tc>
          <w:tcPr>
            <w:tcW w:w="0" w:type="auto"/>
            <w:tcMar>
              <w:top w:w="0" w:type="dxa"/>
              <w:left w:w="57" w:type="dxa"/>
              <w:bottom w:w="0" w:type="dxa"/>
              <w:right w:w="57" w:type="dxa"/>
            </w:tcMar>
            <w:vAlign w:val="center"/>
          </w:tcPr>
          <w:p w14:paraId="4C53DAAE"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除镉</w:t>
            </w:r>
          </w:p>
        </w:tc>
        <w:tc>
          <w:tcPr>
            <w:tcW w:w="0" w:type="auto"/>
            <w:tcMar>
              <w:top w:w="0" w:type="dxa"/>
              <w:left w:w="57" w:type="dxa"/>
              <w:bottom w:w="0" w:type="dxa"/>
              <w:right w:w="57" w:type="dxa"/>
            </w:tcMar>
            <w:vAlign w:val="center"/>
          </w:tcPr>
          <w:p w14:paraId="47F91E73" w14:textId="77777777" w:rsidR="0075791A" w:rsidRDefault="00FB2864">
            <w:pPr>
              <w:ind w:firstLineChars="200" w:firstLine="48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99.5%</w:t>
            </w:r>
          </w:p>
        </w:tc>
      </w:tr>
      <w:tr w:rsidR="0075791A" w14:paraId="23CDD908" w14:textId="77777777">
        <w:trPr>
          <w:trHeight w:val="472"/>
          <w:jc w:val="center"/>
        </w:trPr>
        <w:tc>
          <w:tcPr>
            <w:tcW w:w="0" w:type="auto"/>
            <w:tcMar>
              <w:top w:w="0" w:type="dxa"/>
              <w:left w:w="57" w:type="dxa"/>
              <w:bottom w:w="0" w:type="dxa"/>
              <w:right w:w="57" w:type="dxa"/>
            </w:tcMar>
            <w:vAlign w:val="center"/>
          </w:tcPr>
          <w:p w14:paraId="3DDA37F5" w14:textId="77777777" w:rsidR="0075791A" w:rsidRDefault="0075791A">
            <w:pPr>
              <w:pStyle w:val="a0"/>
              <w:spacing w:line="280" w:lineRule="exact"/>
              <w:ind w:firstLineChars="0" w:firstLine="0"/>
              <w:jc w:val="center"/>
              <w:rPr>
                <w:rFonts w:ascii="宋体" w:eastAsia="宋体" w:hAnsi="宋体" w:cs="宋体"/>
                <w:color w:val="auto"/>
                <w:kern w:val="2"/>
                <w:sz w:val="24"/>
                <w:szCs w:val="24"/>
                <w:lang w:eastAsia="zh-CN"/>
              </w:rPr>
            </w:pPr>
          </w:p>
        </w:tc>
        <w:tc>
          <w:tcPr>
            <w:tcW w:w="0" w:type="auto"/>
            <w:tcMar>
              <w:top w:w="0" w:type="dxa"/>
              <w:left w:w="57" w:type="dxa"/>
              <w:bottom w:w="0" w:type="dxa"/>
              <w:right w:w="57" w:type="dxa"/>
            </w:tcMar>
            <w:vAlign w:val="center"/>
          </w:tcPr>
          <w:p w14:paraId="77A17D3B" w14:textId="77777777" w:rsidR="0075791A" w:rsidRDefault="0075791A">
            <w:pPr>
              <w:pStyle w:val="a0"/>
              <w:spacing w:line="280" w:lineRule="exact"/>
              <w:ind w:firstLineChars="0" w:firstLine="0"/>
              <w:jc w:val="center"/>
              <w:rPr>
                <w:rFonts w:ascii="宋体" w:eastAsia="宋体" w:hAnsi="宋体" w:cs="宋体"/>
                <w:color w:val="auto"/>
                <w:kern w:val="2"/>
                <w:sz w:val="24"/>
                <w:szCs w:val="24"/>
                <w:lang w:eastAsia="zh-CN"/>
              </w:rPr>
            </w:pPr>
          </w:p>
        </w:tc>
        <w:tc>
          <w:tcPr>
            <w:tcW w:w="0" w:type="auto"/>
            <w:tcMar>
              <w:top w:w="0" w:type="dxa"/>
              <w:left w:w="57" w:type="dxa"/>
              <w:bottom w:w="0" w:type="dxa"/>
              <w:right w:w="57" w:type="dxa"/>
            </w:tcMar>
            <w:vAlign w:val="center"/>
          </w:tcPr>
          <w:p w14:paraId="094E285D"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除氮</w:t>
            </w:r>
          </w:p>
        </w:tc>
        <w:tc>
          <w:tcPr>
            <w:tcW w:w="0" w:type="auto"/>
            <w:tcMar>
              <w:top w:w="0" w:type="dxa"/>
              <w:left w:w="57" w:type="dxa"/>
              <w:bottom w:w="0" w:type="dxa"/>
              <w:right w:w="57" w:type="dxa"/>
            </w:tcMar>
            <w:vAlign w:val="center"/>
          </w:tcPr>
          <w:p w14:paraId="166F28DE"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92%</w:t>
            </w:r>
          </w:p>
        </w:tc>
        <w:tc>
          <w:tcPr>
            <w:tcW w:w="0" w:type="auto"/>
            <w:tcMar>
              <w:top w:w="0" w:type="dxa"/>
              <w:left w:w="57" w:type="dxa"/>
              <w:bottom w:w="0" w:type="dxa"/>
              <w:right w:w="57" w:type="dxa"/>
            </w:tcMar>
            <w:vAlign w:val="center"/>
          </w:tcPr>
          <w:p w14:paraId="417F7F26" w14:textId="77777777" w:rsidR="0075791A" w:rsidRDefault="0075791A">
            <w:pPr>
              <w:pStyle w:val="a0"/>
              <w:spacing w:line="280" w:lineRule="exact"/>
              <w:ind w:firstLineChars="0" w:firstLine="0"/>
              <w:jc w:val="center"/>
              <w:rPr>
                <w:rFonts w:ascii="宋体" w:eastAsia="宋体" w:hAnsi="宋体" w:cs="宋体"/>
                <w:color w:val="auto"/>
                <w:kern w:val="2"/>
                <w:sz w:val="24"/>
                <w:szCs w:val="24"/>
                <w:lang w:eastAsia="zh-CN"/>
              </w:rPr>
            </w:pPr>
          </w:p>
        </w:tc>
        <w:tc>
          <w:tcPr>
            <w:tcW w:w="0" w:type="auto"/>
            <w:tcMar>
              <w:top w:w="0" w:type="dxa"/>
              <w:left w:w="57" w:type="dxa"/>
              <w:bottom w:w="0" w:type="dxa"/>
              <w:right w:w="57" w:type="dxa"/>
            </w:tcMar>
            <w:vAlign w:val="center"/>
          </w:tcPr>
          <w:p w14:paraId="533DBEFA" w14:textId="77777777" w:rsidR="0075791A" w:rsidRDefault="0075791A">
            <w:pPr>
              <w:pStyle w:val="a0"/>
              <w:spacing w:line="280" w:lineRule="exact"/>
              <w:ind w:firstLineChars="0" w:firstLine="0"/>
              <w:jc w:val="center"/>
              <w:rPr>
                <w:rFonts w:ascii="宋体" w:eastAsia="宋体" w:hAnsi="宋体" w:cs="宋体"/>
                <w:color w:val="auto"/>
                <w:kern w:val="2"/>
                <w:sz w:val="24"/>
                <w:szCs w:val="24"/>
                <w:lang w:eastAsia="zh-CN"/>
              </w:rPr>
            </w:pPr>
          </w:p>
        </w:tc>
        <w:tc>
          <w:tcPr>
            <w:tcW w:w="0" w:type="auto"/>
            <w:tcMar>
              <w:top w:w="0" w:type="dxa"/>
              <w:left w:w="57" w:type="dxa"/>
              <w:bottom w:w="0" w:type="dxa"/>
              <w:right w:w="57" w:type="dxa"/>
            </w:tcMar>
            <w:vAlign w:val="center"/>
          </w:tcPr>
          <w:p w14:paraId="02D4656D"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除氮、磷</w:t>
            </w:r>
          </w:p>
        </w:tc>
        <w:tc>
          <w:tcPr>
            <w:tcW w:w="0" w:type="auto"/>
            <w:tcMar>
              <w:top w:w="0" w:type="dxa"/>
              <w:left w:w="57" w:type="dxa"/>
              <w:bottom w:w="0" w:type="dxa"/>
              <w:right w:w="57" w:type="dxa"/>
            </w:tcMar>
            <w:vAlign w:val="center"/>
          </w:tcPr>
          <w:p w14:paraId="2943A997" w14:textId="77777777" w:rsidR="0075791A" w:rsidRDefault="00FB2864">
            <w:pPr>
              <w:ind w:firstLineChars="200" w:firstLine="48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60%</w:t>
            </w:r>
          </w:p>
        </w:tc>
      </w:tr>
      <w:tr w:rsidR="0075791A" w14:paraId="3B664206" w14:textId="77777777">
        <w:trPr>
          <w:trHeight w:val="472"/>
          <w:jc w:val="center"/>
        </w:trPr>
        <w:tc>
          <w:tcPr>
            <w:tcW w:w="0" w:type="auto"/>
            <w:tcMar>
              <w:top w:w="0" w:type="dxa"/>
              <w:left w:w="57" w:type="dxa"/>
              <w:bottom w:w="0" w:type="dxa"/>
              <w:right w:w="57" w:type="dxa"/>
            </w:tcMar>
            <w:vAlign w:val="center"/>
          </w:tcPr>
          <w:p w14:paraId="2B0BC3DA" w14:textId="77777777" w:rsidR="0075791A" w:rsidRDefault="0075791A">
            <w:pPr>
              <w:pStyle w:val="a0"/>
              <w:spacing w:line="280" w:lineRule="exact"/>
              <w:ind w:firstLineChars="0" w:firstLine="0"/>
              <w:jc w:val="center"/>
              <w:rPr>
                <w:rFonts w:ascii="宋体" w:eastAsia="宋体" w:hAnsi="宋体" w:cs="宋体"/>
                <w:color w:val="auto"/>
                <w:kern w:val="2"/>
                <w:sz w:val="24"/>
                <w:szCs w:val="24"/>
                <w:lang w:eastAsia="zh-CN"/>
              </w:rPr>
            </w:pPr>
          </w:p>
        </w:tc>
        <w:tc>
          <w:tcPr>
            <w:tcW w:w="0" w:type="auto"/>
            <w:tcMar>
              <w:top w:w="0" w:type="dxa"/>
              <w:left w:w="57" w:type="dxa"/>
              <w:bottom w:w="0" w:type="dxa"/>
              <w:right w:w="57" w:type="dxa"/>
            </w:tcMar>
            <w:vAlign w:val="center"/>
          </w:tcPr>
          <w:p w14:paraId="7D6541A8" w14:textId="77777777" w:rsidR="0075791A" w:rsidRDefault="0075791A">
            <w:pPr>
              <w:pStyle w:val="a0"/>
              <w:spacing w:line="280" w:lineRule="exact"/>
              <w:ind w:firstLineChars="0" w:firstLine="0"/>
              <w:jc w:val="center"/>
              <w:rPr>
                <w:rFonts w:ascii="宋体" w:eastAsia="宋体" w:hAnsi="宋体" w:cs="宋体"/>
                <w:color w:val="auto"/>
                <w:kern w:val="2"/>
                <w:sz w:val="24"/>
                <w:szCs w:val="24"/>
                <w:lang w:eastAsia="zh-CN"/>
              </w:rPr>
            </w:pPr>
          </w:p>
        </w:tc>
        <w:tc>
          <w:tcPr>
            <w:tcW w:w="0" w:type="auto"/>
            <w:tcMar>
              <w:top w:w="0" w:type="dxa"/>
              <w:left w:w="57" w:type="dxa"/>
              <w:bottom w:w="0" w:type="dxa"/>
              <w:right w:w="57" w:type="dxa"/>
            </w:tcMar>
            <w:vAlign w:val="center"/>
          </w:tcPr>
          <w:p w14:paraId="3094C477"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除磷</w:t>
            </w:r>
          </w:p>
        </w:tc>
        <w:tc>
          <w:tcPr>
            <w:tcW w:w="0" w:type="auto"/>
            <w:tcMar>
              <w:top w:w="0" w:type="dxa"/>
              <w:left w:w="57" w:type="dxa"/>
              <w:bottom w:w="0" w:type="dxa"/>
              <w:right w:w="57" w:type="dxa"/>
            </w:tcMar>
            <w:vAlign w:val="center"/>
          </w:tcPr>
          <w:p w14:paraId="5641DB93"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90%</w:t>
            </w:r>
          </w:p>
        </w:tc>
        <w:tc>
          <w:tcPr>
            <w:tcW w:w="0" w:type="auto"/>
            <w:tcMar>
              <w:top w:w="0" w:type="dxa"/>
              <w:left w:w="57" w:type="dxa"/>
              <w:bottom w:w="0" w:type="dxa"/>
              <w:right w:w="57" w:type="dxa"/>
            </w:tcMar>
            <w:vAlign w:val="center"/>
          </w:tcPr>
          <w:p w14:paraId="37918825" w14:textId="77777777" w:rsidR="0075791A" w:rsidRDefault="00FB2864">
            <w:pPr>
              <w:pStyle w:val="a0"/>
              <w:spacing w:line="280" w:lineRule="exact"/>
              <w:ind w:firstLineChars="0" w:firstLine="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5</w:t>
            </w:r>
          </w:p>
        </w:tc>
        <w:tc>
          <w:tcPr>
            <w:tcW w:w="0" w:type="auto"/>
            <w:tcMar>
              <w:top w:w="0" w:type="dxa"/>
              <w:left w:w="57" w:type="dxa"/>
              <w:bottom w:w="0" w:type="dxa"/>
              <w:right w:w="57" w:type="dxa"/>
            </w:tcMar>
            <w:vAlign w:val="center"/>
          </w:tcPr>
          <w:p w14:paraId="6520C2F0" w14:textId="77777777" w:rsidR="0075791A" w:rsidRDefault="00FB2864">
            <w:pPr>
              <w:pStyle w:val="a0"/>
              <w:spacing w:line="280" w:lineRule="exact"/>
              <w:ind w:firstLineChars="0" w:firstLine="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黄花蔺</w:t>
            </w:r>
          </w:p>
        </w:tc>
        <w:tc>
          <w:tcPr>
            <w:tcW w:w="0" w:type="auto"/>
            <w:tcMar>
              <w:top w:w="0" w:type="dxa"/>
              <w:left w:w="57" w:type="dxa"/>
              <w:bottom w:w="0" w:type="dxa"/>
              <w:right w:w="57" w:type="dxa"/>
            </w:tcMar>
            <w:vAlign w:val="center"/>
          </w:tcPr>
          <w:p w14:paraId="34E366AD"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除氮</w:t>
            </w:r>
          </w:p>
        </w:tc>
        <w:tc>
          <w:tcPr>
            <w:tcW w:w="0" w:type="auto"/>
            <w:tcMar>
              <w:top w:w="0" w:type="dxa"/>
              <w:left w:w="57" w:type="dxa"/>
              <w:bottom w:w="0" w:type="dxa"/>
              <w:right w:w="57" w:type="dxa"/>
            </w:tcMar>
            <w:vAlign w:val="center"/>
          </w:tcPr>
          <w:p w14:paraId="12E6CD7F" w14:textId="77777777" w:rsidR="0075791A" w:rsidRDefault="00FB2864">
            <w:pPr>
              <w:ind w:firstLineChars="200" w:firstLine="48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90%</w:t>
            </w:r>
          </w:p>
        </w:tc>
      </w:tr>
      <w:tr w:rsidR="0075791A" w14:paraId="21BE86A4" w14:textId="77777777">
        <w:trPr>
          <w:trHeight w:val="492"/>
          <w:jc w:val="center"/>
        </w:trPr>
        <w:tc>
          <w:tcPr>
            <w:tcW w:w="0" w:type="auto"/>
            <w:tcMar>
              <w:top w:w="0" w:type="dxa"/>
              <w:left w:w="57" w:type="dxa"/>
              <w:bottom w:w="0" w:type="dxa"/>
              <w:right w:w="57" w:type="dxa"/>
            </w:tcMar>
            <w:vAlign w:val="center"/>
          </w:tcPr>
          <w:p w14:paraId="5CFFC58E" w14:textId="77777777" w:rsidR="0075791A" w:rsidRDefault="00FB2864">
            <w:pPr>
              <w:pStyle w:val="a0"/>
              <w:spacing w:line="280" w:lineRule="exact"/>
              <w:ind w:firstLineChars="0" w:firstLine="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3</w:t>
            </w:r>
          </w:p>
        </w:tc>
        <w:tc>
          <w:tcPr>
            <w:tcW w:w="0" w:type="auto"/>
            <w:tcMar>
              <w:top w:w="0" w:type="dxa"/>
              <w:left w:w="57" w:type="dxa"/>
              <w:bottom w:w="0" w:type="dxa"/>
              <w:right w:w="57" w:type="dxa"/>
            </w:tcMar>
            <w:vAlign w:val="center"/>
          </w:tcPr>
          <w:p w14:paraId="5B4ACF92" w14:textId="77777777" w:rsidR="0075791A" w:rsidRDefault="00FB2864">
            <w:pPr>
              <w:pStyle w:val="a0"/>
              <w:spacing w:line="280" w:lineRule="exact"/>
              <w:ind w:firstLineChars="0" w:firstLine="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水葱</w:t>
            </w:r>
          </w:p>
        </w:tc>
        <w:tc>
          <w:tcPr>
            <w:tcW w:w="0" w:type="auto"/>
            <w:tcMar>
              <w:top w:w="0" w:type="dxa"/>
              <w:left w:w="57" w:type="dxa"/>
              <w:bottom w:w="0" w:type="dxa"/>
              <w:right w:w="57" w:type="dxa"/>
            </w:tcMar>
            <w:vAlign w:val="center"/>
          </w:tcPr>
          <w:p w14:paraId="6009FEF6"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除镉</w:t>
            </w:r>
          </w:p>
        </w:tc>
        <w:tc>
          <w:tcPr>
            <w:tcW w:w="0" w:type="auto"/>
            <w:tcMar>
              <w:top w:w="0" w:type="dxa"/>
              <w:left w:w="57" w:type="dxa"/>
              <w:bottom w:w="0" w:type="dxa"/>
              <w:right w:w="57" w:type="dxa"/>
            </w:tcMar>
            <w:vAlign w:val="center"/>
          </w:tcPr>
          <w:p w14:paraId="7A8704EC"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80%</w:t>
            </w:r>
          </w:p>
        </w:tc>
        <w:tc>
          <w:tcPr>
            <w:tcW w:w="0" w:type="auto"/>
            <w:tcMar>
              <w:top w:w="0" w:type="dxa"/>
              <w:left w:w="57" w:type="dxa"/>
              <w:bottom w:w="0" w:type="dxa"/>
              <w:right w:w="57" w:type="dxa"/>
            </w:tcMar>
            <w:vAlign w:val="center"/>
          </w:tcPr>
          <w:p w14:paraId="28D4BE9B" w14:textId="77777777" w:rsidR="0075791A" w:rsidRDefault="0075791A">
            <w:pPr>
              <w:pStyle w:val="a0"/>
              <w:spacing w:line="280" w:lineRule="exact"/>
              <w:ind w:firstLineChars="0" w:firstLine="0"/>
              <w:jc w:val="center"/>
              <w:rPr>
                <w:rFonts w:ascii="宋体" w:eastAsia="宋体" w:hAnsi="宋体" w:cs="宋体"/>
                <w:color w:val="auto"/>
                <w:kern w:val="2"/>
                <w:sz w:val="24"/>
                <w:szCs w:val="24"/>
                <w:lang w:eastAsia="zh-CN"/>
              </w:rPr>
            </w:pPr>
          </w:p>
        </w:tc>
        <w:tc>
          <w:tcPr>
            <w:tcW w:w="0" w:type="auto"/>
            <w:tcMar>
              <w:top w:w="0" w:type="dxa"/>
              <w:left w:w="57" w:type="dxa"/>
              <w:bottom w:w="0" w:type="dxa"/>
              <w:right w:w="57" w:type="dxa"/>
            </w:tcMar>
            <w:vAlign w:val="center"/>
          </w:tcPr>
          <w:p w14:paraId="04A1174E" w14:textId="77777777" w:rsidR="0075791A" w:rsidRDefault="0075791A">
            <w:pPr>
              <w:pStyle w:val="a0"/>
              <w:spacing w:line="280" w:lineRule="exact"/>
              <w:ind w:firstLineChars="0" w:firstLine="0"/>
              <w:jc w:val="center"/>
              <w:rPr>
                <w:rFonts w:ascii="宋体" w:eastAsia="宋体" w:hAnsi="宋体" w:cs="宋体"/>
                <w:color w:val="auto"/>
                <w:kern w:val="2"/>
                <w:sz w:val="24"/>
                <w:szCs w:val="24"/>
                <w:lang w:eastAsia="zh-CN"/>
              </w:rPr>
            </w:pPr>
          </w:p>
        </w:tc>
        <w:tc>
          <w:tcPr>
            <w:tcW w:w="1056" w:type="dxa"/>
            <w:tcMar>
              <w:top w:w="0" w:type="dxa"/>
              <w:left w:w="57" w:type="dxa"/>
              <w:bottom w:w="0" w:type="dxa"/>
              <w:right w:w="57" w:type="dxa"/>
            </w:tcMar>
            <w:vAlign w:val="center"/>
          </w:tcPr>
          <w:p w14:paraId="3307BA64" w14:textId="77777777" w:rsidR="0075791A" w:rsidRDefault="00FB2864">
            <w:pPr>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除磷</w:t>
            </w:r>
          </w:p>
        </w:tc>
        <w:tc>
          <w:tcPr>
            <w:tcW w:w="1221" w:type="dxa"/>
            <w:tcMar>
              <w:top w:w="0" w:type="dxa"/>
              <w:left w:w="57" w:type="dxa"/>
              <w:bottom w:w="0" w:type="dxa"/>
              <w:right w:w="57" w:type="dxa"/>
            </w:tcMar>
            <w:vAlign w:val="center"/>
          </w:tcPr>
          <w:p w14:paraId="4A866ADD" w14:textId="77777777" w:rsidR="0075791A" w:rsidRDefault="00FB2864">
            <w:pPr>
              <w:ind w:firstLineChars="200" w:firstLine="480"/>
              <w:jc w:val="center"/>
              <w:rPr>
                <w:rFonts w:ascii="宋体" w:eastAsia="宋体" w:hAnsi="宋体" w:cs="宋体"/>
                <w:color w:val="auto"/>
                <w:kern w:val="2"/>
                <w:sz w:val="24"/>
                <w:szCs w:val="24"/>
                <w:lang w:eastAsia="zh-CN"/>
              </w:rPr>
            </w:pPr>
            <w:r>
              <w:rPr>
                <w:rFonts w:ascii="宋体" w:eastAsia="宋体" w:hAnsi="宋体" w:cs="宋体" w:hint="eastAsia"/>
                <w:color w:val="auto"/>
                <w:kern w:val="2"/>
                <w:sz w:val="24"/>
                <w:szCs w:val="24"/>
                <w:lang w:eastAsia="zh-CN"/>
              </w:rPr>
              <w:t>80%</w:t>
            </w:r>
          </w:p>
        </w:tc>
      </w:tr>
    </w:tbl>
    <w:p w14:paraId="253FF9B4"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可见，项目选用的海南本地湿地植物能通过去除</w:t>
      </w:r>
      <w:r>
        <w:rPr>
          <w:rFonts w:ascii="Times New Roman" w:eastAsia="宋体" w:hAnsi="Times New Roman" w:cs="Times New Roman"/>
          <w:snapToGrid/>
          <w:color w:val="auto"/>
          <w:kern w:val="2"/>
          <w:sz w:val="24"/>
          <w:szCs w:val="24"/>
          <w:lang w:eastAsia="zh-CN"/>
        </w:rPr>
        <w:t>污水中的氮、磷等营养物质</w:t>
      </w:r>
      <w:r>
        <w:rPr>
          <w:rFonts w:ascii="Times New Roman" w:eastAsia="宋体" w:hAnsi="Times New Roman" w:cs="Times New Roman" w:hint="eastAsia"/>
          <w:snapToGrid/>
          <w:color w:val="auto"/>
          <w:kern w:val="2"/>
          <w:sz w:val="24"/>
          <w:szCs w:val="24"/>
          <w:lang w:eastAsia="zh-CN"/>
        </w:rPr>
        <w:t>，吸附悬浮物，减少磷释放等方式，对水质进行有效净化，完成污染削减能力提升率</w:t>
      </w:r>
      <w:r>
        <w:rPr>
          <w:rFonts w:ascii="Times New Roman" w:eastAsia="宋体" w:hAnsi="Times New Roman" w:cs="Times New Roman"/>
          <w:snapToGrid/>
          <w:color w:val="auto"/>
          <w:kern w:val="2"/>
          <w:sz w:val="24"/>
          <w:szCs w:val="24"/>
          <w:lang w:eastAsia="zh-CN"/>
        </w:rPr>
        <w:t>11%</w:t>
      </w:r>
      <w:r>
        <w:rPr>
          <w:rFonts w:ascii="Times New Roman" w:eastAsia="宋体" w:hAnsi="Times New Roman" w:cs="Times New Roman" w:hint="eastAsia"/>
          <w:snapToGrid/>
          <w:color w:val="auto"/>
          <w:kern w:val="2"/>
          <w:sz w:val="24"/>
          <w:szCs w:val="24"/>
          <w:lang w:eastAsia="zh-CN"/>
        </w:rPr>
        <w:t>的绩效目标。</w:t>
      </w:r>
    </w:p>
    <w:p w14:paraId="225B23BE"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③生态系统碳汇增加</w:t>
      </w:r>
    </w:p>
    <w:p w14:paraId="1D76F017"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项目通过保护和恢复红树林湿地系统，消除外部污染、构建扩大红树林湿地面积，提升生物多样性，加强土壤和湿地系统的固碳能力，使铁炉港蓝碳汇量稳定上升。</w:t>
      </w:r>
    </w:p>
    <w:p w14:paraId="76E56171"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项目碳汇增加能力依据</w:t>
      </w:r>
      <w:r>
        <w:rPr>
          <w:rFonts w:ascii="Times New Roman" w:eastAsia="宋体" w:hAnsi="Times New Roman" w:cs="Times New Roman" w:hint="eastAsia"/>
          <w:snapToGrid/>
          <w:color w:val="auto"/>
          <w:kern w:val="2"/>
          <w:sz w:val="24"/>
          <w:szCs w:val="24"/>
          <w:lang w:eastAsia="zh-CN"/>
        </w:rPr>
        <w:t xml:space="preserve">HY/T </w:t>
      </w:r>
      <w:r>
        <w:rPr>
          <w:rFonts w:ascii="Times New Roman" w:eastAsia="宋体" w:hAnsi="Times New Roman" w:cs="Times New Roman" w:hint="eastAsia"/>
          <w:snapToGrid/>
          <w:color w:val="auto"/>
          <w:kern w:val="2"/>
          <w:sz w:val="24"/>
          <w:szCs w:val="24"/>
          <w:lang w:eastAsia="zh-CN"/>
        </w:rPr>
        <w:t>0349-2022</w:t>
      </w:r>
      <w:r>
        <w:rPr>
          <w:rFonts w:ascii="Times New Roman" w:eastAsia="宋体" w:hAnsi="Times New Roman" w:cs="Times New Roman" w:hint="eastAsia"/>
          <w:snapToGrid/>
          <w:color w:val="auto"/>
          <w:kern w:val="2"/>
          <w:sz w:val="24"/>
          <w:szCs w:val="24"/>
          <w:lang w:eastAsia="zh-CN"/>
        </w:rPr>
        <w:t>海洋碳汇核算方法，主要针对红树林进行具体核算，本项目新增红树林面积约</w:t>
      </w:r>
      <w:r>
        <w:rPr>
          <w:rFonts w:ascii="Times New Roman" w:eastAsia="宋体" w:hAnsi="Times New Roman" w:cs="Times New Roman" w:hint="eastAsia"/>
          <w:snapToGrid/>
          <w:color w:val="auto"/>
          <w:kern w:val="2"/>
          <w:sz w:val="24"/>
          <w:szCs w:val="24"/>
          <w:lang w:eastAsia="zh-CN"/>
        </w:rPr>
        <w:t>123</w:t>
      </w:r>
      <w:r>
        <w:rPr>
          <w:rFonts w:ascii="Times New Roman" w:eastAsia="宋体" w:hAnsi="Times New Roman" w:cs="Times New Roman" w:hint="eastAsia"/>
          <w:snapToGrid/>
          <w:color w:val="auto"/>
          <w:kern w:val="2"/>
          <w:sz w:val="24"/>
          <w:szCs w:val="24"/>
          <w:lang w:eastAsia="zh-CN"/>
        </w:rPr>
        <w:t>公顷，抚育红树林面积约</w:t>
      </w:r>
      <w:r>
        <w:rPr>
          <w:rFonts w:ascii="Times New Roman" w:eastAsia="宋体" w:hAnsi="Times New Roman" w:cs="Times New Roman" w:hint="eastAsia"/>
          <w:snapToGrid/>
          <w:color w:val="auto"/>
          <w:kern w:val="2"/>
          <w:sz w:val="24"/>
          <w:szCs w:val="24"/>
          <w:lang w:eastAsia="zh-CN"/>
        </w:rPr>
        <w:t>122.20</w:t>
      </w:r>
      <w:r>
        <w:rPr>
          <w:rFonts w:ascii="Times New Roman" w:eastAsia="宋体" w:hAnsi="Times New Roman" w:cs="Times New Roman" w:hint="eastAsia"/>
          <w:snapToGrid/>
          <w:color w:val="auto"/>
          <w:kern w:val="2"/>
          <w:sz w:val="24"/>
          <w:szCs w:val="24"/>
          <w:lang w:eastAsia="zh-CN"/>
        </w:rPr>
        <w:t>公顷，对比新增面积和现状面积，生态碳汇增加量估计将大大提高。</w:t>
      </w:r>
    </w:p>
    <w:p w14:paraId="58D82A01" w14:textId="77777777" w:rsidR="0075791A" w:rsidRDefault="00FB2864">
      <w:pPr>
        <w:spacing w:line="360" w:lineRule="auto"/>
        <w:outlineLvl w:val="2"/>
        <w:rPr>
          <w:rFonts w:ascii="Times New Roman" w:eastAsia="宋体" w:hAnsi="Times New Roman" w:cs="Times New Roman"/>
          <w:b/>
          <w:bCs/>
          <w:color w:val="auto"/>
          <w:spacing w:val="-3"/>
          <w:sz w:val="24"/>
          <w:szCs w:val="24"/>
          <w:lang w:eastAsia="zh-CN"/>
        </w:rPr>
      </w:pPr>
      <w:r>
        <w:rPr>
          <w:rFonts w:ascii="Times New Roman" w:eastAsia="宋体" w:hAnsi="Times New Roman" w:cs="Times New Roman" w:hint="eastAsia"/>
          <w:b/>
          <w:bCs/>
          <w:color w:val="auto"/>
          <w:spacing w:val="-3"/>
          <w:sz w:val="24"/>
          <w:szCs w:val="24"/>
          <w:lang w:eastAsia="zh-CN"/>
        </w:rPr>
        <w:t>4.4.2</w:t>
      </w:r>
      <w:r>
        <w:rPr>
          <w:rFonts w:ascii="Times New Roman" w:eastAsia="宋体" w:hAnsi="Times New Roman" w:cs="Times New Roman" w:hint="eastAsia"/>
          <w:b/>
          <w:bCs/>
          <w:color w:val="auto"/>
          <w:spacing w:val="-3"/>
          <w:sz w:val="24"/>
          <w:szCs w:val="24"/>
          <w:lang w:eastAsia="zh-CN"/>
        </w:rPr>
        <w:t>经济效益</w:t>
      </w:r>
    </w:p>
    <w:p w14:paraId="77D04F3D"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）助力蓝碳经济，营造良好碳汇市场</w:t>
      </w:r>
    </w:p>
    <w:p w14:paraId="0D7CC010"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蓝碳是我国实现“碳中和”目标的重要途径，红树林与海草床、珊瑚礁并称为三大滨海蓝碳生态系统，能够捕获和储存大量的碳，其中红树林是这些生态系统中固碳效率最高的，每天每平方米的红树林冠层能吸收</w:t>
      </w:r>
      <w:r>
        <w:rPr>
          <w:rFonts w:ascii="Times New Roman" w:eastAsia="宋体" w:hAnsi="Times New Roman" w:cs="Times New Roman" w:hint="eastAsia"/>
          <w:snapToGrid/>
          <w:color w:val="auto"/>
          <w:kern w:val="2"/>
          <w:sz w:val="24"/>
          <w:szCs w:val="24"/>
          <w:lang w:eastAsia="zh-CN"/>
        </w:rPr>
        <w:t>11.79</w:t>
      </w:r>
      <w:r>
        <w:rPr>
          <w:rFonts w:ascii="Times New Roman" w:eastAsia="宋体" w:hAnsi="Times New Roman" w:cs="Times New Roman" w:hint="eastAsia"/>
          <w:snapToGrid/>
          <w:color w:val="auto"/>
          <w:kern w:val="2"/>
          <w:sz w:val="24"/>
          <w:szCs w:val="24"/>
          <w:lang w:eastAsia="zh-CN"/>
        </w:rPr>
        <w:t>克碳，可谓“王者”般的存在。</w:t>
      </w:r>
    </w:p>
    <w:p w14:paraId="05E0E4AE"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2021</w:t>
      </w:r>
      <w:r>
        <w:rPr>
          <w:rFonts w:ascii="Times New Roman" w:eastAsia="宋体" w:hAnsi="Times New Roman" w:cs="Times New Roman" w:hint="eastAsia"/>
          <w:snapToGrid/>
          <w:color w:val="auto"/>
          <w:kern w:val="2"/>
          <w:sz w:val="24"/>
          <w:szCs w:val="24"/>
          <w:lang w:eastAsia="zh-CN"/>
        </w:rPr>
        <w:t>年，湛江利用红树林强大的固碳能力及其在全球碳循环等生态系统服务功能方面扮演的重要角色，联合科研机构与社会企业等组织，依托麻章岭头岛退塘造林、湿地恢复工程等项目种植的</w:t>
      </w:r>
      <w:r>
        <w:rPr>
          <w:rFonts w:ascii="Times New Roman" w:eastAsia="宋体" w:hAnsi="Times New Roman" w:cs="Times New Roman" w:hint="eastAsia"/>
          <w:snapToGrid/>
          <w:color w:val="auto"/>
          <w:kern w:val="2"/>
          <w:sz w:val="24"/>
          <w:szCs w:val="24"/>
          <w:lang w:eastAsia="zh-CN"/>
        </w:rPr>
        <w:t>380</w:t>
      </w:r>
      <w:r>
        <w:rPr>
          <w:rFonts w:ascii="Times New Roman" w:eastAsia="宋体" w:hAnsi="Times New Roman" w:cs="Times New Roman" w:hint="eastAsia"/>
          <w:snapToGrid/>
          <w:color w:val="auto"/>
          <w:kern w:val="2"/>
          <w:sz w:val="24"/>
          <w:szCs w:val="24"/>
          <w:lang w:eastAsia="zh-CN"/>
        </w:rPr>
        <w:t>公顷红树林成功开发并达成我国第一笔蓝碳交易，为红树林价值实现途径提供了示范。参考湛江，铁炉港有望成为海南省生</w:t>
      </w:r>
      <w:r>
        <w:rPr>
          <w:rFonts w:ascii="Times New Roman" w:eastAsia="宋体" w:hAnsi="Times New Roman" w:cs="Times New Roman" w:hint="eastAsia"/>
          <w:snapToGrid/>
          <w:color w:val="auto"/>
          <w:kern w:val="2"/>
          <w:sz w:val="24"/>
          <w:szCs w:val="24"/>
          <w:lang w:eastAsia="zh-CN"/>
        </w:rPr>
        <w:t>态系统碳汇试点项目。通过鼓励社会资金投资或购买项目生产效益，拓宽滨海蓝碳生态系统保护修复资金渠道，推进碳汇市场的发展。有效吸引低成本的国际绿色资金参与国内、省内低碳经济发展与生态环境保护，加快我国绿色转型的步伐，另一方面有利于促进优势绿色技术对外输出，以全球化视野推进生态产品价值实现。</w:t>
      </w:r>
    </w:p>
    <w:p w14:paraId="1FB1A9E6"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）增加居民就业机会，推动生态旅游发展</w:t>
      </w:r>
    </w:p>
    <w:p w14:paraId="7DCFA95A"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2022</w:t>
      </w:r>
      <w:r>
        <w:rPr>
          <w:rFonts w:ascii="Times New Roman" w:eastAsia="宋体" w:hAnsi="Times New Roman" w:cs="Times New Roman" w:hint="eastAsia"/>
          <w:snapToGrid/>
          <w:color w:val="auto"/>
          <w:kern w:val="2"/>
          <w:sz w:val="24"/>
          <w:szCs w:val="24"/>
          <w:lang w:eastAsia="zh-CN"/>
        </w:rPr>
        <w:t>年度，三亚市铁炉港红树林生态修复项目已完成经济效益指标为：提供种苗、</w:t>
      </w:r>
      <w:r>
        <w:rPr>
          <w:rFonts w:ascii="Times New Roman" w:eastAsia="宋体" w:hAnsi="Times New Roman" w:cs="Times New Roman" w:hint="eastAsia"/>
          <w:snapToGrid/>
          <w:color w:val="auto"/>
          <w:kern w:val="2"/>
          <w:sz w:val="24"/>
          <w:szCs w:val="24"/>
          <w:lang w:eastAsia="zh-CN"/>
        </w:rPr>
        <w:lastRenderedPageBreak/>
        <w:t>劳动力资源≥</w:t>
      </w:r>
      <w:r>
        <w:rPr>
          <w:rFonts w:ascii="Times New Roman" w:eastAsia="宋体" w:hAnsi="Times New Roman" w:cs="Times New Roman" w:hint="eastAsia"/>
          <w:snapToGrid/>
          <w:color w:val="auto"/>
          <w:kern w:val="2"/>
          <w:sz w:val="24"/>
          <w:szCs w:val="24"/>
          <w:lang w:eastAsia="zh-CN"/>
        </w:rPr>
        <w:t>40</w:t>
      </w:r>
      <w:r>
        <w:rPr>
          <w:rFonts w:ascii="Times New Roman" w:eastAsia="宋体" w:hAnsi="Times New Roman" w:cs="Times New Roman" w:hint="eastAsia"/>
          <w:snapToGrid/>
          <w:color w:val="auto"/>
          <w:kern w:val="2"/>
          <w:sz w:val="24"/>
          <w:szCs w:val="24"/>
          <w:lang w:eastAsia="zh-CN"/>
        </w:rPr>
        <w:t>万元，种植苗木</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万株，聘用周边居民作为专项管护人员；提高生态产品供给能力</w:t>
      </w:r>
      <w:r>
        <w:rPr>
          <w:rFonts w:ascii="Times New Roman" w:eastAsia="宋体" w:hAnsi="Times New Roman" w:cs="Times New Roman" w:hint="eastAsia"/>
          <w:snapToGrid/>
          <w:color w:val="auto"/>
          <w:kern w:val="2"/>
          <w:sz w:val="24"/>
          <w:szCs w:val="24"/>
          <w:lang w:eastAsia="zh-CN"/>
        </w:rPr>
        <w:t>30</w:t>
      </w:r>
      <w:r>
        <w:rPr>
          <w:rFonts w:ascii="Times New Roman" w:eastAsia="宋体" w:hAnsi="Times New Roman" w:cs="Times New Roman" w:hint="eastAsia"/>
          <w:snapToGrid/>
          <w:color w:val="auto"/>
          <w:kern w:val="2"/>
          <w:sz w:val="24"/>
          <w:szCs w:val="24"/>
          <w:lang w:eastAsia="zh-CN"/>
        </w:rPr>
        <w:t>万；促进生态旅</w:t>
      </w:r>
      <w:r>
        <w:rPr>
          <w:rFonts w:ascii="Times New Roman" w:eastAsia="宋体" w:hAnsi="Times New Roman" w:cs="Times New Roman" w:hint="eastAsia"/>
          <w:snapToGrid/>
          <w:color w:val="auto"/>
          <w:kern w:val="2"/>
          <w:sz w:val="24"/>
          <w:szCs w:val="24"/>
          <w:lang w:eastAsia="zh-CN"/>
        </w:rPr>
        <w:t>游经济</w:t>
      </w:r>
      <w:r>
        <w:rPr>
          <w:rFonts w:ascii="Times New Roman" w:eastAsia="宋体" w:hAnsi="Times New Roman" w:cs="Times New Roman" w:hint="eastAsia"/>
          <w:snapToGrid/>
          <w:color w:val="auto"/>
          <w:kern w:val="2"/>
          <w:sz w:val="24"/>
          <w:szCs w:val="24"/>
          <w:lang w:eastAsia="zh-CN"/>
        </w:rPr>
        <w:t>50</w:t>
      </w:r>
      <w:r>
        <w:rPr>
          <w:rFonts w:ascii="Times New Roman" w:eastAsia="宋体" w:hAnsi="Times New Roman" w:cs="Times New Roman" w:hint="eastAsia"/>
          <w:snapToGrid/>
          <w:color w:val="auto"/>
          <w:kern w:val="2"/>
          <w:sz w:val="24"/>
          <w:szCs w:val="24"/>
          <w:lang w:eastAsia="zh-CN"/>
        </w:rPr>
        <w:t>万。</w:t>
      </w:r>
    </w:p>
    <w:p w14:paraId="22A0E8DE"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铁炉港红树林湿地保护修复项目在建设当中，吸纳当地社区居民参与调查、巡护、造林等工作，实现社区就业。本项目实施后铁炉港生态环境提升带来保护区周边村民在生态农业和乡村旅游方面显著经济效益增长，项目实施后铁炉港红树林生态保护区成为三亚生态文明标杆，以生态环境高水平保护助推三亚经济高质量发展，带动铁炉港周边海棠湾乃至三亚市滨海旅游经济新的增长。</w:t>
      </w:r>
    </w:p>
    <w:p w14:paraId="12125A34"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通过构建资源节约、环境友好、生态文明的绿色生产体系，环境质量的提升将使得城市土地的价值进一步提升，通过响应国家政策，推动区域的差异化发展将形成独特的滨海特色</w:t>
      </w:r>
      <w:r>
        <w:rPr>
          <w:rFonts w:ascii="Times New Roman" w:eastAsia="宋体" w:hAnsi="Times New Roman" w:cs="Times New Roman" w:hint="eastAsia"/>
          <w:snapToGrid/>
          <w:color w:val="auto"/>
          <w:kern w:val="2"/>
          <w:sz w:val="24"/>
          <w:szCs w:val="24"/>
          <w:lang w:eastAsia="zh-CN"/>
        </w:rPr>
        <w:t>，从而达到优化产业结构的最终成果。</w:t>
      </w:r>
    </w:p>
    <w:p w14:paraId="651B304A"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3</w:t>
      </w:r>
      <w:r>
        <w:rPr>
          <w:rFonts w:ascii="Times New Roman" w:eastAsia="宋体" w:hAnsi="Times New Roman" w:cs="Times New Roman" w:hint="eastAsia"/>
          <w:snapToGrid/>
          <w:color w:val="auto"/>
          <w:kern w:val="2"/>
          <w:sz w:val="24"/>
          <w:szCs w:val="24"/>
          <w:lang w:eastAsia="zh-CN"/>
        </w:rPr>
        <w:t>）吸引更多社会资本，流入低碳领域</w:t>
      </w:r>
    </w:p>
    <w:p w14:paraId="5F1877F3"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国务院办公厅印发《关于鼓励和支持社会资本参与生态保护修复的意见》。这一文件从规划管控、产权激励、资源利用、财税支持、金融扶持等方面向社会资本参与生态保护修复释放出政策红利，将为加快推进山水林田湖草沙一体化保护和修复起到积极作用。</w:t>
      </w:r>
    </w:p>
    <w:p w14:paraId="48BE82CA"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次项目的实施将对三亚市海岸带自然资源与生态环境的保护和利用起到积极的推动作用，对提升整个三亚市的生态环境质量和驱动产业链调整具有重要的意义。一方面通过政策规范，让社会资本参与生态保护修复不仅能通过获得的自然</w:t>
      </w:r>
      <w:r>
        <w:rPr>
          <w:rFonts w:ascii="Times New Roman" w:eastAsia="宋体" w:hAnsi="Times New Roman" w:cs="Times New Roman" w:hint="eastAsia"/>
          <w:snapToGrid/>
          <w:color w:val="auto"/>
          <w:kern w:val="2"/>
          <w:sz w:val="24"/>
          <w:szCs w:val="24"/>
          <w:lang w:eastAsia="zh-CN"/>
        </w:rPr>
        <w:t>资源资产使用权或特许经营权发展适宜产业、资源综合利用等方式获得收益，也能在地方政府的支持下，通过投资补助、运营补贴、资本金注入等方式获得合理回报。这意味着在进行生态修复、改善生态环境质量的同时，还可以产生更多的收益，从而弥补生态保护修复成本，推动实现生态保护修复和生态产品价值实现的可持续。</w:t>
      </w:r>
    </w:p>
    <w:p w14:paraId="4FAC4D3C"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另一方面，通过红树林保护与修复事业的良性发展，可提高当地的知名度，提高红树林保护区周边社区的土地和海域价值，吸引更多的客商来当地投资，推动三亚市产业升级转型。</w:t>
      </w:r>
    </w:p>
    <w:p w14:paraId="201BC613" w14:textId="77777777" w:rsidR="0075791A" w:rsidRDefault="00FB2864">
      <w:pPr>
        <w:spacing w:line="360" w:lineRule="auto"/>
        <w:outlineLvl w:val="2"/>
        <w:rPr>
          <w:rFonts w:ascii="Times New Roman" w:eastAsia="宋体" w:hAnsi="Times New Roman" w:cs="Times New Roman"/>
          <w:b/>
          <w:bCs/>
          <w:color w:val="auto"/>
          <w:spacing w:val="-3"/>
          <w:sz w:val="24"/>
          <w:szCs w:val="24"/>
          <w:lang w:eastAsia="zh-CN"/>
        </w:rPr>
      </w:pPr>
      <w:r>
        <w:rPr>
          <w:rFonts w:ascii="Times New Roman" w:eastAsia="宋体" w:hAnsi="Times New Roman" w:cs="Times New Roman" w:hint="eastAsia"/>
          <w:b/>
          <w:bCs/>
          <w:color w:val="auto"/>
          <w:spacing w:val="-3"/>
          <w:sz w:val="24"/>
          <w:szCs w:val="24"/>
          <w:lang w:eastAsia="zh-CN"/>
        </w:rPr>
        <w:t>4.4.3</w:t>
      </w:r>
      <w:r>
        <w:rPr>
          <w:rFonts w:ascii="Times New Roman" w:eastAsia="宋体" w:hAnsi="Times New Roman" w:cs="Times New Roman" w:hint="eastAsia"/>
          <w:b/>
          <w:bCs/>
          <w:color w:val="auto"/>
          <w:spacing w:val="-3"/>
          <w:sz w:val="24"/>
          <w:szCs w:val="24"/>
          <w:lang w:eastAsia="zh-CN"/>
        </w:rPr>
        <w:t>社会效益</w:t>
      </w:r>
    </w:p>
    <w:p w14:paraId="648A811F"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1</w:t>
      </w:r>
      <w:r>
        <w:rPr>
          <w:rFonts w:ascii="Times New Roman" w:eastAsia="宋体" w:hAnsi="Times New Roman" w:cs="Times New Roman" w:hint="eastAsia"/>
          <w:snapToGrid/>
          <w:color w:val="auto"/>
          <w:kern w:val="2"/>
          <w:sz w:val="24"/>
          <w:szCs w:val="24"/>
          <w:lang w:eastAsia="zh-CN"/>
        </w:rPr>
        <w:t>）生态环境得以提升，居民幸福感得到满</w:t>
      </w:r>
      <w:r>
        <w:rPr>
          <w:rFonts w:ascii="Times New Roman" w:eastAsia="宋体" w:hAnsi="Times New Roman" w:cs="Times New Roman" w:hint="eastAsia"/>
          <w:snapToGrid/>
          <w:color w:val="auto"/>
          <w:kern w:val="2"/>
          <w:sz w:val="24"/>
          <w:szCs w:val="24"/>
          <w:lang w:eastAsia="zh-CN"/>
        </w:rPr>
        <w:t>足</w:t>
      </w:r>
    </w:p>
    <w:p w14:paraId="30886146"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保护红树林，助力恢复海洋生态。红树林能够抵御风浪、净化海水、护堤固滩，有‘海洋绿肺’的美称。同时，是近海海洋生物生长、栖息、繁衍的场所，红树林也是生物多样性最丰富的生态系统之一。其中抵御外来物种入侵，是保护红树林的生存空间的</w:t>
      </w:r>
      <w:r>
        <w:rPr>
          <w:rFonts w:ascii="Times New Roman" w:eastAsia="宋体" w:hAnsi="Times New Roman" w:cs="Times New Roman" w:hint="eastAsia"/>
          <w:snapToGrid/>
          <w:color w:val="auto"/>
          <w:kern w:val="2"/>
          <w:sz w:val="24"/>
          <w:szCs w:val="24"/>
          <w:lang w:eastAsia="zh-CN"/>
        </w:rPr>
        <w:lastRenderedPageBreak/>
        <w:t>重要举措。项目的实施，可以进一步改善居民生活环境，提高居民幸福指数，进一步推动海岸带区域的乡村振兴工作，人居环境市民满意度可达</w:t>
      </w:r>
      <w:r>
        <w:rPr>
          <w:rFonts w:ascii="Times New Roman" w:eastAsia="宋体" w:hAnsi="Times New Roman" w:cs="Times New Roman" w:hint="eastAsia"/>
          <w:snapToGrid/>
          <w:color w:val="auto"/>
          <w:kern w:val="2"/>
          <w:sz w:val="24"/>
          <w:szCs w:val="24"/>
          <w:lang w:eastAsia="zh-CN"/>
        </w:rPr>
        <w:t>95%</w:t>
      </w:r>
      <w:r>
        <w:rPr>
          <w:rFonts w:ascii="Times New Roman" w:eastAsia="宋体" w:hAnsi="Times New Roman" w:cs="Times New Roman" w:hint="eastAsia"/>
          <w:snapToGrid/>
          <w:color w:val="auto"/>
          <w:kern w:val="2"/>
          <w:sz w:val="24"/>
          <w:szCs w:val="24"/>
          <w:lang w:eastAsia="zh-CN"/>
        </w:rPr>
        <w:t>以上。同时，将有利于促进红树林文化的提升和传播，增强群众保护海洋的意识，人们可以学习和深刻地感受当地浓郁的滨海文化和海洋生物文化。</w:t>
      </w:r>
    </w:p>
    <w:p w14:paraId="7B087A31"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通过修复红树林生态系</w:t>
      </w:r>
      <w:r>
        <w:rPr>
          <w:rFonts w:ascii="Times New Roman" w:eastAsia="宋体" w:hAnsi="Times New Roman" w:cs="Times New Roman" w:hint="eastAsia"/>
          <w:snapToGrid/>
          <w:color w:val="auto"/>
          <w:kern w:val="2"/>
          <w:sz w:val="24"/>
          <w:szCs w:val="24"/>
          <w:lang w:eastAsia="zh-CN"/>
        </w:rPr>
        <w:t>统，保护修复区域结合生态廊道，保持了红树林修复区与周边环境的协调性和连续性，构建连接海与城市、鸟类与人类的自然纽带，提升海岸交错带湿地生态系统的综合功能。同时，强化铁炉港滨海湿地和红树林特色，有效改善区域环境和人居环境，也对周边地区的发展起到正面推动作用，完善生态补偿，促进优质生态产品持续供给，有力地提升了片区的各项价值。</w:t>
      </w:r>
    </w:p>
    <w:p w14:paraId="0F4499BF"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以生态系统的改善赋能区域的可持续发展，实现经济效益和社会效益的“双丰收”，同时开展更多红树林生态系统、生物多样性、湿地及海岸带保护的科普教育活动，带动民众投身到生态保护工作中，一同助力建</w:t>
      </w:r>
      <w:r>
        <w:rPr>
          <w:rFonts w:ascii="Times New Roman" w:eastAsia="宋体" w:hAnsi="Times New Roman" w:cs="Times New Roman" w:hint="eastAsia"/>
          <w:snapToGrid/>
          <w:color w:val="auto"/>
          <w:kern w:val="2"/>
          <w:sz w:val="24"/>
          <w:szCs w:val="24"/>
          <w:lang w:eastAsia="zh-CN"/>
        </w:rPr>
        <w:t>设人与自然和谐共生的绿美三亚。</w:t>
      </w:r>
    </w:p>
    <w:p w14:paraId="55CAF63F"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w:t>
      </w:r>
      <w:r>
        <w:rPr>
          <w:rFonts w:ascii="Times New Roman" w:eastAsia="宋体" w:hAnsi="Times New Roman" w:cs="Times New Roman" w:hint="eastAsia"/>
          <w:snapToGrid/>
          <w:color w:val="auto"/>
          <w:kern w:val="2"/>
          <w:sz w:val="24"/>
          <w:szCs w:val="24"/>
          <w:lang w:eastAsia="zh-CN"/>
        </w:rPr>
        <w:t>）城市形象得到提升，突出城市战略定位</w:t>
      </w:r>
    </w:p>
    <w:p w14:paraId="6655C220"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本项目的实施有助于保障贯彻落实国家海洋生态文明建设政策，落实《海南省红树林保护修复专项行动计划实施方案（</w:t>
      </w:r>
      <w:r>
        <w:rPr>
          <w:rFonts w:ascii="Times New Roman" w:eastAsia="宋体" w:hAnsi="Times New Roman" w:cs="Times New Roman" w:hint="eastAsia"/>
          <w:snapToGrid/>
          <w:color w:val="auto"/>
          <w:kern w:val="2"/>
          <w:sz w:val="24"/>
          <w:szCs w:val="24"/>
          <w:lang w:eastAsia="zh-CN"/>
        </w:rPr>
        <w:t>2022</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2025</w:t>
      </w:r>
      <w:r>
        <w:rPr>
          <w:rFonts w:ascii="Times New Roman" w:eastAsia="宋体" w:hAnsi="Times New Roman" w:cs="Times New Roman" w:hint="eastAsia"/>
          <w:snapToGrid/>
          <w:color w:val="auto"/>
          <w:kern w:val="2"/>
          <w:sz w:val="24"/>
          <w:szCs w:val="24"/>
          <w:lang w:eastAsia="zh-CN"/>
        </w:rPr>
        <w:t>年）》和《海南省生物多样性保护战略与行动计划（</w:t>
      </w:r>
      <w:r>
        <w:rPr>
          <w:rFonts w:ascii="Times New Roman" w:eastAsia="宋体" w:hAnsi="Times New Roman" w:cs="Times New Roman" w:hint="eastAsia"/>
          <w:snapToGrid/>
          <w:color w:val="auto"/>
          <w:kern w:val="2"/>
          <w:sz w:val="24"/>
          <w:szCs w:val="24"/>
          <w:lang w:eastAsia="zh-CN"/>
        </w:rPr>
        <w:t>2014</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2030</w:t>
      </w:r>
      <w:r>
        <w:rPr>
          <w:rFonts w:ascii="Times New Roman" w:eastAsia="宋体" w:hAnsi="Times New Roman" w:cs="Times New Roman" w:hint="eastAsia"/>
          <w:snapToGrid/>
          <w:color w:val="auto"/>
          <w:kern w:val="2"/>
          <w:sz w:val="24"/>
          <w:szCs w:val="24"/>
          <w:lang w:eastAsia="zh-CN"/>
        </w:rPr>
        <w:t>年）》，提高海岸带管理、规划和服务的水平，具有重要的社会效益。扩大民间基层交流的影响力，开展广泛的基层合作、产业合作，共同促进乡村高质量发展。不仅对三亚市的海洋经济发展和海洋环境保护具有重要意义，而且对建设海南海洋生态强省也具有积极作用，有效提升三亚市</w:t>
      </w:r>
      <w:r>
        <w:rPr>
          <w:rFonts w:ascii="Times New Roman" w:eastAsia="宋体" w:hAnsi="Times New Roman" w:cs="Times New Roman" w:hint="eastAsia"/>
          <w:snapToGrid/>
          <w:color w:val="auto"/>
          <w:kern w:val="2"/>
          <w:sz w:val="24"/>
          <w:szCs w:val="24"/>
          <w:lang w:eastAsia="zh-CN"/>
        </w:rPr>
        <w:t>的整体形象，对全国海湾环境整治及生态修复与保护具有示范作用，使铁炉港保护区成为三亚乃至海南的生态名片和国家红树林资源库。</w:t>
      </w:r>
    </w:p>
    <w:p w14:paraId="03052D68" w14:textId="77777777" w:rsidR="0075791A" w:rsidRDefault="0075791A">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sectPr w:rsidR="0075791A">
          <w:footerReference w:type="default" r:id="rId253"/>
          <w:pgSz w:w="11906" w:h="16839"/>
          <w:pgMar w:top="1440" w:right="1337" w:bottom="1440" w:left="1413" w:header="746" w:footer="972" w:gutter="0"/>
          <w:cols w:space="720"/>
        </w:sectPr>
      </w:pPr>
    </w:p>
    <w:p w14:paraId="78AB91D8" w14:textId="77777777" w:rsidR="0075791A" w:rsidRDefault="00FB2864">
      <w:pPr>
        <w:spacing w:line="360" w:lineRule="auto"/>
        <w:outlineLvl w:val="0"/>
        <w:rPr>
          <w:rFonts w:ascii="Times New Roman" w:eastAsia="宋体" w:hAnsi="Times New Roman" w:cs="Times New Roman"/>
          <w:b/>
          <w:bCs/>
          <w:color w:val="auto"/>
          <w:spacing w:val="-5"/>
          <w:sz w:val="32"/>
          <w:szCs w:val="32"/>
          <w:lang w:eastAsia="zh-CN"/>
        </w:rPr>
      </w:pPr>
      <w:bookmarkStart w:id="261" w:name="bookmark38"/>
      <w:bookmarkStart w:id="262" w:name="_Toc26982"/>
      <w:bookmarkStart w:id="263" w:name="_Toc1730"/>
      <w:bookmarkStart w:id="264" w:name="_Toc25530"/>
      <w:bookmarkEnd w:id="261"/>
      <w:r>
        <w:rPr>
          <w:rFonts w:ascii="Times New Roman" w:eastAsia="宋体" w:hAnsi="Times New Roman" w:cs="Times New Roman" w:hint="eastAsia"/>
          <w:b/>
          <w:bCs/>
          <w:color w:val="auto"/>
          <w:spacing w:val="-5"/>
          <w:sz w:val="32"/>
          <w:szCs w:val="32"/>
          <w:lang w:eastAsia="zh-CN"/>
        </w:rPr>
        <w:lastRenderedPageBreak/>
        <w:t>5</w:t>
      </w:r>
      <w:r>
        <w:rPr>
          <w:rFonts w:ascii="Times New Roman" w:eastAsia="宋体" w:hAnsi="Times New Roman" w:cs="Times New Roman" w:hint="eastAsia"/>
          <w:b/>
          <w:bCs/>
          <w:color w:val="auto"/>
          <w:spacing w:val="-5"/>
          <w:sz w:val="32"/>
          <w:szCs w:val="32"/>
          <w:lang w:eastAsia="zh-CN"/>
        </w:rPr>
        <w:t>海域开发利用协调分析</w:t>
      </w:r>
      <w:bookmarkEnd w:id="262"/>
      <w:bookmarkEnd w:id="263"/>
      <w:bookmarkEnd w:id="264"/>
    </w:p>
    <w:p w14:paraId="69070BF9"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265" w:name="bookmark40"/>
      <w:bookmarkStart w:id="266" w:name="_Toc13960"/>
      <w:bookmarkStart w:id="267" w:name="_Toc30459"/>
      <w:bookmarkStart w:id="268" w:name="_Toc8968"/>
      <w:bookmarkEnd w:id="265"/>
      <w:r>
        <w:rPr>
          <w:rFonts w:ascii="Times New Roman" w:eastAsia="宋体" w:hAnsi="Times New Roman" w:cs="Times New Roman" w:hint="eastAsia"/>
          <w:b/>
          <w:bCs/>
          <w:color w:val="auto"/>
          <w:spacing w:val="-6"/>
          <w:sz w:val="30"/>
          <w:szCs w:val="30"/>
          <w:lang w:eastAsia="zh-CN"/>
        </w:rPr>
        <w:t>5</w:t>
      </w:r>
      <w:r>
        <w:rPr>
          <w:rFonts w:ascii="Times New Roman" w:eastAsia="Times New Roman" w:hAnsi="Times New Roman" w:cs="Times New Roman"/>
          <w:b/>
          <w:bCs/>
          <w:color w:val="auto"/>
          <w:spacing w:val="-6"/>
          <w:sz w:val="30"/>
          <w:szCs w:val="30"/>
          <w:lang w:eastAsia="zh-CN"/>
        </w:rPr>
        <w:t>.1海域开发利用现状</w:t>
      </w:r>
      <w:bookmarkEnd w:id="266"/>
      <w:bookmarkEnd w:id="267"/>
      <w:bookmarkEnd w:id="268"/>
    </w:p>
    <w:p w14:paraId="4E632DA4"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269" w:name="_Toc16127"/>
      <w:r>
        <w:rPr>
          <w:rFonts w:ascii="Times New Roman" w:eastAsia="Times New Roman" w:hAnsi="Times New Roman" w:cs="Times New Roman" w:hint="eastAsia"/>
          <w:b/>
          <w:bCs/>
          <w:color w:val="auto"/>
          <w:spacing w:val="-3"/>
          <w:sz w:val="28"/>
          <w:szCs w:val="28"/>
          <w:lang w:eastAsia="zh-CN"/>
        </w:rPr>
        <w:t>5.1.1社会经济概况</w:t>
      </w:r>
      <w:bookmarkEnd w:id="269"/>
    </w:p>
    <w:p w14:paraId="4DDAD2C8"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color w:val="auto"/>
          <w:spacing w:val="-2"/>
          <w:lang w:eastAsia="zh-CN"/>
        </w:rPr>
        <w:t>依据《</w:t>
      </w:r>
      <w:r>
        <w:rPr>
          <w:rFonts w:ascii="Times New Roman" w:hAnsi="Times New Roman"/>
          <w:color w:val="auto"/>
          <w:spacing w:val="-2"/>
          <w:lang w:eastAsia="zh-CN"/>
        </w:rPr>
        <w:t>2023</w:t>
      </w:r>
      <w:r>
        <w:rPr>
          <w:rFonts w:ascii="Times New Roman" w:hAnsi="Times New Roman"/>
          <w:color w:val="auto"/>
          <w:spacing w:val="-2"/>
          <w:lang w:eastAsia="zh-CN"/>
        </w:rPr>
        <w:t>年三亚市国民经济和社会发展统计公报》统计结果，</w:t>
      </w:r>
      <w:r>
        <w:rPr>
          <w:rFonts w:ascii="Times New Roman" w:hAnsi="Times New Roman"/>
          <w:color w:val="auto"/>
          <w:spacing w:val="-2"/>
          <w:lang w:eastAsia="zh-CN"/>
        </w:rPr>
        <w:t>2023</w:t>
      </w:r>
      <w:r>
        <w:rPr>
          <w:rFonts w:ascii="Times New Roman" w:hAnsi="Times New Roman"/>
          <w:color w:val="auto"/>
          <w:spacing w:val="-2"/>
          <w:lang w:eastAsia="zh-CN"/>
        </w:rPr>
        <w:t>年全市地区生产总值（</w:t>
      </w:r>
      <w:r>
        <w:rPr>
          <w:rFonts w:ascii="Times New Roman" w:hAnsi="Times New Roman"/>
          <w:color w:val="auto"/>
          <w:spacing w:val="-2"/>
          <w:lang w:eastAsia="zh-CN"/>
        </w:rPr>
        <w:t>GDP</w:t>
      </w:r>
      <w:r>
        <w:rPr>
          <w:rFonts w:ascii="Times New Roman" w:hAnsi="Times New Roman"/>
          <w:color w:val="auto"/>
          <w:spacing w:val="-2"/>
          <w:lang w:eastAsia="zh-CN"/>
        </w:rPr>
        <w:t>）</w:t>
      </w:r>
      <w:r>
        <w:rPr>
          <w:rFonts w:ascii="Times New Roman" w:hAnsi="Times New Roman"/>
          <w:color w:val="auto"/>
          <w:spacing w:val="-2"/>
          <w:lang w:eastAsia="zh-CN"/>
        </w:rPr>
        <w:t>971.34</w:t>
      </w:r>
      <w:r>
        <w:rPr>
          <w:rFonts w:ascii="Times New Roman" w:hAnsi="Times New Roman"/>
          <w:color w:val="auto"/>
          <w:spacing w:val="-2"/>
          <w:lang w:eastAsia="zh-CN"/>
        </w:rPr>
        <w:t>亿元，按不变价计算，同比增长</w:t>
      </w:r>
      <w:r>
        <w:rPr>
          <w:rFonts w:ascii="Times New Roman" w:hAnsi="Times New Roman"/>
          <w:color w:val="auto"/>
          <w:spacing w:val="-2"/>
          <w:lang w:eastAsia="zh-CN"/>
        </w:rPr>
        <w:t>12.0%</w:t>
      </w:r>
      <w:r>
        <w:rPr>
          <w:rFonts w:ascii="Times New Roman" w:hAnsi="Times New Roman"/>
          <w:color w:val="auto"/>
          <w:spacing w:val="-2"/>
          <w:lang w:eastAsia="zh-CN"/>
        </w:rPr>
        <w:t>，占全省地区生产总值的比重为</w:t>
      </w:r>
      <w:r>
        <w:rPr>
          <w:rFonts w:ascii="Times New Roman" w:hAnsi="Times New Roman"/>
          <w:color w:val="auto"/>
          <w:spacing w:val="-2"/>
          <w:lang w:eastAsia="zh-CN"/>
        </w:rPr>
        <w:t>12.9%</w:t>
      </w:r>
      <w:r>
        <w:rPr>
          <w:rFonts w:ascii="Times New Roman" w:hAnsi="Times New Roman"/>
          <w:color w:val="auto"/>
          <w:spacing w:val="-2"/>
          <w:lang w:eastAsia="zh-CN"/>
        </w:rPr>
        <w:t>。其中，第一产业增加值</w:t>
      </w:r>
      <w:r>
        <w:rPr>
          <w:rFonts w:ascii="Times New Roman" w:hAnsi="Times New Roman"/>
          <w:color w:val="auto"/>
          <w:spacing w:val="-2"/>
          <w:lang w:eastAsia="zh-CN"/>
        </w:rPr>
        <w:t>110.89</w:t>
      </w:r>
      <w:r>
        <w:rPr>
          <w:rFonts w:ascii="Times New Roman" w:hAnsi="Times New Roman"/>
          <w:color w:val="auto"/>
          <w:spacing w:val="-2"/>
          <w:lang w:eastAsia="zh-CN"/>
        </w:rPr>
        <w:t>亿元，同比增长</w:t>
      </w:r>
      <w:r>
        <w:rPr>
          <w:rFonts w:ascii="Times New Roman" w:hAnsi="Times New Roman"/>
          <w:color w:val="auto"/>
          <w:spacing w:val="-2"/>
          <w:lang w:eastAsia="zh-CN"/>
        </w:rPr>
        <w:t>3.5%</w:t>
      </w:r>
      <w:r>
        <w:rPr>
          <w:rFonts w:ascii="Times New Roman" w:hAnsi="Times New Roman"/>
          <w:color w:val="auto"/>
          <w:spacing w:val="-2"/>
          <w:lang w:eastAsia="zh-CN"/>
        </w:rPr>
        <w:t>；第二产业增加值</w:t>
      </w:r>
      <w:r>
        <w:rPr>
          <w:rFonts w:ascii="Times New Roman" w:hAnsi="Times New Roman"/>
          <w:color w:val="auto"/>
          <w:spacing w:val="-2"/>
          <w:lang w:eastAsia="zh-CN"/>
        </w:rPr>
        <w:t>132.64</w:t>
      </w:r>
      <w:r>
        <w:rPr>
          <w:rFonts w:ascii="Times New Roman" w:hAnsi="Times New Roman"/>
          <w:color w:val="auto"/>
          <w:spacing w:val="-2"/>
          <w:lang w:eastAsia="zh-CN"/>
        </w:rPr>
        <w:t>亿元，同比增长</w:t>
      </w:r>
      <w:r>
        <w:rPr>
          <w:rFonts w:ascii="Times New Roman" w:hAnsi="Times New Roman"/>
          <w:color w:val="auto"/>
          <w:spacing w:val="-2"/>
          <w:lang w:eastAsia="zh-CN"/>
        </w:rPr>
        <w:t>13.0%</w:t>
      </w:r>
      <w:r>
        <w:rPr>
          <w:rFonts w:ascii="Times New Roman" w:hAnsi="Times New Roman"/>
          <w:color w:val="auto"/>
          <w:spacing w:val="-2"/>
          <w:lang w:eastAsia="zh-CN"/>
        </w:rPr>
        <w:t>；第三产业增加值</w:t>
      </w:r>
      <w:r>
        <w:rPr>
          <w:rFonts w:ascii="Times New Roman" w:hAnsi="Times New Roman"/>
          <w:color w:val="auto"/>
          <w:spacing w:val="-2"/>
          <w:lang w:eastAsia="zh-CN"/>
        </w:rPr>
        <w:t>727.81</w:t>
      </w:r>
      <w:r>
        <w:rPr>
          <w:rFonts w:ascii="Times New Roman" w:hAnsi="Times New Roman"/>
          <w:color w:val="auto"/>
          <w:spacing w:val="-2"/>
          <w:lang w:eastAsia="zh-CN"/>
        </w:rPr>
        <w:t>亿元，同比增长</w:t>
      </w:r>
      <w:r>
        <w:rPr>
          <w:rFonts w:ascii="Times New Roman" w:hAnsi="Times New Roman"/>
          <w:color w:val="auto"/>
          <w:spacing w:val="-2"/>
          <w:lang w:eastAsia="zh-CN"/>
        </w:rPr>
        <w:t>13.0%</w:t>
      </w:r>
      <w:r>
        <w:rPr>
          <w:rFonts w:ascii="Times New Roman" w:hAnsi="Times New Roman"/>
          <w:color w:val="auto"/>
          <w:spacing w:val="-2"/>
          <w:lang w:eastAsia="zh-CN"/>
        </w:rPr>
        <w:t>。三次产业结构为</w:t>
      </w:r>
      <w:r>
        <w:rPr>
          <w:rFonts w:ascii="Times New Roman" w:hAnsi="Times New Roman"/>
          <w:color w:val="auto"/>
          <w:spacing w:val="-2"/>
          <w:lang w:eastAsia="zh-CN"/>
        </w:rPr>
        <w:t>11.4:13.7:74.9</w:t>
      </w:r>
      <w:r>
        <w:rPr>
          <w:rFonts w:ascii="Times New Roman" w:hAnsi="Times New Roman"/>
          <w:color w:val="auto"/>
          <w:spacing w:val="-2"/>
          <w:lang w:eastAsia="zh-CN"/>
        </w:rPr>
        <w:t>。</w:t>
      </w:r>
    </w:p>
    <w:p w14:paraId="5ED51334"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color w:val="auto"/>
          <w:spacing w:val="-2"/>
          <w:lang w:eastAsia="zh-CN"/>
        </w:rPr>
        <w:t>全市实现地方一般公共预算收入</w:t>
      </w:r>
      <w:r>
        <w:rPr>
          <w:rFonts w:ascii="Times New Roman" w:hAnsi="Times New Roman"/>
          <w:color w:val="auto"/>
          <w:spacing w:val="-2"/>
          <w:lang w:eastAsia="zh-CN"/>
        </w:rPr>
        <w:t>147.42</w:t>
      </w:r>
      <w:r>
        <w:rPr>
          <w:rFonts w:ascii="Times New Roman" w:hAnsi="Times New Roman"/>
          <w:color w:val="auto"/>
          <w:spacing w:val="-2"/>
          <w:lang w:eastAsia="zh-CN"/>
        </w:rPr>
        <w:t>亿元，同比增长（按新口径计算，下同）</w:t>
      </w:r>
      <w:r>
        <w:rPr>
          <w:rFonts w:ascii="Times New Roman" w:hAnsi="Times New Roman"/>
          <w:color w:val="auto"/>
          <w:spacing w:val="-2"/>
          <w:lang w:eastAsia="zh-CN"/>
        </w:rPr>
        <w:t>23.4%</w:t>
      </w:r>
      <w:r>
        <w:rPr>
          <w:rFonts w:ascii="Times New Roman" w:hAnsi="Times New Roman"/>
          <w:color w:val="auto"/>
          <w:spacing w:val="-2"/>
          <w:lang w:eastAsia="zh-CN"/>
        </w:rPr>
        <w:t>。其中，税收收入</w:t>
      </w:r>
      <w:r>
        <w:rPr>
          <w:rFonts w:ascii="Times New Roman" w:hAnsi="Times New Roman"/>
          <w:color w:val="auto"/>
          <w:spacing w:val="-2"/>
          <w:lang w:eastAsia="zh-CN"/>
        </w:rPr>
        <w:t>105.96</w:t>
      </w:r>
      <w:r>
        <w:rPr>
          <w:rFonts w:ascii="Times New Roman" w:hAnsi="Times New Roman"/>
          <w:color w:val="auto"/>
          <w:spacing w:val="-2"/>
          <w:lang w:eastAsia="zh-CN"/>
        </w:rPr>
        <w:t>亿元，同比增长</w:t>
      </w:r>
      <w:r>
        <w:rPr>
          <w:rFonts w:ascii="Times New Roman" w:hAnsi="Times New Roman"/>
          <w:color w:val="auto"/>
          <w:spacing w:val="-2"/>
          <w:lang w:eastAsia="zh-CN"/>
        </w:rPr>
        <w:t>30.6%</w:t>
      </w:r>
      <w:r>
        <w:rPr>
          <w:rFonts w:ascii="Times New Roman" w:hAnsi="Times New Roman"/>
          <w:color w:val="auto"/>
          <w:spacing w:val="-2"/>
          <w:lang w:eastAsia="zh-CN"/>
        </w:rPr>
        <w:t>；非税收收入</w:t>
      </w:r>
      <w:r>
        <w:rPr>
          <w:rFonts w:ascii="Times New Roman" w:hAnsi="Times New Roman"/>
          <w:color w:val="auto"/>
          <w:spacing w:val="-2"/>
          <w:lang w:eastAsia="zh-CN"/>
        </w:rPr>
        <w:t>41.45</w:t>
      </w:r>
      <w:r>
        <w:rPr>
          <w:rFonts w:ascii="Times New Roman" w:hAnsi="Times New Roman"/>
          <w:color w:val="auto"/>
          <w:spacing w:val="-2"/>
          <w:lang w:eastAsia="zh-CN"/>
        </w:rPr>
        <w:t>亿元，同比增长</w:t>
      </w:r>
      <w:r>
        <w:rPr>
          <w:rFonts w:ascii="Times New Roman" w:hAnsi="Times New Roman"/>
          <w:color w:val="auto"/>
          <w:spacing w:val="-2"/>
          <w:lang w:eastAsia="zh-CN"/>
        </w:rPr>
        <w:t>8.3%</w:t>
      </w:r>
      <w:r>
        <w:rPr>
          <w:rFonts w:ascii="Times New Roman" w:hAnsi="Times New Roman"/>
          <w:color w:val="auto"/>
          <w:spacing w:val="-2"/>
          <w:lang w:eastAsia="zh-CN"/>
        </w:rPr>
        <w:t>。税收收入中，增值税</w:t>
      </w:r>
      <w:r>
        <w:rPr>
          <w:rFonts w:ascii="Times New Roman" w:hAnsi="Times New Roman"/>
          <w:color w:val="auto"/>
          <w:spacing w:val="-2"/>
          <w:lang w:eastAsia="zh-CN"/>
        </w:rPr>
        <w:t>21.55</w:t>
      </w:r>
      <w:r>
        <w:rPr>
          <w:rFonts w:ascii="Times New Roman" w:hAnsi="Times New Roman"/>
          <w:color w:val="auto"/>
          <w:spacing w:val="-2"/>
          <w:lang w:eastAsia="zh-CN"/>
        </w:rPr>
        <w:t>亿元，同比增长</w:t>
      </w:r>
      <w:r>
        <w:rPr>
          <w:rFonts w:ascii="Times New Roman" w:hAnsi="Times New Roman"/>
          <w:color w:val="auto"/>
          <w:spacing w:val="-2"/>
          <w:lang w:eastAsia="zh-CN"/>
        </w:rPr>
        <w:t>151.2%</w:t>
      </w:r>
      <w:r>
        <w:rPr>
          <w:rFonts w:ascii="Times New Roman" w:hAnsi="Times New Roman"/>
          <w:color w:val="auto"/>
          <w:spacing w:val="-2"/>
          <w:lang w:eastAsia="zh-CN"/>
        </w:rPr>
        <w:t>；企业所得税</w:t>
      </w:r>
      <w:r>
        <w:rPr>
          <w:rFonts w:ascii="Times New Roman" w:hAnsi="Times New Roman"/>
          <w:color w:val="auto"/>
          <w:spacing w:val="-2"/>
          <w:lang w:eastAsia="zh-CN"/>
        </w:rPr>
        <w:t>12.64</w:t>
      </w:r>
      <w:r>
        <w:rPr>
          <w:rFonts w:ascii="Times New Roman" w:hAnsi="Times New Roman"/>
          <w:color w:val="auto"/>
          <w:spacing w:val="-2"/>
          <w:lang w:eastAsia="zh-CN"/>
        </w:rPr>
        <w:t>亿元，同比下降</w:t>
      </w:r>
      <w:r>
        <w:rPr>
          <w:rFonts w:ascii="Times New Roman" w:hAnsi="Times New Roman"/>
          <w:color w:val="auto"/>
          <w:spacing w:val="-2"/>
          <w:lang w:eastAsia="zh-CN"/>
        </w:rPr>
        <w:t>7.9%</w:t>
      </w:r>
      <w:r>
        <w:rPr>
          <w:rFonts w:ascii="Times New Roman" w:hAnsi="Times New Roman"/>
          <w:color w:val="auto"/>
          <w:spacing w:val="-2"/>
          <w:lang w:eastAsia="zh-CN"/>
        </w:rPr>
        <w:t>；土地增值税</w:t>
      </w:r>
      <w:r>
        <w:rPr>
          <w:rFonts w:ascii="Times New Roman" w:hAnsi="Times New Roman"/>
          <w:color w:val="auto"/>
          <w:spacing w:val="-2"/>
          <w:lang w:eastAsia="zh-CN"/>
        </w:rPr>
        <w:t>29.80</w:t>
      </w:r>
      <w:r>
        <w:rPr>
          <w:rFonts w:ascii="Times New Roman" w:hAnsi="Times New Roman"/>
          <w:color w:val="auto"/>
          <w:spacing w:val="-2"/>
          <w:lang w:eastAsia="zh-CN"/>
        </w:rPr>
        <w:t>亿元，同比增长</w:t>
      </w:r>
      <w:r>
        <w:rPr>
          <w:rFonts w:ascii="Times New Roman" w:hAnsi="Times New Roman"/>
          <w:color w:val="auto"/>
          <w:spacing w:val="-2"/>
          <w:lang w:eastAsia="zh-CN"/>
        </w:rPr>
        <w:t>20.4%</w:t>
      </w:r>
      <w:r>
        <w:rPr>
          <w:rFonts w:ascii="Times New Roman" w:hAnsi="Times New Roman"/>
          <w:color w:val="auto"/>
          <w:spacing w:val="-2"/>
          <w:lang w:eastAsia="zh-CN"/>
        </w:rPr>
        <w:t>；契税</w:t>
      </w:r>
      <w:r>
        <w:rPr>
          <w:rFonts w:ascii="Times New Roman" w:hAnsi="Times New Roman"/>
          <w:color w:val="auto"/>
          <w:spacing w:val="-2"/>
          <w:lang w:eastAsia="zh-CN"/>
        </w:rPr>
        <w:t>19.49</w:t>
      </w:r>
      <w:r>
        <w:rPr>
          <w:rFonts w:ascii="Times New Roman" w:hAnsi="Times New Roman"/>
          <w:color w:val="auto"/>
          <w:spacing w:val="-2"/>
          <w:lang w:eastAsia="zh-CN"/>
        </w:rPr>
        <w:t>亿元，同比增长</w:t>
      </w:r>
      <w:r>
        <w:rPr>
          <w:rFonts w:ascii="Times New Roman" w:hAnsi="Times New Roman"/>
          <w:color w:val="auto"/>
          <w:spacing w:val="-2"/>
          <w:lang w:eastAsia="zh-CN"/>
        </w:rPr>
        <w:t>103.0%</w:t>
      </w:r>
      <w:r>
        <w:rPr>
          <w:rFonts w:ascii="Times New Roman" w:hAnsi="Times New Roman"/>
          <w:color w:val="auto"/>
          <w:spacing w:val="-2"/>
          <w:lang w:eastAsia="zh-CN"/>
        </w:rPr>
        <w:t>；房产税</w:t>
      </w:r>
      <w:r>
        <w:rPr>
          <w:rFonts w:ascii="Times New Roman" w:hAnsi="Times New Roman"/>
          <w:color w:val="auto"/>
          <w:spacing w:val="-2"/>
          <w:lang w:eastAsia="zh-CN"/>
        </w:rPr>
        <w:t>5.57</w:t>
      </w:r>
      <w:r>
        <w:rPr>
          <w:rFonts w:ascii="Times New Roman" w:hAnsi="Times New Roman"/>
          <w:color w:val="auto"/>
          <w:spacing w:val="-2"/>
          <w:lang w:eastAsia="zh-CN"/>
        </w:rPr>
        <w:t>亿元，同比下降</w:t>
      </w:r>
      <w:r>
        <w:rPr>
          <w:rFonts w:ascii="Times New Roman" w:hAnsi="Times New Roman"/>
          <w:color w:val="auto"/>
          <w:spacing w:val="-2"/>
          <w:lang w:eastAsia="zh-CN"/>
        </w:rPr>
        <w:t>15.2%</w:t>
      </w:r>
      <w:r>
        <w:rPr>
          <w:rFonts w:ascii="Times New Roman" w:hAnsi="Times New Roman"/>
          <w:color w:val="auto"/>
          <w:spacing w:val="-2"/>
          <w:lang w:eastAsia="zh-CN"/>
        </w:rPr>
        <w:t>；城镇土地使用税</w:t>
      </w:r>
      <w:r>
        <w:rPr>
          <w:rFonts w:ascii="Times New Roman" w:hAnsi="Times New Roman"/>
          <w:color w:val="auto"/>
          <w:spacing w:val="-2"/>
          <w:lang w:eastAsia="zh-CN"/>
        </w:rPr>
        <w:t>3.04</w:t>
      </w:r>
      <w:r>
        <w:rPr>
          <w:rFonts w:ascii="Times New Roman" w:hAnsi="Times New Roman"/>
          <w:color w:val="auto"/>
          <w:spacing w:val="-2"/>
          <w:lang w:eastAsia="zh-CN"/>
        </w:rPr>
        <w:t>亿元，同比下降</w:t>
      </w:r>
      <w:r>
        <w:rPr>
          <w:rFonts w:ascii="Times New Roman" w:hAnsi="Times New Roman"/>
          <w:color w:val="auto"/>
          <w:spacing w:val="-2"/>
          <w:lang w:eastAsia="zh-CN"/>
        </w:rPr>
        <w:t>19.8%</w:t>
      </w:r>
      <w:r>
        <w:rPr>
          <w:rFonts w:ascii="Times New Roman" w:hAnsi="Times New Roman"/>
          <w:color w:val="auto"/>
          <w:spacing w:val="-2"/>
          <w:lang w:eastAsia="zh-CN"/>
        </w:rPr>
        <w:t>；城市维护建设税</w:t>
      </w:r>
      <w:r>
        <w:rPr>
          <w:rFonts w:ascii="Times New Roman" w:hAnsi="Times New Roman"/>
          <w:color w:val="auto"/>
          <w:spacing w:val="-2"/>
          <w:lang w:eastAsia="zh-CN"/>
        </w:rPr>
        <w:t>4.16</w:t>
      </w:r>
      <w:r>
        <w:rPr>
          <w:rFonts w:ascii="Times New Roman" w:hAnsi="Times New Roman"/>
          <w:color w:val="auto"/>
          <w:spacing w:val="-2"/>
          <w:lang w:eastAsia="zh-CN"/>
        </w:rPr>
        <w:t>亿元，同比增长</w:t>
      </w:r>
      <w:r>
        <w:rPr>
          <w:rFonts w:ascii="Times New Roman" w:hAnsi="Times New Roman"/>
          <w:color w:val="auto"/>
          <w:spacing w:val="-2"/>
          <w:lang w:eastAsia="zh-CN"/>
        </w:rPr>
        <w:t>12.5%</w:t>
      </w:r>
      <w:r>
        <w:rPr>
          <w:rFonts w:ascii="Times New Roman" w:hAnsi="Times New Roman"/>
          <w:color w:val="auto"/>
          <w:spacing w:val="-2"/>
          <w:lang w:eastAsia="zh-CN"/>
        </w:rPr>
        <w:t>；个人</w:t>
      </w:r>
      <w:r>
        <w:rPr>
          <w:rFonts w:ascii="Times New Roman" w:hAnsi="Times New Roman"/>
          <w:color w:val="auto"/>
          <w:spacing w:val="-2"/>
          <w:lang w:eastAsia="zh-CN"/>
        </w:rPr>
        <w:t>所得税</w:t>
      </w:r>
      <w:r>
        <w:rPr>
          <w:rFonts w:ascii="Times New Roman" w:hAnsi="Times New Roman"/>
          <w:color w:val="auto"/>
          <w:spacing w:val="-2"/>
          <w:lang w:eastAsia="zh-CN"/>
        </w:rPr>
        <w:t>5.69</w:t>
      </w:r>
      <w:r>
        <w:rPr>
          <w:rFonts w:ascii="Times New Roman" w:hAnsi="Times New Roman"/>
          <w:color w:val="auto"/>
          <w:spacing w:val="-2"/>
          <w:lang w:eastAsia="zh-CN"/>
        </w:rPr>
        <w:t>亿元，同比下降</w:t>
      </w:r>
      <w:r>
        <w:rPr>
          <w:rFonts w:ascii="Times New Roman" w:hAnsi="Times New Roman"/>
          <w:color w:val="auto"/>
          <w:spacing w:val="-2"/>
          <w:lang w:eastAsia="zh-CN"/>
        </w:rPr>
        <w:t>17.7%</w:t>
      </w:r>
      <w:r>
        <w:rPr>
          <w:rFonts w:ascii="Times New Roman" w:hAnsi="Times New Roman"/>
          <w:color w:val="auto"/>
          <w:spacing w:val="-2"/>
          <w:lang w:eastAsia="zh-CN"/>
        </w:rPr>
        <w:t>。全市地方一般公共预算支出</w:t>
      </w:r>
      <w:r>
        <w:rPr>
          <w:rFonts w:ascii="Times New Roman" w:hAnsi="Times New Roman"/>
          <w:color w:val="auto"/>
          <w:spacing w:val="-2"/>
          <w:lang w:eastAsia="zh-CN"/>
        </w:rPr>
        <w:t>232.50</w:t>
      </w:r>
      <w:r>
        <w:rPr>
          <w:rFonts w:ascii="Times New Roman" w:hAnsi="Times New Roman"/>
          <w:color w:val="auto"/>
          <w:spacing w:val="-2"/>
          <w:lang w:eastAsia="zh-CN"/>
        </w:rPr>
        <w:t>亿元，同比增长</w:t>
      </w:r>
      <w:r>
        <w:rPr>
          <w:rFonts w:ascii="Times New Roman" w:hAnsi="Times New Roman"/>
          <w:color w:val="auto"/>
          <w:spacing w:val="-2"/>
          <w:lang w:eastAsia="zh-CN"/>
        </w:rPr>
        <w:t>1.5%</w:t>
      </w:r>
      <w:r>
        <w:rPr>
          <w:rFonts w:ascii="Times New Roman" w:hAnsi="Times New Roman"/>
          <w:color w:val="auto"/>
          <w:spacing w:val="-2"/>
          <w:lang w:eastAsia="zh-CN"/>
        </w:rPr>
        <w:t>。其中，卫生健康支出</w:t>
      </w:r>
      <w:r>
        <w:rPr>
          <w:rFonts w:ascii="Times New Roman" w:hAnsi="Times New Roman"/>
          <w:color w:val="auto"/>
          <w:spacing w:val="-2"/>
          <w:lang w:eastAsia="zh-CN"/>
        </w:rPr>
        <w:t>25.92</w:t>
      </w:r>
      <w:r>
        <w:rPr>
          <w:rFonts w:ascii="Times New Roman" w:hAnsi="Times New Roman"/>
          <w:color w:val="auto"/>
          <w:spacing w:val="-2"/>
          <w:lang w:eastAsia="zh-CN"/>
        </w:rPr>
        <w:t>亿元，同比下降</w:t>
      </w:r>
      <w:r>
        <w:rPr>
          <w:rFonts w:ascii="Times New Roman" w:hAnsi="Times New Roman"/>
          <w:color w:val="auto"/>
          <w:spacing w:val="-2"/>
          <w:lang w:eastAsia="zh-CN"/>
        </w:rPr>
        <w:t>24.5%</w:t>
      </w:r>
      <w:r>
        <w:rPr>
          <w:rFonts w:ascii="Times New Roman" w:hAnsi="Times New Roman"/>
          <w:color w:val="auto"/>
          <w:spacing w:val="-2"/>
          <w:lang w:eastAsia="zh-CN"/>
        </w:rPr>
        <w:t>；教育支出</w:t>
      </w:r>
      <w:r>
        <w:rPr>
          <w:rFonts w:ascii="Times New Roman" w:hAnsi="Times New Roman"/>
          <w:color w:val="auto"/>
          <w:spacing w:val="-2"/>
          <w:lang w:eastAsia="zh-CN"/>
        </w:rPr>
        <w:t>26.74</w:t>
      </w:r>
      <w:r>
        <w:rPr>
          <w:rFonts w:ascii="Times New Roman" w:hAnsi="Times New Roman"/>
          <w:color w:val="auto"/>
          <w:spacing w:val="-2"/>
          <w:lang w:eastAsia="zh-CN"/>
        </w:rPr>
        <w:t>亿元，同比增长</w:t>
      </w:r>
      <w:r>
        <w:rPr>
          <w:rFonts w:ascii="Times New Roman" w:hAnsi="Times New Roman"/>
          <w:color w:val="auto"/>
          <w:spacing w:val="-2"/>
          <w:lang w:eastAsia="zh-CN"/>
        </w:rPr>
        <w:t>8.4%</w:t>
      </w:r>
      <w:r>
        <w:rPr>
          <w:rFonts w:ascii="Times New Roman" w:hAnsi="Times New Roman"/>
          <w:color w:val="auto"/>
          <w:spacing w:val="-2"/>
          <w:lang w:eastAsia="zh-CN"/>
        </w:rPr>
        <w:t>；节能环保支出</w:t>
      </w:r>
      <w:r>
        <w:rPr>
          <w:rFonts w:ascii="Times New Roman" w:hAnsi="Times New Roman"/>
          <w:color w:val="auto"/>
          <w:spacing w:val="-2"/>
          <w:lang w:eastAsia="zh-CN"/>
        </w:rPr>
        <w:t>2.34</w:t>
      </w:r>
      <w:r>
        <w:rPr>
          <w:rFonts w:ascii="Times New Roman" w:hAnsi="Times New Roman"/>
          <w:color w:val="auto"/>
          <w:spacing w:val="-2"/>
          <w:lang w:eastAsia="zh-CN"/>
        </w:rPr>
        <w:t>亿元，同比下降</w:t>
      </w:r>
      <w:r>
        <w:rPr>
          <w:rFonts w:ascii="Times New Roman" w:hAnsi="Times New Roman"/>
          <w:color w:val="auto"/>
          <w:spacing w:val="-2"/>
          <w:lang w:eastAsia="zh-CN"/>
        </w:rPr>
        <w:t>68.6%</w:t>
      </w:r>
      <w:r>
        <w:rPr>
          <w:rFonts w:ascii="Times New Roman" w:hAnsi="Times New Roman"/>
          <w:color w:val="auto"/>
          <w:spacing w:val="-2"/>
          <w:lang w:eastAsia="zh-CN"/>
        </w:rPr>
        <w:t>；社会保障和就业支出</w:t>
      </w:r>
      <w:r>
        <w:rPr>
          <w:rFonts w:ascii="Times New Roman" w:hAnsi="Times New Roman"/>
          <w:color w:val="auto"/>
          <w:spacing w:val="-2"/>
          <w:lang w:eastAsia="zh-CN"/>
        </w:rPr>
        <w:t>21.83</w:t>
      </w:r>
      <w:r>
        <w:rPr>
          <w:rFonts w:ascii="Times New Roman" w:hAnsi="Times New Roman"/>
          <w:color w:val="auto"/>
          <w:spacing w:val="-2"/>
          <w:lang w:eastAsia="zh-CN"/>
        </w:rPr>
        <w:t>亿元，同比增长</w:t>
      </w:r>
      <w:r>
        <w:rPr>
          <w:rFonts w:ascii="Times New Roman" w:hAnsi="Times New Roman"/>
          <w:color w:val="auto"/>
          <w:spacing w:val="-2"/>
          <w:lang w:eastAsia="zh-CN"/>
        </w:rPr>
        <w:t>48.3%</w:t>
      </w:r>
      <w:r>
        <w:rPr>
          <w:rFonts w:ascii="Times New Roman" w:hAnsi="Times New Roman"/>
          <w:color w:val="auto"/>
          <w:spacing w:val="-2"/>
          <w:lang w:eastAsia="zh-CN"/>
        </w:rPr>
        <w:t>；城乡社区支出</w:t>
      </w:r>
      <w:r>
        <w:rPr>
          <w:rFonts w:ascii="Times New Roman" w:hAnsi="Times New Roman"/>
          <w:color w:val="auto"/>
          <w:spacing w:val="-2"/>
          <w:lang w:eastAsia="zh-CN"/>
        </w:rPr>
        <w:t>21.73</w:t>
      </w:r>
      <w:r>
        <w:rPr>
          <w:rFonts w:ascii="Times New Roman" w:hAnsi="Times New Roman"/>
          <w:color w:val="auto"/>
          <w:spacing w:val="-2"/>
          <w:lang w:eastAsia="zh-CN"/>
        </w:rPr>
        <w:t>亿元，同比下降</w:t>
      </w:r>
      <w:r>
        <w:rPr>
          <w:rFonts w:ascii="Times New Roman" w:hAnsi="Times New Roman"/>
          <w:color w:val="auto"/>
          <w:spacing w:val="-2"/>
          <w:lang w:eastAsia="zh-CN"/>
        </w:rPr>
        <w:t>50.6%</w:t>
      </w:r>
      <w:r>
        <w:rPr>
          <w:rFonts w:ascii="Times New Roman" w:hAnsi="Times New Roman"/>
          <w:color w:val="auto"/>
          <w:spacing w:val="-2"/>
          <w:lang w:eastAsia="zh-CN"/>
        </w:rPr>
        <w:t>。</w:t>
      </w:r>
    </w:p>
    <w:p w14:paraId="2F4E95D9"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color w:val="auto"/>
          <w:spacing w:val="-2"/>
          <w:lang w:eastAsia="zh-CN"/>
        </w:rPr>
        <w:t>全年居民消费价格指数（</w:t>
      </w:r>
      <w:r>
        <w:rPr>
          <w:rFonts w:ascii="Times New Roman" w:hAnsi="Times New Roman"/>
          <w:color w:val="auto"/>
          <w:spacing w:val="-2"/>
          <w:lang w:eastAsia="zh-CN"/>
        </w:rPr>
        <w:t>CPI</w:t>
      </w:r>
      <w:r>
        <w:rPr>
          <w:rFonts w:ascii="Times New Roman" w:hAnsi="Times New Roman"/>
          <w:color w:val="auto"/>
          <w:spacing w:val="-2"/>
          <w:lang w:eastAsia="zh-CN"/>
        </w:rPr>
        <w:t>）同比增长</w:t>
      </w:r>
      <w:r>
        <w:rPr>
          <w:rFonts w:ascii="Times New Roman" w:hAnsi="Times New Roman"/>
          <w:color w:val="auto"/>
          <w:spacing w:val="-2"/>
          <w:lang w:eastAsia="zh-CN"/>
        </w:rPr>
        <w:t>0.5%</w:t>
      </w:r>
      <w:r>
        <w:rPr>
          <w:rFonts w:ascii="Times New Roman" w:hAnsi="Times New Roman"/>
          <w:color w:val="auto"/>
          <w:spacing w:val="-2"/>
          <w:lang w:eastAsia="zh-CN"/>
        </w:rPr>
        <w:t>。其中，食品烟酒类同比下降</w:t>
      </w:r>
      <w:r>
        <w:rPr>
          <w:rFonts w:ascii="Times New Roman" w:hAnsi="Times New Roman"/>
          <w:color w:val="auto"/>
          <w:spacing w:val="-2"/>
          <w:lang w:eastAsia="zh-CN"/>
        </w:rPr>
        <w:t>0.5%</w:t>
      </w:r>
      <w:r>
        <w:rPr>
          <w:rFonts w:ascii="Times New Roman" w:hAnsi="Times New Roman"/>
          <w:color w:val="auto"/>
          <w:spacing w:val="-2"/>
          <w:lang w:eastAsia="zh-CN"/>
        </w:rPr>
        <w:t>；衣着类同比增长</w:t>
      </w:r>
      <w:r>
        <w:rPr>
          <w:rFonts w:ascii="Times New Roman" w:hAnsi="Times New Roman"/>
          <w:color w:val="auto"/>
          <w:spacing w:val="-2"/>
          <w:lang w:eastAsia="zh-CN"/>
        </w:rPr>
        <w:t>3.0%</w:t>
      </w:r>
      <w:r>
        <w:rPr>
          <w:rFonts w:ascii="Times New Roman" w:hAnsi="Times New Roman"/>
          <w:color w:val="auto"/>
          <w:spacing w:val="-2"/>
          <w:lang w:eastAsia="zh-CN"/>
        </w:rPr>
        <w:t>；居住类同比增长</w:t>
      </w:r>
      <w:r>
        <w:rPr>
          <w:rFonts w:ascii="Times New Roman" w:hAnsi="Times New Roman"/>
          <w:color w:val="auto"/>
          <w:spacing w:val="-2"/>
          <w:lang w:eastAsia="zh-CN"/>
        </w:rPr>
        <w:t>1.9%</w:t>
      </w:r>
      <w:r>
        <w:rPr>
          <w:rFonts w:ascii="Times New Roman" w:hAnsi="Times New Roman"/>
          <w:color w:val="auto"/>
          <w:spacing w:val="-2"/>
          <w:lang w:eastAsia="zh-CN"/>
        </w:rPr>
        <w:t>；生活用品及服务类同比下降</w:t>
      </w:r>
      <w:r>
        <w:rPr>
          <w:rFonts w:ascii="Times New Roman" w:hAnsi="Times New Roman"/>
          <w:color w:val="auto"/>
          <w:spacing w:val="-2"/>
          <w:lang w:eastAsia="zh-CN"/>
        </w:rPr>
        <w:t>0.3%</w:t>
      </w:r>
      <w:r>
        <w:rPr>
          <w:rFonts w:ascii="Times New Roman" w:hAnsi="Times New Roman"/>
          <w:color w:val="auto"/>
          <w:spacing w:val="-2"/>
          <w:lang w:eastAsia="zh-CN"/>
        </w:rPr>
        <w:t>；交</w:t>
      </w:r>
      <w:r>
        <w:rPr>
          <w:rFonts w:ascii="Times New Roman" w:hAnsi="Times New Roman"/>
          <w:color w:val="auto"/>
          <w:spacing w:val="-2"/>
          <w:lang w:eastAsia="zh-CN"/>
        </w:rPr>
        <w:t>通和通信类同比下降</w:t>
      </w:r>
      <w:r>
        <w:rPr>
          <w:rFonts w:ascii="Times New Roman" w:hAnsi="Times New Roman"/>
          <w:color w:val="auto"/>
          <w:spacing w:val="-2"/>
          <w:lang w:eastAsia="zh-CN"/>
        </w:rPr>
        <w:t>1.5%</w:t>
      </w:r>
      <w:r>
        <w:rPr>
          <w:rFonts w:ascii="Times New Roman" w:hAnsi="Times New Roman"/>
          <w:color w:val="auto"/>
          <w:spacing w:val="-2"/>
          <w:lang w:eastAsia="zh-CN"/>
        </w:rPr>
        <w:t>；教育文化和娱乐类同比增长</w:t>
      </w:r>
      <w:r>
        <w:rPr>
          <w:rFonts w:ascii="Times New Roman" w:hAnsi="Times New Roman"/>
          <w:color w:val="auto"/>
          <w:spacing w:val="-2"/>
          <w:lang w:eastAsia="zh-CN"/>
        </w:rPr>
        <w:t>2.2%</w:t>
      </w:r>
      <w:r>
        <w:rPr>
          <w:rFonts w:ascii="Times New Roman" w:hAnsi="Times New Roman"/>
          <w:color w:val="auto"/>
          <w:spacing w:val="-2"/>
          <w:lang w:eastAsia="zh-CN"/>
        </w:rPr>
        <w:t>；医疗保健类同比增长</w:t>
      </w:r>
      <w:r>
        <w:rPr>
          <w:rFonts w:ascii="Times New Roman" w:hAnsi="Times New Roman"/>
          <w:color w:val="auto"/>
          <w:spacing w:val="-2"/>
          <w:lang w:eastAsia="zh-CN"/>
        </w:rPr>
        <w:t>0.1%</w:t>
      </w:r>
      <w:r>
        <w:rPr>
          <w:rFonts w:ascii="Times New Roman" w:hAnsi="Times New Roman"/>
          <w:color w:val="auto"/>
          <w:spacing w:val="-2"/>
          <w:lang w:eastAsia="zh-CN"/>
        </w:rPr>
        <w:t>；其他用品和服务类同比增长</w:t>
      </w:r>
      <w:r>
        <w:rPr>
          <w:rFonts w:ascii="Times New Roman" w:hAnsi="Times New Roman"/>
          <w:color w:val="auto"/>
          <w:spacing w:val="-2"/>
          <w:lang w:eastAsia="zh-CN"/>
        </w:rPr>
        <w:t>3.8%</w:t>
      </w:r>
      <w:r>
        <w:rPr>
          <w:rFonts w:ascii="Times New Roman" w:hAnsi="Times New Roman"/>
          <w:color w:val="auto"/>
          <w:spacing w:val="-2"/>
          <w:lang w:eastAsia="zh-CN"/>
        </w:rPr>
        <w:t>。</w:t>
      </w:r>
    </w:p>
    <w:p w14:paraId="74D76525"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270" w:name="_Toc7756"/>
      <w:r>
        <w:rPr>
          <w:rFonts w:ascii="Times New Roman" w:eastAsia="Times New Roman" w:hAnsi="Times New Roman" w:cs="Times New Roman" w:hint="eastAsia"/>
          <w:b/>
          <w:bCs/>
          <w:color w:val="auto"/>
          <w:spacing w:val="-3"/>
          <w:sz w:val="28"/>
          <w:szCs w:val="28"/>
          <w:lang w:eastAsia="zh-CN"/>
        </w:rPr>
        <w:t>5.1.2海域使用现状</w:t>
      </w:r>
      <w:bookmarkEnd w:id="270"/>
    </w:p>
    <w:p w14:paraId="065028F1"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hint="eastAsia"/>
          <w:color w:val="auto"/>
          <w:spacing w:val="-2"/>
          <w:lang w:eastAsia="zh-CN"/>
        </w:rPr>
        <w:t>本项目位于三亚市铁炉港海域，根据现场调查、资料收集，并查询国家</w:t>
      </w:r>
      <w:r>
        <w:rPr>
          <w:rFonts w:ascii="Times New Roman" w:hAnsi="Times New Roman"/>
          <w:color w:val="auto"/>
          <w:spacing w:val="-2"/>
          <w:lang w:eastAsia="zh-CN"/>
        </w:rPr>
        <w:t>海域</w:t>
      </w:r>
      <w:r>
        <w:rPr>
          <w:rFonts w:ascii="Times New Roman" w:hAnsi="Times New Roman" w:hint="eastAsia"/>
          <w:color w:val="auto"/>
          <w:spacing w:val="-2"/>
          <w:lang w:eastAsia="zh-CN"/>
        </w:rPr>
        <w:t>海岛</w:t>
      </w:r>
      <w:r>
        <w:rPr>
          <w:rFonts w:ascii="Times New Roman" w:hAnsi="Times New Roman"/>
          <w:color w:val="auto"/>
          <w:spacing w:val="-2"/>
          <w:lang w:eastAsia="zh-CN"/>
        </w:rPr>
        <w:t>动态监管</w:t>
      </w:r>
      <w:r>
        <w:rPr>
          <w:rFonts w:ascii="Times New Roman" w:hAnsi="Times New Roman" w:hint="eastAsia"/>
          <w:color w:val="auto"/>
          <w:spacing w:val="-2"/>
          <w:lang w:eastAsia="zh-CN"/>
        </w:rPr>
        <w:t>系统</w:t>
      </w:r>
      <w:r>
        <w:rPr>
          <w:rFonts w:ascii="Times New Roman" w:hAnsi="Times New Roman"/>
          <w:color w:val="auto"/>
          <w:spacing w:val="-2"/>
          <w:lang w:eastAsia="zh-CN"/>
        </w:rPr>
        <w:t>数据</w:t>
      </w:r>
      <w:r>
        <w:rPr>
          <w:rFonts w:ascii="Times New Roman" w:hAnsi="Times New Roman" w:hint="eastAsia"/>
          <w:color w:val="auto"/>
          <w:spacing w:val="-2"/>
          <w:lang w:eastAsia="zh-CN"/>
        </w:rPr>
        <w:t>，本项目论证范围内开发活动主要有</w:t>
      </w:r>
      <w:r>
        <w:rPr>
          <w:rFonts w:ascii="Times New Roman" w:hAnsi="Times New Roman"/>
          <w:color w:val="auto"/>
          <w:spacing w:val="-2"/>
          <w:lang w:eastAsia="zh-CN"/>
        </w:rPr>
        <w:t>渔业用海、</w:t>
      </w:r>
      <w:r>
        <w:rPr>
          <w:rFonts w:ascii="Times New Roman" w:hAnsi="Times New Roman" w:hint="eastAsia"/>
          <w:color w:val="auto"/>
          <w:spacing w:val="-2"/>
          <w:lang w:eastAsia="zh-CN"/>
        </w:rPr>
        <w:t>游憩</w:t>
      </w:r>
      <w:r>
        <w:rPr>
          <w:rFonts w:ascii="Times New Roman" w:hAnsi="Times New Roman"/>
          <w:color w:val="auto"/>
          <w:spacing w:val="-2"/>
          <w:lang w:eastAsia="zh-CN"/>
        </w:rPr>
        <w:t>用海、</w:t>
      </w:r>
      <w:r>
        <w:rPr>
          <w:rFonts w:ascii="Times New Roman" w:hAnsi="Times New Roman" w:hint="eastAsia"/>
          <w:color w:val="auto"/>
          <w:spacing w:val="-2"/>
          <w:lang w:eastAsia="zh-CN"/>
        </w:rPr>
        <w:t>工矿通信用海、特殊用海</w:t>
      </w:r>
      <w:r>
        <w:rPr>
          <w:rFonts w:ascii="Times New Roman" w:hAnsi="Times New Roman"/>
          <w:color w:val="auto"/>
          <w:spacing w:val="-2"/>
          <w:lang w:eastAsia="zh-CN"/>
        </w:rPr>
        <w:t>等</w:t>
      </w:r>
      <w:r>
        <w:rPr>
          <w:rFonts w:ascii="Times New Roman" w:hAnsi="Times New Roman" w:hint="eastAsia"/>
          <w:color w:val="auto"/>
          <w:spacing w:val="-2"/>
          <w:lang w:eastAsia="zh-CN"/>
        </w:rPr>
        <w:t>。此外，铁炉港法定海岸线向海一侧存在众多确权土地。</w:t>
      </w:r>
    </w:p>
    <w:p w14:paraId="4C3F59A0" w14:textId="77777777" w:rsidR="0075791A" w:rsidRDefault="00FB2864">
      <w:pPr>
        <w:pStyle w:val="TableText"/>
        <w:spacing w:line="360" w:lineRule="auto"/>
        <w:ind w:firstLineChars="200" w:firstLine="482"/>
        <w:jc w:val="both"/>
        <w:rPr>
          <w:rFonts w:ascii="Times New Roman" w:hAnsi="Times New Roman" w:cs="Times New Roman"/>
          <w:b/>
          <w:bCs/>
          <w:color w:val="auto"/>
          <w:lang w:eastAsia="zh-CN"/>
        </w:rPr>
      </w:pPr>
      <w:r>
        <w:rPr>
          <w:rFonts w:ascii="Times New Roman" w:hAnsi="Times New Roman" w:cs="Times New Roman" w:hint="eastAsia"/>
          <w:b/>
          <w:bCs/>
          <w:color w:val="auto"/>
          <w:lang w:eastAsia="zh-CN"/>
        </w:rPr>
        <w:t>（</w:t>
      </w:r>
      <w:r>
        <w:rPr>
          <w:rFonts w:ascii="Times New Roman" w:hAnsi="Times New Roman" w:cs="Times New Roman" w:hint="eastAsia"/>
          <w:b/>
          <w:bCs/>
          <w:color w:val="auto"/>
          <w:lang w:eastAsia="zh-CN"/>
        </w:rPr>
        <w:t>1</w:t>
      </w:r>
      <w:r>
        <w:rPr>
          <w:rFonts w:ascii="Times New Roman" w:hAnsi="Times New Roman" w:cs="Times New Roman" w:hint="eastAsia"/>
          <w:b/>
          <w:bCs/>
          <w:color w:val="auto"/>
          <w:lang w:eastAsia="zh-CN"/>
        </w:rPr>
        <w:t>）海域开发利用活动</w:t>
      </w:r>
    </w:p>
    <w:p w14:paraId="355E322E" w14:textId="77777777" w:rsidR="0075791A" w:rsidRDefault="00FB2864">
      <w:pPr>
        <w:pStyle w:val="TableText"/>
        <w:spacing w:line="360" w:lineRule="auto"/>
        <w:ind w:firstLineChars="200" w:firstLine="480"/>
        <w:jc w:val="both"/>
        <w:rPr>
          <w:rFonts w:ascii="Times New Roman" w:hAnsi="Times New Roman" w:cs="Times New Roman"/>
          <w:color w:val="auto"/>
          <w:lang w:eastAsia="zh-CN"/>
        </w:rPr>
      </w:pPr>
      <w:r>
        <w:rPr>
          <w:rFonts w:ascii="Times New Roman" w:hAnsi="Times New Roman" w:cs="Times New Roman" w:hint="eastAsia"/>
          <w:color w:val="auto"/>
          <w:lang w:eastAsia="zh-CN"/>
        </w:rPr>
        <w:t>本项目论证范围内海域开发利用活动主要有：三亚市海棠湾旅游休闲娱乐区南部取排水工程项目、蜈支洲岛旅游区基地码头工程项目、三亚后</w:t>
      </w:r>
      <w:r>
        <w:rPr>
          <w:rFonts w:ascii="Times New Roman" w:hAnsi="Times New Roman" w:cs="Times New Roman" w:hint="eastAsia"/>
          <w:color w:val="auto"/>
          <w:lang w:eastAsia="zh-CN"/>
        </w:rPr>
        <w:t>海湾旅游娱乐用海项目；三亚红树林自然保护地、后海渔港码头、铁炉港口门防波堤、后海渔港（内有多处浮动游</w:t>
      </w:r>
      <w:r>
        <w:rPr>
          <w:rFonts w:ascii="Times New Roman" w:hAnsi="Times New Roman" w:cs="Times New Roman" w:hint="eastAsia"/>
          <w:color w:val="auto"/>
          <w:lang w:eastAsia="zh-CN"/>
        </w:rPr>
        <w:lastRenderedPageBreak/>
        <w:t>艇码头、当地村民自建码头等）、养殖鱼排、多处当地渔船自发停泊点、摩托艇旅游活动以及部队特殊用海。</w:t>
      </w:r>
    </w:p>
    <w:p w14:paraId="79B7ED7E" w14:textId="77777777" w:rsidR="0075791A" w:rsidRDefault="0075791A">
      <w:pPr>
        <w:pStyle w:val="TableText"/>
        <w:jc w:val="center"/>
        <w:rPr>
          <w:rFonts w:ascii="Times New Roman" w:hAnsi="Times New Roman" w:cs="Times New Roman"/>
          <w:color w:val="auto"/>
          <w:lang w:eastAsia="zh-CN"/>
        </w:rPr>
      </w:pPr>
    </w:p>
    <w:p w14:paraId="201EF25C" w14:textId="77777777" w:rsidR="0075791A" w:rsidRDefault="00FB2864">
      <w:pPr>
        <w:pStyle w:val="TableText"/>
        <w:jc w:val="center"/>
        <w:rPr>
          <w:rFonts w:ascii="Times New Roman" w:hAnsi="Times New Roman" w:cs="Times New Roman"/>
          <w:color w:val="auto"/>
          <w:lang w:eastAsia="zh-CN"/>
        </w:rPr>
      </w:pP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 xml:space="preserve">5.1.2-1 </w:t>
      </w:r>
      <w:r>
        <w:rPr>
          <w:rFonts w:ascii="Times New Roman" w:hAnsi="Times New Roman" w:cs="Times New Roman" w:hint="eastAsia"/>
          <w:color w:val="auto"/>
          <w:lang w:eastAsia="zh-CN"/>
        </w:rPr>
        <w:t>本项目论证范围内海域开发利用现状图</w:t>
      </w:r>
    </w:p>
    <w:p w14:paraId="5E44895D" w14:textId="77777777" w:rsidR="0075791A" w:rsidRDefault="0075791A">
      <w:pPr>
        <w:pStyle w:val="TableText"/>
        <w:jc w:val="center"/>
        <w:rPr>
          <w:rFonts w:ascii="Times New Roman" w:hAnsi="Times New Roman" w:cs="Times New Roman"/>
          <w:color w:val="auto"/>
          <w:lang w:eastAsia="zh-CN"/>
        </w:rPr>
      </w:pPr>
    </w:p>
    <w:p w14:paraId="06569BBE" w14:textId="77777777" w:rsidR="0075791A" w:rsidRDefault="0075791A">
      <w:pPr>
        <w:pStyle w:val="TableText"/>
        <w:jc w:val="center"/>
        <w:rPr>
          <w:rFonts w:ascii="Times New Roman" w:hAnsi="Times New Roman" w:cs="Times New Roman"/>
          <w:color w:val="auto"/>
          <w:lang w:eastAsia="zh-CN"/>
        </w:rPr>
      </w:pPr>
    </w:p>
    <w:p w14:paraId="43A16B2A" w14:textId="77777777" w:rsidR="0075791A" w:rsidRDefault="00FB2864">
      <w:pPr>
        <w:pStyle w:val="TableText"/>
        <w:jc w:val="center"/>
        <w:rPr>
          <w:rFonts w:ascii="Times New Roman" w:hAnsi="Times New Roman" w:cs="Times New Roman"/>
          <w:color w:val="auto"/>
          <w:lang w:eastAsia="zh-CN"/>
        </w:rPr>
      </w:pP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 xml:space="preserve">5.1.2-2 </w:t>
      </w:r>
      <w:r>
        <w:rPr>
          <w:rFonts w:ascii="Times New Roman" w:hAnsi="Times New Roman" w:cs="Times New Roman" w:hint="eastAsia"/>
          <w:color w:val="auto"/>
          <w:lang w:eastAsia="zh-CN"/>
        </w:rPr>
        <w:t>铁炉港海域开发利用现状图</w:t>
      </w:r>
    </w:p>
    <w:p w14:paraId="22990B5E" w14:textId="77777777" w:rsidR="0075791A" w:rsidRDefault="0075791A">
      <w:pPr>
        <w:pStyle w:val="TableText"/>
        <w:jc w:val="center"/>
        <w:rPr>
          <w:rFonts w:ascii="Times New Roman" w:hAnsi="Times New Roman" w:cs="Times New Roman"/>
          <w:color w:val="auto"/>
          <w:lang w:eastAsia="zh-CN"/>
        </w:rPr>
      </w:pPr>
    </w:p>
    <w:p w14:paraId="6455D835" w14:textId="77777777" w:rsidR="0075791A" w:rsidRDefault="00FB2864">
      <w:pPr>
        <w:pStyle w:val="TableText"/>
        <w:jc w:val="center"/>
        <w:rPr>
          <w:rFonts w:ascii="Times New Roman" w:hAnsi="Times New Roman" w:cs="Times New Roman"/>
          <w:color w:val="auto"/>
          <w:lang w:eastAsia="zh-CN"/>
        </w:rPr>
      </w:pP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 xml:space="preserve">5.1.2-3 </w:t>
      </w:r>
      <w:r>
        <w:rPr>
          <w:rFonts w:ascii="Times New Roman" w:hAnsi="Times New Roman" w:cs="Times New Roman" w:hint="eastAsia"/>
          <w:color w:val="auto"/>
          <w:lang w:eastAsia="zh-CN"/>
        </w:rPr>
        <w:t>后海渔港概况</w:t>
      </w:r>
    </w:p>
    <w:p w14:paraId="4C5458E6" w14:textId="77777777" w:rsidR="0075791A" w:rsidRDefault="00FB2864">
      <w:pPr>
        <w:pStyle w:val="TableText"/>
        <w:spacing w:line="360" w:lineRule="auto"/>
        <w:ind w:firstLineChars="200" w:firstLine="482"/>
        <w:jc w:val="both"/>
        <w:rPr>
          <w:rFonts w:ascii="Times New Roman" w:hAnsi="Times New Roman" w:cs="Times New Roman"/>
          <w:b/>
          <w:bCs/>
          <w:color w:val="auto"/>
          <w:lang w:eastAsia="zh-CN"/>
        </w:rPr>
      </w:pPr>
      <w:r>
        <w:rPr>
          <w:rFonts w:ascii="Times New Roman" w:hAnsi="Times New Roman" w:cs="Times New Roman" w:hint="eastAsia"/>
          <w:b/>
          <w:bCs/>
          <w:color w:val="auto"/>
          <w:lang w:eastAsia="zh-CN"/>
        </w:rPr>
        <w:t>1</w:t>
      </w:r>
      <w:r>
        <w:rPr>
          <w:rFonts w:ascii="Times New Roman" w:hAnsi="Times New Roman" w:cs="Times New Roman" w:hint="eastAsia"/>
          <w:b/>
          <w:bCs/>
          <w:color w:val="auto"/>
          <w:lang w:eastAsia="zh-CN"/>
        </w:rPr>
        <w:t>）蜈支洲岛周边用海</w:t>
      </w:r>
    </w:p>
    <w:p w14:paraId="5AE33BC1" w14:textId="77777777" w:rsidR="0075791A" w:rsidRDefault="00FB2864">
      <w:pPr>
        <w:pStyle w:val="TableText"/>
        <w:spacing w:line="360" w:lineRule="auto"/>
        <w:ind w:firstLineChars="200" w:firstLine="480"/>
        <w:jc w:val="both"/>
        <w:rPr>
          <w:rFonts w:ascii="Times New Roman" w:hAnsi="Times New Roman" w:cs="Times New Roman"/>
          <w:color w:val="auto"/>
          <w:lang w:eastAsia="zh-CN"/>
        </w:rPr>
      </w:pPr>
      <w:r>
        <w:rPr>
          <w:rFonts w:ascii="Times New Roman" w:hAnsi="Times New Roman" w:cs="Times New Roman" w:hint="eastAsia"/>
          <w:color w:val="auto"/>
          <w:lang w:eastAsia="zh-CN"/>
        </w:rPr>
        <w:t>蜈支洲岛周边的用海主要包括蜈支洲岛旅游区滨海旅游娱乐用海项目、蜈支洲</w:t>
      </w:r>
      <w:r>
        <w:rPr>
          <w:rFonts w:ascii="Times New Roman" w:hAnsi="Times New Roman" w:cs="Times New Roman" w:hint="eastAsia"/>
          <w:color w:val="auto"/>
          <w:lang w:eastAsia="zh-CN"/>
        </w:rPr>
        <w:t xml:space="preserve"> </w:t>
      </w:r>
      <w:r>
        <w:rPr>
          <w:rFonts w:ascii="Times New Roman" w:hAnsi="Times New Roman" w:cs="Times New Roman" w:hint="eastAsia"/>
          <w:color w:val="auto"/>
          <w:lang w:eastAsia="zh-CN"/>
        </w:rPr>
        <w:t>岛人工鱼礁用海、蜈支洲岛海洋牧场二期用海。</w:t>
      </w:r>
    </w:p>
    <w:p w14:paraId="5A7850E6" w14:textId="77777777" w:rsidR="0075791A" w:rsidRDefault="00FB2864">
      <w:pPr>
        <w:pStyle w:val="TableText"/>
        <w:spacing w:line="360" w:lineRule="auto"/>
        <w:ind w:firstLineChars="200" w:firstLine="480"/>
        <w:jc w:val="both"/>
        <w:rPr>
          <w:rFonts w:ascii="Times New Roman" w:hAnsi="Times New Roman" w:cs="Times New Roman"/>
          <w:color w:val="auto"/>
          <w:lang w:eastAsia="zh-CN"/>
        </w:rPr>
      </w:pPr>
      <w:r>
        <w:rPr>
          <w:rFonts w:ascii="Times New Roman" w:hAnsi="Times New Roman" w:cs="Times New Roman" w:hint="eastAsia"/>
          <w:color w:val="auto"/>
          <w:lang w:eastAsia="zh-CN"/>
        </w:rPr>
        <w:t>①蜈支洲岛旅游区滨海旅游娱乐用海项目位于本项目东北部约</w:t>
      </w:r>
      <w:r>
        <w:rPr>
          <w:rFonts w:ascii="Times New Roman" w:hAnsi="Times New Roman" w:cs="Times New Roman" w:hint="eastAsia"/>
          <w:color w:val="auto"/>
          <w:lang w:eastAsia="zh-CN"/>
        </w:rPr>
        <w:t>6.7km</w:t>
      </w:r>
      <w:r>
        <w:rPr>
          <w:rFonts w:ascii="Times New Roman" w:hAnsi="Times New Roman" w:cs="Times New Roman" w:hint="eastAsia"/>
          <w:color w:val="auto"/>
          <w:lang w:eastAsia="zh-CN"/>
        </w:rPr>
        <w:t>，建设单位为海南蜈支洲岛旅游开发股份有限公司。主要用海项目包括潜水区、水上观赏运动娱乐区、沙滩休闲娱乐区、浴场、游艇码头区，用海面积为</w:t>
      </w:r>
      <w:r>
        <w:rPr>
          <w:rFonts w:ascii="Times New Roman" w:hAnsi="Times New Roman" w:cs="Times New Roman" w:hint="eastAsia"/>
          <w:color w:val="auto"/>
          <w:lang w:eastAsia="zh-CN"/>
        </w:rPr>
        <w:t xml:space="preserve"> 23.6999 </w:t>
      </w:r>
      <w:r>
        <w:rPr>
          <w:rFonts w:ascii="Times New Roman" w:hAnsi="Times New Roman" w:cs="Times New Roman" w:hint="eastAsia"/>
          <w:color w:val="auto"/>
          <w:lang w:eastAsia="zh-CN"/>
        </w:rPr>
        <w:t>公顷，占用岸线长</w:t>
      </w:r>
      <w:r>
        <w:rPr>
          <w:rFonts w:ascii="Times New Roman" w:hAnsi="Times New Roman" w:cs="Times New Roman" w:hint="eastAsia"/>
          <w:color w:val="auto"/>
          <w:lang w:eastAsia="zh-CN"/>
        </w:rPr>
        <w:t>1750m</w:t>
      </w:r>
      <w:r>
        <w:rPr>
          <w:rFonts w:ascii="Times New Roman" w:hAnsi="Times New Roman" w:cs="Times New Roman" w:hint="eastAsia"/>
          <w:color w:val="auto"/>
          <w:lang w:eastAsia="zh-CN"/>
        </w:rPr>
        <w:t>。用海权限为</w:t>
      </w:r>
      <w:r>
        <w:rPr>
          <w:rFonts w:ascii="Times New Roman" w:hAnsi="Times New Roman" w:cs="Times New Roman" w:hint="eastAsia"/>
          <w:color w:val="auto"/>
          <w:lang w:eastAsia="zh-CN"/>
        </w:rPr>
        <w:t>2021</w:t>
      </w:r>
      <w:r>
        <w:rPr>
          <w:rFonts w:ascii="Times New Roman" w:hAnsi="Times New Roman" w:cs="Times New Roman" w:hint="eastAsia"/>
          <w:color w:val="auto"/>
          <w:lang w:eastAsia="zh-CN"/>
        </w:rPr>
        <w:t>年</w:t>
      </w:r>
      <w:r>
        <w:rPr>
          <w:rFonts w:ascii="Times New Roman" w:hAnsi="Times New Roman" w:cs="Times New Roman" w:hint="eastAsia"/>
          <w:color w:val="auto"/>
          <w:lang w:eastAsia="zh-CN"/>
        </w:rPr>
        <w:t>1</w:t>
      </w:r>
      <w:r>
        <w:rPr>
          <w:rFonts w:ascii="Times New Roman" w:hAnsi="Times New Roman" w:cs="Times New Roman" w:hint="eastAsia"/>
          <w:color w:val="auto"/>
          <w:lang w:eastAsia="zh-CN"/>
        </w:rPr>
        <w:t>月</w:t>
      </w:r>
      <w:r>
        <w:rPr>
          <w:rFonts w:ascii="Times New Roman" w:hAnsi="Times New Roman" w:cs="Times New Roman" w:hint="eastAsia"/>
          <w:color w:val="auto"/>
          <w:lang w:eastAsia="zh-CN"/>
        </w:rPr>
        <w:t>1</w:t>
      </w:r>
      <w:r>
        <w:rPr>
          <w:rFonts w:ascii="Times New Roman" w:hAnsi="Times New Roman" w:cs="Times New Roman" w:hint="eastAsia"/>
          <w:color w:val="auto"/>
          <w:lang w:eastAsia="zh-CN"/>
        </w:rPr>
        <w:t>日至</w:t>
      </w:r>
      <w:r>
        <w:rPr>
          <w:rFonts w:ascii="Times New Roman" w:hAnsi="Times New Roman" w:cs="Times New Roman" w:hint="eastAsia"/>
          <w:color w:val="auto"/>
          <w:lang w:eastAsia="zh-CN"/>
        </w:rPr>
        <w:t>2026</w:t>
      </w:r>
      <w:r>
        <w:rPr>
          <w:rFonts w:ascii="Times New Roman" w:hAnsi="Times New Roman" w:cs="Times New Roman" w:hint="eastAsia"/>
          <w:color w:val="auto"/>
          <w:lang w:eastAsia="zh-CN"/>
        </w:rPr>
        <w:t>年</w:t>
      </w:r>
      <w:r>
        <w:rPr>
          <w:rFonts w:ascii="Times New Roman" w:hAnsi="Times New Roman" w:cs="Times New Roman" w:hint="eastAsia"/>
          <w:color w:val="auto"/>
          <w:lang w:eastAsia="zh-CN"/>
        </w:rPr>
        <w:t>1</w:t>
      </w:r>
      <w:r>
        <w:rPr>
          <w:rFonts w:ascii="Times New Roman" w:hAnsi="Times New Roman" w:cs="Times New Roman" w:hint="eastAsia"/>
          <w:color w:val="auto"/>
          <w:lang w:eastAsia="zh-CN"/>
        </w:rPr>
        <w:t>月</w:t>
      </w:r>
      <w:r>
        <w:rPr>
          <w:rFonts w:ascii="Times New Roman" w:hAnsi="Times New Roman" w:cs="Times New Roman" w:hint="eastAsia"/>
          <w:color w:val="auto"/>
          <w:lang w:eastAsia="zh-CN"/>
        </w:rPr>
        <w:t>1</w:t>
      </w:r>
      <w:r>
        <w:rPr>
          <w:rFonts w:ascii="Times New Roman" w:hAnsi="Times New Roman" w:cs="Times New Roman" w:hint="eastAsia"/>
          <w:color w:val="auto"/>
          <w:lang w:eastAsia="zh-CN"/>
        </w:rPr>
        <w:t>日。</w:t>
      </w:r>
    </w:p>
    <w:p w14:paraId="54C47613" w14:textId="77777777" w:rsidR="0075791A" w:rsidRDefault="0075791A">
      <w:pPr>
        <w:pStyle w:val="TableText"/>
        <w:jc w:val="center"/>
        <w:rPr>
          <w:color w:val="auto"/>
          <w:lang w:eastAsia="zh-CN"/>
        </w:rPr>
      </w:pPr>
    </w:p>
    <w:p w14:paraId="0FF28DAC" w14:textId="77777777" w:rsidR="0075791A" w:rsidRDefault="00FB2864">
      <w:pPr>
        <w:pStyle w:val="TableText"/>
        <w:spacing w:line="360" w:lineRule="auto"/>
        <w:jc w:val="center"/>
        <w:rPr>
          <w:rFonts w:ascii="Times New Roman" w:hAnsi="Times New Roman" w:cs="Times New Roman"/>
          <w:color w:val="auto"/>
          <w:lang w:eastAsia="zh-CN"/>
        </w:rPr>
      </w:pP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 xml:space="preserve">5.1.2-4 </w:t>
      </w:r>
      <w:r>
        <w:rPr>
          <w:rFonts w:ascii="Times New Roman" w:hAnsi="Times New Roman" w:cs="Times New Roman" w:hint="eastAsia"/>
          <w:color w:val="auto"/>
          <w:lang w:eastAsia="zh-CN"/>
        </w:rPr>
        <w:t>蜈支洲岛旅游区滨海旅游娱乐用海项目</w:t>
      </w:r>
      <w:r>
        <w:rPr>
          <w:rFonts w:ascii="Times New Roman" w:hAnsi="Times New Roman" w:cs="Times New Roman" w:hint="eastAsia"/>
          <w:color w:val="auto"/>
          <w:lang w:eastAsia="zh-CN"/>
        </w:rPr>
        <w:t>宗海界址图</w:t>
      </w:r>
    </w:p>
    <w:p w14:paraId="6731BFFF" w14:textId="77777777" w:rsidR="0075791A" w:rsidRDefault="00FB2864">
      <w:pPr>
        <w:pStyle w:val="TableText"/>
        <w:spacing w:line="360" w:lineRule="auto"/>
        <w:ind w:firstLineChars="200" w:firstLine="480"/>
        <w:jc w:val="both"/>
        <w:rPr>
          <w:rFonts w:ascii="Times New Roman" w:hAnsi="Times New Roman" w:cs="Times New Roman"/>
          <w:color w:val="auto"/>
          <w:lang w:eastAsia="zh-CN"/>
        </w:rPr>
      </w:pPr>
      <w:r>
        <w:rPr>
          <w:rFonts w:ascii="Times New Roman" w:hAnsi="Times New Roman" w:cs="Times New Roman" w:hint="eastAsia"/>
          <w:color w:val="auto"/>
          <w:lang w:eastAsia="zh-CN"/>
        </w:rPr>
        <w:t>②蜈支洲岛人工鱼礁用海位于蜈支洲岛东南侧和南侧，距本项目东北部约</w:t>
      </w:r>
      <w:r>
        <w:rPr>
          <w:rFonts w:ascii="Times New Roman" w:hAnsi="Times New Roman" w:cs="Times New Roman" w:hint="eastAsia"/>
          <w:color w:val="auto"/>
          <w:lang w:eastAsia="zh-CN"/>
        </w:rPr>
        <w:t>6.0km</w:t>
      </w:r>
      <w:r>
        <w:rPr>
          <w:rFonts w:ascii="Times New Roman" w:hAnsi="Times New Roman" w:cs="Times New Roman" w:hint="eastAsia"/>
          <w:color w:val="auto"/>
          <w:lang w:eastAsia="zh-CN"/>
        </w:rPr>
        <w:t>，由海南蜈支洲岛旅游开发股份有限公司负责建设，主要投放集鱼型人工鱼礁，建设东鱼礁群（生态型人工鱼礁区）和西鱼礁群（开放型人工鱼礁区）。其中东鱼礁区面积为</w:t>
      </w:r>
      <w:r>
        <w:rPr>
          <w:rFonts w:ascii="Times New Roman" w:hAnsi="Times New Roman" w:cs="Times New Roman" w:hint="eastAsia"/>
          <w:color w:val="auto"/>
          <w:lang w:eastAsia="zh-CN"/>
        </w:rPr>
        <w:t>33.3750</w:t>
      </w:r>
      <w:r>
        <w:rPr>
          <w:rFonts w:ascii="Times New Roman" w:hAnsi="Times New Roman" w:cs="Times New Roman" w:hint="eastAsia"/>
          <w:color w:val="auto"/>
          <w:lang w:eastAsia="zh-CN"/>
        </w:rPr>
        <w:t>公顷，投放空方礁体</w:t>
      </w:r>
      <w:r>
        <w:rPr>
          <w:rFonts w:ascii="Times New Roman" w:hAnsi="Times New Roman" w:cs="Times New Roman" w:hint="eastAsia"/>
          <w:color w:val="auto"/>
          <w:lang w:eastAsia="zh-CN"/>
        </w:rPr>
        <w:t>8971.5m</w:t>
      </w:r>
      <w:r>
        <w:rPr>
          <w:rFonts w:ascii="Times New Roman" w:hAnsi="Times New Roman" w:cs="Times New Roman" w:hint="eastAsia"/>
          <w:color w:val="auto"/>
          <w:vertAlign w:val="superscript"/>
          <w:lang w:eastAsia="zh-CN"/>
        </w:rPr>
        <w:t>3</w:t>
      </w:r>
      <w:r>
        <w:rPr>
          <w:rFonts w:ascii="Times New Roman" w:hAnsi="Times New Roman" w:cs="Times New Roman" w:hint="eastAsia"/>
          <w:color w:val="auto"/>
          <w:lang w:eastAsia="zh-CN"/>
        </w:rPr>
        <w:t>；西鱼礁区面积为</w:t>
      </w:r>
      <w:r>
        <w:rPr>
          <w:rFonts w:ascii="Times New Roman" w:hAnsi="Times New Roman" w:cs="Times New Roman" w:hint="eastAsia"/>
          <w:color w:val="auto"/>
          <w:lang w:eastAsia="zh-CN"/>
        </w:rPr>
        <w:t>33.3750</w:t>
      </w:r>
      <w:r>
        <w:rPr>
          <w:rFonts w:ascii="Times New Roman" w:hAnsi="Times New Roman" w:cs="Times New Roman" w:hint="eastAsia"/>
          <w:color w:val="auto"/>
          <w:lang w:eastAsia="zh-CN"/>
        </w:rPr>
        <w:t>公顷，投放空方礁体</w:t>
      </w:r>
      <w:r>
        <w:rPr>
          <w:rFonts w:ascii="Times New Roman" w:hAnsi="Times New Roman" w:cs="Times New Roman" w:hint="eastAsia"/>
          <w:color w:val="auto"/>
          <w:lang w:eastAsia="zh-CN"/>
        </w:rPr>
        <w:t>9923.22m</w:t>
      </w:r>
      <w:r>
        <w:rPr>
          <w:rFonts w:ascii="Times New Roman" w:hAnsi="Times New Roman" w:cs="Times New Roman" w:hint="eastAsia"/>
          <w:color w:val="auto"/>
          <w:vertAlign w:val="superscript"/>
          <w:lang w:eastAsia="zh-CN"/>
        </w:rPr>
        <w:t>3</w:t>
      </w:r>
      <w:r>
        <w:rPr>
          <w:rFonts w:ascii="Times New Roman" w:hAnsi="Times New Roman" w:cs="Times New Roman" w:hint="eastAsia"/>
          <w:color w:val="auto"/>
          <w:lang w:eastAsia="zh-CN"/>
        </w:rPr>
        <w:t>。</w:t>
      </w:r>
    </w:p>
    <w:p w14:paraId="7A9F8288" w14:textId="77777777" w:rsidR="0075791A" w:rsidRDefault="0075791A">
      <w:pPr>
        <w:pStyle w:val="TableText"/>
        <w:jc w:val="center"/>
        <w:rPr>
          <w:color w:val="auto"/>
          <w:lang w:eastAsia="zh-CN"/>
        </w:rPr>
      </w:pPr>
    </w:p>
    <w:p w14:paraId="545FA6FF" w14:textId="77777777" w:rsidR="0075791A" w:rsidRDefault="00FB2864">
      <w:pPr>
        <w:pStyle w:val="TableText"/>
        <w:spacing w:line="360" w:lineRule="auto"/>
        <w:jc w:val="center"/>
        <w:rPr>
          <w:rFonts w:ascii="Times New Roman" w:hAnsi="Times New Roman" w:cs="Times New Roman"/>
          <w:color w:val="auto"/>
          <w:lang w:eastAsia="zh-CN"/>
        </w:rPr>
      </w:pP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 xml:space="preserve">5.1.2-5 </w:t>
      </w:r>
      <w:r>
        <w:rPr>
          <w:rFonts w:ascii="Times New Roman" w:hAnsi="Times New Roman" w:cs="Times New Roman" w:hint="eastAsia"/>
          <w:color w:val="auto"/>
          <w:lang w:eastAsia="zh-CN"/>
        </w:rPr>
        <w:t>蜈支洲岛人工鱼礁用海</w:t>
      </w:r>
      <w:r>
        <w:rPr>
          <w:rFonts w:ascii="Times New Roman" w:hAnsi="Times New Roman" w:cs="Times New Roman" w:hint="eastAsia"/>
          <w:color w:val="auto"/>
          <w:lang w:eastAsia="zh-CN"/>
        </w:rPr>
        <w:t>宗海界址图</w:t>
      </w:r>
    </w:p>
    <w:p w14:paraId="74966DC2" w14:textId="77777777" w:rsidR="0075791A" w:rsidRDefault="00FB2864">
      <w:pPr>
        <w:pStyle w:val="TableText"/>
        <w:spacing w:line="360" w:lineRule="auto"/>
        <w:ind w:firstLineChars="200" w:firstLine="480"/>
        <w:jc w:val="both"/>
        <w:rPr>
          <w:rFonts w:ascii="Times New Roman" w:hAnsi="Times New Roman" w:cs="Times New Roman"/>
          <w:color w:val="auto"/>
          <w:lang w:eastAsia="zh-CN"/>
        </w:rPr>
      </w:pPr>
      <w:r>
        <w:rPr>
          <w:rFonts w:ascii="Times New Roman" w:hAnsi="Times New Roman" w:cs="Times New Roman" w:hint="eastAsia"/>
          <w:color w:val="auto"/>
          <w:lang w:eastAsia="zh-CN"/>
        </w:rPr>
        <w:t>③蜈支洲岛海洋牧场二期用海项目位于蜈支洲岛周边，距本项目东北部约</w:t>
      </w:r>
      <w:r>
        <w:rPr>
          <w:rFonts w:ascii="Times New Roman" w:hAnsi="Times New Roman" w:cs="Times New Roman" w:hint="eastAsia"/>
          <w:color w:val="auto"/>
          <w:lang w:eastAsia="zh-CN"/>
        </w:rPr>
        <w:t>5.6km</w:t>
      </w:r>
      <w:r>
        <w:rPr>
          <w:rFonts w:ascii="Times New Roman" w:hAnsi="Times New Roman" w:cs="Times New Roman" w:hint="eastAsia"/>
          <w:color w:val="auto"/>
          <w:lang w:eastAsia="zh-CN"/>
        </w:rPr>
        <w:t>，由海南蜈支洲岛旅游开发股份有限公司负责建</w:t>
      </w:r>
      <w:r>
        <w:rPr>
          <w:rFonts w:ascii="Times New Roman" w:hAnsi="Times New Roman" w:cs="Times New Roman" w:hint="eastAsia"/>
          <w:color w:val="auto"/>
          <w:lang w:eastAsia="zh-CN"/>
        </w:rPr>
        <w:t>设，主要投放人工鱼礁以及底播养殖，其中人工鱼礁面积</w:t>
      </w:r>
      <w:r>
        <w:rPr>
          <w:rFonts w:ascii="Times New Roman" w:hAnsi="Times New Roman" w:cs="Times New Roman" w:hint="eastAsia"/>
          <w:color w:val="auto"/>
          <w:lang w:eastAsia="zh-CN"/>
        </w:rPr>
        <w:t>39.5838</w:t>
      </w:r>
      <w:r>
        <w:rPr>
          <w:rFonts w:ascii="Times New Roman" w:hAnsi="Times New Roman" w:cs="Times New Roman" w:hint="eastAsia"/>
          <w:color w:val="auto"/>
          <w:lang w:eastAsia="zh-CN"/>
        </w:rPr>
        <w:t>公顷</w:t>
      </w:r>
      <w:r>
        <w:rPr>
          <w:rFonts w:ascii="Times New Roman" w:hAnsi="Times New Roman" w:cs="Times New Roman" w:hint="eastAsia"/>
          <w:color w:val="auto"/>
          <w:lang w:eastAsia="zh-CN"/>
        </w:rPr>
        <w:t>,</w:t>
      </w:r>
      <w:r>
        <w:rPr>
          <w:rFonts w:ascii="Times New Roman" w:hAnsi="Times New Roman" w:cs="Times New Roman" w:hint="eastAsia"/>
          <w:color w:val="auto"/>
          <w:lang w:eastAsia="zh-CN"/>
        </w:rPr>
        <w:t>底播增养殖区</w:t>
      </w:r>
      <w:r>
        <w:rPr>
          <w:rFonts w:ascii="Times New Roman" w:hAnsi="Times New Roman" w:cs="Times New Roman" w:hint="eastAsia"/>
          <w:color w:val="auto"/>
          <w:lang w:eastAsia="zh-CN"/>
        </w:rPr>
        <w:t>160.2007</w:t>
      </w:r>
      <w:r>
        <w:rPr>
          <w:rFonts w:ascii="Times New Roman" w:hAnsi="Times New Roman" w:cs="Times New Roman" w:hint="eastAsia"/>
          <w:color w:val="auto"/>
          <w:lang w:eastAsia="zh-CN"/>
        </w:rPr>
        <w:t>公顷。海洋牧场分四个区块，分别为</w:t>
      </w:r>
      <w:r>
        <w:rPr>
          <w:rFonts w:ascii="Times New Roman" w:hAnsi="Times New Roman" w:cs="Times New Roman" w:hint="eastAsia"/>
          <w:color w:val="auto"/>
          <w:lang w:eastAsia="zh-CN"/>
        </w:rPr>
        <w:t>A</w:t>
      </w:r>
      <w:r>
        <w:rPr>
          <w:rFonts w:ascii="Times New Roman" w:hAnsi="Times New Roman" w:cs="Times New Roman" w:hint="eastAsia"/>
          <w:color w:val="auto"/>
          <w:lang w:eastAsia="zh-CN"/>
        </w:rPr>
        <w:t>区块面积</w:t>
      </w:r>
      <w:r>
        <w:rPr>
          <w:rFonts w:ascii="Times New Roman" w:hAnsi="Times New Roman" w:cs="Times New Roman" w:hint="eastAsia"/>
          <w:color w:val="auto"/>
          <w:lang w:eastAsia="zh-CN"/>
        </w:rPr>
        <w:t>78.3155</w:t>
      </w:r>
      <w:r>
        <w:rPr>
          <w:rFonts w:ascii="Times New Roman" w:hAnsi="Times New Roman" w:cs="Times New Roman" w:hint="eastAsia"/>
          <w:color w:val="auto"/>
          <w:lang w:eastAsia="zh-CN"/>
        </w:rPr>
        <w:t>公顷</w:t>
      </w:r>
      <w:r>
        <w:rPr>
          <w:rFonts w:ascii="Times New Roman" w:hAnsi="Times New Roman" w:cs="Times New Roman" w:hint="eastAsia"/>
          <w:color w:val="auto"/>
          <w:lang w:eastAsia="zh-CN"/>
        </w:rPr>
        <w:t>(</w:t>
      </w:r>
      <w:r>
        <w:rPr>
          <w:rFonts w:ascii="Times New Roman" w:hAnsi="Times New Roman" w:cs="Times New Roman" w:hint="eastAsia"/>
          <w:color w:val="auto"/>
          <w:lang w:eastAsia="zh-CN"/>
        </w:rPr>
        <w:t>鱼礁</w:t>
      </w:r>
      <w:r>
        <w:rPr>
          <w:rFonts w:ascii="Times New Roman" w:hAnsi="Times New Roman" w:cs="Times New Roman" w:hint="eastAsia"/>
          <w:color w:val="auto"/>
          <w:lang w:eastAsia="zh-CN"/>
        </w:rPr>
        <w:t>15.9934</w:t>
      </w:r>
      <w:r>
        <w:rPr>
          <w:rFonts w:ascii="Times New Roman" w:hAnsi="Times New Roman" w:cs="Times New Roman" w:hint="eastAsia"/>
          <w:color w:val="auto"/>
          <w:lang w:eastAsia="zh-CN"/>
        </w:rPr>
        <w:t>公顷</w:t>
      </w:r>
      <w:r>
        <w:rPr>
          <w:rFonts w:ascii="Times New Roman" w:hAnsi="Times New Roman" w:cs="Times New Roman" w:hint="eastAsia"/>
          <w:color w:val="auto"/>
          <w:lang w:eastAsia="zh-CN"/>
        </w:rPr>
        <w:t>)</w:t>
      </w:r>
      <w:r>
        <w:rPr>
          <w:rFonts w:ascii="Times New Roman" w:hAnsi="Times New Roman" w:cs="Times New Roman" w:hint="eastAsia"/>
          <w:color w:val="auto"/>
          <w:lang w:eastAsia="zh-CN"/>
        </w:rPr>
        <w:t>，</w:t>
      </w:r>
      <w:r>
        <w:rPr>
          <w:rFonts w:ascii="Times New Roman" w:hAnsi="Times New Roman" w:cs="Times New Roman" w:hint="eastAsia"/>
          <w:color w:val="auto"/>
          <w:lang w:eastAsia="zh-CN"/>
        </w:rPr>
        <w:t>B</w:t>
      </w:r>
      <w:r>
        <w:rPr>
          <w:rFonts w:ascii="Times New Roman" w:hAnsi="Times New Roman" w:cs="Times New Roman" w:hint="eastAsia"/>
          <w:color w:val="auto"/>
          <w:lang w:eastAsia="zh-CN"/>
        </w:rPr>
        <w:t>区块面积</w:t>
      </w:r>
      <w:r>
        <w:rPr>
          <w:rFonts w:ascii="Times New Roman" w:hAnsi="Times New Roman" w:cs="Times New Roman" w:hint="eastAsia"/>
          <w:color w:val="auto"/>
          <w:lang w:eastAsia="zh-CN"/>
        </w:rPr>
        <w:t>44.2818</w:t>
      </w:r>
      <w:r>
        <w:rPr>
          <w:rFonts w:ascii="Times New Roman" w:hAnsi="Times New Roman" w:cs="Times New Roman" w:hint="eastAsia"/>
          <w:color w:val="auto"/>
          <w:lang w:eastAsia="zh-CN"/>
        </w:rPr>
        <w:t>公顷</w:t>
      </w:r>
      <w:r>
        <w:rPr>
          <w:rFonts w:ascii="Times New Roman" w:hAnsi="Times New Roman" w:cs="Times New Roman" w:hint="eastAsia"/>
          <w:color w:val="auto"/>
          <w:lang w:eastAsia="zh-CN"/>
        </w:rPr>
        <w:t>(</w:t>
      </w:r>
      <w:r>
        <w:rPr>
          <w:rFonts w:ascii="Times New Roman" w:hAnsi="Times New Roman" w:cs="Times New Roman" w:hint="eastAsia"/>
          <w:color w:val="auto"/>
          <w:lang w:eastAsia="zh-CN"/>
        </w:rPr>
        <w:t>鱼礁</w:t>
      </w:r>
      <w:r>
        <w:rPr>
          <w:rFonts w:ascii="Times New Roman" w:hAnsi="Times New Roman" w:cs="Times New Roman" w:hint="eastAsia"/>
          <w:color w:val="auto"/>
          <w:lang w:eastAsia="zh-CN"/>
        </w:rPr>
        <w:t>10.7956</w:t>
      </w:r>
      <w:r>
        <w:rPr>
          <w:rFonts w:ascii="Times New Roman" w:hAnsi="Times New Roman" w:cs="Times New Roman" w:hint="eastAsia"/>
          <w:color w:val="auto"/>
          <w:lang w:eastAsia="zh-CN"/>
        </w:rPr>
        <w:t>公顷</w:t>
      </w:r>
      <w:r>
        <w:rPr>
          <w:rFonts w:ascii="Times New Roman" w:hAnsi="Times New Roman" w:cs="Times New Roman" w:hint="eastAsia"/>
          <w:color w:val="auto"/>
          <w:lang w:eastAsia="zh-CN"/>
        </w:rPr>
        <w:t>)</w:t>
      </w:r>
      <w:r>
        <w:rPr>
          <w:rFonts w:ascii="Times New Roman" w:hAnsi="Times New Roman" w:cs="Times New Roman" w:hint="eastAsia"/>
          <w:color w:val="auto"/>
          <w:lang w:eastAsia="zh-CN"/>
        </w:rPr>
        <w:t>，</w:t>
      </w:r>
      <w:r>
        <w:rPr>
          <w:rFonts w:ascii="Times New Roman" w:hAnsi="Times New Roman" w:cs="Times New Roman" w:hint="eastAsia"/>
          <w:color w:val="auto"/>
          <w:lang w:eastAsia="zh-CN"/>
        </w:rPr>
        <w:t>C</w:t>
      </w:r>
      <w:r>
        <w:rPr>
          <w:rFonts w:ascii="Times New Roman" w:hAnsi="Times New Roman" w:cs="Times New Roman" w:hint="eastAsia"/>
          <w:color w:val="auto"/>
          <w:lang w:eastAsia="zh-CN"/>
        </w:rPr>
        <w:t>区块面积</w:t>
      </w:r>
      <w:r>
        <w:rPr>
          <w:rFonts w:ascii="Times New Roman" w:hAnsi="Times New Roman" w:cs="Times New Roman" w:hint="eastAsia"/>
          <w:color w:val="auto"/>
          <w:lang w:eastAsia="zh-CN"/>
        </w:rPr>
        <w:t>24.2952</w:t>
      </w:r>
      <w:r>
        <w:rPr>
          <w:rFonts w:ascii="Times New Roman" w:hAnsi="Times New Roman" w:cs="Times New Roman" w:hint="eastAsia"/>
          <w:color w:val="auto"/>
          <w:lang w:eastAsia="zh-CN"/>
        </w:rPr>
        <w:t>公顷</w:t>
      </w:r>
      <w:r>
        <w:rPr>
          <w:rFonts w:ascii="Times New Roman" w:hAnsi="Times New Roman" w:cs="Times New Roman" w:hint="eastAsia"/>
          <w:color w:val="auto"/>
          <w:lang w:eastAsia="zh-CN"/>
        </w:rPr>
        <w:t>(</w:t>
      </w:r>
      <w:r>
        <w:rPr>
          <w:rFonts w:ascii="Times New Roman" w:hAnsi="Times New Roman" w:cs="Times New Roman" w:hint="eastAsia"/>
          <w:color w:val="auto"/>
          <w:lang w:eastAsia="zh-CN"/>
        </w:rPr>
        <w:t>鱼礁</w:t>
      </w:r>
      <w:r>
        <w:rPr>
          <w:rFonts w:ascii="Times New Roman" w:hAnsi="Times New Roman" w:cs="Times New Roman" w:hint="eastAsia"/>
          <w:color w:val="auto"/>
          <w:lang w:eastAsia="zh-CN"/>
        </w:rPr>
        <w:t>4.7981</w:t>
      </w:r>
      <w:r>
        <w:rPr>
          <w:rFonts w:ascii="Times New Roman" w:hAnsi="Times New Roman" w:cs="Times New Roman" w:hint="eastAsia"/>
          <w:color w:val="auto"/>
          <w:lang w:eastAsia="zh-CN"/>
        </w:rPr>
        <w:t>公顷</w:t>
      </w:r>
      <w:r>
        <w:rPr>
          <w:rFonts w:ascii="Times New Roman" w:hAnsi="Times New Roman" w:cs="Times New Roman" w:hint="eastAsia"/>
          <w:color w:val="auto"/>
          <w:lang w:eastAsia="zh-CN"/>
        </w:rPr>
        <w:t>)</w:t>
      </w:r>
      <w:r>
        <w:rPr>
          <w:rFonts w:ascii="Times New Roman" w:hAnsi="Times New Roman" w:cs="Times New Roman" w:hint="eastAsia"/>
          <w:color w:val="auto"/>
          <w:lang w:eastAsia="zh-CN"/>
        </w:rPr>
        <w:t>，</w:t>
      </w:r>
      <w:r>
        <w:rPr>
          <w:rFonts w:ascii="Times New Roman" w:hAnsi="Times New Roman" w:cs="Times New Roman" w:hint="eastAsia"/>
          <w:color w:val="auto"/>
          <w:lang w:eastAsia="zh-CN"/>
        </w:rPr>
        <w:t>D</w:t>
      </w:r>
      <w:r>
        <w:rPr>
          <w:rFonts w:ascii="Times New Roman" w:hAnsi="Times New Roman" w:cs="Times New Roman" w:hint="eastAsia"/>
          <w:color w:val="auto"/>
          <w:lang w:eastAsia="zh-CN"/>
        </w:rPr>
        <w:t>区块面积</w:t>
      </w:r>
      <w:r>
        <w:rPr>
          <w:rFonts w:ascii="Times New Roman" w:hAnsi="Times New Roman" w:cs="Times New Roman" w:hint="eastAsia"/>
          <w:color w:val="auto"/>
          <w:lang w:eastAsia="zh-CN"/>
        </w:rPr>
        <w:t>52.8920</w:t>
      </w:r>
      <w:r>
        <w:rPr>
          <w:rFonts w:ascii="Times New Roman" w:hAnsi="Times New Roman" w:cs="Times New Roman" w:hint="eastAsia"/>
          <w:color w:val="auto"/>
          <w:lang w:eastAsia="zh-CN"/>
        </w:rPr>
        <w:t>公顷</w:t>
      </w:r>
      <w:r>
        <w:rPr>
          <w:rFonts w:ascii="Times New Roman" w:hAnsi="Times New Roman" w:cs="Times New Roman" w:hint="eastAsia"/>
          <w:color w:val="auto"/>
          <w:lang w:eastAsia="zh-CN"/>
        </w:rPr>
        <w:t>(</w:t>
      </w:r>
      <w:r>
        <w:rPr>
          <w:rFonts w:ascii="Times New Roman" w:hAnsi="Times New Roman" w:cs="Times New Roman" w:hint="eastAsia"/>
          <w:color w:val="auto"/>
          <w:lang w:eastAsia="zh-CN"/>
        </w:rPr>
        <w:t>鱼礁</w:t>
      </w:r>
      <w:r>
        <w:rPr>
          <w:rFonts w:ascii="Times New Roman" w:hAnsi="Times New Roman" w:cs="Times New Roman" w:hint="eastAsia"/>
          <w:color w:val="auto"/>
          <w:lang w:eastAsia="zh-CN"/>
        </w:rPr>
        <w:t>7.9967</w:t>
      </w:r>
      <w:r>
        <w:rPr>
          <w:rFonts w:ascii="Times New Roman" w:hAnsi="Times New Roman" w:cs="Times New Roman" w:hint="eastAsia"/>
          <w:color w:val="auto"/>
          <w:lang w:eastAsia="zh-CN"/>
        </w:rPr>
        <w:t>公顷</w:t>
      </w:r>
      <w:r>
        <w:rPr>
          <w:rFonts w:ascii="Times New Roman" w:hAnsi="Times New Roman" w:cs="Times New Roman" w:hint="eastAsia"/>
          <w:color w:val="auto"/>
          <w:lang w:eastAsia="zh-CN"/>
        </w:rPr>
        <w:t>)</w:t>
      </w:r>
      <w:r>
        <w:rPr>
          <w:rFonts w:ascii="Times New Roman" w:hAnsi="Times New Roman" w:cs="Times New Roman" w:hint="eastAsia"/>
          <w:color w:val="auto"/>
          <w:lang w:eastAsia="zh-CN"/>
        </w:rPr>
        <w:t>。计划投放人工鱼礁总体积</w:t>
      </w:r>
      <w:r>
        <w:rPr>
          <w:rFonts w:ascii="Times New Roman" w:hAnsi="Times New Roman" w:cs="Times New Roman" w:hint="eastAsia"/>
          <w:color w:val="auto"/>
          <w:lang w:eastAsia="zh-CN"/>
        </w:rPr>
        <w:t>46516</w:t>
      </w:r>
      <w:r>
        <w:rPr>
          <w:rFonts w:ascii="Times New Roman" w:hAnsi="Times New Roman" w:cs="Times New Roman" w:hint="eastAsia"/>
          <w:color w:val="auto"/>
          <w:lang w:eastAsia="zh-CN"/>
        </w:rPr>
        <w:t>空方，投放礁体总数为</w:t>
      </w:r>
      <w:r>
        <w:rPr>
          <w:rFonts w:ascii="Times New Roman" w:hAnsi="Times New Roman" w:cs="Times New Roman" w:hint="eastAsia"/>
          <w:color w:val="auto"/>
          <w:lang w:eastAsia="zh-CN"/>
        </w:rPr>
        <w:t>891</w:t>
      </w:r>
      <w:r>
        <w:rPr>
          <w:rFonts w:ascii="Times New Roman" w:hAnsi="Times New Roman" w:cs="Times New Roman" w:hint="eastAsia"/>
          <w:color w:val="auto"/>
          <w:lang w:eastAsia="zh-CN"/>
        </w:rPr>
        <w:t>个，其中</w:t>
      </w:r>
      <w:r>
        <w:rPr>
          <w:rFonts w:ascii="Times New Roman" w:hAnsi="Times New Roman" w:cs="Times New Roman" w:hint="eastAsia"/>
          <w:color w:val="auto"/>
          <w:lang w:eastAsia="zh-CN"/>
        </w:rPr>
        <w:t>SY01</w:t>
      </w:r>
      <w:r>
        <w:rPr>
          <w:rFonts w:ascii="Times New Roman" w:hAnsi="Times New Roman" w:cs="Times New Roman" w:hint="eastAsia"/>
          <w:color w:val="auto"/>
          <w:lang w:eastAsia="zh-CN"/>
        </w:rPr>
        <w:t>型礁</w:t>
      </w:r>
      <w:r>
        <w:rPr>
          <w:rFonts w:ascii="Times New Roman" w:hAnsi="Times New Roman" w:cs="Times New Roman" w:hint="eastAsia"/>
          <w:color w:val="auto"/>
          <w:lang w:eastAsia="zh-CN"/>
        </w:rPr>
        <w:t>324</w:t>
      </w:r>
      <w:r>
        <w:rPr>
          <w:rFonts w:ascii="Times New Roman" w:hAnsi="Times New Roman" w:cs="Times New Roman" w:hint="eastAsia"/>
          <w:color w:val="auto"/>
          <w:lang w:eastAsia="zh-CN"/>
        </w:rPr>
        <w:t>个，</w:t>
      </w:r>
      <w:r>
        <w:rPr>
          <w:rFonts w:ascii="Times New Roman" w:hAnsi="Times New Roman" w:cs="Times New Roman" w:hint="eastAsia"/>
          <w:color w:val="auto"/>
          <w:lang w:eastAsia="zh-CN"/>
        </w:rPr>
        <w:t>SY02</w:t>
      </w:r>
      <w:r>
        <w:rPr>
          <w:rFonts w:ascii="Times New Roman" w:hAnsi="Times New Roman" w:cs="Times New Roman" w:hint="eastAsia"/>
          <w:color w:val="auto"/>
          <w:lang w:eastAsia="zh-CN"/>
        </w:rPr>
        <w:t>型礁</w:t>
      </w:r>
      <w:r>
        <w:rPr>
          <w:rFonts w:ascii="Times New Roman" w:hAnsi="Times New Roman" w:cs="Times New Roman" w:hint="eastAsia"/>
          <w:color w:val="auto"/>
          <w:lang w:eastAsia="zh-CN"/>
        </w:rPr>
        <w:t>468</w:t>
      </w:r>
      <w:r>
        <w:rPr>
          <w:rFonts w:ascii="Times New Roman" w:hAnsi="Times New Roman" w:cs="Times New Roman" w:hint="eastAsia"/>
          <w:color w:val="auto"/>
          <w:lang w:eastAsia="zh-CN"/>
        </w:rPr>
        <w:t>个，</w:t>
      </w:r>
      <w:r>
        <w:rPr>
          <w:rFonts w:ascii="Times New Roman" w:hAnsi="Times New Roman" w:cs="Times New Roman" w:hint="eastAsia"/>
          <w:color w:val="auto"/>
          <w:lang w:eastAsia="zh-CN"/>
        </w:rPr>
        <w:t>SY03</w:t>
      </w:r>
      <w:r>
        <w:rPr>
          <w:rFonts w:ascii="Times New Roman" w:hAnsi="Times New Roman" w:cs="Times New Roman" w:hint="eastAsia"/>
          <w:color w:val="auto"/>
          <w:lang w:eastAsia="zh-CN"/>
        </w:rPr>
        <w:t>型礁</w:t>
      </w:r>
      <w:r>
        <w:rPr>
          <w:rFonts w:ascii="Times New Roman" w:hAnsi="Times New Roman" w:cs="Times New Roman" w:hint="eastAsia"/>
          <w:color w:val="auto"/>
          <w:lang w:eastAsia="zh-CN"/>
        </w:rPr>
        <w:t>99</w:t>
      </w:r>
      <w:r>
        <w:rPr>
          <w:rFonts w:ascii="Times New Roman" w:hAnsi="Times New Roman" w:cs="Times New Roman" w:hint="eastAsia"/>
          <w:color w:val="auto"/>
          <w:lang w:eastAsia="zh-CN"/>
        </w:rPr>
        <w:t>个。</w:t>
      </w:r>
    </w:p>
    <w:p w14:paraId="49FDA59C" w14:textId="77777777" w:rsidR="0075791A" w:rsidRDefault="0075791A">
      <w:pPr>
        <w:pStyle w:val="TableText"/>
        <w:jc w:val="center"/>
        <w:rPr>
          <w:color w:val="auto"/>
          <w:lang w:eastAsia="zh-CN"/>
        </w:rPr>
      </w:pPr>
    </w:p>
    <w:p w14:paraId="22C72E83" w14:textId="77777777" w:rsidR="0075791A" w:rsidRDefault="00FB2864">
      <w:pPr>
        <w:pStyle w:val="TableText"/>
        <w:spacing w:line="360" w:lineRule="auto"/>
        <w:jc w:val="center"/>
        <w:rPr>
          <w:rFonts w:ascii="Times New Roman" w:hAnsi="Times New Roman" w:cs="Times New Roman"/>
          <w:color w:val="auto"/>
          <w:lang w:eastAsia="zh-CN"/>
        </w:rPr>
      </w:pP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 xml:space="preserve">5.1.2-6 </w:t>
      </w:r>
      <w:r>
        <w:rPr>
          <w:rFonts w:ascii="Times New Roman" w:hAnsi="Times New Roman" w:cs="Times New Roman" w:hint="eastAsia"/>
          <w:color w:val="auto"/>
          <w:lang w:eastAsia="zh-CN"/>
        </w:rPr>
        <w:t>蜈支洲岛海</w:t>
      </w:r>
      <w:r>
        <w:rPr>
          <w:rFonts w:ascii="Times New Roman" w:hAnsi="Times New Roman" w:cs="Times New Roman" w:hint="eastAsia"/>
          <w:color w:val="auto"/>
          <w:lang w:eastAsia="zh-CN"/>
        </w:rPr>
        <w:t>洋牧场二期用海项目</w:t>
      </w:r>
      <w:r>
        <w:rPr>
          <w:rFonts w:ascii="Times New Roman" w:hAnsi="Times New Roman" w:cs="Times New Roman" w:hint="eastAsia"/>
          <w:color w:val="auto"/>
          <w:lang w:eastAsia="zh-CN"/>
        </w:rPr>
        <w:t>宗海界址图</w:t>
      </w:r>
    </w:p>
    <w:p w14:paraId="4E500D17" w14:textId="77777777" w:rsidR="0075791A" w:rsidRDefault="0075791A">
      <w:pPr>
        <w:pStyle w:val="TableText"/>
        <w:spacing w:line="360" w:lineRule="auto"/>
        <w:ind w:firstLineChars="200" w:firstLine="480"/>
        <w:jc w:val="both"/>
        <w:rPr>
          <w:rFonts w:ascii="Times New Roman" w:hAnsi="Times New Roman" w:cs="Times New Roman"/>
          <w:color w:val="auto"/>
          <w:lang w:eastAsia="zh-CN"/>
        </w:rPr>
      </w:pPr>
    </w:p>
    <w:p w14:paraId="7012F95A" w14:textId="77777777" w:rsidR="0075791A" w:rsidRDefault="0075791A">
      <w:pPr>
        <w:pStyle w:val="TableText"/>
        <w:spacing w:line="360" w:lineRule="auto"/>
        <w:ind w:firstLineChars="200" w:firstLine="480"/>
        <w:jc w:val="both"/>
        <w:rPr>
          <w:rFonts w:ascii="Times New Roman" w:hAnsi="Times New Roman" w:cs="Times New Roman"/>
          <w:color w:val="auto"/>
          <w:lang w:eastAsia="zh-CN"/>
        </w:rPr>
      </w:pPr>
    </w:p>
    <w:p w14:paraId="22F4F546" w14:textId="77777777" w:rsidR="0075791A" w:rsidRDefault="0075791A">
      <w:pPr>
        <w:pStyle w:val="TableText"/>
        <w:spacing w:line="360" w:lineRule="auto"/>
        <w:ind w:firstLineChars="200" w:firstLine="480"/>
        <w:jc w:val="both"/>
        <w:rPr>
          <w:rFonts w:ascii="Times New Roman" w:hAnsi="Times New Roman" w:cs="Times New Roman"/>
          <w:color w:val="auto"/>
          <w:lang w:eastAsia="zh-CN"/>
        </w:rPr>
      </w:pPr>
    </w:p>
    <w:p w14:paraId="2A723069" w14:textId="77777777" w:rsidR="0075791A" w:rsidRDefault="00FB2864">
      <w:pPr>
        <w:pStyle w:val="TableText"/>
        <w:spacing w:line="360" w:lineRule="auto"/>
        <w:ind w:firstLineChars="200" w:firstLine="482"/>
        <w:jc w:val="both"/>
        <w:rPr>
          <w:rFonts w:ascii="Times New Roman" w:hAnsi="Times New Roman" w:cs="Times New Roman"/>
          <w:b/>
          <w:bCs/>
          <w:color w:val="auto"/>
          <w:lang w:eastAsia="zh-CN"/>
        </w:rPr>
      </w:pPr>
      <w:r>
        <w:rPr>
          <w:rFonts w:ascii="Times New Roman" w:hAnsi="Times New Roman" w:cs="Times New Roman" w:hint="eastAsia"/>
          <w:b/>
          <w:bCs/>
          <w:color w:val="auto"/>
          <w:lang w:eastAsia="zh-CN"/>
        </w:rPr>
        <w:t>2</w:t>
      </w:r>
      <w:r>
        <w:rPr>
          <w:rFonts w:ascii="Times New Roman" w:hAnsi="Times New Roman" w:cs="Times New Roman" w:hint="eastAsia"/>
          <w:b/>
          <w:bCs/>
          <w:color w:val="auto"/>
          <w:lang w:eastAsia="zh-CN"/>
        </w:rPr>
        <w:t>）三亚海棠湾旅游休闲娱乐区南部取排水工程项目用海</w:t>
      </w:r>
    </w:p>
    <w:p w14:paraId="79B7E589" w14:textId="77777777" w:rsidR="0075791A" w:rsidRDefault="00FB2864">
      <w:pPr>
        <w:pStyle w:val="TableText"/>
        <w:spacing w:line="360" w:lineRule="auto"/>
        <w:ind w:firstLineChars="200" w:firstLine="480"/>
        <w:jc w:val="both"/>
        <w:rPr>
          <w:rFonts w:ascii="Times New Roman" w:hAnsi="Times New Roman" w:cs="Times New Roman"/>
          <w:color w:val="auto"/>
          <w:lang w:eastAsia="zh-CN"/>
        </w:rPr>
      </w:pPr>
      <w:r>
        <w:rPr>
          <w:rFonts w:ascii="Times New Roman" w:hAnsi="Times New Roman" w:cs="Times New Roman" w:hint="eastAsia"/>
          <w:color w:val="auto"/>
          <w:lang w:eastAsia="zh-CN"/>
        </w:rPr>
        <w:t>三亚海棠湾旅游休闲娱乐区南部取排水工程项目用海位于本项目用海东北部约</w:t>
      </w:r>
      <w:r>
        <w:rPr>
          <w:rFonts w:ascii="Times New Roman" w:hAnsi="Times New Roman" w:cs="Times New Roman" w:hint="eastAsia"/>
          <w:color w:val="auto"/>
          <w:lang w:eastAsia="zh-CN"/>
        </w:rPr>
        <w:t>5.3km</w:t>
      </w:r>
      <w:r>
        <w:rPr>
          <w:rFonts w:ascii="Times New Roman" w:hAnsi="Times New Roman" w:cs="Times New Roman" w:hint="eastAsia"/>
          <w:color w:val="auto"/>
          <w:lang w:eastAsia="zh-CN"/>
        </w:rPr>
        <w:t>，用海单位为三亚海昌梦幻不夜城发展有限公司。项目用海总面积为</w:t>
      </w:r>
      <w:r>
        <w:rPr>
          <w:rFonts w:ascii="Times New Roman" w:hAnsi="Times New Roman" w:cs="Times New Roman" w:hint="eastAsia"/>
          <w:color w:val="auto"/>
          <w:lang w:eastAsia="zh-CN"/>
        </w:rPr>
        <w:t>1.8586</w:t>
      </w:r>
      <w:r>
        <w:rPr>
          <w:rFonts w:ascii="Times New Roman" w:hAnsi="Times New Roman" w:cs="Times New Roman" w:hint="eastAsia"/>
          <w:color w:val="auto"/>
          <w:lang w:eastAsia="zh-CN"/>
        </w:rPr>
        <w:t>公顷，其中取、排水管道用海</w:t>
      </w:r>
      <w:r>
        <w:rPr>
          <w:rFonts w:ascii="Times New Roman" w:hAnsi="Times New Roman" w:cs="Times New Roman" w:hint="eastAsia"/>
          <w:color w:val="auto"/>
          <w:lang w:eastAsia="zh-CN"/>
        </w:rPr>
        <w:t>1.2333</w:t>
      </w:r>
      <w:r>
        <w:rPr>
          <w:rFonts w:ascii="Times New Roman" w:hAnsi="Times New Roman" w:cs="Times New Roman" w:hint="eastAsia"/>
          <w:color w:val="auto"/>
          <w:lang w:eastAsia="zh-CN"/>
        </w:rPr>
        <w:t>公顷、排水口①用海</w:t>
      </w:r>
      <w:r>
        <w:rPr>
          <w:rFonts w:ascii="Times New Roman" w:hAnsi="Times New Roman" w:cs="Times New Roman" w:hint="eastAsia"/>
          <w:color w:val="auto"/>
          <w:lang w:eastAsia="zh-CN"/>
        </w:rPr>
        <w:t>0.1313</w:t>
      </w:r>
      <w:r>
        <w:rPr>
          <w:rFonts w:ascii="Times New Roman" w:hAnsi="Times New Roman" w:cs="Times New Roman" w:hint="eastAsia"/>
          <w:color w:val="auto"/>
          <w:lang w:eastAsia="zh-CN"/>
        </w:rPr>
        <w:t>公顷、排水口②用海</w:t>
      </w:r>
      <w:r>
        <w:rPr>
          <w:rFonts w:ascii="Times New Roman" w:hAnsi="Times New Roman" w:cs="Times New Roman" w:hint="eastAsia"/>
          <w:color w:val="auto"/>
          <w:lang w:eastAsia="zh-CN"/>
        </w:rPr>
        <w:t>0.1147</w:t>
      </w:r>
      <w:r>
        <w:rPr>
          <w:rFonts w:ascii="Times New Roman" w:hAnsi="Times New Roman" w:cs="Times New Roman" w:hint="eastAsia"/>
          <w:color w:val="auto"/>
          <w:lang w:eastAsia="zh-CN"/>
        </w:rPr>
        <w:t>公顷，取水口用海</w:t>
      </w:r>
      <w:r>
        <w:rPr>
          <w:rFonts w:ascii="Times New Roman" w:hAnsi="Times New Roman" w:cs="Times New Roman" w:hint="eastAsia"/>
          <w:color w:val="auto"/>
          <w:lang w:eastAsia="zh-CN"/>
        </w:rPr>
        <w:t>0.3793</w:t>
      </w:r>
      <w:r>
        <w:rPr>
          <w:rFonts w:ascii="Times New Roman" w:hAnsi="Times New Roman" w:cs="Times New Roman" w:hint="eastAsia"/>
          <w:color w:val="auto"/>
          <w:lang w:eastAsia="zh-CN"/>
        </w:rPr>
        <w:t>公顷。用海方式包括海底电缆管道和取、排水口用海。用海权限</w:t>
      </w:r>
      <w:r>
        <w:rPr>
          <w:rFonts w:ascii="Times New Roman" w:hAnsi="Times New Roman" w:cs="Times New Roman" w:hint="eastAsia"/>
          <w:color w:val="auto"/>
          <w:lang w:eastAsia="zh-CN"/>
        </w:rPr>
        <w:t>2017</w:t>
      </w:r>
      <w:r>
        <w:rPr>
          <w:rFonts w:ascii="Times New Roman" w:hAnsi="Times New Roman" w:cs="Times New Roman" w:hint="eastAsia"/>
          <w:color w:val="auto"/>
          <w:lang w:eastAsia="zh-CN"/>
        </w:rPr>
        <w:t>年</w:t>
      </w:r>
      <w:r>
        <w:rPr>
          <w:rFonts w:ascii="Times New Roman" w:hAnsi="Times New Roman" w:cs="Times New Roman" w:hint="eastAsia"/>
          <w:color w:val="auto"/>
          <w:lang w:eastAsia="zh-CN"/>
        </w:rPr>
        <w:t>10</w:t>
      </w:r>
      <w:r>
        <w:rPr>
          <w:rFonts w:ascii="Times New Roman" w:hAnsi="Times New Roman" w:cs="Times New Roman" w:hint="eastAsia"/>
          <w:color w:val="auto"/>
          <w:lang w:eastAsia="zh-CN"/>
        </w:rPr>
        <w:t>月</w:t>
      </w:r>
      <w:r>
        <w:rPr>
          <w:rFonts w:ascii="Times New Roman" w:hAnsi="Times New Roman" w:cs="Times New Roman" w:hint="eastAsia"/>
          <w:color w:val="auto"/>
          <w:lang w:eastAsia="zh-CN"/>
        </w:rPr>
        <w:t>24</w:t>
      </w:r>
      <w:r>
        <w:rPr>
          <w:rFonts w:ascii="Times New Roman" w:hAnsi="Times New Roman" w:cs="Times New Roman" w:hint="eastAsia"/>
          <w:color w:val="auto"/>
          <w:lang w:eastAsia="zh-CN"/>
        </w:rPr>
        <w:t>日至</w:t>
      </w:r>
      <w:r>
        <w:rPr>
          <w:rFonts w:ascii="Times New Roman" w:hAnsi="Times New Roman" w:cs="Times New Roman" w:hint="eastAsia"/>
          <w:color w:val="auto"/>
          <w:lang w:eastAsia="zh-CN"/>
        </w:rPr>
        <w:t>2042</w:t>
      </w:r>
      <w:r>
        <w:rPr>
          <w:rFonts w:ascii="Times New Roman" w:hAnsi="Times New Roman" w:cs="Times New Roman" w:hint="eastAsia"/>
          <w:color w:val="auto"/>
          <w:lang w:eastAsia="zh-CN"/>
        </w:rPr>
        <w:t>年</w:t>
      </w:r>
      <w:r>
        <w:rPr>
          <w:rFonts w:ascii="Times New Roman" w:hAnsi="Times New Roman" w:cs="Times New Roman" w:hint="eastAsia"/>
          <w:color w:val="auto"/>
          <w:lang w:eastAsia="zh-CN"/>
        </w:rPr>
        <w:t>10</w:t>
      </w:r>
      <w:r>
        <w:rPr>
          <w:rFonts w:ascii="Times New Roman" w:hAnsi="Times New Roman" w:cs="Times New Roman" w:hint="eastAsia"/>
          <w:color w:val="auto"/>
          <w:lang w:eastAsia="zh-CN"/>
        </w:rPr>
        <w:t>月</w:t>
      </w:r>
      <w:r>
        <w:rPr>
          <w:rFonts w:ascii="Times New Roman" w:hAnsi="Times New Roman" w:cs="Times New Roman" w:hint="eastAsia"/>
          <w:color w:val="auto"/>
          <w:lang w:eastAsia="zh-CN"/>
        </w:rPr>
        <w:t>23</w:t>
      </w:r>
      <w:r>
        <w:rPr>
          <w:rFonts w:ascii="Times New Roman" w:hAnsi="Times New Roman" w:cs="Times New Roman" w:hint="eastAsia"/>
          <w:color w:val="auto"/>
          <w:lang w:eastAsia="zh-CN"/>
        </w:rPr>
        <w:t>日。</w:t>
      </w:r>
    </w:p>
    <w:p w14:paraId="1EEDBE38" w14:textId="77777777" w:rsidR="0075791A" w:rsidRDefault="0075791A">
      <w:pPr>
        <w:pStyle w:val="TableText"/>
        <w:jc w:val="center"/>
        <w:rPr>
          <w:color w:val="auto"/>
          <w:lang w:eastAsia="zh-CN"/>
        </w:rPr>
      </w:pPr>
    </w:p>
    <w:p w14:paraId="21A73127" w14:textId="77777777" w:rsidR="0075791A" w:rsidRDefault="00FB2864">
      <w:pPr>
        <w:pStyle w:val="TableText"/>
        <w:spacing w:line="360" w:lineRule="auto"/>
        <w:jc w:val="center"/>
        <w:rPr>
          <w:rFonts w:ascii="Times New Roman" w:hAnsi="Times New Roman" w:cs="Times New Roman"/>
          <w:color w:val="auto"/>
          <w:lang w:eastAsia="zh-CN"/>
        </w:rPr>
      </w:pP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 xml:space="preserve">5.1.2-7 </w:t>
      </w:r>
      <w:r>
        <w:rPr>
          <w:rFonts w:ascii="Times New Roman" w:hAnsi="Times New Roman" w:cs="Times New Roman" w:hint="eastAsia"/>
          <w:color w:val="auto"/>
          <w:lang w:eastAsia="zh-CN"/>
        </w:rPr>
        <w:t>三亚海棠湾旅游休闲娱乐区南部取排水工程项目</w:t>
      </w:r>
      <w:r>
        <w:rPr>
          <w:rFonts w:ascii="Times New Roman" w:hAnsi="Times New Roman" w:cs="Times New Roman" w:hint="eastAsia"/>
          <w:color w:val="auto"/>
          <w:lang w:eastAsia="zh-CN"/>
        </w:rPr>
        <w:t>宗海界址图</w:t>
      </w:r>
    </w:p>
    <w:p w14:paraId="26157199" w14:textId="77777777" w:rsidR="0075791A" w:rsidRDefault="0075791A">
      <w:pPr>
        <w:pStyle w:val="TableText"/>
        <w:jc w:val="center"/>
        <w:rPr>
          <w:color w:val="auto"/>
          <w:lang w:eastAsia="zh-CN"/>
        </w:rPr>
      </w:pPr>
    </w:p>
    <w:p w14:paraId="1FB3B88D" w14:textId="77777777" w:rsidR="0075791A" w:rsidRDefault="00FB2864">
      <w:pPr>
        <w:pStyle w:val="TableText"/>
        <w:spacing w:line="360" w:lineRule="auto"/>
        <w:ind w:firstLineChars="200" w:firstLine="482"/>
        <w:jc w:val="both"/>
        <w:rPr>
          <w:rFonts w:ascii="Times New Roman" w:hAnsi="Times New Roman" w:cs="Times New Roman"/>
          <w:b/>
          <w:bCs/>
          <w:color w:val="auto"/>
          <w:lang w:eastAsia="zh-CN"/>
        </w:rPr>
      </w:pPr>
      <w:r>
        <w:rPr>
          <w:rFonts w:ascii="Times New Roman" w:hAnsi="Times New Roman" w:cs="Times New Roman" w:hint="eastAsia"/>
          <w:b/>
          <w:bCs/>
          <w:color w:val="auto"/>
          <w:lang w:eastAsia="zh-CN"/>
        </w:rPr>
        <w:t>3</w:t>
      </w:r>
      <w:r>
        <w:rPr>
          <w:rFonts w:ascii="Times New Roman" w:hAnsi="Times New Roman" w:cs="Times New Roman" w:hint="eastAsia"/>
          <w:b/>
          <w:bCs/>
          <w:color w:val="auto"/>
          <w:lang w:eastAsia="zh-CN"/>
        </w:rPr>
        <w:t>）蜈支洲岛旅游区基地码头旅游娱乐用海</w:t>
      </w:r>
    </w:p>
    <w:p w14:paraId="4CBBB504" w14:textId="77777777" w:rsidR="0075791A" w:rsidRDefault="00FB2864">
      <w:pPr>
        <w:pStyle w:val="TableText"/>
        <w:spacing w:line="360" w:lineRule="auto"/>
        <w:ind w:firstLineChars="200" w:firstLine="480"/>
        <w:jc w:val="both"/>
        <w:rPr>
          <w:rFonts w:ascii="Times New Roman" w:hAnsi="Times New Roman" w:cs="Times New Roman"/>
          <w:color w:val="auto"/>
          <w:lang w:eastAsia="zh-CN"/>
        </w:rPr>
      </w:pPr>
      <w:r>
        <w:rPr>
          <w:rFonts w:ascii="Times New Roman" w:hAnsi="Times New Roman" w:cs="Times New Roman" w:hint="eastAsia"/>
          <w:color w:val="auto"/>
          <w:lang w:eastAsia="zh-CN"/>
        </w:rPr>
        <w:t>蜈支洲岛旅游区</w:t>
      </w:r>
      <w:r>
        <w:rPr>
          <w:rFonts w:ascii="Times New Roman" w:hAnsi="Times New Roman" w:cs="Times New Roman" w:hint="eastAsia"/>
          <w:color w:val="auto"/>
          <w:lang w:eastAsia="zh-CN"/>
        </w:rPr>
        <w:t>基地码头旅游娱乐用海位于本项目用海区东北部约</w:t>
      </w:r>
      <w:r>
        <w:rPr>
          <w:rFonts w:ascii="Times New Roman" w:hAnsi="Times New Roman" w:cs="Times New Roman" w:hint="eastAsia"/>
          <w:color w:val="auto"/>
          <w:lang w:eastAsia="zh-CN"/>
        </w:rPr>
        <w:t>1.6km</w:t>
      </w:r>
      <w:r>
        <w:rPr>
          <w:rFonts w:ascii="Times New Roman" w:hAnsi="Times New Roman" w:cs="Times New Roman" w:hint="eastAsia"/>
          <w:color w:val="auto"/>
          <w:lang w:eastAsia="zh-CN"/>
        </w:rPr>
        <w:t>，由海南蜈支洲岛旅游开发股份有限公司负责建设。蜈支洲岛旅游区基地码头是蜈支洲岛旅游区与海南本岛往来的唯一客运码头，是游客进出蜈支洲岛旅游区的重要通道。</w:t>
      </w:r>
    </w:p>
    <w:p w14:paraId="581C3258" w14:textId="77777777" w:rsidR="0075791A" w:rsidRDefault="00FB2864">
      <w:pPr>
        <w:pStyle w:val="TableText"/>
        <w:spacing w:line="360" w:lineRule="auto"/>
        <w:ind w:firstLineChars="200" w:firstLine="480"/>
        <w:jc w:val="both"/>
        <w:rPr>
          <w:rFonts w:ascii="Times New Roman" w:hAnsi="Times New Roman" w:cs="Times New Roman"/>
          <w:color w:val="auto"/>
          <w:lang w:eastAsia="zh-CN"/>
        </w:rPr>
      </w:pPr>
      <w:r>
        <w:rPr>
          <w:rFonts w:ascii="Times New Roman" w:hAnsi="Times New Roman" w:cs="Times New Roman" w:hint="eastAsia"/>
          <w:color w:val="auto"/>
          <w:lang w:eastAsia="zh-CN"/>
        </w:rPr>
        <w:t>项目用海类型为旅游娱乐基础设施用海，用海内容包括海底管道（汽油管、柴油管、水管及电缆）、加油栈桥和加油浮趸、基地码头和停泊及回旋水域，总用海面积</w:t>
      </w:r>
      <w:r>
        <w:rPr>
          <w:rFonts w:ascii="Times New Roman" w:hAnsi="Times New Roman" w:cs="Times New Roman" w:hint="eastAsia"/>
          <w:color w:val="auto"/>
          <w:lang w:eastAsia="zh-CN"/>
        </w:rPr>
        <w:t>4.0063</w:t>
      </w:r>
      <w:r>
        <w:rPr>
          <w:rFonts w:ascii="Times New Roman" w:hAnsi="Times New Roman" w:cs="Times New Roman" w:hint="eastAsia"/>
          <w:color w:val="auto"/>
          <w:lang w:eastAsia="zh-CN"/>
        </w:rPr>
        <w:t>公顷，其中透水构筑物（码头、加油栈桥、加油浮趸）用海面积为</w:t>
      </w:r>
      <w:r>
        <w:rPr>
          <w:rFonts w:ascii="Times New Roman" w:hAnsi="Times New Roman" w:cs="Times New Roman" w:hint="eastAsia"/>
          <w:color w:val="auto"/>
          <w:lang w:eastAsia="zh-CN"/>
        </w:rPr>
        <w:t>1.4303</w:t>
      </w:r>
      <w:r>
        <w:rPr>
          <w:rFonts w:ascii="Times New Roman" w:hAnsi="Times New Roman" w:cs="Times New Roman" w:hint="eastAsia"/>
          <w:color w:val="auto"/>
          <w:lang w:eastAsia="zh-CN"/>
        </w:rPr>
        <w:t>公顷，港池用海面积为</w:t>
      </w:r>
      <w:r>
        <w:rPr>
          <w:rFonts w:ascii="Times New Roman" w:hAnsi="Times New Roman" w:cs="Times New Roman" w:hint="eastAsia"/>
          <w:color w:val="auto"/>
          <w:lang w:eastAsia="zh-CN"/>
        </w:rPr>
        <w:t>2.4975</w:t>
      </w:r>
      <w:r>
        <w:rPr>
          <w:rFonts w:ascii="Times New Roman" w:hAnsi="Times New Roman" w:cs="Times New Roman" w:hint="eastAsia"/>
          <w:color w:val="auto"/>
          <w:lang w:eastAsia="zh-CN"/>
        </w:rPr>
        <w:t>公顷，海底电缆管道（油管、水管及电缆）用海面积为</w:t>
      </w:r>
      <w:r>
        <w:rPr>
          <w:rFonts w:ascii="Times New Roman" w:hAnsi="Times New Roman" w:cs="Times New Roman" w:hint="eastAsia"/>
          <w:color w:val="auto"/>
          <w:lang w:eastAsia="zh-CN"/>
        </w:rPr>
        <w:t>0.0785</w:t>
      </w:r>
      <w:r>
        <w:rPr>
          <w:rFonts w:ascii="Times New Roman" w:hAnsi="Times New Roman" w:cs="Times New Roman" w:hint="eastAsia"/>
          <w:color w:val="auto"/>
          <w:lang w:eastAsia="zh-CN"/>
        </w:rPr>
        <w:t>公顷，用海期限为</w:t>
      </w:r>
      <w:r>
        <w:rPr>
          <w:rFonts w:ascii="Times New Roman" w:hAnsi="Times New Roman" w:cs="Times New Roman" w:hint="eastAsia"/>
          <w:color w:val="auto"/>
          <w:lang w:eastAsia="zh-CN"/>
        </w:rPr>
        <w:t>25</w:t>
      </w:r>
      <w:r>
        <w:rPr>
          <w:rFonts w:ascii="Times New Roman" w:hAnsi="Times New Roman" w:cs="Times New Roman" w:hint="eastAsia"/>
          <w:color w:val="auto"/>
          <w:lang w:eastAsia="zh-CN"/>
        </w:rPr>
        <w:t>年。</w:t>
      </w:r>
    </w:p>
    <w:p w14:paraId="4CC43648" w14:textId="77777777" w:rsidR="0075791A" w:rsidRDefault="00FB2864">
      <w:pPr>
        <w:pStyle w:val="TableText"/>
        <w:spacing w:line="360" w:lineRule="auto"/>
        <w:ind w:firstLineChars="200" w:firstLine="480"/>
        <w:jc w:val="both"/>
        <w:rPr>
          <w:color w:val="auto"/>
          <w:lang w:eastAsia="zh-CN"/>
        </w:rPr>
      </w:pPr>
      <w:r>
        <w:rPr>
          <w:rFonts w:ascii="Times New Roman" w:hAnsi="Times New Roman" w:cs="Times New Roman" w:hint="eastAsia"/>
          <w:color w:val="auto"/>
          <w:lang w:eastAsia="zh-CN"/>
        </w:rPr>
        <w:t>目前，该项目未建设，项目海域存在</w:t>
      </w:r>
      <w:r>
        <w:rPr>
          <w:rFonts w:hint="eastAsia"/>
          <w:color w:val="auto"/>
          <w:lang w:eastAsia="zh-CN"/>
        </w:rPr>
        <w:t>游客自发性旅游用海活动</w:t>
      </w:r>
      <w:r>
        <w:rPr>
          <w:rFonts w:hint="eastAsia"/>
          <w:color w:val="auto"/>
          <w:lang w:eastAsia="zh-CN"/>
        </w:rPr>
        <w:t>，</w:t>
      </w:r>
      <w:r>
        <w:rPr>
          <w:rFonts w:hint="eastAsia"/>
          <w:color w:val="auto"/>
          <w:lang w:eastAsia="zh-CN"/>
        </w:rPr>
        <w:t>如戏水、浮潜、海上娱乐运动、冲浪等。</w:t>
      </w:r>
    </w:p>
    <w:p w14:paraId="1E63399B" w14:textId="77777777" w:rsidR="0075791A" w:rsidRDefault="00FB2864">
      <w:pPr>
        <w:pStyle w:val="TableText"/>
        <w:jc w:val="center"/>
        <w:rPr>
          <w:color w:val="auto"/>
          <w:lang w:eastAsia="zh-CN"/>
        </w:rPr>
      </w:pPr>
      <w:r>
        <w:rPr>
          <w:rFonts w:hint="eastAsia"/>
          <w:noProof/>
          <w:color w:val="auto"/>
          <w:lang w:eastAsia="zh-CN"/>
        </w:rPr>
        <w:lastRenderedPageBreak/>
        <w:drawing>
          <wp:inline distT="0" distB="0" distL="114300" distR="114300" wp14:anchorId="44BFF7BB" wp14:editId="138FA14B">
            <wp:extent cx="5811520" cy="3874135"/>
            <wp:effectExtent l="0" t="0" r="10160" b="12065"/>
            <wp:docPr id="248"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01"/>
                    <pic:cNvPicPr>
                      <a:picLocks noChangeAspect="1"/>
                    </pic:cNvPicPr>
                  </pic:nvPicPr>
                  <pic:blipFill>
                    <a:blip r:embed="rId254"/>
                    <a:stretch>
                      <a:fillRect/>
                    </a:stretch>
                  </pic:blipFill>
                  <pic:spPr>
                    <a:xfrm>
                      <a:off x="0" y="0"/>
                      <a:ext cx="5811520" cy="3874135"/>
                    </a:xfrm>
                    <a:prstGeom prst="rect">
                      <a:avLst/>
                    </a:prstGeom>
                    <a:noFill/>
                    <a:ln>
                      <a:noFill/>
                    </a:ln>
                  </pic:spPr>
                </pic:pic>
              </a:graphicData>
            </a:graphic>
          </wp:inline>
        </w:drawing>
      </w:r>
    </w:p>
    <w:p w14:paraId="5FA5B3CB" w14:textId="77777777" w:rsidR="0075791A" w:rsidRDefault="00FB2864">
      <w:pPr>
        <w:pStyle w:val="TableText"/>
        <w:jc w:val="center"/>
        <w:rPr>
          <w:color w:val="auto"/>
          <w:lang w:eastAsia="zh-CN"/>
        </w:rPr>
      </w:pP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5.1.2-8</w:t>
      </w:r>
      <w:r>
        <w:rPr>
          <w:rFonts w:ascii="Times New Roman" w:hAnsi="Times New Roman" w:cs="Times New Roman" w:hint="eastAsia"/>
          <w:color w:val="auto"/>
          <w:lang w:eastAsia="zh-CN"/>
        </w:rPr>
        <w:t>蜈支洲岛旅游区基地码头现状</w:t>
      </w:r>
    </w:p>
    <w:p w14:paraId="72EF4D55" w14:textId="77777777" w:rsidR="0075791A" w:rsidRDefault="0075791A">
      <w:pPr>
        <w:pStyle w:val="TableText"/>
        <w:jc w:val="center"/>
        <w:rPr>
          <w:color w:val="auto"/>
          <w:lang w:eastAsia="zh-CN"/>
        </w:rPr>
      </w:pPr>
    </w:p>
    <w:p w14:paraId="6176A6DE" w14:textId="77777777" w:rsidR="0075791A" w:rsidRDefault="0075791A">
      <w:pPr>
        <w:pStyle w:val="TableText"/>
        <w:jc w:val="center"/>
        <w:rPr>
          <w:color w:val="auto"/>
          <w:lang w:eastAsia="zh-CN"/>
        </w:rPr>
      </w:pPr>
    </w:p>
    <w:p w14:paraId="1FEC8F8E" w14:textId="77777777" w:rsidR="0075791A" w:rsidRDefault="00FB2864">
      <w:pPr>
        <w:pStyle w:val="TableText"/>
        <w:spacing w:line="360" w:lineRule="auto"/>
        <w:jc w:val="center"/>
        <w:rPr>
          <w:rFonts w:ascii="Times New Roman" w:hAnsi="Times New Roman" w:cs="Times New Roman"/>
          <w:color w:val="auto"/>
          <w:lang w:eastAsia="zh-CN"/>
        </w:rPr>
      </w:pP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 xml:space="preserve">5.1.2-9 </w:t>
      </w:r>
      <w:r>
        <w:rPr>
          <w:rFonts w:ascii="Times New Roman" w:hAnsi="Times New Roman" w:cs="Times New Roman" w:hint="eastAsia"/>
          <w:color w:val="auto"/>
          <w:lang w:eastAsia="zh-CN"/>
        </w:rPr>
        <w:t>蜈支洲岛旅游区基地码头旅游娱乐用海</w:t>
      </w:r>
      <w:r>
        <w:rPr>
          <w:rFonts w:ascii="Times New Roman" w:hAnsi="Times New Roman" w:cs="Times New Roman" w:hint="eastAsia"/>
          <w:color w:val="auto"/>
          <w:lang w:eastAsia="zh-CN"/>
        </w:rPr>
        <w:t>宗海界址图</w:t>
      </w:r>
    </w:p>
    <w:p w14:paraId="514C0C8F" w14:textId="77777777" w:rsidR="0075791A" w:rsidRDefault="0075791A">
      <w:pPr>
        <w:pStyle w:val="TableText"/>
        <w:jc w:val="center"/>
        <w:rPr>
          <w:color w:val="auto"/>
          <w:lang w:eastAsia="zh-CN"/>
        </w:rPr>
      </w:pPr>
    </w:p>
    <w:p w14:paraId="6D8A98D9" w14:textId="77777777" w:rsidR="0075791A" w:rsidRDefault="0075791A">
      <w:pPr>
        <w:pStyle w:val="TableText"/>
        <w:jc w:val="center"/>
        <w:rPr>
          <w:color w:val="auto"/>
          <w:lang w:eastAsia="zh-CN"/>
        </w:rPr>
      </w:pPr>
    </w:p>
    <w:p w14:paraId="7916A0EF" w14:textId="77777777" w:rsidR="0075791A" w:rsidRDefault="00FB2864">
      <w:pPr>
        <w:pStyle w:val="TableText"/>
        <w:spacing w:line="360" w:lineRule="auto"/>
        <w:ind w:firstLineChars="200" w:firstLine="482"/>
        <w:jc w:val="both"/>
        <w:rPr>
          <w:rFonts w:ascii="Times New Roman" w:hAnsi="Times New Roman" w:cs="Times New Roman"/>
          <w:b/>
          <w:bCs/>
          <w:color w:val="auto"/>
          <w:lang w:eastAsia="zh-CN"/>
        </w:rPr>
      </w:pPr>
      <w:r>
        <w:rPr>
          <w:rFonts w:ascii="Times New Roman" w:hAnsi="Times New Roman" w:cs="Times New Roman" w:hint="eastAsia"/>
          <w:b/>
          <w:bCs/>
          <w:color w:val="auto"/>
          <w:lang w:eastAsia="zh-CN"/>
        </w:rPr>
        <w:t>4</w:t>
      </w:r>
      <w:r>
        <w:rPr>
          <w:rFonts w:ascii="Times New Roman" w:hAnsi="Times New Roman" w:cs="Times New Roman" w:hint="eastAsia"/>
          <w:b/>
          <w:bCs/>
          <w:color w:val="auto"/>
          <w:lang w:eastAsia="zh-CN"/>
        </w:rPr>
        <w:t>）</w:t>
      </w:r>
      <w:r>
        <w:rPr>
          <w:b/>
          <w:bCs/>
          <w:color w:val="auto"/>
          <w:lang w:eastAsia="zh-CN"/>
        </w:rPr>
        <w:t>三亚后海湾旅游娱乐用海项目</w:t>
      </w:r>
    </w:p>
    <w:p w14:paraId="7428E470" w14:textId="77777777" w:rsidR="0075791A" w:rsidRDefault="00FB2864">
      <w:pPr>
        <w:pStyle w:val="TableText"/>
        <w:spacing w:line="360" w:lineRule="auto"/>
        <w:ind w:firstLineChars="200" w:firstLine="480"/>
        <w:jc w:val="both"/>
        <w:rPr>
          <w:rFonts w:ascii="Times New Roman" w:hAnsi="Times New Roman" w:cs="Times New Roman"/>
          <w:color w:val="auto"/>
          <w:lang w:eastAsia="zh-CN"/>
        </w:rPr>
      </w:pPr>
      <w:r>
        <w:rPr>
          <w:color w:val="auto"/>
          <w:lang w:eastAsia="zh-CN"/>
        </w:rPr>
        <w:t>三亚后海湾旅游娱乐用海项目</w:t>
      </w:r>
      <w:r>
        <w:rPr>
          <w:rFonts w:ascii="Times New Roman" w:hAnsi="Times New Roman" w:cs="Times New Roman" w:hint="eastAsia"/>
          <w:color w:val="auto"/>
          <w:lang w:eastAsia="zh-CN"/>
        </w:rPr>
        <w:t>位于本项目用海区东部约</w:t>
      </w:r>
      <w:r>
        <w:rPr>
          <w:rFonts w:ascii="Times New Roman" w:hAnsi="Times New Roman" w:cs="Times New Roman" w:hint="eastAsia"/>
          <w:color w:val="auto"/>
          <w:lang w:eastAsia="zh-CN"/>
        </w:rPr>
        <w:t>0.6km</w:t>
      </w:r>
      <w:r>
        <w:rPr>
          <w:rFonts w:ascii="Times New Roman" w:hAnsi="Times New Roman" w:cs="Times New Roman" w:hint="eastAsia"/>
          <w:color w:val="auto"/>
          <w:lang w:eastAsia="zh-CN"/>
        </w:rPr>
        <w:t>，由</w:t>
      </w:r>
      <w:r>
        <w:rPr>
          <w:rFonts w:ascii="Times New Roman" w:hAnsi="Times New Roman" w:cs="Times New Roman"/>
          <w:color w:val="auto"/>
          <w:lang w:eastAsia="zh-CN"/>
        </w:rPr>
        <w:t>三亚森旅投资有限公司</w:t>
      </w:r>
      <w:r>
        <w:rPr>
          <w:rFonts w:ascii="Times New Roman" w:hAnsi="Times New Roman" w:cs="Times New Roman" w:hint="eastAsia"/>
          <w:color w:val="auto"/>
          <w:lang w:eastAsia="zh-CN"/>
        </w:rPr>
        <w:t>负责建设。项目用海总面积为</w:t>
      </w:r>
      <w:r>
        <w:rPr>
          <w:rFonts w:ascii="Times New Roman" w:hAnsi="Times New Roman" w:cs="Times New Roman" w:hint="eastAsia"/>
          <w:color w:val="auto"/>
          <w:lang w:eastAsia="zh-CN"/>
        </w:rPr>
        <w:t>49.7238</w:t>
      </w:r>
      <w:r>
        <w:rPr>
          <w:rFonts w:ascii="Times New Roman" w:hAnsi="Times New Roman" w:cs="Times New Roman" w:hint="eastAsia"/>
          <w:color w:val="auto"/>
          <w:lang w:eastAsia="zh-CN"/>
        </w:rPr>
        <w:t>公顷，建设内容包括</w:t>
      </w:r>
      <w:r>
        <w:rPr>
          <w:color w:val="auto"/>
          <w:lang w:eastAsia="zh-CN"/>
        </w:rPr>
        <w:t>海水浴场</w:t>
      </w:r>
      <w:r>
        <w:rPr>
          <w:color w:val="auto"/>
          <w:spacing w:val="-20"/>
          <w:lang w:eastAsia="zh-CN"/>
        </w:rPr>
        <w:t>、</w:t>
      </w:r>
      <w:r>
        <w:rPr>
          <w:color w:val="auto"/>
          <w:lang w:eastAsia="zh-CN"/>
        </w:rPr>
        <w:t>栈桥和平台</w:t>
      </w:r>
      <w:r>
        <w:rPr>
          <w:color w:val="auto"/>
          <w:spacing w:val="-12"/>
          <w:lang w:eastAsia="zh-CN"/>
        </w:rPr>
        <w:t>、</w:t>
      </w:r>
      <w:r>
        <w:rPr>
          <w:color w:val="auto"/>
          <w:lang w:eastAsia="zh-CN"/>
        </w:rPr>
        <w:t>海上运动娱乐区</w:t>
      </w:r>
      <w:r>
        <w:rPr>
          <w:rFonts w:ascii="Times New Roman" w:hAnsi="Times New Roman" w:cs="Times New Roman" w:hint="eastAsia"/>
          <w:color w:val="auto"/>
          <w:lang w:eastAsia="zh-CN"/>
        </w:rPr>
        <w:t>。用海权限</w:t>
      </w:r>
      <w:r>
        <w:rPr>
          <w:rFonts w:ascii="Times New Roman" w:hAnsi="Times New Roman" w:cs="Times New Roman" w:hint="eastAsia"/>
          <w:color w:val="auto"/>
          <w:lang w:eastAsia="zh-CN"/>
        </w:rPr>
        <w:t>2024</w:t>
      </w:r>
      <w:r>
        <w:rPr>
          <w:rFonts w:ascii="Times New Roman" w:hAnsi="Times New Roman" w:cs="Times New Roman" w:hint="eastAsia"/>
          <w:color w:val="auto"/>
          <w:lang w:eastAsia="zh-CN"/>
        </w:rPr>
        <w:t>年</w:t>
      </w:r>
      <w:r>
        <w:rPr>
          <w:rFonts w:ascii="Times New Roman" w:hAnsi="Times New Roman" w:cs="Times New Roman" w:hint="eastAsia"/>
          <w:color w:val="auto"/>
          <w:lang w:eastAsia="zh-CN"/>
        </w:rPr>
        <w:t>3</w:t>
      </w:r>
      <w:r>
        <w:rPr>
          <w:rFonts w:ascii="Times New Roman" w:hAnsi="Times New Roman" w:cs="Times New Roman" w:hint="eastAsia"/>
          <w:color w:val="auto"/>
          <w:lang w:eastAsia="zh-CN"/>
        </w:rPr>
        <w:t>月</w:t>
      </w:r>
      <w:r>
        <w:rPr>
          <w:rFonts w:ascii="Times New Roman" w:hAnsi="Times New Roman" w:cs="Times New Roman" w:hint="eastAsia"/>
          <w:color w:val="auto"/>
          <w:lang w:eastAsia="zh-CN"/>
        </w:rPr>
        <w:t>15</w:t>
      </w:r>
      <w:r>
        <w:rPr>
          <w:rFonts w:ascii="Times New Roman" w:hAnsi="Times New Roman" w:cs="Times New Roman" w:hint="eastAsia"/>
          <w:color w:val="auto"/>
          <w:lang w:eastAsia="zh-CN"/>
        </w:rPr>
        <w:t>日至</w:t>
      </w:r>
      <w:r>
        <w:rPr>
          <w:rFonts w:ascii="Times New Roman" w:hAnsi="Times New Roman" w:cs="Times New Roman" w:hint="eastAsia"/>
          <w:color w:val="auto"/>
          <w:lang w:eastAsia="zh-CN"/>
        </w:rPr>
        <w:t>2049</w:t>
      </w:r>
      <w:r>
        <w:rPr>
          <w:rFonts w:ascii="Times New Roman" w:hAnsi="Times New Roman" w:cs="Times New Roman" w:hint="eastAsia"/>
          <w:color w:val="auto"/>
          <w:lang w:eastAsia="zh-CN"/>
        </w:rPr>
        <w:t>年</w:t>
      </w:r>
      <w:r>
        <w:rPr>
          <w:rFonts w:ascii="Times New Roman" w:hAnsi="Times New Roman" w:cs="Times New Roman" w:hint="eastAsia"/>
          <w:color w:val="auto"/>
          <w:lang w:eastAsia="zh-CN"/>
        </w:rPr>
        <w:t>3</w:t>
      </w:r>
      <w:r>
        <w:rPr>
          <w:rFonts w:ascii="Times New Roman" w:hAnsi="Times New Roman" w:cs="Times New Roman" w:hint="eastAsia"/>
          <w:color w:val="auto"/>
          <w:lang w:eastAsia="zh-CN"/>
        </w:rPr>
        <w:t>月</w:t>
      </w:r>
      <w:r>
        <w:rPr>
          <w:rFonts w:ascii="Times New Roman" w:hAnsi="Times New Roman" w:cs="Times New Roman" w:hint="eastAsia"/>
          <w:color w:val="auto"/>
          <w:lang w:eastAsia="zh-CN"/>
        </w:rPr>
        <w:t>15</w:t>
      </w:r>
      <w:r>
        <w:rPr>
          <w:rFonts w:ascii="Times New Roman" w:hAnsi="Times New Roman" w:cs="Times New Roman" w:hint="eastAsia"/>
          <w:color w:val="auto"/>
          <w:lang w:eastAsia="zh-CN"/>
        </w:rPr>
        <w:t>日。根据现场踏勘，该项目还未建设。</w:t>
      </w:r>
    </w:p>
    <w:p w14:paraId="5FD08104" w14:textId="77777777" w:rsidR="0075791A" w:rsidRDefault="0075791A">
      <w:pPr>
        <w:pStyle w:val="TableText"/>
        <w:jc w:val="center"/>
        <w:rPr>
          <w:rFonts w:ascii="Times New Roman" w:hAnsi="Times New Roman" w:cs="Times New Roman"/>
          <w:color w:val="auto"/>
          <w:lang w:eastAsia="zh-CN"/>
        </w:rPr>
      </w:pPr>
    </w:p>
    <w:p w14:paraId="5CF258AF" w14:textId="77777777" w:rsidR="0075791A" w:rsidRDefault="00FB2864">
      <w:pPr>
        <w:pStyle w:val="TableText"/>
        <w:jc w:val="center"/>
        <w:rPr>
          <w:rFonts w:ascii="Times New Roman" w:hAnsi="Times New Roman" w:cs="Times New Roman"/>
          <w:color w:val="auto"/>
          <w:lang w:eastAsia="zh-CN"/>
        </w:rPr>
      </w:pP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5.1.2-10</w:t>
      </w:r>
      <w:r>
        <w:rPr>
          <w:color w:val="auto"/>
          <w:lang w:eastAsia="zh-CN"/>
        </w:rPr>
        <w:t>三亚后海湾旅游娱乐用海项目</w:t>
      </w:r>
    </w:p>
    <w:p w14:paraId="5841106F" w14:textId="77777777" w:rsidR="0075791A" w:rsidRDefault="00FB2864">
      <w:pPr>
        <w:numPr>
          <w:ilvl w:val="0"/>
          <w:numId w:val="5"/>
        </w:numPr>
        <w:spacing w:line="360" w:lineRule="auto"/>
        <w:ind w:firstLineChars="200" w:firstLine="478"/>
        <w:jc w:val="both"/>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color w:val="auto"/>
          <w:spacing w:val="-2"/>
          <w:sz w:val="24"/>
          <w:szCs w:val="24"/>
          <w:lang w:eastAsia="zh-CN"/>
        </w:rPr>
        <w:t>后海渔业码头</w:t>
      </w:r>
    </w:p>
    <w:p w14:paraId="53204A84" w14:textId="77777777" w:rsidR="0075791A" w:rsidRDefault="00FB2864">
      <w:pPr>
        <w:pStyle w:val="TableText"/>
        <w:spacing w:line="360" w:lineRule="auto"/>
        <w:ind w:firstLineChars="200" w:firstLine="480"/>
        <w:jc w:val="both"/>
        <w:rPr>
          <w:color w:val="auto"/>
          <w:lang w:eastAsia="zh-CN"/>
        </w:rPr>
      </w:pPr>
      <w:r>
        <w:rPr>
          <w:rFonts w:hint="eastAsia"/>
          <w:color w:val="auto"/>
          <w:lang w:eastAsia="zh-CN"/>
        </w:rPr>
        <w:t>后海渔业码头紧靠项目用海区东北部约</w:t>
      </w:r>
      <w:r>
        <w:rPr>
          <w:rFonts w:hint="eastAsia"/>
          <w:color w:val="auto"/>
          <w:lang w:eastAsia="zh-CN"/>
        </w:rPr>
        <w:t>1.7km</w:t>
      </w:r>
      <w:r>
        <w:rPr>
          <w:rFonts w:hint="eastAsia"/>
          <w:color w:val="auto"/>
          <w:lang w:eastAsia="zh-CN"/>
        </w:rPr>
        <w:t>。后海渔业码头（当地人也称</w:t>
      </w:r>
      <w:r>
        <w:rPr>
          <w:color w:val="auto"/>
          <w:lang w:eastAsia="zh-CN"/>
        </w:rPr>
        <w:t>“</w:t>
      </w:r>
      <w:r>
        <w:rPr>
          <w:rFonts w:hint="eastAsia"/>
          <w:color w:val="auto"/>
          <w:lang w:eastAsia="zh-CN"/>
        </w:rPr>
        <w:t>灯塔码头</w:t>
      </w:r>
      <w:r>
        <w:rPr>
          <w:color w:val="auto"/>
          <w:lang w:eastAsia="zh-CN"/>
        </w:rPr>
        <w:t>”</w:t>
      </w:r>
      <w:r>
        <w:rPr>
          <w:rFonts w:hint="eastAsia"/>
          <w:color w:val="auto"/>
          <w:lang w:eastAsia="zh-CN"/>
        </w:rPr>
        <w:t>）于</w:t>
      </w:r>
      <w:r>
        <w:rPr>
          <w:rFonts w:hint="eastAsia"/>
          <w:color w:val="auto"/>
          <w:lang w:eastAsia="zh-CN"/>
        </w:rPr>
        <w:t>70</w:t>
      </w:r>
      <w:r>
        <w:rPr>
          <w:rFonts w:hint="eastAsia"/>
          <w:color w:val="auto"/>
          <w:lang w:eastAsia="zh-CN"/>
        </w:rPr>
        <w:t>年代初由</w:t>
      </w:r>
      <w:r>
        <w:rPr>
          <w:rFonts w:hint="eastAsia"/>
          <w:color w:val="auto"/>
          <w:lang w:eastAsia="zh-CN"/>
        </w:rPr>
        <w:t>海南</w:t>
      </w:r>
      <w:r>
        <w:rPr>
          <w:rFonts w:hint="eastAsia"/>
          <w:color w:val="auto"/>
          <w:lang w:eastAsia="zh-CN"/>
        </w:rPr>
        <w:t>省财政出资拨款建造，后海南蜈支洲旅游开发有限公司为消除和降低东北季风及海浪对其基地码头和船舶造成的风险隐患，于</w:t>
      </w:r>
      <w:r>
        <w:rPr>
          <w:rFonts w:hint="eastAsia"/>
          <w:color w:val="auto"/>
          <w:lang w:eastAsia="zh-CN"/>
        </w:rPr>
        <w:t>2007</w:t>
      </w:r>
      <w:r>
        <w:rPr>
          <w:rFonts w:hint="eastAsia"/>
          <w:color w:val="auto"/>
          <w:lang w:eastAsia="zh-CN"/>
        </w:rPr>
        <w:t>年在渔业码头远端通过填海方式续建了一段防波堤。目前码头防波堤根部为透水构筑物结构。</w:t>
      </w:r>
    </w:p>
    <w:p w14:paraId="18D77BC7" w14:textId="77777777" w:rsidR="0075791A" w:rsidRDefault="00FB2864">
      <w:pPr>
        <w:pStyle w:val="TableText"/>
        <w:spacing w:line="360" w:lineRule="auto"/>
        <w:ind w:firstLineChars="200" w:firstLine="480"/>
        <w:jc w:val="both"/>
        <w:rPr>
          <w:color w:val="auto"/>
          <w:lang w:eastAsia="zh-CN"/>
        </w:rPr>
      </w:pPr>
      <w:r>
        <w:rPr>
          <w:rFonts w:hint="eastAsia"/>
          <w:color w:val="auto"/>
          <w:lang w:eastAsia="zh-CN"/>
        </w:rPr>
        <w:lastRenderedPageBreak/>
        <w:t>后海渔业码头当前主要作为后海当地渔船和</w:t>
      </w:r>
      <w:r>
        <w:rPr>
          <w:color w:val="auto"/>
          <w:lang w:eastAsia="zh-CN"/>
        </w:rPr>
        <w:t>“</w:t>
      </w:r>
      <w:r>
        <w:rPr>
          <w:rFonts w:hint="eastAsia"/>
          <w:color w:val="auto"/>
          <w:lang w:eastAsia="zh-CN"/>
        </w:rPr>
        <w:t>三无</w:t>
      </w:r>
      <w:r>
        <w:rPr>
          <w:color w:val="auto"/>
          <w:lang w:eastAsia="zh-CN"/>
        </w:rPr>
        <w:t>”</w:t>
      </w:r>
      <w:r>
        <w:rPr>
          <w:rFonts w:hint="eastAsia"/>
          <w:color w:val="auto"/>
          <w:lang w:eastAsia="zh-CN"/>
        </w:rPr>
        <w:t>船舶临时停靠点以及蜈支洲岛景区工程船靠泊使用。由于建成年代久远和产权无法分割，该码头用海未办理海域使用权证。</w:t>
      </w:r>
    </w:p>
    <w:p w14:paraId="1DB44242" w14:textId="77777777" w:rsidR="0075791A" w:rsidRDefault="00FB2864">
      <w:pPr>
        <w:spacing w:line="360" w:lineRule="auto"/>
        <w:jc w:val="center"/>
        <w:rPr>
          <w:rFonts w:ascii="Times New Roman" w:eastAsia="宋体" w:hAnsi="Times New Roman" w:cs="宋体"/>
          <w:color w:val="auto"/>
          <w:spacing w:val="-1"/>
          <w:sz w:val="24"/>
          <w:szCs w:val="24"/>
          <w:lang w:eastAsia="zh-CN"/>
        </w:rPr>
      </w:pPr>
      <w:r>
        <w:rPr>
          <w:rFonts w:ascii="Times New Roman" w:eastAsia="宋体" w:hAnsi="Times New Roman" w:cs="宋体" w:hint="eastAsia"/>
          <w:noProof/>
          <w:color w:val="auto"/>
          <w:spacing w:val="-1"/>
          <w:sz w:val="24"/>
          <w:szCs w:val="24"/>
          <w:lang w:eastAsia="zh-CN"/>
        </w:rPr>
        <w:drawing>
          <wp:inline distT="0" distB="0" distL="114300" distR="114300" wp14:anchorId="082B845B" wp14:editId="08813CD3">
            <wp:extent cx="5424170" cy="3613785"/>
            <wp:effectExtent l="0" t="0" r="1270" b="13335"/>
            <wp:docPr id="249"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02"/>
                    <pic:cNvPicPr>
                      <a:picLocks noChangeAspect="1"/>
                    </pic:cNvPicPr>
                  </pic:nvPicPr>
                  <pic:blipFill>
                    <a:blip r:embed="rId255"/>
                    <a:stretch>
                      <a:fillRect/>
                    </a:stretch>
                  </pic:blipFill>
                  <pic:spPr>
                    <a:xfrm>
                      <a:off x="0" y="0"/>
                      <a:ext cx="5424170" cy="3613785"/>
                    </a:xfrm>
                    <a:prstGeom prst="rect">
                      <a:avLst/>
                    </a:prstGeom>
                    <a:noFill/>
                    <a:ln>
                      <a:noFill/>
                    </a:ln>
                  </pic:spPr>
                </pic:pic>
              </a:graphicData>
            </a:graphic>
          </wp:inline>
        </w:drawing>
      </w:r>
    </w:p>
    <w:p w14:paraId="275EA3F6" w14:textId="77777777" w:rsidR="0075791A" w:rsidRDefault="00FB2864">
      <w:pPr>
        <w:pStyle w:val="TableText"/>
        <w:spacing w:line="360" w:lineRule="auto"/>
        <w:jc w:val="center"/>
        <w:rPr>
          <w:rFonts w:ascii="Times New Roman" w:hAnsi="Times New Roman"/>
          <w:color w:val="auto"/>
          <w:spacing w:val="-1"/>
          <w:lang w:eastAsia="zh-CN"/>
        </w:rPr>
      </w:pP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 xml:space="preserve">5.1.2-11 </w:t>
      </w:r>
      <w:r>
        <w:rPr>
          <w:rFonts w:ascii="Times New Roman" w:hAnsi="Times New Roman" w:cs="Times New Roman" w:hint="eastAsia"/>
          <w:color w:val="auto"/>
          <w:lang w:eastAsia="zh-CN"/>
        </w:rPr>
        <w:t>后海渔业码头现状</w:t>
      </w:r>
    </w:p>
    <w:p w14:paraId="74C4E0DE" w14:textId="77777777" w:rsidR="0075791A" w:rsidRDefault="00FB2864">
      <w:pPr>
        <w:pStyle w:val="TableText"/>
        <w:spacing w:line="360" w:lineRule="auto"/>
        <w:ind w:firstLineChars="200" w:firstLine="482"/>
        <w:jc w:val="both"/>
        <w:rPr>
          <w:b/>
          <w:bCs/>
          <w:color w:val="auto"/>
          <w:lang w:eastAsia="zh-CN"/>
        </w:rPr>
      </w:pPr>
      <w:r>
        <w:rPr>
          <w:rFonts w:hint="eastAsia"/>
          <w:b/>
          <w:bCs/>
          <w:color w:val="auto"/>
          <w:lang w:eastAsia="zh-CN"/>
        </w:rPr>
        <w:t>6</w:t>
      </w:r>
      <w:r>
        <w:rPr>
          <w:rFonts w:hint="eastAsia"/>
          <w:b/>
          <w:bCs/>
          <w:color w:val="auto"/>
          <w:lang w:eastAsia="zh-CN"/>
        </w:rPr>
        <w:t>）</w:t>
      </w:r>
      <w:r>
        <w:rPr>
          <w:rFonts w:hint="eastAsia"/>
          <w:b/>
          <w:bCs/>
          <w:color w:val="auto"/>
          <w:lang w:eastAsia="zh-CN"/>
        </w:rPr>
        <w:t>铁炉港口门防波堤</w:t>
      </w:r>
    </w:p>
    <w:p w14:paraId="3FF38FF2" w14:textId="77777777" w:rsidR="0075791A" w:rsidRDefault="00FB2864">
      <w:pPr>
        <w:pStyle w:val="TableText"/>
        <w:spacing w:line="360" w:lineRule="auto"/>
        <w:ind w:firstLineChars="200" w:firstLine="480"/>
        <w:jc w:val="both"/>
        <w:rPr>
          <w:color w:val="auto"/>
          <w:lang w:eastAsia="zh-CN"/>
        </w:rPr>
      </w:pPr>
      <w:r>
        <w:rPr>
          <w:rFonts w:hint="eastAsia"/>
          <w:color w:val="auto"/>
          <w:lang w:eastAsia="zh-CN"/>
        </w:rPr>
        <w:t>铁炉港口门防波堤在铁炉港潟湖口门</w:t>
      </w:r>
      <w:r>
        <w:rPr>
          <w:rFonts w:hint="eastAsia"/>
          <w:color w:val="auto"/>
          <w:lang w:eastAsia="zh-CN"/>
        </w:rPr>
        <w:t>东西两侧</w:t>
      </w:r>
      <w:r>
        <w:rPr>
          <w:rFonts w:hint="eastAsia"/>
          <w:color w:val="auto"/>
          <w:lang w:eastAsia="zh-CN"/>
        </w:rPr>
        <w:t>，距本项目东</w:t>
      </w:r>
      <w:r>
        <w:rPr>
          <w:rFonts w:hint="eastAsia"/>
          <w:color w:val="auto"/>
          <w:lang w:eastAsia="zh-CN"/>
        </w:rPr>
        <w:t>部</w:t>
      </w:r>
      <w:r>
        <w:rPr>
          <w:rFonts w:hint="eastAsia"/>
          <w:color w:val="auto"/>
          <w:lang w:eastAsia="zh-CN"/>
        </w:rPr>
        <w:t>约</w:t>
      </w:r>
      <w:r>
        <w:rPr>
          <w:rFonts w:hint="eastAsia"/>
          <w:color w:val="auto"/>
          <w:lang w:eastAsia="zh-CN"/>
        </w:rPr>
        <w:t>1.0k</w:t>
      </w:r>
      <w:r>
        <w:rPr>
          <w:color w:val="auto"/>
          <w:lang w:eastAsia="zh-CN"/>
        </w:rPr>
        <w:t>m</w:t>
      </w:r>
      <w:r>
        <w:rPr>
          <w:rFonts w:hint="eastAsia"/>
          <w:color w:val="auto"/>
          <w:lang w:eastAsia="zh-CN"/>
        </w:rPr>
        <w:t>，</w:t>
      </w:r>
      <w:r>
        <w:rPr>
          <w:rFonts w:hint="eastAsia"/>
          <w:color w:val="auto"/>
          <w:lang w:eastAsia="zh-CN"/>
        </w:rPr>
        <w:t>东侧防波堤</w:t>
      </w:r>
      <w:r>
        <w:rPr>
          <w:rFonts w:hint="eastAsia"/>
          <w:color w:val="auto"/>
          <w:lang w:eastAsia="zh-CN"/>
        </w:rPr>
        <w:t>长约</w:t>
      </w:r>
      <w:r>
        <w:rPr>
          <w:color w:val="auto"/>
          <w:lang w:eastAsia="zh-CN"/>
        </w:rPr>
        <w:t>360m</w:t>
      </w:r>
      <w:r>
        <w:rPr>
          <w:rFonts w:hint="eastAsia"/>
          <w:color w:val="auto"/>
          <w:lang w:eastAsia="zh-CN"/>
        </w:rPr>
        <w:t>，西侧防波堤长约</w:t>
      </w:r>
      <w:r>
        <w:rPr>
          <w:rFonts w:hint="eastAsia"/>
          <w:color w:val="auto"/>
          <w:lang w:eastAsia="zh-CN"/>
        </w:rPr>
        <w:t>150m</w:t>
      </w:r>
      <w:r>
        <w:rPr>
          <w:rFonts w:hint="eastAsia"/>
          <w:color w:val="auto"/>
          <w:lang w:eastAsia="zh-CN"/>
        </w:rPr>
        <w:t>，堤头位置有一灯塔。防波堤对后海湾南部及铁炉港潟湖口门起掩护作用。</w:t>
      </w:r>
    </w:p>
    <w:p w14:paraId="7DE614F2" w14:textId="77777777" w:rsidR="0075791A" w:rsidRDefault="0075791A">
      <w:pPr>
        <w:spacing w:line="360" w:lineRule="auto"/>
        <w:jc w:val="center"/>
        <w:rPr>
          <w:rFonts w:ascii="Times New Roman" w:eastAsia="宋体" w:hAnsi="Times New Roman" w:cs="宋体"/>
          <w:color w:val="auto"/>
          <w:spacing w:val="-1"/>
          <w:sz w:val="24"/>
          <w:szCs w:val="24"/>
          <w:lang w:eastAsia="zh-CN"/>
        </w:rPr>
      </w:pPr>
    </w:p>
    <w:p w14:paraId="7EBE868A" w14:textId="77777777" w:rsidR="0075791A" w:rsidRDefault="00FB2864">
      <w:pPr>
        <w:pStyle w:val="TableText"/>
        <w:spacing w:line="360" w:lineRule="auto"/>
        <w:jc w:val="center"/>
        <w:rPr>
          <w:rFonts w:ascii="Times New Roman" w:hAnsi="Times New Roman"/>
          <w:color w:val="auto"/>
          <w:spacing w:val="-1"/>
          <w:lang w:eastAsia="zh-CN"/>
        </w:rPr>
      </w:pP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 xml:space="preserve">5.1.2-12 </w:t>
      </w:r>
      <w:r>
        <w:rPr>
          <w:rFonts w:hint="eastAsia"/>
          <w:color w:val="auto"/>
          <w:lang w:eastAsia="zh-CN"/>
        </w:rPr>
        <w:t>铁炉港口门防波堤</w:t>
      </w:r>
      <w:r>
        <w:rPr>
          <w:rFonts w:hint="eastAsia"/>
          <w:color w:val="auto"/>
          <w:lang w:eastAsia="zh-CN"/>
        </w:rPr>
        <w:t>现状</w:t>
      </w:r>
    </w:p>
    <w:p w14:paraId="6E3C5B6F" w14:textId="77777777" w:rsidR="0075791A" w:rsidRDefault="00FB2864">
      <w:pPr>
        <w:pStyle w:val="TableText"/>
        <w:spacing w:line="360" w:lineRule="auto"/>
        <w:ind w:firstLineChars="200" w:firstLine="482"/>
        <w:jc w:val="both"/>
        <w:rPr>
          <w:b/>
          <w:bCs/>
          <w:color w:val="auto"/>
          <w:lang w:eastAsia="zh-CN"/>
        </w:rPr>
      </w:pPr>
      <w:r>
        <w:rPr>
          <w:rFonts w:hint="eastAsia"/>
          <w:b/>
          <w:bCs/>
          <w:color w:val="auto"/>
          <w:lang w:eastAsia="zh-CN"/>
        </w:rPr>
        <w:t>7</w:t>
      </w:r>
      <w:r>
        <w:rPr>
          <w:rFonts w:hint="eastAsia"/>
          <w:b/>
          <w:bCs/>
          <w:color w:val="auto"/>
          <w:lang w:eastAsia="zh-CN"/>
        </w:rPr>
        <w:t>）</w:t>
      </w:r>
      <w:r>
        <w:rPr>
          <w:rFonts w:ascii="monospace" w:eastAsia="monospace" w:cs="monospace"/>
          <w:b/>
          <w:bCs/>
          <w:color w:val="auto"/>
          <w:lang w:eastAsia="zh-CN"/>
        </w:rPr>
        <w:t>后海渔港</w:t>
      </w:r>
    </w:p>
    <w:p w14:paraId="1C8CA28B" w14:textId="77777777" w:rsidR="0075791A" w:rsidRDefault="00FB2864">
      <w:pPr>
        <w:spacing w:line="360" w:lineRule="auto"/>
        <w:ind w:firstLineChars="200" w:firstLine="480"/>
        <w:jc w:val="both"/>
        <w:rPr>
          <w:rFonts w:ascii="宋体" w:eastAsia="宋体" w:hAnsi="宋体" w:cs="宋体"/>
          <w:color w:val="auto"/>
          <w:sz w:val="24"/>
          <w:szCs w:val="24"/>
          <w:lang w:eastAsia="zh-CN"/>
        </w:rPr>
      </w:pPr>
      <w:r>
        <w:rPr>
          <w:rFonts w:ascii="monospace" w:eastAsia="monospace" w:hAnsi="宋体" w:cs="monospace"/>
          <w:color w:val="auto"/>
          <w:sz w:val="24"/>
          <w:szCs w:val="24"/>
          <w:lang w:eastAsia="zh-CN"/>
        </w:rPr>
        <w:t>三亚市后海渔港</w:t>
      </w:r>
      <w:r>
        <w:rPr>
          <w:rFonts w:ascii="Times New Roman" w:eastAsia="宋体" w:hAnsi="Times New Roman" w:cs="宋体" w:hint="eastAsia"/>
          <w:color w:val="auto"/>
          <w:spacing w:val="-2"/>
          <w:sz w:val="24"/>
          <w:szCs w:val="24"/>
          <w:lang w:eastAsia="zh-CN"/>
        </w:rPr>
        <w:t>位于铁炉港口门北侧，为三级渔港，港池平均水深</w:t>
      </w:r>
      <w:r>
        <w:rPr>
          <w:rFonts w:ascii="Times New Roman" w:eastAsia="宋体" w:hAnsi="Times New Roman" w:cs="宋体" w:hint="eastAsia"/>
          <w:color w:val="auto"/>
          <w:spacing w:val="-2"/>
          <w:sz w:val="24"/>
          <w:szCs w:val="24"/>
          <w:lang w:eastAsia="zh-CN"/>
        </w:rPr>
        <w:t>3m</w:t>
      </w:r>
      <w:r>
        <w:rPr>
          <w:rFonts w:ascii="Times New Roman" w:eastAsia="宋体" w:hAnsi="Times New Roman" w:cs="宋体" w:hint="eastAsia"/>
          <w:color w:val="auto"/>
          <w:spacing w:val="-2"/>
          <w:sz w:val="24"/>
          <w:szCs w:val="24"/>
          <w:lang w:eastAsia="zh-CN"/>
        </w:rPr>
        <w:t>，底质为砂性土，</w:t>
      </w:r>
      <w:r>
        <w:rPr>
          <w:rFonts w:ascii="宋体" w:eastAsia="宋体" w:hAnsi="宋体" w:cs="宋体" w:hint="eastAsia"/>
          <w:color w:val="auto"/>
          <w:sz w:val="24"/>
          <w:szCs w:val="24"/>
          <w:lang w:eastAsia="zh-CN"/>
        </w:rPr>
        <w:t>主要为当地小型渔船、游艇停靠。目前有小型码头</w:t>
      </w:r>
      <w:r>
        <w:rPr>
          <w:rFonts w:ascii="宋体" w:eastAsia="宋体" w:hAnsi="宋体" w:cs="宋体" w:hint="eastAsia"/>
          <w:color w:val="auto"/>
          <w:sz w:val="24"/>
          <w:szCs w:val="24"/>
          <w:lang w:eastAsia="zh-CN"/>
        </w:rPr>
        <w:t>2</w:t>
      </w:r>
      <w:r>
        <w:rPr>
          <w:rFonts w:ascii="宋体" w:eastAsia="宋体" w:hAnsi="宋体" w:cs="宋体" w:hint="eastAsia"/>
          <w:color w:val="auto"/>
          <w:sz w:val="24"/>
          <w:szCs w:val="24"/>
          <w:lang w:eastAsia="zh-CN"/>
        </w:rPr>
        <w:t>处，游艇码头</w:t>
      </w:r>
      <w:r>
        <w:rPr>
          <w:rFonts w:ascii="宋体" w:eastAsia="宋体" w:hAnsi="宋体" w:cs="宋体" w:hint="eastAsia"/>
          <w:color w:val="auto"/>
          <w:sz w:val="24"/>
          <w:szCs w:val="24"/>
          <w:lang w:eastAsia="zh-CN"/>
        </w:rPr>
        <w:t>3</w:t>
      </w:r>
      <w:r>
        <w:rPr>
          <w:rFonts w:ascii="宋体" w:eastAsia="宋体" w:hAnsi="宋体" w:cs="宋体" w:hint="eastAsia"/>
          <w:color w:val="auto"/>
          <w:sz w:val="24"/>
          <w:szCs w:val="24"/>
          <w:lang w:eastAsia="zh-CN"/>
        </w:rPr>
        <w:t>处，离岸的趸船浮码头</w:t>
      </w:r>
      <w:r>
        <w:rPr>
          <w:rFonts w:ascii="宋体" w:eastAsia="宋体" w:hAnsi="宋体" w:cs="宋体" w:hint="eastAsia"/>
          <w:color w:val="auto"/>
          <w:sz w:val="24"/>
          <w:szCs w:val="24"/>
          <w:lang w:eastAsia="zh-CN"/>
        </w:rPr>
        <w:t>7</w:t>
      </w:r>
      <w:r>
        <w:rPr>
          <w:rFonts w:ascii="宋体" w:eastAsia="宋体" w:hAnsi="宋体" w:cs="宋体" w:hint="eastAsia"/>
          <w:color w:val="auto"/>
          <w:sz w:val="24"/>
          <w:szCs w:val="24"/>
          <w:lang w:eastAsia="zh-CN"/>
        </w:rPr>
        <w:t>处，便于游艇游客上下船。此外有</w:t>
      </w:r>
      <w:r>
        <w:rPr>
          <w:rFonts w:ascii="宋体" w:eastAsia="宋体" w:hAnsi="宋体" w:cs="宋体" w:hint="eastAsia"/>
          <w:color w:val="auto"/>
          <w:sz w:val="24"/>
          <w:szCs w:val="24"/>
          <w:lang w:eastAsia="zh-CN"/>
        </w:rPr>
        <w:t>2</w:t>
      </w:r>
      <w:r>
        <w:rPr>
          <w:rFonts w:ascii="宋体" w:eastAsia="宋体" w:hAnsi="宋体" w:cs="宋体" w:hint="eastAsia"/>
          <w:color w:val="auto"/>
          <w:sz w:val="24"/>
          <w:szCs w:val="24"/>
          <w:lang w:eastAsia="zh-CN"/>
        </w:rPr>
        <w:t>处养殖鱼排。</w:t>
      </w:r>
    </w:p>
    <w:p w14:paraId="5A4473A7" w14:textId="77777777" w:rsidR="0075791A" w:rsidRDefault="0075791A">
      <w:pPr>
        <w:spacing w:line="360" w:lineRule="auto"/>
        <w:jc w:val="center"/>
        <w:rPr>
          <w:rFonts w:ascii="宋体" w:eastAsia="宋体" w:hAnsi="宋体" w:cs="宋体"/>
          <w:color w:val="auto"/>
          <w:sz w:val="24"/>
          <w:szCs w:val="24"/>
          <w:lang w:eastAsia="zh-CN"/>
        </w:rPr>
      </w:pPr>
    </w:p>
    <w:p w14:paraId="0F15C09C" w14:textId="77777777" w:rsidR="0075791A" w:rsidRDefault="00FB2864">
      <w:pPr>
        <w:pStyle w:val="TableText"/>
        <w:spacing w:line="360" w:lineRule="auto"/>
        <w:jc w:val="center"/>
        <w:rPr>
          <w:rFonts w:ascii="Times New Roman" w:hAnsi="Times New Roman"/>
          <w:color w:val="auto"/>
          <w:spacing w:val="-1"/>
          <w:lang w:eastAsia="zh-CN"/>
        </w:rPr>
      </w:pP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 xml:space="preserve">5.1.2-13 </w:t>
      </w:r>
      <w:r>
        <w:rPr>
          <w:rFonts w:hint="eastAsia"/>
          <w:color w:val="auto"/>
          <w:lang w:eastAsia="zh-CN"/>
        </w:rPr>
        <w:t>后海渔港现状（小码头、浮码头）</w:t>
      </w:r>
    </w:p>
    <w:p w14:paraId="508AEC93" w14:textId="77777777" w:rsidR="0075791A" w:rsidRDefault="0075791A">
      <w:pPr>
        <w:spacing w:line="360" w:lineRule="auto"/>
        <w:jc w:val="center"/>
        <w:rPr>
          <w:rFonts w:ascii="宋体" w:eastAsia="宋体" w:hAnsi="宋体" w:cs="宋体"/>
          <w:color w:val="auto"/>
          <w:sz w:val="24"/>
          <w:szCs w:val="24"/>
          <w:lang w:eastAsia="zh-CN"/>
        </w:rPr>
      </w:pPr>
    </w:p>
    <w:p w14:paraId="7CA29D50" w14:textId="77777777" w:rsidR="0075791A" w:rsidRDefault="00FB2864">
      <w:pPr>
        <w:pStyle w:val="TableText"/>
        <w:spacing w:line="360" w:lineRule="auto"/>
        <w:jc w:val="center"/>
        <w:rPr>
          <w:color w:val="auto"/>
          <w:lang w:eastAsia="zh-CN"/>
        </w:rPr>
      </w:pP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 xml:space="preserve">5.1.2-14 </w:t>
      </w:r>
      <w:r>
        <w:rPr>
          <w:rFonts w:hint="eastAsia"/>
          <w:color w:val="auto"/>
          <w:lang w:eastAsia="zh-CN"/>
        </w:rPr>
        <w:t>后海渔港现状（鱼排、浮码头）</w:t>
      </w:r>
    </w:p>
    <w:p w14:paraId="057A0512" w14:textId="77777777" w:rsidR="0075791A" w:rsidRDefault="00FB2864">
      <w:pPr>
        <w:pStyle w:val="TableText"/>
        <w:spacing w:line="360" w:lineRule="auto"/>
        <w:ind w:firstLineChars="200" w:firstLine="482"/>
        <w:jc w:val="both"/>
        <w:rPr>
          <w:b/>
          <w:bCs/>
          <w:color w:val="auto"/>
          <w:lang w:eastAsia="zh-CN"/>
        </w:rPr>
      </w:pPr>
      <w:r>
        <w:rPr>
          <w:rFonts w:hint="eastAsia"/>
          <w:b/>
          <w:bCs/>
          <w:color w:val="auto"/>
          <w:lang w:eastAsia="zh-CN"/>
        </w:rPr>
        <w:t>8</w:t>
      </w:r>
      <w:r>
        <w:rPr>
          <w:rFonts w:hint="eastAsia"/>
          <w:b/>
          <w:bCs/>
          <w:color w:val="auto"/>
          <w:lang w:eastAsia="zh-CN"/>
        </w:rPr>
        <w:t>）潟湖内渔船停泊点</w:t>
      </w:r>
    </w:p>
    <w:p w14:paraId="35213285" w14:textId="77777777" w:rsidR="0075791A" w:rsidRDefault="00FB2864">
      <w:pPr>
        <w:spacing w:line="360" w:lineRule="auto"/>
        <w:ind w:firstLineChars="200" w:firstLine="480"/>
        <w:jc w:val="both"/>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lastRenderedPageBreak/>
        <w:t>在铁炉港潟湖内，存在多处小渔船停泊点，分别位于红龙路口、打狗坡村、江前村、高尔夫球场北侧、林旺村、长山村、深田村，船型主要为玻璃钢小船，为村民自发停泊行为。</w:t>
      </w:r>
    </w:p>
    <w:p w14:paraId="559BEDE2" w14:textId="77777777" w:rsidR="0075791A" w:rsidRDefault="00FB2864">
      <w:pPr>
        <w:pStyle w:val="TableText"/>
        <w:spacing w:line="360" w:lineRule="auto"/>
        <w:ind w:firstLineChars="200" w:firstLine="482"/>
        <w:jc w:val="both"/>
        <w:rPr>
          <w:b/>
          <w:bCs/>
          <w:color w:val="auto"/>
          <w:lang w:eastAsia="zh-CN"/>
        </w:rPr>
      </w:pPr>
      <w:r>
        <w:rPr>
          <w:rFonts w:hint="eastAsia"/>
          <w:b/>
          <w:bCs/>
          <w:color w:val="auto"/>
          <w:lang w:eastAsia="zh-CN"/>
        </w:rPr>
        <w:t>9</w:t>
      </w:r>
      <w:r>
        <w:rPr>
          <w:rFonts w:hint="eastAsia"/>
          <w:b/>
          <w:bCs/>
          <w:color w:val="auto"/>
          <w:lang w:eastAsia="zh-CN"/>
        </w:rPr>
        <w:t>）特殊用海</w:t>
      </w:r>
    </w:p>
    <w:p w14:paraId="5A01E193" w14:textId="77777777" w:rsidR="0075791A" w:rsidRDefault="00FB2864">
      <w:pPr>
        <w:spacing w:line="360" w:lineRule="auto"/>
        <w:ind w:firstLineChars="200" w:firstLine="480"/>
        <w:jc w:val="both"/>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①三亚铁炉港红树林自然保护区</w:t>
      </w:r>
    </w:p>
    <w:p w14:paraId="1537A284"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w:t>
      </w:r>
      <w:r>
        <w:rPr>
          <w:rFonts w:ascii="Times New Roman" w:hAnsi="Times New Roman" w:hint="eastAsia"/>
          <w:color w:val="auto"/>
          <w:lang w:eastAsia="zh-CN"/>
        </w:rPr>
        <w:t>1</w:t>
      </w:r>
      <w:r>
        <w:rPr>
          <w:rFonts w:ascii="Times New Roman" w:hAnsi="Times New Roman" w:hint="eastAsia"/>
          <w:color w:val="auto"/>
          <w:lang w:eastAsia="zh-CN"/>
        </w:rPr>
        <w:t>）自然保护地</w:t>
      </w:r>
    </w:p>
    <w:p w14:paraId="12625AD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海南省三亚市铁炉港红树林自然保护区</w:t>
      </w: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以下简称</w:t>
      </w:r>
      <w:r>
        <w:rPr>
          <w:rFonts w:ascii="Times New Roman" w:hAnsi="Times New Roman" w:cs="宋体" w:hint="eastAsia"/>
          <w:color w:val="auto"/>
          <w:sz w:val="24"/>
          <w:szCs w:val="24"/>
          <w:lang w:eastAsia="zh-CN"/>
        </w:rPr>
        <w:t>“</w:t>
      </w:r>
      <w:r>
        <w:rPr>
          <w:rFonts w:ascii="Times New Roman" w:eastAsia="宋体" w:hAnsi="Times New Roman" w:cs="宋体"/>
          <w:color w:val="auto"/>
          <w:sz w:val="24"/>
          <w:szCs w:val="24"/>
          <w:lang w:eastAsia="zh-CN"/>
        </w:rPr>
        <w:t>铁炉港保护区</w:t>
      </w:r>
      <w:r>
        <w:rPr>
          <w:rFonts w:ascii="Times New Roman" w:hAnsi="Times New Roman" w:cs="宋体" w:hint="eastAsia"/>
          <w:color w:val="auto"/>
          <w:sz w:val="24"/>
          <w:szCs w:val="24"/>
          <w:lang w:eastAsia="zh-CN"/>
        </w:rPr>
        <w:t>”</w:t>
      </w: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于</w:t>
      </w:r>
      <w:r>
        <w:rPr>
          <w:rFonts w:ascii="Times New Roman" w:eastAsia="宋体" w:hAnsi="Times New Roman" w:cs="宋体"/>
          <w:color w:val="auto"/>
          <w:sz w:val="24"/>
          <w:szCs w:val="24"/>
          <w:lang w:eastAsia="zh-CN"/>
        </w:rPr>
        <w:t>1999</w:t>
      </w:r>
      <w:r>
        <w:rPr>
          <w:rFonts w:ascii="Times New Roman" w:eastAsia="宋体" w:hAnsi="Times New Roman" w:cs="宋体"/>
          <w:color w:val="auto"/>
          <w:sz w:val="24"/>
          <w:szCs w:val="24"/>
          <w:lang w:eastAsia="zh-CN"/>
        </w:rPr>
        <w:t>年经</w:t>
      </w:r>
      <w:r>
        <w:rPr>
          <w:rFonts w:ascii="Times New Roman" w:eastAsia="宋体" w:hAnsi="Times New Roman" w:cs="宋体" w:hint="eastAsia"/>
          <w:color w:val="auto"/>
          <w:sz w:val="24"/>
          <w:szCs w:val="24"/>
          <w:lang w:eastAsia="zh-CN"/>
        </w:rPr>
        <w:t>三</w:t>
      </w:r>
      <w:r>
        <w:rPr>
          <w:rFonts w:ascii="Times New Roman" w:eastAsia="宋体" w:hAnsi="Times New Roman" w:cs="宋体"/>
          <w:color w:val="auto"/>
          <w:sz w:val="24"/>
          <w:szCs w:val="24"/>
          <w:lang w:eastAsia="zh-CN"/>
        </w:rPr>
        <w:t>亚市人民政府批准成立，主管单位为三亚市野生动植物保护中心，位于</w:t>
      </w:r>
      <w:r>
        <w:rPr>
          <w:rFonts w:ascii="Times New Roman" w:eastAsia="宋体" w:hAnsi="Times New Roman" w:cs="宋体" w:hint="eastAsia"/>
          <w:color w:val="auto"/>
          <w:sz w:val="24"/>
          <w:szCs w:val="24"/>
          <w:lang w:eastAsia="zh-CN"/>
        </w:rPr>
        <w:t>三</w:t>
      </w:r>
      <w:r>
        <w:rPr>
          <w:rFonts w:ascii="Times New Roman" w:eastAsia="宋体" w:hAnsi="Times New Roman" w:cs="宋体"/>
          <w:color w:val="auto"/>
          <w:sz w:val="24"/>
          <w:szCs w:val="24"/>
          <w:lang w:eastAsia="zh-CN"/>
        </w:rPr>
        <w:t>亚市海棠区，属青田、江林、铁炉村委会行政范围，总面积</w:t>
      </w:r>
      <w:r>
        <w:rPr>
          <w:rFonts w:ascii="Times New Roman" w:eastAsia="宋体" w:hAnsi="Times New Roman" w:cs="宋体"/>
          <w:color w:val="auto"/>
          <w:sz w:val="24"/>
          <w:szCs w:val="24"/>
          <w:lang w:eastAsia="zh-CN"/>
        </w:rPr>
        <w:t>292</w:t>
      </w:r>
      <w:r>
        <w:rPr>
          <w:rFonts w:ascii="Times New Roman" w:eastAsia="宋体" w:hAnsi="Times New Roman" w:cs="宋体"/>
          <w:color w:val="auto"/>
          <w:sz w:val="24"/>
          <w:szCs w:val="24"/>
          <w:lang w:eastAsia="zh-CN"/>
        </w:rPr>
        <w:t>公顷</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项</w:t>
      </w:r>
      <w:r>
        <w:rPr>
          <w:rFonts w:ascii="Times New Roman" w:eastAsia="宋体" w:hAnsi="Times New Roman" w:cs="宋体" w:hint="eastAsia"/>
          <w:color w:val="auto"/>
          <w:sz w:val="24"/>
          <w:szCs w:val="24"/>
          <w:lang w:eastAsia="zh-CN"/>
        </w:rPr>
        <w:t>目</w:t>
      </w:r>
      <w:r>
        <w:rPr>
          <w:rFonts w:ascii="Times New Roman" w:eastAsia="宋体" w:hAnsi="Times New Roman" w:cs="宋体"/>
          <w:color w:val="auto"/>
          <w:sz w:val="24"/>
          <w:szCs w:val="24"/>
          <w:lang w:eastAsia="zh-CN"/>
        </w:rPr>
        <w:t>区主要保护对象为红树林、底栖动物、鸟类、鱼类等动植物资源。</w:t>
      </w:r>
    </w:p>
    <w:p w14:paraId="62432552"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color w:val="auto"/>
          <w:lang w:eastAsia="zh-CN"/>
        </w:rPr>
        <w:t>根据</w:t>
      </w:r>
      <w:r>
        <w:rPr>
          <w:rFonts w:ascii="Times New Roman" w:hAnsi="Times New Roman"/>
          <w:color w:val="auto"/>
          <w:lang w:eastAsia="zh-CN"/>
        </w:rPr>
        <w:t>2022</w:t>
      </w:r>
      <w:r>
        <w:rPr>
          <w:rFonts w:ascii="Times New Roman" w:hAnsi="Times New Roman"/>
          <w:color w:val="auto"/>
          <w:lang w:eastAsia="zh-CN"/>
        </w:rPr>
        <w:t>年</w:t>
      </w:r>
      <w:r>
        <w:rPr>
          <w:rFonts w:ascii="Times New Roman" w:hAnsi="Times New Roman"/>
          <w:color w:val="auto"/>
          <w:lang w:eastAsia="zh-CN"/>
        </w:rPr>
        <w:t>6</w:t>
      </w:r>
      <w:r>
        <w:rPr>
          <w:rFonts w:ascii="Times New Roman" w:hAnsi="Times New Roman"/>
          <w:color w:val="auto"/>
          <w:lang w:eastAsia="zh-CN"/>
        </w:rPr>
        <w:t>月发布的《三亚市铁炉港红树林自然保护区核心保护区域专项规划说明书》规定，铁炉港保护区的重点保护内容是</w:t>
      </w:r>
      <w:r>
        <w:rPr>
          <w:rFonts w:ascii="Times New Roman" w:hAnsi="Times New Roman" w:hint="eastAsia"/>
          <w:color w:val="auto"/>
          <w:lang w:eastAsia="zh-CN"/>
        </w:rPr>
        <w:t>：</w:t>
      </w:r>
      <w:r>
        <w:rPr>
          <w:rFonts w:ascii="Times New Roman" w:hAnsi="Times New Roman"/>
          <w:color w:val="auto"/>
          <w:lang w:eastAsia="zh-CN"/>
        </w:rPr>
        <w:t>将红榄李等红树林古树群及周边生境定义为铁炉港核心保护区域，铁炉港核心区域主要保护对象为红榄李等濒危古树群及其生境。</w:t>
      </w:r>
    </w:p>
    <w:p w14:paraId="44FB9E5E" w14:textId="77777777" w:rsidR="0075791A" w:rsidRDefault="00FB2864">
      <w:pPr>
        <w:spacing w:line="360" w:lineRule="auto"/>
        <w:ind w:firstLineChars="200" w:firstLine="480"/>
        <w:jc w:val="both"/>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②军事用海</w:t>
      </w:r>
    </w:p>
    <w:p w14:paraId="03F7655A" w14:textId="77777777" w:rsidR="0075791A" w:rsidRDefault="00FB2864">
      <w:pPr>
        <w:pStyle w:val="TableText"/>
        <w:spacing w:line="360" w:lineRule="auto"/>
        <w:ind w:firstLineChars="200" w:firstLine="476"/>
        <w:jc w:val="both"/>
        <w:rPr>
          <w:b/>
          <w:bCs/>
          <w:color w:val="auto"/>
          <w:lang w:eastAsia="zh-CN"/>
        </w:rPr>
      </w:pPr>
      <w:r>
        <w:rPr>
          <w:rFonts w:ascii="Times New Roman" w:hAnsi="Times New Roman" w:hint="eastAsia"/>
          <w:color w:val="auto"/>
          <w:spacing w:val="-2"/>
          <w:lang w:eastAsia="zh-CN"/>
        </w:rPr>
        <w:t>据了解，后海湾中部偏南近岸海域，三亚后海湾旅游娱乐用海项目冲浪区用海范围内，时有部队进行临时性训练用海活动，其训练用海时长约</w:t>
      </w:r>
      <w:r>
        <w:rPr>
          <w:rFonts w:ascii="Times New Roman" w:hAnsi="Times New Roman"/>
          <w:color w:val="auto"/>
          <w:spacing w:val="-2"/>
          <w:lang w:eastAsia="zh-CN"/>
        </w:rPr>
        <w:t>2</w:t>
      </w:r>
      <w:r>
        <w:rPr>
          <w:rFonts w:ascii="Times New Roman" w:hAnsi="Times New Roman" w:hint="eastAsia"/>
          <w:color w:val="auto"/>
          <w:spacing w:val="-2"/>
          <w:lang w:eastAsia="zh-CN"/>
        </w:rPr>
        <w:t>～</w:t>
      </w:r>
      <w:r>
        <w:rPr>
          <w:rFonts w:ascii="Times New Roman" w:hAnsi="Times New Roman"/>
          <w:color w:val="auto"/>
          <w:spacing w:val="-2"/>
          <w:lang w:eastAsia="zh-CN"/>
        </w:rPr>
        <w:t>3</w:t>
      </w:r>
      <w:r>
        <w:rPr>
          <w:rFonts w:ascii="Times New Roman" w:hAnsi="Times New Roman" w:hint="eastAsia"/>
          <w:color w:val="auto"/>
          <w:spacing w:val="-2"/>
          <w:lang w:eastAsia="zh-CN"/>
        </w:rPr>
        <w:t>个月，具体时间主要根据部队训练计划安排，报海棠区人民政府同意后开展用海活动。</w:t>
      </w:r>
    </w:p>
    <w:p w14:paraId="44F7E212"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hint="eastAsia"/>
          <w:color w:val="auto"/>
          <w:spacing w:val="-2"/>
          <w:lang w:eastAsia="zh-CN"/>
        </w:rPr>
        <w:t>在铁炉港南侧、石尾村码头东侧约</w:t>
      </w:r>
      <w:r>
        <w:rPr>
          <w:rFonts w:ascii="Times New Roman" w:hAnsi="Times New Roman" w:hint="eastAsia"/>
          <w:color w:val="auto"/>
          <w:spacing w:val="-2"/>
          <w:lang w:eastAsia="zh-CN"/>
        </w:rPr>
        <w:t>300m</w:t>
      </w:r>
      <w:r>
        <w:rPr>
          <w:rFonts w:ascii="Times New Roman" w:hAnsi="Times New Roman" w:hint="eastAsia"/>
          <w:color w:val="auto"/>
          <w:spacing w:val="-2"/>
          <w:lang w:eastAsia="zh-CN"/>
        </w:rPr>
        <w:t>为部队码头</w:t>
      </w:r>
      <w:r>
        <w:rPr>
          <w:rFonts w:ascii="Times New Roman" w:hAnsi="Times New Roman" w:hint="eastAsia"/>
          <w:color w:val="auto"/>
          <w:spacing w:val="-2"/>
          <w:lang w:eastAsia="zh-CN"/>
        </w:rPr>
        <w:t>，为</w:t>
      </w:r>
      <w:r>
        <w:rPr>
          <w:rFonts w:ascii="Times New Roman" w:hAnsi="Times New Roman" w:hint="eastAsia"/>
          <w:color w:val="auto"/>
          <w:spacing w:val="-2"/>
          <w:lang w:eastAsia="zh-CN"/>
        </w:rPr>
        <w:t>T</w:t>
      </w:r>
      <w:r>
        <w:rPr>
          <w:rFonts w:ascii="Times New Roman" w:hAnsi="Times New Roman" w:hint="eastAsia"/>
          <w:color w:val="auto"/>
          <w:spacing w:val="-2"/>
          <w:lang w:eastAsia="zh-CN"/>
        </w:rPr>
        <w:t>形，码头面长</w:t>
      </w:r>
      <w:r>
        <w:rPr>
          <w:rFonts w:ascii="Times New Roman" w:hAnsi="Times New Roman" w:hint="eastAsia"/>
          <w:color w:val="auto"/>
          <w:spacing w:val="-2"/>
          <w:lang w:eastAsia="zh-CN"/>
        </w:rPr>
        <w:t>40m</w:t>
      </w:r>
      <w:r>
        <w:rPr>
          <w:rFonts w:ascii="Times New Roman" w:hAnsi="Times New Roman" w:hint="eastAsia"/>
          <w:color w:val="auto"/>
          <w:spacing w:val="-2"/>
          <w:lang w:eastAsia="zh-CN"/>
        </w:rPr>
        <w:t>，规模较小。</w:t>
      </w:r>
    </w:p>
    <w:p w14:paraId="74A8A51A" w14:textId="77777777" w:rsidR="0075791A" w:rsidRDefault="00FB2864">
      <w:pPr>
        <w:pStyle w:val="TableText"/>
        <w:spacing w:line="360" w:lineRule="auto"/>
        <w:ind w:firstLineChars="200" w:firstLine="482"/>
        <w:jc w:val="both"/>
        <w:rPr>
          <w:b/>
          <w:bCs/>
          <w:color w:val="auto"/>
          <w:lang w:eastAsia="zh-CN"/>
        </w:rPr>
      </w:pPr>
      <w:r>
        <w:rPr>
          <w:rFonts w:hint="eastAsia"/>
          <w:b/>
          <w:bCs/>
          <w:color w:val="auto"/>
          <w:lang w:eastAsia="zh-CN"/>
        </w:rPr>
        <w:t>10</w:t>
      </w:r>
      <w:r>
        <w:rPr>
          <w:rFonts w:hint="eastAsia"/>
          <w:b/>
          <w:bCs/>
          <w:color w:val="auto"/>
          <w:lang w:eastAsia="zh-CN"/>
        </w:rPr>
        <w:t>）铁炉港潟湖内游客自发性旅游用海活动</w:t>
      </w:r>
    </w:p>
    <w:p w14:paraId="04D2CB1D"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hint="eastAsia"/>
          <w:color w:val="auto"/>
          <w:spacing w:val="-2"/>
          <w:lang w:eastAsia="zh-CN"/>
        </w:rPr>
        <w:t>近年来，随着三亚市旅游业的快速发展和蜈支洲岛旅游区的辐射作用下，藤海社区的旅游业也得到迅猛发展。藤海社区兴建一批具有渔村特色和海景休闲度假的民宿、旅舍，吸引了众多中内外游客前来住宿、观光、度假，此外，藤海社区村民还提供冲浪培训、设备出租、带领出海观光等各种服务，游客多在后海岭南、北两侧近岸海域</w:t>
      </w:r>
      <w:r>
        <w:rPr>
          <w:rFonts w:ascii="Times New Roman" w:hAnsi="Times New Roman" w:hint="eastAsia"/>
          <w:color w:val="auto"/>
          <w:spacing w:val="-2"/>
          <w:lang w:eastAsia="zh-CN"/>
        </w:rPr>
        <w:t>(</w:t>
      </w:r>
      <w:r>
        <w:rPr>
          <w:rFonts w:ascii="Times New Roman" w:hAnsi="Times New Roman" w:hint="eastAsia"/>
          <w:color w:val="auto"/>
          <w:spacing w:val="-2"/>
          <w:lang w:eastAsia="zh-CN"/>
        </w:rPr>
        <w:t>即本项目用</w:t>
      </w:r>
      <w:r>
        <w:rPr>
          <w:rFonts w:ascii="Times New Roman" w:hAnsi="Times New Roman" w:hint="eastAsia"/>
          <w:color w:val="auto"/>
          <w:spacing w:val="-2"/>
          <w:lang w:eastAsia="zh-CN"/>
        </w:rPr>
        <w:t>海区内</w:t>
      </w:r>
      <w:r>
        <w:rPr>
          <w:rFonts w:ascii="Times New Roman" w:hAnsi="Times New Roman" w:hint="eastAsia"/>
          <w:color w:val="auto"/>
          <w:spacing w:val="-2"/>
          <w:lang w:eastAsia="zh-CN"/>
        </w:rPr>
        <w:t>)</w:t>
      </w:r>
      <w:r>
        <w:rPr>
          <w:rFonts w:ascii="Times New Roman" w:hAnsi="Times New Roman" w:hint="eastAsia"/>
          <w:color w:val="auto"/>
          <w:spacing w:val="-2"/>
          <w:lang w:eastAsia="zh-CN"/>
        </w:rPr>
        <w:t>开展自发性的旅游娱乐用海活动，如戏水、浮潜、海上娱乐运动、冲浪等。</w:t>
      </w:r>
    </w:p>
    <w:p w14:paraId="25C6C3F8" w14:textId="77777777" w:rsidR="0075791A" w:rsidRDefault="00FB2864">
      <w:pPr>
        <w:pStyle w:val="TableText"/>
        <w:spacing w:line="360" w:lineRule="auto"/>
        <w:ind w:firstLineChars="200" w:firstLine="482"/>
        <w:jc w:val="both"/>
        <w:rPr>
          <w:rFonts w:ascii="Times New Roman" w:hAnsi="Times New Roman" w:cs="Times New Roman"/>
          <w:b/>
          <w:bCs/>
          <w:color w:val="auto"/>
          <w:lang w:eastAsia="zh-CN"/>
        </w:rPr>
      </w:pPr>
      <w:r>
        <w:rPr>
          <w:rFonts w:ascii="Times New Roman" w:hAnsi="Times New Roman" w:cs="Times New Roman" w:hint="eastAsia"/>
          <w:b/>
          <w:bCs/>
          <w:color w:val="auto"/>
          <w:lang w:eastAsia="zh-CN"/>
        </w:rPr>
        <w:t>（</w:t>
      </w:r>
      <w:r>
        <w:rPr>
          <w:rFonts w:ascii="Times New Roman" w:hAnsi="Times New Roman" w:cs="Times New Roman" w:hint="eastAsia"/>
          <w:b/>
          <w:bCs/>
          <w:color w:val="auto"/>
          <w:lang w:eastAsia="zh-CN"/>
        </w:rPr>
        <w:t>2</w:t>
      </w:r>
      <w:r>
        <w:rPr>
          <w:rFonts w:ascii="Times New Roman" w:hAnsi="Times New Roman" w:cs="Times New Roman" w:hint="eastAsia"/>
          <w:b/>
          <w:bCs/>
          <w:color w:val="auto"/>
          <w:lang w:eastAsia="zh-CN"/>
        </w:rPr>
        <w:t>）铁炉港内土地权属情况</w:t>
      </w:r>
    </w:p>
    <w:p w14:paraId="5558CFE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）三亚铁炉港红树林湿地保护修复项目生态保护红线内土地权属信息统计</w:t>
      </w:r>
    </w:p>
    <w:p w14:paraId="4B2D4782"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三亚铁炉港红树林湿地保护修复项目总面积</w:t>
      </w:r>
      <w:r>
        <w:rPr>
          <w:rFonts w:ascii="Times New Roman" w:eastAsia="宋体" w:hAnsi="Times New Roman" w:cs="宋体" w:hint="eastAsia"/>
          <w:color w:val="auto"/>
          <w:spacing w:val="-2"/>
          <w:sz w:val="24"/>
          <w:szCs w:val="24"/>
          <w:lang w:eastAsia="zh-CN"/>
        </w:rPr>
        <w:t>403.66</w:t>
      </w:r>
      <w:r>
        <w:rPr>
          <w:rFonts w:ascii="Times New Roman" w:eastAsia="宋体" w:hAnsi="Times New Roman" w:cs="宋体" w:hint="eastAsia"/>
          <w:color w:val="auto"/>
          <w:spacing w:val="-2"/>
          <w:sz w:val="24"/>
          <w:szCs w:val="24"/>
          <w:lang w:eastAsia="zh-CN"/>
        </w:rPr>
        <w:t>公顷，根据三亚市自然资源和规划局提供的国土数据及《土地利用现状分类》相关文件，铁炉港土地利用性质为耕地、</w:t>
      </w:r>
      <w:r>
        <w:rPr>
          <w:rFonts w:ascii="Times New Roman" w:eastAsia="宋体" w:hAnsi="Times New Roman" w:cs="宋体" w:hint="eastAsia"/>
          <w:color w:val="auto"/>
          <w:spacing w:val="-2"/>
          <w:sz w:val="24"/>
          <w:szCs w:val="24"/>
          <w:lang w:eastAsia="zh-CN"/>
        </w:rPr>
        <w:lastRenderedPageBreak/>
        <w:t>园地林地、草地、湿地、农业设施建设用地、居住用地、商业服务业用地、交通运输用地、陆地水域、海域等</w:t>
      </w:r>
      <w:r>
        <w:rPr>
          <w:rFonts w:ascii="Times New Roman" w:eastAsia="宋体" w:hAnsi="Times New Roman" w:cs="宋体" w:hint="eastAsia"/>
          <w:color w:val="auto"/>
          <w:spacing w:val="-2"/>
          <w:sz w:val="24"/>
          <w:szCs w:val="24"/>
          <w:lang w:eastAsia="zh-CN"/>
        </w:rPr>
        <w:t>11</w:t>
      </w:r>
      <w:r>
        <w:rPr>
          <w:rFonts w:ascii="Times New Roman" w:eastAsia="宋体" w:hAnsi="Times New Roman" w:cs="宋体" w:hint="eastAsia"/>
          <w:color w:val="auto"/>
          <w:spacing w:val="-2"/>
          <w:sz w:val="24"/>
          <w:szCs w:val="24"/>
          <w:lang w:eastAsia="zh-CN"/>
        </w:rPr>
        <w:t>类。</w:t>
      </w:r>
    </w:p>
    <w:p w14:paraId="231D179A" w14:textId="77777777" w:rsidR="0075791A" w:rsidRDefault="00FB2864">
      <w:pPr>
        <w:spacing w:line="360" w:lineRule="auto"/>
        <w:ind w:firstLineChars="200" w:firstLine="476"/>
        <w:jc w:val="both"/>
        <w:rPr>
          <w:rFonts w:ascii="宋体" w:eastAsia="宋体" w:hAnsi="宋体" w:cs="宋体"/>
          <w:color w:val="auto"/>
          <w:sz w:val="24"/>
          <w:szCs w:val="24"/>
          <w:lang w:eastAsia="zh-CN" w:bidi="ar"/>
        </w:rPr>
      </w:pPr>
      <w:r>
        <w:rPr>
          <w:rFonts w:ascii="Times New Roman" w:eastAsia="宋体" w:hAnsi="Times New Roman" w:cs="宋体" w:hint="eastAsia"/>
          <w:color w:val="auto"/>
          <w:spacing w:val="-2"/>
          <w:sz w:val="24"/>
          <w:szCs w:val="24"/>
          <w:lang w:eastAsia="zh-CN"/>
        </w:rPr>
        <w:t>三亚铁炉港红树林湿地保护修复项目红线范围内土地面积</w:t>
      </w:r>
      <w:r>
        <w:rPr>
          <w:rFonts w:ascii="Times New Roman" w:eastAsia="宋体" w:hAnsi="Times New Roman" w:cs="宋体" w:hint="eastAsia"/>
          <w:color w:val="auto"/>
          <w:spacing w:val="-2"/>
          <w:sz w:val="24"/>
          <w:szCs w:val="24"/>
          <w:lang w:eastAsia="zh-CN"/>
        </w:rPr>
        <w:t>288.3031</w:t>
      </w:r>
      <w:r>
        <w:rPr>
          <w:rFonts w:ascii="Times New Roman" w:eastAsia="宋体" w:hAnsi="Times New Roman" w:cs="宋体" w:hint="eastAsia"/>
          <w:color w:val="auto"/>
          <w:spacing w:val="-2"/>
          <w:sz w:val="24"/>
          <w:szCs w:val="24"/>
          <w:lang w:eastAsia="zh-CN"/>
        </w:rPr>
        <w:t>公顷，确权土地面积为</w:t>
      </w:r>
      <w:r>
        <w:rPr>
          <w:rFonts w:ascii="宋体" w:eastAsia="宋体" w:hAnsi="宋体" w:cs="宋体" w:hint="eastAsia"/>
          <w:color w:val="auto"/>
          <w:sz w:val="24"/>
          <w:szCs w:val="24"/>
          <w:lang w:eastAsia="zh-CN" w:bidi="ar"/>
        </w:rPr>
        <w:t>65.0343</w:t>
      </w:r>
      <w:r>
        <w:rPr>
          <w:rFonts w:ascii="宋体" w:eastAsia="宋体" w:hAnsi="宋体" w:cs="宋体" w:hint="eastAsia"/>
          <w:color w:val="auto"/>
          <w:sz w:val="24"/>
          <w:szCs w:val="24"/>
          <w:lang w:eastAsia="zh-CN" w:bidi="ar"/>
        </w:rPr>
        <w:t>公顷；三亚市政府已征收</w:t>
      </w:r>
      <w:r>
        <w:rPr>
          <w:rFonts w:ascii="宋体" w:eastAsia="宋体" w:hAnsi="宋体" w:cs="宋体" w:hint="eastAsia"/>
          <w:color w:val="auto"/>
          <w:sz w:val="24"/>
          <w:szCs w:val="24"/>
          <w:lang w:eastAsia="zh-CN" w:bidi="ar"/>
        </w:rPr>
        <w:t>0.0191</w:t>
      </w:r>
      <w:r>
        <w:rPr>
          <w:rFonts w:ascii="宋体" w:eastAsia="宋体" w:hAnsi="宋体" w:cs="宋体" w:hint="eastAsia"/>
          <w:color w:val="auto"/>
          <w:sz w:val="24"/>
          <w:szCs w:val="24"/>
          <w:lang w:eastAsia="zh-CN" w:bidi="ar"/>
        </w:rPr>
        <w:t>公顷；未确权土地面积为</w:t>
      </w:r>
      <w:r>
        <w:rPr>
          <w:rFonts w:ascii="宋体" w:eastAsia="宋体" w:hAnsi="宋体" w:cs="宋体" w:hint="eastAsia"/>
          <w:color w:val="auto"/>
          <w:sz w:val="24"/>
          <w:szCs w:val="24"/>
          <w:lang w:eastAsia="zh-CN" w:bidi="ar"/>
        </w:rPr>
        <w:t>223.2495</w:t>
      </w:r>
      <w:r>
        <w:rPr>
          <w:rFonts w:ascii="宋体" w:eastAsia="宋体" w:hAnsi="宋体" w:cs="宋体" w:hint="eastAsia"/>
          <w:color w:val="auto"/>
          <w:sz w:val="24"/>
          <w:szCs w:val="24"/>
          <w:lang w:eastAsia="zh-CN" w:bidi="ar"/>
        </w:rPr>
        <w:t>公顷（根据第一次土地调查成果），其中村集体土地面积</w:t>
      </w:r>
      <w:r>
        <w:rPr>
          <w:rFonts w:ascii="宋体" w:eastAsia="宋体" w:hAnsi="宋体" w:cs="宋体" w:hint="eastAsia"/>
          <w:color w:val="auto"/>
          <w:sz w:val="24"/>
          <w:szCs w:val="24"/>
          <w:lang w:eastAsia="zh-CN" w:bidi="ar"/>
        </w:rPr>
        <w:t>2.744</w:t>
      </w:r>
      <w:r>
        <w:rPr>
          <w:rFonts w:ascii="宋体" w:eastAsia="宋体" w:hAnsi="宋体" w:cs="宋体" w:hint="eastAsia"/>
          <w:color w:val="auto"/>
          <w:sz w:val="24"/>
          <w:szCs w:val="24"/>
          <w:lang w:eastAsia="zh-CN" w:bidi="ar"/>
        </w:rPr>
        <w:t>公顷，国有土地</w:t>
      </w:r>
      <w:r>
        <w:rPr>
          <w:rFonts w:ascii="宋体" w:eastAsia="宋体" w:hAnsi="宋体" w:cs="宋体" w:hint="eastAsia"/>
          <w:color w:val="auto"/>
          <w:sz w:val="24"/>
          <w:szCs w:val="24"/>
          <w:lang w:eastAsia="zh-CN" w:bidi="ar"/>
        </w:rPr>
        <w:t>220.5055</w:t>
      </w:r>
      <w:r>
        <w:rPr>
          <w:rFonts w:ascii="宋体" w:eastAsia="宋体" w:hAnsi="宋体" w:cs="宋体" w:hint="eastAsia"/>
          <w:color w:val="auto"/>
          <w:sz w:val="24"/>
          <w:szCs w:val="24"/>
          <w:lang w:eastAsia="zh-CN" w:bidi="ar"/>
        </w:rPr>
        <w:t>公顷，具体见表</w:t>
      </w:r>
      <w:r>
        <w:rPr>
          <w:rFonts w:ascii="Times New Roman" w:eastAsia="宋体" w:hAnsi="Times New Roman" w:cs="Times New Roman" w:hint="eastAsia"/>
          <w:color w:val="auto"/>
          <w:spacing w:val="-2"/>
          <w:sz w:val="24"/>
          <w:szCs w:val="24"/>
          <w:lang w:eastAsia="zh-CN"/>
        </w:rPr>
        <w:t>5</w:t>
      </w:r>
      <w:r>
        <w:rPr>
          <w:rFonts w:ascii="Times New Roman" w:eastAsia="Times New Roman" w:hAnsi="Times New Roman" w:cs="Times New Roman"/>
          <w:color w:val="auto"/>
          <w:spacing w:val="-2"/>
          <w:sz w:val="24"/>
          <w:szCs w:val="24"/>
          <w:lang w:eastAsia="zh-CN"/>
        </w:rPr>
        <w:t>.1</w:t>
      </w:r>
      <w:r>
        <w:rPr>
          <w:rFonts w:ascii="Times New Roman" w:eastAsia="宋体" w:hAnsi="Times New Roman" w:cs="Times New Roman" w:hint="eastAsia"/>
          <w:color w:val="auto"/>
          <w:spacing w:val="-2"/>
          <w:sz w:val="24"/>
          <w:szCs w:val="24"/>
          <w:lang w:eastAsia="zh-CN"/>
        </w:rPr>
        <w:t>.2</w:t>
      </w:r>
      <w:r>
        <w:rPr>
          <w:rFonts w:ascii="Times New Roman" w:eastAsia="Times New Roman" w:hAnsi="Times New Roman" w:cs="Times New Roman"/>
          <w:color w:val="auto"/>
          <w:spacing w:val="-2"/>
          <w:sz w:val="24"/>
          <w:szCs w:val="24"/>
          <w:lang w:eastAsia="zh-CN"/>
        </w:rPr>
        <w:t>-</w:t>
      </w:r>
      <w:r>
        <w:rPr>
          <w:rFonts w:ascii="Times New Roman" w:eastAsia="宋体" w:hAnsi="Times New Roman" w:cs="Times New Roman" w:hint="eastAsia"/>
          <w:color w:val="auto"/>
          <w:spacing w:val="-2"/>
          <w:sz w:val="24"/>
          <w:szCs w:val="24"/>
          <w:lang w:eastAsia="zh-CN"/>
        </w:rPr>
        <w:t>1</w:t>
      </w:r>
      <w:r>
        <w:rPr>
          <w:rFonts w:ascii="Times New Roman" w:eastAsia="宋体" w:hAnsi="Times New Roman" w:cs="Times New Roman" w:hint="eastAsia"/>
          <w:color w:val="auto"/>
          <w:spacing w:val="-2"/>
          <w:sz w:val="24"/>
          <w:szCs w:val="24"/>
          <w:lang w:eastAsia="zh-CN"/>
        </w:rPr>
        <w:t>、</w:t>
      </w:r>
      <w:r>
        <w:rPr>
          <w:rFonts w:ascii="宋体" w:eastAsia="宋体" w:hAnsi="宋体" w:cs="宋体" w:hint="eastAsia"/>
          <w:color w:val="auto"/>
          <w:sz w:val="24"/>
          <w:szCs w:val="24"/>
          <w:lang w:eastAsia="zh-CN" w:bidi="ar"/>
        </w:rPr>
        <w:t>图</w:t>
      </w:r>
      <w:r>
        <w:rPr>
          <w:rFonts w:ascii="Times New Roman" w:hAnsi="Times New Roman" w:cs="Times New Roman" w:hint="eastAsia"/>
          <w:color w:val="auto"/>
          <w:sz w:val="24"/>
          <w:szCs w:val="24"/>
          <w:lang w:eastAsia="zh-CN"/>
        </w:rPr>
        <w:t>5.1.2-15</w:t>
      </w:r>
      <w:r>
        <w:rPr>
          <w:rFonts w:ascii="宋体" w:eastAsia="宋体" w:hAnsi="宋体" w:cs="宋体" w:hint="eastAsia"/>
          <w:color w:val="auto"/>
          <w:sz w:val="24"/>
          <w:szCs w:val="24"/>
          <w:lang w:eastAsia="zh-CN" w:bidi="ar"/>
        </w:rPr>
        <w:t>。</w:t>
      </w:r>
    </w:p>
    <w:p w14:paraId="2E1F2C76" w14:textId="77777777" w:rsidR="0075791A" w:rsidRDefault="0075791A">
      <w:pPr>
        <w:pStyle w:val="a5"/>
        <w:rPr>
          <w:color w:val="auto"/>
          <w:lang w:eastAsia="zh-CN"/>
        </w:rPr>
      </w:pPr>
    </w:p>
    <w:p w14:paraId="7CF98993"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利用项目红线范围内确权土地图斑与</w:t>
      </w:r>
      <w:r>
        <w:rPr>
          <w:rFonts w:ascii="Times New Roman" w:eastAsia="宋体" w:hAnsi="Times New Roman" w:cs="宋体" w:hint="eastAsia"/>
          <w:color w:val="auto"/>
          <w:spacing w:val="-2"/>
          <w:sz w:val="24"/>
          <w:szCs w:val="24"/>
          <w:lang w:eastAsia="zh-CN"/>
        </w:rPr>
        <w:t>2008</w:t>
      </w:r>
      <w:r>
        <w:rPr>
          <w:rFonts w:ascii="Times New Roman" w:eastAsia="宋体" w:hAnsi="Times New Roman" w:cs="宋体" w:hint="eastAsia"/>
          <w:color w:val="auto"/>
          <w:spacing w:val="-2"/>
          <w:sz w:val="24"/>
          <w:szCs w:val="24"/>
          <w:lang w:eastAsia="zh-CN"/>
        </w:rPr>
        <w:t>年海岸线、</w:t>
      </w:r>
      <w:r>
        <w:rPr>
          <w:rFonts w:ascii="Times New Roman" w:eastAsia="宋体" w:hAnsi="Times New Roman" w:cs="宋体" w:hint="eastAsia"/>
          <w:color w:val="auto"/>
          <w:spacing w:val="-2"/>
          <w:sz w:val="24"/>
          <w:szCs w:val="24"/>
          <w:lang w:eastAsia="zh-CN"/>
        </w:rPr>
        <w:t>2019</w:t>
      </w:r>
      <w:r>
        <w:rPr>
          <w:rFonts w:ascii="Times New Roman" w:eastAsia="宋体" w:hAnsi="Times New Roman" w:cs="宋体" w:hint="eastAsia"/>
          <w:color w:val="auto"/>
          <w:spacing w:val="-2"/>
          <w:sz w:val="24"/>
          <w:szCs w:val="24"/>
          <w:lang w:eastAsia="zh-CN"/>
        </w:rPr>
        <w:t>年修测海岸线叠加，可以看到在铁炉港湾底的青田村委会确权的土地部分位于</w:t>
      </w:r>
      <w:r>
        <w:rPr>
          <w:rFonts w:ascii="Times New Roman" w:eastAsia="宋体" w:hAnsi="Times New Roman" w:cs="宋体" w:hint="eastAsia"/>
          <w:color w:val="auto"/>
          <w:spacing w:val="-2"/>
          <w:sz w:val="24"/>
          <w:szCs w:val="24"/>
          <w:lang w:eastAsia="zh-CN"/>
        </w:rPr>
        <w:t>2008</w:t>
      </w:r>
      <w:r>
        <w:rPr>
          <w:rFonts w:ascii="Times New Roman" w:eastAsia="宋体" w:hAnsi="Times New Roman" w:cs="宋体" w:hint="eastAsia"/>
          <w:color w:val="auto"/>
          <w:spacing w:val="-2"/>
          <w:sz w:val="24"/>
          <w:szCs w:val="24"/>
          <w:lang w:eastAsia="zh-CN"/>
        </w:rPr>
        <w:t>海岸线、</w:t>
      </w:r>
      <w:r>
        <w:rPr>
          <w:rFonts w:ascii="Times New Roman" w:eastAsia="宋体" w:hAnsi="Times New Roman" w:cs="宋体" w:hint="eastAsia"/>
          <w:color w:val="auto"/>
          <w:spacing w:val="-2"/>
          <w:sz w:val="24"/>
          <w:szCs w:val="24"/>
          <w:lang w:eastAsia="zh-CN"/>
        </w:rPr>
        <w:t>2019</w:t>
      </w:r>
      <w:r>
        <w:rPr>
          <w:rFonts w:ascii="Times New Roman" w:eastAsia="宋体" w:hAnsi="Times New Roman" w:cs="宋体" w:hint="eastAsia"/>
          <w:color w:val="auto"/>
          <w:spacing w:val="-2"/>
          <w:sz w:val="24"/>
          <w:szCs w:val="24"/>
          <w:lang w:eastAsia="zh-CN"/>
        </w:rPr>
        <w:t>年修测海岸线之间，见</w:t>
      </w:r>
      <w:r>
        <w:rPr>
          <w:rFonts w:ascii="Times New Roman" w:hAnsi="Times New Roman" w:cs="Times New Roman" w:hint="eastAsia"/>
          <w:color w:val="auto"/>
          <w:sz w:val="24"/>
          <w:szCs w:val="24"/>
          <w:lang w:eastAsia="zh-CN"/>
        </w:rPr>
        <w:t>图</w:t>
      </w:r>
      <w:r>
        <w:rPr>
          <w:rFonts w:ascii="Times New Roman" w:hAnsi="Times New Roman" w:cs="Times New Roman" w:hint="eastAsia"/>
          <w:color w:val="auto"/>
          <w:sz w:val="24"/>
          <w:szCs w:val="24"/>
          <w:lang w:eastAsia="zh-CN"/>
        </w:rPr>
        <w:t>5.1.2-16</w:t>
      </w:r>
      <w:r>
        <w:rPr>
          <w:rFonts w:ascii="Times New Roman" w:eastAsia="宋体" w:hAnsi="Times New Roman" w:cs="宋体" w:hint="eastAsia"/>
          <w:color w:val="auto"/>
          <w:spacing w:val="-2"/>
          <w:sz w:val="24"/>
          <w:szCs w:val="24"/>
          <w:lang w:eastAsia="zh-CN"/>
        </w:rPr>
        <w:t>。</w:t>
      </w:r>
    </w:p>
    <w:p w14:paraId="0C1FBD06" w14:textId="77777777" w:rsidR="0075791A" w:rsidRDefault="00FB2864">
      <w:pPr>
        <w:spacing w:line="360" w:lineRule="auto"/>
        <w:ind w:firstLineChars="200" w:firstLine="480"/>
        <w:jc w:val="both"/>
        <w:rPr>
          <w:rFonts w:ascii="宋体" w:eastAsia="宋体" w:hAnsi="宋体" w:cs="宋体"/>
          <w:color w:val="auto"/>
          <w:sz w:val="24"/>
          <w:szCs w:val="24"/>
          <w:lang w:eastAsia="zh-CN" w:bidi="ar"/>
        </w:rPr>
      </w:pPr>
      <w:r>
        <w:rPr>
          <w:rFonts w:ascii="宋体" w:eastAsia="宋体" w:hAnsi="宋体" w:cs="宋体" w:hint="eastAsia"/>
          <w:color w:val="auto"/>
          <w:sz w:val="24"/>
          <w:szCs w:val="24"/>
          <w:lang w:eastAsia="zh-CN" w:bidi="ar"/>
        </w:rPr>
        <w:t>本项</w:t>
      </w:r>
      <w:r>
        <w:rPr>
          <w:rFonts w:ascii="宋体" w:eastAsia="宋体" w:hAnsi="宋体" w:cs="宋体" w:hint="eastAsia"/>
          <w:color w:val="auto"/>
          <w:sz w:val="24"/>
          <w:szCs w:val="24"/>
          <w:lang w:eastAsia="zh-CN" w:bidi="ar"/>
        </w:rPr>
        <w:t>目红龙路南侧巡护便道新增用海、江前村附近巡护便道新增用海占用江林村农民集体的已确权土地，面积为</w:t>
      </w:r>
      <w:r>
        <w:rPr>
          <w:rFonts w:ascii="宋体" w:eastAsia="宋体" w:hAnsi="宋体" w:cs="宋体" w:hint="eastAsia"/>
          <w:color w:val="auto"/>
          <w:sz w:val="24"/>
          <w:szCs w:val="24"/>
          <w:lang w:eastAsia="zh-CN" w:bidi="ar"/>
        </w:rPr>
        <w:t>0.0065</w:t>
      </w:r>
      <w:r>
        <w:rPr>
          <w:rFonts w:ascii="宋体" w:eastAsia="宋体" w:hAnsi="宋体" w:cs="宋体" w:hint="eastAsia"/>
          <w:color w:val="auto"/>
          <w:sz w:val="24"/>
          <w:szCs w:val="24"/>
          <w:lang w:eastAsia="zh-CN" w:bidi="ar"/>
        </w:rPr>
        <w:t>公顷；在疏浚区南侧接岸线区域存在</w:t>
      </w:r>
      <w:r>
        <w:rPr>
          <w:rFonts w:ascii="宋体" w:eastAsia="宋体" w:hAnsi="宋体" w:cs="宋体" w:hint="eastAsia"/>
          <w:color w:val="auto"/>
          <w:sz w:val="24"/>
          <w:szCs w:val="24"/>
          <w:lang w:eastAsia="zh-CN" w:bidi="ar"/>
        </w:rPr>
        <w:t>4</w:t>
      </w:r>
      <w:r>
        <w:rPr>
          <w:rFonts w:ascii="宋体" w:eastAsia="宋体" w:hAnsi="宋体" w:cs="宋体" w:hint="eastAsia"/>
          <w:color w:val="auto"/>
          <w:sz w:val="24"/>
          <w:szCs w:val="24"/>
          <w:lang w:eastAsia="zh-CN" w:bidi="ar"/>
        </w:rPr>
        <w:t>处已确权土地，权属为青田村委会，面积为</w:t>
      </w:r>
      <w:r>
        <w:rPr>
          <w:rFonts w:ascii="宋体" w:eastAsia="宋体" w:hAnsi="宋体" w:cs="宋体" w:hint="eastAsia"/>
          <w:color w:val="auto"/>
          <w:sz w:val="24"/>
          <w:szCs w:val="24"/>
          <w:lang w:eastAsia="zh-CN" w:bidi="ar"/>
        </w:rPr>
        <w:t>0.54</w:t>
      </w:r>
      <w:r>
        <w:rPr>
          <w:rFonts w:ascii="宋体" w:eastAsia="宋体" w:hAnsi="宋体" w:cs="宋体" w:hint="eastAsia"/>
          <w:color w:val="auto"/>
          <w:sz w:val="24"/>
          <w:szCs w:val="24"/>
          <w:lang w:eastAsia="zh-CN" w:bidi="ar"/>
        </w:rPr>
        <w:t>公顷。</w:t>
      </w:r>
      <w:r>
        <w:rPr>
          <w:rFonts w:ascii="宋体" w:eastAsia="宋体" w:hAnsi="宋体" w:cs="宋体" w:hint="eastAsia"/>
          <w:color w:val="auto"/>
          <w:sz w:val="24"/>
          <w:szCs w:val="24"/>
          <w:lang w:eastAsia="zh-CN" w:bidi="ar"/>
        </w:rPr>
        <w:t>2025</w:t>
      </w:r>
      <w:r>
        <w:rPr>
          <w:rFonts w:ascii="宋体" w:eastAsia="宋体" w:hAnsi="宋体" w:cs="宋体" w:hint="eastAsia"/>
          <w:color w:val="auto"/>
          <w:sz w:val="24"/>
          <w:szCs w:val="24"/>
          <w:lang w:eastAsia="zh-CN" w:bidi="ar"/>
        </w:rPr>
        <w:t>年，海棠区人民政府开始开展铁炉港红树林湿地保护修复项目范围内土地征收工作，即将完成征收工作。</w:t>
      </w:r>
    </w:p>
    <w:p w14:paraId="38A342F5" w14:textId="77777777" w:rsidR="0075791A" w:rsidRDefault="00FB2864">
      <w:pPr>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z w:val="24"/>
          <w:szCs w:val="22"/>
          <w:lang w:eastAsia="zh-CN" w:bidi="ar"/>
        </w:rPr>
        <w:t>表</w:t>
      </w:r>
      <w:r>
        <w:rPr>
          <w:rFonts w:ascii="Times New Roman" w:eastAsia="宋体" w:hAnsi="Times New Roman" w:cs="Times New Roman" w:hint="eastAsia"/>
          <w:color w:val="auto"/>
          <w:spacing w:val="-2"/>
          <w:sz w:val="24"/>
          <w:szCs w:val="24"/>
          <w:lang w:eastAsia="zh-CN"/>
        </w:rPr>
        <w:t>5</w:t>
      </w:r>
      <w:r>
        <w:rPr>
          <w:rFonts w:ascii="Times New Roman" w:eastAsia="宋体" w:hAnsi="Times New Roman" w:cs="Times New Roman"/>
          <w:color w:val="auto"/>
          <w:spacing w:val="-2"/>
          <w:sz w:val="24"/>
          <w:szCs w:val="24"/>
          <w:lang w:eastAsia="zh-CN"/>
        </w:rPr>
        <w:t>.1</w:t>
      </w:r>
      <w:r>
        <w:rPr>
          <w:rFonts w:ascii="Times New Roman" w:eastAsia="宋体" w:hAnsi="Times New Roman" w:cs="Times New Roman" w:hint="eastAsia"/>
          <w:color w:val="auto"/>
          <w:spacing w:val="-2"/>
          <w:sz w:val="24"/>
          <w:szCs w:val="24"/>
          <w:lang w:eastAsia="zh-CN"/>
        </w:rPr>
        <w:t>.2</w:t>
      </w:r>
      <w:r>
        <w:rPr>
          <w:rFonts w:ascii="Times New Roman" w:eastAsia="宋体" w:hAnsi="Times New Roman" w:cs="Times New Roman"/>
          <w:color w:val="auto"/>
          <w:spacing w:val="-2"/>
          <w:sz w:val="24"/>
          <w:szCs w:val="24"/>
          <w:lang w:eastAsia="zh-CN"/>
        </w:rPr>
        <w:t>-</w:t>
      </w:r>
      <w:r>
        <w:rPr>
          <w:rFonts w:ascii="Times New Roman" w:eastAsia="宋体" w:hAnsi="Times New Roman" w:cs="Times New Roman" w:hint="eastAsia"/>
          <w:color w:val="auto"/>
          <w:spacing w:val="-2"/>
          <w:sz w:val="24"/>
          <w:szCs w:val="24"/>
          <w:lang w:eastAsia="zh-CN"/>
        </w:rPr>
        <w:t xml:space="preserve">1 </w:t>
      </w:r>
      <w:r>
        <w:rPr>
          <w:rFonts w:ascii="Times New Roman" w:eastAsia="宋体" w:hAnsi="Times New Roman" w:cs="Times New Roman" w:hint="eastAsia"/>
          <w:color w:val="auto"/>
          <w:spacing w:val="-2"/>
          <w:sz w:val="24"/>
          <w:szCs w:val="24"/>
          <w:lang w:eastAsia="zh-CN"/>
        </w:rPr>
        <w:t>项目红线范围内土地权属信息统计表</w:t>
      </w:r>
    </w:p>
    <w:tbl>
      <w:tblPr>
        <w:tblW w:w="9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6"/>
        <w:gridCol w:w="958"/>
        <w:gridCol w:w="917"/>
        <w:gridCol w:w="2676"/>
        <w:gridCol w:w="1746"/>
        <w:gridCol w:w="1637"/>
        <w:gridCol w:w="1150"/>
      </w:tblGrid>
      <w:tr w:rsidR="0075791A" w14:paraId="32D10746" w14:textId="77777777">
        <w:trPr>
          <w:trHeight w:val="90"/>
          <w:jc w:val="center"/>
        </w:trPr>
        <w:tc>
          <w:tcPr>
            <w:tcW w:w="626" w:type="dxa"/>
            <w:shd w:val="clear" w:color="auto" w:fill="auto"/>
            <w:noWrap/>
            <w:tcMar>
              <w:top w:w="0" w:type="dxa"/>
              <w:left w:w="0" w:type="dxa"/>
              <w:bottom w:w="0" w:type="dxa"/>
              <w:right w:w="0" w:type="dxa"/>
            </w:tcMar>
            <w:vAlign w:val="center"/>
          </w:tcPr>
          <w:p w14:paraId="6A4C782F"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序号</w:t>
            </w:r>
          </w:p>
        </w:tc>
        <w:tc>
          <w:tcPr>
            <w:tcW w:w="958" w:type="dxa"/>
            <w:shd w:val="clear" w:color="auto" w:fill="auto"/>
            <w:noWrap/>
            <w:tcMar>
              <w:top w:w="0" w:type="dxa"/>
              <w:left w:w="0" w:type="dxa"/>
              <w:bottom w:w="0" w:type="dxa"/>
              <w:right w:w="0" w:type="dxa"/>
            </w:tcMar>
            <w:vAlign w:val="center"/>
          </w:tcPr>
          <w:p w14:paraId="12AB9259"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权属类型</w:t>
            </w:r>
          </w:p>
        </w:tc>
        <w:tc>
          <w:tcPr>
            <w:tcW w:w="917" w:type="dxa"/>
            <w:shd w:val="clear" w:color="auto" w:fill="auto"/>
            <w:noWrap/>
            <w:tcMar>
              <w:top w:w="0" w:type="dxa"/>
              <w:left w:w="0" w:type="dxa"/>
              <w:bottom w:w="0" w:type="dxa"/>
              <w:right w:w="0" w:type="dxa"/>
            </w:tcMar>
            <w:vAlign w:val="center"/>
          </w:tcPr>
          <w:p w14:paraId="5B1A09B1"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数据来源</w:t>
            </w:r>
          </w:p>
        </w:tc>
        <w:tc>
          <w:tcPr>
            <w:tcW w:w="2676" w:type="dxa"/>
            <w:shd w:val="clear" w:color="auto" w:fill="auto"/>
            <w:tcMar>
              <w:top w:w="0" w:type="dxa"/>
              <w:left w:w="0" w:type="dxa"/>
              <w:bottom w:w="0" w:type="dxa"/>
              <w:right w:w="0" w:type="dxa"/>
            </w:tcMar>
            <w:vAlign w:val="center"/>
          </w:tcPr>
          <w:p w14:paraId="10F2AF55"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权属信息</w:t>
            </w:r>
          </w:p>
        </w:tc>
        <w:tc>
          <w:tcPr>
            <w:tcW w:w="1746" w:type="dxa"/>
            <w:shd w:val="clear" w:color="auto" w:fill="auto"/>
            <w:tcMar>
              <w:top w:w="0" w:type="dxa"/>
              <w:left w:w="0" w:type="dxa"/>
              <w:bottom w:w="0" w:type="dxa"/>
              <w:right w:w="0" w:type="dxa"/>
            </w:tcMar>
            <w:vAlign w:val="center"/>
          </w:tcPr>
          <w:p w14:paraId="493D1629" w14:textId="77777777" w:rsidR="0075791A" w:rsidRDefault="00FB2864">
            <w:pPr>
              <w:spacing w:line="240" w:lineRule="exact"/>
              <w:jc w:val="center"/>
              <w:textAlignment w:val="center"/>
              <w:rPr>
                <w:rFonts w:ascii="Times New Roman" w:eastAsia="宋体" w:hAnsi="Times New Roman" w:cs="宋体"/>
                <w:color w:val="auto"/>
                <w:lang w:eastAsia="zh-CN"/>
              </w:rPr>
            </w:pPr>
            <w:r>
              <w:rPr>
                <w:rFonts w:ascii="Times New Roman" w:eastAsia="宋体" w:hAnsi="Times New Roman" w:cs="宋体" w:hint="eastAsia"/>
                <w:color w:val="auto"/>
                <w:lang w:eastAsia="zh-CN" w:bidi="ar"/>
              </w:rPr>
              <w:t>修复项目红线范围内面积（公顷）</w:t>
            </w:r>
          </w:p>
        </w:tc>
        <w:tc>
          <w:tcPr>
            <w:tcW w:w="1637" w:type="dxa"/>
            <w:shd w:val="clear" w:color="auto" w:fill="auto"/>
            <w:tcMar>
              <w:top w:w="0" w:type="dxa"/>
              <w:left w:w="0" w:type="dxa"/>
              <w:bottom w:w="0" w:type="dxa"/>
              <w:right w:w="0" w:type="dxa"/>
            </w:tcMar>
            <w:vAlign w:val="center"/>
          </w:tcPr>
          <w:p w14:paraId="47880B45"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二期红线范围内面积（公顷）</w:t>
            </w:r>
          </w:p>
        </w:tc>
        <w:tc>
          <w:tcPr>
            <w:tcW w:w="1150" w:type="dxa"/>
            <w:shd w:val="clear" w:color="auto" w:fill="auto"/>
            <w:tcMar>
              <w:top w:w="0" w:type="dxa"/>
              <w:left w:w="0" w:type="dxa"/>
              <w:bottom w:w="0" w:type="dxa"/>
              <w:right w:w="0" w:type="dxa"/>
            </w:tcMar>
            <w:vAlign w:val="center"/>
          </w:tcPr>
          <w:p w14:paraId="492530E1"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不动产性质</w:t>
            </w:r>
          </w:p>
        </w:tc>
      </w:tr>
      <w:tr w:rsidR="0075791A" w14:paraId="70D9DB22" w14:textId="77777777">
        <w:trPr>
          <w:trHeight w:val="338"/>
          <w:jc w:val="center"/>
        </w:trPr>
        <w:tc>
          <w:tcPr>
            <w:tcW w:w="626" w:type="dxa"/>
            <w:shd w:val="clear" w:color="auto" w:fill="auto"/>
            <w:noWrap/>
            <w:tcMar>
              <w:top w:w="0" w:type="dxa"/>
              <w:left w:w="0" w:type="dxa"/>
              <w:bottom w:w="0" w:type="dxa"/>
              <w:right w:w="0" w:type="dxa"/>
            </w:tcMar>
            <w:vAlign w:val="center"/>
          </w:tcPr>
          <w:p w14:paraId="1810D29D"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1</w:t>
            </w:r>
          </w:p>
        </w:tc>
        <w:tc>
          <w:tcPr>
            <w:tcW w:w="958" w:type="dxa"/>
            <w:vMerge w:val="restart"/>
            <w:shd w:val="clear" w:color="auto" w:fill="auto"/>
            <w:tcMar>
              <w:top w:w="0" w:type="dxa"/>
              <w:left w:w="0" w:type="dxa"/>
              <w:bottom w:w="0" w:type="dxa"/>
              <w:right w:w="0" w:type="dxa"/>
            </w:tcMar>
            <w:vAlign w:val="center"/>
          </w:tcPr>
          <w:p w14:paraId="586C7DC4"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已登记情况</w:t>
            </w:r>
          </w:p>
        </w:tc>
        <w:tc>
          <w:tcPr>
            <w:tcW w:w="917" w:type="dxa"/>
            <w:vMerge w:val="restart"/>
            <w:shd w:val="clear" w:color="auto" w:fill="auto"/>
            <w:tcMar>
              <w:top w:w="0" w:type="dxa"/>
              <w:left w:w="0" w:type="dxa"/>
              <w:bottom w:w="0" w:type="dxa"/>
              <w:right w:w="0" w:type="dxa"/>
            </w:tcMar>
            <w:vAlign w:val="center"/>
          </w:tcPr>
          <w:p w14:paraId="5521B2E6"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不动产登记成果</w:t>
            </w:r>
          </w:p>
        </w:tc>
        <w:tc>
          <w:tcPr>
            <w:tcW w:w="2676" w:type="dxa"/>
            <w:shd w:val="clear" w:color="auto" w:fill="auto"/>
            <w:tcMar>
              <w:top w:w="0" w:type="dxa"/>
              <w:left w:w="0" w:type="dxa"/>
              <w:bottom w:w="0" w:type="dxa"/>
              <w:right w:w="0" w:type="dxa"/>
            </w:tcMar>
            <w:vAlign w:val="center"/>
          </w:tcPr>
          <w:p w14:paraId="08D91493" w14:textId="77777777" w:rsidR="0075791A" w:rsidRDefault="00FB2864">
            <w:pPr>
              <w:spacing w:line="240" w:lineRule="exact"/>
              <w:jc w:val="center"/>
              <w:textAlignment w:val="center"/>
              <w:rPr>
                <w:rFonts w:ascii="Times New Roman" w:eastAsia="宋体" w:hAnsi="Times New Roman" w:cs="宋体"/>
                <w:color w:val="auto"/>
                <w:lang w:eastAsia="zh-CN"/>
              </w:rPr>
            </w:pPr>
            <w:r>
              <w:rPr>
                <w:rFonts w:ascii="Times New Roman" w:eastAsia="宋体" w:hAnsi="Times New Roman" w:cs="宋体" w:hint="eastAsia"/>
                <w:color w:val="auto"/>
                <w:lang w:eastAsia="zh-CN" w:bidi="ar"/>
              </w:rPr>
              <w:t>海南诚海实业开发有限公司</w:t>
            </w:r>
          </w:p>
        </w:tc>
        <w:tc>
          <w:tcPr>
            <w:tcW w:w="1746" w:type="dxa"/>
            <w:shd w:val="clear" w:color="auto" w:fill="auto"/>
            <w:tcMar>
              <w:top w:w="0" w:type="dxa"/>
              <w:left w:w="0" w:type="dxa"/>
              <w:bottom w:w="0" w:type="dxa"/>
              <w:right w:w="0" w:type="dxa"/>
            </w:tcMar>
            <w:vAlign w:val="center"/>
          </w:tcPr>
          <w:p w14:paraId="0AF6F7EA"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0.9221</w:t>
            </w:r>
          </w:p>
        </w:tc>
        <w:tc>
          <w:tcPr>
            <w:tcW w:w="1637" w:type="dxa"/>
            <w:shd w:val="clear" w:color="auto" w:fill="auto"/>
            <w:noWrap/>
            <w:tcMar>
              <w:top w:w="0" w:type="dxa"/>
              <w:left w:w="0" w:type="dxa"/>
              <w:bottom w:w="0" w:type="dxa"/>
              <w:right w:w="0" w:type="dxa"/>
            </w:tcMar>
            <w:vAlign w:val="center"/>
          </w:tcPr>
          <w:p w14:paraId="3F917B70"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w:t>
            </w:r>
          </w:p>
        </w:tc>
        <w:tc>
          <w:tcPr>
            <w:tcW w:w="1150" w:type="dxa"/>
            <w:shd w:val="clear" w:color="auto" w:fill="auto"/>
            <w:noWrap/>
            <w:tcMar>
              <w:top w:w="0" w:type="dxa"/>
              <w:left w:w="0" w:type="dxa"/>
              <w:bottom w:w="0" w:type="dxa"/>
              <w:right w:w="0" w:type="dxa"/>
            </w:tcMar>
            <w:vAlign w:val="center"/>
          </w:tcPr>
          <w:p w14:paraId="4B3950B4"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国有发证</w:t>
            </w:r>
          </w:p>
        </w:tc>
      </w:tr>
      <w:tr w:rsidR="0075791A" w14:paraId="649B6D26" w14:textId="77777777">
        <w:trPr>
          <w:trHeight w:val="288"/>
          <w:jc w:val="center"/>
        </w:trPr>
        <w:tc>
          <w:tcPr>
            <w:tcW w:w="626" w:type="dxa"/>
            <w:shd w:val="clear" w:color="auto" w:fill="auto"/>
            <w:noWrap/>
            <w:tcMar>
              <w:top w:w="0" w:type="dxa"/>
              <w:left w:w="0" w:type="dxa"/>
              <w:bottom w:w="0" w:type="dxa"/>
              <w:right w:w="0" w:type="dxa"/>
            </w:tcMar>
            <w:vAlign w:val="center"/>
          </w:tcPr>
          <w:p w14:paraId="70B8AE12"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2</w:t>
            </w:r>
          </w:p>
        </w:tc>
        <w:tc>
          <w:tcPr>
            <w:tcW w:w="958" w:type="dxa"/>
            <w:vMerge/>
            <w:shd w:val="clear" w:color="auto" w:fill="auto"/>
            <w:tcMar>
              <w:top w:w="0" w:type="dxa"/>
              <w:left w:w="0" w:type="dxa"/>
              <w:bottom w:w="0" w:type="dxa"/>
              <w:right w:w="0" w:type="dxa"/>
            </w:tcMar>
            <w:vAlign w:val="center"/>
          </w:tcPr>
          <w:p w14:paraId="77FAD927"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6D69ADAB"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tcMar>
              <w:top w:w="0" w:type="dxa"/>
              <w:left w:w="0" w:type="dxa"/>
              <w:bottom w:w="0" w:type="dxa"/>
              <w:right w:w="0" w:type="dxa"/>
            </w:tcMar>
            <w:vAlign w:val="center"/>
          </w:tcPr>
          <w:p w14:paraId="0A3866BF" w14:textId="77777777" w:rsidR="0075791A" w:rsidRDefault="00FB2864">
            <w:pPr>
              <w:spacing w:line="240" w:lineRule="exact"/>
              <w:jc w:val="center"/>
              <w:textAlignment w:val="center"/>
              <w:rPr>
                <w:rFonts w:ascii="Times New Roman" w:eastAsia="宋体" w:hAnsi="Times New Roman" w:cs="宋体"/>
                <w:color w:val="auto"/>
                <w:lang w:eastAsia="zh-CN"/>
              </w:rPr>
            </w:pPr>
            <w:r>
              <w:rPr>
                <w:rFonts w:ascii="Times New Roman" w:eastAsia="宋体" w:hAnsi="Times New Roman" w:cs="宋体" w:hint="eastAsia"/>
                <w:color w:val="auto"/>
                <w:lang w:eastAsia="zh-CN" w:bidi="ar"/>
              </w:rPr>
              <w:t>海南裕昌集团有限公司</w:t>
            </w:r>
          </w:p>
        </w:tc>
        <w:tc>
          <w:tcPr>
            <w:tcW w:w="1746" w:type="dxa"/>
            <w:shd w:val="clear" w:color="auto" w:fill="auto"/>
            <w:tcMar>
              <w:top w:w="0" w:type="dxa"/>
              <w:left w:w="0" w:type="dxa"/>
              <w:bottom w:w="0" w:type="dxa"/>
              <w:right w:w="0" w:type="dxa"/>
            </w:tcMar>
            <w:vAlign w:val="center"/>
          </w:tcPr>
          <w:p w14:paraId="30CA56F9"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0.1214</w:t>
            </w:r>
          </w:p>
        </w:tc>
        <w:tc>
          <w:tcPr>
            <w:tcW w:w="1637" w:type="dxa"/>
            <w:shd w:val="clear" w:color="auto" w:fill="auto"/>
            <w:noWrap/>
            <w:tcMar>
              <w:top w:w="0" w:type="dxa"/>
              <w:left w:w="0" w:type="dxa"/>
              <w:bottom w:w="0" w:type="dxa"/>
              <w:right w:w="0" w:type="dxa"/>
            </w:tcMar>
            <w:vAlign w:val="center"/>
          </w:tcPr>
          <w:p w14:paraId="5D776107"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w:t>
            </w:r>
          </w:p>
        </w:tc>
        <w:tc>
          <w:tcPr>
            <w:tcW w:w="1150" w:type="dxa"/>
            <w:shd w:val="clear" w:color="auto" w:fill="auto"/>
            <w:noWrap/>
            <w:tcMar>
              <w:top w:w="0" w:type="dxa"/>
              <w:left w:w="0" w:type="dxa"/>
              <w:bottom w:w="0" w:type="dxa"/>
              <w:right w:w="0" w:type="dxa"/>
            </w:tcMar>
            <w:vAlign w:val="center"/>
          </w:tcPr>
          <w:p w14:paraId="47D229D3"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国有发证</w:t>
            </w:r>
          </w:p>
        </w:tc>
      </w:tr>
      <w:tr w:rsidR="0075791A" w14:paraId="5F8EE64D" w14:textId="77777777">
        <w:trPr>
          <w:trHeight w:val="288"/>
          <w:jc w:val="center"/>
        </w:trPr>
        <w:tc>
          <w:tcPr>
            <w:tcW w:w="626" w:type="dxa"/>
            <w:shd w:val="clear" w:color="auto" w:fill="auto"/>
            <w:noWrap/>
            <w:tcMar>
              <w:top w:w="0" w:type="dxa"/>
              <w:left w:w="0" w:type="dxa"/>
              <w:bottom w:w="0" w:type="dxa"/>
              <w:right w:w="0" w:type="dxa"/>
            </w:tcMar>
            <w:vAlign w:val="center"/>
          </w:tcPr>
          <w:p w14:paraId="39B7416B"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3</w:t>
            </w:r>
          </w:p>
        </w:tc>
        <w:tc>
          <w:tcPr>
            <w:tcW w:w="958" w:type="dxa"/>
            <w:vMerge/>
            <w:shd w:val="clear" w:color="auto" w:fill="auto"/>
            <w:tcMar>
              <w:top w:w="0" w:type="dxa"/>
              <w:left w:w="0" w:type="dxa"/>
              <w:bottom w:w="0" w:type="dxa"/>
              <w:right w:w="0" w:type="dxa"/>
            </w:tcMar>
            <w:vAlign w:val="center"/>
          </w:tcPr>
          <w:p w14:paraId="46556DF4"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5667F970"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tcMar>
              <w:top w:w="0" w:type="dxa"/>
              <w:left w:w="0" w:type="dxa"/>
              <w:bottom w:w="0" w:type="dxa"/>
              <w:right w:w="0" w:type="dxa"/>
            </w:tcMar>
            <w:vAlign w:val="center"/>
          </w:tcPr>
          <w:p w14:paraId="6DD928AF" w14:textId="77777777" w:rsidR="0075791A" w:rsidRDefault="00FB2864">
            <w:pPr>
              <w:spacing w:line="240" w:lineRule="exact"/>
              <w:jc w:val="center"/>
              <w:textAlignment w:val="center"/>
              <w:rPr>
                <w:rFonts w:ascii="Times New Roman" w:eastAsia="宋体" w:hAnsi="Times New Roman" w:cs="宋体"/>
                <w:color w:val="auto"/>
                <w:lang w:eastAsia="zh-CN"/>
              </w:rPr>
            </w:pPr>
            <w:r>
              <w:rPr>
                <w:rFonts w:ascii="Times New Roman" w:eastAsia="宋体" w:hAnsi="Times New Roman" w:cs="宋体" w:hint="eastAsia"/>
                <w:color w:val="auto"/>
                <w:lang w:eastAsia="zh-CN" w:bidi="ar"/>
              </w:rPr>
              <w:t>三亚市海棠区江林村民委员会农民集体</w:t>
            </w:r>
          </w:p>
        </w:tc>
        <w:tc>
          <w:tcPr>
            <w:tcW w:w="1746" w:type="dxa"/>
            <w:shd w:val="clear" w:color="auto" w:fill="auto"/>
            <w:tcMar>
              <w:top w:w="0" w:type="dxa"/>
              <w:left w:w="0" w:type="dxa"/>
              <w:bottom w:w="0" w:type="dxa"/>
              <w:right w:w="0" w:type="dxa"/>
            </w:tcMar>
            <w:vAlign w:val="center"/>
          </w:tcPr>
          <w:p w14:paraId="3EFAAA19"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0.3756</w:t>
            </w:r>
          </w:p>
        </w:tc>
        <w:tc>
          <w:tcPr>
            <w:tcW w:w="1637" w:type="dxa"/>
            <w:shd w:val="clear" w:color="auto" w:fill="auto"/>
            <w:noWrap/>
            <w:tcMar>
              <w:top w:w="0" w:type="dxa"/>
              <w:left w:w="0" w:type="dxa"/>
              <w:bottom w:w="0" w:type="dxa"/>
              <w:right w:w="0" w:type="dxa"/>
            </w:tcMar>
            <w:vAlign w:val="center"/>
          </w:tcPr>
          <w:p w14:paraId="315C69E8"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w:t>
            </w:r>
          </w:p>
        </w:tc>
        <w:tc>
          <w:tcPr>
            <w:tcW w:w="1150" w:type="dxa"/>
            <w:shd w:val="clear" w:color="auto" w:fill="auto"/>
            <w:noWrap/>
            <w:tcMar>
              <w:top w:w="0" w:type="dxa"/>
              <w:left w:w="0" w:type="dxa"/>
              <w:bottom w:w="0" w:type="dxa"/>
              <w:right w:w="0" w:type="dxa"/>
            </w:tcMar>
            <w:vAlign w:val="center"/>
          </w:tcPr>
          <w:p w14:paraId="4157C78B"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集体发证</w:t>
            </w:r>
          </w:p>
        </w:tc>
      </w:tr>
      <w:tr w:rsidR="0075791A" w14:paraId="161022DD" w14:textId="77777777">
        <w:trPr>
          <w:trHeight w:val="288"/>
          <w:jc w:val="center"/>
        </w:trPr>
        <w:tc>
          <w:tcPr>
            <w:tcW w:w="626" w:type="dxa"/>
            <w:shd w:val="clear" w:color="auto" w:fill="auto"/>
            <w:noWrap/>
            <w:tcMar>
              <w:top w:w="0" w:type="dxa"/>
              <w:left w:w="0" w:type="dxa"/>
              <w:bottom w:w="0" w:type="dxa"/>
              <w:right w:w="0" w:type="dxa"/>
            </w:tcMar>
            <w:vAlign w:val="center"/>
          </w:tcPr>
          <w:p w14:paraId="08260AC4"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4</w:t>
            </w:r>
          </w:p>
        </w:tc>
        <w:tc>
          <w:tcPr>
            <w:tcW w:w="958" w:type="dxa"/>
            <w:vMerge/>
            <w:shd w:val="clear" w:color="auto" w:fill="auto"/>
            <w:tcMar>
              <w:top w:w="0" w:type="dxa"/>
              <w:left w:w="0" w:type="dxa"/>
              <w:bottom w:w="0" w:type="dxa"/>
              <w:right w:w="0" w:type="dxa"/>
            </w:tcMar>
            <w:vAlign w:val="center"/>
          </w:tcPr>
          <w:p w14:paraId="3677BF2B"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2AEDB6C7"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tcMar>
              <w:top w:w="0" w:type="dxa"/>
              <w:left w:w="0" w:type="dxa"/>
              <w:bottom w:w="0" w:type="dxa"/>
              <w:right w:w="0" w:type="dxa"/>
            </w:tcMar>
            <w:vAlign w:val="center"/>
          </w:tcPr>
          <w:p w14:paraId="7C89C82E" w14:textId="77777777" w:rsidR="0075791A" w:rsidRDefault="00FB2864">
            <w:pPr>
              <w:spacing w:line="240" w:lineRule="exact"/>
              <w:jc w:val="center"/>
              <w:textAlignment w:val="center"/>
              <w:rPr>
                <w:rFonts w:ascii="Times New Roman" w:eastAsia="宋体" w:hAnsi="Times New Roman" w:cs="宋体"/>
                <w:color w:val="auto"/>
                <w:lang w:eastAsia="zh-CN"/>
              </w:rPr>
            </w:pPr>
            <w:r>
              <w:rPr>
                <w:rFonts w:ascii="Times New Roman" w:eastAsia="宋体" w:hAnsi="Times New Roman" w:cs="宋体" w:hint="eastAsia"/>
                <w:color w:val="auto"/>
                <w:lang w:eastAsia="zh-CN" w:bidi="ar"/>
              </w:rPr>
              <w:t>三亚市海棠区铁炉村民委员会农民集体</w:t>
            </w:r>
          </w:p>
        </w:tc>
        <w:tc>
          <w:tcPr>
            <w:tcW w:w="1746" w:type="dxa"/>
            <w:shd w:val="clear" w:color="auto" w:fill="auto"/>
            <w:tcMar>
              <w:top w:w="0" w:type="dxa"/>
              <w:left w:w="0" w:type="dxa"/>
              <w:bottom w:w="0" w:type="dxa"/>
              <w:right w:w="0" w:type="dxa"/>
            </w:tcMar>
            <w:vAlign w:val="center"/>
          </w:tcPr>
          <w:p w14:paraId="4CD18F63"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12.6158</w:t>
            </w:r>
          </w:p>
        </w:tc>
        <w:tc>
          <w:tcPr>
            <w:tcW w:w="1637" w:type="dxa"/>
            <w:shd w:val="clear" w:color="auto" w:fill="auto"/>
            <w:noWrap/>
            <w:tcMar>
              <w:top w:w="0" w:type="dxa"/>
              <w:left w:w="0" w:type="dxa"/>
              <w:bottom w:w="0" w:type="dxa"/>
              <w:right w:w="0" w:type="dxa"/>
            </w:tcMar>
            <w:vAlign w:val="center"/>
          </w:tcPr>
          <w:p w14:paraId="1E769A6A"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12.6158</w:t>
            </w:r>
          </w:p>
        </w:tc>
        <w:tc>
          <w:tcPr>
            <w:tcW w:w="1150" w:type="dxa"/>
            <w:shd w:val="clear" w:color="auto" w:fill="auto"/>
            <w:noWrap/>
            <w:tcMar>
              <w:top w:w="0" w:type="dxa"/>
              <w:left w:w="0" w:type="dxa"/>
              <w:bottom w:w="0" w:type="dxa"/>
              <w:right w:w="0" w:type="dxa"/>
            </w:tcMar>
            <w:vAlign w:val="center"/>
          </w:tcPr>
          <w:p w14:paraId="470E98FE"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集体发证</w:t>
            </w:r>
          </w:p>
        </w:tc>
      </w:tr>
      <w:tr w:rsidR="0075791A" w14:paraId="2F4164BC" w14:textId="77777777">
        <w:trPr>
          <w:trHeight w:val="288"/>
          <w:jc w:val="center"/>
        </w:trPr>
        <w:tc>
          <w:tcPr>
            <w:tcW w:w="626" w:type="dxa"/>
            <w:shd w:val="clear" w:color="auto" w:fill="auto"/>
            <w:noWrap/>
            <w:tcMar>
              <w:top w:w="0" w:type="dxa"/>
              <w:left w:w="0" w:type="dxa"/>
              <w:bottom w:w="0" w:type="dxa"/>
              <w:right w:w="0" w:type="dxa"/>
            </w:tcMar>
            <w:vAlign w:val="center"/>
          </w:tcPr>
          <w:p w14:paraId="041642EB"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5</w:t>
            </w:r>
          </w:p>
        </w:tc>
        <w:tc>
          <w:tcPr>
            <w:tcW w:w="958" w:type="dxa"/>
            <w:vMerge/>
            <w:shd w:val="clear" w:color="auto" w:fill="auto"/>
            <w:tcMar>
              <w:top w:w="0" w:type="dxa"/>
              <w:left w:w="0" w:type="dxa"/>
              <w:bottom w:w="0" w:type="dxa"/>
              <w:right w:w="0" w:type="dxa"/>
            </w:tcMar>
            <w:vAlign w:val="center"/>
          </w:tcPr>
          <w:p w14:paraId="6511E18C"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7A06B031"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tcMar>
              <w:top w:w="0" w:type="dxa"/>
              <w:left w:w="0" w:type="dxa"/>
              <w:bottom w:w="0" w:type="dxa"/>
              <w:right w:w="0" w:type="dxa"/>
            </w:tcMar>
            <w:vAlign w:val="center"/>
          </w:tcPr>
          <w:p w14:paraId="6DA23D10" w14:textId="77777777" w:rsidR="0075791A" w:rsidRDefault="00FB2864">
            <w:pPr>
              <w:spacing w:line="240" w:lineRule="exact"/>
              <w:jc w:val="center"/>
              <w:textAlignment w:val="center"/>
              <w:rPr>
                <w:rFonts w:ascii="Times New Roman" w:eastAsia="宋体" w:hAnsi="Times New Roman" w:cs="宋体"/>
                <w:color w:val="auto"/>
                <w:lang w:eastAsia="zh-CN"/>
              </w:rPr>
            </w:pPr>
            <w:r>
              <w:rPr>
                <w:rFonts w:ascii="Times New Roman" w:eastAsia="宋体" w:hAnsi="Times New Roman" w:cs="宋体" w:hint="eastAsia"/>
                <w:color w:val="auto"/>
                <w:lang w:eastAsia="zh-CN" w:bidi="ar"/>
              </w:rPr>
              <w:t>三亚市海棠湾开发建设有限公司</w:t>
            </w:r>
          </w:p>
        </w:tc>
        <w:tc>
          <w:tcPr>
            <w:tcW w:w="1746" w:type="dxa"/>
            <w:shd w:val="clear" w:color="auto" w:fill="auto"/>
            <w:tcMar>
              <w:top w:w="0" w:type="dxa"/>
              <w:left w:w="0" w:type="dxa"/>
              <w:bottom w:w="0" w:type="dxa"/>
              <w:right w:w="0" w:type="dxa"/>
            </w:tcMar>
            <w:vAlign w:val="center"/>
          </w:tcPr>
          <w:p w14:paraId="040D72FF"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0.5888</w:t>
            </w:r>
          </w:p>
        </w:tc>
        <w:tc>
          <w:tcPr>
            <w:tcW w:w="1637" w:type="dxa"/>
            <w:shd w:val="clear" w:color="auto" w:fill="auto"/>
            <w:noWrap/>
            <w:tcMar>
              <w:top w:w="0" w:type="dxa"/>
              <w:left w:w="0" w:type="dxa"/>
              <w:bottom w:w="0" w:type="dxa"/>
              <w:right w:w="0" w:type="dxa"/>
            </w:tcMar>
            <w:vAlign w:val="center"/>
          </w:tcPr>
          <w:p w14:paraId="13014E92"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w:t>
            </w:r>
          </w:p>
        </w:tc>
        <w:tc>
          <w:tcPr>
            <w:tcW w:w="1150" w:type="dxa"/>
            <w:shd w:val="clear" w:color="auto" w:fill="auto"/>
            <w:noWrap/>
            <w:tcMar>
              <w:top w:w="0" w:type="dxa"/>
              <w:left w:w="0" w:type="dxa"/>
              <w:bottom w:w="0" w:type="dxa"/>
              <w:right w:w="0" w:type="dxa"/>
            </w:tcMar>
            <w:vAlign w:val="center"/>
          </w:tcPr>
          <w:p w14:paraId="342FF7C7"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国有发证</w:t>
            </w:r>
          </w:p>
        </w:tc>
      </w:tr>
      <w:tr w:rsidR="0075791A" w14:paraId="0ACCDA30" w14:textId="77777777">
        <w:trPr>
          <w:trHeight w:val="288"/>
          <w:jc w:val="center"/>
        </w:trPr>
        <w:tc>
          <w:tcPr>
            <w:tcW w:w="626" w:type="dxa"/>
            <w:shd w:val="clear" w:color="auto" w:fill="auto"/>
            <w:noWrap/>
            <w:tcMar>
              <w:top w:w="0" w:type="dxa"/>
              <w:left w:w="0" w:type="dxa"/>
              <w:bottom w:w="0" w:type="dxa"/>
              <w:right w:w="0" w:type="dxa"/>
            </w:tcMar>
            <w:vAlign w:val="center"/>
          </w:tcPr>
          <w:p w14:paraId="7AC25929"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6</w:t>
            </w:r>
          </w:p>
        </w:tc>
        <w:tc>
          <w:tcPr>
            <w:tcW w:w="958" w:type="dxa"/>
            <w:vMerge/>
            <w:shd w:val="clear" w:color="auto" w:fill="auto"/>
            <w:tcMar>
              <w:top w:w="0" w:type="dxa"/>
              <w:left w:w="0" w:type="dxa"/>
              <w:bottom w:w="0" w:type="dxa"/>
              <w:right w:w="0" w:type="dxa"/>
            </w:tcMar>
            <w:vAlign w:val="center"/>
          </w:tcPr>
          <w:p w14:paraId="0CE36412"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0A82C8DB"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tcMar>
              <w:top w:w="0" w:type="dxa"/>
              <w:left w:w="0" w:type="dxa"/>
              <w:bottom w:w="0" w:type="dxa"/>
              <w:right w:w="0" w:type="dxa"/>
            </w:tcMar>
            <w:vAlign w:val="center"/>
          </w:tcPr>
          <w:p w14:paraId="56602384" w14:textId="77777777" w:rsidR="0075791A" w:rsidRDefault="00FB2864">
            <w:pPr>
              <w:spacing w:line="240" w:lineRule="exact"/>
              <w:jc w:val="center"/>
              <w:textAlignment w:val="center"/>
              <w:rPr>
                <w:rFonts w:ascii="Times New Roman" w:eastAsia="宋体" w:hAnsi="Times New Roman" w:cs="宋体"/>
                <w:color w:val="auto"/>
                <w:lang w:eastAsia="zh-CN"/>
              </w:rPr>
            </w:pPr>
            <w:r>
              <w:rPr>
                <w:rFonts w:ascii="Times New Roman" w:eastAsia="宋体" w:hAnsi="Times New Roman" w:cs="宋体" w:hint="eastAsia"/>
                <w:color w:val="auto"/>
                <w:lang w:eastAsia="zh-CN" w:bidi="ar"/>
              </w:rPr>
              <w:t>三亚市海棠湾镇江林村第七组农民集体</w:t>
            </w:r>
          </w:p>
        </w:tc>
        <w:tc>
          <w:tcPr>
            <w:tcW w:w="1746" w:type="dxa"/>
            <w:shd w:val="clear" w:color="auto" w:fill="auto"/>
            <w:tcMar>
              <w:top w:w="0" w:type="dxa"/>
              <w:left w:w="0" w:type="dxa"/>
              <w:bottom w:w="0" w:type="dxa"/>
              <w:right w:w="0" w:type="dxa"/>
            </w:tcMar>
            <w:vAlign w:val="center"/>
          </w:tcPr>
          <w:p w14:paraId="413F745E"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7.8562</w:t>
            </w:r>
          </w:p>
        </w:tc>
        <w:tc>
          <w:tcPr>
            <w:tcW w:w="1637" w:type="dxa"/>
            <w:shd w:val="clear" w:color="auto" w:fill="auto"/>
            <w:noWrap/>
            <w:tcMar>
              <w:top w:w="0" w:type="dxa"/>
              <w:left w:w="0" w:type="dxa"/>
              <w:bottom w:w="0" w:type="dxa"/>
              <w:right w:w="0" w:type="dxa"/>
            </w:tcMar>
            <w:vAlign w:val="center"/>
          </w:tcPr>
          <w:p w14:paraId="3A6005D4"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0.0018</w:t>
            </w:r>
          </w:p>
        </w:tc>
        <w:tc>
          <w:tcPr>
            <w:tcW w:w="1150" w:type="dxa"/>
            <w:shd w:val="clear" w:color="auto" w:fill="auto"/>
            <w:noWrap/>
            <w:tcMar>
              <w:top w:w="0" w:type="dxa"/>
              <w:left w:w="0" w:type="dxa"/>
              <w:bottom w:w="0" w:type="dxa"/>
              <w:right w:w="0" w:type="dxa"/>
            </w:tcMar>
            <w:vAlign w:val="center"/>
          </w:tcPr>
          <w:p w14:paraId="10CC5B07"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集体发证</w:t>
            </w:r>
          </w:p>
        </w:tc>
      </w:tr>
      <w:tr w:rsidR="0075791A" w14:paraId="5A207442" w14:textId="77777777">
        <w:trPr>
          <w:trHeight w:val="288"/>
          <w:jc w:val="center"/>
        </w:trPr>
        <w:tc>
          <w:tcPr>
            <w:tcW w:w="626" w:type="dxa"/>
            <w:shd w:val="clear" w:color="auto" w:fill="auto"/>
            <w:noWrap/>
            <w:tcMar>
              <w:top w:w="0" w:type="dxa"/>
              <w:left w:w="0" w:type="dxa"/>
              <w:bottom w:w="0" w:type="dxa"/>
              <w:right w:w="0" w:type="dxa"/>
            </w:tcMar>
            <w:vAlign w:val="center"/>
          </w:tcPr>
          <w:p w14:paraId="6FDB1137"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7</w:t>
            </w:r>
          </w:p>
        </w:tc>
        <w:tc>
          <w:tcPr>
            <w:tcW w:w="958" w:type="dxa"/>
            <w:vMerge/>
            <w:shd w:val="clear" w:color="auto" w:fill="auto"/>
            <w:tcMar>
              <w:top w:w="0" w:type="dxa"/>
              <w:left w:w="0" w:type="dxa"/>
              <w:bottom w:w="0" w:type="dxa"/>
              <w:right w:w="0" w:type="dxa"/>
            </w:tcMar>
            <w:vAlign w:val="center"/>
          </w:tcPr>
          <w:p w14:paraId="42306A82"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5672DD0F"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tcMar>
              <w:top w:w="0" w:type="dxa"/>
              <w:left w:w="0" w:type="dxa"/>
              <w:bottom w:w="0" w:type="dxa"/>
              <w:right w:w="0" w:type="dxa"/>
            </w:tcMar>
            <w:vAlign w:val="center"/>
          </w:tcPr>
          <w:p w14:paraId="0F976E81" w14:textId="77777777" w:rsidR="0075791A" w:rsidRDefault="00FB2864">
            <w:pPr>
              <w:spacing w:line="240" w:lineRule="exact"/>
              <w:jc w:val="center"/>
              <w:textAlignment w:val="center"/>
              <w:rPr>
                <w:rFonts w:ascii="Times New Roman" w:eastAsia="宋体" w:hAnsi="Times New Roman" w:cs="宋体"/>
                <w:color w:val="auto"/>
                <w:lang w:eastAsia="zh-CN"/>
              </w:rPr>
            </w:pPr>
            <w:r>
              <w:rPr>
                <w:rFonts w:ascii="Times New Roman" w:eastAsia="宋体" w:hAnsi="Times New Roman" w:cs="宋体" w:hint="eastAsia"/>
                <w:color w:val="auto"/>
                <w:lang w:eastAsia="zh-CN" w:bidi="ar"/>
              </w:rPr>
              <w:t>三亚市海棠湾镇江林村农民集体</w:t>
            </w:r>
          </w:p>
        </w:tc>
        <w:tc>
          <w:tcPr>
            <w:tcW w:w="1746" w:type="dxa"/>
            <w:shd w:val="clear" w:color="auto" w:fill="auto"/>
            <w:tcMar>
              <w:top w:w="0" w:type="dxa"/>
              <w:left w:w="0" w:type="dxa"/>
              <w:bottom w:w="0" w:type="dxa"/>
              <w:right w:w="0" w:type="dxa"/>
            </w:tcMar>
            <w:vAlign w:val="center"/>
          </w:tcPr>
          <w:p w14:paraId="3F770D7A"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23.628</w:t>
            </w:r>
          </w:p>
        </w:tc>
        <w:tc>
          <w:tcPr>
            <w:tcW w:w="1637" w:type="dxa"/>
            <w:shd w:val="clear" w:color="auto" w:fill="auto"/>
            <w:noWrap/>
            <w:tcMar>
              <w:top w:w="0" w:type="dxa"/>
              <w:left w:w="0" w:type="dxa"/>
              <w:bottom w:w="0" w:type="dxa"/>
              <w:right w:w="0" w:type="dxa"/>
            </w:tcMar>
            <w:vAlign w:val="center"/>
          </w:tcPr>
          <w:p w14:paraId="554CC727"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w:t>
            </w:r>
          </w:p>
        </w:tc>
        <w:tc>
          <w:tcPr>
            <w:tcW w:w="1150" w:type="dxa"/>
            <w:shd w:val="clear" w:color="auto" w:fill="auto"/>
            <w:noWrap/>
            <w:tcMar>
              <w:top w:w="0" w:type="dxa"/>
              <w:left w:w="0" w:type="dxa"/>
              <w:bottom w:w="0" w:type="dxa"/>
              <w:right w:w="0" w:type="dxa"/>
            </w:tcMar>
            <w:vAlign w:val="center"/>
          </w:tcPr>
          <w:p w14:paraId="7D810818"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集体发证</w:t>
            </w:r>
          </w:p>
        </w:tc>
      </w:tr>
      <w:tr w:rsidR="0075791A" w14:paraId="70205E99" w14:textId="77777777">
        <w:trPr>
          <w:trHeight w:val="288"/>
          <w:jc w:val="center"/>
        </w:trPr>
        <w:tc>
          <w:tcPr>
            <w:tcW w:w="626" w:type="dxa"/>
            <w:shd w:val="clear" w:color="auto" w:fill="auto"/>
            <w:noWrap/>
            <w:tcMar>
              <w:top w:w="0" w:type="dxa"/>
              <w:left w:w="0" w:type="dxa"/>
              <w:bottom w:w="0" w:type="dxa"/>
              <w:right w:w="0" w:type="dxa"/>
            </w:tcMar>
            <w:vAlign w:val="center"/>
          </w:tcPr>
          <w:p w14:paraId="2A18E56A"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8</w:t>
            </w:r>
          </w:p>
        </w:tc>
        <w:tc>
          <w:tcPr>
            <w:tcW w:w="958" w:type="dxa"/>
            <w:vMerge/>
            <w:shd w:val="clear" w:color="auto" w:fill="auto"/>
            <w:tcMar>
              <w:top w:w="0" w:type="dxa"/>
              <w:left w:w="0" w:type="dxa"/>
              <w:bottom w:w="0" w:type="dxa"/>
              <w:right w:w="0" w:type="dxa"/>
            </w:tcMar>
            <w:vAlign w:val="center"/>
          </w:tcPr>
          <w:p w14:paraId="1825DA65"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7F3801B8"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tcMar>
              <w:top w:w="0" w:type="dxa"/>
              <w:left w:w="0" w:type="dxa"/>
              <w:bottom w:w="0" w:type="dxa"/>
              <w:right w:w="0" w:type="dxa"/>
            </w:tcMar>
            <w:vAlign w:val="center"/>
          </w:tcPr>
          <w:p w14:paraId="22A6F66B" w14:textId="77777777" w:rsidR="0075791A" w:rsidRDefault="00FB2864">
            <w:pPr>
              <w:spacing w:line="240" w:lineRule="exact"/>
              <w:jc w:val="center"/>
              <w:textAlignment w:val="center"/>
              <w:rPr>
                <w:rFonts w:ascii="Times New Roman" w:eastAsia="宋体" w:hAnsi="Times New Roman" w:cs="宋体"/>
                <w:color w:val="auto"/>
                <w:lang w:eastAsia="zh-CN"/>
              </w:rPr>
            </w:pPr>
            <w:r>
              <w:rPr>
                <w:rFonts w:ascii="Times New Roman" w:eastAsia="宋体" w:hAnsi="Times New Roman" w:cs="宋体" w:hint="eastAsia"/>
                <w:color w:val="auto"/>
                <w:lang w:eastAsia="zh-CN" w:bidi="ar"/>
              </w:rPr>
              <w:t>三亚市海棠湾镇江林村委会</w:t>
            </w:r>
          </w:p>
        </w:tc>
        <w:tc>
          <w:tcPr>
            <w:tcW w:w="1746" w:type="dxa"/>
            <w:shd w:val="clear" w:color="auto" w:fill="auto"/>
            <w:tcMar>
              <w:top w:w="0" w:type="dxa"/>
              <w:left w:w="0" w:type="dxa"/>
              <w:bottom w:w="0" w:type="dxa"/>
              <w:right w:w="0" w:type="dxa"/>
            </w:tcMar>
            <w:vAlign w:val="center"/>
          </w:tcPr>
          <w:p w14:paraId="7A482309"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0.0405</w:t>
            </w:r>
          </w:p>
        </w:tc>
        <w:tc>
          <w:tcPr>
            <w:tcW w:w="1637" w:type="dxa"/>
            <w:shd w:val="clear" w:color="auto" w:fill="auto"/>
            <w:noWrap/>
            <w:tcMar>
              <w:top w:w="0" w:type="dxa"/>
              <w:left w:w="0" w:type="dxa"/>
              <w:bottom w:w="0" w:type="dxa"/>
              <w:right w:w="0" w:type="dxa"/>
            </w:tcMar>
            <w:vAlign w:val="center"/>
          </w:tcPr>
          <w:p w14:paraId="3C750B01"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w:t>
            </w:r>
          </w:p>
        </w:tc>
        <w:tc>
          <w:tcPr>
            <w:tcW w:w="1150" w:type="dxa"/>
            <w:shd w:val="clear" w:color="auto" w:fill="auto"/>
            <w:noWrap/>
            <w:tcMar>
              <w:top w:w="0" w:type="dxa"/>
              <w:left w:w="0" w:type="dxa"/>
              <w:bottom w:w="0" w:type="dxa"/>
              <w:right w:w="0" w:type="dxa"/>
            </w:tcMar>
            <w:vAlign w:val="center"/>
          </w:tcPr>
          <w:p w14:paraId="7133ED38"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集体发证</w:t>
            </w:r>
          </w:p>
        </w:tc>
      </w:tr>
      <w:tr w:rsidR="0075791A" w14:paraId="3CB5892C" w14:textId="77777777">
        <w:trPr>
          <w:trHeight w:val="288"/>
          <w:jc w:val="center"/>
        </w:trPr>
        <w:tc>
          <w:tcPr>
            <w:tcW w:w="626" w:type="dxa"/>
            <w:shd w:val="clear" w:color="auto" w:fill="auto"/>
            <w:noWrap/>
            <w:tcMar>
              <w:top w:w="0" w:type="dxa"/>
              <w:left w:w="0" w:type="dxa"/>
              <w:bottom w:w="0" w:type="dxa"/>
              <w:right w:w="0" w:type="dxa"/>
            </w:tcMar>
            <w:vAlign w:val="center"/>
          </w:tcPr>
          <w:p w14:paraId="24DA0B18"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9</w:t>
            </w:r>
          </w:p>
        </w:tc>
        <w:tc>
          <w:tcPr>
            <w:tcW w:w="958" w:type="dxa"/>
            <w:vMerge/>
            <w:shd w:val="clear" w:color="auto" w:fill="auto"/>
            <w:tcMar>
              <w:top w:w="0" w:type="dxa"/>
              <w:left w:w="0" w:type="dxa"/>
              <w:bottom w:w="0" w:type="dxa"/>
              <w:right w:w="0" w:type="dxa"/>
            </w:tcMar>
            <w:vAlign w:val="center"/>
          </w:tcPr>
          <w:p w14:paraId="5BE866C4"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7DBB5F3E"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tcMar>
              <w:top w:w="0" w:type="dxa"/>
              <w:left w:w="0" w:type="dxa"/>
              <w:bottom w:w="0" w:type="dxa"/>
              <w:right w:w="0" w:type="dxa"/>
            </w:tcMar>
            <w:vAlign w:val="center"/>
          </w:tcPr>
          <w:p w14:paraId="1841B8E6" w14:textId="77777777" w:rsidR="0075791A" w:rsidRDefault="00FB2864">
            <w:pPr>
              <w:spacing w:line="240" w:lineRule="exact"/>
              <w:jc w:val="center"/>
              <w:textAlignment w:val="center"/>
              <w:rPr>
                <w:rFonts w:ascii="Times New Roman" w:eastAsia="宋体" w:hAnsi="Times New Roman" w:cs="宋体"/>
                <w:color w:val="auto"/>
                <w:lang w:eastAsia="zh-CN"/>
              </w:rPr>
            </w:pPr>
            <w:r>
              <w:rPr>
                <w:rFonts w:ascii="Times New Roman" w:eastAsia="宋体" w:hAnsi="Times New Roman" w:cs="宋体" w:hint="eastAsia"/>
                <w:color w:val="auto"/>
                <w:lang w:eastAsia="zh-CN" w:bidi="ar"/>
              </w:rPr>
              <w:t>三亚市海棠湾镇青田村民委员会</w:t>
            </w:r>
          </w:p>
        </w:tc>
        <w:tc>
          <w:tcPr>
            <w:tcW w:w="1746" w:type="dxa"/>
            <w:shd w:val="clear" w:color="auto" w:fill="auto"/>
            <w:tcMar>
              <w:top w:w="0" w:type="dxa"/>
              <w:left w:w="0" w:type="dxa"/>
              <w:bottom w:w="0" w:type="dxa"/>
              <w:right w:w="0" w:type="dxa"/>
            </w:tcMar>
            <w:vAlign w:val="center"/>
          </w:tcPr>
          <w:p w14:paraId="2C5F0E45"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0.5436</w:t>
            </w:r>
          </w:p>
        </w:tc>
        <w:tc>
          <w:tcPr>
            <w:tcW w:w="1637" w:type="dxa"/>
            <w:shd w:val="clear" w:color="auto" w:fill="auto"/>
            <w:noWrap/>
            <w:tcMar>
              <w:top w:w="0" w:type="dxa"/>
              <w:left w:w="0" w:type="dxa"/>
              <w:bottom w:w="0" w:type="dxa"/>
              <w:right w:w="0" w:type="dxa"/>
            </w:tcMar>
            <w:vAlign w:val="center"/>
          </w:tcPr>
          <w:p w14:paraId="55B3482E"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0.5436</w:t>
            </w:r>
          </w:p>
        </w:tc>
        <w:tc>
          <w:tcPr>
            <w:tcW w:w="1150" w:type="dxa"/>
            <w:shd w:val="clear" w:color="auto" w:fill="auto"/>
            <w:noWrap/>
            <w:tcMar>
              <w:top w:w="0" w:type="dxa"/>
              <w:left w:w="0" w:type="dxa"/>
              <w:bottom w:w="0" w:type="dxa"/>
              <w:right w:w="0" w:type="dxa"/>
            </w:tcMar>
            <w:vAlign w:val="center"/>
          </w:tcPr>
          <w:p w14:paraId="59E4E1C1"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集体发证</w:t>
            </w:r>
          </w:p>
        </w:tc>
      </w:tr>
      <w:tr w:rsidR="0075791A" w14:paraId="3BA2812C" w14:textId="77777777">
        <w:trPr>
          <w:trHeight w:val="288"/>
          <w:jc w:val="center"/>
        </w:trPr>
        <w:tc>
          <w:tcPr>
            <w:tcW w:w="626" w:type="dxa"/>
            <w:shd w:val="clear" w:color="auto" w:fill="auto"/>
            <w:noWrap/>
            <w:tcMar>
              <w:top w:w="0" w:type="dxa"/>
              <w:left w:w="0" w:type="dxa"/>
              <w:bottom w:w="0" w:type="dxa"/>
              <w:right w:w="0" w:type="dxa"/>
            </w:tcMar>
            <w:vAlign w:val="center"/>
          </w:tcPr>
          <w:p w14:paraId="1B5C3195"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10</w:t>
            </w:r>
          </w:p>
        </w:tc>
        <w:tc>
          <w:tcPr>
            <w:tcW w:w="958" w:type="dxa"/>
            <w:vMerge/>
            <w:shd w:val="clear" w:color="auto" w:fill="auto"/>
            <w:tcMar>
              <w:top w:w="0" w:type="dxa"/>
              <w:left w:w="0" w:type="dxa"/>
              <w:bottom w:w="0" w:type="dxa"/>
              <w:right w:w="0" w:type="dxa"/>
            </w:tcMar>
            <w:vAlign w:val="center"/>
          </w:tcPr>
          <w:p w14:paraId="3AE6D761"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44E16B32"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tcMar>
              <w:top w:w="0" w:type="dxa"/>
              <w:left w:w="0" w:type="dxa"/>
              <w:bottom w:w="0" w:type="dxa"/>
              <w:right w:w="0" w:type="dxa"/>
            </w:tcMar>
            <w:vAlign w:val="center"/>
          </w:tcPr>
          <w:p w14:paraId="16DA3788" w14:textId="77777777" w:rsidR="0075791A" w:rsidRDefault="00FB2864">
            <w:pPr>
              <w:spacing w:line="240" w:lineRule="exact"/>
              <w:jc w:val="center"/>
              <w:textAlignment w:val="center"/>
              <w:rPr>
                <w:rFonts w:ascii="Times New Roman" w:eastAsia="宋体" w:hAnsi="Times New Roman" w:cs="宋体"/>
                <w:color w:val="auto"/>
                <w:lang w:eastAsia="zh-CN"/>
              </w:rPr>
            </w:pPr>
            <w:r>
              <w:rPr>
                <w:rFonts w:ascii="Times New Roman" w:eastAsia="宋体" w:hAnsi="Times New Roman" w:cs="宋体" w:hint="eastAsia"/>
                <w:color w:val="auto"/>
                <w:lang w:eastAsia="zh-CN" w:bidi="ar"/>
              </w:rPr>
              <w:t>三亚市海棠湾镇青田村委会</w:t>
            </w:r>
          </w:p>
        </w:tc>
        <w:tc>
          <w:tcPr>
            <w:tcW w:w="1746" w:type="dxa"/>
            <w:shd w:val="clear" w:color="auto" w:fill="auto"/>
            <w:tcMar>
              <w:top w:w="0" w:type="dxa"/>
              <w:left w:w="0" w:type="dxa"/>
              <w:bottom w:w="0" w:type="dxa"/>
              <w:right w:w="0" w:type="dxa"/>
            </w:tcMar>
            <w:vAlign w:val="center"/>
          </w:tcPr>
          <w:p w14:paraId="4C911221"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11.2327</w:t>
            </w:r>
          </w:p>
        </w:tc>
        <w:tc>
          <w:tcPr>
            <w:tcW w:w="1637" w:type="dxa"/>
            <w:shd w:val="clear" w:color="auto" w:fill="auto"/>
            <w:noWrap/>
            <w:tcMar>
              <w:top w:w="0" w:type="dxa"/>
              <w:left w:w="0" w:type="dxa"/>
              <w:bottom w:w="0" w:type="dxa"/>
              <w:right w:w="0" w:type="dxa"/>
            </w:tcMar>
            <w:vAlign w:val="center"/>
          </w:tcPr>
          <w:p w14:paraId="74715EE4"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11.2327</w:t>
            </w:r>
          </w:p>
        </w:tc>
        <w:tc>
          <w:tcPr>
            <w:tcW w:w="1150" w:type="dxa"/>
            <w:shd w:val="clear" w:color="auto" w:fill="auto"/>
            <w:noWrap/>
            <w:tcMar>
              <w:top w:w="0" w:type="dxa"/>
              <w:left w:w="0" w:type="dxa"/>
              <w:bottom w:w="0" w:type="dxa"/>
              <w:right w:w="0" w:type="dxa"/>
            </w:tcMar>
            <w:vAlign w:val="center"/>
          </w:tcPr>
          <w:p w14:paraId="3C52480A"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集体发证</w:t>
            </w:r>
          </w:p>
        </w:tc>
      </w:tr>
      <w:tr w:rsidR="0075791A" w14:paraId="5519BDCB" w14:textId="77777777">
        <w:trPr>
          <w:trHeight w:val="288"/>
          <w:jc w:val="center"/>
        </w:trPr>
        <w:tc>
          <w:tcPr>
            <w:tcW w:w="626" w:type="dxa"/>
            <w:shd w:val="clear" w:color="auto" w:fill="auto"/>
            <w:noWrap/>
            <w:tcMar>
              <w:top w:w="0" w:type="dxa"/>
              <w:left w:w="0" w:type="dxa"/>
              <w:bottom w:w="0" w:type="dxa"/>
              <w:right w:w="0" w:type="dxa"/>
            </w:tcMar>
            <w:vAlign w:val="center"/>
          </w:tcPr>
          <w:p w14:paraId="64425125"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11</w:t>
            </w:r>
          </w:p>
        </w:tc>
        <w:tc>
          <w:tcPr>
            <w:tcW w:w="958" w:type="dxa"/>
            <w:vMerge/>
            <w:shd w:val="clear" w:color="auto" w:fill="auto"/>
            <w:tcMar>
              <w:top w:w="0" w:type="dxa"/>
              <w:left w:w="0" w:type="dxa"/>
              <w:bottom w:w="0" w:type="dxa"/>
              <w:right w:w="0" w:type="dxa"/>
            </w:tcMar>
            <w:vAlign w:val="center"/>
          </w:tcPr>
          <w:p w14:paraId="5F2FE250"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4B0A0A27"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tcMar>
              <w:top w:w="0" w:type="dxa"/>
              <w:left w:w="0" w:type="dxa"/>
              <w:bottom w:w="0" w:type="dxa"/>
              <w:right w:w="0" w:type="dxa"/>
            </w:tcMar>
            <w:vAlign w:val="center"/>
          </w:tcPr>
          <w:p w14:paraId="5B345401"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三亚市人民政府</w:t>
            </w:r>
          </w:p>
        </w:tc>
        <w:tc>
          <w:tcPr>
            <w:tcW w:w="1746" w:type="dxa"/>
            <w:shd w:val="clear" w:color="auto" w:fill="auto"/>
            <w:tcMar>
              <w:top w:w="0" w:type="dxa"/>
              <w:left w:w="0" w:type="dxa"/>
              <w:bottom w:w="0" w:type="dxa"/>
              <w:right w:w="0" w:type="dxa"/>
            </w:tcMar>
            <w:vAlign w:val="center"/>
          </w:tcPr>
          <w:p w14:paraId="0187A267"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0.7902</w:t>
            </w:r>
          </w:p>
        </w:tc>
        <w:tc>
          <w:tcPr>
            <w:tcW w:w="1637" w:type="dxa"/>
            <w:shd w:val="clear" w:color="auto" w:fill="auto"/>
            <w:noWrap/>
            <w:tcMar>
              <w:top w:w="0" w:type="dxa"/>
              <w:left w:w="0" w:type="dxa"/>
              <w:bottom w:w="0" w:type="dxa"/>
              <w:right w:w="0" w:type="dxa"/>
            </w:tcMar>
            <w:vAlign w:val="center"/>
          </w:tcPr>
          <w:p w14:paraId="4B6DFC72"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0.7903</w:t>
            </w:r>
          </w:p>
        </w:tc>
        <w:tc>
          <w:tcPr>
            <w:tcW w:w="1150" w:type="dxa"/>
            <w:shd w:val="clear" w:color="auto" w:fill="auto"/>
            <w:noWrap/>
            <w:tcMar>
              <w:top w:w="0" w:type="dxa"/>
              <w:left w:w="0" w:type="dxa"/>
              <w:bottom w:w="0" w:type="dxa"/>
              <w:right w:w="0" w:type="dxa"/>
            </w:tcMar>
            <w:vAlign w:val="center"/>
          </w:tcPr>
          <w:p w14:paraId="557A6FA4"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国有发证</w:t>
            </w:r>
          </w:p>
        </w:tc>
      </w:tr>
      <w:tr w:rsidR="0075791A" w14:paraId="3316A4CB" w14:textId="77777777">
        <w:trPr>
          <w:trHeight w:val="288"/>
          <w:jc w:val="center"/>
        </w:trPr>
        <w:tc>
          <w:tcPr>
            <w:tcW w:w="626" w:type="dxa"/>
            <w:shd w:val="clear" w:color="auto" w:fill="auto"/>
            <w:noWrap/>
            <w:tcMar>
              <w:top w:w="0" w:type="dxa"/>
              <w:left w:w="0" w:type="dxa"/>
              <w:bottom w:w="0" w:type="dxa"/>
              <w:right w:w="0" w:type="dxa"/>
            </w:tcMar>
            <w:vAlign w:val="center"/>
          </w:tcPr>
          <w:p w14:paraId="5792FF11"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12</w:t>
            </w:r>
          </w:p>
        </w:tc>
        <w:tc>
          <w:tcPr>
            <w:tcW w:w="958" w:type="dxa"/>
            <w:vMerge/>
            <w:shd w:val="clear" w:color="auto" w:fill="auto"/>
            <w:tcMar>
              <w:top w:w="0" w:type="dxa"/>
              <w:left w:w="0" w:type="dxa"/>
              <w:bottom w:w="0" w:type="dxa"/>
              <w:right w:w="0" w:type="dxa"/>
            </w:tcMar>
            <w:vAlign w:val="center"/>
          </w:tcPr>
          <w:p w14:paraId="3D5025B6"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46C39E98"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tcMar>
              <w:top w:w="0" w:type="dxa"/>
              <w:left w:w="0" w:type="dxa"/>
              <w:bottom w:w="0" w:type="dxa"/>
              <w:right w:w="0" w:type="dxa"/>
            </w:tcMar>
            <w:vAlign w:val="center"/>
          </w:tcPr>
          <w:p w14:paraId="59A80123" w14:textId="77777777" w:rsidR="0075791A" w:rsidRDefault="00FB2864">
            <w:pPr>
              <w:spacing w:line="240" w:lineRule="exact"/>
              <w:jc w:val="center"/>
              <w:textAlignment w:val="center"/>
              <w:rPr>
                <w:rFonts w:ascii="Times New Roman" w:eastAsia="宋体" w:hAnsi="Times New Roman" w:cs="宋体"/>
                <w:color w:val="auto"/>
                <w:lang w:eastAsia="zh-CN"/>
              </w:rPr>
            </w:pPr>
            <w:r>
              <w:rPr>
                <w:rFonts w:ascii="Times New Roman" w:eastAsia="宋体" w:hAnsi="Times New Roman" w:cs="宋体" w:hint="eastAsia"/>
                <w:color w:val="auto"/>
                <w:lang w:eastAsia="zh-CN" w:bidi="ar"/>
              </w:rPr>
              <w:t>三亚市田独镇龙坡村民委员会</w:t>
            </w:r>
          </w:p>
        </w:tc>
        <w:tc>
          <w:tcPr>
            <w:tcW w:w="1746" w:type="dxa"/>
            <w:shd w:val="clear" w:color="auto" w:fill="auto"/>
            <w:tcMar>
              <w:top w:w="0" w:type="dxa"/>
              <w:left w:w="0" w:type="dxa"/>
              <w:bottom w:w="0" w:type="dxa"/>
              <w:right w:w="0" w:type="dxa"/>
            </w:tcMar>
            <w:vAlign w:val="center"/>
          </w:tcPr>
          <w:p w14:paraId="1D408657"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4.1913</w:t>
            </w:r>
          </w:p>
        </w:tc>
        <w:tc>
          <w:tcPr>
            <w:tcW w:w="1637" w:type="dxa"/>
            <w:shd w:val="clear" w:color="auto" w:fill="auto"/>
            <w:noWrap/>
            <w:tcMar>
              <w:top w:w="0" w:type="dxa"/>
              <w:left w:w="0" w:type="dxa"/>
              <w:bottom w:w="0" w:type="dxa"/>
              <w:right w:w="0" w:type="dxa"/>
            </w:tcMar>
            <w:vAlign w:val="center"/>
          </w:tcPr>
          <w:p w14:paraId="4F6E7D4A"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4.1912</w:t>
            </w:r>
          </w:p>
        </w:tc>
        <w:tc>
          <w:tcPr>
            <w:tcW w:w="1150" w:type="dxa"/>
            <w:shd w:val="clear" w:color="auto" w:fill="auto"/>
            <w:noWrap/>
            <w:tcMar>
              <w:top w:w="0" w:type="dxa"/>
              <w:left w:w="0" w:type="dxa"/>
              <w:bottom w:w="0" w:type="dxa"/>
              <w:right w:w="0" w:type="dxa"/>
            </w:tcMar>
            <w:vAlign w:val="center"/>
          </w:tcPr>
          <w:p w14:paraId="5CC956E0"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国有发证</w:t>
            </w:r>
          </w:p>
        </w:tc>
      </w:tr>
      <w:tr w:rsidR="0075791A" w14:paraId="0DC7A205" w14:textId="77777777">
        <w:trPr>
          <w:trHeight w:val="288"/>
          <w:jc w:val="center"/>
        </w:trPr>
        <w:tc>
          <w:tcPr>
            <w:tcW w:w="626" w:type="dxa"/>
            <w:shd w:val="clear" w:color="auto" w:fill="auto"/>
            <w:noWrap/>
            <w:tcMar>
              <w:top w:w="0" w:type="dxa"/>
              <w:left w:w="0" w:type="dxa"/>
              <w:bottom w:w="0" w:type="dxa"/>
              <w:right w:w="0" w:type="dxa"/>
            </w:tcMar>
            <w:vAlign w:val="center"/>
          </w:tcPr>
          <w:p w14:paraId="06BCDC49"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13</w:t>
            </w:r>
          </w:p>
        </w:tc>
        <w:tc>
          <w:tcPr>
            <w:tcW w:w="958" w:type="dxa"/>
            <w:vMerge/>
            <w:shd w:val="clear" w:color="auto" w:fill="auto"/>
            <w:tcMar>
              <w:top w:w="0" w:type="dxa"/>
              <w:left w:w="0" w:type="dxa"/>
              <w:bottom w:w="0" w:type="dxa"/>
              <w:right w:w="0" w:type="dxa"/>
            </w:tcMar>
            <w:vAlign w:val="center"/>
          </w:tcPr>
          <w:p w14:paraId="165B9C83"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539005B6"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tcMar>
              <w:top w:w="0" w:type="dxa"/>
              <w:left w:w="0" w:type="dxa"/>
              <w:bottom w:w="0" w:type="dxa"/>
              <w:right w:w="0" w:type="dxa"/>
            </w:tcMar>
            <w:vAlign w:val="center"/>
          </w:tcPr>
          <w:p w14:paraId="5737F2D4"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三亚市铁炉盐场</w:t>
            </w:r>
          </w:p>
        </w:tc>
        <w:tc>
          <w:tcPr>
            <w:tcW w:w="1746" w:type="dxa"/>
            <w:shd w:val="clear" w:color="auto" w:fill="auto"/>
            <w:tcMar>
              <w:top w:w="0" w:type="dxa"/>
              <w:left w:w="0" w:type="dxa"/>
              <w:bottom w:w="0" w:type="dxa"/>
              <w:right w:w="0" w:type="dxa"/>
            </w:tcMar>
            <w:vAlign w:val="center"/>
          </w:tcPr>
          <w:p w14:paraId="186B9572"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0.0028</w:t>
            </w:r>
          </w:p>
        </w:tc>
        <w:tc>
          <w:tcPr>
            <w:tcW w:w="1637" w:type="dxa"/>
            <w:shd w:val="clear" w:color="auto" w:fill="auto"/>
            <w:noWrap/>
            <w:tcMar>
              <w:top w:w="0" w:type="dxa"/>
              <w:left w:w="0" w:type="dxa"/>
              <w:bottom w:w="0" w:type="dxa"/>
              <w:right w:w="0" w:type="dxa"/>
            </w:tcMar>
            <w:vAlign w:val="center"/>
          </w:tcPr>
          <w:p w14:paraId="7250F580"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0.0028</w:t>
            </w:r>
          </w:p>
        </w:tc>
        <w:tc>
          <w:tcPr>
            <w:tcW w:w="1150" w:type="dxa"/>
            <w:shd w:val="clear" w:color="auto" w:fill="auto"/>
            <w:noWrap/>
            <w:tcMar>
              <w:top w:w="0" w:type="dxa"/>
              <w:left w:w="0" w:type="dxa"/>
              <w:bottom w:w="0" w:type="dxa"/>
              <w:right w:w="0" w:type="dxa"/>
            </w:tcMar>
            <w:vAlign w:val="center"/>
          </w:tcPr>
          <w:p w14:paraId="26E72D75"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国有发证</w:t>
            </w:r>
          </w:p>
        </w:tc>
      </w:tr>
      <w:tr w:rsidR="0075791A" w14:paraId="322E9D5A" w14:textId="77777777">
        <w:trPr>
          <w:trHeight w:val="288"/>
          <w:jc w:val="center"/>
        </w:trPr>
        <w:tc>
          <w:tcPr>
            <w:tcW w:w="626" w:type="dxa"/>
            <w:shd w:val="clear" w:color="auto" w:fill="auto"/>
            <w:noWrap/>
            <w:tcMar>
              <w:top w:w="0" w:type="dxa"/>
              <w:left w:w="0" w:type="dxa"/>
              <w:bottom w:w="0" w:type="dxa"/>
              <w:right w:w="0" w:type="dxa"/>
            </w:tcMar>
            <w:vAlign w:val="center"/>
          </w:tcPr>
          <w:p w14:paraId="3E9F5C5A"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14</w:t>
            </w:r>
          </w:p>
        </w:tc>
        <w:tc>
          <w:tcPr>
            <w:tcW w:w="958" w:type="dxa"/>
            <w:vMerge/>
            <w:shd w:val="clear" w:color="auto" w:fill="auto"/>
            <w:tcMar>
              <w:top w:w="0" w:type="dxa"/>
              <w:left w:w="0" w:type="dxa"/>
              <w:bottom w:w="0" w:type="dxa"/>
              <w:right w:w="0" w:type="dxa"/>
            </w:tcMar>
            <w:vAlign w:val="center"/>
          </w:tcPr>
          <w:p w14:paraId="02A6CDED"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5436BFC8"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tcMar>
              <w:top w:w="0" w:type="dxa"/>
              <w:left w:w="0" w:type="dxa"/>
              <w:bottom w:w="0" w:type="dxa"/>
              <w:right w:w="0" w:type="dxa"/>
            </w:tcMar>
            <w:vAlign w:val="center"/>
          </w:tcPr>
          <w:p w14:paraId="53684ED3" w14:textId="77777777" w:rsidR="0075791A" w:rsidRDefault="00FB2864">
            <w:pPr>
              <w:spacing w:line="240" w:lineRule="exact"/>
              <w:jc w:val="center"/>
              <w:textAlignment w:val="center"/>
              <w:rPr>
                <w:rFonts w:ascii="Times New Roman" w:eastAsia="宋体" w:hAnsi="Times New Roman" w:cs="宋体"/>
                <w:color w:val="auto"/>
                <w:lang w:eastAsia="zh-CN"/>
              </w:rPr>
            </w:pPr>
            <w:r>
              <w:rPr>
                <w:rFonts w:ascii="Times New Roman" w:eastAsia="宋体" w:hAnsi="Times New Roman" w:cs="宋体" w:hint="eastAsia"/>
                <w:color w:val="auto"/>
                <w:lang w:eastAsia="zh-CN" w:bidi="ar"/>
              </w:rPr>
              <w:t>三亚旭洋实业发展有限公司</w:t>
            </w:r>
          </w:p>
        </w:tc>
        <w:tc>
          <w:tcPr>
            <w:tcW w:w="1746" w:type="dxa"/>
            <w:shd w:val="clear" w:color="auto" w:fill="auto"/>
            <w:tcMar>
              <w:top w:w="0" w:type="dxa"/>
              <w:left w:w="0" w:type="dxa"/>
              <w:bottom w:w="0" w:type="dxa"/>
              <w:right w:w="0" w:type="dxa"/>
            </w:tcMar>
            <w:vAlign w:val="center"/>
          </w:tcPr>
          <w:p w14:paraId="63A4C619"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2.1253</w:t>
            </w:r>
          </w:p>
        </w:tc>
        <w:tc>
          <w:tcPr>
            <w:tcW w:w="1637" w:type="dxa"/>
            <w:shd w:val="clear" w:color="auto" w:fill="auto"/>
            <w:noWrap/>
            <w:tcMar>
              <w:top w:w="0" w:type="dxa"/>
              <w:left w:w="0" w:type="dxa"/>
              <w:bottom w:w="0" w:type="dxa"/>
              <w:right w:w="0" w:type="dxa"/>
            </w:tcMar>
            <w:vAlign w:val="center"/>
          </w:tcPr>
          <w:p w14:paraId="435097EE"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w:t>
            </w:r>
          </w:p>
        </w:tc>
        <w:tc>
          <w:tcPr>
            <w:tcW w:w="1150" w:type="dxa"/>
            <w:shd w:val="clear" w:color="auto" w:fill="auto"/>
            <w:noWrap/>
            <w:tcMar>
              <w:top w:w="0" w:type="dxa"/>
              <w:left w:w="0" w:type="dxa"/>
              <w:bottom w:w="0" w:type="dxa"/>
              <w:right w:w="0" w:type="dxa"/>
            </w:tcMar>
            <w:vAlign w:val="center"/>
          </w:tcPr>
          <w:p w14:paraId="05E1600E"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国有发证</w:t>
            </w:r>
          </w:p>
        </w:tc>
      </w:tr>
      <w:tr w:rsidR="0075791A" w14:paraId="69AAFBEA" w14:textId="77777777">
        <w:trPr>
          <w:trHeight w:val="424"/>
          <w:jc w:val="center"/>
        </w:trPr>
        <w:tc>
          <w:tcPr>
            <w:tcW w:w="626" w:type="dxa"/>
            <w:shd w:val="clear" w:color="auto" w:fill="auto"/>
            <w:noWrap/>
            <w:tcMar>
              <w:top w:w="0" w:type="dxa"/>
              <w:left w:w="0" w:type="dxa"/>
              <w:bottom w:w="0" w:type="dxa"/>
              <w:right w:w="0" w:type="dxa"/>
            </w:tcMar>
            <w:vAlign w:val="center"/>
          </w:tcPr>
          <w:p w14:paraId="41575C3D"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15</w:t>
            </w:r>
          </w:p>
        </w:tc>
        <w:tc>
          <w:tcPr>
            <w:tcW w:w="958" w:type="dxa"/>
            <w:shd w:val="clear" w:color="auto" w:fill="auto"/>
            <w:tcMar>
              <w:top w:w="0" w:type="dxa"/>
              <w:left w:w="0" w:type="dxa"/>
              <w:bottom w:w="0" w:type="dxa"/>
              <w:right w:w="0" w:type="dxa"/>
            </w:tcMar>
            <w:vAlign w:val="center"/>
          </w:tcPr>
          <w:p w14:paraId="4F7A6222"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已办理审批手续</w:t>
            </w:r>
          </w:p>
        </w:tc>
        <w:tc>
          <w:tcPr>
            <w:tcW w:w="917" w:type="dxa"/>
            <w:shd w:val="clear" w:color="auto" w:fill="auto"/>
            <w:tcMar>
              <w:top w:w="0" w:type="dxa"/>
              <w:left w:w="0" w:type="dxa"/>
              <w:bottom w:w="0" w:type="dxa"/>
              <w:right w:w="0" w:type="dxa"/>
            </w:tcMar>
            <w:vAlign w:val="center"/>
          </w:tcPr>
          <w:p w14:paraId="25138141"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征收及收回批复</w:t>
            </w:r>
          </w:p>
        </w:tc>
        <w:tc>
          <w:tcPr>
            <w:tcW w:w="2676" w:type="dxa"/>
            <w:shd w:val="clear" w:color="auto" w:fill="auto"/>
            <w:tcMar>
              <w:top w:w="0" w:type="dxa"/>
              <w:left w:w="0" w:type="dxa"/>
              <w:bottom w:w="0" w:type="dxa"/>
              <w:right w:w="0" w:type="dxa"/>
            </w:tcMar>
            <w:vAlign w:val="center"/>
          </w:tcPr>
          <w:p w14:paraId="7852585A" w14:textId="77777777" w:rsidR="0075791A" w:rsidRDefault="00FB2864">
            <w:pPr>
              <w:spacing w:line="240" w:lineRule="exact"/>
              <w:jc w:val="center"/>
              <w:textAlignment w:val="center"/>
              <w:rPr>
                <w:rFonts w:ascii="Times New Roman" w:eastAsia="宋体" w:hAnsi="Times New Roman" w:cs="宋体"/>
                <w:color w:val="auto"/>
                <w:lang w:eastAsia="zh-CN"/>
              </w:rPr>
            </w:pPr>
            <w:r>
              <w:rPr>
                <w:rFonts w:ascii="Times New Roman" w:eastAsia="宋体" w:hAnsi="Times New Roman" w:cs="宋体" w:hint="eastAsia"/>
                <w:color w:val="auto"/>
                <w:lang w:eastAsia="zh-CN" w:bidi="ar"/>
              </w:rPr>
              <w:t>三亚市人民政府（征收）</w:t>
            </w:r>
          </w:p>
        </w:tc>
        <w:tc>
          <w:tcPr>
            <w:tcW w:w="1746" w:type="dxa"/>
            <w:shd w:val="clear" w:color="auto" w:fill="auto"/>
            <w:tcMar>
              <w:top w:w="0" w:type="dxa"/>
              <w:left w:w="0" w:type="dxa"/>
              <w:bottom w:w="0" w:type="dxa"/>
              <w:right w:w="0" w:type="dxa"/>
            </w:tcMar>
            <w:vAlign w:val="center"/>
          </w:tcPr>
          <w:p w14:paraId="0A146850"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0.0191</w:t>
            </w:r>
          </w:p>
        </w:tc>
        <w:tc>
          <w:tcPr>
            <w:tcW w:w="1637" w:type="dxa"/>
            <w:shd w:val="clear" w:color="auto" w:fill="auto"/>
            <w:tcMar>
              <w:top w:w="0" w:type="dxa"/>
              <w:left w:w="0" w:type="dxa"/>
              <w:bottom w:w="0" w:type="dxa"/>
              <w:right w:w="0" w:type="dxa"/>
            </w:tcMar>
            <w:vAlign w:val="center"/>
          </w:tcPr>
          <w:p w14:paraId="4BF28307"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0.0191</w:t>
            </w:r>
          </w:p>
        </w:tc>
        <w:tc>
          <w:tcPr>
            <w:tcW w:w="1150" w:type="dxa"/>
            <w:shd w:val="clear" w:color="auto" w:fill="auto"/>
            <w:tcMar>
              <w:top w:w="0" w:type="dxa"/>
              <w:left w:w="0" w:type="dxa"/>
              <w:bottom w:w="0" w:type="dxa"/>
              <w:right w:w="0" w:type="dxa"/>
            </w:tcMar>
            <w:vAlign w:val="center"/>
          </w:tcPr>
          <w:p w14:paraId="319985B3"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w:t>
            </w:r>
          </w:p>
        </w:tc>
      </w:tr>
      <w:tr w:rsidR="0075791A" w14:paraId="5386664C" w14:textId="77777777">
        <w:trPr>
          <w:trHeight w:val="288"/>
          <w:jc w:val="center"/>
        </w:trPr>
        <w:tc>
          <w:tcPr>
            <w:tcW w:w="626" w:type="dxa"/>
            <w:shd w:val="clear" w:color="auto" w:fill="auto"/>
            <w:noWrap/>
            <w:tcMar>
              <w:top w:w="0" w:type="dxa"/>
              <w:left w:w="0" w:type="dxa"/>
              <w:bottom w:w="0" w:type="dxa"/>
              <w:right w:w="0" w:type="dxa"/>
            </w:tcMar>
            <w:vAlign w:val="center"/>
          </w:tcPr>
          <w:p w14:paraId="5F8F42AE"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16</w:t>
            </w:r>
          </w:p>
        </w:tc>
        <w:tc>
          <w:tcPr>
            <w:tcW w:w="958" w:type="dxa"/>
            <w:vMerge w:val="restart"/>
            <w:shd w:val="clear" w:color="auto" w:fill="auto"/>
            <w:tcMar>
              <w:top w:w="0" w:type="dxa"/>
              <w:left w:w="0" w:type="dxa"/>
              <w:bottom w:w="0" w:type="dxa"/>
              <w:right w:w="0" w:type="dxa"/>
            </w:tcMar>
            <w:vAlign w:val="center"/>
          </w:tcPr>
          <w:p w14:paraId="15FE0506"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未确权情况</w:t>
            </w:r>
          </w:p>
        </w:tc>
        <w:tc>
          <w:tcPr>
            <w:tcW w:w="917" w:type="dxa"/>
            <w:vMerge w:val="restart"/>
            <w:shd w:val="clear" w:color="auto" w:fill="auto"/>
            <w:tcMar>
              <w:top w:w="0" w:type="dxa"/>
              <w:left w:w="0" w:type="dxa"/>
              <w:bottom w:w="0" w:type="dxa"/>
              <w:right w:w="0" w:type="dxa"/>
            </w:tcMar>
            <w:vAlign w:val="center"/>
          </w:tcPr>
          <w:p w14:paraId="4D137BAA"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第一次土地调查</w:t>
            </w:r>
          </w:p>
        </w:tc>
        <w:tc>
          <w:tcPr>
            <w:tcW w:w="2676" w:type="dxa"/>
            <w:shd w:val="clear" w:color="auto" w:fill="auto"/>
            <w:noWrap/>
            <w:tcMar>
              <w:top w:w="0" w:type="dxa"/>
              <w:left w:w="0" w:type="dxa"/>
              <w:bottom w:w="0" w:type="dxa"/>
              <w:right w:w="0" w:type="dxa"/>
            </w:tcMar>
            <w:vAlign w:val="center"/>
          </w:tcPr>
          <w:p w14:paraId="7F7C0358"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国家</w:t>
            </w:r>
          </w:p>
        </w:tc>
        <w:tc>
          <w:tcPr>
            <w:tcW w:w="1746" w:type="dxa"/>
            <w:shd w:val="clear" w:color="auto" w:fill="auto"/>
            <w:noWrap/>
            <w:tcMar>
              <w:top w:w="0" w:type="dxa"/>
              <w:left w:w="0" w:type="dxa"/>
              <w:bottom w:w="0" w:type="dxa"/>
              <w:right w:w="0" w:type="dxa"/>
            </w:tcMar>
            <w:vAlign w:val="center"/>
          </w:tcPr>
          <w:p w14:paraId="539937F6"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220.5055</w:t>
            </w:r>
          </w:p>
        </w:tc>
        <w:tc>
          <w:tcPr>
            <w:tcW w:w="1637" w:type="dxa"/>
            <w:shd w:val="clear" w:color="auto" w:fill="auto"/>
            <w:tcMar>
              <w:top w:w="0" w:type="dxa"/>
              <w:left w:w="0" w:type="dxa"/>
              <w:bottom w:w="0" w:type="dxa"/>
              <w:right w:w="0" w:type="dxa"/>
            </w:tcMar>
            <w:vAlign w:val="center"/>
          </w:tcPr>
          <w:p w14:paraId="3804AEE9"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138.1988</w:t>
            </w:r>
          </w:p>
        </w:tc>
        <w:tc>
          <w:tcPr>
            <w:tcW w:w="1150" w:type="dxa"/>
            <w:shd w:val="clear" w:color="auto" w:fill="auto"/>
            <w:tcMar>
              <w:top w:w="0" w:type="dxa"/>
              <w:left w:w="0" w:type="dxa"/>
              <w:bottom w:w="0" w:type="dxa"/>
              <w:right w:w="0" w:type="dxa"/>
            </w:tcMar>
            <w:vAlign w:val="center"/>
          </w:tcPr>
          <w:p w14:paraId="26B6F29E"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w:t>
            </w:r>
          </w:p>
        </w:tc>
      </w:tr>
      <w:tr w:rsidR="0075791A" w14:paraId="4E9F140B" w14:textId="77777777">
        <w:trPr>
          <w:trHeight w:val="288"/>
          <w:jc w:val="center"/>
        </w:trPr>
        <w:tc>
          <w:tcPr>
            <w:tcW w:w="626" w:type="dxa"/>
            <w:shd w:val="clear" w:color="auto" w:fill="auto"/>
            <w:noWrap/>
            <w:tcMar>
              <w:top w:w="0" w:type="dxa"/>
              <w:left w:w="0" w:type="dxa"/>
              <w:bottom w:w="0" w:type="dxa"/>
              <w:right w:w="0" w:type="dxa"/>
            </w:tcMar>
            <w:vAlign w:val="center"/>
          </w:tcPr>
          <w:p w14:paraId="660F55B6"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17</w:t>
            </w:r>
          </w:p>
        </w:tc>
        <w:tc>
          <w:tcPr>
            <w:tcW w:w="958" w:type="dxa"/>
            <w:vMerge/>
            <w:shd w:val="clear" w:color="auto" w:fill="auto"/>
            <w:tcMar>
              <w:top w:w="0" w:type="dxa"/>
              <w:left w:w="0" w:type="dxa"/>
              <w:bottom w:w="0" w:type="dxa"/>
              <w:right w:w="0" w:type="dxa"/>
            </w:tcMar>
            <w:vAlign w:val="center"/>
          </w:tcPr>
          <w:p w14:paraId="75581ABB"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50065C30"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noWrap/>
            <w:tcMar>
              <w:top w:w="0" w:type="dxa"/>
              <w:left w:w="0" w:type="dxa"/>
              <w:bottom w:w="0" w:type="dxa"/>
              <w:right w:w="0" w:type="dxa"/>
            </w:tcMar>
            <w:vAlign w:val="center"/>
          </w:tcPr>
          <w:p w14:paraId="1F0B78C7"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青田村</w:t>
            </w:r>
          </w:p>
        </w:tc>
        <w:tc>
          <w:tcPr>
            <w:tcW w:w="1746" w:type="dxa"/>
            <w:shd w:val="clear" w:color="auto" w:fill="auto"/>
            <w:noWrap/>
            <w:tcMar>
              <w:top w:w="0" w:type="dxa"/>
              <w:left w:w="0" w:type="dxa"/>
              <w:bottom w:w="0" w:type="dxa"/>
              <w:right w:w="0" w:type="dxa"/>
            </w:tcMar>
            <w:vAlign w:val="center"/>
          </w:tcPr>
          <w:p w14:paraId="16252DE2"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1.0368</w:t>
            </w:r>
          </w:p>
        </w:tc>
        <w:tc>
          <w:tcPr>
            <w:tcW w:w="1637" w:type="dxa"/>
            <w:shd w:val="clear" w:color="auto" w:fill="auto"/>
            <w:tcMar>
              <w:top w:w="0" w:type="dxa"/>
              <w:left w:w="0" w:type="dxa"/>
              <w:bottom w:w="0" w:type="dxa"/>
              <w:right w:w="0" w:type="dxa"/>
            </w:tcMar>
            <w:vAlign w:val="center"/>
          </w:tcPr>
          <w:p w14:paraId="2B5DE46F"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0.9982</w:t>
            </w:r>
          </w:p>
        </w:tc>
        <w:tc>
          <w:tcPr>
            <w:tcW w:w="1150" w:type="dxa"/>
            <w:shd w:val="clear" w:color="auto" w:fill="auto"/>
            <w:tcMar>
              <w:top w:w="0" w:type="dxa"/>
              <w:left w:w="0" w:type="dxa"/>
              <w:bottom w:w="0" w:type="dxa"/>
              <w:right w:w="0" w:type="dxa"/>
            </w:tcMar>
            <w:vAlign w:val="center"/>
          </w:tcPr>
          <w:p w14:paraId="4C114C0B"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w:t>
            </w:r>
          </w:p>
        </w:tc>
      </w:tr>
      <w:tr w:rsidR="0075791A" w14:paraId="51407B09" w14:textId="77777777">
        <w:trPr>
          <w:trHeight w:val="288"/>
          <w:jc w:val="center"/>
        </w:trPr>
        <w:tc>
          <w:tcPr>
            <w:tcW w:w="626" w:type="dxa"/>
            <w:shd w:val="clear" w:color="auto" w:fill="auto"/>
            <w:noWrap/>
            <w:tcMar>
              <w:top w:w="0" w:type="dxa"/>
              <w:left w:w="0" w:type="dxa"/>
              <w:bottom w:w="0" w:type="dxa"/>
              <w:right w:w="0" w:type="dxa"/>
            </w:tcMar>
            <w:vAlign w:val="center"/>
          </w:tcPr>
          <w:p w14:paraId="47D0BFDD"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18</w:t>
            </w:r>
          </w:p>
        </w:tc>
        <w:tc>
          <w:tcPr>
            <w:tcW w:w="958" w:type="dxa"/>
            <w:vMerge/>
            <w:shd w:val="clear" w:color="auto" w:fill="auto"/>
            <w:tcMar>
              <w:top w:w="0" w:type="dxa"/>
              <w:left w:w="0" w:type="dxa"/>
              <w:bottom w:w="0" w:type="dxa"/>
              <w:right w:w="0" w:type="dxa"/>
            </w:tcMar>
            <w:vAlign w:val="center"/>
          </w:tcPr>
          <w:p w14:paraId="2E5D6145"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4F6961B1"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noWrap/>
            <w:tcMar>
              <w:top w:w="0" w:type="dxa"/>
              <w:left w:w="0" w:type="dxa"/>
              <w:bottom w:w="0" w:type="dxa"/>
              <w:right w:w="0" w:type="dxa"/>
            </w:tcMar>
            <w:vAlign w:val="center"/>
          </w:tcPr>
          <w:p w14:paraId="18D5A409"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三亚林场</w:t>
            </w:r>
          </w:p>
        </w:tc>
        <w:tc>
          <w:tcPr>
            <w:tcW w:w="1746" w:type="dxa"/>
            <w:shd w:val="clear" w:color="auto" w:fill="auto"/>
            <w:noWrap/>
            <w:tcMar>
              <w:top w:w="0" w:type="dxa"/>
              <w:left w:w="0" w:type="dxa"/>
              <w:bottom w:w="0" w:type="dxa"/>
              <w:right w:w="0" w:type="dxa"/>
            </w:tcMar>
            <w:vAlign w:val="center"/>
          </w:tcPr>
          <w:p w14:paraId="5702B3DA"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0.1415</w:t>
            </w:r>
          </w:p>
        </w:tc>
        <w:tc>
          <w:tcPr>
            <w:tcW w:w="1637" w:type="dxa"/>
            <w:shd w:val="clear" w:color="auto" w:fill="auto"/>
            <w:tcMar>
              <w:top w:w="0" w:type="dxa"/>
              <w:left w:w="0" w:type="dxa"/>
              <w:bottom w:w="0" w:type="dxa"/>
              <w:right w:w="0" w:type="dxa"/>
            </w:tcMar>
            <w:vAlign w:val="center"/>
          </w:tcPr>
          <w:p w14:paraId="1DBA9015"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w:t>
            </w:r>
          </w:p>
        </w:tc>
        <w:tc>
          <w:tcPr>
            <w:tcW w:w="1150" w:type="dxa"/>
            <w:shd w:val="clear" w:color="auto" w:fill="auto"/>
            <w:tcMar>
              <w:top w:w="0" w:type="dxa"/>
              <w:left w:w="0" w:type="dxa"/>
              <w:bottom w:w="0" w:type="dxa"/>
              <w:right w:w="0" w:type="dxa"/>
            </w:tcMar>
            <w:vAlign w:val="center"/>
          </w:tcPr>
          <w:p w14:paraId="19363FF6"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w:t>
            </w:r>
          </w:p>
        </w:tc>
      </w:tr>
      <w:tr w:rsidR="0075791A" w14:paraId="7A400BDB" w14:textId="77777777">
        <w:trPr>
          <w:trHeight w:val="288"/>
          <w:jc w:val="center"/>
        </w:trPr>
        <w:tc>
          <w:tcPr>
            <w:tcW w:w="626" w:type="dxa"/>
            <w:shd w:val="clear" w:color="auto" w:fill="auto"/>
            <w:noWrap/>
            <w:tcMar>
              <w:top w:w="0" w:type="dxa"/>
              <w:left w:w="0" w:type="dxa"/>
              <w:bottom w:w="0" w:type="dxa"/>
              <w:right w:w="0" w:type="dxa"/>
            </w:tcMar>
            <w:vAlign w:val="center"/>
          </w:tcPr>
          <w:p w14:paraId="31BCEABA"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19</w:t>
            </w:r>
          </w:p>
        </w:tc>
        <w:tc>
          <w:tcPr>
            <w:tcW w:w="958" w:type="dxa"/>
            <w:vMerge/>
            <w:shd w:val="clear" w:color="auto" w:fill="auto"/>
            <w:tcMar>
              <w:top w:w="0" w:type="dxa"/>
              <w:left w:w="0" w:type="dxa"/>
              <w:bottom w:w="0" w:type="dxa"/>
              <w:right w:w="0" w:type="dxa"/>
            </w:tcMar>
            <w:vAlign w:val="center"/>
          </w:tcPr>
          <w:p w14:paraId="3785AEF9"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1E965249"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noWrap/>
            <w:tcMar>
              <w:top w:w="0" w:type="dxa"/>
              <w:left w:w="0" w:type="dxa"/>
              <w:bottom w:w="0" w:type="dxa"/>
              <w:right w:w="0" w:type="dxa"/>
            </w:tcMar>
            <w:vAlign w:val="center"/>
          </w:tcPr>
          <w:p w14:paraId="07DF8D78"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铁炉盐场</w:t>
            </w:r>
          </w:p>
        </w:tc>
        <w:tc>
          <w:tcPr>
            <w:tcW w:w="1746" w:type="dxa"/>
            <w:shd w:val="clear" w:color="auto" w:fill="auto"/>
            <w:noWrap/>
            <w:tcMar>
              <w:top w:w="0" w:type="dxa"/>
              <w:left w:w="0" w:type="dxa"/>
              <w:bottom w:w="0" w:type="dxa"/>
              <w:right w:w="0" w:type="dxa"/>
            </w:tcMar>
            <w:vAlign w:val="center"/>
          </w:tcPr>
          <w:p w14:paraId="2642EAFE"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0.908</w:t>
            </w:r>
          </w:p>
        </w:tc>
        <w:tc>
          <w:tcPr>
            <w:tcW w:w="1637" w:type="dxa"/>
            <w:shd w:val="clear" w:color="auto" w:fill="auto"/>
            <w:tcMar>
              <w:top w:w="0" w:type="dxa"/>
              <w:left w:w="0" w:type="dxa"/>
              <w:bottom w:w="0" w:type="dxa"/>
              <w:right w:w="0" w:type="dxa"/>
            </w:tcMar>
            <w:vAlign w:val="center"/>
          </w:tcPr>
          <w:p w14:paraId="703DE72A"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0.908</w:t>
            </w:r>
          </w:p>
        </w:tc>
        <w:tc>
          <w:tcPr>
            <w:tcW w:w="1150" w:type="dxa"/>
            <w:shd w:val="clear" w:color="auto" w:fill="auto"/>
            <w:tcMar>
              <w:top w:w="0" w:type="dxa"/>
              <w:left w:w="0" w:type="dxa"/>
              <w:bottom w:w="0" w:type="dxa"/>
              <w:right w:w="0" w:type="dxa"/>
            </w:tcMar>
            <w:vAlign w:val="center"/>
          </w:tcPr>
          <w:p w14:paraId="11DA2EBF"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w:t>
            </w:r>
          </w:p>
        </w:tc>
      </w:tr>
      <w:tr w:rsidR="0075791A" w14:paraId="779987D6" w14:textId="77777777">
        <w:trPr>
          <w:trHeight w:val="288"/>
          <w:jc w:val="center"/>
        </w:trPr>
        <w:tc>
          <w:tcPr>
            <w:tcW w:w="626" w:type="dxa"/>
            <w:shd w:val="clear" w:color="auto" w:fill="auto"/>
            <w:noWrap/>
            <w:tcMar>
              <w:top w:w="0" w:type="dxa"/>
              <w:left w:w="0" w:type="dxa"/>
              <w:bottom w:w="0" w:type="dxa"/>
              <w:right w:w="0" w:type="dxa"/>
            </w:tcMar>
            <w:vAlign w:val="center"/>
          </w:tcPr>
          <w:p w14:paraId="0613D2CA"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lastRenderedPageBreak/>
              <w:t>20</w:t>
            </w:r>
          </w:p>
        </w:tc>
        <w:tc>
          <w:tcPr>
            <w:tcW w:w="958" w:type="dxa"/>
            <w:vMerge/>
            <w:shd w:val="clear" w:color="auto" w:fill="auto"/>
            <w:tcMar>
              <w:top w:w="0" w:type="dxa"/>
              <w:left w:w="0" w:type="dxa"/>
              <w:bottom w:w="0" w:type="dxa"/>
              <w:right w:w="0" w:type="dxa"/>
            </w:tcMar>
            <w:vAlign w:val="center"/>
          </w:tcPr>
          <w:p w14:paraId="418A372C" w14:textId="77777777" w:rsidR="0075791A" w:rsidRDefault="0075791A">
            <w:pPr>
              <w:spacing w:line="240" w:lineRule="exact"/>
              <w:jc w:val="center"/>
              <w:rPr>
                <w:rFonts w:ascii="Times New Roman" w:eastAsia="宋体" w:hAnsi="Times New Roman" w:cs="宋体"/>
                <w:color w:val="auto"/>
              </w:rPr>
            </w:pPr>
          </w:p>
        </w:tc>
        <w:tc>
          <w:tcPr>
            <w:tcW w:w="917" w:type="dxa"/>
            <w:vMerge/>
            <w:shd w:val="clear" w:color="auto" w:fill="auto"/>
            <w:tcMar>
              <w:top w:w="0" w:type="dxa"/>
              <w:left w:w="0" w:type="dxa"/>
              <w:bottom w:w="0" w:type="dxa"/>
              <w:right w:w="0" w:type="dxa"/>
            </w:tcMar>
            <w:vAlign w:val="center"/>
          </w:tcPr>
          <w:p w14:paraId="6E7357C4" w14:textId="77777777" w:rsidR="0075791A" w:rsidRDefault="0075791A">
            <w:pPr>
              <w:spacing w:line="240" w:lineRule="exact"/>
              <w:jc w:val="center"/>
              <w:rPr>
                <w:rFonts w:ascii="Times New Roman" w:eastAsia="宋体" w:hAnsi="Times New Roman" w:cs="宋体"/>
                <w:color w:val="auto"/>
              </w:rPr>
            </w:pPr>
          </w:p>
        </w:tc>
        <w:tc>
          <w:tcPr>
            <w:tcW w:w="2676" w:type="dxa"/>
            <w:shd w:val="clear" w:color="auto" w:fill="auto"/>
            <w:noWrap/>
            <w:tcMar>
              <w:top w:w="0" w:type="dxa"/>
              <w:left w:w="0" w:type="dxa"/>
              <w:bottom w:w="0" w:type="dxa"/>
              <w:right w:w="0" w:type="dxa"/>
            </w:tcMar>
            <w:vAlign w:val="center"/>
          </w:tcPr>
          <w:p w14:paraId="59FAF0AA"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下丈村</w:t>
            </w:r>
          </w:p>
        </w:tc>
        <w:tc>
          <w:tcPr>
            <w:tcW w:w="1746" w:type="dxa"/>
            <w:shd w:val="clear" w:color="auto" w:fill="auto"/>
            <w:noWrap/>
            <w:tcMar>
              <w:top w:w="0" w:type="dxa"/>
              <w:left w:w="0" w:type="dxa"/>
              <w:bottom w:w="0" w:type="dxa"/>
              <w:right w:w="0" w:type="dxa"/>
            </w:tcMar>
            <w:vAlign w:val="center"/>
          </w:tcPr>
          <w:p w14:paraId="0AEF8A58"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0.6577</w:t>
            </w:r>
          </w:p>
        </w:tc>
        <w:tc>
          <w:tcPr>
            <w:tcW w:w="1637" w:type="dxa"/>
            <w:shd w:val="clear" w:color="auto" w:fill="auto"/>
            <w:tcMar>
              <w:top w:w="0" w:type="dxa"/>
              <w:left w:w="0" w:type="dxa"/>
              <w:bottom w:w="0" w:type="dxa"/>
              <w:right w:w="0" w:type="dxa"/>
            </w:tcMar>
            <w:vAlign w:val="center"/>
          </w:tcPr>
          <w:p w14:paraId="229B0A9E" w14:textId="77777777" w:rsidR="0075791A" w:rsidRDefault="00FB2864">
            <w:pPr>
              <w:spacing w:line="240" w:lineRule="exact"/>
              <w:jc w:val="center"/>
              <w:textAlignment w:val="center"/>
              <w:rPr>
                <w:rFonts w:ascii="Times New Roman" w:eastAsia="宋体" w:hAnsi="Times New Roman" w:cs="宋体"/>
                <w:color w:val="auto"/>
                <w:lang w:eastAsia="zh-CN" w:bidi="ar"/>
              </w:rPr>
            </w:pPr>
            <w:r>
              <w:rPr>
                <w:rFonts w:ascii="Times New Roman" w:eastAsia="宋体" w:hAnsi="Times New Roman" w:cs="宋体" w:hint="eastAsia"/>
                <w:color w:val="auto"/>
                <w:lang w:eastAsia="zh-CN" w:bidi="ar"/>
              </w:rPr>
              <w:t>—</w:t>
            </w:r>
          </w:p>
        </w:tc>
        <w:tc>
          <w:tcPr>
            <w:tcW w:w="1150" w:type="dxa"/>
            <w:shd w:val="clear" w:color="auto" w:fill="auto"/>
            <w:tcMar>
              <w:top w:w="0" w:type="dxa"/>
              <w:left w:w="0" w:type="dxa"/>
              <w:bottom w:w="0" w:type="dxa"/>
              <w:right w:w="0" w:type="dxa"/>
            </w:tcMar>
            <w:vAlign w:val="center"/>
          </w:tcPr>
          <w:p w14:paraId="30F30F2A" w14:textId="77777777" w:rsidR="0075791A" w:rsidRDefault="00FB2864">
            <w:pPr>
              <w:spacing w:line="240" w:lineRule="exact"/>
              <w:jc w:val="center"/>
              <w:textAlignment w:val="center"/>
              <w:rPr>
                <w:rFonts w:ascii="Times New Roman" w:eastAsia="宋体" w:hAnsi="Times New Roman" w:cs="宋体"/>
                <w:color w:val="auto"/>
              </w:rPr>
            </w:pPr>
            <w:r>
              <w:rPr>
                <w:rFonts w:ascii="Times New Roman" w:eastAsia="宋体" w:hAnsi="Times New Roman" w:cs="宋体" w:hint="eastAsia"/>
                <w:color w:val="auto"/>
                <w:lang w:eastAsia="zh-CN" w:bidi="ar"/>
              </w:rPr>
              <w:t>—</w:t>
            </w:r>
          </w:p>
        </w:tc>
      </w:tr>
    </w:tbl>
    <w:p w14:paraId="57FD04D1" w14:textId="77777777" w:rsidR="0075791A" w:rsidRDefault="0075791A">
      <w:pPr>
        <w:ind w:firstLineChars="200" w:firstLine="476"/>
        <w:jc w:val="both"/>
        <w:rPr>
          <w:rFonts w:ascii="Times New Roman" w:eastAsia="宋体" w:hAnsi="Times New Roman" w:cs="宋体"/>
          <w:color w:val="auto"/>
          <w:spacing w:val="-2"/>
          <w:sz w:val="24"/>
          <w:szCs w:val="24"/>
          <w:lang w:eastAsia="zh-CN"/>
        </w:rPr>
      </w:pPr>
    </w:p>
    <w:p w14:paraId="20AEAB4E" w14:textId="77777777" w:rsidR="0075791A" w:rsidRDefault="0075791A">
      <w:pPr>
        <w:pStyle w:val="a5"/>
        <w:rPr>
          <w:rFonts w:ascii="Times New Roman" w:eastAsia="宋体" w:hAnsi="Times New Roman" w:cs="宋体"/>
          <w:color w:val="auto"/>
          <w:spacing w:val="-2"/>
          <w:sz w:val="24"/>
          <w:szCs w:val="24"/>
          <w:lang w:eastAsia="zh-CN"/>
        </w:rPr>
      </w:pPr>
    </w:p>
    <w:p w14:paraId="67EE9FF5" w14:textId="77777777" w:rsidR="0075791A" w:rsidRDefault="0075791A">
      <w:pPr>
        <w:pStyle w:val="20"/>
        <w:rPr>
          <w:rFonts w:cs="宋体"/>
          <w:color w:val="auto"/>
          <w:spacing w:val="-2"/>
          <w:szCs w:val="24"/>
        </w:rPr>
        <w:sectPr w:rsidR="0075791A">
          <w:footerReference w:type="default" r:id="rId256"/>
          <w:pgSz w:w="11906" w:h="16839"/>
          <w:pgMar w:top="1018" w:right="1337" w:bottom="1134" w:left="1417" w:header="746" w:footer="972" w:gutter="0"/>
          <w:cols w:space="720"/>
        </w:sectPr>
      </w:pPr>
    </w:p>
    <w:p w14:paraId="487B64ED" w14:textId="77777777" w:rsidR="0075791A" w:rsidRDefault="0075791A">
      <w:pPr>
        <w:jc w:val="center"/>
        <w:rPr>
          <w:rFonts w:ascii="Times New Roman" w:eastAsia="宋体" w:hAnsi="Times New Roman" w:cs="宋体"/>
          <w:color w:val="auto"/>
          <w:spacing w:val="-1"/>
          <w:sz w:val="24"/>
          <w:szCs w:val="24"/>
          <w:lang w:eastAsia="zh-CN"/>
        </w:rPr>
      </w:pPr>
    </w:p>
    <w:p w14:paraId="40DBB9A8" w14:textId="77777777" w:rsidR="0075791A" w:rsidRDefault="00FB2864">
      <w:pPr>
        <w:jc w:val="center"/>
        <w:rPr>
          <w:rFonts w:ascii="Times New Roman" w:hAnsi="Times New Roman" w:cs="Times New Roman"/>
          <w:color w:val="auto"/>
          <w:lang w:eastAsia="zh-CN"/>
        </w:rPr>
        <w:sectPr w:rsidR="0075791A">
          <w:pgSz w:w="16839" w:h="11906" w:orient="landscape"/>
          <w:pgMar w:top="1417" w:right="1018" w:bottom="1337" w:left="1134" w:header="746" w:footer="972" w:gutter="0"/>
          <w:cols w:space="720"/>
        </w:sectPr>
      </w:pP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 xml:space="preserve">5.1.2-15 </w:t>
      </w:r>
      <w:r>
        <w:rPr>
          <w:rFonts w:ascii="Times New Roman" w:hAnsi="Times New Roman" w:cs="Times New Roman" w:hint="eastAsia"/>
          <w:color w:val="auto"/>
          <w:lang w:eastAsia="zh-CN"/>
        </w:rPr>
        <w:t>铁炉港内土地权属信息示意图</w:t>
      </w:r>
    </w:p>
    <w:p w14:paraId="486E288A" w14:textId="77777777" w:rsidR="0075791A" w:rsidRDefault="0075791A">
      <w:pPr>
        <w:spacing w:before="32"/>
        <w:ind w:right="80"/>
        <w:jc w:val="center"/>
        <w:rPr>
          <w:rFonts w:ascii="Times New Roman" w:eastAsia="宋体" w:hAnsi="Times New Roman" w:cs="宋体"/>
          <w:color w:val="auto"/>
          <w:spacing w:val="-1"/>
          <w:sz w:val="24"/>
          <w:szCs w:val="24"/>
          <w:lang w:eastAsia="zh-CN"/>
        </w:rPr>
      </w:pPr>
    </w:p>
    <w:p w14:paraId="45160D0D" w14:textId="77777777" w:rsidR="0075791A" w:rsidRDefault="00FB2864">
      <w:pPr>
        <w:spacing w:before="32" w:line="356" w:lineRule="auto"/>
        <w:jc w:val="center"/>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图</w:t>
      </w:r>
      <w:r>
        <w:rPr>
          <w:rFonts w:ascii="Times New Roman" w:eastAsia="宋体" w:hAnsi="Times New Roman" w:cs="宋体" w:hint="eastAsia"/>
          <w:color w:val="auto"/>
          <w:spacing w:val="-1"/>
          <w:sz w:val="24"/>
          <w:szCs w:val="24"/>
          <w:lang w:eastAsia="zh-CN"/>
        </w:rPr>
        <w:t>5.1.2-16 2008</w:t>
      </w:r>
      <w:r>
        <w:rPr>
          <w:rFonts w:ascii="Times New Roman" w:eastAsia="宋体" w:hAnsi="Times New Roman" w:cs="宋体" w:hint="eastAsia"/>
          <w:color w:val="auto"/>
          <w:spacing w:val="-1"/>
          <w:sz w:val="24"/>
          <w:szCs w:val="24"/>
          <w:lang w:eastAsia="zh-CN"/>
        </w:rPr>
        <w:t>海岸线、</w:t>
      </w:r>
      <w:r>
        <w:rPr>
          <w:rFonts w:ascii="Times New Roman" w:eastAsia="宋体" w:hAnsi="Times New Roman" w:cs="宋体" w:hint="eastAsia"/>
          <w:color w:val="auto"/>
          <w:spacing w:val="-1"/>
          <w:sz w:val="24"/>
          <w:szCs w:val="24"/>
          <w:lang w:eastAsia="zh-CN"/>
        </w:rPr>
        <w:t>2019</w:t>
      </w:r>
      <w:r>
        <w:rPr>
          <w:rFonts w:ascii="Times New Roman" w:eastAsia="宋体" w:hAnsi="Times New Roman" w:cs="宋体" w:hint="eastAsia"/>
          <w:color w:val="auto"/>
          <w:spacing w:val="-1"/>
          <w:sz w:val="24"/>
          <w:szCs w:val="24"/>
          <w:lang w:eastAsia="zh-CN"/>
        </w:rPr>
        <w:t>修测海岸线与确权土地位置关系图</w:t>
      </w:r>
    </w:p>
    <w:p w14:paraId="79FF7A2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bidi="ar"/>
        </w:rPr>
      </w:pPr>
      <w:r>
        <w:rPr>
          <w:rFonts w:ascii="Times New Roman" w:eastAsia="宋体" w:hAnsi="Times New Roman" w:cs="宋体" w:hint="eastAsia"/>
          <w:color w:val="auto"/>
          <w:sz w:val="24"/>
          <w:szCs w:val="24"/>
          <w:lang w:eastAsia="zh-CN" w:bidi="ar"/>
        </w:rPr>
        <w:t>目前，三亚市海棠区人民政府正在进行土地征收工作，见图</w:t>
      </w:r>
      <w:r>
        <w:rPr>
          <w:rFonts w:ascii="Times New Roman" w:eastAsia="宋体" w:hAnsi="Times New Roman" w:cs="宋体" w:hint="eastAsia"/>
          <w:color w:val="auto"/>
          <w:sz w:val="24"/>
          <w:szCs w:val="24"/>
          <w:lang w:eastAsia="zh-CN" w:bidi="ar"/>
        </w:rPr>
        <w:t>5.1.2-17</w:t>
      </w:r>
      <w:r>
        <w:rPr>
          <w:rFonts w:ascii="Times New Roman" w:eastAsia="宋体" w:hAnsi="Times New Roman" w:cs="宋体" w:hint="eastAsia"/>
          <w:color w:val="auto"/>
          <w:sz w:val="24"/>
          <w:szCs w:val="24"/>
          <w:lang w:eastAsia="zh-CN" w:bidi="ar"/>
        </w:rPr>
        <w:t>。</w:t>
      </w:r>
    </w:p>
    <w:p w14:paraId="58FECAA4" w14:textId="77777777" w:rsidR="0075791A" w:rsidRDefault="0075791A">
      <w:pPr>
        <w:jc w:val="center"/>
        <w:rPr>
          <w:color w:val="auto"/>
          <w:lang w:eastAsia="zh-CN"/>
        </w:rPr>
      </w:pPr>
    </w:p>
    <w:p w14:paraId="41B0DBB5" w14:textId="77777777" w:rsidR="0075791A" w:rsidRDefault="00FB2864">
      <w:pPr>
        <w:jc w:val="center"/>
        <w:rPr>
          <w:rFonts w:ascii="Times New Roman" w:hAnsi="Times New Roman" w:cs="Times New Roman"/>
          <w:color w:val="auto"/>
          <w:lang w:eastAsia="zh-CN"/>
        </w:rPr>
      </w:pP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 xml:space="preserve">5.1.2-17 </w:t>
      </w:r>
      <w:r>
        <w:rPr>
          <w:rFonts w:ascii="Times New Roman" w:hAnsi="Times New Roman" w:cs="Times New Roman" w:hint="eastAsia"/>
          <w:color w:val="auto"/>
          <w:lang w:eastAsia="zh-CN"/>
        </w:rPr>
        <w:t>征收土地预公告</w:t>
      </w:r>
    </w:p>
    <w:p w14:paraId="38E97856" w14:textId="77777777" w:rsidR="0075791A" w:rsidRDefault="0075791A">
      <w:pPr>
        <w:jc w:val="center"/>
        <w:rPr>
          <w:rFonts w:ascii="Times New Roman" w:hAnsi="Times New Roman" w:cs="Times New Roman"/>
          <w:color w:val="auto"/>
          <w:lang w:eastAsia="zh-CN"/>
        </w:rPr>
      </w:pPr>
    </w:p>
    <w:p w14:paraId="6FBA3CF4" w14:textId="77777777" w:rsidR="0075791A" w:rsidRDefault="0075791A">
      <w:pPr>
        <w:spacing w:line="43" w:lineRule="exact"/>
        <w:rPr>
          <w:rFonts w:ascii="Times New Roman" w:hAnsi="Times New Roman"/>
          <w:color w:val="auto"/>
          <w:lang w:eastAsia="zh-CN"/>
        </w:rPr>
      </w:pPr>
    </w:p>
    <w:p w14:paraId="56C141F1"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271" w:name="_Toc25672"/>
      <w:r>
        <w:rPr>
          <w:rFonts w:ascii="Times New Roman" w:eastAsia="Times New Roman" w:hAnsi="Times New Roman" w:cs="Times New Roman" w:hint="eastAsia"/>
          <w:b/>
          <w:bCs/>
          <w:color w:val="auto"/>
          <w:spacing w:val="-3"/>
          <w:sz w:val="28"/>
          <w:szCs w:val="28"/>
          <w:lang w:eastAsia="zh-CN"/>
        </w:rPr>
        <w:t>5.1.3海域使用权属</w:t>
      </w:r>
      <w:bookmarkEnd w:id="271"/>
    </w:p>
    <w:p w14:paraId="4F0BAA91"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根据国家</w:t>
      </w:r>
      <w:r>
        <w:rPr>
          <w:rFonts w:ascii="Times New Roman" w:eastAsia="宋体" w:hAnsi="Times New Roman" w:cs="宋体"/>
          <w:color w:val="auto"/>
          <w:spacing w:val="-2"/>
          <w:sz w:val="24"/>
          <w:szCs w:val="24"/>
          <w:lang w:eastAsia="zh-CN"/>
        </w:rPr>
        <w:t>海域</w:t>
      </w:r>
      <w:r>
        <w:rPr>
          <w:rFonts w:ascii="Times New Roman" w:eastAsia="宋体" w:hAnsi="Times New Roman" w:cs="宋体" w:hint="eastAsia"/>
          <w:color w:val="auto"/>
          <w:spacing w:val="-2"/>
          <w:sz w:val="24"/>
          <w:szCs w:val="24"/>
          <w:lang w:eastAsia="zh-CN"/>
        </w:rPr>
        <w:t>海岛</w:t>
      </w:r>
      <w:r>
        <w:rPr>
          <w:rFonts w:ascii="Times New Roman" w:eastAsia="宋体" w:hAnsi="Times New Roman" w:cs="宋体"/>
          <w:color w:val="auto"/>
          <w:spacing w:val="-2"/>
          <w:sz w:val="24"/>
          <w:szCs w:val="24"/>
          <w:lang w:eastAsia="zh-CN"/>
        </w:rPr>
        <w:t>动态监管</w:t>
      </w:r>
      <w:r>
        <w:rPr>
          <w:rFonts w:ascii="Times New Roman" w:eastAsia="宋体" w:hAnsi="Times New Roman" w:cs="宋体" w:hint="eastAsia"/>
          <w:color w:val="auto"/>
          <w:spacing w:val="-2"/>
          <w:sz w:val="24"/>
          <w:szCs w:val="24"/>
          <w:lang w:eastAsia="zh-CN"/>
        </w:rPr>
        <w:t>系统</w:t>
      </w:r>
      <w:r>
        <w:rPr>
          <w:rFonts w:ascii="Times New Roman" w:eastAsia="宋体" w:hAnsi="Times New Roman" w:cs="宋体"/>
          <w:color w:val="auto"/>
          <w:spacing w:val="-2"/>
          <w:sz w:val="24"/>
          <w:szCs w:val="24"/>
          <w:lang w:eastAsia="zh-CN"/>
        </w:rPr>
        <w:t>数据</w:t>
      </w:r>
      <w:r>
        <w:rPr>
          <w:rFonts w:ascii="Times New Roman" w:eastAsia="宋体" w:hAnsi="Times New Roman" w:cs="宋体" w:hint="eastAsia"/>
          <w:color w:val="auto"/>
          <w:spacing w:val="-2"/>
          <w:sz w:val="24"/>
          <w:szCs w:val="24"/>
          <w:lang w:eastAsia="zh-CN"/>
        </w:rPr>
        <w:t>，本项目论证范围内确权的海域开发利用活动有</w:t>
      </w:r>
      <w:r>
        <w:rPr>
          <w:rFonts w:ascii="Times New Roman" w:eastAsia="宋体" w:hAnsi="Times New Roman" w:cs="宋体" w:hint="eastAsia"/>
          <w:color w:val="auto"/>
          <w:spacing w:val="-2"/>
          <w:sz w:val="24"/>
          <w:szCs w:val="24"/>
          <w:lang w:eastAsia="zh-CN"/>
        </w:rPr>
        <w:t>6</w:t>
      </w:r>
      <w:r>
        <w:rPr>
          <w:rFonts w:ascii="Times New Roman" w:eastAsia="宋体" w:hAnsi="Times New Roman" w:cs="宋体" w:hint="eastAsia"/>
          <w:color w:val="auto"/>
          <w:spacing w:val="-2"/>
          <w:sz w:val="24"/>
          <w:szCs w:val="24"/>
          <w:lang w:eastAsia="zh-CN"/>
        </w:rPr>
        <w:t>项，分别为三亚市海棠湾旅游休闲娱乐区南部取排水工程项目、蜈支洲岛旅游区基地码头工程项目、三亚后海湾旅游娱乐用海项目。其权属信息</w:t>
      </w:r>
      <w:r>
        <w:rPr>
          <w:rFonts w:ascii="Times New Roman" w:eastAsia="宋体" w:hAnsi="Times New Roman" w:cs="宋体"/>
          <w:color w:val="auto"/>
          <w:spacing w:val="-2"/>
          <w:sz w:val="24"/>
          <w:szCs w:val="24"/>
          <w:lang w:eastAsia="zh-CN"/>
        </w:rPr>
        <w:t>见表</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color w:val="auto"/>
          <w:spacing w:val="-2"/>
          <w:sz w:val="24"/>
          <w:szCs w:val="24"/>
          <w:lang w:eastAsia="zh-CN"/>
        </w:rPr>
        <w:t>.1</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color w:val="auto"/>
          <w:spacing w:val="-2"/>
          <w:sz w:val="24"/>
          <w:szCs w:val="24"/>
          <w:lang w:eastAsia="zh-CN"/>
        </w:rPr>
        <w:t>-</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color w:val="auto"/>
          <w:spacing w:val="-2"/>
          <w:sz w:val="24"/>
          <w:szCs w:val="24"/>
          <w:lang w:eastAsia="zh-CN"/>
        </w:rPr>
        <w:t>。</w:t>
      </w:r>
    </w:p>
    <w:p w14:paraId="0D9B6BB9" w14:textId="77777777" w:rsidR="0075791A" w:rsidRDefault="00FB2864">
      <w:pPr>
        <w:spacing w:before="34" w:line="219" w:lineRule="auto"/>
        <w:ind w:left="2752"/>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表</w:t>
      </w:r>
      <w:r>
        <w:rPr>
          <w:rFonts w:ascii="Times New Roman" w:eastAsia="宋体" w:hAnsi="Times New Roman" w:cs="Times New Roman" w:hint="eastAsia"/>
          <w:color w:val="auto"/>
          <w:spacing w:val="-2"/>
          <w:sz w:val="24"/>
          <w:szCs w:val="24"/>
          <w:lang w:eastAsia="zh-CN"/>
        </w:rPr>
        <w:t>5</w:t>
      </w:r>
      <w:r>
        <w:rPr>
          <w:rFonts w:ascii="Times New Roman" w:eastAsia="Times New Roman" w:hAnsi="Times New Roman" w:cs="Times New Roman"/>
          <w:color w:val="auto"/>
          <w:spacing w:val="-2"/>
          <w:sz w:val="24"/>
          <w:szCs w:val="24"/>
          <w:lang w:eastAsia="zh-CN"/>
        </w:rPr>
        <w:t>.1</w:t>
      </w:r>
      <w:r>
        <w:rPr>
          <w:rFonts w:ascii="Times New Roman" w:eastAsia="宋体" w:hAnsi="Times New Roman" w:cs="Times New Roman" w:hint="eastAsia"/>
          <w:color w:val="auto"/>
          <w:spacing w:val="-2"/>
          <w:sz w:val="24"/>
          <w:szCs w:val="24"/>
          <w:lang w:eastAsia="zh-CN"/>
        </w:rPr>
        <w:t>.3</w:t>
      </w:r>
      <w:r>
        <w:rPr>
          <w:rFonts w:ascii="Times New Roman" w:eastAsia="Times New Roman" w:hAnsi="Times New Roman" w:cs="Times New Roman"/>
          <w:color w:val="auto"/>
          <w:spacing w:val="-2"/>
          <w:sz w:val="24"/>
          <w:szCs w:val="24"/>
          <w:lang w:eastAsia="zh-CN"/>
        </w:rPr>
        <w:t>-</w:t>
      </w:r>
      <w:r>
        <w:rPr>
          <w:rFonts w:ascii="Times New Roman" w:eastAsia="宋体" w:hAnsi="Times New Roman" w:cs="Times New Roman" w:hint="eastAsia"/>
          <w:color w:val="auto"/>
          <w:spacing w:val="-2"/>
          <w:sz w:val="24"/>
          <w:szCs w:val="24"/>
          <w:lang w:eastAsia="zh-CN"/>
        </w:rPr>
        <w:t>1</w:t>
      </w:r>
      <w:r>
        <w:rPr>
          <w:rFonts w:ascii="Times New Roman" w:eastAsia="宋体" w:hAnsi="Times New Roman" w:cs="宋体"/>
          <w:color w:val="auto"/>
          <w:spacing w:val="-2"/>
          <w:sz w:val="24"/>
          <w:szCs w:val="24"/>
          <w:lang w:eastAsia="zh-CN"/>
        </w:rPr>
        <w:t>论证范围内海域使用权属表</w:t>
      </w:r>
    </w:p>
    <w:tbl>
      <w:tblPr>
        <w:tblStyle w:val="ad"/>
        <w:tblW w:w="9282" w:type="dxa"/>
        <w:tblInd w:w="-261" w:type="dxa"/>
        <w:tblLayout w:type="fixed"/>
        <w:tblLook w:val="04A0" w:firstRow="1" w:lastRow="0" w:firstColumn="1" w:lastColumn="0" w:noHBand="0" w:noVBand="1"/>
      </w:tblPr>
      <w:tblGrid>
        <w:gridCol w:w="434"/>
        <w:gridCol w:w="1839"/>
        <w:gridCol w:w="1363"/>
        <w:gridCol w:w="1120"/>
        <w:gridCol w:w="1117"/>
        <w:gridCol w:w="887"/>
        <w:gridCol w:w="889"/>
        <w:gridCol w:w="1633"/>
      </w:tblGrid>
      <w:tr w:rsidR="0075791A" w14:paraId="248BCB93" w14:textId="77777777">
        <w:trPr>
          <w:trHeight w:val="462"/>
        </w:trPr>
        <w:tc>
          <w:tcPr>
            <w:tcW w:w="434" w:type="dxa"/>
            <w:tcMar>
              <w:top w:w="0" w:type="dxa"/>
              <w:left w:w="0" w:type="dxa"/>
              <w:bottom w:w="0" w:type="dxa"/>
              <w:right w:w="0" w:type="dxa"/>
            </w:tcMar>
            <w:vAlign w:val="center"/>
          </w:tcPr>
          <w:p w14:paraId="1E805307" w14:textId="77777777" w:rsidR="0075791A" w:rsidRDefault="00FB2864">
            <w:pPr>
              <w:pStyle w:val="12"/>
              <w:spacing w:line="240" w:lineRule="auto"/>
              <w:ind w:firstLineChars="0" w:firstLine="0"/>
              <w:rPr>
                <w:sz w:val="18"/>
                <w:szCs w:val="18"/>
              </w:rPr>
            </w:pPr>
            <w:r>
              <w:rPr>
                <w:rFonts w:hint="eastAsia"/>
                <w:sz w:val="18"/>
                <w:szCs w:val="18"/>
              </w:rPr>
              <w:t>序号</w:t>
            </w:r>
          </w:p>
        </w:tc>
        <w:tc>
          <w:tcPr>
            <w:tcW w:w="1839" w:type="dxa"/>
            <w:tcMar>
              <w:top w:w="0" w:type="dxa"/>
              <w:left w:w="0" w:type="dxa"/>
              <w:bottom w:w="0" w:type="dxa"/>
              <w:right w:w="0" w:type="dxa"/>
            </w:tcMar>
            <w:vAlign w:val="center"/>
          </w:tcPr>
          <w:p w14:paraId="3BFDFD93" w14:textId="77777777" w:rsidR="0075791A" w:rsidRDefault="00FB2864">
            <w:pPr>
              <w:pStyle w:val="12"/>
              <w:spacing w:line="240" w:lineRule="auto"/>
              <w:ind w:firstLineChars="0" w:firstLine="0"/>
              <w:rPr>
                <w:sz w:val="18"/>
                <w:szCs w:val="18"/>
              </w:rPr>
            </w:pPr>
            <w:r>
              <w:rPr>
                <w:rFonts w:hint="eastAsia"/>
                <w:sz w:val="18"/>
                <w:szCs w:val="18"/>
              </w:rPr>
              <w:t>用海项目名称</w:t>
            </w:r>
          </w:p>
        </w:tc>
        <w:tc>
          <w:tcPr>
            <w:tcW w:w="1363" w:type="dxa"/>
            <w:tcMar>
              <w:top w:w="0" w:type="dxa"/>
              <w:left w:w="0" w:type="dxa"/>
              <w:bottom w:w="0" w:type="dxa"/>
              <w:right w:w="0" w:type="dxa"/>
            </w:tcMar>
            <w:vAlign w:val="center"/>
          </w:tcPr>
          <w:p w14:paraId="19F5B590" w14:textId="77777777" w:rsidR="0075791A" w:rsidRDefault="00FB2864">
            <w:pPr>
              <w:pStyle w:val="12"/>
              <w:spacing w:line="240" w:lineRule="auto"/>
              <w:ind w:firstLineChars="0" w:firstLine="0"/>
              <w:rPr>
                <w:sz w:val="18"/>
                <w:szCs w:val="18"/>
              </w:rPr>
            </w:pPr>
            <w:r>
              <w:rPr>
                <w:rFonts w:hint="eastAsia"/>
                <w:sz w:val="18"/>
                <w:szCs w:val="18"/>
              </w:rPr>
              <w:t>权属人</w:t>
            </w:r>
          </w:p>
        </w:tc>
        <w:tc>
          <w:tcPr>
            <w:tcW w:w="1120" w:type="dxa"/>
            <w:tcMar>
              <w:top w:w="0" w:type="dxa"/>
              <w:left w:w="0" w:type="dxa"/>
              <w:bottom w:w="0" w:type="dxa"/>
              <w:right w:w="0" w:type="dxa"/>
            </w:tcMar>
            <w:vAlign w:val="center"/>
          </w:tcPr>
          <w:p w14:paraId="024321E5" w14:textId="77777777" w:rsidR="0075791A" w:rsidRDefault="00FB2864">
            <w:pPr>
              <w:pStyle w:val="12"/>
              <w:spacing w:line="240" w:lineRule="auto"/>
              <w:ind w:firstLineChars="0" w:firstLine="0"/>
              <w:rPr>
                <w:sz w:val="18"/>
                <w:szCs w:val="18"/>
              </w:rPr>
            </w:pPr>
            <w:r>
              <w:rPr>
                <w:rFonts w:hint="eastAsia"/>
                <w:sz w:val="18"/>
                <w:szCs w:val="18"/>
              </w:rPr>
              <w:t>用海类型</w:t>
            </w:r>
          </w:p>
        </w:tc>
        <w:tc>
          <w:tcPr>
            <w:tcW w:w="1117" w:type="dxa"/>
            <w:tcMar>
              <w:top w:w="0" w:type="dxa"/>
              <w:left w:w="0" w:type="dxa"/>
              <w:bottom w:w="0" w:type="dxa"/>
              <w:right w:w="0" w:type="dxa"/>
            </w:tcMar>
            <w:vAlign w:val="center"/>
          </w:tcPr>
          <w:p w14:paraId="6477F3BB" w14:textId="77777777" w:rsidR="0075791A" w:rsidRDefault="00FB2864">
            <w:pPr>
              <w:pStyle w:val="12"/>
              <w:spacing w:line="240" w:lineRule="auto"/>
              <w:ind w:firstLineChars="0" w:firstLine="0"/>
              <w:rPr>
                <w:sz w:val="18"/>
                <w:szCs w:val="18"/>
              </w:rPr>
            </w:pPr>
            <w:r>
              <w:rPr>
                <w:rFonts w:hint="eastAsia"/>
                <w:sz w:val="18"/>
                <w:szCs w:val="18"/>
              </w:rPr>
              <w:t>用海方式</w:t>
            </w:r>
          </w:p>
        </w:tc>
        <w:tc>
          <w:tcPr>
            <w:tcW w:w="887" w:type="dxa"/>
            <w:tcMar>
              <w:top w:w="0" w:type="dxa"/>
              <w:left w:w="0" w:type="dxa"/>
              <w:bottom w:w="0" w:type="dxa"/>
              <w:right w:w="0" w:type="dxa"/>
            </w:tcMar>
            <w:vAlign w:val="center"/>
          </w:tcPr>
          <w:p w14:paraId="68CE26D9" w14:textId="77777777" w:rsidR="0075791A" w:rsidRDefault="00FB2864">
            <w:pPr>
              <w:pStyle w:val="12"/>
              <w:spacing w:line="240" w:lineRule="auto"/>
              <w:ind w:firstLineChars="0" w:firstLine="0"/>
              <w:rPr>
                <w:sz w:val="18"/>
                <w:szCs w:val="18"/>
              </w:rPr>
            </w:pPr>
            <w:r>
              <w:rPr>
                <w:rFonts w:hint="eastAsia"/>
                <w:sz w:val="18"/>
                <w:szCs w:val="18"/>
              </w:rPr>
              <w:t>用海面积</w:t>
            </w:r>
          </w:p>
          <w:p w14:paraId="47B5427A" w14:textId="77777777" w:rsidR="0075791A" w:rsidRDefault="00FB2864">
            <w:pPr>
              <w:pStyle w:val="12"/>
              <w:spacing w:line="240" w:lineRule="auto"/>
              <w:ind w:firstLineChars="0" w:firstLine="0"/>
              <w:rPr>
                <w:sz w:val="18"/>
                <w:szCs w:val="18"/>
              </w:rPr>
            </w:pPr>
            <w:r>
              <w:rPr>
                <w:rFonts w:hint="eastAsia"/>
                <w:sz w:val="18"/>
                <w:szCs w:val="18"/>
              </w:rPr>
              <w:t>（公顷）</w:t>
            </w:r>
          </w:p>
        </w:tc>
        <w:tc>
          <w:tcPr>
            <w:tcW w:w="889" w:type="dxa"/>
            <w:tcMar>
              <w:top w:w="0" w:type="dxa"/>
              <w:left w:w="0" w:type="dxa"/>
              <w:bottom w:w="0" w:type="dxa"/>
              <w:right w:w="0" w:type="dxa"/>
            </w:tcMar>
            <w:vAlign w:val="center"/>
          </w:tcPr>
          <w:p w14:paraId="0FC40E87" w14:textId="77777777" w:rsidR="0075791A" w:rsidRDefault="00FB2864">
            <w:pPr>
              <w:pStyle w:val="12"/>
              <w:spacing w:line="240" w:lineRule="auto"/>
              <w:ind w:firstLineChars="0" w:firstLine="0"/>
              <w:rPr>
                <w:sz w:val="18"/>
                <w:szCs w:val="18"/>
              </w:rPr>
            </w:pPr>
            <w:r>
              <w:rPr>
                <w:rFonts w:hint="eastAsia"/>
                <w:sz w:val="18"/>
                <w:szCs w:val="18"/>
              </w:rPr>
              <w:t>用海期限</w:t>
            </w:r>
          </w:p>
          <w:p w14:paraId="6F6DFA1A" w14:textId="77777777" w:rsidR="0075791A" w:rsidRDefault="00FB2864">
            <w:pPr>
              <w:jc w:val="center"/>
              <w:rPr>
                <w:color w:val="auto"/>
                <w:lang w:eastAsia="zh-CN"/>
              </w:rPr>
            </w:pPr>
            <w:r>
              <w:rPr>
                <w:rFonts w:hint="eastAsia"/>
                <w:snapToGrid/>
                <w:color w:val="auto"/>
                <w:sz w:val="18"/>
                <w:szCs w:val="18"/>
                <w:lang w:eastAsia="zh-CN"/>
              </w:rPr>
              <w:t>（年）</w:t>
            </w:r>
          </w:p>
        </w:tc>
        <w:tc>
          <w:tcPr>
            <w:tcW w:w="1633" w:type="dxa"/>
            <w:tcMar>
              <w:top w:w="0" w:type="dxa"/>
              <w:left w:w="0" w:type="dxa"/>
              <w:bottom w:w="0" w:type="dxa"/>
              <w:right w:w="0" w:type="dxa"/>
            </w:tcMar>
            <w:vAlign w:val="center"/>
          </w:tcPr>
          <w:p w14:paraId="6920A5F6" w14:textId="77777777" w:rsidR="0075791A" w:rsidRDefault="00FB2864">
            <w:pPr>
              <w:pStyle w:val="12"/>
              <w:spacing w:line="240" w:lineRule="auto"/>
              <w:ind w:firstLineChars="0" w:firstLine="0"/>
              <w:rPr>
                <w:sz w:val="18"/>
                <w:szCs w:val="18"/>
              </w:rPr>
            </w:pPr>
            <w:r>
              <w:rPr>
                <w:rFonts w:hint="eastAsia"/>
                <w:sz w:val="18"/>
                <w:szCs w:val="18"/>
              </w:rPr>
              <w:t>与项目位置关系</w:t>
            </w:r>
          </w:p>
        </w:tc>
      </w:tr>
      <w:tr w:rsidR="0075791A" w14:paraId="450F8F6E" w14:textId="77777777">
        <w:trPr>
          <w:trHeight w:val="462"/>
        </w:trPr>
        <w:tc>
          <w:tcPr>
            <w:tcW w:w="434" w:type="dxa"/>
            <w:tcMar>
              <w:top w:w="0" w:type="dxa"/>
              <w:left w:w="0" w:type="dxa"/>
              <w:bottom w:w="0" w:type="dxa"/>
              <w:right w:w="0" w:type="dxa"/>
            </w:tcMar>
            <w:vAlign w:val="center"/>
          </w:tcPr>
          <w:p w14:paraId="220D8DE3"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1</w:t>
            </w:r>
          </w:p>
        </w:tc>
        <w:tc>
          <w:tcPr>
            <w:tcW w:w="1839" w:type="dxa"/>
            <w:tcMar>
              <w:top w:w="0" w:type="dxa"/>
              <w:left w:w="0" w:type="dxa"/>
              <w:bottom w:w="0" w:type="dxa"/>
              <w:right w:w="0" w:type="dxa"/>
            </w:tcMar>
            <w:vAlign w:val="center"/>
          </w:tcPr>
          <w:p w14:paraId="7D08FBE0"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三亚市海棠湾旅游休闲娱乐区南部取排水工程项目</w:t>
            </w:r>
          </w:p>
        </w:tc>
        <w:tc>
          <w:tcPr>
            <w:tcW w:w="1363" w:type="dxa"/>
            <w:tcMar>
              <w:top w:w="0" w:type="dxa"/>
              <w:left w:w="0" w:type="dxa"/>
              <w:bottom w:w="0" w:type="dxa"/>
              <w:right w:w="0" w:type="dxa"/>
            </w:tcMar>
            <w:vAlign w:val="center"/>
          </w:tcPr>
          <w:p w14:paraId="5CB3CC57"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三亚海昌梦幻不夜城发展有限公司</w:t>
            </w:r>
          </w:p>
        </w:tc>
        <w:tc>
          <w:tcPr>
            <w:tcW w:w="1120" w:type="dxa"/>
            <w:tcMar>
              <w:top w:w="0" w:type="dxa"/>
              <w:left w:w="0" w:type="dxa"/>
              <w:bottom w:w="0" w:type="dxa"/>
              <w:right w:w="0" w:type="dxa"/>
            </w:tcMar>
            <w:vAlign w:val="center"/>
          </w:tcPr>
          <w:p w14:paraId="78B30B21"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海底工程用海</w:t>
            </w:r>
          </w:p>
        </w:tc>
        <w:tc>
          <w:tcPr>
            <w:tcW w:w="1117" w:type="dxa"/>
            <w:tcMar>
              <w:top w:w="0" w:type="dxa"/>
              <w:left w:w="0" w:type="dxa"/>
              <w:bottom w:w="0" w:type="dxa"/>
              <w:right w:w="0" w:type="dxa"/>
            </w:tcMar>
            <w:vAlign w:val="center"/>
          </w:tcPr>
          <w:p w14:paraId="07BEF5EA"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海底电缆管道</w:t>
            </w:r>
          </w:p>
        </w:tc>
        <w:tc>
          <w:tcPr>
            <w:tcW w:w="887" w:type="dxa"/>
            <w:tcMar>
              <w:top w:w="0" w:type="dxa"/>
              <w:left w:w="0" w:type="dxa"/>
              <w:bottom w:w="0" w:type="dxa"/>
              <w:right w:w="0" w:type="dxa"/>
            </w:tcMar>
            <w:vAlign w:val="center"/>
          </w:tcPr>
          <w:p w14:paraId="43ECCE7A"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1.8586</w:t>
            </w:r>
          </w:p>
        </w:tc>
        <w:tc>
          <w:tcPr>
            <w:tcW w:w="889" w:type="dxa"/>
            <w:tcMar>
              <w:top w:w="0" w:type="dxa"/>
              <w:left w:w="0" w:type="dxa"/>
              <w:bottom w:w="0" w:type="dxa"/>
              <w:right w:w="0" w:type="dxa"/>
            </w:tcMar>
            <w:vAlign w:val="center"/>
          </w:tcPr>
          <w:p w14:paraId="6EB9E832" w14:textId="77777777" w:rsidR="0075791A" w:rsidRDefault="00FB2864">
            <w:pPr>
              <w:jc w:val="center"/>
              <w:rPr>
                <w:rFonts w:ascii="Times New Roman" w:eastAsia="宋体" w:hAnsi="Times New Roman"/>
                <w:snapToGrid/>
                <w:color w:val="auto"/>
                <w:lang w:eastAsia="zh-CN"/>
              </w:rPr>
            </w:pPr>
            <w:r>
              <w:rPr>
                <w:rFonts w:ascii="Times New Roman" w:eastAsia="宋体" w:hAnsi="Times New Roman" w:hint="eastAsia"/>
                <w:snapToGrid/>
                <w:color w:val="auto"/>
                <w:lang w:eastAsia="zh-CN"/>
              </w:rPr>
              <w:t>25</w:t>
            </w:r>
          </w:p>
        </w:tc>
        <w:tc>
          <w:tcPr>
            <w:tcW w:w="1633" w:type="dxa"/>
            <w:tcMar>
              <w:top w:w="0" w:type="dxa"/>
              <w:left w:w="0" w:type="dxa"/>
              <w:bottom w:w="0" w:type="dxa"/>
              <w:right w:w="0" w:type="dxa"/>
            </w:tcMar>
            <w:vAlign w:val="center"/>
          </w:tcPr>
          <w:p w14:paraId="6D0DCA1C" w14:textId="77777777" w:rsidR="0075791A" w:rsidRDefault="00FB2864">
            <w:pPr>
              <w:pStyle w:val="12"/>
              <w:spacing w:line="240" w:lineRule="auto"/>
              <w:ind w:firstLineChars="0" w:firstLine="0"/>
              <w:rPr>
                <w:rFonts w:ascii="Times New Roman" w:hAnsi="Times New Roman" w:cs="宋体"/>
                <w:b w:val="0"/>
                <w:bCs w:val="0"/>
                <w:kern w:val="0"/>
                <w:szCs w:val="21"/>
                <w:lang w:bidi="ar"/>
              </w:rPr>
            </w:pPr>
            <w:r>
              <w:rPr>
                <w:rFonts w:ascii="Times New Roman" w:hAnsi="Times New Roman" w:cs="宋体" w:hint="eastAsia"/>
                <w:b w:val="0"/>
                <w:bCs w:val="0"/>
                <w:kern w:val="0"/>
                <w:szCs w:val="21"/>
                <w:lang w:bidi="ar"/>
              </w:rPr>
              <w:t>东北部约</w:t>
            </w:r>
            <w:r>
              <w:rPr>
                <w:rFonts w:ascii="Times New Roman" w:hAnsi="Times New Roman" w:cs="宋体" w:hint="eastAsia"/>
                <w:b w:val="0"/>
                <w:bCs w:val="0"/>
                <w:kern w:val="0"/>
                <w:szCs w:val="21"/>
                <w:lang w:bidi="ar"/>
              </w:rPr>
              <w:t>5.3km</w:t>
            </w:r>
          </w:p>
        </w:tc>
      </w:tr>
      <w:tr w:rsidR="0075791A" w14:paraId="6EA5A86C" w14:textId="77777777">
        <w:trPr>
          <w:trHeight w:val="917"/>
        </w:trPr>
        <w:tc>
          <w:tcPr>
            <w:tcW w:w="434" w:type="dxa"/>
            <w:tcMar>
              <w:top w:w="0" w:type="dxa"/>
              <w:left w:w="0" w:type="dxa"/>
              <w:bottom w:w="0" w:type="dxa"/>
              <w:right w:w="0" w:type="dxa"/>
            </w:tcMar>
            <w:vAlign w:val="center"/>
          </w:tcPr>
          <w:p w14:paraId="00FE4129" w14:textId="77777777" w:rsidR="0075791A" w:rsidRDefault="00FB2864">
            <w:pPr>
              <w:widowControl/>
              <w:kinsoku/>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宋体" w:hint="eastAsia"/>
                <w:snapToGrid/>
                <w:color w:val="auto"/>
                <w:lang w:eastAsia="zh-CN" w:bidi="ar"/>
              </w:rPr>
              <w:t>2</w:t>
            </w:r>
          </w:p>
        </w:tc>
        <w:tc>
          <w:tcPr>
            <w:tcW w:w="1839" w:type="dxa"/>
            <w:tcMar>
              <w:top w:w="0" w:type="dxa"/>
              <w:left w:w="0" w:type="dxa"/>
              <w:bottom w:w="0" w:type="dxa"/>
              <w:right w:w="0" w:type="dxa"/>
            </w:tcMar>
            <w:vAlign w:val="center"/>
          </w:tcPr>
          <w:p w14:paraId="35167F56" w14:textId="77777777" w:rsidR="0075791A" w:rsidRDefault="00FB2864">
            <w:pPr>
              <w:widowControl/>
              <w:kinsoku/>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宋体" w:hint="eastAsia"/>
                <w:snapToGrid/>
                <w:color w:val="auto"/>
                <w:lang w:eastAsia="zh-CN" w:bidi="ar"/>
              </w:rPr>
              <w:t>蜈支洲岛旅游区基地码头工程项目</w:t>
            </w:r>
          </w:p>
        </w:tc>
        <w:tc>
          <w:tcPr>
            <w:tcW w:w="1363" w:type="dxa"/>
            <w:tcMar>
              <w:top w:w="0" w:type="dxa"/>
              <w:left w:w="0" w:type="dxa"/>
              <w:bottom w:w="0" w:type="dxa"/>
              <w:right w:w="0" w:type="dxa"/>
            </w:tcMar>
            <w:vAlign w:val="center"/>
          </w:tcPr>
          <w:p w14:paraId="3B1FDDFC" w14:textId="77777777" w:rsidR="0075791A" w:rsidRDefault="00FB2864">
            <w:pPr>
              <w:widowControl/>
              <w:kinsoku/>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宋体" w:hint="eastAsia"/>
                <w:snapToGrid/>
                <w:color w:val="auto"/>
                <w:lang w:eastAsia="zh-CN" w:bidi="ar"/>
              </w:rPr>
              <w:t>海南蜈支洲旅游开发股份有限公司</w:t>
            </w:r>
          </w:p>
        </w:tc>
        <w:tc>
          <w:tcPr>
            <w:tcW w:w="1120" w:type="dxa"/>
            <w:tcMar>
              <w:top w:w="0" w:type="dxa"/>
              <w:left w:w="0" w:type="dxa"/>
              <w:bottom w:w="0" w:type="dxa"/>
              <w:right w:w="0" w:type="dxa"/>
            </w:tcMar>
            <w:vAlign w:val="center"/>
          </w:tcPr>
          <w:p w14:paraId="5093E66C" w14:textId="77777777" w:rsidR="0075791A" w:rsidRDefault="00FB2864">
            <w:pPr>
              <w:widowControl/>
              <w:kinsoku/>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宋体" w:hint="eastAsia"/>
                <w:snapToGrid/>
                <w:color w:val="auto"/>
                <w:lang w:eastAsia="zh-CN" w:bidi="ar"/>
              </w:rPr>
              <w:t>旅游娱乐用海</w:t>
            </w:r>
          </w:p>
        </w:tc>
        <w:tc>
          <w:tcPr>
            <w:tcW w:w="1117" w:type="dxa"/>
            <w:tcMar>
              <w:top w:w="0" w:type="dxa"/>
              <w:left w:w="0" w:type="dxa"/>
              <w:bottom w:w="0" w:type="dxa"/>
              <w:right w:w="0" w:type="dxa"/>
            </w:tcMar>
            <w:vAlign w:val="center"/>
          </w:tcPr>
          <w:p w14:paraId="54FBA589" w14:textId="77777777" w:rsidR="0075791A" w:rsidRDefault="00FB2864">
            <w:pPr>
              <w:widowControl/>
              <w:kinsoku/>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宋体" w:hint="eastAsia"/>
                <w:snapToGrid/>
                <w:color w:val="auto"/>
                <w:lang w:eastAsia="zh-CN" w:bidi="ar"/>
              </w:rPr>
              <w:t>透水构筑物、港池、蓄水等</w:t>
            </w:r>
          </w:p>
        </w:tc>
        <w:tc>
          <w:tcPr>
            <w:tcW w:w="887" w:type="dxa"/>
            <w:tcMar>
              <w:top w:w="0" w:type="dxa"/>
              <w:left w:w="0" w:type="dxa"/>
              <w:bottom w:w="0" w:type="dxa"/>
              <w:right w:w="0" w:type="dxa"/>
            </w:tcMar>
            <w:vAlign w:val="center"/>
          </w:tcPr>
          <w:p w14:paraId="550A4C9D"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3.981</w:t>
            </w:r>
          </w:p>
        </w:tc>
        <w:tc>
          <w:tcPr>
            <w:tcW w:w="889" w:type="dxa"/>
            <w:tcMar>
              <w:top w:w="0" w:type="dxa"/>
              <w:left w:w="0" w:type="dxa"/>
              <w:bottom w:w="0" w:type="dxa"/>
              <w:right w:w="0" w:type="dxa"/>
            </w:tcMar>
            <w:vAlign w:val="center"/>
          </w:tcPr>
          <w:p w14:paraId="072A06B2"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5</w:t>
            </w:r>
          </w:p>
        </w:tc>
        <w:tc>
          <w:tcPr>
            <w:tcW w:w="1633" w:type="dxa"/>
            <w:tcMar>
              <w:top w:w="0" w:type="dxa"/>
              <w:left w:w="0" w:type="dxa"/>
              <w:bottom w:w="0" w:type="dxa"/>
              <w:right w:w="0" w:type="dxa"/>
            </w:tcMar>
            <w:vAlign w:val="center"/>
          </w:tcPr>
          <w:p w14:paraId="724F7E1A"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东北部约</w:t>
            </w:r>
            <w:r>
              <w:rPr>
                <w:rFonts w:ascii="Times New Roman" w:eastAsia="宋体" w:hAnsi="Times New Roman" w:cs="宋体" w:hint="eastAsia"/>
                <w:snapToGrid/>
                <w:color w:val="auto"/>
                <w:lang w:eastAsia="zh-CN" w:bidi="ar"/>
              </w:rPr>
              <w:t>1.6km</w:t>
            </w:r>
          </w:p>
        </w:tc>
      </w:tr>
      <w:tr w:rsidR="0075791A" w14:paraId="6AB40935" w14:textId="77777777">
        <w:trPr>
          <w:trHeight w:val="615"/>
        </w:trPr>
        <w:tc>
          <w:tcPr>
            <w:tcW w:w="434" w:type="dxa"/>
            <w:tcMar>
              <w:top w:w="0" w:type="dxa"/>
              <w:left w:w="0" w:type="dxa"/>
              <w:bottom w:w="0" w:type="dxa"/>
              <w:right w:w="0" w:type="dxa"/>
            </w:tcMar>
            <w:vAlign w:val="center"/>
          </w:tcPr>
          <w:p w14:paraId="643B3689" w14:textId="77777777" w:rsidR="0075791A" w:rsidRDefault="00FB2864">
            <w:pPr>
              <w:widowControl/>
              <w:kinsoku/>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宋体" w:hint="eastAsia"/>
                <w:snapToGrid/>
                <w:color w:val="auto"/>
                <w:lang w:eastAsia="zh-CN" w:bidi="ar"/>
              </w:rPr>
              <w:t>3</w:t>
            </w:r>
          </w:p>
        </w:tc>
        <w:tc>
          <w:tcPr>
            <w:tcW w:w="1839" w:type="dxa"/>
            <w:tcMar>
              <w:top w:w="0" w:type="dxa"/>
              <w:left w:w="0" w:type="dxa"/>
              <w:bottom w:w="0" w:type="dxa"/>
              <w:right w:w="0" w:type="dxa"/>
            </w:tcMar>
            <w:vAlign w:val="center"/>
          </w:tcPr>
          <w:p w14:paraId="4EA816FC" w14:textId="77777777" w:rsidR="0075791A" w:rsidRDefault="00FB2864">
            <w:pPr>
              <w:widowControl/>
              <w:kinsoku/>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宋体" w:hint="eastAsia"/>
                <w:snapToGrid/>
                <w:color w:val="auto"/>
                <w:lang w:eastAsia="zh-CN" w:bidi="ar"/>
              </w:rPr>
              <w:t>三亚后海湾旅游娱乐用海项目</w:t>
            </w:r>
          </w:p>
        </w:tc>
        <w:tc>
          <w:tcPr>
            <w:tcW w:w="1363" w:type="dxa"/>
            <w:tcMar>
              <w:top w:w="0" w:type="dxa"/>
              <w:left w:w="0" w:type="dxa"/>
              <w:bottom w:w="0" w:type="dxa"/>
              <w:right w:w="0" w:type="dxa"/>
            </w:tcMar>
            <w:vAlign w:val="center"/>
          </w:tcPr>
          <w:p w14:paraId="2186ACFF" w14:textId="77777777" w:rsidR="0075791A" w:rsidRDefault="00FB2864">
            <w:pPr>
              <w:widowControl/>
              <w:kinsoku/>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宋体" w:hint="eastAsia"/>
                <w:snapToGrid/>
                <w:color w:val="auto"/>
                <w:lang w:eastAsia="zh-CN" w:bidi="ar"/>
              </w:rPr>
              <w:t>三亚森旅投资有限公司</w:t>
            </w:r>
          </w:p>
        </w:tc>
        <w:tc>
          <w:tcPr>
            <w:tcW w:w="1120" w:type="dxa"/>
            <w:tcMar>
              <w:top w:w="0" w:type="dxa"/>
              <w:left w:w="0" w:type="dxa"/>
              <w:bottom w:w="0" w:type="dxa"/>
              <w:right w:w="0" w:type="dxa"/>
            </w:tcMar>
            <w:vAlign w:val="center"/>
          </w:tcPr>
          <w:p w14:paraId="46A7783F" w14:textId="77777777" w:rsidR="0075791A" w:rsidRDefault="00FB2864">
            <w:pPr>
              <w:widowControl/>
              <w:kinsoku/>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宋体" w:hint="eastAsia"/>
                <w:snapToGrid/>
                <w:color w:val="auto"/>
                <w:lang w:eastAsia="zh-CN" w:bidi="ar"/>
              </w:rPr>
              <w:t>旅游娱乐用海</w:t>
            </w:r>
          </w:p>
        </w:tc>
        <w:tc>
          <w:tcPr>
            <w:tcW w:w="1117" w:type="dxa"/>
            <w:tcMar>
              <w:top w:w="0" w:type="dxa"/>
              <w:left w:w="0" w:type="dxa"/>
              <w:bottom w:w="0" w:type="dxa"/>
              <w:right w:w="0" w:type="dxa"/>
            </w:tcMar>
            <w:vAlign w:val="center"/>
          </w:tcPr>
          <w:p w14:paraId="21BCD8EA" w14:textId="77777777" w:rsidR="0075791A" w:rsidRDefault="00FB2864">
            <w:pPr>
              <w:widowControl/>
              <w:kinsoku/>
              <w:adjustRightInd/>
              <w:snapToGrid/>
              <w:jc w:val="center"/>
              <w:textAlignment w:val="center"/>
              <w:rPr>
                <w:rFonts w:ascii="Times New Roman" w:eastAsia="宋体" w:hAnsi="Times New Roman" w:cs="Times New Roman"/>
                <w:snapToGrid/>
                <w:color w:val="auto"/>
                <w:kern w:val="2"/>
                <w:lang w:eastAsia="zh-CN"/>
              </w:rPr>
            </w:pPr>
            <w:r>
              <w:rPr>
                <w:rFonts w:ascii="Times New Roman" w:eastAsia="宋体" w:hAnsi="Times New Roman" w:cs="宋体" w:hint="eastAsia"/>
                <w:snapToGrid/>
                <w:color w:val="auto"/>
                <w:lang w:eastAsia="zh-CN" w:bidi="ar"/>
              </w:rPr>
              <w:t>游乐场、透水构筑物、浴场</w:t>
            </w:r>
          </w:p>
        </w:tc>
        <w:tc>
          <w:tcPr>
            <w:tcW w:w="887" w:type="dxa"/>
            <w:tcMar>
              <w:top w:w="0" w:type="dxa"/>
              <w:left w:w="0" w:type="dxa"/>
              <w:bottom w:w="0" w:type="dxa"/>
              <w:right w:w="0" w:type="dxa"/>
            </w:tcMar>
            <w:vAlign w:val="center"/>
          </w:tcPr>
          <w:p w14:paraId="64DA3C2F"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49.7238</w:t>
            </w:r>
          </w:p>
        </w:tc>
        <w:tc>
          <w:tcPr>
            <w:tcW w:w="889" w:type="dxa"/>
            <w:tcMar>
              <w:top w:w="0" w:type="dxa"/>
              <w:left w:w="0" w:type="dxa"/>
              <w:bottom w:w="0" w:type="dxa"/>
              <w:right w:w="0" w:type="dxa"/>
            </w:tcMar>
            <w:vAlign w:val="center"/>
          </w:tcPr>
          <w:p w14:paraId="2343B33D"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25</w:t>
            </w:r>
          </w:p>
        </w:tc>
        <w:tc>
          <w:tcPr>
            <w:tcW w:w="1633" w:type="dxa"/>
            <w:tcMar>
              <w:top w:w="0" w:type="dxa"/>
              <w:left w:w="0" w:type="dxa"/>
              <w:bottom w:w="0" w:type="dxa"/>
              <w:right w:w="0" w:type="dxa"/>
            </w:tcMar>
            <w:vAlign w:val="center"/>
          </w:tcPr>
          <w:p w14:paraId="773FEEAB"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东部约</w:t>
            </w:r>
            <w:r>
              <w:rPr>
                <w:rFonts w:ascii="Times New Roman" w:eastAsia="宋体" w:hAnsi="Times New Roman" w:cs="宋体" w:hint="eastAsia"/>
                <w:snapToGrid/>
                <w:color w:val="auto"/>
                <w:lang w:eastAsia="zh-CN" w:bidi="ar"/>
              </w:rPr>
              <w:t>0.6km</w:t>
            </w:r>
          </w:p>
        </w:tc>
      </w:tr>
      <w:tr w:rsidR="0075791A" w14:paraId="294ABEA8" w14:textId="77777777">
        <w:trPr>
          <w:trHeight w:val="615"/>
        </w:trPr>
        <w:tc>
          <w:tcPr>
            <w:tcW w:w="434" w:type="dxa"/>
            <w:tcMar>
              <w:top w:w="0" w:type="dxa"/>
              <w:left w:w="0" w:type="dxa"/>
              <w:bottom w:w="0" w:type="dxa"/>
              <w:right w:w="0" w:type="dxa"/>
            </w:tcMar>
            <w:vAlign w:val="center"/>
          </w:tcPr>
          <w:p w14:paraId="17D23676"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bookmarkStart w:id="272" w:name="_Toc2269"/>
            <w:bookmarkStart w:id="273" w:name="_Toc10297"/>
            <w:r>
              <w:rPr>
                <w:rFonts w:ascii="Times New Roman" w:eastAsia="宋体" w:hAnsi="Times New Roman" w:cs="宋体" w:hint="eastAsia"/>
                <w:snapToGrid/>
                <w:color w:val="auto"/>
                <w:lang w:eastAsia="zh-CN" w:bidi="ar"/>
              </w:rPr>
              <w:t>4</w:t>
            </w:r>
          </w:p>
        </w:tc>
        <w:tc>
          <w:tcPr>
            <w:tcW w:w="1839" w:type="dxa"/>
            <w:tcMar>
              <w:top w:w="0" w:type="dxa"/>
              <w:left w:w="0" w:type="dxa"/>
              <w:bottom w:w="0" w:type="dxa"/>
              <w:right w:w="0" w:type="dxa"/>
            </w:tcMar>
            <w:vAlign w:val="center"/>
          </w:tcPr>
          <w:p w14:paraId="767FF82C"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三亚铁炉港红树林湿地保护修复项目（一期）用海项目</w:t>
            </w:r>
          </w:p>
        </w:tc>
        <w:tc>
          <w:tcPr>
            <w:tcW w:w="1363" w:type="dxa"/>
            <w:tcMar>
              <w:top w:w="0" w:type="dxa"/>
              <w:left w:w="0" w:type="dxa"/>
              <w:bottom w:w="0" w:type="dxa"/>
              <w:right w:w="0" w:type="dxa"/>
            </w:tcMar>
            <w:vAlign w:val="center"/>
          </w:tcPr>
          <w:p w14:paraId="2660AFBD"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三亚市林业局</w:t>
            </w:r>
          </w:p>
        </w:tc>
        <w:tc>
          <w:tcPr>
            <w:tcW w:w="1120" w:type="dxa"/>
            <w:tcMar>
              <w:top w:w="0" w:type="dxa"/>
              <w:left w:w="0" w:type="dxa"/>
              <w:bottom w:w="0" w:type="dxa"/>
              <w:right w:w="0" w:type="dxa"/>
            </w:tcMar>
            <w:vAlign w:val="center"/>
          </w:tcPr>
          <w:p w14:paraId="6642B3F5"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snapToGrid/>
                <w:color w:val="auto"/>
                <w:lang w:eastAsia="zh-CN" w:bidi="ar"/>
              </w:rPr>
              <w:t>海洋保护修复及海岸防护工程用海</w:t>
            </w:r>
          </w:p>
        </w:tc>
        <w:tc>
          <w:tcPr>
            <w:tcW w:w="1117" w:type="dxa"/>
            <w:tcMar>
              <w:top w:w="0" w:type="dxa"/>
              <w:left w:w="0" w:type="dxa"/>
              <w:bottom w:w="0" w:type="dxa"/>
              <w:right w:w="0" w:type="dxa"/>
            </w:tcMar>
            <w:vAlign w:val="center"/>
          </w:tcPr>
          <w:p w14:paraId="27FEB717"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透水构筑物、专用航道、锚地及其他开放式</w:t>
            </w:r>
          </w:p>
        </w:tc>
        <w:tc>
          <w:tcPr>
            <w:tcW w:w="887" w:type="dxa"/>
            <w:tcMar>
              <w:top w:w="0" w:type="dxa"/>
              <w:left w:w="0" w:type="dxa"/>
              <w:bottom w:w="0" w:type="dxa"/>
              <w:right w:w="0" w:type="dxa"/>
            </w:tcMar>
            <w:vAlign w:val="center"/>
          </w:tcPr>
          <w:p w14:paraId="71C2B536"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10.4697</w:t>
            </w:r>
            <w:r>
              <w:rPr>
                <w:rFonts w:ascii="Times New Roman" w:eastAsia="宋体" w:hAnsi="Times New Roman" w:cs="宋体" w:hint="eastAsia"/>
                <w:snapToGrid/>
                <w:color w:val="auto"/>
                <w:lang w:eastAsia="zh-CN" w:bidi="ar"/>
              </w:rPr>
              <w:t>（含疏浚临时用海</w:t>
            </w:r>
            <w:r>
              <w:rPr>
                <w:rFonts w:ascii="Times New Roman" w:eastAsia="宋体" w:hAnsi="Times New Roman" w:cs="宋体" w:hint="eastAsia"/>
                <w:snapToGrid/>
                <w:color w:val="auto"/>
                <w:lang w:eastAsia="zh-CN" w:bidi="ar"/>
              </w:rPr>
              <w:t>4.188</w:t>
            </w:r>
            <w:r>
              <w:rPr>
                <w:rFonts w:ascii="Times New Roman" w:eastAsia="宋体" w:hAnsi="Times New Roman" w:cs="宋体" w:hint="eastAsia"/>
                <w:snapToGrid/>
                <w:color w:val="auto"/>
                <w:lang w:eastAsia="zh-CN" w:bidi="ar"/>
              </w:rPr>
              <w:t>）</w:t>
            </w:r>
          </w:p>
        </w:tc>
        <w:tc>
          <w:tcPr>
            <w:tcW w:w="889" w:type="dxa"/>
            <w:tcMar>
              <w:top w:w="0" w:type="dxa"/>
              <w:left w:w="0" w:type="dxa"/>
              <w:bottom w:w="0" w:type="dxa"/>
              <w:right w:w="0" w:type="dxa"/>
            </w:tcMar>
            <w:vAlign w:val="center"/>
          </w:tcPr>
          <w:p w14:paraId="55AEB9E0"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40</w:t>
            </w:r>
            <w:r>
              <w:rPr>
                <w:rFonts w:ascii="Times New Roman" w:eastAsia="宋体" w:hAnsi="Times New Roman" w:cs="宋体" w:hint="eastAsia"/>
                <w:snapToGrid/>
                <w:color w:val="auto"/>
                <w:lang w:eastAsia="zh-CN" w:bidi="ar"/>
              </w:rPr>
              <w:t>（临时用海</w:t>
            </w:r>
            <w:r>
              <w:rPr>
                <w:rFonts w:ascii="Times New Roman" w:eastAsia="宋体" w:hAnsi="Times New Roman" w:cs="宋体" w:hint="eastAsia"/>
                <w:snapToGrid/>
                <w:color w:val="auto"/>
                <w:lang w:eastAsia="zh-CN" w:bidi="ar"/>
              </w:rPr>
              <w:t>3</w:t>
            </w:r>
            <w:r>
              <w:rPr>
                <w:rFonts w:ascii="Times New Roman" w:eastAsia="宋体" w:hAnsi="Times New Roman" w:cs="宋体" w:hint="eastAsia"/>
                <w:snapToGrid/>
                <w:color w:val="auto"/>
                <w:lang w:eastAsia="zh-CN" w:bidi="ar"/>
              </w:rPr>
              <w:t>个月）</w:t>
            </w:r>
          </w:p>
        </w:tc>
        <w:tc>
          <w:tcPr>
            <w:tcW w:w="1633" w:type="dxa"/>
            <w:tcMar>
              <w:top w:w="0" w:type="dxa"/>
              <w:left w:w="0" w:type="dxa"/>
              <w:bottom w:w="0" w:type="dxa"/>
              <w:right w:w="0" w:type="dxa"/>
            </w:tcMar>
            <w:vAlign w:val="center"/>
          </w:tcPr>
          <w:p w14:paraId="2B1D9786"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紧邻</w:t>
            </w:r>
          </w:p>
        </w:tc>
      </w:tr>
      <w:tr w:rsidR="0075791A" w14:paraId="21A82497" w14:textId="77777777">
        <w:trPr>
          <w:trHeight w:val="615"/>
        </w:trPr>
        <w:tc>
          <w:tcPr>
            <w:tcW w:w="434" w:type="dxa"/>
            <w:tcMar>
              <w:top w:w="0" w:type="dxa"/>
              <w:left w:w="0" w:type="dxa"/>
              <w:bottom w:w="0" w:type="dxa"/>
              <w:right w:w="0" w:type="dxa"/>
            </w:tcMar>
            <w:vAlign w:val="center"/>
          </w:tcPr>
          <w:p w14:paraId="3380F7BE"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5</w:t>
            </w:r>
          </w:p>
        </w:tc>
        <w:tc>
          <w:tcPr>
            <w:tcW w:w="1839" w:type="dxa"/>
            <w:tcMar>
              <w:top w:w="0" w:type="dxa"/>
              <w:left w:w="0" w:type="dxa"/>
              <w:bottom w:w="0" w:type="dxa"/>
              <w:right w:w="0" w:type="dxa"/>
            </w:tcMar>
            <w:vAlign w:val="center"/>
          </w:tcPr>
          <w:p w14:paraId="75ACFD27"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三亚铁炉港红树林湿地保护修复项目（二期）用海项目</w:t>
            </w:r>
          </w:p>
        </w:tc>
        <w:tc>
          <w:tcPr>
            <w:tcW w:w="1363" w:type="dxa"/>
            <w:tcMar>
              <w:top w:w="0" w:type="dxa"/>
              <w:left w:w="0" w:type="dxa"/>
              <w:bottom w:w="0" w:type="dxa"/>
              <w:right w:w="0" w:type="dxa"/>
            </w:tcMar>
            <w:vAlign w:val="center"/>
          </w:tcPr>
          <w:p w14:paraId="0878A5CD"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三亚市林业局</w:t>
            </w:r>
          </w:p>
        </w:tc>
        <w:tc>
          <w:tcPr>
            <w:tcW w:w="1120" w:type="dxa"/>
            <w:tcMar>
              <w:top w:w="0" w:type="dxa"/>
              <w:left w:w="0" w:type="dxa"/>
              <w:bottom w:w="0" w:type="dxa"/>
              <w:right w:w="0" w:type="dxa"/>
            </w:tcMar>
            <w:vAlign w:val="center"/>
          </w:tcPr>
          <w:p w14:paraId="177D5ADA"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snapToGrid/>
                <w:color w:val="auto"/>
                <w:lang w:eastAsia="zh-CN" w:bidi="ar"/>
              </w:rPr>
              <w:t>海洋保护修复及海岸防护工程用海</w:t>
            </w:r>
          </w:p>
        </w:tc>
        <w:tc>
          <w:tcPr>
            <w:tcW w:w="1117" w:type="dxa"/>
            <w:tcMar>
              <w:top w:w="0" w:type="dxa"/>
              <w:left w:w="0" w:type="dxa"/>
              <w:bottom w:w="0" w:type="dxa"/>
              <w:right w:w="0" w:type="dxa"/>
            </w:tcMar>
            <w:vAlign w:val="center"/>
          </w:tcPr>
          <w:p w14:paraId="3F132B92"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透水构筑物</w:t>
            </w:r>
          </w:p>
        </w:tc>
        <w:tc>
          <w:tcPr>
            <w:tcW w:w="887" w:type="dxa"/>
            <w:tcMar>
              <w:top w:w="0" w:type="dxa"/>
              <w:left w:w="0" w:type="dxa"/>
              <w:bottom w:w="0" w:type="dxa"/>
              <w:right w:w="0" w:type="dxa"/>
            </w:tcMar>
            <w:vAlign w:val="center"/>
          </w:tcPr>
          <w:p w14:paraId="5D7B59BA"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6.6357</w:t>
            </w:r>
          </w:p>
        </w:tc>
        <w:tc>
          <w:tcPr>
            <w:tcW w:w="889" w:type="dxa"/>
            <w:tcMar>
              <w:top w:w="0" w:type="dxa"/>
              <w:left w:w="0" w:type="dxa"/>
              <w:bottom w:w="0" w:type="dxa"/>
              <w:right w:w="0" w:type="dxa"/>
            </w:tcMar>
            <w:vAlign w:val="center"/>
          </w:tcPr>
          <w:p w14:paraId="602E1EAB"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40</w:t>
            </w:r>
          </w:p>
        </w:tc>
        <w:tc>
          <w:tcPr>
            <w:tcW w:w="1633" w:type="dxa"/>
            <w:tcMar>
              <w:top w:w="0" w:type="dxa"/>
              <w:left w:w="0" w:type="dxa"/>
              <w:bottom w:w="0" w:type="dxa"/>
              <w:right w:w="0" w:type="dxa"/>
            </w:tcMar>
            <w:vAlign w:val="center"/>
          </w:tcPr>
          <w:p w14:paraId="645B67C0"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紧邻</w:t>
            </w:r>
          </w:p>
        </w:tc>
      </w:tr>
      <w:tr w:rsidR="0075791A" w14:paraId="066CA195" w14:textId="77777777">
        <w:trPr>
          <w:trHeight w:val="615"/>
        </w:trPr>
        <w:tc>
          <w:tcPr>
            <w:tcW w:w="434" w:type="dxa"/>
            <w:tcMar>
              <w:top w:w="0" w:type="dxa"/>
              <w:left w:w="0" w:type="dxa"/>
              <w:bottom w:w="0" w:type="dxa"/>
              <w:right w:w="0" w:type="dxa"/>
            </w:tcMar>
            <w:vAlign w:val="center"/>
          </w:tcPr>
          <w:p w14:paraId="4A9087A7"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6</w:t>
            </w:r>
          </w:p>
        </w:tc>
        <w:tc>
          <w:tcPr>
            <w:tcW w:w="1839" w:type="dxa"/>
            <w:tcMar>
              <w:top w:w="0" w:type="dxa"/>
              <w:left w:w="0" w:type="dxa"/>
              <w:bottom w:w="0" w:type="dxa"/>
              <w:right w:w="0" w:type="dxa"/>
            </w:tcMar>
            <w:vAlign w:val="center"/>
          </w:tcPr>
          <w:p w14:paraId="25B0E07F"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三亚铁炉港红树林湿地保护修复项目（海草生态修复）用海项目</w:t>
            </w:r>
          </w:p>
        </w:tc>
        <w:tc>
          <w:tcPr>
            <w:tcW w:w="1363" w:type="dxa"/>
            <w:tcMar>
              <w:top w:w="0" w:type="dxa"/>
              <w:left w:w="0" w:type="dxa"/>
              <w:bottom w:w="0" w:type="dxa"/>
              <w:right w:w="0" w:type="dxa"/>
            </w:tcMar>
            <w:vAlign w:val="center"/>
          </w:tcPr>
          <w:p w14:paraId="0DA11EEA"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三亚市林业局</w:t>
            </w:r>
          </w:p>
        </w:tc>
        <w:tc>
          <w:tcPr>
            <w:tcW w:w="1120" w:type="dxa"/>
            <w:tcMar>
              <w:top w:w="0" w:type="dxa"/>
              <w:left w:w="0" w:type="dxa"/>
              <w:bottom w:w="0" w:type="dxa"/>
              <w:right w:w="0" w:type="dxa"/>
            </w:tcMar>
            <w:vAlign w:val="center"/>
          </w:tcPr>
          <w:p w14:paraId="792BA203"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snapToGrid/>
                <w:color w:val="auto"/>
                <w:lang w:eastAsia="zh-CN" w:bidi="ar"/>
              </w:rPr>
              <w:t>海洋保护修复及海岸防护工程用海</w:t>
            </w:r>
          </w:p>
        </w:tc>
        <w:tc>
          <w:tcPr>
            <w:tcW w:w="1117" w:type="dxa"/>
            <w:tcMar>
              <w:top w:w="0" w:type="dxa"/>
              <w:left w:w="0" w:type="dxa"/>
              <w:bottom w:w="0" w:type="dxa"/>
              <w:right w:w="0" w:type="dxa"/>
            </w:tcMar>
            <w:vAlign w:val="center"/>
          </w:tcPr>
          <w:p w14:paraId="19F35756"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种植用海</w:t>
            </w:r>
          </w:p>
        </w:tc>
        <w:tc>
          <w:tcPr>
            <w:tcW w:w="887" w:type="dxa"/>
            <w:tcMar>
              <w:top w:w="0" w:type="dxa"/>
              <w:left w:w="0" w:type="dxa"/>
              <w:bottom w:w="0" w:type="dxa"/>
              <w:right w:w="0" w:type="dxa"/>
            </w:tcMar>
            <w:vAlign w:val="center"/>
          </w:tcPr>
          <w:p w14:paraId="276A36AA"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35.6769</w:t>
            </w:r>
          </w:p>
        </w:tc>
        <w:tc>
          <w:tcPr>
            <w:tcW w:w="889" w:type="dxa"/>
            <w:tcMar>
              <w:top w:w="0" w:type="dxa"/>
              <w:left w:w="0" w:type="dxa"/>
              <w:bottom w:w="0" w:type="dxa"/>
              <w:right w:w="0" w:type="dxa"/>
            </w:tcMar>
            <w:vAlign w:val="center"/>
          </w:tcPr>
          <w:p w14:paraId="30BFE8FB"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5</w:t>
            </w:r>
          </w:p>
        </w:tc>
        <w:tc>
          <w:tcPr>
            <w:tcW w:w="1633" w:type="dxa"/>
            <w:tcMar>
              <w:top w:w="0" w:type="dxa"/>
              <w:left w:w="0" w:type="dxa"/>
              <w:bottom w:w="0" w:type="dxa"/>
              <w:right w:w="0" w:type="dxa"/>
            </w:tcMar>
            <w:vAlign w:val="center"/>
          </w:tcPr>
          <w:p w14:paraId="4D59BB20" w14:textId="77777777" w:rsidR="0075791A" w:rsidRDefault="00FB2864">
            <w:pPr>
              <w:widowControl/>
              <w:kinsoku/>
              <w:adjustRightInd/>
              <w:snapToGrid/>
              <w:jc w:val="center"/>
              <w:textAlignment w:val="center"/>
              <w:rPr>
                <w:rFonts w:ascii="Times New Roman" w:eastAsia="宋体" w:hAnsi="Times New Roman" w:cs="宋体"/>
                <w:snapToGrid/>
                <w:color w:val="auto"/>
                <w:lang w:eastAsia="zh-CN" w:bidi="ar"/>
              </w:rPr>
            </w:pPr>
            <w:r>
              <w:rPr>
                <w:rFonts w:ascii="Times New Roman" w:eastAsia="宋体" w:hAnsi="Times New Roman" w:cs="宋体" w:hint="eastAsia"/>
                <w:snapToGrid/>
                <w:color w:val="auto"/>
                <w:lang w:eastAsia="zh-CN" w:bidi="ar"/>
              </w:rPr>
              <w:t>南部约</w:t>
            </w:r>
            <w:r>
              <w:rPr>
                <w:rFonts w:ascii="Times New Roman" w:eastAsia="宋体" w:hAnsi="Times New Roman" w:cs="宋体" w:hint="eastAsia"/>
                <w:snapToGrid/>
                <w:color w:val="auto"/>
                <w:lang w:eastAsia="zh-CN" w:bidi="ar"/>
              </w:rPr>
              <w:t>1.4km</w:t>
            </w:r>
          </w:p>
        </w:tc>
      </w:tr>
    </w:tbl>
    <w:p w14:paraId="107F7446" w14:textId="77777777" w:rsidR="0075791A" w:rsidRDefault="0075791A">
      <w:pPr>
        <w:rPr>
          <w:color w:val="auto"/>
        </w:rPr>
      </w:pPr>
      <w:bookmarkStart w:id="274" w:name="bookmark42"/>
      <w:bookmarkEnd w:id="274"/>
    </w:p>
    <w:p w14:paraId="049C5C2D"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275" w:name="_Toc2101"/>
      <w:r>
        <w:rPr>
          <w:rFonts w:ascii="Times New Roman" w:eastAsia="宋体" w:hAnsi="Times New Roman" w:cs="Times New Roman" w:hint="eastAsia"/>
          <w:b/>
          <w:bCs/>
          <w:color w:val="auto"/>
          <w:spacing w:val="-6"/>
          <w:sz w:val="30"/>
          <w:szCs w:val="30"/>
          <w:lang w:eastAsia="zh-CN"/>
        </w:rPr>
        <w:t>5</w:t>
      </w:r>
      <w:r>
        <w:rPr>
          <w:rFonts w:ascii="Times New Roman" w:eastAsia="Times New Roman" w:hAnsi="Times New Roman" w:cs="Times New Roman"/>
          <w:b/>
          <w:bCs/>
          <w:color w:val="auto"/>
          <w:spacing w:val="-6"/>
          <w:sz w:val="30"/>
          <w:szCs w:val="30"/>
          <w:lang w:eastAsia="zh-CN"/>
        </w:rPr>
        <w:t>.2项目用海对海域开发活动的影响</w:t>
      </w:r>
      <w:bookmarkEnd w:id="272"/>
      <w:bookmarkEnd w:id="273"/>
      <w:bookmarkEnd w:id="275"/>
    </w:p>
    <w:p w14:paraId="7D88ED68"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根据项目用海资源生态影响分析内容，项目用海对周边海域开发活动的影响一是项目施工产生悬浮泥沙对用海活动区的海水水质的影响；</w:t>
      </w:r>
      <w:r>
        <w:rPr>
          <w:rFonts w:ascii="Times New Roman" w:eastAsia="宋体" w:hAnsi="Times New Roman" w:cs="宋体" w:hint="eastAsia"/>
          <w:color w:val="auto"/>
          <w:spacing w:val="-2"/>
          <w:sz w:val="24"/>
          <w:szCs w:val="24"/>
          <w:lang w:eastAsia="zh-CN"/>
        </w:rPr>
        <w:t>二是</w:t>
      </w:r>
      <w:r>
        <w:rPr>
          <w:rFonts w:ascii="Times New Roman" w:eastAsia="宋体" w:hAnsi="Times New Roman" w:cs="宋体"/>
          <w:color w:val="auto"/>
          <w:spacing w:val="-2"/>
          <w:sz w:val="24"/>
          <w:szCs w:val="24"/>
          <w:lang w:eastAsia="zh-CN"/>
        </w:rPr>
        <w:t>项目用海对项目</w:t>
      </w:r>
      <w:r>
        <w:rPr>
          <w:rFonts w:ascii="Times New Roman" w:eastAsia="宋体" w:hAnsi="Times New Roman" w:cs="宋体" w:hint="eastAsia"/>
          <w:color w:val="auto"/>
          <w:spacing w:val="-2"/>
          <w:sz w:val="24"/>
          <w:szCs w:val="24"/>
          <w:lang w:eastAsia="zh-CN"/>
        </w:rPr>
        <w:t>附近海域通航安全</w:t>
      </w:r>
      <w:r>
        <w:rPr>
          <w:rFonts w:ascii="Times New Roman" w:eastAsia="宋体" w:hAnsi="Times New Roman" w:cs="宋体"/>
          <w:color w:val="auto"/>
          <w:spacing w:val="-2"/>
          <w:sz w:val="24"/>
          <w:szCs w:val="24"/>
          <w:lang w:eastAsia="zh-CN"/>
        </w:rPr>
        <w:t>的影响。</w:t>
      </w:r>
    </w:p>
    <w:p w14:paraId="09089E6E"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项目论证范围内海域开发利用活动较</w:t>
      </w:r>
      <w:r>
        <w:rPr>
          <w:rFonts w:ascii="Times New Roman" w:eastAsia="宋体" w:hAnsi="Times New Roman" w:cs="宋体" w:hint="eastAsia"/>
          <w:color w:val="auto"/>
          <w:spacing w:val="-2"/>
          <w:sz w:val="24"/>
          <w:szCs w:val="24"/>
          <w:lang w:eastAsia="zh-CN"/>
        </w:rPr>
        <w:t>多</w:t>
      </w:r>
      <w:r>
        <w:rPr>
          <w:rFonts w:ascii="Times New Roman" w:eastAsia="宋体" w:hAnsi="Times New Roman" w:cs="宋体"/>
          <w:color w:val="auto"/>
          <w:spacing w:val="-2"/>
          <w:sz w:val="24"/>
          <w:szCs w:val="24"/>
          <w:lang w:eastAsia="zh-CN"/>
        </w:rPr>
        <w:t>，主要包括</w:t>
      </w:r>
      <w:r>
        <w:rPr>
          <w:rFonts w:ascii="Times New Roman" w:hAnsi="Times New Roman" w:cs="宋体"/>
          <w:color w:val="auto"/>
          <w:spacing w:val="-2"/>
          <w:sz w:val="24"/>
          <w:szCs w:val="24"/>
          <w:lang w:eastAsia="zh-CN"/>
        </w:rPr>
        <w:t>渔业用海、</w:t>
      </w:r>
      <w:r>
        <w:rPr>
          <w:rFonts w:ascii="Times New Roman" w:hAnsi="Times New Roman" w:cs="宋体" w:hint="eastAsia"/>
          <w:color w:val="auto"/>
          <w:spacing w:val="-2"/>
          <w:sz w:val="24"/>
          <w:szCs w:val="24"/>
          <w:lang w:eastAsia="zh-CN"/>
        </w:rPr>
        <w:t>游憩</w:t>
      </w:r>
      <w:r>
        <w:rPr>
          <w:rFonts w:ascii="Times New Roman" w:hAnsi="Times New Roman" w:cs="宋体"/>
          <w:color w:val="auto"/>
          <w:spacing w:val="-2"/>
          <w:sz w:val="24"/>
          <w:szCs w:val="24"/>
          <w:lang w:eastAsia="zh-CN"/>
        </w:rPr>
        <w:t>用海、</w:t>
      </w:r>
      <w:r>
        <w:rPr>
          <w:rFonts w:ascii="Times New Roman" w:hAnsi="Times New Roman" w:cs="宋体" w:hint="eastAsia"/>
          <w:color w:val="auto"/>
          <w:spacing w:val="-2"/>
          <w:sz w:val="24"/>
          <w:szCs w:val="24"/>
          <w:lang w:eastAsia="zh-CN"/>
        </w:rPr>
        <w:t>工矿通信用海、特殊用海</w:t>
      </w:r>
      <w:r>
        <w:rPr>
          <w:rFonts w:ascii="Times New Roman" w:hAnsi="Times New Roman" w:cs="宋体"/>
          <w:color w:val="auto"/>
          <w:spacing w:val="-2"/>
          <w:sz w:val="24"/>
          <w:szCs w:val="24"/>
          <w:lang w:eastAsia="zh-CN"/>
        </w:rPr>
        <w:t>等</w:t>
      </w:r>
      <w:r>
        <w:rPr>
          <w:rFonts w:ascii="Times New Roman" w:eastAsia="宋体" w:hAnsi="Times New Roman" w:cs="宋体"/>
          <w:color w:val="auto"/>
          <w:spacing w:val="-2"/>
          <w:sz w:val="24"/>
          <w:szCs w:val="24"/>
          <w:lang w:eastAsia="zh-CN"/>
        </w:rPr>
        <w:t>，根据项目用海资源生态影响和施工工艺等分析，并结合项目周边海域开发利用现状，绘制施工期悬沙扩散范围与开发利用现状的叠置分析图，如图</w:t>
      </w:r>
      <w:r>
        <w:rPr>
          <w:rFonts w:ascii="Times New Roman" w:eastAsia="宋体" w:hAnsi="Times New Roman" w:cs="Times New Roman" w:hint="eastAsia"/>
          <w:color w:val="auto"/>
          <w:spacing w:val="-2"/>
          <w:sz w:val="24"/>
          <w:szCs w:val="24"/>
          <w:lang w:eastAsia="zh-CN"/>
        </w:rPr>
        <w:t>5</w:t>
      </w:r>
      <w:r>
        <w:rPr>
          <w:rFonts w:ascii="Times New Roman" w:eastAsia="Times New Roman" w:hAnsi="Times New Roman" w:cs="Times New Roman"/>
          <w:color w:val="auto"/>
          <w:spacing w:val="-2"/>
          <w:sz w:val="24"/>
          <w:szCs w:val="24"/>
          <w:lang w:eastAsia="zh-CN"/>
        </w:rPr>
        <w:t>.2-1</w:t>
      </w:r>
      <w:r>
        <w:rPr>
          <w:rFonts w:ascii="Times New Roman" w:eastAsia="宋体" w:hAnsi="Times New Roman" w:cs="宋体"/>
          <w:color w:val="auto"/>
          <w:spacing w:val="-2"/>
          <w:sz w:val="24"/>
          <w:szCs w:val="24"/>
          <w:lang w:eastAsia="zh-CN"/>
        </w:rPr>
        <w:t>。</w:t>
      </w:r>
    </w:p>
    <w:p w14:paraId="2AB287F4" w14:textId="77777777" w:rsidR="0075791A" w:rsidRDefault="00FB2864">
      <w:pPr>
        <w:spacing w:line="360" w:lineRule="auto"/>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noProof/>
          <w:color w:val="auto"/>
          <w:spacing w:val="-2"/>
          <w:sz w:val="24"/>
          <w:szCs w:val="24"/>
          <w:lang w:eastAsia="zh-CN"/>
        </w:rPr>
        <w:lastRenderedPageBreak/>
        <w:drawing>
          <wp:inline distT="0" distB="0" distL="114300" distR="114300" wp14:anchorId="6107331B" wp14:editId="6C408572">
            <wp:extent cx="5862955" cy="4145915"/>
            <wp:effectExtent l="0" t="0" r="4445" b="14605"/>
            <wp:docPr id="99" name="图片 99" descr="铁炉港项目周边开发利用现状局部放大1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铁炉港项目周边开发利用现状局部放大10410"/>
                    <pic:cNvPicPr>
                      <a:picLocks noChangeAspect="1"/>
                    </pic:cNvPicPr>
                  </pic:nvPicPr>
                  <pic:blipFill>
                    <a:blip r:embed="rId257"/>
                    <a:stretch>
                      <a:fillRect/>
                    </a:stretch>
                  </pic:blipFill>
                  <pic:spPr>
                    <a:xfrm>
                      <a:off x="0" y="0"/>
                      <a:ext cx="5862955" cy="4145915"/>
                    </a:xfrm>
                    <a:prstGeom prst="rect">
                      <a:avLst/>
                    </a:prstGeom>
                  </pic:spPr>
                </pic:pic>
              </a:graphicData>
            </a:graphic>
          </wp:inline>
        </w:drawing>
      </w:r>
    </w:p>
    <w:p w14:paraId="1E1652A4" w14:textId="77777777" w:rsidR="0075791A" w:rsidRDefault="00FB2864">
      <w:pPr>
        <w:spacing w:line="360" w:lineRule="auto"/>
        <w:jc w:val="center"/>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图</w:t>
      </w:r>
      <w:r>
        <w:rPr>
          <w:rFonts w:ascii="Times New Roman" w:eastAsia="宋体" w:hAnsi="Times New Roman" w:cs="Times New Roman" w:hint="eastAsia"/>
          <w:color w:val="auto"/>
          <w:spacing w:val="-2"/>
          <w:sz w:val="24"/>
          <w:szCs w:val="24"/>
          <w:lang w:eastAsia="zh-CN"/>
        </w:rPr>
        <w:t>5</w:t>
      </w:r>
      <w:r>
        <w:rPr>
          <w:rFonts w:ascii="Times New Roman" w:eastAsia="Times New Roman" w:hAnsi="Times New Roman" w:cs="Times New Roman"/>
          <w:color w:val="auto"/>
          <w:spacing w:val="-2"/>
          <w:sz w:val="24"/>
          <w:szCs w:val="24"/>
          <w:lang w:eastAsia="zh-CN"/>
        </w:rPr>
        <w:t>.2-</w:t>
      </w:r>
      <w:r>
        <w:rPr>
          <w:rFonts w:ascii="Times New Roman" w:eastAsia="宋体" w:hAnsi="Times New Roman" w:cs="Times New Roman" w:hint="eastAsia"/>
          <w:color w:val="auto"/>
          <w:spacing w:val="-2"/>
          <w:sz w:val="24"/>
          <w:szCs w:val="24"/>
          <w:lang w:eastAsia="zh-CN"/>
        </w:rPr>
        <w:t>1</w:t>
      </w:r>
      <w:r>
        <w:rPr>
          <w:rFonts w:ascii="Times New Roman" w:eastAsia="宋体" w:hAnsi="Times New Roman" w:cs="Times New Roman" w:hint="eastAsia"/>
          <w:color w:val="auto"/>
          <w:spacing w:val="-2"/>
          <w:sz w:val="24"/>
          <w:szCs w:val="24"/>
          <w:lang w:eastAsia="zh-CN"/>
        </w:rPr>
        <w:t>疏浚施工</w:t>
      </w:r>
      <w:r>
        <w:rPr>
          <w:rFonts w:ascii="Times New Roman" w:eastAsia="宋体" w:hAnsi="Times New Roman" w:cs="宋体"/>
          <w:color w:val="auto"/>
          <w:spacing w:val="-2"/>
          <w:sz w:val="24"/>
          <w:szCs w:val="24"/>
          <w:lang w:eastAsia="zh-CN"/>
        </w:rPr>
        <w:t>施工期悬沙扩散范围与开发利用现状的叠置分析图</w:t>
      </w:r>
    </w:p>
    <w:p w14:paraId="596D1D7E" w14:textId="77777777" w:rsidR="0075791A" w:rsidRDefault="00FB2864">
      <w:pPr>
        <w:spacing w:line="360" w:lineRule="auto"/>
        <w:ind w:firstLineChars="200" w:firstLine="476"/>
        <w:jc w:val="both"/>
        <w:rPr>
          <w:rFonts w:ascii="Times New Roman" w:eastAsia="宋体" w:hAnsi="Times New Roman" w:cs="宋体"/>
          <w:b/>
          <w:bCs/>
          <w:color w:val="auto"/>
          <w:spacing w:val="-3"/>
          <w:sz w:val="24"/>
          <w:szCs w:val="24"/>
          <w:lang w:eastAsia="zh-CN"/>
        </w:rPr>
      </w:pPr>
      <w:r>
        <w:rPr>
          <w:rFonts w:ascii="Times New Roman" w:eastAsia="宋体" w:hAnsi="Times New Roman" w:cs="宋体" w:hint="eastAsia"/>
          <w:b/>
          <w:bCs/>
          <w:color w:val="auto"/>
          <w:spacing w:val="-3"/>
          <w:sz w:val="24"/>
          <w:szCs w:val="24"/>
          <w:lang w:eastAsia="zh-CN"/>
        </w:rPr>
        <w:t>（</w:t>
      </w:r>
      <w:r>
        <w:rPr>
          <w:rFonts w:ascii="Times New Roman" w:eastAsia="宋体" w:hAnsi="Times New Roman" w:cs="宋体" w:hint="eastAsia"/>
          <w:b/>
          <w:bCs/>
          <w:color w:val="auto"/>
          <w:spacing w:val="-3"/>
          <w:sz w:val="24"/>
          <w:szCs w:val="24"/>
          <w:lang w:eastAsia="zh-CN"/>
        </w:rPr>
        <w:t>1</w:t>
      </w:r>
      <w:r>
        <w:rPr>
          <w:rFonts w:ascii="Times New Roman" w:eastAsia="宋体" w:hAnsi="Times New Roman" w:cs="宋体" w:hint="eastAsia"/>
          <w:b/>
          <w:bCs/>
          <w:color w:val="auto"/>
          <w:spacing w:val="-3"/>
          <w:sz w:val="24"/>
          <w:szCs w:val="24"/>
          <w:lang w:eastAsia="zh-CN"/>
        </w:rPr>
        <w:t>）项目对渔业用海的影响分析</w:t>
      </w:r>
    </w:p>
    <w:p w14:paraId="4A11424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根据海域使用权属现状分析，本项目论证范围内的</w:t>
      </w:r>
      <w:r>
        <w:rPr>
          <w:rFonts w:ascii="Times New Roman" w:eastAsia="宋体" w:hAnsi="Times New Roman" w:cs="宋体" w:hint="eastAsia"/>
          <w:color w:val="auto"/>
          <w:spacing w:val="-2"/>
          <w:sz w:val="24"/>
          <w:szCs w:val="24"/>
          <w:lang w:eastAsia="zh-CN"/>
        </w:rPr>
        <w:t>渔业</w:t>
      </w:r>
      <w:r>
        <w:rPr>
          <w:rFonts w:ascii="Times New Roman" w:eastAsia="宋体" w:hAnsi="Times New Roman" w:cs="宋体"/>
          <w:color w:val="auto"/>
          <w:spacing w:val="-2"/>
          <w:sz w:val="24"/>
          <w:szCs w:val="24"/>
          <w:lang w:eastAsia="zh-CN"/>
        </w:rPr>
        <w:t>用海为</w:t>
      </w:r>
      <w:r>
        <w:rPr>
          <w:rFonts w:ascii="Times New Roman" w:eastAsia="宋体" w:hAnsi="Times New Roman" w:cs="宋体" w:hint="eastAsia"/>
          <w:color w:val="auto"/>
          <w:spacing w:val="-2"/>
          <w:sz w:val="24"/>
          <w:szCs w:val="24"/>
          <w:lang w:eastAsia="zh-CN"/>
        </w:rPr>
        <w:t>后海渔港、养殖鱼排。</w:t>
      </w:r>
    </w:p>
    <w:p w14:paraId="1328F0B8" w14:textId="77777777" w:rsidR="0075791A" w:rsidRDefault="00FB2864">
      <w:pPr>
        <w:spacing w:line="360" w:lineRule="auto"/>
        <w:ind w:firstLineChars="200" w:firstLine="478"/>
        <w:jc w:val="both"/>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color w:val="auto"/>
          <w:spacing w:val="-2"/>
          <w:sz w:val="24"/>
          <w:szCs w:val="24"/>
          <w:lang w:eastAsia="zh-CN"/>
        </w:rPr>
        <w:t>1</w:t>
      </w:r>
      <w:r>
        <w:rPr>
          <w:rFonts w:ascii="Times New Roman" w:eastAsia="宋体" w:hAnsi="Times New Roman" w:cs="宋体" w:hint="eastAsia"/>
          <w:b/>
          <w:bCs/>
          <w:color w:val="auto"/>
          <w:spacing w:val="-2"/>
          <w:sz w:val="24"/>
          <w:szCs w:val="24"/>
          <w:lang w:eastAsia="zh-CN"/>
        </w:rPr>
        <w:t>）对后海渔港的影响：</w:t>
      </w:r>
    </w:p>
    <w:p w14:paraId="24A78289" w14:textId="77777777" w:rsidR="0075791A" w:rsidRDefault="00FB2864">
      <w:pPr>
        <w:spacing w:line="360" w:lineRule="auto"/>
        <w:ind w:firstLineChars="200" w:firstLine="478"/>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b/>
          <w:bCs/>
          <w:color w:val="auto"/>
          <w:spacing w:val="-2"/>
          <w:sz w:val="24"/>
          <w:szCs w:val="24"/>
          <w:lang w:eastAsia="zh-CN"/>
        </w:rPr>
        <w:t>①对渔港通航安全的影响：</w:t>
      </w:r>
      <w:r>
        <w:rPr>
          <w:rFonts w:ascii="Times New Roman" w:eastAsia="宋体" w:hAnsi="Times New Roman" w:cs="宋体" w:hint="eastAsia"/>
          <w:color w:val="auto"/>
          <w:spacing w:val="-2"/>
          <w:sz w:val="24"/>
          <w:szCs w:val="24"/>
          <w:lang w:eastAsia="zh-CN"/>
        </w:rPr>
        <w:t>本项目建设施工期间，疏浚海上施工作业将占用一定的海域空间，疏浚船、疏浚泥运输船等进出港区加大了该海区的通航密度，与其他进出该海域的渔船及其它工作船舶难免发生相互干扰，船舶碰撞几率增高，存在一定的交通安全隐患。通过加强对施工单位的施工作业和船舶航行的管理，应对作业船只进行安全检查，严格按照《海上交通安全法》和《海上避碰章程》的规定航行和作业，防止事故发生。</w:t>
      </w:r>
    </w:p>
    <w:p w14:paraId="49478461" w14:textId="77777777" w:rsidR="0075791A" w:rsidRDefault="00FB2864">
      <w:pPr>
        <w:spacing w:line="360" w:lineRule="auto"/>
        <w:ind w:firstLineChars="200" w:firstLine="478"/>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b/>
          <w:bCs/>
          <w:color w:val="auto"/>
          <w:spacing w:val="-2"/>
          <w:sz w:val="24"/>
          <w:szCs w:val="24"/>
          <w:lang w:eastAsia="zh-CN"/>
        </w:rPr>
        <w:t>②对渔港地形冲淤的影响：</w:t>
      </w:r>
      <w:r>
        <w:rPr>
          <w:rFonts w:ascii="Times New Roman" w:eastAsia="宋体" w:hAnsi="Times New Roman" w:cs="宋体" w:hint="eastAsia"/>
          <w:color w:val="auto"/>
          <w:spacing w:val="-2"/>
          <w:sz w:val="24"/>
          <w:szCs w:val="24"/>
          <w:lang w:eastAsia="zh-CN"/>
        </w:rPr>
        <w:t>本项目疏浚区距渔港约</w:t>
      </w:r>
      <w:r>
        <w:rPr>
          <w:rFonts w:ascii="Times New Roman" w:eastAsia="宋体" w:hAnsi="Times New Roman" w:cs="宋体" w:hint="eastAsia"/>
          <w:color w:val="auto"/>
          <w:spacing w:val="-2"/>
          <w:sz w:val="24"/>
          <w:szCs w:val="24"/>
          <w:lang w:eastAsia="zh-CN"/>
        </w:rPr>
        <w:t>2.0km</w:t>
      </w:r>
      <w:r>
        <w:rPr>
          <w:rFonts w:ascii="Times New Roman" w:eastAsia="宋体" w:hAnsi="Times New Roman" w:cs="宋体" w:hint="eastAsia"/>
          <w:color w:val="auto"/>
          <w:spacing w:val="-2"/>
          <w:sz w:val="24"/>
          <w:szCs w:val="24"/>
          <w:lang w:eastAsia="zh-CN"/>
        </w:rPr>
        <w:t>，根据数模分析，</w:t>
      </w:r>
      <w:r>
        <w:rPr>
          <w:rFonts w:ascii="宋体" w:hAnsi="宋体" w:hint="eastAsia"/>
          <w:color w:val="auto"/>
          <w:sz w:val="24"/>
          <w:lang w:eastAsia="zh-CN"/>
        </w:rPr>
        <w:t>疏浚工程完成后，由于疏浚后水深增加，流速略有减小，因此，泥沙将在疏浚区及附近水域落淤</w:t>
      </w:r>
      <w:r>
        <w:rPr>
          <w:rFonts w:ascii="宋体" w:hAnsi="宋体" w:hint="eastAsia"/>
          <w:color w:val="auto"/>
          <w:sz w:val="24"/>
          <w:lang w:eastAsia="zh-CN"/>
        </w:rPr>
        <w:t>，但由流速改变幅度较小，海水悬沙含量也小，因此疏浚区的年淤积强度最大值只有</w:t>
      </w:r>
      <w:r>
        <w:rPr>
          <w:rFonts w:ascii="宋体" w:hAnsi="宋体" w:hint="eastAsia"/>
          <w:color w:val="auto"/>
          <w:sz w:val="24"/>
          <w:lang w:eastAsia="zh-CN"/>
        </w:rPr>
        <w:t>13cm/a</w:t>
      </w:r>
      <w:r>
        <w:rPr>
          <w:rFonts w:ascii="宋体" w:hAnsi="宋体" w:hint="eastAsia"/>
          <w:color w:val="auto"/>
          <w:sz w:val="24"/>
          <w:lang w:eastAsia="zh-CN"/>
        </w:rPr>
        <w:t>左右；在疏浚区的南侧连接处，由于流速略有增加，导致小幅度的冲刷，最大冲刷幅度在</w:t>
      </w:r>
      <w:r>
        <w:rPr>
          <w:rFonts w:ascii="宋体" w:hAnsi="宋体" w:hint="eastAsia"/>
          <w:color w:val="auto"/>
          <w:sz w:val="24"/>
          <w:lang w:eastAsia="zh-CN"/>
        </w:rPr>
        <w:t>7cm/a</w:t>
      </w:r>
      <w:r>
        <w:rPr>
          <w:rFonts w:ascii="宋体" w:hAnsi="宋体" w:hint="eastAsia"/>
          <w:color w:val="auto"/>
          <w:sz w:val="24"/>
          <w:lang w:eastAsia="zh-CN"/>
        </w:rPr>
        <w:t>左右。本项目工程后悬浮沙引起冲淤的范围较小，主要集中在疏浚区及附近的小范围内，冲淤幅度也较小，最大值在±</w:t>
      </w:r>
      <w:r>
        <w:rPr>
          <w:rFonts w:ascii="宋体" w:hAnsi="宋体" w:hint="eastAsia"/>
          <w:color w:val="auto"/>
          <w:sz w:val="24"/>
          <w:lang w:eastAsia="zh-CN"/>
        </w:rPr>
        <w:t>13</w:t>
      </w:r>
      <w:r>
        <w:rPr>
          <w:rFonts w:ascii="宋体" w:hAnsi="宋体"/>
          <w:color w:val="auto"/>
          <w:sz w:val="24"/>
          <w:lang w:eastAsia="zh-CN"/>
        </w:rPr>
        <w:t>cm/a</w:t>
      </w:r>
      <w:r>
        <w:rPr>
          <w:rFonts w:ascii="宋体" w:hAnsi="宋体" w:hint="eastAsia"/>
          <w:color w:val="auto"/>
          <w:sz w:val="24"/>
          <w:lang w:eastAsia="zh-CN"/>
        </w:rPr>
        <w:t>左右</w:t>
      </w:r>
      <w:r>
        <w:rPr>
          <w:rFonts w:ascii="宋体" w:eastAsia="宋体" w:hAnsi="宋体" w:hint="eastAsia"/>
          <w:color w:val="auto"/>
          <w:sz w:val="24"/>
          <w:lang w:eastAsia="zh-CN"/>
        </w:rPr>
        <w:t>,</w:t>
      </w:r>
      <w:r>
        <w:rPr>
          <w:rFonts w:ascii="Times New Roman" w:eastAsia="宋体" w:hAnsi="Times New Roman" w:cs="宋体" w:hint="eastAsia"/>
          <w:color w:val="auto"/>
          <w:spacing w:val="-2"/>
          <w:sz w:val="24"/>
          <w:szCs w:val="24"/>
          <w:lang w:eastAsia="zh-CN"/>
        </w:rPr>
        <w:t>不会对铁炉港口水深造成影响。</w:t>
      </w:r>
    </w:p>
    <w:p w14:paraId="57AE696F" w14:textId="77777777" w:rsidR="0075791A" w:rsidRDefault="00FB2864">
      <w:pPr>
        <w:spacing w:line="360" w:lineRule="auto"/>
        <w:ind w:firstLineChars="200" w:firstLine="478"/>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b/>
          <w:bCs/>
          <w:color w:val="auto"/>
          <w:spacing w:val="-2"/>
          <w:sz w:val="24"/>
          <w:szCs w:val="24"/>
          <w:lang w:eastAsia="zh-CN"/>
        </w:rPr>
        <w:lastRenderedPageBreak/>
        <w:t>2</w:t>
      </w:r>
      <w:r>
        <w:rPr>
          <w:rFonts w:ascii="Times New Roman" w:eastAsia="宋体" w:hAnsi="Times New Roman" w:cs="宋体" w:hint="eastAsia"/>
          <w:b/>
          <w:bCs/>
          <w:color w:val="auto"/>
          <w:spacing w:val="-2"/>
          <w:sz w:val="24"/>
          <w:szCs w:val="24"/>
          <w:lang w:eastAsia="zh-CN"/>
        </w:rPr>
        <w:t>）对养殖鱼排的影响：</w:t>
      </w:r>
      <w:r>
        <w:rPr>
          <w:rFonts w:ascii="Times New Roman" w:eastAsia="宋体" w:hAnsi="Times New Roman" w:cs="宋体" w:hint="eastAsia"/>
          <w:color w:val="auto"/>
          <w:spacing w:val="-2"/>
          <w:sz w:val="24"/>
          <w:szCs w:val="24"/>
          <w:lang w:eastAsia="zh-CN"/>
        </w:rPr>
        <w:t>根据资源生态影响范围与开发利用现状的叠置图分析，疏浚期间，悬浮物扩散范围较小，最远扩散距离为</w:t>
      </w:r>
      <w:r>
        <w:rPr>
          <w:rFonts w:ascii="Times New Roman" w:eastAsia="宋体" w:hAnsi="Times New Roman" w:cs="宋体" w:hint="eastAsia"/>
          <w:color w:val="auto"/>
          <w:spacing w:val="-2"/>
          <w:sz w:val="24"/>
          <w:szCs w:val="24"/>
          <w:lang w:eastAsia="zh-CN"/>
        </w:rPr>
        <w:t>1.2km</w:t>
      </w:r>
      <w:r>
        <w:rPr>
          <w:rFonts w:ascii="Times New Roman" w:eastAsia="宋体" w:hAnsi="Times New Roman" w:cs="宋体" w:hint="eastAsia"/>
          <w:color w:val="auto"/>
          <w:spacing w:val="-2"/>
          <w:sz w:val="24"/>
          <w:szCs w:val="24"/>
          <w:lang w:eastAsia="zh-CN"/>
        </w:rPr>
        <w:t>。若在疏浚期间设置防污帘，悬浮物扩散范围将进一步减小，远未至铁</w:t>
      </w:r>
      <w:r>
        <w:rPr>
          <w:rFonts w:ascii="Times New Roman" w:eastAsia="宋体" w:hAnsi="Times New Roman" w:cs="宋体" w:hint="eastAsia"/>
          <w:color w:val="auto"/>
          <w:spacing w:val="-2"/>
          <w:sz w:val="24"/>
          <w:szCs w:val="24"/>
          <w:lang w:eastAsia="zh-CN"/>
        </w:rPr>
        <w:t>炉港石尾小码头东侧鱼排处。疏浚施工过程引起水中悬浮物增加，使游泳生物的呼吸器官积聚泥沙，严惩损害呼吸器官的滤水和呼吸功能，甚至导致其窒息死亡。根据有关实验数据，通常悬浮物浓度的含量在</w:t>
      </w:r>
      <w:r>
        <w:rPr>
          <w:rFonts w:ascii="Times New Roman" w:eastAsia="宋体" w:hAnsi="Times New Roman" w:cs="宋体" w:hint="eastAsia"/>
          <w:color w:val="auto"/>
          <w:spacing w:val="-2"/>
          <w:sz w:val="24"/>
          <w:szCs w:val="24"/>
          <w:lang w:eastAsia="zh-CN"/>
        </w:rPr>
        <w:t>200mg/L</w:t>
      </w:r>
      <w:r>
        <w:rPr>
          <w:rFonts w:ascii="Times New Roman" w:eastAsia="宋体" w:hAnsi="Times New Roman" w:cs="宋体" w:hint="eastAsia"/>
          <w:color w:val="auto"/>
          <w:spacing w:val="-2"/>
          <w:sz w:val="24"/>
          <w:szCs w:val="24"/>
          <w:lang w:eastAsia="zh-CN"/>
        </w:rPr>
        <w:t>以下时，不会导致直接死亡。在水生食物链中，除了初级生产者——浮游藻类以外，其它营养级上的生物既是消费者，也是上一营养级生物的饵料。因此，浮游植物生物量的减少，会使以浮游植物为饵料的浮游动物生物量也相应减少，以浮游生物为食的鱼类等由于饵料的贫乏而导致资源量下降。疏浚工程施工约为</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个月，属于短期行为，随着施工期的结束，</w:t>
      </w:r>
      <w:r>
        <w:rPr>
          <w:rFonts w:ascii="Times New Roman" w:eastAsia="宋体" w:hAnsi="Times New Roman" w:cs="宋体" w:hint="eastAsia"/>
          <w:color w:val="auto"/>
          <w:spacing w:val="-2"/>
          <w:sz w:val="24"/>
          <w:szCs w:val="24"/>
          <w:lang w:eastAsia="zh-CN"/>
        </w:rPr>
        <w:t>其环境影响会很快消失。</w:t>
      </w:r>
    </w:p>
    <w:p w14:paraId="590FAC40"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施工过程中，需加强悬浮物扩散范围监测，合理控制施工强度、时间。</w:t>
      </w:r>
    </w:p>
    <w:p w14:paraId="495006CA" w14:textId="77777777" w:rsidR="0075791A" w:rsidRDefault="00FB2864">
      <w:pPr>
        <w:spacing w:line="360" w:lineRule="auto"/>
        <w:ind w:firstLineChars="200" w:firstLine="476"/>
        <w:jc w:val="both"/>
        <w:rPr>
          <w:rFonts w:ascii="Times New Roman" w:eastAsia="宋体" w:hAnsi="Times New Roman" w:cs="宋体"/>
          <w:b/>
          <w:bCs/>
          <w:color w:val="auto"/>
          <w:spacing w:val="-3"/>
          <w:sz w:val="24"/>
          <w:szCs w:val="24"/>
          <w:lang w:eastAsia="zh-CN"/>
        </w:rPr>
      </w:pPr>
      <w:r>
        <w:rPr>
          <w:rFonts w:ascii="Times New Roman" w:eastAsia="宋体" w:hAnsi="Times New Roman" w:cs="宋体" w:hint="eastAsia"/>
          <w:b/>
          <w:bCs/>
          <w:color w:val="auto"/>
          <w:spacing w:val="-3"/>
          <w:sz w:val="24"/>
          <w:szCs w:val="24"/>
          <w:lang w:eastAsia="zh-CN"/>
        </w:rPr>
        <w:t>（</w:t>
      </w:r>
      <w:r>
        <w:rPr>
          <w:rFonts w:ascii="Times New Roman" w:eastAsia="宋体" w:hAnsi="Times New Roman" w:cs="宋体" w:hint="eastAsia"/>
          <w:b/>
          <w:bCs/>
          <w:color w:val="auto"/>
          <w:spacing w:val="-3"/>
          <w:sz w:val="24"/>
          <w:szCs w:val="24"/>
          <w:lang w:eastAsia="zh-CN"/>
        </w:rPr>
        <w:t>2</w:t>
      </w:r>
      <w:r>
        <w:rPr>
          <w:rFonts w:ascii="Times New Roman" w:eastAsia="宋体" w:hAnsi="Times New Roman" w:cs="宋体" w:hint="eastAsia"/>
          <w:b/>
          <w:bCs/>
          <w:color w:val="auto"/>
          <w:spacing w:val="-3"/>
          <w:sz w:val="24"/>
          <w:szCs w:val="24"/>
          <w:lang w:eastAsia="zh-CN"/>
        </w:rPr>
        <w:t>）项目对游憩用海的影响分析</w:t>
      </w:r>
    </w:p>
    <w:p w14:paraId="1E2150A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本项目论证范围内游憩用海主要有三亚后海湾旅游娱乐用海项目，与本项目距离约为</w:t>
      </w:r>
      <w:r>
        <w:rPr>
          <w:rFonts w:ascii="Times New Roman" w:eastAsia="宋体" w:hAnsi="Times New Roman" w:cs="宋体" w:hint="eastAsia"/>
          <w:color w:val="auto"/>
          <w:spacing w:val="-2"/>
          <w:sz w:val="24"/>
          <w:szCs w:val="24"/>
          <w:lang w:eastAsia="zh-CN"/>
        </w:rPr>
        <w:t>1.4km</w:t>
      </w:r>
      <w:r>
        <w:rPr>
          <w:rFonts w:ascii="Times New Roman" w:eastAsia="宋体" w:hAnsi="Times New Roman" w:cs="宋体" w:hint="eastAsia"/>
          <w:color w:val="auto"/>
          <w:spacing w:val="-2"/>
          <w:sz w:val="24"/>
          <w:szCs w:val="24"/>
          <w:lang w:eastAsia="zh-CN"/>
        </w:rPr>
        <w:t>。当前三亚后海湾旅游娱乐用海项目还未建设，本项目建设对该两项目用海无影响。</w:t>
      </w:r>
    </w:p>
    <w:p w14:paraId="7F208F6D" w14:textId="77777777" w:rsidR="0075791A" w:rsidRDefault="00FB2864">
      <w:pPr>
        <w:spacing w:line="360" w:lineRule="auto"/>
        <w:ind w:firstLineChars="200" w:firstLine="476"/>
        <w:jc w:val="both"/>
        <w:rPr>
          <w:rFonts w:ascii="Times New Roman" w:eastAsia="宋体" w:hAnsi="Times New Roman" w:cs="宋体"/>
          <w:b/>
          <w:bCs/>
          <w:color w:val="auto"/>
          <w:spacing w:val="-3"/>
          <w:sz w:val="24"/>
          <w:szCs w:val="24"/>
          <w:lang w:eastAsia="zh-CN"/>
        </w:rPr>
      </w:pPr>
      <w:r>
        <w:rPr>
          <w:rFonts w:ascii="Times New Roman" w:eastAsia="宋体" w:hAnsi="Times New Roman" w:cs="宋体" w:hint="eastAsia"/>
          <w:b/>
          <w:bCs/>
          <w:color w:val="auto"/>
          <w:spacing w:val="-3"/>
          <w:sz w:val="24"/>
          <w:szCs w:val="24"/>
          <w:lang w:eastAsia="zh-CN"/>
        </w:rPr>
        <w:t>（</w:t>
      </w:r>
      <w:r>
        <w:rPr>
          <w:rFonts w:ascii="Times New Roman" w:eastAsia="宋体" w:hAnsi="Times New Roman" w:cs="宋体" w:hint="eastAsia"/>
          <w:b/>
          <w:bCs/>
          <w:color w:val="auto"/>
          <w:spacing w:val="-3"/>
          <w:sz w:val="24"/>
          <w:szCs w:val="24"/>
          <w:lang w:eastAsia="zh-CN"/>
        </w:rPr>
        <w:t>3</w:t>
      </w:r>
      <w:r>
        <w:rPr>
          <w:rFonts w:ascii="Times New Roman" w:eastAsia="宋体" w:hAnsi="Times New Roman" w:cs="宋体" w:hint="eastAsia"/>
          <w:b/>
          <w:bCs/>
          <w:color w:val="auto"/>
          <w:spacing w:val="-3"/>
          <w:sz w:val="24"/>
          <w:szCs w:val="24"/>
          <w:lang w:eastAsia="zh-CN"/>
        </w:rPr>
        <w:t>）项目对工矿通信用海的影响分析</w:t>
      </w:r>
    </w:p>
    <w:p w14:paraId="1F2B4A9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项目论证范围内工矿通信用海主要有三亚市海棠湾旅游休闲娱乐区南部取排水工程项目，距离本项目</w:t>
      </w:r>
      <w:r>
        <w:rPr>
          <w:rFonts w:ascii="Times New Roman" w:eastAsia="宋体" w:hAnsi="Times New Roman" w:cs="宋体" w:hint="eastAsia"/>
          <w:color w:val="auto"/>
          <w:spacing w:val="-2"/>
          <w:sz w:val="24"/>
          <w:szCs w:val="24"/>
          <w:lang w:eastAsia="zh-CN"/>
        </w:rPr>
        <w:t>4.9km</w:t>
      </w:r>
      <w:r>
        <w:rPr>
          <w:rFonts w:ascii="Times New Roman" w:eastAsia="宋体" w:hAnsi="Times New Roman" w:cs="宋体" w:hint="eastAsia"/>
          <w:color w:val="auto"/>
          <w:spacing w:val="-2"/>
          <w:sz w:val="24"/>
          <w:szCs w:val="24"/>
          <w:lang w:eastAsia="zh-CN"/>
        </w:rPr>
        <w:t>，间隔后海湾、后海角。本项目施工船舶不进入项目用海区，不在该区域抛锚停泊，不会对该项目用海安全造成不利影响。</w:t>
      </w:r>
    </w:p>
    <w:p w14:paraId="5AD9AF1D" w14:textId="77777777" w:rsidR="0075791A" w:rsidRDefault="00FB2864">
      <w:pPr>
        <w:spacing w:line="360" w:lineRule="auto"/>
        <w:ind w:firstLineChars="200" w:firstLine="476"/>
        <w:jc w:val="both"/>
        <w:rPr>
          <w:rFonts w:ascii="宋体" w:eastAsia="宋体" w:hAnsi="宋体" w:cs="宋体"/>
          <w:b/>
          <w:bCs/>
          <w:color w:val="auto"/>
          <w:sz w:val="24"/>
          <w:szCs w:val="24"/>
          <w:lang w:eastAsia="zh-CN"/>
        </w:rPr>
      </w:pPr>
      <w:r>
        <w:rPr>
          <w:rFonts w:ascii="Times New Roman" w:eastAsia="宋体" w:hAnsi="Times New Roman" w:cs="宋体" w:hint="eastAsia"/>
          <w:b/>
          <w:bCs/>
          <w:color w:val="auto"/>
          <w:spacing w:val="-3"/>
          <w:sz w:val="24"/>
          <w:szCs w:val="24"/>
          <w:lang w:eastAsia="zh-CN"/>
        </w:rPr>
        <w:t>（</w:t>
      </w:r>
      <w:r>
        <w:rPr>
          <w:rFonts w:ascii="Times New Roman" w:eastAsia="宋体" w:hAnsi="Times New Roman" w:cs="宋体" w:hint="eastAsia"/>
          <w:b/>
          <w:bCs/>
          <w:color w:val="auto"/>
          <w:spacing w:val="-3"/>
          <w:sz w:val="24"/>
          <w:szCs w:val="24"/>
          <w:lang w:eastAsia="zh-CN"/>
        </w:rPr>
        <w:t>4</w:t>
      </w:r>
      <w:r>
        <w:rPr>
          <w:rFonts w:ascii="Times New Roman" w:eastAsia="宋体" w:hAnsi="Times New Roman" w:cs="宋体" w:hint="eastAsia"/>
          <w:b/>
          <w:bCs/>
          <w:color w:val="auto"/>
          <w:spacing w:val="-3"/>
          <w:sz w:val="24"/>
          <w:szCs w:val="24"/>
          <w:lang w:eastAsia="zh-CN"/>
        </w:rPr>
        <w:t>）对</w:t>
      </w:r>
      <w:r>
        <w:rPr>
          <w:rFonts w:ascii="宋体" w:eastAsia="宋体" w:hAnsi="宋体" w:cs="宋体" w:hint="eastAsia"/>
          <w:b/>
          <w:bCs/>
          <w:color w:val="auto"/>
          <w:sz w:val="24"/>
          <w:szCs w:val="24"/>
          <w:lang w:eastAsia="zh-CN"/>
        </w:rPr>
        <w:t>铁炉港口门防波堤</w:t>
      </w:r>
    </w:p>
    <w:p w14:paraId="6C1FDC13"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用海距离铁炉港口门防波堤较远，不占用其用海；施工期施工船舶进出铁炉港区，增大了口门的通航密度，增大了船舶碰撞防波堤概率，存在交通安全隐患，施工船舶应严格按照相关法律法规航行，确保通航安全。</w:t>
      </w:r>
    </w:p>
    <w:p w14:paraId="1D4ABE5D" w14:textId="77777777" w:rsidR="0075791A" w:rsidRDefault="00FB2864">
      <w:pPr>
        <w:spacing w:line="360" w:lineRule="auto"/>
        <w:ind w:firstLineChars="200" w:firstLine="476"/>
        <w:jc w:val="both"/>
        <w:rPr>
          <w:rFonts w:ascii="Times New Roman" w:eastAsia="宋体" w:hAnsi="Times New Roman" w:cs="宋体"/>
          <w:b/>
          <w:bCs/>
          <w:color w:val="auto"/>
          <w:spacing w:val="-3"/>
          <w:sz w:val="24"/>
          <w:szCs w:val="24"/>
          <w:lang w:eastAsia="zh-CN"/>
        </w:rPr>
      </w:pPr>
      <w:r>
        <w:rPr>
          <w:rFonts w:ascii="Times New Roman" w:eastAsia="宋体" w:hAnsi="Times New Roman" w:cs="宋体" w:hint="eastAsia"/>
          <w:b/>
          <w:bCs/>
          <w:color w:val="auto"/>
          <w:spacing w:val="-3"/>
          <w:sz w:val="24"/>
          <w:szCs w:val="24"/>
          <w:lang w:eastAsia="zh-CN"/>
        </w:rPr>
        <w:t>（</w:t>
      </w:r>
      <w:r>
        <w:rPr>
          <w:rFonts w:ascii="Times New Roman" w:eastAsia="宋体" w:hAnsi="Times New Roman" w:cs="宋体" w:hint="eastAsia"/>
          <w:b/>
          <w:bCs/>
          <w:color w:val="auto"/>
          <w:spacing w:val="-3"/>
          <w:sz w:val="24"/>
          <w:szCs w:val="24"/>
          <w:lang w:eastAsia="zh-CN"/>
        </w:rPr>
        <w:t>5</w:t>
      </w:r>
      <w:r>
        <w:rPr>
          <w:rFonts w:ascii="Times New Roman" w:eastAsia="宋体" w:hAnsi="Times New Roman" w:cs="宋体" w:hint="eastAsia"/>
          <w:b/>
          <w:bCs/>
          <w:color w:val="auto"/>
          <w:spacing w:val="-3"/>
          <w:sz w:val="24"/>
          <w:szCs w:val="24"/>
          <w:lang w:eastAsia="zh-CN"/>
        </w:rPr>
        <w:t>）项目对当地渔民的影响</w:t>
      </w:r>
    </w:p>
    <w:p w14:paraId="5775BA32"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铁炉港潟湖周边村庄有部分渔民会出海打渔，小渔船就近停泊</w:t>
      </w:r>
      <w:r>
        <w:rPr>
          <w:rFonts w:ascii="Times New Roman" w:eastAsia="宋体" w:hAnsi="Times New Roman" w:cs="宋体" w:hint="eastAsia"/>
          <w:color w:val="auto"/>
          <w:spacing w:val="-2"/>
          <w:sz w:val="24"/>
          <w:szCs w:val="24"/>
          <w:lang w:eastAsia="zh-CN"/>
        </w:rPr>
        <w:t>在项目区域附近海域，其中海中海高尔夫球场北侧就有一处小渔船自发停泊点。根据铁炉港红树林湿地保护修复项目建设总平面布局，在渔船停泊点附近均建设浮动小码头，可选择如石尾村小码头、青田村码头停靠。码头的建设，有利于渔民上下船及上岸，使得上下船更方便、安全。但疏浚施工期间，施工船舶增多，且</w:t>
      </w:r>
      <w:r>
        <w:rPr>
          <w:rFonts w:ascii="Times New Roman" w:eastAsia="宋体" w:hAnsi="Times New Roman" w:cs="宋体"/>
          <w:color w:val="auto"/>
          <w:spacing w:val="-2"/>
          <w:sz w:val="24"/>
          <w:szCs w:val="24"/>
          <w:lang w:eastAsia="zh-CN"/>
        </w:rPr>
        <w:t>施工区</w:t>
      </w:r>
      <w:r>
        <w:rPr>
          <w:rFonts w:ascii="Times New Roman" w:eastAsia="宋体" w:hAnsi="Times New Roman" w:cs="宋体" w:hint="eastAsia"/>
          <w:color w:val="auto"/>
          <w:spacing w:val="-2"/>
          <w:sz w:val="24"/>
          <w:szCs w:val="24"/>
          <w:lang w:eastAsia="zh-CN"/>
        </w:rPr>
        <w:t>外围</w:t>
      </w:r>
      <w:r>
        <w:rPr>
          <w:rFonts w:ascii="Times New Roman" w:eastAsia="宋体" w:hAnsi="Times New Roman" w:cs="宋体"/>
          <w:color w:val="auto"/>
          <w:spacing w:val="-2"/>
          <w:sz w:val="24"/>
          <w:szCs w:val="24"/>
          <w:lang w:eastAsia="zh-CN"/>
        </w:rPr>
        <w:t>设置防污帘隔离带</w:t>
      </w:r>
      <w:r>
        <w:rPr>
          <w:rFonts w:ascii="Times New Roman" w:eastAsia="宋体" w:hAnsi="Times New Roman" w:cs="宋体" w:hint="eastAsia"/>
          <w:color w:val="auto"/>
          <w:spacing w:val="-2"/>
          <w:sz w:val="24"/>
          <w:szCs w:val="24"/>
          <w:lang w:eastAsia="zh-CN"/>
        </w:rPr>
        <w:t>，在一定程度上影响渔船通航及停泊。因此，本项目用海对当地渔民存在一定的影响。</w:t>
      </w:r>
    </w:p>
    <w:p w14:paraId="5A74E3C8" w14:textId="33AE2414"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lastRenderedPageBreak/>
        <w:t>此外，铁炉港内有当地村民自发建设的</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处游艇码头、趸船浮码头</w:t>
      </w:r>
      <w:r>
        <w:rPr>
          <w:rFonts w:ascii="Times New Roman" w:eastAsia="宋体" w:hAnsi="Times New Roman" w:cs="宋体" w:hint="eastAsia"/>
          <w:color w:val="auto"/>
          <w:spacing w:val="-2"/>
          <w:sz w:val="24"/>
          <w:szCs w:val="24"/>
          <w:lang w:eastAsia="zh-CN"/>
        </w:rPr>
        <w:t>以及当地村民自发组织开展冲浪、摩托艇等旅游活动。清淤期间铁炉港水质</w:t>
      </w:r>
      <w:r>
        <w:rPr>
          <w:rFonts w:ascii="Times New Roman" w:eastAsia="宋体" w:hAnsi="Times New Roman" w:cs="宋体" w:hint="eastAsia"/>
          <w:color w:val="auto"/>
          <w:spacing w:val="-2"/>
          <w:sz w:val="24"/>
          <w:szCs w:val="24"/>
          <w:lang w:eastAsia="zh-CN"/>
        </w:rPr>
        <w:t>较差，影响港内冲浪、摩托艇北上旅游活动；同时施工船舶增多，加大了该海区的通航密度，与其他进出该海域的船舶易发生相互干扰，船舶碰撞几率增高，存在一定的交通安全隐患，需加强海上航行管理。但这种影响随着施工期结束而消失，且疏浚后利于船舶通航。</w:t>
      </w:r>
    </w:p>
    <w:p w14:paraId="515364C5" w14:textId="77777777" w:rsidR="0075791A" w:rsidRDefault="00FB2864">
      <w:pPr>
        <w:spacing w:line="360" w:lineRule="auto"/>
        <w:ind w:firstLineChars="200" w:firstLine="476"/>
        <w:jc w:val="both"/>
        <w:rPr>
          <w:rFonts w:ascii="Times New Roman" w:eastAsia="宋体" w:hAnsi="Times New Roman" w:cs="宋体"/>
          <w:b/>
          <w:bCs/>
          <w:color w:val="auto"/>
          <w:spacing w:val="-3"/>
          <w:sz w:val="24"/>
          <w:szCs w:val="24"/>
          <w:lang w:eastAsia="zh-CN"/>
        </w:rPr>
      </w:pPr>
      <w:r>
        <w:rPr>
          <w:rFonts w:ascii="Times New Roman" w:eastAsia="宋体" w:hAnsi="Times New Roman" w:cs="宋体" w:hint="eastAsia"/>
          <w:b/>
          <w:bCs/>
          <w:color w:val="auto"/>
          <w:spacing w:val="-3"/>
          <w:sz w:val="24"/>
          <w:szCs w:val="24"/>
          <w:lang w:eastAsia="zh-CN"/>
        </w:rPr>
        <w:t>（</w:t>
      </w:r>
      <w:r>
        <w:rPr>
          <w:rFonts w:ascii="Times New Roman" w:eastAsia="宋体" w:hAnsi="Times New Roman" w:cs="宋体" w:hint="eastAsia"/>
          <w:b/>
          <w:bCs/>
          <w:color w:val="auto"/>
          <w:spacing w:val="-3"/>
          <w:sz w:val="24"/>
          <w:szCs w:val="24"/>
          <w:lang w:eastAsia="zh-CN"/>
        </w:rPr>
        <w:t>6</w:t>
      </w:r>
      <w:r>
        <w:rPr>
          <w:rFonts w:ascii="Times New Roman" w:eastAsia="宋体" w:hAnsi="Times New Roman" w:cs="宋体" w:hint="eastAsia"/>
          <w:b/>
          <w:bCs/>
          <w:color w:val="auto"/>
          <w:spacing w:val="-3"/>
          <w:sz w:val="24"/>
          <w:szCs w:val="24"/>
          <w:lang w:eastAsia="zh-CN"/>
        </w:rPr>
        <w:t>）对项目区域土地所有者的影响</w:t>
      </w:r>
    </w:p>
    <w:p w14:paraId="074DAFBD"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本项目因构筑物建设偏移、设计变更等造成透水构筑物新增用海</w:t>
      </w:r>
      <w:r>
        <w:rPr>
          <w:rFonts w:ascii="Times New Roman" w:eastAsia="宋体" w:hAnsi="Times New Roman" w:cs="宋体" w:hint="eastAsia"/>
          <w:color w:val="auto"/>
          <w:spacing w:val="-2"/>
          <w:sz w:val="24"/>
          <w:szCs w:val="24"/>
          <w:lang w:eastAsia="zh-CN"/>
        </w:rPr>
        <w:t>0.3793</w:t>
      </w:r>
      <w:r>
        <w:rPr>
          <w:rFonts w:ascii="Times New Roman" w:eastAsia="宋体" w:hAnsi="Times New Roman" w:cs="宋体" w:hint="eastAsia"/>
          <w:color w:val="auto"/>
          <w:spacing w:val="-2"/>
          <w:sz w:val="24"/>
          <w:szCs w:val="24"/>
          <w:lang w:eastAsia="zh-CN"/>
        </w:rPr>
        <w:t>公顷，其中</w:t>
      </w:r>
      <w:r>
        <w:rPr>
          <w:rFonts w:ascii="宋体" w:eastAsia="宋体" w:hAnsi="宋体" w:cs="宋体" w:hint="eastAsia"/>
          <w:color w:val="auto"/>
          <w:sz w:val="24"/>
          <w:szCs w:val="24"/>
          <w:lang w:eastAsia="zh-CN" w:bidi="ar"/>
        </w:rPr>
        <w:t>占用江林村农民集体的已确权土地，面积为</w:t>
      </w:r>
      <w:r>
        <w:rPr>
          <w:rFonts w:ascii="宋体" w:eastAsia="宋体" w:hAnsi="宋体" w:cs="宋体" w:hint="eastAsia"/>
          <w:color w:val="auto"/>
          <w:sz w:val="24"/>
          <w:szCs w:val="24"/>
          <w:lang w:eastAsia="zh-CN" w:bidi="ar"/>
        </w:rPr>
        <w:t>0.0065</w:t>
      </w:r>
      <w:r>
        <w:rPr>
          <w:rFonts w:ascii="宋体" w:eastAsia="宋体" w:hAnsi="宋体" w:cs="宋体" w:hint="eastAsia"/>
          <w:color w:val="auto"/>
          <w:sz w:val="24"/>
          <w:szCs w:val="24"/>
          <w:lang w:eastAsia="zh-CN" w:bidi="ar"/>
        </w:rPr>
        <w:t>公顷</w:t>
      </w:r>
      <w:r>
        <w:rPr>
          <w:rFonts w:ascii="Times New Roman" w:eastAsia="宋体" w:hAnsi="Times New Roman" w:cs="宋体" w:hint="eastAsia"/>
          <w:color w:val="auto"/>
          <w:spacing w:val="-2"/>
          <w:sz w:val="24"/>
          <w:szCs w:val="24"/>
          <w:lang w:eastAsia="zh-CN"/>
        </w:rPr>
        <w:t>；同时在疏浚区南侧接岸线区域存在</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处已确权土地，权属为青田村委会，面积为</w:t>
      </w:r>
      <w:r>
        <w:rPr>
          <w:rFonts w:ascii="Times New Roman" w:eastAsia="宋体" w:hAnsi="Times New Roman" w:cs="宋体" w:hint="eastAsia"/>
          <w:color w:val="auto"/>
          <w:spacing w:val="-2"/>
          <w:sz w:val="24"/>
          <w:szCs w:val="24"/>
          <w:lang w:eastAsia="zh-CN"/>
        </w:rPr>
        <w:t>0.54</w:t>
      </w:r>
      <w:r>
        <w:rPr>
          <w:rFonts w:ascii="Times New Roman" w:eastAsia="宋体" w:hAnsi="Times New Roman" w:cs="宋体" w:hint="eastAsia"/>
          <w:color w:val="auto"/>
          <w:spacing w:val="-2"/>
          <w:sz w:val="24"/>
          <w:szCs w:val="24"/>
          <w:lang w:eastAsia="zh-CN"/>
        </w:rPr>
        <w:t>公顷。</w:t>
      </w:r>
    </w:p>
    <w:p w14:paraId="4A5B94CA" w14:textId="77777777" w:rsidR="0075791A" w:rsidRDefault="00FB2864">
      <w:pPr>
        <w:spacing w:line="360" w:lineRule="auto"/>
        <w:ind w:firstLineChars="200" w:firstLine="476"/>
        <w:jc w:val="both"/>
        <w:rPr>
          <w:rFonts w:ascii="Times New Roman" w:eastAsia="宋体" w:hAnsi="Times New Roman" w:cs="宋体"/>
          <w:b/>
          <w:bCs/>
          <w:color w:val="auto"/>
          <w:spacing w:val="-3"/>
          <w:sz w:val="24"/>
          <w:szCs w:val="24"/>
          <w:lang w:eastAsia="zh-CN"/>
        </w:rPr>
      </w:pPr>
      <w:r>
        <w:rPr>
          <w:rFonts w:ascii="Times New Roman" w:eastAsia="宋体" w:hAnsi="Times New Roman" w:cs="宋体" w:hint="eastAsia"/>
          <w:b/>
          <w:bCs/>
          <w:color w:val="auto"/>
          <w:spacing w:val="-3"/>
          <w:sz w:val="24"/>
          <w:szCs w:val="24"/>
          <w:lang w:eastAsia="zh-CN"/>
        </w:rPr>
        <w:t>（</w:t>
      </w:r>
      <w:r>
        <w:rPr>
          <w:rFonts w:ascii="Times New Roman" w:eastAsia="宋体" w:hAnsi="Times New Roman" w:cs="宋体" w:hint="eastAsia"/>
          <w:b/>
          <w:bCs/>
          <w:color w:val="auto"/>
          <w:spacing w:val="-3"/>
          <w:sz w:val="24"/>
          <w:szCs w:val="24"/>
          <w:lang w:eastAsia="zh-CN"/>
        </w:rPr>
        <w:t>7</w:t>
      </w:r>
      <w:r>
        <w:rPr>
          <w:rFonts w:ascii="Times New Roman" w:eastAsia="宋体" w:hAnsi="Times New Roman" w:cs="宋体" w:hint="eastAsia"/>
          <w:b/>
          <w:bCs/>
          <w:color w:val="auto"/>
          <w:spacing w:val="-3"/>
          <w:sz w:val="24"/>
          <w:szCs w:val="24"/>
          <w:lang w:eastAsia="zh-CN"/>
        </w:rPr>
        <w:t>）对特殊用海的影响分析</w:t>
      </w:r>
    </w:p>
    <w:p w14:paraId="3667ECE3" w14:textId="77777777" w:rsidR="0075791A" w:rsidRDefault="00FB2864">
      <w:pPr>
        <w:spacing w:line="360" w:lineRule="auto"/>
        <w:ind w:firstLineChars="200" w:firstLine="478"/>
        <w:jc w:val="both"/>
        <w:rPr>
          <w:rFonts w:ascii="Times New Roman" w:eastAsia="宋体" w:hAnsi="Times New Roman" w:cs="宋体"/>
          <w:color w:val="auto"/>
          <w:spacing w:val="-2"/>
          <w:sz w:val="24"/>
          <w:szCs w:val="24"/>
          <w:highlight w:val="yellow"/>
          <w:lang w:eastAsia="zh-CN"/>
        </w:rPr>
      </w:pPr>
      <w:r>
        <w:rPr>
          <w:rFonts w:ascii="Times New Roman" w:eastAsia="宋体" w:hAnsi="Times New Roman" w:cs="宋体" w:hint="eastAsia"/>
          <w:b/>
          <w:bCs/>
          <w:color w:val="auto"/>
          <w:spacing w:val="-2"/>
          <w:sz w:val="24"/>
          <w:szCs w:val="24"/>
          <w:lang w:eastAsia="zh-CN"/>
        </w:rPr>
        <w:t>①对</w:t>
      </w:r>
      <w:r>
        <w:rPr>
          <w:rFonts w:ascii="宋体" w:eastAsia="宋体" w:hAnsi="宋体" w:cs="宋体" w:hint="eastAsia"/>
          <w:b/>
          <w:bCs/>
          <w:color w:val="auto"/>
          <w:sz w:val="24"/>
          <w:szCs w:val="24"/>
          <w:lang w:eastAsia="zh-CN"/>
        </w:rPr>
        <w:t>三亚铁炉港红树林自然保护区的影响：</w:t>
      </w:r>
      <w:r>
        <w:rPr>
          <w:rFonts w:ascii="Times New Roman" w:eastAsia="宋体" w:hAnsi="Times New Roman" w:cs="宋体"/>
          <w:color w:val="auto"/>
          <w:spacing w:val="-2"/>
          <w:sz w:val="24"/>
          <w:szCs w:val="24"/>
          <w:lang w:eastAsia="zh-CN"/>
        </w:rPr>
        <w:t>本项目</w:t>
      </w:r>
      <w:r>
        <w:rPr>
          <w:rFonts w:ascii="Times New Roman" w:eastAsia="宋体" w:hAnsi="Times New Roman" w:cs="宋体" w:hint="eastAsia"/>
          <w:color w:val="auto"/>
          <w:spacing w:val="-2"/>
          <w:sz w:val="24"/>
          <w:szCs w:val="24"/>
          <w:lang w:eastAsia="zh-CN"/>
        </w:rPr>
        <w:t>占用铁炉港红树林保护区范围内，主要为核心区、实验区，但旨在保护和修复红树林，不对红树林造成破坏</w:t>
      </w:r>
      <w:r>
        <w:rPr>
          <w:rFonts w:ascii="Times New Roman" w:eastAsia="宋体" w:hAnsi="Times New Roman" w:cs="宋体"/>
          <w:color w:val="auto"/>
          <w:spacing w:val="-2"/>
          <w:sz w:val="24"/>
          <w:szCs w:val="24"/>
          <w:lang w:eastAsia="zh-CN"/>
        </w:rPr>
        <w:t>。本项目通过</w:t>
      </w:r>
      <w:r>
        <w:rPr>
          <w:rFonts w:ascii="Times New Roman" w:eastAsia="宋体" w:hAnsi="Times New Roman" w:cs="宋体" w:hint="eastAsia"/>
          <w:color w:val="auto"/>
          <w:spacing w:val="-2"/>
          <w:sz w:val="24"/>
          <w:szCs w:val="24"/>
          <w:lang w:eastAsia="zh-CN"/>
        </w:rPr>
        <w:t>一系列保护和修复手段，</w:t>
      </w:r>
      <w:r>
        <w:rPr>
          <w:rFonts w:ascii="Times New Roman" w:eastAsia="宋体" w:hAnsi="Times New Roman" w:cs="宋体"/>
          <w:color w:val="auto"/>
          <w:spacing w:val="-2"/>
          <w:sz w:val="24"/>
          <w:szCs w:val="24"/>
          <w:lang w:eastAsia="zh-CN"/>
        </w:rPr>
        <w:t>消除外部生态胁迫因素，提升湿地净化调蓄、纳潮排涝功能保护与修复红树林湿地系统；保护我国最大个体濒危珍稀古树群；整体提升铁炉港生态环境质量；建立巡护管理设施，完善巡护道路体系，助力铁炉港成为红树林保护修复示范园</w:t>
      </w:r>
      <w:r>
        <w:rPr>
          <w:rFonts w:ascii="Times New Roman" w:eastAsia="宋体" w:hAnsi="Times New Roman" w:cs="宋体" w:hint="eastAsia"/>
          <w:color w:val="auto"/>
          <w:spacing w:val="-2"/>
          <w:sz w:val="24"/>
          <w:szCs w:val="24"/>
          <w:lang w:eastAsia="zh-CN"/>
        </w:rPr>
        <w:t>。为了更好的保护修复红树林湿地系统，项目实施主要内容包括了增加红树林和防护林面积、巡护设施、管理站、监测点等。</w:t>
      </w:r>
      <w:r>
        <w:rPr>
          <w:rFonts w:ascii="Times New Roman" w:eastAsia="宋体" w:hAnsi="Times New Roman" w:cs="宋体" w:hint="eastAsia"/>
          <w:color w:val="auto"/>
          <w:spacing w:val="-2"/>
          <w:sz w:val="24"/>
          <w:szCs w:val="24"/>
          <w:lang w:eastAsia="zh-CN"/>
        </w:rPr>
        <w:t>本项目在铁炉港海中海北侧潮汐通道淤积严重处进行清淤疏浚，以确保潮汐通道水流通畅，提升潟湖水体与外海水体的交换能力，改善潟湖水质，助力红树林、海草床的修复，同时</w:t>
      </w:r>
      <w:r>
        <w:rPr>
          <w:rFonts w:ascii="Times New Roman" w:eastAsia="宋体" w:hAnsi="Times New Roman" w:cs="宋体" w:hint="eastAsia"/>
          <w:color w:val="auto"/>
          <w:sz w:val="24"/>
          <w:szCs w:val="24"/>
          <w:lang w:val="zh-CN" w:eastAsia="zh-CN"/>
        </w:rPr>
        <w:t>通过湿地的建设提升河口区纳潮排涝能力</w:t>
      </w:r>
      <w:r>
        <w:rPr>
          <w:rFonts w:ascii="Times New Roman" w:eastAsia="宋体" w:hAnsi="Times New Roman" w:cs="宋体" w:hint="eastAsia"/>
          <w:color w:val="auto"/>
          <w:sz w:val="24"/>
          <w:szCs w:val="24"/>
          <w:lang w:val="zh-CN" w:eastAsia="zh-CN"/>
        </w:rPr>
        <w:t>，进一步提升防灾减灾能力。</w:t>
      </w:r>
    </w:p>
    <w:p w14:paraId="4BF7A2B2"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因此，本项目建设是对保护区无不利影响。</w:t>
      </w:r>
    </w:p>
    <w:p w14:paraId="76296585" w14:textId="77777777" w:rsidR="0075791A" w:rsidRDefault="00FB2864">
      <w:pPr>
        <w:spacing w:line="360" w:lineRule="auto"/>
        <w:ind w:firstLineChars="200" w:firstLine="478"/>
        <w:jc w:val="both"/>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color w:val="auto"/>
          <w:spacing w:val="-2"/>
          <w:sz w:val="24"/>
          <w:szCs w:val="24"/>
          <w:lang w:eastAsia="zh-CN"/>
        </w:rPr>
        <w:t>②对军事用海的影响：</w:t>
      </w:r>
    </w:p>
    <w:p w14:paraId="2D289DDF"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项目用海不占用部队训练用海区域及码头区域。</w:t>
      </w:r>
    </w:p>
    <w:p w14:paraId="0A3D45E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项目建设对铁炉港内水动力改变较小，尤其是清淤不会对铁炉港水深及纳潮量造成影响，因此不会影响部队码头使用功能。</w:t>
      </w:r>
    </w:p>
    <w:p w14:paraId="6BAFC393"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项目施工期，疏浚时海上施工作业将占用一定的海域空间，疏浚船、物料运输船等进出港区加大了部队码头区域的通航密度，船舶碰撞几率增高，存在一定的交通安全隐患。</w:t>
      </w:r>
    </w:p>
    <w:p w14:paraId="50EEC6A0" w14:textId="77777777" w:rsidR="0075791A" w:rsidRDefault="00FB2864">
      <w:pPr>
        <w:spacing w:line="360" w:lineRule="auto"/>
        <w:ind w:firstLineChars="200" w:firstLine="476"/>
        <w:jc w:val="both"/>
        <w:rPr>
          <w:rFonts w:ascii="Times New Roman" w:eastAsia="宋体" w:hAnsi="Times New Roman" w:cs="宋体"/>
          <w:b/>
          <w:bCs/>
          <w:color w:val="auto"/>
          <w:spacing w:val="-3"/>
          <w:sz w:val="24"/>
          <w:szCs w:val="24"/>
          <w:lang w:eastAsia="zh-CN"/>
        </w:rPr>
      </w:pPr>
      <w:r>
        <w:rPr>
          <w:rFonts w:ascii="Times New Roman" w:eastAsia="宋体" w:hAnsi="Times New Roman" w:cs="宋体" w:hint="eastAsia"/>
          <w:b/>
          <w:bCs/>
          <w:color w:val="auto"/>
          <w:spacing w:val="-3"/>
          <w:sz w:val="24"/>
          <w:szCs w:val="24"/>
          <w:lang w:eastAsia="zh-CN"/>
        </w:rPr>
        <w:t>（</w:t>
      </w:r>
      <w:r>
        <w:rPr>
          <w:rFonts w:ascii="Times New Roman" w:eastAsia="宋体" w:hAnsi="Times New Roman" w:cs="宋体" w:hint="eastAsia"/>
          <w:b/>
          <w:bCs/>
          <w:color w:val="auto"/>
          <w:spacing w:val="-3"/>
          <w:sz w:val="24"/>
          <w:szCs w:val="24"/>
          <w:lang w:eastAsia="zh-CN"/>
        </w:rPr>
        <w:t>8</w:t>
      </w:r>
      <w:r>
        <w:rPr>
          <w:rFonts w:ascii="Times New Roman" w:eastAsia="宋体" w:hAnsi="Times New Roman" w:cs="宋体" w:hint="eastAsia"/>
          <w:b/>
          <w:bCs/>
          <w:color w:val="auto"/>
          <w:spacing w:val="-3"/>
          <w:sz w:val="24"/>
          <w:szCs w:val="24"/>
          <w:lang w:eastAsia="zh-CN"/>
        </w:rPr>
        <w:t>）对周边海岛的影响</w:t>
      </w:r>
    </w:p>
    <w:p w14:paraId="7346DB70" w14:textId="77777777" w:rsidR="0075791A" w:rsidRDefault="00FB2864">
      <w:pPr>
        <w:spacing w:line="348" w:lineRule="auto"/>
        <w:ind w:firstLineChars="200" w:firstLine="476"/>
        <w:jc w:val="both"/>
        <w:rPr>
          <w:rFonts w:ascii="Times New Roman" w:eastAsia="宋体" w:hAnsi="Times New Roman" w:cs="Times New Roman"/>
          <w:snapToGrid/>
          <w:color w:val="auto"/>
          <w:kern w:val="2"/>
          <w:sz w:val="24"/>
          <w:szCs w:val="24"/>
          <w:lang w:eastAsia="zh-CN"/>
        </w:rPr>
      </w:pPr>
      <w:r>
        <w:rPr>
          <w:rFonts w:ascii="Times New Roman" w:eastAsia="宋体" w:hAnsi="Times New Roman" w:cs="宋体" w:hint="eastAsia"/>
          <w:color w:val="auto"/>
          <w:spacing w:val="-2"/>
          <w:sz w:val="24"/>
          <w:szCs w:val="24"/>
          <w:lang w:eastAsia="zh-CN"/>
        </w:rPr>
        <w:t>距离本项目较近的分别有真帆石和牛车仔岛，均为基岩岛，无植被生长。其中真帆石距离本项目约为</w:t>
      </w:r>
      <w:r>
        <w:rPr>
          <w:rFonts w:ascii="Times New Roman" w:eastAsia="宋体" w:hAnsi="Times New Roman" w:cs="宋体" w:hint="eastAsia"/>
          <w:color w:val="auto"/>
          <w:spacing w:val="-2"/>
          <w:sz w:val="24"/>
          <w:szCs w:val="24"/>
          <w:lang w:eastAsia="zh-CN"/>
        </w:rPr>
        <w:t>2.6km</w:t>
      </w:r>
      <w:r>
        <w:rPr>
          <w:rFonts w:ascii="Times New Roman" w:eastAsia="宋体" w:hAnsi="Times New Roman" w:cs="宋体" w:hint="eastAsia"/>
          <w:color w:val="auto"/>
          <w:spacing w:val="-2"/>
          <w:sz w:val="24"/>
          <w:szCs w:val="24"/>
          <w:lang w:eastAsia="zh-CN"/>
        </w:rPr>
        <w:t>，牛车仔岛距离本项目约为</w:t>
      </w:r>
      <w:r>
        <w:rPr>
          <w:rFonts w:ascii="Times New Roman" w:eastAsia="宋体" w:hAnsi="Times New Roman" w:cs="宋体" w:hint="eastAsia"/>
          <w:color w:val="auto"/>
          <w:spacing w:val="-2"/>
          <w:sz w:val="24"/>
          <w:szCs w:val="24"/>
          <w:lang w:eastAsia="zh-CN"/>
        </w:rPr>
        <w:t>5.1km</w:t>
      </w:r>
      <w:r>
        <w:rPr>
          <w:rFonts w:ascii="Times New Roman" w:eastAsia="宋体" w:hAnsi="Times New Roman" w:cs="宋体" w:hint="eastAsia"/>
          <w:color w:val="auto"/>
          <w:spacing w:val="-2"/>
          <w:sz w:val="24"/>
          <w:szCs w:val="24"/>
          <w:lang w:eastAsia="zh-CN"/>
        </w:rPr>
        <w:t>。根据项目水动力及冲淤环境</w:t>
      </w:r>
      <w:r>
        <w:rPr>
          <w:rFonts w:ascii="Times New Roman" w:eastAsia="宋体" w:hAnsi="Times New Roman" w:cs="宋体" w:hint="eastAsia"/>
          <w:color w:val="auto"/>
          <w:spacing w:val="-2"/>
          <w:sz w:val="24"/>
          <w:szCs w:val="24"/>
          <w:lang w:eastAsia="zh-CN"/>
        </w:rPr>
        <w:lastRenderedPageBreak/>
        <w:t>影响分析，项目建设后</w:t>
      </w:r>
      <w:r>
        <w:rPr>
          <w:rFonts w:ascii="Times New Roman" w:eastAsia="宋体" w:hAnsi="Times New Roman" w:cs="Times New Roman" w:hint="eastAsia"/>
          <w:snapToGrid/>
          <w:color w:val="auto"/>
          <w:kern w:val="2"/>
          <w:sz w:val="24"/>
          <w:szCs w:val="24"/>
          <w:lang w:eastAsia="zh-CN"/>
        </w:rPr>
        <w:t>港内流速变化不大；</w:t>
      </w:r>
      <w:r>
        <w:rPr>
          <w:rFonts w:ascii="Times New Roman" w:eastAsia="宋体" w:hAnsi="Times New Roman" w:cs="Times New Roman" w:hint="eastAsia"/>
          <w:snapToGrid/>
          <w:color w:val="auto"/>
          <w:kern w:val="2"/>
          <w:sz w:val="24"/>
          <w:szCs w:val="24"/>
          <w:lang w:eastAsia="zh-CN"/>
        </w:rPr>
        <w:t>工程周边</w:t>
      </w:r>
      <w:r>
        <w:rPr>
          <w:rFonts w:ascii="Times New Roman" w:eastAsia="宋体" w:hAnsi="Times New Roman" w:cs="Times New Roman" w:hint="eastAsia"/>
          <w:snapToGrid/>
          <w:color w:val="auto"/>
          <w:kern w:val="2"/>
          <w:sz w:val="24"/>
          <w:szCs w:val="24"/>
          <w:lang w:eastAsia="zh-CN"/>
        </w:rPr>
        <w:t>的冲淤变化程度最大的区域</w:t>
      </w:r>
      <w:r>
        <w:rPr>
          <w:rFonts w:ascii="宋体" w:hAnsi="宋体" w:hint="eastAsia"/>
          <w:color w:val="auto"/>
          <w:sz w:val="24"/>
          <w:lang w:eastAsia="zh-CN"/>
        </w:rPr>
        <w:t>主要集中在疏浚区及附近的小范围内，冲淤幅度也较小，最大值在±</w:t>
      </w:r>
      <w:r>
        <w:rPr>
          <w:rFonts w:ascii="宋体" w:hAnsi="宋体" w:hint="eastAsia"/>
          <w:color w:val="auto"/>
          <w:sz w:val="24"/>
          <w:lang w:eastAsia="zh-CN"/>
        </w:rPr>
        <w:t>13</w:t>
      </w:r>
      <w:r>
        <w:rPr>
          <w:rFonts w:ascii="宋体" w:hAnsi="宋体"/>
          <w:color w:val="auto"/>
          <w:sz w:val="24"/>
          <w:lang w:eastAsia="zh-CN"/>
        </w:rPr>
        <w:t>cm/a</w:t>
      </w:r>
      <w:r>
        <w:rPr>
          <w:rFonts w:ascii="宋体" w:hAnsi="宋体" w:hint="eastAsia"/>
          <w:color w:val="auto"/>
          <w:sz w:val="24"/>
          <w:lang w:eastAsia="zh-CN"/>
        </w:rPr>
        <w:t>左右</w:t>
      </w:r>
      <w:r>
        <w:rPr>
          <w:rFonts w:ascii="Times New Roman" w:eastAsia="宋体" w:hAnsi="Times New Roman" w:cs="Times New Roman" w:hint="eastAsia"/>
          <w:snapToGrid/>
          <w:color w:val="auto"/>
          <w:kern w:val="2"/>
          <w:sz w:val="24"/>
          <w:szCs w:val="24"/>
          <w:lang w:eastAsia="zh-CN"/>
        </w:rPr>
        <w:t>，后水湾附近海域水动力及冲淤环境均无变化，不会影响海岛稳定性。</w:t>
      </w:r>
    </w:p>
    <w:p w14:paraId="005D4670"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276" w:name="bookmark44"/>
      <w:bookmarkStart w:id="277" w:name="_Toc4342"/>
      <w:bookmarkStart w:id="278" w:name="_Toc21514"/>
      <w:bookmarkStart w:id="279" w:name="_Toc32358"/>
      <w:bookmarkEnd w:id="276"/>
      <w:r>
        <w:rPr>
          <w:rFonts w:ascii="Times New Roman" w:eastAsia="宋体" w:hAnsi="Times New Roman" w:cs="Times New Roman" w:hint="eastAsia"/>
          <w:b/>
          <w:bCs/>
          <w:color w:val="auto"/>
          <w:spacing w:val="-6"/>
          <w:sz w:val="30"/>
          <w:szCs w:val="30"/>
          <w:lang w:eastAsia="zh-CN"/>
        </w:rPr>
        <w:t>5</w:t>
      </w:r>
      <w:r>
        <w:rPr>
          <w:rFonts w:ascii="Times New Roman" w:eastAsia="Times New Roman" w:hAnsi="Times New Roman" w:cs="Times New Roman"/>
          <w:b/>
          <w:bCs/>
          <w:color w:val="auto"/>
          <w:spacing w:val="-6"/>
          <w:sz w:val="30"/>
          <w:szCs w:val="30"/>
          <w:lang w:eastAsia="zh-CN"/>
        </w:rPr>
        <w:t>.3利益相关者界定</w:t>
      </w:r>
      <w:bookmarkEnd w:id="277"/>
      <w:bookmarkEnd w:id="278"/>
      <w:bookmarkEnd w:id="279"/>
    </w:p>
    <w:p w14:paraId="1563D5C9" w14:textId="77777777" w:rsidR="0075791A" w:rsidRDefault="00FB2864">
      <w:pPr>
        <w:spacing w:line="348"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根据《海域使用论证技术导则》，利益相关者是指与项目用海有直接或间接连带关系或者受到项目用海影响的开发者、利益者，即与用海项目存在利害关系的个人、企事业单位或其它组织或团体。</w:t>
      </w:r>
    </w:p>
    <w:p w14:paraId="320D421C" w14:textId="77777777" w:rsidR="0075791A" w:rsidRDefault="00FB2864">
      <w:pPr>
        <w:spacing w:line="348" w:lineRule="auto"/>
        <w:ind w:firstLineChars="200" w:firstLine="476"/>
        <w:jc w:val="both"/>
        <w:rPr>
          <w:rFonts w:ascii="Times New Roman" w:eastAsia="宋体" w:hAnsi="Times New Roman" w:cs="宋体"/>
          <w:color w:val="auto"/>
          <w:spacing w:val="-3"/>
          <w:sz w:val="24"/>
          <w:szCs w:val="24"/>
          <w:lang w:eastAsia="zh-CN"/>
        </w:rPr>
      </w:pPr>
      <w:r>
        <w:rPr>
          <w:rFonts w:ascii="Times New Roman" w:eastAsia="宋体" w:hAnsi="Times New Roman" w:cs="宋体" w:hint="eastAsia"/>
          <w:color w:val="auto"/>
          <w:spacing w:val="-2"/>
          <w:sz w:val="24"/>
          <w:szCs w:val="24"/>
          <w:lang w:eastAsia="zh-CN"/>
        </w:rPr>
        <w:t>根据项目用海对所在海域开发活动的影响分析，</w:t>
      </w:r>
      <w:r>
        <w:rPr>
          <w:rFonts w:ascii="Times New Roman" w:eastAsia="宋体" w:hAnsi="Times New Roman" w:cs="宋体"/>
          <w:color w:val="auto"/>
          <w:sz w:val="24"/>
          <w:szCs w:val="24"/>
          <w:lang w:eastAsia="zh-CN"/>
        </w:rPr>
        <w:t>本项目</w:t>
      </w:r>
      <w:r>
        <w:rPr>
          <w:rFonts w:ascii="Times New Roman" w:eastAsia="宋体" w:hAnsi="Times New Roman" w:cs="宋体" w:hint="eastAsia"/>
          <w:color w:val="auto"/>
          <w:sz w:val="24"/>
          <w:szCs w:val="24"/>
          <w:lang w:eastAsia="zh-CN"/>
        </w:rPr>
        <w:t>占用已确权土地，</w:t>
      </w:r>
      <w:r>
        <w:rPr>
          <w:rFonts w:ascii="Times New Roman" w:eastAsia="宋体" w:hAnsi="Times New Roman" w:cs="宋体"/>
          <w:color w:val="auto"/>
          <w:sz w:val="24"/>
          <w:szCs w:val="24"/>
          <w:lang w:eastAsia="zh-CN"/>
        </w:rPr>
        <w:t>直接利益相关者</w:t>
      </w:r>
      <w:r>
        <w:rPr>
          <w:rFonts w:ascii="Times New Roman" w:eastAsia="宋体" w:hAnsi="Times New Roman" w:cs="宋体" w:hint="eastAsia"/>
          <w:color w:val="auto"/>
          <w:sz w:val="24"/>
          <w:szCs w:val="24"/>
          <w:lang w:eastAsia="zh-CN"/>
        </w:rPr>
        <w:t>江林村农民集体</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pacing w:val="-2"/>
          <w:sz w:val="24"/>
          <w:szCs w:val="24"/>
          <w:lang w:eastAsia="zh-CN"/>
        </w:rPr>
        <w:t>另外，需将位于海域的已确权土地征收，之后按海域管理，办理用海确权，需协调海棠区人民政府；项目施工期间，施工船舶增加了后海渔港、铁炉港潟湖内船舶通行密度，对通航安全造成一定影响，需办理水上施工许可，发布航行通（警）告，用海单位需在项目建设中海事管理部门做好协调工作，</w:t>
      </w:r>
      <w:r>
        <w:rPr>
          <w:rFonts w:ascii="Times New Roman" w:eastAsia="宋体" w:hAnsi="Times New Roman" w:cs="宋体"/>
          <w:color w:val="auto"/>
          <w:sz w:val="24"/>
          <w:szCs w:val="24"/>
          <w:lang w:eastAsia="zh-CN"/>
        </w:rPr>
        <w:t>因此，本项目用海需要协调的部门为：</w:t>
      </w:r>
      <w:r>
        <w:rPr>
          <w:rFonts w:ascii="Times New Roman" w:eastAsia="宋体" w:hAnsi="Times New Roman" w:cs="宋体" w:hint="eastAsia"/>
          <w:color w:val="auto"/>
          <w:spacing w:val="-2"/>
          <w:sz w:val="24"/>
          <w:szCs w:val="24"/>
          <w:lang w:eastAsia="zh-CN"/>
        </w:rPr>
        <w:t>海棠区人民政府、</w:t>
      </w:r>
      <w:r>
        <w:rPr>
          <w:rFonts w:ascii="Times New Roman" w:eastAsia="宋体" w:hAnsi="Times New Roman" w:cs="宋体" w:hint="eastAsia"/>
          <w:color w:val="auto"/>
          <w:spacing w:val="-2"/>
          <w:sz w:val="24"/>
          <w:szCs w:val="24"/>
          <w:lang w:eastAsia="zh-CN"/>
        </w:rPr>
        <w:t>三亚海事局</w:t>
      </w:r>
      <w:r>
        <w:rPr>
          <w:rFonts w:ascii="Times New Roman" w:eastAsia="宋体" w:hAnsi="Times New Roman" w:cs="宋体"/>
          <w:color w:val="auto"/>
          <w:sz w:val="24"/>
          <w:szCs w:val="24"/>
          <w:lang w:eastAsia="zh-CN"/>
        </w:rPr>
        <w:t>。具体情况见表</w:t>
      </w:r>
      <w:r>
        <w:rPr>
          <w:rFonts w:ascii="Times New Roman" w:eastAsia="宋体" w:hAnsi="Times New Roman" w:cs="Times New Roman" w:hint="eastAsia"/>
          <w:color w:val="auto"/>
          <w:sz w:val="24"/>
          <w:szCs w:val="24"/>
          <w:lang w:eastAsia="zh-CN"/>
        </w:rPr>
        <w:t>5</w:t>
      </w:r>
      <w:r>
        <w:rPr>
          <w:rFonts w:ascii="Times New Roman" w:eastAsia="Times New Roman" w:hAnsi="Times New Roman" w:cs="Times New Roman"/>
          <w:color w:val="auto"/>
          <w:sz w:val="24"/>
          <w:szCs w:val="24"/>
          <w:lang w:eastAsia="zh-CN"/>
        </w:rPr>
        <w:t>.3</w:t>
      </w:r>
      <w:r>
        <w:rPr>
          <w:rFonts w:ascii="Times New Roman" w:eastAsia="Times New Roman" w:hAnsi="Times New Roman" w:cs="Times New Roman"/>
          <w:color w:val="auto"/>
          <w:spacing w:val="-1"/>
          <w:sz w:val="24"/>
          <w:szCs w:val="24"/>
          <w:lang w:eastAsia="zh-CN"/>
        </w:rPr>
        <w:t>-1</w:t>
      </w:r>
      <w:r>
        <w:rPr>
          <w:rFonts w:ascii="Times New Roman" w:eastAsia="宋体" w:hAnsi="Times New Roman" w:cs="Times New Roman" w:hint="eastAsia"/>
          <w:color w:val="auto"/>
          <w:spacing w:val="-1"/>
          <w:sz w:val="24"/>
          <w:szCs w:val="24"/>
          <w:lang w:eastAsia="zh-CN"/>
        </w:rPr>
        <w:t>、</w:t>
      </w:r>
      <w:r>
        <w:rPr>
          <w:rFonts w:ascii="Times New Roman" w:eastAsia="宋体" w:hAnsi="Times New Roman" w:cs="宋体"/>
          <w:color w:val="auto"/>
          <w:sz w:val="24"/>
          <w:szCs w:val="24"/>
          <w:lang w:eastAsia="zh-CN"/>
        </w:rPr>
        <w:t>表</w:t>
      </w:r>
      <w:r>
        <w:rPr>
          <w:rFonts w:ascii="Times New Roman" w:eastAsia="宋体" w:hAnsi="Times New Roman" w:cs="Times New Roman" w:hint="eastAsia"/>
          <w:color w:val="auto"/>
          <w:sz w:val="24"/>
          <w:szCs w:val="24"/>
          <w:lang w:eastAsia="zh-CN"/>
        </w:rPr>
        <w:t>5</w:t>
      </w:r>
      <w:r>
        <w:rPr>
          <w:rFonts w:ascii="Times New Roman" w:eastAsia="Times New Roman" w:hAnsi="Times New Roman" w:cs="Times New Roman"/>
          <w:color w:val="auto"/>
          <w:sz w:val="24"/>
          <w:szCs w:val="24"/>
          <w:lang w:eastAsia="zh-CN"/>
        </w:rPr>
        <w:t>.3</w:t>
      </w:r>
      <w:r>
        <w:rPr>
          <w:rFonts w:ascii="Times New Roman" w:eastAsia="Times New Roman" w:hAnsi="Times New Roman" w:cs="Times New Roman"/>
          <w:color w:val="auto"/>
          <w:spacing w:val="-1"/>
          <w:sz w:val="24"/>
          <w:szCs w:val="24"/>
          <w:lang w:eastAsia="zh-CN"/>
        </w:rPr>
        <w:t>-</w:t>
      </w:r>
      <w:r>
        <w:rPr>
          <w:rFonts w:ascii="Times New Roman" w:eastAsia="宋体" w:hAnsi="Times New Roman" w:cs="Times New Roman" w:hint="eastAsia"/>
          <w:color w:val="auto"/>
          <w:spacing w:val="-1"/>
          <w:sz w:val="24"/>
          <w:szCs w:val="24"/>
          <w:lang w:eastAsia="zh-CN"/>
        </w:rPr>
        <w:t>2</w:t>
      </w:r>
      <w:r>
        <w:rPr>
          <w:rFonts w:ascii="Times New Roman" w:eastAsia="宋体" w:hAnsi="Times New Roman" w:cs="宋体"/>
          <w:color w:val="auto"/>
          <w:spacing w:val="-3"/>
          <w:sz w:val="24"/>
          <w:szCs w:val="24"/>
          <w:lang w:eastAsia="zh-CN"/>
        </w:rPr>
        <w:t>。</w:t>
      </w:r>
    </w:p>
    <w:p w14:paraId="41ADF5F5" w14:textId="77777777" w:rsidR="0075791A" w:rsidRDefault="00FB2864">
      <w:pPr>
        <w:spacing w:before="76" w:line="220" w:lineRule="auto"/>
        <w:ind w:left="2499"/>
        <w:rPr>
          <w:rFonts w:ascii="Times New Roman" w:eastAsia="宋体" w:hAnsi="Times New Roman" w:cs="宋体"/>
          <w:color w:val="auto"/>
          <w:sz w:val="24"/>
          <w:szCs w:val="24"/>
          <w:lang w:eastAsia="zh-CN"/>
        </w:rPr>
      </w:pPr>
      <w:r>
        <w:rPr>
          <w:rFonts w:ascii="Times New Roman" w:eastAsia="宋体" w:hAnsi="Times New Roman" w:cs="宋体"/>
          <w:color w:val="auto"/>
          <w:spacing w:val="-2"/>
          <w:sz w:val="24"/>
          <w:szCs w:val="24"/>
          <w:lang w:eastAsia="zh-CN"/>
        </w:rPr>
        <w:t>表</w:t>
      </w:r>
      <w:r>
        <w:rPr>
          <w:rFonts w:ascii="Times New Roman" w:eastAsia="宋体" w:hAnsi="Times New Roman" w:cs="Times New Roman" w:hint="eastAsia"/>
          <w:color w:val="auto"/>
          <w:spacing w:val="-2"/>
          <w:sz w:val="24"/>
          <w:szCs w:val="24"/>
          <w:lang w:eastAsia="zh-CN"/>
        </w:rPr>
        <w:t>5</w:t>
      </w:r>
      <w:r>
        <w:rPr>
          <w:rFonts w:ascii="Times New Roman" w:eastAsia="Times New Roman" w:hAnsi="Times New Roman" w:cs="Times New Roman"/>
          <w:color w:val="auto"/>
          <w:spacing w:val="-2"/>
          <w:sz w:val="24"/>
          <w:szCs w:val="24"/>
          <w:lang w:eastAsia="zh-CN"/>
        </w:rPr>
        <w:t>.3-1</w:t>
      </w:r>
      <w:r>
        <w:rPr>
          <w:rFonts w:ascii="Times New Roman" w:eastAsia="宋体" w:hAnsi="Times New Roman" w:cs="宋体"/>
          <w:color w:val="auto"/>
          <w:spacing w:val="-2"/>
          <w:sz w:val="24"/>
          <w:szCs w:val="24"/>
          <w:lang w:eastAsia="zh-CN"/>
        </w:rPr>
        <w:t>项目用海主要利益相关者界定表</w:t>
      </w:r>
    </w:p>
    <w:tbl>
      <w:tblPr>
        <w:tblStyle w:val="TableNormal"/>
        <w:tblW w:w="9088"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596"/>
        <w:gridCol w:w="1478"/>
        <w:gridCol w:w="1172"/>
        <w:gridCol w:w="1239"/>
        <w:gridCol w:w="3655"/>
        <w:gridCol w:w="948"/>
      </w:tblGrid>
      <w:tr w:rsidR="0075791A" w14:paraId="5A784FEA" w14:textId="77777777">
        <w:trPr>
          <w:trHeight w:val="630"/>
          <w:jc w:val="center"/>
        </w:trPr>
        <w:tc>
          <w:tcPr>
            <w:tcW w:w="596" w:type="dxa"/>
            <w:tcBorders>
              <w:top w:val="single" w:sz="4" w:space="0" w:color="000000"/>
              <w:left w:val="single" w:sz="4" w:space="0" w:color="000000"/>
            </w:tcBorders>
            <w:textDirection w:val="tbRlV"/>
            <w:vAlign w:val="center"/>
          </w:tcPr>
          <w:p w14:paraId="49C1967D" w14:textId="77777777" w:rsidR="0075791A" w:rsidRDefault="00FB2864">
            <w:pPr>
              <w:pStyle w:val="TableText"/>
              <w:jc w:val="center"/>
              <w:rPr>
                <w:color w:val="auto"/>
                <w:sz w:val="21"/>
                <w:szCs w:val="21"/>
              </w:rPr>
            </w:pPr>
            <w:r>
              <w:rPr>
                <w:rFonts w:hint="eastAsia"/>
                <w:color w:val="auto"/>
                <w:spacing w:val="8"/>
                <w:sz w:val="21"/>
                <w:szCs w:val="21"/>
              </w:rPr>
              <w:t>序号</w:t>
            </w:r>
          </w:p>
        </w:tc>
        <w:tc>
          <w:tcPr>
            <w:tcW w:w="1478" w:type="dxa"/>
            <w:tcBorders>
              <w:top w:val="single" w:sz="4" w:space="0" w:color="000000"/>
            </w:tcBorders>
            <w:vAlign w:val="center"/>
          </w:tcPr>
          <w:p w14:paraId="22B71520" w14:textId="77777777" w:rsidR="0075791A" w:rsidRDefault="00FB2864">
            <w:pPr>
              <w:pStyle w:val="TableText"/>
              <w:jc w:val="center"/>
              <w:rPr>
                <w:color w:val="auto"/>
                <w:sz w:val="21"/>
                <w:szCs w:val="21"/>
              </w:rPr>
            </w:pPr>
            <w:r>
              <w:rPr>
                <w:rFonts w:hint="eastAsia"/>
                <w:color w:val="auto"/>
                <w:spacing w:val="6"/>
                <w:sz w:val="21"/>
                <w:szCs w:val="21"/>
              </w:rPr>
              <w:t>附近开发用海项</w:t>
            </w:r>
            <w:r>
              <w:rPr>
                <w:rFonts w:hint="eastAsia"/>
                <w:color w:val="auto"/>
                <w:sz w:val="21"/>
                <w:szCs w:val="21"/>
              </w:rPr>
              <w:t>目</w:t>
            </w:r>
          </w:p>
        </w:tc>
        <w:tc>
          <w:tcPr>
            <w:tcW w:w="1172" w:type="dxa"/>
            <w:tcBorders>
              <w:top w:val="single" w:sz="4" w:space="0" w:color="000000"/>
            </w:tcBorders>
            <w:vAlign w:val="center"/>
          </w:tcPr>
          <w:p w14:paraId="64B22CB0" w14:textId="77777777" w:rsidR="0075791A" w:rsidRDefault="00FB2864">
            <w:pPr>
              <w:pStyle w:val="TableText"/>
              <w:jc w:val="center"/>
              <w:rPr>
                <w:color w:val="auto"/>
                <w:sz w:val="21"/>
                <w:szCs w:val="21"/>
              </w:rPr>
            </w:pPr>
            <w:r>
              <w:rPr>
                <w:rFonts w:hint="eastAsia"/>
                <w:color w:val="auto"/>
                <w:spacing w:val="7"/>
                <w:sz w:val="21"/>
                <w:szCs w:val="21"/>
              </w:rPr>
              <w:t>位置及距</w:t>
            </w:r>
            <w:r>
              <w:rPr>
                <w:rFonts w:hint="eastAsia"/>
                <w:color w:val="auto"/>
                <w:sz w:val="21"/>
                <w:szCs w:val="21"/>
              </w:rPr>
              <w:t>离</w:t>
            </w:r>
          </w:p>
        </w:tc>
        <w:tc>
          <w:tcPr>
            <w:tcW w:w="1239" w:type="dxa"/>
            <w:tcBorders>
              <w:top w:val="single" w:sz="4" w:space="0" w:color="000000"/>
            </w:tcBorders>
            <w:vAlign w:val="center"/>
          </w:tcPr>
          <w:p w14:paraId="22694164" w14:textId="77777777" w:rsidR="0075791A" w:rsidRDefault="00FB2864">
            <w:pPr>
              <w:pStyle w:val="TableText"/>
              <w:jc w:val="center"/>
              <w:rPr>
                <w:color w:val="auto"/>
                <w:sz w:val="21"/>
                <w:szCs w:val="21"/>
              </w:rPr>
            </w:pPr>
            <w:r>
              <w:rPr>
                <w:rFonts w:hint="eastAsia"/>
                <w:color w:val="auto"/>
                <w:spacing w:val="8"/>
                <w:sz w:val="21"/>
                <w:szCs w:val="21"/>
              </w:rPr>
              <w:t>主要利益相关者</w:t>
            </w:r>
          </w:p>
        </w:tc>
        <w:tc>
          <w:tcPr>
            <w:tcW w:w="3655" w:type="dxa"/>
            <w:tcBorders>
              <w:top w:val="single" w:sz="4" w:space="0" w:color="000000"/>
            </w:tcBorders>
            <w:vAlign w:val="center"/>
          </w:tcPr>
          <w:p w14:paraId="3AFE70EC" w14:textId="77777777" w:rsidR="0075791A" w:rsidRDefault="00FB2864">
            <w:pPr>
              <w:pStyle w:val="TableText"/>
              <w:jc w:val="center"/>
              <w:rPr>
                <w:color w:val="auto"/>
                <w:sz w:val="21"/>
                <w:szCs w:val="21"/>
              </w:rPr>
            </w:pPr>
            <w:r>
              <w:rPr>
                <w:rFonts w:hint="eastAsia"/>
                <w:color w:val="auto"/>
                <w:spacing w:val="7"/>
                <w:sz w:val="21"/>
                <w:szCs w:val="21"/>
              </w:rPr>
              <w:t>主要利益相关</w:t>
            </w:r>
          </w:p>
        </w:tc>
        <w:tc>
          <w:tcPr>
            <w:tcW w:w="948" w:type="dxa"/>
            <w:tcBorders>
              <w:top w:val="single" w:sz="4" w:space="0" w:color="000000"/>
              <w:right w:val="single" w:sz="4" w:space="0" w:color="000000"/>
            </w:tcBorders>
            <w:vAlign w:val="center"/>
          </w:tcPr>
          <w:p w14:paraId="4E3ECE2C" w14:textId="77777777" w:rsidR="0075791A" w:rsidRDefault="00FB2864">
            <w:pPr>
              <w:pStyle w:val="TableText"/>
              <w:jc w:val="center"/>
              <w:rPr>
                <w:color w:val="auto"/>
                <w:sz w:val="21"/>
                <w:szCs w:val="21"/>
              </w:rPr>
            </w:pPr>
            <w:r>
              <w:rPr>
                <w:rFonts w:hint="eastAsia"/>
                <w:color w:val="auto"/>
                <w:spacing w:val="6"/>
                <w:sz w:val="21"/>
                <w:szCs w:val="21"/>
              </w:rPr>
              <w:t>是否利益</w:t>
            </w:r>
            <w:r>
              <w:rPr>
                <w:rFonts w:hint="eastAsia"/>
                <w:color w:val="auto"/>
                <w:spacing w:val="4"/>
                <w:sz w:val="21"/>
                <w:szCs w:val="21"/>
              </w:rPr>
              <w:t>相关</w:t>
            </w:r>
          </w:p>
        </w:tc>
      </w:tr>
      <w:tr w:rsidR="0075791A" w14:paraId="43152269" w14:textId="77777777">
        <w:trPr>
          <w:trHeight w:val="277"/>
          <w:jc w:val="center"/>
        </w:trPr>
        <w:tc>
          <w:tcPr>
            <w:tcW w:w="596" w:type="dxa"/>
            <w:tcBorders>
              <w:top w:val="single" w:sz="4" w:space="0" w:color="000000"/>
              <w:left w:val="single" w:sz="4" w:space="0" w:color="000000"/>
            </w:tcBorders>
            <w:vAlign w:val="center"/>
          </w:tcPr>
          <w:p w14:paraId="549EAD5B" w14:textId="77777777" w:rsidR="0075791A" w:rsidRDefault="00FB2864">
            <w:pPr>
              <w:pStyle w:val="TableText"/>
              <w:jc w:val="center"/>
              <w:rPr>
                <w:color w:val="auto"/>
                <w:spacing w:val="9"/>
                <w:sz w:val="21"/>
                <w:szCs w:val="21"/>
                <w:lang w:eastAsia="zh-CN"/>
              </w:rPr>
            </w:pPr>
            <w:r>
              <w:rPr>
                <w:rFonts w:hint="eastAsia"/>
                <w:color w:val="auto"/>
                <w:spacing w:val="9"/>
                <w:sz w:val="21"/>
                <w:szCs w:val="21"/>
                <w:lang w:eastAsia="zh-CN"/>
              </w:rPr>
              <w:t>1</w:t>
            </w:r>
          </w:p>
        </w:tc>
        <w:tc>
          <w:tcPr>
            <w:tcW w:w="1478" w:type="dxa"/>
            <w:tcBorders>
              <w:top w:val="single" w:sz="4" w:space="0" w:color="000000"/>
            </w:tcBorders>
            <w:vAlign w:val="center"/>
          </w:tcPr>
          <w:p w14:paraId="666D64BB" w14:textId="77777777" w:rsidR="0075791A" w:rsidRDefault="00FB2864">
            <w:pPr>
              <w:pStyle w:val="TableText"/>
              <w:jc w:val="center"/>
              <w:rPr>
                <w:color w:val="auto"/>
                <w:spacing w:val="9"/>
                <w:sz w:val="21"/>
                <w:szCs w:val="21"/>
                <w:lang w:eastAsia="zh-CN"/>
              </w:rPr>
            </w:pPr>
            <w:r>
              <w:rPr>
                <w:rFonts w:hint="eastAsia"/>
                <w:color w:val="auto"/>
                <w:spacing w:val="9"/>
                <w:sz w:val="21"/>
                <w:szCs w:val="21"/>
                <w:lang w:eastAsia="zh-CN"/>
              </w:rPr>
              <w:t>已颁发确权土地证</w:t>
            </w:r>
          </w:p>
        </w:tc>
        <w:tc>
          <w:tcPr>
            <w:tcW w:w="1172" w:type="dxa"/>
            <w:tcBorders>
              <w:top w:val="single" w:sz="4" w:space="0" w:color="000000"/>
            </w:tcBorders>
            <w:vAlign w:val="center"/>
          </w:tcPr>
          <w:p w14:paraId="0DBE50A0" w14:textId="77777777" w:rsidR="0075791A" w:rsidRDefault="00FB2864">
            <w:pPr>
              <w:pStyle w:val="TableText"/>
              <w:jc w:val="center"/>
              <w:rPr>
                <w:color w:val="auto"/>
                <w:spacing w:val="9"/>
                <w:sz w:val="21"/>
                <w:szCs w:val="21"/>
                <w:lang w:eastAsia="zh-CN"/>
              </w:rPr>
            </w:pPr>
            <w:r>
              <w:rPr>
                <w:rFonts w:hint="eastAsia"/>
                <w:color w:val="auto"/>
                <w:spacing w:val="9"/>
                <w:sz w:val="21"/>
                <w:szCs w:val="21"/>
                <w:lang w:eastAsia="zh-CN"/>
              </w:rPr>
              <w:t>位于项目红线内，巡护道路占用</w:t>
            </w:r>
          </w:p>
        </w:tc>
        <w:tc>
          <w:tcPr>
            <w:tcW w:w="1239" w:type="dxa"/>
            <w:tcBorders>
              <w:top w:val="single" w:sz="4" w:space="0" w:color="000000"/>
            </w:tcBorders>
            <w:vAlign w:val="center"/>
          </w:tcPr>
          <w:p w14:paraId="5927B2CF" w14:textId="77777777" w:rsidR="0075791A" w:rsidRDefault="00FB2864">
            <w:pPr>
              <w:pStyle w:val="TableText"/>
              <w:jc w:val="center"/>
              <w:rPr>
                <w:color w:val="auto"/>
                <w:spacing w:val="9"/>
                <w:sz w:val="21"/>
                <w:szCs w:val="21"/>
                <w:lang w:eastAsia="zh-CN"/>
              </w:rPr>
            </w:pPr>
            <w:r>
              <w:rPr>
                <w:rFonts w:hint="eastAsia"/>
                <w:color w:val="auto"/>
                <w:spacing w:val="9"/>
                <w:sz w:val="21"/>
                <w:szCs w:val="21"/>
                <w:lang w:eastAsia="zh-CN"/>
              </w:rPr>
              <w:t>江林村农民集体</w:t>
            </w:r>
          </w:p>
        </w:tc>
        <w:tc>
          <w:tcPr>
            <w:tcW w:w="3655" w:type="dxa"/>
            <w:tcBorders>
              <w:top w:val="single" w:sz="4" w:space="0" w:color="000000"/>
            </w:tcBorders>
            <w:vAlign w:val="center"/>
          </w:tcPr>
          <w:p w14:paraId="6303A13D" w14:textId="77777777" w:rsidR="0075791A" w:rsidRDefault="00FB2864">
            <w:pPr>
              <w:pStyle w:val="TableText"/>
              <w:jc w:val="center"/>
              <w:rPr>
                <w:color w:val="auto"/>
                <w:spacing w:val="9"/>
                <w:sz w:val="21"/>
                <w:szCs w:val="21"/>
                <w:lang w:eastAsia="zh-CN"/>
              </w:rPr>
            </w:pPr>
            <w:r>
              <w:rPr>
                <w:rFonts w:hint="eastAsia"/>
                <w:color w:val="auto"/>
                <w:spacing w:val="9"/>
                <w:sz w:val="21"/>
                <w:szCs w:val="21"/>
                <w:lang w:eastAsia="zh-CN"/>
              </w:rPr>
              <w:t>占用已确权土地</w:t>
            </w:r>
          </w:p>
        </w:tc>
        <w:tc>
          <w:tcPr>
            <w:tcW w:w="948" w:type="dxa"/>
            <w:tcBorders>
              <w:top w:val="single" w:sz="4" w:space="0" w:color="000000"/>
              <w:right w:val="single" w:sz="4" w:space="0" w:color="000000"/>
            </w:tcBorders>
            <w:vAlign w:val="center"/>
          </w:tcPr>
          <w:p w14:paraId="1D4D8C89" w14:textId="77777777" w:rsidR="0075791A" w:rsidRDefault="00FB2864">
            <w:pPr>
              <w:pStyle w:val="TableText"/>
              <w:jc w:val="center"/>
              <w:rPr>
                <w:color w:val="auto"/>
                <w:spacing w:val="9"/>
                <w:sz w:val="21"/>
                <w:szCs w:val="21"/>
                <w:lang w:eastAsia="zh-CN"/>
              </w:rPr>
            </w:pPr>
            <w:r>
              <w:rPr>
                <w:rFonts w:hint="eastAsia"/>
                <w:color w:val="auto"/>
                <w:spacing w:val="9"/>
                <w:sz w:val="21"/>
                <w:szCs w:val="21"/>
                <w:lang w:eastAsia="zh-CN"/>
              </w:rPr>
              <w:t>是</w:t>
            </w:r>
          </w:p>
        </w:tc>
      </w:tr>
    </w:tbl>
    <w:p w14:paraId="1CD5EA4B" w14:textId="77777777" w:rsidR="0075791A" w:rsidRDefault="00FB2864">
      <w:pPr>
        <w:spacing w:before="116" w:line="219" w:lineRule="auto"/>
        <w:ind w:left="2619"/>
        <w:rPr>
          <w:rFonts w:ascii="Times New Roman" w:eastAsia="宋体" w:hAnsi="Times New Roman" w:cs="宋体"/>
          <w:color w:val="auto"/>
          <w:sz w:val="24"/>
          <w:szCs w:val="24"/>
          <w:lang w:eastAsia="zh-CN"/>
        </w:rPr>
      </w:pPr>
      <w:r>
        <w:rPr>
          <w:rFonts w:ascii="Times New Roman" w:eastAsia="宋体" w:hAnsi="Times New Roman" w:cs="宋体"/>
          <w:color w:val="auto"/>
          <w:spacing w:val="-2"/>
          <w:sz w:val="24"/>
          <w:szCs w:val="24"/>
          <w:lang w:eastAsia="zh-CN"/>
        </w:rPr>
        <w:t>表</w:t>
      </w:r>
      <w:r>
        <w:rPr>
          <w:rFonts w:ascii="Times New Roman" w:eastAsia="宋体" w:hAnsi="Times New Roman" w:cs="Times New Roman" w:hint="eastAsia"/>
          <w:color w:val="auto"/>
          <w:spacing w:val="-2"/>
          <w:sz w:val="24"/>
          <w:szCs w:val="24"/>
          <w:lang w:eastAsia="zh-CN"/>
        </w:rPr>
        <w:t>5</w:t>
      </w:r>
      <w:r>
        <w:rPr>
          <w:rFonts w:ascii="Times New Roman" w:eastAsia="宋体" w:hAnsi="Times New Roman" w:cs="Times New Roman"/>
          <w:color w:val="auto"/>
          <w:spacing w:val="-2"/>
          <w:sz w:val="24"/>
          <w:szCs w:val="24"/>
          <w:lang w:eastAsia="zh-CN"/>
        </w:rPr>
        <w:t>.3-</w:t>
      </w:r>
      <w:r>
        <w:rPr>
          <w:rFonts w:ascii="Times New Roman" w:eastAsia="宋体" w:hAnsi="Times New Roman" w:cs="Times New Roman" w:hint="eastAsia"/>
          <w:color w:val="auto"/>
          <w:spacing w:val="-2"/>
          <w:sz w:val="24"/>
          <w:szCs w:val="24"/>
          <w:lang w:eastAsia="zh-CN"/>
        </w:rPr>
        <w:t>2</w:t>
      </w:r>
      <w:r>
        <w:rPr>
          <w:rFonts w:ascii="Times New Roman" w:eastAsia="宋体" w:hAnsi="Times New Roman" w:cs="宋体"/>
          <w:color w:val="auto"/>
          <w:spacing w:val="-2"/>
          <w:sz w:val="24"/>
          <w:szCs w:val="24"/>
          <w:lang w:eastAsia="zh-CN"/>
        </w:rPr>
        <w:t>项目用海利益协调部门界定表</w:t>
      </w:r>
    </w:p>
    <w:p w14:paraId="5589F20C" w14:textId="77777777" w:rsidR="0075791A" w:rsidRDefault="0075791A">
      <w:pPr>
        <w:spacing w:line="67" w:lineRule="exact"/>
        <w:rPr>
          <w:rFonts w:ascii="Times New Roman" w:eastAsia="宋体" w:hAnsi="Times New Roman"/>
          <w:color w:val="auto"/>
          <w:lang w:eastAsia="zh-CN"/>
        </w:rPr>
      </w:pPr>
    </w:p>
    <w:tbl>
      <w:tblPr>
        <w:tblStyle w:val="TableNormal"/>
        <w:tblW w:w="9119" w:type="dxa"/>
        <w:tblInd w:w="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59"/>
        <w:gridCol w:w="1973"/>
        <w:gridCol w:w="1054"/>
        <w:gridCol w:w="1600"/>
        <w:gridCol w:w="4133"/>
      </w:tblGrid>
      <w:tr w:rsidR="0075791A" w14:paraId="4DE44AEC" w14:textId="77777777">
        <w:trPr>
          <w:trHeight w:val="519"/>
        </w:trPr>
        <w:tc>
          <w:tcPr>
            <w:tcW w:w="359" w:type="dxa"/>
            <w:tcBorders>
              <w:top w:val="single" w:sz="4" w:space="0" w:color="000000"/>
              <w:left w:val="single" w:sz="4" w:space="0" w:color="000000"/>
            </w:tcBorders>
            <w:textDirection w:val="tbRlV"/>
            <w:vAlign w:val="center"/>
          </w:tcPr>
          <w:p w14:paraId="2817960B" w14:textId="77777777" w:rsidR="0075791A" w:rsidRDefault="00FB2864">
            <w:pPr>
              <w:jc w:val="center"/>
              <w:rPr>
                <w:rFonts w:ascii="Times New Roman" w:eastAsia="宋体" w:hAnsi="Times New Roman" w:cs="宋体"/>
                <w:color w:val="auto"/>
              </w:rPr>
            </w:pPr>
            <w:r>
              <w:rPr>
                <w:rFonts w:ascii="Times New Roman" w:eastAsia="宋体" w:hAnsi="Times New Roman" w:cs="宋体" w:hint="eastAsia"/>
                <w:color w:val="auto"/>
              </w:rPr>
              <w:t>序号</w:t>
            </w:r>
          </w:p>
        </w:tc>
        <w:tc>
          <w:tcPr>
            <w:tcW w:w="1973" w:type="dxa"/>
            <w:tcBorders>
              <w:top w:val="single" w:sz="4" w:space="0" w:color="000000"/>
            </w:tcBorders>
            <w:vAlign w:val="center"/>
          </w:tcPr>
          <w:p w14:paraId="2BE3FC1D" w14:textId="77777777" w:rsidR="0075791A" w:rsidRDefault="00FB2864">
            <w:pPr>
              <w:jc w:val="center"/>
              <w:rPr>
                <w:rFonts w:ascii="Times New Roman" w:eastAsia="宋体" w:hAnsi="Times New Roman" w:cs="宋体"/>
                <w:color w:val="auto"/>
              </w:rPr>
            </w:pPr>
            <w:r>
              <w:rPr>
                <w:rFonts w:ascii="Times New Roman" w:eastAsia="宋体" w:hAnsi="Times New Roman" w:cs="宋体" w:hint="eastAsia"/>
                <w:color w:val="auto"/>
              </w:rPr>
              <w:t>附近开发用海项目</w:t>
            </w:r>
          </w:p>
        </w:tc>
        <w:tc>
          <w:tcPr>
            <w:tcW w:w="1054" w:type="dxa"/>
            <w:tcBorders>
              <w:top w:val="single" w:sz="4" w:space="0" w:color="000000"/>
            </w:tcBorders>
            <w:vAlign w:val="center"/>
          </w:tcPr>
          <w:p w14:paraId="644BAF63" w14:textId="77777777" w:rsidR="0075791A" w:rsidRDefault="00FB2864">
            <w:pPr>
              <w:jc w:val="center"/>
              <w:rPr>
                <w:rFonts w:ascii="Times New Roman" w:eastAsia="宋体" w:hAnsi="Times New Roman" w:cs="宋体"/>
                <w:color w:val="auto"/>
              </w:rPr>
            </w:pPr>
            <w:r>
              <w:rPr>
                <w:rFonts w:ascii="Times New Roman" w:eastAsia="宋体" w:hAnsi="Times New Roman" w:cs="宋体" w:hint="eastAsia"/>
                <w:color w:val="auto"/>
              </w:rPr>
              <w:t>位置及距离</w:t>
            </w:r>
          </w:p>
        </w:tc>
        <w:tc>
          <w:tcPr>
            <w:tcW w:w="1600" w:type="dxa"/>
            <w:tcBorders>
              <w:top w:val="single" w:sz="4" w:space="0" w:color="000000"/>
            </w:tcBorders>
            <w:vAlign w:val="center"/>
          </w:tcPr>
          <w:p w14:paraId="46945469" w14:textId="77777777" w:rsidR="0075791A" w:rsidRDefault="00FB2864">
            <w:pPr>
              <w:jc w:val="center"/>
              <w:rPr>
                <w:rFonts w:ascii="Times New Roman" w:eastAsia="宋体" w:hAnsi="Times New Roman" w:cs="宋体"/>
                <w:color w:val="auto"/>
              </w:rPr>
            </w:pPr>
            <w:r>
              <w:rPr>
                <w:rFonts w:ascii="Times New Roman" w:eastAsia="宋体" w:hAnsi="Times New Roman" w:cs="宋体" w:hint="eastAsia"/>
                <w:color w:val="auto"/>
              </w:rPr>
              <w:t>协调部门</w:t>
            </w:r>
          </w:p>
        </w:tc>
        <w:tc>
          <w:tcPr>
            <w:tcW w:w="4133" w:type="dxa"/>
            <w:tcBorders>
              <w:top w:val="single" w:sz="4" w:space="0" w:color="000000"/>
              <w:right w:val="single" w:sz="4" w:space="0" w:color="000000"/>
            </w:tcBorders>
            <w:vAlign w:val="center"/>
          </w:tcPr>
          <w:p w14:paraId="43772C1E" w14:textId="77777777" w:rsidR="0075791A" w:rsidRDefault="00FB2864">
            <w:pPr>
              <w:jc w:val="center"/>
              <w:rPr>
                <w:rFonts w:ascii="Times New Roman" w:eastAsia="宋体" w:hAnsi="Times New Roman" w:cs="宋体"/>
                <w:color w:val="auto"/>
              </w:rPr>
            </w:pPr>
            <w:r>
              <w:rPr>
                <w:rFonts w:ascii="Times New Roman" w:eastAsia="宋体" w:hAnsi="Times New Roman" w:cs="宋体" w:hint="eastAsia"/>
                <w:color w:val="auto"/>
              </w:rPr>
              <w:t>主要利益协调内容</w:t>
            </w:r>
          </w:p>
        </w:tc>
      </w:tr>
      <w:tr w:rsidR="0075791A" w14:paraId="728B8A77" w14:textId="77777777">
        <w:trPr>
          <w:trHeight w:val="519"/>
        </w:trPr>
        <w:tc>
          <w:tcPr>
            <w:tcW w:w="359" w:type="dxa"/>
            <w:tcBorders>
              <w:top w:val="single" w:sz="4" w:space="0" w:color="000000"/>
              <w:left w:val="single" w:sz="4" w:space="0" w:color="000000"/>
            </w:tcBorders>
            <w:vAlign w:val="center"/>
          </w:tcPr>
          <w:p w14:paraId="4A1B1946" w14:textId="77777777" w:rsidR="0075791A" w:rsidRDefault="00FB2864">
            <w:pPr>
              <w:jc w:val="center"/>
              <w:rPr>
                <w:rFonts w:ascii="Times New Roman" w:eastAsia="宋体" w:hAnsi="Times New Roman" w:cs="宋体"/>
                <w:color w:val="auto"/>
              </w:rPr>
            </w:pPr>
            <w:r>
              <w:rPr>
                <w:rFonts w:ascii="Times New Roman" w:eastAsia="宋体" w:hAnsi="Times New Roman" w:cs="宋体" w:hint="eastAsia"/>
                <w:color w:val="auto"/>
                <w:lang w:eastAsia="zh-CN"/>
              </w:rPr>
              <w:t>1</w:t>
            </w:r>
          </w:p>
        </w:tc>
        <w:tc>
          <w:tcPr>
            <w:tcW w:w="1973" w:type="dxa"/>
            <w:tcBorders>
              <w:top w:val="single" w:sz="4" w:space="0" w:color="000000"/>
            </w:tcBorders>
            <w:vAlign w:val="center"/>
          </w:tcPr>
          <w:p w14:paraId="0CA56E98" w14:textId="77777777" w:rsidR="0075791A" w:rsidRDefault="00FB2864">
            <w:pPr>
              <w:jc w:val="center"/>
              <w:rPr>
                <w:rFonts w:ascii="Times New Roman" w:eastAsia="宋体" w:hAnsi="Times New Roman" w:cs="宋体"/>
                <w:color w:val="auto"/>
                <w:lang w:eastAsia="zh-CN"/>
              </w:rPr>
            </w:pPr>
            <w:r>
              <w:rPr>
                <w:rFonts w:ascii="Times New Roman" w:eastAsia="宋体" w:hAnsi="Times New Roman" w:cs="宋体" w:hint="eastAsia"/>
                <w:color w:val="auto"/>
                <w:lang w:eastAsia="zh-CN"/>
              </w:rPr>
              <w:t>征收所占用已确权土地</w:t>
            </w:r>
          </w:p>
        </w:tc>
        <w:tc>
          <w:tcPr>
            <w:tcW w:w="1054" w:type="dxa"/>
            <w:tcBorders>
              <w:top w:val="single" w:sz="4" w:space="0" w:color="000000"/>
            </w:tcBorders>
            <w:vAlign w:val="center"/>
          </w:tcPr>
          <w:p w14:paraId="419080BB" w14:textId="77777777" w:rsidR="0075791A" w:rsidRDefault="00FB2864">
            <w:pPr>
              <w:jc w:val="center"/>
              <w:rPr>
                <w:rFonts w:ascii="Times New Roman" w:eastAsia="宋体" w:hAnsi="Times New Roman" w:cs="宋体"/>
                <w:color w:val="auto"/>
              </w:rPr>
            </w:pPr>
            <w:r>
              <w:rPr>
                <w:rFonts w:ascii="Times New Roman" w:eastAsia="宋体" w:hAnsi="Times New Roman" w:cs="宋体" w:hint="eastAsia"/>
                <w:color w:val="auto"/>
                <w:lang w:eastAsia="zh-CN"/>
              </w:rPr>
              <w:t>项目所在海域</w:t>
            </w:r>
          </w:p>
        </w:tc>
        <w:tc>
          <w:tcPr>
            <w:tcW w:w="1600" w:type="dxa"/>
            <w:tcBorders>
              <w:top w:val="single" w:sz="4" w:space="0" w:color="000000"/>
            </w:tcBorders>
            <w:vAlign w:val="center"/>
          </w:tcPr>
          <w:p w14:paraId="5FA752A9" w14:textId="77777777" w:rsidR="0075791A" w:rsidRDefault="00FB2864">
            <w:pPr>
              <w:jc w:val="center"/>
              <w:rPr>
                <w:rFonts w:ascii="Times New Roman" w:eastAsia="宋体" w:hAnsi="Times New Roman" w:cs="宋体"/>
                <w:color w:val="auto"/>
              </w:rPr>
            </w:pPr>
            <w:r>
              <w:rPr>
                <w:rFonts w:ascii="Times New Roman" w:eastAsia="宋体" w:hAnsi="Times New Roman" w:cs="宋体" w:hint="eastAsia"/>
                <w:color w:val="auto"/>
                <w:lang w:eastAsia="zh-CN"/>
              </w:rPr>
              <w:t>海棠区人民政府</w:t>
            </w:r>
          </w:p>
        </w:tc>
        <w:tc>
          <w:tcPr>
            <w:tcW w:w="4133" w:type="dxa"/>
            <w:tcBorders>
              <w:top w:val="single" w:sz="4" w:space="0" w:color="000000"/>
              <w:right w:val="single" w:sz="4" w:space="0" w:color="000000"/>
            </w:tcBorders>
            <w:vAlign w:val="center"/>
          </w:tcPr>
          <w:p w14:paraId="311AF73C" w14:textId="77777777" w:rsidR="0075791A" w:rsidRDefault="00FB2864">
            <w:pPr>
              <w:jc w:val="center"/>
              <w:rPr>
                <w:rFonts w:ascii="Times New Roman" w:eastAsia="宋体" w:hAnsi="Times New Roman" w:cs="宋体"/>
                <w:color w:val="auto"/>
                <w:lang w:eastAsia="zh-CN"/>
              </w:rPr>
            </w:pPr>
            <w:r>
              <w:rPr>
                <w:rFonts w:ascii="Times New Roman" w:eastAsia="宋体" w:hAnsi="Times New Roman" w:cs="宋体" w:hint="eastAsia"/>
                <w:color w:val="auto"/>
                <w:lang w:eastAsia="zh-CN"/>
              </w:rPr>
              <w:t>项目红线区域内对已确权土地进行征收、</w:t>
            </w:r>
          </w:p>
        </w:tc>
      </w:tr>
      <w:tr w:rsidR="0075791A" w14:paraId="65A58ACA" w14:textId="77777777">
        <w:trPr>
          <w:trHeight w:val="629"/>
        </w:trPr>
        <w:tc>
          <w:tcPr>
            <w:tcW w:w="359" w:type="dxa"/>
            <w:tcBorders>
              <w:left w:val="single" w:sz="4" w:space="0" w:color="000000"/>
            </w:tcBorders>
            <w:vAlign w:val="center"/>
          </w:tcPr>
          <w:p w14:paraId="6E4BF6FB" w14:textId="77777777" w:rsidR="0075791A" w:rsidRDefault="00FB2864">
            <w:pPr>
              <w:jc w:val="center"/>
              <w:rPr>
                <w:rFonts w:ascii="Times New Roman" w:eastAsia="宋体" w:hAnsi="Times New Roman" w:cs="宋体"/>
                <w:color w:val="auto"/>
                <w:lang w:eastAsia="zh-CN"/>
              </w:rPr>
            </w:pPr>
            <w:r>
              <w:rPr>
                <w:rFonts w:ascii="Times New Roman" w:eastAsia="宋体" w:hAnsi="Times New Roman" w:cs="宋体" w:hint="eastAsia"/>
                <w:color w:val="auto"/>
                <w:lang w:eastAsia="zh-CN"/>
              </w:rPr>
              <w:t>2</w:t>
            </w:r>
          </w:p>
        </w:tc>
        <w:tc>
          <w:tcPr>
            <w:tcW w:w="1973" w:type="dxa"/>
            <w:vAlign w:val="center"/>
          </w:tcPr>
          <w:p w14:paraId="734EEFD8" w14:textId="77777777" w:rsidR="0075791A" w:rsidRDefault="00FB2864">
            <w:pPr>
              <w:jc w:val="center"/>
              <w:rPr>
                <w:rFonts w:ascii="Times New Roman" w:eastAsia="宋体" w:hAnsi="Times New Roman" w:cs="宋体"/>
                <w:color w:val="auto"/>
              </w:rPr>
            </w:pPr>
            <w:r>
              <w:rPr>
                <w:rFonts w:ascii="Times New Roman" w:eastAsia="宋体" w:hAnsi="Times New Roman" w:cs="宋体" w:hint="eastAsia"/>
                <w:color w:val="auto"/>
              </w:rPr>
              <w:t>海上船只交通航行</w:t>
            </w:r>
          </w:p>
        </w:tc>
        <w:tc>
          <w:tcPr>
            <w:tcW w:w="1054" w:type="dxa"/>
            <w:vAlign w:val="center"/>
          </w:tcPr>
          <w:p w14:paraId="36542AA1" w14:textId="77777777" w:rsidR="0075791A" w:rsidRDefault="00FB2864">
            <w:pPr>
              <w:jc w:val="center"/>
              <w:rPr>
                <w:rFonts w:ascii="Times New Roman" w:eastAsia="宋体" w:hAnsi="Times New Roman" w:cs="宋体"/>
                <w:color w:val="auto"/>
              </w:rPr>
            </w:pPr>
            <w:r>
              <w:rPr>
                <w:rFonts w:ascii="Times New Roman" w:eastAsia="宋体" w:hAnsi="Times New Roman" w:cs="宋体" w:hint="eastAsia"/>
                <w:color w:val="auto"/>
              </w:rPr>
              <w:t>项目所在海域</w:t>
            </w:r>
          </w:p>
        </w:tc>
        <w:tc>
          <w:tcPr>
            <w:tcW w:w="1600" w:type="dxa"/>
            <w:vAlign w:val="center"/>
          </w:tcPr>
          <w:p w14:paraId="55F43163" w14:textId="77777777" w:rsidR="0075791A" w:rsidRDefault="00FB2864">
            <w:pPr>
              <w:jc w:val="center"/>
              <w:rPr>
                <w:rFonts w:ascii="Times New Roman" w:eastAsia="宋体" w:hAnsi="Times New Roman" w:cs="宋体"/>
                <w:color w:val="auto"/>
              </w:rPr>
            </w:pPr>
            <w:r>
              <w:rPr>
                <w:rFonts w:ascii="Times New Roman" w:eastAsia="宋体" w:hAnsi="Times New Roman" w:cs="宋体" w:hint="eastAsia"/>
                <w:color w:val="auto"/>
              </w:rPr>
              <w:t>三亚海事局</w:t>
            </w:r>
          </w:p>
        </w:tc>
        <w:tc>
          <w:tcPr>
            <w:tcW w:w="4133" w:type="dxa"/>
            <w:tcBorders>
              <w:right w:val="single" w:sz="4" w:space="0" w:color="000000"/>
            </w:tcBorders>
            <w:vAlign w:val="center"/>
          </w:tcPr>
          <w:p w14:paraId="14178712" w14:textId="77777777" w:rsidR="0075791A" w:rsidRDefault="00FB2864">
            <w:pPr>
              <w:jc w:val="center"/>
              <w:rPr>
                <w:rFonts w:ascii="Times New Roman" w:eastAsia="宋体" w:hAnsi="Times New Roman" w:cs="宋体"/>
                <w:color w:val="auto"/>
                <w:lang w:eastAsia="zh-CN"/>
              </w:rPr>
            </w:pPr>
            <w:r>
              <w:rPr>
                <w:rFonts w:ascii="Times New Roman" w:eastAsia="宋体" w:hAnsi="Times New Roman" w:cs="宋体" w:hint="eastAsia"/>
                <w:color w:val="auto"/>
                <w:lang w:eastAsia="zh-CN"/>
              </w:rPr>
              <w:t>（</w:t>
            </w:r>
            <w:r>
              <w:rPr>
                <w:rFonts w:ascii="Times New Roman" w:eastAsia="宋体" w:hAnsi="Times New Roman" w:cs="宋体" w:hint="eastAsia"/>
                <w:color w:val="auto"/>
                <w:lang w:eastAsia="zh-CN"/>
              </w:rPr>
              <w:t>1</w:t>
            </w:r>
            <w:r>
              <w:rPr>
                <w:rFonts w:ascii="Times New Roman" w:eastAsia="宋体" w:hAnsi="Times New Roman" w:cs="宋体" w:hint="eastAsia"/>
                <w:color w:val="auto"/>
                <w:lang w:eastAsia="zh-CN"/>
              </w:rPr>
              <w:t>）本项目用海的实施可能影响附近船只的通航安全</w:t>
            </w:r>
            <w:r>
              <w:rPr>
                <w:rFonts w:ascii="Times New Roman" w:eastAsia="宋体" w:hAnsi="Times New Roman" w:cs="宋体" w:hint="eastAsia"/>
                <w:color w:val="auto"/>
                <w:lang w:eastAsia="zh-CN"/>
              </w:rPr>
              <w:t>；</w:t>
            </w:r>
            <w:r>
              <w:rPr>
                <w:rFonts w:ascii="Times New Roman" w:eastAsia="宋体" w:hAnsi="Times New Roman" w:cs="宋体" w:hint="eastAsia"/>
                <w:color w:val="auto"/>
                <w:lang w:eastAsia="zh-CN"/>
              </w:rPr>
              <w:t>（</w:t>
            </w:r>
            <w:r>
              <w:rPr>
                <w:rFonts w:ascii="Times New Roman" w:eastAsia="宋体" w:hAnsi="Times New Roman" w:cs="宋体" w:hint="eastAsia"/>
                <w:color w:val="auto"/>
                <w:lang w:eastAsia="zh-CN"/>
              </w:rPr>
              <w:t>2</w:t>
            </w:r>
            <w:r>
              <w:rPr>
                <w:rFonts w:ascii="Times New Roman" w:eastAsia="宋体" w:hAnsi="Times New Roman" w:cs="宋体" w:hint="eastAsia"/>
                <w:color w:val="auto"/>
                <w:lang w:eastAsia="zh-CN"/>
              </w:rPr>
              <w:t>）水上水下施工许可问题。</w:t>
            </w:r>
          </w:p>
        </w:tc>
      </w:tr>
    </w:tbl>
    <w:p w14:paraId="1ACA4BA4" w14:textId="77777777" w:rsidR="0075791A" w:rsidRDefault="0075791A">
      <w:pPr>
        <w:spacing w:before="76" w:line="220" w:lineRule="auto"/>
        <w:ind w:left="2499"/>
        <w:rPr>
          <w:rFonts w:ascii="Times New Roman" w:eastAsia="宋体" w:hAnsi="Times New Roman" w:cs="宋体"/>
          <w:color w:val="auto"/>
          <w:spacing w:val="-2"/>
          <w:sz w:val="24"/>
          <w:szCs w:val="24"/>
          <w:lang w:eastAsia="zh-CN"/>
        </w:rPr>
      </w:pPr>
    </w:p>
    <w:p w14:paraId="5DC48767"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280" w:name="bookmark46"/>
      <w:bookmarkStart w:id="281" w:name="_Toc19152"/>
      <w:bookmarkStart w:id="282" w:name="_Toc22235"/>
      <w:bookmarkStart w:id="283" w:name="_Toc536"/>
      <w:bookmarkEnd w:id="280"/>
      <w:r>
        <w:rPr>
          <w:rFonts w:ascii="Times New Roman" w:eastAsia="宋体" w:hAnsi="Times New Roman" w:cs="Times New Roman" w:hint="eastAsia"/>
          <w:b/>
          <w:bCs/>
          <w:color w:val="auto"/>
          <w:spacing w:val="-6"/>
          <w:sz w:val="30"/>
          <w:szCs w:val="30"/>
          <w:lang w:eastAsia="zh-CN"/>
        </w:rPr>
        <w:t>5</w:t>
      </w:r>
      <w:r>
        <w:rPr>
          <w:rFonts w:ascii="Times New Roman" w:eastAsia="Times New Roman" w:hAnsi="Times New Roman" w:cs="Times New Roman"/>
          <w:b/>
          <w:bCs/>
          <w:color w:val="auto"/>
          <w:spacing w:val="-6"/>
          <w:sz w:val="30"/>
          <w:szCs w:val="30"/>
          <w:lang w:eastAsia="zh-CN"/>
        </w:rPr>
        <w:t>.4相关利益协调分析</w:t>
      </w:r>
      <w:bookmarkEnd w:id="281"/>
      <w:bookmarkEnd w:id="282"/>
      <w:bookmarkEnd w:id="283"/>
    </w:p>
    <w:p w14:paraId="578B566E" w14:textId="77777777" w:rsidR="0075791A" w:rsidRDefault="00FB2864">
      <w:pPr>
        <w:spacing w:line="360" w:lineRule="auto"/>
        <w:ind w:firstLineChars="200" w:firstLine="482"/>
        <w:jc w:val="both"/>
        <w:rPr>
          <w:rFonts w:ascii="宋体" w:eastAsia="宋体" w:hAnsi="宋体" w:cs="宋体"/>
          <w:b/>
          <w:bCs/>
          <w:color w:val="auto"/>
          <w:sz w:val="24"/>
          <w:szCs w:val="24"/>
          <w:lang w:eastAsia="zh-CN"/>
        </w:rPr>
      </w:pPr>
      <w:bookmarkStart w:id="284" w:name="_Toc32355"/>
      <w:bookmarkStart w:id="285" w:name="_Toc4255"/>
      <w:r>
        <w:rPr>
          <w:rFonts w:ascii="宋体" w:eastAsia="宋体" w:hAnsi="宋体" w:cs="宋体" w:hint="eastAsia"/>
          <w:b/>
          <w:bCs/>
          <w:color w:val="auto"/>
          <w:sz w:val="24"/>
          <w:szCs w:val="24"/>
          <w:lang w:eastAsia="zh-CN"/>
        </w:rPr>
        <w:t>（</w:t>
      </w:r>
      <w:r>
        <w:rPr>
          <w:rFonts w:ascii="宋体" w:eastAsia="宋体" w:hAnsi="宋体" w:cs="宋体" w:hint="eastAsia"/>
          <w:b/>
          <w:bCs/>
          <w:color w:val="auto"/>
          <w:sz w:val="24"/>
          <w:szCs w:val="24"/>
          <w:lang w:eastAsia="zh-CN"/>
        </w:rPr>
        <w:t>1</w:t>
      </w:r>
      <w:r>
        <w:rPr>
          <w:rFonts w:ascii="宋体" w:eastAsia="宋体" w:hAnsi="宋体" w:cs="宋体" w:hint="eastAsia"/>
          <w:b/>
          <w:bCs/>
          <w:color w:val="auto"/>
          <w:sz w:val="24"/>
          <w:szCs w:val="24"/>
          <w:lang w:eastAsia="zh-CN"/>
        </w:rPr>
        <w:t>）与江林村农民集体</w:t>
      </w:r>
    </w:p>
    <w:p w14:paraId="177F95E7"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本项目巡护道路建设占用江林村农民集体确权土地</w:t>
      </w:r>
      <w:r>
        <w:rPr>
          <w:rFonts w:ascii="Times New Roman" w:eastAsia="宋体" w:hAnsi="Times New Roman" w:cs="宋体" w:hint="eastAsia"/>
          <w:color w:val="auto"/>
          <w:spacing w:val="-2"/>
          <w:sz w:val="24"/>
          <w:szCs w:val="24"/>
          <w:lang w:eastAsia="zh-CN"/>
        </w:rPr>
        <w:t>0.0142</w:t>
      </w:r>
      <w:r>
        <w:rPr>
          <w:rFonts w:ascii="Times New Roman" w:eastAsia="宋体" w:hAnsi="Times New Roman" w:cs="宋体" w:hint="eastAsia"/>
          <w:color w:val="auto"/>
          <w:spacing w:val="-2"/>
          <w:sz w:val="24"/>
          <w:szCs w:val="24"/>
          <w:lang w:eastAsia="zh-CN"/>
        </w:rPr>
        <w:t>公顷。由于本项目位于保护区，为了后期方便管理，将依据《三亚市人民</w:t>
      </w:r>
      <w:r>
        <w:rPr>
          <w:rFonts w:ascii="Times New Roman" w:eastAsia="宋体" w:hAnsi="Times New Roman" w:cs="宋体" w:hint="eastAsia"/>
          <w:color w:val="auto"/>
          <w:spacing w:val="-2"/>
          <w:sz w:val="24"/>
          <w:szCs w:val="24"/>
          <w:lang w:eastAsia="zh-CN"/>
        </w:rPr>
        <w:t xml:space="preserve"> </w:t>
      </w:r>
      <w:r>
        <w:rPr>
          <w:rFonts w:ascii="Times New Roman" w:eastAsia="宋体" w:hAnsi="Times New Roman" w:cs="宋体" w:hint="eastAsia"/>
          <w:color w:val="auto"/>
          <w:spacing w:val="-2"/>
          <w:sz w:val="24"/>
          <w:szCs w:val="24"/>
          <w:lang w:eastAsia="zh-CN"/>
        </w:rPr>
        <w:t>政府关于印发〈三亚市征收集体土地青苗补偿费和征地经费包干管理办法〉的通知》（三府规〔</w:t>
      </w:r>
      <w:r>
        <w:rPr>
          <w:rFonts w:ascii="Times New Roman" w:eastAsia="宋体" w:hAnsi="Times New Roman" w:cs="宋体" w:hint="eastAsia"/>
          <w:color w:val="auto"/>
          <w:spacing w:val="-2"/>
          <w:sz w:val="24"/>
          <w:szCs w:val="24"/>
          <w:lang w:eastAsia="zh-CN"/>
        </w:rPr>
        <w:t>2021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 xml:space="preserve">25 </w:t>
      </w:r>
      <w:r>
        <w:rPr>
          <w:rFonts w:ascii="Times New Roman" w:eastAsia="宋体" w:hAnsi="Times New Roman" w:cs="宋体" w:hint="eastAsia"/>
          <w:color w:val="auto"/>
          <w:spacing w:val="-2"/>
          <w:sz w:val="24"/>
          <w:szCs w:val="24"/>
          <w:lang w:eastAsia="zh-CN"/>
        </w:rPr>
        <w:t>号）对涉及土地进行征收，征收方案见附件</w:t>
      </w:r>
      <w:r>
        <w:rPr>
          <w:rFonts w:ascii="Times New Roman" w:eastAsia="宋体" w:hAnsi="Times New Roman" w:cs="宋体" w:hint="eastAsia"/>
          <w:color w:val="auto"/>
          <w:spacing w:val="-2"/>
          <w:sz w:val="24"/>
          <w:szCs w:val="24"/>
          <w:lang w:eastAsia="zh-CN"/>
        </w:rPr>
        <w:t>7</w:t>
      </w:r>
      <w:r>
        <w:rPr>
          <w:rFonts w:ascii="Times New Roman" w:eastAsia="宋体" w:hAnsi="Times New Roman" w:cs="宋体" w:hint="eastAsia"/>
          <w:color w:val="auto"/>
          <w:spacing w:val="-2"/>
          <w:sz w:val="24"/>
          <w:szCs w:val="24"/>
          <w:lang w:eastAsia="zh-CN"/>
        </w:rPr>
        <w:t>。</w:t>
      </w:r>
    </w:p>
    <w:p w14:paraId="14A66D87" w14:textId="77777777" w:rsidR="0075791A" w:rsidRDefault="00FB2864">
      <w:pPr>
        <w:jc w:val="center"/>
        <w:rPr>
          <w:rFonts w:ascii="Times New Roman" w:eastAsia="宋体" w:hAnsi="Times New Roman" w:cs="宋体"/>
          <w:color w:val="auto"/>
          <w:spacing w:val="5"/>
          <w:sz w:val="24"/>
          <w:szCs w:val="24"/>
          <w:lang w:eastAsia="zh-CN"/>
        </w:rPr>
      </w:pPr>
      <w:r>
        <w:rPr>
          <w:rFonts w:ascii="Times New Roman" w:eastAsia="宋体" w:hAnsi="Times New Roman" w:cs="宋体"/>
          <w:color w:val="auto"/>
          <w:spacing w:val="-2"/>
          <w:sz w:val="24"/>
          <w:szCs w:val="24"/>
          <w:lang w:eastAsia="zh-CN"/>
        </w:rPr>
        <w:t>表</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color w:val="auto"/>
          <w:spacing w:val="-2"/>
          <w:sz w:val="24"/>
          <w:szCs w:val="24"/>
          <w:lang w:eastAsia="zh-CN"/>
        </w:rPr>
        <w:t>.4-</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color w:val="auto"/>
          <w:spacing w:val="-2"/>
          <w:sz w:val="24"/>
          <w:szCs w:val="24"/>
          <w:lang w:eastAsia="zh-CN"/>
        </w:rPr>
        <w:t>与</w:t>
      </w:r>
      <w:r>
        <w:rPr>
          <w:rFonts w:ascii="Times New Roman" w:eastAsia="宋体" w:hAnsi="Times New Roman" w:cs="宋体" w:hint="eastAsia"/>
          <w:color w:val="auto"/>
          <w:spacing w:val="-2"/>
          <w:sz w:val="24"/>
          <w:szCs w:val="24"/>
          <w:lang w:eastAsia="zh-CN"/>
        </w:rPr>
        <w:t>江林村农民集体</w:t>
      </w:r>
      <w:r>
        <w:rPr>
          <w:rFonts w:ascii="Times New Roman" w:eastAsia="宋体" w:hAnsi="Times New Roman" w:cs="宋体"/>
          <w:color w:val="auto"/>
          <w:spacing w:val="-2"/>
          <w:sz w:val="24"/>
          <w:szCs w:val="24"/>
          <w:lang w:eastAsia="zh-CN"/>
        </w:rPr>
        <w:t>的利益协调内容</w:t>
      </w:r>
    </w:p>
    <w:tbl>
      <w:tblPr>
        <w:tblStyle w:val="TableNormal"/>
        <w:tblW w:w="9073" w:type="dxa"/>
        <w:tblInd w:w="1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363"/>
        <w:gridCol w:w="1482"/>
        <w:gridCol w:w="1773"/>
        <w:gridCol w:w="2561"/>
        <w:gridCol w:w="1894"/>
      </w:tblGrid>
      <w:tr w:rsidR="0075791A" w14:paraId="174039D0" w14:textId="77777777">
        <w:trPr>
          <w:trHeight w:val="398"/>
        </w:trPr>
        <w:tc>
          <w:tcPr>
            <w:tcW w:w="1363" w:type="dxa"/>
            <w:vAlign w:val="center"/>
          </w:tcPr>
          <w:p w14:paraId="4FC486C5" w14:textId="77777777" w:rsidR="0075791A" w:rsidRDefault="00FB2864">
            <w:pPr>
              <w:jc w:val="center"/>
              <w:rPr>
                <w:rFonts w:ascii="宋体" w:eastAsia="宋体" w:hAnsi="宋体" w:cs="宋体"/>
                <w:b/>
                <w:bCs/>
                <w:color w:val="auto"/>
              </w:rPr>
            </w:pPr>
            <w:r>
              <w:rPr>
                <w:rFonts w:ascii="宋体" w:eastAsia="宋体" w:hAnsi="宋体" w:cs="宋体" w:hint="eastAsia"/>
                <w:b/>
                <w:bCs/>
                <w:color w:val="auto"/>
              </w:rPr>
              <w:t>利益相关者</w:t>
            </w:r>
          </w:p>
        </w:tc>
        <w:tc>
          <w:tcPr>
            <w:tcW w:w="1482" w:type="dxa"/>
            <w:vAlign w:val="center"/>
          </w:tcPr>
          <w:p w14:paraId="41730C48" w14:textId="77777777" w:rsidR="0075791A" w:rsidRDefault="00FB2864">
            <w:pPr>
              <w:jc w:val="center"/>
              <w:rPr>
                <w:rFonts w:ascii="宋体" w:eastAsia="宋体" w:hAnsi="宋体" w:cs="宋体"/>
                <w:b/>
                <w:bCs/>
                <w:color w:val="auto"/>
              </w:rPr>
            </w:pPr>
            <w:r>
              <w:rPr>
                <w:rFonts w:ascii="宋体" w:eastAsia="宋体" w:hAnsi="宋体" w:cs="宋体" w:hint="eastAsia"/>
                <w:b/>
                <w:bCs/>
                <w:color w:val="auto"/>
              </w:rPr>
              <w:t>影响内容</w:t>
            </w:r>
          </w:p>
        </w:tc>
        <w:tc>
          <w:tcPr>
            <w:tcW w:w="1773" w:type="dxa"/>
            <w:vAlign w:val="center"/>
          </w:tcPr>
          <w:p w14:paraId="75AB0264" w14:textId="77777777" w:rsidR="0075791A" w:rsidRDefault="00FB2864">
            <w:pPr>
              <w:jc w:val="center"/>
              <w:rPr>
                <w:rFonts w:ascii="宋体" w:eastAsia="宋体" w:hAnsi="宋体" w:cs="宋体"/>
                <w:b/>
                <w:bCs/>
                <w:color w:val="auto"/>
              </w:rPr>
            </w:pPr>
            <w:r>
              <w:rPr>
                <w:rFonts w:ascii="宋体" w:eastAsia="宋体" w:hAnsi="宋体" w:cs="宋体" w:hint="eastAsia"/>
                <w:b/>
                <w:bCs/>
                <w:color w:val="auto"/>
              </w:rPr>
              <w:t>协调人</w:t>
            </w:r>
          </w:p>
        </w:tc>
        <w:tc>
          <w:tcPr>
            <w:tcW w:w="2561" w:type="dxa"/>
            <w:vAlign w:val="center"/>
          </w:tcPr>
          <w:p w14:paraId="3C87A72C" w14:textId="77777777" w:rsidR="0075791A" w:rsidRDefault="00FB2864">
            <w:pPr>
              <w:jc w:val="center"/>
              <w:rPr>
                <w:rFonts w:ascii="宋体" w:eastAsia="宋体" w:hAnsi="宋体" w:cs="宋体"/>
                <w:b/>
                <w:bCs/>
                <w:color w:val="auto"/>
              </w:rPr>
            </w:pPr>
            <w:r>
              <w:rPr>
                <w:rFonts w:ascii="宋体" w:eastAsia="宋体" w:hAnsi="宋体" w:cs="宋体" w:hint="eastAsia"/>
                <w:b/>
                <w:bCs/>
                <w:color w:val="auto"/>
              </w:rPr>
              <w:t>协调方案</w:t>
            </w:r>
          </w:p>
        </w:tc>
        <w:tc>
          <w:tcPr>
            <w:tcW w:w="1894" w:type="dxa"/>
            <w:vAlign w:val="center"/>
          </w:tcPr>
          <w:p w14:paraId="3B250BBE" w14:textId="77777777" w:rsidR="0075791A" w:rsidRDefault="00FB2864">
            <w:pPr>
              <w:jc w:val="center"/>
              <w:rPr>
                <w:rFonts w:ascii="宋体" w:eastAsia="宋体" w:hAnsi="宋体" w:cs="宋体"/>
                <w:b/>
                <w:bCs/>
                <w:color w:val="auto"/>
              </w:rPr>
            </w:pPr>
            <w:r>
              <w:rPr>
                <w:rFonts w:ascii="宋体" w:eastAsia="宋体" w:hAnsi="宋体" w:cs="宋体" w:hint="eastAsia"/>
                <w:b/>
                <w:bCs/>
                <w:color w:val="auto"/>
              </w:rPr>
              <w:t>协调结果要求</w:t>
            </w:r>
          </w:p>
        </w:tc>
      </w:tr>
      <w:tr w:rsidR="0075791A" w14:paraId="50524338" w14:textId="77777777">
        <w:trPr>
          <w:trHeight w:val="1558"/>
        </w:trPr>
        <w:tc>
          <w:tcPr>
            <w:tcW w:w="1363" w:type="dxa"/>
            <w:vAlign w:val="center"/>
          </w:tcPr>
          <w:p w14:paraId="15F6A679" w14:textId="77777777" w:rsidR="0075791A" w:rsidRDefault="00FB2864">
            <w:pPr>
              <w:spacing w:line="312" w:lineRule="auto"/>
              <w:jc w:val="center"/>
              <w:rPr>
                <w:rFonts w:ascii="宋体" w:eastAsia="宋体" w:hAnsi="宋体" w:cs="宋体"/>
                <w:color w:val="auto"/>
                <w:lang w:eastAsia="zh-CN"/>
              </w:rPr>
            </w:pPr>
            <w:r>
              <w:rPr>
                <w:rFonts w:ascii="宋体" w:eastAsia="宋体" w:hAnsi="宋体" w:cs="宋体" w:hint="eastAsia"/>
                <w:color w:val="auto"/>
                <w:lang w:eastAsia="zh-CN"/>
              </w:rPr>
              <w:lastRenderedPageBreak/>
              <w:t>江林村</w:t>
            </w:r>
            <w:r>
              <w:rPr>
                <w:rFonts w:ascii="宋体" w:eastAsia="宋体" w:hAnsi="宋体" w:cs="宋体" w:hint="eastAsia"/>
                <w:color w:val="auto"/>
                <w:sz w:val="22"/>
                <w:szCs w:val="22"/>
                <w:lang w:eastAsia="zh-CN" w:bidi="ar"/>
              </w:rPr>
              <w:t>农民集体</w:t>
            </w:r>
          </w:p>
        </w:tc>
        <w:tc>
          <w:tcPr>
            <w:tcW w:w="1482" w:type="dxa"/>
            <w:tcBorders>
              <w:top w:val="single" w:sz="4" w:space="0" w:color="auto"/>
              <w:bottom w:val="single" w:sz="4" w:space="0" w:color="auto"/>
            </w:tcBorders>
            <w:vAlign w:val="center"/>
          </w:tcPr>
          <w:p w14:paraId="325D357E" w14:textId="77777777" w:rsidR="0075791A" w:rsidRDefault="00FB2864">
            <w:pPr>
              <w:spacing w:line="312" w:lineRule="auto"/>
              <w:jc w:val="center"/>
              <w:rPr>
                <w:rFonts w:ascii="宋体" w:eastAsia="宋体" w:hAnsi="宋体" w:cs="宋体"/>
                <w:color w:val="auto"/>
                <w:lang w:eastAsia="zh-CN"/>
              </w:rPr>
            </w:pPr>
            <w:r>
              <w:rPr>
                <w:rFonts w:ascii="宋体" w:eastAsia="宋体" w:hAnsi="宋体" w:cs="宋体" w:hint="eastAsia"/>
                <w:color w:val="auto"/>
                <w:lang w:eastAsia="zh-CN"/>
              </w:rPr>
              <w:t>占用已确权土地（向海一侧）</w:t>
            </w:r>
          </w:p>
        </w:tc>
        <w:tc>
          <w:tcPr>
            <w:tcW w:w="1773" w:type="dxa"/>
            <w:tcBorders>
              <w:top w:val="single" w:sz="4" w:space="0" w:color="auto"/>
              <w:bottom w:val="single" w:sz="4" w:space="0" w:color="auto"/>
            </w:tcBorders>
            <w:vAlign w:val="center"/>
          </w:tcPr>
          <w:p w14:paraId="3CD9EBD4" w14:textId="77777777" w:rsidR="0075791A" w:rsidRDefault="00FB2864">
            <w:pPr>
              <w:spacing w:line="312" w:lineRule="auto"/>
              <w:jc w:val="center"/>
              <w:rPr>
                <w:rFonts w:ascii="宋体" w:eastAsia="宋体" w:hAnsi="宋体" w:cs="宋体"/>
                <w:color w:val="auto"/>
                <w:lang w:eastAsia="zh-CN"/>
              </w:rPr>
            </w:pPr>
            <w:r>
              <w:rPr>
                <w:rFonts w:ascii="宋体" w:eastAsia="宋体" w:hAnsi="宋体" w:cs="宋体" w:hint="eastAsia"/>
                <w:color w:val="auto"/>
                <w:lang w:eastAsia="zh-CN"/>
              </w:rPr>
              <w:t>江林村</w:t>
            </w:r>
            <w:r>
              <w:rPr>
                <w:rFonts w:ascii="宋体" w:eastAsia="宋体" w:hAnsi="宋体" w:cs="宋体" w:hint="eastAsia"/>
                <w:color w:val="auto"/>
                <w:sz w:val="22"/>
                <w:szCs w:val="22"/>
                <w:lang w:eastAsia="zh-CN" w:bidi="ar"/>
              </w:rPr>
              <w:t>农民集体</w:t>
            </w:r>
            <w:r>
              <w:rPr>
                <w:rFonts w:ascii="宋体" w:eastAsia="宋体" w:hAnsi="宋体" w:cs="宋体" w:hint="eastAsia"/>
                <w:color w:val="auto"/>
                <w:lang w:eastAsia="zh-CN"/>
              </w:rPr>
              <w:t>、</w:t>
            </w:r>
            <w:r>
              <w:rPr>
                <w:rFonts w:ascii="宋体" w:eastAsia="宋体" w:hAnsi="宋体" w:cs="宋体" w:hint="eastAsia"/>
                <w:color w:val="auto"/>
                <w:spacing w:val="9"/>
                <w:lang w:eastAsia="zh-CN"/>
              </w:rPr>
              <w:t>海棠区人民政府、</w:t>
            </w:r>
            <w:r>
              <w:rPr>
                <w:rFonts w:ascii="宋体" w:eastAsia="宋体" w:hAnsi="宋体" w:cs="宋体" w:hint="eastAsia"/>
                <w:color w:val="auto"/>
                <w:lang w:eastAsia="zh-CN"/>
              </w:rPr>
              <w:t>本项目用海单位</w:t>
            </w:r>
          </w:p>
        </w:tc>
        <w:tc>
          <w:tcPr>
            <w:tcW w:w="2561" w:type="dxa"/>
            <w:tcBorders>
              <w:top w:val="single" w:sz="4" w:space="0" w:color="auto"/>
            </w:tcBorders>
            <w:vAlign w:val="center"/>
          </w:tcPr>
          <w:p w14:paraId="0F3901AE" w14:textId="77777777" w:rsidR="0075791A" w:rsidRDefault="00FB2864">
            <w:pPr>
              <w:spacing w:line="312" w:lineRule="auto"/>
              <w:jc w:val="center"/>
              <w:rPr>
                <w:rFonts w:ascii="宋体" w:eastAsia="宋体" w:hAnsi="宋体" w:cs="宋体"/>
                <w:color w:val="auto"/>
                <w:lang w:eastAsia="zh-CN"/>
              </w:rPr>
            </w:pPr>
            <w:r>
              <w:rPr>
                <w:rFonts w:ascii="宋体" w:eastAsia="宋体" w:hAnsi="宋体" w:cs="宋体" w:hint="eastAsia"/>
                <w:color w:val="auto"/>
                <w:lang w:eastAsia="zh-CN"/>
              </w:rPr>
              <w:t>（</w:t>
            </w:r>
            <w:r>
              <w:rPr>
                <w:rFonts w:ascii="宋体" w:eastAsia="宋体" w:hAnsi="宋体" w:cs="宋体" w:hint="eastAsia"/>
                <w:color w:val="auto"/>
                <w:lang w:eastAsia="zh-CN"/>
              </w:rPr>
              <w:t>1</w:t>
            </w:r>
            <w:r>
              <w:rPr>
                <w:rFonts w:ascii="宋体" w:eastAsia="宋体" w:hAnsi="宋体" w:cs="宋体" w:hint="eastAsia"/>
                <w:color w:val="auto"/>
                <w:lang w:eastAsia="zh-CN"/>
              </w:rPr>
              <w:t>）双方明确土地权属、范围、占用面积；（</w:t>
            </w:r>
            <w:r>
              <w:rPr>
                <w:rFonts w:ascii="宋体" w:eastAsia="宋体" w:hAnsi="宋体" w:cs="宋体" w:hint="eastAsia"/>
                <w:color w:val="auto"/>
                <w:lang w:eastAsia="zh-CN"/>
              </w:rPr>
              <w:t>2</w:t>
            </w:r>
            <w:r>
              <w:rPr>
                <w:rFonts w:ascii="宋体" w:eastAsia="宋体" w:hAnsi="宋体" w:cs="宋体" w:hint="eastAsia"/>
                <w:color w:val="auto"/>
                <w:lang w:eastAsia="zh-CN"/>
              </w:rPr>
              <w:t>）明确地上附着物底数；</w:t>
            </w:r>
          </w:p>
          <w:p w14:paraId="190225A3" w14:textId="77777777" w:rsidR="0075791A" w:rsidRDefault="00FB2864">
            <w:pPr>
              <w:spacing w:line="312" w:lineRule="auto"/>
              <w:jc w:val="center"/>
              <w:rPr>
                <w:rFonts w:ascii="宋体" w:eastAsia="宋体" w:hAnsi="宋体" w:cs="宋体"/>
                <w:color w:val="auto"/>
                <w:lang w:eastAsia="zh-CN"/>
              </w:rPr>
            </w:pPr>
            <w:r>
              <w:rPr>
                <w:rFonts w:ascii="宋体" w:eastAsia="宋体" w:hAnsi="宋体" w:cs="宋体" w:hint="eastAsia"/>
                <w:color w:val="auto"/>
                <w:lang w:eastAsia="zh-CN"/>
              </w:rPr>
              <w:t>（</w:t>
            </w:r>
            <w:r>
              <w:rPr>
                <w:rFonts w:ascii="宋体" w:eastAsia="宋体" w:hAnsi="宋体" w:cs="宋体" w:hint="eastAsia"/>
                <w:color w:val="auto"/>
                <w:lang w:eastAsia="zh-CN"/>
              </w:rPr>
              <w:t>3</w:t>
            </w:r>
            <w:r>
              <w:rPr>
                <w:rFonts w:ascii="宋体" w:eastAsia="宋体" w:hAnsi="宋体" w:cs="宋体" w:hint="eastAsia"/>
                <w:color w:val="auto"/>
                <w:lang w:eastAsia="zh-CN"/>
              </w:rPr>
              <w:t>）依据《三亚市人民</w:t>
            </w:r>
            <w:r>
              <w:rPr>
                <w:rFonts w:ascii="宋体" w:eastAsia="宋体" w:hAnsi="宋体" w:cs="宋体" w:hint="eastAsia"/>
                <w:color w:val="auto"/>
                <w:lang w:eastAsia="zh-CN"/>
              </w:rPr>
              <w:t xml:space="preserve"> </w:t>
            </w:r>
            <w:r>
              <w:rPr>
                <w:rFonts w:ascii="宋体" w:eastAsia="宋体" w:hAnsi="宋体" w:cs="宋体" w:hint="eastAsia"/>
                <w:color w:val="auto"/>
                <w:lang w:eastAsia="zh-CN"/>
              </w:rPr>
              <w:t>政府关于印发〈三亚市征收集体土地青苗补偿费和征地经费包干管理办法〉的通知》（三府规〔</w:t>
            </w:r>
            <w:r>
              <w:rPr>
                <w:rFonts w:ascii="宋体" w:eastAsia="宋体" w:hAnsi="宋体" w:cs="宋体" w:hint="eastAsia"/>
                <w:color w:val="auto"/>
                <w:lang w:eastAsia="zh-CN"/>
              </w:rPr>
              <w:t>2021</w:t>
            </w:r>
            <w:r>
              <w:rPr>
                <w:rFonts w:ascii="宋体" w:eastAsia="宋体" w:hAnsi="宋体" w:cs="宋体" w:hint="eastAsia"/>
                <w:color w:val="auto"/>
                <w:lang w:eastAsia="zh-CN"/>
              </w:rPr>
              <w:t>〕</w:t>
            </w:r>
            <w:r>
              <w:rPr>
                <w:rFonts w:ascii="宋体" w:eastAsia="宋体" w:hAnsi="宋体" w:cs="宋体"/>
                <w:color w:val="auto"/>
                <w:lang w:eastAsia="zh-CN"/>
              </w:rPr>
              <w:t xml:space="preserve">25 </w:t>
            </w:r>
            <w:r>
              <w:rPr>
                <w:rFonts w:ascii="宋体" w:eastAsia="宋体" w:hAnsi="宋体" w:cs="宋体" w:hint="eastAsia"/>
                <w:color w:val="auto"/>
                <w:lang w:eastAsia="zh-CN"/>
              </w:rPr>
              <w:t>号）进行青苗补偿，双方签订补偿协议。</w:t>
            </w:r>
          </w:p>
        </w:tc>
        <w:tc>
          <w:tcPr>
            <w:tcW w:w="1894" w:type="dxa"/>
            <w:vAlign w:val="center"/>
          </w:tcPr>
          <w:p w14:paraId="026AA540" w14:textId="77777777" w:rsidR="0075791A" w:rsidRDefault="00FB2864">
            <w:pPr>
              <w:spacing w:line="312" w:lineRule="auto"/>
              <w:jc w:val="center"/>
              <w:rPr>
                <w:rFonts w:ascii="宋体" w:eastAsia="宋体" w:hAnsi="宋体" w:cs="宋体"/>
                <w:color w:val="auto"/>
                <w:lang w:eastAsia="zh-CN"/>
              </w:rPr>
            </w:pPr>
            <w:r>
              <w:rPr>
                <w:rFonts w:ascii="宋体" w:eastAsia="宋体" w:hAnsi="宋体" w:cs="宋体" w:hint="eastAsia"/>
                <w:color w:val="auto"/>
                <w:lang w:eastAsia="zh-CN"/>
              </w:rPr>
              <w:t>签订征收协议等</w:t>
            </w:r>
          </w:p>
        </w:tc>
      </w:tr>
    </w:tbl>
    <w:p w14:paraId="7EE9934F" w14:textId="77777777" w:rsidR="0075791A" w:rsidRDefault="0075791A">
      <w:pPr>
        <w:spacing w:line="360" w:lineRule="auto"/>
        <w:ind w:firstLineChars="200" w:firstLine="490"/>
        <w:jc w:val="both"/>
        <w:rPr>
          <w:rFonts w:ascii="Times New Roman" w:eastAsia="宋体" w:hAnsi="Times New Roman" w:cs="宋体"/>
          <w:color w:val="auto"/>
          <w:spacing w:val="5"/>
          <w:sz w:val="24"/>
          <w:szCs w:val="24"/>
          <w:lang w:eastAsia="zh-CN"/>
        </w:rPr>
      </w:pPr>
    </w:p>
    <w:p w14:paraId="61C537FB" w14:textId="77777777" w:rsidR="0075791A" w:rsidRDefault="00FB2864">
      <w:pPr>
        <w:spacing w:line="360" w:lineRule="auto"/>
        <w:ind w:firstLineChars="200" w:firstLine="482"/>
        <w:jc w:val="both"/>
        <w:rPr>
          <w:rFonts w:ascii="宋体" w:eastAsia="宋体" w:hAnsi="宋体" w:cs="宋体"/>
          <w:b/>
          <w:bCs/>
          <w:color w:val="auto"/>
          <w:sz w:val="24"/>
          <w:szCs w:val="24"/>
          <w:lang w:eastAsia="zh-CN"/>
        </w:rPr>
      </w:pPr>
      <w:r>
        <w:rPr>
          <w:rFonts w:ascii="宋体" w:eastAsia="宋体" w:hAnsi="宋体" w:cs="宋体" w:hint="eastAsia"/>
          <w:b/>
          <w:bCs/>
          <w:color w:val="auto"/>
          <w:sz w:val="24"/>
          <w:szCs w:val="24"/>
          <w:lang w:eastAsia="zh-CN"/>
        </w:rPr>
        <w:t>（</w:t>
      </w:r>
      <w:r>
        <w:rPr>
          <w:rFonts w:ascii="宋体" w:eastAsia="宋体" w:hAnsi="宋体" w:cs="宋体" w:hint="eastAsia"/>
          <w:b/>
          <w:bCs/>
          <w:color w:val="auto"/>
          <w:sz w:val="24"/>
          <w:szCs w:val="24"/>
          <w:lang w:eastAsia="zh-CN"/>
        </w:rPr>
        <w:t>2</w:t>
      </w:r>
      <w:r>
        <w:rPr>
          <w:rFonts w:ascii="宋体" w:eastAsia="宋体" w:hAnsi="宋体" w:cs="宋体" w:hint="eastAsia"/>
          <w:b/>
          <w:bCs/>
          <w:color w:val="auto"/>
          <w:sz w:val="24"/>
          <w:szCs w:val="24"/>
          <w:lang w:eastAsia="zh-CN"/>
        </w:rPr>
        <w:t>）与海棠区人民政府的协调分析</w:t>
      </w:r>
    </w:p>
    <w:p w14:paraId="660182CE" w14:textId="77777777" w:rsidR="0075791A" w:rsidRDefault="00FB2864">
      <w:pPr>
        <w:spacing w:line="360" w:lineRule="auto"/>
        <w:ind w:firstLineChars="200" w:firstLine="490"/>
        <w:jc w:val="both"/>
        <w:rPr>
          <w:rFonts w:ascii="Times New Roman" w:eastAsia="宋体" w:hAnsi="Times New Roman" w:cs="宋体"/>
          <w:color w:val="auto"/>
          <w:spacing w:val="5"/>
          <w:sz w:val="24"/>
          <w:szCs w:val="24"/>
          <w:lang w:eastAsia="zh-CN"/>
        </w:rPr>
      </w:pPr>
      <w:r>
        <w:rPr>
          <w:rFonts w:ascii="Times New Roman" w:eastAsia="宋体" w:hAnsi="Times New Roman" w:cs="宋体"/>
          <w:color w:val="auto"/>
          <w:spacing w:val="5"/>
          <w:sz w:val="24"/>
          <w:szCs w:val="24"/>
          <w:lang w:eastAsia="zh-CN"/>
        </w:rPr>
        <w:t>本项目用海</w:t>
      </w:r>
      <w:r>
        <w:rPr>
          <w:rFonts w:ascii="Times New Roman" w:eastAsia="宋体" w:hAnsi="Times New Roman" w:cs="宋体" w:hint="eastAsia"/>
          <w:color w:val="auto"/>
          <w:spacing w:val="5"/>
          <w:sz w:val="24"/>
          <w:szCs w:val="24"/>
          <w:lang w:eastAsia="zh-CN"/>
        </w:rPr>
        <w:t>构筑物建设占用位于海岸线向海一侧已确权土地，根据征收方案，该部分土地权属将在完成征收后入库，后续按海域管理；本项目所涉未被征收确权土地，则可进行补偿征收工作。</w:t>
      </w:r>
      <w:r>
        <w:rPr>
          <w:rFonts w:ascii="Times New Roman" w:eastAsia="宋体" w:hAnsi="Times New Roman" w:cs="宋体"/>
          <w:color w:val="auto"/>
          <w:spacing w:val="5"/>
          <w:sz w:val="24"/>
          <w:szCs w:val="24"/>
          <w:lang w:eastAsia="zh-CN"/>
        </w:rPr>
        <w:t>具体的协调详见表</w:t>
      </w:r>
      <w:r>
        <w:rPr>
          <w:rFonts w:ascii="Times New Roman" w:eastAsia="宋体" w:hAnsi="Times New Roman" w:cs="宋体" w:hint="eastAsia"/>
          <w:color w:val="auto"/>
          <w:spacing w:val="5"/>
          <w:sz w:val="24"/>
          <w:szCs w:val="24"/>
          <w:lang w:eastAsia="zh-CN"/>
        </w:rPr>
        <w:t>5</w:t>
      </w:r>
      <w:r>
        <w:rPr>
          <w:rFonts w:ascii="Times New Roman" w:eastAsia="宋体" w:hAnsi="Times New Roman" w:cs="宋体"/>
          <w:color w:val="auto"/>
          <w:spacing w:val="5"/>
          <w:sz w:val="24"/>
          <w:szCs w:val="24"/>
          <w:lang w:eastAsia="zh-CN"/>
        </w:rPr>
        <w:t>.4-2</w:t>
      </w:r>
      <w:r>
        <w:rPr>
          <w:rFonts w:ascii="Times New Roman" w:eastAsia="宋体" w:hAnsi="Times New Roman" w:cs="宋体" w:hint="eastAsia"/>
          <w:color w:val="auto"/>
          <w:spacing w:val="5"/>
          <w:sz w:val="24"/>
          <w:szCs w:val="24"/>
          <w:lang w:eastAsia="zh-CN"/>
        </w:rPr>
        <w:t>，</w:t>
      </w:r>
      <w:r>
        <w:rPr>
          <w:rFonts w:ascii="Times New Roman" w:eastAsia="宋体" w:hAnsi="Times New Roman" w:cs="宋体" w:hint="eastAsia"/>
          <w:color w:val="auto"/>
          <w:spacing w:val="5"/>
          <w:sz w:val="24"/>
          <w:szCs w:val="24"/>
          <w:lang w:eastAsia="zh-CN"/>
        </w:rPr>
        <w:t>土地征收方案见附件</w:t>
      </w:r>
      <w:r>
        <w:rPr>
          <w:rFonts w:ascii="Times New Roman" w:eastAsia="宋体" w:hAnsi="Times New Roman" w:cs="宋体" w:hint="eastAsia"/>
          <w:color w:val="auto"/>
          <w:spacing w:val="5"/>
          <w:sz w:val="24"/>
          <w:szCs w:val="24"/>
          <w:lang w:eastAsia="zh-CN"/>
        </w:rPr>
        <w:t>7</w:t>
      </w:r>
      <w:r>
        <w:rPr>
          <w:rFonts w:ascii="Times New Roman" w:eastAsia="宋体" w:hAnsi="Times New Roman" w:cs="宋体" w:hint="eastAsia"/>
          <w:color w:val="auto"/>
          <w:spacing w:val="5"/>
          <w:sz w:val="24"/>
          <w:szCs w:val="24"/>
          <w:lang w:eastAsia="zh-CN"/>
        </w:rPr>
        <w:t>。</w:t>
      </w:r>
    </w:p>
    <w:p w14:paraId="630404E1" w14:textId="77777777" w:rsidR="0075791A" w:rsidRDefault="00FB2864">
      <w:pPr>
        <w:jc w:val="center"/>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表</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color w:val="auto"/>
          <w:spacing w:val="-2"/>
          <w:sz w:val="24"/>
          <w:szCs w:val="24"/>
          <w:lang w:eastAsia="zh-CN"/>
        </w:rPr>
        <w:t>.4-2</w:t>
      </w:r>
      <w:r>
        <w:rPr>
          <w:rFonts w:ascii="Times New Roman" w:eastAsia="宋体" w:hAnsi="Times New Roman" w:cs="宋体"/>
          <w:color w:val="auto"/>
          <w:spacing w:val="-2"/>
          <w:sz w:val="24"/>
          <w:szCs w:val="24"/>
          <w:lang w:eastAsia="zh-CN"/>
        </w:rPr>
        <w:t>与</w:t>
      </w:r>
      <w:r>
        <w:rPr>
          <w:rFonts w:ascii="Times New Roman" w:eastAsia="宋体" w:hAnsi="Times New Roman" w:cs="宋体" w:hint="eastAsia"/>
          <w:color w:val="auto"/>
          <w:spacing w:val="-2"/>
          <w:sz w:val="24"/>
          <w:szCs w:val="24"/>
          <w:lang w:eastAsia="zh-CN"/>
        </w:rPr>
        <w:t>三亚市自然资源和规划局、海棠区政府</w:t>
      </w:r>
      <w:r>
        <w:rPr>
          <w:rFonts w:ascii="Times New Roman" w:eastAsia="宋体" w:hAnsi="Times New Roman" w:cs="宋体"/>
          <w:color w:val="auto"/>
          <w:spacing w:val="-2"/>
          <w:sz w:val="24"/>
          <w:szCs w:val="24"/>
          <w:lang w:eastAsia="zh-CN"/>
        </w:rPr>
        <w:t>的利益协调内容</w:t>
      </w:r>
    </w:p>
    <w:tbl>
      <w:tblPr>
        <w:tblStyle w:val="TableNormal"/>
        <w:tblW w:w="9098"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367"/>
        <w:gridCol w:w="1906"/>
        <w:gridCol w:w="1358"/>
        <w:gridCol w:w="2606"/>
        <w:gridCol w:w="1861"/>
      </w:tblGrid>
      <w:tr w:rsidR="0075791A" w14:paraId="50F5B0AC" w14:textId="77777777">
        <w:trPr>
          <w:trHeight w:val="569"/>
          <w:jc w:val="center"/>
        </w:trPr>
        <w:tc>
          <w:tcPr>
            <w:tcW w:w="1367" w:type="dxa"/>
            <w:vAlign w:val="center"/>
          </w:tcPr>
          <w:p w14:paraId="2C3C2918" w14:textId="77777777" w:rsidR="0075791A" w:rsidRDefault="00FB2864">
            <w:pPr>
              <w:jc w:val="center"/>
              <w:rPr>
                <w:rFonts w:ascii="宋体" w:eastAsia="宋体" w:hAnsi="宋体" w:cs="宋体"/>
                <w:color w:val="auto"/>
                <w:lang w:eastAsia="zh-CN"/>
              </w:rPr>
            </w:pPr>
            <w:r>
              <w:rPr>
                <w:rFonts w:ascii="宋体" w:eastAsia="宋体" w:hAnsi="宋体" w:cs="宋体" w:hint="eastAsia"/>
                <w:color w:val="auto"/>
                <w:lang w:eastAsia="zh-CN"/>
              </w:rPr>
              <w:t>利益相关者</w:t>
            </w:r>
          </w:p>
        </w:tc>
        <w:tc>
          <w:tcPr>
            <w:tcW w:w="1906" w:type="dxa"/>
            <w:vAlign w:val="center"/>
          </w:tcPr>
          <w:p w14:paraId="1B015324" w14:textId="77777777" w:rsidR="0075791A" w:rsidRDefault="00FB2864">
            <w:pPr>
              <w:jc w:val="center"/>
              <w:rPr>
                <w:rFonts w:ascii="宋体" w:eastAsia="宋体" w:hAnsi="宋体" w:cs="宋体"/>
                <w:color w:val="auto"/>
                <w:lang w:eastAsia="zh-CN"/>
              </w:rPr>
            </w:pPr>
            <w:r>
              <w:rPr>
                <w:rFonts w:ascii="宋体" w:eastAsia="宋体" w:hAnsi="宋体" w:cs="宋体" w:hint="eastAsia"/>
                <w:color w:val="auto"/>
                <w:lang w:eastAsia="zh-CN"/>
              </w:rPr>
              <w:t>影响内容</w:t>
            </w:r>
          </w:p>
        </w:tc>
        <w:tc>
          <w:tcPr>
            <w:tcW w:w="1358" w:type="dxa"/>
            <w:vAlign w:val="center"/>
          </w:tcPr>
          <w:p w14:paraId="1CDF4241" w14:textId="77777777" w:rsidR="0075791A" w:rsidRDefault="00FB2864">
            <w:pPr>
              <w:jc w:val="center"/>
              <w:rPr>
                <w:rFonts w:ascii="宋体" w:eastAsia="宋体" w:hAnsi="宋体" w:cs="宋体"/>
                <w:color w:val="auto"/>
                <w:lang w:eastAsia="zh-CN"/>
              </w:rPr>
            </w:pPr>
            <w:r>
              <w:rPr>
                <w:rFonts w:ascii="宋体" w:eastAsia="宋体" w:hAnsi="宋体" w:cs="宋体" w:hint="eastAsia"/>
                <w:color w:val="auto"/>
                <w:lang w:eastAsia="zh-CN"/>
              </w:rPr>
              <w:t>协调人</w:t>
            </w:r>
          </w:p>
        </w:tc>
        <w:tc>
          <w:tcPr>
            <w:tcW w:w="2606" w:type="dxa"/>
            <w:vAlign w:val="center"/>
          </w:tcPr>
          <w:p w14:paraId="3BFD779A" w14:textId="77777777" w:rsidR="0075791A" w:rsidRDefault="00FB2864">
            <w:pPr>
              <w:jc w:val="center"/>
              <w:rPr>
                <w:rFonts w:ascii="宋体" w:eastAsia="宋体" w:hAnsi="宋体" w:cs="宋体"/>
                <w:color w:val="auto"/>
                <w:lang w:eastAsia="zh-CN"/>
              </w:rPr>
            </w:pPr>
            <w:r>
              <w:rPr>
                <w:rFonts w:ascii="宋体" w:eastAsia="宋体" w:hAnsi="宋体" w:cs="宋体" w:hint="eastAsia"/>
                <w:color w:val="auto"/>
                <w:lang w:eastAsia="zh-CN"/>
              </w:rPr>
              <w:t>协调方案</w:t>
            </w:r>
          </w:p>
        </w:tc>
        <w:tc>
          <w:tcPr>
            <w:tcW w:w="1861" w:type="dxa"/>
            <w:vAlign w:val="center"/>
          </w:tcPr>
          <w:p w14:paraId="05E22D6F" w14:textId="77777777" w:rsidR="0075791A" w:rsidRDefault="00FB2864">
            <w:pPr>
              <w:jc w:val="center"/>
              <w:rPr>
                <w:rFonts w:ascii="宋体" w:eastAsia="宋体" w:hAnsi="宋体" w:cs="宋体"/>
                <w:color w:val="auto"/>
                <w:lang w:eastAsia="zh-CN"/>
              </w:rPr>
            </w:pPr>
            <w:r>
              <w:rPr>
                <w:rFonts w:ascii="宋体" w:eastAsia="宋体" w:hAnsi="宋体" w:cs="宋体" w:hint="eastAsia"/>
                <w:color w:val="auto"/>
                <w:lang w:eastAsia="zh-CN"/>
              </w:rPr>
              <w:t>协调结果要求</w:t>
            </w:r>
          </w:p>
        </w:tc>
      </w:tr>
      <w:tr w:rsidR="0075791A" w14:paraId="6F9EA93D" w14:textId="77777777">
        <w:trPr>
          <w:trHeight w:val="1939"/>
          <w:jc w:val="center"/>
        </w:trPr>
        <w:tc>
          <w:tcPr>
            <w:tcW w:w="1367" w:type="dxa"/>
            <w:vAlign w:val="center"/>
          </w:tcPr>
          <w:p w14:paraId="7C879CE8" w14:textId="77777777" w:rsidR="0075791A" w:rsidRDefault="00FB2864">
            <w:pPr>
              <w:spacing w:line="312" w:lineRule="auto"/>
              <w:jc w:val="center"/>
              <w:rPr>
                <w:rFonts w:ascii="宋体" w:eastAsia="宋体" w:hAnsi="宋体" w:cs="宋体"/>
                <w:color w:val="auto"/>
                <w:lang w:eastAsia="zh-CN"/>
              </w:rPr>
            </w:pPr>
            <w:r>
              <w:rPr>
                <w:rFonts w:ascii="宋体" w:eastAsia="宋体" w:hAnsi="宋体" w:cs="宋体" w:hint="eastAsia"/>
                <w:color w:val="auto"/>
                <w:lang w:eastAsia="zh-CN"/>
              </w:rPr>
              <w:t>海棠区人民政府</w:t>
            </w:r>
          </w:p>
        </w:tc>
        <w:tc>
          <w:tcPr>
            <w:tcW w:w="1906" w:type="dxa"/>
            <w:vAlign w:val="center"/>
          </w:tcPr>
          <w:p w14:paraId="799B7C18" w14:textId="77777777" w:rsidR="0075791A" w:rsidRDefault="00FB2864">
            <w:pPr>
              <w:spacing w:line="312" w:lineRule="auto"/>
              <w:jc w:val="center"/>
              <w:rPr>
                <w:rFonts w:ascii="宋体" w:eastAsia="宋体" w:hAnsi="宋体" w:cs="宋体"/>
                <w:color w:val="auto"/>
                <w:lang w:eastAsia="zh-CN"/>
              </w:rPr>
            </w:pPr>
            <w:r>
              <w:rPr>
                <w:rFonts w:ascii="宋体" w:eastAsia="宋体" w:hAnsi="宋体" w:cs="宋体" w:hint="eastAsia"/>
                <w:color w:val="auto"/>
                <w:lang w:eastAsia="zh-CN"/>
              </w:rPr>
              <w:t>位于已确权土地上，无法申请用海</w:t>
            </w:r>
          </w:p>
        </w:tc>
        <w:tc>
          <w:tcPr>
            <w:tcW w:w="1358" w:type="dxa"/>
            <w:vAlign w:val="center"/>
          </w:tcPr>
          <w:p w14:paraId="5CF4A2D2" w14:textId="77777777" w:rsidR="0075791A" w:rsidRDefault="00FB2864">
            <w:pPr>
              <w:spacing w:line="312" w:lineRule="auto"/>
              <w:jc w:val="center"/>
              <w:rPr>
                <w:rFonts w:ascii="宋体" w:eastAsia="宋体" w:hAnsi="宋体" w:cs="宋体"/>
                <w:color w:val="auto"/>
                <w:lang w:eastAsia="zh-CN"/>
              </w:rPr>
            </w:pPr>
            <w:r>
              <w:rPr>
                <w:rFonts w:ascii="宋体" w:eastAsia="宋体" w:hAnsi="宋体" w:cs="宋体" w:hint="eastAsia"/>
                <w:color w:val="auto"/>
                <w:lang w:eastAsia="zh-CN"/>
              </w:rPr>
              <w:t>海棠区人民政府、本项目用海单位</w:t>
            </w:r>
          </w:p>
        </w:tc>
        <w:tc>
          <w:tcPr>
            <w:tcW w:w="2606" w:type="dxa"/>
            <w:vAlign w:val="center"/>
          </w:tcPr>
          <w:p w14:paraId="3017471B" w14:textId="77777777" w:rsidR="0075791A" w:rsidRDefault="00FB2864">
            <w:pPr>
              <w:spacing w:line="312" w:lineRule="auto"/>
              <w:jc w:val="center"/>
              <w:rPr>
                <w:rFonts w:ascii="宋体" w:eastAsia="宋体" w:hAnsi="宋体" w:cs="宋体"/>
                <w:color w:val="auto"/>
                <w:lang w:eastAsia="zh-CN"/>
              </w:rPr>
            </w:pPr>
            <w:r>
              <w:rPr>
                <w:rFonts w:ascii="宋体" w:eastAsia="宋体" w:hAnsi="宋体" w:cs="宋体" w:hint="eastAsia"/>
                <w:color w:val="auto"/>
                <w:lang w:eastAsia="zh-CN"/>
              </w:rPr>
              <w:t>（</w:t>
            </w:r>
            <w:r>
              <w:rPr>
                <w:rFonts w:ascii="宋体" w:eastAsia="宋体" w:hAnsi="宋体" w:cs="宋体" w:hint="eastAsia"/>
                <w:color w:val="auto"/>
                <w:lang w:eastAsia="zh-CN"/>
              </w:rPr>
              <w:t>1</w:t>
            </w:r>
            <w:r>
              <w:rPr>
                <w:rFonts w:ascii="宋体" w:eastAsia="宋体" w:hAnsi="宋体" w:cs="宋体" w:hint="eastAsia"/>
                <w:color w:val="auto"/>
                <w:lang w:eastAsia="zh-CN"/>
              </w:rPr>
              <w:t>）加快推进征收程序办理，土地入库进度；</w:t>
            </w:r>
          </w:p>
          <w:p w14:paraId="080F911B" w14:textId="77777777" w:rsidR="0075791A" w:rsidRDefault="00FB2864">
            <w:pPr>
              <w:spacing w:line="312" w:lineRule="auto"/>
              <w:jc w:val="center"/>
              <w:rPr>
                <w:rFonts w:ascii="宋体" w:eastAsia="宋体" w:hAnsi="宋体" w:cs="宋体"/>
                <w:color w:val="auto"/>
                <w:lang w:eastAsia="zh-CN"/>
              </w:rPr>
            </w:pPr>
            <w:r>
              <w:rPr>
                <w:rFonts w:ascii="宋体" w:eastAsia="宋体" w:hAnsi="宋体" w:cs="宋体" w:hint="eastAsia"/>
                <w:color w:val="auto"/>
                <w:lang w:eastAsia="zh-CN"/>
              </w:rPr>
              <w:t>（</w:t>
            </w:r>
            <w:r>
              <w:rPr>
                <w:rFonts w:ascii="宋体" w:eastAsia="宋体" w:hAnsi="宋体" w:cs="宋体" w:hint="eastAsia"/>
                <w:color w:val="auto"/>
                <w:lang w:eastAsia="zh-CN"/>
              </w:rPr>
              <w:t>2</w:t>
            </w:r>
            <w:r>
              <w:rPr>
                <w:rFonts w:ascii="宋体" w:eastAsia="宋体" w:hAnsi="宋体" w:cs="宋体" w:hint="eastAsia"/>
                <w:color w:val="auto"/>
                <w:lang w:eastAsia="zh-CN"/>
              </w:rPr>
              <w:t>）在土地入库后按海域管理，对该部分构筑物所占用海域进行确权。</w:t>
            </w:r>
          </w:p>
        </w:tc>
        <w:tc>
          <w:tcPr>
            <w:tcW w:w="1861" w:type="dxa"/>
            <w:vAlign w:val="center"/>
          </w:tcPr>
          <w:p w14:paraId="583E786C" w14:textId="77777777" w:rsidR="0075791A" w:rsidRDefault="00FB2864">
            <w:pPr>
              <w:spacing w:line="312" w:lineRule="auto"/>
              <w:jc w:val="center"/>
              <w:rPr>
                <w:rFonts w:ascii="宋体" w:eastAsia="宋体" w:hAnsi="宋体" w:cs="宋体"/>
                <w:color w:val="auto"/>
                <w:lang w:eastAsia="zh-CN"/>
              </w:rPr>
            </w:pPr>
            <w:r>
              <w:rPr>
                <w:rFonts w:ascii="宋体" w:eastAsia="宋体" w:hAnsi="宋体" w:cs="宋体" w:hint="eastAsia"/>
                <w:color w:val="auto"/>
                <w:lang w:eastAsia="zh-CN"/>
              </w:rPr>
              <w:t>合理征收已确权土地、办理海域使用手续。</w:t>
            </w:r>
          </w:p>
        </w:tc>
      </w:tr>
    </w:tbl>
    <w:p w14:paraId="34CF797B" w14:textId="77777777" w:rsidR="0075791A" w:rsidRDefault="0075791A">
      <w:pPr>
        <w:spacing w:line="360" w:lineRule="auto"/>
        <w:ind w:firstLineChars="200" w:firstLine="490"/>
        <w:jc w:val="both"/>
        <w:rPr>
          <w:rFonts w:ascii="Times New Roman" w:eastAsia="宋体" w:hAnsi="Times New Roman" w:cs="宋体"/>
          <w:color w:val="auto"/>
          <w:spacing w:val="5"/>
          <w:sz w:val="24"/>
          <w:szCs w:val="24"/>
          <w:lang w:eastAsia="zh-CN"/>
        </w:rPr>
      </w:pPr>
    </w:p>
    <w:p w14:paraId="167421F4" w14:textId="77777777" w:rsidR="0075791A" w:rsidRDefault="00FB2864">
      <w:pPr>
        <w:spacing w:line="360" w:lineRule="auto"/>
        <w:ind w:firstLineChars="200" w:firstLine="490"/>
        <w:jc w:val="both"/>
        <w:rPr>
          <w:rFonts w:ascii="Times New Roman" w:eastAsia="宋体" w:hAnsi="Times New Roman" w:cs="宋体"/>
          <w:color w:val="auto"/>
          <w:spacing w:val="5"/>
          <w:sz w:val="24"/>
          <w:szCs w:val="24"/>
          <w:lang w:eastAsia="zh-CN"/>
        </w:rPr>
      </w:pPr>
      <w:r>
        <w:rPr>
          <w:rFonts w:ascii="Times New Roman" w:eastAsia="宋体" w:hAnsi="Times New Roman" w:cs="宋体" w:hint="eastAsia"/>
          <w:color w:val="auto"/>
          <w:spacing w:val="5"/>
          <w:sz w:val="24"/>
          <w:szCs w:val="24"/>
          <w:lang w:eastAsia="zh-CN"/>
        </w:rPr>
        <w:t>（</w:t>
      </w:r>
      <w:r>
        <w:rPr>
          <w:rFonts w:ascii="Times New Roman" w:eastAsia="宋体" w:hAnsi="Times New Roman" w:cs="宋体" w:hint="eastAsia"/>
          <w:color w:val="auto"/>
          <w:spacing w:val="5"/>
          <w:sz w:val="24"/>
          <w:szCs w:val="24"/>
          <w:lang w:eastAsia="zh-CN"/>
        </w:rPr>
        <w:t>3</w:t>
      </w:r>
      <w:r>
        <w:rPr>
          <w:rFonts w:ascii="Times New Roman" w:eastAsia="宋体" w:hAnsi="Times New Roman" w:cs="宋体" w:hint="eastAsia"/>
          <w:color w:val="auto"/>
          <w:spacing w:val="5"/>
          <w:sz w:val="24"/>
          <w:szCs w:val="24"/>
          <w:lang w:eastAsia="zh-CN"/>
        </w:rPr>
        <w:t>）与三亚海事局的协调分析</w:t>
      </w:r>
      <w:bookmarkEnd w:id="284"/>
      <w:bookmarkEnd w:id="285"/>
    </w:p>
    <w:p w14:paraId="00473EF3" w14:textId="77777777" w:rsidR="0075791A" w:rsidRDefault="00FB2864">
      <w:pPr>
        <w:spacing w:line="360" w:lineRule="auto"/>
        <w:ind w:firstLineChars="200" w:firstLine="490"/>
        <w:jc w:val="both"/>
        <w:rPr>
          <w:rFonts w:ascii="Times New Roman" w:eastAsia="宋体" w:hAnsi="Times New Roman" w:cs="宋体"/>
          <w:color w:val="auto"/>
          <w:spacing w:val="5"/>
          <w:sz w:val="24"/>
          <w:szCs w:val="24"/>
          <w:lang w:eastAsia="zh-CN"/>
        </w:rPr>
      </w:pPr>
      <w:r>
        <w:rPr>
          <w:rFonts w:ascii="Times New Roman" w:eastAsia="宋体" w:hAnsi="Times New Roman" w:cs="宋体" w:hint="eastAsia"/>
          <w:color w:val="auto"/>
          <w:spacing w:val="5"/>
          <w:sz w:val="24"/>
          <w:szCs w:val="24"/>
          <w:lang w:eastAsia="zh-CN"/>
        </w:rPr>
        <w:t>根据上节分析，</w:t>
      </w:r>
      <w:r>
        <w:rPr>
          <w:rFonts w:ascii="Times New Roman" w:eastAsia="宋体" w:hAnsi="Times New Roman" w:cs="宋体" w:hint="eastAsia"/>
          <w:color w:val="auto"/>
          <w:spacing w:val="5"/>
          <w:sz w:val="24"/>
          <w:szCs w:val="24"/>
          <w:lang w:eastAsia="zh-CN"/>
        </w:rPr>
        <w:t>项目施工期增加了铁炉港海域船舶通行密度，对通航安全造成一定影响，</w:t>
      </w:r>
      <w:r>
        <w:rPr>
          <w:rFonts w:ascii="Times New Roman" w:eastAsia="宋体" w:hAnsi="Times New Roman" w:cs="宋体" w:hint="eastAsia"/>
          <w:color w:val="auto"/>
          <w:spacing w:val="5"/>
          <w:sz w:val="24"/>
          <w:szCs w:val="24"/>
          <w:lang w:eastAsia="zh-CN"/>
        </w:rPr>
        <w:t>本项目用海活动涉及水上水下施工，因此将</w:t>
      </w:r>
      <w:r>
        <w:rPr>
          <w:rFonts w:ascii="Times New Roman" w:eastAsia="宋体" w:hAnsi="Times New Roman" w:cs="宋体" w:hint="eastAsia"/>
          <w:color w:val="auto"/>
          <w:spacing w:val="5"/>
          <w:sz w:val="24"/>
          <w:szCs w:val="24"/>
          <w:lang w:eastAsia="zh-CN"/>
        </w:rPr>
        <w:t>三亚</w:t>
      </w:r>
      <w:r>
        <w:rPr>
          <w:rFonts w:ascii="Times New Roman" w:eastAsia="宋体" w:hAnsi="Times New Roman" w:cs="宋体" w:hint="eastAsia"/>
          <w:color w:val="auto"/>
          <w:spacing w:val="5"/>
          <w:sz w:val="24"/>
          <w:szCs w:val="24"/>
          <w:lang w:eastAsia="zh-CN"/>
        </w:rPr>
        <w:t>海事局列为协调部门。根据《中华人民共和国水上水下作业和活动通航安全管理规定》，在海域内进行下列施工作业，应当经海事管理机构许可，并核定相应安全作业区</w:t>
      </w:r>
      <w:r>
        <w:rPr>
          <w:rFonts w:ascii="Times New Roman" w:eastAsia="宋体" w:hAnsi="Times New Roman" w:cs="宋体" w:hint="eastAsia"/>
          <w:color w:val="auto"/>
          <w:spacing w:val="5"/>
          <w:sz w:val="24"/>
          <w:szCs w:val="24"/>
          <w:lang w:eastAsia="zh-CN"/>
        </w:rPr>
        <w:t>，</w:t>
      </w:r>
      <w:r>
        <w:rPr>
          <w:rFonts w:ascii="Times New Roman" w:eastAsia="宋体" w:hAnsi="Times New Roman" w:cs="宋体" w:hint="eastAsia"/>
          <w:color w:val="auto"/>
          <w:spacing w:val="5"/>
          <w:sz w:val="24"/>
          <w:szCs w:val="24"/>
          <w:lang w:eastAsia="zh-CN"/>
        </w:rPr>
        <w:t>建设单位</w:t>
      </w:r>
      <w:r>
        <w:rPr>
          <w:rFonts w:ascii="Times New Roman" w:eastAsia="宋体" w:hAnsi="Times New Roman" w:cs="宋体" w:hint="eastAsia"/>
          <w:color w:val="auto"/>
          <w:spacing w:val="5"/>
          <w:sz w:val="24"/>
          <w:szCs w:val="24"/>
          <w:lang w:eastAsia="zh-CN"/>
        </w:rPr>
        <w:t>/</w:t>
      </w:r>
      <w:r>
        <w:rPr>
          <w:rFonts w:ascii="Times New Roman" w:eastAsia="宋体" w:hAnsi="Times New Roman" w:cs="宋体" w:hint="eastAsia"/>
          <w:color w:val="auto"/>
          <w:spacing w:val="5"/>
          <w:sz w:val="24"/>
          <w:szCs w:val="24"/>
          <w:lang w:eastAsia="zh-CN"/>
        </w:rPr>
        <w:t>施工</w:t>
      </w:r>
      <w:r>
        <w:rPr>
          <w:rFonts w:ascii="Times New Roman" w:eastAsia="宋体" w:hAnsi="Times New Roman" w:cs="宋体" w:hint="eastAsia"/>
          <w:color w:val="auto"/>
          <w:spacing w:val="5"/>
          <w:sz w:val="24"/>
          <w:szCs w:val="24"/>
          <w:lang w:eastAsia="zh-CN"/>
        </w:rPr>
        <w:t>单位与</w:t>
      </w:r>
      <w:r>
        <w:rPr>
          <w:rFonts w:ascii="Times New Roman" w:eastAsia="宋体" w:hAnsi="Times New Roman" w:cs="宋体" w:hint="eastAsia"/>
          <w:color w:val="auto"/>
          <w:spacing w:val="5"/>
          <w:sz w:val="24"/>
          <w:szCs w:val="24"/>
          <w:lang w:eastAsia="zh-CN"/>
        </w:rPr>
        <w:t>三亚</w:t>
      </w:r>
      <w:r>
        <w:rPr>
          <w:rFonts w:ascii="Times New Roman" w:eastAsia="宋体" w:hAnsi="Times New Roman" w:cs="宋体" w:hint="eastAsia"/>
          <w:color w:val="auto"/>
          <w:spacing w:val="5"/>
          <w:sz w:val="24"/>
          <w:szCs w:val="24"/>
          <w:lang w:eastAsia="zh-CN"/>
        </w:rPr>
        <w:t>海事局可通过表</w:t>
      </w:r>
      <w:r>
        <w:rPr>
          <w:rFonts w:ascii="Times New Roman" w:eastAsia="宋体" w:hAnsi="Times New Roman" w:cs="宋体" w:hint="eastAsia"/>
          <w:color w:val="auto"/>
          <w:spacing w:val="5"/>
          <w:sz w:val="24"/>
          <w:szCs w:val="24"/>
          <w:lang w:eastAsia="zh-CN"/>
        </w:rPr>
        <w:t>5</w:t>
      </w:r>
      <w:r>
        <w:rPr>
          <w:rFonts w:ascii="Times New Roman" w:eastAsia="宋体" w:hAnsi="Times New Roman" w:cs="宋体" w:hint="eastAsia"/>
          <w:color w:val="auto"/>
          <w:spacing w:val="5"/>
          <w:sz w:val="24"/>
          <w:szCs w:val="24"/>
          <w:lang w:eastAsia="zh-CN"/>
        </w:rPr>
        <w:t>.4-</w:t>
      </w:r>
      <w:r>
        <w:rPr>
          <w:rFonts w:ascii="Times New Roman" w:eastAsia="宋体" w:hAnsi="Times New Roman" w:cs="宋体" w:hint="eastAsia"/>
          <w:color w:val="auto"/>
          <w:spacing w:val="5"/>
          <w:sz w:val="24"/>
          <w:szCs w:val="24"/>
          <w:lang w:eastAsia="zh-CN"/>
        </w:rPr>
        <w:t>3</w:t>
      </w:r>
      <w:r>
        <w:rPr>
          <w:rFonts w:ascii="Times New Roman" w:eastAsia="宋体" w:hAnsi="Times New Roman" w:cs="宋体" w:hint="eastAsia"/>
          <w:color w:val="auto"/>
          <w:spacing w:val="5"/>
          <w:sz w:val="24"/>
          <w:szCs w:val="24"/>
          <w:lang w:eastAsia="zh-CN"/>
        </w:rPr>
        <w:t>中的协调方案进行协调。</w:t>
      </w:r>
    </w:p>
    <w:p w14:paraId="48469152" w14:textId="77777777" w:rsidR="0075791A" w:rsidRDefault="00FB2864">
      <w:pPr>
        <w:jc w:val="center"/>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表</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color w:val="auto"/>
          <w:spacing w:val="-2"/>
          <w:sz w:val="24"/>
          <w:szCs w:val="24"/>
          <w:lang w:eastAsia="zh-CN"/>
        </w:rPr>
        <w:t>.4-</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color w:val="auto"/>
          <w:spacing w:val="-2"/>
          <w:sz w:val="24"/>
          <w:szCs w:val="24"/>
          <w:lang w:eastAsia="zh-CN"/>
        </w:rPr>
        <w:t>与</w:t>
      </w:r>
      <w:r>
        <w:rPr>
          <w:rFonts w:ascii="Times New Roman" w:eastAsia="宋体" w:hAnsi="Times New Roman" w:cs="宋体" w:hint="eastAsia"/>
          <w:color w:val="auto"/>
          <w:spacing w:val="-2"/>
          <w:sz w:val="24"/>
          <w:szCs w:val="24"/>
          <w:lang w:eastAsia="zh-CN"/>
        </w:rPr>
        <w:t>三亚海事局</w:t>
      </w:r>
      <w:r>
        <w:rPr>
          <w:rFonts w:ascii="Times New Roman" w:eastAsia="宋体" w:hAnsi="Times New Roman" w:cs="宋体"/>
          <w:color w:val="auto"/>
          <w:spacing w:val="-2"/>
          <w:sz w:val="24"/>
          <w:szCs w:val="24"/>
          <w:lang w:eastAsia="zh-CN"/>
        </w:rPr>
        <w:t>的利益协调内容</w:t>
      </w:r>
    </w:p>
    <w:tbl>
      <w:tblPr>
        <w:tblStyle w:val="TableNormal"/>
        <w:tblW w:w="9118"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370"/>
        <w:gridCol w:w="1910"/>
        <w:gridCol w:w="1361"/>
        <w:gridCol w:w="2552"/>
        <w:gridCol w:w="1925"/>
      </w:tblGrid>
      <w:tr w:rsidR="0075791A" w14:paraId="31BBB6F2" w14:textId="77777777">
        <w:trPr>
          <w:trHeight w:val="500"/>
          <w:jc w:val="center"/>
        </w:trPr>
        <w:tc>
          <w:tcPr>
            <w:tcW w:w="1370" w:type="dxa"/>
            <w:vAlign w:val="center"/>
          </w:tcPr>
          <w:p w14:paraId="5641D49A" w14:textId="77777777" w:rsidR="0075791A" w:rsidRDefault="00FB2864">
            <w:pPr>
              <w:jc w:val="center"/>
              <w:rPr>
                <w:rFonts w:ascii="Times New Roman" w:eastAsia="宋体" w:hAnsi="Times New Roman" w:cs="宋体"/>
                <w:color w:val="auto"/>
                <w:lang w:eastAsia="zh-CN"/>
              </w:rPr>
            </w:pPr>
            <w:r>
              <w:rPr>
                <w:rFonts w:ascii="Times New Roman" w:eastAsia="宋体" w:hAnsi="Times New Roman" w:cs="宋体" w:hint="eastAsia"/>
                <w:color w:val="auto"/>
                <w:lang w:eastAsia="zh-CN"/>
              </w:rPr>
              <w:t>利益相关者</w:t>
            </w:r>
          </w:p>
        </w:tc>
        <w:tc>
          <w:tcPr>
            <w:tcW w:w="1910" w:type="dxa"/>
            <w:vAlign w:val="center"/>
          </w:tcPr>
          <w:p w14:paraId="3685E9B1" w14:textId="77777777" w:rsidR="0075791A" w:rsidRDefault="00FB2864">
            <w:pPr>
              <w:jc w:val="center"/>
              <w:rPr>
                <w:rFonts w:ascii="Times New Roman" w:eastAsia="宋体" w:hAnsi="Times New Roman" w:cs="宋体"/>
                <w:color w:val="auto"/>
                <w:lang w:eastAsia="zh-CN"/>
              </w:rPr>
            </w:pPr>
            <w:r>
              <w:rPr>
                <w:rFonts w:ascii="Times New Roman" w:eastAsia="宋体" w:hAnsi="Times New Roman" w:cs="宋体" w:hint="eastAsia"/>
                <w:color w:val="auto"/>
                <w:lang w:eastAsia="zh-CN"/>
              </w:rPr>
              <w:t>影响内容</w:t>
            </w:r>
          </w:p>
        </w:tc>
        <w:tc>
          <w:tcPr>
            <w:tcW w:w="1361" w:type="dxa"/>
            <w:vAlign w:val="center"/>
          </w:tcPr>
          <w:p w14:paraId="4A630BA9" w14:textId="77777777" w:rsidR="0075791A" w:rsidRDefault="00FB2864">
            <w:pPr>
              <w:jc w:val="center"/>
              <w:rPr>
                <w:rFonts w:ascii="Times New Roman" w:eastAsia="宋体" w:hAnsi="Times New Roman" w:cs="宋体"/>
                <w:color w:val="auto"/>
                <w:lang w:eastAsia="zh-CN"/>
              </w:rPr>
            </w:pPr>
            <w:r>
              <w:rPr>
                <w:rFonts w:ascii="Times New Roman" w:eastAsia="宋体" w:hAnsi="Times New Roman" w:cs="宋体" w:hint="eastAsia"/>
                <w:color w:val="auto"/>
                <w:lang w:eastAsia="zh-CN"/>
              </w:rPr>
              <w:t>协调人</w:t>
            </w:r>
          </w:p>
        </w:tc>
        <w:tc>
          <w:tcPr>
            <w:tcW w:w="2552" w:type="dxa"/>
            <w:vAlign w:val="center"/>
          </w:tcPr>
          <w:p w14:paraId="54C31C7F" w14:textId="77777777" w:rsidR="0075791A" w:rsidRDefault="00FB2864">
            <w:pPr>
              <w:jc w:val="center"/>
              <w:rPr>
                <w:rFonts w:ascii="Times New Roman" w:eastAsia="宋体" w:hAnsi="Times New Roman" w:cs="宋体"/>
                <w:color w:val="auto"/>
                <w:lang w:eastAsia="zh-CN"/>
              </w:rPr>
            </w:pPr>
            <w:r>
              <w:rPr>
                <w:rFonts w:ascii="Times New Roman" w:eastAsia="宋体" w:hAnsi="Times New Roman" w:cs="宋体" w:hint="eastAsia"/>
                <w:color w:val="auto"/>
                <w:lang w:eastAsia="zh-CN"/>
              </w:rPr>
              <w:t>协调方案</w:t>
            </w:r>
          </w:p>
        </w:tc>
        <w:tc>
          <w:tcPr>
            <w:tcW w:w="1925" w:type="dxa"/>
            <w:vAlign w:val="center"/>
          </w:tcPr>
          <w:p w14:paraId="5C2926A0" w14:textId="77777777" w:rsidR="0075791A" w:rsidRDefault="00FB2864">
            <w:pPr>
              <w:jc w:val="center"/>
              <w:rPr>
                <w:rFonts w:ascii="Times New Roman" w:eastAsia="宋体" w:hAnsi="Times New Roman" w:cs="宋体"/>
                <w:color w:val="auto"/>
                <w:lang w:eastAsia="zh-CN"/>
              </w:rPr>
            </w:pPr>
            <w:r>
              <w:rPr>
                <w:rFonts w:ascii="Times New Roman" w:eastAsia="宋体" w:hAnsi="Times New Roman" w:cs="宋体" w:hint="eastAsia"/>
                <w:color w:val="auto"/>
                <w:lang w:eastAsia="zh-CN"/>
              </w:rPr>
              <w:t>协调结果要求</w:t>
            </w:r>
          </w:p>
        </w:tc>
      </w:tr>
      <w:tr w:rsidR="0075791A" w14:paraId="12C3B49E" w14:textId="77777777">
        <w:trPr>
          <w:trHeight w:val="1500"/>
          <w:jc w:val="center"/>
        </w:trPr>
        <w:tc>
          <w:tcPr>
            <w:tcW w:w="1370" w:type="dxa"/>
            <w:vAlign w:val="center"/>
          </w:tcPr>
          <w:p w14:paraId="09662E32" w14:textId="77777777" w:rsidR="0075791A" w:rsidRDefault="00FB2864">
            <w:pPr>
              <w:spacing w:line="312" w:lineRule="auto"/>
              <w:jc w:val="center"/>
              <w:rPr>
                <w:rFonts w:ascii="Times New Roman" w:eastAsia="宋体" w:hAnsi="Times New Roman" w:cs="宋体"/>
                <w:color w:val="auto"/>
                <w:lang w:eastAsia="zh-CN"/>
              </w:rPr>
            </w:pPr>
            <w:r>
              <w:rPr>
                <w:rFonts w:ascii="Times New Roman" w:eastAsia="宋体" w:hAnsi="Times New Roman" w:cs="宋体" w:hint="eastAsia"/>
                <w:color w:val="auto"/>
                <w:lang w:eastAsia="zh-CN"/>
              </w:rPr>
              <w:t>三亚海事局</w:t>
            </w:r>
          </w:p>
        </w:tc>
        <w:tc>
          <w:tcPr>
            <w:tcW w:w="1910" w:type="dxa"/>
            <w:vAlign w:val="center"/>
          </w:tcPr>
          <w:p w14:paraId="3006E432" w14:textId="77777777" w:rsidR="0075791A" w:rsidRDefault="00FB2864">
            <w:pPr>
              <w:spacing w:line="312" w:lineRule="auto"/>
              <w:jc w:val="center"/>
              <w:rPr>
                <w:rFonts w:ascii="Times New Roman" w:eastAsia="宋体" w:hAnsi="Times New Roman" w:cs="宋体"/>
                <w:color w:val="auto"/>
                <w:lang w:eastAsia="zh-CN"/>
              </w:rPr>
            </w:pPr>
            <w:r>
              <w:rPr>
                <w:rFonts w:ascii="Times New Roman" w:eastAsia="宋体" w:hAnsi="Times New Roman" w:cs="宋体" w:hint="eastAsia"/>
                <w:color w:val="auto"/>
                <w:lang w:eastAsia="zh-CN"/>
              </w:rPr>
              <w:t>通航安全；水上水下施工</w:t>
            </w:r>
          </w:p>
        </w:tc>
        <w:tc>
          <w:tcPr>
            <w:tcW w:w="1361" w:type="dxa"/>
            <w:vAlign w:val="center"/>
          </w:tcPr>
          <w:p w14:paraId="136D1634" w14:textId="77777777" w:rsidR="0075791A" w:rsidRDefault="00FB2864">
            <w:pPr>
              <w:spacing w:line="312" w:lineRule="auto"/>
              <w:jc w:val="center"/>
              <w:rPr>
                <w:rFonts w:ascii="Times New Roman" w:eastAsia="宋体" w:hAnsi="Times New Roman" w:cs="宋体"/>
                <w:color w:val="auto"/>
                <w:lang w:eastAsia="zh-CN"/>
              </w:rPr>
            </w:pPr>
            <w:r>
              <w:rPr>
                <w:rFonts w:ascii="Times New Roman" w:eastAsia="宋体" w:hAnsi="Times New Roman" w:cs="宋体" w:hint="eastAsia"/>
                <w:color w:val="auto"/>
                <w:lang w:eastAsia="zh-CN"/>
              </w:rPr>
              <w:t>三亚海事局、本项目建设单位</w:t>
            </w:r>
            <w:r>
              <w:rPr>
                <w:rFonts w:ascii="Times New Roman" w:eastAsia="宋体" w:hAnsi="Times New Roman" w:cs="宋体" w:hint="eastAsia"/>
                <w:color w:val="auto"/>
                <w:lang w:eastAsia="zh-CN"/>
              </w:rPr>
              <w:t>/</w:t>
            </w:r>
            <w:r>
              <w:rPr>
                <w:rFonts w:ascii="Times New Roman" w:eastAsia="宋体" w:hAnsi="Times New Roman" w:cs="宋体" w:hint="eastAsia"/>
                <w:color w:val="auto"/>
                <w:lang w:eastAsia="zh-CN"/>
              </w:rPr>
              <w:t>施工单位</w:t>
            </w:r>
          </w:p>
        </w:tc>
        <w:tc>
          <w:tcPr>
            <w:tcW w:w="2552" w:type="dxa"/>
            <w:vAlign w:val="center"/>
          </w:tcPr>
          <w:p w14:paraId="5AF979AB" w14:textId="77777777" w:rsidR="0075791A" w:rsidRDefault="00FB2864">
            <w:pPr>
              <w:spacing w:line="312" w:lineRule="auto"/>
              <w:jc w:val="center"/>
              <w:rPr>
                <w:rFonts w:ascii="Times New Roman" w:eastAsia="宋体" w:hAnsi="Times New Roman" w:cs="宋体"/>
                <w:color w:val="auto"/>
                <w:lang w:eastAsia="zh-CN"/>
              </w:rPr>
            </w:pPr>
            <w:r>
              <w:rPr>
                <w:rFonts w:ascii="Times New Roman" w:eastAsia="宋体" w:hAnsi="Times New Roman" w:cs="宋体" w:hint="eastAsia"/>
                <w:color w:val="auto"/>
                <w:lang w:eastAsia="zh-CN"/>
              </w:rPr>
              <w:t>施工单位按照《中华人民共和国水上水下作业和活动通航安全管理规定》办理水上水下施工许可</w:t>
            </w:r>
          </w:p>
        </w:tc>
        <w:tc>
          <w:tcPr>
            <w:tcW w:w="1925" w:type="dxa"/>
            <w:vAlign w:val="center"/>
          </w:tcPr>
          <w:p w14:paraId="2FBD787A" w14:textId="77777777" w:rsidR="0075791A" w:rsidRDefault="00FB2864">
            <w:pPr>
              <w:spacing w:line="312" w:lineRule="auto"/>
              <w:jc w:val="center"/>
              <w:rPr>
                <w:rFonts w:ascii="Times New Roman" w:eastAsia="宋体" w:hAnsi="Times New Roman" w:cs="宋体"/>
                <w:color w:val="auto"/>
                <w:lang w:eastAsia="zh-CN"/>
              </w:rPr>
            </w:pPr>
            <w:r>
              <w:rPr>
                <w:rFonts w:ascii="Times New Roman" w:eastAsia="宋体" w:hAnsi="Times New Roman" w:cs="宋体" w:hint="eastAsia"/>
                <w:color w:val="auto"/>
                <w:spacing w:val="5"/>
                <w:lang w:eastAsia="zh-CN"/>
              </w:rPr>
              <w:t>建设单位</w:t>
            </w:r>
            <w:r>
              <w:rPr>
                <w:rFonts w:ascii="Times New Roman" w:eastAsia="宋体" w:hAnsi="Times New Roman" w:cs="宋体" w:hint="eastAsia"/>
                <w:color w:val="auto"/>
                <w:spacing w:val="5"/>
                <w:lang w:eastAsia="zh-CN"/>
              </w:rPr>
              <w:t>/</w:t>
            </w:r>
            <w:r>
              <w:rPr>
                <w:rFonts w:ascii="Times New Roman" w:eastAsia="宋体" w:hAnsi="Times New Roman" w:cs="宋体" w:hint="eastAsia"/>
                <w:color w:val="auto"/>
                <w:spacing w:val="5"/>
                <w:lang w:eastAsia="zh-CN"/>
              </w:rPr>
              <w:t>施工</w:t>
            </w:r>
            <w:r>
              <w:rPr>
                <w:rFonts w:ascii="Times New Roman" w:eastAsia="宋体" w:hAnsi="Times New Roman" w:cs="宋体" w:hint="eastAsia"/>
                <w:color w:val="auto"/>
                <w:spacing w:val="5"/>
                <w:lang w:eastAsia="zh-CN"/>
              </w:rPr>
              <w:t>单位</w:t>
            </w:r>
            <w:r>
              <w:rPr>
                <w:rFonts w:ascii="Times New Roman" w:eastAsia="宋体" w:hAnsi="Times New Roman" w:cs="宋体" w:hint="eastAsia"/>
                <w:color w:val="auto"/>
                <w:lang w:eastAsia="zh-CN"/>
              </w:rPr>
              <w:t>取得海事局颁发的水上水下施工许可，并发布航行通警告</w:t>
            </w:r>
          </w:p>
        </w:tc>
      </w:tr>
    </w:tbl>
    <w:p w14:paraId="78F4D222" w14:textId="77777777" w:rsidR="0075791A" w:rsidRDefault="0075791A">
      <w:pPr>
        <w:rPr>
          <w:color w:val="auto"/>
          <w:lang w:eastAsia="zh-CN"/>
        </w:rPr>
      </w:pPr>
    </w:p>
    <w:p w14:paraId="632E6028"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286" w:name="_Toc30814"/>
      <w:bookmarkStart w:id="287" w:name="_Toc26189"/>
      <w:bookmarkStart w:id="288" w:name="_Toc6863"/>
      <w:r>
        <w:rPr>
          <w:rFonts w:ascii="Times New Roman" w:eastAsia="宋体" w:hAnsi="Times New Roman" w:cs="Times New Roman" w:hint="eastAsia"/>
          <w:b/>
          <w:bCs/>
          <w:color w:val="auto"/>
          <w:spacing w:val="-6"/>
          <w:sz w:val="30"/>
          <w:szCs w:val="30"/>
          <w:lang w:eastAsia="zh-CN"/>
        </w:rPr>
        <w:lastRenderedPageBreak/>
        <w:t>5</w:t>
      </w:r>
      <w:r>
        <w:rPr>
          <w:rFonts w:ascii="Times New Roman" w:eastAsia="Times New Roman" w:hAnsi="Times New Roman" w:cs="Times New Roman"/>
          <w:b/>
          <w:bCs/>
          <w:color w:val="auto"/>
          <w:spacing w:val="-6"/>
          <w:sz w:val="30"/>
          <w:szCs w:val="30"/>
          <w:lang w:eastAsia="zh-CN"/>
        </w:rPr>
        <w:t>.5项目用海与国防安全和国家海洋权益的协调性分析</w:t>
      </w:r>
      <w:bookmarkEnd w:id="286"/>
      <w:bookmarkEnd w:id="287"/>
      <w:bookmarkEnd w:id="288"/>
    </w:p>
    <w:p w14:paraId="052BB77A"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289" w:name="_Toc18246"/>
      <w:r>
        <w:rPr>
          <w:rFonts w:ascii="Times New Roman" w:eastAsia="Times New Roman" w:hAnsi="Times New Roman" w:cs="Times New Roman" w:hint="eastAsia"/>
          <w:b/>
          <w:bCs/>
          <w:color w:val="auto"/>
          <w:spacing w:val="-3"/>
          <w:sz w:val="28"/>
          <w:szCs w:val="28"/>
          <w:lang w:eastAsia="zh-CN"/>
        </w:rPr>
        <w:t>5.5.1对国防安全和军事活动的影响分析</w:t>
      </w:r>
      <w:bookmarkEnd w:id="289"/>
    </w:p>
    <w:p w14:paraId="792A67BB" w14:textId="77777777" w:rsidR="0075791A" w:rsidRDefault="00FB2864">
      <w:pPr>
        <w:spacing w:line="360" w:lineRule="auto"/>
        <w:ind w:firstLineChars="200" w:firstLine="490"/>
        <w:jc w:val="both"/>
        <w:rPr>
          <w:rFonts w:ascii="Times New Roman" w:eastAsia="宋体" w:hAnsi="Times New Roman" w:cs="宋体"/>
          <w:color w:val="auto"/>
          <w:spacing w:val="5"/>
          <w:sz w:val="24"/>
          <w:szCs w:val="24"/>
          <w:lang w:eastAsia="zh-CN"/>
        </w:rPr>
      </w:pPr>
      <w:r>
        <w:rPr>
          <w:rFonts w:ascii="Times New Roman" w:eastAsia="宋体" w:hAnsi="Times New Roman" w:cs="宋体" w:hint="eastAsia"/>
          <w:color w:val="auto"/>
          <w:spacing w:val="5"/>
          <w:sz w:val="24"/>
          <w:szCs w:val="24"/>
          <w:lang w:eastAsia="zh-CN"/>
        </w:rPr>
        <w:t>项目用海位于</w:t>
      </w:r>
      <w:r>
        <w:rPr>
          <w:rFonts w:ascii="Times New Roman" w:eastAsia="宋体" w:hAnsi="Times New Roman" w:cs="宋体" w:hint="eastAsia"/>
          <w:color w:val="auto"/>
          <w:spacing w:val="5"/>
          <w:sz w:val="24"/>
          <w:szCs w:val="24"/>
          <w:lang w:eastAsia="zh-CN"/>
        </w:rPr>
        <w:t>铁炉港海域</w:t>
      </w:r>
      <w:r>
        <w:rPr>
          <w:rFonts w:ascii="Times New Roman" w:eastAsia="宋体" w:hAnsi="Times New Roman" w:cs="宋体" w:hint="eastAsia"/>
          <w:color w:val="auto"/>
          <w:spacing w:val="5"/>
          <w:sz w:val="24"/>
          <w:szCs w:val="24"/>
          <w:lang w:eastAsia="zh-CN"/>
        </w:rPr>
        <w:t>，不在军事区内，不涉及军事用海、军事禁区或军事</w:t>
      </w:r>
      <w:r>
        <w:rPr>
          <w:rFonts w:ascii="Times New Roman" w:eastAsia="宋体" w:hAnsi="Times New Roman" w:cs="宋体" w:hint="eastAsia"/>
          <w:color w:val="auto"/>
          <w:spacing w:val="5"/>
          <w:sz w:val="24"/>
          <w:szCs w:val="24"/>
          <w:lang w:eastAsia="zh-CN"/>
        </w:rPr>
        <w:t>管理区。项目施工期，疏浚时海上施工作业将占用一定的海域空间，疏浚船、物料运输船等进出港区加大了部队码头区域的通航密度，增大了船舶碰撞几率增高，存在一定的交通安全隐患。</w:t>
      </w:r>
      <w:r>
        <w:rPr>
          <w:rFonts w:ascii="Times New Roman" w:eastAsia="宋体" w:hAnsi="Times New Roman" w:cs="宋体" w:hint="eastAsia"/>
          <w:color w:val="auto"/>
          <w:spacing w:val="5"/>
          <w:sz w:val="24"/>
          <w:szCs w:val="24"/>
          <w:lang w:eastAsia="zh-CN"/>
        </w:rPr>
        <w:t>建设单位</w:t>
      </w:r>
      <w:r>
        <w:rPr>
          <w:rFonts w:ascii="Times New Roman" w:eastAsia="宋体" w:hAnsi="Times New Roman" w:cs="宋体" w:hint="eastAsia"/>
          <w:color w:val="auto"/>
          <w:spacing w:val="5"/>
          <w:sz w:val="24"/>
          <w:szCs w:val="24"/>
          <w:lang w:eastAsia="zh-CN"/>
        </w:rPr>
        <w:t>/</w:t>
      </w:r>
      <w:r>
        <w:rPr>
          <w:rFonts w:ascii="Times New Roman" w:eastAsia="宋体" w:hAnsi="Times New Roman" w:cs="宋体" w:hint="eastAsia"/>
          <w:color w:val="auto"/>
          <w:spacing w:val="5"/>
          <w:sz w:val="24"/>
          <w:szCs w:val="24"/>
          <w:lang w:eastAsia="zh-CN"/>
        </w:rPr>
        <w:t>施工单位</w:t>
      </w:r>
      <w:r>
        <w:rPr>
          <w:rFonts w:ascii="Times New Roman" w:eastAsia="宋体" w:hAnsi="Times New Roman" w:cs="宋体" w:hint="eastAsia"/>
          <w:color w:val="auto"/>
          <w:spacing w:val="5"/>
          <w:sz w:val="24"/>
          <w:szCs w:val="24"/>
          <w:lang w:eastAsia="zh-CN"/>
        </w:rPr>
        <w:t>应与海事部门共同协商</w:t>
      </w:r>
      <w:r>
        <w:rPr>
          <w:rFonts w:ascii="Times New Roman" w:eastAsia="宋体" w:hAnsi="Times New Roman" w:cs="宋体" w:hint="eastAsia"/>
          <w:color w:val="auto"/>
          <w:spacing w:val="5"/>
          <w:sz w:val="24"/>
          <w:szCs w:val="24"/>
          <w:lang w:eastAsia="zh-CN"/>
        </w:rPr>
        <w:t>，</w:t>
      </w:r>
      <w:r>
        <w:rPr>
          <w:rFonts w:ascii="Times New Roman" w:eastAsia="宋体" w:hAnsi="Times New Roman" w:cs="宋体" w:hint="eastAsia"/>
          <w:color w:val="auto"/>
          <w:spacing w:val="5"/>
          <w:sz w:val="24"/>
          <w:szCs w:val="24"/>
          <w:lang w:eastAsia="zh-CN"/>
        </w:rPr>
        <w:t>办理水下水上施工许可，海事部门发布航行通警告</w:t>
      </w:r>
      <w:r>
        <w:rPr>
          <w:rFonts w:ascii="Times New Roman" w:eastAsia="宋体" w:hAnsi="Times New Roman" w:cs="宋体" w:hint="eastAsia"/>
          <w:color w:val="auto"/>
          <w:spacing w:val="5"/>
          <w:sz w:val="24"/>
          <w:szCs w:val="24"/>
          <w:lang w:eastAsia="zh-CN"/>
        </w:rPr>
        <w:t>，加强船舶的管理</w:t>
      </w:r>
      <w:r>
        <w:rPr>
          <w:rFonts w:ascii="Times New Roman" w:eastAsia="宋体" w:hAnsi="Times New Roman" w:cs="宋体" w:hint="eastAsia"/>
          <w:color w:val="auto"/>
          <w:spacing w:val="5"/>
          <w:sz w:val="24"/>
          <w:szCs w:val="24"/>
          <w:lang w:eastAsia="zh-CN"/>
        </w:rPr>
        <w:t>；</w:t>
      </w:r>
      <w:r>
        <w:rPr>
          <w:rFonts w:ascii="Times New Roman" w:eastAsia="宋体" w:hAnsi="Times New Roman" w:cs="宋体" w:hint="eastAsia"/>
          <w:color w:val="auto"/>
          <w:spacing w:val="5"/>
          <w:sz w:val="24"/>
          <w:szCs w:val="24"/>
          <w:lang w:eastAsia="zh-CN"/>
        </w:rPr>
        <w:t>同时，施工期，</w:t>
      </w:r>
      <w:r>
        <w:rPr>
          <w:rFonts w:ascii="Times New Roman" w:eastAsia="宋体" w:hAnsi="Times New Roman" w:cs="宋体" w:hint="eastAsia"/>
          <w:color w:val="auto"/>
          <w:spacing w:val="5"/>
          <w:sz w:val="24"/>
          <w:szCs w:val="24"/>
          <w:lang w:eastAsia="zh-CN"/>
        </w:rPr>
        <w:t>施工单位应制定完备的施工组织措施</w:t>
      </w:r>
      <w:r>
        <w:rPr>
          <w:rFonts w:ascii="Times New Roman" w:eastAsia="宋体" w:hAnsi="Times New Roman" w:cs="宋体" w:hint="eastAsia"/>
          <w:color w:val="auto"/>
          <w:spacing w:val="5"/>
          <w:sz w:val="24"/>
          <w:szCs w:val="24"/>
          <w:lang w:eastAsia="zh-CN"/>
        </w:rPr>
        <w:t>、</w:t>
      </w:r>
      <w:r>
        <w:rPr>
          <w:rFonts w:ascii="Times New Roman" w:eastAsia="宋体" w:hAnsi="Times New Roman" w:cs="宋体" w:hint="eastAsia"/>
          <w:color w:val="auto"/>
          <w:spacing w:val="5"/>
          <w:sz w:val="24"/>
          <w:szCs w:val="24"/>
          <w:lang w:eastAsia="zh-CN"/>
        </w:rPr>
        <w:t>施工船舶管理规定</w:t>
      </w:r>
      <w:r>
        <w:rPr>
          <w:rFonts w:ascii="Times New Roman" w:eastAsia="宋体" w:hAnsi="Times New Roman" w:cs="宋体" w:hint="eastAsia"/>
          <w:color w:val="auto"/>
          <w:spacing w:val="5"/>
          <w:sz w:val="24"/>
          <w:szCs w:val="24"/>
          <w:lang w:eastAsia="zh-CN"/>
        </w:rPr>
        <w:t>及应急预案</w:t>
      </w:r>
      <w:r>
        <w:rPr>
          <w:rFonts w:ascii="Times New Roman" w:eastAsia="宋体" w:hAnsi="Times New Roman" w:cs="宋体" w:hint="eastAsia"/>
          <w:color w:val="auto"/>
          <w:spacing w:val="5"/>
          <w:sz w:val="24"/>
          <w:szCs w:val="24"/>
          <w:lang w:eastAsia="zh-CN"/>
        </w:rPr>
        <w:t>，可</w:t>
      </w:r>
      <w:r>
        <w:rPr>
          <w:rFonts w:ascii="Times New Roman" w:eastAsia="宋体" w:hAnsi="Times New Roman" w:cs="宋体" w:hint="eastAsia"/>
          <w:color w:val="auto"/>
          <w:spacing w:val="5"/>
          <w:sz w:val="24"/>
          <w:szCs w:val="24"/>
          <w:lang w:eastAsia="zh-CN"/>
        </w:rPr>
        <w:t>减少施工船舶对海上交通的影响</w:t>
      </w:r>
      <w:r>
        <w:rPr>
          <w:rFonts w:ascii="Times New Roman" w:eastAsia="宋体" w:hAnsi="Times New Roman" w:cs="宋体" w:hint="eastAsia"/>
          <w:color w:val="auto"/>
          <w:spacing w:val="5"/>
          <w:sz w:val="24"/>
          <w:szCs w:val="24"/>
          <w:lang w:eastAsia="zh-CN"/>
        </w:rPr>
        <w:t>，</w:t>
      </w:r>
      <w:r>
        <w:rPr>
          <w:rFonts w:ascii="Times New Roman" w:eastAsia="宋体" w:hAnsi="Times New Roman" w:cs="宋体" w:hint="eastAsia"/>
          <w:color w:val="auto"/>
          <w:spacing w:val="5"/>
          <w:sz w:val="24"/>
          <w:szCs w:val="24"/>
          <w:lang w:eastAsia="zh-CN"/>
        </w:rPr>
        <w:t>在必要时避让相关船舶，进而消除对部队码头正常使用影响。</w:t>
      </w:r>
    </w:p>
    <w:p w14:paraId="6ADA7BC6"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290" w:name="_Toc4162"/>
      <w:r>
        <w:rPr>
          <w:rFonts w:ascii="Times New Roman" w:eastAsia="Times New Roman" w:hAnsi="Times New Roman" w:cs="Times New Roman" w:hint="eastAsia"/>
          <w:b/>
          <w:bCs/>
          <w:color w:val="auto"/>
          <w:spacing w:val="-3"/>
          <w:sz w:val="28"/>
          <w:szCs w:val="28"/>
          <w:lang w:eastAsia="zh-CN"/>
        </w:rPr>
        <w:t>5.5.2对国家海洋权益的影响分析</w:t>
      </w:r>
      <w:bookmarkEnd w:id="290"/>
    </w:p>
    <w:p w14:paraId="5ACB4B19" w14:textId="77777777" w:rsidR="0075791A" w:rsidRDefault="00FB2864">
      <w:pPr>
        <w:spacing w:line="360" w:lineRule="auto"/>
        <w:ind w:firstLineChars="200" w:firstLine="490"/>
        <w:jc w:val="both"/>
        <w:rPr>
          <w:rFonts w:ascii="Times New Roman" w:eastAsia="宋体" w:hAnsi="Times New Roman" w:cs="宋体"/>
          <w:color w:val="auto"/>
          <w:spacing w:val="5"/>
          <w:sz w:val="24"/>
          <w:szCs w:val="24"/>
          <w:lang w:eastAsia="zh-CN"/>
        </w:rPr>
      </w:pPr>
      <w:r>
        <w:rPr>
          <w:rFonts w:ascii="Times New Roman" w:eastAsia="宋体" w:hAnsi="Times New Roman" w:cs="宋体" w:hint="eastAsia"/>
          <w:color w:val="auto"/>
          <w:spacing w:val="5"/>
          <w:sz w:val="24"/>
          <w:szCs w:val="24"/>
          <w:lang w:eastAsia="zh-CN"/>
        </w:rPr>
        <w:t>本项目用海</w:t>
      </w:r>
      <w:r>
        <w:rPr>
          <w:rFonts w:ascii="Times New Roman" w:eastAsia="宋体" w:hAnsi="Times New Roman" w:cs="宋体" w:hint="eastAsia"/>
          <w:color w:val="auto"/>
          <w:spacing w:val="5"/>
          <w:sz w:val="24"/>
          <w:szCs w:val="24"/>
          <w:lang w:eastAsia="zh-CN"/>
        </w:rPr>
        <w:t>远离领海基线附近海域，距离最近的领</w:t>
      </w:r>
      <w:r>
        <w:rPr>
          <w:rFonts w:ascii="Times New Roman" w:eastAsia="宋体" w:hAnsi="Times New Roman" w:cs="宋体" w:hint="eastAsia"/>
          <w:color w:val="auto"/>
          <w:spacing w:val="5"/>
          <w:sz w:val="24"/>
          <w:szCs w:val="24"/>
          <w:lang w:eastAsia="zh-CN"/>
        </w:rPr>
        <w:t>海基点</w:t>
      </w:r>
      <w:r>
        <w:rPr>
          <w:rFonts w:ascii="Times New Roman" w:eastAsia="宋体" w:hAnsi="Times New Roman" w:cs="宋体"/>
          <w:color w:val="auto"/>
          <w:spacing w:val="5"/>
          <w:sz w:val="24"/>
          <w:szCs w:val="24"/>
          <w:lang w:eastAsia="zh-CN"/>
        </w:rPr>
        <w:t>(</w:t>
      </w:r>
      <w:r>
        <w:rPr>
          <w:rFonts w:ascii="Times New Roman" w:eastAsia="宋体" w:hAnsi="Times New Roman" w:cs="宋体" w:hint="eastAsia"/>
          <w:color w:val="auto"/>
          <w:spacing w:val="5"/>
          <w:sz w:val="24"/>
          <w:szCs w:val="24"/>
          <w:lang w:eastAsia="zh-CN"/>
        </w:rPr>
        <w:t>东洲</w:t>
      </w:r>
      <w:r>
        <w:rPr>
          <w:rFonts w:ascii="Times New Roman" w:eastAsia="宋体" w:hAnsi="Times New Roman" w:cs="宋体"/>
          <w:color w:val="auto"/>
          <w:spacing w:val="5"/>
          <w:sz w:val="24"/>
          <w:szCs w:val="24"/>
          <w:lang w:eastAsia="zh-CN"/>
        </w:rPr>
        <w:t>1)</w:t>
      </w:r>
      <w:r>
        <w:rPr>
          <w:rFonts w:ascii="Times New Roman" w:eastAsia="宋体" w:hAnsi="Times New Roman" w:cs="宋体" w:hint="eastAsia"/>
          <w:color w:val="auto"/>
          <w:spacing w:val="5"/>
          <w:sz w:val="24"/>
          <w:szCs w:val="24"/>
          <w:lang w:eastAsia="zh-CN"/>
        </w:rPr>
        <w:t>直线距离</w:t>
      </w:r>
      <w:r>
        <w:rPr>
          <w:rFonts w:ascii="Times New Roman" w:eastAsia="宋体" w:hAnsi="Times New Roman" w:cs="宋体" w:hint="eastAsia"/>
          <w:color w:val="auto"/>
          <w:spacing w:val="5"/>
          <w:sz w:val="24"/>
          <w:szCs w:val="24"/>
          <w:lang w:eastAsia="zh-CN"/>
        </w:rPr>
        <w:t>约</w:t>
      </w:r>
      <w:r>
        <w:rPr>
          <w:rFonts w:ascii="Times New Roman" w:eastAsia="宋体" w:hAnsi="Times New Roman" w:cs="宋体" w:hint="eastAsia"/>
          <w:color w:val="auto"/>
          <w:spacing w:val="5"/>
          <w:sz w:val="24"/>
          <w:szCs w:val="24"/>
          <w:lang w:eastAsia="zh-CN"/>
        </w:rPr>
        <w:t>10.1</w:t>
      </w:r>
      <w:r>
        <w:rPr>
          <w:rFonts w:ascii="Times New Roman" w:eastAsia="宋体" w:hAnsi="Times New Roman" w:cs="宋体"/>
          <w:color w:val="auto"/>
          <w:spacing w:val="5"/>
          <w:sz w:val="24"/>
          <w:szCs w:val="24"/>
          <w:lang w:eastAsia="zh-CN"/>
        </w:rPr>
        <w:t>km</w:t>
      </w:r>
      <w:r>
        <w:rPr>
          <w:rFonts w:ascii="Times New Roman" w:eastAsia="宋体" w:hAnsi="Times New Roman" w:cs="宋体" w:hint="eastAsia"/>
          <w:color w:val="auto"/>
          <w:spacing w:val="5"/>
          <w:sz w:val="24"/>
          <w:szCs w:val="24"/>
          <w:lang w:eastAsia="zh-CN"/>
        </w:rPr>
        <w:t>，对领海基点的安全与稳定没有影响。本项目用海区及临近也没有对国家海洋权益有特殊意义的海上构造物、标志物，本项目用海不会对国家海洋权益产生影响</w:t>
      </w:r>
      <w:r>
        <w:rPr>
          <w:rFonts w:ascii="Times New Roman" w:eastAsia="宋体" w:hAnsi="Times New Roman" w:cs="宋体" w:hint="eastAsia"/>
          <w:color w:val="auto"/>
          <w:spacing w:val="5"/>
          <w:sz w:val="24"/>
          <w:szCs w:val="24"/>
          <w:lang w:eastAsia="zh-CN"/>
        </w:rPr>
        <w:t>。</w:t>
      </w:r>
    </w:p>
    <w:p w14:paraId="440CD4C6" w14:textId="77777777" w:rsidR="0075791A" w:rsidRDefault="0075791A">
      <w:pPr>
        <w:spacing w:line="360" w:lineRule="auto"/>
        <w:ind w:firstLineChars="200" w:firstLine="490"/>
        <w:jc w:val="both"/>
        <w:rPr>
          <w:rFonts w:ascii="Times New Roman" w:eastAsia="宋体" w:hAnsi="Times New Roman" w:cs="宋体"/>
          <w:color w:val="auto"/>
          <w:spacing w:val="5"/>
          <w:sz w:val="24"/>
          <w:szCs w:val="24"/>
          <w:lang w:eastAsia="zh-CN"/>
        </w:rPr>
        <w:sectPr w:rsidR="0075791A">
          <w:footerReference w:type="default" r:id="rId258"/>
          <w:pgSz w:w="11906" w:h="16839"/>
          <w:pgMar w:top="1018" w:right="1255" w:bottom="1134" w:left="1417" w:header="746" w:footer="972" w:gutter="0"/>
          <w:cols w:space="720"/>
        </w:sectPr>
      </w:pPr>
    </w:p>
    <w:p w14:paraId="3B4B8FD7" w14:textId="77777777" w:rsidR="0075791A" w:rsidRDefault="0075791A">
      <w:pPr>
        <w:spacing w:line="43" w:lineRule="exact"/>
        <w:rPr>
          <w:rFonts w:ascii="Times New Roman" w:hAnsi="Times New Roman"/>
          <w:color w:val="auto"/>
          <w:lang w:eastAsia="zh-CN"/>
        </w:rPr>
      </w:pPr>
    </w:p>
    <w:p w14:paraId="5CD9F1C3" w14:textId="77777777" w:rsidR="0075791A" w:rsidRDefault="00FB2864">
      <w:pPr>
        <w:spacing w:line="360" w:lineRule="auto"/>
        <w:outlineLvl w:val="0"/>
        <w:rPr>
          <w:rFonts w:ascii="Times New Roman" w:eastAsia="宋体" w:hAnsi="Times New Roman" w:cs="Times New Roman"/>
          <w:b/>
          <w:bCs/>
          <w:color w:val="auto"/>
          <w:spacing w:val="-5"/>
          <w:sz w:val="32"/>
          <w:szCs w:val="32"/>
          <w:lang w:eastAsia="zh-CN"/>
        </w:rPr>
      </w:pPr>
      <w:bookmarkStart w:id="291" w:name="bookmark50"/>
      <w:bookmarkStart w:id="292" w:name="bookmark52"/>
      <w:bookmarkStart w:id="293" w:name="_Toc20399"/>
      <w:bookmarkStart w:id="294" w:name="_Toc5487"/>
      <w:bookmarkStart w:id="295" w:name="_Toc31708"/>
      <w:bookmarkEnd w:id="291"/>
      <w:bookmarkEnd w:id="292"/>
      <w:r>
        <w:rPr>
          <w:rFonts w:ascii="Times New Roman" w:eastAsia="宋体" w:hAnsi="Times New Roman" w:cs="Times New Roman" w:hint="eastAsia"/>
          <w:b/>
          <w:bCs/>
          <w:color w:val="auto"/>
          <w:spacing w:val="-5"/>
          <w:sz w:val="32"/>
          <w:szCs w:val="32"/>
          <w:lang w:eastAsia="zh-CN"/>
        </w:rPr>
        <w:t>6</w:t>
      </w:r>
      <w:r>
        <w:rPr>
          <w:rFonts w:ascii="Times New Roman" w:eastAsia="宋体" w:hAnsi="Times New Roman" w:cs="Times New Roman" w:hint="eastAsia"/>
          <w:b/>
          <w:bCs/>
          <w:color w:val="auto"/>
          <w:spacing w:val="-5"/>
          <w:sz w:val="32"/>
          <w:szCs w:val="32"/>
          <w:lang w:eastAsia="zh-CN"/>
        </w:rPr>
        <w:t>国土空间规划符合性分析</w:t>
      </w:r>
      <w:bookmarkEnd w:id="293"/>
      <w:bookmarkEnd w:id="294"/>
      <w:bookmarkEnd w:id="295"/>
    </w:p>
    <w:p w14:paraId="301CAAB2"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296" w:name="_Toc31488"/>
      <w:bookmarkStart w:id="297" w:name="_Toc4179"/>
      <w:bookmarkStart w:id="298" w:name="_Toc26067"/>
      <w:r>
        <w:rPr>
          <w:rFonts w:ascii="Times New Roman" w:eastAsia="宋体" w:hAnsi="Times New Roman" w:cs="Times New Roman" w:hint="eastAsia"/>
          <w:b/>
          <w:bCs/>
          <w:color w:val="auto"/>
          <w:spacing w:val="-6"/>
          <w:sz w:val="30"/>
          <w:szCs w:val="30"/>
          <w:lang w:eastAsia="zh-CN"/>
        </w:rPr>
        <w:t>6</w:t>
      </w:r>
      <w:r>
        <w:rPr>
          <w:rFonts w:ascii="Times New Roman" w:eastAsia="Times New Roman" w:hAnsi="Times New Roman" w:cs="Times New Roman"/>
          <w:b/>
          <w:bCs/>
          <w:color w:val="auto"/>
          <w:spacing w:val="-6"/>
          <w:sz w:val="30"/>
          <w:szCs w:val="30"/>
          <w:lang w:eastAsia="zh-CN"/>
        </w:rPr>
        <w:t>.1所在海域国土空间规划分区基本情况</w:t>
      </w:r>
      <w:bookmarkEnd w:id="296"/>
      <w:bookmarkEnd w:id="297"/>
      <w:bookmarkEnd w:id="298"/>
    </w:p>
    <w:p w14:paraId="56CD34DF" w14:textId="77777777" w:rsidR="0075791A" w:rsidRDefault="00FB2864">
      <w:pPr>
        <w:spacing w:line="360" w:lineRule="auto"/>
        <w:outlineLvl w:val="2"/>
        <w:rPr>
          <w:rFonts w:ascii="Times New Roman" w:eastAsia="Times New Roman" w:hAnsi="Times New Roman" w:cs="Times New Roman"/>
          <w:b/>
          <w:bCs/>
          <w:color w:val="auto"/>
          <w:spacing w:val="-3"/>
          <w:sz w:val="28"/>
          <w:szCs w:val="28"/>
          <w:lang w:eastAsia="zh-CN"/>
        </w:rPr>
      </w:pPr>
      <w:bookmarkStart w:id="299" w:name="_Toc3146"/>
      <w:r>
        <w:rPr>
          <w:rFonts w:ascii="Times New Roman" w:eastAsia="Times New Roman" w:hAnsi="Times New Roman" w:cs="Times New Roman" w:hint="eastAsia"/>
          <w:b/>
          <w:bCs/>
          <w:color w:val="auto"/>
          <w:spacing w:val="-3"/>
          <w:sz w:val="28"/>
          <w:szCs w:val="28"/>
          <w:lang w:eastAsia="zh-CN"/>
        </w:rPr>
        <w:t>6.1.1《海南省国土空间规划（2021-2035年）》</w:t>
      </w:r>
      <w:bookmarkEnd w:id="299"/>
    </w:p>
    <w:p w14:paraId="1972306C" w14:textId="77777777" w:rsidR="0075791A" w:rsidRDefault="00FB2864">
      <w:pPr>
        <w:widowControl w:val="0"/>
        <w:kinsoku/>
        <w:autoSpaceDE/>
        <w:autoSpaceDN/>
        <w:adjustRightInd/>
        <w:snapToGrid/>
        <w:spacing w:line="360" w:lineRule="auto"/>
        <w:ind w:firstLineChars="200" w:firstLine="480"/>
        <w:textAlignment w:val="auto"/>
        <w:rPr>
          <w:rFonts w:ascii="宋体" w:eastAsia="宋体" w:hAnsi="宋体" w:cs="宋体"/>
          <w:color w:val="auto"/>
          <w:sz w:val="24"/>
          <w:szCs w:val="24"/>
          <w:lang w:eastAsia="zh-CN"/>
        </w:rPr>
      </w:pPr>
      <w:r>
        <w:rPr>
          <w:rFonts w:ascii="宋体" w:eastAsia="宋体" w:hAnsi="宋体" w:cs="宋体"/>
          <w:color w:val="auto"/>
          <w:sz w:val="24"/>
          <w:szCs w:val="24"/>
          <w:lang w:eastAsia="zh-CN"/>
        </w:rPr>
        <w:t>《海南省国土空间规划（</w:t>
      </w:r>
      <w:r>
        <w:rPr>
          <w:rFonts w:ascii="宋体" w:eastAsia="宋体" w:hAnsi="宋体" w:cs="宋体"/>
          <w:color w:val="auto"/>
          <w:sz w:val="24"/>
          <w:szCs w:val="24"/>
          <w:lang w:eastAsia="zh-CN"/>
        </w:rPr>
        <w:t>2021-2035</w:t>
      </w:r>
      <w:r>
        <w:rPr>
          <w:rFonts w:ascii="宋体" w:eastAsia="宋体" w:hAnsi="宋体" w:cs="宋体"/>
          <w:color w:val="auto"/>
          <w:sz w:val="24"/>
          <w:szCs w:val="24"/>
          <w:lang w:eastAsia="zh-CN"/>
        </w:rPr>
        <w:t>年）》以资源环境承载力和国土空间开发适宜性评价为基础，服务自由贸易港建设等国家战略需要，按照陆海统筹、生态优先的原则，将全省陆域划分为城市化发展区、农产品主产区、重点生态功能区，将近岸海域划分为海洋生态空间</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内部一红线</w:t>
      </w:r>
      <w:r>
        <w:rPr>
          <w:rFonts w:ascii="宋体" w:eastAsia="宋体" w:hAnsi="宋体" w:cs="宋体" w:hint="eastAsia"/>
          <w:color w:val="auto"/>
          <w:sz w:val="24"/>
          <w:szCs w:val="24"/>
          <w:lang w:eastAsia="zh-CN"/>
        </w:rPr>
        <w:t>）</w:t>
      </w:r>
      <w:r>
        <w:rPr>
          <w:rFonts w:ascii="宋体" w:eastAsia="宋体" w:hAnsi="宋体" w:cs="宋体"/>
          <w:color w:val="auto"/>
          <w:sz w:val="24"/>
          <w:szCs w:val="24"/>
          <w:lang w:eastAsia="zh-CN"/>
        </w:rPr>
        <w:t>、海洋开发利用空间</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即“两空间内部一红线”</w:t>
      </w:r>
      <w:r>
        <w:rPr>
          <w:rFonts w:ascii="宋体" w:eastAsia="宋体" w:hAnsi="宋体" w:cs="宋体"/>
          <w:color w:val="auto"/>
          <w:sz w:val="24"/>
          <w:szCs w:val="24"/>
          <w:lang w:eastAsia="zh-CN"/>
        </w:rPr>
        <w:t>。</w:t>
      </w:r>
      <w:r>
        <w:rPr>
          <w:rFonts w:ascii="宋体" w:hAnsi="宋体" w:cs="宋体" w:hint="eastAsia"/>
          <w:color w:val="auto"/>
          <w:sz w:val="24"/>
          <w:szCs w:val="24"/>
          <w:lang w:eastAsia="zh-CN"/>
        </w:rPr>
        <w:t>①</w:t>
      </w:r>
      <w:r>
        <w:rPr>
          <w:rFonts w:ascii="宋体" w:eastAsia="宋体" w:hAnsi="宋体" w:cs="宋体"/>
          <w:color w:val="auto"/>
          <w:sz w:val="24"/>
          <w:szCs w:val="24"/>
          <w:lang w:eastAsia="zh-CN"/>
        </w:rPr>
        <w:t>海洋生态空间：在近岸海域将</w:t>
      </w:r>
      <w:r>
        <w:rPr>
          <w:rFonts w:ascii="宋体" w:eastAsia="宋体" w:hAnsi="宋体" w:cs="宋体"/>
          <w:color w:val="auto"/>
          <w:sz w:val="24"/>
          <w:szCs w:val="24"/>
          <w:lang w:eastAsia="zh-CN"/>
        </w:rPr>
        <w:t>“</w:t>
      </w:r>
      <w:r>
        <w:rPr>
          <w:rFonts w:ascii="宋体" w:eastAsia="宋体" w:hAnsi="宋体" w:cs="宋体"/>
          <w:color w:val="auto"/>
          <w:sz w:val="24"/>
          <w:szCs w:val="24"/>
          <w:lang w:eastAsia="zh-CN"/>
        </w:rPr>
        <w:t>双评价</w:t>
      </w:r>
      <w:r>
        <w:rPr>
          <w:rFonts w:ascii="宋体" w:eastAsia="宋体" w:hAnsi="宋体" w:cs="宋体"/>
          <w:color w:val="auto"/>
          <w:sz w:val="24"/>
          <w:szCs w:val="24"/>
          <w:lang w:eastAsia="zh-CN"/>
        </w:rPr>
        <w:t>”</w:t>
      </w:r>
      <w:r>
        <w:rPr>
          <w:rFonts w:ascii="宋体" w:eastAsia="宋体" w:hAnsi="宋体" w:cs="宋体"/>
          <w:color w:val="auto"/>
          <w:sz w:val="24"/>
          <w:szCs w:val="24"/>
          <w:lang w:eastAsia="zh-CN"/>
        </w:rPr>
        <w:t>中生态保护</w:t>
      </w:r>
      <w:r>
        <w:rPr>
          <w:rFonts w:ascii="宋体" w:eastAsia="宋体" w:hAnsi="宋体" w:cs="宋体"/>
          <w:color w:val="auto"/>
          <w:sz w:val="24"/>
          <w:szCs w:val="24"/>
          <w:lang w:eastAsia="zh-CN"/>
        </w:rPr>
        <w:t>“</w:t>
      </w:r>
      <w:r>
        <w:rPr>
          <w:rFonts w:ascii="宋体" w:eastAsia="宋体" w:hAnsi="宋体" w:cs="宋体"/>
          <w:color w:val="auto"/>
          <w:sz w:val="24"/>
          <w:szCs w:val="24"/>
          <w:lang w:eastAsia="zh-CN"/>
        </w:rPr>
        <w:t>极重要</w:t>
      </w:r>
      <w:r>
        <w:rPr>
          <w:rFonts w:ascii="宋体" w:eastAsia="宋体" w:hAnsi="宋体" w:cs="宋体"/>
          <w:color w:val="auto"/>
          <w:sz w:val="24"/>
          <w:szCs w:val="24"/>
          <w:lang w:eastAsia="zh-CN"/>
        </w:rPr>
        <w:t>”</w:t>
      </w:r>
      <w:r>
        <w:rPr>
          <w:rFonts w:ascii="宋体" w:eastAsia="宋体" w:hAnsi="宋体" w:cs="宋体"/>
          <w:color w:val="auto"/>
          <w:sz w:val="24"/>
          <w:szCs w:val="24"/>
          <w:lang w:eastAsia="zh-CN"/>
        </w:rPr>
        <w:t>的区域、部分生态保护</w:t>
      </w:r>
      <w:r>
        <w:rPr>
          <w:rFonts w:ascii="宋体" w:eastAsia="宋体" w:hAnsi="宋体" w:cs="宋体"/>
          <w:color w:val="auto"/>
          <w:sz w:val="24"/>
          <w:szCs w:val="24"/>
          <w:lang w:eastAsia="zh-CN"/>
        </w:rPr>
        <w:t>“</w:t>
      </w:r>
      <w:r>
        <w:rPr>
          <w:rFonts w:ascii="宋体" w:eastAsia="宋体" w:hAnsi="宋体" w:cs="宋体"/>
          <w:color w:val="auto"/>
          <w:sz w:val="24"/>
          <w:szCs w:val="24"/>
          <w:lang w:eastAsia="zh-CN"/>
        </w:rPr>
        <w:t>重要</w:t>
      </w:r>
      <w:r>
        <w:rPr>
          <w:rFonts w:ascii="宋体" w:eastAsia="宋体" w:hAnsi="宋体" w:cs="宋体"/>
          <w:color w:val="auto"/>
          <w:sz w:val="24"/>
          <w:szCs w:val="24"/>
          <w:lang w:eastAsia="zh-CN"/>
        </w:rPr>
        <w:t>”</w:t>
      </w:r>
      <w:r>
        <w:rPr>
          <w:rFonts w:ascii="宋体" w:eastAsia="宋体" w:hAnsi="宋体" w:cs="宋体"/>
          <w:color w:val="auto"/>
          <w:sz w:val="24"/>
          <w:szCs w:val="24"/>
          <w:lang w:eastAsia="zh-CN"/>
        </w:rPr>
        <w:t>但无矛盾冲突的区域划入海洋生态空间。海洋生态空间重点恢复海洋典型生态系统，加大重要海洋生物资源及其栖息地保护力度。</w:t>
      </w:r>
      <w:r>
        <w:rPr>
          <w:rFonts w:ascii="宋体" w:hAnsi="宋体" w:cs="宋体" w:hint="eastAsia"/>
          <w:color w:val="auto"/>
          <w:sz w:val="24"/>
          <w:szCs w:val="24"/>
          <w:lang w:eastAsia="zh-CN"/>
        </w:rPr>
        <w:t>②</w:t>
      </w:r>
      <w:r>
        <w:rPr>
          <w:rFonts w:ascii="宋体" w:eastAsia="宋体" w:hAnsi="宋体" w:cs="宋体"/>
          <w:color w:val="auto"/>
          <w:sz w:val="24"/>
          <w:szCs w:val="24"/>
          <w:lang w:eastAsia="zh-CN"/>
        </w:rPr>
        <w:t>海洋开发利用空间：在近岸海域依据海洋开发利用现状和适宜性，衔接海洋发展战略，划定海洋开发利用空间。海洋开发利用空间允许集中开展海洋渔业、海洋交通运输业、海洋工矿通信业、海洋旅游业等活动。</w:t>
      </w:r>
      <w:r>
        <w:rPr>
          <w:rFonts w:ascii="宋体" w:hAnsi="宋体" w:cs="宋体" w:hint="eastAsia"/>
          <w:color w:val="auto"/>
          <w:sz w:val="24"/>
          <w:szCs w:val="24"/>
          <w:lang w:eastAsia="zh-CN"/>
        </w:rPr>
        <w:t>③</w:t>
      </w:r>
      <w:r>
        <w:rPr>
          <w:rFonts w:ascii="宋体" w:eastAsia="宋体" w:hAnsi="宋体" w:cs="宋体"/>
          <w:color w:val="auto"/>
          <w:sz w:val="24"/>
          <w:szCs w:val="24"/>
          <w:lang w:eastAsia="zh-CN"/>
        </w:rPr>
        <w:t>海洋生态保护红线：在海洋生态空间内，将</w:t>
      </w:r>
      <w:r>
        <w:rPr>
          <w:rFonts w:ascii="宋体" w:eastAsia="宋体" w:hAnsi="宋体" w:cs="宋体"/>
          <w:color w:val="auto"/>
          <w:sz w:val="24"/>
          <w:szCs w:val="24"/>
          <w:lang w:eastAsia="zh-CN"/>
        </w:rPr>
        <w:t>863</w:t>
      </w:r>
      <w:r>
        <w:rPr>
          <w:rFonts w:ascii="宋体" w:eastAsia="宋体" w:hAnsi="宋体" w:cs="宋体"/>
          <w:color w:val="auto"/>
          <w:sz w:val="24"/>
          <w:szCs w:val="24"/>
          <w:lang w:eastAsia="zh-CN"/>
        </w:rPr>
        <w:t>平方千米（</w:t>
      </w:r>
      <w:r>
        <w:rPr>
          <w:rFonts w:ascii="宋体" w:eastAsia="宋体" w:hAnsi="宋体" w:cs="宋体"/>
          <w:color w:val="auto"/>
          <w:sz w:val="24"/>
          <w:szCs w:val="24"/>
          <w:lang w:eastAsia="zh-CN"/>
        </w:rPr>
        <w:t>129.45</w:t>
      </w:r>
      <w:r>
        <w:rPr>
          <w:rFonts w:ascii="宋体" w:eastAsia="宋体" w:hAnsi="宋体" w:cs="宋体"/>
          <w:color w:val="auto"/>
          <w:sz w:val="24"/>
          <w:szCs w:val="24"/>
          <w:lang w:eastAsia="zh-CN"/>
        </w:rPr>
        <w:t>万亩）海域自然保护地全部纳入生态保护红线，在此基础上，将</w:t>
      </w:r>
      <w:r>
        <w:rPr>
          <w:rFonts w:ascii="宋体" w:eastAsia="宋体" w:hAnsi="宋体" w:cs="宋体"/>
          <w:color w:val="auto"/>
          <w:sz w:val="24"/>
          <w:szCs w:val="24"/>
          <w:lang w:eastAsia="zh-CN"/>
        </w:rPr>
        <w:t>“</w:t>
      </w:r>
      <w:r>
        <w:rPr>
          <w:rFonts w:ascii="宋体" w:eastAsia="宋体" w:hAnsi="宋体" w:cs="宋体"/>
          <w:color w:val="auto"/>
          <w:sz w:val="24"/>
          <w:szCs w:val="24"/>
          <w:lang w:eastAsia="zh-CN"/>
        </w:rPr>
        <w:t>双评价</w:t>
      </w:r>
      <w:r>
        <w:rPr>
          <w:rFonts w:ascii="宋体" w:eastAsia="宋体" w:hAnsi="宋体" w:cs="宋体"/>
          <w:color w:val="auto"/>
          <w:sz w:val="24"/>
          <w:szCs w:val="24"/>
          <w:lang w:eastAsia="zh-CN"/>
        </w:rPr>
        <w:t>”</w:t>
      </w:r>
      <w:r>
        <w:rPr>
          <w:rFonts w:ascii="宋体" w:eastAsia="宋体" w:hAnsi="宋体" w:cs="宋体"/>
          <w:color w:val="auto"/>
          <w:sz w:val="24"/>
          <w:szCs w:val="24"/>
          <w:lang w:eastAsia="zh-CN"/>
        </w:rPr>
        <w:t>中生态保护</w:t>
      </w:r>
      <w:r>
        <w:rPr>
          <w:rFonts w:ascii="宋体" w:eastAsia="宋体" w:hAnsi="宋体" w:cs="宋体"/>
          <w:color w:val="auto"/>
          <w:sz w:val="24"/>
          <w:szCs w:val="24"/>
          <w:lang w:eastAsia="zh-CN"/>
        </w:rPr>
        <w:t>“</w:t>
      </w:r>
      <w:r>
        <w:rPr>
          <w:rFonts w:ascii="宋体" w:eastAsia="宋体" w:hAnsi="宋体" w:cs="宋体"/>
          <w:color w:val="auto"/>
          <w:sz w:val="24"/>
          <w:szCs w:val="24"/>
          <w:lang w:eastAsia="zh-CN"/>
        </w:rPr>
        <w:t>极重要</w:t>
      </w:r>
      <w:r>
        <w:rPr>
          <w:rFonts w:ascii="宋体" w:eastAsia="宋体" w:hAnsi="宋体" w:cs="宋体"/>
          <w:color w:val="auto"/>
          <w:sz w:val="24"/>
          <w:szCs w:val="24"/>
          <w:lang w:eastAsia="zh-CN"/>
        </w:rPr>
        <w:t>”</w:t>
      </w:r>
      <w:r>
        <w:rPr>
          <w:rFonts w:ascii="宋体" w:eastAsia="宋体" w:hAnsi="宋体" w:cs="宋体"/>
          <w:color w:val="auto"/>
          <w:sz w:val="24"/>
          <w:szCs w:val="24"/>
          <w:lang w:eastAsia="zh-CN"/>
        </w:rPr>
        <w:t>的区域、部分生态保护</w:t>
      </w:r>
      <w:r>
        <w:rPr>
          <w:rFonts w:ascii="宋体" w:eastAsia="宋体" w:hAnsi="宋体" w:cs="宋体"/>
          <w:color w:val="auto"/>
          <w:sz w:val="24"/>
          <w:szCs w:val="24"/>
          <w:lang w:eastAsia="zh-CN"/>
        </w:rPr>
        <w:t>“</w:t>
      </w:r>
      <w:r>
        <w:rPr>
          <w:rFonts w:ascii="宋体" w:eastAsia="宋体" w:hAnsi="宋体" w:cs="宋体"/>
          <w:color w:val="auto"/>
          <w:sz w:val="24"/>
          <w:szCs w:val="24"/>
          <w:lang w:eastAsia="zh-CN"/>
        </w:rPr>
        <w:t>重要</w:t>
      </w:r>
      <w:r>
        <w:rPr>
          <w:rFonts w:ascii="宋体" w:eastAsia="宋体" w:hAnsi="宋体" w:cs="宋体"/>
          <w:color w:val="auto"/>
          <w:sz w:val="24"/>
          <w:szCs w:val="24"/>
          <w:lang w:eastAsia="zh-CN"/>
        </w:rPr>
        <w:t>”</w:t>
      </w:r>
      <w:r>
        <w:rPr>
          <w:rFonts w:ascii="宋体" w:eastAsia="宋体" w:hAnsi="宋体" w:cs="宋体"/>
          <w:color w:val="auto"/>
          <w:sz w:val="24"/>
          <w:szCs w:val="24"/>
          <w:lang w:eastAsia="zh-CN"/>
        </w:rPr>
        <w:t>但无矛盾冲突的区域，以及目前虽不能确定但具有潜在生态价值的区域划入海洋生态保护红线。</w:t>
      </w:r>
      <w:r>
        <w:rPr>
          <w:rFonts w:ascii="宋体" w:hAnsi="宋体" w:cs="宋体" w:hint="eastAsia"/>
          <w:color w:val="auto"/>
          <w:sz w:val="24"/>
          <w:szCs w:val="24"/>
          <w:lang w:eastAsia="zh-CN"/>
        </w:rPr>
        <w:t>本项目位于</w:t>
      </w:r>
      <w:r>
        <w:rPr>
          <w:rFonts w:ascii="宋体" w:eastAsia="宋体" w:hAnsi="宋体" w:cs="宋体"/>
          <w:color w:val="auto"/>
          <w:sz w:val="24"/>
          <w:szCs w:val="24"/>
          <w:lang w:eastAsia="zh-CN"/>
        </w:rPr>
        <w:t>海洋生态保护红线</w:t>
      </w:r>
      <w:r>
        <w:rPr>
          <w:rFonts w:ascii="宋体" w:hAnsi="宋体" w:cs="宋体" w:hint="eastAsia"/>
          <w:color w:val="auto"/>
          <w:sz w:val="24"/>
          <w:szCs w:val="24"/>
          <w:lang w:eastAsia="zh-CN"/>
        </w:rPr>
        <w:t>，面积为</w:t>
      </w:r>
      <w:r>
        <w:rPr>
          <w:rFonts w:ascii="宋体" w:eastAsia="宋体" w:hAnsi="宋体" w:cs="宋体" w:hint="eastAsia"/>
          <w:color w:val="auto"/>
          <w:sz w:val="24"/>
          <w:szCs w:val="24"/>
          <w:lang w:eastAsia="zh-CN"/>
        </w:rPr>
        <w:t>15.2465</w:t>
      </w:r>
      <w:r>
        <w:rPr>
          <w:rFonts w:ascii="宋体" w:eastAsia="宋体" w:hAnsi="宋体" w:cs="宋体" w:hint="eastAsia"/>
          <w:color w:val="auto"/>
          <w:sz w:val="24"/>
          <w:szCs w:val="24"/>
          <w:lang w:eastAsia="zh-CN"/>
        </w:rPr>
        <w:t>公顷，</w:t>
      </w:r>
      <w:r>
        <w:rPr>
          <w:rFonts w:ascii="宋体" w:hAnsi="宋体" w:cs="宋体" w:hint="eastAsia"/>
          <w:color w:val="auto"/>
          <w:sz w:val="24"/>
          <w:szCs w:val="24"/>
          <w:lang w:eastAsia="zh-CN"/>
        </w:rPr>
        <w:t>见图</w:t>
      </w:r>
      <w:r>
        <w:rPr>
          <w:rFonts w:ascii="宋体" w:hAnsi="宋体" w:cs="宋体" w:hint="eastAsia"/>
          <w:color w:val="auto"/>
          <w:sz w:val="24"/>
          <w:szCs w:val="24"/>
          <w:lang w:eastAsia="zh-CN"/>
        </w:rPr>
        <w:t>6.1.1-1</w:t>
      </w:r>
      <w:r>
        <w:rPr>
          <w:rFonts w:ascii="宋体" w:hAnsi="宋体" w:cs="宋体" w:hint="eastAsia"/>
          <w:color w:val="auto"/>
          <w:sz w:val="24"/>
          <w:szCs w:val="24"/>
          <w:lang w:eastAsia="zh-CN"/>
        </w:rPr>
        <w:t>和图</w:t>
      </w:r>
      <w:r>
        <w:rPr>
          <w:rFonts w:ascii="宋体" w:hAnsi="宋体" w:cs="宋体" w:hint="eastAsia"/>
          <w:color w:val="auto"/>
          <w:sz w:val="24"/>
          <w:szCs w:val="24"/>
          <w:lang w:eastAsia="zh-CN"/>
        </w:rPr>
        <w:t>6.1.1-2</w:t>
      </w:r>
      <w:r>
        <w:rPr>
          <w:rFonts w:ascii="宋体" w:hAnsi="宋体" w:cs="宋体" w:hint="eastAsia"/>
          <w:color w:val="auto"/>
          <w:sz w:val="24"/>
          <w:szCs w:val="24"/>
          <w:lang w:eastAsia="zh-CN"/>
        </w:rPr>
        <w:t>。</w:t>
      </w:r>
    </w:p>
    <w:p w14:paraId="4CB857CE" w14:textId="77777777" w:rsidR="0075791A" w:rsidRDefault="00FB2864">
      <w:pPr>
        <w:widowControl w:val="0"/>
        <w:kinsoku/>
        <w:autoSpaceDE/>
        <w:autoSpaceDN/>
        <w:adjustRightInd/>
        <w:snapToGrid/>
        <w:spacing w:line="360" w:lineRule="auto"/>
        <w:ind w:firstLineChars="200" w:firstLine="480"/>
        <w:textAlignment w:val="auto"/>
        <w:rPr>
          <w:rFonts w:ascii="宋体" w:eastAsia="宋体" w:hAnsi="宋体" w:cs="宋体"/>
          <w:color w:val="auto"/>
          <w:sz w:val="24"/>
          <w:szCs w:val="24"/>
          <w:lang w:eastAsia="zh-CN"/>
        </w:rPr>
      </w:pPr>
      <w:r>
        <w:rPr>
          <w:rFonts w:ascii="宋体" w:eastAsia="宋体" w:hAnsi="宋体" w:cs="宋体"/>
          <w:color w:val="auto"/>
          <w:sz w:val="24"/>
          <w:szCs w:val="24"/>
          <w:lang w:eastAsia="zh-CN"/>
        </w:rPr>
        <w:t>根据海南省近岸海域及相邻陆域的资源特点、环境状况和地理区位，统筹岸段两侧开发利用现状和社会经济发展需要，</w:t>
      </w:r>
      <w:r>
        <w:rPr>
          <w:rFonts w:ascii="宋体" w:eastAsia="宋体" w:hAnsi="宋体" w:cs="宋体" w:hint="eastAsia"/>
          <w:color w:val="auto"/>
          <w:sz w:val="24"/>
          <w:szCs w:val="24"/>
          <w:lang w:eastAsia="zh-CN"/>
        </w:rPr>
        <w:t>将海岸线</w:t>
      </w:r>
      <w:r>
        <w:rPr>
          <w:rFonts w:ascii="宋体" w:eastAsia="宋体" w:hAnsi="宋体" w:cs="宋体"/>
          <w:color w:val="auto"/>
          <w:sz w:val="24"/>
          <w:szCs w:val="24"/>
          <w:lang w:eastAsia="zh-CN"/>
        </w:rPr>
        <w:t>划定严格保护、限制开发和优化利用</w:t>
      </w:r>
      <w:r>
        <w:rPr>
          <w:rFonts w:ascii="宋体" w:eastAsia="宋体" w:hAnsi="宋体" w:cs="宋体"/>
          <w:color w:val="auto"/>
          <w:sz w:val="24"/>
          <w:szCs w:val="24"/>
          <w:lang w:eastAsia="zh-CN"/>
        </w:rPr>
        <w:t>3</w:t>
      </w:r>
      <w:r>
        <w:rPr>
          <w:rFonts w:ascii="宋体" w:eastAsia="宋体" w:hAnsi="宋体" w:cs="宋体"/>
          <w:color w:val="auto"/>
          <w:sz w:val="24"/>
          <w:szCs w:val="24"/>
          <w:lang w:eastAsia="zh-CN"/>
        </w:rPr>
        <w:t>类功能岸线。</w:t>
      </w:r>
      <w:r>
        <w:rPr>
          <w:rFonts w:ascii="宋体" w:eastAsia="宋体" w:hAnsi="宋体" w:cs="宋体" w:hint="eastAsia"/>
          <w:color w:val="auto"/>
          <w:sz w:val="24"/>
          <w:szCs w:val="24"/>
          <w:lang w:eastAsia="zh-CN"/>
        </w:rPr>
        <w:t>①</w:t>
      </w:r>
      <w:r>
        <w:rPr>
          <w:rFonts w:ascii="宋体" w:eastAsia="宋体" w:hAnsi="宋体" w:cs="宋体"/>
          <w:color w:val="auto"/>
          <w:sz w:val="24"/>
          <w:szCs w:val="24"/>
          <w:lang w:eastAsia="zh-CN"/>
        </w:rPr>
        <w:t>将自然形态保持完好、生态功能与资源价值显著的自然岸线划定为</w:t>
      </w:r>
      <w:r>
        <w:rPr>
          <w:rFonts w:ascii="宋体" w:eastAsia="宋体" w:hAnsi="宋体" w:cs="宋体"/>
          <w:b/>
          <w:bCs/>
          <w:color w:val="auto"/>
          <w:sz w:val="24"/>
          <w:szCs w:val="24"/>
          <w:lang w:eastAsia="zh-CN"/>
        </w:rPr>
        <w:t>严格保护岸线</w:t>
      </w:r>
      <w:r>
        <w:rPr>
          <w:rFonts w:ascii="宋体" w:eastAsia="宋体" w:hAnsi="宋体" w:cs="宋体" w:hint="eastAsia"/>
          <w:color w:val="auto"/>
          <w:sz w:val="24"/>
          <w:szCs w:val="24"/>
          <w:lang w:eastAsia="zh-CN"/>
        </w:rPr>
        <w:t>；</w:t>
      </w:r>
      <w:r>
        <w:rPr>
          <w:rFonts w:ascii="宋体" w:eastAsia="宋体" w:hAnsi="宋体" w:cs="宋体"/>
          <w:color w:val="auto"/>
          <w:sz w:val="24"/>
          <w:szCs w:val="24"/>
          <w:lang w:eastAsia="zh-CN"/>
        </w:rPr>
        <w:t>主要包括自然保护地核心保护区、生态保护红线海岸</w:t>
      </w:r>
      <w:r>
        <w:rPr>
          <w:rFonts w:ascii="宋体" w:eastAsia="宋体" w:hAnsi="宋体" w:cs="宋体"/>
          <w:color w:val="auto"/>
          <w:sz w:val="24"/>
          <w:szCs w:val="24"/>
          <w:lang w:eastAsia="zh-CN"/>
        </w:rPr>
        <w:t>防护极重要区所在岸线</w:t>
      </w:r>
      <w:r>
        <w:rPr>
          <w:rFonts w:ascii="宋体" w:eastAsia="宋体" w:hAnsi="宋体" w:cs="宋体" w:hint="eastAsia"/>
          <w:color w:val="auto"/>
          <w:sz w:val="24"/>
          <w:szCs w:val="24"/>
          <w:lang w:eastAsia="zh-CN"/>
        </w:rPr>
        <w:t>；</w:t>
      </w:r>
      <w:r>
        <w:rPr>
          <w:rFonts w:ascii="宋体" w:eastAsia="宋体" w:hAnsi="宋体" w:cs="宋体"/>
          <w:color w:val="auto"/>
          <w:sz w:val="24"/>
          <w:szCs w:val="24"/>
          <w:lang w:eastAsia="zh-CN"/>
        </w:rPr>
        <w:t>严格保护岸线按照生态保护红线有关要求进行管理，确保生态功能不降低、长度不减少、性质不改变。</w:t>
      </w:r>
      <w:r>
        <w:rPr>
          <w:rFonts w:ascii="宋体" w:eastAsia="宋体" w:hAnsi="宋体" w:cs="宋体" w:hint="eastAsia"/>
          <w:color w:val="auto"/>
          <w:sz w:val="24"/>
          <w:szCs w:val="24"/>
          <w:lang w:eastAsia="zh-CN"/>
        </w:rPr>
        <w:t>②</w:t>
      </w:r>
      <w:r>
        <w:rPr>
          <w:rFonts w:ascii="宋体" w:eastAsia="宋体" w:hAnsi="宋体" w:cs="宋体"/>
          <w:color w:val="auto"/>
          <w:sz w:val="24"/>
          <w:szCs w:val="24"/>
          <w:lang w:eastAsia="zh-CN"/>
        </w:rPr>
        <w:t>将自然形态保持基本完整、生态功能与资源价值较好、开发利用程度较低的岸线划定为</w:t>
      </w:r>
      <w:r>
        <w:rPr>
          <w:rFonts w:ascii="宋体" w:eastAsia="宋体" w:hAnsi="宋体" w:cs="宋体"/>
          <w:b/>
          <w:bCs/>
          <w:color w:val="auto"/>
          <w:sz w:val="24"/>
          <w:szCs w:val="24"/>
          <w:lang w:eastAsia="zh-CN"/>
        </w:rPr>
        <w:t>限制开发岸线</w:t>
      </w:r>
      <w:r>
        <w:rPr>
          <w:rFonts w:ascii="宋体" w:hAnsi="宋体" w:cs="宋体" w:hint="eastAsia"/>
          <w:color w:val="auto"/>
          <w:sz w:val="24"/>
          <w:szCs w:val="24"/>
          <w:lang w:eastAsia="zh-CN"/>
        </w:rPr>
        <w:t>；</w:t>
      </w:r>
      <w:r>
        <w:rPr>
          <w:rFonts w:ascii="宋体" w:eastAsia="宋体" w:hAnsi="宋体" w:cs="宋体"/>
          <w:color w:val="auto"/>
          <w:sz w:val="24"/>
          <w:szCs w:val="24"/>
          <w:lang w:eastAsia="zh-CN"/>
        </w:rPr>
        <w:t>限制开发岸线严格控制改变海岸自然形态和影响生态功能的活动，适度发展旅游、休闲渔业等产业，严格海域使用审批。</w:t>
      </w:r>
      <w:r>
        <w:rPr>
          <w:rFonts w:ascii="宋体" w:eastAsia="宋体" w:hAnsi="宋体" w:cs="宋体" w:hint="eastAsia"/>
          <w:color w:val="auto"/>
          <w:sz w:val="24"/>
          <w:szCs w:val="24"/>
          <w:lang w:eastAsia="zh-CN"/>
        </w:rPr>
        <w:t>③</w:t>
      </w:r>
      <w:r>
        <w:rPr>
          <w:rFonts w:ascii="宋体" w:eastAsia="宋体" w:hAnsi="宋体" w:cs="宋体"/>
          <w:color w:val="auto"/>
          <w:sz w:val="24"/>
          <w:szCs w:val="24"/>
          <w:lang w:eastAsia="zh-CN"/>
        </w:rPr>
        <w:t>将集约利用人工化程度较高、海岸防护与开发利用条件较好的岸线划定为</w:t>
      </w:r>
      <w:r>
        <w:rPr>
          <w:rFonts w:ascii="宋体" w:eastAsia="宋体" w:hAnsi="宋体" w:cs="宋体"/>
          <w:b/>
          <w:bCs/>
          <w:color w:val="auto"/>
          <w:sz w:val="24"/>
          <w:szCs w:val="24"/>
          <w:lang w:eastAsia="zh-CN"/>
        </w:rPr>
        <w:t>优化利用岸线</w:t>
      </w:r>
      <w:r>
        <w:rPr>
          <w:rFonts w:ascii="宋体" w:hAnsi="宋体" w:cs="宋体" w:hint="eastAsia"/>
          <w:color w:val="auto"/>
          <w:sz w:val="24"/>
          <w:szCs w:val="24"/>
          <w:lang w:eastAsia="zh-CN"/>
        </w:rPr>
        <w:t>；</w:t>
      </w:r>
      <w:r>
        <w:rPr>
          <w:rFonts w:ascii="宋体" w:eastAsia="宋体" w:hAnsi="宋体" w:cs="宋体"/>
          <w:color w:val="auto"/>
          <w:sz w:val="24"/>
          <w:szCs w:val="24"/>
          <w:lang w:eastAsia="zh-CN"/>
        </w:rPr>
        <w:t>主要包括港口工业岸线、城镇生活岸线、渔业发展岸线和旅游娱乐岸线等</w:t>
      </w:r>
      <w:r>
        <w:rPr>
          <w:rFonts w:ascii="宋体" w:hAnsi="宋体" w:cs="宋体" w:hint="eastAsia"/>
          <w:color w:val="auto"/>
          <w:sz w:val="24"/>
          <w:szCs w:val="24"/>
          <w:lang w:eastAsia="zh-CN"/>
        </w:rPr>
        <w:t>；</w:t>
      </w:r>
      <w:r>
        <w:rPr>
          <w:rFonts w:ascii="宋体" w:eastAsia="宋体" w:hAnsi="宋体" w:cs="宋体"/>
          <w:color w:val="auto"/>
          <w:sz w:val="24"/>
          <w:szCs w:val="24"/>
          <w:lang w:eastAsia="zh-CN"/>
        </w:rPr>
        <w:t>优化利用岸线为沿海地区产业集聚、产业升级和产城融合提供空间，要统筹规划、集中布局确需占用海岸线的建设项目，推动海域资源利用方式向绿色化、生态化转变。</w:t>
      </w:r>
      <w:r>
        <w:rPr>
          <w:rFonts w:ascii="宋体" w:hAnsi="宋体" w:cs="宋体" w:hint="eastAsia"/>
          <w:color w:val="auto"/>
          <w:sz w:val="24"/>
          <w:szCs w:val="24"/>
          <w:lang w:eastAsia="zh-CN"/>
        </w:rPr>
        <w:t>本项目位于</w:t>
      </w:r>
      <w:r>
        <w:rPr>
          <w:rFonts w:ascii="宋体" w:eastAsia="宋体" w:hAnsi="宋体" w:cs="宋体"/>
          <w:color w:val="auto"/>
          <w:sz w:val="24"/>
          <w:szCs w:val="24"/>
          <w:lang w:eastAsia="zh-CN"/>
        </w:rPr>
        <w:t>限制开发岸线</w:t>
      </w:r>
      <w:r>
        <w:rPr>
          <w:rFonts w:ascii="宋体" w:hAnsi="宋体" w:cs="宋体" w:hint="eastAsia"/>
          <w:color w:val="auto"/>
          <w:sz w:val="24"/>
          <w:szCs w:val="24"/>
          <w:lang w:eastAsia="zh-CN"/>
        </w:rPr>
        <w:t>，占用自然岸线</w:t>
      </w:r>
      <w:r>
        <w:rPr>
          <w:rFonts w:ascii="Times New Roman" w:eastAsia="宋体" w:hAnsi="Times New Roman" w:cs="宋体" w:hint="eastAsia"/>
          <w:color w:val="auto"/>
          <w:sz w:val="24"/>
          <w:szCs w:val="24"/>
          <w:lang w:eastAsia="zh-CN"/>
        </w:rPr>
        <w:t>0m</w:t>
      </w:r>
      <w:r>
        <w:rPr>
          <w:rFonts w:ascii="Times New Roman" w:eastAsia="宋体" w:hAnsi="Times New Roman" w:cs="宋体" w:hint="eastAsia"/>
          <w:color w:val="auto"/>
          <w:sz w:val="24"/>
          <w:szCs w:val="24"/>
          <w:lang w:eastAsia="zh-CN"/>
        </w:rPr>
        <w:t>，项目用海安全防护接人工岸线</w:t>
      </w:r>
      <w:r>
        <w:rPr>
          <w:rFonts w:ascii="Times New Roman" w:eastAsia="宋体" w:hAnsi="Times New Roman" w:cs="宋体" w:hint="eastAsia"/>
          <w:color w:val="auto"/>
          <w:sz w:val="24"/>
          <w:szCs w:val="24"/>
          <w:lang w:eastAsia="zh-CN"/>
        </w:rPr>
        <w:t>2m</w:t>
      </w:r>
      <w:r>
        <w:rPr>
          <w:rFonts w:ascii="Times New Roman" w:eastAsia="宋体" w:hAnsi="Times New Roman" w:cs="宋体" w:hint="eastAsia"/>
          <w:color w:val="auto"/>
          <w:sz w:val="24"/>
          <w:szCs w:val="24"/>
          <w:lang w:eastAsia="zh-CN"/>
        </w:rPr>
        <w:t>，巡护便</w:t>
      </w:r>
      <w:r>
        <w:rPr>
          <w:rFonts w:ascii="Times New Roman" w:eastAsia="宋体" w:hAnsi="Times New Roman" w:cs="宋体" w:hint="eastAsia"/>
          <w:color w:val="auto"/>
          <w:sz w:val="24"/>
          <w:szCs w:val="24"/>
          <w:lang w:eastAsia="zh-CN"/>
        </w:rPr>
        <w:lastRenderedPageBreak/>
        <w:t>道未接人工岸线</w:t>
      </w:r>
      <w:r>
        <w:rPr>
          <w:rFonts w:ascii="宋体" w:hAnsi="宋体" w:cs="宋体" w:hint="eastAsia"/>
          <w:color w:val="auto"/>
          <w:sz w:val="24"/>
          <w:szCs w:val="24"/>
          <w:lang w:eastAsia="zh-CN"/>
        </w:rPr>
        <w:t>，具体见图</w:t>
      </w:r>
      <w:r>
        <w:rPr>
          <w:rFonts w:ascii="宋体" w:hAnsi="宋体" w:cs="宋体" w:hint="eastAsia"/>
          <w:color w:val="auto"/>
          <w:sz w:val="24"/>
          <w:szCs w:val="24"/>
          <w:lang w:eastAsia="zh-CN"/>
        </w:rPr>
        <w:t>6.1.1-3</w:t>
      </w:r>
      <w:r>
        <w:rPr>
          <w:rFonts w:ascii="宋体" w:hAnsi="宋体" w:cs="宋体" w:hint="eastAsia"/>
          <w:color w:val="auto"/>
          <w:sz w:val="24"/>
          <w:szCs w:val="24"/>
          <w:lang w:eastAsia="zh-CN"/>
        </w:rPr>
        <w:t>。</w:t>
      </w:r>
    </w:p>
    <w:p w14:paraId="570D58FE" w14:textId="77777777" w:rsidR="0075791A" w:rsidRDefault="00FB2864">
      <w:pPr>
        <w:widowControl w:val="0"/>
        <w:kinsoku/>
        <w:autoSpaceDE/>
        <w:autoSpaceDN/>
        <w:adjustRightInd/>
        <w:snapToGrid/>
        <w:jc w:val="center"/>
        <w:textAlignment w:val="auto"/>
        <w:rPr>
          <w:rFonts w:ascii="宋体" w:hAnsi="宋体" w:cs="宋体"/>
          <w:color w:val="auto"/>
          <w:lang w:eastAsia="zh-CN"/>
        </w:rPr>
      </w:pPr>
      <w:r>
        <w:rPr>
          <w:rFonts w:ascii="宋体" w:hAnsi="宋体" w:cs="宋体" w:hint="eastAsia"/>
          <w:noProof/>
          <w:color w:val="auto"/>
          <w:lang w:eastAsia="zh-CN"/>
        </w:rPr>
        <w:drawing>
          <wp:inline distT="0" distB="0" distL="114300" distR="114300" wp14:anchorId="024C632C" wp14:editId="47855318">
            <wp:extent cx="5755640" cy="4070350"/>
            <wp:effectExtent l="0" t="0" r="5080" b="13970"/>
            <wp:docPr id="107" name="图片 107" descr="海洋空间功能布局图_省国空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海洋空间功能布局图_省国空0410"/>
                    <pic:cNvPicPr>
                      <a:picLocks noChangeAspect="1"/>
                    </pic:cNvPicPr>
                  </pic:nvPicPr>
                  <pic:blipFill>
                    <a:blip r:embed="rId259"/>
                    <a:stretch>
                      <a:fillRect/>
                    </a:stretch>
                  </pic:blipFill>
                  <pic:spPr>
                    <a:xfrm>
                      <a:off x="0" y="0"/>
                      <a:ext cx="5755640" cy="4070350"/>
                    </a:xfrm>
                    <a:prstGeom prst="rect">
                      <a:avLst/>
                    </a:prstGeom>
                  </pic:spPr>
                </pic:pic>
              </a:graphicData>
            </a:graphic>
          </wp:inline>
        </w:drawing>
      </w:r>
    </w:p>
    <w:p w14:paraId="361BFC57" w14:textId="77777777" w:rsidR="0075791A" w:rsidRDefault="00FB2864">
      <w:pPr>
        <w:widowControl w:val="0"/>
        <w:kinsoku/>
        <w:autoSpaceDE/>
        <w:autoSpaceDN/>
        <w:adjustRightInd/>
        <w:snapToGrid/>
        <w:jc w:val="center"/>
        <w:textAlignment w:val="auto"/>
        <w:rPr>
          <w:rFonts w:ascii="宋体" w:hAnsi="宋体" w:cs="宋体"/>
          <w:color w:val="auto"/>
          <w:lang w:eastAsia="zh-CN"/>
        </w:rPr>
      </w:pPr>
      <w:r>
        <w:rPr>
          <w:rFonts w:ascii="宋体" w:hAnsi="宋体" w:cs="宋体" w:hint="eastAsia"/>
          <w:color w:val="auto"/>
          <w:lang w:eastAsia="zh-CN"/>
        </w:rPr>
        <w:t>图</w:t>
      </w:r>
      <w:r>
        <w:rPr>
          <w:rFonts w:ascii="宋体" w:hAnsi="宋体" w:cs="宋体" w:hint="eastAsia"/>
          <w:color w:val="auto"/>
          <w:lang w:eastAsia="zh-CN"/>
        </w:rPr>
        <w:t>6.1.1-1</w:t>
      </w:r>
      <w:r>
        <w:rPr>
          <w:rFonts w:ascii="宋体" w:hAnsi="宋体" w:cs="宋体" w:hint="eastAsia"/>
          <w:color w:val="auto"/>
          <w:lang w:eastAsia="zh-CN"/>
        </w:rPr>
        <w:t>海南省国土空间规划海洋空间功能布局图</w:t>
      </w:r>
    </w:p>
    <w:p w14:paraId="6AAC56F1" w14:textId="77777777" w:rsidR="0075791A" w:rsidRDefault="0075791A">
      <w:pPr>
        <w:widowControl w:val="0"/>
        <w:kinsoku/>
        <w:autoSpaceDE/>
        <w:autoSpaceDN/>
        <w:adjustRightInd/>
        <w:snapToGrid/>
        <w:jc w:val="center"/>
        <w:textAlignment w:val="auto"/>
        <w:rPr>
          <w:rFonts w:ascii="宋体" w:hAnsi="宋体" w:cs="宋体"/>
          <w:color w:val="auto"/>
          <w:lang w:eastAsia="zh-CN"/>
        </w:rPr>
      </w:pPr>
    </w:p>
    <w:p w14:paraId="7090445F" w14:textId="77777777" w:rsidR="0075791A" w:rsidRDefault="00FB2864">
      <w:pPr>
        <w:widowControl w:val="0"/>
        <w:kinsoku/>
        <w:autoSpaceDE/>
        <w:autoSpaceDN/>
        <w:adjustRightInd/>
        <w:snapToGrid/>
        <w:jc w:val="center"/>
        <w:textAlignment w:val="auto"/>
        <w:rPr>
          <w:rFonts w:ascii="宋体" w:hAnsi="宋体" w:cs="宋体"/>
          <w:color w:val="auto"/>
          <w:lang w:eastAsia="zh-CN"/>
        </w:rPr>
      </w:pPr>
      <w:r>
        <w:rPr>
          <w:rFonts w:ascii="宋体" w:hAnsi="宋体" w:cs="宋体" w:hint="eastAsia"/>
          <w:color w:val="auto"/>
          <w:lang w:eastAsia="zh-CN"/>
        </w:rPr>
        <w:t>图</w:t>
      </w:r>
      <w:r>
        <w:rPr>
          <w:rFonts w:ascii="宋体" w:hAnsi="宋体" w:cs="宋体" w:hint="eastAsia"/>
          <w:color w:val="auto"/>
          <w:lang w:eastAsia="zh-CN"/>
        </w:rPr>
        <w:t>6.1.1-2</w:t>
      </w:r>
      <w:r>
        <w:rPr>
          <w:rFonts w:ascii="宋体" w:hAnsi="宋体" w:cs="宋体" w:hint="eastAsia"/>
          <w:color w:val="auto"/>
          <w:lang w:eastAsia="zh-CN"/>
        </w:rPr>
        <w:t>论证范围内—海南省国土空间规划海洋空间功能布局图</w:t>
      </w:r>
    </w:p>
    <w:p w14:paraId="699BF522" w14:textId="77777777" w:rsidR="0075791A" w:rsidRDefault="0075791A">
      <w:pPr>
        <w:widowControl w:val="0"/>
        <w:kinsoku/>
        <w:autoSpaceDE/>
        <w:autoSpaceDN/>
        <w:adjustRightInd/>
        <w:snapToGrid/>
        <w:jc w:val="center"/>
        <w:textAlignment w:val="auto"/>
        <w:rPr>
          <w:rFonts w:ascii="宋体" w:hAnsi="宋体" w:cs="宋体"/>
          <w:b/>
          <w:bCs/>
          <w:color w:val="auto"/>
          <w:lang w:eastAsia="zh-CN"/>
        </w:rPr>
      </w:pPr>
    </w:p>
    <w:p w14:paraId="1F1806AD" w14:textId="77777777" w:rsidR="0075791A" w:rsidRDefault="00FB2864">
      <w:pPr>
        <w:jc w:val="center"/>
        <w:rPr>
          <w:rFonts w:ascii="宋体" w:eastAsia="宋体" w:hAnsi="宋体" w:cs="宋体"/>
          <w:color w:val="auto"/>
          <w:sz w:val="24"/>
          <w:szCs w:val="24"/>
          <w:lang w:eastAsia="zh-CN"/>
        </w:rPr>
      </w:pPr>
      <w:r>
        <w:rPr>
          <w:rFonts w:ascii="宋体" w:eastAsia="宋体" w:hAnsi="宋体" w:cs="宋体" w:hint="eastAsia"/>
          <w:noProof/>
          <w:color w:val="auto"/>
          <w:sz w:val="24"/>
          <w:szCs w:val="24"/>
          <w:lang w:eastAsia="zh-CN"/>
        </w:rPr>
        <w:drawing>
          <wp:inline distT="0" distB="0" distL="114300" distR="114300" wp14:anchorId="60D19DD4" wp14:editId="64A0C440">
            <wp:extent cx="5579745" cy="3750310"/>
            <wp:effectExtent l="0" t="0" r="13335" b="13970"/>
            <wp:docPr id="115" name="图片 115" descr="海岸带保护利用规划图_省国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海岸带保护利用规划图_省国空"/>
                    <pic:cNvPicPr>
                      <a:picLocks noChangeAspect="1"/>
                    </pic:cNvPicPr>
                  </pic:nvPicPr>
                  <pic:blipFill>
                    <a:blip r:embed="rId260"/>
                    <a:srcRect l="1635" t="3509" r="1462" b="4352"/>
                    <a:stretch>
                      <a:fillRect/>
                    </a:stretch>
                  </pic:blipFill>
                  <pic:spPr>
                    <a:xfrm>
                      <a:off x="0" y="0"/>
                      <a:ext cx="5579745" cy="3750310"/>
                    </a:xfrm>
                    <a:prstGeom prst="rect">
                      <a:avLst/>
                    </a:prstGeom>
                  </pic:spPr>
                </pic:pic>
              </a:graphicData>
            </a:graphic>
          </wp:inline>
        </w:drawing>
      </w:r>
    </w:p>
    <w:p w14:paraId="77C4CED8" w14:textId="77777777" w:rsidR="0075791A" w:rsidRDefault="00FB2864">
      <w:pPr>
        <w:widowControl w:val="0"/>
        <w:kinsoku/>
        <w:autoSpaceDE/>
        <w:autoSpaceDN/>
        <w:adjustRightInd/>
        <w:snapToGrid/>
        <w:jc w:val="center"/>
        <w:textAlignment w:val="auto"/>
        <w:rPr>
          <w:rFonts w:ascii="宋体" w:hAnsi="宋体" w:cs="宋体"/>
          <w:color w:val="auto"/>
          <w:lang w:eastAsia="zh-CN"/>
        </w:rPr>
      </w:pPr>
      <w:r>
        <w:rPr>
          <w:rFonts w:ascii="宋体" w:hAnsi="宋体" w:cs="宋体" w:hint="eastAsia"/>
          <w:color w:val="auto"/>
          <w:lang w:eastAsia="zh-CN"/>
        </w:rPr>
        <w:t>图</w:t>
      </w:r>
      <w:r>
        <w:rPr>
          <w:rFonts w:ascii="宋体" w:hAnsi="宋体" w:cs="宋体" w:hint="eastAsia"/>
          <w:color w:val="auto"/>
          <w:lang w:eastAsia="zh-CN"/>
        </w:rPr>
        <w:t>6.1.1-3</w:t>
      </w:r>
      <w:r>
        <w:rPr>
          <w:rFonts w:ascii="宋体" w:hAnsi="宋体" w:cs="宋体" w:hint="eastAsia"/>
          <w:color w:val="auto"/>
          <w:lang w:eastAsia="zh-CN"/>
        </w:rPr>
        <w:t>海南省国土空间规划海岸带保护利用规划图</w:t>
      </w:r>
    </w:p>
    <w:p w14:paraId="544036EB" w14:textId="77777777" w:rsidR="0075791A" w:rsidRDefault="0075791A">
      <w:pPr>
        <w:rPr>
          <w:rFonts w:ascii="宋体" w:eastAsia="宋体" w:hAnsi="宋体" w:cs="宋体"/>
          <w:color w:val="auto"/>
          <w:sz w:val="24"/>
          <w:szCs w:val="24"/>
          <w:lang w:eastAsia="zh-CN"/>
        </w:rPr>
      </w:pPr>
    </w:p>
    <w:p w14:paraId="3E87B85A"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00" w:name="_Toc28348"/>
      <w:r>
        <w:rPr>
          <w:rFonts w:ascii="Times New Roman" w:hAnsi="Times New Roman" w:hint="eastAsia"/>
          <w:color w:val="auto"/>
          <w:sz w:val="28"/>
          <w:szCs w:val="28"/>
          <w:lang w:eastAsia="zh-CN"/>
        </w:rPr>
        <w:lastRenderedPageBreak/>
        <w:t>6.1.2</w:t>
      </w:r>
      <w:r>
        <w:rPr>
          <w:rFonts w:ascii="Times New Roman" w:hAnsi="Times New Roman" w:hint="eastAsia"/>
          <w:color w:val="auto"/>
          <w:sz w:val="28"/>
          <w:szCs w:val="28"/>
          <w:lang w:eastAsia="zh-CN"/>
        </w:rPr>
        <w:t>《三亚市国土空间总体规划（</w:t>
      </w:r>
      <w:r>
        <w:rPr>
          <w:rFonts w:ascii="Times New Roman" w:hAnsi="Times New Roman" w:hint="eastAsia"/>
          <w:color w:val="auto"/>
          <w:sz w:val="28"/>
          <w:szCs w:val="28"/>
          <w:lang w:eastAsia="zh-CN"/>
        </w:rPr>
        <w:t>2021-2035</w:t>
      </w:r>
      <w:r>
        <w:rPr>
          <w:rFonts w:ascii="Times New Roman" w:hAnsi="Times New Roman" w:hint="eastAsia"/>
          <w:color w:val="auto"/>
          <w:sz w:val="28"/>
          <w:szCs w:val="28"/>
          <w:lang w:eastAsia="zh-CN"/>
        </w:rPr>
        <w:t>年）》</w:t>
      </w:r>
      <w:bookmarkEnd w:id="300"/>
    </w:p>
    <w:p w14:paraId="77B82C82" w14:textId="77777777" w:rsidR="0075791A" w:rsidRDefault="00FB2864">
      <w:pPr>
        <w:widowControl w:val="0"/>
        <w:kinsoku/>
        <w:autoSpaceDE/>
        <w:autoSpaceDN/>
        <w:adjustRightInd/>
        <w:snapToGrid/>
        <w:spacing w:line="360" w:lineRule="auto"/>
        <w:ind w:firstLineChars="200" w:firstLine="480"/>
        <w:textAlignment w:val="auto"/>
        <w:rPr>
          <w:rFonts w:ascii="宋体" w:hAnsi="宋体" w:cs="宋体"/>
          <w:color w:val="auto"/>
          <w:sz w:val="24"/>
          <w:szCs w:val="24"/>
          <w:lang w:eastAsia="zh-CN"/>
        </w:rPr>
      </w:pPr>
      <w:r>
        <w:rPr>
          <w:rFonts w:ascii="宋体" w:hAnsi="宋体" w:cs="宋体"/>
          <w:color w:val="auto"/>
          <w:sz w:val="24"/>
          <w:szCs w:val="24"/>
          <w:lang w:eastAsia="zh-CN"/>
        </w:rPr>
        <w:t>根据《三亚市国土空间总体规划（</w:t>
      </w:r>
      <w:r>
        <w:rPr>
          <w:rFonts w:ascii="宋体" w:hAnsi="宋体" w:cs="宋体" w:hint="eastAsia"/>
          <w:color w:val="auto"/>
          <w:sz w:val="24"/>
          <w:szCs w:val="24"/>
          <w:lang w:eastAsia="zh-CN"/>
        </w:rPr>
        <w:t>2021-2035</w:t>
      </w:r>
      <w:r>
        <w:rPr>
          <w:rFonts w:ascii="宋体" w:hAnsi="宋体" w:cs="宋体"/>
          <w:color w:val="auto"/>
          <w:sz w:val="24"/>
          <w:szCs w:val="24"/>
          <w:lang w:eastAsia="zh-CN"/>
        </w:rPr>
        <w:t>）》，</w:t>
      </w:r>
      <w:r>
        <w:rPr>
          <w:rFonts w:ascii="宋体" w:hAnsi="宋体" w:cs="宋体" w:hint="eastAsia"/>
          <w:color w:val="auto"/>
          <w:sz w:val="24"/>
          <w:szCs w:val="24"/>
          <w:lang w:eastAsia="zh-CN"/>
        </w:rPr>
        <w:t>构建</w:t>
      </w:r>
      <w:r>
        <w:rPr>
          <w:rFonts w:ascii="宋体" w:eastAsia="宋体" w:hAnsi="宋体" w:cs="宋体"/>
          <w:color w:val="auto"/>
          <w:sz w:val="24"/>
          <w:szCs w:val="24"/>
          <w:lang w:eastAsia="zh-CN"/>
        </w:rPr>
        <w:t>“</w:t>
      </w:r>
      <w:r>
        <w:rPr>
          <w:rFonts w:ascii="宋体" w:hAnsi="宋体" w:cs="宋体" w:hint="eastAsia"/>
          <w:color w:val="auto"/>
          <w:sz w:val="24"/>
          <w:szCs w:val="24"/>
          <w:lang w:eastAsia="zh-CN"/>
        </w:rPr>
        <w:t>海域分区统筹</w:t>
      </w:r>
      <w:r>
        <w:rPr>
          <w:rFonts w:ascii="宋体" w:hAnsi="宋体" w:cs="宋体"/>
          <w:color w:val="auto"/>
          <w:sz w:val="24"/>
          <w:szCs w:val="24"/>
          <w:lang w:eastAsia="zh-CN"/>
        </w:rPr>
        <w:t>”</w:t>
      </w:r>
      <w:r>
        <w:rPr>
          <w:rFonts w:ascii="宋体" w:hAnsi="宋体" w:cs="宋体" w:hint="eastAsia"/>
          <w:color w:val="auto"/>
          <w:sz w:val="24"/>
          <w:szCs w:val="24"/>
          <w:lang w:eastAsia="zh-CN"/>
        </w:rPr>
        <w:t>的海洋空间格局。细化落实全省</w:t>
      </w:r>
      <w:r>
        <w:rPr>
          <w:rFonts w:ascii="宋体" w:eastAsia="宋体" w:hAnsi="宋体" w:cs="宋体"/>
          <w:color w:val="auto"/>
          <w:sz w:val="24"/>
          <w:szCs w:val="24"/>
          <w:lang w:eastAsia="zh-CN"/>
        </w:rPr>
        <w:t>“</w:t>
      </w:r>
      <w:r>
        <w:rPr>
          <w:rFonts w:ascii="宋体" w:hAnsi="宋体" w:cs="宋体" w:hint="eastAsia"/>
          <w:color w:val="auto"/>
          <w:sz w:val="24"/>
          <w:szCs w:val="24"/>
          <w:lang w:eastAsia="zh-CN"/>
        </w:rPr>
        <w:t>蓝海环绕、山海相通、近优远拓</w:t>
      </w:r>
      <w:r>
        <w:rPr>
          <w:rFonts w:ascii="宋体" w:hAnsi="宋体" w:cs="宋体"/>
          <w:color w:val="auto"/>
          <w:sz w:val="24"/>
          <w:szCs w:val="24"/>
          <w:lang w:eastAsia="zh-CN"/>
        </w:rPr>
        <w:t>”</w:t>
      </w:r>
      <w:r>
        <w:rPr>
          <w:rFonts w:ascii="宋体" w:hAnsi="宋体" w:cs="宋体" w:hint="eastAsia"/>
          <w:color w:val="auto"/>
          <w:sz w:val="24"/>
          <w:szCs w:val="24"/>
          <w:lang w:eastAsia="zh-CN"/>
        </w:rPr>
        <w:t>的海洋空间格局，统筹山水林田湖草沙的系统保护，统筹滨海滩涂、海岸、湿地系统的治理维护，重点治理河口、潟湖等河海交汇区，实现生态系统的山海相通；以海洋功能分区为主体，优化近岸海域空间利用，积极拓展深远海的开发利用，统筹海洋经济产业与海洋生态安全保护。将近岸海域空间根据新时期海洋空间管控要求及产业用海需求，划定海洋功能区，主要分为生态保护区、生态控制区、海洋发展区。其中，海洋发展区包括渔业用海区、交通运输用海区、工矿通信用海区、游憩用海区、特殊用海区、海洋预留区。</w:t>
      </w:r>
    </w:p>
    <w:p w14:paraId="6F9072EE" w14:textId="77777777" w:rsidR="0075791A" w:rsidRDefault="00FB2864">
      <w:pPr>
        <w:widowControl w:val="0"/>
        <w:kinsoku/>
        <w:autoSpaceDE/>
        <w:autoSpaceDN/>
        <w:adjustRightInd/>
        <w:snapToGrid/>
        <w:spacing w:line="360" w:lineRule="auto"/>
        <w:ind w:firstLineChars="200" w:firstLine="480"/>
        <w:textAlignment w:val="auto"/>
        <w:rPr>
          <w:rFonts w:ascii="宋体" w:hAnsi="宋体" w:cs="宋体"/>
          <w:color w:val="auto"/>
          <w:sz w:val="24"/>
          <w:szCs w:val="24"/>
          <w:lang w:eastAsia="zh-CN"/>
        </w:rPr>
      </w:pPr>
      <w:r>
        <w:rPr>
          <w:rFonts w:ascii="宋体" w:hAnsi="宋体" w:cs="宋体" w:hint="eastAsia"/>
          <w:color w:val="auto"/>
          <w:sz w:val="24"/>
          <w:szCs w:val="24"/>
          <w:lang w:eastAsia="zh-CN"/>
        </w:rPr>
        <w:t>生态保护区：海岸、珊瑚礁、潟湖、重要渔业资源、</w:t>
      </w:r>
      <w:r>
        <w:rPr>
          <w:rFonts w:ascii="宋体" w:hAnsi="宋体" w:cs="宋体" w:hint="eastAsia"/>
          <w:color w:val="auto"/>
          <w:sz w:val="24"/>
          <w:szCs w:val="24"/>
          <w:lang w:eastAsia="zh-CN"/>
        </w:rPr>
        <w:t>海岛。</w:t>
      </w:r>
    </w:p>
    <w:p w14:paraId="13961078" w14:textId="77777777" w:rsidR="0075791A" w:rsidRDefault="00FB2864">
      <w:pPr>
        <w:widowControl w:val="0"/>
        <w:kinsoku/>
        <w:autoSpaceDE/>
        <w:autoSpaceDN/>
        <w:adjustRightInd/>
        <w:snapToGrid/>
        <w:spacing w:line="360" w:lineRule="auto"/>
        <w:ind w:firstLineChars="200" w:firstLine="480"/>
        <w:textAlignment w:val="auto"/>
        <w:rPr>
          <w:rFonts w:ascii="宋体" w:hAnsi="宋体" w:cs="宋体"/>
          <w:color w:val="auto"/>
          <w:sz w:val="24"/>
          <w:szCs w:val="24"/>
          <w:lang w:eastAsia="zh-CN"/>
        </w:rPr>
      </w:pPr>
      <w:r>
        <w:rPr>
          <w:rFonts w:ascii="宋体" w:hAnsi="宋体" w:cs="宋体" w:hint="eastAsia"/>
          <w:color w:val="auto"/>
          <w:sz w:val="24"/>
          <w:szCs w:val="24"/>
          <w:lang w:eastAsia="zh-CN"/>
        </w:rPr>
        <w:t>生态控制区：海洋自然区域。</w:t>
      </w:r>
    </w:p>
    <w:p w14:paraId="7F0296BE" w14:textId="77777777" w:rsidR="0075791A" w:rsidRDefault="00FB2864">
      <w:pPr>
        <w:widowControl w:val="0"/>
        <w:kinsoku/>
        <w:autoSpaceDE/>
        <w:autoSpaceDN/>
        <w:adjustRightInd/>
        <w:snapToGrid/>
        <w:spacing w:line="360" w:lineRule="auto"/>
        <w:ind w:firstLineChars="200" w:firstLine="480"/>
        <w:textAlignment w:val="auto"/>
        <w:rPr>
          <w:rFonts w:ascii="宋体" w:hAnsi="宋体" w:cs="宋体"/>
          <w:color w:val="auto"/>
          <w:sz w:val="24"/>
          <w:szCs w:val="24"/>
          <w:lang w:eastAsia="zh-CN"/>
        </w:rPr>
      </w:pPr>
      <w:r>
        <w:rPr>
          <w:rFonts w:ascii="宋体" w:hAnsi="宋体" w:cs="宋体" w:hint="eastAsia"/>
          <w:color w:val="auto"/>
          <w:sz w:val="24"/>
          <w:szCs w:val="24"/>
          <w:lang w:eastAsia="zh-CN"/>
        </w:rPr>
        <w:t>交通运输用海区：青梅港、榆林港、三亚港、红塘港、南山、南山港。</w:t>
      </w:r>
    </w:p>
    <w:p w14:paraId="215DFE59" w14:textId="77777777" w:rsidR="0075791A" w:rsidRDefault="00FB2864">
      <w:pPr>
        <w:widowControl w:val="0"/>
        <w:kinsoku/>
        <w:autoSpaceDE/>
        <w:autoSpaceDN/>
        <w:adjustRightInd/>
        <w:snapToGrid/>
        <w:spacing w:line="360" w:lineRule="auto"/>
        <w:ind w:firstLineChars="200" w:firstLine="480"/>
        <w:textAlignment w:val="auto"/>
        <w:rPr>
          <w:rFonts w:ascii="宋体" w:hAnsi="宋体" w:cs="宋体"/>
          <w:color w:val="auto"/>
          <w:sz w:val="24"/>
          <w:szCs w:val="24"/>
          <w:lang w:eastAsia="zh-CN"/>
        </w:rPr>
      </w:pPr>
      <w:r>
        <w:rPr>
          <w:rFonts w:ascii="宋体" w:hAnsi="宋体" w:cs="宋体" w:hint="eastAsia"/>
          <w:color w:val="auto"/>
          <w:sz w:val="24"/>
          <w:szCs w:val="24"/>
          <w:lang w:eastAsia="zh-CN"/>
        </w:rPr>
        <w:t>工矿通信用海区：蜈支洲岛、肖旗港</w:t>
      </w:r>
      <w:r>
        <w:rPr>
          <w:rFonts w:ascii="宋体" w:hAnsi="宋体" w:cs="宋体" w:hint="eastAsia"/>
          <w:color w:val="auto"/>
          <w:sz w:val="24"/>
          <w:szCs w:val="24"/>
          <w:lang w:eastAsia="zh-CN"/>
        </w:rPr>
        <w:t>-</w:t>
      </w:r>
      <w:r>
        <w:rPr>
          <w:rFonts w:ascii="宋体" w:hAnsi="宋体" w:cs="宋体" w:hint="eastAsia"/>
          <w:color w:val="auto"/>
          <w:sz w:val="24"/>
          <w:szCs w:val="24"/>
          <w:lang w:eastAsia="zh-CN"/>
        </w:rPr>
        <w:t>西岛、角头</w:t>
      </w:r>
      <w:r>
        <w:rPr>
          <w:rFonts w:ascii="宋体" w:hAnsi="宋体" w:cs="宋体" w:hint="eastAsia"/>
          <w:color w:val="auto"/>
          <w:sz w:val="24"/>
          <w:szCs w:val="24"/>
          <w:lang w:eastAsia="zh-CN"/>
        </w:rPr>
        <w:t>-</w:t>
      </w:r>
      <w:r>
        <w:rPr>
          <w:rFonts w:ascii="宋体" w:hAnsi="宋体" w:cs="宋体" w:hint="eastAsia"/>
          <w:color w:val="auto"/>
          <w:sz w:val="24"/>
          <w:szCs w:val="24"/>
          <w:lang w:eastAsia="zh-CN"/>
        </w:rPr>
        <w:t>东锣岛。</w:t>
      </w:r>
    </w:p>
    <w:p w14:paraId="2DF3519C" w14:textId="77777777" w:rsidR="0075791A" w:rsidRDefault="00FB2864">
      <w:pPr>
        <w:widowControl w:val="0"/>
        <w:kinsoku/>
        <w:autoSpaceDE/>
        <w:autoSpaceDN/>
        <w:adjustRightInd/>
        <w:snapToGrid/>
        <w:spacing w:line="360" w:lineRule="auto"/>
        <w:ind w:firstLineChars="200" w:firstLine="480"/>
        <w:textAlignment w:val="auto"/>
        <w:rPr>
          <w:rFonts w:ascii="宋体" w:hAnsi="宋体" w:cs="宋体"/>
          <w:color w:val="auto"/>
          <w:sz w:val="24"/>
          <w:szCs w:val="24"/>
          <w:lang w:eastAsia="zh-CN"/>
        </w:rPr>
      </w:pPr>
      <w:r>
        <w:rPr>
          <w:rFonts w:ascii="宋体" w:hAnsi="宋体" w:cs="宋体" w:hint="eastAsia"/>
          <w:color w:val="auto"/>
          <w:sz w:val="24"/>
          <w:szCs w:val="24"/>
          <w:lang w:eastAsia="zh-CN"/>
        </w:rPr>
        <w:t>游憩用海区：铁炉港、青梅港、半山半岛、三亚湾、西瑁洲、牛鼻仔岭、天</w:t>
      </w:r>
    </w:p>
    <w:p w14:paraId="6A8E86C4" w14:textId="77777777" w:rsidR="0075791A" w:rsidRDefault="00FB2864">
      <w:pPr>
        <w:widowControl w:val="0"/>
        <w:kinsoku/>
        <w:autoSpaceDE/>
        <w:autoSpaceDN/>
        <w:adjustRightInd/>
        <w:snapToGrid/>
        <w:spacing w:line="360" w:lineRule="auto"/>
        <w:ind w:firstLineChars="200" w:firstLine="480"/>
        <w:textAlignment w:val="auto"/>
        <w:rPr>
          <w:rFonts w:ascii="宋体" w:hAnsi="宋体" w:cs="宋体"/>
          <w:color w:val="auto"/>
          <w:sz w:val="24"/>
          <w:szCs w:val="24"/>
          <w:lang w:eastAsia="zh-CN"/>
        </w:rPr>
      </w:pPr>
      <w:r>
        <w:rPr>
          <w:rFonts w:ascii="宋体" w:hAnsi="宋体" w:cs="宋体" w:hint="eastAsia"/>
          <w:color w:val="auto"/>
          <w:sz w:val="24"/>
          <w:szCs w:val="24"/>
          <w:lang w:eastAsia="zh-CN"/>
        </w:rPr>
        <w:t>涯海角、红塘湾、南山、南山港、西港、崖州湾、东锣西鼓。</w:t>
      </w:r>
    </w:p>
    <w:p w14:paraId="78D4F6C6" w14:textId="77777777" w:rsidR="0075791A" w:rsidRDefault="00FB2864">
      <w:pPr>
        <w:widowControl w:val="0"/>
        <w:kinsoku/>
        <w:autoSpaceDE/>
        <w:autoSpaceDN/>
        <w:adjustRightInd/>
        <w:snapToGrid/>
        <w:spacing w:line="360" w:lineRule="auto"/>
        <w:ind w:firstLineChars="200" w:firstLine="480"/>
        <w:textAlignment w:val="auto"/>
        <w:rPr>
          <w:rFonts w:ascii="宋体" w:hAnsi="宋体" w:cs="宋体"/>
          <w:color w:val="auto"/>
          <w:sz w:val="24"/>
          <w:szCs w:val="24"/>
          <w:lang w:eastAsia="zh-CN"/>
        </w:rPr>
      </w:pPr>
      <w:r>
        <w:rPr>
          <w:rFonts w:ascii="宋体" w:hAnsi="宋体" w:cs="宋体" w:hint="eastAsia"/>
          <w:color w:val="auto"/>
          <w:sz w:val="24"/>
          <w:szCs w:val="24"/>
          <w:lang w:eastAsia="zh-CN"/>
        </w:rPr>
        <w:t>渔业用海区：三亚湾、南山、崖州湾、西鼓岛南部。</w:t>
      </w:r>
    </w:p>
    <w:p w14:paraId="1D0C0783" w14:textId="77777777" w:rsidR="0075791A" w:rsidRDefault="00FB2864">
      <w:pPr>
        <w:widowControl w:val="0"/>
        <w:kinsoku/>
        <w:autoSpaceDE/>
        <w:autoSpaceDN/>
        <w:adjustRightInd/>
        <w:snapToGrid/>
        <w:spacing w:line="360" w:lineRule="auto"/>
        <w:ind w:firstLineChars="200" w:firstLine="480"/>
        <w:textAlignment w:val="auto"/>
        <w:rPr>
          <w:rFonts w:ascii="宋体" w:hAnsi="宋体" w:cs="宋体"/>
          <w:color w:val="auto"/>
          <w:sz w:val="24"/>
          <w:szCs w:val="24"/>
          <w:lang w:eastAsia="zh-CN"/>
        </w:rPr>
      </w:pPr>
      <w:r>
        <w:rPr>
          <w:rFonts w:ascii="宋体" w:hAnsi="宋体" w:cs="宋体" w:hint="eastAsia"/>
          <w:color w:val="auto"/>
          <w:sz w:val="24"/>
          <w:szCs w:val="24"/>
          <w:lang w:eastAsia="zh-CN"/>
        </w:rPr>
        <w:t>特殊用海区：铁炉港</w:t>
      </w:r>
      <w:r>
        <w:rPr>
          <w:rFonts w:ascii="宋体" w:hAnsi="宋体" w:cs="宋体" w:hint="eastAsia"/>
          <w:color w:val="auto"/>
          <w:sz w:val="24"/>
          <w:szCs w:val="24"/>
          <w:lang w:eastAsia="zh-CN"/>
        </w:rPr>
        <w:t>-</w:t>
      </w:r>
      <w:r>
        <w:rPr>
          <w:rFonts w:ascii="宋体" w:hAnsi="宋体" w:cs="宋体" w:hint="eastAsia"/>
          <w:color w:val="auto"/>
          <w:sz w:val="24"/>
          <w:szCs w:val="24"/>
          <w:lang w:eastAsia="zh-CN"/>
        </w:rPr>
        <w:t>榆林港、双扉石、三亚湾、南山港。</w:t>
      </w:r>
    </w:p>
    <w:p w14:paraId="7188F08C" w14:textId="77777777" w:rsidR="0075791A" w:rsidRDefault="00FB2864">
      <w:pPr>
        <w:widowControl w:val="0"/>
        <w:kinsoku/>
        <w:autoSpaceDE/>
        <w:autoSpaceDN/>
        <w:adjustRightInd/>
        <w:snapToGrid/>
        <w:spacing w:line="360" w:lineRule="auto"/>
        <w:ind w:firstLineChars="200" w:firstLine="480"/>
        <w:textAlignment w:val="auto"/>
        <w:rPr>
          <w:rFonts w:ascii="宋体" w:hAnsi="宋体" w:cs="宋体"/>
          <w:color w:val="auto"/>
          <w:sz w:val="24"/>
          <w:szCs w:val="24"/>
          <w:lang w:eastAsia="zh-CN"/>
        </w:rPr>
      </w:pPr>
      <w:r>
        <w:rPr>
          <w:rFonts w:ascii="宋体" w:hAnsi="宋体" w:cs="宋体" w:hint="eastAsia"/>
          <w:color w:val="auto"/>
          <w:sz w:val="24"/>
          <w:szCs w:val="24"/>
          <w:lang w:eastAsia="zh-CN"/>
        </w:rPr>
        <w:t>海洋预留区：红塘湾海洋预留区。</w:t>
      </w:r>
    </w:p>
    <w:p w14:paraId="2D812166" w14:textId="77777777" w:rsidR="0075791A" w:rsidRDefault="00FB2864">
      <w:pPr>
        <w:widowControl w:val="0"/>
        <w:kinsoku/>
        <w:autoSpaceDE/>
        <w:autoSpaceDN/>
        <w:adjustRightInd/>
        <w:snapToGrid/>
        <w:spacing w:line="360" w:lineRule="auto"/>
        <w:ind w:firstLineChars="200" w:firstLine="480"/>
        <w:textAlignment w:val="auto"/>
        <w:rPr>
          <w:rFonts w:ascii="宋体" w:hAnsi="宋体" w:cs="宋体"/>
          <w:color w:val="auto"/>
          <w:sz w:val="24"/>
          <w:szCs w:val="24"/>
          <w:lang w:eastAsia="zh-CN"/>
        </w:rPr>
      </w:pPr>
      <w:r>
        <w:rPr>
          <w:rFonts w:ascii="宋体" w:hAnsi="宋体" w:cs="宋体" w:hint="eastAsia"/>
          <w:color w:val="auto"/>
          <w:sz w:val="24"/>
          <w:szCs w:val="24"/>
          <w:lang w:eastAsia="zh-CN"/>
        </w:rPr>
        <w:t>本项目用海位于生态保护区，占用面积为</w:t>
      </w:r>
      <w:r>
        <w:rPr>
          <w:rFonts w:ascii="宋体" w:hAnsi="宋体" w:cs="宋体" w:hint="eastAsia"/>
          <w:color w:val="auto"/>
          <w:sz w:val="24"/>
          <w:szCs w:val="24"/>
          <w:lang w:eastAsia="zh-CN"/>
        </w:rPr>
        <w:t>15.2465</w:t>
      </w:r>
      <w:r>
        <w:rPr>
          <w:rFonts w:ascii="宋体" w:hAnsi="宋体" w:cs="宋体" w:hint="eastAsia"/>
          <w:color w:val="auto"/>
          <w:sz w:val="24"/>
          <w:szCs w:val="24"/>
          <w:lang w:eastAsia="zh-CN"/>
        </w:rPr>
        <w:t>公顷，见图</w:t>
      </w:r>
      <w:r>
        <w:rPr>
          <w:rFonts w:ascii="宋体" w:hAnsi="宋体" w:cs="宋体" w:hint="eastAsia"/>
          <w:color w:val="auto"/>
          <w:sz w:val="24"/>
          <w:szCs w:val="24"/>
          <w:lang w:eastAsia="zh-CN"/>
        </w:rPr>
        <w:t>6.1.2-1</w:t>
      </w:r>
      <w:r>
        <w:rPr>
          <w:rFonts w:ascii="宋体" w:hAnsi="宋体" w:cs="宋体" w:hint="eastAsia"/>
          <w:color w:val="auto"/>
          <w:sz w:val="24"/>
          <w:szCs w:val="24"/>
          <w:lang w:eastAsia="zh-CN"/>
        </w:rPr>
        <w:t>。</w:t>
      </w:r>
    </w:p>
    <w:p w14:paraId="4DEB0751" w14:textId="77777777" w:rsidR="0075791A" w:rsidRDefault="00FB2864">
      <w:pPr>
        <w:widowControl w:val="0"/>
        <w:kinsoku/>
        <w:autoSpaceDE/>
        <w:autoSpaceDN/>
        <w:adjustRightInd/>
        <w:snapToGrid/>
        <w:spacing w:line="360" w:lineRule="auto"/>
        <w:jc w:val="center"/>
        <w:textAlignment w:val="auto"/>
        <w:rPr>
          <w:rFonts w:ascii="宋体" w:hAnsi="宋体" w:cs="宋体"/>
          <w:color w:val="auto"/>
          <w:lang w:eastAsia="zh-CN"/>
        </w:rPr>
      </w:pPr>
      <w:r>
        <w:rPr>
          <w:rFonts w:ascii="宋体" w:hAnsi="宋体" w:cs="宋体" w:hint="eastAsia"/>
          <w:noProof/>
          <w:color w:val="auto"/>
          <w:lang w:eastAsia="zh-CN"/>
        </w:rPr>
        <w:lastRenderedPageBreak/>
        <w:drawing>
          <wp:inline distT="0" distB="0" distL="114300" distR="114300" wp14:anchorId="0695BD38" wp14:editId="3988CB63">
            <wp:extent cx="5755640" cy="4070350"/>
            <wp:effectExtent l="0" t="0" r="5080" b="13970"/>
            <wp:docPr id="110" name="图片 110" descr="海洋功能区_三亚市国空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海洋功能区_三亚市国空0410"/>
                    <pic:cNvPicPr>
                      <a:picLocks noChangeAspect="1"/>
                    </pic:cNvPicPr>
                  </pic:nvPicPr>
                  <pic:blipFill>
                    <a:blip r:embed="rId261"/>
                    <a:stretch>
                      <a:fillRect/>
                    </a:stretch>
                  </pic:blipFill>
                  <pic:spPr>
                    <a:xfrm>
                      <a:off x="0" y="0"/>
                      <a:ext cx="5755640" cy="4070350"/>
                    </a:xfrm>
                    <a:prstGeom prst="rect">
                      <a:avLst/>
                    </a:prstGeom>
                  </pic:spPr>
                </pic:pic>
              </a:graphicData>
            </a:graphic>
          </wp:inline>
        </w:drawing>
      </w:r>
    </w:p>
    <w:p w14:paraId="4C849048" w14:textId="77777777" w:rsidR="0075791A" w:rsidRDefault="00FB2864">
      <w:pPr>
        <w:widowControl w:val="0"/>
        <w:kinsoku/>
        <w:autoSpaceDE/>
        <w:autoSpaceDN/>
        <w:adjustRightInd/>
        <w:snapToGrid/>
        <w:spacing w:line="360" w:lineRule="auto"/>
        <w:jc w:val="center"/>
        <w:textAlignment w:val="auto"/>
        <w:rPr>
          <w:rFonts w:ascii="宋体" w:eastAsia="宋体" w:hAnsi="宋体" w:cs="宋体"/>
          <w:color w:val="auto"/>
          <w:lang w:eastAsia="zh-CN"/>
        </w:rPr>
      </w:pPr>
      <w:r>
        <w:rPr>
          <w:rFonts w:ascii="宋体" w:hAnsi="宋体" w:cs="宋体" w:hint="eastAsia"/>
          <w:color w:val="auto"/>
          <w:lang w:eastAsia="zh-CN"/>
        </w:rPr>
        <w:t>图</w:t>
      </w:r>
      <w:r>
        <w:rPr>
          <w:rFonts w:ascii="宋体" w:hAnsi="宋体" w:cs="宋体" w:hint="eastAsia"/>
          <w:color w:val="auto"/>
          <w:lang w:eastAsia="zh-CN"/>
        </w:rPr>
        <w:t>6.1.2-1</w:t>
      </w:r>
      <w:r>
        <w:rPr>
          <w:rFonts w:ascii="宋体" w:hAnsi="宋体" w:cs="宋体" w:hint="eastAsia"/>
          <w:color w:val="auto"/>
          <w:lang w:eastAsia="zh-CN"/>
        </w:rPr>
        <w:t>三亚市国土空间总体规划近岸海域海洋功能分区图</w:t>
      </w:r>
    </w:p>
    <w:p w14:paraId="149FFC8A"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01" w:name="_Toc32020"/>
      <w:r>
        <w:rPr>
          <w:rFonts w:ascii="Times New Roman" w:hAnsi="Times New Roman" w:hint="eastAsia"/>
          <w:color w:val="auto"/>
          <w:sz w:val="28"/>
          <w:szCs w:val="28"/>
          <w:lang w:eastAsia="zh-CN"/>
        </w:rPr>
        <w:t>6.1.3</w:t>
      </w:r>
      <w:r>
        <w:rPr>
          <w:rFonts w:ascii="Times New Roman" w:hAnsi="Times New Roman" w:hint="eastAsia"/>
          <w:color w:val="auto"/>
          <w:sz w:val="28"/>
          <w:szCs w:val="28"/>
          <w:lang w:eastAsia="zh-CN"/>
        </w:rPr>
        <w:t>《海南省海岸带及海洋空间规划（</w:t>
      </w:r>
      <w:r>
        <w:rPr>
          <w:rFonts w:ascii="Times New Roman" w:hAnsi="Times New Roman" w:hint="eastAsia"/>
          <w:color w:val="auto"/>
          <w:sz w:val="28"/>
          <w:szCs w:val="28"/>
          <w:lang w:eastAsia="zh-CN"/>
        </w:rPr>
        <w:t>2021-2035</w:t>
      </w:r>
      <w:r>
        <w:rPr>
          <w:rFonts w:ascii="Times New Roman" w:hAnsi="Times New Roman" w:hint="eastAsia"/>
          <w:color w:val="auto"/>
          <w:sz w:val="28"/>
          <w:szCs w:val="28"/>
          <w:lang w:eastAsia="zh-CN"/>
        </w:rPr>
        <w:t>年）》</w:t>
      </w:r>
      <w:bookmarkEnd w:id="301"/>
    </w:p>
    <w:p w14:paraId="58A80090"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《海南省海岸带及海洋空间规划（</w:t>
      </w:r>
      <w:r>
        <w:rPr>
          <w:rFonts w:ascii="宋体" w:eastAsia="宋体" w:hAnsi="宋体" w:cs="宋体" w:hint="eastAsia"/>
          <w:color w:val="auto"/>
          <w:sz w:val="24"/>
          <w:szCs w:val="24"/>
          <w:lang w:eastAsia="zh-CN"/>
        </w:rPr>
        <w:t>2021-2035</w:t>
      </w:r>
      <w:r>
        <w:rPr>
          <w:rFonts w:ascii="宋体" w:eastAsia="宋体" w:hAnsi="宋体" w:cs="宋体" w:hint="eastAsia"/>
          <w:color w:val="auto"/>
          <w:sz w:val="24"/>
          <w:szCs w:val="24"/>
          <w:lang w:eastAsia="zh-CN"/>
        </w:rPr>
        <w:t>年）》</w:t>
      </w:r>
      <w:r>
        <w:rPr>
          <w:rFonts w:ascii="宋体" w:eastAsia="宋体" w:hAnsi="宋体" w:cs="宋体"/>
          <w:color w:val="auto"/>
          <w:sz w:val="24"/>
          <w:szCs w:val="24"/>
          <w:lang w:eastAsia="zh-CN"/>
        </w:rPr>
        <w:t>是海南省海岸带及海洋空间高质量发展的蓝图，是全国海岸带及近岸海域空间规划的落实，是海南省国土空间规划的补充与细化，是各类开发建设保护活动的基本依据，是加快建设海洋强省、美丽海南的重要保障。</w:t>
      </w:r>
    </w:p>
    <w:p w14:paraId="402A8AA0" w14:textId="77777777" w:rsidR="0075791A" w:rsidRDefault="00FB2864">
      <w:pPr>
        <w:widowControl w:val="0"/>
        <w:kinsoku/>
        <w:autoSpaceDE/>
        <w:autoSpaceDN/>
        <w:adjustRightInd/>
        <w:snapToGrid/>
        <w:spacing w:line="360" w:lineRule="auto"/>
        <w:ind w:firstLineChars="200" w:firstLine="482"/>
        <w:textAlignment w:val="auto"/>
        <w:rPr>
          <w:rFonts w:ascii="宋体" w:eastAsia="宋体" w:hAnsi="宋体" w:cs="宋体"/>
          <w:b/>
          <w:bCs/>
          <w:color w:val="auto"/>
          <w:sz w:val="24"/>
          <w:szCs w:val="24"/>
          <w:lang w:eastAsia="zh-CN"/>
        </w:rPr>
      </w:pPr>
      <w:r>
        <w:rPr>
          <w:rFonts w:ascii="宋体" w:eastAsia="宋体" w:hAnsi="宋体" w:cs="宋体"/>
          <w:b/>
          <w:bCs/>
          <w:color w:val="auto"/>
          <w:sz w:val="24"/>
          <w:szCs w:val="24"/>
          <w:lang w:eastAsia="zh-CN"/>
        </w:rPr>
        <w:t>（</w:t>
      </w:r>
      <w:r>
        <w:rPr>
          <w:rFonts w:ascii="宋体" w:eastAsia="宋体" w:hAnsi="宋体" w:cs="宋体"/>
          <w:b/>
          <w:bCs/>
          <w:color w:val="auto"/>
          <w:sz w:val="24"/>
          <w:szCs w:val="24"/>
          <w:lang w:eastAsia="zh-CN"/>
        </w:rPr>
        <w:t>1</w:t>
      </w:r>
      <w:r>
        <w:rPr>
          <w:rFonts w:ascii="宋体" w:eastAsia="宋体" w:hAnsi="宋体" w:cs="宋体"/>
          <w:b/>
          <w:bCs/>
          <w:color w:val="auto"/>
          <w:sz w:val="24"/>
          <w:szCs w:val="24"/>
          <w:lang w:eastAsia="zh-CN"/>
        </w:rPr>
        <w:t>）海洋功能分区</w:t>
      </w:r>
    </w:p>
    <w:p w14:paraId="3B14EEB2"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color w:val="auto"/>
          <w:sz w:val="24"/>
          <w:szCs w:val="24"/>
          <w:lang w:eastAsia="zh-CN"/>
        </w:rPr>
        <w:t>优化调整产业和生态空间布局，在落实</w:t>
      </w:r>
      <w:r>
        <w:rPr>
          <w:rFonts w:ascii="宋体" w:eastAsia="宋体" w:hAnsi="宋体" w:cs="宋体"/>
          <w:color w:val="auto"/>
          <w:sz w:val="24"/>
          <w:szCs w:val="24"/>
          <w:lang w:eastAsia="zh-CN"/>
        </w:rPr>
        <w:t>“</w:t>
      </w:r>
      <w:r>
        <w:rPr>
          <w:rFonts w:ascii="宋体" w:eastAsia="宋体" w:hAnsi="宋体" w:cs="宋体"/>
          <w:color w:val="auto"/>
          <w:sz w:val="24"/>
          <w:szCs w:val="24"/>
          <w:lang w:eastAsia="zh-CN"/>
        </w:rPr>
        <w:t>两空间内部一红线</w:t>
      </w:r>
      <w:r>
        <w:rPr>
          <w:rFonts w:ascii="宋体" w:eastAsia="宋体" w:hAnsi="宋体" w:cs="宋体"/>
          <w:color w:val="auto"/>
          <w:sz w:val="24"/>
          <w:szCs w:val="24"/>
          <w:lang w:eastAsia="zh-CN"/>
        </w:rPr>
        <w:t>”</w:t>
      </w:r>
      <w:r>
        <w:rPr>
          <w:rFonts w:ascii="宋体" w:eastAsia="宋体" w:hAnsi="宋体" w:cs="宋体"/>
          <w:color w:val="auto"/>
          <w:sz w:val="24"/>
          <w:szCs w:val="24"/>
          <w:lang w:eastAsia="zh-CN"/>
        </w:rPr>
        <w:t>（即海洋生态空间、海洋开发利用空间和海洋生态保护红线）要求、衔接主体功能定位的基础上，划定海洋功能分区，明确生态保护区、生态控制区、海洋发展区等</w:t>
      </w:r>
      <w:r>
        <w:rPr>
          <w:rFonts w:ascii="宋体" w:eastAsia="宋体" w:hAnsi="宋体" w:cs="宋体"/>
          <w:color w:val="auto"/>
          <w:sz w:val="24"/>
          <w:szCs w:val="24"/>
          <w:lang w:eastAsia="zh-CN"/>
        </w:rPr>
        <w:t>3</w:t>
      </w:r>
      <w:r>
        <w:rPr>
          <w:rFonts w:ascii="宋体" w:eastAsia="宋体" w:hAnsi="宋体" w:cs="宋体"/>
          <w:color w:val="auto"/>
          <w:sz w:val="24"/>
          <w:szCs w:val="24"/>
          <w:lang w:eastAsia="zh-CN"/>
        </w:rPr>
        <w:t>类一级分区主导功能和发展方向。将海洋发展区细分为渔业、交通运输、工矿通信、游憩、特殊、海洋预留区等</w:t>
      </w:r>
      <w:r>
        <w:rPr>
          <w:rFonts w:ascii="宋体" w:eastAsia="宋体" w:hAnsi="宋体" w:cs="宋体"/>
          <w:color w:val="auto"/>
          <w:sz w:val="24"/>
          <w:szCs w:val="24"/>
          <w:lang w:eastAsia="zh-CN"/>
        </w:rPr>
        <w:t>6</w:t>
      </w:r>
      <w:r>
        <w:rPr>
          <w:rFonts w:ascii="宋体" w:eastAsia="宋体" w:hAnsi="宋体" w:cs="宋体"/>
          <w:color w:val="auto"/>
          <w:sz w:val="24"/>
          <w:szCs w:val="24"/>
          <w:lang w:eastAsia="zh-CN"/>
        </w:rPr>
        <w:t>类</w:t>
      </w:r>
      <w:r>
        <w:rPr>
          <w:rFonts w:ascii="宋体" w:eastAsia="宋体" w:hAnsi="宋体" w:cs="宋体"/>
          <w:color w:val="auto"/>
          <w:sz w:val="24"/>
          <w:szCs w:val="24"/>
          <w:lang w:eastAsia="zh-CN"/>
        </w:rPr>
        <w:t>二级分区，加上生态保护区、生态控制区，共</w:t>
      </w:r>
      <w:r>
        <w:rPr>
          <w:rFonts w:ascii="宋体" w:eastAsia="宋体" w:hAnsi="宋体" w:cs="宋体"/>
          <w:color w:val="auto"/>
          <w:sz w:val="24"/>
          <w:szCs w:val="24"/>
          <w:lang w:eastAsia="zh-CN"/>
        </w:rPr>
        <w:t>8</w:t>
      </w:r>
      <w:r>
        <w:rPr>
          <w:rFonts w:ascii="宋体" w:eastAsia="宋体" w:hAnsi="宋体" w:cs="宋体"/>
          <w:color w:val="auto"/>
          <w:sz w:val="24"/>
          <w:szCs w:val="24"/>
          <w:lang w:eastAsia="zh-CN"/>
        </w:rPr>
        <w:t>类二级分区。在二级分区的基础上再对交通运输、工矿通信用海区细分为</w:t>
      </w:r>
      <w:r>
        <w:rPr>
          <w:rFonts w:ascii="宋体" w:eastAsia="宋体" w:hAnsi="宋体" w:cs="宋体"/>
          <w:color w:val="auto"/>
          <w:sz w:val="24"/>
          <w:szCs w:val="24"/>
          <w:lang w:eastAsia="zh-CN"/>
        </w:rPr>
        <w:t>8</w:t>
      </w:r>
      <w:r>
        <w:rPr>
          <w:rFonts w:ascii="宋体" w:eastAsia="宋体" w:hAnsi="宋体" w:cs="宋体"/>
          <w:color w:val="auto"/>
          <w:sz w:val="24"/>
          <w:szCs w:val="24"/>
          <w:lang w:eastAsia="zh-CN"/>
        </w:rPr>
        <w:t>类三级区，全省共划定</w:t>
      </w:r>
      <w:r>
        <w:rPr>
          <w:rFonts w:ascii="宋体" w:eastAsia="宋体" w:hAnsi="宋体" w:cs="宋体"/>
          <w:color w:val="auto"/>
          <w:sz w:val="24"/>
          <w:szCs w:val="24"/>
          <w:lang w:eastAsia="zh-CN"/>
        </w:rPr>
        <w:t>321</w:t>
      </w:r>
      <w:r>
        <w:rPr>
          <w:rFonts w:ascii="宋体" w:eastAsia="宋体" w:hAnsi="宋体" w:cs="宋体"/>
          <w:color w:val="auto"/>
          <w:sz w:val="24"/>
          <w:szCs w:val="24"/>
          <w:lang w:eastAsia="zh-CN"/>
        </w:rPr>
        <w:t>个功能分区。</w:t>
      </w:r>
    </w:p>
    <w:p w14:paraId="2D1602F3"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color w:val="auto"/>
          <w:sz w:val="24"/>
          <w:szCs w:val="24"/>
          <w:lang w:eastAsia="zh-CN"/>
        </w:rPr>
        <w:t>根据</w:t>
      </w:r>
      <w:r>
        <w:rPr>
          <w:rFonts w:ascii="宋体" w:eastAsia="宋体" w:hAnsi="宋体" w:cs="宋体" w:hint="eastAsia"/>
          <w:color w:val="auto"/>
          <w:sz w:val="24"/>
          <w:szCs w:val="24"/>
          <w:lang w:eastAsia="zh-CN"/>
        </w:rPr>
        <w:t>《海南省海岸带及海洋空间规划（</w:t>
      </w:r>
      <w:r>
        <w:rPr>
          <w:rFonts w:ascii="宋体" w:eastAsia="宋体" w:hAnsi="宋体" w:cs="宋体" w:hint="eastAsia"/>
          <w:color w:val="auto"/>
          <w:sz w:val="24"/>
          <w:szCs w:val="24"/>
          <w:lang w:eastAsia="zh-CN"/>
        </w:rPr>
        <w:t>2021-2035</w:t>
      </w:r>
      <w:r>
        <w:rPr>
          <w:rFonts w:ascii="宋体" w:eastAsia="宋体" w:hAnsi="宋体" w:cs="宋体" w:hint="eastAsia"/>
          <w:color w:val="auto"/>
          <w:sz w:val="24"/>
          <w:szCs w:val="24"/>
          <w:lang w:eastAsia="zh-CN"/>
        </w:rPr>
        <w:t>年）》</w:t>
      </w:r>
      <w:r>
        <w:rPr>
          <w:rFonts w:ascii="宋体" w:eastAsia="宋体" w:hAnsi="宋体" w:cs="宋体"/>
          <w:color w:val="auto"/>
          <w:sz w:val="24"/>
          <w:szCs w:val="24"/>
          <w:lang w:eastAsia="zh-CN"/>
        </w:rPr>
        <w:t>，本项目用海位于</w:t>
      </w:r>
      <w:r>
        <w:rPr>
          <w:rFonts w:ascii="宋体" w:eastAsia="宋体" w:hAnsi="宋体" w:cs="宋体" w:hint="eastAsia"/>
          <w:color w:val="auto"/>
          <w:sz w:val="24"/>
          <w:szCs w:val="24"/>
          <w:lang w:eastAsia="zh-CN"/>
        </w:rPr>
        <w:t>铁炉港潟湖生态保护区，</w:t>
      </w:r>
      <w:r>
        <w:rPr>
          <w:rFonts w:ascii="宋体" w:hAnsi="宋体" w:cs="宋体" w:hint="eastAsia"/>
          <w:color w:val="auto"/>
          <w:sz w:val="24"/>
          <w:szCs w:val="24"/>
          <w:lang w:eastAsia="zh-CN"/>
        </w:rPr>
        <w:t>占用面积为</w:t>
      </w:r>
      <w:r>
        <w:rPr>
          <w:rFonts w:ascii="宋体" w:hAnsi="宋体" w:cs="宋体" w:hint="eastAsia"/>
          <w:color w:val="auto"/>
          <w:sz w:val="24"/>
          <w:szCs w:val="24"/>
          <w:lang w:eastAsia="zh-CN"/>
        </w:rPr>
        <w:t>15.2465</w:t>
      </w:r>
      <w:r>
        <w:rPr>
          <w:rFonts w:ascii="宋体" w:hAnsi="宋体" w:cs="宋体" w:hint="eastAsia"/>
          <w:color w:val="auto"/>
          <w:sz w:val="24"/>
          <w:szCs w:val="24"/>
          <w:lang w:eastAsia="zh-CN"/>
        </w:rPr>
        <w:t>公顷</w:t>
      </w:r>
      <w:r>
        <w:rPr>
          <w:rFonts w:ascii="宋体" w:eastAsia="宋体" w:hAnsi="宋体" w:cs="宋体"/>
          <w:color w:val="auto"/>
          <w:sz w:val="24"/>
          <w:szCs w:val="24"/>
          <w:lang w:eastAsia="zh-CN"/>
        </w:rPr>
        <w:t>；论证范围内周边海域的功能区有</w:t>
      </w:r>
      <w:r>
        <w:rPr>
          <w:rFonts w:ascii="宋体" w:eastAsia="宋体" w:hAnsi="宋体" w:cs="宋体" w:hint="eastAsia"/>
          <w:color w:val="auto"/>
          <w:sz w:val="24"/>
          <w:szCs w:val="24"/>
          <w:lang w:eastAsia="zh-CN"/>
        </w:rPr>
        <w:t>6</w:t>
      </w:r>
      <w:r>
        <w:rPr>
          <w:rFonts w:ascii="宋体" w:eastAsia="宋体" w:hAnsi="宋体" w:cs="宋体"/>
          <w:color w:val="auto"/>
          <w:sz w:val="24"/>
          <w:szCs w:val="24"/>
          <w:lang w:eastAsia="zh-CN"/>
        </w:rPr>
        <w:t>个，为</w:t>
      </w:r>
      <w:r>
        <w:rPr>
          <w:rFonts w:ascii="宋体" w:eastAsia="宋体" w:hAnsi="宋体" w:cs="宋体" w:hint="eastAsia"/>
          <w:color w:val="auto"/>
          <w:sz w:val="24"/>
          <w:szCs w:val="24"/>
          <w:lang w:eastAsia="zh-CN"/>
        </w:rPr>
        <w:t>铁炉港游憩用海区、海棠湾游憩用海区、蜈支洲岛海底电缆管道用海区、后海珊瑚</w:t>
      </w:r>
      <w:r>
        <w:rPr>
          <w:rFonts w:ascii="宋体" w:eastAsia="宋体" w:hAnsi="宋体" w:cs="宋体" w:hint="eastAsia"/>
          <w:color w:val="auto"/>
          <w:sz w:val="24"/>
          <w:szCs w:val="24"/>
          <w:lang w:eastAsia="zh-CN"/>
        </w:rPr>
        <w:lastRenderedPageBreak/>
        <w:t>礁生态保护区、铁炉港</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榆林港特殊用海区、</w:t>
      </w:r>
      <w:r>
        <w:rPr>
          <w:rFonts w:ascii="宋体" w:eastAsia="宋体" w:hAnsi="宋体" w:cs="宋体" w:hint="eastAsia"/>
          <w:color w:val="auto"/>
          <w:sz w:val="24"/>
          <w:szCs w:val="24"/>
          <w:lang w:eastAsia="zh-CN"/>
        </w:rPr>
        <w:t>牛车湾</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亚龙湾海岸生态保护区</w:t>
      </w:r>
      <w:r>
        <w:rPr>
          <w:rFonts w:ascii="宋体" w:eastAsia="宋体" w:hAnsi="宋体" w:cs="宋体" w:hint="eastAsia"/>
          <w:color w:val="auto"/>
          <w:sz w:val="24"/>
          <w:szCs w:val="24"/>
          <w:lang w:eastAsia="zh-CN"/>
        </w:rPr>
        <w:t>等等</w:t>
      </w:r>
      <w:r>
        <w:rPr>
          <w:rFonts w:ascii="宋体" w:eastAsia="宋体" w:hAnsi="宋体" w:cs="宋体"/>
          <w:color w:val="auto"/>
          <w:sz w:val="24"/>
          <w:szCs w:val="24"/>
          <w:lang w:eastAsia="zh-CN"/>
        </w:rPr>
        <w:t>，如图</w:t>
      </w:r>
      <w:r>
        <w:rPr>
          <w:rFonts w:ascii="宋体" w:eastAsia="宋体" w:hAnsi="宋体" w:cs="宋体" w:hint="eastAsia"/>
          <w:color w:val="auto"/>
          <w:sz w:val="24"/>
          <w:szCs w:val="24"/>
          <w:lang w:eastAsia="zh-CN"/>
        </w:rPr>
        <w:t>6.1.3</w:t>
      </w:r>
      <w:r>
        <w:rPr>
          <w:rFonts w:ascii="宋体" w:eastAsia="宋体" w:hAnsi="宋体" w:cs="宋体"/>
          <w:color w:val="auto"/>
          <w:sz w:val="24"/>
          <w:szCs w:val="24"/>
          <w:lang w:eastAsia="zh-CN"/>
        </w:rPr>
        <w:t>-</w:t>
      </w:r>
      <w:r>
        <w:rPr>
          <w:rFonts w:ascii="宋体" w:eastAsia="宋体" w:hAnsi="宋体" w:cs="宋体" w:hint="eastAsia"/>
          <w:color w:val="auto"/>
          <w:sz w:val="24"/>
          <w:szCs w:val="24"/>
          <w:lang w:eastAsia="zh-CN"/>
        </w:rPr>
        <w:t>1</w:t>
      </w:r>
      <w:r>
        <w:rPr>
          <w:rFonts w:ascii="宋体" w:eastAsia="宋体" w:hAnsi="宋体" w:cs="宋体" w:hint="eastAsia"/>
          <w:color w:val="auto"/>
          <w:sz w:val="24"/>
          <w:szCs w:val="24"/>
          <w:lang w:eastAsia="zh-CN"/>
        </w:rPr>
        <w:t>、</w:t>
      </w:r>
      <w:r>
        <w:rPr>
          <w:rFonts w:ascii="宋体" w:eastAsia="宋体" w:hAnsi="宋体" w:cs="宋体"/>
          <w:color w:val="auto"/>
          <w:sz w:val="24"/>
          <w:szCs w:val="24"/>
          <w:lang w:eastAsia="zh-CN"/>
        </w:rPr>
        <w:t>图</w:t>
      </w:r>
      <w:r>
        <w:rPr>
          <w:rFonts w:ascii="宋体" w:eastAsia="宋体" w:hAnsi="宋体" w:cs="宋体" w:hint="eastAsia"/>
          <w:color w:val="auto"/>
          <w:sz w:val="24"/>
          <w:szCs w:val="24"/>
          <w:lang w:eastAsia="zh-CN"/>
        </w:rPr>
        <w:t>6.1.3</w:t>
      </w:r>
      <w:r>
        <w:rPr>
          <w:rFonts w:ascii="宋体" w:eastAsia="宋体" w:hAnsi="宋体" w:cs="宋体"/>
          <w:color w:val="auto"/>
          <w:sz w:val="24"/>
          <w:szCs w:val="24"/>
          <w:lang w:eastAsia="zh-CN"/>
        </w:rPr>
        <w:t>-</w:t>
      </w:r>
      <w:r>
        <w:rPr>
          <w:rFonts w:ascii="宋体" w:eastAsia="宋体" w:hAnsi="宋体" w:cs="宋体" w:hint="eastAsia"/>
          <w:color w:val="auto"/>
          <w:sz w:val="24"/>
          <w:szCs w:val="24"/>
          <w:lang w:eastAsia="zh-CN"/>
        </w:rPr>
        <w:t>2</w:t>
      </w:r>
      <w:r>
        <w:rPr>
          <w:rFonts w:ascii="宋体" w:eastAsia="宋体" w:hAnsi="宋体" w:cs="宋体"/>
          <w:color w:val="auto"/>
          <w:sz w:val="24"/>
          <w:szCs w:val="24"/>
          <w:lang w:eastAsia="zh-CN"/>
        </w:rPr>
        <w:t>所示。本项目用海</w:t>
      </w:r>
      <w:r>
        <w:rPr>
          <w:rFonts w:ascii="宋体" w:eastAsia="宋体" w:hAnsi="宋体" w:cs="宋体" w:hint="eastAsia"/>
          <w:color w:val="auto"/>
          <w:sz w:val="24"/>
          <w:szCs w:val="24"/>
          <w:lang w:eastAsia="zh-CN"/>
        </w:rPr>
        <w:t>周边</w:t>
      </w:r>
      <w:r>
        <w:rPr>
          <w:rFonts w:ascii="宋体" w:eastAsia="宋体" w:hAnsi="宋体" w:cs="宋体"/>
          <w:color w:val="auto"/>
          <w:sz w:val="24"/>
          <w:szCs w:val="24"/>
          <w:lang w:eastAsia="zh-CN"/>
        </w:rPr>
        <w:t>各功能区管控要求详见表</w:t>
      </w:r>
      <w:r>
        <w:rPr>
          <w:rFonts w:ascii="宋体" w:eastAsia="宋体" w:hAnsi="宋体" w:cs="宋体" w:hint="eastAsia"/>
          <w:color w:val="auto"/>
          <w:sz w:val="24"/>
          <w:szCs w:val="24"/>
          <w:lang w:eastAsia="zh-CN"/>
        </w:rPr>
        <w:t>6.1.3</w:t>
      </w:r>
      <w:r>
        <w:rPr>
          <w:rFonts w:ascii="宋体" w:eastAsia="宋体" w:hAnsi="宋体" w:cs="宋体"/>
          <w:color w:val="auto"/>
          <w:sz w:val="24"/>
          <w:szCs w:val="24"/>
          <w:lang w:eastAsia="zh-CN"/>
        </w:rPr>
        <w:t>-</w:t>
      </w:r>
      <w:r>
        <w:rPr>
          <w:rFonts w:ascii="宋体" w:eastAsia="宋体" w:hAnsi="宋体" w:cs="宋体" w:hint="eastAsia"/>
          <w:color w:val="auto"/>
          <w:sz w:val="24"/>
          <w:szCs w:val="24"/>
          <w:lang w:eastAsia="zh-CN"/>
        </w:rPr>
        <w:t>1</w:t>
      </w:r>
      <w:r>
        <w:rPr>
          <w:rFonts w:ascii="宋体" w:eastAsia="宋体" w:hAnsi="宋体" w:cs="宋体"/>
          <w:color w:val="auto"/>
          <w:sz w:val="24"/>
          <w:szCs w:val="24"/>
          <w:lang w:eastAsia="zh-CN"/>
        </w:rPr>
        <w:t>。</w:t>
      </w:r>
    </w:p>
    <w:p w14:paraId="407BE76A" w14:textId="77777777" w:rsidR="0075791A" w:rsidRDefault="00FB2864">
      <w:pPr>
        <w:widowControl w:val="0"/>
        <w:kinsoku/>
        <w:autoSpaceDE/>
        <w:autoSpaceDN/>
        <w:adjustRightInd/>
        <w:snapToGrid/>
        <w:spacing w:line="360" w:lineRule="auto"/>
        <w:ind w:firstLineChars="200" w:firstLine="482"/>
        <w:textAlignment w:val="auto"/>
        <w:rPr>
          <w:rFonts w:ascii="宋体" w:eastAsia="宋体" w:hAnsi="宋体" w:cs="宋体"/>
          <w:b/>
          <w:bCs/>
          <w:color w:val="auto"/>
          <w:sz w:val="24"/>
          <w:szCs w:val="24"/>
          <w:lang w:eastAsia="zh-CN"/>
        </w:rPr>
      </w:pPr>
      <w:r>
        <w:rPr>
          <w:rFonts w:ascii="宋体" w:eastAsia="宋体" w:hAnsi="宋体" w:cs="宋体"/>
          <w:b/>
          <w:bCs/>
          <w:color w:val="auto"/>
          <w:sz w:val="24"/>
          <w:szCs w:val="24"/>
          <w:lang w:eastAsia="zh-CN"/>
        </w:rPr>
        <w:t>（</w:t>
      </w:r>
      <w:r>
        <w:rPr>
          <w:rFonts w:ascii="TimesNewRomanPSMT" w:eastAsia="TimesNewRomanPSMT" w:hAnsi="TimesNewRomanPSMT" w:cs="TimesNewRomanPSMT"/>
          <w:b/>
          <w:bCs/>
          <w:color w:val="auto"/>
          <w:sz w:val="24"/>
          <w:szCs w:val="24"/>
          <w:lang w:eastAsia="zh-CN"/>
        </w:rPr>
        <w:t>2</w:t>
      </w:r>
      <w:r>
        <w:rPr>
          <w:rFonts w:ascii="宋体" w:eastAsia="宋体" w:hAnsi="宋体" w:cs="宋体"/>
          <w:b/>
          <w:bCs/>
          <w:color w:val="auto"/>
          <w:sz w:val="24"/>
          <w:szCs w:val="24"/>
          <w:lang w:eastAsia="zh-CN"/>
        </w:rPr>
        <w:t>）海岸线分类分段</w:t>
      </w:r>
    </w:p>
    <w:p w14:paraId="6C699DC1"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《海南省海岸带及海洋空间规划（</w:t>
      </w:r>
      <w:r>
        <w:rPr>
          <w:rFonts w:ascii="宋体" w:eastAsia="宋体" w:hAnsi="宋体" w:cs="宋体" w:hint="eastAsia"/>
          <w:color w:val="auto"/>
          <w:sz w:val="24"/>
          <w:szCs w:val="24"/>
          <w:lang w:eastAsia="zh-CN"/>
        </w:rPr>
        <w:t>2021-2035</w:t>
      </w:r>
      <w:r>
        <w:rPr>
          <w:rFonts w:ascii="宋体" w:eastAsia="宋体" w:hAnsi="宋体" w:cs="宋体" w:hint="eastAsia"/>
          <w:color w:val="auto"/>
          <w:sz w:val="24"/>
          <w:szCs w:val="24"/>
          <w:lang w:eastAsia="zh-CN"/>
        </w:rPr>
        <w:t>年）》中，以岸线功能为基础，按照严格保护、限制开发和优化利用三种类型，分类分段实施精细化管控。</w:t>
      </w:r>
    </w:p>
    <w:p w14:paraId="2AD5E38F"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严格保护岸线主要包括自然保护地核心保护区、生态保护红线海岸防护极重要区所在岸线。划定严格保护岸线</w:t>
      </w:r>
      <w:r>
        <w:rPr>
          <w:rFonts w:ascii="宋体" w:eastAsia="宋体" w:hAnsi="宋体" w:cs="宋体" w:hint="eastAsia"/>
          <w:color w:val="auto"/>
          <w:sz w:val="24"/>
          <w:szCs w:val="24"/>
          <w:lang w:eastAsia="zh-CN"/>
        </w:rPr>
        <w:t>1167.35</w:t>
      </w:r>
      <w:r>
        <w:rPr>
          <w:rFonts w:ascii="宋体" w:eastAsia="宋体" w:hAnsi="宋体" w:cs="宋体" w:hint="eastAsia"/>
          <w:color w:val="auto"/>
          <w:sz w:val="24"/>
          <w:szCs w:val="24"/>
          <w:lang w:eastAsia="zh-CN"/>
        </w:rPr>
        <w:t>千米，占岸线总长的</w:t>
      </w:r>
      <w:r>
        <w:rPr>
          <w:rFonts w:ascii="宋体" w:eastAsia="宋体" w:hAnsi="宋体" w:cs="宋体" w:hint="eastAsia"/>
          <w:color w:val="auto"/>
          <w:sz w:val="24"/>
          <w:szCs w:val="24"/>
          <w:lang w:eastAsia="zh-CN"/>
        </w:rPr>
        <w:t>61.11%</w:t>
      </w:r>
      <w:r>
        <w:rPr>
          <w:rFonts w:ascii="宋体" w:eastAsia="宋体" w:hAnsi="宋体" w:cs="宋体" w:hint="eastAsia"/>
          <w:color w:val="auto"/>
          <w:sz w:val="24"/>
          <w:szCs w:val="24"/>
          <w:lang w:eastAsia="zh-CN"/>
        </w:rPr>
        <w:t>，共</w:t>
      </w:r>
      <w:r>
        <w:rPr>
          <w:rFonts w:ascii="宋体" w:eastAsia="宋体" w:hAnsi="宋体" w:cs="宋体" w:hint="eastAsia"/>
          <w:color w:val="auto"/>
          <w:sz w:val="24"/>
          <w:szCs w:val="24"/>
          <w:lang w:eastAsia="zh-CN"/>
        </w:rPr>
        <w:t>567</w:t>
      </w:r>
      <w:r>
        <w:rPr>
          <w:rFonts w:ascii="宋体" w:eastAsia="宋体" w:hAnsi="宋体" w:cs="宋体" w:hint="eastAsia"/>
          <w:color w:val="auto"/>
          <w:sz w:val="24"/>
          <w:szCs w:val="24"/>
          <w:lang w:eastAsia="zh-CN"/>
        </w:rPr>
        <w:t>段。管控要求：</w:t>
      </w:r>
      <w:r>
        <w:rPr>
          <w:rFonts w:ascii="宋体" w:eastAsia="宋体" w:hAnsi="宋体" w:cs="宋体" w:hint="eastAsia"/>
          <w:color w:val="auto"/>
          <w:sz w:val="24"/>
          <w:szCs w:val="24"/>
          <w:lang w:eastAsia="zh-CN"/>
        </w:rPr>
        <w:t>除国防安全需要外，禁止在严格保护岸线的保护范围内构建永久性建筑物、围填海、开采海砂、设置排污口等损害海岸地形地貌和生态环境的活动。保持现有砂质岸线长度不变。经科学论证，不损害海岸线原有形态或生态功能的，可</w:t>
      </w:r>
      <w:r>
        <w:rPr>
          <w:rFonts w:ascii="宋体" w:eastAsia="宋体" w:hAnsi="宋体" w:cs="宋体" w:hint="eastAsia"/>
          <w:color w:val="auto"/>
          <w:sz w:val="24"/>
          <w:szCs w:val="24"/>
          <w:lang w:eastAsia="zh-CN"/>
        </w:rPr>
        <w:t>在严格保护岸线保护范围内实施的项目包括：空中跨越的跨海桥梁和透水构筑物；底土穿越的海底隧道和海底电缆管道；无需对海岸线进行改造施工的港池、蓄水以及离岸取、排水口，开放式养殖、浴场、游乐场、专用航道、锚地及其他开放式项目；生态修复和防灾减灾工程；已建构筑物、围海养殖等用海用岸活动的继续使用和升级改造。</w:t>
      </w:r>
    </w:p>
    <w:p w14:paraId="6A87B4E5"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限制开发岸线主要包括生态保护区所在岸线中除严格保护以外的海岸线。划定限制开发岸线</w:t>
      </w:r>
      <w:r>
        <w:rPr>
          <w:rFonts w:ascii="宋体" w:eastAsia="宋体" w:hAnsi="宋体" w:cs="宋体" w:hint="eastAsia"/>
          <w:color w:val="auto"/>
          <w:sz w:val="24"/>
          <w:szCs w:val="24"/>
          <w:lang w:eastAsia="zh-CN"/>
        </w:rPr>
        <w:t>36.34</w:t>
      </w:r>
      <w:r>
        <w:rPr>
          <w:rFonts w:ascii="宋体" w:eastAsia="宋体" w:hAnsi="宋体" w:cs="宋体" w:hint="eastAsia"/>
          <w:color w:val="auto"/>
          <w:sz w:val="24"/>
          <w:szCs w:val="24"/>
          <w:lang w:eastAsia="zh-CN"/>
        </w:rPr>
        <w:t>千米，占岸线总长的</w:t>
      </w:r>
      <w:r>
        <w:rPr>
          <w:rFonts w:ascii="宋体" w:eastAsia="宋体" w:hAnsi="宋体" w:cs="宋体" w:hint="eastAsia"/>
          <w:color w:val="auto"/>
          <w:sz w:val="24"/>
          <w:szCs w:val="24"/>
          <w:lang w:eastAsia="zh-CN"/>
        </w:rPr>
        <w:t>1.91%</w:t>
      </w:r>
      <w:r>
        <w:rPr>
          <w:rFonts w:ascii="宋体" w:eastAsia="宋体" w:hAnsi="宋体" w:cs="宋体" w:hint="eastAsia"/>
          <w:color w:val="auto"/>
          <w:sz w:val="24"/>
          <w:szCs w:val="24"/>
          <w:lang w:eastAsia="zh-CN"/>
        </w:rPr>
        <w:t>，共</w:t>
      </w:r>
      <w:r>
        <w:rPr>
          <w:rFonts w:ascii="宋体" w:eastAsia="宋体" w:hAnsi="宋体" w:cs="宋体" w:hint="eastAsia"/>
          <w:color w:val="auto"/>
          <w:sz w:val="24"/>
          <w:szCs w:val="24"/>
          <w:lang w:eastAsia="zh-CN"/>
        </w:rPr>
        <w:t>52</w:t>
      </w:r>
      <w:r>
        <w:rPr>
          <w:rFonts w:ascii="宋体" w:eastAsia="宋体" w:hAnsi="宋体" w:cs="宋体" w:hint="eastAsia"/>
          <w:color w:val="auto"/>
          <w:sz w:val="24"/>
          <w:szCs w:val="24"/>
          <w:lang w:eastAsia="zh-CN"/>
        </w:rPr>
        <w:t>段。管控要求：</w:t>
      </w:r>
      <w:r>
        <w:rPr>
          <w:rFonts w:ascii="宋体" w:eastAsia="宋体" w:hAnsi="宋体" w:cs="宋体" w:hint="eastAsia"/>
          <w:color w:val="auto"/>
          <w:sz w:val="24"/>
          <w:szCs w:val="24"/>
          <w:lang w:eastAsia="zh-CN"/>
        </w:rPr>
        <w:t>限制开发岸线严格控制改变海岸自然形态和影响生态功能的活动，在严格保护岸</w:t>
      </w:r>
      <w:r>
        <w:rPr>
          <w:rFonts w:ascii="宋体" w:eastAsia="宋体" w:hAnsi="宋体" w:cs="宋体" w:hint="eastAsia"/>
          <w:color w:val="auto"/>
          <w:sz w:val="24"/>
          <w:szCs w:val="24"/>
          <w:lang w:eastAsia="zh-CN"/>
        </w:rPr>
        <w:t>线允许实施项目的基础上，可以适度发展旅游、休闲渔业等产业，严格海域使用审批。</w:t>
      </w:r>
    </w:p>
    <w:p w14:paraId="7333AE1F"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优化利用岸线主要包括港口工业岸线、城镇生活岸线、渔业发展岸线和旅游娱乐岸线等。划定优化利用岸线</w:t>
      </w:r>
      <w:r>
        <w:rPr>
          <w:rFonts w:ascii="宋体" w:eastAsia="宋体" w:hAnsi="宋体" w:cs="宋体" w:hint="eastAsia"/>
          <w:color w:val="auto"/>
          <w:sz w:val="24"/>
          <w:szCs w:val="24"/>
          <w:lang w:eastAsia="zh-CN"/>
        </w:rPr>
        <w:t>706.43</w:t>
      </w:r>
      <w:r>
        <w:rPr>
          <w:rFonts w:ascii="宋体" w:eastAsia="宋体" w:hAnsi="宋体" w:cs="宋体" w:hint="eastAsia"/>
          <w:color w:val="auto"/>
          <w:sz w:val="24"/>
          <w:szCs w:val="24"/>
          <w:lang w:eastAsia="zh-CN"/>
        </w:rPr>
        <w:t>千米，占岸线总长的</w:t>
      </w:r>
      <w:r>
        <w:rPr>
          <w:rFonts w:ascii="宋体" w:eastAsia="宋体" w:hAnsi="宋体" w:cs="宋体" w:hint="eastAsia"/>
          <w:color w:val="auto"/>
          <w:sz w:val="24"/>
          <w:szCs w:val="24"/>
          <w:lang w:eastAsia="zh-CN"/>
        </w:rPr>
        <w:t>36.98%</w:t>
      </w:r>
      <w:r>
        <w:rPr>
          <w:rFonts w:ascii="宋体" w:eastAsia="宋体" w:hAnsi="宋体" w:cs="宋体" w:hint="eastAsia"/>
          <w:color w:val="auto"/>
          <w:sz w:val="24"/>
          <w:szCs w:val="24"/>
          <w:lang w:eastAsia="zh-CN"/>
        </w:rPr>
        <w:t>，共</w:t>
      </w:r>
      <w:r>
        <w:rPr>
          <w:rFonts w:ascii="宋体" w:eastAsia="宋体" w:hAnsi="宋体" w:cs="宋体" w:hint="eastAsia"/>
          <w:color w:val="auto"/>
          <w:sz w:val="24"/>
          <w:szCs w:val="24"/>
          <w:lang w:eastAsia="zh-CN"/>
        </w:rPr>
        <w:t>593</w:t>
      </w:r>
      <w:r>
        <w:rPr>
          <w:rFonts w:ascii="宋体" w:eastAsia="宋体" w:hAnsi="宋体" w:cs="宋体" w:hint="eastAsia"/>
          <w:color w:val="auto"/>
          <w:sz w:val="24"/>
          <w:szCs w:val="24"/>
          <w:lang w:eastAsia="zh-CN"/>
        </w:rPr>
        <w:t>段。管控要求：</w:t>
      </w:r>
      <w:r>
        <w:rPr>
          <w:rFonts w:ascii="宋体" w:eastAsia="宋体" w:hAnsi="宋体" w:cs="宋体" w:hint="eastAsia"/>
          <w:color w:val="auto"/>
          <w:sz w:val="24"/>
          <w:szCs w:val="24"/>
          <w:lang w:eastAsia="zh-CN"/>
        </w:rPr>
        <w:t>优化利用岸线应集中布局确需占用海岸线的建设项目，适度布局符合生态保护红线准入要求的建设项目，严格控制占用岸线长度，提高投资强度和利用效率，优化海岸线开发利用格局。</w:t>
      </w:r>
    </w:p>
    <w:p w14:paraId="20ABE1E9" w14:textId="77777777" w:rsidR="0075791A" w:rsidRDefault="00FB2864">
      <w:pPr>
        <w:widowControl w:val="0"/>
        <w:kinsoku/>
        <w:autoSpaceDE/>
        <w:autoSpaceDN/>
        <w:adjustRightInd/>
        <w:snapToGrid/>
        <w:spacing w:line="360" w:lineRule="auto"/>
        <w:ind w:firstLineChars="200" w:firstLine="480"/>
        <w:textAlignment w:val="auto"/>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根据</w:t>
      </w:r>
      <w:r>
        <w:rPr>
          <w:rFonts w:ascii="宋体" w:eastAsia="宋体" w:hAnsi="宋体" w:cs="宋体" w:hint="eastAsia"/>
          <w:color w:val="auto"/>
          <w:sz w:val="24"/>
          <w:szCs w:val="24"/>
          <w:lang w:eastAsia="zh-CN"/>
        </w:rPr>
        <w:t>《海南省海岸带及海洋空间规划（</w:t>
      </w:r>
      <w:r>
        <w:rPr>
          <w:rFonts w:ascii="宋体" w:eastAsia="宋体" w:hAnsi="宋体" w:cs="宋体" w:hint="eastAsia"/>
          <w:color w:val="auto"/>
          <w:sz w:val="24"/>
          <w:szCs w:val="24"/>
          <w:lang w:eastAsia="zh-CN"/>
        </w:rPr>
        <w:t>2021-2035</w:t>
      </w:r>
      <w:r>
        <w:rPr>
          <w:rFonts w:ascii="宋体" w:eastAsia="宋体" w:hAnsi="宋体" w:cs="宋体" w:hint="eastAsia"/>
          <w:color w:val="auto"/>
          <w:sz w:val="24"/>
          <w:szCs w:val="24"/>
          <w:lang w:eastAsia="zh-CN"/>
        </w:rPr>
        <w:t>年）》</w:t>
      </w:r>
      <w:r>
        <w:rPr>
          <w:rFonts w:ascii="Times New Roman" w:eastAsia="宋体" w:hAnsi="Times New Roman" w:cs="宋体"/>
          <w:color w:val="auto"/>
          <w:sz w:val="24"/>
          <w:szCs w:val="24"/>
          <w:lang w:eastAsia="zh-CN"/>
        </w:rPr>
        <w:t>，本项目</w:t>
      </w:r>
      <w:r>
        <w:rPr>
          <w:rFonts w:ascii="Times New Roman" w:eastAsia="宋体" w:hAnsi="Times New Roman" w:cs="宋体" w:hint="eastAsia"/>
          <w:color w:val="auto"/>
          <w:sz w:val="24"/>
          <w:szCs w:val="24"/>
          <w:lang w:eastAsia="zh-CN"/>
        </w:rPr>
        <w:t>为开放式用海、透水构筑物用海，不损害海岸线原</w:t>
      </w:r>
      <w:r>
        <w:rPr>
          <w:rFonts w:ascii="Times New Roman" w:eastAsia="宋体" w:hAnsi="Times New Roman" w:cs="宋体" w:hint="eastAsia"/>
          <w:color w:val="auto"/>
          <w:sz w:val="24"/>
          <w:szCs w:val="24"/>
          <w:lang w:eastAsia="zh-CN"/>
        </w:rPr>
        <w:t>有形态，透水构筑物巡护便道安全防护接人工岸线长度</w:t>
      </w:r>
      <w:r>
        <w:rPr>
          <w:rFonts w:ascii="Times New Roman" w:eastAsia="宋体" w:hAnsi="Times New Roman" w:cs="宋体" w:hint="eastAsia"/>
          <w:color w:val="auto"/>
          <w:spacing w:val="-5"/>
          <w:sz w:val="24"/>
          <w:szCs w:val="24"/>
          <w:lang w:eastAsia="zh-CN"/>
        </w:rPr>
        <w:t>2</w:t>
      </w:r>
      <w:r>
        <w:rPr>
          <w:rFonts w:ascii="Times New Roman" w:eastAsia="宋体" w:hAnsi="Times New Roman" w:cs="宋体" w:hint="eastAsia"/>
          <w:color w:val="auto"/>
          <w:spacing w:val="-5"/>
          <w:sz w:val="24"/>
          <w:szCs w:val="24"/>
          <w:lang w:eastAsia="zh-CN"/>
        </w:rPr>
        <w:t>m</w:t>
      </w:r>
      <w:r>
        <w:rPr>
          <w:rFonts w:ascii="Times New Roman" w:eastAsia="宋体" w:hAnsi="Times New Roman" w:cs="宋体" w:hint="eastAsia"/>
          <w:color w:val="auto"/>
          <w:spacing w:val="-5"/>
          <w:sz w:val="24"/>
          <w:szCs w:val="24"/>
          <w:lang w:eastAsia="zh-CN"/>
        </w:rPr>
        <w:t>，</w:t>
      </w:r>
      <w:r>
        <w:rPr>
          <w:rFonts w:ascii="Times New Roman" w:eastAsia="宋体" w:hAnsi="Times New Roman" w:cs="宋体" w:hint="eastAsia"/>
          <w:color w:val="auto"/>
          <w:spacing w:val="-5"/>
          <w:sz w:val="24"/>
          <w:szCs w:val="24"/>
          <w:lang w:eastAsia="zh-CN"/>
        </w:rPr>
        <w:t>但构筑物未接人工岸线</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项目范围内海岸线</w:t>
      </w:r>
      <w:r>
        <w:rPr>
          <w:rFonts w:ascii="Times New Roman" w:eastAsia="宋体" w:hAnsi="Times New Roman" w:cs="宋体"/>
          <w:color w:val="auto"/>
          <w:sz w:val="24"/>
          <w:szCs w:val="24"/>
          <w:lang w:eastAsia="zh-CN"/>
        </w:rPr>
        <w:t>属于</w:t>
      </w:r>
      <w:r>
        <w:rPr>
          <w:rFonts w:ascii="宋体" w:eastAsia="宋体" w:hAnsi="宋体" w:cs="宋体"/>
          <w:color w:val="auto"/>
          <w:sz w:val="24"/>
          <w:szCs w:val="24"/>
          <w:lang w:eastAsia="zh-CN"/>
        </w:rPr>
        <w:t>限制开发岸线</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具体见图</w:t>
      </w:r>
      <w:r>
        <w:rPr>
          <w:rFonts w:ascii="Times New Roman" w:eastAsia="宋体" w:hAnsi="Times New Roman" w:cs="宋体" w:hint="eastAsia"/>
          <w:color w:val="auto"/>
          <w:sz w:val="24"/>
          <w:szCs w:val="24"/>
          <w:lang w:eastAsia="zh-CN"/>
        </w:rPr>
        <w:t>6.1.3-3</w:t>
      </w:r>
      <w:r>
        <w:rPr>
          <w:rFonts w:ascii="Times New Roman" w:eastAsia="宋体" w:hAnsi="Times New Roman" w:cs="宋体"/>
          <w:color w:val="auto"/>
          <w:sz w:val="24"/>
          <w:szCs w:val="24"/>
          <w:lang w:eastAsia="zh-CN"/>
        </w:rPr>
        <w:t>。</w:t>
      </w:r>
    </w:p>
    <w:p w14:paraId="7D066ADA" w14:textId="77777777" w:rsidR="0075791A" w:rsidRDefault="0075791A">
      <w:pPr>
        <w:jc w:val="center"/>
        <w:rPr>
          <w:rFonts w:ascii="宋体" w:eastAsia="宋体" w:hAnsi="宋体" w:cs="宋体"/>
          <w:color w:val="auto"/>
          <w:sz w:val="24"/>
          <w:szCs w:val="24"/>
          <w:lang w:eastAsia="zh-CN"/>
        </w:rPr>
      </w:pPr>
    </w:p>
    <w:p w14:paraId="7A3E2AC6" w14:textId="77777777" w:rsidR="0075791A" w:rsidRDefault="0075791A">
      <w:pPr>
        <w:widowControl w:val="0"/>
        <w:kinsoku/>
        <w:autoSpaceDE/>
        <w:autoSpaceDN/>
        <w:adjustRightInd/>
        <w:snapToGrid/>
        <w:spacing w:afterLines="50" w:after="120"/>
        <w:jc w:val="center"/>
        <w:textAlignment w:val="auto"/>
        <w:rPr>
          <w:rFonts w:ascii="宋体" w:hAnsi="宋体" w:cs="宋体"/>
          <w:color w:val="auto"/>
          <w:lang w:eastAsia="zh-CN"/>
        </w:rPr>
      </w:pPr>
    </w:p>
    <w:p w14:paraId="3DFBD841" w14:textId="77777777" w:rsidR="0075791A" w:rsidRDefault="00FB2864">
      <w:pPr>
        <w:widowControl w:val="0"/>
        <w:kinsoku/>
        <w:autoSpaceDE/>
        <w:autoSpaceDN/>
        <w:adjustRightInd/>
        <w:snapToGrid/>
        <w:spacing w:afterLines="50" w:after="120"/>
        <w:jc w:val="center"/>
        <w:textAlignment w:val="auto"/>
        <w:rPr>
          <w:rFonts w:ascii="宋体" w:hAnsi="宋体" w:cs="宋体"/>
          <w:color w:val="auto"/>
          <w:lang w:eastAsia="zh-CN"/>
        </w:rPr>
      </w:pPr>
      <w:r>
        <w:rPr>
          <w:rFonts w:ascii="宋体" w:hAnsi="宋体" w:cs="宋体"/>
          <w:noProof/>
          <w:color w:val="auto"/>
          <w:lang w:eastAsia="zh-CN"/>
        </w:rPr>
        <w:lastRenderedPageBreak/>
        <w:drawing>
          <wp:inline distT="0" distB="0" distL="114300" distR="114300" wp14:anchorId="4FEF57BA" wp14:editId="2C054E57">
            <wp:extent cx="5755640" cy="3994150"/>
            <wp:effectExtent l="0" t="0" r="0" b="0"/>
            <wp:docPr id="111" name="图片 111" descr="功能分区_省海岸带规划_放大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功能分区_省海岸带规划_放大0410"/>
                    <pic:cNvPicPr>
                      <a:picLocks noChangeAspect="1"/>
                    </pic:cNvPicPr>
                  </pic:nvPicPr>
                  <pic:blipFill>
                    <a:blip r:embed="rId262"/>
                    <a:srcRect b="1872"/>
                    <a:stretch>
                      <a:fillRect/>
                    </a:stretch>
                  </pic:blipFill>
                  <pic:spPr>
                    <a:xfrm>
                      <a:off x="0" y="0"/>
                      <a:ext cx="5755640" cy="3994150"/>
                    </a:xfrm>
                    <a:prstGeom prst="rect">
                      <a:avLst/>
                    </a:prstGeom>
                  </pic:spPr>
                </pic:pic>
              </a:graphicData>
            </a:graphic>
          </wp:inline>
        </w:drawing>
      </w:r>
    </w:p>
    <w:p w14:paraId="01A405DE" w14:textId="77777777" w:rsidR="0075791A" w:rsidRDefault="00FB2864">
      <w:pPr>
        <w:widowControl w:val="0"/>
        <w:kinsoku/>
        <w:autoSpaceDE/>
        <w:autoSpaceDN/>
        <w:adjustRightInd/>
        <w:snapToGrid/>
        <w:spacing w:afterLines="50" w:after="120"/>
        <w:jc w:val="center"/>
        <w:textAlignment w:val="auto"/>
        <w:rPr>
          <w:rFonts w:ascii="宋体" w:hAnsi="宋体" w:cs="宋体"/>
          <w:color w:val="auto"/>
          <w:lang w:eastAsia="zh-CN"/>
        </w:rPr>
      </w:pPr>
      <w:r>
        <w:rPr>
          <w:rFonts w:ascii="宋体" w:hAnsi="宋体" w:cs="宋体" w:hint="eastAsia"/>
          <w:color w:val="auto"/>
          <w:lang w:eastAsia="zh-CN"/>
        </w:rPr>
        <w:t>图</w:t>
      </w:r>
      <w:r>
        <w:rPr>
          <w:rFonts w:ascii="宋体" w:hAnsi="宋体" w:cs="宋体" w:hint="eastAsia"/>
          <w:color w:val="auto"/>
          <w:lang w:eastAsia="zh-CN"/>
        </w:rPr>
        <w:t>6.1.3-1</w:t>
      </w:r>
      <w:r>
        <w:rPr>
          <w:rFonts w:ascii="宋体" w:hAnsi="宋体" w:cs="宋体" w:hint="eastAsia"/>
          <w:color w:val="auto"/>
          <w:lang w:eastAsia="zh-CN"/>
        </w:rPr>
        <w:t>论证范围内《海南省海岸带及海洋空间规划（</w:t>
      </w:r>
      <w:r>
        <w:rPr>
          <w:rFonts w:ascii="宋体" w:hAnsi="宋体" w:cs="宋体" w:hint="eastAsia"/>
          <w:color w:val="auto"/>
          <w:lang w:eastAsia="zh-CN"/>
        </w:rPr>
        <w:t>2021-2035</w:t>
      </w:r>
      <w:r>
        <w:rPr>
          <w:rFonts w:ascii="宋体" w:hAnsi="宋体" w:cs="宋体" w:hint="eastAsia"/>
          <w:color w:val="auto"/>
          <w:lang w:eastAsia="zh-CN"/>
        </w:rPr>
        <w:t>年）》海洋功能分区图</w:t>
      </w:r>
    </w:p>
    <w:p w14:paraId="0C81B75F" w14:textId="77777777" w:rsidR="0075791A" w:rsidRDefault="00FB2864">
      <w:pPr>
        <w:widowControl w:val="0"/>
        <w:kinsoku/>
        <w:autoSpaceDE/>
        <w:autoSpaceDN/>
        <w:adjustRightInd/>
        <w:snapToGrid/>
        <w:jc w:val="center"/>
        <w:textAlignment w:val="auto"/>
        <w:rPr>
          <w:rFonts w:ascii="宋体" w:hAnsi="宋体" w:cs="宋体"/>
          <w:b/>
          <w:bCs/>
          <w:color w:val="auto"/>
          <w:sz w:val="24"/>
          <w:szCs w:val="24"/>
          <w:lang w:eastAsia="zh-CN"/>
        </w:rPr>
      </w:pPr>
      <w:r>
        <w:rPr>
          <w:noProof/>
          <w:color w:val="auto"/>
        </w:rPr>
        <w:drawing>
          <wp:inline distT="0" distB="0" distL="114300" distR="114300" wp14:anchorId="629B3C4A" wp14:editId="7864D72B">
            <wp:extent cx="5633720" cy="4427855"/>
            <wp:effectExtent l="0" t="0" r="5080" b="6985"/>
            <wp:docPr id="316"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102"/>
                    <pic:cNvPicPr>
                      <a:picLocks noChangeAspect="1"/>
                    </pic:cNvPicPr>
                  </pic:nvPicPr>
                  <pic:blipFill>
                    <a:blip r:embed="rId263"/>
                    <a:srcRect l="6697" r="6222" b="3156"/>
                    <a:stretch>
                      <a:fillRect/>
                    </a:stretch>
                  </pic:blipFill>
                  <pic:spPr>
                    <a:xfrm>
                      <a:off x="0" y="0"/>
                      <a:ext cx="5633720" cy="4427855"/>
                    </a:xfrm>
                    <a:prstGeom prst="rect">
                      <a:avLst/>
                    </a:prstGeom>
                    <a:noFill/>
                    <a:ln>
                      <a:noFill/>
                    </a:ln>
                  </pic:spPr>
                </pic:pic>
              </a:graphicData>
            </a:graphic>
          </wp:inline>
        </w:drawing>
      </w:r>
    </w:p>
    <w:p w14:paraId="676460F2" w14:textId="77777777" w:rsidR="0075791A" w:rsidRDefault="00FB2864">
      <w:pPr>
        <w:widowControl w:val="0"/>
        <w:kinsoku/>
        <w:autoSpaceDE/>
        <w:autoSpaceDN/>
        <w:adjustRightInd/>
        <w:snapToGrid/>
        <w:spacing w:line="360" w:lineRule="auto"/>
        <w:jc w:val="center"/>
        <w:textAlignment w:val="auto"/>
        <w:rPr>
          <w:rFonts w:ascii="宋体" w:hAnsi="宋体" w:cs="宋体"/>
          <w:color w:val="auto"/>
          <w:lang w:eastAsia="zh-CN"/>
        </w:rPr>
      </w:pPr>
      <w:r>
        <w:rPr>
          <w:rFonts w:ascii="宋体" w:hAnsi="宋体" w:cs="宋体" w:hint="eastAsia"/>
          <w:color w:val="auto"/>
          <w:lang w:eastAsia="zh-CN"/>
        </w:rPr>
        <w:t>图</w:t>
      </w:r>
      <w:r>
        <w:rPr>
          <w:rFonts w:ascii="宋体" w:hAnsi="宋体" w:cs="宋体" w:hint="eastAsia"/>
          <w:color w:val="auto"/>
          <w:lang w:eastAsia="zh-CN"/>
        </w:rPr>
        <w:t>6.1.3-2</w:t>
      </w:r>
      <w:r>
        <w:rPr>
          <w:rFonts w:ascii="宋体" w:hAnsi="宋体" w:cs="宋体" w:hint="eastAsia"/>
          <w:color w:val="auto"/>
          <w:lang w:eastAsia="zh-CN"/>
        </w:rPr>
        <w:t>海岸线分类保护与利用规划图</w:t>
      </w:r>
    </w:p>
    <w:p w14:paraId="10E81A6B" w14:textId="77777777" w:rsidR="0075791A" w:rsidRDefault="0075791A">
      <w:pPr>
        <w:widowControl w:val="0"/>
        <w:kinsoku/>
        <w:autoSpaceDE/>
        <w:autoSpaceDN/>
        <w:adjustRightInd/>
        <w:snapToGrid/>
        <w:spacing w:line="360" w:lineRule="auto"/>
        <w:jc w:val="center"/>
        <w:textAlignment w:val="auto"/>
        <w:rPr>
          <w:rFonts w:ascii="宋体" w:hAnsi="宋体" w:cs="宋体"/>
          <w:b/>
          <w:bCs/>
          <w:color w:val="auto"/>
          <w:lang w:eastAsia="zh-CN"/>
        </w:rPr>
        <w:sectPr w:rsidR="0075791A">
          <w:footerReference w:type="default" r:id="rId264"/>
          <w:pgSz w:w="11906" w:h="16839"/>
          <w:pgMar w:top="1018" w:right="1415" w:bottom="1134" w:left="1417" w:header="746" w:footer="972" w:gutter="0"/>
          <w:cols w:space="720"/>
        </w:sectPr>
      </w:pPr>
    </w:p>
    <w:p w14:paraId="334A2548" w14:textId="77777777" w:rsidR="0075791A" w:rsidRDefault="00FB2864">
      <w:pPr>
        <w:widowControl w:val="0"/>
        <w:kinsoku/>
        <w:autoSpaceDE/>
        <w:autoSpaceDN/>
        <w:adjustRightInd/>
        <w:snapToGrid/>
        <w:jc w:val="center"/>
        <w:textAlignment w:val="auto"/>
        <w:rPr>
          <w:rFonts w:ascii="宋体" w:hAnsi="宋体" w:cs="宋体"/>
          <w:color w:val="auto"/>
          <w:lang w:eastAsia="zh-CN"/>
        </w:rPr>
      </w:pPr>
      <w:r>
        <w:rPr>
          <w:rFonts w:ascii="宋体" w:hAnsi="宋体" w:cs="宋体" w:hint="eastAsia"/>
          <w:color w:val="auto"/>
          <w:lang w:eastAsia="zh-CN"/>
        </w:rPr>
        <w:lastRenderedPageBreak/>
        <w:t>表</w:t>
      </w:r>
      <w:r>
        <w:rPr>
          <w:rFonts w:ascii="宋体" w:hAnsi="宋体" w:cs="宋体" w:hint="eastAsia"/>
          <w:color w:val="auto"/>
          <w:lang w:eastAsia="zh-CN"/>
        </w:rPr>
        <w:t>6.1.3-1</w:t>
      </w:r>
      <w:r>
        <w:rPr>
          <w:rFonts w:ascii="宋体" w:hAnsi="宋体" w:cs="宋体" w:hint="eastAsia"/>
          <w:color w:val="auto"/>
          <w:lang w:eastAsia="zh-CN"/>
        </w:rPr>
        <w:t>项目所在区域和周边海域功能区登记表</w:t>
      </w:r>
    </w:p>
    <w:tbl>
      <w:tblPr>
        <w:tblStyle w:val="TableNormal"/>
        <w:tblW w:w="14358"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21"/>
        <w:gridCol w:w="917"/>
        <w:gridCol w:w="788"/>
        <w:gridCol w:w="446"/>
        <w:gridCol w:w="737"/>
        <w:gridCol w:w="531"/>
        <w:gridCol w:w="1854"/>
        <w:gridCol w:w="2436"/>
        <w:gridCol w:w="1629"/>
        <w:gridCol w:w="1668"/>
        <w:gridCol w:w="1320"/>
        <w:gridCol w:w="1611"/>
      </w:tblGrid>
      <w:tr w:rsidR="0075791A" w14:paraId="6CA1B698" w14:textId="77777777">
        <w:trPr>
          <w:trHeight w:val="406"/>
          <w:jc w:val="center"/>
        </w:trPr>
        <w:tc>
          <w:tcPr>
            <w:tcW w:w="421" w:type="dxa"/>
            <w:vMerge w:val="restart"/>
            <w:tcBorders>
              <w:bottom w:val="nil"/>
            </w:tcBorders>
            <w:tcMar>
              <w:top w:w="0" w:type="dxa"/>
              <w:left w:w="0" w:type="dxa"/>
              <w:bottom w:w="0" w:type="dxa"/>
              <w:right w:w="0" w:type="dxa"/>
            </w:tcMar>
            <w:vAlign w:val="center"/>
          </w:tcPr>
          <w:p w14:paraId="3E850DA7" w14:textId="77777777" w:rsidR="0075791A" w:rsidRDefault="00FB2864">
            <w:pPr>
              <w:pStyle w:val="TableText"/>
              <w:jc w:val="center"/>
              <w:rPr>
                <w:rFonts w:ascii="Times New Roman" w:hAnsi="Times New Roman"/>
                <w:color w:val="auto"/>
                <w:sz w:val="16"/>
                <w:szCs w:val="16"/>
              </w:rPr>
            </w:pPr>
            <w:r>
              <w:rPr>
                <w:rFonts w:ascii="Times New Roman" w:hAnsi="Times New Roman"/>
                <w:b/>
                <w:bCs/>
                <w:color w:val="auto"/>
                <w:spacing w:val="4"/>
                <w:sz w:val="16"/>
                <w:szCs w:val="16"/>
              </w:rPr>
              <w:t>序号</w:t>
            </w:r>
          </w:p>
        </w:tc>
        <w:tc>
          <w:tcPr>
            <w:tcW w:w="917" w:type="dxa"/>
            <w:vMerge w:val="restart"/>
            <w:tcBorders>
              <w:bottom w:val="nil"/>
            </w:tcBorders>
            <w:tcMar>
              <w:top w:w="0" w:type="dxa"/>
              <w:left w:w="0" w:type="dxa"/>
              <w:bottom w:w="0" w:type="dxa"/>
              <w:right w:w="0" w:type="dxa"/>
            </w:tcMar>
            <w:vAlign w:val="center"/>
          </w:tcPr>
          <w:p w14:paraId="116998FC" w14:textId="77777777" w:rsidR="0075791A" w:rsidRDefault="00FB2864">
            <w:pPr>
              <w:pStyle w:val="TableText"/>
              <w:jc w:val="center"/>
              <w:rPr>
                <w:rFonts w:ascii="Times New Roman" w:hAnsi="Times New Roman"/>
                <w:color w:val="auto"/>
                <w:sz w:val="16"/>
                <w:szCs w:val="16"/>
              </w:rPr>
            </w:pPr>
            <w:r>
              <w:rPr>
                <w:rFonts w:ascii="Times New Roman" w:hAnsi="Times New Roman"/>
                <w:b/>
                <w:bCs/>
                <w:color w:val="auto"/>
                <w:spacing w:val="-3"/>
                <w:sz w:val="16"/>
                <w:szCs w:val="16"/>
              </w:rPr>
              <w:t>名称</w:t>
            </w:r>
          </w:p>
        </w:tc>
        <w:tc>
          <w:tcPr>
            <w:tcW w:w="788" w:type="dxa"/>
            <w:vMerge w:val="restart"/>
            <w:tcBorders>
              <w:bottom w:val="nil"/>
            </w:tcBorders>
            <w:tcMar>
              <w:top w:w="0" w:type="dxa"/>
              <w:left w:w="0" w:type="dxa"/>
              <w:bottom w:w="0" w:type="dxa"/>
              <w:right w:w="0" w:type="dxa"/>
            </w:tcMar>
            <w:vAlign w:val="center"/>
          </w:tcPr>
          <w:p w14:paraId="1B1EC2CE" w14:textId="77777777" w:rsidR="0075791A" w:rsidRDefault="00FB2864">
            <w:pPr>
              <w:pStyle w:val="TableText"/>
              <w:jc w:val="center"/>
              <w:rPr>
                <w:rFonts w:ascii="Times New Roman" w:hAnsi="Times New Roman"/>
                <w:color w:val="auto"/>
                <w:sz w:val="16"/>
                <w:szCs w:val="16"/>
              </w:rPr>
            </w:pPr>
            <w:r>
              <w:rPr>
                <w:rFonts w:ascii="Times New Roman" w:hAnsi="Times New Roman"/>
                <w:b/>
                <w:bCs/>
                <w:color w:val="auto"/>
                <w:spacing w:val="-1"/>
                <w:sz w:val="16"/>
                <w:szCs w:val="16"/>
              </w:rPr>
              <w:t>代码</w:t>
            </w:r>
          </w:p>
        </w:tc>
        <w:tc>
          <w:tcPr>
            <w:tcW w:w="446" w:type="dxa"/>
            <w:vMerge w:val="restart"/>
            <w:tcBorders>
              <w:bottom w:val="nil"/>
            </w:tcBorders>
            <w:tcMar>
              <w:top w:w="0" w:type="dxa"/>
              <w:left w:w="0" w:type="dxa"/>
              <w:bottom w:w="0" w:type="dxa"/>
              <w:right w:w="0" w:type="dxa"/>
            </w:tcMar>
            <w:vAlign w:val="center"/>
          </w:tcPr>
          <w:p w14:paraId="062428B7"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hint="eastAsia"/>
                <w:color w:val="auto"/>
                <w:sz w:val="16"/>
                <w:szCs w:val="16"/>
                <w:lang w:eastAsia="zh-CN"/>
              </w:rPr>
              <w:t>分区类型</w:t>
            </w:r>
          </w:p>
        </w:tc>
        <w:tc>
          <w:tcPr>
            <w:tcW w:w="737" w:type="dxa"/>
            <w:vMerge w:val="restart"/>
            <w:tcBorders>
              <w:bottom w:val="nil"/>
            </w:tcBorders>
            <w:tcMar>
              <w:top w:w="0" w:type="dxa"/>
              <w:left w:w="0" w:type="dxa"/>
              <w:bottom w:w="0" w:type="dxa"/>
              <w:right w:w="0" w:type="dxa"/>
            </w:tcMar>
            <w:vAlign w:val="center"/>
          </w:tcPr>
          <w:p w14:paraId="343A99B9"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b/>
                <w:bCs/>
                <w:color w:val="auto"/>
                <w:spacing w:val="-12"/>
                <w:sz w:val="16"/>
                <w:szCs w:val="16"/>
              </w:rPr>
              <w:t>地理</w:t>
            </w:r>
            <w:r>
              <w:rPr>
                <w:rFonts w:ascii="Times New Roman" w:hAnsi="Times New Roman" w:hint="eastAsia"/>
                <w:b/>
                <w:bCs/>
                <w:color w:val="auto"/>
                <w:spacing w:val="-12"/>
                <w:sz w:val="16"/>
                <w:szCs w:val="16"/>
                <w:lang w:eastAsia="zh-CN"/>
              </w:rPr>
              <w:t>位置</w:t>
            </w:r>
          </w:p>
        </w:tc>
        <w:tc>
          <w:tcPr>
            <w:tcW w:w="531" w:type="dxa"/>
            <w:vMerge w:val="restart"/>
            <w:tcBorders>
              <w:bottom w:val="nil"/>
            </w:tcBorders>
            <w:tcMar>
              <w:top w:w="0" w:type="dxa"/>
              <w:left w:w="0" w:type="dxa"/>
              <w:bottom w:w="0" w:type="dxa"/>
              <w:right w:w="0" w:type="dxa"/>
            </w:tcMar>
            <w:vAlign w:val="center"/>
          </w:tcPr>
          <w:p w14:paraId="47280C3F" w14:textId="77777777" w:rsidR="0075791A" w:rsidRDefault="00FB2864">
            <w:pPr>
              <w:pStyle w:val="TableText"/>
              <w:jc w:val="center"/>
              <w:rPr>
                <w:rFonts w:ascii="Times New Roman" w:hAnsi="Times New Roman"/>
                <w:color w:val="auto"/>
                <w:sz w:val="16"/>
                <w:szCs w:val="16"/>
              </w:rPr>
            </w:pPr>
            <w:r>
              <w:rPr>
                <w:rFonts w:ascii="Times New Roman" w:hAnsi="Times New Roman"/>
                <w:b/>
                <w:bCs/>
                <w:color w:val="auto"/>
                <w:spacing w:val="-27"/>
                <w:w w:val="88"/>
                <w:sz w:val="16"/>
                <w:szCs w:val="16"/>
              </w:rPr>
              <w:t>与本项目位</w:t>
            </w:r>
            <w:r>
              <w:rPr>
                <w:rFonts w:ascii="Times New Roman" w:hAnsi="Times New Roman"/>
                <w:b/>
                <w:bCs/>
                <w:color w:val="auto"/>
                <w:spacing w:val="8"/>
                <w:sz w:val="16"/>
                <w:szCs w:val="16"/>
              </w:rPr>
              <w:t>置关系</w:t>
            </w:r>
          </w:p>
        </w:tc>
        <w:tc>
          <w:tcPr>
            <w:tcW w:w="1854" w:type="dxa"/>
            <w:vMerge w:val="restart"/>
            <w:tcBorders>
              <w:bottom w:val="nil"/>
            </w:tcBorders>
            <w:tcMar>
              <w:top w:w="0" w:type="dxa"/>
              <w:left w:w="0" w:type="dxa"/>
              <w:bottom w:w="0" w:type="dxa"/>
              <w:right w:w="0" w:type="dxa"/>
            </w:tcMar>
            <w:vAlign w:val="center"/>
          </w:tcPr>
          <w:p w14:paraId="666AB602" w14:textId="77777777" w:rsidR="0075791A" w:rsidRDefault="00FB2864">
            <w:pPr>
              <w:pStyle w:val="TableText"/>
              <w:jc w:val="center"/>
              <w:rPr>
                <w:rFonts w:ascii="Times New Roman" w:hAnsi="Times New Roman"/>
                <w:color w:val="auto"/>
                <w:sz w:val="16"/>
                <w:szCs w:val="16"/>
              </w:rPr>
            </w:pPr>
            <w:r>
              <w:rPr>
                <w:rFonts w:ascii="Times New Roman" w:hAnsi="Times New Roman"/>
                <w:b/>
                <w:bCs/>
                <w:color w:val="auto"/>
                <w:sz w:val="16"/>
                <w:szCs w:val="16"/>
              </w:rPr>
              <w:t>开发利用现状</w:t>
            </w:r>
          </w:p>
        </w:tc>
        <w:tc>
          <w:tcPr>
            <w:tcW w:w="7053" w:type="dxa"/>
            <w:gridSpan w:val="4"/>
            <w:tcMar>
              <w:top w:w="0" w:type="dxa"/>
              <w:left w:w="0" w:type="dxa"/>
              <w:bottom w:w="0" w:type="dxa"/>
              <w:right w:w="0" w:type="dxa"/>
            </w:tcMar>
            <w:vAlign w:val="center"/>
          </w:tcPr>
          <w:p w14:paraId="26D564DD" w14:textId="77777777" w:rsidR="0075791A" w:rsidRDefault="00FB2864">
            <w:pPr>
              <w:pStyle w:val="TableText"/>
              <w:jc w:val="center"/>
              <w:rPr>
                <w:rFonts w:ascii="Times New Roman" w:hAnsi="Times New Roman"/>
                <w:color w:val="auto"/>
                <w:sz w:val="16"/>
                <w:szCs w:val="16"/>
              </w:rPr>
            </w:pPr>
            <w:r>
              <w:rPr>
                <w:rFonts w:ascii="Times New Roman" w:hAnsi="Times New Roman"/>
                <w:b/>
                <w:bCs/>
                <w:color w:val="auto"/>
                <w:spacing w:val="-3"/>
                <w:sz w:val="16"/>
                <w:szCs w:val="16"/>
              </w:rPr>
              <w:t>管控要求</w:t>
            </w:r>
          </w:p>
        </w:tc>
        <w:tc>
          <w:tcPr>
            <w:tcW w:w="1611" w:type="dxa"/>
            <w:vMerge w:val="restart"/>
            <w:tcBorders>
              <w:bottom w:val="nil"/>
            </w:tcBorders>
            <w:tcMar>
              <w:top w:w="0" w:type="dxa"/>
              <w:left w:w="0" w:type="dxa"/>
              <w:bottom w:w="0" w:type="dxa"/>
              <w:right w:w="0" w:type="dxa"/>
            </w:tcMar>
            <w:vAlign w:val="center"/>
          </w:tcPr>
          <w:p w14:paraId="638B289B" w14:textId="77777777" w:rsidR="0075791A" w:rsidRDefault="00FB2864">
            <w:pPr>
              <w:pStyle w:val="TableText"/>
              <w:rPr>
                <w:rFonts w:ascii="Times New Roman" w:hAnsi="Times New Roman"/>
                <w:color w:val="auto"/>
                <w:sz w:val="16"/>
                <w:szCs w:val="16"/>
              </w:rPr>
            </w:pPr>
            <w:r>
              <w:rPr>
                <w:rFonts w:ascii="Times New Roman" w:hAnsi="Times New Roman"/>
                <w:b/>
                <w:bCs/>
                <w:color w:val="auto"/>
                <w:spacing w:val="7"/>
                <w:sz w:val="16"/>
                <w:szCs w:val="16"/>
              </w:rPr>
              <w:t>功能区空间范围图</w:t>
            </w:r>
          </w:p>
        </w:tc>
      </w:tr>
      <w:tr w:rsidR="0075791A" w14:paraId="5161780F" w14:textId="77777777">
        <w:trPr>
          <w:trHeight w:val="402"/>
          <w:jc w:val="center"/>
        </w:trPr>
        <w:tc>
          <w:tcPr>
            <w:tcW w:w="421" w:type="dxa"/>
            <w:vMerge/>
            <w:tcBorders>
              <w:top w:val="nil"/>
            </w:tcBorders>
            <w:tcMar>
              <w:top w:w="0" w:type="dxa"/>
              <w:left w:w="0" w:type="dxa"/>
              <w:bottom w:w="0" w:type="dxa"/>
              <w:right w:w="0" w:type="dxa"/>
            </w:tcMar>
            <w:vAlign w:val="center"/>
          </w:tcPr>
          <w:p w14:paraId="12E6E1D4" w14:textId="77777777" w:rsidR="0075791A" w:rsidRDefault="0075791A">
            <w:pPr>
              <w:jc w:val="center"/>
              <w:rPr>
                <w:rFonts w:ascii="Times New Roman" w:eastAsia="宋体" w:hAnsi="Times New Roman"/>
                <w:color w:val="auto"/>
                <w:sz w:val="16"/>
                <w:szCs w:val="16"/>
              </w:rPr>
            </w:pPr>
          </w:p>
        </w:tc>
        <w:tc>
          <w:tcPr>
            <w:tcW w:w="917" w:type="dxa"/>
            <w:vMerge/>
            <w:tcBorders>
              <w:top w:val="nil"/>
            </w:tcBorders>
            <w:tcMar>
              <w:top w:w="0" w:type="dxa"/>
              <w:left w:w="0" w:type="dxa"/>
              <w:bottom w:w="0" w:type="dxa"/>
              <w:right w:w="0" w:type="dxa"/>
            </w:tcMar>
            <w:vAlign w:val="center"/>
          </w:tcPr>
          <w:p w14:paraId="3E723830" w14:textId="77777777" w:rsidR="0075791A" w:rsidRDefault="0075791A">
            <w:pPr>
              <w:jc w:val="center"/>
              <w:rPr>
                <w:rFonts w:ascii="Times New Roman" w:eastAsia="宋体" w:hAnsi="Times New Roman"/>
                <w:color w:val="auto"/>
                <w:sz w:val="16"/>
                <w:szCs w:val="16"/>
              </w:rPr>
            </w:pPr>
          </w:p>
        </w:tc>
        <w:tc>
          <w:tcPr>
            <w:tcW w:w="788" w:type="dxa"/>
            <w:vMerge/>
            <w:tcBorders>
              <w:top w:val="nil"/>
            </w:tcBorders>
            <w:tcMar>
              <w:top w:w="0" w:type="dxa"/>
              <w:left w:w="0" w:type="dxa"/>
              <w:bottom w:w="0" w:type="dxa"/>
              <w:right w:w="0" w:type="dxa"/>
            </w:tcMar>
            <w:vAlign w:val="center"/>
          </w:tcPr>
          <w:p w14:paraId="3EE26FCA" w14:textId="77777777" w:rsidR="0075791A" w:rsidRDefault="0075791A">
            <w:pPr>
              <w:jc w:val="center"/>
              <w:rPr>
                <w:rFonts w:ascii="Times New Roman" w:eastAsia="宋体" w:hAnsi="Times New Roman"/>
                <w:color w:val="auto"/>
                <w:sz w:val="16"/>
                <w:szCs w:val="16"/>
              </w:rPr>
            </w:pPr>
          </w:p>
        </w:tc>
        <w:tc>
          <w:tcPr>
            <w:tcW w:w="446" w:type="dxa"/>
            <w:vMerge/>
            <w:tcBorders>
              <w:top w:val="nil"/>
            </w:tcBorders>
            <w:tcMar>
              <w:top w:w="0" w:type="dxa"/>
              <w:left w:w="0" w:type="dxa"/>
              <w:bottom w:w="0" w:type="dxa"/>
              <w:right w:w="0" w:type="dxa"/>
            </w:tcMar>
            <w:vAlign w:val="center"/>
          </w:tcPr>
          <w:p w14:paraId="0FE776DF" w14:textId="77777777" w:rsidR="0075791A" w:rsidRDefault="0075791A">
            <w:pPr>
              <w:jc w:val="center"/>
              <w:rPr>
                <w:rFonts w:ascii="Times New Roman" w:eastAsia="宋体" w:hAnsi="Times New Roman"/>
                <w:color w:val="auto"/>
                <w:sz w:val="16"/>
                <w:szCs w:val="16"/>
              </w:rPr>
            </w:pPr>
          </w:p>
        </w:tc>
        <w:tc>
          <w:tcPr>
            <w:tcW w:w="737" w:type="dxa"/>
            <w:vMerge/>
            <w:tcBorders>
              <w:top w:val="nil"/>
            </w:tcBorders>
            <w:tcMar>
              <w:top w:w="0" w:type="dxa"/>
              <w:left w:w="0" w:type="dxa"/>
              <w:bottom w:w="0" w:type="dxa"/>
              <w:right w:w="0" w:type="dxa"/>
            </w:tcMar>
            <w:vAlign w:val="center"/>
          </w:tcPr>
          <w:p w14:paraId="3DC7FE5C" w14:textId="77777777" w:rsidR="0075791A" w:rsidRDefault="0075791A">
            <w:pPr>
              <w:jc w:val="center"/>
              <w:rPr>
                <w:rFonts w:ascii="Times New Roman" w:eastAsia="宋体" w:hAnsi="Times New Roman"/>
                <w:color w:val="auto"/>
                <w:sz w:val="16"/>
                <w:szCs w:val="16"/>
              </w:rPr>
            </w:pPr>
          </w:p>
        </w:tc>
        <w:tc>
          <w:tcPr>
            <w:tcW w:w="531" w:type="dxa"/>
            <w:vMerge/>
            <w:tcBorders>
              <w:top w:val="nil"/>
            </w:tcBorders>
            <w:tcMar>
              <w:top w:w="0" w:type="dxa"/>
              <w:left w:w="0" w:type="dxa"/>
              <w:bottom w:w="0" w:type="dxa"/>
              <w:right w:w="0" w:type="dxa"/>
            </w:tcMar>
            <w:vAlign w:val="center"/>
          </w:tcPr>
          <w:p w14:paraId="3C75F5D9" w14:textId="77777777" w:rsidR="0075791A" w:rsidRDefault="0075791A">
            <w:pPr>
              <w:jc w:val="center"/>
              <w:rPr>
                <w:rFonts w:ascii="Times New Roman" w:eastAsia="宋体" w:hAnsi="Times New Roman"/>
                <w:color w:val="auto"/>
                <w:sz w:val="16"/>
                <w:szCs w:val="16"/>
              </w:rPr>
            </w:pPr>
          </w:p>
        </w:tc>
        <w:tc>
          <w:tcPr>
            <w:tcW w:w="1854" w:type="dxa"/>
            <w:vMerge/>
            <w:tcBorders>
              <w:top w:val="nil"/>
            </w:tcBorders>
            <w:tcMar>
              <w:top w:w="0" w:type="dxa"/>
              <w:left w:w="0" w:type="dxa"/>
              <w:bottom w:w="0" w:type="dxa"/>
              <w:right w:w="0" w:type="dxa"/>
            </w:tcMar>
            <w:vAlign w:val="center"/>
          </w:tcPr>
          <w:p w14:paraId="14656B4A" w14:textId="77777777" w:rsidR="0075791A" w:rsidRDefault="0075791A">
            <w:pPr>
              <w:jc w:val="center"/>
              <w:rPr>
                <w:rFonts w:ascii="Times New Roman" w:eastAsia="宋体" w:hAnsi="Times New Roman"/>
                <w:color w:val="auto"/>
                <w:sz w:val="16"/>
                <w:szCs w:val="16"/>
              </w:rPr>
            </w:pPr>
          </w:p>
        </w:tc>
        <w:tc>
          <w:tcPr>
            <w:tcW w:w="2436" w:type="dxa"/>
            <w:tcMar>
              <w:top w:w="0" w:type="dxa"/>
              <w:left w:w="0" w:type="dxa"/>
              <w:bottom w:w="0" w:type="dxa"/>
              <w:right w:w="0" w:type="dxa"/>
            </w:tcMar>
            <w:vAlign w:val="center"/>
          </w:tcPr>
          <w:p w14:paraId="11D1A71D"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hint="eastAsia"/>
                <w:color w:val="auto"/>
                <w:sz w:val="16"/>
                <w:szCs w:val="16"/>
                <w:lang w:eastAsia="zh-CN"/>
              </w:rPr>
              <w:t>空间准入</w:t>
            </w:r>
          </w:p>
        </w:tc>
        <w:tc>
          <w:tcPr>
            <w:tcW w:w="1629" w:type="dxa"/>
            <w:tcMar>
              <w:top w:w="0" w:type="dxa"/>
              <w:left w:w="0" w:type="dxa"/>
              <w:bottom w:w="0" w:type="dxa"/>
              <w:right w:w="0" w:type="dxa"/>
            </w:tcMar>
            <w:vAlign w:val="center"/>
          </w:tcPr>
          <w:p w14:paraId="3304C3F9" w14:textId="77777777" w:rsidR="0075791A" w:rsidRDefault="00FB2864">
            <w:pPr>
              <w:pStyle w:val="TableText"/>
              <w:jc w:val="center"/>
              <w:rPr>
                <w:rFonts w:ascii="Times New Roman" w:hAnsi="Times New Roman"/>
                <w:color w:val="auto"/>
                <w:sz w:val="16"/>
                <w:szCs w:val="16"/>
              </w:rPr>
            </w:pPr>
            <w:r>
              <w:rPr>
                <w:rFonts w:ascii="Times New Roman" w:hAnsi="Times New Roman" w:hint="eastAsia"/>
                <w:b/>
                <w:bCs/>
                <w:color w:val="auto"/>
                <w:sz w:val="16"/>
                <w:szCs w:val="16"/>
                <w:lang w:eastAsia="zh-CN"/>
              </w:rPr>
              <w:t>利用方式</w:t>
            </w:r>
          </w:p>
        </w:tc>
        <w:tc>
          <w:tcPr>
            <w:tcW w:w="1668" w:type="dxa"/>
            <w:tcMar>
              <w:top w:w="0" w:type="dxa"/>
              <w:left w:w="0" w:type="dxa"/>
              <w:bottom w:w="0" w:type="dxa"/>
              <w:right w:w="0" w:type="dxa"/>
            </w:tcMar>
            <w:vAlign w:val="center"/>
          </w:tcPr>
          <w:p w14:paraId="58DF0963"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hint="eastAsia"/>
                <w:b/>
                <w:bCs/>
                <w:color w:val="auto"/>
                <w:sz w:val="16"/>
                <w:szCs w:val="16"/>
                <w:lang w:eastAsia="zh-CN"/>
              </w:rPr>
              <w:t>保护要求</w:t>
            </w:r>
          </w:p>
        </w:tc>
        <w:tc>
          <w:tcPr>
            <w:tcW w:w="1320" w:type="dxa"/>
            <w:tcMar>
              <w:top w:w="0" w:type="dxa"/>
              <w:left w:w="0" w:type="dxa"/>
              <w:bottom w:w="0" w:type="dxa"/>
              <w:right w:w="0" w:type="dxa"/>
            </w:tcMar>
            <w:vAlign w:val="center"/>
          </w:tcPr>
          <w:p w14:paraId="7F78044F"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hint="eastAsia"/>
                <w:b/>
                <w:bCs/>
                <w:color w:val="auto"/>
                <w:sz w:val="16"/>
                <w:szCs w:val="16"/>
                <w:lang w:eastAsia="zh-CN"/>
              </w:rPr>
              <w:t>其他要求</w:t>
            </w:r>
          </w:p>
        </w:tc>
        <w:tc>
          <w:tcPr>
            <w:tcW w:w="1611" w:type="dxa"/>
            <w:vMerge/>
            <w:tcBorders>
              <w:top w:val="nil"/>
            </w:tcBorders>
            <w:tcMar>
              <w:top w:w="0" w:type="dxa"/>
              <w:left w:w="0" w:type="dxa"/>
              <w:bottom w:w="0" w:type="dxa"/>
              <w:right w:w="0" w:type="dxa"/>
            </w:tcMar>
            <w:vAlign w:val="center"/>
          </w:tcPr>
          <w:p w14:paraId="3A4A59BD" w14:textId="77777777" w:rsidR="0075791A" w:rsidRDefault="0075791A">
            <w:pPr>
              <w:rPr>
                <w:rFonts w:ascii="Times New Roman" w:eastAsia="宋体" w:hAnsi="Times New Roman"/>
                <w:color w:val="auto"/>
                <w:sz w:val="16"/>
                <w:szCs w:val="16"/>
              </w:rPr>
            </w:pPr>
          </w:p>
        </w:tc>
      </w:tr>
      <w:tr w:rsidR="0075791A" w14:paraId="542DAC59" w14:textId="77777777">
        <w:trPr>
          <w:trHeight w:val="1603"/>
          <w:jc w:val="center"/>
        </w:trPr>
        <w:tc>
          <w:tcPr>
            <w:tcW w:w="421" w:type="dxa"/>
            <w:tcBorders>
              <w:top w:val="nil"/>
            </w:tcBorders>
            <w:tcMar>
              <w:top w:w="0" w:type="dxa"/>
              <w:left w:w="0" w:type="dxa"/>
              <w:bottom w:w="0" w:type="dxa"/>
              <w:right w:w="0" w:type="dxa"/>
            </w:tcMar>
            <w:vAlign w:val="center"/>
          </w:tcPr>
          <w:p w14:paraId="2347AD78" w14:textId="77777777" w:rsidR="0075791A" w:rsidRDefault="00FB2864">
            <w:pPr>
              <w:jc w:val="center"/>
              <w:rPr>
                <w:rFonts w:ascii="Times New Roman" w:eastAsia="宋体" w:hAnsi="Times New Roman"/>
                <w:color w:val="auto"/>
                <w:sz w:val="16"/>
                <w:szCs w:val="16"/>
                <w:lang w:eastAsia="zh-CN"/>
              </w:rPr>
            </w:pPr>
            <w:r>
              <w:rPr>
                <w:rFonts w:ascii="Times New Roman" w:eastAsia="宋体" w:hAnsi="Times New Roman" w:hint="eastAsia"/>
                <w:color w:val="auto"/>
                <w:sz w:val="16"/>
                <w:szCs w:val="16"/>
                <w:lang w:eastAsia="zh-CN"/>
              </w:rPr>
              <w:t>1</w:t>
            </w:r>
          </w:p>
        </w:tc>
        <w:tc>
          <w:tcPr>
            <w:tcW w:w="917" w:type="dxa"/>
            <w:tcBorders>
              <w:top w:val="nil"/>
            </w:tcBorders>
            <w:tcMar>
              <w:top w:w="0" w:type="dxa"/>
              <w:left w:w="0" w:type="dxa"/>
              <w:bottom w:w="0" w:type="dxa"/>
              <w:right w:w="0" w:type="dxa"/>
            </w:tcMar>
            <w:vAlign w:val="center"/>
          </w:tcPr>
          <w:p w14:paraId="0FD69C27" w14:textId="77777777" w:rsidR="0075791A" w:rsidRDefault="00FB2864">
            <w:pPr>
              <w:jc w:val="center"/>
              <w:rPr>
                <w:rFonts w:ascii="Times New Roman" w:eastAsia="宋体" w:hAnsi="Times New Roman"/>
                <w:color w:val="auto"/>
                <w:sz w:val="16"/>
                <w:szCs w:val="16"/>
                <w:lang w:eastAsia="zh-CN"/>
              </w:rPr>
            </w:pPr>
            <w:r>
              <w:rPr>
                <w:rFonts w:ascii="Times New Roman" w:eastAsia="宋体" w:hAnsi="Times New Roman" w:cs="宋体"/>
                <w:color w:val="auto"/>
                <w:sz w:val="16"/>
                <w:szCs w:val="16"/>
                <w:lang w:eastAsia="zh-CN"/>
              </w:rPr>
              <w:t>铁炉港潟湖生态保护区</w:t>
            </w:r>
          </w:p>
        </w:tc>
        <w:tc>
          <w:tcPr>
            <w:tcW w:w="788" w:type="dxa"/>
            <w:tcBorders>
              <w:top w:val="nil"/>
            </w:tcBorders>
            <w:tcMar>
              <w:top w:w="0" w:type="dxa"/>
              <w:left w:w="0" w:type="dxa"/>
              <w:bottom w:w="0" w:type="dxa"/>
              <w:right w:w="0" w:type="dxa"/>
            </w:tcMar>
            <w:vAlign w:val="center"/>
          </w:tcPr>
          <w:p w14:paraId="3731498D" w14:textId="77777777" w:rsidR="0075791A" w:rsidRDefault="00FB2864">
            <w:pPr>
              <w:jc w:val="center"/>
              <w:rPr>
                <w:rFonts w:ascii="Times New Roman" w:eastAsia="宋体" w:hAnsi="Times New Roman"/>
                <w:color w:val="auto"/>
                <w:sz w:val="16"/>
                <w:szCs w:val="16"/>
              </w:rPr>
            </w:pPr>
            <w:r>
              <w:rPr>
                <w:rFonts w:ascii="Times New Roman" w:eastAsia="宋体" w:hAnsi="Times New Roman" w:cs="宋体"/>
                <w:color w:val="auto"/>
                <w:sz w:val="16"/>
                <w:szCs w:val="16"/>
              </w:rPr>
              <w:t>100-049</w:t>
            </w:r>
          </w:p>
        </w:tc>
        <w:tc>
          <w:tcPr>
            <w:tcW w:w="446" w:type="dxa"/>
            <w:tcBorders>
              <w:top w:val="nil"/>
            </w:tcBorders>
            <w:tcMar>
              <w:top w:w="0" w:type="dxa"/>
              <w:left w:w="0" w:type="dxa"/>
              <w:bottom w:w="0" w:type="dxa"/>
              <w:right w:w="0" w:type="dxa"/>
            </w:tcMar>
            <w:vAlign w:val="center"/>
          </w:tcPr>
          <w:p w14:paraId="78DF87B4" w14:textId="77777777" w:rsidR="0075791A" w:rsidRDefault="00FB2864">
            <w:pPr>
              <w:jc w:val="center"/>
              <w:rPr>
                <w:rFonts w:ascii="Times New Roman" w:eastAsia="宋体" w:hAnsi="Times New Roman"/>
                <w:color w:val="auto"/>
                <w:sz w:val="16"/>
                <w:szCs w:val="16"/>
              </w:rPr>
            </w:pPr>
            <w:r>
              <w:rPr>
                <w:rFonts w:ascii="Times New Roman" w:eastAsia="宋体" w:hAnsi="Times New Roman" w:cs="宋体"/>
                <w:color w:val="auto"/>
                <w:sz w:val="16"/>
                <w:szCs w:val="16"/>
              </w:rPr>
              <w:t>生态保护区</w:t>
            </w:r>
          </w:p>
        </w:tc>
        <w:tc>
          <w:tcPr>
            <w:tcW w:w="737" w:type="dxa"/>
            <w:tcBorders>
              <w:top w:val="nil"/>
            </w:tcBorders>
            <w:tcMar>
              <w:top w:w="0" w:type="dxa"/>
              <w:left w:w="0" w:type="dxa"/>
              <w:bottom w:w="0" w:type="dxa"/>
              <w:right w:w="0" w:type="dxa"/>
            </w:tcMar>
            <w:vAlign w:val="center"/>
          </w:tcPr>
          <w:p w14:paraId="3265EA4B" w14:textId="77777777" w:rsidR="0075791A" w:rsidRDefault="00FB2864">
            <w:pPr>
              <w:jc w:val="center"/>
              <w:rPr>
                <w:rFonts w:ascii="Times New Roman" w:eastAsia="宋体" w:hAnsi="Times New Roman"/>
                <w:color w:val="auto"/>
                <w:sz w:val="16"/>
                <w:szCs w:val="16"/>
                <w:lang w:eastAsia="zh-CN"/>
              </w:rPr>
            </w:pPr>
            <w:r>
              <w:rPr>
                <w:rFonts w:ascii="Times New Roman" w:eastAsia="宋体" w:hAnsi="Times New Roman" w:cs="宋体"/>
                <w:color w:val="auto"/>
                <w:sz w:val="16"/>
                <w:szCs w:val="16"/>
                <w:lang w:eastAsia="zh-CN"/>
              </w:rPr>
              <w:t>位于三亚市铁炉港潟湖</w:t>
            </w:r>
          </w:p>
        </w:tc>
        <w:tc>
          <w:tcPr>
            <w:tcW w:w="531" w:type="dxa"/>
            <w:tcBorders>
              <w:top w:val="nil"/>
            </w:tcBorders>
            <w:tcMar>
              <w:top w:w="0" w:type="dxa"/>
              <w:left w:w="0" w:type="dxa"/>
              <w:bottom w:w="0" w:type="dxa"/>
              <w:right w:w="0" w:type="dxa"/>
            </w:tcMar>
            <w:vAlign w:val="center"/>
          </w:tcPr>
          <w:p w14:paraId="0ADA1A4A" w14:textId="77777777" w:rsidR="0075791A" w:rsidRDefault="00FB2864">
            <w:pPr>
              <w:jc w:val="center"/>
              <w:rPr>
                <w:rFonts w:ascii="Times New Roman" w:eastAsia="宋体" w:hAnsi="Times New Roman"/>
                <w:color w:val="auto"/>
                <w:sz w:val="16"/>
                <w:szCs w:val="16"/>
                <w:lang w:eastAsia="zh-CN"/>
              </w:rPr>
            </w:pPr>
            <w:r>
              <w:rPr>
                <w:rFonts w:ascii="Times New Roman" w:eastAsia="宋体" w:hAnsi="Times New Roman" w:hint="eastAsia"/>
                <w:color w:val="auto"/>
                <w:sz w:val="16"/>
                <w:szCs w:val="16"/>
                <w:lang w:eastAsia="zh-CN"/>
              </w:rPr>
              <w:t>占用，面积</w:t>
            </w:r>
            <w:r>
              <w:rPr>
                <w:rFonts w:ascii="Times New Roman" w:eastAsia="宋体" w:hAnsi="Times New Roman" w:hint="eastAsia"/>
                <w:color w:val="auto"/>
                <w:sz w:val="16"/>
                <w:szCs w:val="16"/>
                <w:lang w:eastAsia="zh-CN"/>
              </w:rPr>
              <w:t>14.8672</w:t>
            </w:r>
            <w:r>
              <w:rPr>
                <w:rFonts w:ascii="Times New Roman" w:eastAsia="宋体" w:hAnsi="Times New Roman" w:hint="eastAsia"/>
                <w:color w:val="auto"/>
                <w:sz w:val="16"/>
                <w:szCs w:val="16"/>
                <w:lang w:eastAsia="zh-CN"/>
              </w:rPr>
              <w:t>公顷</w:t>
            </w:r>
          </w:p>
        </w:tc>
        <w:tc>
          <w:tcPr>
            <w:tcW w:w="1854" w:type="dxa"/>
            <w:tcBorders>
              <w:top w:val="nil"/>
            </w:tcBorders>
            <w:tcMar>
              <w:top w:w="0" w:type="dxa"/>
              <w:left w:w="0" w:type="dxa"/>
              <w:bottom w:w="0" w:type="dxa"/>
              <w:right w:w="0" w:type="dxa"/>
            </w:tcMar>
            <w:vAlign w:val="center"/>
          </w:tcPr>
          <w:p w14:paraId="6C2F3098" w14:textId="77777777" w:rsidR="0075791A" w:rsidRDefault="00FB2864">
            <w:pPr>
              <w:jc w:val="center"/>
              <w:rPr>
                <w:rFonts w:ascii="Times New Roman" w:eastAsia="宋体" w:hAnsi="Times New Roman"/>
                <w:color w:val="auto"/>
                <w:sz w:val="16"/>
                <w:szCs w:val="16"/>
              </w:rPr>
            </w:pPr>
            <w:r>
              <w:rPr>
                <w:rFonts w:ascii="Times New Roman" w:eastAsia="宋体" w:hAnsi="Times New Roman" w:cs="宋体"/>
                <w:color w:val="auto"/>
                <w:sz w:val="16"/>
                <w:szCs w:val="16"/>
              </w:rPr>
              <w:t>未开发利用</w:t>
            </w:r>
          </w:p>
        </w:tc>
        <w:tc>
          <w:tcPr>
            <w:tcW w:w="2436" w:type="dxa"/>
            <w:tcMar>
              <w:top w:w="0" w:type="dxa"/>
              <w:left w:w="0" w:type="dxa"/>
              <w:bottom w:w="0" w:type="dxa"/>
              <w:right w:w="0" w:type="dxa"/>
            </w:tcMar>
            <w:vAlign w:val="center"/>
          </w:tcPr>
          <w:p w14:paraId="69681B65"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lang w:eastAsia="zh-CN"/>
              </w:rPr>
              <w:t>生态保护红线内自然保护地核心保护区原则上禁止人为活动；自然保护地</w:t>
            </w:r>
            <w:r>
              <w:rPr>
                <w:rFonts w:ascii="Times New Roman" w:hAnsi="Times New Roman"/>
                <w:color w:val="auto"/>
                <w:sz w:val="16"/>
                <w:szCs w:val="16"/>
                <w:lang w:eastAsia="zh-CN"/>
              </w:rPr>
              <w:t xml:space="preserve"> </w:t>
            </w:r>
            <w:r>
              <w:rPr>
                <w:rFonts w:ascii="Times New Roman" w:hAnsi="Times New Roman"/>
                <w:color w:val="auto"/>
                <w:sz w:val="16"/>
                <w:szCs w:val="16"/>
                <w:lang w:eastAsia="zh-CN"/>
              </w:rPr>
              <w:t>核心保护区外，仅允许开展对生态功能不造成破坏的有限人为活动；严格按照自然保护地管理规定、生态红线管理规定、红树林保护规定等进行管</w:t>
            </w:r>
            <w:r>
              <w:rPr>
                <w:rFonts w:ascii="Times New Roman" w:hAnsi="Times New Roman"/>
                <w:color w:val="auto"/>
                <w:sz w:val="16"/>
                <w:szCs w:val="16"/>
                <w:lang w:eastAsia="zh-CN"/>
              </w:rPr>
              <w:t xml:space="preserve"> </w:t>
            </w:r>
            <w:r>
              <w:rPr>
                <w:rFonts w:ascii="Times New Roman" w:hAnsi="Times New Roman"/>
                <w:color w:val="auto"/>
                <w:sz w:val="16"/>
                <w:szCs w:val="16"/>
                <w:lang w:eastAsia="zh-CN"/>
              </w:rPr>
              <w:t>理</w:t>
            </w:r>
          </w:p>
        </w:tc>
        <w:tc>
          <w:tcPr>
            <w:tcW w:w="1629" w:type="dxa"/>
            <w:tcMar>
              <w:top w:w="0" w:type="dxa"/>
              <w:left w:w="0" w:type="dxa"/>
              <w:bottom w:w="0" w:type="dxa"/>
              <w:right w:w="0" w:type="dxa"/>
            </w:tcMar>
            <w:vAlign w:val="center"/>
          </w:tcPr>
          <w:p w14:paraId="59EFEC59"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lang w:eastAsia="zh-CN"/>
              </w:rPr>
              <w:t>核心保护区禁止改变海域自然属性，其他红线区严格限制改变海域自然属</w:t>
            </w:r>
            <w:r>
              <w:rPr>
                <w:rFonts w:ascii="Times New Roman" w:hAnsi="Times New Roman"/>
                <w:color w:val="auto"/>
                <w:sz w:val="16"/>
                <w:szCs w:val="16"/>
                <w:lang w:eastAsia="zh-CN"/>
              </w:rPr>
              <w:t xml:space="preserve"> </w:t>
            </w:r>
            <w:r>
              <w:rPr>
                <w:rFonts w:ascii="Times New Roman" w:hAnsi="Times New Roman"/>
                <w:color w:val="auto"/>
                <w:sz w:val="16"/>
                <w:szCs w:val="16"/>
                <w:lang w:eastAsia="zh-CN"/>
              </w:rPr>
              <w:t>性</w:t>
            </w:r>
          </w:p>
        </w:tc>
        <w:tc>
          <w:tcPr>
            <w:tcW w:w="1668" w:type="dxa"/>
            <w:tcMar>
              <w:top w:w="0" w:type="dxa"/>
              <w:left w:w="0" w:type="dxa"/>
              <w:bottom w:w="0" w:type="dxa"/>
              <w:right w:w="0" w:type="dxa"/>
            </w:tcMar>
            <w:vAlign w:val="center"/>
          </w:tcPr>
          <w:p w14:paraId="644AF96E"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lang w:eastAsia="zh-CN"/>
              </w:rPr>
              <w:t>保护红树林及其生态系统；保护潟湖自然生态环境；保护水质和底质；保</w:t>
            </w:r>
            <w:r>
              <w:rPr>
                <w:rFonts w:ascii="Times New Roman" w:hAnsi="Times New Roman"/>
                <w:color w:val="auto"/>
                <w:sz w:val="16"/>
                <w:szCs w:val="16"/>
                <w:lang w:eastAsia="zh-CN"/>
              </w:rPr>
              <w:t xml:space="preserve"> </w:t>
            </w:r>
            <w:r>
              <w:rPr>
                <w:rFonts w:ascii="Times New Roman" w:hAnsi="Times New Roman"/>
                <w:color w:val="auto"/>
                <w:sz w:val="16"/>
                <w:szCs w:val="16"/>
                <w:lang w:eastAsia="zh-CN"/>
              </w:rPr>
              <w:t>护潮间带底栖生物</w:t>
            </w:r>
          </w:p>
        </w:tc>
        <w:tc>
          <w:tcPr>
            <w:tcW w:w="1320" w:type="dxa"/>
            <w:tcMar>
              <w:top w:w="0" w:type="dxa"/>
              <w:left w:w="0" w:type="dxa"/>
              <w:bottom w:w="0" w:type="dxa"/>
              <w:right w:w="0" w:type="dxa"/>
            </w:tcMar>
            <w:vAlign w:val="center"/>
          </w:tcPr>
          <w:p w14:paraId="2B4FEEC4"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hint="eastAsia"/>
                <w:color w:val="auto"/>
                <w:sz w:val="16"/>
                <w:szCs w:val="16"/>
                <w:lang w:eastAsia="zh-CN"/>
              </w:rPr>
              <w:t>无</w:t>
            </w:r>
          </w:p>
        </w:tc>
        <w:tc>
          <w:tcPr>
            <w:tcW w:w="1611" w:type="dxa"/>
            <w:tcBorders>
              <w:top w:val="nil"/>
            </w:tcBorders>
            <w:tcMar>
              <w:top w:w="0" w:type="dxa"/>
              <w:left w:w="0" w:type="dxa"/>
              <w:bottom w:w="0" w:type="dxa"/>
              <w:right w:w="0" w:type="dxa"/>
            </w:tcMar>
            <w:vAlign w:val="center"/>
          </w:tcPr>
          <w:p w14:paraId="3487AE12" w14:textId="77777777" w:rsidR="0075791A" w:rsidRDefault="00FB2864">
            <w:pPr>
              <w:rPr>
                <w:rFonts w:ascii="Times New Roman" w:eastAsia="宋体" w:hAnsi="Times New Roman"/>
                <w:color w:val="auto"/>
                <w:sz w:val="16"/>
                <w:szCs w:val="16"/>
              </w:rPr>
            </w:pPr>
            <w:r>
              <w:rPr>
                <w:noProof/>
                <w:color w:val="auto"/>
              </w:rPr>
              <w:drawing>
                <wp:inline distT="0" distB="0" distL="114300" distR="114300" wp14:anchorId="4F9F893A" wp14:editId="3660529C">
                  <wp:extent cx="1069340" cy="1007745"/>
                  <wp:effectExtent l="0" t="0" r="12700" b="13335"/>
                  <wp:docPr id="176"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03"/>
                          <pic:cNvPicPr>
                            <a:picLocks noChangeAspect="1"/>
                          </pic:cNvPicPr>
                        </pic:nvPicPr>
                        <pic:blipFill>
                          <a:blip r:embed="rId265"/>
                          <a:srcRect t="52978"/>
                          <a:stretch>
                            <a:fillRect/>
                          </a:stretch>
                        </pic:blipFill>
                        <pic:spPr>
                          <a:xfrm>
                            <a:off x="0" y="0"/>
                            <a:ext cx="1069340" cy="1007745"/>
                          </a:xfrm>
                          <a:prstGeom prst="rect">
                            <a:avLst/>
                          </a:prstGeom>
                          <a:noFill/>
                          <a:ln>
                            <a:noFill/>
                          </a:ln>
                        </pic:spPr>
                      </pic:pic>
                    </a:graphicData>
                  </a:graphic>
                </wp:inline>
              </w:drawing>
            </w:r>
          </w:p>
        </w:tc>
      </w:tr>
      <w:tr w:rsidR="0075791A" w14:paraId="08A8B409" w14:textId="77777777">
        <w:trPr>
          <w:trHeight w:val="402"/>
          <w:jc w:val="center"/>
        </w:trPr>
        <w:tc>
          <w:tcPr>
            <w:tcW w:w="421" w:type="dxa"/>
            <w:tcBorders>
              <w:top w:val="nil"/>
            </w:tcBorders>
            <w:tcMar>
              <w:top w:w="0" w:type="dxa"/>
              <w:left w:w="0" w:type="dxa"/>
              <w:bottom w:w="0" w:type="dxa"/>
              <w:right w:w="0" w:type="dxa"/>
            </w:tcMar>
            <w:vAlign w:val="center"/>
          </w:tcPr>
          <w:p w14:paraId="7739BAEE" w14:textId="77777777" w:rsidR="0075791A" w:rsidRDefault="00FB2864">
            <w:pPr>
              <w:jc w:val="center"/>
              <w:rPr>
                <w:rFonts w:ascii="Times New Roman" w:eastAsia="宋体" w:hAnsi="Times New Roman"/>
                <w:color w:val="auto"/>
                <w:sz w:val="16"/>
                <w:szCs w:val="16"/>
                <w:lang w:eastAsia="zh-CN"/>
              </w:rPr>
            </w:pPr>
            <w:r>
              <w:rPr>
                <w:rFonts w:ascii="Times New Roman" w:eastAsia="宋体" w:hAnsi="Times New Roman" w:hint="eastAsia"/>
                <w:color w:val="auto"/>
                <w:sz w:val="16"/>
                <w:szCs w:val="16"/>
                <w:lang w:eastAsia="zh-CN"/>
              </w:rPr>
              <w:t>2</w:t>
            </w:r>
          </w:p>
        </w:tc>
        <w:tc>
          <w:tcPr>
            <w:tcW w:w="917" w:type="dxa"/>
            <w:tcBorders>
              <w:top w:val="nil"/>
            </w:tcBorders>
            <w:tcMar>
              <w:top w:w="0" w:type="dxa"/>
              <w:left w:w="0" w:type="dxa"/>
              <w:bottom w:w="0" w:type="dxa"/>
              <w:right w:w="0" w:type="dxa"/>
            </w:tcMar>
            <w:vAlign w:val="center"/>
          </w:tcPr>
          <w:p w14:paraId="7CC52C2D" w14:textId="77777777" w:rsidR="0075791A" w:rsidRDefault="00FB2864">
            <w:pPr>
              <w:jc w:val="center"/>
              <w:rPr>
                <w:rFonts w:ascii="Times New Roman" w:eastAsia="宋体" w:hAnsi="Times New Roman"/>
                <w:color w:val="auto"/>
                <w:sz w:val="16"/>
                <w:szCs w:val="16"/>
              </w:rPr>
            </w:pPr>
            <w:r>
              <w:rPr>
                <w:rFonts w:ascii="Times New Roman" w:eastAsia="宋体" w:hAnsi="Times New Roman" w:cs="宋体"/>
                <w:color w:val="auto"/>
                <w:sz w:val="16"/>
                <w:szCs w:val="16"/>
              </w:rPr>
              <w:t>铁炉港游憩用海区</w:t>
            </w:r>
          </w:p>
        </w:tc>
        <w:tc>
          <w:tcPr>
            <w:tcW w:w="788" w:type="dxa"/>
            <w:tcBorders>
              <w:top w:val="nil"/>
            </w:tcBorders>
            <w:tcMar>
              <w:top w:w="0" w:type="dxa"/>
              <w:left w:w="0" w:type="dxa"/>
              <w:bottom w:w="0" w:type="dxa"/>
              <w:right w:w="0" w:type="dxa"/>
            </w:tcMar>
            <w:vAlign w:val="center"/>
          </w:tcPr>
          <w:p w14:paraId="333CB3F5" w14:textId="77777777" w:rsidR="0075791A" w:rsidRDefault="00FB2864">
            <w:pPr>
              <w:jc w:val="center"/>
              <w:rPr>
                <w:rFonts w:ascii="Times New Roman" w:eastAsia="宋体" w:hAnsi="Times New Roman"/>
                <w:color w:val="auto"/>
                <w:sz w:val="16"/>
                <w:szCs w:val="16"/>
              </w:rPr>
            </w:pPr>
            <w:r>
              <w:rPr>
                <w:rFonts w:ascii="Times New Roman" w:eastAsia="宋体" w:hAnsi="Times New Roman" w:cs="宋体"/>
                <w:color w:val="auto"/>
                <w:sz w:val="16"/>
                <w:szCs w:val="16"/>
              </w:rPr>
              <w:t>640-028</w:t>
            </w:r>
          </w:p>
        </w:tc>
        <w:tc>
          <w:tcPr>
            <w:tcW w:w="446" w:type="dxa"/>
            <w:tcBorders>
              <w:top w:val="nil"/>
            </w:tcBorders>
            <w:tcMar>
              <w:top w:w="0" w:type="dxa"/>
              <w:left w:w="0" w:type="dxa"/>
              <w:bottom w:w="0" w:type="dxa"/>
              <w:right w:w="0" w:type="dxa"/>
            </w:tcMar>
            <w:vAlign w:val="center"/>
          </w:tcPr>
          <w:p w14:paraId="3AD0905A" w14:textId="77777777" w:rsidR="0075791A" w:rsidRDefault="00FB2864">
            <w:pPr>
              <w:jc w:val="center"/>
              <w:rPr>
                <w:rFonts w:ascii="Times New Roman" w:eastAsia="宋体" w:hAnsi="Times New Roman"/>
                <w:color w:val="auto"/>
                <w:sz w:val="16"/>
                <w:szCs w:val="16"/>
              </w:rPr>
            </w:pPr>
            <w:r>
              <w:rPr>
                <w:rFonts w:ascii="Times New Roman" w:eastAsia="宋体" w:hAnsi="Times New Roman" w:cs="宋体"/>
                <w:color w:val="auto"/>
                <w:sz w:val="16"/>
                <w:szCs w:val="16"/>
              </w:rPr>
              <w:t>游憩用海区</w:t>
            </w:r>
          </w:p>
        </w:tc>
        <w:tc>
          <w:tcPr>
            <w:tcW w:w="737" w:type="dxa"/>
            <w:tcBorders>
              <w:top w:val="nil"/>
            </w:tcBorders>
            <w:tcMar>
              <w:top w:w="0" w:type="dxa"/>
              <w:left w:w="0" w:type="dxa"/>
              <w:bottom w:w="0" w:type="dxa"/>
              <w:right w:w="0" w:type="dxa"/>
            </w:tcMar>
            <w:vAlign w:val="center"/>
          </w:tcPr>
          <w:p w14:paraId="6E3E9812" w14:textId="77777777" w:rsidR="0075791A" w:rsidRDefault="00FB2864">
            <w:pPr>
              <w:jc w:val="center"/>
              <w:rPr>
                <w:rFonts w:ascii="Times New Roman" w:eastAsia="宋体" w:hAnsi="Times New Roman"/>
                <w:color w:val="auto"/>
                <w:sz w:val="16"/>
                <w:szCs w:val="16"/>
                <w:lang w:eastAsia="zh-CN"/>
              </w:rPr>
            </w:pPr>
            <w:r>
              <w:rPr>
                <w:rFonts w:ascii="Times New Roman" w:eastAsia="宋体" w:hAnsi="Times New Roman" w:cs="宋体"/>
                <w:color w:val="auto"/>
                <w:sz w:val="16"/>
                <w:szCs w:val="16"/>
                <w:lang w:eastAsia="zh-CN"/>
              </w:rPr>
              <w:t>零星分布于三亚市铁炉港沿岸海域</w:t>
            </w:r>
          </w:p>
        </w:tc>
        <w:tc>
          <w:tcPr>
            <w:tcW w:w="531" w:type="dxa"/>
            <w:tcBorders>
              <w:top w:val="nil"/>
            </w:tcBorders>
            <w:tcMar>
              <w:top w:w="0" w:type="dxa"/>
              <w:left w:w="0" w:type="dxa"/>
              <w:bottom w:w="0" w:type="dxa"/>
              <w:right w:w="0" w:type="dxa"/>
            </w:tcMar>
            <w:vAlign w:val="center"/>
          </w:tcPr>
          <w:p w14:paraId="725CE066" w14:textId="77777777" w:rsidR="0075791A" w:rsidRDefault="00FB2864">
            <w:pPr>
              <w:jc w:val="center"/>
              <w:rPr>
                <w:rFonts w:ascii="Times New Roman" w:eastAsia="宋体" w:hAnsi="Times New Roman"/>
                <w:color w:val="auto"/>
                <w:sz w:val="16"/>
                <w:szCs w:val="16"/>
                <w:lang w:eastAsia="zh-CN"/>
              </w:rPr>
            </w:pPr>
            <w:r>
              <w:rPr>
                <w:rFonts w:ascii="Times New Roman" w:eastAsia="宋体" w:hAnsi="Times New Roman" w:hint="eastAsia"/>
                <w:color w:val="auto"/>
                <w:sz w:val="16"/>
                <w:szCs w:val="16"/>
                <w:lang w:eastAsia="zh-CN"/>
              </w:rPr>
              <w:t>临近</w:t>
            </w:r>
          </w:p>
        </w:tc>
        <w:tc>
          <w:tcPr>
            <w:tcW w:w="1854" w:type="dxa"/>
            <w:tcBorders>
              <w:top w:val="nil"/>
            </w:tcBorders>
            <w:tcMar>
              <w:top w:w="0" w:type="dxa"/>
              <w:left w:w="0" w:type="dxa"/>
              <w:bottom w:w="0" w:type="dxa"/>
              <w:right w:w="0" w:type="dxa"/>
            </w:tcMar>
            <w:vAlign w:val="center"/>
          </w:tcPr>
          <w:p w14:paraId="70199E9D" w14:textId="77777777" w:rsidR="0075791A" w:rsidRDefault="00FB2864">
            <w:pPr>
              <w:jc w:val="center"/>
              <w:rPr>
                <w:rFonts w:ascii="Times New Roman" w:eastAsia="宋体" w:hAnsi="Times New Roman"/>
                <w:color w:val="auto"/>
                <w:sz w:val="16"/>
                <w:szCs w:val="16"/>
                <w:lang w:eastAsia="zh-CN"/>
              </w:rPr>
            </w:pPr>
            <w:r>
              <w:rPr>
                <w:rFonts w:ascii="Times New Roman" w:eastAsia="宋体" w:hAnsi="Times New Roman" w:cs="宋体"/>
                <w:color w:val="auto"/>
                <w:sz w:val="16"/>
                <w:szCs w:val="16"/>
                <w:lang w:eastAsia="zh-CN"/>
              </w:rPr>
              <w:t>用海区内有成片分布的养殖鱼塘</w:t>
            </w:r>
          </w:p>
        </w:tc>
        <w:tc>
          <w:tcPr>
            <w:tcW w:w="2436" w:type="dxa"/>
            <w:tcMar>
              <w:top w:w="0" w:type="dxa"/>
              <w:left w:w="0" w:type="dxa"/>
              <w:bottom w:w="0" w:type="dxa"/>
              <w:right w:w="0" w:type="dxa"/>
            </w:tcMar>
            <w:vAlign w:val="center"/>
          </w:tcPr>
          <w:p w14:paraId="21E6ED17"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lang w:eastAsia="zh-CN"/>
              </w:rPr>
              <w:t>主导用海类型为游憩用海，经严格论证，在不影响功能区主导功能的前提</w:t>
            </w:r>
            <w:r>
              <w:rPr>
                <w:rFonts w:ascii="Times New Roman" w:hAnsi="Times New Roman"/>
                <w:color w:val="auto"/>
                <w:sz w:val="16"/>
                <w:szCs w:val="16"/>
                <w:lang w:eastAsia="zh-CN"/>
              </w:rPr>
              <w:t xml:space="preserve"> </w:t>
            </w:r>
            <w:r>
              <w:rPr>
                <w:rFonts w:ascii="Times New Roman" w:hAnsi="Times New Roman"/>
                <w:color w:val="auto"/>
                <w:sz w:val="16"/>
                <w:szCs w:val="16"/>
                <w:lang w:eastAsia="zh-CN"/>
              </w:rPr>
              <w:t>下，兼容渔业用海、可再生能源用海等，可适度开展休闲渔业活动</w:t>
            </w:r>
          </w:p>
        </w:tc>
        <w:tc>
          <w:tcPr>
            <w:tcW w:w="1629" w:type="dxa"/>
            <w:tcMar>
              <w:top w:w="0" w:type="dxa"/>
              <w:left w:w="0" w:type="dxa"/>
              <w:bottom w:w="0" w:type="dxa"/>
              <w:right w:w="0" w:type="dxa"/>
            </w:tcMar>
            <w:vAlign w:val="center"/>
          </w:tcPr>
          <w:p w14:paraId="33224F2B"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lang w:eastAsia="zh-CN"/>
              </w:rPr>
              <w:t>严格限制改变海域自然属性</w:t>
            </w:r>
          </w:p>
        </w:tc>
        <w:tc>
          <w:tcPr>
            <w:tcW w:w="1668" w:type="dxa"/>
            <w:tcMar>
              <w:top w:w="0" w:type="dxa"/>
              <w:left w:w="0" w:type="dxa"/>
              <w:bottom w:w="0" w:type="dxa"/>
              <w:right w:w="0" w:type="dxa"/>
            </w:tcMar>
            <w:vAlign w:val="center"/>
          </w:tcPr>
          <w:p w14:paraId="4643E6DC"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lang w:eastAsia="zh-CN"/>
              </w:rPr>
              <w:t>保护铁炉港潟湖生态系统；保护潮间带底栖生物</w:t>
            </w:r>
          </w:p>
        </w:tc>
        <w:tc>
          <w:tcPr>
            <w:tcW w:w="1320" w:type="dxa"/>
            <w:tcMar>
              <w:top w:w="0" w:type="dxa"/>
              <w:left w:w="0" w:type="dxa"/>
              <w:bottom w:w="0" w:type="dxa"/>
              <w:right w:w="0" w:type="dxa"/>
            </w:tcMar>
            <w:vAlign w:val="center"/>
          </w:tcPr>
          <w:p w14:paraId="35FC4F47"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hint="eastAsia"/>
                <w:color w:val="auto"/>
                <w:sz w:val="16"/>
                <w:szCs w:val="16"/>
                <w:lang w:eastAsia="zh-CN"/>
              </w:rPr>
              <w:t>无</w:t>
            </w:r>
          </w:p>
        </w:tc>
        <w:tc>
          <w:tcPr>
            <w:tcW w:w="1611" w:type="dxa"/>
            <w:tcBorders>
              <w:top w:val="nil"/>
            </w:tcBorders>
            <w:tcMar>
              <w:top w:w="0" w:type="dxa"/>
              <w:left w:w="0" w:type="dxa"/>
              <w:bottom w:w="0" w:type="dxa"/>
              <w:right w:w="0" w:type="dxa"/>
            </w:tcMar>
            <w:vAlign w:val="center"/>
          </w:tcPr>
          <w:p w14:paraId="2B7A29F7" w14:textId="77777777" w:rsidR="0075791A" w:rsidRDefault="00FB2864">
            <w:pPr>
              <w:rPr>
                <w:rFonts w:ascii="Times New Roman" w:eastAsia="宋体" w:hAnsi="Times New Roman"/>
                <w:color w:val="auto"/>
                <w:sz w:val="16"/>
                <w:szCs w:val="16"/>
              </w:rPr>
            </w:pPr>
            <w:r>
              <w:rPr>
                <w:noProof/>
                <w:color w:val="auto"/>
              </w:rPr>
              <w:drawing>
                <wp:inline distT="0" distB="0" distL="114300" distR="114300" wp14:anchorId="284DEAAA" wp14:editId="503033E1">
                  <wp:extent cx="1065530" cy="1007745"/>
                  <wp:effectExtent l="0" t="0" r="1270" b="13335"/>
                  <wp:docPr id="177"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04"/>
                          <pic:cNvPicPr>
                            <a:picLocks noChangeAspect="1"/>
                          </pic:cNvPicPr>
                        </pic:nvPicPr>
                        <pic:blipFill>
                          <a:blip r:embed="rId266"/>
                          <a:srcRect t="52803"/>
                          <a:stretch>
                            <a:fillRect/>
                          </a:stretch>
                        </pic:blipFill>
                        <pic:spPr>
                          <a:xfrm>
                            <a:off x="0" y="0"/>
                            <a:ext cx="1065530" cy="1007745"/>
                          </a:xfrm>
                          <a:prstGeom prst="rect">
                            <a:avLst/>
                          </a:prstGeom>
                          <a:noFill/>
                          <a:ln>
                            <a:noFill/>
                          </a:ln>
                        </pic:spPr>
                      </pic:pic>
                    </a:graphicData>
                  </a:graphic>
                </wp:inline>
              </w:drawing>
            </w:r>
          </w:p>
        </w:tc>
      </w:tr>
      <w:tr w:rsidR="0075791A" w14:paraId="4398815D" w14:textId="77777777">
        <w:trPr>
          <w:trHeight w:val="1511"/>
          <w:jc w:val="center"/>
        </w:trPr>
        <w:tc>
          <w:tcPr>
            <w:tcW w:w="421" w:type="dxa"/>
            <w:tcMar>
              <w:top w:w="0" w:type="dxa"/>
              <w:left w:w="0" w:type="dxa"/>
              <w:bottom w:w="0" w:type="dxa"/>
              <w:right w:w="0" w:type="dxa"/>
            </w:tcMar>
            <w:vAlign w:val="center"/>
          </w:tcPr>
          <w:p w14:paraId="4B0F85CD"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hint="eastAsia"/>
                <w:color w:val="auto"/>
                <w:sz w:val="16"/>
                <w:szCs w:val="16"/>
                <w:lang w:eastAsia="zh-CN"/>
              </w:rPr>
              <w:t>3</w:t>
            </w:r>
          </w:p>
        </w:tc>
        <w:tc>
          <w:tcPr>
            <w:tcW w:w="917" w:type="dxa"/>
            <w:tcMar>
              <w:top w:w="0" w:type="dxa"/>
              <w:left w:w="0" w:type="dxa"/>
              <w:bottom w:w="0" w:type="dxa"/>
              <w:right w:w="0" w:type="dxa"/>
            </w:tcMar>
            <w:vAlign w:val="center"/>
          </w:tcPr>
          <w:p w14:paraId="2D8CDCB8"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rPr>
              <w:t>海棠湾游憩用海区</w:t>
            </w:r>
          </w:p>
        </w:tc>
        <w:tc>
          <w:tcPr>
            <w:tcW w:w="788" w:type="dxa"/>
            <w:tcMar>
              <w:top w:w="0" w:type="dxa"/>
              <w:left w:w="0" w:type="dxa"/>
              <w:bottom w:w="0" w:type="dxa"/>
              <w:right w:w="0" w:type="dxa"/>
            </w:tcMar>
            <w:vAlign w:val="center"/>
          </w:tcPr>
          <w:p w14:paraId="0FFC511E"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rPr>
              <w:t>640-027</w:t>
            </w:r>
          </w:p>
        </w:tc>
        <w:tc>
          <w:tcPr>
            <w:tcW w:w="446" w:type="dxa"/>
            <w:tcMar>
              <w:top w:w="0" w:type="dxa"/>
              <w:left w:w="0" w:type="dxa"/>
              <w:bottom w:w="0" w:type="dxa"/>
              <w:right w:w="0" w:type="dxa"/>
            </w:tcMar>
            <w:vAlign w:val="center"/>
          </w:tcPr>
          <w:p w14:paraId="5DC0B04E"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rPr>
              <w:t>游憩用海区</w:t>
            </w:r>
          </w:p>
        </w:tc>
        <w:tc>
          <w:tcPr>
            <w:tcW w:w="737" w:type="dxa"/>
            <w:tcMar>
              <w:top w:w="0" w:type="dxa"/>
              <w:left w:w="0" w:type="dxa"/>
              <w:bottom w:w="0" w:type="dxa"/>
              <w:right w:w="0" w:type="dxa"/>
            </w:tcMar>
            <w:vAlign w:val="center"/>
          </w:tcPr>
          <w:p w14:paraId="44389A52"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位于陵水县和三亚市交界的海棠湾海域</w:t>
            </w:r>
          </w:p>
        </w:tc>
        <w:tc>
          <w:tcPr>
            <w:tcW w:w="531" w:type="dxa"/>
            <w:tcMar>
              <w:top w:w="0" w:type="dxa"/>
              <w:left w:w="0" w:type="dxa"/>
              <w:bottom w:w="0" w:type="dxa"/>
              <w:right w:w="0" w:type="dxa"/>
            </w:tcMar>
            <w:vAlign w:val="center"/>
          </w:tcPr>
          <w:p w14:paraId="4A850A8A"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hint="eastAsia"/>
                <w:color w:val="auto"/>
                <w:sz w:val="16"/>
                <w:szCs w:val="16"/>
                <w:lang w:eastAsia="zh-CN"/>
              </w:rPr>
              <w:t>东部</w:t>
            </w:r>
            <w:r>
              <w:rPr>
                <w:rFonts w:ascii="Times New Roman" w:hAnsi="Times New Roman" w:hint="eastAsia"/>
                <w:color w:val="auto"/>
                <w:sz w:val="16"/>
                <w:szCs w:val="16"/>
                <w:lang w:eastAsia="zh-CN"/>
              </w:rPr>
              <w:t>1.3km</w:t>
            </w:r>
          </w:p>
        </w:tc>
        <w:tc>
          <w:tcPr>
            <w:tcW w:w="1854" w:type="dxa"/>
            <w:tcMar>
              <w:top w:w="0" w:type="dxa"/>
              <w:left w:w="0" w:type="dxa"/>
              <w:bottom w:w="0" w:type="dxa"/>
              <w:right w:w="0" w:type="dxa"/>
            </w:tcMar>
            <w:vAlign w:val="center"/>
          </w:tcPr>
          <w:p w14:paraId="6CF2264C"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lang w:eastAsia="zh-CN"/>
              </w:rPr>
              <w:t>海区内确权有旅游基础设施用海，后海北侧建有游艇码头等、赤岭建有拦沙堤等</w:t>
            </w:r>
            <w:r>
              <w:rPr>
                <w:rFonts w:ascii="Times New Roman" w:hAnsi="Times New Roman"/>
                <w:color w:val="auto"/>
                <w:sz w:val="16"/>
                <w:szCs w:val="16"/>
                <w:lang w:eastAsia="zh-CN"/>
              </w:rPr>
              <w:t xml:space="preserve"> </w:t>
            </w:r>
            <w:r>
              <w:rPr>
                <w:rFonts w:ascii="Times New Roman" w:hAnsi="Times New Roman"/>
                <w:color w:val="auto"/>
                <w:sz w:val="16"/>
                <w:szCs w:val="16"/>
                <w:lang w:eastAsia="zh-CN"/>
              </w:rPr>
              <w:t>构筑物；游乐场用海；海底电缆管道用海，为取排水用海；科研教学用海</w:t>
            </w:r>
          </w:p>
        </w:tc>
        <w:tc>
          <w:tcPr>
            <w:tcW w:w="2436" w:type="dxa"/>
            <w:tcMar>
              <w:top w:w="0" w:type="dxa"/>
              <w:left w:w="0" w:type="dxa"/>
              <w:bottom w:w="0" w:type="dxa"/>
              <w:right w:w="0" w:type="dxa"/>
            </w:tcMar>
            <w:vAlign w:val="center"/>
          </w:tcPr>
          <w:p w14:paraId="20B42D78"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主导用海类型为游憩用海，兼容渔业用海等，可适度开展休闲渔业和海洋牧场用海</w:t>
            </w:r>
            <w:r>
              <w:rPr>
                <w:rFonts w:ascii="Times New Roman" w:eastAsia="宋体" w:hAnsi="Times New Roman" w:cs="宋体"/>
                <w:color w:val="auto"/>
                <w:sz w:val="16"/>
                <w:szCs w:val="16"/>
                <w:lang w:eastAsia="zh-CN"/>
              </w:rPr>
              <w:t xml:space="preserve"> </w:t>
            </w:r>
            <w:r>
              <w:rPr>
                <w:rFonts w:ascii="Times New Roman" w:eastAsia="宋体" w:hAnsi="Times New Roman" w:cs="宋体"/>
                <w:color w:val="auto"/>
                <w:sz w:val="16"/>
                <w:szCs w:val="16"/>
                <w:lang w:eastAsia="zh-CN"/>
              </w:rPr>
              <w:t>活动</w:t>
            </w:r>
          </w:p>
        </w:tc>
        <w:tc>
          <w:tcPr>
            <w:tcW w:w="1629" w:type="dxa"/>
            <w:tcMar>
              <w:top w:w="0" w:type="dxa"/>
              <w:left w:w="0" w:type="dxa"/>
              <w:bottom w:w="0" w:type="dxa"/>
              <w:right w:w="0" w:type="dxa"/>
            </w:tcMar>
            <w:vAlign w:val="center"/>
          </w:tcPr>
          <w:p w14:paraId="3B4111D0"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严格限制改变海域自然属性；控制海岛开发利用强度，严格论证开发利用的必要性、</w:t>
            </w:r>
            <w:r>
              <w:rPr>
                <w:rFonts w:ascii="Times New Roman" w:eastAsia="宋体" w:hAnsi="Times New Roman" w:cs="宋体"/>
                <w:color w:val="auto"/>
                <w:sz w:val="16"/>
                <w:szCs w:val="16"/>
                <w:lang w:eastAsia="zh-CN"/>
              </w:rPr>
              <w:t xml:space="preserve"> </w:t>
            </w:r>
            <w:r>
              <w:rPr>
                <w:rFonts w:ascii="Times New Roman" w:eastAsia="宋体" w:hAnsi="Times New Roman" w:cs="宋体"/>
                <w:color w:val="auto"/>
                <w:sz w:val="16"/>
                <w:szCs w:val="16"/>
                <w:lang w:eastAsia="zh-CN"/>
              </w:rPr>
              <w:t>占用岸线、用岛方式与规模等，其中高岛和石头公岛用岛方式应为轻度利用式或原生利用式</w:t>
            </w:r>
          </w:p>
        </w:tc>
        <w:tc>
          <w:tcPr>
            <w:tcW w:w="1668" w:type="dxa"/>
            <w:tcMar>
              <w:top w:w="0" w:type="dxa"/>
              <w:left w:w="0" w:type="dxa"/>
              <w:bottom w:w="0" w:type="dxa"/>
              <w:right w:w="0" w:type="dxa"/>
            </w:tcMar>
            <w:vAlign w:val="center"/>
          </w:tcPr>
          <w:p w14:paraId="4A551B66"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保护沙滩、沿岸地质地貌、自然岸线和防护林；保护海岛自然岸线和典型植被，严</w:t>
            </w:r>
            <w:r>
              <w:rPr>
                <w:rFonts w:ascii="Times New Roman" w:eastAsia="宋体" w:hAnsi="Times New Roman" w:cs="宋体"/>
                <w:color w:val="auto"/>
                <w:sz w:val="16"/>
                <w:szCs w:val="16"/>
                <w:lang w:eastAsia="zh-CN"/>
              </w:rPr>
              <w:t xml:space="preserve"> </w:t>
            </w:r>
            <w:r>
              <w:rPr>
                <w:rFonts w:ascii="Times New Roman" w:eastAsia="宋体" w:hAnsi="Times New Roman" w:cs="宋体"/>
                <w:color w:val="auto"/>
                <w:sz w:val="16"/>
                <w:szCs w:val="16"/>
                <w:lang w:eastAsia="zh-CN"/>
              </w:rPr>
              <w:t>格落实生态环境保护措施，三牙门和蜈支洲岛实施海岛生态保护和修复；保护潮间</w:t>
            </w:r>
            <w:r>
              <w:rPr>
                <w:rFonts w:ascii="Times New Roman" w:eastAsia="宋体" w:hAnsi="Times New Roman" w:cs="宋体"/>
                <w:color w:val="auto"/>
                <w:sz w:val="16"/>
                <w:szCs w:val="16"/>
                <w:lang w:eastAsia="zh-CN"/>
              </w:rPr>
              <w:t xml:space="preserve"> </w:t>
            </w:r>
            <w:r>
              <w:rPr>
                <w:rFonts w:ascii="Times New Roman" w:eastAsia="宋体" w:hAnsi="Times New Roman" w:cs="宋体"/>
                <w:color w:val="auto"/>
                <w:sz w:val="16"/>
                <w:szCs w:val="16"/>
                <w:lang w:eastAsia="zh-CN"/>
              </w:rPr>
              <w:t>带底栖生物</w:t>
            </w:r>
          </w:p>
        </w:tc>
        <w:tc>
          <w:tcPr>
            <w:tcW w:w="1320" w:type="dxa"/>
            <w:tcMar>
              <w:top w:w="0" w:type="dxa"/>
              <w:left w:w="0" w:type="dxa"/>
              <w:bottom w:w="0" w:type="dxa"/>
              <w:right w:w="0" w:type="dxa"/>
            </w:tcMar>
            <w:vAlign w:val="center"/>
          </w:tcPr>
          <w:p w14:paraId="3E08F2CB"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位于三亚热带风景名胜区、陵水海滨风景名胜区的区域，同时按照风景名胜区的管</w:t>
            </w:r>
            <w:r>
              <w:rPr>
                <w:rFonts w:ascii="Times New Roman" w:eastAsia="宋体" w:hAnsi="Times New Roman" w:cs="宋体"/>
                <w:color w:val="auto"/>
                <w:sz w:val="16"/>
                <w:szCs w:val="16"/>
                <w:lang w:eastAsia="zh-CN"/>
              </w:rPr>
              <w:t xml:space="preserve"> </w:t>
            </w:r>
            <w:r>
              <w:rPr>
                <w:rFonts w:ascii="Times New Roman" w:eastAsia="宋体" w:hAnsi="Times New Roman" w:cs="宋体"/>
                <w:color w:val="auto"/>
                <w:sz w:val="16"/>
                <w:szCs w:val="16"/>
                <w:lang w:eastAsia="zh-CN"/>
              </w:rPr>
              <w:t>理要求进行管理</w:t>
            </w:r>
          </w:p>
        </w:tc>
        <w:tc>
          <w:tcPr>
            <w:tcW w:w="1611" w:type="dxa"/>
            <w:tcMar>
              <w:top w:w="0" w:type="dxa"/>
              <w:left w:w="0" w:type="dxa"/>
              <w:bottom w:w="0" w:type="dxa"/>
              <w:right w:w="0" w:type="dxa"/>
            </w:tcMar>
            <w:vAlign w:val="center"/>
          </w:tcPr>
          <w:p w14:paraId="78572E4F" w14:textId="77777777" w:rsidR="0075791A" w:rsidRDefault="00FB2864">
            <w:pPr>
              <w:pStyle w:val="TableText"/>
              <w:rPr>
                <w:rFonts w:ascii="Times New Roman" w:hAnsi="Times New Roman"/>
                <w:color w:val="auto"/>
                <w:sz w:val="16"/>
                <w:szCs w:val="16"/>
                <w:lang w:eastAsia="zh-CN"/>
              </w:rPr>
            </w:pPr>
            <w:r>
              <w:rPr>
                <w:noProof/>
                <w:color w:val="auto"/>
              </w:rPr>
              <w:drawing>
                <wp:inline distT="0" distB="0" distL="114300" distR="114300" wp14:anchorId="64431A73" wp14:editId="7D5A9433">
                  <wp:extent cx="1007745" cy="951865"/>
                  <wp:effectExtent l="0" t="0" r="13335" b="8255"/>
                  <wp:docPr id="182"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07"/>
                          <pic:cNvPicPr>
                            <a:picLocks noChangeAspect="1"/>
                          </pic:cNvPicPr>
                        </pic:nvPicPr>
                        <pic:blipFill>
                          <a:blip r:embed="rId267"/>
                          <a:srcRect t="52878"/>
                          <a:stretch>
                            <a:fillRect/>
                          </a:stretch>
                        </pic:blipFill>
                        <pic:spPr>
                          <a:xfrm>
                            <a:off x="0" y="0"/>
                            <a:ext cx="1007745" cy="951865"/>
                          </a:xfrm>
                          <a:prstGeom prst="rect">
                            <a:avLst/>
                          </a:prstGeom>
                          <a:noFill/>
                          <a:ln>
                            <a:noFill/>
                          </a:ln>
                        </pic:spPr>
                      </pic:pic>
                    </a:graphicData>
                  </a:graphic>
                </wp:inline>
              </w:drawing>
            </w:r>
          </w:p>
        </w:tc>
      </w:tr>
      <w:tr w:rsidR="0075791A" w14:paraId="08413460" w14:textId="77777777">
        <w:trPr>
          <w:trHeight w:val="1310"/>
          <w:jc w:val="center"/>
        </w:trPr>
        <w:tc>
          <w:tcPr>
            <w:tcW w:w="421" w:type="dxa"/>
            <w:tcMar>
              <w:top w:w="0" w:type="dxa"/>
              <w:left w:w="0" w:type="dxa"/>
              <w:bottom w:w="0" w:type="dxa"/>
              <w:right w:w="0" w:type="dxa"/>
            </w:tcMar>
            <w:vAlign w:val="center"/>
          </w:tcPr>
          <w:p w14:paraId="4CA79F95"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hint="eastAsia"/>
                <w:color w:val="auto"/>
                <w:sz w:val="16"/>
                <w:szCs w:val="16"/>
                <w:lang w:eastAsia="zh-CN"/>
              </w:rPr>
              <w:t>4</w:t>
            </w:r>
          </w:p>
        </w:tc>
        <w:tc>
          <w:tcPr>
            <w:tcW w:w="917" w:type="dxa"/>
            <w:tcMar>
              <w:top w:w="0" w:type="dxa"/>
              <w:left w:w="0" w:type="dxa"/>
              <w:bottom w:w="0" w:type="dxa"/>
              <w:right w:w="0" w:type="dxa"/>
            </w:tcMar>
            <w:vAlign w:val="center"/>
          </w:tcPr>
          <w:p w14:paraId="55A1E5F4"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lang w:eastAsia="zh-CN"/>
              </w:rPr>
              <w:t>蜈支洲岛</w:t>
            </w:r>
            <w:r>
              <w:rPr>
                <w:rFonts w:ascii="Times New Roman" w:hAnsi="Times New Roman"/>
                <w:color w:val="auto"/>
                <w:sz w:val="16"/>
                <w:szCs w:val="16"/>
                <w:lang w:eastAsia="zh-CN"/>
              </w:rPr>
              <w:t xml:space="preserve"> </w:t>
            </w:r>
            <w:r>
              <w:rPr>
                <w:rFonts w:ascii="Times New Roman" w:hAnsi="Times New Roman"/>
                <w:color w:val="auto"/>
                <w:sz w:val="16"/>
                <w:szCs w:val="16"/>
                <w:lang w:eastAsia="zh-CN"/>
              </w:rPr>
              <w:t>海底电缆管道用海区</w:t>
            </w:r>
          </w:p>
        </w:tc>
        <w:tc>
          <w:tcPr>
            <w:tcW w:w="788" w:type="dxa"/>
            <w:tcMar>
              <w:top w:w="0" w:type="dxa"/>
              <w:left w:w="0" w:type="dxa"/>
              <w:bottom w:w="0" w:type="dxa"/>
              <w:right w:w="0" w:type="dxa"/>
            </w:tcMar>
            <w:vAlign w:val="center"/>
          </w:tcPr>
          <w:p w14:paraId="3EFF9EC7"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rPr>
              <w:t>636-003</w:t>
            </w:r>
          </w:p>
        </w:tc>
        <w:tc>
          <w:tcPr>
            <w:tcW w:w="446" w:type="dxa"/>
            <w:tcMar>
              <w:top w:w="0" w:type="dxa"/>
              <w:left w:w="0" w:type="dxa"/>
              <w:bottom w:w="0" w:type="dxa"/>
              <w:right w:w="0" w:type="dxa"/>
            </w:tcMar>
            <w:vAlign w:val="center"/>
          </w:tcPr>
          <w:p w14:paraId="6F7B09AA"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rPr>
              <w:t>海底电缆管道用海区</w:t>
            </w:r>
          </w:p>
        </w:tc>
        <w:tc>
          <w:tcPr>
            <w:tcW w:w="737" w:type="dxa"/>
            <w:tcMar>
              <w:top w:w="0" w:type="dxa"/>
              <w:left w:w="0" w:type="dxa"/>
              <w:bottom w:w="0" w:type="dxa"/>
              <w:right w:w="0" w:type="dxa"/>
            </w:tcMar>
            <w:vAlign w:val="center"/>
          </w:tcPr>
          <w:p w14:paraId="5E2EA2A3"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位于三亚市蜈支洲岛西侧海域</w:t>
            </w:r>
          </w:p>
        </w:tc>
        <w:tc>
          <w:tcPr>
            <w:tcW w:w="531" w:type="dxa"/>
            <w:tcMar>
              <w:top w:w="0" w:type="dxa"/>
              <w:left w:w="0" w:type="dxa"/>
              <w:bottom w:w="0" w:type="dxa"/>
              <w:right w:w="0" w:type="dxa"/>
            </w:tcMar>
            <w:vAlign w:val="center"/>
          </w:tcPr>
          <w:p w14:paraId="3E222600" w14:textId="77777777" w:rsidR="0075791A" w:rsidRDefault="00FB2864">
            <w:pPr>
              <w:pStyle w:val="TableText"/>
              <w:jc w:val="both"/>
              <w:rPr>
                <w:rFonts w:ascii="Times New Roman" w:hAnsi="Times New Roman"/>
                <w:color w:val="auto"/>
                <w:sz w:val="16"/>
                <w:szCs w:val="16"/>
                <w:lang w:eastAsia="zh-CN"/>
              </w:rPr>
            </w:pPr>
            <w:r>
              <w:rPr>
                <w:rFonts w:ascii="Times New Roman" w:hAnsi="Times New Roman" w:hint="eastAsia"/>
                <w:color w:val="auto"/>
                <w:sz w:val="16"/>
                <w:szCs w:val="16"/>
                <w:lang w:eastAsia="zh-CN"/>
              </w:rPr>
              <w:t>东北部</w:t>
            </w:r>
            <w:r>
              <w:rPr>
                <w:rFonts w:ascii="Times New Roman" w:hAnsi="Times New Roman" w:hint="eastAsia"/>
                <w:color w:val="auto"/>
                <w:sz w:val="16"/>
                <w:szCs w:val="16"/>
                <w:lang w:eastAsia="zh-CN"/>
              </w:rPr>
              <w:t>4.5km</w:t>
            </w:r>
          </w:p>
        </w:tc>
        <w:tc>
          <w:tcPr>
            <w:tcW w:w="1854" w:type="dxa"/>
            <w:tcMar>
              <w:top w:w="0" w:type="dxa"/>
              <w:left w:w="0" w:type="dxa"/>
              <w:bottom w:w="0" w:type="dxa"/>
              <w:right w:w="0" w:type="dxa"/>
            </w:tcMar>
            <w:vAlign w:val="center"/>
          </w:tcPr>
          <w:p w14:paraId="3F189F39"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rPr>
              <w:t>有海底管线穿越</w:t>
            </w:r>
          </w:p>
        </w:tc>
        <w:tc>
          <w:tcPr>
            <w:tcW w:w="2436" w:type="dxa"/>
            <w:tcMar>
              <w:top w:w="0" w:type="dxa"/>
              <w:left w:w="0" w:type="dxa"/>
              <w:bottom w:w="0" w:type="dxa"/>
              <w:right w:w="0" w:type="dxa"/>
            </w:tcMar>
            <w:vAlign w:val="center"/>
          </w:tcPr>
          <w:p w14:paraId="2EA123A7"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主导用海类型为海底电缆管道用海，可兼容游憩用海</w:t>
            </w:r>
          </w:p>
        </w:tc>
        <w:tc>
          <w:tcPr>
            <w:tcW w:w="1629" w:type="dxa"/>
            <w:tcMar>
              <w:top w:w="0" w:type="dxa"/>
              <w:left w:w="0" w:type="dxa"/>
              <w:bottom w:w="0" w:type="dxa"/>
              <w:right w:w="0" w:type="dxa"/>
            </w:tcMar>
            <w:vAlign w:val="center"/>
          </w:tcPr>
          <w:p w14:paraId="76E17E41"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严格限制改变海域自然属性</w:t>
            </w:r>
          </w:p>
        </w:tc>
        <w:tc>
          <w:tcPr>
            <w:tcW w:w="1668" w:type="dxa"/>
            <w:tcMar>
              <w:top w:w="0" w:type="dxa"/>
              <w:left w:w="0" w:type="dxa"/>
              <w:bottom w:w="0" w:type="dxa"/>
              <w:right w:w="0" w:type="dxa"/>
            </w:tcMar>
            <w:vAlign w:val="center"/>
          </w:tcPr>
          <w:p w14:paraId="43B5737B"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保护海域生态环境；保护潮间带底栖生物</w:t>
            </w:r>
          </w:p>
        </w:tc>
        <w:tc>
          <w:tcPr>
            <w:tcW w:w="1320" w:type="dxa"/>
            <w:tcMar>
              <w:top w:w="0" w:type="dxa"/>
              <w:left w:w="0" w:type="dxa"/>
              <w:bottom w:w="0" w:type="dxa"/>
              <w:right w:w="0" w:type="dxa"/>
            </w:tcMar>
            <w:vAlign w:val="center"/>
          </w:tcPr>
          <w:p w14:paraId="231C16DE"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对海底电缆管道采取定期复查、监视和保护措施</w:t>
            </w:r>
          </w:p>
        </w:tc>
        <w:tc>
          <w:tcPr>
            <w:tcW w:w="1611" w:type="dxa"/>
            <w:tcMar>
              <w:top w:w="0" w:type="dxa"/>
              <w:left w:w="0" w:type="dxa"/>
              <w:bottom w:w="0" w:type="dxa"/>
              <w:right w:w="0" w:type="dxa"/>
            </w:tcMar>
            <w:vAlign w:val="center"/>
          </w:tcPr>
          <w:p w14:paraId="07A60CAE" w14:textId="77777777" w:rsidR="0075791A" w:rsidRDefault="00FB2864">
            <w:pPr>
              <w:pStyle w:val="TableText"/>
              <w:rPr>
                <w:rFonts w:ascii="Times New Roman" w:hAnsi="Times New Roman"/>
                <w:color w:val="auto"/>
                <w:sz w:val="16"/>
                <w:szCs w:val="16"/>
                <w:lang w:eastAsia="zh-CN"/>
              </w:rPr>
            </w:pPr>
            <w:r>
              <w:rPr>
                <w:noProof/>
                <w:color w:val="auto"/>
              </w:rPr>
              <w:drawing>
                <wp:inline distT="0" distB="0" distL="114300" distR="114300" wp14:anchorId="16F47459" wp14:editId="3B202BB6">
                  <wp:extent cx="972185" cy="915035"/>
                  <wp:effectExtent l="0" t="0" r="3175" b="14605"/>
                  <wp:docPr id="183"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08"/>
                          <pic:cNvPicPr>
                            <a:picLocks noChangeAspect="1"/>
                          </pic:cNvPicPr>
                        </pic:nvPicPr>
                        <pic:blipFill>
                          <a:blip r:embed="rId268"/>
                          <a:srcRect t="53003"/>
                          <a:stretch>
                            <a:fillRect/>
                          </a:stretch>
                        </pic:blipFill>
                        <pic:spPr>
                          <a:xfrm>
                            <a:off x="0" y="0"/>
                            <a:ext cx="972185" cy="915035"/>
                          </a:xfrm>
                          <a:prstGeom prst="rect">
                            <a:avLst/>
                          </a:prstGeom>
                          <a:noFill/>
                          <a:ln>
                            <a:noFill/>
                          </a:ln>
                        </pic:spPr>
                      </pic:pic>
                    </a:graphicData>
                  </a:graphic>
                </wp:inline>
              </w:drawing>
            </w:r>
          </w:p>
        </w:tc>
      </w:tr>
      <w:tr w:rsidR="0075791A" w14:paraId="5D477490" w14:textId="77777777">
        <w:trPr>
          <w:trHeight w:val="352"/>
          <w:jc w:val="center"/>
        </w:trPr>
        <w:tc>
          <w:tcPr>
            <w:tcW w:w="421" w:type="dxa"/>
            <w:tcMar>
              <w:top w:w="0" w:type="dxa"/>
              <w:left w:w="0" w:type="dxa"/>
              <w:bottom w:w="0" w:type="dxa"/>
              <w:right w:w="0" w:type="dxa"/>
            </w:tcMar>
            <w:vAlign w:val="center"/>
          </w:tcPr>
          <w:p w14:paraId="4882ED17"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hint="eastAsia"/>
                <w:color w:val="auto"/>
                <w:sz w:val="16"/>
                <w:szCs w:val="16"/>
                <w:lang w:eastAsia="zh-CN"/>
              </w:rPr>
              <w:t>5</w:t>
            </w:r>
          </w:p>
        </w:tc>
        <w:tc>
          <w:tcPr>
            <w:tcW w:w="917" w:type="dxa"/>
            <w:tcMar>
              <w:top w:w="0" w:type="dxa"/>
              <w:left w:w="0" w:type="dxa"/>
              <w:bottom w:w="0" w:type="dxa"/>
              <w:right w:w="0" w:type="dxa"/>
            </w:tcMar>
            <w:vAlign w:val="center"/>
          </w:tcPr>
          <w:p w14:paraId="61CE5742"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lang w:eastAsia="zh-CN"/>
              </w:rPr>
              <w:t>后海珊瑚礁生态保护区</w:t>
            </w:r>
          </w:p>
        </w:tc>
        <w:tc>
          <w:tcPr>
            <w:tcW w:w="788" w:type="dxa"/>
            <w:tcMar>
              <w:top w:w="0" w:type="dxa"/>
              <w:left w:w="0" w:type="dxa"/>
              <w:bottom w:w="0" w:type="dxa"/>
              <w:right w:w="0" w:type="dxa"/>
            </w:tcMar>
            <w:vAlign w:val="center"/>
          </w:tcPr>
          <w:p w14:paraId="43F658E4"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rPr>
              <w:t>100-048</w:t>
            </w:r>
          </w:p>
        </w:tc>
        <w:tc>
          <w:tcPr>
            <w:tcW w:w="446" w:type="dxa"/>
            <w:tcMar>
              <w:top w:w="0" w:type="dxa"/>
              <w:left w:w="0" w:type="dxa"/>
              <w:bottom w:w="0" w:type="dxa"/>
              <w:right w:w="0" w:type="dxa"/>
            </w:tcMar>
            <w:vAlign w:val="center"/>
          </w:tcPr>
          <w:p w14:paraId="5CBCFB78"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rPr>
              <w:t>生态保护区</w:t>
            </w:r>
          </w:p>
        </w:tc>
        <w:tc>
          <w:tcPr>
            <w:tcW w:w="737" w:type="dxa"/>
            <w:tcMar>
              <w:top w:w="0" w:type="dxa"/>
              <w:left w:w="0" w:type="dxa"/>
              <w:bottom w:w="0" w:type="dxa"/>
              <w:right w:w="0" w:type="dxa"/>
            </w:tcMar>
            <w:vAlign w:val="center"/>
          </w:tcPr>
          <w:p w14:paraId="5907FFDC"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lang w:eastAsia="zh-CN"/>
              </w:rPr>
              <w:t>位于三亚市海棠湾后海角周边海域</w:t>
            </w:r>
          </w:p>
        </w:tc>
        <w:tc>
          <w:tcPr>
            <w:tcW w:w="531" w:type="dxa"/>
            <w:tcMar>
              <w:top w:w="0" w:type="dxa"/>
              <w:left w:w="0" w:type="dxa"/>
              <w:bottom w:w="0" w:type="dxa"/>
              <w:right w:w="0" w:type="dxa"/>
            </w:tcMar>
            <w:vAlign w:val="center"/>
          </w:tcPr>
          <w:p w14:paraId="22EF8FE3"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hint="eastAsia"/>
                <w:color w:val="auto"/>
                <w:sz w:val="16"/>
                <w:szCs w:val="16"/>
                <w:lang w:eastAsia="zh-CN"/>
              </w:rPr>
              <w:t>东部</w:t>
            </w:r>
            <w:r>
              <w:rPr>
                <w:rFonts w:ascii="Times New Roman" w:hAnsi="Times New Roman" w:hint="eastAsia"/>
                <w:color w:val="auto"/>
                <w:sz w:val="16"/>
                <w:szCs w:val="16"/>
                <w:lang w:eastAsia="zh-CN"/>
              </w:rPr>
              <w:t>2.1km</w:t>
            </w:r>
          </w:p>
        </w:tc>
        <w:tc>
          <w:tcPr>
            <w:tcW w:w="1854" w:type="dxa"/>
            <w:tcMar>
              <w:top w:w="0" w:type="dxa"/>
              <w:left w:w="0" w:type="dxa"/>
              <w:bottom w:w="0" w:type="dxa"/>
              <w:right w:w="0" w:type="dxa"/>
            </w:tcMar>
            <w:vAlign w:val="center"/>
          </w:tcPr>
          <w:p w14:paraId="5B6FBFB2"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rPr>
              <w:t>未开发利用</w:t>
            </w:r>
          </w:p>
        </w:tc>
        <w:tc>
          <w:tcPr>
            <w:tcW w:w="2436" w:type="dxa"/>
            <w:tcMar>
              <w:top w:w="0" w:type="dxa"/>
              <w:left w:w="0" w:type="dxa"/>
              <w:bottom w:w="0" w:type="dxa"/>
              <w:right w:w="0" w:type="dxa"/>
            </w:tcMar>
            <w:vAlign w:val="center"/>
          </w:tcPr>
          <w:p w14:paraId="6919ED66"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允许开展对生态功能不造成破坏的有限人为活动；严格按照自然保护地</w:t>
            </w:r>
            <w:r>
              <w:rPr>
                <w:rFonts w:ascii="Times New Roman" w:eastAsia="宋体" w:hAnsi="Times New Roman" w:cs="宋体"/>
                <w:color w:val="auto"/>
                <w:sz w:val="16"/>
                <w:szCs w:val="16"/>
                <w:lang w:eastAsia="zh-CN"/>
              </w:rPr>
              <w:t xml:space="preserve"> </w:t>
            </w:r>
            <w:r>
              <w:rPr>
                <w:rFonts w:ascii="Times New Roman" w:eastAsia="宋体" w:hAnsi="Times New Roman" w:cs="宋体"/>
                <w:color w:val="auto"/>
                <w:sz w:val="16"/>
                <w:szCs w:val="16"/>
                <w:lang w:eastAsia="zh-CN"/>
              </w:rPr>
              <w:t>管理规定、生态红线管理规定、珊瑚礁保护规定等进行管理</w:t>
            </w:r>
          </w:p>
        </w:tc>
        <w:tc>
          <w:tcPr>
            <w:tcW w:w="1629" w:type="dxa"/>
            <w:tcMar>
              <w:top w:w="0" w:type="dxa"/>
              <w:left w:w="0" w:type="dxa"/>
              <w:bottom w:w="0" w:type="dxa"/>
              <w:right w:w="0" w:type="dxa"/>
            </w:tcMar>
            <w:vAlign w:val="center"/>
          </w:tcPr>
          <w:p w14:paraId="22B544D0"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严格限制改变海域自然属性</w:t>
            </w:r>
          </w:p>
        </w:tc>
        <w:tc>
          <w:tcPr>
            <w:tcW w:w="1668" w:type="dxa"/>
            <w:tcMar>
              <w:top w:w="0" w:type="dxa"/>
              <w:left w:w="0" w:type="dxa"/>
              <w:bottom w:w="0" w:type="dxa"/>
              <w:right w:w="0" w:type="dxa"/>
            </w:tcMar>
            <w:vAlign w:val="center"/>
          </w:tcPr>
          <w:p w14:paraId="1F1DA27A" w14:textId="77777777" w:rsidR="0075791A" w:rsidRDefault="00FB2864">
            <w:pPr>
              <w:rPr>
                <w:rFonts w:ascii="Times New Roman" w:eastAsia="宋体" w:hAnsi="Times New Roman"/>
                <w:color w:val="auto"/>
                <w:sz w:val="16"/>
                <w:szCs w:val="16"/>
                <w:lang w:eastAsia="zh-CN"/>
              </w:rPr>
            </w:pPr>
            <w:r>
              <w:rPr>
                <w:rFonts w:ascii="Times New Roman" w:eastAsia="宋体" w:hAnsi="Times New Roman" w:cs="宋体"/>
                <w:color w:val="auto"/>
                <w:sz w:val="16"/>
                <w:szCs w:val="16"/>
                <w:lang w:eastAsia="zh-CN"/>
              </w:rPr>
              <w:t>保护珊瑚礁及其生态系统；保护海洋生物多样性；保护海岛自然景观资</w:t>
            </w:r>
            <w:r>
              <w:rPr>
                <w:rFonts w:ascii="Times New Roman" w:eastAsia="宋体" w:hAnsi="Times New Roman" w:cs="宋体"/>
                <w:color w:val="auto"/>
                <w:sz w:val="16"/>
                <w:szCs w:val="16"/>
                <w:lang w:eastAsia="zh-CN"/>
              </w:rPr>
              <w:t xml:space="preserve"> </w:t>
            </w:r>
            <w:r>
              <w:rPr>
                <w:rFonts w:ascii="Times New Roman" w:eastAsia="宋体" w:hAnsi="Times New Roman" w:cs="宋体"/>
                <w:color w:val="auto"/>
                <w:sz w:val="16"/>
                <w:szCs w:val="16"/>
                <w:lang w:eastAsia="zh-CN"/>
              </w:rPr>
              <w:t>源；保护潮间带底栖生物</w:t>
            </w:r>
          </w:p>
        </w:tc>
        <w:tc>
          <w:tcPr>
            <w:tcW w:w="1320" w:type="dxa"/>
            <w:tcMar>
              <w:top w:w="0" w:type="dxa"/>
              <w:left w:w="0" w:type="dxa"/>
              <w:bottom w:w="0" w:type="dxa"/>
              <w:right w:w="0" w:type="dxa"/>
            </w:tcMar>
            <w:vAlign w:val="center"/>
          </w:tcPr>
          <w:p w14:paraId="4EEEDDAA" w14:textId="77777777" w:rsidR="0075791A" w:rsidRDefault="00FB2864">
            <w:pPr>
              <w:jc w:val="center"/>
              <w:rPr>
                <w:rFonts w:ascii="Times New Roman" w:eastAsia="宋体" w:hAnsi="Times New Roman"/>
                <w:color w:val="auto"/>
                <w:sz w:val="16"/>
                <w:szCs w:val="16"/>
                <w:lang w:eastAsia="zh-CN"/>
              </w:rPr>
            </w:pPr>
            <w:r>
              <w:rPr>
                <w:rFonts w:ascii="Times New Roman" w:eastAsia="宋体" w:hAnsi="Times New Roman" w:cs="宋体"/>
                <w:color w:val="auto"/>
                <w:sz w:val="16"/>
                <w:szCs w:val="16"/>
              </w:rPr>
              <w:t>无</w:t>
            </w:r>
          </w:p>
        </w:tc>
        <w:tc>
          <w:tcPr>
            <w:tcW w:w="1611" w:type="dxa"/>
            <w:tcMar>
              <w:top w:w="0" w:type="dxa"/>
              <w:left w:w="0" w:type="dxa"/>
              <w:bottom w:w="0" w:type="dxa"/>
              <w:right w:w="0" w:type="dxa"/>
            </w:tcMar>
            <w:vAlign w:val="center"/>
          </w:tcPr>
          <w:p w14:paraId="3CBA9734" w14:textId="77777777" w:rsidR="0075791A" w:rsidRDefault="00FB2864">
            <w:pPr>
              <w:pStyle w:val="TableText"/>
              <w:rPr>
                <w:rFonts w:ascii="Times New Roman" w:hAnsi="Times New Roman"/>
                <w:color w:val="auto"/>
                <w:sz w:val="16"/>
                <w:szCs w:val="16"/>
                <w:lang w:eastAsia="zh-CN"/>
              </w:rPr>
            </w:pPr>
            <w:r>
              <w:rPr>
                <w:noProof/>
                <w:color w:val="auto"/>
              </w:rPr>
              <w:drawing>
                <wp:inline distT="0" distB="0" distL="114300" distR="114300" wp14:anchorId="5C39B37E" wp14:editId="2CA7C277">
                  <wp:extent cx="1007745" cy="942340"/>
                  <wp:effectExtent l="0" t="0" r="13335" b="2540"/>
                  <wp:docPr id="187"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12"/>
                          <pic:cNvPicPr>
                            <a:picLocks noChangeAspect="1"/>
                          </pic:cNvPicPr>
                        </pic:nvPicPr>
                        <pic:blipFill>
                          <a:blip r:embed="rId269"/>
                          <a:srcRect t="53377"/>
                          <a:stretch>
                            <a:fillRect/>
                          </a:stretch>
                        </pic:blipFill>
                        <pic:spPr>
                          <a:xfrm>
                            <a:off x="0" y="0"/>
                            <a:ext cx="1007745" cy="942340"/>
                          </a:xfrm>
                          <a:prstGeom prst="rect">
                            <a:avLst/>
                          </a:prstGeom>
                          <a:noFill/>
                          <a:ln>
                            <a:noFill/>
                          </a:ln>
                        </pic:spPr>
                      </pic:pic>
                    </a:graphicData>
                  </a:graphic>
                </wp:inline>
              </w:drawing>
            </w:r>
          </w:p>
        </w:tc>
      </w:tr>
      <w:tr w:rsidR="0075791A" w14:paraId="69BCA059" w14:textId="77777777">
        <w:trPr>
          <w:trHeight w:val="1572"/>
          <w:jc w:val="center"/>
        </w:trPr>
        <w:tc>
          <w:tcPr>
            <w:tcW w:w="421" w:type="dxa"/>
            <w:tcMar>
              <w:top w:w="0" w:type="dxa"/>
              <w:left w:w="0" w:type="dxa"/>
              <w:bottom w:w="0" w:type="dxa"/>
              <w:right w:w="0" w:type="dxa"/>
            </w:tcMar>
            <w:vAlign w:val="center"/>
          </w:tcPr>
          <w:p w14:paraId="194FADE1"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hint="eastAsia"/>
                <w:color w:val="auto"/>
                <w:sz w:val="16"/>
                <w:szCs w:val="16"/>
                <w:lang w:eastAsia="zh-CN"/>
              </w:rPr>
              <w:lastRenderedPageBreak/>
              <w:t>6</w:t>
            </w:r>
          </w:p>
        </w:tc>
        <w:tc>
          <w:tcPr>
            <w:tcW w:w="917" w:type="dxa"/>
            <w:tcMar>
              <w:top w:w="0" w:type="dxa"/>
              <w:left w:w="0" w:type="dxa"/>
              <w:bottom w:w="0" w:type="dxa"/>
              <w:right w:w="0" w:type="dxa"/>
            </w:tcMar>
            <w:vAlign w:val="center"/>
          </w:tcPr>
          <w:p w14:paraId="20CE43FE"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lang w:eastAsia="zh-CN"/>
              </w:rPr>
              <w:t>牛车湾</w:t>
            </w:r>
            <w:r>
              <w:rPr>
                <w:rFonts w:ascii="Times New Roman" w:hAnsi="Times New Roman"/>
                <w:color w:val="auto"/>
                <w:sz w:val="16"/>
                <w:szCs w:val="16"/>
                <w:lang w:eastAsia="zh-CN"/>
              </w:rPr>
              <w:t>-</w:t>
            </w:r>
            <w:r>
              <w:rPr>
                <w:rFonts w:ascii="Times New Roman" w:hAnsi="Times New Roman"/>
                <w:color w:val="auto"/>
                <w:sz w:val="16"/>
                <w:szCs w:val="16"/>
                <w:lang w:eastAsia="zh-CN"/>
              </w:rPr>
              <w:t>亚龙湾</w:t>
            </w:r>
            <w:r>
              <w:rPr>
                <w:rFonts w:ascii="Times New Roman" w:hAnsi="Times New Roman"/>
                <w:color w:val="auto"/>
                <w:sz w:val="16"/>
                <w:szCs w:val="16"/>
                <w:lang w:eastAsia="zh-CN"/>
              </w:rPr>
              <w:t xml:space="preserve"> </w:t>
            </w:r>
            <w:r>
              <w:rPr>
                <w:rFonts w:ascii="Times New Roman" w:hAnsi="Times New Roman"/>
                <w:color w:val="auto"/>
                <w:sz w:val="16"/>
                <w:szCs w:val="16"/>
                <w:lang w:eastAsia="zh-CN"/>
              </w:rPr>
              <w:t>海岸生态保护区</w:t>
            </w:r>
          </w:p>
        </w:tc>
        <w:tc>
          <w:tcPr>
            <w:tcW w:w="788" w:type="dxa"/>
            <w:tcMar>
              <w:top w:w="0" w:type="dxa"/>
              <w:left w:w="0" w:type="dxa"/>
              <w:bottom w:w="0" w:type="dxa"/>
              <w:right w:w="0" w:type="dxa"/>
            </w:tcMar>
            <w:vAlign w:val="center"/>
          </w:tcPr>
          <w:p w14:paraId="2413240B"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rPr>
              <w:t>100-050</w:t>
            </w:r>
          </w:p>
        </w:tc>
        <w:tc>
          <w:tcPr>
            <w:tcW w:w="446" w:type="dxa"/>
            <w:tcMar>
              <w:top w:w="0" w:type="dxa"/>
              <w:left w:w="0" w:type="dxa"/>
              <w:bottom w:w="0" w:type="dxa"/>
              <w:right w:w="0" w:type="dxa"/>
            </w:tcMar>
            <w:vAlign w:val="center"/>
          </w:tcPr>
          <w:p w14:paraId="0D5A7964"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rPr>
              <w:t>生态保护区</w:t>
            </w:r>
          </w:p>
        </w:tc>
        <w:tc>
          <w:tcPr>
            <w:tcW w:w="737" w:type="dxa"/>
            <w:tcMar>
              <w:top w:w="0" w:type="dxa"/>
              <w:left w:w="0" w:type="dxa"/>
              <w:bottom w:w="0" w:type="dxa"/>
              <w:right w:w="0" w:type="dxa"/>
            </w:tcMar>
            <w:vAlign w:val="center"/>
          </w:tcPr>
          <w:p w14:paraId="62EF9810"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位于三亚市牛车湾</w:t>
            </w:r>
            <w:r>
              <w:rPr>
                <w:rFonts w:ascii="Times New Roman" w:eastAsia="宋体" w:hAnsi="Times New Roman" w:cs="宋体"/>
                <w:color w:val="auto"/>
                <w:sz w:val="16"/>
                <w:szCs w:val="16"/>
                <w:lang w:eastAsia="zh-CN"/>
              </w:rPr>
              <w:t>-</w:t>
            </w:r>
            <w:r>
              <w:rPr>
                <w:rFonts w:ascii="Times New Roman" w:eastAsia="宋体" w:hAnsi="Times New Roman" w:cs="宋体"/>
                <w:color w:val="auto"/>
                <w:sz w:val="16"/>
                <w:szCs w:val="16"/>
                <w:lang w:eastAsia="zh-CN"/>
              </w:rPr>
              <w:t>亚龙湾海域</w:t>
            </w:r>
          </w:p>
        </w:tc>
        <w:tc>
          <w:tcPr>
            <w:tcW w:w="531" w:type="dxa"/>
            <w:tcMar>
              <w:top w:w="0" w:type="dxa"/>
              <w:left w:w="0" w:type="dxa"/>
              <w:bottom w:w="0" w:type="dxa"/>
              <w:right w:w="0" w:type="dxa"/>
            </w:tcMar>
            <w:vAlign w:val="center"/>
          </w:tcPr>
          <w:p w14:paraId="1CA99A7F"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hint="eastAsia"/>
                <w:color w:val="auto"/>
                <w:sz w:val="16"/>
                <w:szCs w:val="16"/>
                <w:lang w:eastAsia="zh-CN"/>
              </w:rPr>
              <w:t>东部</w:t>
            </w:r>
            <w:r>
              <w:rPr>
                <w:rFonts w:ascii="Times New Roman" w:hAnsi="Times New Roman" w:hint="eastAsia"/>
                <w:color w:val="auto"/>
                <w:sz w:val="16"/>
                <w:szCs w:val="16"/>
                <w:lang w:eastAsia="zh-CN"/>
              </w:rPr>
              <w:t>1.8km</w:t>
            </w:r>
          </w:p>
        </w:tc>
        <w:tc>
          <w:tcPr>
            <w:tcW w:w="1854" w:type="dxa"/>
            <w:tcMar>
              <w:top w:w="0" w:type="dxa"/>
              <w:left w:w="0" w:type="dxa"/>
              <w:bottom w:w="0" w:type="dxa"/>
              <w:right w:w="0" w:type="dxa"/>
            </w:tcMar>
            <w:vAlign w:val="center"/>
          </w:tcPr>
          <w:p w14:paraId="3198B734"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lang w:eastAsia="zh-CN"/>
              </w:rPr>
              <w:t>海区内确权有游乐场用海、浴场用海、海岸防护工程用海</w:t>
            </w:r>
          </w:p>
        </w:tc>
        <w:tc>
          <w:tcPr>
            <w:tcW w:w="2436" w:type="dxa"/>
            <w:tcMar>
              <w:top w:w="0" w:type="dxa"/>
              <w:left w:w="0" w:type="dxa"/>
              <w:bottom w:w="0" w:type="dxa"/>
              <w:right w:w="0" w:type="dxa"/>
            </w:tcMar>
            <w:vAlign w:val="center"/>
          </w:tcPr>
          <w:p w14:paraId="4AB92127"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允许开展对生态功能不造成破坏的有限人为活动；严格按照自然保护地管</w:t>
            </w:r>
            <w:r>
              <w:rPr>
                <w:rFonts w:ascii="Times New Roman" w:eastAsia="宋体" w:hAnsi="Times New Roman" w:cs="宋体"/>
                <w:color w:val="auto"/>
                <w:sz w:val="16"/>
                <w:szCs w:val="16"/>
                <w:lang w:eastAsia="zh-CN"/>
              </w:rPr>
              <w:t xml:space="preserve"> </w:t>
            </w:r>
            <w:r>
              <w:rPr>
                <w:rFonts w:ascii="Times New Roman" w:eastAsia="宋体" w:hAnsi="Times New Roman" w:cs="宋体"/>
                <w:color w:val="auto"/>
                <w:sz w:val="16"/>
                <w:szCs w:val="16"/>
                <w:lang w:eastAsia="zh-CN"/>
              </w:rPr>
              <w:t>理规定、生态红线管理规定等进行管理</w:t>
            </w:r>
          </w:p>
        </w:tc>
        <w:tc>
          <w:tcPr>
            <w:tcW w:w="1629" w:type="dxa"/>
            <w:tcMar>
              <w:top w:w="0" w:type="dxa"/>
              <w:left w:w="0" w:type="dxa"/>
              <w:bottom w:w="0" w:type="dxa"/>
              <w:right w:w="0" w:type="dxa"/>
            </w:tcMar>
            <w:vAlign w:val="center"/>
          </w:tcPr>
          <w:p w14:paraId="3B39B826"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严格限制改变海域自然属性</w:t>
            </w:r>
          </w:p>
        </w:tc>
        <w:tc>
          <w:tcPr>
            <w:tcW w:w="1668" w:type="dxa"/>
            <w:tcMar>
              <w:top w:w="0" w:type="dxa"/>
              <w:left w:w="0" w:type="dxa"/>
              <w:bottom w:w="0" w:type="dxa"/>
              <w:right w:w="0" w:type="dxa"/>
            </w:tcMar>
            <w:vAlign w:val="center"/>
          </w:tcPr>
          <w:p w14:paraId="305A619F"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保护自然岸线；保护海岸形态、地质地貌及海域自然生态环境；保护海岛</w:t>
            </w:r>
            <w:r>
              <w:rPr>
                <w:rFonts w:ascii="Times New Roman" w:eastAsia="宋体" w:hAnsi="Times New Roman" w:cs="宋体"/>
                <w:color w:val="auto"/>
                <w:sz w:val="16"/>
                <w:szCs w:val="16"/>
                <w:lang w:eastAsia="zh-CN"/>
              </w:rPr>
              <w:t xml:space="preserve"> </w:t>
            </w:r>
            <w:r>
              <w:rPr>
                <w:rFonts w:ascii="Times New Roman" w:eastAsia="宋体" w:hAnsi="Times New Roman" w:cs="宋体"/>
                <w:color w:val="auto"/>
                <w:sz w:val="16"/>
                <w:szCs w:val="16"/>
                <w:lang w:eastAsia="zh-CN"/>
              </w:rPr>
              <w:t>自然景观资源；保护潮间带底栖生物</w:t>
            </w:r>
          </w:p>
        </w:tc>
        <w:tc>
          <w:tcPr>
            <w:tcW w:w="1320" w:type="dxa"/>
            <w:tcMar>
              <w:top w:w="0" w:type="dxa"/>
              <w:left w:w="0" w:type="dxa"/>
              <w:bottom w:w="0" w:type="dxa"/>
              <w:right w:w="0" w:type="dxa"/>
            </w:tcMar>
            <w:vAlign w:val="center"/>
          </w:tcPr>
          <w:p w14:paraId="165FE61C" w14:textId="77777777" w:rsidR="0075791A" w:rsidRDefault="00FB2864">
            <w:pPr>
              <w:jc w:val="cente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rPr>
              <w:t>无</w:t>
            </w:r>
          </w:p>
        </w:tc>
        <w:tc>
          <w:tcPr>
            <w:tcW w:w="1611" w:type="dxa"/>
            <w:tcMar>
              <w:top w:w="0" w:type="dxa"/>
              <w:left w:w="0" w:type="dxa"/>
              <w:bottom w:w="0" w:type="dxa"/>
              <w:right w:w="0" w:type="dxa"/>
            </w:tcMar>
            <w:vAlign w:val="center"/>
          </w:tcPr>
          <w:p w14:paraId="780B6F60" w14:textId="77777777" w:rsidR="0075791A" w:rsidRDefault="00FB2864">
            <w:pPr>
              <w:pStyle w:val="TableText"/>
              <w:rPr>
                <w:rFonts w:ascii="Times New Roman" w:hAnsi="Times New Roman"/>
                <w:color w:val="auto"/>
                <w:sz w:val="16"/>
                <w:szCs w:val="16"/>
                <w:lang w:eastAsia="zh-CN"/>
              </w:rPr>
            </w:pPr>
            <w:r>
              <w:rPr>
                <w:noProof/>
                <w:color w:val="auto"/>
              </w:rPr>
              <w:drawing>
                <wp:inline distT="0" distB="0" distL="114300" distR="114300" wp14:anchorId="3ADC12F7" wp14:editId="27D06F5D">
                  <wp:extent cx="1007745" cy="951865"/>
                  <wp:effectExtent l="0" t="0" r="13335" b="8255"/>
                  <wp:docPr id="188"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13"/>
                          <pic:cNvPicPr>
                            <a:picLocks noChangeAspect="1"/>
                          </pic:cNvPicPr>
                        </pic:nvPicPr>
                        <pic:blipFill>
                          <a:blip r:embed="rId270"/>
                          <a:srcRect t="52847"/>
                          <a:stretch>
                            <a:fillRect/>
                          </a:stretch>
                        </pic:blipFill>
                        <pic:spPr>
                          <a:xfrm>
                            <a:off x="0" y="0"/>
                            <a:ext cx="1007745" cy="951865"/>
                          </a:xfrm>
                          <a:prstGeom prst="rect">
                            <a:avLst/>
                          </a:prstGeom>
                          <a:noFill/>
                          <a:ln>
                            <a:noFill/>
                          </a:ln>
                        </pic:spPr>
                      </pic:pic>
                    </a:graphicData>
                  </a:graphic>
                </wp:inline>
              </w:drawing>
            </w:r>
          </w:p>
        </w:tc>
      </w:tr>
      <w:tr w:rsidR="0075791A" w14:paraId="1BC5AB8A" w14:textId="77777777">
        <w:trPr>
          <w:trHeight w:val="141"/>
          <w:jc w:val="center"/>
        </w:trPr>
        <w:tc>
          <w:tcPr>
            <w:tcW w:w="421" w:type="dxa"/>
            <w:tcMar>
              <w:top w:w="0" w:type="dxa"/>
              <w:left w:w="0" w:type="dxa"/>
              <w:bottom w:w="0" w:type="dxa"/>
              <w:right w:w="0" w:type="dxa"/>
            </w:tcMar>
            <w:vAlign w:val="center"/>
          </w:tcPr>
          <w:p w14:paraId="04605485"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hint="eastAsia"/>
                <w:color w:val="auto"/>
                <w:sz w:val="16"/>
                <w:szCs w:val="16"/>
                <w:lang w:eastAsia="zh-CN"/>
              </w:rPr>
              <w:t>7</w:t>
            </w:r>
          </w:p>
        </w:tc>
        <w:tc>
          <w:tcPr>
            <w:tcW w:w="917" w:type="dxa"/>
            <w:tcMar>
              <w:top w:w="0" w:type="dxa"/>
              <w:left w:w="0" w:type="dxa"/>
              <w:bottom w:w="0" w:type="dxa"/>
              <w:right w:w="0" w:type="dxa"/>
            </w:tcMar>
            <w:vAlign w:val="center"/>
          </w:tcPr>
          <w:p w14:paraId="7E973227"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lang w:eastAsia="zh-CN"/>
              </w:rPr>
              <w:t>铁炉港</w:t>
            </w:r>
            <w:r>
              <w:rPr>
                <w:rFonts w:ascii="Times New Roman" w:hAnsi="Times New Roman"/>
                <w:color w:val="auto"/>
                <w:sz w:val="16"/>
                <w:szCs w:val="16"/>
                <w:lang w:eastAsia="zh-CN"/>
              </w:rPr>
              <w:t>-</w:t>
            </w:r>
            <w:r>
              <w:rPr>
                <w:rFonts w:ascii="Times New Roman" w:hAnsi="Times New Roman"/>
                <w:color w:val="auto"/>
                <w:sz w:val="16"/>
                <w:szCs w:val="16"/>
                <w:lang w:eastAsia="zh-CN"/>
              </w:rPr>
              <w:t>榆林港特殊用海区</w:t>
            </w:r>
          </w:p>
        </w:tc>
        <w:tc>
          <w:tcPr>
            <w:tcW w:w="788" w:type="dxa"/>
            <w:tcMar>
              <w:top w:w="0" w:type="dxa"/>
              <w:left w:w="0" w:type="dxa"/>
              <w:bottom w:w="0" w:type="dxa"/>
              <w:right w:w="0" w:type="dxa"/>
            </w:tcMar>
            <w:vAlign w:val="center"/>
          </w:tcPr>
          <w:p w14:paraId="096BF915"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rPr>
              <w:t>650-011</w:t>
            </w:r>
          </w:p>
        </w:tc>
        <w:tc>
          <w:tcPr>
            <w:tcW w:w="446" w:type="dxa"/>
            <w:tcMar>
              <w:top w:w="0" w:type="dxa"/>
              <w:left w:w="0" w:type="dxa"/>
              <w:bottom w:w="0" w:type="dxa"/>
              <w:right w:w="0" w:type="dxa"/>
            </w:tcMar>
            <w:vAlign w:val="center"/>
          </w:tcPr>
          <w:p w14:paraId="0E3F584C"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rPr>
              <w:t>特殊用海区</w:t>
            </w:r>
          </w:p>
        </w:tc>
        <w:tc>
          <w:tcPr>
            <w:tcW w:w="737" w:type="dxa"/>
            <w:tcMar>
              <w:top w:w="0" w:type="dxa"/>
              <w:left w:w="0" w:type="dxa"/>
              <w:bottom w:w="0" w:type="dxa"/>
              <w:right w:w="0" w:type="dxa"/>
            </w:tcMar>
            <w:vAlign w:val="center"/>
          </w:tcPr>
          <w:p w14:paraId="2F2B21E5"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位于三亚市铁炉港</w:t>
            </w:r>
            <w:r>
              <w:rPr>
                <w:rFonts w:ascii="Times New Roman" w:eastAsia="宋体" w:hAnsi="Times New Roman" w:cs="宋体"/>
                <w:color w:val="auto"/>
                <w:sz w:val="16"/>
                <w:szCs w:val="16"/>
                <w:lang w:eastAsia="zh-CN"/>
              </w:rPr>
              <w:t>-</w:t>
            </w:r>
            <w:r>
              <w:rPr>
                <w:rFonts w:ascii="Times New Roman" w:eastAsia="宋体" w:hAnsi="Times New Roman" w:cs="宋体"/>
                <w:color w:val="auto"/>
                <w:sz w:val="16"/>
                <w:szCs w:val="16"/>
                <w:lang w:eastAsia="zh-CN"/>
              </w:rPr>
              <w:t>榆林港海域</w:t>
            </w:r>
          </w:p>
        </w:tc>
        <w:tc>
          <w:tcPr>
            <w:tcW w:w="531" w:type="dxa"/>
            <w:tcMar>
              <w:top w:w="0" w:type="dxa"/>
              <w:left w:w="0" w:type="dxa"/>
              <w:bottom w:w="0" w:type="dxa"/>
              <w:right w:w="0" w:type="dxa"/>
            </w:tcMar>
            <w:vAlign w:val="center"/>
          </w:tcPr>
          <w:p w14:paraId="24C01035"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hint="eastAsia"/>
                <w:color w:val="auto"/>
                <w:sz w:val="16"/>
                <w:szCs w:val="16"/>
                <w:lang w:eastAsia="zh-CN"/>
              </w:rPr>
              <w:t>东部</w:t>
            </w:r>
            <w:r>
              <w:rPr>
                <w:rFonts w:ascii="Times New Roman" w:hAnsi="Times New Roman" w:hint="eastAsia"/>
                <w:color w:val="auto"/>
                <w:sz w:val="16"/>
                <w:szCs w:val="16"/>
                <w:lang w:eastAsia="zh-CN"/>
              </w:rPr>
              <w:t>1.6km</w:t>
            </w:r>
          </w:p>
        </w:tc>
        <w:tc>
          <w:tcPr>
            <w:tcW w:w="1854" w:type="dxa"/>
            <w:tcMar>
              <w:top w:w="0" w:type="dxa"/>
              <w:left w:w="0" w:type="dxa"/>
              <w:bottom w:w="0" w:type="dxa"/>
              <w:right w:w="0" w:type="dxa"/>
            </w:tcMar>
            <w:vAlign w:val="center"/>
          </w:tcPr>
          <w:p w14:paraId="773A75B3" w14:textId="77777777" w:rsidR="0075791A" w:rsidRDefault="00FB2864">
            <w:pPr>
              <w:pStyle w:val="TableText"/>
              <w:jc w:val="center"/>
              <w:rPr>
                <w:rFonts w:ascii="Times New Roman" w:hAnsi="Times New Roman"/>
                <w:color w:val="auto"/>
                <w:sz w:val="16"/>
                <w:szCs w:val="16"/>
                <w:lang w:eastAsia="zh-CN"/>
              </w:rPr>
            </w:pPr>
            <w:r>
              <w:rPr>
                <w:rFonts w:ascii="Times New Roman" w:hAnsi="Times New Roman"/>
                <w:color w:val="auto"/>
                <w:sz w:val="16"/>
                <w:szCs w:val="16"/>
              </w:rPr>
              <w:t>有特殊用海活动</w:t>
            </w:r>
          </w:p>
        </w:tc>
        <w:tc>
          <w:tcPr>
            <w:tcW w:w="2436" w:type="dxa"/>
            <w:tcMar>
              <w:top w:w="0" w:type="dxa"/>
              <w:left w:w="0" w:type="dxa"/>
              <w:bottom w:w="0" w:type="dxa"/>
              <w:right w:w="0" w:type="dxa"/>
            </w:tcMar>
            <w:vAlign w:val="center"/>
          </w:tcPr>
          <w:p w14:paraId="18C259ED"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主导用海类型为特殊用海</w:t>
            </w:r>
          </w:p>
        </w:tc>
        <w:tc>
          <w:tcPr>
            <w:tcW w:w="1629" w:type="dxa"/>
            <w:tcMar>
              <w:top w:w="0" w:type="dxa"/>
              <w:left w:w="0" w:type="dxa"/>
              <w:bottom w:w="0" w:type="dxa"/>
              <w:right w:w="0" w:type="dxa"/>
            </w:tcMar>
            <w:vAlign w:val="center"/>
          </w:tcPr>
          <w:p w14:paraId="7300A359"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允许适度改变海域自然属性</w:t>
            </w:r>
          </w:p>
        </w:tc>
        <w:tc>
          <w:tcPr>
            <w:tcW w:w="1668" w:type="dxa"/>
            <w:tcMar>
              <w:top w:w="0" w:type="dxa"/>
              <w:left w:w="0" w:type="dxa"/>
              <w:bottom w:w="0" w:type="dxa"/>
              <w:right w:w="0" w:type="dxa"/>
            </w:tcMar>
            <w:vAlign w:val="center"/>
          </w:tcPr>
          <w:p w14:paraId="7A878DC2" w14:textId="77777777" w:rsidR="0075791A" w:rsidRDefault="00FB2864">
            <w:pPr>
              <w:rPr>
                <w:rFonts w:ascii="Times New Roman" w:eastAsia="宋体" w:hAnsi="Times New Roman" w:cs="宋体"/>
                <w:color w:val="auto"/>
                <w:sz w:val="16"/>
                <w:szCs w:val="16"/>
                <w:lang w:eastAsia="zh-CN"/>
              </w:rPr>
            </w:pPr>
            <w:r>
              <w:rPr>
                <w:rFonts w:ascii="Times New Roman" w:eastAsia="宋体" w:hAnsi="Times New Roman" w:cs="宋体"/>
                <w:color w:val="auto"/>
                <w:sz w:val="16"/>
                <w:szCs w:val="16"/>
                <w:lang w:eastAsia="zh-CN"/>
              </w:rPr>
              <w:t>保护海岛自然景观资源；保护潮间带底栖生物</w:t>
            </w:r>
          </w:p>
        </w:tc>
        <w:tc>
          <w:tcPr>
            <w:tcW w:w="1320" w:type="dxa"/>
            <w:tcMar>
              <w:top w:w="0" w:type="dxa"/>
              <w:left w:w="0" w:type="dxa"/>
              <w:bottom w:w="0" w:type="dxa"/>
              <w:right w:w="0" w:type="dxa"/>
            </w:tcMar>
            <w:vAlign w:val="center"/>
          </w:tcPr>
          <w:p w14:paraId="3D563234" w14:textId="77777777" w:rsidR="0075791A" w:rsidRDefault="00FB2864">
            <w:pPr>
              <w:ind w:firstLine="385"/>
              <w:jc w:val="center"/>
              <w:rPr>
                <w:rFonts w:ascii="Times New Roman" w:eastAsia="宋体" w:hAnsi="Times New Roman" w:cs="宋体"/>
                <w:color w:val="auto"/>
                <w:sz w:val="16"/>
                <w:szCs w:val="16"/>
                <w:lang w:eastAsia="zh-CN"/>
              </w:rPr>
            </w:pPr>
            <w:r>
              <w:rPr>
                <w:rFonts w:ascii="Times New Roman" w:eastAsia="宋体" w:hAnsi="Times New Roman" w:cs="宋体" w:hint="eastAsia"/>
                <w:color w:val="auto"/>
                <w:sz w:val="16"/>
                <w:szCs w:val="16"/>
                <w:lang w:eastAsia="zh-CN"/>
              </w:rPr>
              <w:t>略</w:t>
            </w:r>
          </w:p>
        </w:tc>
        <w:tc>
          <w:tcPr>
            <w:tcW w:w="1611" w:type="dxa"/>
            <w:tcMar>
              <w:top w:w="0" w:type="dxa"/>
              <w:left w:w="0" w:type="dxa"/>
              <w:bottom w:w="0" w:type="dxa"/>
              <w:right w:w="0" w:type="dxa"/>
            </w:tcMar>
            <w:vAlign w:val="center"/>
          </w:tcPr>
          <w:p w14:paraId="2ED0CFEE" w14:textId="77777777" w:rsidR="0075791A" w:rsidRDefault="00FB2864">
            <w:pPr>
              <w:pStyle w:val="TableText"/>
              <w:rPr>
                <w:rFonts w:ascii="Times New Roman" w:hAnsi="Times New Roman"/>
                <w:color w:val="auto"/>
                <w:sz w:val="16"/>
                <w:szCs w:val="16"/>
                <w:lang w:eastAsia="zh-CN"/>
              </w:rPr>
            </w:pPr>
            <w:r>
              <w:rPr>
                <w:noProof/>
                <w:color w:val="auto"/>
              </w:rPr>
              <w:drawing>
                <wp:inline distT="0" distB="0" distL="114300" distR="114300" wp14:anchorId="024D1044" wp14:editId="6175AD22">
                  <wp:extent cx="1007745" cy="946150"/>
                  <wp:effectExtent l="0" t="0" r="13335" b="13970"/>
                  <wp:docPr id="189"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14"/>
                          <pic:cNvPicPr>
                            <a:picLocks noChangeAspect="1"/>
                          </pic:cNvPicPr>
                        </pic:nvPicPr>
                        <pic:blipFill>
                          <a:blip r:embed="rId271"/>
                          <a:srcRect t="53127"/>
                          <a:stretch>
                            <a:fillRect/>
                          </a:stretch>
                        </pic:blipFill>
                        <pic:spPr>
                          <a:xfrm>
                            <a:off x="0" y="0"/>
                            <a:ext cx="1007745" cy="946150"/>
                          </a:xfrm>
                          <a:prstGeom prst="rect">
                            <a:avLst/>
                          </a:prstGeom>
                          <a:noFill/>
                          <a:ln>
                            <a:noFill/>
                          </a:ln>
                        </pic:spPr>
                      </pic:pic>
                    </a:graphicData>
                  </a:graphic>
                </wp:inline>
              </w:drawing>
            </w:r>
          </w:p>
        </w:tc>
      </w:tr>
    </w:tbl>
    <w:p w14:paraId="09528AF4" w14:textId="77777777" w:rsidR="0075791A" w:rsidRDefault="0075791A">
      <w:pPr>
        <w:widowControl w:val="0"/>
        <w:kinsoku/>
        <w:autoSpaceDE/>
        <w:autoSpaceDN/>
        <w:adjustRightInd/>
        <w:snapToGrid/>
        <w:spacing w:line="360" w:lineRule="auto"/>
        <w:jc w:val="both"/>
        <w:textAlignment w:val="auto"/>
        <w:rPr>
          <w:rFonts w:ascii="宋体" w:hAnsi="宋体" w:cs="宋体"/>
          <w:b/>
          <w:bCs/>
          <w:color w:val="auto"/>
          <w:lang w:eastAsia="zh-CN"/>
        </w:rPr>
        <w:sectPr w:rsidR="0075791A">
          <w:pgSz w:w="16839" w:h="11906" w:orient="landscape"/>
          <w:pgMar w:top="1417" w:right="1018" w:bottom="1415" w:left="1134" w:header="746" w:footer="972" w:gutter="0"/>
          <w:cols w:space="720"/>
        </w:sectPr>
      </w:pPr>
    </w:p>
    <w:p w14:paraId="3EA9607F"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02" w:name="_Toc18166"/>
      <w:r>
        <w:rPr>
          <w:rFonts w:ascii="Times New Roman" w:hAnsi="Times New Roman" w:hint="eastAsia"/>
          <w:color w:val="auto"/>
          <w:sz w:val="28"/>
          <w:szCs w:val="28"/>
          <w:lang w:eastAsia="zh-CN"/>
        </w:rPr>
        <w:lastRenderedPageBreak/>
        <w:t>6.1.4</w:t>
      </w:r>
      <w:r>
        <w:rPr>
          <w:rFonts w:ascii="Times New Roman" w:hAnsi="Times New Roman" w:hint="eastAsia"/>
          <w:color w:val="auto"/>
          <w:sz w:val="28"/>
          <w:szCs w:val="28"/>
          <w:lang w:eastAsia="zh-CN"/>
        </w:rPr>
        <w:t>《三亚市海域使用详细规划》</w:t>
      </w:r>
      <w:bookmarkEnd w:id="302"/>
    </w:p>
    <w:p w14:paraId="02E7C846" w14:textId="77777777" w:rsidR="0075791A" w:rsidRDefault="00FB2864">
      <w:pPr>
        <w:widowControl w:val="0"/>
        <w:tabs>
          <w:tab w:val="left" w:pos="6930"/>
        </w:tabs>
        <w:kinsoku/>
        <w:autoSpaceDE/>
        <w:autoSpaceDN/>
        <w:adjustRightInd/>
        <w:snapToGrid/>
        <w:spacing w:line="360" w:lineRule="auto"/>
        <w:ind w:firstLineChars="200" w:firstLine="480"/>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根据《三亚市海域使用详细规划》，三亚市海域总体布局结构为“两带、四片、九区”，即以沿三亚海岸带作为陆海空间耦合的重要发展轴带，根据三亚市下辖四个行政区对应海域片区差异化海洋旅游功能，形成海棠旅体康养片区、吉阳生态休闲片区、天涯都市活力片区、崖州科教文化片区的海洋旅游发展格局，同时在重点海域规划九个特色旅游景区（综合开发区）进行陆海管控。其重点对海洋发展区做详细规划，海洋保护空间内的生态保护区和生态控制区，只保留已确权用海现状，暂时不做新增用海规划，待生态保护红线相关管理</w:t>
      </w:r>
      <w:r>
        <w:rPr>
          <w:rFonts w:ascii="宋体" w:eastAsia="宋体" w:hAnsi="宋体" w:cs="宋体" w:hint="eastAsia"/>
          <w:color w:val="auto"/>
          <w:sz w:val="24"/>
          <w:szCs w:val="24"/>
          <w:lang w:eastAsia="zh-CN"/>
        </w:rPr>
        <w:t>规定出台后，</w:t>
      </w:r>
      <w:r>
        <w:rPr>
          <w:rFonts w:ascii="宋体" w:eastAsia="宋体" w:hAnsi="宋体" w:cs="宋体" w:hint="eastAsia"/>
          <w:b/>
          <w:bCs/>
          <w:color w:val="auto"/>
          <w:sz w:val="24"/>
          <w:szCs w:val="24"/>
          <w:lang w:eastAsia="zh-CN"/>
        </w:rPr>
        <w:t>按生态保护红线管控要求使用和管理</w:t>
      </w:r>
      <w:r>
        <w:rPr>
          <w:rFonts w:ascii="宋体" w:eastAsia="宋体" w:hAnsi="宋体" w:cs="宋体" w:hint="eastAsia"/>
          <w:color w:val="auto"/>
          <w:sz w:val="24"/>
          <w:szCs w:val="24"/>
          <w:lang w:eastAsia="zh-CN"/>
        </w:rPr>
        <w:t>。海洋发展区细分为渔业用海区、交通运输用海区、工矿通信用海区、游憩用海区、特殊用海区等功能区。</w:t>
      </w:r>
    </w:p>
    <w:p w14:paraId="10FADAA2" w14:textId="77777777" w:rsidR="0075791A" w:rsidRDefault="00FB2864">
      <w:pPr>
        <w:widowControl w:val="0"/>
        <w:tabs>
          <w:tab w:val="left" w:pos="6930"/>
        </w:tabs>
        <w:kinsoku/>
        <w:autoSpaceDE/>
        <w:autoSpaceDN/>
        <w:adjustRightInd/>
        <w:snapToGrid/>
        <w:spacing w:line="360" w:lineRule="auto"/>
        <w:ind w:firstLineChars="200" w:firstLine="480"/>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本项目用海位于生态保护区内，占用面积为</w:t>
      </w:r>
      <w:r>
        <w:rPr>
          <w:rFonts w:ascii="宋体" w:hAnsi="宋体" w:cs="宋体" w:hint="eastAsia"/>
          <w:color w:val="auto"/>
          <w:sz w:val="24"/>
          <w:szCs w:val="24"/>
          <w:lang w:eastAsia="zh-CN"/>
        </w:rPr>
        <w:t>15.2465</w:t>
      </w:r>
      <w:r>
        <w:rPr>
          <w:rFonts w:ascii="宋体" w:hAnsi="宋体" w:cs="宋体" w:hint="eastAsia"/>
          <w:color w:val="auto"/>
          <w:sz w:val="24"/>
          <w:szCs w:val="24"/>
          <w:lang w:eastAsia="zh-CN"/>
        </w:rPr>
        <w:t>公顷</w:t>
      </w:r>
      <w:r>
        <w:rPr>
          <w:rFonts w:ascii="宋体" w:eastAsia="宋体" w:hAnsi="宋体" w:cs="宋体" w:hint="eastAsia"/>
          <w:color w:val="auto"/>
          <w:sz w:val="24"/>
          <w:szCs w:val="24"/>
          <w:lang w:eastAsia="zh-CN"/>
        </w:rPr>
        <w:t>。</w:t>
      </w:r>
    </w:p>
    <w:p w14:paraId="02A22AFC" w14:textId="77777777" w:rsidR="0075791A" w:rsidRDefault="00FB2864">
      <w:pPr>
        <w:widowControl w:val="0"/>
        <w:kinsoku/>
        <w:autoSpaceDE/>
        <w:autoSpaceDN/>
        <w:adjustRightInd/>
        <w:snapToGrid/>
        <w:jc w:val="center"/>
        <w:textAlignment w:val="auto"/>
        <w:rPr>
          <w:rFonts w:ascii="宋体" w:hAnsi="宋体" w:cs="宋体"/>
          <w:b/>
          <w:bCs/>
          <w:color w:val="auto"/>
          <w:lang w:eastAsia="zh-CN"/>
        </w:rPr>
      </w:pPr>
      <w:r>
        <w:rPr>
          <w:rFonts w:ascii="宋体" w:hAnsi="宋体" w:cs="宋体" w:hint="eastAsia"/>
          <w:b/>
          <w:bCs/>
          <w:noProof/>
          <w:color w:val="auto"/>
          <w:lang w:eastAsia="zh-CN"/>
        </w:rPr>
        <w:drawing>
          <wp:inline distT="0" distB="0" distL="114300" distR="114300" wp14:anchorId="7A7FE68A" wp14:editId="17BC3046">
            <wp:extent cx="5594350" cy="3634740"/>
            <wp:effectExtent l="0" t="0" r="0" b="0"/>
            <wp:docPr id="150" name="图片 150" descr="海洋功能区_三亚详细规划2026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海洋功能区_三亚详细规划20260312"/>
                    <pic:cNvPicPr>
                      <a:picLocks noChangeAspect="1"/>
                    </pic:cNvPicPr>
                  </pic:nvPicPr>
                  <pic:blipFill>
                    <a:blip r:embed="rId272"/>
                    <a:srcRect l="1423" t="6755" r="1379" b="3947"/>
                    <a:stretch>
                      <a:fillRect/>
                    </a:stretch>
                  </pic:blipFill>
                  <pic:spPr>
                    <a:xfrm>
                      <a:off x="0" y="0"/>
                      <a:ext cx="5594350" cy="3634740"/>
                    </a:xfrm>
                    <a:prstGeom prst="rect">
                      <a:avLst/>
                    </a:prstGeom>
                  </pic:spPr>
                </pic:pic>
              </a:graphicData>
            </a:graphic>
          </wp:inline>
        </w:drawing>
      </w:r>
    </w:p>
    <w:p w14:paraId="2257BD85" w14:textId="77777777" w:rsidR="0075791A" w:rsidRDefault="00FB2864">
      <w:pPr>
        <w:widowControl w:val="0"/>
        <w:kinsoku/>
        <w:autoSpaceDE/>
        <w:autoSpaceDN/>
        <w:adjustRightInd/>
        <w:snapToGrid/>
        <w:jc w:val="center"/>
        <w:textAlignment w:val="auto"/>
        <w:rPr>
          <w:rFonts w:ascii="宋体" w:eastAsia="宋体" w:hAnsi="宋体" w:cs="宋体"/>
          <w:b/>
          <w:bCs/>
          <w:color w:val="auto"/>
          <w:lang w:eastAsia="zh-CN"/>
        </w:rPr>
      </w:pPr>
      <w:r>
        <w:rPr>
          <w:rFonts w:ascii="宋体" w:hAnsi="宋体" w:cs="宋体" w:hint="eastAsia"/>
          <w:b/>
          <w:bCs/>
          <w:color w:val="auto"/>
          <w:lang w:eastAsia="zh-CN"/>
        </w:rPr>
        <w:t>图</w:t>
      </w:r>
      <w:r>
        <w:rPr>
          <w:rFonts w:ascii="宋体" w:hAnsi="宋体" w:cs="宋体" w:hint="eastAsia"/>
          <w:b/>
          <w:bCs/>
          <w:color w:val="auto"/>
          <w:lang w:eastAsia="zh-CN"/>
        </w:rPr>
        <w:t>6.1.4-1</w:t>
      </w:r>
      <w:r>
        <w:rPr>
          <w:rFonts w:ascii="宋体" w:hAnsi="宋体" w:cs="宋体" w:hint="eastAsia"/>
          <w:b/>
          <w:bCs/>
          <w:color w:val="auto"/>
          <w:lang w:eastAsia="zh-CN"/>
        </w:rPr>
        <w:t>项目用海与三亚市海域使用四级类规划用海叠加图</w:t>
      </w:r>
    </w:p>
    <w:p w14:paraId="1B0E6519" w14:textId="77777777" w:rsidR="0075791A" w:rsidRDefault="0075791A">
      <w:pPr>
        <w:spacing w:line="360" w:lineRule="auto"/>
        <w:jc w:val="center"/>
        <w:outlineLvl w:val="2"/>
        <w:rPr>
          <w:rFonts w:ascii="Times New Roman" w:eastAsia="Times New Roman" w:hAnsi="Times New Roman" w:cs="Times New Roman"/>
          <w:b/>
          <w:bCs/>
          <w:color w:val="auto"/>
          <w:spacing w:val="-3"/>
          <w:sz w:val="28"/>
          <w:szCs w:val="28"/>
          <w:lang w:eastAsia="zh-CN"/>
        </w:rPr>
        <w:sectPr w:rsidR="0075791A">
          <w:pgSz w:w="11906" w:h="16839"/>
          <w:pgMar w:top="1018" w:right="1415" w:bottom="1134" w:left="1417" w:header="746" w:footer="972" w:gutter="0"/>
          <w:cols w:space="720"/>
        </w:sectPr>
      </w:pPr>
    </w:p>
    <w:p w14:paraId="12492908"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03" w:name="bookmark54"/>
      <w:bookmarkStart w:id="304" w:name="_Toc7860"/>
      <w:bookmarkStart w:id="305" w:name="_Toc2241"/>
      <w:bookmarkEnd w:id="303"/>
      <w:r>
        <w:rPr>
          <w:rFonts w:ascii="Times New Roman" w:hAnsi="Times New Roman" w:hint="eastAsia"/>
          <w:color w:val="auto"/>
          <w:sz w:val="28"/>
          <w:szCs w:val="28"/>
          <w:lang w:eastAsia="zh-CN"/>
        </w:rPr>
        <w:lastRenderedPageBreak/>
        <w:t>6.1.5</w:t>
      </w:r>
      <w:r>
        <w:rPr>
          <w:rFonts w:ascii="Times New Roman" w:hAnsi="Times New Roman" w:hint="eastAsia"/>
          <w:color w:val="auto"/>
          <w:sz w:val="28"/>
          <w:szCs w:val="28"/>
          <w:lang w:eastAsia="zh-CN"/>
        </w:rPr>
        <w:t>《海南省国土空间生态修复规划（</w:t>
      </w:r>
      <w:r>
        <w:rPr>
          <w:rFonts w:ascii="Times New Roman" w:hAnsi="Times New Roman" w:hint="eastAsia"/>
          <w:color w:val="auto"/>
          <w:sz w:val="28"/>
          <w:szCs w:val="28"/>
          <w:lang w:eastAsia="zh-CN"/>
        </w:rPr>
        <w:t>2021</w:t>
      </w:r>
      <w:r>
        <w:rPr>
          <w:rFonts w:ascii="Times New Roman" w:hAnsi="Times New Roman" w:hint="eastAsia"/>
          <w:color w:val="auto"/>
          <w:sz w:val="28"/>
          <w:szCs w:val="28"/>
          <w:lang w:eastAsia="zh-CN"/>
        </w:rPr>
        <w:t>－</w:t>
      </w:r>
      <w:r>
        <w:rPr>
          <w:rFonts w:ascii="Times New Roman" w:hAnsi="Times New Roman" w:hint="eastAsia"/>
          <w:color w:val="auto"/>
          <w:sz w:val="28"/>
          <w:szCs w:val="28"/>
          <w:lang w:eastAsia="zh-CN"/>
        </w:rPr>
        <w:t>2035</w:t>
      </w:r>
      <w:r>
        <w:rPr>
          <w:rFonts w:ascii="Times New Roman" w:hAnsi="Times New Roman" w:hint="eastAsia"/>
          <w:color w:val="auto"/>
          <w:sz w:val="28"/>
          <w:szCs w:val="28"/>
          <w:lang w:eastAsia="zh-CN"/>
        </w:rPr>
        <w:t>年）》</w:t>
      </w:r>
    </w:p>
    <w:p w14:paraId="1BB7CD2F" w14:textId="77777777" w:rsidR="0075791A" w:rsidRDefault="00FB2864">
      <w:pPr>
        <w:widowControl w:val="0"/>
        <w:kinsoku/>
        <w:autoSpaceDE/>
        <w:autoSpaceDN/>
        <w:adjustRightInd/>
        <w:snapToGrid/>
        <w:spacing w:line="360" w:lineRule="auto"/>
        <w:ind w:firstLineChars="200" w:firstLine="480"/>
        <w:textAlignment w:val="auto"/>
        <w:rPr>
          <w:rFonts w:ascii="宋体" w:eastAsia="宋体" w:hAnsi="宋体" w:cs="宋体"/>
          <w:color w:val="auto"/>
          <w:sz w:val="24"/>
          <w:szCs w:val="24"/>
          <w:lang w:eastAsia="zh-CN"/>
        </w:rPr>
      </w:pPr>
      <w:r>
        <w:rPr>
          <w:rFonts w:ascii="宋体" w:eastAsia="宋体" w:hAnsi="宋体" w:cs="宋体"/>
          <w:color w:val="auto"/>
          <w:sz w:val="24"/>
          <w:szCs w:val="24"/>
          <w:lang w:eastAsia="zh-CN"/>
        </w:rPr>
        <w:t>根据《海南省国土空间生态修复规划（</w:t>
      </w:r>
      <w:r>
        <w:rPr>
          <w:rFonts w:ascii="宋体" w:eastAsia="宋体" w:hAnsi="宋体" w:cs="宋体"/>
          <w:color w:val="auto"/>
          <w:sz w:val="24"/>
          <w:szCs w:val="24"/>
          <w:lang w:eastAsia="zh-CN"/>
        </w:rPr>
        <w:t>2021-2035</w:t>
      </w:r>
      <w:r>
        <w:rPr>
          <w:rFonts w:ascii="宋体" w:eastAsia="宋体" w:hAnsi="宋体" w:cs="宋体"/>
          <w:color w:val="auto"/>
          <w:sz w:val="24"/>
          <w:szCs w:val="24"/>
          <w:lang w:eastAsia="zh-CN"/>
        </w:rPr>
        <w:t>年）》，明确</w:t>
      </w:r>
      <w:r>
        <w:rPr>
          <w:rFonts w:ascii="TimesNewRomanPSMT" w:eastAsia="TimesNewRomanPSMT" w:hAnsi="TimesNewRomanPSMT" w:cs="TimesNewRomanPSMT"/>
          <w:color w:val="auto"/>
          <w:sz w:val="24"/>
          <w:szCs w:val="24"/>
          <w:lang w:eastAsia="zh-CN"/>
        </w:rPr>
        <w:t>2025</w:t>
      </w:r>
      <w:r>
        <w:rPr>
          <w:rFonts w:ascii="宋体" w:eastAsia="宋体" w:hAnsi="宋体" w:cs="宋体"/>
          <w:color w:val="auto"/>
          <w:sz w:val="24"/>
          <w:szCs w:val="24"/>
          <w:lang w:eastAsia="zh-CN"/>
        </w:rPr>
        <w:t>年、</w:t>
      </w:r>
      <w:r>
        <w:rPr>
          <w:rFonts w:ascii="TimesNewRomanPSMT" w:eastAsia="TimesNewRomanPSMT" w:hAnsi="TimesNewRomanPSMT" w:cs="TimesNewRomanPSMT"/>
          <w:color w:val="auto"/>
          <w:sz w:val="24"/>
          <w:szCs w:val="24"/>
          <w:lang w:eastAsia="zh-CN"/>
        </w:rPr>
        <w:t>2030</w:t>
      </w:r>
      <w:r>
        <w:rPr>
          <w:rFonts w:ascii="宋体" w:eastAsia="宋体" w:hAnsi="宋体" w:cs="宋体"/>
          <w:color w:val="auto"/>
          <w:sz w:val="24"/>
          <w:szCs w:val="24"/>
          <w:lang w:eastAsia="zh-CN"/>
        </w:rPr>
        <w:t>年、</w:t>
      </w:r>
      <w:r>
        <w:rPr>
          <w:rFonts w:ascii="TimesNewRomanPSMT" w:eastAsia="TimesNewRomanPSMT" w:hAnsi="TimesNewRomanPSMT" w:cs="TimesNewRomanPSMT"/>
          <w:color w:val="auto"/>
          <w:sz w:val="24"/>
          <w:szCs w:val="24"/>
          <w:lang w:eastAsia="zh-CN"/>
        </w:rPr>
        <w:t>2035</w:t>
      </w:r>
      <w:r>
        <w:rPr>
          <w:rFonts w:ascii="宋体" w:eastAsia="宋体" w:hAnsi="宋体" w:cs="宋体"/>
          <w:color w:val="auto"/>
          <w:sz w:val="24"/>
          <w:szCs w:val="24"/>
          <w:lang w:eastAsia="zh-CN"/>
        </w:rPr>
        <w:t>年三个阶段的生态质量类和修复治理类</w:t>
      </w:r>
      <w:r>
        <w:rPr>
          <w:rFonts w:ascii="TimesNewRomanPSMT" w:eastAsia="TimesNewRomanPSMT" w:hAnsi="TimesNewRomanPSMT" w:cs="TimesNewRomanPSMT"/>
          <w:color w:val="auto"/>
          <w:sz w:val="24"/>
          <w:szCs w:val="24"/>
          <w:lang w:eastAsia="zh-CN"/>
        </w:rPr>
        <w:t>16</w:t>
      </w:r>
      <w:r>
        <w:rPr>
          <w:rFonts w:ascii="宋体" w:eastAsia="宋体" w:hAnsi="宋体" w:cs="宋体"/>
          <w:color w:val="auto"/>
          <w:sz w:val="24"/>
          <w:szCs w:val="24"/>
          <w:lang w:eastAsia="zh-CN"/>
        </w:rPr>
        <w:t>个规划指标，提出</w:t>
      </w:r>
      <w:r>
        <w:rPr>
          <w:rFonts w:ascii="宋体" w:eastAsia="宋体" w:hAnsi="宋体" w:cs="宋体"/>
          <w:color w:val="auto"/>
          <w:sz w:val="24"/>
          <w:szCs w:val="24"/>
          <w:lang w:eastAsia="zh-CN"/>
        </w:rPr>
        <w:t>“</w:t>
      </w:r>
      <w:r>
        <w:rPr>
          <w:rFonts w:ascii="宋体" w:eastAsia="宋体" w:hAnsi="宋体" w:cs="宋体"/>
          <w:color w:val="auto"/>
          <w:sz w:val="24"/>
          <w:szCs w:val="24"/>
          <w:lang w:eastAsia="zh-CN"/>
        </w:rPr>
        <w:t>一心</w:t>
      </w:r>
      <w:r>
        <w:rPr>
          <w:rFonts w:ascii="TimesNewRomanPSMT" w:eastAsia="TimesNewRomanPSMT" w:hAnsi="TimesNewRomanPSMT" w:cs="TimesNewRomanPSMT"/>
          <w:color w:val="auto"/>
          <w:sz w:val="24"/>
          <w:szCs w:val="24"/>
          <w:lang w:eastAsia="zh-CN"/>
        </w:rPr>
        <w:t>+</w:t>
      </w:r>
      <w:r>
        <w:rPr>
          <w:rFonts w:ascii="宋体" w:eastAsia="宋体" w:hAnsi="宋体" w:cs="宋体"/>
          <w:color w:val="auto"/>
          <w:sz w:val="24"/>
          <w:szCs w:val="24"/>
          <w:lang w:eastAsia="zh-CN"/>
        </w:rPr>
        <w:t>一环</w:t>
      </w:r>
      <w:r>
        <w:rPr>
          <w:rFonts w:ascii="TimesNewRomanPSMT" w:eastAsia="TimesNewRomanPSMT" w:hAnsi="TimesNewRomanPSMT" w:cs="TimesNewRomanPSMT"/>
          <w:color w:val="auto"/>
          <w:sz w:val="24"/>
          <w:szCs w:val="24"/>
          <w:lang w:eastAsia="zh-CN"/>
        </w:rPr>
        <w:t>+</w:t>
      </w:r>
      <w:r>
        <w:rPr>
          <w:rFonts w:ascii="宋体" w:eastAsia="宋体" w:hAnsi="宋体" w:cs="宋体"/>
          <w:color w:val="auto"/>
          <w:sz w:val="24"/>
          <w:szCs w:val="24"/>
          <w:lang w:eastAsia="zh-CN"/>
        </w:rPr>
        <w:t>多点</w:t>
      </w:r>
      <w:r>
        <w:rPr>
          <w:rFonts w:ascii="TimesNewRomanPSMT" w:eastAsia="TimesNewRomanPSMT" w:hAnsi="TimesNewRomanPSMT" w:cs="TimesNewRomanPSMT"/>
          <w:color w:val="auto"/>
          <w:sz w:val="24"/>
          <w:szCs w:val="24"/>
          <w:lang w:eastAsia="zh-CN"/>
        </w:rPr>
        <w:t>+</w:t>
      </w:r>
      <w:r>
        <w:rPr>
          <w:rFonts w:ascii="宋体" w:eastAsia="宋体" w:hAnsi="宋体" w:cs="宋体"/>
          <w:color w:val="auto"/>
          <w:sz w:val="24"/>
          <w:szCs w:val="24"/>
          <w:lang w:eastAsia="zh-CN"/>
        </w:rPr>
        <w:t>多廊</w:t>
      </w:r>
      <w:r>
        <w:rPr>
          <w:rFonts w:ascii="宋体" w:eastAsia="宋体" w:hAnsi="宋体" w:cs="宋体"/>
          <w:color w:val="auto"/>
          <w:sz w:val="24"/>
          <w:szCs w:val="24"/>
          <w:lang w:eastAsia="zh-CN"/>
        </w:rPr>
        <w:t>”</w:t>
      </w:r>
      <w:r>
        <w:rPr>
          <w:rFonts w:ascii="宋体" w:eastAsia="宋体" w:hAnsi="宋体" w:cs="宋体"/>
          <w:color w:val="auto"/>
          <w:sz w:val="24"/>
          <w:szCs w:val="24"/>
          <w:lang w:eastAsia="zh-CN"/>
        </w:rPr>
        <w:t>的陆海统筹生态修复总体格局，划定中部山地生态保护修复区、海岸带生态保护修复区、台地平原生态修复区、流域廊道生态保护修复区</w:t>
      </w:r>
      <w:r>
        <w:rPr>
          <w:rFonts w:ascii="TimesNewRomanPSMT" w:eastAsia="TimesNewRomanPSMT" w:hAnsi="TimesNewRomanPSMT" w:cs="TimesNewRomanPSMT"/>
          <w:color w:val="auto"/>
          <w:sz w:val="24"/>
          <w:szCs w:val="24"/>
          <w:lang w:eastAsia="zh-CN"/>
        </w:rPr>
        <w:t>4</w:t>
      </w:r>
      <w:r>
        <w:rPr>
          <w:rFonts w:ascii="宋体" w:eastAsia="宋体" w:hAnsi="宋体" w:cs="宋体"/>
          <w:color w:val="auto"/>
          <w:sz w:val="24"/>
          <w:szCs w:val="24"/>
          <w:lang w:eastAsia="zh-CN"/>
        </w:rPr>
        <w:t>个修复分区，部署热带雨林国家公园生态保护修复、海岸带生态保护修复、全域土地综合整治、历史遗留矿山生态修复、流域山水林田湖草沙生态保护修复、生物多样性保护能力建设共</w:t>
      </w:r>
      <w:r>
        <w:rPr>
          <w:rFonts w:ascii="TimesNewRomanPSMT" w:eastAsia="TimesNewRomanPSMT" w:hAnsi="TimesNewRomanPSMT" w:cs="TimesNewRomanPSMT"/>
          <w:color w:val="auto"/>
          <w:sz w:val="24"/>
          <w:szCs w:val="24"/>
          <w:lang w:eastAsia="zh-CN"/>
        </w:rPr>
        <w:t>6</w:t>
      </w:r>
      <w:r>
        <w:rPr>
          <w:rFonts w:ascii="宋体" w:eastAsia="宋体" w:hAnsi="宋体" w:cs="宋体"/>
          <w:color w:val="auto"/>
          <w:sz w:val="24"/>
          <w:szCs w:val="24"/>
          <w:lang w:eastAsia="zh-CN"/>
        </w:rPr>
        <w:t>类重大工程和重点项目，计划总投资</w:t>
      </w:r>
      <w:r>
        <w:rPr>
          <w:rFonts w:ascii="TimesNewRomanPSMT" w:eastAsia="TimesNewRomanPSMT" w:hAnsi="TimesNewRomanPSMT" w:cs="TimesNewRomanPSMT"/>
          <w:color w:val="auto"/>
          <w:sz w:val="24"/>
          <w:szCs w:val="24"/>
          <w:lang w:eastAsia="zh-CN"/>
        </w:rPr>
        <w:t>455.09</w:t>
      </w:r>
      <w:r>
        <w:rPr>
          <w:rFonts w:ascii="宋体" w:eastAsia="宋体" w:hAnsi="宋体" w:cs="宋体"/>
          <w:color w:val="auto"/>
          <w:sz w:val="24"/>
          <w:szCs w:val="24"/>
          <w:lang w:eastAsia="zh-CN"/>
        </w:rPr>
        <w:t>亿元。</w:t>
      </w:r>
    </w:p>
    <w:p w14:paraId="75473D2B" w14:textId="77777777" w:rsidR="0075791A" w:rsidRDefault="00FB2864">
      <w:pPr>
        <w:widowControl w:val="0"/>
        <w:kinsoku/>
        <w:autoSpaceDE/>
        <w:autoSpaceDN/>
        <w:adjustRightInd/>
        <w:snapToGrid/>
        <w:spacing w:line="360" w:lineRule="auto"/>
        <w:ind w:firstLineChars="200" w:firstLine="480"/>
        <w:textAlignment w:val="auto"/>
        <w:rPr>
          <w:rFonts w:ascii="宋体" w:hAnsi="宋体" w:cs="宋体"/>
          <w:color w:val="auto"/>
          <w:sz w:val="24"/>
          <w:szCs w:val="24"/>
          <w:lang w:eastAsia="zh-CN"/>
        </w:rPr>
      </w:pPr>
      <w:r>
        <w:rPr>
          <w:rFonts w:ascii="宋体" w:eastAsia="宋体" w:hAnsi="宋体" w:cs="宋体"/>
          <w:color w:val="auto"/>
          <w:sz w:val="24"/>
          <w:szCs w:val="24"/>
          <w:lang w:eastAsia="zh-CN"/>
        </w:rPr>
        <w:t>海岸带生态保护修复区重点推动入海河口、海湾、滨海湿地、红树林、珊瑚礁、海草床等典型海洋生态类型</w:t>
      </w:r>
      <w:r>
        <w:rPr>
          <w:rFonts w:ascii="宋体" w:eastAsia="宋体" w:hAnsi="宋体" w:cs="宋体"/>
          <w:color w:val="auto"/>
          <w:sz w:val="24"/>
          <w:szCs w:val="24"/>
          <w:lang w:eastAsia="zh-CN"/>
        </w:rPr>
        <w:t>的系统保护和修复，提升海岸带生态系统结构完整性和功能稳定性，提高抵御海洋灾害的能力。重点任务包括：（</w:t>
      </w:r>
      <w:r>
        <w:rPr>
          <w:rFonts w:ascii="宋体" w:eastAsia="宋体" w:hAnsi="宋体" w:cs="宋体"/>
          <w:color w:val="auto"/>
          <w:sz w:val="24"/>
          <w:szCs w:val="24"/>
          <w:lang w:eastAsia="zh-CN"/>
        </w:rPr>
        <w:t>1</w:t>
      </w:r>
      <w:r>
        <w:rPr>
          <w:rFonts w:ascii="宋体" w:eastAsia="宋体" w:hAnsi="宋体" w:cs="宋体"/>
          <w:color w:val="auto"/>
          <w:sz w:val="24"/>
          <w:szCs w:val="24"/>
          <w:lang w:eastAsia="zh-CN"/>
        </w:rPr>
        <w:t>）开展典型海洋生态系统保护修复；（</w:t>
      </w:r>
      <w:r>
        <w:rPr>
          <w:rFonts w:ascii="宋体" w:eastAsia="宋体" w:hAnsi="宋体" w:cs="宋体"/>
          <w:color w:val="auto"/>
          <w:sz w:val="24"/>
          <w:szCs w:val="24"/>
          <w:lang w:eastAsia="zh-CN"/>
        </w:rPr>
        <w:t>2</w:t>
      </w:r>
      <w:r>
        <w:rPr>
          <w:rFonts w:ascii="宋体" w:eastAsia="宋体" w:hAnsi="宋体" w:cs="宋体"/>
          <w:color w:val="auto"/>
          <w:sz w:val="24"/>
          <w:szCs w:val="24"/>
          <w:lang w:eastAsia="zh-CN"/>
        </w:rPr>
        <w:t>）开展围填海项目生态保护修复；（</w:t>
      </w:r>
      <w:r>
        <w:rPr>
          <w:rFonts w:ascii="宋体" w:eastAsia="宋体" w:hAnsi="宋体" w:cs="宋体"/>
          <w:color w:val="auto"/>
          <w:sz w:val="24"/>
          <w:szCs w:val="24"/>
          <w:lang w:eastAsia="zh-CN"/>
        </w:rPr>
        <w:t>3</w:t>
      </w:r>
      <w:r>
        <w:rPr>
          <w:rFonts w:ascii="宋体" w:eastAsia="宋体" w:hAnsi="宋体" w:cs="宋体"/>
          <w:color w:val="auto"/>
          <w:sz w:val="24"/>
          <w:szCs w:val="24"/>
          <w:lang w:eastAsia="zh-CN"/>
        </w:rPr>
        <w:t>）开展海岛生态修复。重点任务分布见图</w:t>
      </w:r>
      <w:r>
        <w:rPr>
          <w:rFonts w:ascii="宋体" w:eastAsia="宋体" w:hAnsi="宋体" w:cs="宋体"/>
          <w:color w:val="auto"/>
          <w:sz w:val="24"/>
          <w:szCs w:val="24"/>
          <w:lang w:eastAsia="zh-CN"/>
        </w:rPr>
        <w:t>6.1</w:t>
      </w:r>
      <w:r>
        <w:rPr>
          <w:rFonts w:ascii="宋体" w:eastAsia="宋体" w:hAnsi="宋体" w:cs="宋体" w:hint="eastAsia"/>
          <w:color w:val="auto"/>
          <w:sz w:val="24"/>
          <w:szCs w:val="24"/>
          <w:lang w:eastAsia="zh-CN"/>
        </w:rPr>
        <w:t>.5</w:t>
      </w:r>
      <w:r>
        <w:rPr>
          <w:rFonts w:ascii="宋体" w:eastAsia="宋体" w:hAnsi="宋体" w:cs="宋体"/>
          <w:color w:val="auto"/>
          <w:sz w:val="24"/>
          <w:szCs w:val="24"/>
          <w:lang w:eastAsia="zh-CN"/>
        </w:rPr>
        <w:t>-</w:t>
      </w:r>
      <w:r>
        <w:rPr>
          <w:rFonts w:ascii="宋体" w:hAnsi="宋体" w:cs="宋体" w:hint="eastAsia"/>
          <w:color w:val="auto"/>
          <w:sz w:val="24"/>
          <w:szCs w:val="24"/>
          <w:lang w:eastAsia="zh-CN"/>
        </w:rPr>
        <w:t>1</w:t>
      </w:r>
      <w:r>
        <w:rPr>
          <w:rFonts w:ascii="宋体" w:hAnsi="宋体" w:cs="宋体" w:hint="eastAsia"/>
          <w:color w:val="auto"/>
          <w:sz w:val="24"/>
          <w:szCs w:val="24"/>
          <w:lang w:eastAsia="zh-CN"/>
        </w:rPr>
        <w:t>，</w:t>
      </w:r>
      <w:r>
        <w:rPr>
          <w:rFonts w:ascii="宋体" w:eastAsia="宋体" w:hAnsi="宋体" w:cs="宋体"/>
          <w:color w:val="auto"/>
          <w:sz w:val="24"/>
          <w:szCs w:val="24"/>
          <w:lang w:eastAsia="zh-CN"/>
        </w:rPr>
        <w:t>本项目</w:t>
      </w:r>
      <w:r>
        <w:rPr>
          <w:rFonts w:ascii="宋体" w:eastAsia="宋体" w:hAnsi="宋体" w:cs="宋体" w:hint="eastAsia"/>
          <w:color w:val="auto"/>
          <w:sz w:val="24"/>
          <w:szCs w:val="24"/>
          <w:lang w:eastAsia="zh-CN"/>
        </w:rPr>
        <w:t>属于海岸带生态保护修复重大工程</w:t>
      </w:r>
      <w:r>
        <w:rPr>
          <w:rFonts w:ascii="宋体" w:hAnsi="宋体" w:cs="宋体" w:hint="eastAsia"/>
          <w:color w:val="auto"/>
          <w:sz w:val="24"/>
          <w:szCs w:val="24"/>
          <w:lang w:eastAsia="zh-CN"/>
        </w:rPr>
        <w:t>。</w:t>
      </w:r>
    </w:p>
    <w:p w14:paraId="49028432" w14:textId="77777777" w:rsidR="0075791A" w:rsidRDefault="00FB2864">
      <w:pPr>
        <w:rPr>
          <w:rFonts w:ascii="Times New Roman" w:hAnsi="Times New Roman"/>
          <w:b/>
          <w:color w:val="auto"/>
          <w:sz w:val="28"/>
          <w:szCs w:val="28"/>
          <w:lang w:eastAsia="zh-CN"/>
        </w:rPr>
      </w:pPr>
      <w:r>
        <w:rPr>
          <w:rFonts w:ascii="Times New Roman" w:hAnsi="Times New Roman" w:hint="eastAsia"/>
          <w:b/>
          <w:noProof/>
          <w:color w:val="auto"/>
          <w:sz w:val="28"/>
          <w:szCs w:val="28"/>
          <w:lang w:eastAsia="zh-CN"/>
        </w:rPr>
        <w:drawing>
          <wp:inline distT="0" distB="0" distL="114300" distR="114300" wp14:anchorId="2994B5E3" wp14:editId="491291BE">
            <wp:extent cx="5500370" cy="3888105"/>
            <wp:effectExtent l="0" t="0" r="1270" b="13335"/>
            <wp:docPr id="212" name="图片 212" descr="生态修复重点工程_省生态修复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生态修复重点工程_省生态修复规划"/>
                    <pic:cNvPicPr>
                      <a:picLocks noChangeAspect="1"/>
                    </pic:cNvPicPr>
                  </pic:nvPicPr>
                  <pic:blipFill>
                    <a:blip r:embed="rId273"/>
                    <a:stretch>
                      <a:fillRect/>
                    </a:stretch>
                  </pic:blipFill>
                  <pic:spPr>
                    <a:xfrm>
                      <a:off x="0" y="0"/>
                      <a:ext cx="5500370" cy="3888105"/>
                    </a:xfrm>
                    <a:prstGeom prst="rect">
                      <a:avLst/>
                    </a:prstGeom>
                  </pic:spPr>
                </pic:pic>
              </a:graphicData>
            </a:graphic>
          </wp:inline>
        </w:drawing>
      </w:r>
    </w:p>
    <w:p w14:paraId="00964976" w14:textId="77777777" w:rsidR="0075791A" w:rsidRDefault="00FB2864">
      <w:pPr>
        <w:widowControl w:val="0"/>
        <w:kinsoku/>
        <w:autoSpaceDE/>
        <w:autoSpaceDN/>
        <w:adjustRightInd/>
        <w:snapToGrid/>
        <w:spacing w:line="360" w:lineRule="auto"/>
        <w:jc w:val="center"/>
        <w:textAlignment w:val="auto"/>
        <w:rPr>
          <w:rFonts w:ascii="宋体" w:eastAsia="宋体" w:hAnsi="宋体" w:cs="宋体"/>
          <w:color w:val="auto"/>
          <w:lang w:eastAsia="zh-CN"/>
        </w:rPr>
      </w:pPr>
      <w:r>
        <w:rPr>
          <w:rFonts w:ascii="宋体" w:hAnsi="宋体" w:cs="宋体" w:hint="eastAsia"/>
          <w:color w:val="auto"/>
          <w:lang w:eastAsia="zh-CN"/>
        </w:rPr>
        <w:t>图</w:t>
      </w:r>
      <w:r>
        <w:rPr>
          <w:rFonts w:ascii="宋体" w:hAnsi="宋体" w:cs="宋体" w:hint="eastAsia"/>
          <w:color w:val="auto"/>
          <w:lang w:eastAsia="zh-CN"/>
        </w:rPr>
        <w:t>6.1.5</w:t>
      </w:r>
      <w:r>
        <w:rPr>
          <w:rFonts w:ascii="宋体" w:hAnsi="宋体" w:cs="宋体"/>
          <w:color w:val="auto"/>
          <w:lang w:eastAsia="zh-CN"/>
        </w:rPr>
        <w:t>-</w:t>
      </w:r>
      <w:r>
        <w:rPr>
          <w:rFonts w:ascii="宋体" w:hAnsi="宋体" w:cs="宋体" w:hint="eastAsia"/>
          <w:color w:val="auto"/>
          <w:lang w:eastAsia="zh-CN"/>
        </w:rPr>
        <w:t>1</w:t>
      </w:r>
      <w:r>
        <w:rPr>
          <w:rFonts w:ascii="宋体" w:hAnsi="宋体" w:cs="宋体" w:hint="eastAsia"/>
          <w:color w:val="auto"/>
          <w:lang w:eastAsia="zh-CN"/>
        </w:rPr>
        <w:t>项目用海与生态修复重大工程布局叠加图</w:t>
      </w:r>
    </w:p>
    <w:p w14:paraId="208CD86F"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r>
        <w:rPr>
          <w:rFonts w:ascii="Times New Roman" w:hAnsi="Times New Roman" w:hint="eastAsia"/>
          <w:color w:val="auto"/>
          <w:sz w:val="28"/>
          <w:szCs w:val="28"/>
          <w:lang w:eastAsia="zh-CN"/>
        </w:rPr>
        <w:t>6.1.6</w:t>
      </w:r>
      <w:r>
        <w:rPr>
          <w:rFonts w:ascii="Times New Roman" w:hAnsi="Times New Roman" w:hint="eastAsia"/>
          <w:color w:val="auto"/>
          <w:sz w:val="28"/>
          <w:szCs w:val="28"/>
          <w:lang w:eastAsia="zh-CN"/>
        </w:rPr>
        <w:t>《三亚市国土空间生态修复规划（</w:t>
      </w:r>
      <w:r>
        <w:rPr>
          <w:rFonts w:ascii="Times New Roman" w:hAnsi="Times New Roman" w:hint="eastAsia"/>
          <w:color w:val="auto"/>
          <w:sz w:val="28"/>
          <w:szCs w:val="28"/>
          <w:lang w:eastAsia="zh-CN"/>
        </w:rPr>
        <w:t>2021</w:t>
      </w:r>
      <w:r>
        <w:rPr>
          <w:rFonts w:ascii="Times New Roman" w:hAnsi="Times New Roman" w:hint="eastAsia"/>
          <w:color w:val="auto"/>
          <w:sz w:val="28"/>
          <w:szCs w:val="28"/>
          <w:lang w:eastAsia="zh-CN"/>
        </w:rPr>
        <w:t>－</w:t>
      </w:r>
      <w:r>
        <w:rPr>
          <w:rFonts w:ascii="Times New Roman" w:hAnsi="Times New Roman" w:hint="eastAsia"/>
          <w:color w:val="auto"/>
          <w:sz w:val="28"/>
          <w:szCs w:val="28"/>
          <w:lang w:eastAsia="zh-CN"/>
        </w:rPr>
        <w:t>2035</w:t>
      </w:r>
      <w:r>
        <w:rPr>
          <w:rFonts w:ascii="Times New Roman" w:hAnsi="Times New Roman" w:hint="eastAsia"/>
          <w:color w:val="auto"/>
          <w:sz w:val="28"/>
          <w:szCs w:val="28"/>
          <w:lang w:eastAsia="zh-CN"/>
        </w:rPr>
        <w:t>年）》</w:t>
      </w:r>
    </w:p>
    <w:p w14:paraId="5657E660"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根据《三亚市国土空间生态修复规划（</w:t>
      </w:r>
      <w:r>
        <w:rPr>
          <w:rFonts w:ascii="宋体" w:eastAsia="宋体" w:hAnsi="宋体" w:cs="宋体" w:hint="eastAsia"/>
          <w:color w:val="auto"/>
          <w:sz w:val="24"/>
          <w:szCs w:val="24"/>
          <w:lang w:eastAsia="zh-CN"/>
        </w:rPr>
        <w:t>2021</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2035</w:t>
      </w:r>
      <w:r>
        <w:rPr>
          <w:rFonts w:ascii="宋体" w:eastAsia="宋体" w:hAnsi="宋体" w:cs="宋体" w:hint="eastAsia"/>
          <w:color w:val="auto"/>
          <w:sz w:val="24"/>
          <w:szCs w:val="24"/>
          <w:lang w:eastAsia="zh-CN"/>
        </w:rPr>
        <w:t>年）》，三亚市构建以北部热带自然保护地为核心，以海岸带和近岸海域为支撑，以重要河流为廊道，形成“一心、一带、三廊、多点”的山海联动陆海统筹生态保护修复总体格局。其中，“一带”即</w:t>
      </w:r>
      <w:r>
        <w:rPr>
          <w:rFonts w:ascii="宋体" w:eastAsia="宋体" w:hAnsi="宋体" w:cs="宋体" w:hint="eastAsia"/>
          <w:color w:val="auto"/>
          <w:sz w:val="24"/>
          <w:szCs w:val="24"/>
          <w:lang w:eastAsia="zh-CN"/>
        </w:rPr>
        <w:lastRenderedPageBreak/>
        <w:t>滨海生态保育带——以砂质、基岩等海岸线向陆缓冲区辐射至向海</w:t>
      </w:r>
      <w:r>
        <w:rPr>
          <w:rFonts w:ascii="宋体" w:eastAsia="宋体" w:hAnsi="宋体" w:cs="宋体" w:hint="eastAsia"/>
          <w:color w:val="auto"/>
          <w:sz w:val="24"/>
          <w:szCs w:val="24"/>
          <w:lang w:eastAsia="zh-CN"/>
        </w:rPr>
        <w:t>20</w:t>
      </w:r>
      <w:r>
        <w:rPr>
          <w:rFonts w:ascii="宋体" w:eastAsia="宋体" w:hAnsi="宋体" w:cs="宋体" w:hint="eastAsia"/>
          <w:color w:val="auto"/>
          <w:sz w:val="24"/>
          <w:szCs w:val="24"/>
          <w:lang w:eastAsia="zh-CN"/>
        </w:rPr>
        <w:t>米等深线，建设以海岸线陆地保护缓冲区及市辖近岸海域为主体构成的生态保育带。通过对于滨海生态保育带的保护修复，能够改善近岸海域生态环境质量，有效保护红树林、珊瑚礁、海草床等典型海洋生态系统，提升区域抵御海岸侵蚀、台风、风暴</w:t>
      </w:r>
      <w:r>
        <w:rPr>
          <w:rFonts w:ascii="宋体" w:eastAsia="宋体" w:hAnsi="宋体" w:cs="宋体" w:hint="eastAsia"/>
          <w:color w:val="auto"/>
          <w:sz w:val="24"/>
          <w:szCs w:val="24"/>
          <w:lang w:eastAsia="zh-CN"/>
        </w:rPr>
        <w:t xml:space="preserve"> </w:t>
      </w:r>
      <w:r>
        <w:rPr>
          <w:rFonts w:ascii="宋体" w:eastAsia="宋体" w:hAnsi="宋体" w:cs="宋体" w:hint="eastAsia"/>
          <w:color w:val="auto"/>
          <w:sz w:val="24"/>
          <w:szCs w:val="24"/>
          <w:lang w:eastAsia="zh-CN"/>
        </w:rPr>
        <w:t>潮等海洋灾害能力，优化陆海国土空间。</w:t>
      </w:r>
    </w:p>
    <w:p w14:paraId="052DE43B"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在生态保护修复总体格局的基础上，突出自然地理和生态系统的完整性与连通性，以重点流域、区域、海域等为基础单元，综合三亚市各区域的生态功能定位，划分北部山区丘陵生态功能提升区、生态农业修复发展区、城市生态修复和品质提升区、海岸带及海洋生态系统修复区及河流廊道生态治理区</w:t>
      </w:r>
      <w:r>
        <w:rPr>
          <w:rFonts w:ascii="宋体" w:eastAsia="宋体" w:hAnsi="宋体" w:cs="宋体" w:hint="eastAsia"/>
          <w:color w:val="auto"/>
          <w:sz w:val="24"/>
          <w:szCs w:val="24"/>
          <w:lang w:eastAsia="zh-CN"/>
        </w:rPr>
        <w:t>5</w:t>
      </w:r>
      <w:r>
        <w:rPr>
          <w:rFonts w:ascii="宋体" w:eastAsia="宋体" w:hAnsi="宋体" w:cs="宋体" w:hint="eastAsia"/>
          <w:color w:val="auto"/>
          <w:sz w:val="24"/>
          <w:szCs w:val="24"/>
          <w:lang w:eastAsia="zh-CN"/>
        </w:rPr>
        <w:t>类国土空间生态修复分区。海岸带及海洋生态系统修复区生态保护修复主攻方向为①推进各类潟湖、河口、海湾区域综合生态系统修复，促进生态空间回归，加大海洋生态环境保护修复力度，提升海洋生态环境整治修复能力；对红树林、</w:t>
      </w:r>
      <w:r>
        <w:rPr>
          <w:rFonts w:ascii="宋体" w:eastAsia="宋体" w:hAnsi="宋体" w:cs="宋体" w:hint="eastAsia"/>
          <w:color w:val="auto"/>
          <w:sz w:val="24"/>
          <w:szCs w:val="24"/>
          <w:lang w:eastAsia="zh-CN"/>
        </w:rPr>
        <w:t>海草床等典型海洋生态系统进行修复，加强红树林及其生态系统的保护修复，恢复红树林面积及其生态功能，遏制海草持续退化、维持海草床生态系统稳定等。②强化陆海统筹生态保护修复，针对陆海并重整体性保护问题，修复沿岸沙滩岸线，修复建设陆海缓冲带，对海防林进行生态保护修复，对海岸海防林进行整体保育及提质增效，提高滨海植被景观，提升水环境质量，将利用海洋和保护海洋相结合，通过海洋牧场等方式对重要海洋生物进行恢复保护，以此提升滨海生物多样性，减轻海水养殖及旅游活动对海岸带的污染和破坏。</w:t>
      </w:r>
    </w:p>
    <w:p w14:paraId="4C996414"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同时，为解决生态问题和达成生态保护修复</w:t>
      </w:r>
      <w:r>
        <w:rPr>
          <w:rFonts w:ascii="宋体" w:eastAsia="宋体" w:hAnsi="宋体" w:cs="宋体" w:hint="eastAsia"/>
          <w:color w:val="auto"/>
          <w:sz w:val="24"/>
          <w:szCs w:val="24"/>
          <w:lang w:eastAsia="zh-CN"/>
        </w:rPr>
        <w:t>目标，明确了三亚市</w:t>
      </w:r>
      <w:r>
        <w:rPr>
          <w:rFonts w:ascii="宋体" w:eastAsia="宋体" w:hAnsi="宋体" w:cs="宋体" w:hint="eastAsia"/>
          <w:color w:val="auto"/>
          <w:sz w:val="24"/>
          <w:szCs w:val="24"/>
          <w:lang w:eastAsia="zh-CN"/>
        </w:rPr>
        <w:t xml:space="preserve"> </w:t>
      </w:r>
      <w:r>
        <w:rPr>
          <w:rFonts w:ascii="宋体" w:eastAsia="宋体" w:hAnsi="宋体" w:cs="宋体" w:hint="eastAsia"/>
          <w:color w:val="auto"/>
          <w:sz w:val="24"/>
          <w:szCs w:val="24"/>
          <w:lang w:eastAsia="zh-CN"/>
        </w:rPr>
        <w:t>国土空间生态保护修复重点任，并谋划了生物多样性保护重点工程、森林生态系统修复、典型海洋生态系统保护修复、海湾综合生境修复提升及山体景观优化重点工程等</w:t>
      </w:r>
      <w:r>
        <w:rPr>
          <w:rFonts w:ascii="宋体" w:eastAsia="宋体" w:hAnsi="宋体" w:cs="宋体" w:hint="eastAsia"/>
          <w:color w:val="auto"/>
          <w:sz w:val="24"/>
          <w:szCs w:val="24"/>
          <w:lang w:eastAsia="zh-CN"/>
        </w:rPr>
        <w:t xml:space="preserve"> 11 </w:t>
      </w:r>
      <w:r>
        <w:rPr>
          <w:rFonts w:ascii="宋体" w:eastAsia="宋体" w:hAnsi="宋体" w:cs="宋体" w:hint="eastAsia"/>
          <w:color w:val="auto"/>
          <w:sz w:val="24"/>
          <w:szCs w:val="24"/>
          <w:lang w:eastAsia="zh-CN"/>
        </w:rPr>
        <w:t>个生态保护修复重点工程</w:t>
      </w:r>
      <w:r>
        <w:rPr>
          <w:rFonts w:ascii="宋体" w:eastAsia="宋体" w:hAnsi="宋体" w:cs="宋体"/>
          <w:color w:val="auto"/>
          <w:sz w:val="24"/>
          <w:szCs w:val="24"/>
          <w:lang w:eastAsia="zh-CN"/>
        </w:rPr>
        <w:t>123</w:t>
      </w:r>
      <w:r>
        <w:rPr>
          <w:rFonts w:ascii="宋体" w:eastAsia="宋体" w:hAnsi="宋体" w:cs="宋体" w:hint="eastAsia"/>
          <w:color w:val="auto"/>
          <w:sz w:val="24"/>
          <w:szCs w:val="24"/>
          <w:lang w:eastAsia="zh-CN"/>
        </w:rPr>
        <w:t>个生态保护修复项目。</w:t>
      </w:r>
    </w:p>
    <w:p w14:paraId="33A13965"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Times New Roman" w:eastAsia="宋体" w:hAnsi="Times New Roman" w:cs="宋体" w:hint="eastAsia"/>
          <w:color w:val="auto"/>
          <w:sz w:val="24"/>
          <w:szCs w:val="24"/>
          <w:lang w:eastAsia="zh-CN"/>
        </w:rPr>
        <w:t>铁炉港红树林湿地保护修复项目为</w:t>
      </w:r>
      <w:r>
        <w:rPr>
          <w:rFonts w:ascii="宋体" w:eastAsia="宋体" w:hAnsi="宋体" w:cs="宋体" w:hint="eastAsia"/>
          <w:color w:val="auto"/>
          <w:sz w:val="24"/>
          <w:szCs w:val="24"/>
          <w:lang w:eastAsia="zh-CN"/>
        </w:rPr>
        <w:t>典型海洋生态系统生态保护重点工程</w:t>
      </w:r>
      <w:r>
        <w:rPr>
          <w:rFonts w:ascii="Times New Roman" w:eastAsia="宋体" w:hAnsi="Times New Roman" w:cs="宋体" w:hint="eastAsia"/>
          <w:color w:val="auto"/>
          <w:sz w:val="24"/>
          <w:szCs w:val="24"/>
          <w:lang w:eastAsia="zh-CN"/>
        </w:rPr>
        <w:t>。</w:t>
      </w:r>
    </w:p>
    <w:p w14:paraId="4B23A145" w14:textId="77777777" w:rsidR="0075791A" w:rsidRDefault="00FB2864">
      <w:pPr>
        <w:rPr>
          <w:color w:val="auto"/>
        </w:rPr>
      </w:pPr>
      <w:r>
        <w:rPr>
          <w:noProof/>
          <w:color w:val="auto"/>
        </w:rPr>
        <w:lastRenderedPageBreak/>
        <w:drawing>
          <wp:inline distT="0" distB="0" distL="114300" distR="114300" wp14:anchorId="686DFC6A" wp14:editId="5E7958E8">
            <wp:extent cx="5858510" cy="4137660"/>
            <wp:effectExtent l="0" t="0" r="8890" b="7620"/>
            <wp:docPr id="213"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10"/>
                    <pic:cNvPicPr>
                      <a:picLocks noChangeAspect="1"/>
                    </pic:cNvPicPr>
                  </pic:nvPicPr>
                  <pic:blipFill>
                    <a:blip r:embed="rId274"/>
                    <a:stretch>
                      <a:fillRect/>
                    </a:stretch>
                  </pic:blipFill>
                  <pic:spPr>
                    <a:xfrm>
                      <a:off x="0" y="0"/>
                      <a:ext cx="5858510" cy="4137660"/>
                    </a:xfrm>
                    <a:prstGeom prst="rect">
                      <a:avLst/>
                    </a:prstGeom>
                    <a:noFill/>
                    <a:ln>
                      <a:noFill/>
                    </a:ln>
                  </pic:spPr>
                </pic:pic>
              </a:graphicData>
            </a:graphic>
          </wp:inline>
        </w:drawing>
      </w:r>
    </w:p>
    <w:p w14:paraId="30EEBC25" w14:textId="77777777" w:rsidR="0075791A" w:rsidRDefault="00FB2864">
      <w:pPr>
        <w:widowControl w:val="0"/>
        <w:kinsoku/>
        <w:autoSpaceDE/>
        <w:autoSpaceDN/>
        <w:adjustRightInd/>
        <w:snapToGrid/>
        <w:spacing w:line="360" w:lineRule="auto"/>
        <w:jc w:val="center"/>
        <w:textAlignment w:val="auto"/>
        <w:rPr>
          <w:rFonts w:ascii="宋体" w:eastAsia="宋体" w:hAnsi="宋体" w:cs="宋体"/>
          <w:color w:val="auto"/>
          <w:lang w:eastAsia="zh-CN"/>
        </w:rPr>
      </w:pPr>
      <w:r>
        <w:rPr>
          <w:rFonts w:ascii="宋体" w:hAnsi="宋体" w:cs="宋体" w:hint="eastAsia"/>
          <w:color w:val="auto"/>
          <w:lang w:eastAsia="zh-CN"/>
        </w:rPr>
        <w:t>图</w:t>
      </w:r>
      <w:r>
        <w:rPr>
          <w:rFonts w:ascii="宋体" w:hAnsi="宋体" w:cs="宋体" w:hint="eastAsia"/>
          <w:color w:val="auto"/>
          <w:lang w:eastAsia="zh-CN"/>
        </w:rPr>
        <w:t>6.1.6-1</w:t>
      </w:r>
      <w:r>
        <w:rPr>
          <w:rFonts w:ascii="宋体" w:hAnsi="宋体" w:cs="宋体" w:hint="eastAsia"/>
          <w:color w:val="auto"/>
          <w:lang w:eastAsia="zh-CN"/>
        </w:rPr>
        <w:t>典型海洋生态系统生态保护项目布局图</w:t>
      </w:r>
    </w:p>
    <w:p w14:paraId="51B49661" w14:textId="77777777" w:rsidR="0075791A" w:rsidRDefault="00FB2864">
      <w:pPr>
        <w:spacing w:before="81" w:line="360" w:lineRule="auto"/>
        <w:ind w:left="10"/>
        <w:outlineLvl w:val="1"/>
        <w:rPr>
          <w:rFonts w:ascii="Times New Roman" w:eastAsia="宋体" w:hAnsi="Times New Roman" w:cs="宋体"/>
          <w:color w:val="auto"/>
          <w:sz w:val="30"/>
          <w:szCs w:val="30"/>
          <w:lang w:eastAsia="zh-CN"/>
        </w:rPr>
      </w:pPr>
      <w:bookmarkStart w:id="306" w:name="_Toc8252"/>
      <w:r>
        <w:rPr>
          <w:rFonts w:ascii="Times New Roman" w:eastAsia="宋体" w:hAnsi="Times New Roman" w:cs="Times New Roman" w:hint="eastAsia"/>
          <w:b/>
          <w:bCs/>
          <w:color w:val="auto"/>
          <w:spacing w:val="-3"/>
          <w:sz w:val="30"/>
          <w:szCs w:val="30"/>
          <w:lang w:eastAsia="zh-CN"/>
        </w:rPr>
        <w:t>6</w:t>
      </w:r>
      <w:r>
        <w:rPr>
          <w:rFonts w:ascii="Times New Roman" w:eastAsia="Times New Roman" w:hAnsi="Times New Roman" w:cs="Times New Roman"/>
          <w:b/>
          <w:bCs/>
          <w:color w:val="auto"/>
          <w:spacing w:val="-3"/>
          <w:sz w:val="30"/>
          <w:szCs w:val="30"/>
          <w:lang w:eastAsia="zh-CN"/>
        </w:rPr>
        <w:t>.2</w:t>
      </w:r>
      <w:r>
        <w:rPr>
          <w:rFonts w:ascii="Times New Roman" w:eastAsia="宋体" w:hAnsi="Times New Roman" w:cs="宋体"/>
          <w:b/>
          <w:bCs/>
          <w:color w:val="auto"/>
          <w:spacing w:val="-3"/>
          <w:sz w:val="30"/>
          <w:szCs w:val="30"/>
          <w:lang w:eastAsia="zh-CN"/>
        </w:rPr>
        <w:t>对周边海域国土空间规划分区的影响分析</w:t>
      </w:r>
      <w:bookmarkEnd w:id="304"/>
      <w:bookmarkEnd w:id="305"/>
      <w:bookmarkEnd w:id="306"/>
    </w:p>
    <w:p w14:paraId="17F9F742"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07" w:name="_Toc10873"/>
      <w:r>
        <w:rPr>
          <w:rFonts w:ascii="Times New Roman" w:hAnsi="Times New Roman" w:hint="eastAsia"/>
          <w:color w:val="auto"/>
          <w:sz w:val="28"/>
          <w:szCs w:val="28"/>
          <w:lang w:eastAsia="zh-CN"/>
        </w:rPr>
        <w:t>6.2.1</w:t>
      </w:r>
      <w:r>
        <w:rPr>
          <w:rFonts w:ascii="Times New Roman" w:hAnsi="Times New Roman" w:hint="eastAsia"/>
          <w:color w:val="auto"/>
          <w:sz w:val="28"/>
          <w:szCs w:val="28"/>
          <w:lang w:eastAsia="zh-CN"/>
        </w:rPr>
        <w:t>项目对海域国土空间规划分区的利用情况</w:t>
      </w:r>
      <w:bookmarkEnd w:id="307"/>
    </w:p>
    <w:p w14:paraId="6B8F67A8"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铁炉港红树林湿地保护修复项目建设范围总面积约</w:t>
      </w:r>
      <w:r>
        <w:rPr>
          <w:rFonts w:ascii="Times New Roman" w:eastAsia="宋体" w:hAnsi="Times New Roman" w:cs="宋体" w:hint="eastAsia"/>
          <w:color w:val="auto"/>
          <w:spacing w:val="-2"/>
          <w:sz w:val="24"/>
          <w:szCs w:val="24"/>
          <w:lang w:eastAsia="zh-CN"/>
        </w:rPr>
        <w:t>214.72</w:t>
      </w:r>
      <w:r>
        <w:rPr>
          <w:rFonts w:ascii="Times New Roman" w:eastAsia="宋体" w:hAnsi="Times New Roman" w:cs="宋体" w:hint="eastAsia"/>
          <w:color w:val="auto"/>
          <w:spacing w:val="-2"/>
          <w:sz w:val="24"/>
          <w:szCs w:val="24"/>
          <w:lang w:eastAsia="zh-CN"/>
        </w:rPr>
        <w:t>公顷，包括生态安全屏障构建工程、红树林资源保护与蓝碳增汇工程、滨海生物多样性提升工程、智慧监测与生态评估工程四大体系。本项目为</w:t>
      </w:r>
      <w:r>
        <w:rPr>
          <w:rFonts w:ascii="Times New Roman" w:eastAsia="宋体" w:hAnsi="Times New Roman" w:cs="宋体" w:hint="eastAsia"/>
          <w:color w:val="auto"/>
          <w:sz w:val="24"/>
          <w:szCs w:val="24"/>
          <w:lang w:eastAsia="zh-CN"/>
        </w:rPr>
        <w:t>第三大体系“</w:t>
      </w:r>
      <w:r>
        <w:rPr>
          <w:rFonts w:ascii="Times New Roman" w:eastAsia="宋体" w:hAnsi="Times New Roman" w:cs="宋体"/>
          <w:color w:val="auto"/>
          <w:sz w:val="24"/>
          <w:szCs w:val="24"/>
          <w:lang w:eastAsia="zh-CN"/>
        </w:rPr>
        <w:t>滨海生物多样性提升工程</w:t>
      </w:r>
      <w:r>
        <w:rPr>
          <w:rFonts w:ascii="Times New Roman" w:eastAsia="宋体" w:hAnsi="Times New Roman" w:cs="宋体" w:hint="eastAsia"/>
          <w:color w:val="auto"/>
          <w:sz w:val="24"/>
          <w:szCs w:val="24"/>
          <w:lang w:eastAsia="zh-CN"/>
        </w:rPr>
        <w:t>”中</w:t>
      </w:r>
      <w:r>
        <w:rPr>
          <w:rFonts w:ascii="Times New Roman" w:eastAsia="宋体" w:hAnsi="Times New Roman" w:cs="宋体"/>
          <w:color w:val="auto"/>
          <w:sz w:val="24"/>
          <w:szCs w:val="24"/>
          <w:lang w:eastAsia="zh-CN"/>
        </w:rPr>
        <w:t>水系连通与生境改造清淤</w:t>
      </w:r>
      <w:r>
        <w:rPr>
          <w:rFonts w:ascii="Times New Roman" w:eastAsia="宋体" w:hAnsi="Times New Roman" w:cs="宋体" w:hint="eastAsia"/>
          <w:color w:val="auto"/>
          <w:spacing w:val="-4"/>
          <w:sz w:val="24"/>
          <w:szCs w:val="24"/>
          <w:lang w:eastAsia="zh-CN"/>
        </w:rPr>
        <w:t>14.8672</w:t>
      </w:r>
      <w:r>
        <w:rPr>
          <w:rFonts w:ascii="Times New Roman" w:eastAsia="宋体" w:hAnsi="Times New Roman" w:cs="宋体"/>
          <w:color w:val="auto"/>
          <w:sz w:val="24"/>
          <w:szCs w:val="24"/>
          <w:lang w:eastAsia="zh-CN"/>
        </w:rPr>
        <w:t>hm</w:t>
      </w:r>
      <w:r>
        <w:rPr>
          <w:rFonts w:ascii="Times New Roman" w:eastAsia="宋体" w:hAnsi="Times New Roman" w:cs="宋体"/>
          <w:color w:val="auto"/>
          <w:sz w:val="24"/>
          <w:szCs w:val="24"/>
          <w:vertAlign w:val="superscript"/>
          <w:lang w:eastAsia="zh-CN"/>
        </w:rPr>
        <w:t>2</w:t>
      </w:r>
      <w:r>
        <w:rPr>
          <w:rFonts w:ascii="Times New Roman" w:eastAsia="宋体" w:hAnsi="Times New Roman" w:cs="宋体" w:hint="eastAsia"/>
          <w:color w:val="auto"/>
          <w:sz w:val="24"/>
          <w:szCs w:val="24"/>
          <w:lang w:eastAsia="zh-CN"/>
        </w:rPr>
        <w:t>，位于海中海高尔夫球场北侧，清淤量</w:t>
      </w:r>
      <w:r>
        <w:rPr>
          <w:rFonts w:ascii="Times New Roman" w:eastAsia="宋体" w:hAnsi="Times New Roman" w:cs="宋体" w:hint="eastAsia"/>
          <w:color w:val="auto"/>
          <w:sz w:val="24"/>
          <w:szCs w:val="24"/>
          <w:lang w:eastAsia="zh-CN"/>
        </w:rPr>
        <w:t>8.6</w:t>
      </w:r>
      <w:r>
        <w:rPr>
          <w:rFonts w:ascii="Times New Roman" w:eastAsia="宋体" w:hAnsi="Times New Roman" w:cs="宋体" w:hint="eastAsia"/>
          <w:color w:val="auto"/>
          <w:sz w:val="24"/>
          <w:szCs w:val="24"/>
          <w:lang w:eastAsia="zh-CN"/>
        </w:rPr>
        <w:t>万</w:t>
      </w:r>
      <w:r>
        <w:rPr>
          <w:rFonts w:ascii="Times New Roman" w:eastAsia="宋体" w:hAnsi="Times New Roman" w:cs="宋体" w:hint="eastAsia"/>
          <w:color w:val="auto"/>
          <w:sz w:val="24"/>
          <w:szCs w:val="24"/>
          <w:lang w:eastAsia="zh-CN"/>
        </w:rPr>
        <w:t>m</w:t>
      </w:r>
      <w:r>
        <w:rPr>
          <w:rFonts w:ascii="Times New Roman" w:eastAsia="宋体" w:hAnsi="Times New Roman" w:cs="宋体" w:hint="eastAsia"/>
          <w:color w:val="auto"/>
          <w:sz w:val="24"/>
          <w:szCs w:val="24"/>
          <w:vertAlign w:val="superscript"/>
          <w:lang w:eastAsia="zh-CN"/>
        </w:rPr>
        <w:t>3</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工期</w:t>
      </w: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个月；</w:t>
      </w:r>
      <w:r>
        <w:rPr>
          <w:rFonts w:ascii="Times New Roman" w:eastAsia="宋体" w:hAnsi="Times New Roman" w:cs="宋体" w:hint="eastAsia"/>
          <w:color w:val="auto"/>
          <w:spacing w:val="-2"/>
          <w:sz w:val="24"/>
          <w:szCs w:val="24"/>
          <w:lang w:eastAsia="zh-CN"/>
        </w:rPr>
        <w:t>智慧监测与生态评估工程中巡护设施、管理用房</w:t>
      </w:r>
      <w:r>
        <w:rPr>
          <w:rFonts w:ascii="Times New Roman" w:eastAsia="宋体" w:hAnsi="Times New Roman" w:cs="宋体" w:hint="eastAsia"/>
          <w:color w:val="auto"/>
          <w:spacing w:val="-2"/>
          <w:sz w:val="24"/>
          <w:szCs w:val="24"/>
          <w:lang w:eastAsia="zh-CN"/>
        </w:rPr>
        <w:t>0.3793</w:t>
      </w:r>
      <w:r>
        <w:rPr>
          <w:rFonts w:ascii="Times New Roman" w:eastAsia="宋体" w:hAnsi="Times New Roman" w:cs="宋体" w:hint="eastAsia"/>
          <w:color w:val="auto"/>
          <w:spacing w:val="-2"/>
          <w:sz w:val="24"/>
          <w:szCs w:val="24"/>
          <w:lang w:eastAsia="zh-CN"/>
        </w:rPr>
        <w:t>公顷，为超范围建设用海</w:t>
      </w:r>
      <w:r>
        <w:rPr>
          <w:rFonts w:ascii="Times New Roman" w:eastAsia="宋体" w:hAnsi="Times New Roman" w:cs="宋体" w:hint="eastAsia"/>
          <w:color w:val="auto"/>
          <w:sz w:val="24"/>
          <w:szCs w:val="24"/>
          <w:lang w:eastAsia="zh-CN"/>
        </w:rPr>
        <w:t>。</w:t>
      </w:r>
    </w:p>
    <w:p w14:paraId="77887936" w14:textId="77777777" w:rsidR="0075791A" w:rsidRDefault="00FB2864">
      <w:pPr>
        <w:spacing w:line="360" w:lineRule="auto"/>
        <w:ind w:firstLineChars="200" w:firstLine="478"/>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w:t>
      </w:r>
      <w:r>
        <w:rPr>
          <w:rFonts w:ascii="Times New Roman" w:eastAsia="宋体" w:hAnsi="Times New Roman" w:cs="宋体" w:hint="eastAsia"/>
          <w:color w:val="auto"/>
          <w:spacing w:val="-1"/>
          <w:sz w:val="24"/>
          <w:szCs w:val="24"/>
          <w:lang w:eastAsia="zh-CN"/>
        </w:rPr>
        <w:t>1</w:t>
      </w:r>
      <w:r>
        <w:rPr>
          <w:rFonts w:ascii="Times New Roman" w:eastAsia="宋体" w:hAnsi="Times New Roman" w:cs="宋体" w:hint="eastAsia"/>
          <w:color w:val="auto"/>
          <w:spacing w:val="-1"/>
          <w:sz w:val="24"/>
          <w:szCs w:val="24"/>
          <w:lang w:eastAsia="zh-CN"/>
        </w:rPr>
        <w:t>）根据《海南省国土空间规划（</w:t>
      </w:r>
      <w:r>
        <w:rPr>
          <w:rFonts w:ascii="Times New Roman" w:eastAsia="宋体" w:hAnsi="Times New Roman" w:cs="宋体" w:hint="eastAsia"/>
          <w:color w:val="auto"/>
          <w:spacing w:val="-1"/>
          <w:sz w:val="24"/>
          <w:szCs w:val="24"/>
          <w:lang w:eastAsia="zh-CN"/>
        </w:rPr>
        <w:t>2021-2035</w:t>
      </w:r>
      <w:r>
        <w:rPr>
          <w:rFonts w:ascii="Times New Roman" w:eastAsia="宋体" w:hAnsi="Times New Roman" w:cs="宋体" w:hint="eastAsia"/>
          <w:color w:val="auto"/>
          <w:spacing w:val="-1"/>
          <w:sz w:val="24"/>
          <w:szCs w:val="24"/>
          <w:lang w:eastAsia="zh-CN"/>
        </w:rPr>
        <w:t>年）》，项目疏浚区均位于海洋生态保护红线，面积为</w:t>
      </w:r>
      <w:r>
        <w:rPr>
          <w:rFonts w:ascii="宋体" w:hAnsi="宋体" w:cs="宋体" w:hint="eastAsia"/>
          <w:color w:val="auto"/>
          <w:sz w:val="24"/>
          <w:szCs w:val="24"/>
          <w:lang w:eastAsia="zh-CN"/>
        </w:rPr>
        <w:t>14.8672</w:t>
      </w:r>
      <w:r>
        <w:rPr>
          <w:rFonts w:ascii="宋体" w:hAnsi="宋体" w:cs="宋体" w:hint="eastAsia"/>
          <w:color w:val="auto"/>
          <w:sz w:val="24"/>
          <w:szCs w:val="24"/>
          <w:lang w:eastAsia="zh-CN"/>
        </w:rPr>
        <w:t>公顷。项目区域</w:t>
      </w:r>
      <w:r>
        <w:rPr>
          <w:rFonts w:ascii="Times New Roman" w:eastAsia="宋体" w:hAnsi="Times New Roman" w:cs="宋体" w:hint="eastAsia"/>
          <w:color w:val="auto"/>
          <w:spacing w:val="-1"/>
          <w:sz w:val="24"/>
          <w:szCs w:val="24"/>
          <w:lang w:eastAsia="zh-CN"/>
        </w:rPr>
        <w:t>岸线为限制开发岸线。</w:t>
      </w:r>
    </w:p>
    <w:p w14:paraId="499EFD16"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生态保护红线管控要求为生态保护红线内，自然保护地核心保护区原则上禁止人为活动，法律法规另有规定的除外。生态保护红线内自然保护地核心保护区外，禁止开发性、生产性建设活动，在符合法律法规前提下，仅允许对生态功能不造成破坏</w:t>
      </w:r>
      <w:r>
        <w:rPr>
          <w:rFonts w:ascii="Times New Roman" w:eastAsia="宋体" w:hAnsi="Times New Roman" w:cs="宋体" w:hint="eastAsia"/>
          <w:color w:val="auto"/>
          <w:spacing w:val="-2"/>
          <w:sz w:val="24"/>
          <w:szCs w:val="24"/>
          <w:lang w:eastAsia="zh-CN"/>
        </w:rPr>
        <w:t xml:space="preserve"> </w:t>
      </w:r>
      <w:r>
        <w:rPr>
          <w:rFonts w:ascii="Times New Roman" w:eastAsia="宋体" w:hAnsi="Times New Roman" w:cs="宋体" w:hint="eastAsia"/>
          <w:color w:val="auto"/>
          <w:spacing w:val="-2"/>
          <w:sz w:val="24"/>
          <w:szCs w:val="24"/>
          <w:lang w:eastAsia="zh-CN"/>
        </w:rPr>
        <w:t>的有限人为活动。</w:t>
      </w:r>
    </w:p>
    <w:p w14:paraId="73600131"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）根据《海南省海岸带及海洋空间规划（</w:t>
      </w:r>
      <w:r>
        <w:rPr>
          <w:rFonts w:ascii="Times New Roman" w:eastAsia="宋体" w:hAnsi="Times New Roman" w:cs="宋体" w:hint="eastAsia"/>
          <w:color w:val="auto"/>
          <w:spacing w:val="-2"/>
          <w:sz w:val="24"/>
          <w:szCs w:val="24"/>
          <w:lang w:eastAsia="zh-CN"/>
        </w:rPr>
        <w:t>2021-2035</w:t>
      </w:r>
      <w:r>
        <w:rPr>
          <w:rFonts w:ascii="Times New Roman" w:eastAsia="宋体" w:hAnsi="Times New Roman" w:cs="宋体" w:hint="eastAsia"/>
          <w:color w:val="auto"/>
          <w:spacing w:val="-2"/>
          <w:sz w:val="24"/>
          <w:szCs w:val="24"/>
          <w:lang w:eastAsia="zh-CN"/>
        </w:rPr>
        <w:t>年）》，本项目用海均位于铁炉港潟湖生态保护区，面积为</w:t>
      </w:r>
      <w:r>
        <w:rPr>
          <w:rFonts w:ascii="Times New Roman" w:eastAsia="宋体" w:hAnsi="Times New Roman" w:cs="宋体" w:hint="eastAsia"/>
          <w:color w:val="auto"/>
          <w:spacing w:val="-2"/>
          <w:sz w:val="24"/>
          <w:szCs w:val="24"/>
          <w:lang w:eastAsia="zh-CN"/>
        </w:rPr>
        <w:t>15.2465</w:t>
      </w:r>
      <w:r>
        <w:rPr>
          <w:rFonts w:ascii="Times New Roman" w:eastAsia="宋体" w:hAnsi="Times New Roman" w:cs="宋体" w:hint="eastAsia"/>
          <w:color w:val="auto"/>
          <w:spacing w:val="-2"/>
          <w:sz w:val="24"/>
          <w:szCs w:val="24"/>
          <w:lang w:eastAsia="zh-CN"/>
        </w:rPr>
        <w:t>公顷</w:t>
      </w:r>
      <w:r>
        <w:rPr>
          <w:rFonts w:ascii="Times New Roman" w:eastAsia="宋体" w:hAnsi="Times New Roman" w:cs="宋体" w:hint="eastAsia"/>
          <w:color w:val="auto"/>
          <w:spacing w:val="-2"/>
          <w:sz w:val="24"/>
          <w:szCs w:val="24"/>
          <w:lang w:eastAsia="zh-CN"/>
        </w:rPr>
        <w:t>。</w:t>
      </w:r>
    </w:p>
    <w:p w14:paraId="451AAA97"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lastRenderedPageBreak/>
        <w:t>生态保护区的管控要求：海洋生态空间中涉及自然保护地管理和管控要求严格按照相关法律法规的规定执行，自然保护地核心保护区原则上禁止人为活动；自然保护地核心保护区外，原则上禁止生产性、建设性活动，在符合相关法律法规前提下，仅允许开展对生态功能不造成破坏的有限人为活动和国家重大项目占用。禁止改变海域自然属性。严格执行生态保护红线管理规定、海南省红树林管理规定等，保护红树林、海草床、珊瑚礁及其生态系统；保护潟湖自然生态环境；保护水质和底质；保护岛上的鸟类及其生态环境；保护海岛形态、地形地貌和海洋生态系统；保护沙滩</w:t>
      </w:r>
      <w:r>
        <w:rPr>
          <w:rFonts w:ascii="Times New Roman" w:eastAsia="宋体" w:hAnsi="Times New Roman" w:cs="宋体" w:hint="eastAsia"/>
          <w:color w:val="auto"/>
          <w:spacing w:val="-2"/>
          <w:sz w:val="24"/>
          <w:szCs w:val="24"/>
          <w:lang w:eastAsia="zh-CN"/>
        </w:rPr>
        <w:t>、沿岸地质地貌；保护海洋生物多样性。</w:t>
      </w:r>
    </w:p>
    <w:p w14:paraId="2B0F2B03"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根据《三亚市国土空间总体规划（</w:t>
      </w:r>
      <w:r>
        <w:rPr>
          <w:rFonts w:ascii="Times New Roman" w:eastAsia="宋体" w:hAnsi="Times New Roman" w:cs="宋体" w:hint="eastAsia"/>
          <w:color w:val="auto"/>
          <w:spacing w:val="-2"/>
          <w:sz w:val="24"/>
          <w:szCs w:val="24"/>
          <w:lang w:eastAsia="zh-CN"/>
        </w:rPr>
        <w:t>2021-2035</w:t>
      </w:r>
      <w:r>
        <w:rPr>
          <w:rFonts w:ascii="Times New Roman" w:eastAsia="宋体" w:hAnsi="Times New Roman" w:cs="宋体"/>
          <w:color w:val="auto"/>
          <w:spacing w:val="-2"/>
          <w:sz w:val="24"/>
          <w:szCs w:val="24"/>
          <w:lang w:eastAsia="zh-CN"/>
        </w:rPr>
        <w:t>）》</w:t>
      </w:r>
      <w:r>
        <w:rPr>
          <w:rFonts w:ascii="Times New Roman" w:eastAsia="宋体" w:hAnsi="Times New Roman" w:cs="宋体" w:hint="eastAsia"/>
          <w:color w:val="auto"/>
          <w:spacing w:val="-2"/>
          <w:sz w:val="24"/>
          <w:szCs w:val="24"/>
          <w:lang w:eastAsia="zh-CN"/>
        </w:rPr>
        <w:t>，本项目疏浚区、构筑物建设位于生态保护区，面积为</w:t>
      </w:r>
      <w:r>
        <w:rPr>
          <w:rFonts w:ascii="Times New Roman" w:eastAsia="宋体" w:hAnsi="Times New Roman" w:cs="宋体" w:hint="eastAsia"/>
          <w:color w:val="auto"/>
          <w:spacing w:val="-2"/>
          <w:sz w:val="24"/>
          <w:szCs w:val="24"/>
          <w:lang w:eastAsia="zh-CN"/>
        </w:rPr>
        <w:t>15.2465</w:t>
      </w:r>
      <w:r>
        <w:rPr>
          <w:rFonts w:ascii="Times New Roman" w:eastAsia="宋体" w:hAnsi="Times New Roman" w:cs="宋体" w:hint="eastAsia"/>
          <w:color w:val="auto"/>
          <w:spacing w:val="-2"/>
          <w:sz w:val="24"/>
          <w:szCs w:val="24"/>
          <w:lang w:eastAsia="zh-CN"/>
        </w:rPr>
        <w:t>公顷。</w:t>
      </w:r>
    </w:p>
    <w:p w14:paraId="7FF1E8DA" w14:textId="77777777" w:rsidR="0075791A" w:rsidRDefault="00FB2864">
      <w:pPr>
        <w:spacing w:line="360" w:lineRule="auto"/>
        <w:ind w:firstLineChars="200" w:firstLine="478"/>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生态保护区管控要求为生态保护区内的自然保护地核心保护区原则上禁止人为活动，经依法批准的科学研究观测、调查监测、生态修复等法律、法规和国家有关规定允许的活动除外。其他区域严格禁止开发性、生产性建设活动，在符合现行法律法规前提下，除国家重大战略项目外，仅允许对生态功能不造成破坏的有限人为活动。根据</w:t>
      </w:r>
      <w:r>
        <w:rPr>
          <w:rFonts w:ascii="宋体" w:eastAsia="宋体" w:hAnsi="宋体" w:cs="宋体" w:hint="eastAsia"/>
          <w:color w:val="auto"/>
          <w:sz w:val="24"/>
          <w:szCs w:val="24"/>
          <w:lang w:eastAsia="zh-CN"/>
        </w:rPr>
        <w:t>《海南省海岸带及海洋空间规划（</w:t>
      </w:r>
      <w:r>
        <w:rPr>
          <w:rFonts w:ascii="宋体" w:eastAsia="宋体" w:hAnsi="宋体" w:cs="宋体" w:hint="eastAsia"/>
          <w:color w:val="auto"/>
          <w:sz w:val="24"/>
          <w:szCs w:val="24"/>
          <w:lang w:eastAsia="zh-CN"/>
        </w:rPr>
        <w:t>2021-2035</w:t>
      </w:r>
      <w:r>
        <w:rPr>
          <w:rFonts w:ascii="宋体" w:eastAsia="宋体" w:hAnsi="宋体" w:cs="宋体" w:hint="eastAsia"/>
          <w:color w:val="auto"/>
          <w:sz w:val="24"/>
          <w:szCs w:val="24"/>
          <w:lang w:eastAsia="zh-CN"/>
        </w:rPr>
        <w:t>年）》</w:t>
      </w:r>
      <w:r>
        <w:rPr>
          <w:rFonts w:ascii="Times New Roman" w:eastAsia="宋体" w:hAnsi="Times New Roman" w:cs="宋体" w:hint="eastAsia"/>
          <w:color w:val="auto"/>
          <w:spacing w:val="-1"/>
          <w:sz w:val="24"/>
          <w:szCs w:val="24"/>
          <w:lang w:eastAsia="zh-CN"/>
        </w:rPr>
        <w:t>，项目用海占用铁炉港潟湖生态保护区</w:t>
      </w:r>
      <w:r>
        <w:rPr>
          <w:rFonts w:ascii="宋体" w:hAnsi="宋体" w:cs="宋体" w:hint="eastAsia"/>
          <w:color w:val="auto"/>
          <w:sz w:val="24"/>
          <w:szCs w:val="24"/>
          <w:lang w:eastAsia="zh-CN"/>
        </w:rPr>
        <w:t>。</w:t>
      </w:r>
    </w:p>
    <w:p w14:paraId="7E7F006F" w14:textId="77777777" w:rsidR="0075791A" w:rsidRDefault="00FB2864">
      <w:pPr>
        <w:spacing w:line="360" w:lineRule="auto"/>
        <w:ind w:firstLineChars="200" w:firstLine="478"/>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综上，本项目清淤疏浚区、构筑物建设占用生态保护区（海洋生态保护红线），占用</w:t>
      </w:r>
      <w:r>
        <w:rPr>
          <w:rFonts w:ascii="Times New Roman" w:eastAsia="宋体" w:hAnsi="Times New Roman" w:cs="宋体" w:hint="eastAsia"/>
          <w:color w:val="auto"/>
          <w:sz w:val="24"/>
          <w:szCs w:val="24"/>
          <w:lang w:eastAsia="zh-CN"/>
        </w:rPr>
        <w:t>面积为</w:t>
      </w:r>
      <w:r>
        <w:rPr>
          <w:rFonts w:ascii="宋体" w:hAnsi="宋体" w:cs="宋体" w:hint="eastAsia"/>
          <w:color w:val="auto"/>
          <w:sz w:val="24"/>
          <w:szCs w:val="24"/>
          <w:lang w:eastAsia="zh-CN"/>
        </w:rPr>
        <w:t>15.2465</w:t>
      </w:r>
      <w:r>
        <w:rPr>
          <w:rFonts w:ascii="宋体" w:hAnsi="宋体" w:cs="宋体" w:hint="eastAsia"/>
          <w:color w:val="auto"/>
          <w:sz w:val="24"/>
          <w:szCs w:val="24"/>
          <w:lang w:eastAsia="zh-CN"/>
        </w:rPr>
        <w:t>公顷</w:t>
      </w:r>
      <w:r>
        <w:rPr>
          <w:rFonts w:ascii="Times New Roman" w:eastAsia="宋体" w:hAnsi="Times New Roman" w:cs="宋体" w:hint="eastAsia"/>
          <w:color w:val="auto"/>
          <w:spacing w:val="-1"/>
          <w:sz w:val="24"/>
          <w:szCs w:val="24"/>
          <w:lang w:eastAsia="zh-CN"/>
        </w:rPr>
        <w:t>。本项目清淤、巡护设施、管理</w:t>
      </w:r>
      <w:r>
        <w:rPr>
          <w:rFonts w:ascii="Times New Roman" w:eastAsia="宋体" w:hAnsi="Times New Roman" w:cs="宋体" w:hint="eastAsia"/>
          <w:color w:val="auto"/>
          <w:spacing w:val="-1"/>
          <w:sz w:val="24"/>
          <w:szCs w:val="24"/>
          <w:lang w:eastAsia="zh-CN"/>
        </w:rPr>
        <w:t>设施为红树林湿地保护修复项目建设内容之一，用海方式为专用航道、锚地及其他开放式、透水构筑物，用海面积为</w:t>
      </w:r>
      <w:r>
        <w:rPr>
          <w:rFonts w:ascii="Times New Roman" w:eastAsia="宋体" w:hAnsi="Times New Roman" w:cs="宋体" w:hint="eastAsia"/>
          <w:color w:val="auto"/>
          <w:spacing w:val="-2"/>
          <w:sz w:val="24"/>
          <w:szCs w:val="24"/>
          <w:lang w:eastAsia="zh-CN"/>
        </w:rPr>
        <w:t>15.2465</w:t>
      </w:r>
      <w:r>
        <w:rPr>
          <w:rFonts w:ascii="Times New Roman" w:eastAsia="宋体" w:hAnsi="Times New Roman" w:cs="宋体" w:hint="eastAsia"/>
          <w:color w:val="auto"/>
          <w:spacing w:val="-1"/>
          <w:sz w:val="24"/>
          <w:szCs w:val="24"/>
          <w:lang w:eastAsia="zh-CN"/>
        </w:rPr>
        <w:t>公顷，占用岸线</w:t>
      </w:r>
      <w:r>
        <w:rPr>
          <w:rFonts w:ascii="Times New Roman" w:eastAsia="宋体" w:hAnsi="Times New Roman" w:cs="宋体" w:hint="eastAsia"/>
          <w:color w:val="auto"/>
          <w:spacing w:val="-1"/>
          <w:sz w:val="24"/>
          <w:szCs w:val="24"/>
          <w:lang w:eastAsia="zh-CN"/>
        </w:rPr>
        <w:t>0m</w:t>
      </w:r>
      <w:r>
        <w:rPr>
          <w:rFonts w:ascii="Times New Roman" w:eastAsia="宋体" w:hAnsi="Times New Roman" w:cs="宋体" w:hint="eastAsia"/>
          <w:color w:val="auto"/>
          <w:spacing w:val="-1"/>
          <w:sz w:val="24"/>
          <w:szCs w:val="24"/>
          <w:lang w:eastAsia="zh-CN"/>
        </w:rPr>
        <w:t>，申请用海期限为</w:t>
      </w:r>
      <w:r>
        <w:rPr>
          <w:rFonts w:ascii="Times New Roman" w:eastAsia="宋体" w:hAnsi="Times New Roman" w:cs="宋体" w:hint="eastAsia"/>
          <w:color w:val="auto"/>
          <w:spacing w:val="-1"/>
          <w:sz w:val="24"/>
          <w:szCs w:val="24"/>
          <w:lang w:eastAsia="zh-CN"/>
        </w:rPr>
        <w:t>6</w:t>
      </w:r>
      <w:r>
        <w:rPr>
          <w:rFonts w:ascii="Times New Roman" w:eastAsia="宋体" w:hAnsi="Times New Roman" w:cs="宋体" w:hint="eastAsia"/>
          <w:color w:val="auto"/>
          <w:spacing w:val="-1"/>
          <w:sz w:val="24"/>
          <w:szCs w:val="24"/>
          <w:lang w:eastAsia="zh-CN"/>
        </w:rPr>
        <w:t>个月、</w:t>
      </w:r>
      <w:r>
        <w:rPr>
          <w:rFonts w:ascii="Times New Roman" w:eastAsia="宋体" w:hAnsi="Times New Roman" w:cs="宋体" w:hint="eastAsia"/>
          <w:color w:val="auto"/>
          <w:spacing w:val="-1"/>
          <w:sz w:val="24"/>
          <w:szCs w:val="24"/>
          <w:lang w:eastAsia="zh-CN"/>
        </w:rPr>
        <w:t>40</w:t>
      </w:r>
      <w:r>
        <w:rPr>
          <w:rFonts w:ascii="Times New Roman" w:eastAsia="宋体" w:hAnsi="Times New Roman" w:cs="宋体" w:hint="eastAsia"/>
          <w:color w:val="auto"/>
          <w:spacing w:val="-1"/>
          <w:sz w:val="24"/>
          <w:szCs w:val="24"/>
          <w:lang w:eastAsia="zh-CN"/>
        </w:rPr>
        <w:t>年；。</w:t>
      </w:r>
    </w:p>
    <w:p w14:paraId="69408B4C" w14:textId="77777777" w:rsidR="0075791A" w:rsidRDefault="00FB2864">
      <w:pPr>
        <w:spacing w:line="360" w:lineRule="auto"/>
        <w:ind w:firstLineChars="200" w:firstLine="478"/>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根据《海南省生态保护红线准入管理目录</w:t>
      </w:r>
      <w:r>
        <w:rPr>
          <w:rFonts w:ascii="Times New Roman" w:eastAsia="宋体" w:hAnsi="Times New Roman" w:cs="宋体" w:hint="eastAsia"/>
          <w:color w:val="auto"/>
          <w:spacing w:val="-1"/>
          <w:sz w:val="24"/>
          <w:szCs w:val="24"/>
          <w:lang w:eastAsia="zh-CN"/>
        </w:rPr>
        <w:t>(</w:t>
      </w:r>
      <w:r>
        <w:rPr>
          <w:rFonts w:ascii="Times New Roman" w:eastAsia="宋体" w:hAnsi="Times New Roman" w:cs="宋体" w:hint="eastAsia"/>
          <w:color w:val="auto"/>
          <w:spacing w:val="-1"/>
          <w:sz w:val="24"/>
          <w:szCs w:val="24"/>
          <w:lang w:eastAsia="zh-CN"/>
        </w:rPr>
        <w:t>修订</w:t>
      </w:r>
      <w:r>
        <w:rPr>
          <w:rFonts w:ascii="Times New Roman" w:eastAsia="宋体" w:hAnsi="Times New Roman" w:cs="宋体" w:hint="eastAsia"/>
          <w:color w:val="auto"/>
          <w:spacing w:val="-1"/>
          <w:sz w:val="24"/>
          <w:szCs w:val="24"/>
          <w:lang w:eastAsia="zh-CN"/>
        </w:rPr>
        <w:t>)</w:t>
      </w:r>
      <w:r>
        <w:rPr>
          <w:rFonts w:ascii="Times New Roman" w:eastAsia="宋体" w:hAnsi="Times New Roman" w:cs="宋体" w:hint="eastAsia"/>
          <w:color w:val="auto"/>
          <w:spacing w:val="-1"/>
          <w:sz w:val="24"/>
          <w:szCs w:val="24"/>
          <w:lang w:eastAsia="zh-CN"/>
        </w:rPr>
        <w:t>》，海南省生态保护红线内自然保护地核心保护区准入目录为：“</w:t>
      </w:r>
      <w:r>
        <w:rPr>
          <w:rFonts w:ascii="Times New Roman" w:eastAsia="宋体" w:hAnsi="Times New Roman" w:cs="宋体"/>
          <w:color w:val="auto"/>
          <w:spacing w:val="-1"/>
          <w:sz w:val="24"/>
          <w:szCs w:val="24"/>
          <w:lang w:eastAsia="zh-CN"/>
        </w:rPr>
        <w:t>原则上禁止人为活动，经依法批准的科学研究观测、调查监测、生态修复等法律、法规和国家有关规定允许的活动除外。</w:t>
      </w:r>
      <w:r>
        <w:rPr>
          <w:rFonts w:ascii="Times New Roman" w:eastAsia="宋体" w:hAnsi="Times New Roman" w:cs="宋体" w:hint="eastAsia"/>
          <w:color w:val="auto"/>
          <w:spacing w:val="-1"/>
          <w:sz w:val="24"/>
          <w:szCs w:val="24"/>
          <w:lang w:eastAsia="zh-CN"/>
        </w:rPr>
        <w:t>”</w:t>
      </w:r>
    </w:p>
    <w:p w14:paraId="6C2CCEE1" w14:textId="77777777" w:rsidR="0075791A" w:rsidRDefault="00FB2864">
      <w:pPr>
        <w:spacing w:line="360" w:lineRule="auto"/>
        <w:ind w:firstLineChars="200" w:firstLine="478"/>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根据《中华人民共和国自然保护区条例》（国务院令第</w:t>
      </w:r>
      <w:r>
        <w:rPr>
          <w:rFonts w:ascii="Times New Roman" w:eastAsia="宋体" w:hAnsi="Times New Roman" w:cs="宋体" w:hint="eastAsia"/>
          <w:color w:val="auto"/>
          <w:spacing w:val="-1"/>
          <w:sz w:val="24"/>
          <w:szCs w:val="24"/>
          <w:lang w:eastAsia="zh-CN"/>
        </w:rPr>
        <w:t>830</w:t>
      </w:r>
      <w:r>
        <w:rPr>
          <w:rFonts w:ascii="Times New Roman" w:eastAsia="宋体" w:hAnsi="Times New Roman" w:cs="宋体" w:hint="eastAsia"/>
          <w:color w:val="auto"/>
          <w:spacing w:val="-1"/>
          <w:sz w:val="24"/>
          <w:szCs w:val="24"/>
          <w:lang w:eastAsia="zh-CN"/>
        </w:rPr>
        <w:t>号）“第二十六条</w:t>
      </w:r>
      <w:r>
        <w:rPr>
          <w:rFonts w:ascii="Times New Roman" w:eastAsia="宋体" w:hAnsi="Times New Roman" w:cs="宋体" w:hint="eastAsia"/>
          <w:color w:val="auto"/>
          <w:spacing w:val="-1"/>
          <w:sz w:val="24"/>
          <w:szCs w:val="24"/>
          <w:lang w:eastAsia="zh-CN"/>
        </w:rPr>
        <w:t xml:space="preserve"> </w:t>
      </w:r>
      <w:r>
        <w:rPr>
          <w:rFonts w:ascii="Times New Roman" w:eastAsia="宋体" w:hAnsi="Times New Roman" w:cs="宋体" w:hint="eastAsia"/>
          <w:color w:val="auto"/>
          <w:spacing w:val="-1"/>
          <w:sz w:val="24"/>
          <w:szCs w:val="24"/>
          <w:lang w:eastAsia="zh-CN"/>
        </w:rPr>
        <w:t>除下列活动外，自然保护区核心保护区内禁止人为活动：（一）为保护自然保护区开展的调查监测、</w:t>
      </w:r>
      <w:r>
        <w:rPr>
          <w:rFonts w:ascii="Times New Roman" w:eastAsia="宋体" w:hAnsi="Times New Roman" w:cs="宋体" w:hint="eastAsia"/>
          <w:b/>
          <w:bCs/>
          <w:color w:val="auto"/>
          <w:spacing w:val="-1"/>
          <w:sz w:val="24"/>
          <w:szCs w:val="24"/>
          <w:lang w:eastAsia="zh-CN"/>
        </w:rPr>
        <w:t>生态修复、</w:t>
      </w:r>
      <w:r>
        <w:rPr>
          <w:rFonts w:ascii="Times New Roman" w:eastAsia="宋体" w:hAnsi="Times New Roman" w:cs="宋体" w:hint="eastAsia"/>
          <w:color w:val="auto"/>
          <w:spacing w:val="-1"/>
          <w:sz w:val="24"/>
          <w:szCs w:val="24"/>
          <w:lang w:eastAsia="zh-CN"/>
        </w:rPr>
        <w:t>管护巡护等活动，科研观测、基础测绘、文物和其他文化遗产保护、防灾减灾、应急救援活动，以及国家机关依法履行执法职责确需开展的活动；……”</w:t>
      </w:r>
    </w:p>
    <w:p w14:paraId="0E0979A3" w14:textId="77777777" w:rsidR="0075791A" w:rsidRDefault="00FB2864">
      <w:pPr>
        <w:spacing w:line="360" w:lineRule="auto"/>
        <w:ind w:firstLineChars="200" w:firstLine="476"/>
        <w:jc w:val="both"/>
        <w:rPr>
          <w:rFonts w:ascii="Times New Roman" w:eastAsia="宋体" w:hAnsi="Times New Roman" w:cs="宋体"/>
          <w:b/>
          <w:bCs/>
          <w:color w:val="auto"/>
          <w:spacing w:val="-1"/>
          <w:sz w:val="24"/>
          <w:szCs w:val="24"/>
          <w:highlight w:val="yellow"/>
          <w:lang w:eastAsia="zh-CN"/>
        </w:rPr>
      </w:pPr>
      <w:r>
        <w:rPr>
          <w:rFonts w:ascii="Times New Roman" w:eastAsia="宋体" w:hAnsi="Times New Roman" w:cs="宋体"/>
          <w:color w:val="auto"/>
          <w:spacing w:val="-2"/>
          <w:sz w:val="24"/>
          <w:szCs w:val="24"/>
          <w:lang w:eastAsia="zh-CN"/>
        </w:rPr>
        <w:t>铁炉港红树林湿地保护修复项目是海南南部典型热带区域山水林田湖草沙一体化保护和修复工程之三十二子项目</w:t>
      </w:r>
      <w:r>
        <w:rPr>
          <w:rFonts w:ascii="Times New Roman" w:eastAsia="宋体" w:hAnsi="Times New Roman" w:cs="宋体" w:hint="eastAsia"/>
          <w:color w:val="auto"/>
          <w:spacing w:val="-1"/>
          <w:sz w:val="24"/>
          <w:szCs w:val="24"/>
          <w:lang w:eastAsia="zh-CN"/>
        </w:rPr>
        <w:t>，清淤疏浚是该项目建设内容之一，也是“山水工程”考核指标之一，为生态修复活动，在生态保护红线内自然保护地核心</w:t>
      </w:r>
      <w:r>
        <w:rPr>
          <w:rFonts w:ascii="Times New Roman" w:eastAsia="宋体" w:hAnsi="Times New Roman" w:cs="宋体" w:hint="eastAsia"/>
          <w:color w:val="auto"/>
          <w:spacing w:val="-1"/>
          <w:sz w:val="24"/>
          <w:szCs w:val="24"/>
          <w:lang w:eastAsia="zh-CN"/>
        </w:rPr>
        <w:t>保护区，需取得批</w:t>
      </w:r>
      <w:r>
        <w:rPr>
          <w:rFonts w:ascii="Times New Roman" w:eastAsia="宋体" w:hAnsi="Times New Roman" w:cs="宋体" w:hint="eastAsia"/>
          <w:color w:val="auto"/>
          <w:spacing w:val="-2"/>
          <w:sz w:val="24"/>
          <w:szCs w:val="24"/>
          <w:lang w:eastAsia="zh-CN"/>
        </w:rPr>
        <w:lastRenderedPageBreak/>
        <w:t>准，方可准入。三亚市林业局</w:t>
      </w:r>
      <w:r>
        <w:rPr>
          <w:rFonts w:ascii="Times New Roman" w:eastAsia="宋体" w:hAnsi="Times New Roman" w:cs="宋体"/>
          <w:color w:val="auto"/>
          <w:spacing w:val="-2"/>
          <w:sz w:val="24"/>
          <w:szCs w:val="24"/>
          <w:lang w:eastAsia="zh-CN"/>
        </w:rPr>
        <w:t>组织编制了《铁</w:t>
      </w:r>
      <w:r>
        <w:rPr>
          <w:rFonts w:ascii="Times New Roman" w:eastAsia="宋体" w:hAnsi="Times New Roman" w:cs="宋体"/>
          <w:color w:val="auto"/>
          <w:spacing w:val="-2"/>
          <w:sz w:val="24"/>
          <w:szCs w:val="24"/>
          <w:lang w:eastAsia="zh-CN"/>
        </w:rPr>
        <w:t xml:space="preserve"> </w:t>
      </w:r>
      <w:r>
        <w:rPr>
          <w:rFonts w:ascii="Times New Roman" w:eastAsia="宋体" w:hAnsi="Times New Roman" w:cs="宋体"/>
          <w:color w:val="auto"/>
          <w:spacing w:val="-2"/>
          <w:sz w:val="24"/>
          <w:szCs w:val="24"/>
          <w:lang w:eastAsia="zh-CN"/>
        </w:rPr>
        <w:t>炉港红树林湿地保护修复项目（二期）疏浚活动对三亚市铁炉港</w:t>
      </w:r>
      <w:r>
        <w:rPr>
          <w:rFonts w:ascii="Times New Roman" w:eastAsia="宋体" w:hAnsi="Times New Roman" w:cs="宋体"/>
          <w:color w:val="auto"/>
          <w:spacing w:val="-2"/>
          <w:sz w:val="24"/>
          <w:szCs w:val="24"/>
          <w:lang w:eastAsia="zh-CN"/>
        </w:rPr>
        <w:t xml:space="preserve"> </w:t>
      </w:r>
      <w:r>
        <w:rPr>
          <w:rFonts w:ascii="Times New Roman" w:eastAsia="宋体" w:hAnsi="Times New Roman" w:cs="宋体"/>
          <w:color w:val="auto"/>
          <w:spacing w:val="-2"/>
          <w:sz w:val="24"/>
          <w:szCs w:val="24"/>
          <w:lang w:eastAsia="zh-CN"/>
        </w:rPr>
        <w:t>红树林自然保护区生物多样性影响评价报告》，于</w:t>
      </w:r>
      <w:r>
        <w:rPr>
          <w:rFonts w:ascii="Times New Roman" w:eastAsia="宋体" w:hAnsi="Times New Roman" w:cs="宋体"/>
          <w:color w:val="auto"/>
          <w:spacing w:val="-2"/>
          <w:sz w:val="24"/>
          <w:szCs w:val="24"/>
          <w:lang w:eastAsia="zh-CN"/>
        </w:rPr>
        <w:t xml:space="preserve"> 2026 </w:t>
      </w:r>
      <w:r>
        <w:rPr>
          <w:rFonts w:ascii="Times New Roman" w:eastAsia="宋体" w:hAnsi="Times New Roman" w:cs="宋体"/>
          <w:color w:val="auto"/>
          <w:spacing w:val="-2"/>
          <w:sz w:val="24"/>
          <w:szCs w:val="24"/>
          <w:lang w:eastAsia="zh-CN"/>
        </w:rPr>
        <w:t>年</w:t>
      </w:r>
      <w:r>
        <w:rPr>
          <w:rFonts w:ascii="Times New Roman" w:eastAsia="宋体" w:hAnsi="Times New Roman" w:cs="宋体"/>
          <w:color w:val="auto"/>
          <w:spacing w:val="-2"/>
          <w:sz w:val="24"/>
          <w:szCs w:val="24"/>
          <w:lang w:eastAsia="zh-CN"/>
        </w:rPr>
        <w:t xml:space="preserve"> 3 </w:t>
      </w:r>
      <w:r>
        <w:rPr>
          <w:rFonts w:ascii="Times New Roman" w:eastAsia="宋体" w:hAnsi="Times New Roman" w:cs="宋体"/>
          <w:color w:val="auto"/>
          <w:spacing w:val="-2"/>
          <w:sz w:val="24"/>
          <w:szCs w:val="24"/>
          <w:lang w:eastAsia="zh-CN"/>
        </w:rPr>
        <w:t>月</w:t>
      </w:r>
      <w:r>
        <w:rPr>
          <w:rFonts w:ascii="Times New Roman" w:eastAsia="宋体" w:hAnsi="Times New Roman" w:cs="宋体"/>
          <w:color w:val="auto"/>
          <w:spacing w:val="-2"/>
          <w:sz w:val="24"/>
          <w:szCs w:val="24"/>
          <w:lang w:eastAsia="zh-CN"/>
        </w:rPr>
        <w:t xml:space="preserve"> 10 </w:t>
      </w:r>
      <w:r>
        <w:rPr>
          <w:rFonts w:ascii="Times New Roman" w:eastAsia="宋体" w:hAnsi="Times New Roman" w:cs="宋体"/>
          <w:color w:val="auto"/>
          <w:spacing w:val="-2"/>
          <w:sz w:val="24"/>
          <w:szCs w:val="24"/>
          <w:lang w:eastAsia="zh-CN"/>
        </w:rPr>
        <w:t>日通过专家</w:t>
      </w:r>
      <w:r>
        <w:rPr>
          <w:rFonts w:ascii="Times New Roman" w:eastAsia="宋体" w:hAnsi="Times New Roman" w:cs="宋体"/>
          <w:color w:val="auto"/>
          <w:spacing w:val="-1"/>
          <w:sz w:val="24"/>
          <w:szCs w:val="24"/>
          <w:lang w:eastAsia="zh-CN"/>
        </w:rPr>
        <w:t>评审</w:t>
      </w:r>
      <w:r>
        <w:rPr>
          <w:rFonts w:ascii="Times New Roman" w:eastAsia="宋体" w:hAnsi="Times New Roman" w:cs="宋体" w:hint="eastAsia"/>
          <w:color w:val="auto"/>
          <w:spacing w:val="-1"/>
          <w:sz w:val="24"/>
          <w:szCs w:val="24"/>
          <w:lang w:eastAsia="zh-CN"/>
        </w:rPr>
        <w:t>，并出具《三亚市林业局</w:t>
      </w:r>
      <w:r>
        <w:rPr>
          <w:rFonts w:ascii="Times New Roman" w:eastAsia="宋体" w:hAnsi="Times New Roman" w:cs="宋体" w:hint="eastAsia"/>
          <w:color w:val="auto"/>
          <w:spacing w:val="-1"/>
          <w:sz w:val="24"/>
          <w:szCs w:val="24"/>
          <w:lang w:eastAsia="zh-CN"/>
        </w:rPr>
        <w:t xml:space="preserve"> </w:t>
      </w:r>
      <w:r>
        <w:rPr>
          <w:rFonts w:ascii="Times New Roman" w:eastAsia="宋体" w:hAnsi="Times New Roman" w:cs="宋体" w:hint="eastAsia"/>
          <w:color w:val="auto"/>
          <w:spacing w:val="-1"/>
          <w:sz w:val="24"/>
          <w:szCs w:val="24"/>
          <w:lang w:eastAsia="zh-CN"/>
        </w:rPr>
        <w:t>关于铁炉港红树林湿地保护修复项目（二期）</w:t>
      </w:r>
      <w:r>
        <w:rPr>
          <w:rFonts w:ascii="Times New Roman" w:eastAsia="宋体" w:hAnsi="Times New Roman" w:cs="宋体" w:hint="eastAsia"/>
          <w:color w:val="auto"/>
          <w:spacing w:val="-1"/>
          <w:sz w:val="24"/>
          <w:szCs w:val="24"/>
          <w:lang w:eastAsia="zh-CN"/>
        </w:rPr>
        <w:t xml:space="preserve"> </w:t>
      </w:r>
      <w:r>
        <w:rPr>
          <w:rFonts w:ascii="Times New Roman" w:eastAsia="宋体" w:hAnsi="Times New Roman" w:cs="宋体" w:hint="eastAsia"/>
          <w:color w:val="auto"/>
          <w:spacing w:val="-1"/>
          <w:sz w:val="24"/>
          <w:szCs w:val="24"/>
          <w:lang w:eastAsia="zh-CN"/>
        </w:rPr>
        <w:t>疏浚活动在三亚市铁炉港红树林</w:t>
      </w:r>
      <w:r>
        <w:rPr>
          <w:rFonts w:ascii="Times New Roman" w:eastAsia="宋体" w:hAnsi="Times New Roman" w:cs="宋体" w:hint="eastAsia"/>
          <w:color w:val="auto"/>
          <w:spacing w:val="-1"/>
          <w:sz w:val="24"/>
          <w:szCs w:val="24"/>
          <w:lang w:eastAsia="zh-CN"/>
        </w:rPr>
        <w:t xml:space="preserve"> </w:t>
      </w:r>
      <w:r>
        <w:rPr>
          <w:rFonts w:ascii="Times New Roman" w:eastAsia="宋体" w:hAnsi="Times New Roman" w:cs="宋体" w:hint="eastAsia"/>
          <w:color w:val="auto"/>
          <w:spacing w:val="-1"/>
          <w:sz w:val="24"/>
          <w:szCs w:val="24"/>
          <w:lang w:eastAsia="zh-CN"/>
        </w:rPr>
        <w:t>自然保护区实施的意见》。</w:t>
      </w:r>
    </w:p>
    <w:p w14:paraId="1C8C2B46"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08" w:name="_Toc32696"/>
      <w:r>
        <w:rPr>
          <w:rFonts w:ascii="Times New Roman" w:hAnsi="Times New Roman" w:hint="eastAsia"/>
          <w:color w:val="auto"/>
          <w:sz w:val="28"/>
          <w:szCs w:val="28"/>
          <w:lang w:eastAsia="zh-CN"/>
        </w:rPr>
        <w:t>6.2.2</w:t>
      </w:r>
      <w:r>
        <w:rPr>
          <w:rFonts w:ascii="Times New Roman" w:hAnsi="Times New Roman" w:hint="eastAsia"/>
          <w:color w:val="auto"/>
          <w:sz w:val="28"/>
          <w:szCs w:val="28"/>
          <w:lang w:eastAsia="zh-CN"/>
        </w:rPr>
        <w:t>对周边海域国土空间规划分区的影响</w:t>
      </w:r>
      <w:bookmarkEnd w:id="308"/>
    </w:p>
    <w:p w14:paraId="4864D3BA" w14:textId="77777777" w:rsidR="0075791A" w:rsidRDefault="00FB2864">
      <w:pPr>
        <w:spacing w:line="360" w:lineRule="auto"/>
        <w:ind w:firstLineChars="200" w:firstLine="478"/>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根据项目建设内容、施工工艺等，项目建设对对资源环境的影响分析，主要是施工期疏浚清淤产生的悬浮物扩散对水质、水动力、冲淤环境的影响。</w:t>
      </w:r>
    </w:p>
    <w:p w14:paraId="5F1B625B" w14:textId="77777777" w:rsidR="0075791A" w:rsidRDefault="00FB2864">
      <w:pPr>
        <w:spacing w:line="360" w:lineRule="auto"/>
        <w:ind w:firstLineChars="200" w:firstLine="478"/>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根据水动力预测分析，项目清淤疏浚建设</w:t>
      </w:r>
      <w:r>
        <w:rPr>
          <w:rFonts w:ascii="Times New Roman" w:eastAsia="宋体" w:hAnsi="Times New Roman" w:cs="宋体"/>
          <w:color w:val="auto"/>
          <w:spacing w:val="-1"/>
          <w:sz w:val="24"/>
          <w:szCs w:val="24"/>
          <w:lang w:eastAsia="zh-CN"/>
        </w:rPr>
        <w:t>实施前后，</w:t>
      </w:r>
      <w:r>
        <w:rPr>
          <w:rFonts w:ascii="Times New Roman" w:eastAsia="宋体" w:hAnsi="Times New Roman" w:cs="Times New Roman" w:hint="eastAsia"/>
          <w:snapToGrid/>
          <w:color w:val="auto"/>
          <w:kern w:val="2"/>
          <w:sz w:val="24"/>
          <w:szCs w:val="24"/>
          <w:lang w:eastAsia="zh-CN"/>
        </w:rPr>
        <w:t>港内流速变化不大。</w:t>
      </w:r>
      <w:r>
        <w:rPr>
          <w:rFonts w:ascii="Times New Roman" w:eastAsia="宋体" w:hAnsi="Times New Roman" w:cs="Times New Roman"/>
          <w:snapToGrid/>
          <w:color w:val="auto"/>
          <w:kern w:val="2"/>
          <w:sz w:val="24"/>
          <w:szCs w:val="24"/>
          <w:lang w:eastAsia="zh-CN"/>
        </w:rPr>
        <w:t>工程建设对周边海域水动力影响较小。</w:t>
      </w:r>
    </w:p>
    <w:p w14:paraId="38992A74" w14:textId="77777777" w:rsidR="0075791A" w:rsidRDefault="00FB2864">
      <w:pPr>
        <w:spacing w:line="360" w:lineRule="auto"/>
        <w:ind w:firstLineChars="200" w:firstLine="480"/>
        <w:jc w:val="both"/>
        <w:rPr>
          <w:rFonts w:ascii="Times New Roman" w:eastAsia="宋体" w:hAnsi="Times New Roman" w:cs="宋体"/>
          <w:color w:val="auto"/>
          <w:spacing w:val="-1"/>
          <w:sz w:val="24"/>
          <w:szCs w:val="24"/>
          <w:lang w:eastAsia="zh-CN"/>
        </w:rPr>
      </w:pPr>
      <w:r>
        <w:rPr>
          <w:rFonts w:ascii="Times New Roman" w:eastAsia="宋体" w:hAnsi="Times New Roman" w:cs="Times New Roman"/>
          <w:snapToGrid/>
          <w:color w:val="auto"/>
          <w:kern w:val="2"/>
          <w:sz w:val="24"/>
          <w:szCs w:val="24"/>
          <w:lang w:eastAsia="zh-CN"/>
        </w:rPr>
        <w:t>疏浚工程施工期间产生的悬浮泥沙超一、二类水质标准（</w:t>
      </w:r>
      <w:r>
        <w:rPr>
          <w:rFonts w:ascii="Times New Roman" w:eastAsia="宋体" w:hAnsi="Times New Roman" w:cs="Times New Roman"/>
          <w:snapToGrid/>
          <w:color w:val="auto"/>
          <w:kern w:val="2"/>
          <w:sz w:val="24"/>
          <w:szCs w:val="24"/>
          <w:lang w:eastAsia="zh-CN"/>
        </w:rPr>
        <w:t>&gt;10mg/L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2.570</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，超三类水质标准（</w:t>
      </w:r>
      <w:r>
        <w:rPr>
          <w:rFonts w:ascii="Times New Roman" w:eastAsia="宋体" w:hAnsi="Times New Roman" w:cs="Times New Roman"/>
          <w:snapToGrid/>
          <w:color w:val="auto"/>
          <w:kern w:val="2"/>
          <w:sz w:val="24"/>
          <w:szCs w:val="24"/>
          <w:lang w:eastAsia="zh-CN"/>
        </w:rPr>
        <w:t>&gt;100mg/L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12.73</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，超四类水质标准（</w:t>
      </w:r>
      <w:r>
        <w:rPr>
          <w:rFonts w:ascii="Times New Roman" w:eastAsia="宋体" w:hAnsi="Times New Roman" w:cs="Times New Roman"/>
          <w:snapToGrid/>
          <w:color w:val="auto"/>
          <w:kern w:val="2"/>
          <w:sz w:val="24"/>
          <w:szCs w:val="24"/>
          <w:lang w:eastAsia="zh-CN"/>
        </w:rPr>
        <w:t>&gt;150mg/L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76.90</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即</w:t>
      </w:r>
      <w:r>
        <w:rPr>
          <w:rFonts w:ascii="Times New Roman" w:eastAsia="宋体" w:hAnsi="Times New Roman" w:cs="宋体"/>
          <w:color w:val="auto"/>
          <w:spacing w:val="-1"/>
          <w:sz w:val="24"/>
          <w:szCs w:val="24"/>
          <w:lang w:eastAsia="zh-CN"/>
        </w:rPr>
        <w:t>本项目施工过程中产生的悬浮物扩散范围只局限在项目周边范围内，项目施工过程中未对珊瑚礁分布区、海草床分布区等区域产生不利影响，同时对周边生态</w:t>
      </w:r>
      <w:r>
        <w:rPr>
          <w:rFonts w:ascii="Times New Roman" w:eastAsia="宋体" w:hAnsi="Times New Roman" w:cs="宋体" w:hint="eastAsia"/>
          <w:color w:val="auto"/>
          <w:spacing w:val="-1"/>
          <w:sz w:val="24"/>
          <w:szCs w:val="24"/>
          <w:lang w:eastAsia="zh-CN"/>
        </w:rPr>
        <w:t>保护</w:t>
      </w:r>
      <w:r>
        <w:rPr>
          <w:rFonts w:ascii="Times New Roman" w:eastAsia="宋体" w:hAnsi="Times New Roman" w:cs="宋体"/>
          <w:color w:val="auto"/>
          <w:spacing w:val="-1"/>
          <w:sz w:val="24"/>
          <w:szCs w:val="24"/>
          <w:lang w:eastAsia="zh-CN"/>
        </w:rPr>
        <w:t>红线影响</w:t>
      </w:r>
      <w:r>
        <w:rPr>
          <w:rFonts w:ascii="Times New Roman" w:eastAsia="宋体" w:hAnsi="Times New Roman" w:cs="宋体" w:hint="eastAsia"/>
          <w:color w:val="auto"/>
          <w:spacing w:val="-1"/>
          <w:sz w:val="24"/>
          <w:szCs w:val="24"/>
          <w:lang w:eastAsia="zh-CN"/>
        </w:rPr>
        <w:t>较小</w:t>
      </w:r>
      <w:r>
        <w:rPr>
          <w:rFonts w:ascii="Times New Roman" w:eastAsia="宋体" w:hAnsi="Times New Roman" w:cs="宋体"/>
          <w:color w:val="auto"/>
          <w:spacing w:val="-1"/>
          <w:sz w:val="24"/>
          <w:szCs w:val="24"/>
          <w:lang w:eastAsia="zh-CN"/>
        </w:rPr>
        <w:t>。此外，施工过程中产生的悬浮泥沙对海水水质的影响，时间是短暂的，这种影响一旦施工完毕，在较短的时间内（</w:t>
      </w:r>
      <w:r>
        <w:rPr>
          <w:rFonts w:ascii="Times New Roman" w:eastAsia="宋体" w:hAnsi="Times New Roman" w:cs="宋体"/>
          <w:color w:val="auto"/>
          <w:spacing w:val="-1"/>
          <w:sz w:val="24"/>
          <w:szCs w:val="24"/>
          <w:lang w:eastAsia="zh-CN"/>
        </w:rPr>
        <w:t>12</w:t>
      </w:r>
      <w:r>
        <w:rPr>
          <w:rFonts w:ascii="Times New Roman" w:eastAsia="宋体" w:hAnsi="Times New Roman" w:cs="宋体"/>
          <w:color w:val="auto"/>
          <w:spacing w:val="-1"/>
          <w:sz w:val="24"/>
          <w:szCs w:val="24"/>
          <w:lang w:eastAsia="zh-CN"/>
        </w:rPr>
        <w:t>小时）也就结束。</w:t>
      </w:r>
    </w:p>
    <w:p w14:paraId="66FE8578" w14:textId="77777777" w:rsidR="0075791A" w:rsidRDefault="00FB2864">
      <w:pPr>
        <w:spacing w:line="360" w:lineRule="auto"/>
        <w:ind w:firstLineChars="200" w:firstLine="478"/>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地形冲淤数值模拟结果分析，本项目工程后悬浮沙引起冲淤的范围较小，主要集中在疏浚区及附近的小范围内，冲淤幅度也较小，最大值在±</w:t>
      </w:r>
      <w:r>
        <w:rPr>
          <w:rFonts w:ascii="Times New Roman" w:eastAsia="宋体" w:hAnsi="Times New Roman" w:cs="宋体" w:hint="eastAsia"/>
          <w:color w:val="auto"/>
          <w:spacing w:val="-1"/>
          <w:sz w:val="24"/>
          <w:szCs w:val="24"/>
          <w:lang w:eastAsia="zh-CN"/>
        </w:rPr>
        <w:t>13</w:t>
      </w:r>
      <w:r>
        <w:rPr>
          <w:rFonts w:ascii="Times New Roman" w:eastAsia="宋体" w:hAnsi="Times New Roman" w:cs="宋体"/>
          <w:color w:val="auto"/>
          <w:spacing w:val="-1"/>
          <w:sz w:val="24"/>
          <w:szCs w:val="24"/>
          <w:lang w:eastAsia="zh-CN"/>
        </w:rPr>
        <w:t>cm/a</w:t>
      </w:r>
      <w:r>
        <w:rPr>
          <w:rFonts w:ascii="Times New Roman" w:eastAsia="宋体" w:hAnsi="Times New Roman" w:cs="宋体" w:hint="eastAsia"/>
          <w:color w:val="auto"/>
          <w:spacing w:val="-1"/>
          <w:sz w:val="24"/>
          <w:szCs w:val="24"/>
          <w:lang w:eastAsia="zh-CN"/>
        </w:rPr>
        <w:t>左右。</w:t>
      </w:r>
    </w:p>
    <w:p w14:paraId="4D534AEC"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宋体" w:eastAsia="宋体" w:hAnsi="宋体" w:cs="宋体" w:hint="eastAsia"/>
          <w:color w:val="auto"/>
          <w:sz w:val="24"/>
          <w:szCs w:val="24"/>
          <w:lang w:eastAsia="zh-CN"/>
        </w:rPr>
        <w:t>根据《海南省海岸带及海洋空间规划（</w:t>
      </w:r>
      <w:r>
        <w:rPr>
          <w:rFonts w:ascii="宋体" w:eastAsia="宋体" w:hAnsi="宋体" w:cs="宋体" w:hint="eastAsia"/>
          <w:color w:val="auto"/>
          <w:sz w:val="24"/>
          <w:szCs w:val="24"/>
          <w:lang w:eastAsia="zh-CN"/>
        </w:rPr>
        <w:t>2021-2035</w:t>
      </w:r>
      <w:r>
        <w:rPr>
          <w:rFonts w:ascii="宋体" w:eastAsia="宋体" w:hAnsi="宋体" w:cs="宋体" w:hint="eastAsia"/>
          <w:color w:val="auto"/>
          <w:sz w:val="24"/>
          <w:szCs w:val="24"/>
          <w:lang w:eastAsia="zh-CN"/>
        </w:rPr>
        <w:t>年）》，</w:t>
      </w:r>
      <w:r>
        <w:rPr>
          <w:rFonts w:ascii="Times New Roman" w:eastAsia="宋体" w:hAnsi="Times New Roman" w:cs="Times New Roman"/>
          <w:snapToGrid/>
          <w:color w:val="auto"/>
          <w:kern w:val="2"/>
          <w:sz w:val="24"/>
          <w:szCs w:val="24"/>
          <w:lang w:eastAsia="zh-CN"/>
        </w:rPr>
        <w:t>项目的实施对周边</w:t>
      </w:r>
      <w:r>
        <w:rPr>
          <w:rFonts w:ascii="Times New Roman" w:eastAsia="宋体" w:hAnsi="Times New Roman" w:cs="Times New Roman" w:hint="eastAsia"/>
          <w:snapToGrid/>
          <w:color w:val="auto"/>
          <w:kern w:val="2"/>
          <w:sz w:val="24"/>
          <w:szCs w:val="24"/>
          <w:lang w:eastAsia="zh-CN"/>
        </w:rPr>
        <w:t>海洋功能</w:t>
      </w:r>
      <w:r>
        <w:rPr>
          <w:rFonts w:ascii="Times New Roman" w:eastAsia="宋体" w:hAnsi="Times New Roman" w:cs="Times New Roman"/>
          <w:snapToGrid/>
          <w:color w:val="auto"/>
          <w:kern w:val="2"/>
          <w:sz w:val="24"/>
          <w:szCs w:val="24"/>
          <w:lang w:eastAsia="zh-CN"/>
        </w:rPr>
        <w:t>分区管控要求的影响分析见表</w:t>
      </w:r>
      <w:r>
        <w:rPr>
          <w:rFonts w:ascii="Times New Roman" w:eastAsia="宋体" w:hAnsi="Times New Roman" w:cs="Times New Roman" w:hint="eastAsia"/>
          <w:snapToGrid/>
          <w:color w:val="auto"/>
          <w:kern w:val="2"/>
          <w:sz w:val="24"/>
          <w:szCs w:val="24"/>
          <w:lang w:eastAsia="zh-CN"/>
        </w:rPr>
        <w:t>6</w:t>
      </w:r>
      <w:r>
        <w:rPr>
          <w:rFonts w:ascii="Times New Roman" w:eastAsia="宋体" w:hAnsi="Times New Roman" w:cs="Times New Roman"/>
          <w:snapToGrid/>
          <w:color w:val="auto"/>
          <w:kern w:val="2"/>
          <w:sz w:val="24"/>
          <w:szCs w:val="24"/>
          <w:lang w:eastAsia="zh-CN"/>
        </w:rPr>
        <w:t>.2-1</w:t>
      </w:r>
      <w:r>
        <w:rPr>
          <w:rFonts w:ascii="Times New Roman" w:eastAsia="宋体" w:hAnsi="Times New Roman" w:cs="Times New Roman"/>
          <w:snapToGrid/>
          <w:color w:val="auto"/>
          <w:kern w:val="2"/>
          <w:sz w:val="24"/>
          <w:szCs w:val="24"/>
          <w:lang w:eastAsia="zh-CN"/>
        </w:rPr>
        <w:t>。</w:t>
      </w:r>
    </w:p>
    <w:p w14:paraId="0F6E2305"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通过项目用海与周边功能区管控要求中的空间准入、利用方式、保护要求等管理规定的对照分析，可以得出，本项目用海与周边各功能区管控要求不冲突，项目用海的实施基本不会对周边海洋功能区产生影响。</w:t>
      </w:r>
    </w:p>
    <w:p w14:paraId="0F421DC8" w14:textId="77777777" w:rsidR="0075791A" w:rsidRDefault="0075791A">
      <w:pPr>
        <w:spacing w:line="346" w:lineRule="auto"/>
        <w:rPr>
          <w:rFonts w:ascii="Times New Roman" w:eastAsia="宋体" w:hAnsi="Times New Roman" w:cs="宋体"/>
          <w:color w:val="auto"/>
          <w:sz w:val="24"/>
          <w:szCs w:val="24"/>
          <w:lang w:eastAsia="zh-CN"/>
        </w:rPr>
        <w:sectPr w:rsidR="0075791A">
          <w:footerReference w:type="default" r:id="rId275"/>
          <w:pgSz w:w="11906" w:h="16839"/>
          <w:pgMar w:top="1018" w:right="1416" w:bottom="1134" w:left="1417" w:header="746" w:footer="972" w:gutter="0"/>
          <w:cols w:space="720"/>
        </w:sectPr>
      </w:pPr>
    </w:p>
    <w:p w14:paraId="767D4683" w14:textId="77777777" w:rsidR="0075791A" w:rsidRDefault="0075791A">
      <w:pPr>
        <w:spacing w:line="43" w:lineRule="exact"/>
        <w:rPr>
          <w:rFonts w:ascii="Times New Roman" w:hAnsi="Times New Roman"/>
          <w:color w:val="auto"/>
          <w:lang w:eastAsia="zh-CN"/>
        </w:rPr>
      </w:pPr>
    </w:p>
    <w:p w14:paraId="3F070D05" w14:textId="77777777" w:rsidR="0075791A" w:rsidRDefault="00FB2864">
      <w:pPr>
        <w:jc w:val="center"/>
        <w:rPr>
          <w:rFonts w:ascii="Times New Roman" w:eastAsia="宋体" w:hAnsi="Times New Roman" w:cs="宋体"/>
          <w:b/>
          <w:bCs/>
          <w:color w:val="auto"/>
          <w:spacing w:val="-2"/>
          <w:sz w:val="24"/>
          <w:szCs w:val="24"/>
          <w:lang w:eastAsia="zh-CN"/>
        </w:rPr>
      </w:pPr>
      <w:r>
        <w:rPr>
          <w:rFonts w:ascii="Times New Roman" w:eastAsia="宋体" w:hAnsi="Times New Roman" w:cs="宋体"/>
          <w:b/>
          <w:bCs/>
          <w:color w:val="auto"/>
          <w:spacing w:val="-2"/>
          <w:sz w:val="24"/>
          <w:szCs w:val="24"/>
          <w:lang w:eastAsia="zh-CN"/>
        </w:rPr>
        <w:t>表</w:t>
      </w:r>
      <w:r>
        <w:rPr>
          <w:rFonts w:ascii="Times New Roman" w:eastAsia="宋体" w:hAnsi="Times New Roman" w:cs="Times New Roman" w:hint="eastAsia"/>
          <w:b/>
          <w:bCs/>
          <w:color w:val="auto"/>
          <w:spacing w:val="-2"/>
          <w:sz w:val="24"/>
          <w:szCs w:val="24"/>
          <w:lang w:eastAsia="zh-CN"/>
        </w:rPr>
        <w:t>6</w:t>
      </w:r>
      <w:r>
        <w:rPr>
          <w:rFonts w:ascii="Times New Roman" w:eastAsia="Times New Roman" w:hAnsi="Times New Roman" w:cs="Times New Roman"/>
          <w:b/>
          <w:bCs/>
          <w:color w:val="auto"/>
          <w:spacing w:val="-2"/>
          <w:sz w:val="24"/>
          <w:szCs w:val="24"/>
          <w:lang w:eastAsia="zh-CN"/>
        </w:rPr>
        <w:t>.2-</w:t>
      </w:r>
      <w:r>
        <w:rPr>
          <w:rFonts w:ascii="Times New Roman" w:eastAsia="宋体" w:hAnsi="Times New Roman" w:cs="Times New Roman" w:hint="eastAsia"/>
          <w:b/>
          <w:bCs/>
          <w:color w:val="auto"/>
          <w:spacing w:val="-2"/>
          <w:sz w:val="24"/>
          <w:szCs w:val="24"/>
          <w:lang w:eastAsia="zh-CN"/>
        </w:rPr>
        <w:t>1</w:t>
      </w:r>
      <w:r>
        <w:rPr>
          <w:rFonts w:ascii="Times New Roman" w:eastAsia="宋体" w:hAnsi="Times New Roman" w:cs="宋体"/>
          <w:b/>
          <w:bCs/>
          <w:color w:val="auto"/>
          <w:spacing w:val="-2"/>
          <w:sz w:val="24"/>
          <w:szCs w:val="24"/>
          <w:lang w:eastAsia="zh-CN"/>
        </w:rPr>
        <w:t>用海与周边各</w:t>
      </w:r>
      <w:r>
        <w:rPr>
          <w:rFonts w:ascii="Times New Roman" w:eastAsia="宋体" w:hAnsi="Times New Roman" w:cs="宋体" w:hint="eastAsia"/>
          <w:b/>
          <w:bCs/>
          <w:color w:val="auto"/>
          <w:spacing w:val="-2"/>
          <w:sz w:val="24"/>
          <w:szCs w:val="24"/>
          <w:lang w:eastAsia="zh-CN"/>
        </w:rPr>
        <w:t>海洋</w:t>
      </w:r>
      <w:r>
        <w:rPr>
          <w:rFonts w:ascii="Times New Roman" w:eastAsia="宋体" w:hAnsi="Times New Roman" w:cs="宋体"/>
          <w:b/>
          <w:bCs/>
          <w:color w:val="auto"/>
          <w:spacing w:val="-2"/>
          <w:sz w:val="24"/>
          <w:szCs w:val="24"/>
          <w:lang w:eastAsia="zh-CN"/>
        </w:rPr>
        <w:t>功能区用途管制符合性分析表</w:t>
      </w:r>
    </w:p>
    <w:tbl>
      <w:tblPr>
        <w:tblStyle w:val="TableNormal"/>
        <w:tblW w:w="13079"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128"/>
        <w:gridCol w:w="992"/>
        <w:gridCol w:w="4770"/>
        <w:gridCol w:w="6189"/>
      </w:tblGrid>
      <w:tr w:rsidR="0075791A" w14:paraId="64AC602E" w14:textId="77777777">
        <w:trPr>
          <w:trHeight w:val="406"/>
          <w:jc w:val="center"/>
        </w:trPr>
        <w:tc>
          <w:tcPr>
            <w:tcW w:w="1128" w:type="dxa"/>
            <w:vAlign w:val="center"/>
          </w:tcPr>
          <w:p w14:paraId="0C8B555B" w14:textId="77777777" w:rsidR="0075791A" w:rsidRDefault="00FB2864">
            <w:pPr>
              <w:pStyle w:val="TableText"/>
              <w:jc w:val="center"/>
              <w:rPr>
                <w:rFonts w:ascii="Times New Roman" w:hAnsi="Times New Roman"/>
                <w:b/>
                <w:bCs/>
                <w:color w:val="auto"/>
                <w:sz w:val="20"/>
                <w:szCs w:val="20"/>
                <w:lang w:eastAsia="zh-CN"/>
              </w:rPr>
            </w:pPr>
            <w:r>
              <w:rPr>
                <w:rFonts w:ascii="Times New Roman" w:hAnsi="Times New Roman" w:hint="eastAsia"/>
                <w:b/>
                <w:bCs/>
                <w:color w:val="auto"/>
                <w:sz w:val="20"/>
                <w:szCs w:val="20"/>
                <w:lang w:eastAsia="zh-CN"/>
              </w:rPr>
              <w:t>功能区名称</w:t>
            </w:r>
          </w:p>
        </w:tc>
        <w:tc>
          <w:tcPr>
            <w:tcW w:w="5762" w:type="dxa"/>
            <w:gridSpan w:val="2"/>
            <w:vAlign w:val="center"/>
          </w:tcPr>
          <w:p w14:paraId="5856440C" w14:textId="77777777" w:rsidR="0075791A" w:rsidRDefault="00FB2864">
            <w:pPr>
              <w:pStyle w:val="TableText"/>
              <w:jc w:val="center"/>
              <w:rPr>
                <w:rFonts w:ascii="Times New Roman" w:hAnsi="Times New Roman"/>
                <w:b/>
                <w:bCs/>
                <w:color w:val="auto"/>
                <w:sz w:val="20"/>
                <w:szCs w:val="20"/>
                <w:lang w:eastAsia="zh-CN"/>
              </w:rPr>
            </w:pPr>
            <w:r>
              <w:rPr>
                <w:rFonts w:ascii="Times New Roman" w:hAnsi="Times New Roman" w:hint="eastAsia"/>
                <w:b/>
                <w:bCs/>
                <w:color w:val="auto"/>
                <w:sz w:val="20"/>
                <w:szCs w:val="20"/>
                <w:lang w:eastAsia="zh-CN"/>
              </w:rPr>
              <w:t>用途管制</w:t>
            </w:r>
          </w:p>
        </w:tc>
        <w:tc>
          <w:tcPr>
            <w:tcW w:w="6189" w:type="dxa"/>
            <w:vAlign w:val="center"/>
          </w:tcPr>
          <w:p w14:paraId="007D5ED9" w14:textId="77777777" w:rsidR="0075791A" w:rsidRDefault="00FB2864">
            <w:pPr>
              <w:pStyle w:val="TableText"/>
              <w:jc w:val="center"/>
              <w:rPr>
                <w:rFonts w:ascii="Times New Roman" w:hAnsi="Times New Roman"/>
                <w:b/>
                <w:bCs/>
                <w:color w:val="auto"/>
                <w:sz w:val="20"/>
                <w:szCs w:val="20"/>
                <w:lang w:eastAsia="zh-CN"/>
              </w:rPr>
            </w:pPr>
            <w:r>
              <w:rPr>
                <w:rFonts w:ascii="Times New Roman" w:hAnsi="Times New Roman" w:hint="eastAsia"/>
                <w:b/>
                <w:bCs/>
                <w:color w:val="auto"/>
                <w:sz w:val="20"/>
                <w:szCs w:val="20"/>
                <w:lang w:eastAsia="zh-CN"/>
              </w:rPr>
              <w:t>影响分析</w:t>
            </w:r>
          </w:p>
        </w:tc>
      </w:tr>
      <w:tr w:rsidR="0075791A" w14:paraId="597BBFD3" w14:textId="77777777">
        <w:trPr>
          <w:trHeight w:val="340"/>
          <w:jc w:val="center"/>
        </w:trPr>
        <w:tc>
          <w:tcPr>
            <w:tcW w:w="1128" w:type="dxa"/>
            <w:vMerge w:val="restart"/>
            <w:vAlign w:val="center"/>
          </w:tcPr>
          <w:p w14:paraId="43F2AB24" w14:textId="77777777" w:rsidR="0075791A" w:rsidRDefault="00FB2864">
            <w:pPr>
              <w:pStyle w:val="TableText"/>
              <w:jc w:val="center"/>
              <w:rPr>
                <w:rFonts w:ascii="Times New Roman" w:hAnsi="Times New Roman"/>
                <w:color w:val="auto"/>
                <w:sz w:val="20"/>
                <w:szCs w:val="20"/>
                <w:lang w:eastAsia="zh-CN"/>
              </w:rPr>
            </w:pPr>
            <w:r>
              <w:rPr>
                <w:rFonts w:ascii="Times New Roman" w:hAnsi="Times New Roman"/>
                <w:color w:val="auto"/>
                <w:sz w:val="20"/>
                <w:szCs w:val="20"/>
              </w:rPr>
              <w:t>海棠湾游憩用海区</w:t>
            </w:r>
          </w:p>
        </w:tc>
        <w:tc>
          <w:tcPr>
            <w:tcW w:w="992" w:type="dxa"/>
            <w:vAlign w:val="center"/>
          </w:tcPr>
          <w:p w14:paraId="4F9C4EA2"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空间准入</w:t>
            </w:r>
          </w:p>
        </w:tc>
        <w:tc>
          <w:tcPr>
            <w:tcW w:w="4770" w:type="dxa"/>
            <w:vAlign w:val="center"/>
          </w:tcPr>
          <w:p w14:paraId="3A816C6D"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主导用海类型为游憩用海，兼容渔业用海等，可适度开展休闲渔业和海洋牧场用海</w:t>
            </w:r>
            <w:r>
              <w:rPr>
                <w:rFonts w:ascii="Times New Roman" w:eastAsia="宋体" w:hAnsi="Times New Roman" w:cs="Times New Roman"/>
                <w:color w:val="auto"/>
                <w:sz w:val="20"/>
                <w:szCs w:val="20"/>
                <w:lang w:eastAsia="zh-CN" w:bidi="ar"/>
              </w:rPr>
              <w:t xml:space="preserve"> </w:t>
            </w:r>
            <w:r>
              <w:rPr>
                <w:rFonts w:ascii="宋体" w:eastAsia="宋体" w:hAnsi="宋体" w:cs="宋体" w:hint="eastAsia"/>
                <w:color w:val="auto"/>
                <w:sz w:val="20"/>
                <w:szCs w:val="20"/>
                <w:lang w:eastAsia="zh-CN" w:bidi="ar"/>
              </w:rPr>
              <w:t>活动</w:t>
            </w:r>
          </w:p>
        </w:tc>
        <w:tc>
          <w:tcPr>
            <w:tcW w:w="6189" w:type="dxa"/>
            <w:vMerge w:val="restart"/>
            <w:vAlign w:val="center"/>
          </w:tcPr>
          <w:p w14:paraId="122967B2"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本项目用海区与东部海棠湾游憩用海区直线距离约</w:t>
            </w:r>
            <w:r>
              <w:rPr>
                <w:rFonts w:ascii="Times New Roman" w:hAnsi="Times New Roman" w:hint="eastAsia"/>
                <w:color w:val="auto"/>
                <w:sz w:val="20"/>
                <w:szCs w:val="20"/>
                <w:lang w:eastAsia="zh-CN"/>
              </w:rPr>
              <w:t>1.7km</w:t>
            </w:r>
            <w:r>
              <w:rPr>
                <w:rFonts w:ascii="Times New Roman" w:hAnsi="Times New Roman" w:hint="eastAsia"/>
                <w:color w:val="auto"/>
                <w:sz w:val="20"/>
                <w:szCs w:val="20"/>
                <w:lang w:eastAsia="zh-CN"/>
              </w:rPr>
              <w:t>。工程区位于铁炉港内部，而铁炉港内水动力较弱，施工产生悬浮物扩散范围主要位于项目区域附近，未至海棠湾游憩用海区。工程建设使得铁炉港冲淤环境变化主要集中在疏浚区及附近的小范围内，冲淤幅度也较小，最大值在±</w:t>
            </w:r>
            <w:r>
              <w:rPr>
                <w:rFonts w:ascii="Times New Roman" w:hAnsi="Times New Roman" w:hint="eastAsia"/>
                <w:color w:val="auto"/>
                <w:sz w:val="20"/>
                <w:szCs w:val="20"/>
                <w:lang w:eastAsia="zh-CN"/>
              </w:rPr>
              <w:t>13</w:t>
            </w:r>
            <w:r>
              <w:rPr>
                <w:rFonts w:ascii="Times New Roman" w:hAnsi="Times New Roman"/>
                <w:color w:val="auto"/>
                <w:sz w:val="20"/>
                <w:szCs w:val="20"/>
                <w:lang w:eastAsia="zh-CN"/>
              </w:rPr>
              <w:t>cm/a</w:t>
            </w:r>
            <w:r>
              <w:rPr>
                <w:rFonts w:ascii="Times New Roman" w:hAnsi="Times New Roman" w:hint="eastAsia"/>
                <w:color w:val="auto"/>
                <w:sz w:val="20"/>
                <w:szCs w:val="20"/>
                <w:lang w:eastAsia="zh-CN"/>
              </w:rPr>
              <w:t>左右，不影响海棠湾游憩用海区冲淤环境，不改变其地形地貌，不改变其海域自然属性。</w:t>
            </w:r>
          </w:p>
        </w:tc>
      </w:tr>
      <w:tr w:rsidR="0075791A" w14:paraId="7CD8D263" w14:textId="77777777">
        <w:trPr>
          <w:trHeight w:val="340"/>
          <w:jc w:val="center"/>
        </w:trPr>
        <w:tc>
          <w:tcPr>
            <w:tcW w:w="1128" w:type="dxa"/>
            <w:vMerge/>
            <w:vAlign w:val="center"/>
          </w:tcPr>
          <w:p w14:paraId="7B7AE946"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35542AA6"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利用方式</w:t>
            </w:r>
          </w:p>
        </w:tc>
        <w:tc>
          <w:tcPr>
            <w:tcW w:w="4770" w:type="dxa"/>
            <w:vAlign w:val="center"/>
          </w:tcPr>
          <w:p w14:paraId="78F504D5"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严格限制改变海域自然属性；控制海岛开发利用强度，严格论证开发利用的必要性、</w:t>
            </w:r>
            <w:r>
              <w:rPr>
                <w:rFonts w:ascii="Times New Roman" w:eastAsia="宋体" w:hAnsi="Times New Roman" w:cs="Times New Roman"/>
                <w:color w:val="auto"/>
                <w:sz w:val="20"/>
                <w:szCs w:val="20"/>
                <w:lang w:eastAsia="zh-CN" w:bidi="ar"/>
              </w:rPr>
              <w:t xml:space="preserve"> </w:t>
            </w:r>
            <w:r>
              <w:rPr>
                <w:rFonts w:ascii="宋体" w:eastAsia="宋体" w:hAnsi="宋体" w:cs="宋体" w:hint="eastAsia"/>
                <w:color w:val="auto"/>
                <w:sz w:val="20"/>
                <w:szCs w:val="20"/>
                <w:lang w:eastAsia="zh-CN" w:bidi="ar"/>
              </w:rPr>
              <w:t>占用岸线、用岛方式与规模等，其中高岛和石头公岛用岛方式应为轻度利用式或原生</w:t>
            </w:r>
            <w:r>
              <w:rPr>
                <w:rFonts w:ascii="宋体" w:eastAsia="宋体" w:hAnsi="宋体" w:cs="宋体" w:hint="eastAsia"/>
                <w:color w:val="auto"/>
                <w:sz w:val="20"/>
                <w:szCs w:val="20"/>
                <w:lang w:eastAsia="zh-CN" w:bidi="ar"/>
              </w:rPr>
              <w:t>利用式</w:t>
            </w:r>
          </w:p>
        </w:tc>
        <w:tc>
          <w:tcPr>
            <w:tcW w:w="6189" w:type="dxa"/>
            <w:vMerge/>
            <w:vAlign w:val="center"/>
          </w:tcPr>
          <w:p w14:paraId="6AC75A1C" w14:textId="77777777" w:rsidR="0075791A" w:rsidRDefault="0075791A">
            <w:pPr>
              <w:pStyle w:val="TableText"/>
              <w:rPr>
                <w:rFonts w:ascii="Times New Roman" w:hAnsi="Times New Roman"/>
                <w:color w:val="auto"/>
                <w:sz w:val="20"/>
                <w:szCs w:val="20"/>
                <w:lang w:eastAsia="zh-CN"/>
              </w:rPr>
            </w:pPr>
          </w:p>
        </w:tc>
      </w:tr>
      <w:tr w:rsidR="0075791A" w14:paraId="7D2C4FE7" w14:textId="77777777">
        <w:trPr>
          <w:trHeight w:val="340"/>
          <w:jc w:val="center"/>
        </w:trPr>
        <w:tc>
          <w:tcPr>
            <w:tcW w:w="1128" w:type="dxa"/>
            <w:vMerge/>
            <w:vAlign w:val="center"/>
          </w:tcPr>
          <w:p w14:paraId="250C27A9"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5E5A566F"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保护要求</w:t>
            </w:r>
          </w:p>
        </w:tc>
        <w:tc>
          <w:tcPr>
            <w:tcW w:w="4770" w:type="dxa"/>
            <w:vAlign w:val="center"/>
          </w:tcPr>
          <w:p w14:paraId="4AB2CA92"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保护沙滩、沿岸地质地貌、自然岸线和防护林；保护海岛自然岸线和典型植被，严</w:t>
            </w:r>
            <w:r>
              <w:rPr>
                <w:rFonts w:ascii="Times New Roman" w:eastAsia="宋体" w:hAnsi="Times New Roman" w:cs="Times New Roman"/>
                <w:color w:val="auto"/>
                <w:sz w:val="20"/>
                <w:szCs w:val="20"/>
                <w:lang w:eastAsia="zh-CN" w:bidi="ar"/>
              </w:rPr>
              <w:t xml:space="preserve"> </w:t>
            </w:r>
            <w:r>
              <w:rPr>
                <w:rFonts w:ascii="宋体" w:eastAsia="宋体" w:hAnsi="宋体" w:cs="宋体" w:hint="eastAsia"/>
                <w:color w:val="auto"/>
                <w:sz w:val="20"/>
                <w:szCs w:val="20"/>
                <w:lang w:eastAsia="zh-CN" w:bidi="ar"/>
              </w:rPr>
              <w:t>格落实生态环境保护措施，三牙门和蜈支洲岛实施海岛生态保护和修复；保护潮间带底栖生物</w:t>
            </w:r>
          </w:p>
        </w:tc>
        <w:tc>
          <w:tcPr>
            <w:tcW w:w="6189" w:type="dxa"/>
            <w:vMerge/>
            <w:vAlign w:val="center"/>
          </w:tcPr>
          <w:p w14:paraId="4812329B" w14:textId="77777777" w:rsidR="0075791A" w:rsidRDefault="0075791A">
            <w:pPr>
              <w:pStyle w:val="TableText"/>
              <w:rPr>
                <w:rFonts w:ascii="Times New Roman" w:hAnsi="Times New Roman"/>
                <w:color w:val="auto"/>
                <w:sz w:val="20"/>
                <w:szCs w:val="20"/>
                <w:lang w:eastAsia="zh-CN"/>
              </w:rPr>
            </w:pPr>
          </w:p>
        </w:tc>
      </w:tr>
      <w:tr w:rsidR="0075791A" w14:paraId="2AC766F5" w14:textId="77777777">
        <w:trPr>
          <w:trHeight w:val="340"/>
          <w:jc w:val="center"/>
        </w:trPr>
        <w:tc>
          <w:tcPr>
            <w:tcW w:w="1128" w:type="dxa"/>
            <w:vMerge/>
            <w:vAlign w:val="center"/>
          </w:tcPr>
          <w:p w14:paraId="28024AD4"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7AFD6EDE"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其他要求</w:t>
            </w:r>
          </w:p>
        </w:tc>
        <w:tc>
          <w:tcPr>
            <w:tcW w:w="4770" w:type="dxa"/>
            <w:vAlign w:val="center"/>
          </w:tcPr>
          <w:p w14:paraId="67934244"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位于三亚热带风景名胜区、陵水海滨风景名胜区的区域，同时按照风景名胜区的管</w:t>
            </w:r>
            <w:r>
              <w:rPr>
                <w:rFonts w:ascii="Times New Roman" w:eastAsia="宋体" w:hAnsi="Times New Roman" w:cs="Times New Roman"/>
                <w:color w:val="auto"/>
                <w:sz w:val="20"/>
                <w:szCs w:val="20"/>
                <w:lang w:eastAsia="zh-CN" w:bidi="ar"/>
              </w:rPr>
              <w:t xml:space="preserve"> </w:t>
            </w:r>
            <w:r>
              <w:rPr>
                <w:rFonts w:ascii="宋体" w:eastAsia="宋体" w:hAnsi="宋体" w:cs="宋体" w:hint="eastAsia"/>
                <w:color w:val="auto"/>
                <w:sz w:val="20"/>
                <w:szCs w:val="20"/>
                <w:lang w:eastAsia="zh-CN" w:bidi="ar"/>
              </w:rPr>
              <w:t>理要求进行管理</w:t>
            </w:r>
          </w:p>
        </w:tc>
        <w:tc>
          <w:tcPr>
            <w:tcW w:w="6189" w:type="dxa"/>
            <w:vMerge/>
            <w:vAlign w:val="center"/>
          </w:tcPr>
          <w:p w14:paraId="17622237" w14:textId="77777777" w:rsidR="0075791A" w:rsidRDefault="0075791A">
            <w:pPr>
              <w:pStyle w:val="TableText"/>
              <w:rPr>
                <w:rFonts w:ascii="Times New Roman" w:hAnsi="Times New Roman"/>
                <w:color w:val="auto"/>
                <w:sz w:val="20"/>
                <w:szCs w:val="20"/>
                <w:lang w:eastAsia="zh-CN"/>
              </w:rPr>
            </w:pPr>
          </w:p>
        </w:tc>
      </w:tr>
      <w:tr w:rsidR="0075791A" w14:paraId="1C66A6FD" w14:textId="77777777">
        <w:trPr>
          <w:trHeight w:val="340"/>
          <w:jc w:val="center"/>
        </w:trPr>
        <w:tc>
          <w:tcPr>
            <w:tcW w:w="1128" w:type="dxa"/>
            <w:vMerge w:val="restart"/>
            <w:vAlign w:val="center"/>
          </w:tcPr>
          <w:p w14:paraId="3EC589B7" w14:textId="77777777" w:rsidR="0075791A" w:rsidRDefault="00FB2864">
            <w:pPr>
              <w:pStyle w:val="TableText"/>
              <w:jc w:val="center"/>
              <w:rPr>
                <w:rFonts w:ascii="Times New Roman" w:hAnsi="Times New Roman"/>
                <w:color w:val="auto"/>
                <w:sz w:val="20"/>
                <w:szCs w:val="20"/>
                <w:lang w:eastAsia="zh-CN"/>
              </w:rPr>
            </w:pPr>
            <w:r>
              <w:rPr>
                <w:rFonts w:ascii="Times New Roman" w:hAnsi="Times New Roman"/>
                <w:color w:val="auto"/>
                <w:sz w:val="20"/>
                <w:szCs w:val="20"/>
                <w:lang w:eastAsia="zh-CN"/>
              </w:rPr>
              <w:t>蜈支洲岛海底电缆管道用海区</w:t>
            </w:r>
          </w:p>
        </w:tc>
        <w:tc>
          <w:tcPr>
            <w:tcW w:w="992" w:type="dxa"/>
            <w:vAlign w:val="center"/>
          </w:tcPr>
          <w:p w14:paraId="3B40FA9C"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空间准入</w:t>
            </w:r>
          </w:p>
        </w:tc>
        <w:tc>
          <w:tcPr>
            <w:tcW w:w="4770" w:type="dxa"/>
            <w:vAlign w:val="center"/>
          </w:tcPr>
          <w:p w14:paraId="46DB174D"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主导用海类型为海底电缆管道用海，可兼容游憩用海</w:t>
            </w:r>
          </w:p>
        </w:tc>
        <w:tc>
          <w:tcPr>
            <w:tcW w:w="6189" w:type="dxa"/>
            <w:vMerge w:val="restart"/>
            <w:tcBorders>
              <w:top w:val="nil"/>
            </w:tcBorders>
            <w:vAlign w:val="center"/>
          </w:tcPr>
          <w:p w14:paraId="5E19BCA3"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本项目用海区与</w:t>
            </w:r>
            <w:r>
              <w:rPr>
                <w:rFonts w:ascii="Times New Roman" w:hAnsi="Times New Roman"/>
                <w:color w:val="auto"/>
                <w:sz w:val="20"/>
                <w:szCs w:val="20"/>
                <w:lang w:eastAsia="zh-CN"/>
              </w:rPr>
              <w:t>蜈支洲岛海底电缆管道用海区</w:t>
            </w:r>
            <w:r>
              <w:rPr>
                <w:rFonts w:ascii="Times New Roman" w:hAnsi="Times New Roman" w:hint="eastAsia"/>
                <w:color w:val="auto"/>
                <w:sz w:val="20"/>
                <w:szCs w:val="20"/>
                <w:lang w:eastAsia="zh-CN"/>
              </w:rPr>
              <w:t>距离较远，</w:t>
            </w:r>
            <w:r>
              <w:rPr>
                <w:rFonts w:ascii="Times New Roman" w:hAnsi="Times New Roman" w:hint="eastAsia"/>
                <w:color w:val="auto"/>
                <w:sz w:val="20"/>
                <w:szCs w:val="20"/>
                <w:lang w:eastAsia="zh-CN"/>
              </w:rPr>
              <w:t>东北部</w:t>
            </w:r>
            <w:r>
              <w:rPr>
                <w:rFonts w:ascii="Times New Roman" w:hAnsi="Times New Roman" w:hint="eastAsia"/>
                <w:color w:val="auto"/>
                <w:sz w:val="20"/>
                <w:szCs w:val="20"/>
                <w:lang w:eastAsia="zh-CN"/>
              </w:rPr>
              <w:t>约</w:t>
            </w:r>
            <w:r>
              <w:rPr>
                <w:rFonts w:ascii="Times New Roman" w:hAnsi="Times New Roman" w:hint="eastAsia"/>
                <w:color w:val="auto"/>
                <w:sz w:val="20"/>
                <w:szCs w:val="20"/>
                <w:lang w:eastAsia="zh-CN"/>
              </w:rPr>
              <w:t>4.5</w:t>
            </w:r>
            <w:r>
              <w:rPr>
                <w:rFonts w:ascii="Times New Roman" w:hAnsi="Times New Roman" w:hint="eastAsia"/>
                <w:color w:val="auto"/>
                <w:sz w:val="20"/>
                <w:szCs w:val="20"/>
                <w:lang w:eastAsia="zh-CN"/>
              </w:rPr>
              <w:t>km</w:t>
            </w:r>
            <w:r>
              <w:rPr>
                <w:rFonts w:ascii="Times New Roman" w:hAnsi="Times New Roman" w:hint="eastAsia"/>
                <w:color w:val="auto"/>
                <w:sz w:val="20"/>
                <w:szCs w:val="20"/>
                <w:lang w:eastAsia="zh-CN"/>
              </w:rPr>
              <w:t>。</w:t>
            </w:r>
            <w:r>
              <w:rPr>
                <w:rFonts w:ascii="Times New Roman" w:hAnsi="Times New Roman" w:hint="eastAsia"/>
                <w:color w:val="auto"/>
                <w:sz w:val="20"/>
                <w:szCs w:val="20"/>
                <w:lang w:eastAsia="zh-CN"/>
              </w:rPr>
              <w:t>工程区域</w:t>
            </w:r>
            <w:r>
              <w:rPr>
                <w:rFonts w:ascii="Times New Roman" w:hAnsi="Times New Roman" w:hint="eastAsia"/>
                <w:color w:val="auto"/>
                <w:sz w:val="20"/>
                <w:szCs w:val="20"/>
                <w:lang w:eastAsia="zh-CN"/>
              </w:rPr>
              <w:t>位于铁炉港内部，而铁炉港内水动力较弱，</w:t>
            </w:r>
            <w:r>
              <w:rPr>
                <w:rFonts w:ascii="Times New Roman" w:hAnsi="Times New Roman" w:hint="eastAsia"/>
                <w:color w:val="auto"/>
                <w:sz w:val="20"/>
                <w:szCs w:val="20"/>
                <w:lang w:eastAsia="zh-CN"/>
              </w:rPr>
              <w:t>施工</w:t>
            </w:r>
            <w:r>
              <w:rPr>
                <w:rFonts w:ascii="Times New Roman" w:hAnsi="Times New Roman" w:hint="eastAsia"/>
                <w:color w:val="auto"/>
                <w:sz w:val="20"/>
                <w:szCs w:val="20"/>
                <w:lang w:eastAsia="zh-CN"/>
              </w:rPr>
              <w:t>产生悬浮物扩散范围仅限于铁炉港潟湖内，未至</w:t>
            </w:r>
            <w:r>
              <w:rPr>
                <w:rFonts w:ascii="Times New Roman" w:hAnsi="Times New Roman"/>
                <w:color w:val="auto"/>
                <w:sz w:val="20"/>
                <w:szCs w:val="20"/>
                <w:lang w:eastAsia="zh-CN"/>
              </w:rPr>
              <w:t>蜈支洲岛海底电缆管道用海区</w:t>
            </w:r>
            <w:r>
              <w:rPr>
                <w:rFonts w:ascii="Times New Roman" w:hAnsi="Times New Roman" w:hint="eastAsia"/>
                <w:color w:val="auto"/>
                <w:sz w:val="20"/>
                <w:szCs w:val="20"/>
                <w:lang w:eastAsia="zh-CN"/>
              </w:rPr>
              <w:t>，不影响其海域生态环境。</w:t>
            </w:r>
            <w:r>
              <w:rPr>
                <w:rFonts w:ascii="Times New Roman" w:hAnsi="Times New Roman" w:hint="eastAsia"/>
                <w:color w:val="auto"/>
                <w:sz w:val="20"/>
                <w:szCs w:val="20"/>
                <w:lang w:eastAsia="zh-CN"/>
              </w:rPr>
              <w:t>工程建设</w:t>
            </w:r>
            <w:r>
              <w:rPr>
                <w:rFonts w:ascii="Times New Roman" w:hAnsi="Times New Roman" w:hint="eastAsia"/>
                <w:color w:val="auto"/>
                <w:sz w:val="20"/>
                <w:szCs w:val="20"/>
                <w:lang w:eastAsia="zh-CN"/>
              </w:rPr>
              <w:t>使得铁炉港冲淤环境变化主要</w:t>
            </w:r>
            <w:r>
              <w:rPr>
                <w:rFonts w:ascii="Times New Roman" w:hAnsi="Times New Roman" w:hint="eastAsia"/>
                <w:color w:val="auto"/>
                <w:sz w:val="20"/>
                <w:szCs w:val="20"/>
                <w:lang w:eastAsia="zh-CN"/>
              </w:rPr>
              <w:t>集中在施工区域</w:t>
            </w:r>
            <w:r>
              <w:rPr>
                <w:rFonts w:ascii="Times New Roman" w:hAnsi="Times New Roman" w:hint="eastAsia"/>
                <w:color w:val="auto"/>
                <w:sz w:val="20"/>
                <w:szCs w:val="20"/>
                <w:lang w:eastAsia="zh-CN"/>
              </w:rPr>
              <w:t>，不影响</w:t>
            </w:r>
            <w:r>
              <w:rPr>
                <w:rFonts w:ascii="Times New Roman" w:hAnsi="Times New Roman"/>
                <w:color w:val="auto"/>
                <w:sz w:val="20"/>
                <w:szCs w:val="20"/>
                <w:lang w:eastAsia="zh-CN"/>
              </w:rPr>
              <w:t>蜈支洲岛海底电缆管道用海区</w:t>
            </w:r>
            <w:r>
              <w:rPr>
                <w:rFonts w:ascii="Times New Roman" w:hAnsi="Times New Roman" w:hint="eastAsia"/>
                <w:color w:val="auto"/>
                <w:sz w:val="20"/>
                <w:szCs w:val="20"/>
                <w:lang w:eastAsia="zh-CN"/>
              </w:rPr>
              <w:t>冲淤环境；施工船舶、巡护船只不进入该区域，对海底电缆管道安全无影响；不改变其海域自然属性。</w:t>
            </w:r>
          </w:p>
        </w:tc>
      </w:tr>
      <w:tr w:rsidR="0075791A" w14:paraId="381BA5D2" w14:textId="77777777">
        <w:trPr>
          <w:trHeight w:val="340"/>
          <w:jc w:val="center"/>
        </w:trPr>
        <w:tc>
          <w:tcPr>
            <w:tcW w:w="1128" w:type="dxa"/>
            <w:vMerge/>
            <w:vAlign w:val="center"/>
          </w:tcPr>
          <w:p w14:paraId="2920EF5C"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6F8B5FC8"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利用方式</w:t>
            </w:r>
          </w:p>
        </w:tc>
        <w:tc>
          <w:tcPr>
            <w:tcW w:w="4770" w:type="dxa"/>
            <w:vAlign w:val="center"/>
          </w:tcPr>
          <w:p w14:paraId="50E660CF"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严格限制改变海域自然属性</w:t>
            </w:r>
          </w:p>
        </w:tc>
        <w:tc>
          <w:tcPr>
            <w:tcW w:w="6189" w:type="dxa"/>
            <w:vMerge/>
            <w:vAlign w:val="center"/>
          </w:tcPr>
          <w:p w14:paraId="311CC76E" w14:textId="77777777" w:rsidR="0075791A" w:rsidRDefault="0075791A">
            <w:pPr>
              <w:pStyle w:val="TableText"/>
              <w:rPr>
                <w:rFonts w:ascii="Times New Roman" w:hAnsi="Times New Roman"/>
                <w:color w:val="auto"/>
                <w:sz w:val="20"/>
                <w:szCs w:val="20"/>
                <w:lang w:eastAsia="zh-CN"/>
              </w:rPr>
            </w:pPr>
          </w:p>
        </w:tc>
      </w:tr>
      <w:tr w:rsidR="0075791A" w14:paraId="641FE185" w14:textId="77777777">
        <w:trPr>
          <w:trHeight w:val="340"/>
          <w:jc w:val="center"/>
        </w:trPr>
        <w:tc>
          <w:tcPr>
            <w:tcW w:w="1128" w:type="dxa"/>
            <w:vMerge/>
            <w:vAlign w:val="center"/>
          </w:tcPr>
          <w:p w14:paraId="17B5417C"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1F9DDD82"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保护要求</w:t>
            </w:r>
          </w:p>
        </w:tc>
        <w:tc>
          <w:tcPr>
            <w:tcW w:w="4770" w:type="dxa"/>
            <w:vAlign w:val="center"/>
          </w:tcPr>
          <w:p w14:paraId="06478531"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保护海域生态环境；保护潮间带底栖生物</w:t>
            </w:r>
          </w:p>
        </w:tc>
        <w:tc>
          <w:tcPr>
            <w:tcW w:w="6189" w:type="dxa"/>
            <w:vMerge/>
            <w:vAlign w:val="center"/>
          </w:tcPr>
          <w:p w14:paraId="00CD6ECA" w14:textId="77777777" w:rsidR="0075791A" w:rsidRDefault="0075791A">
            <w:pPr>
              <w:pStyle w:val="TableText"/>
              <w:rPr>
                <w:rFonts w:ascii="Times New Roman" w:hAnsi="Times New Roman"/>
                <w:color w:val="auto"/>
                <w:sz w:val="20"/>
                <w:szCs w:val="20"/>
                <w:lang w:eastAsia="zh-CN"/>
              </w:rPr>
            </w:pPr>
          </w:p>
        </w:tc>
      </w:tr>
      <w:tr w:rsidR="0075791A" w14:paraId="595F105A" w14:textId="77777777">
        <w:trPr>
          <w:trHeight w:val="340"/>
          <w:jc w:val="center"/>
        </w:trPr>
        <w:tc>
          <w:tcPr>
            <w:tcW w:w="1128" w:type="dxa"/>
            <w:vMerge/>
            <w:vAlign w:val="center"/>
          </w:tcPr>
          <w:p w14:paraId="361B969E"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5B6DEE88"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其他要求</w:t>
            </w:r>
          </w:p>
        </w:tc>
        <w:tc>
          <w:tcPr>
            <w:tcW w:w="4770" w:type="dxa"/>
            <w:vAlign w:val="center"/>
          </w:tcPr>
          <w:p w14:paraId="2364CE05"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对海底电缆管道采取定期复查、监视和保护措施</w:t>
            </w:r>
          </w:p>
        </w:tc>
        <w:tc>
          <w:tcPr>
            <w:tcW w:w="6189" w:type="dxa"/>
            <w:vMerge/>
            <w:vAlign w:val="center"/>
          </w:tcPr>
          <w:p w14:paraId="6D405DE5" w14:textId="77777777" w:rsidR="0075791A" w:rsidRDefault="0075791A">
            <w:pPr>
              <w:pStyle w:val="TableText"/>
              <w:rPr>
                <w:rFonts w:ascii="Times New Roman" w:hAnsi="Times New Roman"/>
                <w:color w:val="auto"/>
                <w:sz w:val="20"/>
                <w:szCs w:val="20"/>
                <w:lang w:eastAsia="zh-CN"/>
              </w:rPr>
            </w:pPr>
          </w:p>
        </w:tc>
      </w:tr>
      <w:tr w:rsidR="0075791A" w14:paraId="2889626B" w14:textId="77777777">
        <w:trPr>
          <w:trHeight w:val="340"/>
          <w:jc w:val="center"/>
        </w:trPr>
        <w:tc>
          <w:tcPr>
            <w:tcW w:w="1128" w:type="dxa"/>
            <w:vMerge w:val="restart"/>
            <w:vAlign w:val="center"/>
          </w:tcPr>
          <w:p w14:paraId="2F0337C5" w14:textId="77777777" w:rsidR="0075791A" w:rsidRDefault="00FB2864">
            <w:pPr>
              <w:pStyle w:val="TableText"/>
              <w:jc w:val="center"/>
              <w:rPr>
                <w:rFonts w:ascii="Times New Roman" w:hAnsi="Times New Roman"/>
                <w:color w:val="auto"/>
                <w:sz w:val="20"/>
                <w:szCs w:val="20"/>
                <w:lang w:eastAsia="zh-CN"/>
              </w:rPr>
            </w:pPr>
            <w:r>
              <w:rPr>
                <w:rFonts w:ascii="Times New Roman" w:hAnsi="Times New Roman"/>
                <w:color w:val="auto"/>
                <w:sz w:val="20"/>
                <w:szCs w:val="20"/>
                <w:lang w:eastAsia="zh-CN"/>
              </w:rPr>
              <w:t>后海珊瑚礁生态保护区</w:t>
            </w:r>
          </w:p>
        </w:tc>
        <w:tc>
          <w:tcPr>
            <w:tcW w:w="992" w:type="dxa"/>
            <w:vAlign w:val="center"/>
          </w:tcPr>
          <w:p w14:paraId="297F49B3"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空间准入</w:t>
            </w:r>
          </w:p>
        </w:tc>
        <w:tc>
          <w:tcPr>
            <w:tcW w:w="4770" w:type="dxa"/>
            <w:vAlign w:val="center"/>
          </w:tcPr>
          <w:p w14:paraId="133B164C"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允许开展对生态功能不造成破坏的有限人为活动；严格按照自然保护地</w:t>
            </w:r>
            <w:r>
              <w:rPr>
                <w:rFonts w:ascii="Times New Roman" w:eastAsia="宋体" w:hAnsi="Times New Roman" w:cs="Times New Roman"/>
                <w:color w:val="auto"/>
                <w:sz w:val="20"/>
                <w:szCs w:val="20"/>
                <w:lang w:eastAsia="zh-CN" w:bidi="ar"/>
              </w:rPr>
              <w:t xml:space="preserve"> </w:t>
            </w:r>
            <w:r>
              <w:rPr>
                <w:rFonts w:ascii="宋体" w:eastAsia="宋体" w:hAnsi="宋体" w:cs="宋体" w:hint="eastAsia"/>
                <w:color w:val="auto"/>
                <w:sz w:val="20"/>
                <w:szCs w:val="20"/>
                <w:lang w:eastAsia="zh-CN" w:bidi="ar"/>
              </w:rPr>
              <w:t>管理规定、生态红线管理规定、珊瑚礁保护规定等进行管理</w:t>
            </w:r>
          </w:p>
        </w:tc>
        <w:tc>
          <w:tcPr>
            <w:tcW w:w="6189" w:type="dxa"/>
            <w:vMerge w:val="restart"/>
            <w:vAlign w:val="center"/>
          </w:tcPr>
          <w:p w14:paraId="5CD312E9"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本项目用海区与后海珊瑚礁生态保护区距离较近，约</w:t>
            </w:r>
            <w:r>
              <w:rPr>
                <w:rFonts w:ascii="Times New Roman" w:hAnsi="Times New Roman" w:hint="eastAsia"/>
                <w:color w:val="auto"/>
                <w:sz w:val="20"/>
                <w:szCs w:val="20"/>
                <w:lang w:eastAsia="zh-CN"/>
              </w:rPr>
              <w:t>2.7</w:t>
            </w:r>
            <w:r>
              <w:rPr>
                <w:rFonts w:ascii="Times New Roman" w:hAnsi="Times New Roman" w:hint="eastAsia"/>
                <w:color w:val="auto"/>
                <w:sz w:val="20"/>
                <w:szCs w:val="20"/>
                <w:lang w:eastAsia="zh-CN"/>
              </w:rPr>
              <w:t>km</w:t>
            </w:r>
            <w:r>
              <w:rPr>
                <w:rFonts w:ascii="Times New Roman" w:hAnsi="Times New Roman" w:hint="eastAsia"/>
                <w:color w:val="auto"/>
                <w:sz w:val="20"/>
                <w:szCs w:val="20"/>
                <w:lang w:eastAsia="zh-CN"/>
              </w:rPr>
              <w:t>，位于铁炉港口门东北部后海山周边海域。</w:t>
            </w:r>
            <w:r>
              <w:rPr>
                <w:rFonts w:ascii="Times New Roman" w:hAnsi="Times New Roman" w:hint="eastAsia"/>
                <w:color w:val="auto"/>
                <w:sz w:val="20"/>
                <w:szCs w:val="20"/>
                <w:lang w:eastAsia="zh-CN"/>
              </w:rPr>
              <w:t>工程</w:t>
            </w:r>
            <w:r>
              <w:rPr>
                <w:rFonts w:ascii="Times New Roman" w:hAnsi="Times New Roman" w:hint="eastAsia"/>
                <w:color w:val="auto"/>
                <w:sz w:val="20"/>
                <w:szCs w:val="20"/>
                <w:lang w:eastAsia="zh-CN"/>
              </w:rPr>
              <w:t>区位于铁炉港内部，而铁炉港内水动力较弱，疏浚产生悬浮物扩散范围主要位于项目区域，未至后海珊瑚礁生态保护区，不影响其海域生态环境，对珊瑚礁生态系统无影响。</w:t>
            </w:r>
            <w:r>
              <w:rPr>
                <w:rFonts w:ascii="Times New Roman" w:hAnsi="Times New Roman" w:hint="eastAsia"/>
                <w:color w:val="auto"/>
                <w:sz w:val="20"/>
                <w:szCs w:val="20"/>
                <w:lang w:eastAsia="zh-CN"/>
              </w:rPr>
              <w:t>项目建设</w:t>
            </w:r>
            <w:r>
              <w:rPr>
                <w:rFonts w:ascii="Times New Roman" w:hAnsi="Times New Roman" w:hint="eastAsia"/>
                <w:color w:val="auto"/>
                <w:sz w:val="20"/>
                <w:szCs w:val="20"/>
                <w:lang w:eastAsia="zh-CN"/>
              </w:rPr>
              <w:t>使得铁炉港冲淤环境变化主要集中在疏浚区及附近的小范围内，冲淤幅度也较小，，不影响珊瑚礁生态保护区冲淤环境，不改变其海域自然属性。</w:t>
            </w:r>
          </w:p>
        </w:tc>
      </w:tr>
      <w:tr w:rsidR="0075791A" w14:paraId="48A632EA" w14:textId="77777777">
        <w:trPr>
          <w:trHeight w:val="340"/>
          <w:jc w:val="center"/>
        </w:trPr>
        <w:tc>
          <w:tcPr>
            <w:tcW w:w="1128" w:type="dxa"/>
            <w:vMerge/>
            <w:vAlign w:val="center"/>
          </w:tcPr>
          <w:p w14:paraId="39915A52"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1842BF27"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利用方式</w:t>
            </w:r>
          </w:p>
        </w:tc>
        <w:tc>
          <w:tcPr>
            <w:tcW w:w="4770" w:type="dxa"/>
            <w:vAlign w:val="center"/>
          </w:tcPr>
          <w:p w14:paraId="53ABF9F5"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严格限制改变海域自然属性</w:t>
            </w:r>
          </w:p>
        </w:tc>
        <w:tc>
          <w:tcPr>
            <w:tcW w:w="6189" w:type="dxa"/>
            <w:vMerge/>
            <w:vAlign w:val="center"/>
          </w:tcPr>
          <w:p w14:paraId="07A10E17" w14:textId="77777777" w:rsidR="0075791A" w:rsidRDefault="0075791A">
            <w:pPr>
              <w:pStyle w:val="TableText"/>
              <w:rPr>
                <w:rFonts w:ascii="Times New Roman" w:hAnsi="Times New Roman"/>
                <w:color w:val="auto"/>
                <w:sz w:val="20"/>
                <w:szCs w:val="20"/>
                <w:lang w:eastAsia="zh-CN"/>
              </w:rPr>
            </w:pPr>
          </w:p>
        </w:tc>
      </w:tr>
      <w:tr w:rsidR="0075791A" w14:paraId="4B6EAB54" w14:textId="77777777">
        <w:trPr>
          <w:trHeight w:val="340"/>
          <w:jc w:val="center"/>
        </w:trPr>
        <w:tc>
          <w:tcPr>
            <w:tcW w:w="1128" w:type="dxa"/>
            <w:vMerge/>
            <w:vAlign w:val="center"/>
          </w:tcPr>
          <w:p w14:paraId="2AFC1B71"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24B58F20"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保护要求</w:t>
            </w:r>
          </w:p>
        </w:tc>
        <w:tc>
          <w:tcPr>
            <w:tcW w:w="4770" w:type="dxa"/>
            <w:vAlign w:val="center"/>
          </w:tcPr>
          <w:p w14:paraId="644086A1"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保护珊瑚礁及其生态系统；保护海洋生物多样性；保护海岛自然景观资</w:t>
            </w:r>
            <w:r>
              <w:rPr>
                <w:rFonts w:ascii="Times New Roman" w:eastAsia="宋体" w:hAnsi="Times New Roman" w:cs="Times New Roman"/>
                <w:color w:val="auto"/>
                <w:sz w:val="20"/>
                <w:szCs w:val="20"/>
                <w:lang w:eastAsia="zh-CN" w:bidi="ar"/>
              </w:rPr>
              <w:t xml:space="preserve"> </w:t>
            </w:r>
            <w:r>
              <w:rPr>
                <w:rFonts w:ascii="宋体" w:eastAsia="宋体" w:hAnsi="宋体" w:cs="宋体" w:hint="eastAsia"/>
                <w:color w:val="auto"/>
                <w:sz w:val="20"/>
                <w:szCs w:val="20"/>
                <w:lang w:eastAsia="zh-CN" w:bidi="ar"/>
              </w:rPr>
              <w:t>源；保护潮间带底栖生物</w:t>
            </w:r>
          </w:p>
        </w:tc>
        <w:tc>
          <w:tcPr>
            <w:tcW w:w="6189" w:type="dxa"/>
            <w:vMerge/>
            <w:vAlign w:val="center"/>
          </w:tcPr>
          <w:p w14:paraId="1A79BDAF" w14:textId="77777777" w:rsidR="0075791A" w:rsidRDefault="0075791A">
            <w:pPr>
              <w:pStyle w:val="TableText"/>
              <w:rPr>
                <w:rFonts w:ascii="Times New Roman" w:hAnsi="Times New Roman"/>
                <w:color w:val="auto"/>
                <w:sz w:val="20"/>
                <w:szCs w:val="20"/>
                <w:lang w:eastAsia="zh-CN"/>
              </w:rPr>
            </w:pPr>
          </w:p>
        </w:tc>
      </w:tr>
      <w:tr w:rsidR="0075791A" w14:paraId="727D0E5B" w14:textId="77777777">
        <w:trPr>
          <w:trHeight w:val="340"/>
          <w:jc w:val="center"/>
        </w:trPr>
        <w:tc>
          <w:tcPr>
            <w:tcW w:w="1128" w:type="dxa"/>
            <w:vMerge/>
            <w:vAlign w:val="center"/>
          </w:tcPr>
          <w:p w14:paraId="6FAF9DAA"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3F406F08"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其他要求</w:t>
            </w:r>
          </w:p>
        </w:tc>
        <w:tc>
          <w:tcPr>
            <w:tcW w:w="4770" w:type="dxa"/>
            <w:vAlign w:val="center"/>
          </w:tcPr>
          <w:p w14:paraId="25F04B84"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无</w:t>
            </w:r>
          </w:p>
        </w:tc>
        <w:tc>
          <w:tcPr>
            <w:tcW w:w="6189" w:type="dxa"/>
            <w:vMerge/>
            <w:vAlign w:val="center"/>
          </w:tcPr>
          <w:p w14:paraId="0E8DD6FB" w14:textId="77777777" w:rsidR="0075791A" w:rsidRDefault="0075791A">
            <w:pPr>
              <w:pStyle w:val="TableText"/>
              <w:rPr>
                <w:rFonts w:ascii="Times New Roman" w:hAnsi="Times New Roman"/>
                <w:color w:val="auto"/>
                <w:sz w:val="20"/>
                <w:szCs w:val="20"/>
                <w:lang w:eastAsia="zh-CN"/>
              </w:rPr>
            </w:pPr>
          </w:p>
        </w:tc>
      </w:tr>
      <w:tr w:rsidR="0075791A" w14:paraId="76C4383D" w14:textId="77777777">
        <w:trPr>
          <w:trHeight w:val="340"/>
          <w:jc w:val="center"/>
        </w:trPr>
        <w:tc>
          <w:tcPr>
            <w:tcW w:w="1128" w:type="dxa"/>
            <w:vMerge w:val="restart"/>
            <w:vAlign w:val="center"/>
          </w:tcPr>
          <w:p w14:paraId="429CBB95" w14:textId="77777777" w:rsidR="0075791A" w:rsidRDefault="00FB2864">
            <w:pPr>
              <w:pStyle w:val="TableText"/>
              <w:jc w:val="center"/>
              <w:rPr>
                <w:rFonts w:ascii="Times New Roman" w:hAnsi="Times New Roman"/>
                <w:color w:val="auto"/>
                <w:sz w:val="20"/>
                <w:szCs w:val="20"/>
                <w:lang w:eastAsia="zh-CN"/>
              </w:rPr>
            </w:pPr>
            <w:r>
              <w:rPr>
                <w:rFonts w:ascii="Times New Roman" w:hAnsi="Times New Roman"/>
                <w:color w:val="auto"/>
                <w:sz w:val="20"/>
                <w:szCs w:val="20"/>
                <w:lang w:eastAsia="zh-CN"/>
              </w:rPr>
              <w:t>牛车湾</w:t>
            </w:r>
            <w:r>
              <w:rPr>
                <w:rFonts w:ascii="Times New Roman" w:hAnsi="Times New Roman"/>
                <w:color w:val="auto"/>
                <w:sz w:val="20"/>
                <w:szCs w:val="20"/>
                <w:lang w:eastAsia="zh-CN"/>
              </w:rPr>
              <w:t>-</w:t>
            </w:r>
            <w:r>
              <w:rPr>
                <w:rFonts w:ascii="Times New Roman" w:hAnsi="Times New Roman"/>
                <w:color w:val="auto"/>
                <w:sz w:val="20"/>
                <w:szCs w:val="20"/>
                <w:lang w:eastAsia="zh-CN"/>
              </w:rPr>
              <w:t>亚龙湾海岸生态保护区</w:t>
            </w:r>
          </w:p>
        </w:tc>
        <w:tc>
          <w:tcPr>
            <w:tcW w:w="992" w:type="dxa"/>
            <w:vAlign w:val="center"/>
          </w:tcPr>
          <w:p w14:paraId="11D52D28"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空间准入</w:t>
            </w:r>
          </w:p>
        </w:tc>
        <w:tc>
          <w:tcPr>
            <w:tcW w:w="4770" w:type="dxa"/>
            <w:vAlign w:val="center"/>
          </w:tcPr>
          <w:p w14:paraId="3A320BD5"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允许开展对生态功能不造成破坏的有限人为活动；严格按照自然保护地管</w:t>
            </w:r>
            <w:r>
              <w:rPr>
                <w:rFonts w:ascii="Times New Roman" w:eastAsia="宋体" w:hAnsi="Times New Roman" w:cs="Times New Roman"/>
                <w:color w:val="auto"/>
                <w:sz w:val="20"/>
                <w:szCs w:val="20"/>
                <w:lang w:eastAsia="zh-CN" w:bidi="ar"/>
              </w:rPr>
              <w:t xml:space="preserve"> </w:t>
            </w:r>
            <w:r>
              <w:rPr>
                <w:rFonts w:ascii="宋体" w:eastAsia="宋体" w:hAnsi="宋体" w:cs="宋体" w:hint="eastAsia"/>
                <w:color w:val="auto"/>
                <w:sz w:val="20"/>
                <w:szCs w:val="20"/>
                <w:lang w:eastAsia="zh-CN" w:bidi="ar"/>
              </w:rPr>
              <w:t>理规定、生态红线管理规定等进行管理</w:t>
            </w:r>
          </w:p>
        </w:tc>
        <w:tc>
          <w:tcPr>
            <w:tcW w:w="6189" w:type="dxa"/>
            <w:vMerge w:val="restart"/>
            <w:vAlign w:val="center"/>
          </w:tcPr>
          <w:p w14:paraId="2CFCBBFA"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本项目用海区与牛车湾</w:t>
            </w:r>
            <w:r>
              <w:rPr>
                <w:rFonts w:ascii="Times New Roman" w:hAnsi="Times New Roman" w:hint="eastAsia"/>
                <w:color w:val="auto"/>
                <w:sz w:val="20"/>
                <w:szCs w:val="20"/>
                <w:lang w:eastAsia="zh-CN"/>
              </w:rPr>
              <w:t>-</w:t>
            </w:r>
            <w:r>
              <w:rPr>
                <w:rFonts w:ascii="Times New Roman" w:hAnsi="Times New Roman" w:hint="eastAsia"/>
                <w:color w:val="auto"/>
                <w:sz w:val="20"/>
                <w:szCs w:val="20"/>
                <w:lang w:eastAsia="zh-CN"/>
              </w:rPr>
              <w:t>亚龙湾海岸生态保护区距离较近，</w:t>
            </w:r>
            <w:r>
              <w:rPr>
                <w:rFonts w:ascii="Times New Roman" w:hAnsi="Times New Roman" w:hint="eastAsia"/>
                <w:color w:val="auto"/>
                <w:sz w:val="20"/>
                <w:szCs w:val="20"/>
                <w:lang w:eastAsia="zh-CN"/>
              </w:rPr>
              <w:t>东部</w:t>
            </w:r>
            <w:r>
              <w:rPr>
                <w:rFonts w:ascii="Times New Roman" w:hAnsi="Times New Roman" w:hint="eastAsia"/>
                <w:color w:val="auto"/>
                <w:sz w:val="20"/>
                <w:szCs w:val="20"/>
                <w:lang w:eastAsia="zh-CN"/>
              </w:rPr>
              <w:t>约</w:t>
            </w:r>
            <w:r>
              <w:rPr>
                <w:rFonts w:ascii="Times New Roman" w:hAnsi="Times New Roman" w:hint="eastAsia"/>
                <w:color w:val="auto"/>
                <w:sz w:val="20"/>
                <w:szCs w:val="20"/>
                <w:lang w:eastAsia="zh-CN"/>
              </w:rPr>
              <w:t>3.2</w:t>
            </w:r>
            <w:r>
              <w:rPr>
                <w:rFonts w:ascii="Times New Roman" w:hAnsi="Times New Roman" w:hint="eastAsia"/>
                <w:color w:val="auto"/>
                <w:sz w:val="20"/>
                <w:szCs w:val="20"/>
                <w:lang w:eastAsia="zh-CN"/>
              </w:rPr>
              <w:t>km</w:t>
            </w:r>
            <w:r>
              <w:rPr>
                <w:rFonts w:ascii="Times New Roman" w:hAnsi="Times New Roman" w:hint="eastAsia"/>
                <w:color w:val="auto"/>
                <w:sz w:val="20"/>
                <w:szCs w:val="20"/>
                <w:lang w:eastAsia="zh-CN"/>
              </w:rPr>
              <w:t>，位于铁炉港口门东南部。</w:t>
            </w:r>
            <w:r>
              <w:rPr>
                <w:rFonts w:ascii="Times New Roman" w:hAnsi="Times New Roman" w:hint="eastAsia"/>
                <w:color w:val="auto"/>
                <w:sz w:val="20"/>
                <w:szCs w:val="20"/>
                <w:lang w:eastAsia="zh-CN"/>
              </w:rPr>
              <w:t>工程</w:t>
            </w:r>
            <w:r>
              <w:rPr>
                <w:rFonts w:ascii="Times New Roman" w:hAnsi="Times New Roman" w:hint="eastAsia"/>
                <w:color w:val="auto"/>
                <w:sz w:val="20"/>
                <w:szCs w:val="20"/>
                <w:lang w:eastAsia="zh-CN"/>
              </w:rPr>
              <w:t>区位于铁炉港内部，而铁炉港内水动力较弱，疏浚产生悬浮物扩散范围主要位于项目区域，未至牛车湾</w:t>
            </w:r>
            <w:r>
              <w:rPr>
                <w:rFonts w:ascii="Times New Roman" w:hAnsi="Times New Roman" w:hint="eastAsia"/>
                <w:color w:val="auto"/>
                <w:sz w:val="20"/>
                <w:szCs w:val="20"/>
                <w:lang w:eastAsia="zh-CN"/>
              </w:rPr>
              <w:t>-</w:t>
            </w:r>
            <w:r>
              <w:rPr>
                <w:rFonts w:ascii="Times New Roman" w:hAnsi="Times New Roman" w:hint="eastAsia"/>
                <w:color w:val="auto"/>
                <w:sz w:val="20"/>
                <w:szCs w:val="20"/>
                <w:lang w:eastAsia="zh-CN"/>
              </w:rPr>
              <w:t>亚龙湾海岸生态保护区，不影响其海域生态环境。</w:t>
            </w:r>
            <w:r>
              <w:rPr>
                <w:rFonts w:ascii="Times New Roman" w:hAnsi="Times New Roman" w:hint="eastAsia"/>
                <w:color w:val="auto"/>
                <w:sz w:val="20"/>
                <w:szCs w:val="20"/>
                <w:lang w:eastAsia="zh-CN"/>
              </w:rPr>
              <w:t>项目建设</w:t>
            </w:r>
            <w:r>
              <w:rPr>
                <w:rFonts w:ascii="Times New Roman" w:hAnsi="Times New Roman" w:hint="eastAsia"/>
                <w:color w:val="auto"/>
                <w:sz w:val="20"/>
                <w:szCs w:val="20"/>
                <w:lang w:eastAsia="zh-CN"/>
              </w:rPr>
              <w:t>使得铁炉港冲淤环境变化主要集中在疏浚区及附近的小范围内，冲淤幅度也较小，不影响牛车湾</w:t>
            </w:r>
            <w:r>
              <w:rPr>
                <w:rFonts w:ascii="Times New Roman" w:hAnsi="Times New Roman" w:hint="eastAsia"/>
                <w:color w:val="auto"/>
                <w:sz w:val="20"/>
                <w:szCs w:val="20"/>
                <w:lang w:eastAsia="zh-CN"/>
              </w:rPr>
              <w:t>-</w:t>
            </w:r>
            <w:r>
              <w:rPr>
                <w:rFonts w:ascii="Times New Roman" w:hAnsi="Times New Roman" w:hint="eastAsia"/>
                <w:color w:val="auto"/>
                <w:sz w:val="20"/>
                <w:szCs w:val="20"/>
                <w:lang w:eastAsia="zh-CN"/>
              </w:rPr>
              <w:t>亚龙湾海岸生态保护区冲淤环境，不改变其地形地貌</w:t>
            </w:r>
            <w:r>
              <w:rPr>
                <w:rFonts w:ascii="Times New Roman" w:hAnsi="Times New Roman" w:hint="eastAsia"/>
                <w:color w:val="auto"/>
                <w:sz w:val="20"/>
                <w:szCs w:val="20"/>
                <w:lang w:eastAsia="zh-CN"/>
              </w:rPr>
              <w:lastRenderedPageBreak/>
              <w:t>，不改变其海域自然属性。</w:t>
            </w:r>
          </w:p>
        </w:tc>
      </w:tr>
      <w:tr w:rsidR="0075791A" w14:paraId="216970EE" w14:textId="77777777">
        <w:trPr>
          <w:trHeight w:val="340"/>
          <w:jc w:val="center"/>
        </w:trPr>
        <w:tc>
          <w:tcPr>
            <w:tcW w:w="1128" w:type="dxa"/>
            <w:vMerge/>
            <w:vAlign w:val="center"/>
          </w:tcPr>
          <w:p w14:paraId="60AE74DE"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1FC65A78"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利用方式</w:t>
            </w:r>
          </w:p>
        </w:tc>
        <w:tc>
          <w:tcPr>
            <w:tcW w:w="4770" w:type="dxa"/>
            <w:vAlign w:val="center"/>
          </w:tcPr>
          <w:p w14:paraId="17895DB3"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严格限制改变海域自然属性</w:t>
            </w:r>
          </w:p>
        </w:tc>
        <w:tc>
          <w:tcPr>
            <w:tcW w:w="6189" w:type="dxa"/>
            <w:vMerge/>
            <w:vAlign w:val="center"/>
          </w:tcPr>
          <w:p w14:paraId="0BDC6709" w14:textId="77777777" w:rsidR="0075791A" w:rsidRDefault="0075791A">
            <w:pPr>
              <w:pStyle w:val="TableText"/>
              <w:rPr>
                <w:rFonts w:ascii="Times New Roman" w:hAnsi="Times New Roman"/>
                <w:color w:val="auto"/>
                <w:sz w:val="20"/>
                <w:szCs w:val="20"/>
                <w:lang w:eastAsia="zh-CN"/>
              </w:rPr>
            </w:pPr>
          </w:p>
        </w:tc>
      </w:tr>
      <w:tr w:rsidR="0075791A" w14:paraId="66684C57" w14:textId="77777777">
        <w:trPr>
          <w:trHeight w:val="340"/>
          <w:jc w:val="center"/>
        </w:trPr>
        <w:tc>
          <w:tcPr>
            <w:tcW w:w="1128" w:type="dxa"/>
            <w:vMerge/>
            <w:vAlign w:val="center"/>
          </w:tcPr>
          <w:p w14:paraId="651E17D3"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4E84F0CA"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保护要求</w:t>
            </w:r>
          </w:p>
        </w:tc>
        <w:tc>
          <w:tcPr>
            <w:tcW w:w="4770" w:type="dxa"/>
            <w:vAlign w:val="center"/>
          </w:tcPr>
          <w:p w14:paraId="5D1647E1"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保护自然岸线；保护海岸形态、地质地貌及海域自然生态环境；保护海岛</w:t>
            </w:r>
            <w:r>
              <w:rPr>
                <w:rFonts w:ascii="Times New Roman" w:eastAsia="宋体" w:hAnsi="Times New Roman" w:cs="Times New Roman"/>
                <w:color w:val="auto"/>
                <w:sz w:val="20"/>
                <w:szCs w:val="20"/>
                <w:lang w:eastAsia="zh-CN" w:bidi="ar"/>
              </w:rPr>
              <w:t xml:space="preserve"> </w:t>
            </w:r>
            <w:r>
              <w:rPr>
                <w:rFonts w:ascii="宋体" w:eastAsia="宋体" w:hAnsi="宋体" w:cs="宋体" w:hint="eastAsia"/>
                <w:color w:val="auto"/>
                <w:sz w:val="20"/>
                <w:szCs w:val="20"/>
                <w:lang w:eastAsia="zh-CN" w:bidi="ar"/>
              </w:rPr>
              <w:t>自然景观资源；保护潮间带底栖</w:t>
            </w:r>
            <w:r>
              <w:rPr>
                <w:rFonts w:ascii="宋体" w:eastAsia="宋体" w:hAnsi="宋体" w:cs="宋体" w:hint="eastAsia"/>
                <w:color w:val="auto"/>
                <w:sz w:val="20"/>
                <w:szCs w:val="20"/>
                <w:lang w:eastAsia="zh-CN" w:bidi="ar"/>
              </w:rPr>
              <w:lastRenderedPageBreak/>
              <w:t>生物</w:t>
            </w:r>
          </w:p>
        </w:tc>
        <w:tc>
          <w:tcPr>
            <w:tcW w:w="6189" w:type="dxa"/>
            <w:vMerge/>
            <w:vAlign w:val="center"/>
          </w:tcPr>
          <w:p w14:paraId="3AD05C0E" w14:textId="77777777" w:rsidR="0075791A" w:rsidRDefault="0075791A">
            <w:pPr>
              <w:pStyle w:val="TableText"/>
              <w:rPr>
                <w:rFonts w:ascii="Times New Roman" w:hAnsi="Times New Roman"/>
                <w:color w:val="auto"/>
                <w:sz w:val="20"/>
                <w:szCs w:val="20"/>
                <w:lang w:eastAsia="zh-CN"/>
              </w:rPr>
            </w:pPr>
          </w:p>
        </w:tc>
      </w:tr>
      <w:tr w:rsidR="0075791A" w14:paraId="60B7119E" w14:textId="77777777">
        <w:trPr>
          <w:trHeight w:val="340"/>
          <w:jc w:val="center"/>
        </w:trPr>
        <w:tc>
          <w:tcPr>
            <w:tcW w:w="1128" w:type="dxa"/>
            <w:vMerge/>
            <w:vAlign w:val="center"/>
          </w:tcPr>
          <w:p w14:paraId="4A459BD8"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6B787912"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其他要求</w:t>
            </w:r>
          </w:p>
        </w:tc>
        <w:tc>
          <w:tcPr>
            <w:tcW w:w="4770" w:type="dxa"/>
            <w:vAlign w:val="center"/>
          </w:tcPr>
          <w:p w14:paraId="07C98BF2"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无</w:t>
            </w:r>
          </w:p>
        </w:tc>
        <w:tc>
          <w:tcPr>
            <w:tcW w:w="6189" w:type="dxa"/>
            <w:vMerge/>
            <w:vAlign w:val="center"/>
          </w:tcPr>
          <w:p w14:paraId="5A0A85AD" w14:textId="77777777" w:rsidR="0075791A" w:rsidRDefault="0075791A">
            <w:pPr>
              <w:pStyle w:val="TableText"/>
              <w:rPr>
                <w:rFonts w:ascii="Times New Roman" w:hAnsi="Times New Roman"/>
                <w:color w:val="auto"/>
                <w:sz w:val="20"/>
                <w:szCs w:val="20"/>
                <w:lang w:eastAsia="zh-CN"/>
              </w:rPr>
            </w:pPr>
          </w:p>
        </w:tc>
      </w:tr>
      <w:tr w:rsidR="0075791A" w14:paraId="3D86F7AC" w14:textId="77777777">
        <w:trPr>
          <w:trHeight w:val="340"/>
          <w:jc w:val="center"/>
        </w:trPr>
        <w:tc>
          <w:tcPr>
            <w:tcW w:w="1128" w:type="dxa"/>
            <w:vMerge w:val="restart"/>
            <w:vAlign w:val="center"/>
          </w:tcPr>
          <w:p w14:paraId="6A2BB715" w14:textId="77777777" w:rsidR="0075791A" w:rsidRDefault="00FB2864">
            <w:pPr>
              <w:pStyle w:val="TableText"/>
              <w:jc w:val="center"/>
              <w:rPr>
                <w:rFonts w:ascii="Times New Roman" w:hAnsi="Times New Roman"/>
                <w:color w:val="auto"/>
                <w:sz w:val="20"/>
                <w:szCs w:val="20"/>
                <w:lang w:eastAsia="zh-CN"/>
              </w:rPr>
            </w:pPr>
            <w:r>
              <w:rPr>
                <w:rFonts w:ascii="Times New Roman" w:hAnsi="Times New Roman"/>
                <w:color w:val="auto"/>
                <w:sz w:val="20"/>
                <w:szCs w:val="20"/>
                <w:lang w:eastAsia="zh-CN"/>
              </w:rPr>
              <w:t>铁炉港</w:t>
            </w:r>
            <w:r>
              <w:rPr>
                <w:rFonts w:ascii="Times New Roman" w:hAnsi="Times New Roman"/>
                <w:color w:val="auto"/>
                <w:sz w:val="20"/>
                <w:szCs w:val="20"/>
                <w:lang w:eastAsia="zh-CN"/>
              </w:rPr>
              <w:t>-</w:t>
            </w:r>
            <w:r>
              <w:rPr>
                <w:rFonts w:ascii="Times New Roman" w:hAnsi="Times New Roman"/>
                <w:color w:val="auto"/>
                <w:sz w:val="20"/>
                <w:szCs w:val="20"/>
                <w:lang w:eastAsia="zh-CN"/>
              </w:rPr>
              <w:t>榆林港特殊用海区</w:t>
            </w:r>
          </w:p>
        </w:tc>
        <w:tc>
          <w:tcPr>
            <w:tcW w:w="992" w:type="dxa"/>
            <w:vAlign w:val="center"/>
          </w:tcPr>
          <w:p w14:paraId="2A1B94EB"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空间准入</w:t>
            </w:r>
          </w:p>
        </w:tc>
        <w:tc>
          <w:tcPr>
            <w:tcW w:w="4770" w:type="dxa"/>
            <w:vAlign w:val="center"/>
          </w:tcPr>
          <w:p w14:paraId="7F2CD19C"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主导用海类型为特殊用海</w:t>
            </w:r>
          </w:p>
        </w:tc>
        <w:tc>
          <w:tcPr>
            <w:tcW w:w="6189" w:type="dxa"/>
            <w:vMerge w:val="restart"/>
            <w:vAlign w:val="center"/>
          </w:tcPr>
          <w:p w14:paraId="7572507E"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本项目用海区与铁炉港</w:t>
            </w:r>
            <w:r>
              <w:rPr>
                <w:rFonts w:ascii="Times New Roman" w:hAnsi="Times New Roman" w:hint="eastAsia"/>
                <w:color w:val="auto"/>
                <w:sz w:val="20"/>
                <w:szCs w:val="20"/>
                <w:lang w:eastAsia="zh-CN"/>
              </w:rPr>
              <w:t>-</w:t>
            </w:r>
            <w:r>
              <w:rPr>
                <w:rFonts w:ascii="Times New Roman" w:hAnsi="Times New Roman" w:hint="eastAsia"/>
                <w:color w:val="auto"/>
                <w:sz w:val="20"/>
                <w:szCs w:val="20"/>
                <w:lang w:eastAsia="zh-CN"/>
              </w:rPr>
              <w:t>榆林港特殊用海区距离较近，</w:t>
            </w:r>
            <w:r>
              <w:rPr>
                <w:rFonts w:ascii="Times New Roman" w:hAnsi="Times New Roman" w:hint="eastAsia"/>
                <w:color w:val="auto"/>
                <w:sz w:val="20"/>
                <w:szCs w:val="20"/>
                <w:lang w:eastAsia="zh-CN"/>
              </w:rPr>
              <w:t>东部</w:t>
            </w:r>
            <w:r>
              <w:rPr>
                <w:rFonts w:ascii="Times New Roman" w:hAnsi="Times New Roman" w:hint="eastAsia"/>
                <w:color w:val="auto"/>
                <w:sz w:val="20"/>
                <w:szCs w:val="20"/>
                <w:lang w:eastAsia="zh-CN"/>
              </w:rPr>
              <w:t>约</w:t>
            </w:r>
            <w:r>
              <w:rPr>
                <w:rFonts w:ascii="Times New Roman" w:hAnsi="Times New Roman" w:hint="eastAsia"/>
                <w:color w:val="auto"/>
                <w:sz w:val="20"/>
                <w:szCs w:val="20"/>
                <w:lang w:eastAsia="zh-CN"/>
              </w:rPr>
              <w:t>3.0</w:t>
            </w:r>
            <w:r>
              <w:rPr>
                <w:rFonts w:ascii="Times New Roman" w:hAnsi="Times New Roman" w:hint="eastAsia"/>
                <w:color w:val="auto"/>
                <w:sz w:val="20"/>
                <w:szCs w:val="20"/>
                <w:lang w:eastAsia="zh-CN"/>
              </w:rPr>
              <w:t>km</w:t>
            </w:r>
            <w:r>
              <w:rPr>
                <w:rFonts w:ascii="Times New Roman" w:hAnsi="Times New Roman" w:hint="eastAsia"/>
                <w:color w:val="auto"/>
                <w:sz w:val="20"/>
                <w:szCs w:val="20"/>
                <w:lang w:eastAsia="zh-CN"/>
              </w:rPr>
              <w:t>，位于铁炉港口门。</w:t>
            </w:r>
            <w:r>
              <w:rPr>
                <w:rFonts w:ascii="Times New Roman" w:hAnsi="Times New Roman" w:hint="eastAsia"/>
                <w:color w:val="auto"/>
                <w:sz w:val="20"/>
                <w:szCs w:val="20"/>
                <w:lang w:eastAsia="zh-CN"/>
              </w:rPr>
              <w:t>工程区</w:t>
            </w:r>
            <w:r>
              <w:rPr>
                <w:rFonts w:ascii="Times New Roman" w:hAnsi="Times New Roman" w:hint="eastAsia"/>
                <w:color w:val="auto"/>
                <w:sz w:val="20"/>
                <w:szCs w:val="20"/>
                <w:lang w:eastAsia="zh-CN"/>
              </w:rPr>
              <w:t>位于铁炉港内部，而铁炉港内水动力较弱，疏浚产生悬浮物扩散范围主要位于项目区域</w:t>
            </w:r>
            <w:r>
              <w:rPr>
                <w:rFonts w:ascii="Times New Roman" w:hAnsi="Times New Roman" w:hint="eastAsia"/>
                <w:color w:val="auto"/>
                <w:sz w:val="20"/>
                <w:szCs w:val="20"/>
                <w:lang w:eastAsia="zh-CN"/>
              </w:rPr>
              <w:t>，</w:t>
            </w:r>
            <w:r>
              <w:rPr>
                <w:rFonts w:ascii="Times New Roman" w:hAnsi="Times New Roman" w:hint="eastAsia"/>
                <w:color w:val="auto"/>
                <w:sz w:val="20"/>
                <w:szCs w:val="20"/>
                <w:lang w:eastAsia="zh-CN"/>
              </w:rPr>
              <w:t>未至特殊用海区。</w:t>
            </w:r>
            <w:r>
              <w:rPr>
                <w:rFonts w:ascii="Times New Roman" w:hAnsi="Times New Roman" w:hint="eastAsia"/>
                <w:color w:val="auto"/>
                <w:sz w:val="20"/>
                <w:szCs w:val="20"/>
                <w:lang w:eastAsia="zh-CN"/>
              </w:rPr>
              <w:t>项目建设</w:t>
            </w:r>
            <w:r>
              <w:rPr>
                <w:rFonts w:ascii="Times New Roman" w:hAnsi="Times New Roman" w:hint="eastAsia"/>
                <w:color w:val="auto"/>
                <w:sz w:val="20"/>
                <w:szCs w:val="20"/>
                <w:lang w:eastAsia="zh-CN"/>
              </w:rPr>
              <w:t>使得铁炉港冲淤环境变化主要集中在疏浚区及附近的小范围内，冲淤幅度也较小，不影响特殊用海区冲淤环境，不改变其地形地貌，不改变其海域自然属性。</w:t>
            </w:r>
          </w:p>
        </w:tc>
      </w:tr>
      <w:tr w:rsidR="0075791A" w14:paraId="4075F95C" w14:textId="77777777">
        <w:trPr>
          <w:trHeight w:val="340"/>
          <w:jc w:val="center"/>
        </w:trPr>
        <w:tc>
          <w:tcPr>
            <w:tcW w:w="1128" w:type="dxa"/>
            <w:vMerge/>
            <w:vAlign w:val="center"/>
          </w:tcPr>
          <w:p w14:paraId="7DD84BBC"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6DDE6BB9"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利用方式</w:t>
            </w:r>
          </w:p>
        </w:tc>
        <w:tc>
          <w:tcPr>
            <w:tcW w:w="4770" w:type="dxa"/>
            <w:vAlign w:val="center"/>
          </w:tcPr>
          <w:p w14:paraId="08D77EF0"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允许适度改变海域自然属性</w:t>
            </w:r>
          </w:p>
        </w:tc>
        <w:tc>
          <w:tcPr>
            <w:tcW w:w="6189" w:type="dxa"/>
            <w:vMerge/>
            <w:vAlign w:val="center"/>
          </w:tcPr>
          <w:p w14:paraId="4E2D71DD" w14:textId="77777777" w:rsidR="0075791A" w:rsidRDefault="0075791A">
            <w:pPr>
              <w:pStyle w:val="TableText"/>
              <w:rPr>
                <w:rFonts w:ascii="Times New Roman" w:hAnsi="Times New Roman"/>
                <w:color w:val="auto"/>
                <w:sz w:val="20"/>
                <w:szCs w:val="20"/>
                <w:lang w:eastAsia="zh-CN"/>
              </w:rPr>
            </w:pPr>
          </w:p>
        </w:tc>
      </w:tr>
      <w:tr w:rsidR="0075791A" w14:paraId="6B6B2B51" w14:textId="77777777">
        <w:trPr>
          <w:trHeight w:val="340"/>
          <w:jc w:val="center"/>
        </w:trPr>
        <w:tc>
          <w:tcPr>
            <w:tcW w:w="1128" w:type="dxa"/>
            <w:vMerge/>
            <w:vAlign w:val="center"/>
          </w:tcPr>
          <w:p w14:paraId="08EC229B"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65F8422A"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保护要求</w:t>
            </w:r>
          </w:p>
        </w:tc>
        <w:tc>
          <w:tcPr>
            <w:tcW w:w="4770" w:type="dxa"/>
            <w:vAlign w:val="center"/>
          </w:tcPr>
          <w:p w14:paraId="000F2565"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保护海岛自然景观资源；保护潮间带底栖生物</w:t>
            </w:r>
          </w:p>
        </w:tc>
        <w:tc>
          <w:tcPr>
            <w:tcW w:w="6189" w:type="dxa"/>
            <w:vMerge/>
            <w:vAlign w:val="center"/>
          </w:tcPr>
          <w:p w14:paraId="601A48E4" w14:textId="77777777" w:rsidR="0075791A" w:rsidRDefault="0075791A">
            <w:pPr>
              <w:pStyle w:val="TableText"/>
              <w:rPr>
                <w:rFonts w:ascii="Times New Roman" w:hAnsi="Times New Roman"/>
                <w:color w:val="auto"/>
                <w:sz w:val="20"/>
                <w:szCs w:val="20"/>
                <w:lang w:eastAsia="zh-CN"/>
              </w:rPr>
            </w:pPr>
          </w:p>
        </w:tc>
      </w:tr>
      <w:tr w:rsidR="0075791A" w14:paraId="715CEC8F" w14:textId="77777777">
        <w:trPr>
          <w:trHeight w:val="340"/>
          <w:jc w:val="center"/>
        </w:trPr>
        <w:tc>
          <w:tcPr>
            <w:tcW w:w="1128" w:type="dxa"/>
            <w:vMerge/>
            <w:vAlign w:val="center"/>
          </w:tcPr>
          <w:p w14:paraId="0969BDC3"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38A194B8"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其他要求</w:t>
            </w:r>
          </w:p>
        </w:tc>
        <w:tc>
          <w:tcPr>
            <w:tcW w:w="4770" w:type="dxa"/>
            <w:vAlign w:val="center"/>
          </w:tcPr>
          <w:p w14:paraId="29D31722"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略</w:t>
            </w:r>
          </w:p>
        </w:tc>
        <w:tc>
          <w:tcPr>
            <w:tcW w:w="6189" w:type="dxa"/>
            <w:vMerge/>
            <w:vAlign w:val="center"/>
          </w:tcPr>
          <w:p w14:paraId="222B4759" w14:textId="77777777" w:rsidR="0075791A" w:rsidRDefault="0075791A">
            <w:pPr>
              <w:pStyle w:val="TableText"/>
              <w:rPr>
                <w:rFonts w:ascii="Times New Roman" w:hAnsi="Times New Roman"/>
                <w:color w:val="auto"/>
                <w:sz w:val="20"/>
                <w:szCs w:val="20"/>
                <w:lang w:eastAsia="zh-CN"/>
              </w:rPr>
            </w:pPr>
          </w:p>
        </w:tc>
      </w:tr>
      <w:tr w:rsidR="0075791A" w14:paraId="5A34262F" w14:textId="77777777">
        <w:trPr>
          <w:trHeight w:val="340"/>
          <w:jc w:val="center"/>
        </w:trPr>
        <w:tc>
          <w:tcPr>
            <w:tcW w:w="1128" w:type="dxa"/>
            <w:vMerge w:val="restart"/>
            <w:vAlign w:val="center"/>
          </w:tcPr>
          <w:p w14:paraId="14EC11E1" w14:textId="77777777" w:rsidR="0075791A" w:rsidRDefault="00FB2864">
            <w:pPr>
              <w:pStyle w:val="TableText"/>
              <w:jc w:val="center"/>
              <w:rPr>
                <w:rFonts w:ascii="Times New Roman" w:hAnsi="Times New Roman"/>
                <w:color w:val="auto"/>
                <w:sz w:val="20"/>
                <w:szCs w:val="20"/>
                <w:lang w:eastAsia="zh-CN"/>
              </w:rPr>
            </w:pPr>
            <w:r>
              <w:rPr>
                <w:rFonts w:ascii="Times New Roman" w:hAnsi="Times New Roman" w:hint="eastAsia"/>
                <w:color w:val="auto"/>
                <w:sz w:val="20"/>
                <w:szCs w:val="20"/>
                <w:lang w:eastAsia="zh-CN"/>
              </w:rPr>
              <w:t>铁炉港</w:t>
            </w:r>
            <w:r>
              <w:rPr>
                <w:rFonts w:ascii="Times New Roman" w:hAnsi="Times New Roman"/>
                <w:color w:val="auto"/>
                <w:sz w:val="20"/>
                <w:szCs w:val="20"/>
              </w:rPr>
              <w:t>游憩用海区</w:t>
            </w:r>
          </w:p>
        </w:tc>
        <w:tc>
          <w:tcPr>
            <w:tcW w:w="992" w:type="dxa"/>
            <w:vAlign w:val="center"/>
          </w:tcPr>
          <w:p w14:paraId="3F7695D1"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空间准入</w:t>
            </w:r>
          </w:p>
        </w:tc>
        <w:tc>
          <w:tcPr>
            <w:tcW w:w="4770" w:type="dxa"/>
            <w:vAlign w:val="center"/>
          </w:tcPr>
          <w:p w14:paraId="435E4BCA" w14:textId="77777777" w:rsidR="0075791A" w:rsidRDefault="00FB2864">
            <w:pPr>
              <w:textAlignment w:val="bottom"/>
              <w:rPr>
                <w:rFonts w:ascii="宋体" w:eastAsia="宋体" w:hAnsi="宋体" w:cs="宋体"/>
                <w:color w:val="auto"/>
                <w:sz w:val="20"/>
                <w:szCs w:val="20"/>
                <w:lang w:eastAsia="zh-CN" w:bidi="ar"/>
              </w:rPr>
            </w:pPr>
            <w:r>
              <w:rPr>
                <w:rFonts w:ascii="宋体" w:eastAsia="宋体" w:hAnsi="宋体" w:cs="宋体" w:hint="eastAsia"/>
                <w:color w:val="auto"/>
                <w:sz w:val="20"/>
                <w:szCs w:val="20"/>
                <w:lang w:eastAsia="zh-CN" w:bidi="ar"/>
              </w:rPr>
              <w:t>主导用海类型为游憩用海，经严格论证，在不影响功能区主导功能的前提</w:t>
            </w:r>
            <w:r>
              <w:rPr>
                <w:rFonts w:ascii="宋体" w:eastAsia="宋体" w:hAnsi="宋体" w:cs="宋体" w:hint="eastAsia"/>
                <w:color w:val="auto"/>
                <w:sz w:val="20"/>
                <w:szCs w:val="20"/>
                <w:lang w:eastAsia="zh-CN" w:bidi="ar"/>
              </w:rPr>
              <w:t xml:space="preserve"> </w:t>
            </w:r>
            <w:r>
              <w:rPr>
                <w:rFonts w:ascii="宋体" w:eastAsia="宋体" w:hAnsi="宋体" w:cs="宋体" w:hint="eastAsia"/>
                <w:color w:val="auto"/>
                <w:sz w:val="20"/>
                <w:szCs w:val="20"/>
                <w:lang w:eastAsia="zh-CN" w:bidi="ar"/>
              </w:rPr>
              <w:t>下，兼容渔业用海、可再生能源用海等，可适度开展休闲渔业活动；</w:t>
            </w:r>
          </w:p>
        </w:tc>
        <w:tc>
          <w:tcPr>
            <w:tcW w:w="6189" w:type="dxa"/>
            <w:vMerge w:val="restart"/>
            <w:vAlign w:val="center"/>
          </w:tcPr>
          <w:p w14:paraId="138E6E8F"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铁炉港游憩用海区在铁炉港沿岸多处分布，距离本项目最近处为疏浚区北部，约</w:t>
            </w:r>
            <w:r>
              <w:rPr>
                <w:rFonts w:ascii="Times New Roman" w:hAnsi="Times New Roman" w:hint="eastAsia"/>
                <w:color w:val="auto"/>
                <w:sz w:val="20"/>
                <w:szCs w:val="20"/>
                <w:lang w:eastAsia="zh-CN"/>
              </w:rPr>
              <w:t>140m</w:t>
            </w:r>
            <w:r>
              <w:rPr>
                <w:rFonts w:ascii="Times New Roman" w:hAnsi="Times New Roman" w:hint="eastAsia"/>
                <w:color w:val="auto"/>
                <w:sz w:val="20"/>
                <w:szCs w:val="20"/>
                <w:lang w:eastAsia="zh-CN"/>
              </w:rPr>
              <w:t>，工程区位于铁炉港内部，项目建设不会改变海域自然属性。施工机械的搅动作用，将破坏底栖生物的栖息地和生存环境，移动能力较强的部分生物可能逃离工程区，但绝大部分底栖生物将随着底泥被挖运而受损或消亡，从而导致生物资源损失，如底栖生物、潮间带生物、浮游生物、鱼卵仔稚鱼和无脊椎动物等。疏浚物作为红树林种植土石方来源，微地形改造将直接覆盖原有滩涂，原有滩涂海域内无逃避能力的物种将遭到直接危害，如底栖生物、潮间带生物等，滩涂整地使一些生物赖以生</w:t>
            </w:r>
            <w:r>
              <w:rPr>
                <w:rFonts w:ascii="Times New Roman" w:hAnsi="Times New Roman" w:hint="eastAsia"/>
                <w:color w:val="auto"/>
                <w:sz w:val="20"/>
                <w:szCs w:val="20"/>
                <w:lang w:eastAsia="zh-CN"/>
              </w:rPr>
              <w:t>存的生境暂时丧失。施工产生的悬浮物仅限于铁炉港内，对该功能区海洋生态系统、水质、产生一定影响。但施工完成后项目区域将形成新的滩涂底土环境，底栖生物、潮间带生物可重新形成生态系统。</w:t>
            </w:r>
          </w:p>
        </w:tc>
      </w:tr>
      <w:tr w:rsidR="0075791A" w14:paraId="70912D7B" w14:textId="77777777">
        <w:trPr>
          <w:trHeight w:val="340"/>
          <w:jc w:val="center"/>
        </w:trPr>
        <w:tc>
          <w:tcPr>
            <w:tcW w:w="1128" w:type="dxa"/>
            <w:vMerge/>
            <w:vAlign w:val="center"/>
          </w:tcPr>
          <w:p w14:paraId="1DA9C8CB"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1588E6EB"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利用方式</w:t>
            </w:r>
          </w:p>
        </w:tc>
        <w:tc>
          <w:tcPr>
            <w:tcW w:w="4770" w:type="dxa"/>
            <w:vAlign w:val="center"/>
          </w:tcPr>
          <w:p w14:paraId="400F90AD" w14:textId="77777777" w:rsidR="0075791A" w:rsidRDefault="00FB2864">
            <w:pPr>
              <w:textAlignment w:val="bottom"/>
              <w:rPr>
                <w:rFonts w:ascii="宋体" w:eastAsia="宋体" w:hAnsi="宋体" w:cs="宋体"/>
                <w:color w:val="auto"/>
                <w:sz w:val="20"/>
                <w:szCs w:val="20"/>
                <w:lang w:eastAsia="zh-CN" w:bidi="ar"/>
              </w:rPr>
            </w:pPr>
            <w:r>
              <w:rPr>
                <w:rFonts w:ascii="宋体" w:eastAsia="宋体" w:hAnsi="宋体" w:cs="宋体" w:hint="eastAsia"/>
                <w:color w:val="auto"/>
                <w:sz w:val="20"/>
                <w:szCs w:val="20"/>
                <w:lang w:eastAsia="zh-CN" w:bidi="ar"/>
              </w:rPr>
              <w:t>严格限制改变海域自然属性</w:t>
            </w:r>
          </w:p>
        </w:tc>
        <w:tc>
          <w:tcPr>
            <w:tcW w:w="6189" w:type="dxa"/>
            <w:vMerge/>
            <w:vAlign w:val="center"/>
          </w:tcPr>
          <w:p w14:paraId="302E0561" w14:textId="77777777" w:rsidR="0075791A" w:rsidRDefault="0075791A">
            <w:pPr>
              <w:pStyle w:val="TableText"/>
              <w:rPr>
                <w:rFonts w:ascii="Times New Roman" w:hAnsi="Times New Roman"/>
                <w:color w:val="auto"/>
                <w:sz w:val="20"/>
                <w:szCs w:val="20"/>
                <w:lang w:eastAsia="zh-CN"/>
              </w:rPr>
            </w:pPr>
          </w:p>
        </w:tc>
      </w:tr>
      <w:tr w:rsidR="0075791A" w14:paraId="53117C28" w14:textId="77777777">
        <w:trPr>
          <w:trHeight w:val="340"/>
          <w:jc w:val="center"/>
        </w:trPr>
        <w:tc>
          <w:tcPr>
            <w:tcW w:w="1128" w:type="dxa"/>
            <w:vMerge/>
            <w:vAlign w:val="center"/>
          </w:tcPr>
          <w:p w14:paraId="0C8AC052"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4200CE59"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保护要求</w:t>
            </w:r>
          </w:p>
        </w:tc>
        <w:tc>
          <w:tcPr>
            <w:tcW w:w="4770" w:type="dxa"/>
            <w:vAlign w:val="center"/>
          </w:tcPr>
          <w:p w14:paraId="33F90DE4" w14:textId="77777777" w:rsidR="0075791A" w:rsidRDefault="00FB2864">
            <w:pPr>
              <w:textAlignment w:val="bottom"/>
              <w:rPr>
                <w:rFonts w:ascii="宋体" w:eastAsia="宋体" w:hAnsi="宋体" w:cs="宋体"/>
                <w:color w:val="auto"/>
                <w:sz w:val="20"/>
                <w:szCs w:val="20"/>
                <w:lang w:eastAsia="zh-CN" w:bidi="ar"/>
              </w:rPr>
            </w:pPr>
            <w:r>
              <w:rPr>
                <w:rFonts w:ascii="宋体" w:eastAsia="宋体" w:hAnsi="宋体" w:cs="宋体" w:hint="eastAsia"/>
                <w:color w:val="auto"/>
                <w:sz w:val="20"/>
                <w:szCs w:val="20"/>
                <w:lang w:eastAsia="zh-CN" w:bidi="ar"/>
              </w:rPr>
              <w:t>保护铁炉港潟湖生态系统；保护潮间带底栖生物</w:t>
            </w:r>
          </w:p>
        </w:tc>
        <w:tc>
          <w:tcPr>
            <w:tcW w:w="6189" w:type="dxa"/>
            <w:vMerge/>
            <w:vAlign w:val="center"/>
          </w:tcPr>
          <w:p w14:paraId="7496AA55" w14:textId="77777777" w:rsidR="0075791A" w:rsidRDefault="0075791A">
            <w:pPr>
              <w:pStyle w:val="TableText"/>
              <w:rPr>
                <w:rFonts w:ascii="Times New Roman" w:hAnsi="Times New Roman"/>
                <w:color w:val="auto"/>
                <w:sz w:val="20"/>
                <w:szCs w:val="20"/>
                <w:lang w:eastAsia="zh-CN"/>
              </w:rPr>
            </w:pPr>
          </w:p>
        </w:tc>
      </w:tr>
      <w:tr w:rsidR="0075791A" w14:paraId="4B93D618" w14:textId="77777777">
        <w:trPr>
          <w:trHeight w:val="340"/>
          <w:jc w:val="center"/>
        </w:trPr>
        <w:tc>
          <w:tcPr>
            <w:tcW w:w="1128" w:type="dxa"/>
            <w:vMerge/>
            <w:vAlign w:val="center"/>
          </w:tcPr>
          <w:p w14:paraId="60D4FF58" w14:textId="77777777" w:rsidR="0075791A" w:rsidRDefault="0075791A">
            <w:pPr>
              <w:pStyle w:val="TableText"/>
              <w:jc w:val="center"/>
              <w:rPr>
                <w:rFonts w:ascii="Times New Roman" w:hAnsi="Times New Roman"/>
                <w:color w:val="auto"/>
                <w:sz w:val="20"/>
                <w:szCs w:val="20"/>
                <w:lang w:eastAsia="zh-CN"/>
              </w:rPr>
            </w:pPr>
          </w:p>
        </w:tc>
        <w:tc>
          <w:tcPr>
            <w:tcW w:w="992" w:type="dxa"/>
            <w:vAlign w:val="center"/>
          </w:tcPr>
          <w:p w14:paraId="6654B3A0"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其他要求</w:t>
            </w:r>
          </w:p>
        </w:tc>
        <w:tc>
          <w:tcPr>
            <w:tcW w:w="4770" w:type="dxa"/>
            <w:vAlign w:val="center"/>
          </w:tcPr>
          <w:p w14:paraId="5A7BE71A" w14:textId="77777777" w:rsidR="0075791A" w:rsidRDefault="00FB2864">
            <w:pPr>
              <w:textAlignment w:val="bottom"/>
              <w:rPr>
                <w:rFonts w:ascii="Times New Roman" w:eastAsia="宋体" w:hAnsi="Times New Roman" w:cs="宋体"/>
                <w:color w:val="auto"/>
                <w:sz w:val="20"/>
                <w:szCs w:val="20"/>
                <w:lang w:eastAsia="zh-CN"/>
              </w:rPr>
            </w:pPr>
            <w:r>
              <w:rPr>
                <w:rFonts w:ascii="宋体" w:eastAsia="宋体" w:hAnsi="宋体" w:cs="宋体" w:hint="eastAsia"/>
                <w:color w:val="auto"/>
                <w:sz w:val="20"/>
                <w:szCs w:val="20"/>
                <w:lang w:eastAsia="zh-CN" w:bidi="ar"/>
              </w:rPr>
              <w:t>无</w:t>
            </w:r>
          </w:p>
        </w:tc>
        <w:tc>
          <w:tcPr>
            <w:tcW w:w="6189" w:type="dxa"/>
            <w:vMerge/>
            <w:vAlign w:val="center"/>
          </w:tcPr>
          <w:p w14:paraId="5E5DB273" w14:textId="77777777" w:rsidR="0075791A" w:rsidRDefault="0075791A">
            <w:pPr>
              <w:pStyle w:val="TableText"/>
              <w:rPr>
                <w:rFonts w:ascii="Times New Roman" w:hAnsi="Times New Roman"/>
                <w:color w:val="auto"/>
                <w:sz w:val="20"/>
                <w:szCs w:val="20"/>
                <w:lang w:eastAsia="zh-CN"/>
              </w:rPr>
            </w:pPr>
          </w:p>
        </w:tc>
      </w:tr>
    </w:tbl>
    <w:p w14:paraId="01893B47" w14:textId="77777777" w:rsidR="0075791A" w:rsidRDefault="0075791A">
      <w:pPr>
        <w:pStyle w:val="a5"/>
        <w:rPr>
          <w:rFonts w:ascii="Times New Roman" w:eastAsia="宋体" w:hAnsi="Times New Roman" w:cs="宋体"/>
          <w:b/>
          <w:bCs/>
          <w:color w:val="auto"/>
          <w:spacing w:val="-2"/>
          <w:sz w:val="24"/>
          <w:szCs w:val="24"/>
        </w:rPr>
      </w:pPr>
    </w:p>
    <w:p w14:paraId="08B3BD22" w14:textId="77777777" w:rsidR="0075791A" w:rsidRDefault="0075791A">
      <w:pPr>
        <w:pStyle w:val="a5"/>
        <w:rPr>
          <w:rFonts w:ascii="Times New Roman" w:eastAsia="宋体" w:hAnsi="Times New Roman" w:cs="宋体"/>
          <w:b/>
          <w:bCs/>
          <w:color w:val="auto"/>
          <w:spacing w:val="-2"/>
          <w:sz w:val="24"/>
          <w:szCs w:val="24"/>
        </w:rPr>
      </w:pPr>
    </w:p>
    <w:p w14:paraId="726B6684" w14:textId="77777777" w:rsidR="0075791A" w:rsidRDefault="0075791A">
      <w:pPr>
        <w:pStyle w:val="a5"/>
        <w:rPr>
          <w:rFonts w:ascii="Times New Roman" w:eastAsia="宋体" w:hAnsi="Times New Roman" w:cs="宋体"/>
          <w:b/>
          <w:bCs/>
          <w:color w:val="auto"/>
          <w:spacing w:val="-2"/>
          <w:sz w:val="24"/>
          <w:szCs w:val="24"/>
        </w:rPr>
      </w:pPr>
    </w:p>
    <w:p w14:paraId="1D48BEE5" w14:textId="77777777" w:rsidR="0075791A" w:rsidRDefault="0075791A">
      <w:pPr>
        <w:pStyle w:val="a5"/>
        <w:rPr>
          <w:rFonts w:ascii="Times New Roman" w:eastAsia="宋体" w:hAnsi="Times New Roman" w:cs="宋体"/>
          <w:b/>
          <w:bCs/>
          <w:color w:val="auto"/>
          <w:spacing w:val="-2"/>
          <w:sz w:val="24"/>
          <w:szCs w:val="24"/>
        </w:rPr>
      </w:pPr>
    </w:p>
    <w:p w14:paraId="0AD0067A" w14:textId="77777777" w:rsidR="0075791A" w:rsidRDefault="0075791A">
      <w:pPr>
        <w:pStyle w:val="a5"/>
        <w:rPr>
          <w:rFonts w:ascii="Times New Roman" w:eastAsia="宋体" w:hAnsi="Times New Roman" w:cs="宋体"/>
          <w:b/>
          <w:bCs/>
          <w:color w:val="auto"/>
          <w:spacing w:val="-2"/>
          <w:sz w:val="24"/>
          <w:szCs w:val="24"/>
        </w:rPr>
      </w:pPr>
    </w:p>
    <w:p w14:paraId="69951B08" w14:textId="77777777" w:rsidR="0075791A" w:rsidRDefault="0075791A">
      <w:pPr>
        <w:pStyle w:val="a5"/>
        <w:rPr>
          <w:rFonts w:ascii="Times New Roman" w:eastAsia="宋体" w:hAnsi="Times New Roman" w:cs="宋体"/>
          <w:b/>
          <w:bCs/>
          <w:color w:val="auto"/>
          <w:spacing w:val="-2"/>
          <w:sz w:val="24"/>
          <w:szCs w:val="24"/>
        </w:rPr>
      </w:pPr>
    </w:p>
    <w:p w14:paraId="183B0243" w14:textId="77777777" w:rsidR="0075791A" w:rsidRDefault="0075791A">
      <w:pPr>
        <w:pStyle w:val="a5"/>
        <w:rPr>
          <w:rFonts w:ascii="Times New Roman" w:eastAsia="宋体" w:hAnsi="Times New Roman" w:cs="宋体"/>
          <w:b/>
          <w:bCs/>
          <w:color w:val="auto"/>
          <w:spacing w:val="-2"/>
          <w:sz w:val="24"/>
          <w:szCs w:val="24"/>
        </w:rPr>
      </w:pPr>
    </w:p>
    <w:p w14:paraId="2AD27D96" w14:textId="77777777" w:rsidR="0075791A" w:rsidRDefault="0075791A">
      <w:pPr>
        <w:pStyle w:val="a5"/>
        <w:rPr>
          <w:rFonts w:ascii="Times New Roman" w:eastAsia="宋体" w:hAnsi="Times New Roman" w:cs="宋体"/>
          <w:b/>
          <w:bCs/>
          <w:color w:val="auto"/>
          <w:spacing w:val="-2"/>
          <w:sz w:val="24"/>
          <w:szCs w:val="24"/>
        </w:rPr>
      </w:pPr>
    </w:p>
    <w:p w14:paraId="6828B4A3" w14:textId="77777777" w:rsidR="0075791A" w:rsidRDefault="0075791A">
      <w:pPr>
        <w:rPr>
          <w:rFonts w:ascii="Times New Roman" w:hAnsi="Times New Roman"/>
          <w:color w:val="auto"/>
        </w:rPr>
        <w:sectPr w:rsidR="0075791A">
          <w:footerReference w:type="default" r:id="rId276"/>
          <w:pgSz w:w="16839" w:h="11906"/>
          <w:pgMar w:top="1018" w:right="1362" w:bottom="1134" w:left="1362" w:header="746" w:footer="972" w:gutter="0"/>
          <w:cols w:space="720"/>
        </w:sectPr>
      </w:pPr>
    </w:p>
    <w:p w14:paraId="7CA6C68D" w14:textId="77777777" w:rsidR="0075791A" w:rsidRDefault="00FB2864">
      <w:pPr>
        <w:spacing w:before="81" w:line="360" w:lineRule="auto"/>
        <w:ind w:left="10"/>
        <w:outlineLvl w:val="1"/>
        <w:rPr>
          <w:rFonts w:ascii="Times New Roman" w:eastAsia="Times New Roman" w:hAnsi="Times New Roman" w:cs="Times New Roman"/>
          <w:b/>
          <w:bCs/>
          <w:color w:val="auto"/>
          <w:spacing w:val="-3"/>
          <w:sz w:val="30"/>
          <w:szCs w:val="30"/>
          <w:lang w:eastAsia="zh-CN"/>
        </w:rPr>
      </w:pPr>
      <w:bookmarkStart w:id="309" w:name="bookmark56"/>
      <w:bookmarkStart w:id="310" w:name="_Toc22098"/>
      <w:bookmarkStart w:id="311" w:name="_Toc16820"/>
      <w:bookmarkStart w:id="312" w:name="_Toc24436"/>
      <w:bookmarkEnd w:id="309"/>
      <w:r>
        <w:rPr>
          <w:rFonts w:ascii="Times New Roman" w:eastAsia="宋体" w:hAnsi="Times New Roman" w:cs="Times New Roman" w:hint="eastAsia"/>
          <w:b/>
          <w:bCs/>
          <w:color w:val="auto"/>
          <w:spacing w:val="-3"/>
          <w:sz w:val="30"/>
          <w:szCs w:val="30"/>
          <w:lang w:eastAsia="zh-CN"/>
        </w:rPr>
        <w:lastRenderedPageBreak/>
        <w:t>6</w:t>
      </w:r>
      <w:r>
        <w:rPr>
          <w:rFonts w:ascii="Times New Roman" w:eastAsia="Times New Roman" w:hAnsi="Times New Roman" w:cs="Times New Roman"/>
          <w:b/>
          <w:bCs/>
          <w:color w:val="auto"/>
          <w:spacing w:val="-3"/>
          <w:sz w:val="30"/>
          <w:szCs w:val="30"/>
          <w:lang w:eastAsia="zh-CN"/>
        </w:rPr>
        <w:t>.3项目用海与国土空间规划的符合性分析</w:t>
      </w:r>
      <w:bookmarkEnd w:id="310"/>
      <w:bookmarkEnd w:id="311"/>
      <w:bookmarkEnd w:id="312"/>
    </w:p>
    <w:p w14:paraId="251BFA4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根据《海南省国土空间规划（</w:t>
      </w:r>
      <w:r>
        <w:rPr>
          <w:rFonts w:ascii="Times New Roman" w:eastAsia="宋体" w:hAnsi="Times New Roman" w:cs="宋体" w:hint="eastAsia"/>
          <w:color w:val="auto"/>
          <w:spacing w:val="-2"/>
          <w:sz w:val="24"/>
          <w:szCs w:val="24"/>
          <w:lang w:eastAsia="zh-CN"/>
        </w:rPr>
        <w:t>2021-2035</w:t>
      </w:r>
      <w:r>
        <w:rPr>
          <w:rFonts w:ascii="Times New Roman" w:eastAsia="宋体" w:hAnsi="Times New Roman" w:cs="宋体" w:hint="eastAsia"/>
          <w:color w:val="auto"/>
          <w:spacing w:val="-2"/>
          <w:sz w:val="24"/>
          <w:szCs w:val="24"/>
          <w:lang w:eastAsia="zh-CN"/>
        </w:rPr>
        <w:t>年）》、</w:t>
      </w:r>
      <w:r>
        <w:rPr>
          <w:rFonts w:ascii="宋体" w:eastAsia="宋体" w:hAnsi="宋体" w:cs="宋体" w:hint="eastAsia"/>
          <w:color w:val="auto"/>
          <w:sz w:val="24"/>
          <w:szCs w:val="24"/>
          <w:lang w:eastAsia="zh-CN"/>
        </w:rPr>
        <w:t>《海南省海岸带及海洋空间规划（</w:t>
      </w:r>
      <w:r>
        <w:rPr>
          <w:rFonts w:ascii="宋体" w:eastAsia="宋体" w:hAnsi="宋体" w:cs="宋体" w:hint="eastAsia"/>
          <w:color w:val="auto"/>
          <w:sz w:val="24"/>
          <w:szCs w:val="24"/>
          <w:lang w:eastAsia="zh-CN"/>
        </w:rPr>
        <w:t>2021-2035</w:t>
      </w:r>
      <w:r>
        <w:rPr>
          <w:rFonts w:ascii="宋体" w:eastAsia="宋体" w:hAnsi="宋体" w:cs="宋体" w:hint="eastAsia"/>
          <w:color w:val="auto"/>
          <w:sz w:val="24"/>
          <w:szCs w:val="24"/>
          <w:lang w:eastAsia="zh-CN"/>
        </w:rPr>
        <w:t>年）》</w:t>
      </w:r>
      <w:r>
        <w:rPr>
          <w:rFonts w:ascii="Times New Roman" w:eastAsia="宋体" w:hAnsi="Times New Roman" w:cs="宋体" w:hint="eastAsia"/>
          <w:color w:val="auto"/>
          <w:spacing w:val="-2"/>
          <w:sz w:val="24"/>
          <w:szCs w:val="24"/>
          <w:lang w:eastAsia="zh-CN"/>
        </w:rPr>
        <w:t>、</w:t>
      </w:r>
      <w:r>
        <w:rPr>
          <w:rFonts w:ascii="宋体" w:eastAsia="宋体" w:hAnsi="宋体" w:cs="宋体" w:hint="eastAsia"/>
          <w:color w:val="auto"/>
          <w:sz w:val="24"/>
          <w:szCs w:val="24"/>
          <w:lang w:eastAsia="zh-CN"/>
        </w:rPr>
        <w:t>《三亚市国土空间生态修复规划（</w:t>
      </w:r>
      <w:r>
        <w:rPr>
          <w:rFonts w:ascii="宋体" w:eastAsia="宋体" w:hAnsi="宋体" w:cs="宋体" w:hint="eastAsia"/>
          <w:color w:val="auto"/>
          <w:sz w:val="24"/>
          <w:szCs w:val="24"/>
          <w:lang w:eastAsia="zh-CN"/>
        </w:rPr>
        <w:t>2021</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2035</w:t>
      </w:r>
      <w:r>
        <w:rPr>
          <w:rFonts w:ascii="宋体" w:eastAsia="宋体" w:hAnsi="宋体" w:cs="宋体" w:hint="eastAsia"/>
          <w:color w:val="auto"/>
          <w:sz w:val="24"/>
          <w:szCs w:val="24"/>
          <w:lang w:eastAsia="zh-CN"/>
        </w:rPr>
        <w:t>年）》</w:t>
      </w:r>
      <w:r>
        <w:rPr>
          <w:rFonts w:ascii="Times New Roman" w:eastAsia="宋体" w:hAnsi="Times New Roman" w:cs="宋体" w:hint="eastAsia"/>
          <w:color w:val="auto"/>
          <w:spacing w:val="-2"/>
          <w:sz w:val="24"/>
          <w:szCs w:val="24"/>
          <w:lang w:eastAsia="zh-CN"/>
        </w:rPr>
        <w:t>，本项目用海占用的国土空间规划分区为：生态保护区，面积为</w:t>
      </w:r>
      <w:r>
        <w:rPr>
          <w:rFonts w:ascii="宋体" w:hAnsi="宋体" w:cs="宋体" w:hint="eastAsia"/>
          <w:color w:val="auto"/>
          <w:sz w:val="24"/>
          <w:szCs w:val="24"/>
          <w:lang w:eastAsia="zh-CN"/>
        </w:rPr>
        <w:t>15.2465</w:t>
      </w:r>
      <w:r>
        <w:rPr>
          <w:rFonts w:ascii="宋体" w:hAnsi="宋体" w:cs="宋体" w:hint="eastAsia"/>
          <w:color w:val="auto"/>
          <w:sz w:val="24"/>
          <w:szCs w:val="24"/>
          <w:lang w:eastAsia="zh-CN"/>
        </w:rPr>
        <w:t>公顷</w:t>
      </w:r>
      <w:r>
        <w:rPr>
          <w:rFonts w:ascii="Times New Roman" w:eastAsia="宋体" w:hAnsi="Times New Roman" w:cs="宋体" w:hint="eastAsia"/>
          <w:color w:val="auto"/>
          <w:spacing w:val="-2"/>
          <w:sz w:val="24"/>
          <w:szCs w:val="24"/>
          <w:lang w:eastAsia="zh-CN"/>
        </w:rPr>
        <w:t>。生态</w:t>
      </w:r>
      <w:r>
        <w:rPr>
          <w:rFonts w:ascii="Times New Roman" w:eastAsia="宋体" w:hAnsi="Times New Roman" w:cs="宋体" w:hint="eastAsia"/>
          <w:color w:val="auto"/>
          <w:spacing w:val="-2"/>
          <w:sz w:val="24"/>
          <w:szCs w:val="24"/>
          <w:lang w:eastAsia="zh-CN"/>
        </w:rPr>
        <w:t>保护区是具有特殊重要生态功能或生态敏感</w:t>
      </w:r>
      <w:r>
        <w:rPr>
          <w:rFonts w:ascii="Times New Roman" w:eastAsia="宋体" w:hAnsi="Times New Roman" w:cs="宋体" w:hint="eastAsia"/>
          <w:color w:val="auto"/>
          <w:spacing w:val="-2"/>
          <w:sz w:val="24"/>
          <w:szCs w:val="24"/>
          <w:lang w:eastAsia="zh-CN"/>
        </w:rPr>
        <w:t>脆弱</w:t>
      </w:r>
      <w:r>
        <w:rPr>
          <w:rFonts w:ascii="Times New Roman" w:eastAsia="宋体" w:hAnsi="Times New Roman" w:cs="宋体" w:hint="eastAsia"/>
          <w:color w:val="auto"/>
          <w:spacing w:val="-2"/>
          <w:sz w:val="24"/>
          <w:szCs w:val="24"/>
          <w:lang w:eastAsia="zh-CN"/>
        </w:rPr>
        <w:t>且必须强制性严格保护的海洋自然区域，也是海洋生态保护红线，按照生态保护红线相关要求进行管理。</w:t>
      </w:r>
      <w:r>
        <w:rPr>
          <w:rFonts w:ascii="Times New Roman" w:eastAsia="宋体" w:hAnsi="Times New Roman" w:cs="宋体" w:hint="eastAsia"/>
          <w:color w:val="auto"/>
          <w:spacing w:val="-2"/>
          <w:sz w:val="24"/>
          <w:szCs w:val="24"/>
          <w:lang w:eastAsia="zh-CN"/>
        </w:rPr>
        <w:t>此外，《海南省国土空间生态修复规划（</w:t>
      </w:r>
      <w:r>
        <w:rPr>
          <w:rFonts w:ascii="Times New Roman" w:eastAsia="宋体" w:hAnsi="Times New Roman" w:cs="宋体" w:hint="eastAsia"/>
          <w:color w:val="auto"/>
          <w:spacing w:val="-2"/>
          <w:sz w:val="24"/>
          <w:szCs w:val="24"/>
          <w:lang w:eastAsia="zh-CN"/>
        </w:rPr>
        <w:t>2021-2035</w:t>
      </w:r>
      <w:r>
        <w:rPr>
          <w:rFonts w:ascii="Times New Roman" w:eastAsia="宋体" w:hAnsi="Times New Roman" w:cs="宋体" w:hint="eastAsia"/>
          <w:color w:val="auto"/>
          <w:spacing w:val="-2"/>
          <w:sz w:val="24"/>
          <w:szCs w:val="24"/>
          <w:lang w:eastAsia="zh-CN"/>
        </w:rPr>
        <w:t>年）》、《三亚市国土空间生态修复规划（</w:t>
      </w:r>
      <w:r>
        <w:rPr>
          <w:rFonts w:ascii="Times New Roman" w:eastAsia="宋体" w:hAnsi="Times New Roman" w:cs="宋体" w:hint="eastAsia"/>
          <w:color w:val="auto"/>
          <w:spacing w:val="-2"/>
          <w:sz w:val="24"/>
          <w:szCs w:val="24"/>
          <w:lang w:eastAsia="zh-CN"/>
        </w:rPr>
        <w:t>2021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2035</w:t>
      </w:r>
      <w:r>
        <w:rPr>
          <w:rFonts w:ascii="Times New Roman" w:eastAsia="宋体" w:hAnsi="Times New Roman" w:cs="宋体" w:hint="eastAsia"/>
          <w:color w:val="auto"/>
          <w:spacing w:val="-2"/>
          <w:sz w:val="24"/>
          <w:szCs w:val="24"/>
          <w:lang w:eastAsia="zh-CN"/>
        </w:rPr>
        <w:t>年）》则明确了</w:t>
      </w:r>
      <w:r>
        <w:rPr>
          <w:rFonts w:ascii="宋体" w:eastAsia="宋体" w:hAnsi="宋体" w:cs="宋体"/>
          <w:color w:val="auto"/>
          <w:sz w:val="24"/>
          <w:szCs w:val="24"/>
          <w:lang w:eastAsia="zh-CN"/>
        </w:rPr>
        <w:t>海岸带生态保护修复区重点</w:t>
      </w:r>
      <w:r>
        <w:rPr>
          <w:rFonts w:ascii="宋体" w:eastAsia="宋体" w:hAnsi="宋体" w:cs="宋体" w:hint="eastAsia"/>
          <w:color w:val="auto"/>
          <w:sz w:val="24"/>
          <w:szCs w:val="24"/>
          <w:lang w:eastAsia="zh-CN"/>
        </w:rPr>
        <w:t>任务与工程。</w:t>
      </w:r>
    </w:p>
    <w:p w14:paraId="3D5DFED1"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项目用海与国土空间规划分区的符合性分析主要从国土空间规划分区的管控要求、生态保护红线管控要求和生态修复要求三个方面进行分析。</w:t>
      </w:r>
    </w:p>
    <w:p w14:paraId="5A055D29"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13" w:name="_Toc9155"/>
      <w:r>
        <w:rPr>
          <w:rFonts w:ascii="Times New Roman" w:hAnsi="Times New Roman" w:hint="eastAsia"/>
          <w:color w:val="auto"/>
          <w:sz w:val="28"/>
          <w:szCs w:val="28"/>
          <w:lang w:eastAsia="zh-CN"/>
        </w:rPr>
        <w:t>6.3.1</w:t>
      </w:r>
      <w:r>
        <w:rPr>
          <w:rFonts w:ascii="Times New Roman" w:hAnsi="Times New Roman" w:hint="eastAsia"/>
          <w:color w:val="auto"/>
          <w:sz w:val="28"/>
          <w:szCs w:val="28"/>
          <w:lang w:eastAsia="zh-CN"/>
        </w:rPr>
        <w:t>项目用海与国土空间规划分区的管控要求符合性分析</w:t>
      </w:r>
      <w:bookmarkEnd w:id="313"/>
    </w:p>
    <w:p w14:paraId="1AD3C171" w14:textId="77777777" w:rsidR="0075791A" w:rsidRDefault="00FB2864">
      <w:pPr>
        <w:spacing w:line="360" w:lineRule="auto"/>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6.3.1.1</w:t>
      </w:r>
      <w:r>
        <w:rPr>
          <w:rFonts w:ascii="Times New Roman" w:eastAsia="宋体" w:hAnsi="Times New Roman" w:hint="eastAsia"/>
          <w:b/>
          <w:color w:val="auto"/>
          <w:sz w:val="24"/>
          <w:szCs w:val="24"/>
          <w:lang w:eastAsia="zh-CN"/>
        </w:rPr>
        <w:t>项目用海与《海南省国土空间规划（</w:t>
      </w:r>
      <w:r>
        <w:rPr>
          <w:rFonts w:ascii="Times New Roman" w:eastAsia="宋体" w:hAnsi="Times New Roman" w:hint="eastAsia"/>
          <w:b/>
          <w:color w:val="auto"/>
          <w:sz w:val="24"/>
          <w:szCs w:val="24"/>
          <w:lang w:eastAsia="zh-CN"/>
        </w:rPr>
        <w:t>2021-2035</w:t>
      </w:r>
      <w:r>
        <w:rPr>
          <w:rFonts w:ascii="Times New Roman" w:eastAsia="宋体" w:hAnsi="Times New Roman" w:hint="eastAsia"/>
          <w:b/>
          <w:color w:val="auto"/>
          <w:sz w:val="24"/>
          <w:szCs w:val="24"/>
          <w:lang w:eastAsia="zh-CN"/>
        </w:rPr>
        <w:t>年）》的符合性分析</w:t>
      </w:r>
    </w:p>
    <w:p w14:paraId="48B0D3D5"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《海南省国土空间规划（</w:t>
      </w:r>
      <w:r>
        <w:rPr>
          <w:rFonts w:ascii="Times New Roman" w:eastAsia="宋体" w:hAnsi="Times New Roman" w:cs="宋体" w:hint="eastAsia"/>
          <w:color w:val="auto"/>
          <w:spacing w:val="-2"/>
          <w:sz w:val="24"/>
          <w:szCs w:val="24"/>
          <w:lang w:eastAsia="zh-CN"/>
        </w:rPr>
        <w:t>2021-2035</w:t>
      </w:r>
      <w:r>
        <w:rPr>
          <w:rFonts w:ascii="Times New Roman" w:eastAsia="宋体" w:hAnsi="Times New Roman" w:cs="宋体"/>
          <w:color w:val="auto"/>
          <w:spacing w:val="-2"/>
          <w:sz w:val="24"/>
          <w:szCs w:val="24"/>
          <w:lang w:eastAsia="zh-CN"/>
        </w:rPr>
        <w:t>）》中海洋空间的空间要求是：</w:t>
      </w:r>
      <w:r>
        <w:rPr>
          <w:rFonts w:ascii="Times New Roman" w:eastAsia="宋体" w:hAnsi="Times New Roman" w:cs="宋体" w:hint="eastAsia"/>
          <w:color w:val="auto"/>
          <w:spacing w:val="-2"/>
          <w:sz w:val="24"/>
          <w:szCs w:val="24"/>
          <w:lang w:eastAsia="zh-CN"/>
        </w:rPr>
        <w:t>“①</w:t>
      </w:r>
      <w:r>
        <w:rPr>
          <w:rFonts w:ascii="Times New Roman" w:eastAsia="宋体" w:hAnsi="Times New Roman" w:cs="宋体"/>
          <w:color w:val="auto"/>
          <w:spacing w:val="-2"/>
          <w:sz w:val="24"/>
          <w:szCs w:val="24"/>
          <w:lang w:eastAsia="zh-CN"/>
        </w:rPr>
        <w:t>蓝海环绕。加强海岸带保护，严格管控沿海岸段的开发利用，以沿海岸段为环，统筹滨海滩涂、海岸、湿地系统的治理维护，确保本岛自然岸线保有率不低于</w:t>
      </w:r>
      <w:r>
        <w:rPr>
          <w:rFonts w:ascii="Times New Roman" w:eastAsia="宋体" w:hAnsi="Times New Roman" w:cs="宋体" w:hint="eastAsia"/>
          <w:color w:val="auto"/>
          <w:spacing w:val="-2"/>
          <w:sz w:val="24"/>
          <w:szCs w:val="24"/>
          <w:lang w:eastAsia="zh-CN"/>
        </w:rPr>
        <w:t>60%</w:t>
      </w:r>
      <w:r>
        <w:rPr>
          <w:rFonts w:ascii="Times New Roman" w:eastAsia="宋体" w:hAnsi="Times New Roman" w:cs="宋体"/>
          <w:color w:val="auto"/>
          <w:spacing w:val="-2"/>
          <w:sz w:val="24"/>
          <w:szCs w:val="24"/>
          <w:lang w:eastAsia="zh-CN"/>
        </w:rPr>
        <w:t>。</w:t>
      </w:r>
      <w:r>
        <w:rPr>
          <w:rFonts w:ascii="Times New Roman" w:eastAsia="宋体" w:hAnsi="Times New Roman" w:cs="宋体" w:hint="eastAsia"/>
          <w:color w:val="auto"/>
          <w:spacing w:val="-2"/>
          <w:sz w:val="24"/>
          <w:szCs w:val="24"/>
          <w:lang w:eastAsia="zh-CN"/>
        </w:rPr>
        <w:t>②</w:t>
      </w:r>
      <w:r>
        <w:rPr>
          <w:rFonts w:ascii="Times New Roman" w:eastAsia="宋体" w:hAnsi="Times New Roman" w:cs="宋体"/>
          <w:color w:val="auto"/>
          <w:spacing w:val="-2"/>
          <w:sz w:val="24"/>
          <w:szCs w:val="24"/>
          <w:lang w:eastAsia="zh-CN"/>
        </w:rPr>
        <w:t>山海相通。以海南岛主要入海河流为廊道，统筹山水林田湖海的系统保护，重点治理河口、潟湖等河海交汇区，实现生态系统的山海相通。</w:t>
      </w:r>
      <w:r>
        <w:rPr>
          <w:rFonts w:ascii="Times New Roman" w:eastAsia="宋体" w:hAnsi="Times New Roman" w:cs="宋体" w:hint="eastAsia"/>
          <w:color w:val="auto"/>
          <w:spacing w:val="-2"/>
          <w:sz w:val="24"/>
          <w:szCs w:val="24"/>
          <w:lang w:eastAsia="zh-CN"/>
        </w:rPr>
        <w:t>③</w:t>
      </w:r>
      <w:r>
        <w:rPr>
          <w:rFonts w:ascii="Times New Roman" w:eastAsia="宋体" w:hAnsi="Times New Roman" w:cs="宋体"/>
          <w:color w:val="auto"/>
          <w:spacing w:val="-2"/>
          <w:sz w:val="24"/>
          <w:szCs w:val="24"/>
          <w:lang w:eastAsia="zh-CN"/>
        </w:rPr>
        <w:t>近优远拓。以资源环境承载力为基准，优化近岸海域建设活动，除保障性产业用海之外，其他海域空间以保护为主，积极拓展深远海的开发利用，发展新兴海洋产业。</w:t>
      </w:r>
      <w:r>
        <w:rPr>
          <w:rFonts w:ascii="Times New Roman" w:eastAsia="宋体" w:hAnsi="Times New Roman" w:cs="宋体" w:hint="eastAsia"/>
          <w:color w:val="auto"/>
          <w:spacing w:val="-2"/>
          <w:sz w:val="24"/>
          <w:szCs w:val="24"/>
          <w:lang w:eastAsia="zh-CN"/>
        </w:rPr>
        <w:t>④</w:t>
      </w:r>
      <w:r>
        <w:rPr>
          <w:rFonts w:ascii="Times New Roman" w:eastAsia="宋体" w:hAnsi="Times New Roman" w:cs="宋体"/>
          <w:color w:val="auto"/>
          <w:spacing w:val="-2"/>
          <w:sz w:val="24"/>
          <w:szCs w:val="24"/>
          <w:lang w:eastAsia="zh-CN"/>
        </w:rPr>
        <w:t>构建</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两空间一红线</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近岸海域总体布局，对近岸海域开发保护功能进行引导。</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两空间</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包括海洋生态</w:t>
      </w:r>
      <w:r>
        <w:rPr>
          <w:rFonts w:ascii="Times New Roman" w:eastAsia="宋体" w:hAnsi="Times New Roman" w:cs="宋体"/>
          <w:color w:val="auto"/>
          <w:spacing w:val="-2"/>
          <w:sz w:val="24"/>
          <w:szCs w:val="24"/>
          <w:lang w:eastAsia="zh-CN"/>
        </w:rPr>
        <w:t>空间和海洋开发利用空间，</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一红线</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为海洋生态保护红线。</w:t>
      </w:r>
      <w:r>
        <w:rPr>
          <w:rFonts w:ascii="Times New Roman" w:eastAsia="宋体" w:hAnsi="Times New Roman" w:cs="宋体" w:hint="eastAsia"/>
          <w:color w:val="auto"/>
          <w:spacing w:val="-2"/>
          <w:sz w:val="24"/>
          <w:szCs w:val="24"/>
          <w:lang w:eastAsia="zh-CN"/>
        </w:rPr>
        <w:t>”</w:t>
      </w:r>
    </w:p>
    <w:p w14:paraId="42BB6CA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铁炉港红树林湿地保护修复项目位于三亚海棠区铁炉港海域，为红树林湿地保护修复项目，是十四五”期间第三批山水林田湖草沙一体化保护和修复工程项目</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海南南部典型热带区域实施山水林田湖草沙一体化保护和修复工程子项目之一，项目目标对三亚铁炉港红树林滨海湿地生态系统进行保护修复，综合提升湿地水质净化和调蓄纳潮功能，保护好我国最大个体濒危珍稀古树群，培育热带海岸及滨海湿地特有的红树林资源种子基因库，建立候鸟适宜生境及其食物源生态链，激发场地生物多样性潜力，增加海洋蓝</w:t>
      </w:r>
      <w:r>
        <w:rPr>
          <w:rFonts w:ascii="Times New Roman" w:eastAsia="宋体" w:hAnsi="Times New Roman" w:cs="宋体" w:hint="eastAsia"/>
          <w:color w:val="auto"/>
          <w:spacing w:val="-2"/>
          <w:sz w:val="24"/>
          <w:szCs w:val="24"/>
          <w:lang w:eastAsia="zh-CN"/>
        </w:rPr>
        <w:t>色碳汇能力，整体改善铁炉港生态环境质量。本项目为主体项目建设内容之一，占用海洋生态保护红线，但目标对海洋生态保护红线进行保护修复。本项目建设符合“蓝海环绕、山海相通、</w:t>
      </w:r>
      <w:r>
        <w:rPr>
          <w:rFonts w:ascii="Times New Roman" w:eastAsia="宋体" w:hAnsi="Times New Roman" w:cs="宋体"/>
          <w:color w:val="auto"/>
          <w:spacing w:val="-2"/>
          <w:sz w:val="24"/>
          <w:szCs w:val="24"/>
          <w:lang w:eastAsia="zh-CN"/>
        </w:rPr>
        <w:t>近优远拓</w:t>
      </w:r>
      <w:r>
        <w:rPr>
          <w:rFonts w:ascii="Times New Roman" w:eastAsia="宋体" w:hAnsi="Times New Roman" w:cs="宋体" w:hint="eastAsia"/>
          <w:color w:val="auto"/>
          <w:spacing w:val="-2"/>
          <w:sz w:val="24"/>
          <w:szCs w:val="24"/>
          <w:lang w:eastAsia="zh-CN"/>
        </w:rPr>
        <w:t>”的空间要求。</w:t>
      </w:r>
    </w:p>
    <w:p w14:paraId="2B44B13E" w14:textId="77777777" w:rsidR="0075791A" w:rsidRDefault="00FB2864">
      <w:pPr>
        <w:spacing w:line="360" w:lineRule="auto"/>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lastRenderedPageBreak/>
        <w:t>6.3.1.2</w:t>
      </w:r>
      <w:r>
        <w:rPr>
          <w:rFonts w:ascii="Times New Roman" w:eastAsia="宋体" w:hAnsi="Times New Roman" w:hint="eastAsia"/>
          <w:b/>
          <w:color w:val="auto"/>
          <w:sz w:val="24"/>
          <w:szCs w:val="24"/>
          <w:lang w:eastAsia="zh-CN"/>
        </w:rPr>
        <w:t>项目用海与《海南省海岸带及海洋空间规划（</w:t>
      </w:r>
      <w:r>
        <w:rPr>
          <w:rFonts w:ascii="Times New Roman" w:eastAsia="宋体" w:hAnsi="Times New Roman" w:hint="eastAsia"/>
          <w:b/>
          <w:color w:val="auto"/>
          <w:sz w:val="24"/>
          <w:szCs w:val="24"/>
          <w:lang w:eastAsia="zh-CN"/>
        </w:rPr>
        <w:t>2021-2035</w:t>
      </w:r>
      <w:r>
        <w:rPr>
          <w:rFonts w:ascii="Times New Roman" w:eastAsia="宋体" w:hAnsi="Times New Roman" w:hint="eastAsia"/>
          <w:b/>
          <w:color w:val="auto"/>
          <w:sz w:val="24"/>
          <w:szCs w:val="24"/>
          <w:lang w:eastAsia="zh-CN"/>
        </w:rPr>
        <w:t>年）》的符合性分析</w:t>
      </w:r>
    </w:p>
    <w:p w14:paraId="05505831"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w:t>
      </w:r>
      <w:r>
        <w:rPr>
          <w:rFonts w:ascii="宋体" w:eastAsia="宋体" w:hAnsi="宋体" w:cs="宋体" w:hint="eastAsia"/>
          <w:color w:val="auto"/>
          <w:sz w:val="24"/>
          <w:szCs w:val="24"/>
          <w:lang w:eastAsia="zh-CN"/>
        </w:rPr>
        <w:t>《海南省海岸带及海洋空间规划（</w:t>
      </w:r>
      <w:r>
        <w:rPr>
          <w:rFonts w:ascii="宋体" w:eastAsia="宋体" w:hAnsi="宋体" w:cs="宋体" w:hint="eastAsia"/>
          <w:color w:val="auto"/>
          <w:sz w:val="24"/>
          <w:szCs w:val="24"/>
          <w:lang w:eastAsia="zh-CN"/>
        </w:rPr>
        <w:t>2021-2035</w:t>
      </w:r>
      <w:r>
        <w:rPr>
          <w:rFonts w:ascii="宋体" w:eastAsia="宋体" w:hAnsi="宋体" w:cs="宋体" w:hint="eastAsia"/>
          <w:color w:val="auto"/>
          <w:sz w:val="24"/>
          <w:szCs w:val="24"/>
          <w:lang w:eastAsia="zh-CN"/>
        </w:rPr>
        <w:t>年）》</w:t>
      </w:r>
      <w:r>
        <w:rPr>
          <w:rFonts w:ascii="Times New Roman" w:eastAsia="宋体" w:hAnsi="Times New Roman" w:cs="宋体" w:hint="eastAsia"/>
          <w:color w:val="auto"/>
          <w:spacing w:val="-2"/>
          <w:sz w:val="24"/>
          <w:szCs w:val="24"/>
          <w:lang w:eastAsia="zh-CN"/>
        </w:rPr>
        <w:t>，项目用海位于铁炉港潟湖生态保护区的范围内，占用</w:t>
      </w:r>
      <w:r>
        <w:rPr>
          <w:rFonts w:ascii="宋体" w:hAnsi="宋体" w:cs="宋体" w:hint="eastAsia"/>
          <w:color w:val="auto"/>
          <w:sz w:val="24"/>
          <w:szCs w:val="24"/>
          <w:lang w:eastAsia="zh-CN"/>
        </w:rPr>
        <w:t>面积为</w:t>
      </w:r>
      <w:r>
        <w:rPr>
          <w:rFonts w:ascii="宋体" w:hAnsi="宋体" w:cs="宋体" w:hint="eastAsia"/>
          <w:color w:val="auto"/>
          <w:sz w:val="24"/>
          <w:szCs w:val="24"/>
          <w:lang w:eastAsia="zh-CN"/>
        </w:rPr>
        <w:t>15.2465</w:t>
      </w:r>
      <w:r>
        <w:rPr>
          <w:rFonts w:ascii="宋体" w:hAnsi="宋体" w:cs="宋体" w:hint="eastAsia"/>
          <w:color w:val="auto"/>
          <w:sz w:val="24"/>
          <w:szCs w:val="24"/>
          <w:lang w:eastAsia="zh-CN"/>
        </w:rPr>
        <w:t>公顷</w:t>
      </w:r>
      <w:r>
        <w:rPr>
          <w:rFonts w:ascii="Times New Roman" w:eastAsia="宋体" w:hAnsi="Times New Roman" w:cs="宋体" w:hint="eastAsia"/>
          <w:color w:val="auto"/>
          <w:spacing w:val="-2"/>
          <w:sz w:val="24"/>
          <w:szCs w:val="24"/>
          <w:lang w:eastAsia="zh-CN"/>
        </w:rPr>
        <w:t>。项目用海与所在功能用途管制的符合性分析见表</w:t>
      </w:r>
      <w:r>
        <w:rPr>
          <w:rFonts w:ascii="Times New Roman" w:eastAsia="宋体" w:hAnsi="Times New Roman" w:cs="宋体" w:hint="eastAsia"/>
          <w:color w:val="auto"/>
          <w:spacing w:val="-2"/>
          <w:sz w:val="24"/>
          <w:szCs w:val="24"/>
          <w:lang w:eastAsia="zh-CN"/>
        </w:rPr>
        <w:t>6.3-1</w:t>
      </w:r>
      <w:r>
        <w:rPr>
          <w:rFonts w:ascii="Times New Roman" w:eastAsia="宋体" w:hAnsi="Times New Roman" w:cs="宋体" w:hint="eastAsia"/>
          <w:color w:val="auto"/>
          <w:spacing w:val="-2"/>
          <w:sz w:val="24"/>
          <w:szCs w:val="24"/>
          <w:lang w:eastAsia="zh-CN"/>
        </w:rPr>
        <w:t>。</w:t>
      </w:r>
    </w:p>
    <w:p w14:paraId="7653F9E8" w14:textId="77777777" w:rsidR="0075791A" w:rsidRDefault="0075791A">
      <w:pPr>
        <w:spacing w:before="35" w:line="219" w:lineRule="auto"/>
        <w:ind w:left="492"/>
        <w:rPr>
          <w:rFonts w:ascii="Times New Roman" w:eastAsia="宋体" w:hAnsi="Times New Roman" w:cs="宋体"/>
          <w:color w:val="auto"/>
          <w:sz w:val="24"/>
          <w:szCs w:val="24"/>
          <w:lang w:eastAsia="zh-CN"/>
        </w:rPr>
      </w:pPr>
    </w:p>
    <w:p w14:paraId="0EA73CA2" w14:textId="77777777" w:rsidR="0075791A" w:rsidRDefault="0075791A">
      <w:pPr>
        <w:spacing w:line="219" w:lineRule="auto"/>
        <w:rPr>
          <w:rFonts w:ascii="Times New Roman" w:eastAsia="宋体" w:hAnsi="Times New Roman" w:cs="宋体"/>
          <w:color w:val="auto"/>
          <w:sz w:val="24"/>
          <w:szCs w:val="24"/>
          <w:lang w:eastAsia="zh-CN"/>
        </w:rPr>
        <w:sectPr w:rsidR="0075791A">
          <w:footerReference w:type="default" r:id="rId277"/>
          <w:pgSz w:w="11906" w:h="16839"/>
          <w:pgMar w:top="1018" w:right="1337" w:bottom="1134" w:left="1417" w:header="746" w:footer="972" w:gutter="0"/>
          <w:cols w:space="720"/>
        </w:sectPr>
      </w:pPr>
    </w:p>
    <w:p w14:paraId="40CDD65D" w14:textId="77777777" w:rsidR="0075791A" w:rsidRDefault="0075791A">
      <w:pPr>
        <w:spacing w:line="43" w:lineRule="exact"/>
        <w:ind w:firstLine="8"/>
        <w:rPr>
          <w:rFonts w:ascii="Times New Roman" w:hAnsi="Times New Roman"/>
          <w:color w:val="auto"/>
          <w:lang w:eastAsia="zh-CN"/>
        </w:rPr>
      </w:pPr>
    </w:p>
    <w:p w14:paraId="33A57A83" w14:textId="77777777" w:rsidR="0075791A" w:rsidRDefault="00FB2864">
      <w:pPr>
        <w:jc w:val="center"/>
        <w:rPr>
          <w:rFonts w:ascii="Times New Roman" w:eastAsia="宋体" w:hAnsi="Times New Roman" w:cs="宋体"/>
          <w:color w:val="auto"/>
          <w:sz w:val="24"/>
          <w:szCs w:val="24"/>
          <w:lang w:eastAsia="zh-CN"/>
        </w:rPr>
      </w:pPr>
      <w:r>
        <w:rPr>
          <w:rFonts w:ascii="Times New Roman" w:eastAsia="宋体" w:hAnsi="Times New Roman" w:cs="宋体"/>
          <w:b/>
          <w:bCs/>
          <w:color w:val="auto"/>
          <w:spacing w:val="-2"/>
          <w:sz w:val="24"/>
          <w:szCs w:val="24"/>
          <w:lang w:eastAsia="zh-CN"/>
        </w:rPr>
        <w:t>表</w:t>
      </w:r>
      <w:r>
        <w:rPr>
          <w:rFonts w:ascii="Times New Roman" w:eastAsia="宋体" w:hAnsi="Times New Roman" w:cs="Times New Roman" w:hint="eastAsia"/>
          <w:b/>
          <w:bCs/>
          <w:color w:val="auto"/>
          <w:spacing w:val="-2"/>
          <w:sz w:val="24"/>
          <w:szCs w:val="24"/>
          <w:lang w:eastAsia="zh-CN"/>
        </w:rPr>
        <w:t>6</w:t>
      </w:r>
      <w:r>
        <w:rPr>
          <w:rFonts w:ascii="Times New Roman" w:eastAsia="Times New Roman" w:hAnsi="Times New Roman" w:cs="Times New Roman"/>
          <w:b/>
          <w:bCs/>
          <w:color w:val="auto"/>
          <w:spacing w:val="-2"/>
          <w:sz w:val="24"/>
          <w:szCs w:val="24"/>
          <w:lang w:eastAsia="zh-CN"/>
        </w:rPr>
        <w:t>.3-1</w:t>
      </w:r>
      <w:r>
        <w:rPr>
          <w:rFonts w:ascii="Times New Roman" w:eastAsia="宋体" w:hAnsi="Times New Roman" w:cs="宋体"/>
          <w:b/>
          <w:bCs/>
          <w:color w:val="auto"/>
          <w:spacing w:val="-2"/>
          <w:sz w:val="24"/>
          <w:szCs w:val="24"/>
          <w:lang w:eastAsia="zh-CN"/>
        </w:rPr>
        <w:t>用海与所在各功能区用途管制符合性分析表</w:t>
      </w:r>
    </w:p>
    <w:tbl>
      <w:tblPr>
        <w:tblStyle w:val="TableNormal"/>
        <w:tblW w:w="14306"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668"/>
        <w:gridCol w:w="2039"/>
        <w:gridCol w:w="11599"/>
      </w:tblGrid>
      <w:tr w:rsidR="0075791A" w14:paraId="201BEE7E" w14:textId="77777777">
        <w:trPr>
          <w:trHeight w:val="532"/>
          <w:jc w:val="center"/>
        </w:trPr>
        <w:tc>
          <w:tcPr>
            <w:tcW w:w="668" w:type="dxa"/>
            <w:tcBorders>
              <w:bottom w:val="single" w:sz="4" w:space="0" w:color="auto"/>
            </w:tcBorders>
            <w:vAlign w:val="center"/>
          </w:tcPr>
          <w:p w14:paraId="6E59CD6D" w14:textId="77777777" w:rsidR="0075791A" w:rsidRDefault="00FB2864">
            <w:pPr>
              <w:pStyle w:val="TableText"/>
              <w:spacing w:line="229" w:lineRule="auto"/>
              <w:jc w:val="center"/>
              <w:rPr>
                <w:rFonts w:ascii="Times New Roman" w:hAnsi="Times New Roman"/>
                <w:color w:val="auto"/>
                <w:sz w:val="20"/>
                <w:szCs w:val="20"/>
              </w:rPr>
            </w:pPr>
            <w:r>
              <w:rPr>
                <w:rFonts w:ascii="Times New Roman" w:hAnsi="Times New Roman"/>
                <w:b/>
                <w:bCs/>
                <w:color w:val="auto"/>
                <w:spacing w:val="5"/>
                <w:sz w:val="20"/>
                <w:szCs w:val="20"/>
              </w:rPr>
              <w:t>功能区名称</w:t>
            </w:r>
          </w:p>
        </w:tc>
        <w:tc>
          <w:tcPr>
            <w:tcW w:w="2039" w:type="dxa"/>
            <w:tcBorders>
              <w:left w:val="single" w:sz="4" w:space="0" w:color="auto"/>
            </w:tcBorders>
            <w:vAlign w:val="center"/>
          </w:tcPr>
          <w:p w14:paraId="062AC6A3" w14:textId="77777777" w:rsidR="0075791A" w:rsidRDefault="00FB2864">
            <w:pPr>
              <w:pStyle w:val="TableText"/>
              <w:spacing w:line="228" w:lineRule="auto"/>
              <w:jc w:val="center"/>
              <w:rPr>
                <w:rFonts w:ascii="Times New Roman" w:hAnsi="Times New Roman"/>
                <w:b/>
                <w:bCs/>
                <w:color w:val="auto"/>
                <w:spacing w:val="6"/>
                <w:sz w:val="20"/>
                <w:szCs w:val="20"/>
              </w:rPr>
            </w:pPr>
            <w:r>
              <w:rPr>
                <w:rFonts w:ascii="Times New Roman" w:hAnsi="Times New Roman"/>
                <w:b/>
                <w:bCs/>
                <w:color w:val="auto"/>
                <w:spacing w:val="6"/>
                <w:sz w:val="20"/>
                <w:szCs w:val="20"/>
              </w:rPr>
              <w:t>管制</w:t>
            </w:r>
            <w:r>
              <w:rPr>
                <w:rFonts w:ascii="Times New Roman" w:hAnsi="Times New Roman" w:hint="eastAsia"/>
                <w:b/>
                <w:bCs/>
                <w:color w:val="auto"/>
                <w:spacing w:val="6"/>
                <w:sz w:val="20"/>
                <w:szCs w:val="20"/>
                <w:lang w:eastAsia="zh-CN"/>
              </w:rPr>
              <w:t>要求</w:t>
            </w:r>
          </w:p>
        </w:tc>
        <w:tc>
          <w:tcPr>
            <w:tcW w:w="11599" w:type="dxa"/>
            <w:vAlign w:val="center"/>
          </w:tcPr>
          <w:p w14:paraId="32130E64" w14:textId="77777777" w:rsidR="0075791A" w:rsidRDefault="00FB2864">
            <w:pPr>
              <w:pStyle w:val="TableText"/>
              <w:spacing w:line="228" w:lineRule="auto"/>
              <w:jc w:val="center"/>
              <w:rPr>
                <w:rFonts w:ascii="Times New Roman" w:hAnsi="Times New Roman"/>
                <w:color w:val="auto"/>
                <w:sz w:val="20"/>
                <w:szCs w:val="20"/>
              </w:rPr>
            </w:pPr>
            <w:r>
              <w:rPr>
                <w:rFonts w:ascii="Times New Roman" w:hAnsi="Times New Roman"/>
                <w:b/>
                <w:bCs/>
                <w:color w:val="auto"/>
                <w:spacing w:val="6"/>
                <w:sz w:val="20"/>
                <w:szCs w:val="20"/>
              </w:rPr>
              <w:t>符合性分析</w:t>
            </w:r>
          </w:p>
        </w:tc>
      </w:tr>
      <w:tr w:rsidR="0075791A" w14:paraId="7741F537" w14:textId="77777777">
        <w:trPr>
          <w:trHeight w:val="90"/>
          <w:jc w:val="center"/>
        </w:trPr>
        <w:tc>
          <w:tcPr>
            <w:tcW w:w="668" w:type="dxa"/>
            <w:tcBorders>
              <w:top w:val="single" w:sz="4" w:space="0" w:color="auto"/>
              <w:bottom w:val="single" w:sz="4" w:space="0" w:color="auto"/>
              <w:right w:val="single" w:sz="4" w:space="0" w:color="auto"/>
            </w:tcBorders>
            <w:tcMar>
              <w:top w:w="0" w:type="dxa"/>
              <w:left w:w="57" w:type="dxa"/>
              <w:bottom w:w="0" w:type="dxa"/>
              <w:right w:w="57" w:type="dxa"/>
            </w:tcMar>
            <w:vAlign w:val="center"/>
          </w:tcPr>
          <w:p w14:paraId="6A991B48" w14:textId="77777777" w:rsidR="0075791A" w:rsidRDefault="00FB2864">
            <w:pPr>
              <w:pStyle w:val="TableText"/>
              <w:jc w:val="center"/>
              <w:rPr>
                <w:rFonts w:ascii="Times New Roman" w:hAnsi="Times New Roman"/>
                <w:color w:val="auto"/>
                <w:sz w:val="20"/>
                <w:szCs w:val="20"/>
                <w:lang w:eastAsia="zh-CN"/>
              </w:rPr>
            </w:pPr>
            <w:r>
              <w:rPr>
                <w:rFonts w:ascii="Times New Roman" w:hAnsi="Times New Roman" w:hint="eastAsia"/>
                <w:color w:val="auto"/>
                <w:sz w:val="20"/>
                <w:szCs w:val="20"/>
                <w:lang w:eastAsia="zh-CN"/>
              </w:rPr>
              <w:t>铁炉港潟湖生态保护区</w:t>
            </w:r>
          </w:p>
        </w:tc>
        <w:tc>
          <w:tcPr>
            <w:tcW w:w="2039" w:type="dxa"/>
            <w:tcBorders>
              <w:left w:val="single" w:sz="4" w:space="0" w:color="auto"/>
            </w:tcBorders>
            <w:tcMar>
              <w:top w:w="0" w:type="dxa"/>
              <w:left w:w="57" w:type="dxa"/>
              <w:bottom w:w="0" w:type="dxa"/>
              <w:right w:w="57" w:type="dxa"/>
            </w:tcMar>
            <w:vAlign w:val="center"/>
          </w:tcPr>
          <w:p w14:paraId="0EB88C40"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空间准入：生态保护红线内自然保护地核心保护区原则上禁止人为活动；自然保护地核心保护区外，仅允许开展对生态功能不造成破坏的有限人为活动；严格按照自然保护地管理规定、生态红线管理规定、红树林保护规定等进行管</w:t>
            </w:r>
            <w:r>
              <w:rPr>
                <w:rFonts w:ascii="Times New Roman" w:hAnsi="Times New Roman" w:hint="eastAsia"/>
                <w:color w:val="auto"/>
                <w:sz w:val="20"/>
                <w:szCs w:val="20"/>
                <w:lang w:eastAsia="zh-CN"/>
              </w:rPr>
              <w:t xml:space="preserve"> </w:t>
            </w:r>
            <w:r>
              <w:rPr>
                <w:rFonts w:ascii="Times New Roman" w:hAnsi="Times New Roman" w:hint="eastAsia"/>
                <w:color w:val="auto"/>
                <w:sz w:val="20"/>
                <w:szCs w:val="20"/>
                <w:lang w:eastAsia="zh-CN"/>
              </w:rPr>
              <w:t>理。</w:t>
            </w:r>
          </w:p>
          <w:p w14:paraId="58E926B9"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利用方式：核心保护区禁止改变海域自然属性，其他红线区严格限制改变海域自然属</w:t>
            </w:r>
            <w:r>
              <w:rPr>
                <w:rFonts w:ascii="Times New Roman" w:hAnsi="Times New Roman" w:hint="eastAsia"/>
                <w:color w:val="auto"/>
                <w:sz w:val="20"/>
                <w:szCs w:val="20"/>
                <w:lang w:eastAsia="zh-CN"/>
              </w:rPr>
              <w:t xml:space="preserve"> </w:t>
            </w:r>
            <w:r>
              <w:rPr>
                <w:rFonts w:ascii="Times New Roman" w:hAnsi="Times New Roman" w:hint="eastAsia"/>
                <w:color w:val="auto"/>
                <w:sz w:val="20"/>
                <w:szCs w:val="20"/>
                <w:lang w:eastAsia="zh-CN"/>
              </w:rPr>
              <w:t>性。</w:t>
            </w:r>
          </w:p>
          <w:p w14:paraId="037F7F3F"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保护要求：保护红树林及其生态系统；保护潟湖自然生态环境；保护水质和底质。</w:t>
            </w:r>
          </w:p>
          <w:p w14:paraId="4D4146EA" w14:textId="77777777" w:rsidR="0075791A" w:rsidRDefault="00FB2864">
            <w:pPr>
              <w:pStyle w:val="TableText"/>
              <w:rPr>
                <w:rFonts w:ascii="Times New Roman" w:hAnsi="Times New Roman"/>
                <w:color w:val="auto"/>
                <w:sz w:val="20"/>
                <w:szCs w:val="20"/>
                <w:lang w:eastAsia="zh-CN"/>
              </w:rPr>
            </w:pPr>
            <w:r>
              <w:rPr>
                <w:rFonts w:ascii="Times New Roman" w:hAnsi="Times New Roman" w:hint="eastAsia"/>
                <w:color w:val="auto"/>
                <w:sz w:val="20"/>
                <w:szCs w:val="20"/>
                <w:lang w:eastAsia="zh-CN"/>
              </w:rPr>
              <w:t>其他要求：无</w:t>
            </w:r>
          </w:p>
        </w:tc>
        <w:tc>
          <w:tcPr>
            <w:tcW w:w="11599" w:type="dxa"/>
          </w:tcPr>
          <w:p w14:paraId="5C4A4D3B" w14:textId="77777777" w:rsidR="0075791A" w:rsidRDefault="00FB2864">
            <w:pPr>
              <w:pStyle w:val="TableText"/>
              <w:spacing w:line="288" w:lineRule="auto"/>
              <w:ind w:firstLineChars="200" w:firstLine="422"/>
              <w:jc w:val="both"/>
              <w:rPr>
                <w:rFonts w:ascii="Times New Roman" w:hAnsi="Times New Roman"/>
                <w:b/>
                <w:bCs/>
                <w:color w:val="auto"/>
                <w:sz w:val="21"/>
                <w:szCs w:val="21"/>
                <w:lang w:eastAsia="zh-CN"/>
              </w:rPr>
            </w:pPr>
            <w:r>
              <w:rPr>
                <w:rFonts w:ascii="Times New Roman" w:hAnsi="Times New Roman" w:hint="eastAsia"/>
                <w:b/>
                <w:bCs/>
                <w:color w:val="auto"/>
                <w:sz w:val="21"/>
                <w:szCs w:val="21"/>
                <w:lang w:eastAsia="zh-CN"/>
              </w:rPr>
              <w:t>符合。</w:t>
            </w:r>
          </w:p>
          <w:p w14:paraId="2981C28D" w14:textId="77777777" w:rsidR="0075791A" w:rsidRDefault="00FB2864">
            <w:pPr>
              <w:pStyle w:val="TableText"/>
              <w:spacing w:line="288" w:lineRule="auto"/>
              <w:ind w:firstLineChars="200" w:firstLine="420"/>
              <w:jc w:val="both"/>
              <w:rPr>
                <w:rFonts w:ascii="Times New Roman" w:hAnsi="Times New Roman"/>
                <w:color w:val="auto"/>
                <w:sz w:val="21"/>
                <w:szCs w:val="21"/>
                <w:lang w:eastAsia="zh-CN"/>
              </w:rPr>
            </w:pP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1</w:t>
            </w:r>
            <w:r>
              <w:rPr>
                <w:rFonts w:ascii="Times New Roman" w:hAnsi="Times New Roman" w:hint="eastAsia"/>
                <w:color w:val="auto"/>
                <w:sz w:val="21"/>
                <w:szCs w:val="21"/>
                <w:lang w:eastAsia="zh-CN"/>
              </w:rPr>
              <w:t>）本项目</w:t>
            </w:r>
            <w:r>
              <w:rPr>
                <w:rFonts w:ascii="Times New Roman" w:hAnsi="Times New Roman" w:hint="eastAsia"/>
                <w:color w:val="auto"/>
                <w:sz w:val="21"/>
                <w:szCs w:val="21"/>
                <w:lang w:eastAsia="zh-CN"/>
              </w:rPr>
              <w:t>疏浚工程主要位于</w:t>
            </w:r>
            <w:r>
              <w:rPr>
                <w:rFonts w:ascii="Times New Roman" w:hAnsi="Times New Roman"/>
                <w:color w:val="auto"/>
                <w:sz w:val="21"/>
                <w:szCs w:val="21"/>
                <w:lang w:eastAsia="zh-CN"/>
              </w:rPr>
              <w:t>三亚市铁炉港红树林自然保护区</w:t>
            </w:r>
            <w:r>
              <w:rPr>
                <w:rFonts w:ascii="Times New Roman" w:hAnsi="Times New Roman" w:hint="eastAsia"/>
                <w:color w:val="auto"/>
                <w:sz w:val="21"/>
                <w:szCs w:val="21"/>
                <w:lang w:eastAsia="zh-CN"/>
              </w:rPr>
              <w:t>核心区</w:t>
            </w:r>
            <w:r>
              <w:rPr>
                <w:rFonts w:ascii="Times New Roman" w:hAnsi="Times New Roman" w:hint="eastAsia"/>
                <w:color w:val="auto"/>
                <w:sz w:val="21"/>
                <w:szCs w:val="21"/>
                <w:lang w:eastAsia="zh-CN"/>
              </w:rPr>
              <w:t>；部分位于生态保护红线的</w:t>
            </w:r>
            <w:r>
              <w:rPr>
                <w:rFonts w:ascii="Times New Roman" w:hAnsi="Times New Roman" w:hint="eastAsia"/>
                <w:color w:val="auto"/>
                <w:sz w:val="21"/>
                <w:szCs w:val="21"/>
                <w:lang w:eastAsia="zh-CN"/>
              </w:rPr>
              <w:t>自然保护地以外区域</w:t>
            </w:r>
            <w:r>
              <w:rPr>
                <w:rFonts w:ascii="Times New Roman" w:hAnsi="Times New Roman" w:hint="eastAsia"/>
                <w:color w:val="auto"/>
                <w:sz w:val="21"/>
                <w:szCs w:val="21"/>
                <w:lang w:eastAsia="zh-CN"/>
              </w:rPr>
              <w:t>、</w:t>
            </w:r>
            <w:r>
              <w:rPr>
                <w:rFonts w:ascii="Times New Roman" w:hAnsi="Times New Roman"/>
                <w:color w:val="auto"/>
                <w:sz w:val="21"/>
                <w:szCs w:val="21"/>
                <w:lang w:eastAsia="zh-CN"/>
              </w:rPr>
              <w:t>自然</w:t>
            </w:r>
            <w:r>
              <w:rPr>
                <w:rFonts w:ascii="Times New Roman" w:hAnsi="Times New Roman" w:hint="eastAsia"/>
                <w:color w:val="auto"/>
                <w:sz w:val="21"/>
                <w:szCs w:val="21"/>
                <w:lang w:eastAsia="zh-CN"/>
              </w:rPr>
              <w:t>保护地</w:t>
            </w:r>
            <w:r>
              <w:rPr>
                <w:rFonts w:ascii="Times New Roman" w:hAnsi="Times New Roman" w:hint="eastAsia"/>
                <w:color w:val="auto"/>
                <w:sz w:val="21"/>
                <w:szCs w:val="21"/>
                <w:lang w:eastAsia="zh-CN"/>
              </w:rPr>
              <w:t>一般控制区</w:t>
            </w:r>
            <w:r>
              <w:rPr>
                <w:rFonts w:ascii="Times New Roman" w:hAnsi="Times New Roman" w:hint="eastAsia"/>
                <w:color w:val="auto"/>
                <w:sz w:val="21"/>
                <w:szCs w:val="21"/>
                <w:lang w:eastAsia="zh-CN"/>
              </w:rPr>
              <w:t>。</w:t>
            </w:r>
          </w:p>
          <w:p w14:paraId="72116732" w14:textId="77777777" w:rsidR="0075791A" w:rsidRDefault="00FB2864">
            <w:pPr>
              <w:pStyle w:val="TableText"/>
              <w:spacing w:line="288" w:lineRule="auto"/>
              <w:ind w:firstLineChars="200" w:firstLine="420"/>
              <w:jc w:val="both"/>
              <w:rPr>
                <w:rFonts w:ascii="Times New Roman" w:hAnsi="Times New Roman"/>
                <w:color w:val="auto"/>
                <w:sz w:val="21"/>
                <w:szCs w:val="21"/>
                <w:lang w:eastAsia="zh-CN"/>
              </w:rPr>
            </w:pPr>
            <w:r>
              <w:rPr>
                <w:rFonts w:ascii="Times New Roman" w:hAnsi="Times New Roman" w:hint="eastAsia"/>
                <w:color w:val="auto"/>
                <w:sz w:val="21"/>
                <w:szCs w:val="21"/>
                <w:lang w:eastAsia="zh-CN"/>
              </w:rPr>
              <w:t>根据《海南省人民政府关于三亚市铁炉港红树林自然保护区范围和功能区的批复》（琼府函〔</w:t>
            </w:r>
            <w:r>
              <w:rPr>
                <w:rFonts w:ascii="Times New Roman" w:hAnsi="Times New Roman" w:hint="eastAsia"/>
                <w:color w:val="auto"/>
                <w:sz w:val="21"/>
                <w:szCs w:val="21"/>
                <w:lang w:eastAsia="zh-CN"/>
              </w:rPr>
              <w:t>2025</w:t>
            </w: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198</w:t>
            </w:r>
            <w:r>
              <w:rPr>
                <w:rFonts w:ascii="Times New Roman" w:hAnsi="Times New Roman" w:hint="eastAsia"/>
                <w:color w:val="auto"/>
                <w:sz w:val="21"/>
                <w:szCs w:val="21"/>
                <w:lang w:eastAsia="zh-CN"/>
              </w:rPr>
              <w:t>号），同意三亚市铁炉港红树林自然保护区范围和功能区调整。调整后，三亚市铁炉港红树林自然保护区总面积</w:t>
            </w:r>
            <w:r>
              <w:rPr>
                <w:rFonts w:ascii="Times New Roman" w:hAnsi="Times New Roman" w:hint="eastAsia"/>
                <w:color w:val="auto"/>
                <w:sz w:val="21"/>
                <w:szCs w:val="21"/>
                <w:lang w:eastAsia="zh-CN"/>
              </w:rPr>
              <w:t>370.1</w:t>
            </w:r>
            <w:r>
              <w:rPr>
                <w:rFonts w:ascii="Times New Roman" w:hAnsi="Times New Roman" w:hint="eastAsia"/>
                <w:color w:val="auto"/>
                <w:sz w:val="21"/>
                <w:szCs w:val="21"/>
                <w:lang w:eastAsia="zh-CN"/>
              </w:rPr>
              <w:t>公顷，其中核心区面积</w:t>
            </w:r>
            <w:r>
              <w:rPr>
                <w:rFonts w:ascii="Times New Roman" w:hAnsi="Times New Roman" w:hint="eastAsia"/>
                <w:color w:val="auto"/>
                <w:sz w:val="21"/>
                <w:szCs w:val="21"/>
                <w:lang w:eastAsia="zh-CN"/>
              </w:rPr>
              <w:t>118.19</w:t>
            </w:r>
            <w:r>
              <w:rPr>
                <w:rFonts w:ascii="Times New Roman" w:hAnsi="Times New Roman" w:hint="eastAsia"/>
                <w:color w:val="auto"/>
                <w:sz w:val="21"/>
                <w:szCs w:val="21"/>
                <w:lang w:eastAsia="zh-CN"/>
              </w:rPr>
              <w:t>公顷，缓冲区面积</w:t>
            </w:r>
            <w:r>
              <w:rPr>
                <w:rFonts w:ascii="Times New Roman" w:hAnsi="Times New Roman" w:hint="eastAsia"/>
                <w:color w:val="auto"/>
                <w:sz w:val="21"/>
                <w:szCs w:val="21"/>
                <w:lang w:eastAsia="zh-CN"/>
              </w:rPr>
              <w:t>67.24</w:t>
            </w:r>
            <w:r>
              <w:rPr>
                <w:rFonts w:ascii="Times New Roman" w:hAnsi="Times New Roman" w:hint="eastAsia"/>
                <w:color w:val="auto"/>
                <w:sz w:val="21"/>
                <w:szCs w:val="21"/>
                <w:lang w:eastAsia="zh-CN"/>
              </w:rPr>
              <w:t>公顷，实验区面积</w:t>
            </w:r>
            <w:r>
              <w:rPr>
                <w:rFonts w:ascii="Times New Roman" w:hAnsi="Times New Roman" w:hint="eastAsia"/>
                <w:color w:val="auto"/>
                <w:sz w:val="21"/>
                <w:szCs w:val="21"/>
                <w:lang w:eastAsia="zh-CN"/>
              </w:rPr>
              <w:t>184.67</w:t>
            </w:r>
            <w:r>
              <w:rPr>
                <w:rFonts w:ascii="Times New Roman" w:hAnsi="Times New Roman" w:hint="eastAsia"/>
                <w:color w:val="auto"/>
                <w:sz w:val="21"/>
                <w:szCs w:val="21"/>
                <w:lang w:eastAsia="zh-CN"/>
              </w:rPr>
              <w:t>公顷。</w:t>
            </w:r>
          </w:p>
          <w:p w14:paraId="20B0F069" w14:textId="77777777" w:rsidR="0075791A" w:rsidRDefault="00FB2864">
            <w:pPr>
              <w:pStyle w:val="TableText"/>
              <w:spacing w:line="288" w:lineRule="auto"/>
              <w:ind w:firstLineChars="200" w:firstLine="420"/>
              <w:jc w:val="both"/>
              <w:rPr>
                <w:rFonts w:ascii="Times New Roman" w:hAnsi="Times New Roman"/>
                <w:color w:val="auto"/>
                <w:sz w:val="21"/>
                <w:szCs w:val="21"/>
                <w:lang w:eastAsia="zh-CN"/>
              </w:rPr>
            </w:pPr>
            <w:r>
              <w:rPr>
                <w:rFonts w:ascii="Times New Roman" w:hAnsi="Times New Roman" w:hint="eastAsia"/>
                <w:color w:val="auto"/>
                <w:sz w:val="21"/>
                <w:szCs w:val="21"/>
                <w:lang w:eastAsia="zh-CN"/>
              </w:rPr>
              <w:t>本项目申请用海</w:t>
            </w:r>
            <w:r>
              <w:rPr>
                <w:rFonts w:ascii="Times New Roman" w:hAnsi="Times New Roman" w:hint="eastAsia"/>
                <w:color w:val="auto"/>
                <w:sz w:val="21"/>
                <w:szCs w:val="21"/>
                <w:lang w:eastAsia="zh-CN"/>
              </w:rPr>
              <w:t>总面积</w:t>
            </w:r>
            <w:r>
              <w:rPr>
                <w:rFonts w:ascii="Times New Roman" w:hAnsi="Times New Roman" w:hint="eastAsia"/>
                <w:color w:val="auto"/>
                <w:sz w:val="21"/>
                <w:szCs w:val="21"/>
                <w:lang w:eastAsia="zh-CN"/>
              </w:rPr>
              <w:t>15.2465</w:t>
            </w:r>
            <w:r>
              <w:rPr>
                <w:rFonts w:ascii="Times New Roman" w:hAnsi="Times New Roman" w:hint="eastAsia"/>
                <w:color w:val="auto"/>
                <w:sz w:val="21"/>
                <w:szCs w:val="21"/>
                <w:lang w:eastAsia="zh-CN"/>
              </w:rPr>
              <w:t>公顷</w:t>
            </w:r>
            <w:r>
              <w:rPr>
                <w:rFonts w:ascii="Times New Roman" w:hAnsi="Times New Roman" w:hint="eastAsia"/>
                <w:color w:val="auto"/>
                <w:sz w:val="21"/>
                <w:szCs w:val="21"/>
                <w:lang w:eastAsia="zh-CN"/>
              </w:rPr>
              <w:t>，其中清淤疏浚主要位于</w:t>
            </w:r>
            <w:r>
              <w:rPr>
                <w:rFonts w:ascii="Times New Roman" w:hAnsi="Times New Roman" w:hint="eastAsia"/>
                <w:color w:val="auto"/>
                <w:sz w:val="21"/>
                <w:szCs w:val="21"/>
                <w:lang w:eastAsia="zh-CN"/>
              </w:rPr>
              <w:t>铁炉港红树林自然保护区</w:t>
            </w:r>
            <w:r>
              <w:rPr>
                <w:rFonts w:ascii="Times New Roman" w:hAnsi="Times New Roman" w:hint="eastAsia"/>
                <w:color w:val="auto"/>
                <w:sz w:val="21"/>
                <w:szCs w:val="21"/>
                <w:lang w:eastAsia="zh-CN"/>
              </w:rPr>
              <w:t>核心区</w:t>
            </w:r>
            <w:r>
              <w:rPr>
                <w:rFonts w:ascii="Times New Roman" w:hAnsi="Times New Roman" w:hint="eastAsia"/>
                <w:color w:val="auto"/>
                <w:sz w:val="21"/>
                <w:szCs w:val="21"/>
                <w:lang w:eastAsia="zh-CN"/>
              </w:rPr>
              <w:t>14.8579</w:t>
            </w:r>
            <w:r>
              <w:rPr>
                <w:rFonts w:ascii="Times New Roman" w:hAnsi="Times New Roman" w:hint="eastAsia"/>
                <w:color w:val="auto"/>
                <w:sz w:val="21"/>
                <w:szCs w:val="21"/>
                <w:lang w:eastAsia="zh-CN"/>
              </w:rPr>
              <w:t>公顷，</w:t>
            </w:r>
            <w:r>
              <w:rPr>
                <w:rFonts w:ascii="Times New Roman" w:hAnsi="Times New Roman" w:hint="eastAsia"/>
                <w:color w:val="auto"/>
                <w:sz w:val="21"/>
                <w:szCs w:val="21"/>
                <w:lang w:eastAsia="zh-CN"/>
              </w:rPr>
              <w:t>另有</w:t>
            </w:r>
            <w:r>
              <w:rPr>
                <w:rFonts w:ascii="Times New Roman" w:hAnsi="Times New Roman" w:hint="eastAsia"/>
                <w:color w:val="auto"/>
                <w:sz w:val="21"/>
                <w:szCs w:val="21"/>
                <w:lang w:eastAsia="zh-CN"/>
              </w:rPr>
              <w:t>0.0093</w:t>
            </w:r>
            <w:r>
              <w:rPr>
                <w:rFonts w:ascii="Times New Roman" w:hAnsi="Times New Roman" w:hint="eastAsia"/>
                <w:color w:val="auto"/>
                <w:sz w:val="21"/>
                <w:szCs w:val="21"/>
                <w:lang w:eastAsia="zh-CN"/>
              </w:rPr>
              <w:t>公顷</w:t>
            </w:r>
            <w:r>
              <w:rPr>
                <w:rFonts w:ascii="Times New Roman" w:hAnsi="Times New Roman" w:hint="eastAsia"/>
                <w:color w:val="auto"/>
                <w:sz w:val="21"/>
                <w:szCs w:val="21"/>
                <w:lang w:eastAsia="zh-CN"/>
              </w:rPr>
              <w:t>位于</w:t>
            </w:r>
            <w:r>
              <w:rPr>
                <w:rFonts w:ascii="Times New Roman" w:hAnsi="Times New Roman" w:hint="eastAsia"/>
                <w:color w:val="auto"/>
                <w:sz w:val="21"/>
                <w:szCs w:val="21"/>
                <w:lang w:eastAsia="zh-CN"/>
              </w:rPr>
              <w:t>保护区外；透水构筑物申请用海</w:t>
            </w:r>
            <w:r>
              <w:rPr>
                <w:rFonts w:ascii="Times New Roman" w:hAnsi="Times New Roman" w:hint="eastAsia"/>
                <w:color w:val="auto"/>
                <w:sz w:val="21"/>
                <w:szCs w:val="21"/>
                <w:lang w:eastAsia="zh-CN"/>
              </w:rPr>
              <w:t>0.3793</w:t>
            </w:r>
            <w:r>
              <w:rPr>
                <w:rFonts w:ascii="Times New Roman" w:hAnsi="Times New Roman" w:hint="eastAsia"/>
                <w:color w:val="auto"/>
                <w:sz w:val="21"/>
                <w:szCs w:val="21"/>
                <w:lang w:eastAsia="zh-CN"/>
              </w:rPr>
              <w:t>公顷，其中</w:t>
            </w:r>
            <w:r>
              <w:rPr>
                <w:rFonts w:ascii="Times New Roman" w:hAnsi="Times New Roman" w:hint="eastAsia"/>
                <w:color w:val="auto"/>
                <w:sz w:val="21"/>
                <w:szCs w:val="21"/>
                <w:lang w:eastAsia="zh-CN"/>
              </w:rPr>
              <w:t>0.3515</w:t>
            </w:r>
            <w:r>
              <w:rPr>
                <w:rFonts w:ascii="Times New Roman" w:hAnsi="Times New Roman" w:hint="eastAsia"/>
                <w:color w:val="auto"/>
                <w:sz w:val="21"/>
                <w:szCs w:val="21"/>
                <w:lang w:eastAsia="zh-CN"/>
              </w:rPr>
              <w:t>公顷位于</w:t>
            </w:r>
            <w:r>
              <w:rPr>
                <w:rFonts w:ascii="Times New Roman" w:hAnsi="Times New Roman" w:hint="eastAsia"/>
                <w:color w:val="auto"/>
                <w:sz w:val="21"/>
                <w:szCs w:val="21"/>
                <w:lang w:eastAsia="zh-CN"/>
              </w:rPr>
              <w:t>实验区，</w:t>
            </w:r>
            <w:r>
              <w:rPr>
                <w:rFonts w:ascii="Times New Roman" w:hAnsi="Times New Roman" w:hint="eastAsia"/>
                <w:color w:val="auto"/>
                <w:sz w:val="21"/>
                <w:szCs w:val="21"/>
                <w:lang w:eastAsia="zh-CN"/>
              </w:rPr>
              <w:t>0.0278</w:t>
            </w:r>
            <w:r>
              <w:rPr>
                <w:rFonts w:ascii="Times New Roman" w:hAnsi="Times New Roman" w:hint="eastAsia"/>
                <w:color w:val="auto"/>
                <w:sz w:val="21"/>
                <w:szCs w:val="21"/>
                <w:lang w:eastAsia="zh-CN"/>
              </w:rPr>
              <w:t>公顷</w:t>
            </w:r>
            <w:r>
              <w:rPr>
                <w:rFonts w:ascii="Times New Roman" w:hAnsi="Times New Roman" w:hint="eastAsia"/>
                <w:color w:val="auto"/>
                <w:sz w:val="21"/>
                <w:szCs w:val="21"/>
                <w:lang w:eastAsia="zh-CN"/>
              </w:rPr>
              <w:t>位于</w:t>
            </w:r>
            <w:r>
              <w:rPr>
                <w:rFonts w:ascii="Times New Roman" w:hAnsi="Times New Roman" w:hint="eastAsia"/>
                <w:color w:val="auto"/>
                <w:sz w:val="21"/>
                <w:szCs w:val="21"/>
                <w:lang w:eastAsia="zh-CN"/>
              </w:rPr>
              <w:t>保护区外。</w:t>
            </w:r>
          </w:p>
          <w:p w14:paraId="3F03C0BD" w14:textId="77777777" w:rsidR="0075791A" w:rsidRDefault="00FB2864">
            <w:pPr>
              <w:pStyle w:val="TableText"/>
              <w:spacing w:line="288" w:lineRule="auto"/>
              <w:ind w:firstLineChars="200" w:firstLine="422"/>
              <w:jc w:val="both"/>
              <w:rPr>
                <w:rFonts w:ascii="Times New Roman" w:hAnsi="Times New Roman"/>
                <w:b/>
                <w:bCs/>
                <w:color w:val="auto"/>
                <w:sz w:val="21"/>
                <w:szCs w:val="21"/>
                <w:lang w:eastAsia="zh-CN"/>
              </w:rPr>
            </w:pPr>
            <w:r>
              <w:rPr>
                <w:rFonts w:ascii="Times New Roman" w:hAnsi="Times New Roman" w:hint="eastAsia"/>
                <w:b/>
                <w:bCs/>
                <w:color w:val="auto"/>
                <w:sz w:val="21"/>
                <w:szCs w:val="21"/>
                <w:lang w:eastAsia="zh-CN"/>
              </w:rPr>
              <w:t>1</w:t>
            </w:r>
            <w:r>
              <w:rPr>
                <w:rFonts w:ascii="Times New Roman" w:hAnsi="Times New Roman" w:hint="eastAsia"/>
                <w:b/>
                <w:bCs/>
                <w:color w:val="auto"/>
                <w:sz w:val="21"/>
                <w:szCs w:val="21"/>
                <w:lang w:eastAsia="zh-CN"/>
              </w:rPr>
              <w:t>）相关法律法规符合性分析</w:t>
            </w:r>
          </w:p>
          <w:p w14:paraId="0E05EF46" w14:textId="77777777" w:rsidR="0075791A" w:rsidRDefault="00FB2864">
            <w:pPr>
              <w:pStyle w:val="TableText"/>
              <w:spacing w:line="288" w:lineRule="auto"/>
              <w:ind w:firstLineChars="200" w:firstLine="422"/>
              <w:jc w:val="both"/>
              <w:rPr>
                <w:rFonts w:ascii="Times New Roman" w:hAnsi="Times New Roman"/>
                <w:color w:val="auto"/>
                <w:sz w:val="21"/>
                <w:szCs w:val="21"/>
                <w:lang w:eastAsia="zh-CN"/>
              </w:rPr>
            </w:pPr>
            <w:r>
              <w:rPr>
                <w:rFonts w:ascii="Times New Roman" w:hAnsi="Times New Roman" w:hint="eastAsia"/>
                <w:b/>
                <w:bCs/>
                <w:color w:val="auto"/>
                <w:sz w:val="21"/>
                <w:szCs w:val="21"/>
                <w:lang w:eastAsia="zh-CN"/>
              </w:rPr>
              <w:t>A</w:t>
            </w:r>
            <w:r>
              <w:rPr>
                <w:rFonts w:ascii="Times New Roman" w:hAnsi="Times New Roman" w:hint="eastAsia"/>
                <w:color w:val="auto"/>
                <w:sz w:val="21"/>
                <w:szCs w:val="21"/>
                <w:lang w:eastAsia="zh-CN"/>
              </w:rPr>
              <w:t>根据《中华人民共和国自然保护区条例》（国务院令第</w:t>
            </w:r>
            <w:r>
              <w:rPr>
                <w:rFonts w:ascii="Times New Roman" w:hAnsi="Times New Roman" w:hint="eastAsia"/>
                <w:color w:val="auto"/>
                <w:sz w:val="21"/>
                <w:szCs w:val="21"/>
                <w:lang w:eastAsia="zh-CN"/>
              </w:rPr>
              <w:t>830</w:t>
            </w:r>
            <w:r>
              <w:rPr>
                <w:rFonts w:ascii="Times New Roman" w:hAnsi="Times New Roman" w:hint="eastAsia"/>
                <w:color w:val="auto"/>
                <w:sz w:val="21"/>
                <w:szCs w:val="21"/>
                <w:lang w:eastAsia="zh-CN"/>
              </w:rPr>
              <w:t>号）“第二十六条</w:t>
            </w:r>
            <w:r>
              <w:rPr>
                <w:rFonts w:ascii="Times New Roman" w:hAnsi="Times New Roman" w:hint="eastAsia"/>
                <w:color w:val="auto"/>
                <w:sz w:val="21"/>
                <w:szCs w:val="21"/>
                <w:lang w:eastAsia="zh-CN"/>
              </w:rPr>
              <w:t xml:space="preserve"> </w:t>
            </w:r>
            <w:r>
              <w:rPr>
                <w:rFonts w:ascii="Times New Roman" w:hAnsi="Times New Roman" w:hint="eastAsia"/>
                <w:color w:val="auto"/>
                <w:sz w:val="21"/>
                <w:szCs w:val="21"/>
                <w:lang w:eastAsia="zh-CN"/>
              </w:rPr>
              <w:t>除下列活动外，自然保护区核心保护区内禁止人为活动：（一）为保护自然保护区开展的调查监测、</w:t>
            </w:r>
            <w:r>
              <w:rPr>
                <w:rFonts w:ascii="Times New Roman" w:hAnsi="Times New Roman" w:hint="eastAsia"/>
                <w:b/>
                <w:bCs/>
                <w:color w:val="auto"/>
                <w:sz w:val="21"/>
                <w:szCs w:val="21"/>
                <w:lang w:eastAsia="zh-CN"/>
              </w:rPr>
              <w:t>生态修复、</w:t>
            </w:r>
            <w:r>
              <w:rPr>
                <w:rFonts w:ascii="Times New Roman" w:hAnsi="Times New Roman" w:hint="eastAsia"/>
                <w:color w:val="auto"/>
                <w:sz w:val="21"/>
                <w:szCs w:val="21"/>
                <w:lang w:eastAsia="zh-CN"/>
              </w:rPr>
              <w:t>管护巡护等活动，科研观测、基础测绘、文物和其他文化遗产保护、防灾减灾、应急救援活动，以及国家机关依法履行执法职责确需开展的活动；……”</w:t>
            </w:r>
          </w:p>
          <w:p w14:paraId="14B91764" w14:textId="77777777" w:rsidR="0075791A" w:rsidRDefault="00FB2864">
            <w:pPr>
              <w:pStyle w:val="TableText"/>
              <w:spacing w:line="288" w:lineRule="auto"/>
              <w:ind w:firstLineChars="200" w:firstLine="422"/>
              <w:jc w:val="both"/>
              <w:rPr>
                <w:rFonts w:ascii="Times New Roman" w:hAnsi="Times New Roman"/>
                <w:color w:val="auto"/>
                <w:sz w:val="21"/>
                <w:szCs w:val="21"/>
                <w:lang w:eastAsia="zh-CN"/>
              </w:rPr>
            </w:pPr>
            <w:r>
              <w:rPr>
                <w:rFonts w:ascii="Times New Roman" w:hAnsi="Times New Roman" w:hint="eastAsia"/>
                <w:b/>
                <w:bCs/>
                <w:color w:val="auto"/>
                <w:sz w:val="21"/>
                <w:szCs w:val="21"/>
                <w:lang w:eastAsia="zh-CN"/>
              </w:rPr>
              <w:t>B.</w:t>
            </w:r>
            <w:r>
              <w:rPr>
                <w:rFonts w:ascii="Times New Roman" w:hAnsi="Times New Roman" w:hint="eastAsia"/>
                <w:color w:val="auto"/>
                <w:sz w:val="21"/>
                <w:szCs w:val="21"/>
                <w:lang w:eastAsia="zh-CN"/>
              </w:rPr>
              <w:t>《</w:t>
            </w:r>
            <w:r>
              <w:rPr>
                <w:color w:val="auto"/>
                <w:sz w:val="21"/>
                <w:szCs w:val="21"/>
                <w:shd w:val="clear" w:color="auto" w:fill="FFFFFF"/>
                <w:lang w:eastAsia="zh-CN"/>
              </w:rPr>
              <w:t>中华人民共和国森林法</w:t>
            </w:r>
            <w:r>
              <w:rPr>
                <w:rFonts w:ascii="Times New Roman" w:hAnsi="Times New Roman" w:hint="eastAsia"/>
                <w:color w:val="auto"/>
                <w:sz w:val="21"/>
                <w:szCs w:val="21"/>
                <w:lang w:eastAsia="zh-CN"/>
              </w:rPr>
              <w:t>》“</w:t>
            </w:r>
            <w:r>
              <w:rPr>
                <w:color w:val="auto"/>
                <w:sz w:val="21"/>
                <w:szCs w:val="21"/>
                <w:lang w:eastAsia="zh-CN"/>
              </w:rPr>
              <w:t>第三十一条</w:t>
            </w:r>
            <w:r>
              <w:rPr>
                <w:rFonts w:hint="eastAsia"/>
                <w:color w:val="auto"/>
                <w:sz w:val="21"/>
                <w:szCs w:val="21"/>
                <w:lang w:eastAsia="zh-CN"/>
              </w:rPr>
              <w:t xml:space="preserve"> </w:t>
            </w:r>
            <w:r>
              <w:rPr>
                <w:color w:val="auto"/>
                <w:sz w:val="21"/>
                <w:szCs w:val="21"/>
                <w:lang w:eastAsia="zh-CN"/>
              </w:rPr>
              <w:t>国家在不同自然地带的典型森林生态地区、珍贵动物和植物生长繁殖的林区、天然热带雨林区和具有特殊保护价值的其他天然林区，建立以国家公园为主体的自然保护地体系，加强保护管理。</w:t>
            </w:r>
            <w:r>
              <w:rPr>
                <w:b/>
                <w:bCs/>
                <w:color w:val="auto"/>
                <w:sz w:val="21"/>
                <w:szCs w:val="21"/>
                <w:lang w:eastAsia="zh-CN"/>
              </w:rPr>
              <w:t>国家支持生态脆弱地区森林资源的保护修复。</w:t>
            </w:r>
            <w:r>
              <w:rPr>
                <w:rFonts w:ascii="Times New Roman" w:hAnsi="Times New Roman" w:hint="eastAsia"/>
                <w:color w:val="auto"/>
                <w:sz w:val="21"/>
                <w:szCs w:val="21"/>
                <w:lang w:eastAsia="zh-CN"/>
              </w:rPr>
              <w:t>”</w:t>
            </w:r>
          </w:p>
          <w:p w14:paraId="1BC30B55" w14:textId="77777777" w:rsidR="0075791A" w:rsidRDefault="00FB2864">
            <w:pPr>
              <w:pStyle w:val="TableText"/>
              <w:spacing w:line="288" w:lineRule="auto"/>
              <w:ind w:firstLineChars="200" w:firstLine="422"/>
              <w:jc w:val="both"/>
              <w:rPr>
                <w:rFonts w:ascii="Times New Roman" w:hAnsi="Times New Roman"/>
                <w:color w:val="auto"/>
                <w:sz w:val="21"/>
                <w:szCs w:val="21"/>
                <w:lang w:eastAsia="zh-CN"/>
              </w:rPr>
            </w:pPr>
            <w:r>
              <w:rPr>
                <w:rFonts w:ascii="Times New Roman" w:hAnsi="Times New Roman" w:hint="eastAsia"/>
                <w:b/>
                <w:bCs/>
                <w:color w:val="auto"/>
                <w:sz w:val="21"/>
                <w:szCs w:val="21"/>
                <w:lang w:eastAsia="zh-CN"/>
              </w:rPr>
              <w:t>C</w:t>
            </w:r>
            <w:r>
              <w:rPr>
                <w:rFonts w:ascii="Times New Roman" w:hAnsi="Times New Roman" w:hint="eastAsia"/>
                <w:b/>
                <w:bCs/>
                <w:color w:val="auto"/>
                <w:sz w:val="21"/>
                <w:szCs w:val="21"/>
                <w:lang w:eastAsia="zh-CN"/>
              </w:rPr>
              <w:t>.</w:t>
            </w:r>
            <w:r>
              <w:rPr>
                <w:rFonts w:ascii="Times New Roman" w:hAnsi="Times New Roman" w:hint="eastAsia"/>
                <w:color w:val="auto"/>
                <w:sz w:val="21"/>
                <w:szCs w:val="21"/>
                <w:lang w:eastAsia="zh-CN"/>
              </w:rPr>
              <w:t>《中华人民共和国湿地保护法》“第四十条</w:t>
            </w:r>
            <w:r>
              <w:rPr>
                <w:rFonts w:ascii="Times New Roman" w:hAnsi="Times New Roman" w:hint="eastAsia"/>
                <w:color w:val="auto"/>
                <w:sz w:val="21"/>
                <w:szCs w:val="21"/>
                <w:lang w:eastAsia="zh-CN"/>
              </w:rPr>
              <w:t xml:space="preserve"> </w:t>
            </w:r>
            <w:r>
              <w:rPr>
                <w:rFonts w:ascii="Times New Roman" w:hAnsi="Times New Roman" w:hint="eastAsia"/>
                <w:color w:val="auto"/>
                <w:sz w:val="21"/>
                <w:szCs w:val="21"/>
                <w:lang w:eastAsia="zh-CN"/>
              </w:rPr>
              <w:t>红树林湿地所在地县级以上地方人民政府应当对生态功能重要区域、海洋灾害风险等级较高地区、濒危物种保护区域或者造林条件较好地区的</w:t>
            </w:r>
            <w:r>
              <w:rPr>
                <w:rFonts w:ascii="Times New Roman" w:hAnsi="Times New Roman" w:hint="eastAsia"/>
                <w:b/>
                <w:bCs/>
                <w:color w:val="auto"/>
                <w:sz w:val="21"/>
                <w:szCs w:val="21"/>
                <w:lang w:eastAsia="zh-CN"/>
              </w:rPr>
              <w:t>红树林湿地优先实施修复</w:t>
            </w:r>
            <w:r>
              <w:rPr>
                <w:rFonts w:ascii="Times New Roman" w:hAnsi="Times New Roman" w:hint="eastAsia"/>
                <w:color w:val="auto"/>
                <w:sz w:val="21"/>
                <w:szCs w:val="21"/>
                <w:lang w:eastAsia="zh-CN"/>
              </w:rPr>
              <w:t>，对严重退化的红树林湿地进行抢救性修复，修复应当尽量采用本地树种。”</w:t>
            </w:r>
          </w:p>
          <w:p w14:paraId="2496719B" w14:textId="77777777" w:rsidR="0075791A" w:rsidRDefault="00FB2864">
            <w:pPr>
              <w:pStyle w:val="TableText"/>
              <w:spacing w:line="288" w:lineRule="auto"/>
              <w:ind w:firstLineChars="200" w:firstLine="422"/>
              <w:jc w:val="both"/>
              <w:rPr>
                <w:rFonts w:ascii="Times New Roman" w:hAnsi="Times New Roman"/>
                <w:color w:val="auto"/>
                <w:sz w:val="21"/>
                <w:szCs w:val="21"/>
                <w:lang w:eastAsia="zh-CN"/>
              </w:rPr>
            </w:pPr>
            <w:r>
              <w:rPr>
                <w:rFonts w:ascii="Times New Roman" w:hAnsi="Times New Roman" w:hint="eastAsia"/>
                <w:b/>
                <w:bCs/>
                <w:color w:val="auto"/>
                <w:sz w:val="21"/>
                <w:szCs w:val="21"/>
                <w:lang w:eastAsia="zh-CN"/>
              </w:rPr>
              <w:t>D</w:t>
            </w:r>
            <w:r>
              <w:rPr>
                <w:rFonts w:ascii="Times New Roman" w:hAnsi="Times New Roman" w:hint="eastAsia"/>
                <w:b/>
                <w:bCs/>
                <w:color w:val="auto"/>
                <w:sz w:val="21"/>
                <w:szCs w:val="21"/>
                <w:lang w:eastAsia="zh-CN"/>
              </w:rPr>
              <w:t>.</w:t>
            </w:r>
            <w:r>
              <w:rPr>
                <w:rFonts w:ascii="Times New Roman" w:hAnsi="Times New Roman" w:hint="eastAsia"/>
                <w:color w:val="auto"/>
                <w:sz w:val="21"/>
                <w:szCs w:val="21"/>
                <w:lang w:eastAsia="zh-CN"/>
              </w:rPr>
              <w:t>《中华人民共和国海洋环境保护法》“第</w:t>
            </w:r>
            <w:r>
              <w:rPr>
                <w:rFonts w:ascii="Times New Roman" w:hAnsi="Times New Roman" w:hint="eastAsia"/>
                <w:color w:val="auto"/>
                <w:sz w:val="21"/>
                <w:szCs w:val="21"/>
                <w:lang w:eastAsia="zh-CN"/>
              </w:rPr>
              <w:t>四十二条　对遭到破坏的具有重要生态、经济、社会价值的海洋生态系统，应当进行修复。海洋生态修复应当以改善生境、恢复生物多样性和生态系统基本功能为重点，以自然恢复为主、人工修复为辅，并</w:t>
            </w:r>
            <w:r>
              <w:rPr>
                <w:rFonts w:ascii="Times New Roman" w:hAnsi="Times New Roman" w:hint="eastAsia"/>
                <w:b/>
                <w:bCs/>
                <w:color w:val="auto"/>
                <w:sz w:val="21"/>
                <w:szCs w:val="21"/>
                <w:lang w:eastAsia="zh-CN"/>
              </w:rPr>
              <w:t>优先修复具有典型性、代表性的海洋生态系统</w:t>
            </w:r>
            <w:r>
              <w:rPr>
                <w:rFonts w:ascii="Times New Roman" w:hAnsi="Times New Roman" w:hint="eastAsia"/>
                <w:color w:val="auto"/>
                <w:sz w:val="21"/>
                <w:szCs w:val="21"/>
                <w:lang w:eastAsia="zh-CN"/>
              </w:rPr>
              <w:t>”</w:t>
            </w:r>
          </w:p>
          <w:p w14:paraId="3A9103DA" w14:textId="77777777" w:rsidR="0075791A" w:rsidRDefault="00FB2864">
            <w:pPr>
              <w:pStyle w:val="TableText"/>
              <w:spacing w:line="288" w:lineRule="auto"/>
              <w:ind w:firstLineChars="200" w:firstLine="422"/>
              <w:jc w:val="both"/>
              <w:rPr>
                <w:rFonts w:ascii="Times New Roman" w:hAnsi="Times New Roman"/>
                <w:color w:val="auto"/>
                <w:sz w:val="21"/>
                <w:szCs w:val="21"/>
                <w:lang w:eastAsia="zh-CN"/>
              </w:rPr>
            </w:pPr>
            <w:r>
              <w:rPr>
                <w:rFonts w:ascii="Times New Roman" w:hAnsi="Times New Roman" w:hint="eastAsia"/>
                <w:b/>
                <w:bCs/>
                <w:color w:val="auto"/>
                <w:sz w:val="21"/>
                <w:szCs w:val="21"/>
                <w:lang w:eastAsia="zh-CN"/>
              </w:rPr>
              <w:t>E</w:t>
            </w:r>
            <w:r>
              <w:rPr>
                <w:rFonts w:ascii="Times New Roman" w:hAnsi="Times New Roman" w:hint="eastAsia"/>
                <w:b/>
                <w:bCs/>
                <w:color w:val="auto"/>
                <w:sz w:val="21"/>
                <w:szCs w:val="21"/>
                <w:lang w:eastAsia="zh-CN"/>
              </w:rPr>
              <w:t>.</w:t>
            </w:r>
            <w:r>
              <w:rPr>
                <w:rFonts w:ascii="Times New Roman" w:hAnsi="Times New Roman" w:hint="eastAsia"/>
                <w:color w:val="auto"/>
                <w:sz w:val="21"/>
                <w:szCs w:val="21"/>
                <w:lang w:eastAsia="zh-CN"/>
              </w:rPr>
              <w:t>2020</w:t>
            </w:r>
            <w:r>
              <w:rPr>
                <w:rFonts w:ascii="Times New Roman" w:hAnsi="Times New Roman" w:hint="eastAsia"/>
                <w:color w:val="auto"/>
                <w:sz w:val="21"/>
                <w:szCs w:val="21"/>
                <w:lang w:eastAsia="zh-CN"/>
              </w:rPr>
              <w:t>年</w:t>
            </w:r>
            <w:r>
              <w:rPr>
                <w:rFonts w:ascii="Times New Roman" w:hAnsi="Times New Roman" w:hint="eastAsia"/>
                <w:color w:val="auto"/>
                <w:sz w:val="21"/>
                <w:szCs w:val="21"/>
                <w:lang w:eastAsia="zh-CN"/>
              </w:rPr>
              <w:t>2</w:t>
            </w:r>
            <w:r>
              <w:rPr>
                <w:rFonts w:ascii="Times New Roman" w:hAnsi="Times New Roman" w:hint="eastAsia"/>
                <w:color w:val="auto"/>
                <w:sz w:val="21"/>
                <w:szCs w:val="21"/>
                <w:lang w:eastAsia="zh-CN"/>
              </w:rPr>
              <w:t>月</w:t>
            </w:r>
            <w:r>
              <w:rPr>
                <w:rFonts w:ascii="Times New Roman" w:hAnsi="Times New Roman" w:hint="eastAsia"/>
                <w:color w:val="auto"/>
                <w:sz w:val="21"/>
                <w:szCs w:val="21"/>
                <w:lang w:eastAsia="zh-CN"/>
              </w:rPr>
              <w:t>10</w:t>
            </w:r>
            <w:r>
              <w:rPr>
                <w:rFonts w:ascii="Times New Roman" w:hAnsi="Times New Roman" w:hint="eastAsia"/>
                <w:color w:val="auto"/>
                <w:sz w:val="21"/>
                <w:szCs w:val="21"/>
                <w:lang w:eastAsia="zh-CN"/>
              </w:rPr>
              <w:t>日，自然资源部</w:t>
            </w:r>
            <w:r>
              <w:rPr>
                <w:rFonts w:ascii="Times New Roman" w:hAnsi="Times New Roman" w:hint="eastAsia"/>
                <w:color w:val="auto"/>
                <w:sz w:val="21"/>
                <w:szCs w:val="21"/>
                <w:lang w:eastAsia="zh-CN"/>
              </w:rPr>
              <w:t xml:space="preserve"> </w:t>
            </w:r>
            <w:r>
              <w:rPr>
                <w:rFonts w:ascii="Times New Roman" w:hAnsi="Times New Roman" w:hint="eastAsia"/>
                <w:color w:val="auto"/>
                <w:sz w:val="21"/>
                <w:szCs w:val="21"/>
                <w:lang w:eastAsia="zh-CN"/>
              </w:rPr>
              <w:t>国家林业和草原局《关于做好自然保护区范围及功能分区优化调整前期有关工作的函》</w:t>
            </w: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自然资函〔</w:t>
            </w:r>
            <w:r>
              <w:rPr>
                <w:rFonts w:ascii="Times New Roman" w:hAnsi="Times New Roman" w:hint="eastAsia"/>
                <w:color w:val="auto"/>
                <w:sz w:val="21"/>
                <w:szCs w:val="21"/>
                <w:lang w:eastAsia="zh-CN"/>
              </w:rPr>
              <w:t>2020</w:t>
            </w: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71</w:t>
            </w:r>
            <w:r>
              <w:rPr>
                <w:rFonts w:ascii="Times New Roman" w:hAnsi="Times New Roman" w:hint="eastAsia"/>
                <w:color w:val="auto"/>
                <w:sz w:val="21"/>
                <w:szCs w:val="21"/>
                <w:lang w:eastAsia="zh-CN"/>
              </w:rPr>
              <w:t>号</w:t>
            </w: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提出对自然保护区范围及功能分区进行一次优化调整，同时对各类自然保护地进行整合优化，将自然保护区功能分区由核心区、缓冲区、实验区转为核心保护区和一般控制区。其中</w:t>
            </w:r>
            <w:r>
              <w:rPr>
                <w:rFonts w:ascii="Times New Roman" w:hAnsi="Times New Roman" w:hint="eastAsia"/>
                <w:b/>
                <w:bCs/>
                <w:color w:val="auto"/>
                <w:sz w:val="21"/>
                <w:szCs w:val="21"/>
                <w:lang w:eastAsia="zh-CN"/>
              </w:rPr>
              <w:t>核心保护区管控要求为</w:t>
            </w:r>
            <w:r>
              <w:rPr>
                <w:rFonts w:ascii="Times New Roman" w:hAnsi="Times New Roman" w:hint="eastAsia"/>
                <w:color w:val="auto"/>
                <w:sz w:val="21"/>
                <w:szCs w:val="21"/>
                <w:lang w:eastAsia="zh-CN"/>
              </w:rPr>
              <w:t>：“除满足国家特殊战略需要的有关活动外，原则上禁止人为活动。但允许开展以下活动：……</w:t>
            </w:r>
            <w:r>
              <w:rPr>
                <w:rFonts w:ascii="Times New Roman" w:hAnsi="Times New Roman" w:hint="eastAsia"/>
                <w:color w:val="auto"/>
                <w:sz w:val="21"/>
                <w:szCs w:val="21"/>
                <w:lang w:eastAsia="zh-CN"/>
              </w:rPr>
              <w:t>2.</w:t>
            </w:r>
            <w:r>
              <w:rPr>
                <w:rFonts w:ascii="Times New Roman" w:hAnsi="Times New Roman" w:hint="eastAsia"/>
                <w:color w:val="auto"/>
                <w:sz w:val="21"/>
                <w:szCs w:val="21"/>
                <w:lang w:eastAsia="zh-CN"/>
              </w:rPr>
              <w:t>因病虫害、外来物种入侵、维持主要保护对象生存环境等特殊情况，</w:t>
            </w:r>
            <w:r>
              <w:rPr>
                <w:rFonts w:ascii="Times New Roman" w:hAnsi="Times New Roman" w:hint="eastAsia"/>
                <w:b/>
                <w:bCs/>
                <w:color w:val="auto"/>
                <w:sz w:val="21"/>
                <w:szCs w:val="21"/>
                <w:lang w:eastAsia="zh-CN"/>
              </w:rPr>
              <w:t>经批准，可以开展重要生态修复工程</w:t>
            </w:r>
            <w:r>
              <w:rPr>
                <w:rFonts w:ascii="Times New Roman" w:hAnsi="Times New Roman" w:hint="eastAsia"/>
                <w:color w:val="auto"/>
                <w:sz w:val="21"/>
                <w:szCs w:val="21"/>
                <w:lang w:eastAsia="zh-CN"/>
              </w:rPr>
              <w:t>、物种重引入、增殖放流、病害动植物清理等人工干预</w:t>
            </w:r>
            <w:r>
              <w:rPr>
                <w:rFonts w:ascii="Times New Roman" w:hAnsi="Times New Roman" w:hint="eastAsia"/>
                <w:color w:val="auto"/>
                <w:sz w:val="21"/>
                <w:szCs w:val="21"/>
                <w:lang w:eastAsia="zh-CN"/>
              </w:rPr>
              <w:t>措施。……”</w:t>
            </w:r>
          </w:p>
          <w:p w14:paraId="684D930A" w14:textId="77777777" w:rsidR="0075791A" w:rsidRDefault="00FB2864">
            <w:pPr>
              <w:pStyle w:val="TableText"/>
              <w:spacing w:line="288" w:lineRule="auto"/>
              <w:ind w:firstLineChars="200" w:firstLine="422"/>
              <w:jc w:val="both"/>
              <w:rPr>
                <w:rFonts w:ascii="Times New Roman" w:hAnsi="Times New Roman"/>
                <w:color w:val="auto"/>
                <w:sz w:val="21"/>
                <w:szCs w:val="21"/>
                <w:lang w:eastAsia="zh-CN"/>
              </w:rPr>
            </w:pPr>
            <w:r>
              <w:rPr>
                <w:rFonts w:ascii="Times New Roman" w:hAnsi="Times New Roman" w:hint="eastAsia"/>
                <w:b/>
                <w:bCs/>
                <w:color w:val="auto"/>
                <w:sz w:val="21"/>
                <w:szCs w:val="21"/>
                <w:lang w:eastAsia="zh-CN"/>
              </w:rPr>
              <w:lastRenderedPageBreak/>
              <w:t>F</w:t>
            </w:r>
            <w:r>
              <w:rPr>
                <w:rFonts w:ascii="Times New Roman" w:hAnsi="Times New Roman" w:hint="eastAsia"/>
                <w:b/>
                <w:bCs/>
                <w:color w:val="auto"/>
                <w:sz w:val="21"/>
                <w:szCs w:val="21"/>
                <w:lang w:eastAsia="zh-CN"/>
              </w:rPr>
              <w:t>.</w:t>
            </w:r>
            <w:r>
              <w:rPr>
                <w:rFonts w:ascii="Times New Roman" w:hAnsi="Times New Roman" w:hint="eastAsia"/>
                <w:color w:val="auto"/>
                <w:sz w:val="21"/>
                <w:szCs w:val="21"/>
                <w:lang w:eastAsia="zh-CN"/>
              </w:rPr>
              <w:t>根据</w:t>
            </w:r>
            <w:r>
              <w:rPr>
                <w:rFonts w:ascii="Times New Roman" w:hAnsi="Times New Roman" w:hint="eastAsia"/>
                <w:color w:val="auto"/>
                <w:sz w:val="21"/>
                <w:szCs w:val="21"/>
                <w:lang w:eastAsia="zh-CN"/>
              </w:rPr>
              <w:t>2020</w:t>
            </w:r>
            <w:r>
              <w:rPr>
                <w:rFonts w:ascii="Times New Roman" w:hAnsi="Times New Roman" w:hint="eastAsia"/>
                <w:color w:val="auto"/>
                <w:sz w:val="21"/>
                <w:szCs w:val="21"/>
                <w:lang w:eastAsia="zh-CN"/>
              </w:rPr>
              <w:t>年</w:t>
            </w:r>
            <w:r>
              <w:rPr>
                <w:rFonts w:ascii="Times New Roman" w:hAnsi="Times New Roman" w:hint="eastAsia"/>
                <w:color w:val="auto"/>
                <w:sz w:val="21"/>
                <w:szCs w:val="21"/>
                <w:lang w:eastAsia="zh-CN"/>
              </w:rPr>
              <w:t>8</w:t>
            </w:r>
            <w:r>
              <w:rPr>
                <w:rFonts w:ascii="Times New Roman" w:hAnsi="Times New Roman" w:hint="eastAsia"/>
                <w:color w:val="auto"/>
                <w:sz w:val="21"/>
                <w:szCs w:val="21"/>
                <w:lang w:eastAsia="zh-CN"/>
              </w:rPr>
              <w:t>月自然资源部办公厅</w:t>
            </w:r>
            <w:r>
              <w:rPr>
                <w:rFonts w:ascii="Times New Roman" w:hAnsi="Times New Roman" w:hint="eastAsia"/>
                <w:color w:val="auto"/>
                <w:sz w:val="21"/>
                <w:szCs w:val="21"/>
                <w:lang w:eastAsia="zh-CN"/>
              </w:rPr>
              <w:t xml:space="preserve"> </w:t>
            </w:r>
            <w:r>
              <w:rPr>
                <w:rFonts w:ascii="Times New Roman" w:hAnsi="Times New Roman" w:hint="eastAsia"/>
                <w:color w:val="auto"/>
                <w:sz w:val="21"/>
                <w:szCs w:val="21"/>
                <w:lang w:eastAsia="zh-CN"/>
              </w:rPr>
              <w:t>财政部办公厅生态环境部办公厅印发的《山水林田湖草生态保护修复工程指南（试行）》，山水林田湖草生态保护修复工程自然生态空间保护修复要求中针对自然保护地核心保护区，“按照禁止开发区域管控要求，加大封育力度，因病虫害、外来物种入侵、维持主要保护对象生存环境、森林防火等特殊情况，</w:t>
            </w:r>
            <w:r>
              <w:rPr>
                <w:rFonts w:ascii="Times New Roman" w:hAnsi="Times New Roman" w:hint="eastAsia"/>
                <w:b/>
                <w:bCs/>
                <w:color w:val="auto"/>
                <w:sz w:val="21"/>
                <w:szCs w:val="21"/>
                <w:lang w:eastAsia="zh-CN"/>
              </w:rPr>
              <w:t>经批准可以开展重要生态修复工程</w:t>
            </w:r>
            <w:r>
              <w:rPr>
                <w:rFonts w:ascii="Times New Roman" w:hAnsi="Times New Roman" w:hint="eastAsia"/>
                <w:color w:val="auto"/>
                <w:sz w:val="21"/>
                <w:szCs w:val="21"/>
                <w:lang w:eastAsia="zh-CN"/>
              </w:rPr>
              <w:t>，以及物种重引入、增殖放流、病害动植物清理等生态保护修复活动。”</w:t>
            </w:r>
          </w:p>
          <w:p w14:paraId="030EE677" w14:textId="77777777" w:rsidR="0075791A" w:rsidRDefault="0075791A">
            <w:pPr>
              <w:pStyle w:val="TableText"/>
              <w:spacing w:line="288" w:lineRule="auto"/>
              <w:ind w:leftChars="200" w:left="420"/>
              <w:jc w:val="both"/>
              <w:rPr>
                <w:rFonts w:ascii="Times New Roman" w:hAnsi="Times New Roman"/>
                <w:b/>
                <w:bCs/>
                <w:color w:val="auto"/>
                <w:sz w:val="21"/>
                <w:szCs w:val="21"/>
                <w:lang w:eastAsia="zh-CN"/>
              </w:rPr>
            </w:pPr>
          </w:p>
          <w:p w14:paraId="6DAC120F" w14:textId="77777777" w:rsidR="0075791A" w:rsidRDefault="00FB2864">
            <w:pPr>
              <w:pStyle w:val="TableText"/>
              <w:spacing w:line="288" w:lineRule="auto"/>
              <w:ind w:firstLineChars="200" w:firstLine="420"/>
              <w:jc w:val="both"/>
              <w:rPr>
                <w:rFonts w:ascii="Times New Roman" w:hAnsi="Times New Roman"/>
                <w:color w:val="auto"/>
                <w:sz w:val="21"/>
                <w:szCs w:val="21"/>
                <w:lang w:eastAsia="zh-CN"/>
              </w:rPr>
            </w:pPr>
            <w:r>
              <w:rPr>
                <w:rFonts w:ascii="Times New Roman" w:hAnsi="Times New Roman" w:hint="eastAsia"/>
                <w:color w:val="auto"/>
                <w:sz w:val="21"/>
                <w:szCs w:val="21"/>
                <w:lang w:eastAsia="zh-CN"/>
              </w:rPr>
              <w:t>综上，</w:t>
            </w:r>
            <w:r>
              <w:rPr>
                <w:rFonts w:ascii="Times New Roman" w:hAnsi="Times New Roman"/>
                <w:color w:val="auto"/>
                <w:sz w:val="21"/>
                <w:szCs w:val="21"/>
                <w:lang w:eastAsia="zh-CN"/>
              </w:rPr>
              <w:t>铁炉港红树林湿地保护修复项目是海南南部典型热带区域山水林田湖草沙一体化保护和修复工</w:t>
            </w:r>
            <w:r>
              <w:rPr>
                <w:rFonts w:ascii="Times New Roman" w:hAnsi="Times New Roman"/>
                <w:color w:val="auto"/>
                <w:sz w:val="21"/>
                <w:szCs w:val="21"/>
                <w:lang w:eastAsia="zh-CN"/>
              </w:rPr>
              <w:t>程之三十二子项目</w:t>
            </w:r>
            <w:r>
              <w:rPr>
                <w:rFonts w:ascii="Times New Roman" w:hAnsi="Times New Roman" w:hint="eastAsia"/>
                <w:color w:val="auto"/>
                <w:sz w:val="21"/>
                <w:szCs w:val="21"/>
                <w:lang w:eastAsia="zh-CN"/>
              </w:rPr>
              <w:t>，清淤疏浚是该项目建设内容之一，也是“山水工程”考核指标之一，为生态修复活动。</w:t>
            </w:r>
            <w:r>
              <w:rPr>
                <w:rFonts w:ascii="Times New Roman" w:hAnsi="Times New Roman" w:hint="eastAsia"/>
                <w:color w:val="auto"/>
                <w:sz w:val="21"/>
                <w:szCs w:val="21"/>
                <w:lang w:eastAsia="zh-CN"/>
              </w:rPr>
              <w:t>依据《中华人民共和国自然保护区条例》，可</w:t>
            </w:r>
            <w:r>
              <w:rPr>
                <w:rFonts w:ascii="Times New Roman" w:hAnsi="Times New Roman" w:hint="eastAsia"/>
                <w:color w:val="auto"/>
                <w:sz w:val="21"/>
                <w:szCs w:val="21"/>
                <w:lang w:eastAsia="zh-CN"/>
              </w:rPr>
              <w:t>在生态保护红线内自然保护地核心保护区，开展生态修复活动。</w:t>
            </w: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同时，本项目也是《</w:t>
            </w:r>
            <w:r>
              <w:rPr>
                <w:rFonts w:ascii="Times New Roman" w:hAnsi="Times New Roman"/>
                <w:color w:val="auto"/>
                <w:sz w:val="21"/>
                <w:szCs w:val="21"/>
                <w:lang w:eastAsia="zh-CN"/>
              </w:rPr>
              <w:t>中华人民共和国森林法</w:t>
            </w:r>
            <w:r>
              <w:rPr>
                <w:rFonts w:ascii="Times New Roman" w:hAnsi="Times New Roman" w:hint="eastAsia"/>
                <w:color w:val="auto"/>
                <w:sz w:val="21"/>
                <w:szCs w:val="21"/>
                <w:lang w:eastAsia="zh-CN"/>
              </w:rPr>
              <w:t>》《中华人民共和国湿地保护法》《中华人民共和国海洋环境保护法》等法律法规支持开展的红树林森林资源、红树林湿地和红树林典型生态系统保护修复项目。因此，本项目建设符合相关法律法规。</w:t>
            </w:r>
          </w:p>
          <w:p w14:paraId="7D3DB771" w14:textId="77777777" w:rsidR="0075791A" w:rsidRDefault="0075791A">
            <w:pPr>
              <w:pStyle w:val="TableText"/>
              <w:spacing w:line="288" w:lineRule="auto"/>
              <w:ind w:firstLineChars="200" w:firstLine="420"/>
              <w:jc w:val="both"/>
              <w:rPr>
                <w:rFonts w:ascii="Times New Roman" w:hAnsi="Times New Roman"/>
                <w:color w:val="auto"/>
                <w:sz w:val="21"/>
                <w:szCs w:val="21"/>
                <w:lang w:eastAsia="zh-CN"/>
              </w:rPr>
            </w:pPr>
          </w:p>
          <w:p w14:paraId="43B373D8" w14:textId="77777777" w:rsidR="0075791A" w:rsidRDefault="00FB2864">
            <w:pPr>
              <w:pStyle w:val="TableText"/>
              <w:spacing w:line="288" w:lineRule="auto"/>
              <w:ind w:firstLineChars="200" w:firstLine="422"/>
              <w:jc w:val="both"/>
              <w:rPr>
                <w:rFonts w:ascii="Times New Roman" w:hAnsi="Times New Roman"/>
                <w:b/>
                <w:bCs/>
                <w:color w:val="auto"/>
                <w:sz w:val="21"/>
                <w:szCs w:val="21"/>
                <w:lang w:eastAsia="zh-CN"/>
              </w:rPr>
            </w:pPr>
            <w:r>
              <w:rPr>
                <w:rFonts w:ascii="Times New Roman" w:hAnsi="Times New Roman" w:hint="eastAsia"/>
                <w:b/>
                <w:bCs/>
                <w:color w:val="auto"/>
                <w:sz w:val="21"/>
                <w:szCs w:val="21"/>
                <w:lang w:eastAsia="zh-CN"/>
              </w:rPr>
              <w:t>2</w:t>
            </w:r>
            <w:r>
              <w:rPr>
                <w:rFonts w:ascii="Times New Roman" w:hAnsi="Times New Roman" w:hint="eastAsia"/>
                <w:b/>
                <w:bCs/>
                <w:color w:val="auto"/>
                <w:sz w:val="21"/>
                <w:szCs w:val="21"/>
                <w:lang w:eastAsia="zh-CN"/>
              </w:rPr>
              <w:t>）生态保护红线准入符合性分析</w:t>
            </w:r>
          </w:p>
          <w:p w14:paraId="567000CE" w14:textId="77777777" w:rsidR="0075791A" w:rsidRDefault="00FB2864">
            <w:pPr>
              <w:pStyle w:val="TableText"/>
              <w:spacing w:line="288" w:lineRule="auto"/>
              <w:ind w:firstLineChars="200" w:firstLine="420"/>
              <w:jc w:val="both"/>
              <w:rPr>
                <w:rFonts w:ascii="Times New Roman" w:hAnsi="Times New Roman"/>
                <w:color w:val="auto"/>
                <w:sz w:val="21"/>
                <w:szCs w:val="21"/>
                <w:lang w:eastAsia="zh-CN"/>
              </w:rPr>
            </w:pPr>
            <w:r>
              <w:rPr>
                <w:rFonts w:ascii="Times New Roman" w:hAnsi="Times New Roman" w:hint="eastAsia"/>
                <w:color w:val="auto"/>
                <w:sz w:val="21"/>
                <w:szCs w:val="21"/>
                <w:lang w:eastAsia="zh-CN"/>
              </w:rPr>
              <w:t>依据《三亚市国土空间总体规划（</w:t>
            </w:r>
            <w:r>
              <w:rPr>
                <w:rFonts w:ascii="Times New Roman" w:hAnsi="Times New Roman" w:hint="eastAsia"/>
                <w:color w:val="auto"/>
                <w:sz w:val="21"/>
                <w:szCs w:val="21"/>
                <w:lang w:eastAsia="zh-CN"/>
              </w:rPr>
              <w:t>2021-2035</w:t>
            </w:r>
            <w:r>
              <w:rPr>
                <w:rFonts w:ascii="Times New Roman" w:hAnsi="Times New Roman" w:hint="eastAsia"/>
                <w:color w:val="auto"/>
                <w:sz w:val="21"/>
                <w:szCs w:val="21"/>
                <w:lang w:eastAsia="zh-CN"/>
              </w:rPr>
              <w:t>年）》“三区三线”划定成果，本项目</w:t>
            </w:r>
            <w:r>
              <w:rPr>
                <w:rFonts w:ascii="Times New Roman" w:hAnsi="Times New Roman" w:hint="eastAsia"/>
                <w:color w:val="auto"/>
                <w:sz w:val="21"/>
                <w:szCs w:val="21"/>
                <w:lang w:eastAsia="zh-CN"/>
              </w:rPr>
              <w:t>申请用海</w:t>
            </w:r>
            <w:r>
              <w:rPr>
                <w:rFonts w:ascii="Times New Roman" w:hAnsi="Times New Roman" w:hint="eastAsia"/>
                <w:color w:val="auto"/>
                <w:sz w:val="21"/>
                <w:szCs w:val="21"/>
                <w:lang w:eastAsia="zh-CN"/>
              </w:rPr>
              <w:t>涉及生态保护红线</w:t>
            </w:r>
            <w:r>
              <w:rPr>
                <w:rFonts w:ascii="Times New Roman" w:hAnsi="Times New Roman" w:hint="eastAsia"/>
                <w:color w:val="auto"/>
                <w:sz w:val="21"/>
                <w:szCs w:val="21"/>
                <w:lang w:eastAsia="zh-CN"/>
              </w:rPr>
              <w:t>152465</w:t>
            </w:r>
            <w:r>
              <w:rPr>
                <w:rFonts w:ascii="Times New Roman" w:hAnsi="Times New Roman" w:hint="eastAsia"/>
                <w:color w:val="auto"/>
                <w:sz w:val="21"/>
                <w:szCs w:val="21"/>
                <w:lang w:eastAsia="zh-CN"/>
              </w:rPr>
              <w:t>公顷，其中</w:t>
            </w:r>
            <w:r>
              <w:rPr>
                <w:rFonts w:ascii="Times New Roman" w:hAnsi="Times New Roman" w:hint="eastAsia"/>
                <w:color w:val="auto"/>
                <w:sz w:val="21"/>
                <w:szCs w:val="21"/>
                <w:lang w:eastAsia="zh-CN"/>
              </w:rPr>
              <w:t>14.8579</w:t>
            </w:r>
            <w:r>
              <w:rPr>
                <w:rFonts w:ascii="Times New Roman" w:hAnsi="Times New Roman" w:hint="eastAsia"/>
                <w:color w:val="auto"/>
                <w:sz w:val="21"/>
                <w:szCs w:val="21"/>
                <w:lang w:eastAsia="zh-CN"/>
              </w:rPr>
              <w:t>公顷</w:t>
            </w:r>
            <w:r>
              <w:rPr>
                <w:rFonts w:ascii="Times New Roman" w:hAnsi="Times New Roman" w:hint="eastAsia"/>
                <w:color w:val="auto"/>
                <w:sz w:val="21"/>
                <w:szCs w:val="21"/>
                <w:lang w:eastAsia="zh-CN"/>
              </w:rPr>
              <w:t>疏浚区</w:t>
            </w:r>
            <w:r>
              <w:rPr>
                <w:rFonts w:ascii="Times New Roman" w:hAnsi="Times New Roman" w:hint="eastAsia"/>
                <w:color w:val="auto"/>
                <w:sz w:val="21"/>
                <w:szCs w:val="21"/>
                <w:lang w:eastAsia="zh-CN"/>
              </w:rPr>
              <w:t>位于海南三亚</w:t>
            </w:r>
            <w:r>
              <w:rPr>
                <w:rFonts w:ascii="Times New Roman" w:hAnsi="Times New Roman"/>
                <w:color w:val="auto"/>
                <w:sz w:val="21"/>
                <w:szCs w:val="21"/>
                <w:lang w:eastAsia="zh-CN"/>
              </w:rPr>
              <w:t>红树林</w:t>
            </w:r>
            <w:r>
              <w:rPr>
                <w:rFonts w:ascii="Times New Roman" w:hAnsi="Times New Roman" w:hint="eastAsia"/>
                <w:color w:val="auto"/>
                <w:sz w:val="21"/>
                <w:szCs w:val="21"/>
                <w:lang w:eastAsia="zh-CN"/>
              </w:rPr>
              <w:t>省级自然保护区的</w:t>
            </w:r>
            <w:r>
              <w:rPr>
                <w:rFonts w:ascii="Times New Roman" w:hAnsi="Times New Roman"/>
                <w:b/>
                <w:bCs/>
                <w:color w:val="auto"/>
                <w:sz w:val="21"/>
                <w:szCs w:val="21"/>
                <w:lang w:eastAsia="zh-CN"/>
              </w:rPr>
              <w:t>自然</w:t>
            </w:r>
            <w:r>
              <w:rPr>
                <w:rFonts w:ascii="Times New Roman" w:hAnsi="Times New Roman" w:hint="eastAsia"/>
                <w:b/>
                <w:bCs/>
                <w:color w:val="auto"/>
                <w:sz w:val="21"/>
                <w:szCs w:val="21"/>
                <w:lang w:eastAsia="zh-CN"/>
              </w:rPr>
              <w:t>保护地核心保护区</w:t>
            </w:r>
            <w:r>
              <w:rPr>
                <w:rFonts w:ascii="Times New Roman" w:hAnsi="Times New Roman" w:hint="eastAsia"/>
                <w:color w:val="auto"/>
                <w:sz w:val="21"/>
                <w:szCs w:val="21"/>
                <w:lang w:eastAsia="zh-CN"/>
              </w:rPr>
              <w:t>的</w:t>
            </w:r>
            <w:r>
              <w:rPr>
                <w:rFonts w:ascii="Times New Roman" w:hAnsi="Times New Roman" w:hint="eastAsia"/>
                <w:color w:val="auto"/>
                <w:sz w:val="21"/>
                <w:szCs w:val="21"/>
                <w:lang w:eastAsia="zh-CN"/>
              </w:rPr>
              <w:t>生态保护红线</w:t>
            </w:r>
            <w:r>
              <w:rPr>
                <w:rFonts w:ascii="Times New Roman" w:hAnsi="Times New Roman" w:hint="eastAsia"/>
                <w:color w:val="auto"/>
                <w:sz w:val="21"/>
                <w:szCs w:val="21"/>
                <w:lang w:eastAsia="zh-CN"/>
              </w:rPr>
              <w:t>内，</w:t>
            </w:r>
            <w:r>
              <w:rPr>
                <w:rFonts w:ascii="Times New Roman" w:hAnsi="Times New Roman"/>
                <w:color w:val="auto"/>
                <w:sz w:val="21"/>
                <w:szCs w:val="21"/>
                <w:lang w:eastAsia="zh-CN"/>
              </w:rPr>
              <w:t>涉及的生态保护红线类型是红树林</w:t>
            </w: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0.3515</w:t>
            </w:r>
            <w:r>
              <w:rPr>
                <w:rFonts w:ascii="Times New Roman" w:hAnsi="Times New Roman" w:hint="eastAsia"/>
                <w:color w:val="auto"/>
                <w:sz w:val="21"/>
                <w:szCs w:val="21"/>
                <w:lang w:eastAsia="zh-CN"/>
              </w:rPr>
              <w:t>公顷透水构筑物位于</w:t>
            </w:r>
            <w:r>
              <w:rPr>
                <w:rFonts w:ascii="Times New Roman" w:hAnsi="Times New Roman" w:hint="eastAsia"/>
                <w:b/>
                <w:bCs/>
                <w:color w:val="auto"/>
                <w:sz w:val="21"/>
                <w:szCs w:val="21"/>
                <w:lang w:eastAsia="zh-CN"/>
              </w:rPr>
              <w:t>自然保护地一般控制区</w:t>
            </w:r>
            <w:r>
              <w:rPr>
                <w:rFonts w:ascii="Times New Roman" w:hAnsi="Times New Roman" w:hint="eastAsia"/>
                <w:color w:val="auto"/>
                <w:sz w:val="21"/>
                <w:szCs w:val="21"/>
                <w:lang w:eastAsia="zh-CN"/>
              </w:rPr>
              <w:t>的生态保护红线，</w:t>
            </w:r>
            <w:r>
              <w:rPr>
                <w:rFonts w:ascii="Times New Roman" w:hAnsi="Times New Roman" w:hint="eastAsia"/>
                <w:color w:val="auto"/>
                <w:sz w:val="21"/>
                <w:szCs w:val="21"/>
                <w:lang w:eastAsia="zh-CN"/>
              </w:rPr>
              <w:t>同时有</w:t>
            </w:r>
            <w:r>
              <w:rPr>
                <w:rFonts w:ascii="Times New Roman" w:hAnsi="Times New Roman" w:hint="eastAsia"/>
                <w:color w:val="auto"/>
                <w:sz w:val="21"/>
                <w:szCs w:val="21"/>
                <w:lang w:eastAsia="zh-CN"/>
              </w:rPr>
              <w:t>0.</w:t>
            </w:r>
            <w:r>
              <w:rPr>
                <w:rFonts w:ascii="Times New Roman" w:hAnsi="Times New Roman" w:hint="eastAsia"/>
                <w:color w:val="auto"/>
                <w:sz w:val="21"/>
                <w:szCs w:val="21"/>
                <w:lang w:eastAsia="zh-CN"/>
              </w:rPr>
              <w:t>0093</w:t>
            </w:r>
            <w:r>
              <w:rPr>
                <w:rFonts w:ascii="Times New Roman" w:hAnsi="Times New Roman" w:hint="eastAsia"/>
                <w:color w:val="auto"/>
                <w:sz w:val="21"/>
                <w:szCs w:val="21"/>
                <w:lang w:eastAsia="zh-CN"/>
              </w:rPr>
              <w:t>公顷</w:t>
            </w:r>
            <w:r>
              <w:rPr>
                <w:rFonts w:ascii="Times New Roman" w:hAnsi="Times New Roman" w:hint="eastAsia"/>
                <w:color w:val="auto"/>
                <w:sz w:val="21"/>
                <w:szCs w:val="21"/>
                <w:lang w:eastAsia="zh-CN"/>
              </w:rPr>
              <w:t>疏浚区和</w:t>
            </w:r>
            <w:r>
              <w:rPr>
                <w:rFonts w:ascii="Times New Roman" w:hAnsi="Times New Roman" w:hint="eastAsia"/>
                <w:color w:val="auto"/>
                <w:sz w:val="21"/>
                <w:szCs w:val="21"/>
                <w:lang w:eastAsia="zh-CN"/>
              </w:rPr>
              <w:t>0.0278</w:t>
            </w:r>
            <w:r>
              <w:rPr>
                <w:rFonts w:ascii="Times New Roman" w:hAnsi="Times New Roman" w:hint="eastAsia"/>
                <w:color w:val="auto"/>
                <w:sz w:val="21"/>
                <w:szCs w:val="21"/>
                <w:lang w:eastAsia="zh-CN"/>
              </w:rPr>
              <w:t>公顷透水构筑物</w:t>
            </w:r>
            <w:r>
              <w:rPr>
                <w:rFonts w:ascii="Times New Roman" w:hAnsi="Times New Roman" w:hint="eastAsia"/>
                <w:color w:val="auto"/>
                <w:sz w:val="21"/>
                <w:szCs w:val="21"/>
                <w:lang w:eastAsia="zh-CN"/>
              </w:rPr>
              <w:t>位于</w:t>
            </w:r>
            <w:r>
              <w:rPr>
                <w:rFonts w:ascii="Times New Roman" w:hAnsi="Times New Roman" w:hint="eastAsia"/>
                <w:b/>
                <w:bCs/>
                <w:color w:val="auto"/>
                <w:sz w:val="21"/>
                <w:szCs w:val="21"/>
                <w:lang w:eastAsia="zh-CN"/>
              </w:rPr>
              <w:t>自然保护地以外区域</w:t>
            </w:r>
            <w:r>
              <w:rPr>
                <w:rFonts w:ascii="Times New Roman" w:hAnsi="Times New Roman" w:hint="eastAsia"/>
                <w:color w:val="auto"/>
                <w:sz w:val="21"/>
                <w:szCs w:val="21"/>
                <w:lang w:eastAsia="zh-CN"/>
              </w:rPr>
              <w:t>的</w:t>
            </w:r>
            <w:r>
              <w:rPr>
                <w:rFonts w:ascii="Times New Roman" w:hAnsi="Times New Roman" w:hint="eastAsia"/>
                <w:color w:val="auto"/>
                <w:sz w:val="21"/>
                <w:szCs w:val="21"/>
                <w:lang w:eastAsia="zh-CN"/>
              </w:rPr>
              <w:t>生态保护红线</w:t>
            </w:r>
            <w:r>
              <w:rPr>
                <w:rFonts w:ascii="Times New Roman" w:hAnsi="Times New Roman" w:hint="eastAsia"/>
                <w:color w:val="auto"/>
                <w:sz w:val="21"/>
                <w:szCs w:val="21"/>
                <w:lang w:eastAsia="zh-CN"/>
              </w:rPr>
              <w:t>，涉及的生态保护红线类型是重要滩涂及浅海水域。</w:t>
            </w:r>
          </w:p>
          <w:p w14:paraId="21DBC8C9" w14:textId="77777777" w:rsidR="0075791A" w:rsidRDefault="00FB2864">
            <w:pPr>
              <w:pStyle w:val="TableText"/>
              <w:spacing w:line="288" w:lineRule="auto"/>
              <w:ind w:firstLineChars="200" w:firstLine="422"/>
              <w:jc w:val="center"/>
              <w:rPr>
                <w:b/>
                <w:bCs/>
                <w:color w:val="auto"/>
                <w:sz w:val="21"/>
                <w:szCs w:val="21"/>
                <w:lang w:eastAsia="zh-CN"/>
              </w:rPr>
            </w:pPr>
            <w:r>
              <w:rPr>
                <w:rFonts w:hint="eastAsia"/>
                <w:b/>
                <w:bCs/>
                <w:color w:val="auto"/>
                <w:sz w:val="21"/>
                <w:szCs w:val="21"/>
                <w:lang w:eastAsia="zh-CN"/>
              </w:rPr>
              <w:t>表</w:t>
            </w:r>
            <w:r>
              <w:rPr>
                <w:rFonts w:hint="eastAsia"/>
                <w:b/>
                <w:bCs/>
                <w:color w:val="auto"/>
                <w:sz w:val="21"/>
                <w:szCs w:val="21"/>
                <w:lang w:eastAsia="zh-CN"/>
              </w:rPr>
              <w:t xml:space="preserve"> </w:t>
            </w:r>
            <w:r>
              <w:rPr>
                <w:rFonts w:hint="eastAsia"/>
                <w:b/>
                <w:bCs/>
                <w:color w:val="auto"/>
                <w:sz w:val="21"/>
                <w:szCs w:val="21"/>
                <w:lang w:eastAsia="zh-CN"/>
              </w:rPr>
              <w:t>项目涉及生态保护红线情况</w:t>
            </w:r>
          </w:p>
          <w:tbl>
            <w:tblPr>
              <w:tblStyle w:val="ad"/>
              <w:tblW w:w="8559" w:type="dxa"/>
              <w:jc w:val="center"/>
              <w:tblLayout w:type="fixed"/>
              <w:tblLook w:val="04A0" w:firstRow="1" w:lastRow="0" w:firstColumn="1" w:lastColumn="0" w:noHBand="0" w:noVBand="1"/>
            </w:tblPr>
            <w:tblGrid>
              <w:gridCol w:w="604"/>
              <w:gridCol w:w="1533"/>
              <w:gridCol w:w="1268"/>
              <w:gridCol w:w="1680"/>
              <w:gridCol w:w="1535"/>
              <w:gridCol w:w="1939"/>
            </w:tblGrid>
            <w:tr w:rsidR="0075791A" w14:paraId="3FD5F35D" w14:textId="77777777">
              <w:trPr>
                <w:jc w:val="center"/>
              </w:trPr>
              <w:tc>
                <w:tcPr>
                  <w:tcW w:w="604" w:type="dxa"/>
                  <w:tcMar>
                    <w:top w:w="0" w:type="dxa"/>
                    <w:left w:w="57" w:type="dxa"/>
                    <w:bottom w:w="0" w:type="dxa"/>
                    <w:right w:w="57" w:type="dxa"/>
                  </w:tcMar>
                  <w:vAlign w:val="center"/>
                </w:tcPr>
                <w:p w14:paraId="07B29AB8" w14:textId="77777777" w:rsidR="0075791A" w:rsidRDefault="0075791A">
                  <w:pPr>
                    <w:kinsoku/>
                    <w:autoSpaceDE/>
                    <w:autoSpaceDN/>
                    <w:jc w:val="center"/>
                    <w:textAlignment w:val="auto"/>
                    <w:rPr>
                      <w:rFonts w:ascii="宋体" w:eastAsia="宋体" w:hAnsi="宋体" w:cs="宋体"/>
                      <w:b/>
                      <w:bCs/>
                      <w:color w:val="auto"/>
                      <w:lang w:eastAsia="zh-CN"/>
                    </w:rPr>
                  </w:pPr>
                </w:p>
              </w:tc>
              <w:tc>
                <w:tcPr>
                  <w:tcW w:w="1533" w:type="dxa"/>
                  <w:tcMar>
                    <w:top w:w="0" w:type="dxa"/>
                    <w:left w:w="57" w:type="dxa"/>
                    <w:bottom w:w="0" w:type="dxa"/>
                    <w:right w:w="57" w:type="dxa"/>
                  </w:tcMar>
                  <w:vAlign w:val="center"/>
                </w:tcPr>
                <w:p w14:paraId="69E63432" w14:textId="77777777" w:rsidR="0075791A" w:rsidRDefault="00FB2864">
                  <w:pPr>
                    <w:kinsoku/>
                    <w:autoSpaceDE/>
                    <w:autoSpaceDN/>
                    <w:jc w:val="center"/>
                    <w:textAlignment w:val="auto"/>
                    <w:rPr>
                      <w:rFonts w:ascii="宋体" w:eastAsia="宋体" w:hAnsi="宋体" w:cs="宋体"/>
                      <w:b/>
                      <w:bCs/>
                      <w:color w:val="auto"/>
                      <w:lang w:eastAsia="zh-CN"/>
                    </w:rPr>
                  </w:pPr>
                  <w:r>
                    <w:rPr>
                      <w:rFonts w:ascii="宋体" w:eastAsia="宋体" w:hAnsi="宋体" w:cs="宋体" w:hint="eastAsia"/>
                      <w:b/>
                      <w:bCs/>
                      <w:color w:val="auto"/>
                      <w:lang w:eastAsia="zh-CN"/>
                    </w:rPr>
                    <w:t>自然保护地的功能分区</w:t>
                  </w:r>
                </w:p>
              </w:tc>
              <w:tc>
                <w:tcPr>
                  <w:tcW w:w="1268" w:type="dxa"/>
                  <w:tcMar>
                    <w:top w:w="0" w:type="dxa"/>
                    <w:left w:w="57" w:type="dxa"/>
                    <w:bottom w:w="0" w:type="dxa"/>
                    <w:right w:w="57" w:type="dxa"/>
                  </w:tcMar>
                  <w:vAlign w:val="center"/>
                </w:tcPr>
                <w:p w14:paraId="3F6D5A93" w14:textId="77777777" w:rsidR="0075791A" w:rsidRDefault="00FB2864">
                  <w:pPr>
                    <w:kinsoku/>
                    <w:autoSpaceDE/>
                    <w:autoSpaceDN/>
                    <w:jc w:val="center"/>
                    <w:textAlignment w:val="auto"/>
                    <w:rPr>
                      <w:rFonts w:ascii="宋体" w:eastAsia="宋体" w:hAnsi="宋体" w:cs="宋体"/>
                      <w:b/>
                      <w:bCs/>
                      <w:color w:val="auto"/>
                      <w:lang w:eastAsia="zh-CN"/>
                    </w:rPr>
                  </w:pPr>
                  <w:r>
                    <w:rPr>
                      <w:rFonts w:ascii="宋体" w:eastAsia="宋体" w:hAnsi="宋体" w:cs="宋体" w:hint="eastAsia"/>
                      <w:b/>
                      <w:bCs/>
                      <w:color w:val="auto"/>
                      <w:lang w:eastAsia="zh-CN"/>
                    </w:rPr>
                    <w:t>建设内容</w:t>
                  </w:r>
                </w:p>
              </w:tc>
              <w:tc>
                <w:tcPr>
                  <w:tcW w:w="1680" w:type="dxa"/>
                  <w:tcMar>
                    <w:top w:w="0" w:type="dxa"/>
                    <w:left w:w="57" w:type="dxa"/>
                    <w:bottom w:w="0" w:type="dxa"/>
                    <w:right w:w="57" w:type="dxa"/>
                  </w:tcMar>
                  <w:vAlign w:val="center"/>
                </w:tcPr>
                <w:p w14:paraId="61388F45" w14:textId="77777777" w:rsidR="0075791A" w:rsidRDefault="00FB2864">
                  <w:pPr>
                    <w:kinsoku/>
                    <w:autoSpaceDE/>
                    <w:autoSpaceDN/>
                    <w:jc w:val="center"/>
                    <w:textAlignment w:val="auto"/>
                    <w:rPr>
                      <w:rFonts w:ascii="宋体" w:eastAsia="宋体" w:hAnsi="宋体" w:cs="宋体"/>
                      <w:b/>
                      <w:bCs/>
                      <w:color w:val="auto"/>
                      <w:lang w:eastAsia="zh-CN"/>
                    </w:rPr>
                  </w:pPr>
                  <w:r>
                    <w:rPr>
                      <w:rFonts w:ascii="宋体" w:eastAsia="宋体" w:hAnsi="宋体" w:cs="宋体" w:hint="eastAsia"/>
                      <w:b/>
                      <w:bCs/>
                      <w:color w:val="auto"/>
                      <w:lang w:eastAsia="zh-CN"/>
                    </w:rPr>
                    <w:t>涉及生态保护红线的面积</w:t>
                  </w:r>
                  <w:r>
                    <w:rPr>
                      <w:rFonts w:ascii="宋体" w:eastAsia="宋体" w:hAnsi="宋体" w:cs="宋体" w:hint="eastAsia"/>
                      <w:b/>
                      <w:bCs/>
                      <w:color w:val="auto"/>
                      <w:lang w:eastAsia="zh-CN"/>
                    </w:rPr>
                    <w:t>/</w:t>
                  </w:r>
                  <w:r>
                    <w:rPr>
                      <w:rFonts w:ascii="Times New Roman" w:eastAsia="宋体" w:hAnsi="Times New Roman" w:cs="Times New Roman" w:hint="eastAsia"/>
                      <w:b/>
                      <w:bCs/>
                      <w:color w:val="auto"/>
                      <w:lang w:eastAsia="zh-CN"/>
                    </w:rPr>
                    <w:t>公顷</w:t>
                  </w:r>
                </w:p>
              </w:tc>
              <w:tc>
                <w:tcPr>
                  <w:tcW w:w="1535" w:type="dxa"/>
                  <w:tcMar>
                    <w:top w:w="0" w:type="dxa"/>
                    <w:left w:w="57" w:type="dxa"/>
                    <w:bottom w:w="0" w:type="dxa"/>
                    <w:right w:w="57" w:type="dxa"/>
                  </w:tcMar>
                  <w:vAlign w:val="center"/>
                </w:tcPr>
                <w:p w14:paraId="51DD2A0C" w14:textId="77777777" w:rsidR="0075791A" w:rsidRDefault="00FB2864">
                  <w:pPr>
                    <w:kinsoku/>
                    <w:autoSpaceDE/>
                    <w:autoSpaceDN/>
                    <w:jc w:val="center"/>
                    <w:textAlignment w:val="auto"/>
                    <w:rPr>
                      <w:rFonts w:ascii="宋体" w:eastAsia="宋体" w:hAnsi="宋体" w:cs="宋体"/>
                      <w:b/>
                      <w:bCs/>
                      <w:color w:val="auto"/>
                      <w:lang w:eastAsia="zh-CN"/>
                    </w:rPr>
                  </w:pPr>
                  <w:r>
                    <w:rPr>
                      <w:rFonts w:ascii="宋体" w:eastAsia="宋体" w:hAnsi="宋体" w:cs="宋体" w:hint="eastAsia"/>
                      <w:b/>
                      <w:bCs/>
                      <w:color w:val="auto"/>
                      <w:lang w:eastAsia="zh-CN"/>
                    </w:rPr>
                    <w:t>生态保护</w:t>
                  </w:r>
                </w:p>
                <w:p w14:paraId="2CA3025A" w14:textId="77777777" w:rsidR="0075791A" w:rsidRDefault="00FB2864">
                  <w:pPr>
                    <w:kinsoku/>
                    <w:autoSpaceDE/>
                    <w:autoSpaceDN/>
                    <w:jc w:val="center"/>
                    <w:textAlignment w:val="auto"/>
                    <w:rPr>
                      <w:rFonts w:ascii="宋体" w:eastAsia="宋体" w:hAnsi="宋体" w:cs="宋体"/>
                      <w:b/>
                      <w:bCs/>
                      <w:color w:val="auto"/>
                      <w:lang w:eastAsia="zh-CN"/>
                    </w:rPr>
                  </w:pPr>
                  <w:r>
                    <w:rPr>
                      <w:rFonts w:ascii="宋体" w:eastAsia="宋体" w:hAnsi="宋体" w:cs="宋体" w:hint="eastAsia"/>
                      <w:b/>
                      <w:bCs/>
                      <w:color w:val="auto"/>
                      <w:lang w:eastAsia="zh-CN"/>
                    </w:rPr>
                    <w:t>红线类型</w:t>
                  </w:r>
                </w:p>
              </w:tc>
              <w:tc>
                <w:tcPr>
                  <w:tcW w:w="1939" w:type="dxa"/>
                  <w:tcMar>
                    <w:top w:w="0" w:type="dxa"/>
                    <w:left w:w="57" w:type="dxa"/>
                    <w:bottom w:w="0" w:type="dxa"/>
                    <w:right w:w="57" w:type="dxa"/>
                  </w:tcMar>
                  <w:vAlign w:val="center"/>
                </w:tcPr>
                <w:p w14:paraId="049DF112" w14:textId="77777777" w:rsidR="0075791A" w:rsidRDefault="00FB2864">
                  <w:pPr>
                    <w:kinsoku/>
                    <w:autoSpaceDE/>
                    <w:autoSpaceDN/>
                    <w:jc w:val="center"/>
                    <w:textAlignment w:val="auto"/>
                    <w:rPr>
                      <w:rFonts w:ascii="宋体" w:eastAsia="宋体" w:hAnsi="宋体" w:cs="宋体"/>
                      <w:b/>
                      <w:bCs/>
                      <w:color w:val="auto"/>
                      <w:lang w:eastAsia="zh-CN"/>
                    </w:rPr>
                  </w:pPr>
                  <w:r>
                    <w:rPr>
                      <w:rFonts w:ascii="宋体" w:eastAsia="宋体" w:hAnsi="宋体" w:cs="宋体" w:hint="eastAsia"/>
                      <w:b/>
                      <w:bCs/>
                      <w:color w:val="auto"/>
                      <w:lang w:eastAsia="zh-CN"/>
                    </w:rPr>
                    <w:t>自然保护地</w:t>
                  </w:r>
                </w:p>
                <w:p w14:paraId="3A35DFC2" w14:textId="77777777" w:rsidR="0075791A" w:rsidRDefault="00FB2864">
                  <w:pPr>
                    <w:kinsoku/>
                    <w:autoSpaceDE/>
                    <w:autoSpaceDN/>
                    <w:jc w:val="center"/>
                    <w:textAlignment w:val="auto"/>
                    <w:rPr>
                      <w:rFonts w:ascii="宋体" w:eastAsia="宋体" w:hAnsi="宋体" w:cs="宋体"/>
                      <w:b/>
                      <w:bCs/>
                      <w:color w:val="auto"/>
                      <w:lang w:eastAsia="zh-CN"/>
                    </w:rPr>
                  </w:pPr>
                  <w:r>
                    <w:rPr>
                      <w:rFonts w:ascii="宋体" w:eastAsia="宋体" w:hAnsi="宋体" w:cs="宋体" w:hint="eastAsia"/>
                      <w:b/>
                      <w:bCs/>
                      <w:color w:val="auto"/>
                      <w:lang w:eastAsia="zh-CN"/>
                    </w:rPr>
                    <w:t>名称</w:t>
                  </w:r>
                </w:p>
              </w:tc>
            </w:tr>
            <w:tr w:rsidR="0075791A" w14:paraId="3E9067A7" w14:textId="77777777">
              <w:trPr>
                <w:trHeight w:val="552"/>
                <w:jc w:val="center"/>
              </w:trPr>
              <w:tc>
                <w:tcPr>
                  <w:tcW w:w="604" w:type="dxa"/>
                  <w:vMerge w:val="restart"/>
                  <w:tcMar>
                    <w:top w:w="0" w:type="dxa"/>
                    <w:left w:w="57" w:type="dxa"/>
                    <w:bottom w:w="0" w:type="dxa"/>
                    <w:right w:w="57" w:type="dxa"/>
                  </w:tcMar>
                  <w:vAlign w:val="center"/>
                </w:tcPr>
                <w:p w14:paraId="0DE6011E" w14:textId="77777777" w:rsidR="0075791A" w:rsidRDefault="00FB2864">
                  <w:pPr>
                    <w:kinsoku/>
                    <w:autoSpaceDE/>
                    <w:autoSpaceDN/>
                    <w:spacing w:line="360" w:lineRule="auto"/>
                    <w:jc w:val="center"/>
                    <w:textAlignment w:val="auto"/>
                    <w:rPr>
                      <w:rFonts w:ascii="Times New Roman" w:hAnsi="Times New Roman" w:cs="Times New Roman"/>
                      <w:color w:val="auto"/>
                      <w:lang w:eastAsia="zh-CN"/>
                    </w:rPr>
                  </w:pPr>
                  <w:r>
                    <w:rPr>
                      <w:rFonts w:ascii="Times New Roman" w:hAnsi="Times New Roman" w:cs="Times New Roman" w:hint="eastAsia"/>
                      <w:color w:val="auto"/>
                      <w:lang w:eastAsia="zh-CN"/>
                    </w:rPr>
                    <w:t>二期</w:t>
                  </w:r>
                </w:p>
                <w:p w14:paraId="4BC59691" w14:textId="77777777" w:rsidR="0075791A" w:rsidRDefault="00FB2864">
                  <w:pPr>
                    <w:kinsoku/>
                    <w:autoSpaceDE/>
                    <w:autoSpaceDN/>
                    <w:spacing w:line="360" w:lineRule="auto"/>
                    <w:jc w:val="center"/>
                    <w:textAlignment w:val="auto"/>
                    <w:rPr>
                      <w:rFonts w:ascii="Times New Roman" w:hAnsi="Times New Roman" w:cs="Times New Roman"/>
                      <w:color w:val="auto"/>
                      <w:lang w:eastAsia="zh-CN"/>
                    </w:rPr>
                  </w:pPr>
                  <w:r>
                    <w:rPr>
                      <w:rFonts w:ascii="Times New Roman" w:hAnsi="Times New Roman" w:cs="Times New Roman" w:hint="eastAsia"/>
                      <w:color w:val="auto"/>
                      <w:lang w:eastAsia="zh-CN"/>
                    </w:rPr>
                    <w:t>疏浚活动</w:t>
                  </w:r>
                </w:p>
              </w:tc>
              <w:tc>
                <w:tcPr>
                  <w:tcW w:w="1533" w:type="dxa"/>
                  <w:tcMar>
                    <w:top w:w="0" w:type="dxa"/>
                    <w:left w:w="57" w:type="dxa"/>
                    <w:bottom w:w="0" w:type="dxa"/>
                    <w:right w:w="57" w:type="dxa"/>
                  </w:tcMar>
                  <w:vAlign w:val="center"/>
                </w:tcPr>
                <w:p w14:paraId="762E1B21"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hAnsi="Times New Roman" w:cs="Times New Roman" w:hint="eastAsia"/>
                      <w:color w:val="auto"/>
                      <w:lang w:eastAsia="zh-CN"/>
                    </w:rPr>
                    <w:t>核心保护区</w:t>
                  </w:r>
                </w:p>
              </w:tc>
              <w:tc>
                <w:tcPr>
                  <w:tcW w:w="1268" w:type="dxa"/>
                  <w:tcMar>
                    <w:top w:w="0" w:type="dxa"/>
                    <w:left w:w="57" w:type="dxa"/>
                    <w:bottom w:w="0" w:type="dxa"/>
                    <w:right w:w="57" w:type="dxa"/>
                  </w:tcMar>
                  <w:vAlign w:val="center"/>
                </w:tcPr>
                <w:p w14:paraId="61D3B4C0"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hAnsi="Times New Roman" w:cs="Times New Roman" w:hint="eastAsia"/>
                      <w:color w:val="auto"/>
                      <w:lang w:eastAsia="zh-CN"/>
                    </w:rPr>
                    <w:t>疏浚工程</w:t>
                  </w:r>
                </w:p>
              </w:tc>
              <w:tc>
                <w:tcPr>
                  <w:tcW w:w="1680" w:type="dxa"/>
                  <w:tcMar>
                    <w:top w:w="0" w:type="dxa"/>
                    <w:left w:w="57" w:type="dxa"/>
                    <w:bottom w:w="0" w:type="dxa"/>
                    <w:right w:w="57" w:type="dxa"/>
                  </w:tcMar>
                  <w:vAlign w:val="center"/>
                </w:tcPr>
                <w:p w14:paraId="11CA1C05"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14.8579</w:t>
                  </w:r>
                </w:p>
              </w:tc>
              <w:tc>
                <w:tcPr>
                  <w:tcW w:w="1535" w:type="dxa"/>
                  <w:tcMar>
                    <w:top w:w="0" w:type="dxa"/>
                    <w:left w:w="57" w:type="dxa"/>
                    <w:bottom w:w="0" w:type="dxa"/>
                    <w:right w:w="57" w:type="dxa"/>
                  </w:tcMar>
                  <w:vAlign w:val="center"/>
                </w:tcPr>
                <w:p w14:paraId="11A19F5F"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color w:val="auto"/>
                      <w:lang w:eastAsia="zh-CN"/>
                    </w:rPr>
                    <w:t>红树林</w:t>
                  </w:r>
                </w:p>
              </w:tc>
              <w:tc>
                <w:tcPr>
                  <w:tcW w:w="1939" w:type="dxa"/>
                  <w:tcMar>
                    <w:top w:w="0" w:type="dxa"/>
                    <w:left w:w="57" w:type="dxa"/>
                    <w:bottom w:w="0" w:type="dxa"/>
                    <w:right w:w="57" w:type="dxa"/>
                  </w:tcMar>
                  <w:vAlign w:val="center"/>
                </w:tcPr>
                <w:p w14:paraId="006BB1CB"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eastAsia="宋体" w:hAnsi="Times New Roman" w:cs="Times New Roman"/>
                      <w:color w:val="auto"/>
                      <w:lang w:eastAsia="zh-CN"/>
                    </w:rPr>
                    <w:t>海南三亚红树林省级自然保护区</w:t>
                  </w:r>
                </w:p>
              </w:tc>
            </w:tr>
            <w:tr w:rsidR="0075791A" w14:paraId="1B56D75A" w14:textId="77777777">
              <w:trPr>
                <w:jc w:val="center"/>
              </w:trPr>
              <w:tc>
                <w:tcPr>
                  <w:tcW w:w="604" w:type="dxa"/>
                  <w:vMerge/>
                  <w:tcMar>
                    <w:top w:w="0" w:type="dxa"/>
                    <w:left w:w="57" w:type="dxa"/>
                    <w:bottom w:w="0" w:type="dxa"/>
                    <w:right w:w="57" w:type="dxa"/>
                  </w:tcMar>
                  <w:vAlign w:val="center"/>
                </w:tcPr>
                <w:p w14:paraId="44E54045" w14:textId="77777777" w:rsidR="0075791A" w:rsidRDefault="0075791A">
                  <w:pPr>
                    <w:kinsoku/>
                    <w:autoSpaceDE/>
                    <w:autoSpaceDN/>
                    <w:spacing w:line="360" w:lineRule="auto"/>
                    <w:jc w:val="center"/>
                    <w:textAlignment w:val="auto"/>
                    <w:rPr>
                      <w:rFonts w:ascii="Times New Roman" w:hAnsi="Times New Roman" w:cs="Times New Roman"/>
                      <w:color w:val="auto"/>
                      <w:lang w:eastAsia="zh-CN"/>
                    </w:rPr>
                  </w:pPr>
                </w:p>
              </w:tc>
              <w:tc>
                <w:tcPr>
                  <w:tcW w:w="1533" w:type="dxa"/>
                  <w:tcMar>
                    <w:top w:w="0" w:type="dxa"/>
                    <w:left w:w="57" w:type="dxa"/>
                    <w:bottom w:w="0" w:type="dxa"/>
                    <w:right w:w="57" w:type="dxa"/>
                  </w:tcMar>
                  <w:vAlign w:val="center"/>
                </w:tcPr>
                <w:p w14:paraId="29DF6AC3"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hAnsi="Times New Roman" w:cs="Times New Roman" w:hint="eastAsia"/>
                      <w:color w:val="auto"/>
                      <w:lang w:eastAsia="zh-CN"/>
                    </w:rPr>
                    <w:t>一般控制区</w:t>
                  </w:r>
                </w:p>
              </w:tc>
              <w:tc>
                <w:tcPr>
                  <w:tcW w:w="1268" w:type="dxa"/>
                  <w:tcMar>
                    <w:top w:w="0" w:type="dxa"/>
                    <w:left w:w="57" w:type="dxa"/>
                    <w:bottom w:w="0" w:type="dxa"/>
                    <w:right w:w="57" w:type="dxa"/>
                  </w:tcMar>
                  <w:vAlign w:val="center"/>
                </w:tcPr>
                <w:p w14:paraId="7B0F908E"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hAnsi="Times New Roman" w:cs="Times New Roman" w:hint="eastAsia"/>
                      <w:color w:val="auto"/>
                      <w:lang w:eastAsia="zh-CN"/>
                    </w:rPr>
                    <w:t>透水构筑物</w:t>
                  </w:r>
                </w:p>
              </w:tc>
              <w:tc>
                <w:tcPr>
                  <w:tcW w:w="1680" w:type="dxa"/>
                  <w:tcMar>
                    <w:top w:w="0" w:type="dxa"/>
                    <w:left w:w="57" w:type="dxa"/>
                    <w:bottom w:w="0" w:type="dxa"/>
                    <w:right w:w="57" w:type="dxa"/>
                  </w:tcMar>
                  <w:vAlign w:val="center"/>
                </w:tcPr>
                <w:p w14:paraId="1F298FFF"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0.3515</w:t>
                  </w:r>
                </w:p>
              </w:tc>
              <w:tc>
                <w:tcPr>
                  <w:tcW w:w="1535" w:type="dxa"/>
                  <w:tcMar>
                    <w:top w:w="0" w:type="dxa"/>
                    <w:left w:w="57" w:type="dxa"/>
                    <w:bottom w:w="0" w:type="dxa"/>
                    <w:right w:w="57" w:type="dxa"/>
                  </w:tcMar>
                  <w:vAlign w:val="center"/>
                </w:tcPr>
                <w:p w14:paraId="1885FF95"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color w:val="auto"/>
                      <w:lang w:eastAsia="zh-CN"/>
                    </w:rPr>
                    <w:t>红树林</w:t>
                  </w:r>
                </w:p>
              </w:tc>
              <w:tc>
                <w:tcPr>
                  <w:tcW w:w="1939" w:type="dxa"/>
                  <w:tcMar>
                    <w:top w:w="0" w:type="dxa"/>
                    <w:left w:w="57" w:type="dxa"/>
                    <w:bottom w:w="0" w:type="dxa"/>
                    <w:right w:w="57" w:type="dxa"/>
                  </w:tcMar>
                  <w:vAlign w:val="center"/>
                </w:tcPr>
                <w:p w14:paraId="67AAB7B7"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color w:val="auto"/>
                      <w:lang w:eastAsia="zh-CN"/>
                    </w:rPr>
                    <w:t>海南三亚红树林省级自然保护区</w:t>
                  </w:r>
                </w:p>
              </w:tc>
            </w:tr>
            <w:tr w:rsidR="0075791A" w14:paraId="27961E5B" w14:textId="77777777">
              <w:trPr>
                <w:jc w:val="center"/>
              </w:trPr>
              <w:tc>
                <w:tcPr>
                  <w:tcW w:w="604" w:type="dxa"/>
                  <w:vMerge/>
                  <w:tcMar>
                    <w:top w:w="0" w:type="dxa"/>
                    <w:left w:w="57" w:type="dxa"/>
                    <w:bottom w:w="0" w:type="dxa"/>
                    <w:right w:w="57" w:type="dxa"/>
                  </w:tcMar>
                  <w:vAlign w:val="center"/>
                </w:tcPr>
                <w:p w14:paraId="6D905270" w14:textId="77777777" w:rsidR="0075791A" w:rsidRDefault="0075791A">
                  <w:pPr>
                    <w:kinsoku/>
                    <w:autoSpaceDE/>
                    <w:autoSpaceDN/>
                    <w:spacing w:line="360" w:lineRule="auto"/>
                    <w:jc w:val="center"/>
                    <w:textAlignment w:val="auto"/>
                    <w:rPr>
                      <w:rFonts w:ascii="Times New Roman" w:hAnsi="Times New Roman" w:cs="Times New Roman"/>
                      <w:color w:val="auto"/>
                      <w:lang w:eastAsia="zh-CN"/>
                    </w:rPr>
                  </w:pPr>
                </w:p>
              </w:tc>
              <w:tc>
                <w:tcPr>
                  <w:tcW w:w="1533" w:type="dxa"/>
                  <w:tcMar>
                    <w:top w:w="0" w:type="dxa"/>
                    <w:left w:w="57" w:type="dxa"/>
                    <w:bottom w:w="0" w:type="dxa"/>
                    <w:right w:w="57" w:type="dxa"/>
                  </w:tcMar>
                  <w:vAlign w:val="center"/>
                </w:tcPr>
                <w:p w14:paraId="54B77C1C"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eastAsia="宋体" w:hAnsi="Times New Roman" w:cs="Times New Roman" w:hint="eastAsia"/>
                      <w:color w:val="auto"/>
                      <w:lang w:eastAsia="zh-CN"/>
                    </w:rPr>
                    <w:t>自然保护区（地）以外区域</w:t>
                  </w:r>
                </w:p>
              </w:tc>
              <w:tc>
                <w:tcPr>
                  <w:tcW w:w="1268" w:type="dxa"/>
                  <w:tcMar>
                    <w:top w:w="0" w:type="dxa"/>
                    <w:left w:w="57" w:type="dxa"/>
                    <w:bottom w:w="0" w:type="dxa"/>
                    <w:right w:w="57" w:type="dxa"/>
                  </w:tcMar>
                  <w:vAlign w:val="center"/>
                </w:tcPr>
                <w:p w14:paraId="1E212DE4"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hAnsi="Times New Roman" w:cs="Times New Roman" w:hint="eastAsia"/>
                      <w:color w:val="auto"/>
                      <w:lang w:eastAsia="zh-CN"/>
                    </w:rPr>
                    <w:t>疏浚工程</w:t>
                  </w:r>
                </w:p>
              </w:tc>
              <w:tc>
                <w:tcPr>
                  <w:tcW w:w="1680" w:type="dxa"/>
                  <w:tcMar>
                    <w:top w:w="0" w:type="dxa"/>
                    <w:left w:w="57" w:type="dxa"/>
                    <w:bottom w:w="0" w:type="dxa"/>
                    <w:right w:w="57" w:type="dxa"/>
                  </w:tcMar>
                  <w:vAlign w:val="center"/>
                </w:tcPr>
                <w:p w14:paraId="79EA56FF"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0.0093</w:t>
                  </w:r>
                </w:p>
              </w:tc>
              <w:tc>
                <w:tcPr>
                  <w:tcW w:w="1535" w:type="dxa"/>
                  <w:tcMar>
                    <w:top w:w="0" w:type="dxa"/>
                    <w:left w:w="57" w:type="dxa"/>
                    <w:bottom w:w="0" w:type="dxa"/>
                    <w:right w:w="57" w:type="dxa"/>
                  </w:tcMar>
                  <w:vAlign w:val="center"/>
                </w:tcPr>
                <w:p w14:paraId="2E18664E"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color w:val="auto"/>
                      <w:lang w:eastAsia="zh-CN"/>
                    </w:rPr>
                    <w:t>重要滩涂</w:t>
                  </w:r>
                </w:p>
                <w:p w14:paraId="791986F0"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eastAsia="宋体" w:hAnsi="Times New Roman" w:cs="Times New Roman"/>
                      <w:color w:val="auto"/>
                      <w:lang w:eastAsia="zh-CN"/>
                    </w:rPr>
                    <w:t>及浅海水域</w:t>
                  </w:r>
                </w:p>
              </w:tc>
              <w:tc>
                <w:tcPr>
                  <w:tcW w:w="1939" w:type="dxa"/>
                  <w:tcMar>
                    <w:top w:w="0" w:type="dxa"/>
                    <w:left w:w="57" w:type="dxa"/>
                    <w:bottom w:w="0" w:type="dxa"/>
                    <w:right w:w="57" w:type="dxa"/>
                  </w:tcMar>
                  <w:vAlign w:val="center"/>
                </w:tcPr>
                <w:p w14:paraId="635AA5C3"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r>
            <w:tr w:rsidR="0075791A" w14:paraId="212B74E2" w14:textId="77777777">
              <w:trPr>
                <w:jc w:val="center"/>
              </w:trPr>
              <w:tc>
                <w:tcPr>
                  <w:tcW w:w="604" w:type="dxa"/>
                  <w:vMerge/>
                  <w:tcMar>
                    <w:top w:w="0" w:type="dxa"/>
                    <w:left w:w="57" w:type="dxa"/>
                    <w:bottom w:w="0" w:type="dxa"/>
                    <w:right w:w="57" w:type="dxa"/>
                  </w:tcMar>
                  <w:vAlign w:val="center"/>
                </w:tcPr>
                <w:p w14:paraId="45174DD8" w14:textId="77777777" w:rsidR="0075791A" w:rsidRDefault="0075791A">
                  <w:pPr>
                    <w:kinsoku/>
                    <w:autoSpaceDE/>
                    <w:autoSpaceDN/>
                    <w:spacing w:line="360" w:lineRule="auto"/>
                    <w:jc w:val="center"/>
                    <w:textAlignment w:val="auto"/>
                    <w:rPr>
                      <w:rFonts w:ascii="Times New Roman" w:hAnsi="Times New Roman" w:cs="Times New Roman"/>
                      <w:color w:val="auto"/>
                      <w:lang w:eastAsia="zh-CN"/>
                    </w:rPr>
                  </w:pPr>
                </w:p>
              </w:tc>
              <w:tc>
                <w:tcPr>
                  <w:tcW w:w="1533" w:type="dxa"/>
                  <w:tcMar>
                    <w:top w:w="0" w:type="dxa"/>
                    <w:left w:w="57" w:type="dxa"/>
                    <w:bottom w:w="0" w:type="dxa"/>
                    <w:right w:w="57" w:type="dxa"/>
                  </w:tcMar>
                  <w:vAlign w:val="center"/>
                </w:tcPr>
                <w:p w14:paraId="2A122792"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自然保护区（地）以外区域</w:t>
                  </w:r>
                </w:p>
              </w:tc>
              <w:tc>
                <w:tcPr>
                  <w:tcW w:w="1268" w:type="dxa"/>
                  <w:tcMar>
                    <w:top w:w="0" w:type="dxa"/>
                    <w:left w:w="57" w:type="dxa"/>
                    <w:bottom w:w="0" w:type="dxa"/>
                    <w:right w:w="57" w:type="dxa"/>
                  </w:tcMar>
                  <w:vAlign w:val="center"/>
                </w:tcPr>
                <w:p w14:paraId="1584C630"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hAnsi="Times New Roman" w:cs="Times New Roman" w:hint="eastAsia"/>
                      <w:color w:val="auto"/>
                      <w:lang w:eastAsia="zh-CN"/>
                    </w:rPr>
                    <w:t>透水构筑物</w:t>
                  </w:r>
                </w:p>
              </w:tc>
              <w:tc>
                <w:tcPr>
                  <w:tcW w:w="1680" w:type="dxa"/>
                  <w:tcMar>
                    <w:top w:w="0" w:type="dxa"/>
                    <w:left w:w="57" w:type="dxa"/>
                    <w:bottom w:w="0" w:type="dxa"/>
                    <w:right w:w="57" w:type="dxa"/>
                  </w:tcMar>
                  <w:vAlign w:val="center"/>
                </w:tcPr>
                <w:p w14:paraId="21B3D11E"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0.0278</w:t>
                  </w:r>
                </w:p>
              </w:tc>
              <w:tc>
                <w:tcPr>
                  <w:tcW w:w="1535" w:type="dxa"/>
                  <w:tcMar>
                    <w:top w:w="0" w:type="dxa"/>
                    <w:left w:w="57" w:type="dxa"/>
                    <w:bottom w:w="0" w:type="dxa"/>
                    <w:right w:w="57" w:type="dxa"/>
                  </w:tcMar>
                  <w:vAlign w:val="center"/>
                </w:tcPr>
                <w:p w14:paraId="0A6A2FC9"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color w:val="auto"/>
                      <w:lang w:eastAsia="zh-CN"/>
                    </w:rPr>
                    <w:t>重要滩涂</w:t>
                  </w:r>
                </w:p>
                <w:p w14:paraId="26B7FB3A"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color w:val="auto"/>
                      <w:lang w:eastAsia="zh-CN"/>
                    </w:rPr>
                    <w:t>及浅海水域</w:t>
                  </w:r>
                </w:p>
              </w:tc>
              <w:tc>
                <w:tcPr>
                  <w:tcW w:w="1939" w:type="dxa"/>
                  <w:tcMar>
                    <w:top w:w="0" w:type="dxa"/>
                    <w:left w:w="57" w:type="dxa"/>
                    <w:bottom w:w="0" w:type="dxa"/>
                    <w:right w:w="57" w:type="dxa"/>
                  </w:tcMar>
                  <w:vAlign w:val="center"/>
                </w:tcPr>
                <w:p w14:paraId="7B2DA54D"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r>
            <w:tr w:rsidR="0075791A" w14:paraId="6BBAECE4" w14:textId="77777777">
              <w:trPr>
                <w:jc w:val="center"/>
              </w:trPr>
              <w:tc>
                <w:tcPr>
                  <w:tcW w:w="3405" w:type="dxa"/>
                  <w:gridSpan w:val="3"/>
                  <w:tcMar>
                    <w:top w:w="0" w:type="dxa"/>
                    <w:left w:w="57" w:type="dxa"/>
                    <w:bottom w:w="0" w:type="dxa"/>
                    <w:right w:w="57" w:type="dxa"/>
                  </w:tcMar>
                  <w:vAlign w:val="center"/>
                </w:tcPr>
                <w:p w14:paraId="1B2FC9F6" w14:textId="77777777" w:rsidR="0075791A" w:rsidRDefault="00FB2864">
                  <w:pPr>
                    <w:kinsoku/>
                    <w:autoSpaceDE/>
                    <w:autoSpaceDN/>
                    <w:jc w:val="center"/>
                    <w:textAlignment w:val="auto"/>
                    <w:rPr>
                      <w:rFonts w:ascii="Times New Roman" w:hAnsi="Times New Roman" w:cs="Times New Roman"/>
                      <w:b/>
                      <w:bCs/>
                      <w:color w:val="auto"/>
                      <w:lang w:eastAsia="zh-CN"/>
                    </w:rPr>
                  </w:pPr>
                  <w:r>
                    <w:rPr>
                      <w:rFonts w:ascii="Times New Roman" w:hAnsi="Times New Roman" w:cs="Times New Roman" w:hint="eastAsia"/>
                      <w:b/>
                      <w:bCs/>
                      <w:color w:val="auto"/>
                      <w:lang w:eastAsia="zh-CN"/>
                    </w:rPr>
                    <w:t>合计</w:t>
                  </w:r>
                </w:p>
              </w:tc>
              <w:tc>
                <w:tcPr>
                  <w:tcW w:w="1680" w:type="dxa"/>
                  <w:tcMar>
                    <w:top w:w="0" w:type="dxa"/>
                    <w:left w:w="57" w:type="dxa"/>
                    <w:bottom w:w="0" w:type="dxa"/>
                    <w:right w:w="57" w:type="dxa"/>
                  </w:tcMar>
                  <w:vAlign w:val="center"/>
                </w:tcPr>
                <w:p w14:paraId="13639D44"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hint="eastAsia"/>
                      <w:b/>
                      <w:bCs/>
                      <w:color w:val="auto"/>
                      <w:lang w:eastAsia="zh-CN"/>
                    </w:rPr>
                    <w:t>15.2465</w:t>
                  </w:r>
                </w:p>
              </w:tc>
              <w:tc>
                <w:tcPr>
                  <w:tcW w:w="1535" w:type="dxa"/>
                  <w:tcMar>
                    <w:top w:w="0" w:type="dxa"/>
                    <w:left w:w="57" w:type="dxa"/>
                    <w:bottom w:w="0" w:type="dxa"/>
                    <w:right w:w="57" w:type="dxa"/>
                  </w:tcMar>
                  <w:vAlign w:val="center"/>
                </w:tcPr>
                <w:p w14:paraId="6F94E456" w14:textId="77777777" w:rsidR="0075791A" w:rsidRDefault="00FB2864">
                  <w:pPr>
                    <w:kinsoku/>
                    <w:autoSpaceDE/>
                    <w:autoSpaceDN/>
                    <w:jc w:val="center"/>
                    <w:textAlignment w:val="auto"/>
                    <w:rPr>
                      <w:rFonts w:ascii="Times New Roman" w:eastAsia="宋体" w:hAnsi="Times New Roman" w:cs="Times New Roman"/>
                      <w:b/>
                      <w:bCs/>
                      <w:color w:val="auto"/>
                      <w:highlight w:val="yellow"/>
                      <w:lang w:eastAsia="zh-CN"/>
                    </w:rPr>
                  </w:pPr>
                  <w:r>
                    <w:rPr>
                      <w:rFonts w:ascii="Times New Roman" w:eastAsia="宋体" w:hAnsi="Times New Roman" w:cs="Times New Roman" w:hint="eastAsia"/>
                      <w:b/>
                      <w:bCs/>
                      <w:color w:val="auto"/>
                      <w:lang w:eastAsia="zh-CN"/>
                    </w:rPr>
                    <w:t>—</w:t>
                  </w:r>
                </w:p>
              </w:tc>
              <w:tc>
                <w:tcPr>
                  <w:tcW w:w="1939" w:type="dxa"/>
                  <w:tcMar>
                    <w:top w:w="0" w:type="dxa"/>
                    <w:left w:w="57" w:type="dxa"/>
                    <w:bottom w:w="0" w:type="dxa"/>
                    <w:right w:w="57" w:type="dxa"/>
                  </w:tcMar>
                  <w:vAlign w:val="center"/>
                </w:tcPr>
                <w:p w14:paraId="3E089EA5"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hint="eastAsia"/>
                      <w:b/>
                      <w:bCs/>
                      <w:color w:val="auto"/>
                      <w:lang w:eastAsia="zh-CN"/>
                    </w:rPr>
                    <w:t>—</w:t>
                  </w:r>
                </w:p>
              </w:tc>
            </w:tr>
          </w:tbl>
          <w:p w14:paraId="7D1ED592" w14:textId="77777777" w:rsidR="0075791A" w:rsidRDefault="00FB2864">
            <w:pPr>
              <w:pStyle w:val="TableText"/>
              <w:spacing w:line="288" w:lineRule="auto"/>
              <w:ind w:firstLineChars="200" w:firstLine="420"/>
              <w:jc w:val="both"/>
              <w:rPr>
                <w:rFonts w:ascii="Times New Roman" w:hAnsi="Times New Roman"/>
                <w:color w:val="auto"/>
                <w:sz w:val="21"/>
                <w:szCs w:val="21"/>
                <w:lang w:eastAsia="zh-CN"/>
              </w:rPr>
            </w:pPr>
            <w:r>
              <w:rPr>
                <w:rFonts w:ascii="Times New Roman" w:hAnsi="Times New Roman" w:hint="eastAsia"/>
                <w:color w:val="auto"/>
                <w:sz w:val="21"/>
                <w:szCs w:val="21"/>
                <w:lang w:eastAsia="zh-CN"/>
              </w:rPr>
              <w:t>根据《海南省生态保护红线管理规定》第十五条，“</w:t>
            </w:r>
            <w:r>
              <w:rPr>
                <w:rFonts w:ascii="Times New Roman" w:hAnsi="Times New Roman" w:hint="eastAsia"/>
                <w:b/>
                <w:bCs/>
                <w:color w:val="auto"/>
                <w:sz w:val="21"/>
                <w:szCs w:val="21"/>
                <w:lang w:eastAsia="zh-CN"/>
              </w:rPr>
              <w:t>生态保护红线内自然保护地核心保护区原则上禁止人为活动，经依法</w:t>
            </w:r>
            <w:r>
              <w:rPr>
                <w:rFonts w:ascii="Times New Roman" w:hAnsi="Times New Roman" w:hint="eastAsia"/>
                <w:b/>
                <w:bCs/>
                <w:color w:val="auto"/>
                <w:sz w:val="21"/>
                <w:szCs w:val="21"/>
                <w:lang w:eastAsia="zh-CN"/>
              </w:rPr>
              <w:lastRenderedPageBreak/>
              <w:t>批准的科学研究观测、调查监测、生态修复等法律、法规和国家有关规定允许的活动除外</w:t>
            </w:r>
            <w:r>
              <w:rPr>
                <w:rFonts w:ascii="Times New Roman" w:hAnsi="Times New Roman" w:hint="eastAsia"/>
                <w:color w:val="auto"/>
                <w:sz w:val="21"/>
                <w:szCs w:val="21"/>
                <w:lang w:eastAsia="zh-CN"/>
              </w:rPr>
              <w:t>。”其他区域严格禁止开发性、生产性建设活动，除国家重大战略项目外，仅允许对生态功能不造成破坏的人为活动中中第八类为“</w:t>
            </w:r>
            <w:r>
              <w:rPr>
                <w:rFonts w:ascii="Times New Roman" w:hAnsi="Times New Roman" w:hint="eastAsia"/>
                <w:b/>
                <w:bCs/>
                <w:color w:val="auto"/>
                <w:sz w:val="21"/>
                <w:szCs w:val="21"/>
                <w:lang w:eastAsia="zh-CN"/>
              </w:rPr>
              <w:t>重要生态修复工程</w:t>
            </w:r>
            <w:r>
              <w:rPr>
                <w:rFonts w:ascii="Times New Roman" w:hAnsi="Times New Roman" w:hint="eastAsia"/>
                <w:color w:val="auto"/>
                <w:sz w:val="21"/>
                <w:szCs w:val="21"/>
                <w:lang w:eastAsia="zh-CN"/>
              </w:rPr>
              <w:t>；”。</w:t>
            </w:r>
          </w:p>
          <w:p w14:paraId="22F42DDD" w14:textId="77777777" w:rsidR="0075791A" w:rsidRDefault="00FB2864">
            <w:pPr>
              <w:pStyle w:val="TableText"/>
              <w:spacing w:line="288" w:lineRule="auto"/>
              <w:ind w:firstLineChars="200" w:firstLine="420"/>
              <w:jc w:val="both"/>
              <w:rPr>
                <w:rFonts w:ascii="Times New Roman" w:hAnsi="Times New Roman"/>
                <w:color w:val="auto"/>
                <w:sz w:val="21"/>
                <w:szCs w:val="21"/>
                <w:lang w:eastAsia="zh-CN"/>
              </w:rPr>
            </w:pPr>
            <w:r>
              <w:rPr>
                <w:rFonts w:ascii="Times New Roman" w:hAnsi="Times New Roman" w:hint="eastAsia"/>
                <w:color w:val="auto"/>
                <w:sz w:val="21"/>
                <w:szCs w:val="21"/>
                <w:lang w:eastAsia="zh-CN"/>
              </w:rPr>
              <w:t>根据《海南省人民政府办公厅关于印发海南省生态保护红线准入管理目录</w:t>
            </w: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修门</w:t>
            </w: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的通知》</w:t>
            </w: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琼府办</w:t>
            </w:r>
            <w:r>
              <w:rPr>
                <w:rFonts w:ascii="Times New Roman" w:hAnsi="Times New Roman" w:hint="eastAsia"/>
                <w:color w:val="auto"/>
                <w:sz w:val="21"/>
                <w:szCs w:val="21"/>
                <w:lang w:eastAsia="zh-CN"/>
              </w:rPr>
              <w:t xml:space="preserve">(2023)4 </w:t>
            </w:r>
            <w:r>
              <w:rPr>
                <w:rFonts w:ascii="Times New Roman" w:hAnsi="Times New Roman" w:hint="eastAsia"/>
                <w:color w:val="auto"/>
                <w:sz w:val="21"/>
                <w:szCs w:val="21"/>
                <w:lang w:eastAsia="zh-CN"/>
              </w:rPr>
              <w:t>号</w:t>
            </w: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关于“</w:t>
            </w:r>
            <w:r>
              <w:rPr>
                <w:rFonts w:ascii="Times New Roman" w:hAnsi="Times New Roman" w:hint="eastAsia"/>
                <w:b/>
                <w:bCs/>
                <w:color w:val="auto"/>
                <w:sz w:val="21"/>
                <w:szCs w:val="21"/>
                <w:lang w:eastAsia="zh-CN"/>
              </w:rPr>
              <w:t>核心保护区</w:t>
            </w:r>
            <w:r>
              <w:rPr>
                <w:rFonts w:ascii="Times New Roman" w:hAnsi="Times New Roman" w:hint="eastAsia"/>
                <w:color w:val="auto"/>
                <w:sz w:val="21"/>
                <w:szCs w:val="21"/>
                <w:lang w:eastAsia="zh-CN"/>
              </w:rPr>
              <w:t>”有限人为活动准入类型为“</w:t>
            </w:r>
            <w:r>
              <w:rPr>
                <w:rFonts w:ascii="Times New Roman" w:hAnsi="Times New Roman"/>
                <w:b/>
                <w:bCs/>
                <w:color w:val="auto"/>
                <w:sz w:val="21"/>
                <w:szCs w:val="21"/>
                <w:lang w:eastAsia="zh-CN"/>
              </w:rPr>
              <w:t>原则上禁止人为活动，经依法批准的科学研</w:t>
            </w:r>
            <w:r>
              <w:rPr>
                <w:rFonts w:ascii="Times New Roman" w:hAnsi="Times New Roman"/>
                <w:b/>
                <w:bCs/>
                <w:color w:val="auto"/>
                <w:sz w:val="21"/>
                <w:szCs w:val="21"/>
                <w:lang w:eastAsia="zh-CN"/>
              </w:rPr>
              <w:t>究观测、调查监测、生态修复等法律、法规和国家有关规定允许的活动除外</w:t>
            </w:r>
            <w:r>
              <w:rPr>
                <w:rFonts w:ascii="Times New Roman" w:hAnsi="Times New Roman" w:hint="eastAsia"/>
                <w:color w:val="auto"/>
                <w:sz w:val="21"/>
                <w:szCs w:val="21"/>
                <w:lang w:eastAsia="zh-CN"/>
              </w:rPr>
              <w:t>”。“</w:t>
            </w:r>
            <w:r>
              <w:rPr>
                <w:rFonts w:ascii="Times New Roman" w:hAnsi="Times New Roman" w:hint="eastAsia"/>
                <w:b/>
                <w:bCs/>
                <w:color w:val="auto"/>
                <w:sz w:val="21"/>
                <w:szCs w:val="21"/>
                <w:lang w:eastAsia="zh-CN"/>
              </w:rPr>
              <w:t>其他区域</w:t>
            </w:r>
            <w:r>
              <w:rPr>
                <w:rFonts w:ascii="Times New Roman" w:hAnsi="Times New Roman" w:hint="eastAsia"/>
                <w:color w:val="auto"/>
                <w:sz w:val="21"/>
                <w:szCs w:val="21"/>
                <w:lang w:eastAsia="zh-CN"/>
              </w:rPr>
              <w:t>”有限人为活动的准入类型共包括十条，其中</w:t>
            </w:r>
            <w:r>
              <w:rPr>
                <w:rFonts w:ascii="Times New Roman" w:hAnsi="Times New Roman"/>
                <w:color w:val="auto"/>
                <w:sz w:val="21"/>
                <w:szCs w:val="21"/>
                <w:lang w:eastAsia="zh-CN"/>
              </w:rPr>
              <w:t>第</w:t>
            </w:r>
            <w:r>
              <w:rPr>
                <w:rFonts w:ascii="Times New Roman" w:hAnsi="Times New Roman" w:hint="eastAsia"/>
                <w:color w:val="auto"/>
                <w:sz w:val="21"/>
                <w:szCs w:val="21"/>
                <w:lang w:eastAsia="zh-CN"/>
              </w:rPr>
              <w:t>八条“</w:t>
            </w:r>
            <w:r>
              <w:rPr>
                <w:rFonts w:ascii="Times New Roman" w:hAnsi="Times New Roman"/>
                <w:color w:val="auto"/>
                <w:sz w:val="21"/>
                <w:szCs w:val="21"/>
                <w:lang w:eastAsia="zh-CN"/>
              </w:rPr>
              <w:t>依据县级以上国土空间规划和生态保护修复专项规划开展的</w:t>
            </w:r>
            <w:r>
              <w:rPr>
                <w:rFonts w:ascii="Times New Roman" w:hAnsi="Times New Roman"/>
                <w:b/>
                <w:bCs/>
                <w:color w:val="auto"/>
                <w:sz w:val="21"/>
                <w:szCs w:val="21"/>
                <w:lang w:eastAsia="zh-CN"/>
              </w:rPr>
              <w:t>生态修复</w:t>
            </w:r>
            <w:r>
              <w:rPr>
                <w:rFonts w:ascii="Times New Roman" w:hAnsi="Times New Roman"/>
                <w:color w:val="auto"/>
                <w:sz w:val="21"/>
                <w:szCs w:val="21"/>
                <w:lang w:eastAsia="zh-CN"/>
              </w:rPr>
              <w:t>......</w:t>
            </w:r>
            <w:r>
              <w:rPr>
                <w:rFonts w:ascii="Times New Roman" w:hAnsi="Times New Roman"/>
                <w:color w:val="auto"/>
                <w:sz w:val="21"/>
                <w:szCs w:val="21"/>
                <w:lang w:eastAsia="zh-CN"/>
              </w:rPr>
              <w:t>（</w:t>
            </w:r>
            <w:r>
              <w:rPr>
                <w:rFonts w:ascii="Times New Roman" w:hAnsi="Times New Roman" w:hint="eastAsia"/>
                <w:color w:val="auto"/>
                <w:sz w:val="21"/>
                <w:szCs w:val="21"/>
                <w:lang w:eastAsia="zh-CN"/>
              </w:rPr>
              <w:t>6</w:t>
            </w:r>
            <w:r>
              <w:rPr>
                <w:rFonts w:ascii="Times New Roman" w:hAnsi="Times New Roman"/>
                <w:color w:val="auto"/>
                <w:sz w:val="21"/>
                <w:szCs w:val="21"/>
                <w:lang w:eastAsia="zh-CN"/>
              </w:rPr>
              <w:t>）</w:t>
            </w:r>
            <w:r>
              <w:rPr>
                <w:rFonts w:ascii="Times New Roman" w:hAnsi="Times New Roman"/>
                <w:color w:val="auto"/>
                <w:sz w:val="21"/>
                <w:szCs w:val="21"/>
                <w:lang w:eastAsia="zh-CN"/>
              </w:rPr>
              <w:t>......</w:t>
            </w:r>
            <w:r>
              <w:rPr>
                <w:rFonts w:ascii="Times New Roman" w:hAnsi="Times New Roman"/>
                <w:color w:val="auto"/>
                <w:sz w:val="21"/>
                <w:szCs w:val="21"/>
                <w:lang w:eastAsia="zh-CN"/>
              </w:rPr>
              <w:t>红树林等海洋生态系统修复工程</w:t>
            </w:r>
            <w:r>
              <w:rPr>
                <w:rFonts w:ascii="Times New Roman" w:hAnsi="Times New Roman"/>
                <w:color w:val="auto"/>
                <w:sz w:val="21"/>
                <w:szCs w:val="21"/>
                <w:lang w:eastAsia="zh-CN"/>
              </w:rPr>
              <w:t>......</w:t>
            </w:r>
            <w:r>
              <w:rPr>
                <w:rFonts w:ascii="Times New Roman" w:hAnsi="Times New Roman" w:hint="eastAsia"/>
                <w:color w:val="auto"/>
                <w:sz w:val="21"/>
                <w:szCs w:val="21"/>
                <w:lang w:eastAsia="zh-CN"/>
              </w:rPr>
              <w:t>”。</w:t>
            </w:r>
          </w:p>
          <w:p w14:paraId="0C903973" w14:textId="77777777" w:rsidR="0075791A" w:rsidRDefault="00FB2864">
            <w:pPr>
              <w:pStyle w:val="TableText"/>
              <w:spacing w:line="288" w:lineRule="auto"/>
              <w:ind w:firstLineChars="200" w:firstLine="420"/>
              <w:jc w:val="both"/>
              <w:rPr>
                <w:rFonts w:ascii="Times New Roman" w:hAnsi="Times New Roman"/>
                <w:color w:val="auto"/>
                <w:sz w:val="21"/>
                <w:szCs w:val="21"/>
                <w:lang w:eastAsia="zh-CN"/>
              </w:rPr>
            </w:pPr>
            <w:r>
              <w:rPr>
                <w:rFonts w:ascii="Times New Roman" w:hAnsi="Times New Roman" w:hint="eastAsia"/>
                <w:color w:val="auto"/>
                <w:sz w:val="21"/>
                <w:szCs w:val="21"/>
                <w:lang w:eastAsia="zh-CN"/>
              </w:rPr>
              <w:t>本项目为十四五”期间第三批山水林田湖草沙一体化保护和修复工程项目</w:t>
            </w: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海南南部典型热带区域实施山水林田湖草沙一体化保护和修复工程子项目之一。山水林田湖草沙一体化保护和修复工程项目是我国推动生态修复和环境治理的重要工程，</w:t>
            </w:r>
            <w:r>
              <w:rPr>
                <w:rFonts w:ascii="Times New Roman" w:hAnsi="Times New Roman" w:hint="eastAsia"/>
                <w:b/>
                <w:bCs/>
                <w:color w:val="auto"/>
                <w:sz w:val="21"/>
                <w:szCs w:val="21"/>
                <w:lang w:eastAsia="zh-CN"/>
              </w:rPr>
              <w:t>位于</w:t>
            </w:r>
            <w:r>
              <w:rPr>
                <w:rFonts w:ascii="Times New Roman" w:hAnsi="Times New Roman"/>
                <w:b/>
                <w:bCs/>
                <w:color w:val="auto"/>
                <w:sz w:val="21"/>
                <w:szCs w:val="21"/>
                <w:lang w:eastAsia="zh-CN"/>
              </w:rPr>
              <w:t>自然</w:t>
            </w:r>
            <w:r>
              <w:rPr>
                <w:rFonts w:ascii="Times New Roman" w:hAnsi="Times New Roman" w:hint="eastAsia"/>
                <w:b/>
                <w:bCs/>
                <w:color w:val="auto"/>
                <w:sz w:val="21"/>
                <w:szCs w:val="21"/>
                <w:lang w:eastAsia="zh-CN"/>
              </w:rPr>
              <w:t>保护地核心保护区</w:t>
            </w:r>
            <w:r>
              <w:rPr>
                <w:rFonts w:ascii="Times New Roman" w:hAnsi="Times New Roman" w:hint="eastAsia"/>
                <w:b/>
                <w:bCs/>
                <w:color w:val="auto"/>
                <w:sz w:val="21"/>
                <w:szCs w:val="21"/>
                <w:lang w:eastAsia="zh-CN"/>
              </w:rPr>
              <w:t>生态保护红线的疏浚工程，需经依法批准方可实施。</w:t>
            </w:r>
            <w:r>
              <w:rPr>
                <w:rFonts w:ascii="Times New Roman" w:hAnsi="Times New Roman" w:hint="eastAsia"/>
                <w:color w:val="auto"/>
                <w:sz w:val="21"/>
                <w:szCs w:val="21"/>
                <w:lang w:eastAsia="zh-CN"/>
              </w:rPr>
              <w:t>主管部门三亚市林业局</w:t>
            </w:r>
            <w:r>
              <w:rPr>
                <w:rFonts w:ascii="Times New Roman" w:hAnsi="Times New Roman"/>
                <w:color w:val="auto"/>
                <w:sz w:val="21"/>
                <w:szCs w:val="21"/>
                <w:lang w:eastAsia="zh-CN"/>
              </w:rPr>
              <w:t>组织编制了《铁</w:t>
            </w:r>
            <w:r>
              <w:rPr>
                <w:rFonts w:ascii="Times New Roman" w:hAnsi="Times New Roman"/>
                <w:color w:val="auto"/>
                <w:sz w:val="21"/>
                <w:szCs w:val="21"/>
                <w:lang w:eastAsia="zh-CN"/>
              </w:rPr>
              <w:t xml:space="preserve"> </w:t>
            </w:r>
            <w:r>
              <w:rPr>
                <w:rFonts w:ascii="Times New Roman" w:hAnsi="Times New Roman"/>
                <w:color w:val="auto"/>
                <w:sz w:val="21"/>
                <w:szCs w:val="21"/>
                <w:lang w:eastAsia="zh-CN"/>
              </w:rPr>
              <w:t>炉港红树林湿地保护修复项目（二期）疏浚活动对三亚市铁炉港</w:t>
            </w:r>
            <w:r>
              <w:rPr>
                <w:rFonts w:ascii="Times New Roman" w:hAnsi="Times New Roman"/>
                <w:color w:val="auto"/>
                <w:sz w:val="21"/>
                <w:szCs w:val="21"/>
                <w:lang w:eastAsia="zh-CN"/>
              </w:rPr>
              <w:t xml:space="preserve"> </w:t>
            </w:r>
            <w:r>
              <w:rPr>
                <w:rFonts w:ascii="Times New Roman" w:hAnsi="Times New Roman"/>
                <w:color w:val="auto"/>
                <w:sz w:val="21"/>
                <w:szCs w:val="21"/>
                <w:lang w:eastAsia="zh-CN"/>
              </w:rPr>
              <w:t>红树林自然保护区生物多样性影响评价报告》，于</w:t>
            </w:r>
            <w:r>
              <w:rPr>
                <w:rFonts w:ascii="Times New Roman" w:hAnsi="Times New Roman"/>
                <w:color w:val="auto"/>
                <w:sz w:val="21"/>
                <w:szCs w:val="21"/>
                <w:lang w:eastAsia="zh-CN"/>
              </w:rPr>
              <w:t xml:space="preserve"> 2026 </w:t>
            </w:r>
            <w:r>
              <w:rPr>
                <w:rFonts w:ascii="Times New Roman" w:hAnsi="Times New Roman"/>
                <w:color w:val="auto"/>
                <w:sz w:val="21"/>
                <w:szCs w:val="21"/>
                <w:lang w:eastAsia="zh-CN"/>
              </w:rPr>
              <w:t>年</w:t>
            </w:r>
            <w:r>
              <w:rPr>
                <w:rFonts w:ascii="Times New Roman" w:hAnsi="Times New Roman"/>
                <w:color w:val="auto"/>
                <w:sz w:val="21"/>
                <w:szCs w:val="21"/>
                <w:lang w:eastAsia="zh-CN"/>
              </w:rPr>
              <w:t xml:space="preserve"> 3 </w:t>
            </w:r>
            <w:r>
              <w:rPr>
                <w:rFonts w:ascii="Times New Roman" w:hAnsi="Times New Roman"/>
                <w:color w:val="auto"/>
                <w:sz w:val="21"/>
                <w:szCs w:val="21"/>
                <w:lang w:eastAsia="zh-CN"/>
              </w:rPr>
              <w:t>月</w:t>
            </w:r>
            <w:r>
              <w:rPr>
                <w:rFonts w:ascii="Times New Roman" w:hAnsi="Times New Roman"/>
                <w:color w:val="auto"/>
                <w:sz w:val="21"/>
                <w:szCs w:val="21"/>
                <w:lang w:eastAsia="zh-CN"/>
              </w:rPr>
              <w:t xml:space="preserve"> 10 </w:t>
            </w:r>
            <w:r>
              <w:rPr>
                <w:rFonts w:ascii="Times New Roman" w:hAnsi="Times New Roman"/>
                <w:color w:val="auto"/>
                <w:sz w:val="21"/>
                <w:szCs w:val="21"/>
                <w:lang w:eastAsia="zh-CN"/>
              </w:rPr>
              <w:t>日通过专家评审</w:t>
            </w:r>
            <w:r>
              <w:rPr>
                <w:rFonts w:ascii="Times New Roman" w:hAnsi="Times New Roman" w:hint="eastAsia"/>
                <w:color w:val="auto"/>
                <w:sz w:val="21"/>
                <w:szCs w:val="21"/>
                <w:lang w:eastAsia="zh-CN"/>
              </w:rPr>
              <w:t>，并出具《三亚市林业局</w:t>
            </w:r>
            <w:r>
              <w:rPr>
                <w:rFonts w:ascii="Times New Roman" w:hAnsi="Times New Roman" w:hint="eastAsia"/>
                <w:color w:val="auto"/>
                <w:sz w:val="21"/>
                <w:szCs w:val="21"/>
                <w:lang w:eastAsia="zh-CN"/>
              </w:rPr>
              <w:t xml:space="preserve"> </w:t>
            </w:r>
            <w:r>
              <w:rPr>
                <w:rFonts w:ascii="Times New Roman" w:hAnsi="Times New Roman" w:hint="eastAsia"/>
                <w:color w:val="auto"/>
                <w:sz w:val="21"/>
                <w:szCs w:val="21"/>
                <w:lang w:eastAsia="zh-CN"/>
              </w:rPr>
              <w:t>关于铁炉港红树林湿地保</w:t>
            </w:r>
            <w:r>
              <w:rPr>
                <w:rFonts w:ascii="Times New Roman" w:hAnsi="Times New Roman" w:hint="eastAsia"/>
                <w:color w:val="auto"/>
                <w:sz w:val="21"/>
                <w:szCs w:val="21"/>
                <w:lang w:eastAsia="zh-CN"/>
              </w:rPr>
              <w:t>护修复项目（二期）</w:t>
            </w:r>
            <w:r>
              <w:rPr>
                <w:rFonts w:ascii="Times New Roman" w:hAnsi="Times New Roman" w:hint="eastAsia"/>
                <w:color w:val="auto"/>
                <w:sz w:val="21"/>
                <w:szCs w:val="21"/>
                <w:lang w:eastAsia="zh-CN"/>
              </w:rPr>
              <w:t xml:space="preserve"> </w:t>
            </w:r>
            <w:r>
              <w:rPr>
                <w:rFonts w:ascii="Times New Roman" w:hAnsi="Times New Roman" w:hint="eastAsia"/>
                <w:color w:val="auto"/>
                <w:sz w:val="21"/>
                <w:szCs w:val="21"/>
                <w:lang w:eastAsia="zh-CN"/>
              </w:rPr>
              <w:t>疏浚活动在三亚市铁炉港红树林</w:t>
            </w:r>
            <w:r>
              <w:rPr>
                <w:rFonts w:ascii="Times New Roman" w:hAnsi="Times New Roman" w:hint="eastAsia"/>
                <w:color w:val="auto"/>
                <w:sz w:val="21"/>
                <w:szCs w:val="21"/>
                <w:lang w:eastAsia="zh-CN"/>
              </w:rPr>
              <w:t xml:space="preserve"> </w:t>
            </w:r>
            <w:r>
              <w:rPr>
                <w:rFonts w:ascii="Times New Roman" w:hAnsi="Times New Roman" w:hint="eastAsia"/>
                <w:color w:val="auto"/>
                <w:sz w:val="21"/>
                <w:szCs w:val="21"/>
                <w:lang w:eastAsia="zh-CN"/>
              </w:rPr>
              <w:t>自然保护区实施的意见》</w:t>
            </w: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同时本项目用海位于海南省生态保护红线内其他区域，</w:t>
            </w:r>
            <w:r>
              <w:rPr>
                <w:rFonts w:ascii="Times New Roman" w:hAnsi="Times New Roman" w:hint="eastAsia"/>
                <w:color w:val="auto"/>
                <w:sz w:val="21"/>
                <w:szCs w:val="21"/>
                <w:lang w:eastAsia="zh-CN"/>
              </w:rPr>
              <w:t>本项目</w:t>
            </w:r>
            <w:r>
              <w:rPr>
                <w:rFonts w:ascii="Times New Roman" w:hAnsi="Times New Roman" w:hint="eastAsia"/>
                <w:color w:val="auto"/>
                <w:sz w:val="21"/>
                <w:szCs w:val="21"/>
                <w:lang w:eastAsia="zh-CN"/>
              </w:rPr>
              <w:t>生态保护红线</w:t>
            </w:r>
            <w:r>
              <w:rPr>
                <w:rFonts w:ascii="Times New Roman" w:hAnsi="Times New Roman" w:hint="eastAsia"/>
                <w:color w:val="auto"/>
                <w:sz w:val="21"/>
                <w:szCs w:val="21"/>
                <w:lang w:eastAsia="zh-CN"/>
              </w:rPr>
              <w:t>内</w:t>
            </w:r>
            <w:r>
              <w:rPr>
                <w:rFonts w:ascii="Times New Roman" w:hAnsi="Times New Roman" w:hint="eastAsia"/>
                <w:color w:val="auto"/>
                <w:sz w:val="21"/>
                <w:szCs w:val="21"/>
                <w:lang w:eastAsia="zh-CN"/>
              </w:rPr>
              <w:t>有限人为活动认定</w:t>
            </w:r>
            <w:bookmarkStart w:id="314" w:name="_Toc13358"/>
            <w:bookmarkStart w:id="315" w:name="_Toc2688"/>
            <w:bookmarkStart w:id="316" w:name="_Toc13758"/>
            <w:bookmarkStart w:id="317" w:name="_Toc16513"/>
            <w:bookmarkStart w:id="318" w:name="_Toc31822"/>
            <w:bookmarkStart w:id="319" w:name="_Toc31724"/>
            <w:r>
              <w:rPr>
                <w:rFonts w:ascii="Times New Roman" w:hAnsi="Times New Roman" w:hint="eastAsia"/>
                <w:color w:val="auto"/>
                <w:sz w:val="21"/>
                <w:szCs w:val="21"/>
                <w:lang w:eastAsia="zh-CN"/>
              </w:rPr>
              <w:t>专题论证报告</w:t>
            </w:r>
            <w:bookmarkEnd w:id="314"/>
            <w:bookmarkEnd w:id="315"/>
            <w:bookmarkEnd w:id="316"/>
            <w:bookmarkEnd w:id="317"/>
            <w:bookmarkEnd w:id="318"/>
            <w:bookmarkEnd w:id="319"/>
            <w:r>
              <w:rPr>
                <w:rFonts w:ascii="Times New Roman" w:hAnsi="Times New Roman" w:hint="eastAsia"/>
                <w:color w:val="auto"/>
                <w:sz w:val="21"/>
                <w:szCs w:val="21"/>
                <w:lang w:eastAsia="zh-CN"/>
              </w:rPr>
              <w:t>正在</w:t>
            </w:r>
            <w:r>
              <w:rPr>
                <w:rFonts w:ascii="Times New Roman" w:hAnsi="Times New Roman" w:hint="eastAsia"/>
                <w:color w:val="auto"/>
                <w:sz w:val="21"/>
                <w:szCs w:val="21"/>
                <w:lang w:eastAsia="zh-CN"/>
              </w:rPr>
              <w:t>编制中。</w:t>
            </w:r>
          </w:p>
          <w:p w14:paraId="13F8B32B" w14:textId="77777777" w:rsidR="0075791A" w:rsidRDefault="00FB2864">
            <w:pPr>
              <w:pStyle w:val="TableText"/>
              <w:spacing w:line="288" w:lineRule="auto"/>
              <w:ind w:firstLineChars="200" w:firstLine="420"/>
              <w:jc w:val="both"/>
              <w:rPr>
                <w:rFonts w:ascii="Times New Roman" w:hAnsi="Times New Roman"/>
                <w:color w:val="auto"/>
                <w:sz w:val="21"/>
                <w:szCs w:val="21"/>
                <w:lang w:eastAsia="zh-CN"/>
              </w:rPr>
            </w:pP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2</w:t>
            </w: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本项目建设内容为清淤疏浚</w:t>
            </w:r>
            <w:r>
              <w:rPr>
                <w:rFonts w:ascii="Times New Roman" w:hAnsi="Times New Roman" w:hint="eastAsia"/>
                <w:color w:val="auto"/>
                <w:sz w:val="21"/>
                <w:szCs w:val="21"/>
                <w:lang w:eastAsia="zh-CN"/>
              </w:rPr>
              <w:t>、透水构筑物建设</w:t>
            </w:r>
            <w:r>
              <w:rPr>
                <w:rFonts w:ascii="Times New Roman" w:hAnsi="Times New Roman" w:hint="eastAsia"/>
                <w:color w:val="auto"/>
                <w:sz w:val="21"/>
                <w:szCs w:val="21"/>
                <w:lang w:eastAsia="zh-CN"/>
              </w:rPr>
              <w:t>，用海方式为为专用航道、锚地及其他开放式</w:t>
            </w:r>
            <w:r>
              <w:rPr>
                <w:rFonts w:ascii="Times New Roman" w:hAnsi="Times New Roman" w:hint="eastAsia"/>
                <w:color w:val="auto"/>
                <w:sz w:val="21"/>
                <w:szCs w:val="21"/>
                <w:lang w:eastAsia="zh-CN"/>
              </w:rPr>
              <w:t>、透水构筑物</w:t>
            </w:r>
            <w:r>
              <w:rPr>
                <w:rFonts w:ascii="Times New Roman" w:hAnsi="Times New Roman" w:hint="eastAsia"/>
                <w:color w:val="auto"/>
                <w:sz w:val="21"/>
                <w:szCs w:val="21"/>
                <w:lang w:eastAsia="zh-CN"/>
              </w:rPr>
              <w:t>，项目用海方式不改变海域自然属性。本项目用海符合该功能区利用方式要求。</w:t>
            </w:r>
          </w:p>
          <w:p w14:paraId="46FE298D" w14:textId="77777777" w:rsidR="0075791A" w:rsidRDefault="00FB2864">
            <w:pPr>
              <w:pStyle w:val="TableText"/>
              <w:spacing w:line="288" w:lineRule="auto"/>
              <w:ind w:firstLineChars="200" w:firstLine="420"/>
              <w:jc w:val="both"/>
              <w:rPr>
                <w:rFonts w:ascii="Times New Roman" w:hAnsi="Times New Roman"/>
                <w:color w:val="auto"/>
                <w:sz w:val="21"/>
                <w:szCs w:val="21"/>
                <w:lang w:eastAsia="zh-CN"/>
              </w:rPr>
            </w:pP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3</w:t>
            </w: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本项目为红树林湿地保护修复项目，建设目标为对三亚铁炉港红树林滨海湿地生态系统进行保护修复，综合提升湿地水质净化和调蓄纳潮功能，保护好我国最大个体濒危珍稀古树群，培育热带海岸及滨海湿地特有的红树林资源种子基因库，建立候鸟适宜生境及其食物源生态链，激发场地生物多样性潜力，增加海洋蓝色碳汇能力，整体改善铁炉港生态环境质量。因此，本项目的实施是保护</w:t>
            </w:r>
            <w:r>
              <w:rPr>
                <w:rFonts w:ascii="Times New Roman" w:hAnsi="Times New Roman" w:hint="eastAsia"/>
                <w:color w:val="auto"/>
                <w:sz w:val="21"/>
                <w:szCs w:val="21"/>
                <w:lang w:eastAsia="zh-CN"/>
              </w:rPr>
              <w:t>、恢复</w:t>
            </w:r>
            <w:r>
              <w:rPr>
                <w:rFonts w:ascii="Times New Roman" w:hAnsi="Times New Roman" w:hint="eastAsia"/>
                <w:color w:val="auto"/>
                <w:sz w:val="21"/>
                <w:szCs w:val="21"/>
                <w:lang w:eastAsia="zh-CN"/>
              </w:rPr>
              <w:t>红树林及其生态系统的具体体现。</w:t>
            </w:r>
          </w:p>
          <w:p w14:paraId="1F8CD127" w14:textId="77777777" w:rsidR="0075791A" w:rsidRDefault="00FB2864">
            <w:pPr>
              <w:pStyle w:val="TableText"/>
              <w:spacing w:line="288" w:lineRule="auto"/>
              <w:ind w:firstLineChars="200" w:firstLine="420"/>
              <w:jc w:val="both"/>
              <w:rPr>
                <w:rFonts w:ascii="Times New Roman" w:hAnsi="Times New Roman"/>
                <w:color w:val="auto"/>
                <w:sz w:val="21"/>
                <w:szCs w:val="21"/>
                <w:lang w:eastAsia="zh-CN"/>
              </w:rPr>
            </w:pPr>
            <w:r>
              <w:rPr>
                <w:rFonts w:ascii="Times New Roman" w:hAnsi="Times New Roman" w:hint="eastAsia"/>
                <w:color w:val="auto"/>
                <w:sz w:val="21"/>
                <w:szCs w:val="21"/>
                <w:lang w:eastAsia="zh-CN"/>
              </w:rPr>
              <w:t>本项目施工对生态环境的影响主要为：</w:t>
            </w:r>
          </w:p>
          <w:p w14:paraId="78409138" w14:textId="77777777" w:rsidR="0075791A" w:rsidRDefault="00FB2864">
            <w:pPr>
              <w:pStyle w:val="TableText"/>
              <w:spacing w:line="288" w:lineRule="auto"/>
              <w:ind w:firstLineChars="200" w:firstLine="420"/>
              <w:jc w:val="both"/>
              <w:rPr>
                <w:rFonts w:ascii="Times New Roman" w:hAnsi="Times New Roman"/>
                <w:color w:val="auto"/>
                <w:sz w:val="21"/>
                <w:szCs w:val="21"/>
                <w:lang w:eastAsia="zh-CN"/>
              </w:rPr>
            </w:pP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1</w:t>
            </w:r>
            <w:r>
              <w:rPr>
                <w:rFonts w:ascii="Times New Roman" w:hAnsi="Times New Roman" w:hint="eastAsia"/>
                <w:color w:val="auto"/>
                <w:sz w:val="21"/>
                <w:szCs w:val="21"/>
                <w:lang w:eastAsia="zh-CN"/>
              </w:rPr>
              <w:t>）对水动力的影响：本项目疏浚工程所在的海棠湾附近海区潮流动力弱，最大流速小于</w:t>
            </w:r>
            <w:r>
              <w:rPr>
                <w:rFonts w:ascii="Times New Roman" w:hAnsi="Times New Roman" w:hint="eastAsia"/>
                <w:color w:val="auto"/>
                <w:sz w:val="21"/>
                <w:szCs w:val="21"/>
                <w:lang w:eastAsia="zh-CN"/>
              </w:rPr>
              <w:t>40cm/s</w:t>
            </w:r>
            <w:r>
              <w:rPr>
                <w:rFonts w:ascii="Times New Roman" w:hAnsi="Times New Roman" w:hint="eastAsia"/>
                <w:color w:val="auto"/>
                <w:sz w:val="21"/>
                <w:szCs w:val="21"/>
                <w:lang w:eastAsia="zh-CN"/>
              </w:rPr>
              <w:t>。工</w:t>
            </w:r>
            <w:r>
              <w:rPr>
                <w:rFonts w:ascii="Times New Roman" w:hAnsi="Times New Roman" w:hint="eastAsia"/>
                <w:color w:val="auto"/>
                <w:sz w:val="21"/>
                <w:szCs w:val="21"/>
                <w:lang w:eastAsia="zh-CN"/>
              </w:rPr>
              <w:t>程前后疏浚区流速的改变幅度较小，最大改变幅度在</w:t>
            </w:r>
            <w:r>
              <w:rPr>
                <w:rFonts w:ascii="Times New Roman" w:hAnsi="Times New Roman" w:hint="eastAsia"/>
                <w:color w:val="auto"/>
                <w:sz w:val="21"/>
                <w:szCs w:val="21"/>
                <w:lang w:eastAsia="zh-CN"/>
              </w:rPr>
              <w:t>15cm/s</w:t>
            </w:r>
            <w:r>
              <w:rPr>
                <w:rFonts w:ascii="Times New Roman" w:hAnsi="Times New Roman" w:hint="eastAsia"/>
                <w:color w:val="auto"/>
                <w:sz w:val="21"/>
                <w:szCs w:val="21"/>
                <w:lang w:eastAsia="zh-CN"/>
              </w:rPr>
              <w:t>左右，流速改变幅度大于</w:t>
            </w:r>
            <w:r>
              <w:rPr>
                <w:rFonts w:ascii="Times New Roman" w:hAnsi="Times New Roman" w:hint="eastAsia"/>
                <w:color w:val="auto"/>
                <w:sz w:val="21"/>
                <w:szCs w:val="21"/>
                <w:lang w:eastAsia="zh-CN"/>
              </w:rPr>
              <w:t>3cm/s</w:t>
            </w:r>
            <w:r>
              <w:rPr>
                <w:rFonts w:ascii="Times New Roman" w:hAnsi="Times New Roman" w:hint="eastAsia"/>
                <w:color w:val="auto"/>
                <w:sz w:val="21"/>
                <w:szCs w:val="21"/>
                <w:lang w:eastAsia="zh-CN"/>
              </w:rPr>
              <w:t>的范围的最远距离约</w:t>
            </w:r>
            <w:r>
              <w:rPr>
                <w:rFonts w:ascii="Times New Roman" w:hAnsi="Times New Roman" w:hint="eastAsia"/>
                <w:color w:val="auto"/>
                <w:sz w:val="21"/>
                <w:szCs w:val="21"/>
                <w:lang w:eastAsia="zh-CN"/>
              </w:rPr>
              <w:t>400m</w:t>
            </w:r>
            <w:r>
              <w:rPr>
                <w:rFonts w:ascii="Times New Roman" w:hAnsi="Times New Roman" w:hint="eastAsia"/>
                <w:color w:val="auto"/>
                <w:sz w:val="21"/>
                <w:szCs w:val="21"/>
                <w:lang w:eastAsia="zh-CN"/>
              </w:rPr>
              <w:t>。因此疏浚工程的实施对流速改变的幅度和范围都较小，只局限在疏浚区的小范围内，对周边的海洋动力环境影响较小</w:t>
            </w:r>
            <w:r>
              <w:rPr>
                <w:rFonts w:ascii="Times New Roman" w:hAnsi="Times New Roman"/>
                <w:color w:val="auto"/>
                <w:sz w:val="21"/>
                <w:szCs w:val="21"/>
                <w:lang w:eastAsia="zh-CN"/>
              </w:rPr>
              <w:t>。</w:t>
            </w:r>
          </w:p>
          <w:p w14:paraId="600FF931" w14:textId="77777777" w:rsidR="0075791A" w:rsidRDefault="00FB2864">
            <w:pPr>
              <w:pStyle w:val="TableText"/>
              <w:spacing w:line="288" w:lineRule="auto"/>
              <w:ind w:firstLineChars="200" w:firstLine="420"/>
              <w:jc w:val="both"/>
              <w:rPr>
                <w:rFonts w:ascii="Times New Roman" w:hAnsi="Times New Roman"/>
                <w:color w:val="auto"/>
                <w:sz w:val="21"/>
                <w:szCs w:val="21"/>
                <w:lang w:eastAsia="zh-CN"/>
              </w:rPr>
            </w:pP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2</w:t>
            </w:r>
            <w:r>
              <w:rPr>
                <w:rFonts w:ascii="Times New Roman" w:hAnsi="Times New Roman" w:hint="eastAsia"/>
                <w:color w:val="auto"/>
                <w:sz w:val="21"/>
                <w:szCs w:val="21"/>
                <w:lang w:eastAsia="zh-CN"/>
              </w:rPr>
              <w:t>）对冲淤环境影响：本项目工程后悬浮沙引起冲淤的范围较小，主要集中在疏浚区及附近的小范围内，冲淤幅度也较小，最大值在±</w:t>
            </w:r>
            <w:r>
              <w:rPr>
                <w:rFonts w:ascii="Times New Roman" w:hAnsi="Times New Roman" w:hint="eastAsia"/>
                <w:color w:val="auto"/>
                <w:sz w:val="21"/>
                <w:szCs w:val="21"/>
                <w:lang w:eastAsia="zh-CN"/>
              </w:rPr>
              <w:t>13cm/a</w:t>
            </w:r>
            <w:r>
              <w:rPr>
                <w:rFonts w:ascii="Times New Roman" w:hAnsi="Times New Roman" w:hint="eastAsia"/>
                <w:color w:val="auto"/>
                <w:sz w:val="21"/>
                <w:szCs w:val="21"/>
                <w:lang w:eastAsia="zh-CN"/>
              </w:rPr>
              <w:t>左右。</w:t>
            </w:r>
          </w:p>
          <w:p w14:paraId="5FD7C3B6" w14:textId="77777777" w:rsidR="0075791A" w:rsidRDefault="00FB2864">
            <w:pPr>
              <w:pStyle w:val="TableText"/>
              <w:spacing w:line="288" w:lineRule="auto"/>
              <w:ind w:firstLineChars="200" w:firstLine="420"/>
              <w:jc w:val="both"/>
              <w:rPr>
                <w:rFonts w:ascii="Times New Roman" w:hAnsi="Times New Roman"/>
                <w:color w:val="auto"/>
                <w:sz w:val="21"/>
                <w:szCs w:val="21"/>
                <w:lang w:eastAsia="zh-CN"/>
              </w:rPr>
            </w:pP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3</w:t>
            </w:r>
            <w:r>
              <w:rPr>
                <w:rFonts w:ascii="Times New Roman" w:hAnsi="Times New Roman" w:hint="eastAsia"/>
                <w:color w:val="auto"/>
                <w:sz w:val="21"/>
                <w:szCs w:val="21"/>
                <w:lang w:eastAsia="zh-CN"/>
              </w:rPr>
              <w:t>）</w:t>
            </w:r>
            <w:r>
              <w:rPr>
                <w:rFonts w:ascii="Times New Roman" w:hAnsi="Times New Roman"/>
                <w:color w:val="auto"/>
                <w:sz w:val="21"/>
                <w:szCs w:val="21"/>
                <w:lang w:eastAsia="zh-CN"/>
              </w:rPr>
              <w:t>本项目施工过程中产生的悬浮物扩散范围只局限在项目周边范围内，项目施工过程中未对珊瑚礁分布区、海草床分布区等区域产生不利影响，同时对周边</w:t>
            </w:r>
            <w:r>
              <w:rPr>
                <w:rFonts w:ascii="Times New Roman" w:hAnsi="Times New Roman" w:hint="eastAsia"/>
                <w:color w:val="auto"/>
                <w:sz w:val="21"/>
                <w:szCs w:val="21"/>
                <w:lang w:eastAsia="zh-CN"/>
              </w:rPr>
              <w:t>生态保护</w:t>
            </w:r>
            <w:r>
              <w:rPr>
                <w:rFonts w:ascii="Times New Roman" w:hAnsi="Times New Roman" w:hint="eastAsia"/>
                <w:color w:val="auto"/>
                <w:sz w:val="21"/>
                <w:szCs w:val="21"/>
                <w:lang w:eastAsia="zh-CN"/>
              </w:rPr>
              <w:t>红线</w:t>
            </w:r>
            <w:r>
              <w:rPr>
                <w:rFonts w:ascii="Times New Roman" w:hAnsi="Times New Roman"/>
                <w:color w:val="auto"/>
                <w:sz w:val="21"/>
                <w:szCs w:val="21"/>
                <w:lang w:eastAsia="zh-CN"/>
              </w:rPr>
              <w:t>影响</w:t>
            </w:r>
            <w:r>
              <w:rPr>
                <w:rFonts w:ascii="Times New Roman" w:hAnsi="Times New Roman" w:hint="eastAsia"/>
                <w:color w:val="auto"/>
                <w:sz w:val="21"/>
                <w:szCs w:val="21"/>
                <w:lang w:eastAsia="zh-CN"/>
              </w:rPr>
              <w:t>较小，</w:t>
            </w:r>
            <w:r>
              <w:rPr>
                <w:rFonts w:ascii="Times New Roman" w:hAnsi="Times New Roman"/>
                <w:color w:val="auto"/>
                <w:sz w:val="21"/>
                <w:szCs w:val="21"/>
                <w:lang w:eastAsia="zh-CN"/>
              </w:rPr>
              <w:t>且所有源点叠加后超</w:t>
            </w:r>
            <w:r>
              <w:rPr>
                <w:rFonts w:ascii="Times New Roman" w:hAnsi="Times New Roman"/>
                <w:color w:val="auto"/>
                <w:sz w:val="21"/>
                <w:szCs w:val="21"/>
                <w:lang w:eastAsia="zh-CN"/>
              </w:rPr>
              <w:t>I</w:t>
            </w:r>
            <w:r>
              <w:rPr>
                <w:rFonts w:ascii="Times New Roman" w:hAnsi="Times New Roman"/>
                <w:color w:val="auto"/>
                <w:sz w:val="21"/>
                <w:szCs w:val="21"/>
                <w:lang w:eastAsia="zh-CN"/>
              </w:rPr>
              <w:t>、</w:t>
            </w:r>
            <w:r>
              <w:rPr>
                <w:rFonts w:ascii="Times New Roman" w:hAnsi="Times New Roman"/>
                <w:color w:val="auto"/>
                <w:sz w:val="21"/>
                <w:szCs w:val="21"/>
                <w:lang w:eastAsia="zh-CN"/>
              </w:rPr>
              <w:t>Ⅱ</w:t>
            </w:r>
            <w:r>
              <w:rPr>
                <w:rFonts w:ascii="Times New Roman" w:hAnsi="Times New Roman"/>
                <w:color w:val="auto"/>
                <w:sz w:val="21"/>
                <w:szCs w:val="21"/>
                <w:lang w:eastAsia="zh-CN"/>
              </w:rPr>
              <w:t>类水质</w:t>
            </w:r>
            <w:r>
              <w:rPr>
                <w:rFonts w:ascii="Times New Roman" w:hAnsi="Times New Roman" w:hint="eastAsia"/>
                <w:color w:val="auto"/>
                <w:sz w:val="21"/>
                <w:szCs w:val="21"/>
                <w:lang w:eastAsia="zh-CN"/>
              </w:rPr>
              <w:t>（</w:t>
            </w:r>
            <w:r>
              <w:rPr>
                <w:rFonts w:ascii="Times New Roman" w:hAnsi="Times New Roman"/>
                <w:color w:val="auto"/>
                <w:sz w:val="21"/>
                <w:szCs w:val="21"/>
                <w:lang w:eastAsia="zh-CN"/>
              </w:rPr>
              <w:t>&gt;10mg/L</w:t>
            </w:r>
            <w:r>
              <w:rPr>
                <w:rFonts w:ascii="Times New Roman" w:hAnsi="Times New Roman" w:hint="eastAsia"/>
                <w:color w:val="auto"/>
                <w:sz w:val="21"/>
                <w:szCs w:val="21"/>
                <w:lang w:eastAsia="zh-CN"/>
              </w:rPr>
              <w:t>）扩散的最远距离仅有</w:t>
            </w:r>
            <w:r>
              <w:rPr>
                <w:rFonts w:ascii="Times New Roman" w:hAnsi="Times New Roman" w:hint="eastAsia"/>
                <w:color w:val="auto"/>
                <w:sz w:val="21"/>
                <w:szCs w:val="21"/>
                <w:lang w:eastAsia="zh-CN"/>
              </w:rPr>
              <w:t>1.</w:t>
            </w:r>
            <w:r>
              <w:rPr>
                <w:rFonts w:ascii="Times New Roman" w:hAnsi="Times New Roman" w:hint="eastAsia"/>
                <w:color w:val="auto"/>
                <w:sz w:val="21"/>
                <w:szCs w:val="21"/>
                <w:lang w:eastAsia="zh-CN"/>
              </w:rPr>
              <w:t>2</w:t>
            </w:r>
            <w:r>
              <w:rPr>
                <w:rFonts w:ascii="Times New Roman" w:hAnsi="Times New Roman" w:hint="eastAsia"/>
                <w:color w:val="auto"/>
                <w:sz w:val="21"/>
                <w:szCs w:val="21"/>
                <w:lang w:eastAsia="zh-CN"/>
              </w:rPr>
              <w:t>km</w:t>
            </w:r>
            <w:r>
              <w:rPr>
                <w:rFonts w:ascii="Times New Roman" w:hAnsi="Times New Roman" w:hint="eastAsia"/>
                <w:color w:val="auto"/>
                <w:sz w:val="21"/>
                <w:szCs w:val="21"/>
                <w:lang w:eastAsia="zh-CN"/>
              </w:rPr>
              <w:t>左右</w:t>
            </w:r>
            <w:r>
              <w:rPr>
                <w:rFonts w:ascii="Times New Roman" w:hAnsi="Times New Roman"/>
                <w:color w:val="auto"/>
                <w:sz w:val="21"/>
                <w:szCs w:val="21"/>
                <w:lang w:eastAsia="zh-CN"/>
              </w:rPr>
              <w:t>。</w:t>
            </w:r>
            <w:r>
              <w:rPr>
                <w:rFonts w:ascii="Times New Roman" w:hAnsi="Times New Roman" w:hint="eastAsia"/>
                <w:color w:val="auto"/>
                <w:sz w:val="21"/>
                <w:szCs w:val="21"/>
                <w:lang w:eastAsia="zh-CN"/>
              </w:rPr>
              <w:t>因此，需采取必要的生态保护措施，如设置防污帘、选择合适时间施工等，并好相应的生态跟踪监测，降低对该功能区红树林及其生态系统、水质和底质的影响。疏浚施工期较短，所产生的悬浮泥沙对海水水质的影响时间是短暂的，</w:t>
            </w:r>
            <w:r>
              <w:rPr>
                <w:rFonts w:ascii="Times New Roman" w:hAnsi="Times New Roman" w:hint="eastAsia"/>
                <w:color w:val="auto"/>
                <w:sz w:val="21"/>
                <w:szCs w:val="21"/>
                <w:lang w:eastAsia="zh-CN"/>
              </w:rPr>
              <w:lastRenderedPageBreak/>
              <w:t>这种影响一旦施工完毕，在较短的时间内（</w:t>
            </w:r>
            <w:r>
              <w:rPr>
                <w:rFonts w:ascii="Times New Roman" w:hAnsi="Times New Roman" w:hint="eastAsia"/>
                <w:color w:val="auto"/>
                <w:sz w:val="21"/>
                <w:szCs w:val="21"/>
                <w:lang w:eastAsia="zh-CN"/>
              </w:rPr>
              <w:t>12</w:t>
            </w:r>
            <w:r>
              <w:rPr>
                <w:rFonts w:ascii="Times New Roman" w:hAnsi="Times New Roman" w:hint="eastAsia"/>
                <w:color w:val="auto"/>
                <w:sz w:val="21"/>
                <w:szCs w:val="21"/>
                <w:lang w:eastAsia="zh-CN"/>
              </w:rPr>
              <w:t>小时）也就结束，自然生态环境逐渐得到恢复。</w:t>
            </w:r>
          </w:p>
          <w:p w14:paraId="737C0112" w14:textId="77777777" w:rsidR="0075791A" w:rsidRDefault="00FB2864">
            <w:pPr>
              <w:pStyle w:val="TableText"/>
              <w:spacing w:line="288" w:lineRule="auto"/>
              <w:ind w:firstLineChars="200" w:firstLine="420"/>
              <w:jc w:val="both"/>
              <w:rPr>
                <w:rFonts w:ascii="Times New Roman" w:hAnsi="Times New Roman"/>
                <w:color w:val="auto"/>
                <w:sz w:val="21"/>
                <w:szCs w:val="21"/>
                <w:lang w:eastAsia="zh-CN"/>
              </w:rPr>
            </w:pPr>
            <w:r>
              <w:rPr>
                <w:rFonts w:ascii="Times New Roman" w:hAnsi="Times New Roman" w:hint="eastAsia"/>
                <w:color w:val="auto"/>
                <w:sz w:val="21"/>
                <w:szCs w:val="21"/>
                <w:lang w:eastAsia="zh-CN"/>
              </w:rPr>
              <w:t>因此，本项目中位于自然保护地核心保护区生态保护红线的疏浚工程在取得批准后，</w:t>
            </w:r>
            <w:r>
              <w:rPr>
                <w:rFonts w:ascii="Times New Roman" w:hAnsi="Times New Roman" w:hint="eastAsia"/>
                <w:color w:val="auto"/>
                <w:sz w:val="21"/>
                <w:szCs w:val="21"/>
                <w:lang w:eastAsia="zh-CN"/>
              </w:rPr>
              <w:t>本项目的实施符合该功能区的</w:t>
            </w:r>
            <w:r>
              <w:rPr>
                <w:rFonts w:ascii="Times New Roman" w:hAnsi="Times New Roman" w:hint="eastAsia"/>
                <w:color w:val="auto"/>
                <w:sz w:val="21"/>
                <w:szCs w:val="21"/>
                <w:lang w:eastAsia="zh-CN"/>
              </w:rPr>
              <w:t>管制</w:t>
            </w:r>
            <w:r>
              <w:rPr>
                <w:rFonts w:ascii="Times New Roman" w:hAnsi="Times New Roman" w:hint="eastAsia"/>
                <w:color w:val="auto"/>
                <w:sz w:val="21"/>
                <w:szCs w:val="21"/>
                <w:lang w:eastAsia="zh-CN"/>
              </w:rPr>
              <w:t>要求。</w:t>
            </w:r>
          </w:p>
        </w:tc>
      </w:tr>
    </w:tbl>
    <w:p w14:paraId="38692B8D" w14:textId="77777777" w:rsidR="0075791A" w:rsidRDefault="0075791A">
      <w:pPr>
        <w:rPr>
          <w:rFonts w:ascii="Times New Roman" w:eastAsia="宋体" w:hAnsi="Times New Roman"/>
          <w:color w:val="auto"/>
          <w:lang w:eastAsia="zh-CN"/>
        </w:rPr>
        <w:sectPr w:rsidR="0075791A">
          <w:footerReference w:type="default" r:id="rId278"/>
          <w:pgSz w:w="16839" w:h="11906" w:orient="landscape"/>
          <w:pgMar w:top="1018" w:right="1409" w:bottom="1134" w:left="1408" w:header="746" w:footer="972" w:gutter="0"/>
          <w:cols w:space="720"/>
        </w:sectPr>
      </w:pPr>
    </w:p>
    <w:p w14:paraId="35B8A1B5" w14:textId="77777777" w:rsidR="0075791A" w:rsidRDefault="00FB2864">
      <w:pPr>
        <w:spacing w:line="360" w:lineRule="auto"/>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lastRenderedPageBreak/>
        <w:t>6.3.1.3</w:t>
      </w:r>
      <w:r>
        <w:rPr>
          <w:rFonts w:ascii="Times New Roman" w:eastAsia="宋体" w:hAnsi="Times New Roman" w:hint="eastAsia"/>
          <w:b/>
          <w:color w:val="auto"/>
          <w:sz w:val="24"/>
          <w:szCs w:val="24"/>
          <w:lang w:eastAsia="zh-CN"/>
        </w:rPr>
        <w:t>项目用海与《三亚市国土空间总体规划（</w:t>
      </w:r>
      <w:r>
        <w:rPr>
          <w:rFonts w:ascii="Times New Roman" w:eastAsia="宋体" w:hAnsi="Times New Roman" w:hint="eastAsia"/>
          <w:b/>
          <w:color w:val="auto"/>
          <w:sz w:val="24"/>
          <w:szCs w:val="24"/>
          <w:lang w:eastAsia="zh-CN"/>
        </w:rPr>
        <w:t>2021-2035</w:t>
      </w:r>
      <w:r>
        <w:rPr>
          <w:rFonts w:ascii="Times New Roman" w:eastAsia="宋体" w:hAnsi="Times New Roman" w:hint="eastAsia"/>
          <w:b/>
          <w:color w:val="auto"/>
          <w:sz w:val="24"/>
          <w:szCs w:val="24"/>
          <w:lang w:eastAsia="zh-CN"/>
        </w:rPr>
        <w:t>年）》的符合性分析</w:t>
      </w:r>
    </w:p>
    <w:p w14:paraId="07205C4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根据《三亚市国土空间总体规划（</w:t>
      </w:r>
      <w:r>
        <w:rPr>
          <w:rFonts w:ascii="Times New Roman" w:eastAsia="宋体" w:hAnsi="Times New Roman" w:cs="宋体" w:hint="eastAsia"/>
          <w:color w:val="auto"/>
          <w:spacing w:val="-2"/>
          <w:sz w:val="24"/>
          <w:szCs w:val="24"/>
          <w:lang w:eastAsia="zh-CN"/>
        </w:rPr>
        <w:t>2020-2035</w:t>
      </w:r>
      <w:r>
        <w:rPr>
          <w:rFonts w:ascii="Times New Roman" w:eastAsia="宋体" w:hAnsi="Times New Roman" w:cs="宋体"/>
          <w:color w:val="auto"/>
          <w:spacing w:val="-2"/>
          <w:sz w:val="24"/>
          <w:szCs w:val="24"/>
          <w:lang w:eastAsia="zh-CN"/>
        </w:rPr>
        <w:t>）》，项目用海范围位</w:t>
      </w:r>
      <w:r>
        <w:rPr>
          <w:rFonts w:ascii="Times New Roman" w:eastAsia="宋体" w:hAnsi="Times New Roman" w:cs="宋体" w:hint="eastAsia"/>
          <w:color w:val="auto"/>
          <w:spacing w:val="-2"/>
          <w:sz w:val="24"/>
          <w:szCs w:val="24"/>
          <w:lang w:eastAsia="zh-CN"/>
        </w:rPr>
        <w:t>于生态保护区</w:t>
      </w:r>
      <w:r>
        <w:rPr>
          <w:rFonts w:ascii="Times New Roman" w:eastAsia="宋体" w:hAnsi="Times New Roman" w:cs="宋体"/>
          <w:color w:val="auto"/>
          <w:spacing w:val="-2"/>
          <w:sz w:val="24"/>
          <w:szCs w:val="24"/>
          <w:lang w:eastAsia="zh-CN"/>
        </w:rPr>
        <w:t>内，该功能区的管控要求详见表</w:t>
      </w:r>
      <w:r>
        <w:rPr>
          <w:rFonts w:ascii="Times New Roman" w:eastAsia="宋体" w:hAnsi="Times New Roman" w:cs="宋体" w:hint="eastAsia"/>
          <w:color w:val="auto"/>
          <w:spacing w:val="-2"/>
          <w:sz w:val="24"/>
          <w:szCs w:val="24"/>
          <w:lang w:eastAsia="zh-CN"/>
        </w:rPr>
        <w:t>6.3-2</w:t>
      </w:r>
      <w:r>
        <w:rPr>
          <w:rFonts w:ascii="Times New Roman" w:eastAsia="宋体" w:hAnsi="Times New Roman" w:cs="宋体"/>
          <w:color w:val="auto"/>
          <w:spacing w:val="-2"/>
          <w:sz w:val="24"/>
          <w:szCs w:val="24"/>
          <w:lang w:eastAsia="zh-CN"/>
        </w:rPr>
        <w:t>。本项目建设</w:t>
      </w:r>
      <w:r>
        <w:rPr>
          <w:rFonts w:ascii="Times New Roman" w:eastAsia="宋体" w:hAnsi="Times New Roman" w:cs="宋体" w:hint="eastAsia"/>
          <w:color w:val="auto"/>
          <w:spacing w:val="-2"/>
          <w:sz w:val="24"/>
          <w:szCs w:val="24"/>
          <w:lang w:eastAsia="zh-CN"/>
        </w:rPr>
        <w:t>不</w:t>
      </w:r>
      <w:r>
        <w:rPr>
          <w:rFonts w:ascii="Times New Roman" w:eastAsia="宋体" w:hAnsi="Times New Roman" w:cs="宋体"/>
          <w:color w:val="auto"/>
          <w:spacing w:val="-2"/>
          <w:sz w:val="24"/>
          <w:szCs w:val="24"/>
          <w:lang w:eastAsia="zh-CN"/>
        </w:rPr>
        <w:t>符合《三亚市国土空间总体规划（</w:t>
      </w:r>
      <w:r>
        <w:rPr>
          <w:rFonts w:ascii="Times New Roman" w:eastAsia="宋体" w:hAnsi="Times New Roman" w:cs="宋体" w:hint="eastAsia"/>
          <w:color w:val="auto"/>
          <w:spacing w:val="-2"/>
          <w:sz w:val="24"/>
          <w:szCs w:val="24"/>
          <w:lang w:eastAsia="zh-CN"/>
        </w:rPr>
        <w:t>2020-2035</w:t>
      </w:r>
      <w:r>
        <w:rPr>
          <w:rFonts w:ascii="Times New Roman" w:eastAsia="宋体" w:hAnsi="Times New Roman" w:cs="宋体"/>
          <w:color w:val="auto"/>
          <w:spacing w:val="-2"/>
          <w:sz w:val="24"/>
          <w:szCs w:val="24"/>
          <w:lang w:eastAsia="zh-CN"/>
        </w:rPr>
        <w:t>）》对该功能区</w:t>
      </w:r>
      <w:r>
        <w:rPr>
          <w:rFonts w:ascii="Times New Roman" w:eastAsia="宋体" w:hAnsi="Times New Roman" w:cs="宋体" w:hint="eastAsia"/>
          <w:color w:val="auto"/>
          <w:spacing w:val="-2"/>
          <w:sz w:val="24"/>
          <w:szCs w:val="24"/>
          <w:lang w:eastAsia="zh-CN"/>
        </w:rPr>
        <w:t>的管控要求。</w:t>
      </w:r>
    </w:p>
    <w:p w14:paraId="7F818448" w14:textId="77777777" w:rsidR="0075791A" w:rsidRDefault="00FB2864">
      <w:pPr>
        <w:jc w:val="center"/>
        <w:rPr>
          <w:rFonts w:ascii="Times New Roman" w:eastAsia="宋体" w:hAnsi="Times New Roman" w:cs="宋体"/>
          <w:b/>
          <w:bCs/>
          <w:color w:val="auto"/>
          <w:spacing w:val="-2"/>
          <w:sz w:val="24"/>
          <w:szCs w:val="24"/>
          <w:lang w:eastAsia="zh-CN"/>
        </w:rPr>
      </w:pPr>
      <w:r>
        <w:rPr>
          <w:rFonts w:ascii="Times New Roman" w:eastAsia="宋体" w:hAnsi="Times New Roman" w:cs="宋体"/>
          <w:b/>
          <w:bCs/>
          <w:color w:val="auto"/>
          <w:spacing w:val="-2"/>
          <w:sz w:val="24"/>
          <w:szCs w:val="24"/>
          <w:lang w:eastAsia="zh-CN"/>
        </w:rPr>
        <w:t>表</w:t>
      </w:r>
      <w:r>
        <w:rPr>
          <w:rFonts w:ascii="Times New Roman" w:eastAsia="宋体" w:hAnsi="Times New Roman" w:cs="宋体" w:hint="eastAsia"/>
          <w:b/>
          <w:bCs/>
          <w:color w:val="auto"/>
          <w:spacing w:val="-2"/>
          <w:sz w:val="24"/>
          <w:szCs w:val="24"/>
          <w:lang w:eastAsia="zh-CN"/>
        </w:rPr>
        <w:t>6</w:t>
      </w:r>
      <w:r>
        <w:rPr>
          <w:rFonts w:ascii="Times New Roman" w:eastAsia="宋体" w:hAnsi="Times New Roman" w:cs="宋体" w:hint="eastAsia"/>
          <w:b/>
          <w:bCs/>
          <w:color w:val="auto"/>
          <w:spacing w:val="-2"/>
          <w:sz w:val="24"/>
          <w:szCs w:val="24"/>
          <w:lang w:eastAsia="zh-CN"/>
        </w:rPr>
        <w:t>.3-</w:t>
      </w:r>
      <w:r>
        <w:rPr>
          <w:rFonts w:ascii="Times New Roman" w:eastAsia="宋体" w:hAnsi="Times New Roman" w:cs="宋体" w:hint="eastAsia"/>
          <w:b/>
          <w:bCs/>
          <w:color w:val="auto"/>
          <w:spacing w:val="-2"/>
          <w:sz w:val="24"/>
          <w:szCs w:val="24"/>
          <w:lang w:eastAsia="zh-CN"/>
        </w:rPr>
        <w:t>2</w:t>
      </w:r>
      <w:r>
        <w:rPr>
          <w:rFonts w:ascii="Times New Roman" w:eastAsia="宋体" w:hAnsi="Times New Roman" w:cs="宋体" w:hint="eastAsia"/>
          <w:b/>
          <w:bCs/>
          <w:color w:val="auto"/>
          <w:spacing w:val="-2"/>
          <w:sz w:val="24"/>
          <w:szCs w:val="24"/>
          <w:lang w:eastAsia="zh-CN"/>
        </w:rPr>
        <w:t>三亚</w:t>
      </w:r>
      <w:r>
        <w:rPr>
          <w:rFonts w:ascii="Times New Roman" w:eastAsia="宋体" w:hAnsi="Times New Roman" w:cs="宋体"/>
          <w:b/>
          <w:bCs/>
          <w:color w:val="auto"/>
          <w:spacing w:val="-2"/>
          <w:sz w:val="24"/>
          <w:szCs w:val="24"/>
          <w:lang w:eastAsia="zh-CN"/>
        </w:rPr>
        <w:t>市域近岸海域海洋功能分区规划</w:t>
      </w:r>
    </w:p>
    <w:tbl>
      <w:tblPr>
        <w:tblStyle w:val="ad"/>
        <w:tblW w:w="9873" w:type="dxa"/>
        <w:jc w:val="center"/>
        <w:tblLook w:val="04A0" w:firstRow="1" w:lastRow="0" w:firstColumn="1" w:lastColumn="0" w:noHBand="0" w:noVBand="1"/>
      </w:tblPr>
      <w:tblGrid>
        <w:gridCol w:w="1131"/>
        <w:gridCol w:w="976"/>
        <w:gridCol w:w="960"/>
        <w:gridCol w:w="922"/>
        <w:gridCol w:w="3170"/>
        <w:gridCol w:w="2714"/>
      </w:tblGrid>
      <w:tr w:rsidR="0075791A" w14:paraId="19CB0CCC" w14:textId="77777777">
        <w:trPr>
          <w:jc w:val="center"/>
        </w:trPr>
        <w:tc>
          <w:tcPr>
            <w:tcW w:w="2107" w:type="dxa"/>
            <w:gridSpan w:val="2"/>
            <w:tcMar>
              <w:top w:w="0" w:type="dxa"/>
              <w:left w:w="57" w:type="dxa"/>
              <w:bottom w:w="0" w:type="dxa"/>
              <w:right w:w="57" w:type="dxa"/>
            </w:tcMar>
            <w:vAlign w:val="center"/>
          </w:tcPr>
          <w:p w14:paraId="26BCB299" w14:textId="77777777" w:rsidR="0075791A" w:rsidRDefault="00FB2864">
            <w:pPr>
              <w:widowControl/>
              <w:jc w:val="center"/>
              <w:rPr>
                <w:rFonts w:ascii="Times New Roman" w:eastAsia="宋体" w:hAnsi="Times New Roman" w:cs="宋体"/>
                <w:b/>
                <w:bCs/>
                <w:color w:val="auto"/>
                <w:spacing w:val="-2"/>
                <w:lang w:eastAsia="zh-CN"/>
              </w:rPr>
            </w:pPr>
            <w:r>
              <w:rPr>
                <w:rFonts w:ascii="Times New Roman" w:eastAsia="宋体" w:hAnsi="Times New Roman" w:cs="宋体" w:hint="eastAsia"/>
                <w:b/>
                <w:bCs/>
                <w:color w:val="auto"/>
                <w:spacing w:val="-2"/>
                <w:lang w:eastAsia="zh-CN"/>
              </w:rPr>
              <w:t>海洋基本功能区类型</w:t>
            </w:r>
          </w:p>
        </w:tc>
        <w:tc>
          <w:tcPr>
            <w:tcW w:w="960" w:type="dxa"/>
            <w:vMerge w:val="restart"/>
            <w:tcMar>
              <w:top w:w="0" w:type="dxa"/>
              <w:left w:w="57" w:type="dxa"/>
              <w:bottom w:w="0" w:type="dxa"/>
              <w:right w:w="57" w:type="dxa"/>
            </w:tcMar>
            <w:vAlign w:val="center"/>
          </w:tcPr>
          <w:p w14:paraId="301C558D" w14:textId="77777777" w:rsidR="0075791A" w:rsidRDefault="00FB2864">
            <w:pPr>
              <w:widowControl/>
              <w:jc w:val="center"/>
              <w:rPr>
                <w:rFonts w:ascii="Times New Roman" w:eastAsia="宋体" w:hAnsi="Times New Roman" w:cs="宋体"/>
                <w:b/>
                <w:bCs/>
                <w:color w:val="auto"/>
                <w:spacing w:val="-2"/>
                <w:lang w:eastAsia="zh-CN"/>
              </w:rPr>
            </w:pPr>
            <w:r>
              <w:rPr>
                <w:rFonts w:ascii="Times New Roman" w:eastAsia="宋体" w:hAnsi="Times New Roman" w:cs="宋体" w:hint="eastAsia"/>
                <w:b/>
                <w:bCs/>
                <w:color w:val="auto"/>
                <w:spacing w:val="-2"/>
                <w:lang w:eastAsia="zh-CN"/>
              </w:rPr>
              <w:t>功能区位置</w:t>
            </w:r>
          </w:p>
        </w:tc>
        <w:tc>
          <w:tcPr>
            <w:tcW w:w="922" w:type="dxa"/>
            <w:vMerge w:val="restart"/>
            <w:tcMar>
              <w:top w:w="0" w:type="dxa"/>
              <w:left w:w="0" w:type="dxa"/>
              <w:bottom w:w="0" w:type="dxa"/>
              <w:right w:w="0" w:type="dxa"/>
            </w:tcMar>
            <w:vAlign w:val="center"/>
          </w:tcPr>
          <w:p w14:paraId="4A0ABE04" w14:textId="77777777" w:rsidR="0075791A" w:rsidRDefault="00FB2864">
            <w:pPr>
              <w:widowControl/>
              <w:jc w:val="center"/>
              <w:rPr>
                <w:rFonts w:ascii="Times New Roman" w:eastAsia="宋体" w:hAnsi="Times New Roman" w:cs="宋体"/>
                <w:b/>
                <w:bCs/>
                <w:color w:val="auto"/>
                <w:spacing w:val="-2"/>
                <w:lang w:eastAsia="zh-CN"/>
              </w:rPr>
            </w:pPr>
            <w:r>
              <w:rPr>
                <w:rFonts w:ascii="Times New Roman" w:eastAsia="宋体" w:hAnsi="Times New Roman" w:cs="宋体" w:hint="eastAsia"/>
                <w:b/>
                <w:bCs/>
                <w:color w:val="auto"/>
                <w:spacing w:val="-2"/>
                <w:lang w:eastAsia="zh-CN"/>
              </w:rPr>
              <w:t>总面积</w:t>
            </w:r>
          </w:p>
          <w:p w14:paraId="19287759" w14:textId="77777777" w:rsidR="0075791A" w:rsidRDefault="00FB2864">
            <w:pPr>
              <w:widowControl/>
              <w:jc w:val="center"/>
              <w:rPr>
                <w:rFonts w:ascii="Times New Roman" w:eastAsia="宋体" w:hAnsi="Times New Roman" w:cs="宋体"/>
                <w:b/>
                <w:bCs/>
                <w:color w:val="auto"/>
                <w:spacing w:val="-2"/>
                <w:lang w:eastAsia="zh-CN"/>
              </w:rPr>
            </w:pPr>
            <w:r>
              <w:rPr>
                <w:rFonts w:ascii="Times New Roman" w:eastAsia="宋体" w:hAnsi="Times New Roman" w:cs="宋体" w:hint="eastAsia"/>
                <w:b/>
                <w:bCs/>
                <w:color w:val="auto"/>
                <w:spacing w:val="-2"/>
                <w:lang w:eastAsia="zh-CN"/>
              </w:rPr>
              <w:t>(km</w:t>
            </w:r>
            <w:r>
              <w:rPr>
                <w:rFonts w:ascii="Times New Roman" w:eastAsia="宋体" w:hAnsi="Times New Roman" w:cs="宋体" w:hint="eastAsia"/>
                <w:b/>
                <w:bCs/>
                <w:color w:val="auto"/>
                <w:spacing w:val="-2"/>
                <w:vertAlign w:val="superscript"/>
                <w:lang w:eastAsia="zh-CN"/>
              </w:rPr>
              <w:t>2</w:t>
            </w:r>
            <w:r>
              <w:rPr>
                <w:rFonts w:ascii="Times New Roman" w:eastAsia="宋体" w:hAnsi="Times New Roman" w:cs="宋体" w:hint="eastAsia"/>
                <w:b/>
                <w:bCs/>
                <w:color w:val="auto"/>
                <w:spacing w:val="-2"/>
                <w:lang w:eastAsia="zh-CN"/>
              </w:rPr>
              <w:t>)</w:t>
            </w:r>
          </w:p>
        </w:tc>
        <w:tc>
          <w:tcPr>
            <w:tcW w:w="3170" w:type="dxa"/>
            <w:vMerge w:val="restart"/>
            <w:tcMar>
              <w:top w:w="0" w:type="dxa"/>
              <w:left w:w="57" w:type="dxa"/>
              <w:bottom w:w="0" w:type="dxa"/>
              <w:right w:w="57" w:type="dxa"/>
            </w:tcMar>
            <w:vAlign w:val="center"/>
          </w:tcPr>
          <w:p w14:paraId="40774748" w14:textId="77777777" w:rsidR="0075791A" w:rsidRDefault="00FB2864">
            <w:pPr>
              <w:widowControl/>
              <w:jc w:val="center"/>
              <w:rPr>
                <w:rFonts w:ascii="Times New Roman" w:eastAsia="宋体" w:hAnsi="Times New Roman" w:cs="宋体"/>
                <w:b/>
                <w:bCs/>
                <w:color w:val="auto"/>
                <w:spacing w:val="-2"/>
                <w:lang w:eastAsia="zh-CN"/>
              </w:rPr>
            </w:pPr>
            <w:r>
              <w:rPr>
                <w:rFonts w:ascii="Times New Roman" w:eastAsia="宋体" w:hAnsi="Times New Roman" w:cs="宋体" w:hint="eastAsia"/>
                <w:b/>
                <w:bCs/>
                <w:color w:val="auto"/>
                <w:spacing w:val="-2"/>
                <w:lang w:eastAsia="zh-CN"/>
              </w:rPr>
              <w:t>管控要求</w:t>
            </w:r>
          </w:p>
        </w:tc>
        <w:tc>
          <w:tcPr>
            <w:tcW w:w="2714" w:type="dxa"/>
            <w:vMerge w:val="restart"/>
            <w:tcMar>
              <w:top w:w="0" w:type="dxa"/>
              <w:left w:w="57" w:type="dxa"/>
              <w:bottom w:w="0" w:type="dxa"/>
              <w:right w:w="57" w:type="dxa"/>
            </w:tcMar>
            <w:vAlign w:val="center"/>
          </w:tcPr>
          <w:p w14:paraId="3AF6669B" w14:textId="77777777" w:rsidR="0075791A" w:rsidRDefault="00FB2864">
            <w:pPr>
              <w:widowControl/>
              <w:jc w:val="center"/>
              <w:rPr>
                <w:rFonts w:ascii="Times New Roman" w:eastAsia="宋体" w:hAnsi="Times New Roman" w:cs="宋体"/>
                <w:b/>
                <w:bCs/>
                <w:color w:val="auto"/>
                <w:spacing w:val="-2"/>
                <w:lang w:eastAsia="zh-CN"/>
              </w:rPr>
            </w:pPr>
            <w:r>
              <w:rPr>
                <w:rFonts w:ascii="Times New Roman" w:eastAsia="宋体" w:hAnsi="Times New Roman" w:cs="宋体" w:hint="eastAsia"/>
                <w:b/>
                <w:bCs/>
                <w:color w:val="auto"/>
                <w:spacing w:val="-2"/>
                <w:lang w:eastAsia="zh-CN"/>
              </w:rPr>
              <w:t>符合性分析</w:t>
            </w:r>
          </w:p>
        </w:tc>
      </w:tr>
      <w:tr w:rsidR="0075791A" w14:paraId="7E212DDE" w14:textId="77777777">
        <w:trPr>
          <w:jc w:val="center"/>
        </w:trPr>
        <w:tc>
          <w:tcPr>
            <w:tcW w:w="1131" w:type="dxa"/>
            <w:tcMar>
              <w:top w:w="0" w:type="dxa"/>
              <w:left w:w="57" w:type="dxa"/>
              <w:bottom w:w="0" w:type="dxa"/>
              <w:right w:w="57" w:type="dxa"/>
            </w:tcMar>
            <w:vAlign w:val="center"/>
          </w:tcPr>
          <w:p w14:paraId="1DB6A256" w14:textId="77777777" w:rsidR="0075791A" w:rsidRDefault="00FB2864">
            <w:pPr>
              <w:widowControl/>
              <w:jc w:val="center"/>
              <w:rPr>
                <w:rFonts w:ascii="Times New Roman" w:eastAsia="宋体" w:hAnsi="Times New Roman" w:cs="宋体"/>
                <w:b/>
                <w:bCs/>
                <w:color w:val="auto"/>
                <w:spacing w:val="-2"/>
                <w:lang w:eastAsia="zh-CN"/>
              </w:rPr>
            </w:pPr>
            <w:r>
              <w:rPr>
                <w:rFonts w:ascii="Times New Roman" w:eastAsia="宋体" w:hAnsi="Times New Roman" w:cs="宋体" w:hint="eastAsia"/>
                <w:b/>
                <w:bCs/>
                <w:color w:val="auto"/>
                <w:spacing w:val="-2"/>
                <w:lang w:eastAsia="zh-CN"/>
              </w:rPr>
              <w:t>一级类</w:t>
            </w:r>
          </w:p>
        </w:tc>
        <w:tc>
          <w:tcPr>
            <w:tcW w:w="976" w:type="dxa"/>
            <w:tcMar>
              <w:top w:w="0" w:type="dxa"/>
              <w:left w:w="57" w:type="dxa"/>
              <w:bottom w:w="0" w:type="dxa"/>
              <w:right w:w="57" w:type="dxa"/>
            </w:tcMar>
            <w:vAlign w:val="center"/>
          </w:tcPr>
          <w:p w14:paraId="027E87E0" w14:textId="77777777" w:rsidR="0075791A" w:rsidRDefault="00FB2864">
            <w:pPr>
              <w:widowControl/>
              <w:jc w:val="center"/>
              <w:rPr>
                <w:rFonts w:ascii="Times New Roman" w:eastAsia="宋体" w:hAnsi="Times New Roman" w:cs="宋体"/>
                <w:b/>
                <w:bCs/>
                <w:color w:val="auto"/>
                <w:spacing w:val="-2"/>
                <w:lang w:eastAsia="zh-CN"/>
              </w:rPr>
            </w:pPr>
            <w:r>
              <w:rPr>
                <w:rFonts w:ascii="Times New Roman" w:eastAsia="宋体" w:hAnsi="Times New Roman" w:cs="宋体" w:hint="eastAsia"/>
                <w:b/>
                <w:bCs/>
                <w:color w:val="auto"/>
                <w:spacing w:val="-2"/>
                <w:lang w:eastAsia="zh-CN"/>
              </w:rPr>
              <w:t>二级类</w:t>
            </w:r>
          </w:p>
        </w:tc>
        <w:tc>
          <w:tcPr>
            <w:tcW w:w="960" w:type="dxa"/>
            <w:vMerge/>
            <w:tcMar>
              <w:top w:w="0" w:type="dxa"/>
              <w:left w:w="57" w:type="dxa"/>
              <w:bottom w:w="0" w:type="dxa"/>
              <w:right w:w="57" w:type="dxa"/>
            </w:tcMar>
            <w:vAlign w:val="center"/>
          </w:tcPr>
          <w:p w14:paraId="4B2F4C8E" w14:textId="77777777" w:rsidR="0075791A" w:rsidRDefault="0075791A">
            <w:pPr>
              <w:widowControl/>
              <w:jc w:val="center"/>
              <w:rPr>
                <w:rFonts w:ascii="Times New Roman" w:eastAsia="宋体" w:hAnsi="Times New Roman" w:cs="宋体"/>
                <w:b/>
                <w:bCs/>
                <w:color w:val="auto"/>
                <w:spacing w:val="-2"/>
              </w:rPr>
            </w:pPr>
          </w:p>
        </w:tc>
        <w:tc>
          <w:tcPr>
            <w:tcW w:w="922" w:type="dxa"/>
            <w:vMerge/>
            <w:tcMar>
              <w:top w:w="0" w:type="dxa"/>
              <w:left w:w="57" w:type="dxa"/>
              <w:bottom w:w="0" w:type="dxa"/>
              <w:right w:w="57" w:type="dxa"/>
            </w:tcMar>
            <w:vAlign w:val="center"/>
          </w:tcPr>
          <w:p w14:paraId="7098B58F" w14:textId="77777777" w:rsidR="0075791A" w:rsidRDefault="0075791A">
            <w:pPr>
              <w:widowControl/>
              <w:jc w:val="center"/>
              <w:rPr>
                <w:rFonts w:ascii="Times New Roman" w:eastAsia="宋体" w:hAnsi="Times New Roman" w:cs="宋体"/>
                <w:b/>
                <w:bCs/>
                <w:color w:val="auto"/>
                <w:spacing w:val="-2"/>
              </w:rPr>
            </w:pPr>
          </w:p>
        </w:tc>
        <w:tc>
          <w:tcPr>
            <w:tcW w:w="3170" w:type="dxa"/>
            <w:vMerge/>
            <w:tcMar>
              <w:top w:w="0" w:type="dxa"/>
              <w:left w:w="57" w:type="dxa"/>
              <w:bottom w:w="0" w:type="dxa"/>
              <w:right w:w="57" w:type="dxa"/>
            </w:tcMar>
            <w:vAlign w:val="center"/>
          </w:tcPr>
          <w:p w14:paraId="2D7A14DA" w14:textId="77777777" w:rsidR="0075791A" w:rsidRDefault="0075791A">
            <w:pPr>
              <w:widowControl/>
              <w:jc w:val="center"/>
              <w:rPr>
                <w:rFonts w:ascii="Times New Roman" w:eastAsia="宋体" w:hAnsi="Times New Roman" w:cs="宋体"/>
                <w:b/>
                <w:bCs/>
                <w:color w:val="auto"/>
                <w:spacing w:val="-2"/>
              </w:rPr>
            </w:pPr>
          </w:p>
        </w:tc>
        <w:tc>
          <w:tcPr>
            <w:tcW w:w="2714" w:type="dxa"/>
            <w:vMerge/>
            <w:tcMar>
              <w:top w:w="0" w:type="dxa"/>
              <w:left w:w="57" w:type="dxa"/>
              <w:bottom w:w="0" w:type="dxa"/>
              <w:right w:w="57" w:type="dxa"/>
            </w:tcMar>
            <w:vAlign w:val="center"/>
          </w:tcPr>
          <w:p w14:paraId="3F7ECA3C" w14:textId="77777777" w:rsidR="0075791A" w:rsidRDefault="0075791A">
            <w:pPr>
              <w:widowControl/>
              <w:jc w:val="center"/>
              <w:rPr>
                <w:rFonts w:ascii="Times New Roman" w:eastAsia="宋体" w:hAnsi="Times New Roman" w:cs="宋体"/>
                <w:b/>
                <w:bCs/>
                <w:color w:val="auto"/>
                <w:spacing w:val="-2"/>
              </w:rPr>
            </w:pPr>
          </w:p>
        </w:tc>
      </w:tr>
      <w:tr w:rsidR="0075791A" w14:paraId="1A585DD6" w14:textId="77777777">
        <w:trPr>
          <w:jc w:val="center"/>
        </w:trPr>
        <w:tc>
          <w:tcPr>
            <w:tcW w:w="1131" w:type="dxa"/>
            <w:tcMar>
              <w:top w:w="0" w:type="dxa"/>
              <w:left w:w="57" w:type="dxa"/>
              <w:bottom w:w="0" w:type="dxa"/>
              <w:right w:w="57" w:type="dxa"/>
            </w:tcMar>
            <w:vAlign w:val="center"/>
          </w:tcPr>
          <w:p w14:paraId="59E9A831" w14:textId="77777777" w:rsidR="0075791A" w:rsidRDefault="00FB2864">
            <w:pPr>
              <w:widowControl/>
              <w:jc w:val="center"/>
              <w:rPr>
                <w:rFonts w:ascii="Times New Roman" w:eastAsia="宋体" w:hAnsi="Times New Roman" w:cs="宋体"/>
                <w:color w:val="auto"/>
                <w:lang w:eastAsia="zh-CN"/>
              </w:rPr>
            </w:pPr>
            <w:r>
              <w:rPr>
                <w:rFonts w:ascii="Times New Roman" w:eastAsia="宋体" w:hAnsi="Times New Roman" w:cs="宋体" w:hint="eastAsia"/>
                <w:color w:val="auto"/>
                <w:lang w:eastAsia="zh-CN"/>
              </w:rPr>
              <w:t>生态保护区</w:t>
            </w:r>
          </w:p>
        </w:tc>
        <w:tc>
          <w:tcPr>
            <w:tcW w:w="976" w:type="dxa"/>
            <w:tcMar>
              <w:top w:w="0" w:type="dxa"/>
              <w:left w:w="57" w:type="dxa"/>
              <w:bottom w:w="0" w:type="dxa"/>
              <w:right w:w="57" w:type="dxa"/>
            </w:tcMar>
            <w:vAlign w:val="center"/>
          </w:tcPr>
          <w:p w14:paraId="73E63418" w14:textId="77777777" w:rsidR="0075791A" w:rsidRDefault="00FB2864">
            <w:pPr>
              <w:widowControl/>
              <w:jc w:val="center"/>
              <w:rPr>
                <w:rFonts w:ascii="Times New Roman" w:eastAsia="宋体" w:hAnsi="Times New Roman" w:cs="宋体"/>
                <w:color w:val="auto"/>
                <w:lang w:eastAsia="zh-CN"/>
              </w:rPr>
            </w:pPr>
            <w:r>
              <w:rPr>
                <w:rFonts w:ascii="Times New Roman" w:eastAsia="宋体" w:hAnsi="Times New Roman" w:cs="宋体" w:hint="eastAsia"/>
                <w:color w:val="auto"/>
                <w:lang w:eastAsia="zh-CN"/>
              </w:rPr>
              <w:t>——</w:t>
            </w:r>
          </w:p>
        </w:tc>
        <w:tc>
          <w:tcPr>
            <w:tcW w:w="960" w:type="dxa"/>
            <w:tcMar>
              <w:top w:w="0" w:type="dxa"/>
              <w:left w:w="57" w:type="dxa"/>
              <w:bottom w:w="0" w:type="dxa"/>
              <w:right w:w="57" w:type="dxa"/>
            </w:tcMar>
            <w:vAlign w:val="center"/>
          </w:tcPr>
          <w:p w14:paraId="616963D2" w14:textId="77777777" w:rsidR="0075791A" w:rsidRDefault="00FB2864">
            <w:pPr>
              <w:widowControl/>
              <w:jc w:val="center"/>
              <w:rPr>
                <w:rFonts w:ascii="Times New Roman" w:eastAsia="宋体" w:hAnsi="Times New Roman" w:cs="宋体"/>
                <w:color w:val="auto"/>
                <w:lang w:eastAsia="zh-CN"/>
              </w:rPr>
            </w:pPr>
            <w:r>
              <w:rPr>
                <w:rFonts w:ascii="Times New Roman" w:eastAsia="宋体" w:hAnsi="Times New Roman" w:cs="宋体" w:hint="eastAsia"/>
                <w:color w:val="auto"/>
                <w:lang w:eastAsia="zh-CN"/>
              </w:rPr>
              <w:t>自然保护地、水源保护区和公益林等科学评估划定的生态保护区域</w:t>
            </w:r>
          </w:p>
        </w:tc>
        <w:tc>
          <w:tcPr>
            <w:tcW w:w="922" w:type="dxa"/>
            <w:tcMar>
              <w:top w:w="0" w:type="dxa"/>
              <w:left w:w="57" w:type="dxa"/>
              <w:bottom w:w="0" w:type="dxa"/>
              <w:right w:w="57" w:type="dxa"/>
            </w:tcMar>
            <w:vAlign w:val="center"/>
          </w:tcPr>
          <w:p w14:paraId="232746BC" w14:textId="77777777" w:rsidR="0075791A" w:rsidRDefault="00FB2864">
            <w:pPr>
              <w:widowControl/>
              <w:jc w:val="center"/>
              <w:rPr>
                <w:rFonts w:ascii="Times New Roman" w:eastAsia="宋体" w:hAnsi="Times New Roman" w:cs="宋体"/>
                <w:color w:val="auto"/>
                <w:lang w:eastAsia="zh-CN"/>
              </w:rPr>
            </w:pPr>
            <w:r>
              <w:rPr>
                <w:rFonts w:ascii="Times New Roman" w:eastAsia="宋体" w:hAnsi="Times New Roman" w:hint="eastAsia"/>
                <w:color w:val="auto"/>
              </w:rPr>
              <w:t>740.17</w:t>
            </w:r>
          </w:p>
        </w:tc>
        <w:tc>
          <w:tcPr>
            <w:tcW w:w="3170" w:type="dxa"/>
            <w:tcMar>
              <w:top w:w="0" w:type="dxa"/>
              <w:left w:w="57" w:type="dxa"/>
              <w:bottom w:w="0" w:type="dxa"/>
              <w:right w:w="57" w:type="dxa"/>
            </w:tcMar>
            <w:vAlign w:val="center"/>
          </w:tcPr>
          <w:p w14:paraId="34D14CCD" w14:textId="77777777" w:rsidR="0075791A" w:rsidRDefault="00FB2864">
            <w:pPr>
              <w:widowControl/>
              <w:ind w:firstLineChars="200" w:firstLine="420"/>
              <w:jc w:val="both"/>
              <w:rPr>
                <w:rFonts w:ascii="Times New Roman" w:eastAsia="宋体" w:hAnsi="Times New Roman" w:cs="宋体"/>
                <w:color w:val="auto"/>
                <w:lang w:eastAsia="zh-CN"/>
              </w:rPr>
            </w:pPr>
            <w:r>
              <w:rPr>
                <w:rFonts w:ascii="Times New Roman" w:eastAsia="宋体" w:hAnsi="Times New Roman" w:cs="宋体" w:hint="eastAsia"/>
                <w:color w:val="auto"/>
                <w:lang w:eastAsia="zh-CN"/>
              </w:rPr>
              <w:t>生态保护区内的自然保护地核心保护区原则上禁止人为活动，经依法批准的科学研究观测、调查监测、生态修复等法律、法规和国家有关规定允许的活动除外。其他区域严格禁止开发性、生产性建设活动，在符合现行法律法规前提下，除国家重大战略项目外，仅允许对生态功能不造成破坏的有限人为活动。生态保护区可在单元详细规划中划定为生态单元。</w:t>
            </w:r>
          </w:p>
        </w:tc>
        <w:tc>
          <w:tcPr>
            <w:tcW w:w="2714" w:type="dxa"/>
            <w:tcMar>
              <w:top w:w="0" w:type="dxa"/>
              <w:left w:w="57" w:type="dxa"/>
              <w:bottom w:w="0" w:type="dxa"/>
              <w:right w:w="57" w:type="dxa"/>
            </w:tcMar>
            <w:vAlign w:val="center"/>
          </w:tcPr>
          <w:p w14:paraId="5C7C1848" w14:textId="77777777" w:rsidR="0075791A" w:rsidRDefault="00FB2864">
            <w:pPr>
              <w:pStyle w:val="TableText"/>
              <w:widowControl/>
              <w:spacing w:line="288" w:lineRule="auto"/>
              <w:ind w:firstLineChars="200" w:firstLine="422"/>
              <w:jc w:val="both"/>
              <w:rPr>
                <w:rFonts w:ascii="Times New Roman" w:hAnsi="Times New Roman"/>
                <w:b/>
                <w:bCs/>
                <w:color w:val="auto"/>
                <w:sz w:val="21"/>
                <w:szCs w:val="21"/>
                <w:lang w:eastAsia="zh-CN"/>
              </w:rPr>
            </w:pPr>
            <w:r>
              <w:rPr>
                <w:rFonts w:ascii="Times New Roman" w:hAnsi="Times New Roman" w:hint="eastAsia"/>
                <w:b/>
                <w:bCs/>
                <w:color w:val="auto"/>
                <w:sz w:val="21"/>
                <w:szCs w:val="21"/>
                <w:lang w:eastAsia="zh-CN"/>
              </w:rPr>
              <w:t>符合。</w:t>
            </w:r>
          </w:p>
          <w:p w14:paraId="1FBC6AC2" w14:textId="77777777" w:rsidR="0075791A" w:rsidRDefault="00FB2864">
            <w:pPr>
              <w:widowControl/>
              <w:ind w:firstLineChars="200" w:firstLine="420"/>
              <w:jc w:val="both"/>
              <w:rPr>
                <w:rFonts w:ascii="Times New Roman" w:eastAsia="宋体" w:hAnsi="Times New Roman" w:cs="宋体"/>
                <w:color w:val="auto"/>
                <w:lang w:eastAsia="zh-CN"/>
              </w:rPr>
            </w:pPr>
            <w:r>
              <w:rPr>
                <w:rFonts w:ascii="Times New Roman" w:eastAsia="宋体" w:hAnsi="Times New Roman" w:cs="宋体" w:hint="eastAsia"/>
                <w:color w:val="auto"/>
                <w:lang w:eastAsia="zh-CN"/>
              </w:rPr>
              <w:t>同《海南省海岸带综合保护与利用规划（</w:t>
            </w:r>
            <w:r>
              <w:rPr>
                <w:rFonts w:ascii="Times New Roman" w:eastAsia="宋体" w:hAnsi="Times New Roman" w:cs="宋体" w:hint="eastAsia"/>
                <w:color w:val="auto"/>
                <w:lang w:eastAsia="zh-CN"/>
              </w:rPr>
              <w:t xml:space="preserve">2021-2035 </w:t>
            </w:r>
            <w:r>
              <w:rPr>
                <w:rFonts w:ascii="Times New Roman" w:eastAsia="宋体" w:hAnsi="Times New Roman" w:cs="宋体" w:hint="eastAsia"/>
                <w:color w:val="auto"/>
                <w:lang w:eastAsia="zh-CN"/>
              </w:rPr>
              <w:t>年）》，项目用海与铁炉港潟湖生态保护区</w:t>
            </w:r>
            <w:r>
              <w:rPr>
                <w:rFonts w:ascii="Times New Roman" w:eastAsia="宋体" w:hAnsi="Times New Roman" w:cs="宋体"/>
                <w:color w:val="auto"/>
                <w:lang w:eastAsia="zh-CN"/>
              </w:rPr>
              <w:t>（</w:t>
            </w:r>
            <w:r>
              <w:rPr>
                <w:rFonts w:ascii="Times New Roman" w:eastAsia="宋体" w:hAnsi="Times New Roman" w:cs="宋体" w:hint="eastAsia"/>
                <w:color w:val="auto"/>
                <w:lang w:eastAsia="zh-CN"/>
              </w:rPr>
              <w:t>A0049</w:t>
            </w:r>
            <w:r>
              <w:rPr>
                <w:rFonts w:ascii="Times New Roman" w:eastAsia="宋体" w:hAnsi="Times New Roman" w:cs="宋体"/>
                <w:color w:val="auto"/>
                <w:lang w:eastAsia="zh-CN"/>
              </w:rPr>
              <w:t>）</w:t>
            </w:r>
            <w:r>
              <w:rPr>
                <w:rFonts w:ascii="Times New Roman" w:eastAsia="宋体" w:hAnsi="Times New Roman" w:cs="宋体" w:hint="eastAsia"/>
                <w:color w:val="auto"/>
                <w:lang w:eastAsia="zh-CN"/>
              </w:rPr>
              <w:t>空间准入符合性分析，</w:t>
            </w:r>
            <w:r>
              <w:rPr>
                <w:rFonts w:ascii="Times New Roman" w:hAnsi="Times New Roman" w:cs="宋体" w:hint="eastAsia"/>
                <w:color w:val="auto"/>
                <w:lang w:eastAsia="zh-CN"/>
              </w:rPr>
              <w:t>本项目中位于自然保护地核心保护区生态保护红线的疏浚工程在取得批准后，</w:t>
            </w:r>
            <w:r>
              <w:rPr>
                <w:rFonts w:ascii="Times New Roman" w:eastAsia="宋体" w:hAnsi="Times New Roman" w:cs="宋体" w:hint="eastAsia"/>
                <w:color w:val="auto"/>
                <w:lang w:eastAsia="zh-CN"/>
              </w:rPr>
              <w:t>本项目的实施符合该功能区的</w:t>
            </w:r>
            <w:r>
              <w:rPr>
                <w:rFonts w:ascii="Times New Roman" w:hAnsi="Times New Roman" w:cs="宋体" w:hint="eastAsia"/>
                <w:color w:val="auto"/>
                <w:lang w:eastAsia="zh-CN"/>
              </w:rPr>
              <w:t>管制</w:t>
            </w:r>
            <w:r>
              <w:rPr>
                <w:rFonts w:ascii="Times New Roman" w:eastAsia="宋体" w:hAnsi="Times New Roman" w:cs="宋体" w:hint="eastAsia"/>
                <w:color w:val="auto"/>
                <w:lang w:eastAsia="zh-CN"/>
              </w:rPr>
              <w:t>要求。</w:t>
            </w:r>
          </w:p>
        </w:tc>
      </w:tr>
    </w:tbl>
    <w:p w14:paraId="4B14878D" w14:textId="77777777" w:rsidR="0075791A" w:rsidRDefault="0075791A">
      <w:pPr>
        <w:spacing w:before="78" w:line="219" w:lineRule="auto"/>
        <w:ind w:left="489"/>
        <w:rPr>
          <w:rFonts w:ascii="Times New Roman" w:eastAsia="宋体" w:hAnsi="Times New Roman" w:cs="宋体"/>
          <w:color w:val="auto"/>
          <w:spacing w:val="-1"/>
          <w:sz w:val="24"/>
          <w:szCs w:val="24"/>
          <w:lang w:eastAsia="zh-CN"/>
        </w:rPr>
      </w:pPr>
    </w:p>
    <w:p w14:paraId="6DA0F786" w14:textId="77777777" w:rsidR="0075791A" w:rsidRDefault="00FB2864">
      <w:pPr>
        <w:spacing w:before="33" w:line="347" w:lineRule="auto"/>
        <w:ind w:left="9" w:right="80" w:firstLine="481"/>
        <w:rPr>
          <w:rFonts w:ascii="Times New Roman" w:eastAsia="宋体" w:hAnsi="Times New Roman" w:cs="宋体"/>
          <w:color w:val="auto"/>
          <w:sz w:val="24"/>
          <w:szCs w:val="24"/>
          <w:lang w:eastAsia="zh-CN"/>
        </w:rPr>
      </w:pPr>
      <w:r>
        <w:rPr>
          <w:rFonts w:ascii="Times New Roman" w:eastAsia="宋体" w:hAnsi="Times New Roman" w:cs="宋体" w:hint="eastAsia"/>
          <w:b/>
          <w:bCs/>
          <w:color w:val="auto"/>
          <w:spacing w:val="-4"/>
          <w:sz w:val="24"/>
          <w:szCs w:val="24"/>
          <w:lang w:eastAsia="zh-CN"/>
        </w:rPr>
        <w:t>综上所述，</w:t>
      </w:r>
      <w:r>
        <w:rPr>
          <w:rFonts w:ascii="Times New Roman" w:eastAsia="宋体" w:hAnsi="Times New Roman" w:cs="宋体"/>
          <w:b/>
          <w:bCs/>
          <w:color w:val="auto"/>
          <w:spacing w:val="-4"/>
          <w:sz w:val="24"/>
          <w:szCs w:val="24"/>
          <w:lang w:eastAsia="zh-CN"/>
        </w:rPr>
        <w:t>本项目的实施</w:t>
      </w:r>
      <w:r>
        <w:rPr>
          <w:rFonts w:ascii="Times New Roman" w:eastAsia="宋体" w:hAnsi="Times New Roman" w:cs="宋体" w:hint="eastAsia"/>
          <w:b/>
          <w:bCs/>
          <w:color w:val="auto"/>
          <w:spacing w:val="-4"/>
          <w:sz w:val="24"/>
          <w:szCs w:val="24"/>
          <w:lang w:eastAsia="zh-CN"/>
        </w:rPr>
        <w:t>符合国土空间规划生态保护区的管控要求</w:t>
      </w:r>
      <w:r>
        <w:rPr>
          <w:rFonts w:ascii="Times New Roman" w:eastAsia="宋体" w:hAnsi="Times New Roman" w:cs="宋体"/>
          <w:b/>
          <w:bCs/>
          <w:color w:val="auto"/>
          <w:spacing w:val="-3"/>
          <w:sz w:val="24"/>
          <w:szCs w:val="24"/>
          <w:lang w:eastAsia="zh-CN"/>
        </w:rPr>
        <w:t>。</w:t>
      </w:r>
    </w:p>
    <w:p w14:paraId="5344BE93"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20" w:name="_Toc32252"/>
      <w:r>
        <w:rPr>
          <w:rFonts w:ascii="Times New Roman" w:hAnsi="Times New Roman" w:hint="eastAsia"/>
          <w:color w:val="auto"/>
          <w:sz w:val="28"/>
          <w:szCs w:val="28"/>
          <w:lang w:eastAsia="zh-CN"/>
        </w:rPr>
        <w:t>6.3.2</w:t>
      </w:r>
      <w:r>
        <w:rPr>
          <w:rFonts w:ascii="Times New Roman" w:hAnsi="Times New Roman" w:hint="eastAsia"/>
          <w:color w:val="auto"/>
          <w:sz w:val="28"/>
          <w:szCs w:val="28"/>
          <w:lang w:eastAsia="zh-CN"/>
        </w:rPr>
        <w:t>项目用海与《海南省生态保护红线管理规定》</w:t>
      </w:r>
      <w:r>
        <w:rPr>
          <w:rFonts w:ascii="Times New Roman" w:hAnsi="Times New Roman"/>
          <w:color w:val="auto"/>
          <w:sz w:val="28"/>
          <w:szCs w:val="28"/>
          <w:lang w:eastAsia="zh-CN"/>
        </w:rPr>
        <w:t>（</w:t>
      </w:r>
      <w:r>
        <w:rPr>
          <w:rFonts w:ascii="Times New Roman" w:hAnsi="Times New Roman" w:hint="eastAsia"/>
          <w:color w:val="auto"/>
          <w:sz w:val="28"/>
          <w:szCs w:val="28"/>
          <w:lang w:eastAsia="zh-CN"/>
        </w:rPr>
        <w:t>2022</w:t>
      </w:r>
      <w:r>
        <w:rPr>
          <w:rFonts w:ascii="Times New Roman" w:hAnsi="Times New Roman"/>
          <w:color w:val="auto"/>
          <w:sz w:val="28"/>
          <w:szCs w:val="28"/>
          <w:lang w:eastAsia="zh-CN"/>
        </w:rPr>
        <w:t>年</w:t>
      </w:r>
      <w:r>
        <w:rPr>
          <w:rFonts w:ascii="Times New Roman" w:hAnsi="Times New Roman" w:hint="eastAsia"/>
          <w:color w:val="auto"/>
          <w:sz w:val="28"/>
          <w:szCs w:val="28"/>
          <w:lang w:eastAsia="zh-CN"/>
        </w:rPr>
        <w:t>5</w:t>
      </w:r>
      <w:r>
        <w:rPr>
          <w:rFonts w:ascii="Times New Roman" w:hAnsi="Times New Roman"/>
          <w:color w:val="auto"/>
          <w:sz w:val="28"/>
          <w:szCs w:val="28"/>
          <w:lang w:eastAsia="zh-CN"/>
        </w:rPr>
        <w:t>月修正）</w:t>
      </w:r>
      <w:r>
        <w:rPr>
          <w:rFonts w:ascii="Times New Roman" w:hAnsi="Times New Roman" w:hint="eastAsia"/>
          <w:color w:val="auto"/>
          <w:sz w:val="28"/>
          <w:szCs w:val="28"/>
          <w:lang w:eastAsia="zh-CN"/>
        </w:rPr>
        <w:t>的符合性分析</w:t>
      </w:r>
      <w:bookmarkEnd w:id="320"/>
    </w:p>
    <w:p w14:paraId="0F4FE0A7"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2022</w:t>
      </w:r>
      <w:r>
        <w:rPr>
          <w:rFonts w:ascii="Times New Roman" w:eastAsia="宋体" w:hAnsi="Times New Roman" w:cs="宋体"/>
          <w:color w:val="auto"/>
          <w:spacing w:val="-2"/>
          <w:sz w:val="24"/>
          <w:szCs w:val="24"/>
          <w:lang w:eastAsia="zh-CN"/>
        </w:rPr>
        <w:t>年</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color w:val="auto"/>
          <w:spacing w:val="-2"/>
          <w:sz w:val="24"/>
          <w:szCs w:val="24"/>
          <w:lang w:eastAsia="zh-CN"/>
        </w:rPr>
        <w:t>月，海南省第六届人民代表大会常务委员会第三十六次会议审议通过了《海南省人民代表大会常务委员会关于修改</w:t>
      </w:r>
      <w:r>
        <w:rPr>
          <w:rFonts w:ascii="Times New Roman" w:eastAsia="宋体" w:hAnsi="Times New Roman" w:cs="宋体" w:hint="eastAsia"/>
          <w:color w:val="auto"/>
          <w:spacing w:val="-2"/>
          <w:sz w:val="24"/>
          <w:szCs w:val="24"/>
          <w:lang w:eastAsia="zh-CN"/>
        </w:rPr>
        <w:t>&lt;</w:t>
      </w:r>
      <w:r>
        <w:rPr>
          <w:rFonts w:ascii="Times New Roman" w:eastAsia="宋体" w:hAnsi="Times New Roman" w:cs="宋体"/>
          <w:color w:val="auto"/>
          <w:spacing w:val="-2"/>
          <w:sz w:val="24"/>
          <w:szCs w:val="24"/>
          <w:lang w:eastAsia="zh-CN"/>
        </w:rPr>
        <w:t>海南省生态保护红线管理规定</w:t>
      </w:r>
      <w:r>
        <w:rPr>
          <w:rFonts w:ascii="Times New Roman" w:eastAsia="宋体" w:hAnsi="Times New Roman" w:cs="宋体" w:hint="eastAsia"/>
          <w:color w:val="auto"/>
          <w:spacing w:val="-2"/>
          <w:sz w:val="24"/>
          <w:szCs w:val="24"/>
          <w:lang w:eastAsia="zh-CN"/>
        </w:rPr>
        <w:t>&gt;</w:t>
      </w:r>
      <w:r>
        <w:rPr>
          <w:rFonts w:ascii="Times New Roman" w:eastAsia="宋体" w:hAnsi="Times New Roman" w:cs="宋体"/>
          <w:color w:val="auto"/>
          <w:spacing w:val="-2"/>
          <w:sz w:val="24"/>
          <w:szCs w:val="24"/>
          <w:lang w:eastAsia="zh-CN"/>
        </w:rPr>
        <w:t>的决定》。生态保护红线是生态空间范围内具有特殊重要生态功能必须实行强制性严格保护的区域</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现行海南省生态保护红线划定方案采用</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三区三线</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划定成果中生态保护红线的范围。</w:t>
      </w:r>
    </w:p>
    <w:p w14:paraId="066A1294"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color w:val="auto"/>
          <w:spacing w:val="-2"/>
          <w:lang w:eastAsia="zh-CN"/>
        </w:rPr>
        <w:t>根据海南省国土空间基础信息平台（网址：</w:t>
      </w:r>
      <w:r>
        <w:rPr>
          <w:rFonts w:ascii="Times New Roman" w:hAnsi="Times New Roman" w:hint="eastAsia"/>
          <w:color w:val="auto"/>
          <w:spacing w:val="-2"/>
          <w:lang w:eastAsia="zh-CN"/>
        </w:rPr>
        <w:t>https://yzlt.hniplan.com/</w:t>
      </w:r>
      <w:r>
        <w:rPr>
          <w:rFonts w:ascii="Times New Roman" w:hAnsi="Times New Roman"/>
          <w:color w:val="auto"/>
          <w:spacing w:val="-2"/>
          <w:lang w:eastAsia="zh-CN"/>
        </w:rPr>
        <w:t>）的查询结果，本项目</w:t>
      </w:r>
      <w:r>
        <w:rPr>
          <w:rFonts w:ascii="Times New Roman" w:hAnsi="Times New Roman" w:hint="eastAsia"/>
          <w:color w:val="auto"/>
          <w:spacing w:val="-2"/>
          <w:lang w:eastAsia="zh-CN"/>
        </w:rPr>
        <w:t>占用</w:t>
      </w:r>
      <w:r>
        <w:rPr>
          <w:rFonts w:ascii="Times New Roman" w:hAnsi="Times New Roman" w:hint="eastAsia"/>
          <w:color w:val="auto"/>
          <w:spacing w:val="-2"/>
          <w:lang w:eastAsia="zh-CN"/>
        </w:rPr>
        <w:t>生态保护红线</w:t>
      </w:r>
      <w:r>
        <w:rPr>
          <w:rFonts w:ascii="Times New Roman" w:hAnsi="Times New Roman" w:hint="eastAsia"/>
          <w:color w:val="auto"/>
          <w:spacing w:val="-2"/>
          <w:lang w:eastAsia="zh-CN"/>
        </w:rPr>
        <w:t>。本项目</w:t>
      </w:r>
      <w:r>
        <w:rPr>
          <w:rFonts w:ascii="Times New Roman" w:hAnsi="Times New Roman" w:cs="Times New Roman" w:hint="eastAsia"/>
          <w:color w:val="auto"/>
          <w:lang w:eastAsia="zh-CN"/>
        </w:rPr>
        <w:t>涉及生态保护红线</w:t>
      </w:r>
      <w:r>
        <w:rPr>
          <w:rFonts w:ascii="Times New Roman" w:hAnsi="Times New Roman" w:cs="Times New Roman" w:hint="eastAsia"/>
          <w:color w:val="auto"/>
          <w:lang w:eastAsia="zh-CN"/>
        </w:rPr>
        <w:t>15.2465</w:t>
      </w:r>
      <w:r>
        <w:rPr>
          <w:rFonts w:ascii="Times New Roman" w:hAnsi="Times New Roman" w:cs="Times New Roman" w:hint="eastAsia"/>
          <w:color w:val="auto"/>
          <w:lang w:eastAsia="zh-CN"/>
        </w:rPr>
        <w:t>公顷，其中</w:t>
      </w:r>
      <w:r>
        <w:rPr>
          <w:rFonts w:ascii="Times New Roman" w:hAnsi="Times New Roman" w:cs="Times New Roman" w:hint="eastAsia"/>
          <w:color w:val="auto"/>
          <w:sz w:val="21"/>
          <w:szCs w:val="21"/>
          <w:lang w:eastAsia="zh-CN"/>
        </w:rPr>
        <w:t>14.8579</w:t>
      </w:r>
      <w:r>
        <w:rPr>
          <w:rFonts w:ascii="Times New Roman" w:hAnsi="Times New Roman" w:cs="Times New Roman" w:hint="eastAsia"/>
          <w:color w:val="auto"/>
          <w:lang w:eastAsia="zh-CN"/>
        </w:rPr>
        <w:t>公顷</w:t>
      </w:r>
      <w:r>
        <w:rPr>
          <w:rFonts w:ascii="Times New Roman" w:hAnsi="Times New Roman" w:hint="eastAsia"/>
          <w:color w:val="auto"/>
          <w:spacing w:val="-2"/>
          <w:lang w:eastAsia="zh-CN"/>
        </w:rPr>
        <w:t>位于</w:t>
      </w:r>
      <w:r>
        <w:rPr>
          <w:rFonts w:ascii="Times New Roman" w:hAnsi="Times New Roman" w:hint="eastAsia"/>
          <w:color w:val="auto"/>
          <w:spacing w:val="-2"/>
          <w:lang w:eastAsia="zh-CN"/>
        </w:rPr>
        <w:t>海南三亚</w:t>
      </w:r>
      <w:r>
        <w:rPr>
          <w:rFonts w:ascii="Times New Roman" w:hAnsi="Times New Roman"/>
          <w:color w:val="auto"/>
          <w:spacing w:val="-2"/>
          <w:lang w:eastAsia="zh-CN"/>
        </w:rPr>
        <w:t>红树林</w:t>
      </w:r>
      <w:r>
        <w:rPr>
          <w:rFonts w:ascii="Times New Roman" w:hAnsi="Times New Roman" w:hint="eastAsia"/>
          <w:color w:val="auto"/>
          <w:spacing w:val="-2"/>
          <w:lang w:eastAsia="zh-CN"/>
        </w:rPr>
        <w:t>省级自然保护区的</w:t>
      </w:r>
      <w:r>
        <w:rPr>
          <w:rFonts w:ascii="Times New Roman" w:hAnsi="Times New Roman"/>
          <w:b/>
          <w:bCs/>
          <w:color w:val="auto"/>
          <w:spacing w:val="-2"/>
          <w:lang w:eastAsia="zh-CN"/>
        </w:rPr>
        <w:t>自然</w:t>
      </w:r>
      <w:r>
        <w:rPr>
          <w:rFonts w:ascii="Times New Roman" w:hAnsi="Times New Roman" w:hint="eastAsia"/>
          <w:b/>
          <w:bCs/>
          <w:color w:val="auto"/>
          <w:spacing w:val="-2"/>
          <w:lang w:eastAsia="zh-CN"/>
        </w:rPr>
        <w:t>保护地核心保护区</w:t>
      </w:r>
      <w:r>
        <w:rPr>
          <w:rFonts w:ascii="Times New Roman" w:hAnsi="Times New Roman" w:hint="eastAsia"/>
          <w:color w:val="auto"/>
          <w:spacing w:val="-2"/>
          <w:lang w:eastAsia="zh-CN"/>
        </w:rPr>
        <w:t>的生态保护红线内（</w:t>
      </w:r>
      <w:r>
        <w:rPr>
          <w:rFonts w:ascii="Times New Roman" w:hAnsi="Times New Roman" w:cs="Times New Roman"/>
          <w:color w:val="auto"/>
          <w:lang w:eastAsia="zh-CN"/>
        </w:rPr>
        <w:t>红线编码：</w:t>
      </w:r>
      <w:r>
        <w:rPr>
          <w:rFonts w:ascii="Times New Roman" w:hAnsi="Times New Roman" w:hint="eastAsia"/>
          <w:color w:val="auto"/>
          <w:spacing w:val="-2"/>
          <w:lang w:eastAsia="zh-CN"/>
        </w:rPr>
        <w:t>46020230021</w:t>
      </w:r>
      <w:r>
        <w:rPr>
          <w:rFonts w:ascii="Times New Roman" w:hAnsi="Times New Roman" w:hint="eastAsia"/>
          <w:color w:val="auto"/>
          <w:spacing w:val="-2"/>
          <w:lang w:eastAsia="zh-CN"/>
        </w:rPr>
        <w:t>），</w:t>
      </w:r>
      <w:r>
        <w:rPr>
          <w:rFonts w:ascii="Times New Roman" w:hAnsi="Times New Roman" w:cs="Times New Roman"/>
          <w:color w:val="auto"/>
          <w:lang w:eastAsia="zh-CN"/>
        </w:rPr>
        <w:t>涉及的生态保护红线类型是红树林</w:t>
      </w:r>
      <w:r>
        <w:rPr>
          <w:rFonts w:ascii="Times New Roman" w:hAnsi="Times New Roman" w:hint="eastAsia"/>
          <w:color w:val="auto"/>
          <w:spacing w:val="-2"/>
          <w:lang w:eastAsia="zh-CN"/>
        </w:rPr>
        <w:t>；有</w:t>
      </w:r>
      <w:r>
        <w:rPr>
          <w:rFonts w:ascii="Times New Roman" w:hAnsi="Times New Roman" w:cs="Times New Roman" w:hint="eastAsia"/>
          <w:color w:val="auto"/>
          <w:sz w:val="21"/>
          <w:szCs w:val="21"/>
          <w:lang w:eastAsia="zh-CN"/>
        </w:rPr>
        <w:t>0.</w:t>
      </w:r>
      <w:r>
        <w:rPr>
          <w:rFonts w:ascii="Times New Roman" w:hAnsi="Times New Roman" w:cs="Times New Roman" w:hint="eastAsia"/>
          <w:color w:val="auto"/>
          <w:sz w:val="21"/>
          <w:szCs w:val="21"/>
          <w:lang w:eastAsia="zh-CN"/>
        </w:rPr>
        <w:t>3515</w:t>
      </w:r>
      <w:r>
        <w:rPr>
          <w:rFonts w:ascii="Times New Roman" w:hAnsi="Times New Roman" w:hint="eastAsia"/>
          <w:color w:val="auto"/>
          <w:spacing w:val="-2"/>
          <w:lang w:eastAsia="zh-CN"/>
        </w:rPr>
        <w:t>公顷海南三亚</w:t>
      </w:r>
      <w:r>
        <w:rPr>
          <w:rFonts w:ascii="Times New Roman" w:hAnsi="Times New Roman"/>
          <w:color w:val="auto"/>
          <w:spacing w:val="-2"/>
          <w:lang w:eastAsia="zh-CN"/>
        </w:rPr>
        <w:t>红树林</w:t>
      </w:r>
      <w:r>
        <w:rPr>
          <w:rFonts w:ascii="Times New Roman" w:hAnsi="Times New Roman" w:hint="eastAsia"/>
          <w:color w:val="auto"/>
          <w:spacing w:val="-2"/>
          <w:lang w:eastAsia="zh-CN"/>
        </w:rPr>
        <w:t>省级自然保护区的</w:t>
      </w:r>
      <w:r>
        <w:rPr>
          <w:rFonts w:ascii="Times New Roman" w:hAnsi="Times New Roman"/>
          <w:b/>
          <w:bCs/>
          <w:color w:val="auto"/>
          <w:spacing w:val="-2"/>
          <w:lang w:eastAsia="zh-CN"/>
        </w:rPr>
        <w:t>自然</w:t>
      </w:r>
      <w:r>
        <w:rPr>
          <w:rFonts w:ascii="Times New Roman" w:hAnsi="Times New Roman" w:hint="eastAsia"/>
          <w:b/>
          <w:bCs/>
          <w:color w:val="auto"/>
          <w:spacing w:val="-2"/>
          <w:lang w:eastAsia="zh-CN"/>
        </w:rPr>
        <w:t>保护地一般控制区</w:t>
      </w:r>
      <w:r>
        <w:rPr>
          <w:rFonts w:ascii="Times New Roman" w:hAnsi="Times New Roman" w:hint="eastAsia"/>
          <w:color w:val="auto"/>
          <w:spacing w:val="-2"/>
          <w:lang w:eastAsia="zh-CN"/>
        </w:rPr>
        <w:t>的生态保护红线内（</w:t>
      </w:r>
      <w:r>
        <w:rPr>
          <w:rFonts w:ascii="Times New Roman" w:hAnsi="Times New Roman" w:cs="Times New Roman"/>
          <w:color w:val="auto"/>
          <w:lang w:eastAsia="zh-CN"/>
        </w:rPr>
        <w:t>红线编码：</w:t>
      </w:r>
      <w:r>
        <w:rPr>
          <w:rFonts w:ascii="Times New Roman" w:hAnsi="Times New Roman" w:cs="Times New Roman" w:hint="eastAsia"/>
          <w:color w:val="auto"/>
          <w:sz w:val="21"/>
          <w:szCs w:val="21"/>
          <w:lang w:eastAsia="zh-CN"/>
        </w:rPr>
        <w:t>46020231097</w:t>
      </w:r>
      <w:r>
        <w:rPr>
          <w:rFonts w:ascii="Times New Roman" w:hAnsi="Times New Roman" w:hint="eastAsia"/>
          <w:color w:val="auto"/>
          <w:spacing w:val="-2"/>
          <w:lang w:eastAsia="zh-CN"/>
        </w:rPr>
        <w:t>、</w:t>
      </w:r>
      <w:r>
        <w:rPr>
          <w:rFonts w:ascii="Times New Roman" w:hAnsi="Times New Roman" w:hint="eastAsia"/>
          <w:color w:val="auto"/>
          <w:spacing w:val="-2"/>
          <w:lang w:eastAsia="zh-CN"/>
        </w:rPr>
        <w:t>46020231098</w:t>
      </w:r>
      <w:r>
        <w:rPr>
          <w:rFonts w:ascii="Times New Roman" w:hAnsi="Times New Roman" w:hint="eastAsia"/>
          <w:color w:val="auto"/>
          <w:spacing w:val="-2"/>
          <w:lang w:eastAsia="zh-CN"/>
        </w:rPr>
        <w:t>、</w:t>
      </w:r>
      <w:r>
        <w:rPr>
          <w:rFonts w:ascii="Times New Roman" w:hAnsi="Times New Roman" w:hint="eastAsia"/>
          <w:color w:val="auto"/>
          <w:spacing w:val="-2"/>
          <w:lang w:eastAsia="zh-CN"/>
        </w:rPr>
        <w:t>46020230021</w:t>
      </w:r>
      <w:r>
        <w:rPr>
          <w:rFonts w:ascii="Times New Roman" w:hAnsi="Times New Roman" w:hint="eastAsia"/>
          <w:color w:val="auto"/>
          <w:spacing w:val="-2"/>
          <w:lang w:eastAsia="zh-CN"/>
        </w:rPr>
        <w:t>），</w:t>
      </w:r>
      <w:r>
        <w:rPr>
          <w:rFonts w:ascii="Times New Roman" w:hAnsi="Times New Roman" w:cs="Times New Roman"/>
          <w:color w:val="auto"/>
          <w:lang w:eastAsia="zh-CN"/>
        </w:rPr>
        <w:t>涉及的生态保护红线类型是红树林</w:t>
      </w:r>
      <w:r>
        <w:rPr>
          <w:rFonts w:ascii="Times New Roman" w:hAnsi="Times New Roman" w:hint="eastAsia"/>
          <w:color w:val="auto"/>
          <w:spacing w:val="-2"/>
          <w:lang w:eastAsia="zh-CN"/>
        </w:rPr>
        <w:t>；</w:t>
      </w:r>
      <w:r>
        <w:rPr>
          <w:rFonts w:ascii="Times New Roman" w:hAnsi="Times New Roman" w:hint="eastAsia"/>
          <w:b/>
          <w:bCs/>
          <w:color w:val="auto"/>
          <w:spacing w:val="-2"/>
          <w:lang w:eastAsia="zh-CN"/>
        </w:rPr>
        <w:t>同时有</w:t>
      </w:r>
      <w:r>
        <w:rPr>
          <w:rFonts w:ascii="Times New Roman" w:hAnsi="Times New Roman" w:hint="eastAsia"/>
          <w:color w:val="auto"/>
          <w:spacing w:val="-2"/>
          <w:lang w:eastAsia="zh-CN"/>
        </w:rPr>
        <w:t>0.0371</w:t>
      </w:r>
      <w:r>
        <w:rPr>
          <w:rFonts w:ascii="Times New Roman" w:hAnsi="Times New Roman" w:hint="eastAsia"/>
          <w:b/>
          <w:bCs/>
          <w:color w:val="auto"/>
          <w:spacing w:val="-2"/>
          <w:lang w:eastAsia="zh-CN"/>
        </w:rPr>
        <w:t>公顷位于自然保护地以外区域的生态保护红线</w:t>
      </w:r>
      <w:r>
        <w:rPr>
          <w:rFonts w:ascii="Times New Roman" w:hAnsi="Times New Roman" w:hint="eastAsia"/>
          <w:color w:val="auto"/>
          <w:spacing w:val="-2"/>
          <w:lang w:eastAsia="zh-CN"/>
        </w:rPr>
        <w:t>（</w:t>
      </w:r>
      <w:r>
        <w:rPr>
          <w:rFonts w:ascii="Times New Roman" w:hAnsi="Times New Roman" w:cs="Times New Roman"/>
          <w:color w:val="auto"/>
          <w:lang w:eastAsia="zh-CN"/>
        </w:rPr>
        <w:t>红线编码：</w:t>
      </w:r>
      <w:r>
        <w:rPr>
          <w:rFonts w:ascii="Times New Roman" w:hAnsi="Times New Roman" w:hint="eastAsia"/>
          <w:color w:val="auto"/>
          <w:spacing w:val="-2"/>
          <w:lang w:eastAsia="zh-CN"/>
        </w:rPr>
        <w:t>46020238118</w:t>
      </w:r>
      <w:r>
        <w:rPr>
          <w:rFonts w:ascii="Times New Roman" w:hAnsi="Times New Roman" w:hint="eastAsia"/>
          <w:color w:val="auto"/>
          <w:spacing w:val="-2"/>
          <w:lang w:eastAsia="zh-CN"/>
        </w:rPr>
        <w:t>、</w:t>
      </w:r>
      <w:r>
        <w:rPr>
          <w:rFonts w:ascii="Times New Roman" w:hAnsi="Times New Roman" w:hint="eastAsia"/>
          <w:color w:val="auto"/>
          <w:spacing w:val="-2"/>
          <w:lang w:eastAsia="zh-CN"/>
        </w:rPr>
        <w:t>46020238120</w:t>
      </w:r>
      <w:r>
        <w:rPr>
          <w:rFonts w:ascii="Times New Roman" w:hAnsi="Times New Roman" w:hint="eastAsia"/>
          <w:color w:val="auto"/>
          <w:spacing w:val="-2"/>
          <w:lang w:eastAsia="zh-CN"/>
        </w:rPr>
        <w:t>），</w:t>
      </w:r>
      <w:r>
        <w:rPr>
          <w:rFonts w:ascii="Times New Roman" w:hAnsi="Times New Roman" w:cs="Times New Roman" w:hint="eastAsia"/>
          <w:color w:val="auto"/>
          <w:lang w:eastAsia="zh-CN"/>
        </w:rPr>
        <w:t>涉及的</w:t>
      </w:r>
      <w:r>
        <w:rPr>
          <w:rFonts w:ascii="Times New Roman" w:hAnsi="Times New Roman" w:cs="Times New Roman" w:hint="eastAsia"/>
          <w:color w:val="auto"/>
          <w:lang w:eastAsia="zh-CN"/>
        </w:rPr>
        <w:t>生态保护红线类型是</w:t>
      </w:r>
      <w:r>
        <w:rPr>
          <w:rFonts w:ascii="Times New Roman" w:hAnsi="Times New Roman" w:hint="eastAsia"/>
          <w:color w:val="auto"/>
          <w:spacing w:val="-2"/>
          <w:lang w:eastAsia="zh-CN"/>
        </w:rPr>
        <w:t>重要滩涂及浅海水域</w:t>
      </w:r>
      <w:r>
        <w:rPr>
          <w:rFonts w:ascii="Times New Roman" w:hAnsi="Times New Roman" w:cs="Times New Roman"/>
          <w:color w:val="auto"/>
          <w:lang w:eastAsia="zh-CN"/>
        </w:rPr>
        <w:t>，详见</w:t>
      </w:r>
      <w:r>
        <w:rPr>
          <w:rFonts w:ascii="Times New Roman" w:hAnsi="Times New Roman" w:cs="Times New Roman" w:hint="eastAsia"/>
          <w:color w:val="auto"/>
          <w:lang w:eastAsia="zh-CN"/>
        </w:rPr>
        <w:t>表</w:t>
      </w:r>
      <w:r>
        <w:rPr>
          <w:rFonts w:ascii="Times New Roman" w:hAnsi="Times New Roman" w:cs="Times New Roman" w:hint="eastAsia"/>
          <w:color w:val="auto"/>
          <w:lang w:eastAsia="zh-CN"/>
        </w:rPr>
        <w:t>6.3.2</w:t>
      </w:r>
      <w:r>
        <w:rPr>
          <w:rFonts w:ascii="Times New Roman" w:hAnsi="Times New Roman" w:cs="Times New Roman"/>
          <w:color w:val="auto"/>
          <w:lang w:eastAsia="zh-CN"/>
        </w:rPr>
        <w:t>-1</w:t>
      </w:r>
      <w:r>
        <w:rPr>
          <w:rFonts w:ascii="Times New Roman" w:hAnsi="Times New Roman" w:cs="Times New Roman" w:hint="eastAsia"/>
          <w:color w:val="auto"/>
          <w:lang w:eastAsia="zh-CN"/>
        </w:rPr>
        <w:t>和</w:t>
      </w:r>
      <w:r>
        <w:rPr>
          <w:rFonts w:ascii="Times New Roman" w:hAnsi="Times New Roman" w:cs="Times New Roman"/>
          <w:color w:val="auto"/>
          <w:lang w:eastAsia="zh-CN"/>
        </w:rPr>
        <w:t>图</w:t>
      </w:r>
      <w:r>
        <w:rPr>
          <w:rFonts w:ascii="Times New Roman" w:hAnsi="Times New Roman" w:cs="Times New Roman" w:hint="eastAsia"/>
          <w:color w:val="auto"/>
          <w:lang w:eastAsia="zh-CN"/>
        </w:rPr>
        <w:t>6.3.2</w:t>
      </w:r>
      <w:r>
        <w:rPr>
          <w:rFonts w:ascii="Times New Roman" w:hAnsi="Times New Roman" w:cs="Times New Roman"/>
          <w:color w:val="auto"/>
          <w:lang w:eastAsia="zh-CN"/>
        </w:rPr>
        <w:t>-1</w:t>
      </w:r>
      <w:r>
        <w:rPr>
          <w:rFonts w:ascii="Times New Roman" w:hAnsi="Times New Roman" w:cs="Times New Roman" w:hint="eastAsia"/>
          <w:color w:val="auto"/>
          <w:lang w:eastAsia="zh-CN"/>
        </w:rPr>
        <w:t>~</w:t>
      </w:r>
      <w:r>
        <w:rPr>
          <w:rFonts w:ascii="Times New Roman" w:hAnsi="Times New Roman" w:cs="Times New Roman" w:hint="eastAsia"/>
          <w:color w:val="auto"/>
          <w:lang w:eastAsia="zh-CN"/>
        </w:rPr>
        <w:t>图</w:t>
      </w:r>
      <w:r>
        <w:rPr>
          <w:rFonts w:ascii="Times New Roman" w:hAnsi="Times New Roman" w:cs="Times New Roman" w:hint="eastAsia"/>
          <w:color w:val="auto"/>
          <w:lang w:eastAsia="zh-CN"/>
        </w:rPr>
        <w:t>6.3.2</w:t>
      </w:r>
      <w:r>
        <w:rPr>
          <w:rFonts w:ascii="Times New Roman" w:hAnsi="Times New Roman" w:cs="Times New Roman"/>
          <w:color w:val="auto"/>
          <w:lang w:eastAsia="zh-CN"/>
        </w:rPr>
        <w:t>-</w:t>
      </w:r>
      <w:r>
        <w:rPr>
          <w:rFonts w:ascii="Times New Roman" w:hAnsi="Times New Roman" w:cs="Times New Roman" w:hint="eastAsia"/>
          <w:color w:val="auto"/>
          <w:lang w:eastAsia="zh-CN"/>
        </w:rPr>
        <w:t>2</w:t>
      </w:r>
      <w:r>
        <w:rPr>
          <w:rFonts w:ascii="Times New Roman" w:hAnsi="Times New Roman" w:hint="eastAsia"/>
          <w:color w:val="auto"/>
          <w:spacing w:val="-2"/>
          <w:lang w:eastAsia="zh-CN"/>
        </w:rPr>
        <w:t>。</w:t>
      </w:r>
    </w:p>
    <w:p w14:paraId="2E577C2D" w14:textId="77777777" w:rsidR="0075791A" w:rsidRDefault="00FB2864">
      <w:pPr>
        <w:widowControl w:val="0"/>
        <w:kinsoku/>
        <w:autoSpaceDE/>
        <w:autoSpaceDN/>
        <w:ind w:firstLineChars="200" w:firstLine="480"/>
        <w:jc w:val="center"/>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表</w:t>
      </w:r>
      <w:r>
        <w:rPr>
          <w:rFonts w:ascii="宋体" w:eastAsia="宋体" w:hAnsi="宋体" w:cs="宋体" w:hint="eastAsia"/>
          <w:color w:val="auto"/>
          <w:sz w:val="24"/>
          <w:szCs w:val="24"/>
          <w:lang w:eastAsia="zh-CN"/>
        </w:rPr>
        <w:t xml:space="preserve">6.3.2-1 </w:t>
      </w:r>
      <w:r>
        <w:rPr>
          <w:rFonts w:ascii="宋体" w:eastAsia="宋体" w:hAnsi="宋体" w:cs="宋体" w:hint="eastAsia"/>
          <w:color w:val="auto"/>
          <w:sz w:val="24"/>
          <w:szCs w:val="24"/>
          <w:lang w:eastAsia="zh-CN"/>
        </w:rPr>
        <w:t>项目涉及生态保护红线情况</w:t>
      </w:r>
    </w:p>
    <w:tbl>
      <w:tblPr>
        <w:tblStyle w:val="ad"/>
        <w:tblW w:w="8559" w:type="dxa"/>
        <w:jc w:val="center"/>
        <w:tblLayout w:type="fixed"/>
        <w:tblLook w:val="04A0" w:firstRow="1" w:lastRow="0" w:firstColumn="1" w:lastColumn="0" w:noHBand="0" w:noVBand="1"/>
      </w:tblPr>
      <w:tblGrid>
        <w:gridCol w:w="604"/>
        <w:gridCol w:w="1533"/>
        <w:gridCol w:w="1268"/>
        <w:gridCol w:w="1680"/>
        <w:gridCol w:w="1535"/>
        <w:gridCol w:w="1939"/>
      </w:tblGrid>
      <w:tr w:rsidR="0075791A" w14:paraId="31C3C5B3" w14:textId="77777777">
        <w:trPr>
          <w:jc w:val="center"/>
        </w:trPr>
        <w:tc>
          <w:tcPr>
            <w:tcW w:w="604" w:type="dxa"/>
            <w:tcMar>
              <w:top w:w="0" w:type="dxa"/>
              <w:left w:w="57" w:type="dxa"/>
              <w:bottom w:w="0" w:type="dxa"/>
              <w:right w:w="57" w:type="dxa"/>
            </w:tcMar>
            <w:vAlign w:val="center"/>
          </w:tcPr>
          <w:p w14:paraId="6D439DF7" w14:textId="77777777" w:rsidR="0075791A" w:rsidRDefault="0075791A">
            <w:pPr>
              <w:kinsoku/>
              <w:autoSpaceDE/>
              <w:autoSpaceDN/>
              <w:jc w:val="center"/>
              <w:textAlignment w:val="auto"/>
              <w:rPr>
                <w:rFonts w:ascii="宋体" w:eastAsia="宋体" w:hAnsi="宋体" w:cs="宋体"/>
                <w:b/>
                <w:bCs/>
                <w:color w:val="auto"/>
                <w:lang w:eastAsia="zh-CN"/>
              </w:rPr>
            </w:pPr>
          </w:p>
        </w:tc>
        <w:tc>
          <w:tcPr>
            <w:tcW w:w="1533" w:type="dxa"/>
            <w:tcMar>
              <w:top w:w="0" w:type="dxa"/>
              <w:left w:w="57" w:type="dxa"/>
              <w:bottom w:w="0" w:type="dxa"/>
              <w:right w:w="57" w:type="dxa"/>
            </w:tcMar>
            <w:vAlign w:val="center"/>
          </w:tcPr>
          <w:p w14:paraId="561001D8" w14:textId="77777777" w:rsidR="0075791A" w:rsidRDefault="00FB2864">
            <w:pPr>
              <w:kinsoku/>
              <w:autoSpaceDE/>
              <w:autoSpaceDN/>
              <w:jc w:val="center"/>
              <w:textAlignment w:val="auto"/>
              <w:rPr>
                <w:rFonts w:ascii="宋体" w:eastAsia="宋体" w:hAnsi="宋体" w:cs="宋体"/>
                <w:b/>
                <w:bCs/>
                <w:color w:val="auto"/>
                <w:lang w:eastAsia="zh-CN"/>
              </w:rPr>
            </w:pPr>
            <w:r>
              <w:rPr>
                <w:rFonts w:ascii="宋体" w:eastAsia="宋体" w:hAnsi="宋体" w:cs="宋体" w:hint="eastAsia"/>
                <w:b/>
                <w:bCs/>
                <w:color w:val="auto"/>
                <w:lang w:eastAsia="zh-CN"/>
              </w:rPr>
              <w:t>自然保护地的功能分区</w:t>
            </w:r>
          </w:p>
        </w:tc>
        <w:tc>
          <w:tcPr>
            <w:tcW w:w="1268" w:type="dxa"/>
            <w:tcMar>
              <w:top w:w="0" w:type="dxa"/>
              <w:left w:w="57" w:type="dxa"/>
              <w:bottom w:w="0" w:type="dxa"/>
              <w:right w:w="57" w:type="dxa"/>
            </w:tcMar>
            <w:vAlign w:val="center"/>
          </w:tcPr>
          <w:p w14:paraId="3F2391B6" w14:textId="77777777" w:rsidR="0075791A" w:rsidRDefault="00FB2864">
            <w:pPr>
              <w:kinsoku/>
              <w:autoSpaceDE/>
              <w:autoSpaceDN/>
              <w:jc w:val="center"/>
              <w:textAlignment w:val="auto"/>
              <w:rPr>
                <w:rFonts w:ascii="宋体" w:eastAsia="宋体" w:hAnsi="宋体" w:cs="宋体"/>
                <w:b/>
                <w:bCs/>
                <w:color w:val="auto"/>
                <w:lang w:eastAsia="zh-CN"/>
              </w:rPr>
            </w:pPr>
            <w:r>
              <w:rPr>
                <w:rFonts w:ascii="宋体" w:eastAsia="宋体" w:hAnsi="宋体" w:cs="宋体" w:hint="eastAsia"/>
                <w:b/>
                <w:bCs/>
                <w:color w:val="auto"/>
                <w:lang w:eastAsia="zh-CN"/>
              </w:rPr>
              <w:t>建设内容</w:t>
            </w:r>
          </w:p>
        </w:tc>
        <w:tc>
          <w:tcPr>
            <w:tcW w:w="1680" w:type="dxa"/>
            <w:tcMar>
              <w:top w:w="0" w:type="dxa"/>
              <w:left w:w="57" w:type="dxa"/>
              <w:bottom w:w="0" w:type="dxa"/>
              <w:right w:w="57" w:type="dxa"/>
            </w:tcMar>
            <w:vAlign w:val="center"/>
          </w:tcPr>
          <w:p w14:paraId="5299CF94" w14:textId="77777777" w:rsidR="0075791A" w:rsidRDefault="00FB2864">
            <w:pPr>
              <w:kinsoku/>
              <w:autoSpaceDE/>
              <w:autoSpaceDN/>
              <w:jc w:val="center"/>
              <w:textAlignment w:val="auto"/>
              <w:rPr>
                <w:rFonts w:ascii="宋体" w:eastAsia="宋体" w:hAnsi="宋体" w:cs="宋体"/>
                <w:b/>
                <w:bCs/>
                <w:color w:val="auto"/>
                <w:lang w:eastAsia="zh-CN"/>
              </w:rPr>
            </w:pPr>
            <w:r>
              <w:rPr>
                <w:rFonts w:ascii="宋体" w:eastAsia="宋体" w:hAnsi="宋体" w:cs="宋体" w:hint="eastAsia"/>
                <w:b/>
                <w:bCs/>
                <w:color w:val="auto"/>
                <w:lang w:eastAsia="zh-CN"/>
              </w:rPr>
              <w:t>涉及生态保护红线的面积</w:t>
            </w:r>
            <w:r>
              <w:rPr>
                <w:rFonts w:ascii="宋体" w:eastAsia="宋体" w:hAnsi="宋体" w:cs="宋体" w:hint="eastAsia"/>
                <w:b/>
                <w:bCs/>
                <w:color w:val="auto"/>
                <w:lang w:eastAsia="zh-CN"/>
              </w:rPr>
              <w:t>/</w:t>
            </w:r>
            <w:r>
              <w:rPr>
                <w:rFonts w:ascii="Times New Roman" w:eastAsia="宋体" w:hAnsi="Times New Roman" w:cs="Times New Roman" w:hint="eastAsia"/>
                <w:b/>
                <w:bCs/>
                <w:color w:val="auto"/>
                <w:lang w:eastAsia="zh-CN"/>
              </w:rPr>
              <w:t>公顷</w:t>
            </w:r>
          </w:p>
        </w:tc>
        <w:tc>
          <w:tcPr>
            <w:tcW w:w="1535" w:type="dxa"/>
            <w:tcMar>
              <w:top w:w="0" w:type="dxa"/>
              <w:left w:w="57" w:type="dxa"/>
              <w:bottom w:w="0" w:type="dxa"/>
              <w:right w:w="57" w:type="dxa"/>
            </w:tcMar>
            <w:vAlign w:val="center"/>
          </w:tcPr>
          <w:p w14:paraId="71BD4026" w14:textId="77777777" w:rsidR="0075791A" w:rsidRDefault="00FB2864">
            <w:pPr>
              <w:kinsoku/>
              <w:autoSpaceDE/>
              <w:autoSpaceDN/>
              <w:jc w:val="center"/>
              <w:textAlignment w:val="auto"/>
              <w:rPr>
                <w:rFonts w:ascii="宋体" w:eastAsia="宋体" w:hAnsi="宋体" w:cs="宋体"/>
                <w:b/>
                <w:bCs/>
                <w:color w:val="auto"/>
                <w:lang w:eastAsia="zh-CN"/>
              </w:rPr>
            </w:pPr>
            <w:r>
              <w:rPr>
                <w:rFonts w:ascii="宋体" w:eastAsia="宋体" w:hAnsi="宋体" w:cs="宋体" w:hint="eastAsia"/>
                <w:b/>
                <w:bCs/>
                <w:color w:val="auto"/>
                <w:lang w:eastAsia="zh-CN"/>
              </w:rPr>
              <w:t>生态保护</w:t>
            </w:r>
          </w:p>
          <w:p w14:paraId="0452D46A" w14:textId="77777777" w:rsidR="0075791A" w:rsidRDefault="00FB2864">
            <w:pPr>
              <w:kinsoku/>
              <w:autoSpaceDE/>
              <w:autoSpaceDN/>
              <w:jc w:val="center"/>
              <w:textAlignment w:val="auto"/>
              <w:rPr>
                <w:rFonts w:ascii="宋体" w:eastAsia="宋体" w:hAnsi="宋体" w:cs="宋体"/>
                <w:b/>
                <w:bCs/>
                <w:color w:val="auto"/>
                <w:lang w:eastAsia="zh-CN"/>
              </w:rPr>
            </w:pPr>
            <w:r>
              <w:rPr>
                <w:rFonts w:ascii="宋体" w:eastAsia="宋体" w:hAnsi="宋体" w:cs="宋体" w:hint="eastAsia"/>
                <w:b/>
                <w:bCs/>
                <w:color w:val="auto"/>
                <w:lang w:eastAsia="zh-CN"/>
              </w:rPr>
              <w:t>红线类型</w:t>
            </w:r>
          </w:p>
        </w:tc>
        <w:tc>
          <w:tcPr>
            <w:tcW w:w="1939" w:type="dxa"/>
            <w:tcMar>
              <w:top w:w="0" w:type="dxa"/>
              <w:left w:w="57" w:type="dxa"/>
              <w:bottom w:w="0" w:type="dxa"/>
              <w:right w:w="57" w:type="dxa"/>
            </w:tcMar>
            <w:vAlign w:val="center"/>
          </w:tcPr>
          <w:p w14:paraId="78AB9B7B" w14:textId="77777777" w:rsidR="0075791A" w:rsidRDefault="00FB2864">
            <w:pPr>
              <w:kinsoku/>
              <w:autoSpaceDE/>
              <w:autoSpaceDN/>
              <w:jc w:val="center"/>
              <w:textAlignment w:val="auto"/>
              <w:rPr>
                <w:rFonts w:ascii="宋体" w:eastAsia="宋体" w:hAnsi="宋体" w:cs="宋体"/>
                <w:b/>
                <w:bCs/>
                <w:color w:val="auto"/>
                <w:lang w:eastAsia="zh-CN"/>
              </w:rPr>
            </w:pPr>
            <w:r>
              <w:rPr>
                <w:rFonts w:ascii="宋体" w:eastAsia="宋体" w:hAnsi="宋体" w:cs="宋体" w:hint="eastAsia"/>
                <w:b/>
                <w:bCs/>
                <w:color w:val="auto"/>
                <w:lang w:eastAsia="zh-CN"/>
              </w:rPr>
              <w:t>自然保护地</w:t>
            </w:r>
          </w:p>
          <w:p w14:paraId="6A78A7A1" w14:textId="77777777" w:rsidR="0075791A" w:rsidRDefault="00FB2864">
            <w:pPr>
              <w:kinsoku/>
              <w:autoSpaceDE/>
              <w:autoSpaceDN/>
              <w:jc w:val="center"/>
              <w:textAlignment w:val="auto"/>
              <w:rPr>
                <w:rFonts w:ascii="宋体" w:eastAsia="宋体" w:hAnsi="宋体" w:cs="宋体"/>
                <w:b/>
                <w:bCs/>
                <w:color w:val="auto"/>
                <w:lang w:eastAsia="zh-CN"/>
              </w:rPr>
            </w:pPr>
            <w:r>
              <w:rPr>
                <w:rFonts w:ascii="宋体" w:eastAsia="宋体" w:hAnsi="宋体" w:cs="宋体" w:hint="eastAsia"/>
                <w:b/>
                <w:bCs/>
                <w:color w:val="auto"/>
                <w:lang w:eastAsia="zh-CN"/>
              </w:rPr>
              <w:t>名称</w:t>
            </w:r>
          </w:p>
        </w:tc>
      </w:tr>
      <w:tr w:rsidR="0075791A" w14:paraId="05BBE21F" w14:textId="77777777">
        <w:trPr>
          <w:trHeight w:val="552"/>
          <w:jc w:val="center"/>
        </w:trPr>
        <w:tc>
          <w:tcPr>
            <w:tcW w:w="604" w:type="dxa"/>
            <w:vMerge w:val="restart"/>
            <w:tcMar>
              <w:top w:w="0" w:type="dxa"/>
              <w:left w:w="57" w:type="dxa"/>
              <w:bottom w:w="0" w:type="dxa"/>
              <w:right w:w="57" w:type="dxa"/>
            </w:tcMar>
            <w:vAlign w:val="center"/>
          </w:tcPr>
          <w:p w14:paraId="3E842152" w14:textId="77777777" w:rsidR="0075791A" w:rsidRDefault="00FB2864">
            <w:pPr>
              <w:kinsoku/>
              <w:autoSpaceDE/>
              <w:autoSpaceDN/>
              <w:spacing w:line="360" w:lineRule="auto"/>
              <w:jc w:val="center"/>
              <w:textAlignment w:val="auto"/>
              <w:rPr>
                <w:rFonts w:ascii="Times New Roman" w:hAnsi="Times New Roman" w:cs="Times New Roman"/>
                <w:color w:val="auto"/>
                <w:lang w:eastAsia="zh-CN"/>
              </w:rPr>
            </w:pPr>
            <w:r>
              <w:rPr>
                <w:rFonts w:ascii="Times New Roman" w:hAnsi="Times New Roman" w:cs="Times New Roman" w:hint="eastAsia"/>
                <w:color w:val="auto"/>
                <w:lang w:eastAsia="zh-CN"/>
              </w:rPr>
              <w:lastRenderedPageBreak/>
              <w:t>二期</w:t>
            </w:r>
          </w:p>
        </w:tc>
        <w:tc>
          <w:tcPr>
            <w:tcW w:w="1533" w:type="dxa"/>
            <w:tcMar>
              <w:top w:w="0" w:type="dxa"/>
              <w:left w:w="57" w:type="dxa"/>
              <w:bottom w:w="0" w:type="dxa"/>
              <w:right w:w="57" w:type="dxa"/>
            </w:tcMar>
            <w:vAlign w:val="center"/>
          </w:tcPr>
          <w:p w14:paraId="6DFF1097"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hAnsi="Times New Roman" w:cs="Times New Roman" w:hint="eastAsia"/>
                <w:color w:val="auto"/>
                <w:lang w:eastAsia="zh-CN"/>
              </w:rPr>
              <w:t>核心保护区</w:t>
            </w:r>
          </w:p>
        </w:tc>
        <w:tc>
          <w:tcPr>
            <w:tcW w:w="1268" w:type="dxa"/>
            <w:tcMar>
              <w:top w:w="0" w:type="dxa"/>
              <w:left w:w="57" w:type="dxa"/>
              <w:bottom w:w="0" w:type="dxa"/>
              <w:right w:w="57" w:type="dxa"/>
            </w:tcMar>
            <w:vAlign w:val="center"/>
          </w:tcPr>
          <w:p w14:paraId="6D2C6DD5"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hAnsi="Times New Roman" w:cs="Times New Roman" w:hint="eastAsia"/>
                <w:color w:val="auto"/>
                <w:lang w:eastAsia="zh-CN"/>
              </w:rPr>
              <w:t>疏浚工程</w:t>
            </w:r>
          </w:p>
        </w:tc>
        <w:tc>
          <w:tcPr>
            <w:tcW w:w="1680" w:type="dxa"/>
            <w:tcMar>
              <w:top w:w="0" w:type="dxa"/>
              <w:left w:w="57" w:type="dxa"/>
              <w:bottom w:w="0" w:type="dxa"/>
              <w:right w:w="57" w:type="dxa"/>
            </w:tcMar>
            <w:vAlign w:val="center"/>
          </w:tcPr>
          <w:p w14:paraId="5C7E83AE"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14.8579</w:t>
            </w:r>
          </w:p>
        </w:tc>
        <w:tc>
          <w:tcPr>
            <w:tcW w:w="1535" w:type="dxa"/>
            <w:tcMar>
              <w:top w:w="0" w:type="dxa"/>
              <w:left w:w="57" w:type="dxa"/>
              <w:bottom w:w="0" w:type="dxa"/>
              <w:right w:w="57" w:type="dxa"/>
            </w:tcMar>
            <w:vAlign w:val="center"/>
          </w:tcPr>
          <w:p w14:paraId="7C8E9B6D"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color w:val="auto"/>
                <w:lang w:eastAsia="zh-CN"/>
              </w:rPr>
              <w:t>红树林</w:t>
            </w:r>
          </w:p>
        </w:tc>
        <w:tc>
          <w:tcPr>
            <w:tcW w:w="1939" w:type="dxa"/>
            <w:tcMar>
              <w:top w:w="0" w:type="dxa"/>
              <w:left w:w="57" w:type="dxa"/>
              <w:bottom w:w="0" w:type="dxa"/>
              <w:right w:w="57" w:type="dxa"/>
            </w:tcMar>
            <w:vAlign w:val="center"/>
          </w:tcPr>
          <w:p w14:paraId="05ED900C"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eastAsia="宋体" w:hAnsi="Times New Roman" w:cs="Times New Roman"/>
                <w:color w:val="auto"/>
                <w:lang w:eastAsia="zh-CN"/>
              </w:rPr>
              <w:t>海南三亚红树林省级自然保护区</w:t>
            </w:r>
          </w:p>
        </w:tc>
      </w:tr>
      <w:tr w:rsidR="0075791A" w14:paraId="036C1534" w14:textId="77777777">
        <w:trPr>
          <w:jc w:val="center"/>
        </w:trPr>
        <w:tc>
          <w:tcPr>
            <w:tcW w:w="604" w:type="dxa"/>
            <w:vMerge/>
            <w:tcMar>
              <w:top w:w="0" w:type="dxa"/>
              <w:left w:w="57" w:type="dxa"/>
              <w:bottom w:w="0" w:type="dxa"/>
              <w:right w:w="57" w:type="dxa"/>
            </w:tcMar>
            <w:vAlign w:val="center"/>
          </w:tcPr>
          <w:p w14:paraId="13DE76DD" w14:textId="77777777" w:rsidR="0075791A" w:rsidRDefault="0075791A">
            <w:pPr>
              <w:kinsoku/>
              <w:autoSpaceDE/>
              <w:autoSpaceDN/>
              <w:spacing w:line="360" w:lineRule="auto"/>
              <w:jc w:val="center"/>
              <w:textAlignment w:val="auto"/>
              <w:rPr>
                <w:rFonts w:ascii="Times New Roman" w:hAnsi="Times New Roman" w:cs="Times New Roman"/>
                <w:color w:val="auto"/>
                <w:lang w:eastAsia="zh-CN"/>
              </w:rPr>
            </w:pPr>
          </w:p>
        </w:tc>
        <w:tc>
          <w:tcPr>
            <w:tcW w:w="1533" w:type="dxa"/>
            <w:tcMar>
              <w:top w:w="0" w:type="dxa"/>
              <w:left w:w="57" w:type="dxa"/>
              <w:bottom w:w="0" w:type="dxa"/>
              <w:right w:w="57" w:type="dxa"/>
            </w:tcMar>
            <w:vAlign w:val="center"/>
          </w:tcPr>
          <w:p w14:paraId="5882A738"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hAnsi="Times New Roman" w:cs="Times New Roman" w:hint="eastAsia"/>
                <w:color w:val="auto"/>
                <w:lang w:eastAsia="zh-CN"/>
              </w:rPr>
              <w:t>一般控制区</w:t>
            </w:r>
          </w:p>
        </w:tc>
        <w:tc>
          <w:tcPr>
            <w:tcW w:w="1268" w:type="dxa"/>
            <w:tcMar>
              <w:top w:w="0" w:type="dxa"/>
              <w:left w:w="57" w:type="dxa"/>
              <w:bottom w:w="0" w:type="dxa"/>
              <w:right w:w="57" w:type="dxa"/>
            </w:tcMar>
            <w:vAlign w:val="center"/>
          </w:tcPr>
          <w:p w14:paraId="2755EC42"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hAnsi="Times New Roman" w:cs="Times New Roman" w:hint="eastAsia"/>
                <w:color w:val="auto"/>
                <w:lang w:eastAsia="zh-CN"/>
              </w:rPr>
              <w:t>透水构筑物</w:t>
            </w:r>
          </w:p>
        </w:tc>
        <w:tc>
          <w:tcPr>
            <w:tcW w:w="1680" w:type="dxa"/>
            <w:tcMar>
              <w:top w:w="0" w:type="dxa"/>
              <w:left w:w="57" w:type="dxa"/>
              <w:bottom w:w="0" w:type="dxa"/>
              <w:right w:w="57" w:type="dxa"/>
            </w:tcMar>
            <w:vAlign w:val="center"/>
          </w:tcPr>
          <w:p w14:paraId="26555C72"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0.3515</w:t>
            </w:r>
          </w:p>
        </w:tc>
        <w:tc>
          <w:tcPr>
            <w:tcW w:w="1535" w:type="dxa"/>
            <w:tcMar>
              <w:top w:w="0" w:type="dxa"/>
              <w:left w:w="57" w:type="dxa"/>
              <w:bottom w:w="0" w:type="dxa"/>
              <w:right w:w="57" w:type="dxa"/>
            </w:tcMar>
            <w:vAlign w:val="center"/>
          </w:tcPr>
          <w:p w14:paraId="33C84B4B"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color w:val="auto"/>
                <w:lang w:eastAsia="zh-CN"/>
              </w:rPr>
              <w:t>红树林</w:t>
            </w:r>
          </w:p>
        </w:tc>
        <w:tc>
          <w:tcPr>
            <w:tcW w:w="1939" w:type="dxa"/>
            <w:tcMar>
              <w:top w:w="0" w:type="dxa"/>
              <w:left w:w="57" w:type="dxa"/>
              <w:bottom w:w="0" w:type="dxa"/>
              <w:right w:w="57" w:type="dxa"/>
            </w:tcMar>
            <w:vAlign w:val="center"/>
          </w:tcPr>
          <w:p w14:paraId="25FD59D5"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color w:val="auto"/>
                <w:lang w:eastAsia="zh-CN"/>
              </w:rPr>
              <w:t>海南三亚红树林省级自然保护区</w:t>
            </w:r>
          </w:p>
        </w:tc>
      </w:tr>
      <w:tr w:rsidR="0075791A" w14:paraId="504E7431" w14:textId="77777777">
        <w:trPr>
          <w:jc w:val="center"/>
        </w:trPr>
        <w:tc>
          <w:tcPr>
            <w:tcW w:w="604" w:type="dxa"/>
            <w:vMerge/>
            <w:tcMar>
              <w:top w:w="0" w:type="dxa"/>
              <w:left w:w="57" w:type="dxa"/>
              <w:bottom w:w="0" w:type="dxa"/>
              <w:right w:w="57" w:type="dxa"/>
            </w:tcMar>
            <w:vAlign w:val="center"/>
          </w:tcPr>
          <w:p w14:paraId="647610AE" w14:textId="77777777" w:rsidR="0075791A" w:rsidRDefault="0075791A">
            <w:pPr>
              <w:kinsoku/>
              <w:autoSpaceDE/>
              <w:autoSpaceDN/>
              <w:spacing w:line="360" w:lineRule="auto"/>
              <w:jc w:val="center"/>
              <w:textAlignment w:val="auto"/>
              <w:rPr>
                <w:rFonts w:ascii="Times New Roman" w:hAnsi="Times New Roman" w:cs="Times New Roman"/>
                <w:color w:val="auto"/>
                <w:lang w:eastAsia="zh-CN"/>
              </w:rPr>
            </w:pPr>
          </w:p>
        </w:tc>
        <w:tc>
          <w:tcPr>
            <w:tcW w:w="1533" w:type="dxa"/>
            <w:tcMar>
              <w:top w:w="0" w:type="dxa"/>
              <w:left w:w="57" w:type="dxa"/>
              <w:bottom w:w="0" w:type="dxa"/>
              <w:right w:w="57" w:type="dxa"/>
            </w:tcMar>
            <w:vAlign w:val="center"/>
          </w:tcPr>
          <w:p w14:paraId="206AC42C"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eastAsia="宋体" w:hAnsi="Times New Roman" w:cs="Times New Roman" w:hint="eastAsia"/>
                <w:color w:val="auto"/>
                <w:lang w:eastAsia="zh-CN"/>
              </w:rPr>
              <w:t>自然保护区（地）以外区域</w:t>
            </w:r>
          </w:p>
        </w:tc>
        <w:tc>
          <w:tcPr>
            <w:tcW w:w="1268" w:type="dxa"/>
            <w:tcMar>
              <w:top w:w="0" w:type="dxa"/>
              <w:left w:w="57" w:type="dxa"/>
              <w:bottom w:w="0" w:type="dxa"/>
              <w:right w:w="57" w:type="dxa"/>
            </w:tcMar>
            <w:vAlign w:val="center"/>
          </w:tcPr>
          <w:p w14:paraId="3AF4811C"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hAnsi="Times New Roman" w:cs="Times New Roman" w:hint="eastAsia"/>
                <w:color w:val="auto"/>
                <w:lang w:eastAsia="zh-CN"/>
              </w:rPr>
              <w:t>疏浚工程、透水构筑物</w:t>
            </w:r>
          </w:p>
        </w:tc>
        <w:tc>
          <w:tcPr>
            <w:tcW w:w="1680" w:type="dxa"/>
            <w:tcMar>
              <w:top w:w="0" w:type="dxa"/>
              <w:left w:w="57" w:type="dxa"/>
              <w:bottom w:w="0" w:type="dxa"/>
              <w:right w:w="57" w:type="dxa"/>
            </w:tcMar>
            <w:vAlign w:val="center"/>
          </w:tcPr>
          <w:p w14:paraId="5109E0B1"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0.0317</w:t>
            </w:r>
          </w:p>
        </w:tc>
        <w:tc>
          <w:tcPr>
            <w:tcW w:w="1535" w:type="dxa"/>
            <w:tcMar>
              <w:top w:w="0" w:type="dxa"/>
              <w:left w:w="57" w:type="dxa"/>
              <w:bottom w:w="0" w:type="dxa"/>
              <w:right w:w="57" w:type="dxa"/>
            </w:tcMar>
            <w:vAlign w:val="center"/>
          </w:tcPr>
          <w:p w14:paraId="02FDD81F"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color w:val="auto"/>
                <w:lang w:eastAsia="zh-CN"/>
              </w:rPr>
              <w:t>重要滩涂</w:t>
            </w:r>
          </w:p>
          <w:p w14:paraId="5F58CD5D" w14:textId="77777777" w:rsidR="0075791A" w:rsidRDefault="00FB2864">
            <w:pPr>
              <w:kinsoku/>
              <w:autoSpaceDE/>
              <w:autoSpaceDN/>
              <w:jc w:val="center"/>
              <w:textAlignment w:val="auto"/>
              <w:rPr>
                <w:rFonts w:ascii="Times New Roman" w:hAnsi="Times New Roman" w:cs="Times New Roman"/>
                <w:color w:val="auto"/>
                <w:lang w:eastAsia="zh-CN"/>
              </w:rPr>
            </w:pPr>
            <w:r>
              <w:rPr>
                <w:rFonts w:ascii="Times New Roman" w:eastAsia="宋体" w:hAnsi="Times New Roman" w:cs="Times New Roman"/>
                <w:color w:val="auto"/>
                <w:lang w:eastAsia="zh-CN"/>
              </w:rPr>
              <w:t>及浅海水域</w:t>
            </w:r>
          </w:p>
        </w:tc>
        <w:tc>
          <w:tcPr>
            <w:tcW w:w="1939" w:type="dxa"/>
            <w:tcMar>
              <w:top w:w="0" w:type="dxa"/>
              <w:left w:w="57" w:type="dxa"/>
              <w:bottom w:w="0" w:type="dxa"/>
              <w:right w:w="57" w:type="dxa"/>
            </w:tcMar>
            <w:vAlign w:val="center"/>
          </w:tcPr>
          <w:p w14:paraId="6CCB5A27" w14:textId="77777777" w:rsidR="0075791A" w:rsidRDefault="00FB2864">
            <w:pPr>
              <w:kinsoku/>
              <w:autoSpaceDE/>
              <w:autoSpaceDN/>
              <w:jc w:val="center"/>
              <w:textAlignment w:val="auto"/>
              <w:rPr>
                <w:rFonts w:ascii="Times New Roman" w:eastAsia="宋体" w:hAnsi="Times New Roman" w:cs="Times New Roman"/>
                <w:color w:val="auto"/>
                <w:lang w:eastAsia="zh-CN"/>
              </w:rPr>
            </w:pPr>
            <w:r>
              <w:rPr>
                <w:rFonts w:ascii="Times New Roman" w:eastAsia="宋体" w:hAnsi="Times New Roman" w:cs="Times New Roman" w:hint="eastAsia"/>
                <w:color w:val="auto"/>
                <w:lang w:eastAsia="zh-CN"/>
              </w:rPr>
              <w:t>—</w:t>
            </w:r>
          </w:p>
        </w:tc>
      </w:tr>
      <w:tr w:rsidR="0075791A" w14:paraId="3C3501AB" w14:textId="77777777">
        <w:trPr>
          <w:jc w:val="center"/>
        </w:trPr>
        <w:tc>
          <w:tcPr>
            <w:tcW w:w="3405" w:type="dxa"/>
            <w:gridSpan w:val="3"/>
            <w:tcMar>
              <w:top w:w="0" w:type="dxa"/>
              <w:left w:w="57" w:type="dxa"/>
              <w:bottom w:w="0" w:type="dxa"/>
              <w:right w:w="57" w:type="dxa"/>
            </w:tcMar>
            <w:vAlign w:val="center"/>
          </w:tcPr>
          <w:p w14:paraId="6CCC5689" w14:textId="77777777" w:rsidR="0075791A" w:rsidRDefault="00FB2864">
            <w:pPr>
              <w:kinsoku/>
              <w:autoSpaceDE/>
              <w:autoSpaceDN/>
              <w:jc w:val="center"/>
              <w:textAlignment w:val="auto"/>
              <w:rPr>
                <w:rFonts w:ascii="Times New Roman" w:hAnsi="Times New Roman" w:cs="Times New Roman"/>
                <w:b/>
                <w:bCs/>
                <w:color w:val="auto"/>
                <w:lang w:eastAsia="zh-CN"/>
              </w:rPr>
            </w:pPr>
            <w:r>
              <w:rPr>
                <w:rFonts w:ascii="Times New Roman" w:hAnsi="Times New Roman" w:cs="Times New Roman" w:hint="eastAsia"/>
                <w:b/>
                <w:bCs/>
                <w:color w:val="auto"/>
                <w:lang w:eastAsia="zh-CN"/>
              </w:rPr>
              <w:t>合计</w:t>
            </w:r>
          </w:p>
        </w:tc>
        <w:tc>
          <w:tcPr>
            <w:tcW w:w="1680" w:type="dxa"/>
            <w:tcMar>
              <w:top w:w="0" w:type="dxa"/>
              <w:left w:w="57" w:type="dxa"/>
              <w:bottom w:w="0" w:type="dxa"/>
              <w:right w:w="57" w:type="dxa"/>
            </w:tcMar>
            <w:vAlign w:val="center"/>
          </w:tcPr>
          <w:p w14:paraId="7620C4B2"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hint="eastAsia"/>
                <w:b/>
                <w:bCs/>
                <w:color w:val="auto"/>
                <w:lang w:eastAsia="zh-CN"/>
              </w:rPr>
              <w:t>15.2465</w:t>
            </w:r>
          </w:p>
        </w:tc>
        <w:tc>
          <w:tcPr>
            <w:tcW w:w="1535" w:type="dxa"/>
            <w:tcMar>
              <w:top w:w="0" w:type="dxa"/>
              <w:left w:w="57" w:type="dxa"/>
              <w:bottom w:w="0" w:type="dxa"/>
              <w:right w:w="57" w:type="dxa"/>
            </w:tcMar>
            <w:vAlign w:val="center"/>
          </w:tcPr>
          <w:p w14:paraId="6226D57A" w14:textId="77777777" w:rsidR="0075791A" w:rsidRDefault="00FB2864">
            <w:pPr>
              <w:kinsoku/>
              <w:autoSpaceDE/>
              <w:autoSpaceDN/>
              <w:jc w:val="center"/>
              <w:textAlignment w:val="auto"/>
              <w:rPr>
                <w:rFonts w:ascii="Times New Roman" w:eastAsia="宋体" w:hAnsi="Times New Roman" w:cs="Times New Roman"/>
                <w:b/>
                <w:bCs/>
                <w:color w:val="auto"/>
                <w:highlight w:val="yellow"/>
                <w:lang w:eastAsia="zh-CN"/>
              </w:rPr>
            </w:pPr>
            <w:r>
              <w:rPr>
                <w:rFonts w:ascii="Times New Roman" w:eastAsia="宋体" w:hAnsi="Times New Roman" w:cs="Times New Roman" w:hint="eastAsia"/>
                <w:b/>
                <w:bCs/>
                <w:color w:val="auto"/>
                <w:lang w:eastAsia="zh-CN"/>
              </w:rPr>
              <w:t>—</w:t>
            </w:r>
          </w:p>
        </w:tc>
        <w:tc>
          <w:tcPr>
            <w:tcW w:w="1939" w:type="dxa"/>
            <w:tcMar>
              <w:top w:w="0" w:type="dxa"/>
              <w:left w:w="57" w:type="dxa"/>
              <w:bottom w:w="0" w:type="dxa"/>
              <w:right w:w="57" w:type="dxa"/>
            </w:tcMar>
            <w:vAlign w:val="center"/>
          </w:tcPr>
          <w:p w14:paraId="06D88A0E" w14:textId="77777777" w:rsidR="0075791A" w:rsidRDefault="00FB2864">
            <w:pPr>
              <w:kinsoku/>
              <w:autoSpaceDE/>
              <w:autoSpaceDN/>
              <w:jc w:val="center"/>
              <w:textAlignment w:val="auto"/>
              <w:rPr>
                <w:rFonts w:ascii="Times New Roman" w:eastAsia="宋体" w:hAnsi="Times New Roman" w:cs="Times New Roman"/>
                <w:b/>
                <w:bCs/>
                <w:color w:val="auto"/>
                <w:lang w:eastAsia="zh-CN"/>
              </w:rPr>
            </w:pPr>
            <w:r>
              <w:rPr>
                <w:rFonts w:ascii="Times New Roman" w:eastAsia="宋体" w:hAnsi="Times New Roman" w:cs="Times New Roman" w:hint="eastAsia"/>
                <w:b/>
                <w:bCs/>
                <w:color w:val="auto"/>
                <w:lang w:eastAsia="zh-CN"/>
              </w:rPr>
              <w:t>—</w:t>
            </w:r>
          </w:p>
        </w:tc>
      </w:tr>
    </w:tbl>
    <w:p w14:paraId="588DDB01" w14:textId="77777777" w:rsidR="0075791A" w:rsidRDefault="0075791A">
      <w:pPr>
        <w:pStyle w:val="TableText"/>
        <w:spacing w:line="360" w:lineRule="auto"/>
        <w:ind w:firstLineChars="200" w:firstLine="476"/>
        <w:jc w:val="both"/>
        <w:rPr>
          <w:rFonts w:ascii="Times New Roman" w:hAnsi="Times New Roman"/>
          <w:color w:val="auto"/>
          <w:spacing w:val="-2"/>
          <w:lang w:eastAsia="zh-CN"/>
        </w:rPr>
      </w:pPr>
    </w:p>
    <w:p w14:paraId="5517A60E"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hint="eastAsia"/>
          <w:color w:val="auto"/>
          <w:spacing w:val="-2"/>
          <w:lang w:eastAsia="zh-CN"/>
        </w:rPr>
        <w:t>根据《海南省生态保护红线管理规定》第十五条，“生态保护红线内</w:t>
      </w:r>
      <w:r>
        <w:rPr>
          <w:rFonts w:ascii="Times New Roman" w:hAnsi="Times New Roman" w:hint="eastAsia"/>
          <w:b/>
          <w:bCs/>
          <w:color w:val="auto"/>
          <w:spacing w:val="-2"/>
          <w:lang w:eastAsia="zh-CN"/>
        </w:rPr>
        <w:t>自然保护地核心保护区</w:t>
      </w:r>
      <w:r>
        <w:rPr>
          <w:rFonts w:ascii="Times New Roman" w:hAnsi="Times New Roman" w:hint="eastAsia"/>
          <w:color w:val="auto"/>
          <w:spacing w:val="-2"/>
          <w:lang w:eastAsia="zh-CN"/>
        </w:rPr>
        <w:t>原则上禁止人为活动，</w:t>
      </w:r>
      <w:r>
        <w:rPr>
          <w:rFonts w:ascii="Times New Roman" w:hAnsi="Times New Roman" w:hint="eastAsia"/>
          <w:b/>
          <w:bCs/>
          <w:color w:val="auto"/>
          <w:spacing w:val="-2"/>
          <w:lang w:eastAsia="zh-CN"/>
        </w:rPr>
        <w:t>经依法批准</w:t>
      </w:r>
      <w:r>
        <w:rPr>
          <w:rFonts w:ascii="Times New Roman" w:hAnsi="Times New Roman" w:hint="eastAsia"/>
          <w:color w:val="auto"/>
          <w:spacing w:val="-2"/>
          <w:lang w:eastAsia="zh-CN"/>
        </w:rPr>
        <w:t>的科学研究观测、调查监测、</w:t>
      </w:r>
      <w:r>
        <w:rPr>
          <w:rFonts w:ascii="Times New Roman" w:hAnsi="Times New Roman" w:hint="eastAsia"/>
          <w:b/>
          <w:bCs/>
          <w:color w:val="auto"/>
          <w:spacing w:val="-2"/>
          <w:lang w:eastAsia="zh-CN"/>
        </w:rPr>
        <w:t>生态修复</w:t>
      </w:r>
      <w:r>
        <w:rPr>
          <w:rFonts w:ascii="Times New Roman" w:hAnsi="Times New Roman" w:hint="eastAsia"/>
          <w:color w:val="auto"/>
          <w:spacing w:val="-2"/>
          <w:lang w:eastAsia="zh-CN"/>
        </w:rPr>
        <w:t>等法律、法规和国家有关规定允许的活动除外。”其他区域严格禁止开发性、生产性建设活动，除国家重大战略项目外，仅允许对生态功能不造成破坏的人为活动中</w:t>
      </w:r>
      <w:r>
        <w:rPr>
          <w:rFonts w:ascii="Times New Roman" w:hAnsi="Times New Roman" w:hint="eastAsia"/>
          <w:b/>
          <w:bCs/>
          <w:color w:val="auto"/>
          <w:spacing w:val="-2"/>
          <w:lang w:eastAsia="zh-CN"/>
        </w:rPr>
        <w:t>第八类为“重要生态修复工程</w:t>
      </w:r>
      <w:r>
        <w:rPr>
          <w:rFonts w:ascii="Times New Roman" w:hAnsi="Times New Roman" w:hint="eastAsia"/>
          <w:color w:val="auto"/>
          <w:spacing w:val="-2"/>
          <w:lang w:eastAsia="zh-CN"/>
        </w:rPr>
        <w:t>；”。</w:t>
      </w:r>
    </w:p>
    <w:p w14:paraId="074A481F"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hint="eastAsia"/>
          <w:color w:val="auto"/>
          <w:spacing w:val="-2"/>
          <w:lang w:eastAsia="zh-CN"/>
        </w:rPr>
        <w:t>根据《海南省人民政府办公厅关于印发海南省生态保护红线准入管理目录</w:t>
      </w:r>
      <w:r>
        <w:rPr>
          <w:rFonts w:ascii="Times New Roman" w:hAnsi="Times New Roman" w:hint="eastAsia"/>
          <w:color w:val="auto"/>
          <w:spacing w:val="-2"/>
          <w:lang w:eastAsia="zh-CN"/>
        </w:rPr>
        <w:t>(</w:t>
      </w:r>
      <w:r>
        <w:rPr>
          <w:rFonts w:ascii="Times New Roman" w:hAnsi="Times New Roman" w:hint="eastAsia"/>
          <w:color w:val="auto"/>
          <w:spacing w:val="-2"/>
          <w:lang w:eastAsia="zh-CN"/>
        </w:rPr>
        <w:t>修</w:t>
      </w:r>
      <w:r>
        <w:rPr>
          <w:rFonts w:ascii="Times New Roman" w:hAnsi="Times New Roman" w:hint="eastAsia"/>
          <w:color w:val="auto"/>
          <w:spacing w:val="-2"/>
          <w:lang w:eastAsia="zh-CN"/>
        </w:rPr>
        <w:t>订</w:t>
      </w:r>
      <w:r>
        <w:rPr>
          <w:rFonts w:ascii="Times New Roman" w:hAnsi="Times New Roman" w:hint="eastAsia"/>
          <w:color w:val="auto"/>
          <w:spacing w:val="-2"/>
          <w:lang w:eastAsia="zh-CN"/>
        </w:rPr>
        <w:t>)</w:t>
      </w:r>
      <w:r>
        <w:rPr>
          <w:rFonts w:ascii="Times New Roman" w:hAnsi="Times New Roman" w:hint="eastAsia"/>
          <w:color w:val="auto"/>
          <w:spacing w:val="-2"/>
          <w:lang w:eastAsia="zh-CN"/>
        </w:rPr>
        <w:t>的通知》</w:t>
      </w:r>
      <w:r>
        <w:rPr>
          <w:rFonts w:ascii="Times New Roman" w:hAnsi="Times New Roman" w:hint="eastAsia"/>
          <w:color w:val="auto"/>
          <w:spacing w:val="-2"/>
          <w:lang w:eastAsia="zh-CN"/>
        </w:rPr>
        <w:t>(</w:t>
      </w:r>
      <w:r>
        <w:rPr>
          <w:rFonts w:ascii="Times New Roman" w:hAnsi="Times New Roman" w:hint="eastAsia"/>
          <w:color w:val="auto"/>
          <w:spacing w:val="-2"/>
          <w:lang w:eastAsia="zh-CN"/>
        </w:rPr>
        <w:t>琼府办</w:t>
      </w:r>
      <w:r>
        <w:rPr>
          <w:rFonts w:ascii="Times New Roman" w:hAnsi="Times New Roman" w:hint="eastAsia"/>
          <w:color w:val="auto"/>
          <w:spacing w:val="-2"/>
          <w:lang w:eastAsia="zh-CN"/>
        </w:rPr>
        <w:t xml:space="preserve">(2023)4 </w:t>
      </w:r>
      <w:r>
        <w:rPr>
          <w:rFonts w:ascii="Times New Roman" w:hAnsi="Times New Roman" w:hint="eastAsia"/>
          <w:color w:val="auto"/>
          <w:spacing w:val="-2"/>
          <w:lang w:eastAsia="zh-CN"/>
        </w:rPr>
        <w:t>号</w:t>
      </w:r>
      <w:r>
        <w:rPr>
          <w:rFonts w:ascii="Times New Roman" w:hAnsi="Times New Roman" w:hint="eastAsia"/>
          <w:color w:val="auto"/>
          <w:spacing w:val="-2"/>
          <w:lang w:eastAsia="zh-CN"/>
        </w:rPr>
        <w:t>)</w:t>
      </w:r>
      <w:r>
        <w:rPr>
          <w:rFonts w:ascii="Times New Roman" w:hAnsi="Times New Roman" w:hint="eastAsia"/>
          <w:color w:val="auto"/>
          <w:spacing w:val="-2"/>
          <w:lang w:eastAsia="zh-CN"/>
        </w:rPr>
        <w:t>关于</w:t>
      </w:r>
      <w:r>
        <w:rPr>
          <w:rFonts w:ascii="Times New Roman" w:hAnsi="Times New Roman" w:hint="eastAsia"/>
          <w:b/>
          <w:bCs/>
          <w:color w:val="auto"/>
          <w:spacing w:val="-2"/>
          <w:lang w:eastAsia="zh-CN"/>
        </w:rPr>
        <w:t>“核心保护区”</w:t>
      </w:r>
      <w:r>
        <w:rPr>
          <w:rFonts w:ascii="Times New Roman" w:hAnsi="Times New Roman" w:hint="eastAsia"/>
          <w:color w:val="auto"/>
          <w:spacing w:val="-2"/>
          <w:lang w:eastAsia="zh-CN"/>
        </w:rPr>
        <w:t>有限人为活动准入类型为“</w:t>
      </w:r>
      <w:r>
        <w:rPr>
          <w:rFonts w:ascii="Times New Roman" w:hAnsi="Times New Roman"/>
          <w:color w:val="auto"/>
          <w:spacing w:val="-2"/>
          <w:lang w:eastAsia="zh-CN"/>
        </w:rPr>
        <w:t>原则上禁止人为活动，</w:t>
      </w:r>
      <w:r>
        <w:rPr>
          <w:rFonts w:ascii="Times New Roman" w:hAnsi="Times New Roman"/>
          <w:b/>
          <w:bCs/>
          <w:color w:val="auto"/>
          <w:spacing w:val="-2"/>
          <w:lang w:eastAsia="zh-CN"/>
        </w:rPr>
        <w:t>经依法批准</w:t>
      </w:r>
      <w:r>
        <w:rPr>
          <w:rFonts w:ascii="Times New Roman" w:hAnsi="Times New Roman"/>
          <w:color w:val="auto"/>
          <w:spacing w:val="-2"/>
          <w:lang w:eastAsia="zh-CN"/>
        </w:rPr>
        <w:t>的科学研究观测、调查监测、</w:t>
      </w:r>
      <w:r>
        <w:rPr>
          <w:rFonts w:ascii="Times New Roman" w:hAnsi="Times New Roman"/>
          <w:b/>
          <w:bCs/>
          <w:color w:val="auto"/>
          <w:spacing w:val="-2"/>
          <w:lang w:eastAsia="zh-CN"/>
        </w:rPr>
        <w:t>生态修复</w:t>
      </w:r>
      <w:r>
        <w:rPr>
          <w:rFonts w:ascii="Times New Roman" w:hAnsi="Times New Roman"/>
          <w:color w:val="auto"/>
          <w:spacing w:val="-2"/>
          <w:lang w:eastAsia="zh-CN"/>
        </w:rPr>
        <w:t>等法律、法规和国家有关规定允许的活动除外</w:t>
      </w:r>
      <w:r>
        <w:rPr>
          <w:rFonts w:ascii="Times New Roman" w:hAnsi="Times New Roman" w:hint="eastAsia"/>
          <w:color w:val="auto"/>
          <w:spacing w:val="-2"/>
          <w:lang w:eastAsia="zh-CN"/>
        </w:rPr>
        <w:t>”。“其他区域”有限人为活动的准入类型共包括十条，其中</w:t>
      </w:r>
      <w:r>
        <w:rPr>
          <w:rFonts w:ascii="Times New Roman" w:hAnsi="Times New Roman"/>
          <w:color w:val="auto"/>
          <w:spacing w:val="-2"/>
          <w:lang w:eastAsia="zh-CN"/>
        </w:rPr>
        <w:t>第</w:t>
      </w:r>
      <w:r>
        <w:rPr>
          <w:rFonts w:ascii="Times New Roman" w:hAnsi="Times New Roman" w:hint="eastAsia"/>
          <w:color w:val="auto"/>
          <w:spacing w:val="-2"/>
          <w:lang w:eastAsia="zh-CN"/>
        </w:rPr>
        <w:t>8</w:t>
      </w:r>
      <w:r>
        <w:rPr>
          <w:rFonts w:ascii="Times New Roman" w:hAnsi="Times New Roman" w:hint="eastAsia"/>
          <w:color w:val="auto"/>
          <w:spacing w:val="-2"/>
          <w:lang w:eastAsia="zh-CN"/>
        </w:rPr>
        <w:t>条“</w:t>
      </w:r>
      <w:r>
        <w:rPr>
          <w:rFonts w:ascii="Times New Roman" w:hAnsi="Times New Roman"/>
          <w:color w:val="auto"/>
          <w:spacing w:val="-2"/>
          <w:lang w:eastAsia="zh-CN"/>
        </w:rPr>
        <w:t>依据县级以上国土空间规划和生态保护修复专项规划开展的生态修复</w:t>
      </w:r>
      <w:r>
        <w:rPr>
          <w:rFonts w:ascii="Times New Roman" w:hAnsi="Times New Roman"/>
          <w:color w:val="auto"/>
          <w:spacing w:val="-2"/>
          <w:lang w:eastAsia="zh-CN"/>
        </w:rPr>
        <w:t>......</w:t>
      </w:r>
      <w:r>
        <w:rPr>
          <w:rFonts w:ascii="Times New Roman" w:hAnsi="Times New Roman"/>
          <w:color w:val="auto"/>
          <w:spacing w:val="-2"/>
          <w:lang w:eastAsia="zh-CN"/>
        </w:rPr>
        <w:t>（</w:t>
      </w:r>
      <w:r>
        <w:rPr>
          <w:rFonts w:ascii="Times New Roman" w:hAnsi="Times New Roman" w:hint="eastAsia"/>
          <w:color w:val="auto"/>
          <w:spacing w:val="-2"/>
          <w:lang w:eastAsia="zh-CN"/>
        </w:rPr>
        <w:t>6</w:t>
      </w:r>
      <w:r>
        <w:rPr>
          <w:rFonts w:ascii="Times New Roman" w:hAnsi="Times New Roman"/>
          <w:color w:val="auto"/>
          <w:spacing w:val="-2"/>
          <w:lang w:eastAsia="zh-CN"/>
        </w:rPr>
        <w:t>）</w:t>
      </w:r>
      <w:r>
        <w:rPr>
          <w:rFonts w:ascii="Times New Roman" w:hAnsi="Times New Roman"/>
          <w:color w:val="auto"/>
          <w:spacing w:val="-2"/>
          <w:lang w:eastAsia="zh-CN"/>
        </w:rPr>
        <w:t>......</w:t>
      </w:r>
      <w:r>
        <w:rPr>
          <w:rFonts w:ascii="Times New Roman" w:hAnsi="Times New Roman"/>
          <w:color w:val="auto"/>
          <w:spacing w:val="-2"/>
          <w:lang w:eastAsia="zh-CN"/>
        </w:rPr>
        <w:t>红树林等海洋生态系统修复工程</w:t>
      </w:r>
      <w:r>
        <w:rPr>
          <w:rFonts w:ascii="Times New Roman" w:hAnsi="Times New Roman"/>
          <w:color w:val="auto"/>
          <w:spacing w:val="-2"/>
          <w:lang w:eastAsia="zh-CN"/>
        </w:rPr>
        <w:t>......</w:t>
      </w:r>
      <w:r>
        <w:rPr>
          <w:rFonts w:ascii="Times New Roman" w:hAnsi="Times New Roman" w:hint="eastAsia"/>
          <w:color w:val="auto"/>
          <w:spacing w:val="-2"/>
          <w:lang w:eastAsia="zh-CN"/>
        </w:rPr>
        <w:t>”。</w:t>
      </w:r>
    </w:p>
    <w:p w14:paraId="47BD895B" w14:textId="77777777" w:rsidR="0075791A" w:rsidRDefault="00FB2864">
      <w:pPr>
        <w:pStyle w:val="TableText"/>
        <w:spacing w:line="360" w:lineRule="auto"/>
        <w:ind w:firstLineChars="200" w:firstLine="476"/>
        <w:jc w:val="both"/>
        <w:rPr>
          <w:rFonts w:ascii="Times New Roman" w:hAnsi="Times New Roman"/>
          <w:color w:val="auto"/>
          <w:spacing w:val="-2"/>
          <w:lang w:eastAsia="zh-CN"/>
        </w:rPr>
      </w:pPr>
      <w:r>
        <w:rPr>
          <w:rFonts w:ascii="Times New Roman" w:hAnsi="Times New Roman" w:hint="eastAsia"/>
          <w:color w:val="auto"/>
          <w:spacing w:val="-2"/>
          <w:lang w:eastAsia="zh-CN"/>
        </w:rPr>
        <w:t>本项目为十四五”期间第三批山水林田湖草沙一体化保护和修复工程项目</w:t>
      </w:r>
      <w:r>
        <w:rPr>
          <w:rFonts w:ascii="Times New Roman" w:hAnsi="Times New Roman" w:hint="eastAsia"/>
          <w:color w:val="auto"/>
          <w:spacing w:val="-2"/>
          <w:lang w:eastAsia="zh-CN"/>
        </w:rPr>
        <w:t>-</w:t>
      </w:r>
      <w:r>
        <w:rPr>
          <w:rFonts w:ascii="Times New Roman" w:hAnsi="Times New Roman" w:hint="eastAsia"/>
          <w:color w:val="auto"/>
          <w:spacing w:val="-2"/>
          <w:lang w:eastAsia="zh-CN"/>
        </w:rPr>
        <w:t>海南南部典型热带区域实施山水林田湖草沙一体化保护和修复工程子项目之一。山水林田湖草沙一体化保护和修复工程项目是我国推动生态修复和环境治理的重要工程，</w:t>
      </w:r>
      <w:r>
        <w:rPr>
          <w:rFonts w:ascii="Times New Roman" w:hAnsi="Times New Roman" w:hint="eastAsia"/>
          <w:color w:val="auto"/>
          <w:sz w:val="21"/>
          <w:szCs w:val="21"/>
          <w:lang w:eastAsia="zh-CN"/>
        </w:rPr>
        <w:t>位于</w:t>
      </w:r>
      <w:r>
        <w:rPr>
          <w:rFonts w:ascii="Times New Roman" w:hAnsi="Times New Roman"/>
          <w:color w:val="auto"/>
          <w:sz w:val="21"/>
          <w:szCs w:val="21"/>
          <w:lang w:eastAsia="zh-CN"/>
        </w:rPr>
        <w:t>自然</w:t>
      </w:r>
      <w:r>
        <w:rPr>
          <w:rFonts w:ascii="Times New Roman" w:hAnsi="Times New Roman" w:hint="eastAsia"/>
          <w:color w:val="auto"/>
          <w:sz w:val="21"/>
          <w:szCs w:val="21"/>
          <w:lang w:eastAsia="zh-CN"/>
        </w:rPr>
        <w:t>保护地核心保护区</w:t>
      </w:r>
      <w:r>
        <w:rPr>
          <w:rFonts w:ascii="Times New Roman" w:hAnsi="Times New Roman" w:hint="eastAsia"/>
          <w:color w:val="auto"/>
          <w:sz w:val="21"/>
          <w:szCs w:val="21"/>
          <w:lang w:eastAsia="zh-CN"/>
        </w:rPr>
        <w:t>，符合</w:t>
      </w:r>
      <w:r>
        <w:rPr>
          <w:rFonts w:ascii="Times New Roman" w:hAnsi="Times New Roman" w:hint="eastAsia"/>
          <w:color w:val="auto"/>
          <w:sz w:val="21"/>
          <w:szCs w:val="21"/>
          <w:lang w:eastAsia="zh-CN"/>
        </w:rPr>
        <w:t>《中华人民共和国自然保护区条例》（国务院令第</w:t>
      </w:r>
      <w:r>
        <w:rPr>
          <w:rFonts w:ascii="Times New Roman" w:hAnsi="Times New Roman" w:hint="eastAsia"/>
          <w:color w:val="auto"/>
          <w:sz w:val="21"/>
          <w:szCs w:val="21"/>
          <w:lang w:eastAsia="zh-CN"/>
        </w:rPr>
        <w:t>830</w:t>
      </w:r>
      <w:r>
        <w:rPr>
          <w:rFonts w:ascii="Times New Roman" w:hAnsi="Times New Roman" w:hint="eastAsia"/>
          <w:color w:val="auto"/>
          <w:sz w:val="21"/>
          <w:szCs w:val="21"/>
          <w:lang w:eastAsia="zh-CN"/>
        </w:rPr>
        <w:t>号）“第二十六条</w:t>
      </w:r>
      <w:r>
        <w:rPr>
          <w:rFonts w:ascii="Times New Roman" w:hAnsi="Times New Roman" w:hint="eastAsia"/>
          <w:color w:val="auto"/>
          <w:sz w:val="21"/>
          <w:szCs w:val="21"/>
          <w:lang w:eastAsia="zh-CN"/>
        </w:rPr>
        <w:t xml:space="preserve"> </w:t>
      </w:r>
      <w:r>
        <w:rPr>
          <w:rFonts w:ascii="Times New Roman" w:hAnsi="Times New Roman" w:hint="eastAsia"/>
          <w:color w:val="auto"/>
          <w:sz w:val="21"/>
          <w:szCs w:val="21"/>
          <w:lang w:eastAsia="zh-CN"/>
        </w:rPr>
        <w:t>除下列活动外，自然保护区核心保护区内禁止人为活动：（一）为保护自然保护区开展的调查监测、</w:t>
      </w:r>
      <w:r>
        <w:rPr>
          <w:rFonts w:ascii="Times New Roman" w:hAnsi="Times New Roman" w:hint="eastAsia"/>
          <w:b/>
          <w:bCs/>
          <w:color w:val="auto"/>
          <w:sz w:val="21"/>
          <w:szCs w:val="21"/>
          <w:lang w:eastAsia="zh-CN"/>
        </w:rPr>
        <w:t>生态修复、</w:t>
      </w:r>
      <w:r>
        <w:rPr>
          <w:rFonts w:ascii="Times New Roman" w:hAnsi="Times New Roman" w:hint="eastAsia"/>
          <w:color w:val="auto"/>
          <w:sz w:val="21"/>
          <w:szCs w:val="21"/>
          <w:lang w:eastAsia="zh-CN"/>
        </w:rPr>
        <w:t>管护巡护等活动，科研观测、基础测绘、文物和其他文化遗产保护、防灾减灾、应急救援活动，以及国家机关依法履行执法职责确需开展的活动；……”，</w:t>
      </w:r>
      <w:r>
        <w:rPr>
          <w:rFonts w:ascii="Times New Roman" w:hAnsi="Times New Roman" w:hint="eastAsia"/>
          <w:color w:val="auto"/>
          <w:sz w:val="21"/>
          <w:szCs w:val="21"/>
          <w:lang w:eastAsia="zh-CN"/>
        </w:rPr>
        <w:t>但需相关部门经依法批准方可实施，据此</w:t>
      </w:r>
      <w:r>
        <w:rPr>
          <w:rFonts w:ascii="Times New Roman" w:hAnsi="Times New Roman" w:hint="eastAsia"/>
          <w:color w:val="auto"/>
          <w:sz w:val="21"/>
          <w:szCs w:val="21"/>
          <w:lang w:eastAsia="zh-CN"/>
        </w:rPr>
        <w:t>三亚市林业局</w:t>
      </w:r>
      <w:r>
        <w:rPr>
          <w:rFonts w:ascii="Times New Roman" w:hAnsi="Times New Roman"/>
          <w:color w:val="auto"/>
          <w:sz w:val="21"/>
          <w:szCs w:val="21"/>
          <w:lang w:eastAsia="zh-CN"/>
        </w:rPr>
        <w:t>组织编制了《铁</w:t>
      </w:r>
      <w:r>
        <w:rPr>
          <w:rFonts w:ascii="Times New Roman" w:hAnsi="Times New Roman"/>
          <w:color w:val="auto"/>
          <w:sz w:val="21"/>
          <w:szCs w:val="21"/>
          <w:lang w:eastAsia="zh-CN"/>
        </w:rPr>
        <w:t xml:space="preserve"> </w:t>
      </w:r>
      <w:r>
        <w:rPr>
          <w:rFonts w:ascii="Times New Roman" w:hAnsi="Times New Roman"/>
          <w:color w:val="auto"/>
          <w:sz w:val="21"/>
          <w:szCs w:val="21"/>
          <w:lang w:eastAsia="zh-CN"/>
        </w:rPr>
        <w:t>炉港红树林湿地保护修复项目（二期）疏浚活动对三亚市铁炉港</w:t>
      </w:r>
      <w:r>
        <w:rPr>
          <w:rFonts w:ascii="Times New Roman" w:hAnsi="Times New Roman"/>
          <w:color w:val="auto"/>
          <w:sz w:val="21"/>
          <w:szCs w:val="21"/>
          <w:lang w:eastAsia="zh-CN"/>
        </w:rPr>
        <w:t xml:space="preserve"> </w:t>
      </w:r>
      <w:r>
        <w:rPr>
          <w:rFonts w:ascii="Times New Roman" w:hAnsi="Times New Roman"/>
          <w:color w:val="auto"/>
          <w:sz w:val="21"/>
          <w:szCs w:val="21"/>
          <w:lang w:eastAsia="zh-CN"/>
        </w:rPr>
        <w:t>红树林自然保护区生物多样性影响评价报告》，</w:t>
      </w:r>
      <w:r>
        <w:rPr>
          <w:rFonts w:ascii="Times New Roman" w:hAnsi="Times New Roman" w:hint="eastAsia"/>
          <w:color w:val="auto"/>
          <w:sz w:val="21"/>
          <w:szCs w:val="21"/>
          <w:lang w:eastAsia="zh-CN"/>
        </w:rPr>
        <w:t>并</w:t>
      </w:r>
      <w:r>
        <w:rPr>
          <w:rFonts w:ascii="Times New Roman" w:hAnsi="Times New Roman"/>
          <w:color w:val="auto"/>
          <w:sz w:val="21"/>
          <w:szCs w:val="21"/>
          <w:lang w:eastAsia="zh-CN"/>
        </w:rPr>
        <w:t>于</w:t>
      </w:r>
      <w:r>
        <w:rPr>
          <w:rFonts w:ascii="Times New Roman" w:hAnsi="Times New Roman"/>
          <w:color w:val="auto"/>
          <w:sz w:val="21"/>
          <w:szCs w:val="21"/>
          <w:lang w:eastAsia="zh-CN"/>
        </w:rPr>
        <w:t xml:space="preserve"> 2026 </w:t>
      </w:r>
      <w:r>
        <w:rPr>
          <w:rFonts w:ascii="Times New Roman" w:hAnsi="Times New Roman"/>
          <w:color w:val="auto"/>
          <w:sz w:val="21"/>
          <w:szCs w:val="21"/>
          <w:lang w:eastAsia="zh-CN"/>
        </w:rPr>
        <w:t>年</w:t>
      </w:r>
      <w:r>
        <w:rPr>
          <w:rFonts w:ascii="Times New Roman" w:hAnsi="Times New Roman"/>
          <w:color w:val="auto"/>
          <w:sz w:val="21"/>
          <w:szCs w:val="21"/>
          <w:lang w:eastAsia="zh-CN"/>
        </w:rPr>
        <w:t xml:space="preserve"> 3 </w:t>
      </w:r>
      <w:r>
        <w:rPr>
          <w:rFonts w:ascii="Times New Roman" w:hAnsi="Times New Roman"/>
          <w:color w:val="auto"/>
          <w:sz w:val="21"/>
          <w:szCs w:val="21"/>
          <w:lang w:eastAsia="zh-CN"/>
        </w:rPr>
        <w:t>月</w:t>
      </w:r>
      <w:r>
        <w:rPr>
          <w:rFonts w:ascii="Times New Roman" w:hAnsi="Times New Roman"/>
          <w:color w:val="auto"/>
          <w:sz w:val="21"/>
          <w:szCs w:val="21"/>
          <w:lang w:eastAsia="zh-CN"/>
        </w:rPr>
        <w:t xml:space="preserve"> 10 </w:t>
      </w:r>
      <w:r>
        <w:rPr>
          <w:rFonts w:ascii="Times New Roman" w:hAnsi="Times New Roman"/>
          <w:color w:val="auto"/>
          <w:sz w:val="21"/>
          <w:szCs w:val="21"/>
          <w:lang w:eastAsia="zh-CN"/>
        </w:rPr>
        <w:t>日通过专家评审</w:t>
      </w:r>
      <w:r>
        <w:rPr>
          <w:rFonts w:ascii="Times New Roman" w:hAnsi="Times New Roman" w:hint="eastAsia"/>
          <w:color w:val="auto"/>
          <w:sz w:val="21"/>
          <w:szCs w:val="21"/>
          <w:lang w:eastAsia="zh-CN"/>
        </w:rPr>
        <w:t>，出具《三亚市林业局</w:t>
      </w:r>
      <w:r>
        <w:rPr>
          <w:rFonts w:ascii="Times New Roman" w:hAnsi="Times New Roman" w:hint="eastAsia"/>
          <w:color w:val="auto"/>
          <w:sz w:val="21"/>
          <w:szCs w:val="21"/>
          <w:lang w:eastAsia="zh-CN"/>
        </w:rPr>
        <w:t xml:space="preserve"> </w:t>
      </w:r>
      <w:r>
        <w:rPr>
          <w:rFonts w:ascii="Times New Roman" w:hAnsi="Times New Roman" w:hint="eastAsia"/>
          <w:color w:val="auto"/>
          <w:sz w:val="21"/>
          <w:szCs w:val="21"/>
          <w:lang w:eastAsia="zh-CN"/>
        </w:rPr>
        <w:t>关于铁炉港红树林湿地保护修复项目（二期）</w:t>
      </w:r>
      <w:r>
        <w:rPr>
          <w:rFonts w:ascii="Times New Roman" w:hAnsi="Times New Roman" w:hint="eastAsia"/>
          <w:color w:val="auto"/>
          <w:sz w:val="21"/>
          <w:szCs w:val="21"/>
          <w:lang w:eastAsia="zh-CN"/>
        </w:rPr>
        <w:t xml:space="preserve"> </w:t>
      </w:r>
      <w:r>
        <w:rPr>
          <w:rFonts w:ascii="Times New Roman" w:hAnsi="Times New Roman" w:hint="eastAsia"/>
          <w:color w:val="auto"/>
          <w:sz w:val="21"/>
          <w:szCs w:val="21"/>
          <w:lang w:eastAsia="zh-CN"/>
        </w:rPr>
        <w:t>疏浚活动在三亚市铁炉港红树林</w:t>
      </w:r>
      <w:r>
        <w:rPr>
          <w:rFonts w:ascii="Times New Roman" w:hAnsi="Times New Roman" w:hint="eastAsia"/>
          <w:color w:val="auto"/>
          <w:sz w:val="21"/>
          <w:szCs w:val="21"/>
          <w:lang w:eastAsia="zh-CN"/>
        </w:rPr>
        <w:t xml:space="preserve"> </w:t>
      </w:r>
      <w:r>
        <w:rPr>
          <w:rFonts w:ascii="Times New Roman" w:hAnsi="Times New Roman" w:hint="eastAsia"/>
          <w:color w:val="auto"/>
          <w:sz w:val="21"/>
          <w:szCs w:val="21"/>
          <w:lang w:eastAsia="zh-CN"/>
        </w:rPr>
        <w:t>自然保护区实施的意见》</w:t>
      </w:r>
      <w:r>
        <w:rPr>
          <w:rFonts w:ascii="Times New Roman" w:hAnsi="Times New Roman" w:hint="eastAsia"/>
          <w:color w:val="auto"/>
          <w:sz w:val="21"/>
          <w:szCs w:val="21"/>
          <w:lang w:eastAsia="zh-CN"/>
        </w:rPr>
        <w:t>。</w:t>
      </w:r>
      <w:r>
        <w:rPr>
          <w:rFonts w:ascii="Times New Roman" w:hAnsi="Times New Roman" w:hint="eastAsia"/>
          <w:color w:val="auto"/>
          <w:sz w:val="21"/>
          <w:szCs w:val="21"/>
          <w:lang w:eastAsia="zh-CN"/>
        </w:rPr>
        <w:t>同时本项目</w:t>
      </w:r>
      <w:r>
        <w:rPr>
          <w:rFonts w:ascii="Times New Roman" w:hAnsi="Times New Roman" w:hint="eastAsia"/>
          <w:color w:val="auto"/>
          <w:sz w:val="21"/>
          <w:szCs w:val="21"/>
          <w:lang w:eastAsia="zh-CN"/>
        </w:rPr>
        <w:t>部分</w:t>
      </w:r>
      <w:r>
        <w:rPr>
          <w:rFonts w:ascii="Times New Roman" w:hAnsi="Times New Roman" w:hint="eastAsia"/>
          <w:color w:val="auto"/>
          <w:sz w:val="21"/>
          <w:szCs w:val="21"/>
          <w:lang w:eastAsia="zh-CN"/>
        </w:rPr>
        <w:t>用海位于海南省生态保护红线内其他区域，</w:t>
      </w:r>
      <w:r>
        <w:rPr>
          <w:rFonts w:ascii="Times New Roman" w:hAnsi="Times New Roman" w:hint="eastAsia"/>
          <w:color w:val="auto"/>
          <w:sz w:val="21"/>
          <w:szCs w:val="21"/>
          <w:lang w:eastAsia="zh-CN"/>
        </w:rPr>
        <w:t>本项目</w:t>
      </w:r>
      <w:r>
        <w:rPr>
          <w:rFonts w:ascii="Times New Roman" w:hAnsi="Times New Roman" w:hint="eastAsia"/>
          <w:color w:val="auto"/>
          <w:sz w:val="21"/>
          <w:szCs w:val="21"/>
          <w:lang w:eastAsia="zh-CN"/>
        </w:rPr>
        <w:t>生态保护红线</w:t>
      </w:r>
      <w:r>
        <w:rPr>
          <w:rFonts w:ascii="Times New Roman" w:hAnsi="Times New Roman" w:hint="eastAsia"/>
          <w:color w:val="auto"/>
          <w:sz w:val="21"/>
          <w:szCs w:val="21"/>
          <w:lang w:eastAsia="zh-CN"/>
        </w:rPr>
        <w:t>内</w:t>
      </w:r>
      <w:r>
        <w:rPr>
          <w:rFonts w:ascii="Times New Roman" w:hAnsi="Times New Roman" w:hint="eastAsia"/>
          <w:color w:val="auto"/>
          <w:sz w:val="21"/>
          <w:szCs w:val="21"/>
          <w:lang w:eastAsia="zh-CN"/>
        </w:rPr>
        <w:t>有限人为活动认定专题论证报告</w:t>
      </w:r>
      <w:r>
        <w:rPr>
          <w:rFonts w:ascii="Times New Roman" w:hAnsi="Times New Roman" w:hint="eastAsia"/>
          <w:color w:val="auto"/>
          <w:sz w:val="21"/>
          <w:szCs w:val="21"/>
          <w:lang w:eastAsia="zh-CN"/>
        </w:rPr>
        <w:t>正在</w:t>
      </w:r>
      <w:r>
        <w:rPr>
          <w:rFonts w:ascii="Times New Roman" w:hAnsi="Times New Roman" w:hint="eastAsia"/>
          <w:color w:val="auto"/>
          <w:sz w:val="21"/>
          <w:szCs w:val="21"/>
          <w:lang w:eastAsia="zh-CN"/>
        </w:rPr>
        <w:t>编制中。</w:t>
      </w:r>
    </w:p>
    <w:p w14:paraId="4D4B3576" w14:textId="77777777" w:rsidR="0075791A" w:rsidRDefault="00FB2864">
      <w:pPr>
        <w:kinsoku/>
        <w:autoSpaceDE/>
        <w:autoSpaceDN/>
        <w:spacing w:line="360" w:lineRule="auto"/>
        <w:ind w:firstLineChars="200" w:firstLine="480"/>
        <w:textAlignment w:val="auto"/>
        <w:rPr>
          <w:rFonts w:ascii="Times New Roman" w:eastAsia="宋体" w:hAnsi="Times New Roman" w:cs="Times New Roman"/>
          <w:color w:val="auto"/>
          <w:sz w:val="24"/>
          <w:szCs w:val="24"/>
          <w:lang w:eastAsia="zh-CN"/>
        </w:rPr>
      </w:pPr>
      <w:r>
        <w:rPr>
          <w:rFonts w:ascii="Times New Roman" w:eastAsia="宋体" w:hAnsi="Times New Roman" w:cs="Times New Roman"/>
          <w:color w:val="auto"/>
          <w:sz w:val="24"/>
          <w:szCs w:val="24"/>
          <w:lang w:eastAsia="zh-CN"/>
        </w:rPr>
        <w:t>本项目施工过程中产生的悬浮物扩散范围只局限在项目周边范围内，项目施工过程中未对珊瑚礁分布区、海草床分布区等区域产生不利影响，同时对周边</w:t>
      </w:r>
      <w:r>
        <w:rPr>
          <w:rFonts w:ascii="Times New Roman" w:eastAsia="宋体" w:hAnsi="Times New Roman" w:cs="Times New Roman" w:hint="eastAsia"/>
          <w:color w:val="auto"/>
          <w:sz w:val="24"/>
          <w:szCs w:val="24"/>
          <w:lang w:eastAsia="zh-CN"/>
        </w:rPr>
        <w:t>生态保护红线</w:t>
      </w:r>
      <w:r>
        <w:rPr>
          <w:rFonts w:ascii="Times New Roman" w:eastAsia="宋体" w:hAnsi="Times New Roman" w:cs="Times New Roman"/>
          <w:color w:val="auto"/>
          <w:sz w:val="24"/>
          <w:szCs w:val="24"/>
          <w:lang w:eastAsia="zh-CN"/>
        </w:rPr>
        <w:t>影响</w:t>
      </w:r>
      <w:r>
        <w:rPr>
          <w:rFonts w:ascii="Times New Roman" w:eastAsia="宋体" w:hAnsi="Times New Roman" w:cs="Times New Roman" w:hint="eastAsia"/>
          <w:color w:val="auto"/>
          <w:sz w:val="24"/>
          <w:szCs w:val="24"/>
          <w:lang w:eastAsia="zh-CN"/>
        </w:rPr>
        <w:t>较小，</w:t>
      </w:r>
      <w:r>
        <w:rPr>
          <w:rFonts w:ascii="Times New Roman" w:eastAsia="宋体" w:hAnsi="Times New Roman" w:cs="Times New Roman"/>
          <w:color w:val="auto"/>
          <w:sz w:val="24"/>
          <w:szCs w:val="24"/>
          <w:lang w:eastAsia="zh-CN"/>
        </w:rPr>
        <w:t>且所有源点叠加后超</w:t>
      </w:r>
      <w:r>
        <w:rPr>
          <w:rFonts w:ascii="Times New Roman" w:eastAsia="宋体" w:hAnsi="Times New Roman" w:cs="Times New Roman"/>
          <w:color w:val="auto"/>
          <w:sz w:val="24"/>
          <w:szCs w:val="24"/>
          <w:lang w:eastAsia="zh-CN"/>
        </w:rPr>
        <w:t>I</w:t>
      </w:r>
      <w:r>
        <w:rPr>
          <w:rFonts w:ascii="Times New Roman" w:eastAsia="宋体" w:hAnsi="Times New Roman" w:cs="Times New Roman"/>
          <w:color w:val="auto"/>
          <w:sz w:val="24"/>
          <w:szCs w:val="24"/>
          <w:lang w:eastAsia="zh-CN"/>
        </w:rPr>
        <w:t>、</w:t>
      </w:r>
      <w:r>
        <w:rPr>
          <w:rFonts w:ascii="Times New Roman" w:eastAsia="宋体" w:hAnsi="Times New Roman" w:cs="Times New Roman"/>
          <w:color w:val="auto"/>
          <w:sz w:val="24"/>
          <w:szCs w:val="24"/>
          <w:lang w:eastAsia="zh-CN"/>
        </w:rPr>
        <w:t>Ⅱ</w:t>
      </w:r>
      <w:r>
        <w:rPr>
          <w:rFonts w:ascii="Times New Roman" w:eastAsia="宋体" w:hAnsi="Times New Roman" w:cs="Times New Roman"/>
          <w:color w:val="auto"/>
          <w:sz w:val="24"/>
          <w:szCs w:val="24"/>
          <w:lang w:eastAsia="zh-CN"/>
        </w:rPr>
        <w:t>类水质</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color w:val="auto"/>
          <w:sz w:val="24"/>
          <w:szCs w:val="24"/>
          <w:lang w:eastAsia="zh-CN"/>
        </w:rPr>
        <w:t>&gt;10mg/L</w:t>
      </w:r>
      <w:r>
        <w:rPr>
          <w:rFonts w:ascii="Times New Roman" w:eastAsia="宋体" w:hAnsi="Times New Roman" w:cs="Times New Roman" w:hint="eastAsia"/>
          <w:color w:val="auto"/>
          <w:sz w:val="24"/>
          <w:szCs w:val="24"/>
          <w:lang w:eastAsia="zh-CN"/>
        </w:rPr>
        <w:t>）扩散的最远距离仅有</w:t>
      </w:r>
      <w:r>
        <w:rPr>
          <w:rFonts w:ascii="Times New Roman" w:eastAsia="宋体" w:hAnsi="Times New Roman" w:cs="Times New Roman" w:hint="eastAsia"/>
          <w:color w:val="auto"/>
          <w:sz w:val="24"/>
          <w:szCs w:val="24"/>
          <w:lang w:eastAsia="zh-CN"/>
        </w:rPr>
        <w:t>1.2km</w:t>
      </w:r>
      <w:r>
        <w:rPr>
          <w:rFonts w:ascii="Times New Roman" w:eastAsia="宋体" w:hAnsi="Times New Roman" w:cs="Times New Roman" w:hint="eastAsia"/>
          <w:color w:val="auto"/>
          <w:sz w:val="24"/>
          <w:szCs w:val="24"/>
          <w:lang w:eastAsia="zh-CN"/>
        </w:rPr>
        <w:t>左右</w:t>
      </w:r>
      <w:r>
        <w:rPr>
          <w:rFonts w:ascii="Times New Roman" w:eastAsia="宋体" w:hAnsi="Times New Roman" w:cs="Times New Roman"/>
          <w:color w:val="auto"/>
          <w:sz w:val="24"/>
          <w:szCs w:val="24"/>
          <w:lang w:eastAsia="zh-CN"/>
        </w:rPr>
        <w:t>。</w:t>
      </w:r>
      <w:r>
        <w:rPr>
          <w:rFonts w:ascii="Times New Roman" w:eastAsia="宋体" w:hAnsi="Times New Roman" w:cs="Times New Roman" w:hint="eastAsia"/>
          <w:color w:val="auto"/>
          <w:sz w:val="24"/>
          <w:szCs w:val="24"/>
          <w:lang w:eastAsia="zh-CN"/>
        </w:rPr>
        <w:lastRenderedPageBreak/>
        <w:t>因此，需采取必要的生态保护措施，如设置防污帘、选择合适时间施工等，并好相应的生态跟踪监测，降低对该功能区红树林及其生态系统、水质和底质的影响。疏浚施工期较短，所产生的悬浮泥沙对海水水质的影响时间是短暂的，这种影响一旦施工完毕，在较短的时间内（</w:t>
      </w:r>
      <w:r>
        <w:rPr>
          <w:rFonts w:ascii="Times New Roman" w:eastAsia="宋体" w:hAnsi="Times New Roman" w:cs="Times New Roman" w:hint="eastAsia"/>
          <w:color w:val="auto"/>
          <w:sz w:val="24"/>
          <w:szCs w:val="24"/>
          <w:lang w:eastAsia="zh-CN"/>
        </w:rPr>
        <w:t>12</w:t>
      </w:r>
      <w:r>
        <w:rPr>
          <w:rFonts w:ascii="Times New Roman" w:eastAsia="宋体" w:hAnsi="Times New Roman" w:cs="Times New Roman" w:hint="eastAsia"/>
          <w:color w:val="auto"/>
          <w:sz w:val="24"/>
          <w:szCs w:val="24"/>
          <w:lang w:eastAsia="zh-CN"/>
        </w:rPr>
        <w:t>小时）也就结束，自然生态环境</w:t>
      </w:r>
      <w:r>
        <w:rPr>
          <w:rFonts w:ascii="Times New Roman" w:eastAsia="宋体" w:hAnsi="Times New Roman" w:cs="Times New Roman" w:hint="eastAsia"/>
          <w:color w:val="auto"/>
          <w:sz w:val="24"/>
          <w:szCs w:val="24"/>
          <w:lang w:eastAsia="zh-CN"/>
        </w:rPr>
        <w:t>逐渐得到恢复。</w:t>
      </w:r>
    </w:p>
    <w:p w14:paraId="594EBBB2" w14:textId="77777777" w:rsidR="0075791A" w:rsidRDefault="00FB2864">
      <w:pPr>
        <w:kinsoku/>
        <w:autoSpaceDE/>
        <w:autoSpaceDN/>
        <w:spacing w:line="360" w:lineRule="auto"/>
        <w:ind w:firstLineChars="200" w:firstLine="480"/>
        <w:textAlignment w:val="auto"/>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t>本项目疏浚、红树林种植区滩涂整地都将破坏底栖生物的栖息地和生存环境，从而导致生物资源损失，如底栖生物、潮间带生物、浮游生物、鱼卵仔稚鱼和无脊椎动物等。但施工完成后项目区域将形成新的滩涂底土环境，底栖生物、潮间带生物可重新形成生态系统。</w:t>
      </w:r>
    </w:p>
    <w:p w14:paraId="3C836E9C" w14:textId="77777777" w:rsidR="0075791A" w:rsidRDefault="00FB2864">
      <w:pPr>
        <w:kinsoku/>
        <w:autoSpaceDE/>
        <w:autoSpaceDN/>
        <w:spacing w:line="360" w:lineRule="auto"/>
        <w:ind w:firstLineChars="200" w:firstLine="480"/>
        <w:textAlignment w:val="auto"/>
        <w:rPr>
          <w:rFonts w:ascii="Times New Roman" w:eastAsia="宋体" w:hAnsi="Times New Roman" w:cs="Times New Roman"/>
          <w:color w:val="auto"/>
          <w:sz w:val="24"/>
          <w:szCs w:val="24"/>
          <w:lang w:eastAsia="zh-CN"/>
        </w:rPr>
      </w:pPr>
      <w:r>
        <w:rPr>
          <w:rFonts w:ascii="Times New Roman" w:eastAsia="宋体" w:hAnsi="Times New Roman" w:cs="Times New Roman" w:hint="eastAsia"/>
          <w:color w:val="auto"/>
          <w:sz w:val="24"/>
          <w:szCs w:val="24"/>
          <w:lang w:eastAsia="zh-CN"/>
        </w:rPr>
        <w:t>本项目用海对生态影响有正面及负面的影响，正面影响主要表现在通过红树林湿地修复工程，保护和恢复红树林及滨海湿地生态系统；负面影响主要表现在疏浚、滩涂平整及产生悬浮泥沙对生态环境的影响，这种影响在施工完成后将逐步恢复。但是，通过采取一定的环境保护措施，本项目用海工</w:t>
      </w:r>
      <w:r>
        <w:rPr>
          <w:rFonts w:ascii="Times New Roman" w:eastAsia="宋体" w:hAnsi="Times New Roman" w:cs="Times New Roman" w:hint="eastAsia"/>
          <w:color w:val="auto"/>
          <w:sz w:val="24"/>
          <w:szCs w:val="24"/>
          <w:lang w:eastAsia="zh-CN"/>
        </w:rPr>
        <w:t>程对生态的影响属于可接受的范围。</w:t>
      </w:r>
    </w:p>
    <w:p w14:paraId="19373370" w14:textId="77777777" w:rsidR="0075791A" w:rsidRDefault="00FB2864">
      <w:pPr>
        <w:spacing w:line="360" w:lineRule="auto"/>
        <w:ind w:firstLineChars="200" w:firstLine="476"/>
        <w:jc w:val="both"/>
        <w:rPr>
          <w:rFonts w:ascii="Times New Roman" w:hAnsi="Times New Roman" w:cs="宋体"/>
          <w:color w:val="auto"/>
          <w:spacing w:val="-2"/>
          <w:sz w:val="24"/>
          <w:szCs w:val="24"/>
          <w:lang w:eastAsia="zh-CN"/>
        </w:rPr>
      </w:pPr>
      <w:r>
        <w:rPr>
          <w:rFonts w:ascii="Times New Roman" w:hAnsi="Times New Roman" w:cs="宋体" w:hint="eastAsia"/>
          <w:color w:val="auto"/>
          <w:spacing w:val="-2"/>
          <w:sz w:val="24"/>
          <w:szCs w:val="24"/>
          <w:lang w:eastAsia="zh-CN"/>
        </w:rPr>
        <w:t>综上，本项目对生态功能不造成破坏，是“重要生态修复工程”，由于项目</w:t>
      </w:r>
      <w:r>
        <w:rPr>
          <w:rFonts w:ascii="Times New Roman" w:hAnsi="Times New Roman" w:cs="宋体" w:hint="eastAsia"/>
          <w:color w:val="auto"/>
          <w:spacing w:val="-2"/>
          <w:sz w:val="24"/>
          <w:szCs w:val="24"/>
          <w:lang w:eastAsia="zh-CN"/>
        </w:rPr>
        <w:t>14.8579</w:t>
      </w:r>
      <w:r>
        <w:rPr>
          <w:rFonts w:ascii="Times New Roman" w:hAnsi="Times New Roman" w:cs="宋体" w:hint="eastAsia"/>
          <w:color w:val="auto"/>
          <w:spacing w:val="-2"/>
          <w:sz w:val="24"/>
          <w:szCs w:val="24"/>
          <w:lang w:eastAsia="zh-CN"/>
        </w:rPr>
        <w:t>公顷清淤区位于海南三亚</w:t>
      </w:r>
      <w:r>
        <w:rPr>
          <w:rFonts w:ascii="Times New Roman" w:hAnsi="Times New Roman" w:cs="宋体"/>
          <w:color w:val="auto"/>
          <w:spacing w:val="-2"/>
          <w:sz w:val="24"/>
          <w:szCs w:val="24"/>
          <w:lang w:eastAsia="zh-CN"/>
        </w:rPr>
        <w:t>红树林</w:t>
      </w:r>
      <w:r>
        <w:rPr>
          <w:rFonts w:ascii="Times New Roman" w:hAnsi="Times New Roman" w:cs="宋体" w:hint="eastAsia"/>
          <w:color w:val="auto"/>
          <w:spacing w:val="-2"/>
          <w:sz w:val="24"/>
          <w:szCs w:val="24"/>
          <w:lang w:eastAsia="zh-CN"/>
        </w:rPr>
        <w:t>省级自然保护区的</w:t>
      </w:r>
      <w:r>
        <w:rPr>
          <w:rFonts w:ascii="Times New Roman" w:hAnsi="Times New Roman" w:cs="宋体"/>
          <w:color w:val="auto"/>
          <w:spacing w:val="-2"/>
          <w:sz w:val="24"/>
          <w:szCs w:val="24"/>
          <w:lang w:eastAsia="zh-CN"/>
        </w:rPr>
        <w:t>自然</w:t>
      </w:r>
      <w:r>
        <w:rPr>
          <w:rFonts w:ascii="Times New Roman" w:hAnsi="Times New Roman" w:cs="宋体" w:hint="eastAsia"/>
          <w:color w:val="auto"/>
          <w:spacing w:val="-2"/>
          <w:sz w:val="24"/>
          <w:szCs w:val="24"/>
          <w:lang w:eastAsia="zh-CN"/>
        </w:rPr>
        <w:t>保护地核心保护区的生态保护红线，符合《中华人民共和国自然保护区条例》（国务院令第</w:t>
      </w:r>
      <w:r>
        <w:rPr>
          <w:rFonts w:ascii="Times New Roman" w:hAnsi="Times New Roman" w:cs="宋体" w:hint="eastAsia"/>
          <w:color w:val="auto"/>
          <w:spacing w:val="-2"/>
          <w:sz w:val="24"/>
          <w:szCs w:val="24"/>
          <w:lang w:eastAsia="zh-CN"/>
        </w:rPr>
        <w:t>830</w:t>
      </w:r>
      <w:r>
        <w:rPr>
          <w:rFonts w:ascii="Times New Roman" w:hAnsi="Times New Roman" w:cs="宋体" w:hint="eastAsia"/>
          <w:color w:val="auto"/>
          <w:spacing w:val="-2"/>
          <w:sz w:val="24"/>
          <w:szCs w:val="24"/>
          <w:lang w:eastAsia="zh-CN"/>
        </w:rPr>
        <w:t>号）要求，可进入</w:t>
      </w:r>
      <w:r>
        <w:rPr>
          <w:rFonts w:ascii="Times New Roman" w:hAnsi="Times New Roman" w:cs="宋体"/>
          <w:color w:val="auto"/>
          <w:spacing w:val="-2"/>
          <w:sz w:val="24"/>
          <w:szCs w:val="24"/>
          <w:lang w:eastAsia="zh-CN"/>
        </w:rPr>
        <w:t>自然</w:t>
      </w:r>
      <w:r>
        <w:rPr>
          <w:rFonts w:ascii="Times New Roman" w:hAnsi="Times New Roman" w:cs="宋体" w:hint="eastAsia"/>
          <w:color w:val="auto"/>
          <w:spacing w:val="-2"/>
          <w:sz w:val="24"/>
          <w:szCs w:val="24"/>
          <w:lang w:eastAsia="zh-CN"/>
        </w:rPr>
        <w:t>保护地核心保护区进行生态修复活动。依据《海南省生态保护红线管理规定》《海南省人民政府办公厅关于印发海南省生态保护红线准入管理目录</w:t>
      </w:r>
      <w:r>
        <w:rPr>
          <w:rFonts w:ascii="Times New Roman" w:hAnsi="Times New Roman" w:cs="宋体" w:hint="eastAsia"/>
          <w:color w:val="auto"/>
          <w:spacing w:val="-2"/>
          <w:sz w:val="24"/>
          <w:szCs w:val="24"/>
          <w:lang w:eastAsia="zh-CN"/>
        </w:rPr>
        <w:t>(</w:t>
      </w:r>
      <w:r>
        <w:rPr>
          <w:rFonts w:ascii="Times New Roman" w:hAnsi="Times New Roman" w:cs="宋体" w:hint="eastAsia"/>
          <w:color w:val="auto"/>
          <w:spacing w:val="-2"/>
          <w:sz w:val="24"/>
          <w:szCs w:val="24"/>
          <w:lang w:eastAsia="zh-CN"/>
        </w:rPr>
        <w:t>修订</w:t>
      </w:r>
      <w:r>
        <w:rPr>
          <w:rFonts w:ascii="Times New Roman" w:hAnsi="Times New Roman" w:cs="宋体" w:hint="eastAsia"/>
          <w:color w:val="auto"/>
          <w:spacing w:val="-2"/>
          <w:sz w:val="24"/>
          <w:szCs w:val="24"/>
          <w:lang w:eastAsia="zh-CN"/>
        </w:rPr>
        <w:t>)</w:t>
      </w:r>
      <w:r>
        <w:rPr>
          <w:rFonts w:ascii="Times New Roman" w:hAnsi="Times New Roman" w:cs="宋体" w:hint="eastAsia"/>
          <w:color w:val="auto"/>
          <w:spacing w:val="-2"/>
          <w:sz w:val="24"/>
          <w:szCs w:val="24"/>
          <w:lang w:eastAsia="zh-CN"/>
        </w:rPr>
        <w:t>的通知》，需经依法批准后方可建设。</w:t>
      </w:r>
    </w:p>
    <w:p w14:paraId="75BCFE37" w14:textId="77777777" w:rsidR="0075791A" w:rsidRDefault="00FB2864">
      <w:pPr>
        <w:spacing w:line="360" w:lineRule="auto"/>
        <w:ind w:firstLineChars="200" w:firstLine="476"/>
        <w:jc w:val="both"/>
        <w:rPr>
          <w:rFonts w:ascii="Times New Roman" w:hAnsi="Times New Roman" w:cs="宋体"/>
          <w:color w:val="auto"/>
          <w:spacing w:val="-2"/>
          <w:sz w:val="24"/>
          <w:szCs w:val="24"/>
          <w:lang w:eastAsia="zh-CN"/>
        </w:rPr>
      </w:pPr>
      <w:r>
        <w:rPr>
          <w:rFonts w:ascii="Times New Roman" w:hAnsi="Times New Roman" w:cs="宋体" w:hint="eastAsia"/>
          <w:color w:val="auto"/>
          <w:spacing w:val="-2"/>
          <w:sz w:val="24"/>
          <w:szCs w:val="24"/>
          <w:lang w:eastAsia="zh-CN"/>
        </w:rPr>
        <w:t>同时，本项目有</w:t>
      </w:r>
      <w:r>
        <w:rPr>
          <w:rFonts w:ascii="Times New Roman" w:hAnsi="Times New Roman" w:cs="宋体" w:hint="eastAsia"/>
          <w:color w:val="auto"/>
          <w:spacing w:val="-2"/>
          <w:sz w:val="24"/>
          <w:szCs w:val="24"/>
          <w:lang w:eastAsia="zh-CN"/>
        </w:rPr>
        <w:t>0.3515</w:t>
      </w:r>
      <w:r>
        <w:rPr>
          <w:rFonts w:ascii="Times New Roman" w:hAnsi="Times New Roman" w:cs="宋体" w:hint="eastAsia"/>
          <w:color w:val="auto"/>
          <w:spacing w:val="-2"/>
          <w:sz w:val="24"/>
          <w:szCs w:val="24"/>
          <w:lang w:eastAsia="zh-CN"/>
        </w:rPr>
        <w:t>公顷位于自然保护地一般控制区、</w:t>
      </w:r>
      <w:r>
        <w:rPr>
          <w:rFonts w:ascii="Times New Roman" w:hAnsi="Times New Roman" w:cs="宋体" w:hint="eastAsia"/>
          <w:color w:val="auto"/>
          <w:spacing w:val="-2"/>
          <w:sz w:val="24"/>
          <w:szCs w:val="24"/>
          <w:lang w:eastAsia="zh-CN"/>
        </w:rPr>
        <w:t>0.0317</w:t>
      </w:r>
      <w:r>
        <w:rPr>
          <w:rFonts w:ascii="Times New Roman" w:hAnsi="Times New Roman" w:cs="宋体" w:hint="eastAsia"/>
          <w:color w:val="auto"/>
          <w:spacing w:val="-2"/>
          <w:sz w:val="24"/>
          <w:szCs w:val="24"/>
          <w:lang w:eastAsia="zh-CN"/>
        </w:rPr>
        <w:t>公顷位于自然保护地以外区域的生态保护红线，符合生态保护红线准入管理目录。</w:t>
      </w:r>
    </w:p>
    <w:p w14:paraId="6E717C76" w14:textId="77777777" w:rsidR="0075791A" w:rsidRDefault="0075791A">
      <w:pPr>
        <w:spacing w:line="43" w:lineRule="exact"/>
        <w:rPr>
          <w:rFonts w:ascii="Times New Roman" w:hAnsi="Times New Roman"/>
          <w:color w:val="auto"/>
          <w:lang w:eastAsia="zh-CN"/>
        </w:rPr>
      </w:pPr>
    </w:p>
    <w:p w14:paraId="12C0BE12" w14:textId="77777777" w:rsidR="0075791A" w:rsidRDefault="00FB2864">
      <w:pPr>
        <w:jc w:val="center"/>
        <w:rPr>
          <w:rFonts w:ascii="Times New Roman" w:hAnsi="Times New Roman"/>
          <w:bCs/>
          <w:color w:val="auto"/>
          <w:sz w:val="24"/>
          <w:szCs w:val="24"/>
          <w:lang w:eastAsia="zh-CN"/>
        </w:rPr>
      </w:pPr>
      <w:r>
        <w:rPr>
          <w:rFonts w:ascii="Times New Roman" w:hAnsi="Times New Roman" w:hint="eastAsia"/>
          <w:bCs/>
          <w:noProof/>
          <w:color w:val="auto"/>
          <w:sz w:val="24"/>
          <w:szCs w:val="24"/>
          <w:lang w:eastAsia="zh-CN"/>
        </w:rPr>
        <w:lastRenderedPageBreak/>
        <w:drawing>
          <wp:inline distT="0" distB="0" distL="114300" distR="114300" wp14:anchorId="7054936C" wp14:editId="77A87996">
            <wp:extent cx="5791835" cy="4100195"/>
            <wp:effectExtent l="0" t="0" r="14605" b="14605"/>
            <wp:docPr id="121" name="图片 121" descr="生态红线叠加用海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生态红线叠加用海0410"/>
                    <pic:cNvPicPr>
                      <a:picLocks noChangeAspect="1"/>
                    </pic:cNvPicPr>
                  </pic:nvPicPr>
                  <pic:blipFill>
                    <a:blip r:embed="rId279"/>
                    <a:stretch>
                      <a:fillRect/>
                    </a:stretch>
                  </pic:blipFill>
                  <pic:spPr>
                    <a:xfrm>
                      <a:off x="0" y="0"/>
                      <a:ext cx="5791835" cy="4100195"/>
                    </a:xfrm>
                    <a:prstGeom prst="rect">
                      <a:avLst/>
                    </a:prstGeom>
                  </pic:spPr>
                </pic:pic>
              </a:graphicData>
            </a:graphic>
          </wp:inline>
        </w:drawing>
      </w:r>
    </w:p>
    <w:p w14:paraId="07486E1E" w14:textId="77777777" w:rsidR="0075791A" w:rsidRDefault="00FB2864">
      <w:pPr>
        <w:jc w:val="center"/>
        <w:rPr>
          <w:rFonts w:ascii="Times New Roman" w:hAnsi="Times New Roman"/>
          <w:bCs/>
          <w:color w:val="auto"/>
          <w:sz w:val="24"/>
          <w:szCs w:val="24"/>
          <w:lang w:eastAsia="zh-CN"/>
        </w:rPr>
      </w:pPr>
      <w:r>
        <w:rPr>
          <w:rFonts w:ascii="Times New Roman" w:hAnsi="Times New Roman" w:hint="eastAsia"/>
          <w:bCs/>
          <w:color w:val="auto"/>
          <w:sz w:val="24"/>
          <w:szCs w:val="24"/>
          <w:lang w:eastAsia="zh-CN"/>
        </w:rPr>
        <w:t>图</w:t>
      </w:r>
      <w:r>
        <w:rPr>
          <w:rFonts w:ascii="Times New Roman" w:hAnsi="Times New Roman" w:hint="eastAsia"/>
          <w:bCs/>
          <w:color w:val="auto"/>
          <w:sz w:val="24"/>
          <w:szCs w:val="24"/>
          <w:lang w:eastAsia="zh-CN"/>
        </w:rPr>
        <w:t>6.3.2-1</w:t>
      </w:r>
      <w:r>
        <w:rPr>
          <w:rFonts w:ascii="Times New Roman" w:hAnsi="Times New Roman" w:hint="eastAsia"/>
          <w:bCs/>
          <w:color w:val="auto"/>
          <w:sz w:val="24"/>
          <w:szCs w:val="24"/>
          <w:lang w:eastAsia="zh-CN"/>
        </w:rPr>
        <w:t>项目与生态保护红线叠置图</w:t>
      </w:r>
    </w:p>
    <w:p w14:paraId="00B52382" w14:textId="77777777" w:rsidR="0075791A" w:rsidRDefault="00FB2864">
      <w:pPr>
        <w:pStyle w:val="a5"/>
        <w:jc w:val="center"/>
        <w:rPr>
          <w:color w:val="auto"/>
          <w:lang w:eastAsia="zh-CN"/>
        </w:rPr>
      </w:pPr>
      <w:r>
        <w:rPr>
          <w:rFonts w:hint="eastAsia"/>
          <w:noProof/>
          <w:color w:val="auto"/>
          <w:lang w:eastAsia="zh-CN"/>
        </w:rPr>
        <w:drawing>
          <wp:inline distT="0" distB="0" distL="114300" distR="114300" wp14:anchorId="154D6A4D" wp14:editId="55F3DAB9">
            <wp:extent cx="5791835" cy="4100195"/>
            <wp:effectExtent l="0" t="0" r="14605" b="14605"/>
            <wp:docPr id="123" name="图片 123" descr="生态红线叠加用海放大2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生态红线叠加用海放大20410"/>
                    <pic:cNvPicPr>
                      <a:picLocks noChangeAspect="1"/>
                    </pic:cNvPicPr>
                  </pic:nvPicPr>
                  <pic:blipFill>
                    <a:blip r:embed="rId280"/>
                    <a:stretch>
                      <a:fillRect/>
                    </a:stretch>
                  </pic:blipFill>
                  <pic:spPr>
                    <a:xfrm>
                      <a:off x="0" y="0"/>
                      <a:ext cx="5791835" cy="4100195"/>
                    </a:xfrm>
                    <a:prstGeom prst="rect">
                      <a:avLst/>
                    </a:prstGeom>
                  </pic:spPr>
                </pic:pic>
              </a:graphicData>
            </a:graphic>
          </wp:inline>
        </w:drawing>
      </w:r>
    </w:p>
    <w:p w14:paraId="401FE4F4" w14:textId="77777777" w:rsidR="0075791A" w:rsidRDefault="00FB2864">
      <w:pPr>
        <w:widowControl w:val="0"/>
        <w:kinsoku/>
        <w:autoSpaceDE/>
        <w:autoSpaceDN/>
        <w:ind w:firstLineChars="200" w:firstLine="480"/>
        <w:jc w:val="center"/>
        <w:textAlignment w:val="auto"/>
        <w:rPr>
          <w:rFonts w:ascii="宋体" w:eastAsia="宋体" w:hAnsi="宋体" w:cs="宋体"/>
          <w:color w:val="auto"/>
          <w:sz w:val="24"/>
          <w:szCs w:val="24"/>
          <w:lang w:eastAsia="zh-CN"/>
        </w:rPr>
      </w:pPr>
      <w:r>
        <w:rPr>
          <w:rFonts w:ascii="Times New Roman" w:hAnsi="Times New Roman" w:hint="eastAsia"/>
          <w:bCs/>
          <w:color w:val="auto"/>
          <w:sz w:val="24"/>
          <w:szCs w:val="24"/>
          <w:lang w:eastAsia="zh-CN"/>
        </w:rPr>
        <w:t>图</w:t>
      </w:r>
      <w:r>
        <w:rPr>
          <w:rFonts w:ascii="Times New Roman" w:hAnsi="Times New Roman" w:hint="eastAsia"/>
          <w:bCs/>
          <w:color w:val="auto"/>
          <w:sz w:val="24"/>
          <w:szCs w:val="24"/>
          <w:lang w:eastAsia="zh-CN"/>
        </w:rPr>
        <w:t>6.3.2-2</w:t>
      </w:r>
      <w:r>
        <w:rPr>
          <w:rFonts w:ascii="Times New Roman" w:hAnsi="Times New Roman" w:hint="eastAsia"/>
          <w:bCs/>
          <w:color w:val="auto"/>
          <w:sz w:val="24"/>
          <w:szCs w:val="24"/>
          <w:lang w:eastAsia="zh-CN"/>
        </w:rPr>
        <w:t>项目用海与生态保护红线叠置局部放大图</w:t>
      </w:r>
    </w:p>
    <w:p w14:paraId="229F3D5C" w14:textId="77777777" w:rsidR="0075791A" w:rsidRDefault="0075791A">
      <w:pPr>
        <w:widowControl w:val="0"/>
        <w:kinsoku/>
        <w:autoSpaceDE/>
        <w:autoSpaceDN/>
        <w:ind w:firstLineChars="200" w:firstLine="480"/>
        <w:jc w:val="center"/>
        <w:textAlignment w:val="auto"/>
        <w:rPr>
          <w:rFonts w:ascii="宋体" w:eastAsia="宋体" w:hAnsi="宋体" w:cs="宋体"/>
          <w:color w:val="auto"/>
          <w:sz w:val="24"/>
          <w:szCs w:val="24"/>
          <w:lang w:eastAsia="zh-CN"/>
        </w:rPr>
      </w:pPr>
    </w:p>
    <w:p w14:paraId="5201B3C2" w14:textId="77777777" w:rsidR="0075791A" w:rsidRDefault="0075791A">
      <w:pPr>
        <w:jc w:val="center"/>
        <w:rPr>
          <w:rFonts w:ascii="Times New Roman" w:hAnsi="Times New Roman"/>
          <w:bCs/>
          <w:color w:val="auto"/>
          <w:sz w:val="24"/>
          <w:szCs w:val="24"/>
          <w:lang w:eastAsia="zh-CN"/>
        </w:rPr>
      </w:pPr>
    </w:p>
    <w:p w14:paraId="265A024E" w14:textId="77777777" w:rsidR="0075791A" w:rsidRDefault="00FB2864">
      <w:pPr>
        <w:jc w:val="center"/>
        <w:rPr>
          <w:rFonts w:ascii="Times New Roman" w:hAnsi="Times New Roman"/>
          <w:bCs/>
          <w:color w:val="auto"/>
          <w:sz w:val="18"/>
          <w:szCs w:val="18"/>
          <w:lang w:eastAsia="zh-CN"/>
        </w:rPr>
      </w:pPr>
      <w:r>
        <w:rPr>
          <w:rFonts w:ascii="Times New Roman" w:hAnsi="Times New Roman" w:hint="eastAsia"/>
          <w:bCs/>
          <w:color w:val="auto"/>
          <w:sz w:val="18"/>
          <w:szCs w:val="18"/>
          <w:lang w:eastAsia="zh-CN"/>
        </w:rPr>
        <w:t>注意：用海面积因系统选择坐标系（三亚平面坐标）与宗海图绘制规范要求不一致，导致存在</w:t>
      </w:r>
      <w:r>
        <w:rPr>
          <w:rFonts w:ascii="Times New Roman" w:hAnsi="Times New Roman" w:hint="eastAsia"/>
          <w:bCs/>
          <w:color w:val="auto"/>
          <w:sz w:val="18"/>
          <w:szCs w:val="18"/>
          <w:lang w:eastAsia="zh-CN"/>
        </w:rPr>
        <w:t>2</w:t>
      </w:r>
      <w:r>
        <w:rPr>
          <w:rFonts w:ascii="Times New Roman" w:hAnsi="Times New Roman" w:hint="eastAsia"/>
          <w:bCs/>
          <w:color w:val="auto"/>
          <w:sz w:val="18"/>
          <w:szCs w:val="18"/>
          <w:lang w:eastAsia="zh-CN"/>
        </w:rPr>
        <w:t>平方米的差别。</w:t>
      </w:r>
    </w:p>
    <w:p w14:paraId="6617223B" w14:textId="77777777" w:rsidR="0075791A" w:rsidRDefault="00FB2864">
      <w:pPr>
        <w:jc w:val="center"/>
        <w:rPr>
          <w:rFonts w:ascii="Times New Roman" w:hAnsi="Times New Roman"/>
          <w:bCs/>
          <w:color w:val="auto"/>
          <w:sz w:val="24"/>
          <w:szCs w:val="24"/>
          <w:lang w:eastAsia="zh-CN"/>
        </w:rPr>
      </w:pPr>
      <w:r>
        <w:rPr>
          <w:rFonts w:ascii="Times New Roman" w:hAnsi="Times New Roman" w:hint="eastAsia"/>
          <w:bCs/>
          <w:color w:val="auto"/>
          <w:sz w:val="24"/>
          <w:szCs w:val="24"/>
          <w:lang w:eastAsia="zh-CN"/>
        </w:rPr>
        <w:lastRenderedPageBreak/>
        <w:t>图</w:t>
      </w:r>
      <w:r>
        <w:rPr>
          <w:rFonts w:ascii="Times New Roman" w:hAnsi="Times New Roman" w:hint="eastAsia"/>
          <w:bCs/>
          <w:color w:val="auto"/>
          <w:sz w:val="24"/>
          <w:szCs w:val="24"/>
          <w:lang w:eastAsia="zh-CN"/>
        </w:rPr>
        <w:t>6.3.2-2</w:t>
      </w:r>
      <w:r>
        <w:rPr>
          <w:rFonts w:ascii="Times New Roman" w:hAnsi="Times New Roman" w:hint="eastAsia"/>
          <w:bCs/>
          <w:color w:val="auto"/>
          <w:sz w:val="24"/>
          <w:szCs w:val="24"/>
          <w:lang w:eastAsia="zh-CN"/>
        </w:rPr>
        <w:t>海南省国土空间基础信息平台查询结果</w:t>
      </w:r>
    </w:p>
    <w:p w14:paraId="20891E9B" w14:textId="77777777" w:rsidR="0075791A" w:rsidRDefault="0075791A">
      <w:pPr>
        <w:pStyle w:val="a5"/>
        <w:spacing w:line="274" w:lineRule="auto"/>
        <w:rPr>
          <w:rFonts w:ascii="Times New Roman" w:hAnsi="Times New Roman"/>
          <w:color w:val="auto"/>
          <w:lang w:eastAsia="zh-CN"/>
        </w:rPr>
      </w:pPr>
    </w:p>
    <w:p w14:paraId="4767ECBC"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21" w:name="_Toc17617"/>
      <w:r>
        <w:rPr>
          <w:rFonts w:ascii="Times New Roman" w:hAnsi="Times New Roman" w:hint="eastAsia"/>
          <w:color w:val="auto"/>
          <w:sz w:val="28"/>
          <w:szCs w:val="28"/>
          <w:lang w:eastAsia="zh-CN"/>
        </w:rPr>
        <w:t>6.3.3</w:t>
      </w:r>
      <w:r>
        <w:rPr>
          <w:rFonts w:ascii="Times New Roman" w:hAnsi="Times New Roman" w:hint="eastAsia"/>
          <w:color w:val="auto"/>
          <w:sz w:val="28"/>
          <w:szCs w:val="28"/>
          <w:lang w:eastAsia="zh-CN"/>
        </w:rPr>
        <w:t>项目用海与《海南省国土空间生态修复规划（</w:t>
      </w:r>
      <w:r>
        <w:rPr>
          <w:rFonts w:ascii="Times New Roman" w:hAnsi="Times New Roman" w:hint="eastAsia"/>
          <w:color w:val="auto"/>
          <w:sz w:val="28"/>
          <w:szCs w:val="28"/>
          <w:lang w:eastAsia="zh-CN"/>
        </w:rPr>
        <w:t>2021</w:t>
      </w:r>
      <w:r>
        <w:rPr>
          <w:rFonts w:ascii="Times New Roman" w:hAnsi="Times New Roman" w:hint="eastAsia"/>
          <w:color w:val="auto"/>
          <w:sz w:val="28"/>
          <w:szCs w:val="28"/>
          <w:lang w:eastAsia="zh-CN"/>
        </w:rPr>
        <w:t>－</w:t>
      </w:r>
      <w:r>
        <w:rPr>
          <w:rFonts w:ascii="Times New Roman" w:hAnsi="Times New Roman" w:hint="eastAsia"/>
          <w:color w:val="auto"/>
          <w:sz w:val="28"/>
          <w:szCs w:val="28"/>
          <w:lang w:eastAsia="zh-CN"/>
        </w:rPr>
        <w:t>2035</w:t>
      </w:r>
      <w:r>
        <w:rPr>
          <w:rFonts w:ascii="Times New Roman" w:hAnsi="Times New Roman" w:hint="eastAsia"/>
          <w:color w:val="auto"/>
          <w:sz w:val="28"/>
          <w:szCs w:val="28"/>
          <w:lang w:eastAsia="zh-CN"/>
        </w:rPr>
        <w:t>年）》符合性分析</w:t>
      </w:r>
      <w:bookmarkEnd w:id="321"/>
    </w:p>
    <w:p w14:paraId="78F1CC9F"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color w:val="auto"/>
          <w:sz w:val="24"/>
          <w:szCs w:val="24"/>
          <w:lang w:eastAsia="zh-CN"/>
        </w:rPr>
        <w:t>根据《海南省国土空间生态修复规划（</w:t>
      </w:r>
      <w:r>
        <w:rPr>
          <w:rFonts w:ascii="宋体" w:eastAsia="宋体" w:hAnsi="宋体" w:cs="宋体"/>
          <w:color w:val="auto"/>
          <w:sz w:val="24"/>
          <w:szCs w:val="24"/>
          <w:lang w:eastAsia="zh-CN"/>
        </w:rPr>
        <w:t>2021-2035</w:t>
      </w:r>
      <w:r>
        <w:rPr>
          <w:rFonts w:ascii="宋体" w:eastAsia="宋体" w:hAnsi="宋体" w:cs="宋体"/>
          <w:color w:val="auto"/>
          <w:sz w:val="24"/>
          <w:szCs w:val="24"/>
          <w:lang w:eastAsia="zh-CN"/>
        </w:rPr>
        <w:t>年）》，海岸带生态保护修复区重点推动入海河口、海湾、滨海湿地、红树林、珊瑚礁、海草床等典型海洋生态类型的系统保护和修复，提升海岸带生态系统结构完整性和功能稳定性，提高抵御海洋灾害的能力。重点任务包括：（</w:t>
      </w:r>
      <w:r>
        <w:rPr>
          <w:rFonts w:ascii="宋体" w:eastAsia="宋体" w:hAnsi="宋体" w:cs="宋体"/>
          <w:color w:val="auto"/>
          <w:sz w:val="24"/>
          <w:szCs w:val="24"/>
          <w:lang w:eastAsia="zh-CN"/>
        </w:rPr>
        <w:t>1</w:t>
      </w:r>
      <w:r>
        <w:rPr>
          <w:rFonts w:ascii="宋体" w:eastAsia="宋体" w:hAnsi="宋体" w:cs="宋体"/>
          <w:color w:val="auto"/>
          <w:sz w:val="24"/>
          <w:szCs w:val="24"/>
          <w:lang w:eastAsia="zh-CN"/>
        </w:rPr>
        <w:t>）开展典型海洋生</w:t>
      </w:r>
      <w:r>
        <w:rPr>
          <w:rFonts w:ascii="宋体" w:eastAsia="宋体" w:hAnsi="宋体" w:cs="宋体"/>
          <w:color w:val="auto"/>
          <w:sz w:val="24"/>
          <w:szCs w:val="24"/>
          <w:lang w:eastAsia="zh-CN"/>
        </w:rPr>
        <w:t>态系统保护修复；（</w:t>
      </w:r>
      <w:r>
        <w:rPr>
          <w:rFonts w:ascii="宋体" w:eastAsia="宋体" w:hAnsi="宋体" w:cs="宋体"/>
          <w:color w:val="auto"/>
          <w:sz w:val="24"/>
          <w:szCs w:val="24"/>
          <w:lang w:eastAsia="zh-CN"/>
        </w:rPr>
        <w:t>2</w:t>
      </w:r>
      <w:r>
        <w:rPr>
          <w:rFonts w:ascii="宋体" w:eastAsia="宋体" w:hAnsi="宋体" w:cs="宋体"/>
          <w:color w:val="auto"/>
          <w:sz w:val="24"/>
          <w:szCs w:val="24"/>
          <w:lang w:eastAsia="zh-CN"/>
        </w:rPr>
        <w:t>）开展围填海项目生态保护修复；（</w:t>
      </w:r>
      <w:r>
        <w:rPr>
          <w:rFonts w:ascii="宋体" w:eastAsia="宋体" w:hAnsi="宋体" w:cs="宋体"/>
          <w:color w:val="auto"/>
          <w:sz w:val="24"/>
          <w:szCs w:val="24"/>
          <w:lang w:eastAsia="zh-CN"/>
        </w:rPr>
        <w:t>3</w:t>
      </w:r>
      <w:r>
        <w:rPr>
          <w:rFonts w:ascii="宋体" w:eastAsia="宋体" w:hAnsi="宋体" w:cs="宋体"/>
          <w:color w:val="auto"/>
          <w:sz w:val="24"/>
          <w:szCs w:val="24"/>
          <w:lang w:eastAsia="zh-CN"/>
        </w:rPr>
        <w:t>）开展海岛生态修复。重点任务分布见图</w:t>
      </w:r>
      <w:r>
        <w:rPr>
          <w:rFonts w:ascii="宋体" w:eastAsia="宋体" w:hAnsi="宋体" w:cs="宋体" w:hint="eastAsia"/>
          <w:color w:val="auto"/>
          <w:sz w:val="24"/>
          <w:szCs w:val="24"/>
          <w:lang w:eastAsia="zh-CN"/>
        </w:rPr>
        <w:t>5</w:t>
      </w:r>
      <w:r>
        <w:rPr>
          <w:rFonts w:ascii="宋体" w:eastAsia="宋体" w:hAnsi="宋体" w:cs="宋体"/>
          <w:color w:val="auto"/>
          <w:sz w:val="24"/>
          <w:szCs w:val="24"/>
          <w:lang w:eastAsia="zh-CN"/>
        </w:rPr>
        <w:t>.</w:t>
      </w:r>
      <w:r>
        <w:rPr>
          <w:rFonts w:ascii="宋体" w:eastAsia="宋体" w:hAnsi="宋体" w:cs="宋体" w:hint="eastAsia"/>
          <w:color w:val="auto"/>
          <w:sz w:val="24"/>
          <w:szCs w:val="24"/>
          <w:lang w:eastAsia="zh-CN"/>
        </w:rPr>
        <w:t>3.3</w:t>
      </w:r>
      <w:r>
        <w:rPr>
          <w:rFonts w:ascii="宋体" w:eastAsia="宋体" w:hAnsi="宋体" w:cs="宋体"/>
          <w:color w:val="auto"/>
          <w:sz w:val="24"/>
          <w:szCs w:val="24"/>
          <w:lang w:eastAsia="zh-CN"/>
        </w:rPr>
        <w:t>-</w:t>
      </w:r>
      <w:r>
        <w:rPr>
          <w:rFonts w:ascii="宋体" w:eastAsia="宋体" w:hAnsi="宋体" w:cs="宋体" w:hint="eastAsia"/>
          <w:color w:val="auto"/>
          <w:sz w:val="24"/>
          <w:szCs w:val="24"/>
          <w:lang w:eastAsia="zh-CN"/>
        </w:rPr>
        <w:t>1</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铁炉港红树林湿地保护修复项目作为</w:t>
      </w:r>
      <w:r>
        <w:rPr>
          <w:rFonts w:ascii="宋体" w:eastAsia="宋体" w:hAnsi="宋体" w:cs="宋体"/>
          <w:color w:val="auto"/>
          <w:sz w:val="24"/>
          <w:szCs w:val="24"/>
          <w:lang w:eastAsia="zh-CN"/>
        </w:rPr>
        <w:t>山水林田湖草沙生态保护修复</w:t>
      </w:r>
      <w:r>
        <w:rPr>
          <w:rFonts w:ascii="宋体" w:eastAsia="宋体" w:hAnsi="宋体" w:cs="宋体" w:hint="eastAsia"/>
          <w:color w:val="auto"/>
          <w:sz w:val="24"/>
          <w:szCs w:val="24"/>
          <w:lang w:eastAsia="zh-CN"/>
        </w:rPr>
        <w:t>项目；清淤工程为红树林湿地保护修复项目建设内容之一，是海岸带生态保护修复重点项目——三亚市海棠区铁炉港湿地生态系统修复项目、三亚市红树林生态系统修复项目，符合《海南省国土空间生态修复规划（</w:t>
      </w:r>
      <w:r>
        <w:rPr>
          <w:rFonts w:ascii="宋体" w:eastAsia="宋体" w:hAnsi="宋体" w:cs="宋体" w:hint="eastAsia"/>
          <w:color w:val="auto"/>
          <w:sz w:val="24"/>
          <w:szCs w:val="24"/>
          <w:lang w:eastAsia="zh-CN"/>
        </w:rPr>
        <w:t>2021</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2035</w:t>
      </w:r>
      <w:r>
        <w:rPr>
          <w:rFonts w:ascii="宋体" w:eastAsia="宋体" w:hAnsi="宋体" w:cs="宋体" w:hint="eastAsia"/>
          <w:color w:val="auto"/>
          <w:sz w:val="24"/>
          <w:szCs w:val="24"/>
          <w:lang w:eastAsia="zh-CN"/>
        </w:rPr>
        <w:t>年）》。</w:t>
      </w:r>
    </w:p>
    <w:p w14:paraId="6F43F847" w14:textId="77777777" w:rsidR="0075791A" w:rsidRDefault="00FB2864">
      <w:pPr>
        <w:rPr>
          <w:rFonts w:ascii="Times New Roman" w:hAnsi="Times New Roman"/>
          <w:b/>
          <w:color w:val="auto"/>
          <w:sz w:val="28"/>
          <w:szCs w:val="28"/>
          <w:lang w:eastAsia="zh-CN"/>
        </w:rPr>
      </w:pPr>
      <w:r>
        <w:rPr>
          <w:rFonts w:ascii="Times New Roman" w:hAnsi="Times New Roman" w:hint="eastAsia"/>
          <w:b/>
          <w:noProof/>
          <w:color w:val="auto"/>
          <w:sz w:val="28"/>
          <w:szCs w:val="28"/>
          <w:lang w:eastAsia="zh-CN"/>
        </w:rPr>
        <w:drawing>
          <wp:inline distT="0" distB="0" distL="114300" distR="114300" wp14:anchorId="071AC161" wp14:editId="2879555F">
            <wp:extent cx="5500370" cy="3888105"/>
            <wp:effectExtent l="0" t="0" r="1270" b="13335"/>
            <wp:docPr id="193" name="图片 193" descr="生态修复重点工程_省生态修复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生态修复重点工程_省生态修复规划"/>
                    <pic:cNvPicPr>
                      <a:picLocks noChangeAspect="1"/>
                    </pic:cNvPicPr>
                  </pic:nvPicPr>
                  <pic:blipFill>
                    <a:blip r:embed="rId273"/>
                    <a:stretch>
                      <a:fillRect/>
                    </a:stretch>
                  </pic:blipFill>
                  <pic:spPr>
                    <a:xfrm>
                      <a:off x="0" y="0"/>
                      <a:ext cx="5500370" cy="3888105"/>
                    </a:xfrm>
                    <a:prstGeom prst="rect">
                      <a:avLst/>
                    </a:prstGeom>
                  </pic:spPr>
                </pic:pic>
              </a:graphicData>
            </a:graphic>
          </wp:inline>
        </w:drawing>
      </w:r>
    </w:p>
    <w:p w14:paraId="1D98BA33" w14:textId="77777777" w:rsidR="0075791A" w:rsidRDefault="00FB2864">
      <w:pPr>
        <w:widowControl w:val="0"/>
        <w:kinsoku/>
        <w:autoSpaceDE/>
        <w:autoSpaceDN/>
        <w:adjustRightInd/>
        <w:snapToGrid/>
        <w:spacing w:line="360" w:lineRule="auto"/>
        <w:jc w:val="center"/>
        <w:textAlignment w:val="auto"/>
        <w:rPr>
          <w:rFonts w:ascii="宋体" w:eastAsia="宋体" w:hAnsi="宋体" w:cs="宋体"/>
          <w:color w:val="auto"/>
          <w:lang w:eastAsia="zh-CN"/>
        </w:rPr>
      </w:pPr>
      <w:r>
        <w:rPr>
          <w:rFonts w:ascii="宋体" w:hAnsi="宋体" w:cs="宋体" w:hint="eastAsia"/>
          <w:color w:val="auto"/>
          <w:lang w:eastAsia="zh-CN"/>
        </w:rPr>
        <w:t>图</w:t>
      </w:r>
      <w:r>
        <w:rPr>
          <w:rFonts w:ascii="宋体" w:hAnsi="宋体" w:cs="宋体" w:hint="eastAsia"/>
          <w:color w:val="auto"/>
          <w:lang w:eastAsia="zh-CN"/>
        </w:rPr>
        <w:t>6</w:t>
      </w:r>
      <w:r>
        <w:rPr>
          <w:rFonts w:ascii="宋体" w:hAnsi="宋体" w:cs="宋体"/>
          <w:color w:val="auto"/>
          <w:lang w:eastAsia="zh-CN"/>
        </w:rPr>
        <w:t>.</w:t>
      </w:r>
      <w:r>
        <w:rPr>
          <w:rFonts w:ascii="宋体" w:hAnsi="宋体" w:cs="宋体" w:hint="eastAsia"/>
          <w:color w:val="auto"/>
          <w:lang w:eastAsia="zh-CN"/>
        </w:rPr>
        <w:t>3.3</w:t>
      </w:r>
      <w:r>
        <w:rPr>
          <w:rFonts w:ascii="宋体" w:hAnsi="宋体" w:cs="宋体"/>
          <w:color w:val="auto"/>
          <w:lang w:eastAsia="zh-CN"/>
        </w:rPr>
        <w:t>-</w:t>
      </w:r>
      <w:r>
        <w:rPr>
          <w:rFonts w:ascii="宋体" w:hAnsi="宋体" w:cs="宋体" w:hint="eastAsia"/>
          <w:color w:val="auto"/>
          <w:lang w:eastAsia="zh-CN"/>
        </w:rPr>
        <w:t>1</w:t>
      </w:r>
      <w:r>
        <w:rPr>
          <w:rFonts w:ascii="宋体" w:hAnsi="宋体" w:cs="宋体" w:hint="eastAsia"/>
          <w:color w:val="auto"/>
          <w:lang w:eastAsia="zh-CN"/>
        </w:rPr>
        <w:t>项目用海与生态修复重大工程布局叠加图</w:t>
      </w:r>
    </w:p>
    <w:p w14:paraId="072BFA7E"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22" w:name="_Toc11207"/>
      <w:r>
        <w:rPr>
          <w:rFonts w:ascii="Times New Roman" w:hAnsi="Times New Roman" w:hint="eastAsia"/>
          <w:color w:val="auto"/>
          <w:sz w:val="28"/>
          <w:szCs w:val="28"/>
          <w:lang w:eastAsia="zh-CN"/>
        </w:rPr>
        <w:t>6.3.4</w:t>
      </w:r>
      <w:r>
        <w:rPr>
          <w:rFonts w:ascii="Times New Roman" w:hAnsi="Times New Roman" w:hint="eastAsia"/>
          <w:color w:val="auto"/>
          <w:sz w:val="28"/>
          <w:szCs w:val="28"/>
          <w:lang w:eastAsia="zh-CN"/>
        </w:rPr>
        <w:t>项目用海与《三亚市国土空间生态修复规划（</w:t>
      </w:r>
      <w:r>
        <w:rPr>
          <w:rFonts w:ascii="Times New Roman" w:hAnsi="Times New Roman" w:hint="eastAsia"/>
          <w:color w:val="auto"/>
          <w:sz w:val="28"/>
          <w:szCs w:val="28"/>
          <w:lang w:eastAsia="zh-CN"/>
        </w:rPr>
        <w:t>2021</w:t>
      </w:r>
      <w:r>
        <w:rPr>
          <w:rFonts w:ascii="Times New Roman" w:hAnsi="Times New Roman" w:hint="eastAsia"/>
          <w:color w:val="auto"/>
          <w:sz w:val="28"/>
          <w:szCs w:val="28"/>
          <w:lang w:eastAsia="zh-CN"/>
        </w:rPr>
        <w:t>－</w:t>
      </w:r>
      <w:r>
        <w:rPr>
          <w:rFonts w:ascii="Times New Roman" w:hAnsi="Times New Roman" w:hint="eastAsia"/>
          <w:color w:val="auto"/>
          <w:sz w:val="28"/>
          <w:szCs w:val="28"/>
          <w:lang w:eastAsia="zh-CN"/>
        </w:rPr>
        <w:t>2035</w:t>
      </w:r>
      <w:r>
        <w:rPr>
          <w:rFonts w:ascii="Times New Roman" w:hAnsi="Times New Roman" w:hint="eastAsia"/>
          <w:color w:val="auto"/>
          <w:sz w:val="28"/>
          <w:szCs w:val="28"/>
          <w:lang w:eastAsia="zh-CN"/>
        </w:rPr>
        <w:t>年）》符合性分析</w:t>
      </w:r>
      <w:bookmarkEnd w:id="322"/>
    </w:p>
    <w:p w14:paraId="3D355D95"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根据《三亚市国土空间生态修复规划（</w:t>
      </w:r>
      <w:r>
        <w:rPr>
          <w:rFonts w:ascii="宋体" w:eastAsia="宋体" w:hAnsi="宋体" w:cs="宋体" w:hint="eastAsia"/>
          <w:color w:val="auto"/>
          <w:sz w:val="24"/>
          <w:szCs w:val="24"/>
          <w:lang w:eastAsia="zh-CN"/>
        </w:rPr>
        <w:t>2021</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2035</w:t>
      </w:r>
      <w:r>
        <w:rPr>
          <w:rFonts w:ascii="宋体" w:eastAsia="宋体" w:hAnsi="宋体" w:cs="宋体" w:hint="eastAsia"/>
          <w:color w:val="auto"/>
          <w:sz w:val="24"/>
          <w:szCs w:val="24"/>
          <w:lang w:eastAsia="zh-CN"/>
        </w:rPr>
        <w:t>年）》，三亚市构建以北部热带自然保护地为核心，以海岸带和近岸海域为支撑，以重要河流为廊道，形成“一心、</w:t>
      </w:r>
      <w:r>
        <w:rPr>
          <w:rFonts w:ascii="宋体" w:eastAsia="宋体" w:hAnsi="宋体" w:cs="宋体" w:hint="eastAsia"/>
          <w:color w:val="auto"/>
          <w:sz w:val="24"/>
          <w:szCs w:val="24"/>
          <w:lang w:eastAsia="zh-CN"/>
        </w:rPr>
        <w:lastRenderedPageBreak/>
        <w:t>一带、三廊、多点”的山海联动陆海统筹生态保护修复总体格局。海岸带及海洋生态系统修复区作为</w:t>
      </w:r>
      <w:r>
        <w:rPr>
          <w:rFonts w:ascii="宋体" w:eastAsia="宋体" w:hAnsi="宋体" w:cs="宋体" w:hint="eastAsia"/>
          <w:color w:val="auto"/>
          <w:sz w:val="24"/>
          <w:szCs w:val="24"/>
          <w:lang w:eastAsia="zh-CN"/>
        </w:rPr>
        <w:t xml:space="preserve">5 </w:t>
      </w:r>
      <w:r>
        <w:rPr>
          <w:rFonts w:ascii="宋体" w:eastAsia="宋体" w:hAnsi="宋体" w:cs="宋体" w:hint="eastAsia"/>
          <w:color w:val="auto"/>
          <w:sz w:val="24"/>
          <w:szCs w:val="24"/>
          <w:lang w:eastAsia="zh-CN"/>
        </w:rPr>
        <w:t>类国土空间生态修复分区之一，生态保护修复主攻方向为①推进各类潟湖、河口、海湾区域综合生态系统修复，促进生态空间回归，加大海洋生态环境保护修复力度，提升海洋生态环境整治修复能力；对红树林、海草床等典型海洋生态系统进行修复，加强红树林及其生态系统的保护修复，恢复红树林面</w:t>
      </w:r>
      <w:r>
        <w:rPr>
          <w:rFonts w:ascii="宋体" w:eastAsia="宋体" w:hAnsi="宋体" w:cs="宋体" w:hint="eastAsia"/>
          <w:color w:val="auto"/>
          <w:sz w:val="24"/>
          <w:szCs w:val="24"/>
          <w:lang w:eastAsia="zh-CN"/>
        </w:rPr>
        <w:t>积及其生态功能，遏制海草持续退化、维持海草床生态系统稳定等。</w:t>
      </w:r>
    </w:p>
    <w:p w14:paraId="4354049B"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②强化陆海统筹生态保护修复，针对陆海并重整体性保护问题，修复沿岸沙滩岸线，修复建设陆海缓冲带，对海防林进行生态保护修复，对海岸海防林进行整体保育及提质增效，提高滨海植被景观，提升水环境质量，将利用海洋和保护海洋相结合，通过海洋牧场等方式对重要海洋生物进行恢复保护，以此提升滨海生物多样性，减轻海水养殖及旅游活动对海岸带的污染和破坏。</w:t>
      </w:r>
    </w:p>
    <w:p w14:paraId="0941823B"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本项目作为</w:t>
      </w:r>
      <w:r>
        <w:rPr>
          <w:rFonts w:ascii="Times New Roman" w:eastAsia="宋体" w:hAnsi="Times New Roman" w:cs="宋体" w:hint="eastAsia"/>
          <w:color w:val="auto"/>
          <w:sz w:val="24"/>
          <w:szCs w:val="24"/>
          <w:lang w:eastAsia="zh-CN"/>
        </w:rPr>
        <w:t>滨海生物多样性提升工程重要建设内容之一，建设目标为综合提升湿地水质净化和调蓄纳潮功能，整体改善铁炉港生态环</w:t>
      </w:r>
      <w:r>
        <w:rPr>
          <w:rFonts w:ascii="Times New Roman" w:eastAsia="宋体" w:hAnsi="Times New Roman" w:cs="宋体" w:hint="eastAsia"/>
          <w:color w:val="auto"/>
          <w:sz w:val="24"/>
          <w:szCs w:val="24"/>
          <w:lang w:eastAsia="zh-CN"/>
        </w:rPr>
        <w:t>境质量，进而对三亚铁炉港红树林滨海湿地生态系统实现保护修复。本项目即</w:t>
      </w:r>
      <w:r>
        <w:rPr>
          <w:rFonts w:ascii="宋体" w:eastAsia="宋体" w:hAnsi="宋体" w:cs="宋体" w:hint="eastAsia"/>
          <w:color w:val="auto"/>
          <w:sz w:val="24"/>
          <w:szCs w:val="24"/>
          <w:lang w:eastAsia="zh-CN"/>
        </w:rPr>
        <w:t>典型海洋生态系统生态保护重点工程（海棠湾红树林保护</w:t>
      </w:r>
      <w:r>
        <w:rPr>
          <w:rFonts w:ascii="Times New Roman" w:eastAsia="宋体" w:hAnsi="Times New Roman" w:cs="宋体" w:hint="eastAsia"/>
          <w:color w:val="auto"/>
          <w:sz w:val="24"/>
          <w:szCs w:val="24"/>
          <w:lang w:eastAsia="zh-CN"/>
        </w:rPr>
        <w:t>修复项目）。因此，本项目符合《三亚市国土空间生态修复规划（</w:t>
      </w:r>
      <w:r>
        <w:rPr>
          <w:rFonts w:ascii="Times New Roman" w:eastAsia="宋体" w:hAnsi="Times New Roman" w:cs="宋体" w:hint="eastAsia"/>
          <w:color w:val="auto"/>
          <w:sz w:val="24"/>
          <w:szCs w:val="24"/>
          <w:lang w:eastAsia="zh-CN"/>
        </w:rPr>
        <w:t>2021</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2035</w:t>
      </w:r>
      <w:r>
        <w:rPr>
          <w:rFonts w:ascii="Times New Roman" w:eastAsia="宋体" w:hAnsi="Times New Roman" w:cs="宋体" w:hint="eastAsia"/>
          <w:color w:val="auto"/>
          <w:sz w:val="24"/>
          <w:szCs w:val="24"/>
          <w:lang w:eastAsia="zh-CN"/>
        </w:rPr>
        <w:t>年）》。</w:t>
      </w:r>
    </w:p>
    <w:p w14:paraId="312DD5B2" w14:textId="77777777" w:rsidR="0075791A" w:rsidRDefault="0075791A">
      <w:pPr>
        <w:rPr>
          <w:color w:val="auto"/>
          <w:lang w:eastAsia="zh-CN"/>
        </w:rPr>
      </w:pPr>
    </w:p>
    <w:p w14:paraId="466BD359" w14:textId="77777777" w:rsidR="0075791A" w:rsidRDefault="00FB2864">
      <w:pPr>
        <w:rPr>
          <w:color w:val="auto"/>
        </w:rPr>
      </w:pPr>
      <w:r>
        <w:rPr>
          <w:noProof/>
          <w:color w:val="auto"/>
        </w:rPr>
        <w:drawing>
          <wp:inline distT="0" distB="0" distL="114300" distR="114300" wp14:anchorId="51CCDAA7" wp14:editId="3AED1AE6">
            <wp:extent cx="5858510" cy="4137660"/>
            <wp:effectExtent l="0" t="0" r="8890" b="7620"/>
            <wp:docPr id="199"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10"/>
                    <pic:cNvPicPr>
                      <a:picLocks noChangeAspect="1"/>
                    </pic:cNvPicPr>
                  </pic:nvPicPr>
                  <pic:blipFill>
                    <a:blip r:embed="rId274"/>
                    <a:stretch>
                      <a:fillRect/>
                    </a:stretch>
                  </pic:blipFill>
                  <pic:spPr>
                    <a:xfrm>
                      <a:off x="0" y="0"/>
                      <a:ext cx="5858510" cy="4137660"/>
                    </a:xfrm>
                    <a:prstGeom prst="rect">
                      <a:avLst/>
                    </a:prstGeom>
                    <a:noFill/>
                    <a:ln>
                      <a:noFill/>
                    </a:ln>
                  </pic:spPr>
                </pic:pic>
              </a:graphicData>
            </a:graphic>
          </wp:inline>
        </w:drawing>
      </w:r>
    </w:p>
    <w:p w14:paraId="3197D453" w14:textId="77777777" w:rsidR="0075791A" w:rsidRDefault="00FB2864">
      <w:pPr>
        <w:widowControl w:val="0"/>
        <w:kinsoku/>
        <w:autoSpaceDE/>
        <w:autoSpaceDN/>
        <w:adjustRightInd/>
        <w:snapToGrid/>
        <w:spacing w:line="360" w:lineRule="auto"/>
        <w:jc w:val="center"/>
        <w:textAlignment w:val="auto"/>
        <w:rPr>
          <w:rFonts w:ascii="宋体" w:eastAsia="宋体" w:hAnsi="宋体" w:cs="宋体"/>
          <w:color w:val="auto"/>
          <w:lang w:eastAsia="zh-CN"/>
        </w:rPr>
      </w:pPr>
      <w:r>
        <w:rPr>
          <w:rFonts w:ascii="宋体" w:hAnsi="宋体" w:cs="宋体" w:hint="eastAsia"/>
          <w:color w:val="auto"/>
          <w:lang w:eastAsia="zh-CN"/>
        </w:rPr>
        <w:t>图</w:t>
      </w:r>
      <w:r>
        <w:rPr>
          <w:rFonts w:ascii="宋体" w:hAnsi="宋体" w:cs="宋体" w:hint="eastAsia"/>
          <w:color w:val="auto"/>
          <w:lang w:eastAsia="zh-CN"/>
        </w:rPr>
        <w:t>6.3.4-1</w:t>
      </w:r>
      <w:r>
        <w:rPr>
          <w:rFonts w:ascii="宋体" w:hAnsi="宋体" w:cs="宋体" w:hint="eastAsia"/>
          <w:color w:val="auto"/>
          <w:lang w:eastAsia="zh-CN"/>
        </w:rPr>
        <w:t>典型海洋生态系统生态保护项目布局图</w:t>
      </w:r>
    </w:p>
    <w:p w14:paraId="28B94993" w14:textId="77777777" w:rsidR="0075791A" w:rsidRDefault="0075791A">
      <w:pPr>
        <w:rPr>
          <w:color w:val="auto"/>
          <w:lang w:eastAsia="zh-CN"/>
        </w:rPr>
      </w:pPr>
    </w:p>
    <w:p w14:paraId="67484293" w14:textId="77777777" w:rsidR="0075791A" w:rsidRDefault="00FB2864">
      <w:pPr>
        <w:jc w:val="center"/>
        <w:rPr>
          <w:color w:val="auto"/>
        </w:rPr>
      </w:pPr>
      <w:r>
        <w:rPr>
          <w:noProof/>
          <w:color w:val="auto"/>
        </w:rPr>
        <w:drawing>
          <wp:inline distT="0" distB="0" distL="114300" distR="114300" wp14:anchorId="352DC86A" wp14:editId="386E62B3">
            <wp:extent cx="5862320" cy="4140200"/>
            <wp:effectExtent l="0" t="0" r="5080" b="5080"/>
            <wp:docPr id="200"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11"/>
                    <pic:cNvPicPr>
                      <a:picLocks noChangeAspect="1"/>
                    </pic:cNvPicPr>
                  </pic:nvPicPr>
                  <pic:blipFill>
                    <a:blip r:embed="rId281"/>
                    <a:stretch>
                      <a:fillRect/>
                    </a:stretch>
                  </pic:blipFill>
                  <pic:spPr>
                    <a:xfrm>
                      <a:off x="0" y="0"/>
                      <a:ext cx="5862320" cy="4140200"/>
                    </a:xfrm>
                    <a:prstGeom prst="rect">
                      <a:avLst/>
                    </a:prstGeom>
                    <a:noFill/>
                    <a:ln>
                      <a:noFill/>
                    </a:ln>
                  </pic:spPr>
                </pic:pic>
              </a:graphicData>
            </a:graphic>
          </wp:inline>
        </w:drawing>
      </w:r>
    </w:p>
    <w:p w14:paraId="5A2EE7C1" w14:textId="77777777" w:rsidR="0075791A" w:rsidRDefault="00FB2864">
      <w:pPr>
        <w:widowControl w:val="0"/>
        <w:kinsoku/>
        <w:autoSpaceDE/>
        <w:autoSpaceDN/>
        <w:adjustRightInd/>
        <w:snapToGrid/>
        <w:spacing w:line="360" w:lineRule="auto"/>
        <w:jc w:val="center"/>
        <w:textAlignment w:val="auto"/>
        <w:rPr>
          <w:rFonts w:ascii="宋体" w:hAnsi="宋体" w:cs="宋体"/>
          <w:color w:val="auto"/>
          <w:lang w:eastAsia="zh-CN"/>
        </w:rPr>
      </w:pPr>
      <w:r>
        <w:rPr>
          <w:rFonts w:ascii="宋体" w:hAnsi="宋体" w:cs="宋体" w:hint="eastAsia"/>
          <w:color w:val="auto"/>
          <w:lang w:eastAsia="zh-CN"/>
        </w:rPr>
        <w:t>图</w:t>
      </w:r>
      <w:r>
        <w:rPr>
          <w:rFonts w:ascii="宋体" w:hAnsi="宋体" w:cs="宋体" w:hint="eastAsia"/>
          <w:color w:val="auto"/>
          <w:lang w:eastAsia="zh-CN"/>
        </w:rPr>
        <w:t>6.3.4-2</w:t>
      </w:r>
      <w:r>
        <w:rPr>
          <w:rFonts w:ascii="宋体" w:hAnsi="宋体" w:cs="宋体" w:hint="eastAsia"/>
          <w:color w:val="auto"/>
          <w:lang w:eastAsia="zh-CN"/>
        </w:rPr>
        <w:t>海湾综合生境修复项目布局图</w:t>
      </w:r>
    </w:p>
    <w:p w14:paraId="547DB599" w14:textId="77777777" w:rsidR="0075791A" w:rsidRDefault="00FB2864">
      <w:pPr>
        <w:pStyle w:val="3"/>
        <w:widowControl w:val="0"/>
        <w:kinsoku/>
        <w:autoSpaceDE/>
        <w:autoSpaceDN/>
        <w:adjustRightInd/>
        <w:snapToGrid/>
        <w:spacing w:before="0" w:after="0" w:line="360" w:lineRule="auto"/>
        <w:textAlignment w:val="auto"/>
        <w:rPr>
          <w:rFonts w:ascii="Times New Roman" w:eastAsia="宋体" w:hAnsi="Times New Roman" w:cs="宋体"/>
          <w:color w:val="auto"/>
          <w:sz w:val="24"/>
          <w:szCs w:val="24"/>
          <w:lang w:eastAsia="zh-CN"/>
        </w:rPr>
      </w:pPr>
      <w:r>
        <w:rPr>
          <w:rFonts w:ascii="Times New Roman" w:hAnsi="Times New Roman" w:hint="eastAsia"/>
          <w:color w:val="auto"/>
          <w:sz w:val="28"/>
          <w:szCs w:val="28"/>
          <w:lang w:eastAsia="zh-CN"/>
        </w:rPr>
        <w:t>6.3.5</w:t>
      </w:r>
      <w:r>
        <w:rPr>
          <w:rFonts w:ascii="Times New Roman" w:hAnsi="Times New Roman" w:hint="eastAsia"/>
          <w:color w:val="auto"/>
          <w:sz w:val="28"/>
          <w:szCs w:val="28"/>
          <w:lang w:eastAsia="zh-CN"/>
        </w:rPr>
        <w:t>项目建设与海南三亚红树林自然保护区符合性分析</w:t>
      </w:r>
    </w:p>
    <w:p w14:paraId="75AC8A4B"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2025</w:t>
      </w:r>
      <w:r>
        <w:rPr>
          <w:rFonts w:ascii="Times New Roman" w:hAnsi="Times New Roman" w:hint="eastAsia"/>
          <w:color w:val="auto"/>
          <w:lang w:eastAsia="zh-CN"/>
        </w:rPr>
        <w:t>年</w:t>
      </w:r>
      <w:r>
        <w:rPr>
          <w:rFonts w:ascii="Times New Roman" w:hAnsi="Times New Roman" w:hint="eastAsia"/>
          <w:color w:val="auto"/>
          <w:lang w:eastAsia="zh-CN"/>
        </w:rPr>
        <w:t>9</w:t>
      </w:r>
      <w:r>
        <w:rPr>
          <w:rFonts w:ascii="Times New Roman" w:hAnsi="Times New Roman" w:hint="eastAsia"/>
          <w:color w:val="auto"/>
          <w:lang w:eastAsia="zh-CN"/>
        </w:rPr>
        <w:t>月</w:t>
      </w:r>
      <w:r>
        <w:rPr>
          <w:rFonts w:ascii="Times New Roman" w:hAnsi="Times New Roman" w:hint="eastAsia"/>
          <w:color w:val="auto"/>
          <w:lang w:eastAsia="zh-CN"/>
        </w:rPr>
        <w:t>4</w:t>
      </w:r>
      <w:r>
        <w:rPr>
          <w:rFonts w:ascii="Times New Roman" w:hAnsi="Times New Roman" w:hint="eastAsia"/>
          <w:color w:val="auto"/>
          <w:lang w:eastAsia="zh-CN"/>
        </w:rPr>
        <w:t>日，根据《海南省人民政府关于三亚市铁炉港红树林自然保护区范围和功能区的批复》（琼府函〔</w:t>
      </w:r>
      <w:r>
        <w:rPr>
          <w:rFonts w:ascii="Times New Roman" w:hAnsi="Times New Roman" w:hint="eastAsia"/>
          <w:color w:val="auto"/>
          <w:lang w:eastAsia="zh-CN"/>
        </w:rPr>
        <w:t>2025</w:t>
      </w:r>
      <w:r>
        <w:rPr>
          <w:rFonts w:ascii="Times New Roman" w:hAnsi="Times New Roman" w:hint="eastAsia"/>
          <w:color w:val="auto"/>
          <w:lang w:eastAsia="zh-CN"/>
        </w:rPr>
        <w:t>〕</w:t>
      </w:r>
      <w:r>
        <w:rPr>
          <w:rFonts w:ascii="Times New Roman" w:hAnsi="Times New Roman" w:hint="eastAsia"/>
          <w:color w:val="auto"/>
          <w:lang w:eastAsia="zh-CN"/>
        </w:rPr>
        <w:t>198</w:t>
      </w:r>
      <w:r>
        <w:rPr>
          <w:rFonts w:ascii="Times New Roman" w:hAnsi="Times New Roman" w:hint="eastAsia"/>
          <w:color w:val="auto"/>
          <w:lang w:eastAsia="zh-CN"/>
        </w:rPr>
        <w:t>号），</w:t>
      </w:r>
      <w:r>
        <w:rPr>
          <w:rFonts w:ascii="Times New Roman" w:hAnsi="Times New Roman"/>
          <w:color w:val="auto"/>
          <w:lang w:eastAsia="zh-CN"/>
        </w:rPr>
        <w:t>同意三亚市铁炉港红树林自然保护区范围和功能区调整。三亚市铁炉港红树林自然保护区地理坐标：东经</w:t>
      </w:r>
      <w:r>
        <w:rPr>
          <w:rFonts w:ascii="Times New Roman" w:hAnsi="Times New Roman"/>
          <w:color w:val="auto"/>
          <w:lang w:eastAsia="zh-CN"/>
        </w:rPr>
        <w:t>109°40</w:t>
      </w:r>
      <w:r>
        <w:rPr>
          <w:rFonts w:ascii="Times New Roman" w:hAnsi="Times New Roman"/>
          <w:color w:val="auto"/>
          <w:lang w:eastAsia="zh-CN"/>
        </w:rPr>
        <w:t>＇</w:t>
      </w:r>
      <w:r>
        <w:rPr>
          <w:rFonts w:ascii="Times New Roman" w:hAnsi="Times New Roman"/>
          <w:color w:val="auto"/>
          <w:lang w:eastAsia="zh-CN"/>
        </w:rPr>
        <w:t>25″</w:t>
      </w:r>
      <w:r>
        <w:rPr>
          <w:rFonts w:ascii="Times New Roman" w:hAnsi="Times New Roman"/>
          <w:color w:val="auto"/>
          <w:lang w:eastAsia="zh-CN"/>
        </w:rPr>
        <w:t>～</w:t>
      </w:r>
      <w:r>
        <w:rPr>
          <w:rFonts w:ascii="Times New Roman" w:hAnsi="Times New Roman"/>
          <w:color w:val="auto"/>
          <w:lang w:eastAsia="zh-CN"/>
        </w:rPr>
        <w:t>109°43</w:t>
      </w:r>
      <w:r>
        <w:rPr>
          <w:rFonts w:ascii="Times New Roman" w:hAnsi="Times New Roman"/>
          <w:color w:val="auto"/>
          <w:lang w:eastAsia="zh-CN"/>
        </w:rPr>
        <w:t>＇</w:t>
      </w:r>
      <w:r>
        <w:rPr>
          <w:rFonts w:ascii="Times New Roman" w:hAnsi="Times New Roman"/>
          <w:color w:val="auto"/>
          <w:lang w:eastAsia="zh-CN"/>
        </w:rPr>
        <w:t>4.42″</w:t>
      </w:r>
      <w:r>
        <w:rPr>
          <w:rFonts w:ascii="Times New Roman" w:hAnsi="Times New Roman"/>
          <w:color w:val="auto"/>
          <w:lang w:eastAsia="zh-CN"/>
        </w:rPr>
        <w:t>，北纬</w:t>
      </w:r>
      <w:r>
        <w:rPr>
          <w:rFonts w:ascii="Times New Roman" w:hAnsi="Times New Roman"/>
          <w:color w:val="auto"/>
          <w:lang w:eastAsia="zh-CN"/>
        </w:rPr>
        <w:t>18°15</w:t>
      </w:r>
      <w:r>
        <w:rPr>
          <w:rFonts w:ascii="Times New Roman" w:hAnsi="Times New Roman"/>
          <w:color w:val="auto"/>
          <w:lang w:eastAsia="zh-CN"/>
        </w:rPr>
        <w:t>＇</w:t>
      </w:r>
      <w:r>
        <w:rPr>
          <w:rFonts w:ascii="Times New Roman" w:hAnsi="Times New Roman"/>
          <w:color w:val="auto"/>
          <w:lang w:eastAsia="zh-CN"/>
        </w:rPr>
        <w:t>29.83″</w:t>
      </w:r>
      <w:r>
        <w:rPr>
          <w:rFonts w:ascii="Times New Roman" w:hAnsi="Times New Roman"/>
          <w:color w:val="auto"/>
          <w:lang w:eastAsia="zh-CN"/>
        </w:rPr>
        <w:t>～</w:t>
      </w:r>
      <w:r>
        <w:rPr>
          <w:rFonts w:ascii="Times New Roman" w:hAnsi="Times New Roman"/>
          <w:color w:val="auto"/>
          <w:lang w:eastAsia="zh-CN"/>
        </w:rPr>
        <w:t>18°17</w:t>
      </w:r>
      <w:r>
        <w:rPr>
          <w:rFonts w:ascii="Times New Roman" w:hAnsi="Times New Roman"/>
          <w:color w:val="auto"/>
          <w:lang w:eastAsia="zh-CN"/>
        </w:rPr>
        <w:t>＇</w:t>
      </w:r>
      <w:r>
        <w:rPr>
          <w:rFonts w:ascii="Times New Roman" w:hAnsi="Times New Roman"/>
          <w:color w:val="auto"/>
          <w:lang w:eastAsia="zh-CN"/>
        </w:rPr>
        <w:t>16.43″</w:t>
      </w:r>
      <w:r>
        <w:rPr>
          <w:rFonts w:ascii="Times New Roman" w:hAnsi="Times New Roman"/>
          <w:color w:val="auto"/>
          <w:lang w:eastAsia="zh-CN"/>
        </w:rPr>
        <w:t>，总面积</w:t>
      </w:r>
      <w:r>
        <w:rPr>
          <w:rFonts w:ascii="Times New Roman" w:hAnsi="Times New Roman"/>
          <w:color w:val="auto"/>
          <w:lang w:eastAsia="zh-CN"/>
        </w:rPr>
        <w:t>370.1</w:t>
      </w:r>
      <w:r>
        <w:rPr>
          <w:rFonts w:ascii="Times New Roman" w:hAnsi="Times New Roman"/>
          <w:color w:val="auto"/>
          <w:lang w:eastAsia="zh-CN"/>
        </w:rPr>
        <w:t>公顷，其中核心区面积</w:t>
      </w:r>
      <w:r>
        <w:rPr>
          <w:rFonts w:ascii="Times New Roman" w:hAnsi="Times New Roman"/>
          <w:color w:val="auto"/>
          <w:lang w:eastAsia="zh-CN"/>
        </w:rPr>
        <w:t>118.19</w:t>
      </w:r>
      <w:r>
        <w:rPr>
          <w:rFonts w:ascii="Times New Roman" w:hAnsi="Times New Roman"/>
          <w:color w:val="auto"/>
          <w:lang w:eastAsia="zh-CN"/>
        </w:rPr>
        <w:t>公顷，占保护区总面积的</w:t>
      </w:r>
      <w:r>
        <w:rPr>
          <w:rFonts w:ascii="Times New Roman" w:hAnsi="Times New Roman"/>
          <w:color w:val="auto"/>
          <w:lang w:eastAsia="zh-CN"/>
        </w:rPr>
        <w:t>31.93%</w:t>
      </w:r>
      <w:r>
        <w:rPr>
          <w:rFonts w:ascii="Times New Roman" w:hAnsi="Times New Roman"/>
          <w:color w:val="auto"/>
          <w:lang w:eastAsia="zh-CN"/>
        </w:rPr>
        <w:t>；缓冲区面积</w:t>
      </w:r>
      <w:r>
        <w:rPr>
          <w:rFonts w:ascii="Times New Roman" w:hAnsi="Times New Roman"/>
          <w:color w:val="auto"/>
          <w:lang w:eastAsia="zh-CN"/>
        </w:rPr>
        <w:t>67.24</w:t>
      </w:r>
      <w:r>
        <w:rPr>
          <w:rFonts w:ascii="Times New Roman" w:hAnsi="Times New Roman"/>
          <w:color w:val="auto"/>
          <w:lang w:eastAsia="zh-CN"/>
        </w:rPr>
        <w:t>公顷，占保护区总面积的</w:t>
      </w:r>
      <w:r>
        <w:rPr>
          <w:rFonts w:ascii="Times New Roman" w:hAnsi="Times New Roman"/>
          <w:color w:val="auto"/>
          <w:lang w:eastAsia="zh-CN"/>
        </w:rPr>
        <w:t>18.17%</w:t>
      </w:r>
      <w:r>
        <w:rPr>
          <w:rFonts w:ascii="Times New Roman" w:hAnsi="Times New Roman"/>
          <w:color w:val="auto"/>
          <w:lang w:eastAsia="zh-CN"/>
        </w:rPr>
        <w:t>；实验区面积</w:t>
      </w:r>
      <w:r>
        <w:rPr>
          <w:rFonts w:ascii="Times New Roman" w:hAnsi="Times New Roman"/>
          <w:color w:val="auto"/>
          <w:lang w:eastAsia="zh-CN"/>
        </w:rPr>
        <w:t>184.67</w:t>
      </w:r>
      <w:r>
        <w:rPr>
          <w:rFonts w:ascii="Times New Roman" w:hAnsi="Times New Roman"/>
          <w:color w:val="auto"/>
          <w:lang w:eastAsia="zh-CN"/>
        </w:rPr>
        <w:t>公顷，占保护区总面积的</w:t>
      </w:r>
      <w:r>
        <w:rPr>
          <w:rFonts w:ascii="Times New Roman" w:hAnsi="Times New Roman"/>
          <w:color w:val="auto"/>
          <w:lang w:eastAsia="zh-CN"/>
        </w:rPr>
        <w:t>49.9</w:t>
      </w:r>
      <w:r>
        <w:rPr>
          <w:rFonts w:ascii="Times New Roman" w:hAnsi="Times New Roman"/>
          <w:color w:val="auto"/>
          <w:lang w:eastAsia="zh-CN"/>
        </w:rPr>
        <w:t>0%</w:t>
      </w:r>
      <w:r>
        <w:rPr>
          <w:rFonts w:ascii="Times New Roman" w:hAnsi="Times New Roman"/>
          <w:color w:val="auto"/>
          <w:lang w:eastAsia="zh-CN"/>
        </w:rPr>
        <w:t>。</w:t>
      </w:r>
    </w:p>
    <w:p w14:paraId="774245AC"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t>保护区主要保护对象为以红树林、红树林湿地与毗连水域生物群落及其周围环境共同组成的自然生态系统，具体包括：（</w:t>
      </w:r>
      <w:r>
        <w:rPr>
          <w:rFonts w:ascii="Times New Roman" w:hAnsi="Times New Roman" w:hint="eastAsia"/>
          <w:color w:val="auto"/>
          <w:lang w:eastAsia="zh-CN"/>
        </w:rPr>
        <w:t>1</w:t>
      </w:r>
      <w:r>
        <w:rPr>
          <w:rFonts w:ascii="Times New Roman" w:hAnsi="Times New Roman" w:hint="eastAsia"/>
          <w:color w:val="auto"/>
          <w:lang w:eastAsia="zh-CN"/>
        </w:rPr>
        <w:t>）红树林湿地生态系统及其生物多样性；（</w:t>
      </w:r>
      <w:r>
        <w:rPr>
          <w:rFonts w:ascii="Times New Roman" w:hAnsi="Times New Roman"/>
          <w:color w:val="auto"/>
          <w:lang w:eastAsia="zh-CN"/>
        </w:rPr>
        <w:t>2</w:t>
      </w:r>
      <w:r>
        <w:rPr>
          <w:rFonts w:ascii="Times New Roman" w:hAnsi="Times New Roman" w:hint="eastAsia"/>
          <w:color w:val="auto"/>
          <w:lang w:eastAsia="zh-CN"/>
        </w:rPr>
        <w:t>）以红榄李、木果楝、海莲等为代表的重点保护珍稀濒危红树植物及其自然生境；（</w:t>
      </w:r>
      <w:r>
        <w:rPr>
          <w:rFonts w:ascii="Times New Roman" w:hAnsi="Times New Roman"/>
          <w:color w:val="auto"/>
          <w:lang w:eastAsia="zh-CN"/>
        </w:rPr>
        <w:t>3</w:t>
      </w:r>
      <w:r>
        <w:rPr>
          <w:rFonts w:ascii="Times New Roman" w:hAnsi="Times New Roman" w:hint="eastAsia"/>
          <w:color w:val="auto"/>
          <w:lang w:eastAsia="zh-CN"/>
        </w:rPr>
        <w:t>）候鸟及其生境；（</w:t>
      </w:r>
      <w:r>
        <w:rPr>
          <w:rFonts w:ascii="Times New Roman" w:hAnsi="Times New Roman"/>
          <w:color w:val="auto"/>
          <w:lang w:eastAsia="zh-CN"/>
        </w:rPr>
        <w:t>4</w:t>
      </w:r>
      <w:r>
        <w:rPr>
          <w:rFonts w:ascii="Times New Roman" w:hAnsi="Times New Roman" w:hint="eastAsia"/>
          <w:color w:val="auto"/>
          <w:lang w:eastAsia="zh-CN"/>
        </w:rPr>
        <w:t>）珍稀濒危野生动物及其生境。</w:t>
      </w:r>
    </w:p>
    <w:p w14:paraId="4477BD03" w14:textId="77777777" w:rsidR="0075791A" w:rsidRDefault="00FB2864">
      <w:pPr>
        <w:pStyle w:val="TableText"/>
        <w:spacing w:line="360" w:lineRule="auto"/>
        <w:ind w:firstLineChars="200" w:firstLine="480"/>
        <w:jc w:val="both"/>
        <w:rPr>
          <w:color w:val="auto"/>
          <w:sz w:val="21"/>
          <w:szCs w:val="21"/>
          <w:lang w:eastAsia="zh-CN"/>
        </w:rPr>
      </w:pPr>
      <w:r>
        <w:rPr>
          <w:rFonts w:ascii="Times New Roman" w:hAnsi="Times New Roman" w:hint="eastAsia"/>
          <w:color w:val="auto"/>
          <w:lang w:eastAsia="zh-CN"/>
        </w:rPr>
        <w:t>本项目申请用海</w:t>
      </w:r>
      <w:r>
        <w:rPr>
          <w:rFonts w:ascii="Times New Roman" w:hAnsi="Times New Roman" w:hint="eastAsia"/>
          <w:color w:val="auto"/>
          <w:lang w:eastAsia="zh-CN"/>
        </w:rPr>
        <w:t>15.2465</w:t>
      </w:r>
      <w:r>
        <w:rPr>
          <w:rFonts w:ascii="Times New Roman" w:hAnsi="Times New Roman" w:hint="eastAsia"/>
          <w:color w:val="auto"/>
          <w:lang w:eastAsia="zh-CN"/>
        </w:rPr>
        <w:t>公顷，其中清淤工程申请用海</w:t>
      </w:r>
      <w:r>
        <w:rPr>
          <w:rFonts w:ascii="Times New Roman" w:hAnsi="Times New Roman" w:hint="eastAsia"/>
          <w:color w:val="auto"/>
          <w:lang w:eastAsia="zh-CN"/>
        </w:rPr>
        <w:t>14.8672</w:t>
      </w:r>
      <w:r>
        <w:rPr>
          <w:rFonts w:ascii="Times New Roman" w:hAnsi="Times New Roman" w:hint="eastAsia"/>
          <w:color w:val="auto"/>
          <w:lang w:eastAsia="zh-CN"/>
        </w:rPr>
        <w:t>公顷，其主要位于保护区核心区，面积为</w:t>
      </w:r>
      <w:r>
        <w:rPr>
          <w:rFonts w:ascii="Times New Roman" w:hAnsi="Times New Roman" w:hint="eastAsia"/>
          <w:color w:val="auto"/>
          <w:spacing w:val="-4"/>
          <w:lang w:eastAsia="zh-CN"/>
        </w:rPr>
        <w:t>14.8</w:t>
      </w:r>
      <w:r>
        <w:rPr>
          <w:rFonts w:ascii="Times New Roman" w:hAnsi="Times New Roman" w:hint="eastAsia"/>
          <w:color w:val="auto"/>
          <w:spacing w:val="-4"/>
          <w:lang w:eastAsia="zh-CN"/>
        </w:rPr>
        <w:t>579</w:t>
      </w:r>
      <w:r>
        <w:rPr>
          <w:rFonts w:ascii="Times New Roman" w:hAnsi="Times New Roman" w:hint="eastAsia"/>
          <w:color w:val="auto"/>
          <w:spacing w:val="-4"/>
          <w:lang w:eastAsia="zh-CN"/>
        </w:rPr>
        <w:t>公顷</w:t>
      </w:r>
      <w:r>
        <w:rPr>
          <w:rFonts w:ascii="Times New Roman" w:hAnsi="Times New Roman" w:hint="eastAsia"/>
          <w:color w:val="auto"/>
          <w:spacing w:val="-4"/>
          <w:lang w:eastAsia="zh-CN"/>
        </w:rPr>
        <w:t>，</w:t>
      </w:r>
      <w:r>
        <w:rPr>
          <w:rFonts w:ascii="Times New Roman" w:hAnsi="Times New Roman" w:hint="eastAsia"/>
          <w:color w:val="auto"/>
          <w:spacing w:val="-4"/>
          <w:lang w:eastAsia="zh-CN"/>
        </w:rPr>
        <w:t>0.0093</w:t>
      </w:r>
      <w:r>
        <w:rPr>
          <w:rFonts w:ascii="Times New Roman" w:hAnsi="Times New Roman" w:hint="eastAsia"/>
          <w:color w:val="auto"/>
          <w:spacing w:val="-4"/>
          <w:lang w:eastAsia="zh-CN"/>
        </w:rPr>
        <w:t>公顷位于自然保护地以外区域；透水构筑物主要位于自然保护地一般控制区，面积为</w:t>
      </w:r>
      <w:r>
        <w:rPr>
          <w:rFonts w:ascii="Times New Roman" w:hAnsi="Times New Roman" w:hint="eastAsia"/>
          <w:color w:val="auto"/>
          <w:spacing w:val="-4"/>
          <w:lang w:eastAsia="zh-CN"/>
        </w:rPr>
        <w:t>0.3515</w:t>
      </w:r>
      <w:r>
        <w:rPr>
          <w:rFonts w:ascii="Times New Roman" w:hAnsi="Times New Roman" w:hint="eastAsia"/>
          <w:color w:val="auto"/>
          <w:spacing w:val="-4"/>
          <w:lang w:eastAsia="zh-CN"/>
        </w:rPr>
        <w:t>公顷，</w:t>
      </w:r>
      <w:r>
        <w:rPr>
          <w:rFonts w:ascii="Times New Roman" w:hAnsi="Times New Roman" w:hint="eastAsia"/>
          <w:color w:val="auto"/>
          <w:lang w:eastAsia="zh-CN"/>
        </w:rPr>
        <w:t>自然保护地以外</w:t>
      </w:r>
      <w:r>
        <w:rPr>
          <w:rFonts w:ascii="Times New Roman" w:hAnsi="Times New Roman" w:hint="eastAsia"/>
          <w:color w:val="auto"/>
          <w:lang w:eastAsia="zh-CN"/>
        </w:rPr>
        <w:t>0.0278</w:t>
      </w:r>
      <w:r>
        <w:rPr>
          <w:rFonts w:ascii="Times New Roman" w:hAnsi="Times New Roman" w:hint="eastAsia"/>
          <w:color w:val="auto"/>
          <w:lang w:eastAsia="zh-CN"/>
        </w:rPr>
        <w:t>公顷，</w:t>
      </w:r>
      <w:r>
        <w:rPr>
          <w:rFonts w:ascii="Times New Roman" w:hAnsi="Times New Roman" w:hint="eastAsia"/>
          <w:color w:val="auto"/>
          <w:spacing w:val="-4"/>
          <w:lang w:eastAsia="zh-CN"/>
        </w:rPr>
        <w:t>具体见图</w:t>
      </w:r>
      <w:r>
        <w:rPr>
          <w:rFonts w:hint="eastAsia"/>
          <w:color w:val="auto"/>
          <w:sz w:val="21"/>
          <w:szCs w:val="21"/>
          <w:lang w:eastAsia="zh-CN"/>
        </w:rPr>
        <w:t>6</w:t>
      </w:r>
      <w:r>
        <w:rPr>
          <w:rFonts w:hint="eastAsia"/>
          <w:color w:val="auto"/>
          <w:sz w:val="21"/>
          <w:szCs w:val="21"/>
          <w:lang w:eastAsia="zh-CN"/>
        </w:rPr>
        <w:t>.3.5-1</w:t>
      </w:r>
      <w:r>
        <w:rPr>
          <w:rFonts w:hint="eastAsia"/>
          <w:color w:val="auto"/>
          <w:sz w:val="21"/>
          <w:szCs w:val="21"/>
          <w:lang w:eastAsia="zh-CN"/>
        </w:rPr>
        <w:t>。</w:t>
      </w:r>
    </w:p>
    <w:p w14:paraId="409AFAB9" w14:textId="77777777" w:rsidR="0075791A" w:rsidRDefault="00FB2864">
      <w:pPr>
        <w:pStyle w:val="TableText"/>
        <w:spacing w:line="360" w:lineRule="auto"/>
        <w:ind w:firstLineChars="200" w:firstLine="480"/>
        <w:jc w:val="both"/>
        <w:rPr>
          <w:rFonts w:ascii="Times New Roman" w:hAnsi="Times New Roman"/>
          <w:color w:val="auto"/>
          <w:lang w:eastAsia="zh-CN"/>
        </w:rPr>
      </w:pPr>
      <w:r>
        <w:rPr>
          <w:rFonts w:ascii="Times New Roman" w:hAnsi="Times New Roman" w:hint="eastAsia"/>
          <w:color w:val="auto"/>
          <w:lang w:eastAsia="zh-CN"/>
        </w:rPr>
        <w:lastRenderedPageBreak/>
        <w:t>根据《中华人民共和国自然保护区条例》（国务院令第</w:t>
      </w:r>
      <w:r>
        <w:rPr>
          <w:rFonts w:ascii="Times New Roman" w:hAnsi="Times New Roman" w:hint="eastAsia"/>
          <w:color w:val="auto"/>
          <w:lang w:eastAsia="zh-CN"/>
        </w:rPr>
        <w:t>830</w:t>
      </w:r>
      <w:r>
        <w:rPr>
          <w:rFonts w:ascii="Times New Roman" w:hAnsi="Times New Roman" w:hint="eastAsia"/>
          <w:color w:val="auto"/>
          <w:lang w:eastAsia="zh-CN"/>
        </w:rPr>
        <w:t>号）“第二十六条</w:t>
      </w:r>
      <w:r>
        <w:rPr>
          <w:rFonts w:ascii="Times New Roman" w:hAnsi="Times New Roman" w:hint="eastAsia"/>
          <w:color w:val="auto"/>
          <w:lang w:eastAsia="zh-CN"/>
        </w:rPr>
        <w:t xml:space="preserve"> </w:t>
      </w:r>
      <w:r>
        <w:rPr>
          <w:rFonts w:ascii="Times New Roman" w:hAnsi="Times New Roman" w:hint="eastAsia"/>
          <w:color w:val="auto"/>
          <w:lang w:eastAsia="zh-CN"/>
        </w:rPr>
        <w:t>除下列活动外，自然保护区核心保护区内禁止人为活动：（一）为保护自然保护区开展的调查监测、</w:t>
      </w:r>
      <w:r>
        <w:rPr>
          <w:rFonts w:ascii="Times New Roman" w:hAnsi="Times New Roman" w:hint="eastAsia"/>
          <w:b/>
          <w:bCs/>
          <w:color w:val="auto"/>
          <w:lang w:eastAsia="zh-CN"/>
        </w:rPr>
        <w:t>生态修复、</w:t>
      </w:r>
      <w:r>
        <w:rPr>
          <w:rFonts w:ascii="Times New Roman" w:hAnsi="Times New Roman" w:hint="eastAsia"/>
          <w:color w:val="auto"/>
          <w:lang w:eastAsia="zh-CN"/>
        </w:rPr>
        <w:t>管护巡护等活动，科研观测、基础测绘、文物和其他文化遗产保护、防灾减灾、应急救援活动，以及国家机关依法履行执法职责确需开展的活动；……”；“第二十七条</w:t>
      </w:r>
      <w:r>
        <w:rPr>
          <w:rFonts w:ascii="Times New Roman" w:hAnsi="Times New Roman" w:hint="eastAsia"/>
          <w:color w:val="auto"/>
          <w:lang w:eastAsia="zh-CN"/>
        </w:rPr>
        <w:t xml:space="preserve"> </w:t>
      </w:r>
      <w:r>
        <w:rPr>
          <w:rFonts w:ascii="Times New Roman" w:hAnsi="Times New Roman" w:hint="eastAsia"/>
          <w:color w:val="auto"/>
          <w:lang w:eastAsia="zh-CN"/>
        </w:rPr>
        <w:t>自然保护区一般控制区内仅允许开展下列人为活动：（一）核心保护区允许开展的活动；……”。</w:t>
      </w:r>
      <w:r>
        <w:rPr>
          <w:rFonts w:ascii="Times New Roman" w:hAnsi="Times New Roman"/>
          <w:color w:val="auto"/>
          <w:lang w:eastAsia="zh-CN"/>
        </w:rPr>
        <w:t>铁炉港红树林湿地保护修复项目是海南南部典型热带区域山水林田湖草沙一体化保护和修复工程之三十二子项目</w:t>
      </w:r>
      <w:r>
        <w:rPr>
          <w:rFonts w:ascii="Times New Roman" w:hAnsi="Times New Roman" w:hint="eastAsia"/>
          <w:color w:val="auto"/>
          <w:lang w:eastAsia="zh-CN"/>
        </w:rPr>
        <w:t>，清淤疏浚是该项目建设内容之一，也是“山水工程”考核指标之一，为生态修复活动，符合《中华人民共和国自然保护区条例》。</w:t>
      </w:r>
    </w:p>
    <w:p w14:paraId="149174DC" w14:textId="77777777" w:rsidR="0075791A" w:rsidRDefault="00FB2864">
      <w:pPr>
        <w:widowControl w:val="0"/>
        <w:kinsoku/>
        <w:autoSpaceDE/>
        <w:autoSpaceDN/>
        <w:adjustRightInd/>
        <w:snapToGrid/>
        <w:spacing w:line="360" w:lineRule="auto"/>
        <w:jc w:val="center"/>
        <w:textAlignment w:val="auto"/>
        <w:rPr>
          <w:rFonts w:ascii="宋体" w:hAnsi="宋体" w:cs="宋体"/>
          <w:b/>
          <w:bCs/>
          <w:color w:val="auto"/>
          <w:lang w:eastAsia="zh-CN"/>
        </w:rPr>
      </w:pPr>
      <w:r>
        <w:rPr>
          <w:rFonts w:ascii="宋体" w:hAnsi="宋体" w:cs="宋体" w:hint="eastAsia"/>
          <w:b/>
          <w:bCs/>
          <w:noProof/>
          <w:color w:val="auto"/>
          <w:lang w:eastAsia="zh-CN"/>
        </w:rPr>
        <w:drawing>
          <wp:inline distT="0" distB="0" distL="114300" distR="114300" wp14:anchorId="7DCD3ED8" wp14:editId="45F0F228">
            <wp:extent cx="5655310" cy="3964305"/>
            <wp:effectExtent l="0" t="0" r="0" b="0"/>
            <wp:docPr id="270" name="图片 270" descr="铁炉港保护区2023总规3区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铁炉港保护区2023总规3区0406"/>
                    <pic:cNvPicPr>
                      <a:picLocks noChangeAspect="1"/>
                    </pic:cNvPicPr>
                  </pic:nvPicPr>
                  <pic:blipFill>
                    <a:blip r:embed="rId282"/>
                    <a:srcRect l="1403" t="1673" r="954" b="1642"/>
                    <a:stretch>
                      <a:fillRect/>
                    </a:stretch>
                  </pic:blipFill>
                  <pic:spPr>
                    <a:xfrm>
                      <a:off x="0" y="0"/>
                      <a:ext cx="5655310" cy="3964305"/>
                    </a:xfrm>
                    <a:prstGeom prst="rect">
                      <a:avLst/>
                    </a:prstGeom>
                  </pic:spPr>
                </pic:pic>
              </a:graphicData>
            </a:graphic>
          </wp:inline>
        </w:drawing>
      </w:r>
    </w:p>
    <w:p w14:paraId="2B3CD3BF" w14:textId="77777777" w:rsidR="0075791A" w:rsidRDefault="00FB2864">
      <w:pPr>
        <w:widowControl w:val="0"/>
        <w:kinsoku/>
        <w:autoSpaceDE/>
        <w:autoSpaceDN/>
        <w:adjustRightInd/>
        <w:snapToGrid/>
        <w:spacing w:line="360" w:lineRule="auto"/>
        <w:jc w:val="center"/>
        <w:textAlignment w:val="auto"/>
        <w:rPr>
          <w:rFonts w:ascii="宋体" w:hAnsi="宋体" w:cs="宋体"/>
          <w:b/>
          <w:bCs/>
          <w:color w:val="auto"/>
          <w:lang w:eastAsia="zh-CN"/>
        </w:rPr>
      </w:pPr>
      <w:r>
        <w:rPr>
          <w:rFonts w:ascii="宋体" w:hAnsi="宋体" w:cs="宋体" w:hint="eastAsia"/>
          <w:b/>
          <w:bCs/>
          <w:color w:val="auto"/>
          <w:lang w:eastAsia="zh-CN"/>
        </w:rPr>
        <w:t>图</w:t>
      </w:r>
      <w:r>
        <w:rPr>
          <w:rFonts w:ascii="宋体" w:hAnsi="宋体" w:cs="宋体" w:hint="eastAsia"/>
          <w:b/>
          <w:bCs/>
          <w:color w:val="auto"/>
          <w:lang w:eastAsia="zh-CN"/>
        </w:rPr>
        <w:t xml:space="preserve">6.3.5-1 </w:t>
      </w:r>
      <w:r>
        <w:rPr>
          <w:rFonts w:ascii="宋体" w:hAnsi="宋体" w:cs="宋体" w:hint="eastAsia"/>
          <w:b/>
          <w:bCs/>
          <w:color w:val="auto"/>
          <w:lang w:eastAsia="zh-CN"/>
        </w:rPr>
        <w:t>工程内容与铁炉港红树林自然保护功能区叠</w:t>
      </w:r>
      <w:r>
        <w:rPr>
          <w:rFonts w:ascii="宋体" w:hAnsi="宋体" w:cs="宋体" w:hint="eastAsia"/>
          <w:b/>
          <w:bCs/>
          <w:color w:val="auto"/>
          <w:lang w:eastAsia="zh-CN"/>
        </w:rPr>
        <w:t>置图</w:t>
      </w:r>
    </w:p>
    <w:p w14:paraId="57940639" w14:textId="77777777" w:rsidR="0075791A" w:rsidRDefault="00FB2864">
      <w:pPr>
        <w:widowControl w:val="0"/>
        <w:kinsoku/>
        <w:autoSpaceDE/>
        <w:autoSpaceDN/>
        <w:adjustRightInd/>
        <w:snapToGrid/>
        <w:spacing w:line="360" w:lineRule="auto"/>
        <w:ind w:firstLineChars="200" w:firstLine="480"/>
        <w:jc w:val="both"/>
        <w:textAlignment w:val="auto"/>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三亚市铁炉港红树林自然保护区最主要的保护对象为红树林及其生态系统。</w:t>
      </w:r>
      <w:r>
        <w:rPr>
          <w:rFonts w:ascii="Times New Roman" w:eastAsia="宋体" w:hAnsi="Times New Roman" w:cs="宋体" w:hint="eastAsia"/>
          <w:color w:val="auto"/>
          <w:spacing w:val="-2"/>
          <w:sz w:val="24"/>
          <w:szCs w:val="24"/>
          <w:lang w:eastAsia="zh-CN"/>
        </w:rPr>
        <w:t>铁</w:t>
      </w:r>
      <w:r>
        <w:rPr>
          <w:rFonts w:ascii="Times New Roman" w:eastAsia="宋体" w:hAnsi="Times New Roman" w:cs="宋体" w:hint="eastAsia"/>
          <w:color w:val="auto"/>
          <w:sz w:val="24"/>
          <w:szCs w:val="24"/>
          <w:lang w:eastAsia="zh-CN"/>
        </w:rPr>
        <w:t>炉港部分河口与水动力较弱区域浅滩不断发育，南边海水域河道淤积较严重，导致潮汐通道内水流不畅，降低了潟湖水体与外海水体的交换能力，影响红树林的生长。因此，通过对潟湖水动力较弱产生淤泥沉积的区域进行清淤疏浚，水系连通，</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hint="eastAsia"/>
          <w:color w:val="auto"/>
          <w:sz w:val="24"/>
          <w:szCs w:val="24"/>
          <w:lang w:eastAsia="zh-CN"/>
        </w:rPr>
        <w:t>使生境更适宜于红树林生长，</w:t>
      </w:r>
      <w:r>
        <w:rPr>
          <w:rFonts w:ascii="Times New Roman" w:eastAsia="宋体" w:hAnsi="Times New Roman" w:cs="宋体" w:hint="eastAsia"/>
          <w:color w:val="auto"/>
          <w:sz w:val="24"/>
          <w:szCs w:val="24"/>
          <w:lang w:val="zh-CN" w:eastAsia="zh-CN"/>
        </w:rPr>
        <w:t>另一方面通过湿地的建设提升河口区纳潮排涝能力，进一步提升防灾减灾能力。</w:t>
      </w:r>
      <w:r>
        <w:rPr>
          <w:rFonts w:ascii="Times New Roman" w:eastAsia="宋体" w:hAnsi="Times New Roman" w:cs="宋体" w:hint="eastAsia"/>
          <w:color w:val="auto"/>
          <w:sz w:val="24"/>
          <w:szCs w:val="24"/>
          <w:lang w:eastAsia="zh-CN"/>
        </w:rPr>
        <w:t>以上措施，对分布在该保护区内的主要保护对象产生积极的影响，在修复后的环境中得到了更好的保护，种群数量也会有所增加，也有助于保护植物的种群恢复和生物多</w:t>
      </w:r>
      <w:r>
        <w:rPr>
          <w:rFonts w:ascii="Times New Roman" w:eastAsia="宋体" w:hAnsi="Times New Roman" w:cs="宋体" w:hint="eastAsia"/>
          <w:color w:val="auto"/>
          <w:sz w:val="24"/>
          <w:szCs w:val="24"/>
          <w:lang w:eastAsia="zh-CN"/>
        </w:rPr>
        <w:lastRenderedPageBreak/>
        <w:t>样性提升，为生态系统的稳定和可持续发展提供了有力保障。本项目建设与保护区功能目标一致，因此与海南三亚红树林自然保护区功能分区及管理规定是相符的。</w:t>
      </w:r>
    </w:p>
    <w:p w14:paraId="64BFAF9E"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23" w:name="_Toc20660"/>
      <w:r>
        <w:rPr>
          <w:rFonts w:ascii="Times New Roman" w:hAnsi="Times New Roman" w:hint="eastAsia"/>
          <w:color w:val="auto"/>
          <w:sz w:val="28"/>
          <w:szCs w:val="28"/>
          <w:lang w:eastAsia="zh-CN"/>
        </w:rPr>
        <w:t>6.3.6</w:t>
      </w:r>
      <w:r>
        <w:rPr>
          <w:rFonts w:ascii="Times New Roman" w:hAnsi="Times New Roman" w:hint="eastAsia"/>
          <w:color w:val="auto"/>
          <w:sz w:val="28"/>
          <w:szCs w:val="28"/>
          <w:lang w:eastAsia="zh-CN"/>
        </w:rPr>
        <w:t>项目用海与国土空间规划符合性分析结论</w:t>
      </w:r>
      <w:bookmarkEnd w:id="323"/>
    </w:p>
    <w:p w14:paraId="28C1245B"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根据《国土空间调查、规划、用途管制用地用海分类指南》，本项目用海分类一级类为“特殊用海”（代码：</w:t>
      </w:r>
      <w:r>
        <w:rPr>
          <w:rFonts w:ascii="宋体" w:eastAsia="宋体" w:hAnsi="宋体" w:cs="宋体" w:hint="eastAsia"/>
          <w:color w:val="auto"/>
          <w:sz w:val="24"/>
          <w:szCs w:val="24"/>
          <w:lang w:eastAsia="zh-CN"/>
        </w:rPr>
        <w:t>22</w:t>
      </w:r>
      <w:r>
        <w:rPr>
          <w:rFonts w:ascii="宋体" w:eastAsia="宋体" w:hAnsi="宋体" w:cs="宋体" w:hint="eastAsia"/>
          <w:color w:val="auto"/>
          <w:sz w:val="24"/>
          <w:szCs w:val="24"/>
          <w:lang w:eastAsia="zh-CN"/>
        </w:rPr>
        <w:t>），二级类为“</w:t>
      </w:r>
      <w:r>
        <w:rPr>
          <w:rFonts w:ascii="宋体" w:eastAsia="宋体" w:hAnsi="宋体" w:cs="宋体"/>
          <w:color w:val="auto"/>
          <w:sz w:val="24"/>
          <w:szCs w:val="24"/>
          <w:lang w:eastAsia="zh-CN"/>
        </w:rPr>
        <w:t>海洋保护修复及海岸防护工程用海</w:t>
      </w:r>
      <w:r>
        <w:rPr>
          <w:rFonts w:ascii="宋体" w:eastAsia="宋体" w:hAnsi="宋体" w:cs="宋体" w:hint="eastAsia"/>
          <w:color w:val="auto"/>
          <w:sz w:val="24"/>
          <w:szCs w:val="24"/>
          <w:lang w:eastAsia="zh-CN"/>
        </w:rPr>
        <w:t>”（代码：</w:t>
      </w:r>
      <w:r>
        <w:rPr>
          <w:rFonts w:ascii="宋体" w:eastAsia="宋体" w:hAnsi="宋体" w:cs="宋体" w:hint="eastAsia"/>
          <w:color w:val="auto"/>
          <w:sz w:val="24"/>
          <w:szCs w:val="24"/>
          <w:lang w:eastAsia="zh-CN"/>
        </w:rPr>
        <w:t>2203</w:t>
      </w:r>
      <w:r>
        <w:rPr>
          <w:rFonts w:ascii="宋体" w:eastAsia="宋体" w:hAnsi="宋体" w:cs="宋体" w:hint="eastAsia"/>
          <w:color w:val="auto"/>
          <w:sz w:val="24"/>
          <w:szCs w:val="24"/>
          <w:lang w:eastAsia="zh-CN"/>
        </w:rPr>
        <w:t>）。根据</w:t>
      </w:r>
      <w:r>
        <w:rPr>
          <w:rFonts w:ascii="宋体" w:eastAsia="宋体" w:hAnsi="宋体" w:cs="宋体" w:hint="eastAsia"/>
          <w:color w:val="auto"/>
          <w:sz w:val="24"/>
          <w:szCs w:val="24"/>
          <w:lang w:eastAsia="zh-CN"/>
        </w:rPr>
        <w:t>《海域使用分类》（</w:t>
      </w:r>
      <w:r>
        <w:rPr>
          <w:rFonts w:ascii="宋体" w:eastAsia="宋体" w:hAnsi="宋体" w:cs="宋体" w:hint="eastAsia"/>
          <w:color w:val="auto"/>
          <w:sz w:val="24"/>
          <w:szCs w:val="24"/>
          <w:lang w:eastAsia="zh-CN"/>
        </w:rPr>
        <w:t>HY/T123-2009</w:t>
      </w:r>
      <w:r>
        <w:rPr>
          <w:rFonts w:ascii="宋体" w:eastAsia="宋体" w:hAnsi="宋体" w:cs="宋体" w:hint="eastAsia"/>
          <w:color w:val="auto"/>
          <w:sz w:val="24"/>
          <w:szCs w:val="24"/>
          <w:lang w:eastAsia="zh-CN"/>
        </w:rPr>
        <w:t>）中规定的分类方法、项目建设内容，用海方式依据建设内容结构、用途为专用航道、锚地及其他开放式、透水构筑物。</w:t>
      </w:r>
    </w:p>
    <w:p w14:paraId="149C7660"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本项目利用的国土空间功能分区为铁炉港潟湖生态保护区（</w:t>
      </w:r>
      <w:r>
        <w:rPr>
          <w:rFonts w:ascii="宋体" w:eastAsia="宋体" w:hAnsi="宋体" w:cs="宋体" w:hint="eastAsia"/>
          <w:color w:val="auto"/>
          <w:sz w:val="24"/>
          <w:szCs w:val="24"/>
          <w:lang w:eastAsia="zh-CN"/>
        </w:rPr>
        <w:t>A0049</w:t>
      </w:r>
      <w:r>
        <w:rPr>
          <w:rFonts w:ascii="宋体" w:eastAsia="宋体" w:hAnsi="宋体" w:cs="宋体" w:hint="eastAsia"/>
          <w:color w:val="auto"/>
          <w:sz w:val="24"/>
          <w:szCs w:val="24"/>
          <w:lang w:eastAsia="zh-CN"/>
        </w:rPr>
        <w:t>）。本项目用海涉及生态保护红线</w:t>
      </w:r>
      <w:r>
        <w:rPr>
          <w:rFonts w:ascii="宋体" w:eastAsia="宋体" w:hAnsi="宋体" w:cs="宋体" w:hint="eastAsia"/>
          <w:color w:val="auto"/>
          <w:sz w:val="24"/>
          <w:szCs w:val="24"/>
          <w:lang w:eastAsia="zh-CN"/>
        </w:rPr>
        <w:t>15.2465</w:t>
      </w:r>
      <w:r>
        <w:rPr>
          <w:rFonts w:ascii="宋体" w:eastAsia="宋体" w:hAnsi="宋体" w:cs="宋体" w:hint="eastAsia"/>
          <w:color w:val="auto"/>
          <w:sz w:val="24"/>
          <w:szCs w:val="24"/>
          <w:lang w:eastAsia="zh-CN"/>
        </w:rPr>
        <w:t>公顷，其中</w:t>
      </w:r>
      <w:r>
        <w:rPr>
          <w:rFonts w:ascii="宋体" w:eastAsia="宋体" w:hAnsi="宋体" w:cs="宋体" w:hint="eastAsia"/>
          <w:color w:val="auto"/>
          <w:sz w:val="24"/>
          <w:szCs w:val="24"/>
          <w:lang w:eastAsia="zh-CN"/>
        </w:rPr>
        <w:t>14.8579</w:t>
      </w:r>
      <w:r>
        <w:rPr>
          <w:rFonts w:ascii="宋体" w:eastAsia="宋体" w:hAnsi="宋体" w:cs="宋体" w:hint="eastAsia"/>
          <w:color w:val="auto"/>
          <w:sz w:val="24"/>
          <w:szCs w:val="24"/>
          <w:lang w:eastAsia="zh-CN"/>
        </w:rPr>
        <w:t>公顷位于海南三亚</w:t>
      </w:r>
      <w:r>
        <w:rPr>
          <w:rFonts w:ascii="宋体" w:eastAsia="宋体" w:hAnsi="宋体" w:cs="宋体"/>
          <w:color w:val="auto"/>
          <w:sz w:val="24"/>
          <w:szCs w:val="24"/>
          <w:lang w:eastAsia="zh-CN"/>
        </w:rPr>
        <w:t>红树林</w:t>
      </w:r>
      <w:r>
        <w:rPr>
          <w:rFonts w:ascii="宋体" w:eastAsia="宋体" w:hAnsi="宋体" w:cs="宋体" w:hint="eastAsia"/>
          <w:color w:val="auto"/>
          <w:sz w:val="24"/>
          <w:szCs w:val="24"/>
          <w:lang w:eastAsia="zh-CN"/>
        </w:rPr>
        <w:t>省级自然保护区的</w:t>
      </w:r>
      <w:r>
        <w:rPr>
          <w:rFonts w:ascii="宋体" w:eastAsia="宋体" w:hAnsi="宋体" w:cs="宋体"/>
          <w:color w:val="auto"/>
          <w:sz w:val="24"/>
          <w:szCs w:val="24"/>
          <w:lang w:eastAsia="zh-CN"/>
        </w:rPr>
        <w:t>自然</w:t>
      </w:r>
      <w:r>
        <w:rPr>
          <w:rFonts w:ascii="宋体" w:eastAsia="宋体" w:hAnsi="宋体" w:cs="宋体" w:hint="eastAsia"/>
          <w:color w:val="auto"/>
          <w:sz w:val="24"/>
          <w:szCs w:val="24"/>
          <w:lang w:eastAsia="zh-CN"/>
        </w:rPr>
        <w:t>保护地核心保护区生态保护红线内、</w:t>
      </w:r>
      <w:r>
        <w:rPr>
          <w:rFonts w:ascii="宋体" w:eastAsia="宋体" w:hAnsi="宋体" w:cs="宋体" w:hint="eastAsia"/>
          <w:color w:val="auto"/>
          <w:sz w:val="24"/>
          <w:szCs w:val="24"/>
          <w:lang w:eastAsia="zh-CN"/>
        </w:rPr>
        <w:t>0.3515</w:t>
      </w:r>
      <w:r>
        <w:rPr>
          <w:rFonts w:ascii="宋体" w:eastAsia="宋体" w:hAnsi="宋体" w:cs="宋体" w:hint="eastAsia"/>
          <w:color w:val="auto"/>
          <w:sz w:val="24"/>
          <w:szCs w:val="24"/>
          <w:lang w:eastAsia="zh-CN"/>
        </w:rPr>
        <w:t>公顷位于</w:t>
      </w:r>
      <w:r>
        <w:rPr>
          <w:rFonts w:ascii="Times New Roman" w:eastAsia="宋体" w:hAnsi="Times New Roman" w:cs="宋体"/>
          <w:color w:val="auto"/>
          <w:spacing w:val="-2"/>
          <w:sz w:val="24"/>
          <w:szCs w:val="24"/>
          <w:lang w:eastAsia="zh-CN"/>
        </w:rPr>
        <w:t>自然</w:t>
      </w:r>
      <w:r>
        <w:rPr>
          <w:rFonts w:ascii="Times New Roman" w:hAnsi="Times New Roman" w:cs="宋体" w:hint="eastAsia"/>
          <w:color w:val="auto"/>
          <w:spacing w:val="-2"/>
          <w:sz w:val="24"/>
          <w:szCs w:val="24"/>
          <w:lang w:eastAsia="zh-CN"/>
        </w:rPr>
        <w:t>保护地一般控制区</w:t>
      </w:r>
      <w:r>
        <w:rPr>
          <w:rFonts w:ascii="Times New Roman" w:hAnsi="Times New Roman" w:cs="宋体" w:hint="eastAsia"/>
          <w:color w:val="auto"/>
          <w:spacing w:val="-2"/>
          <w:sz w:val="24"/>
          <w:szCs w:val="24"/>
          <w:lang w:eastAsia="zh-CN"/>
        </w:rPr>
        <w:t>的生态保护红线内，</w:t>
      </w:r>
      <w:r>
        <w:rPr>
          <w:rFonts w:ascii="宋体" w:eastAsia="宋体" w:hAnsi="宋体" w:cs="宋体" w:hint="eastAsia"/>
          <w:color w:val="auto"/>
          <w:sz w:val="24"/>
          <w:szCs w:val="24"/>
          <w:lang w:eastAsia="zh-CN"/>
        </w:rPr>
        <w:t>0.0371</w:t>
      </w:r>
      <w:r>
        <w:rPr>
          <w:rFonts w:ascii="宋体" w:eastAsia="宋体" w:hAnsi="宋体" w:cs="宋体" w:hint="eastAsia"/>
          <w:color w:val="auto"/>
          <w:sz w:val="24"/>
          <w:szCs w:val="24"/>
          <w:lang w:eastAsia="zh-CN"/>
        </w:rPr>
        <w:t>公顷位于自然保护地以外区域的生态保护红线。依据</w:t>
      </w:r>
      <w:r>
        <w:rPr>
          <w:rFonts w:ascii="Times New Roman" w:eastAsia="宋体" w:hAnsi="Times New Roman" w:cs="宋体" w:hint="eastAsia"/>
          <w:color w:val="auto"/>
          <w:sz w:val="24"/>
          <w:szCs w:val="24"/>
          <w:lang w:eastAsia="zh-CN"/>
        </w:rPr>
        <w:t>《中华人民共和国自然保护区条例》（国务院令第</w:t>
      </w:r>
      <w:r>
        <w:rPr>
          <w:rFonts w:ascii="Times New Roman" w:eastAsia="宋体" w:hAnsi="Times New Roman" w:cs="宋体" w:hint="eastAsia"/>
          <w:color w:val="auto"/>
          <w:sz w:val="24"/>
          <w:szCs w:val="24"/>
          <w:lang w:eastAsia="zh-CN"/>
        </w:rPr>
        <w:t>830</w:t>
      </w:r>
      <w:r>
        <w:rPr>
          <w:rFonts w:ascii="Times New Roman" w:eastAsia="宋体" w:hAnsi="Times New Roman" w:cs="宋体" w:hint="eastAsia"/>
          <w:color w:val="auto"/>
          <w:sz w:val="24"/>
          <w:szCs w:val="24"/>
          <w:lang w:eastAsia="zh-CN"/>
        </w:rPr>
        <w:t>号），</w:t>
      </w:r>
      <w:r>
        <w:rPr>
          <w:rFonts w:ascii="宋体" w:eastAsia="宋体" w:hAnsi="宋体" w:cs="宋体" w:hint="eastAsia"/>
          <w:color w:val="auto"/>
          <w:sz w:val="24"/>
          <w:szCs w:val="24"/>
          <w:lang w:eastAsia="zh-CN"/>
        </w:rPr>
        <w:t>本项目作为生态修复项目，符合自然保护区核心保护区管控要求；根据《海南省生态保护红线管理规定》《海南省人民政府办公厅关于印发海南省生态保护红线准入管理目录</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修门</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的通知》</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琼府办</w:t>
      </w:r>
      <w:r>
        <w:rPr>
          <w:rFonts w:ascii="宋体" w:eastAsia="宋体" w:hAnsi="宋体" w:cs="宋体" w:hint="eastAsia"/>
          <w:color w:val="auto"/>
          <w:sz w:val="24"/>
          <w:szCs w:val="24"/>
          <w:lang w:eastAsia="zh-CN"/>
        </w:rPr>
        <w:t>(2023)4</w:t>
      </w:r>
      <w:r>
        <w:rPr>
          <w:rFonts w:ascii="宋体" w:eastAsia="宋体" w:hAnsi="宋体" w:cs="宋体" w:hint="eastAsia"/>
          <w:color w:val="auto"/>
          <w:sz w:val="24"/>
          <w:szCs w:val="24"/>
          <w:lang w:eastAsia="zh-CN"/>
        </w:rPr>
        <w:t>号</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，位于自然保护地核心保护区工程需经依法批准方可进入开展，</w:t>
      </w:r>
      <w:r>
        <w:rPr>
          <w:rFonts w:ascii="Times New Roman" w:hAnsi="Times New Roman" w:cs="宋体" w:hint="eastAsia"/>
          <w:color w:val="auto"/>
          <w:lang w:eastAsia="zh-CN"/>
        </w:rPr>
        <w:t>据此</w:t>
      </w:r>
      <w:r>
        <w:rPr>
          <w:rFonts w:ascii="Times New Roman" w:eastAsia="宋体" w:hAnsi="Times New Roman" w:cs="宋体" w:hint="eastAsia"/>
          <w:color w:val="auto"/>
          <w:lang w:eastAsia="zh-CN"/>
        </w:rPr>
        <w:t>三亚市林业局于</w:t>
      </w:r>
      <w:r>
        <w:rPr>
          <w:rFonts w:ascii="Times New Roman" w:eastAsia="宋体" w:hAnsi="Times New Roman" w:cs="宋体" w:hint="eastAsia"/>
          <w:color w:val="auto"/>
          <w:lang w:eastAsia="zh-CN"/>
        </w:rPr>
        <w:t>2026</w:t>
      </w:r>
      <w:r>
        <w:rPr>
          <w:rFonts w:ascii="Times New Roman" w:eastAsia="宋体" w:hAnsi="Times New Roman" w:cs="宋体" w:hint="eastAsia"/>
          <w:color w:val="auto"/>
          <w:lang w:eastAsia="zh-CN"/>
        </w:rPr>
        <w:t>年</w:t>
      </w:r>
      <w:r>
        <w:rPr>
          <w:rFonts w:ascii="Times New Roman" w:eastAsia="宋体" w:hAnsi="Times New Roman" w:cs="宋体" w:hint="eastAsia"/>
          <w:color w:val="auto"/>
          <w:lang w:eastAsia="zh-CN"/>
        </w:rPr>
        <w:t>3</w:t>
      </w:r>
      <w:r>
        <w:rPr>
          <w:rFonts w:ascii="Times New Roman" w:eastAsia="宋体" w:hAnsi="Times New Roman" w:cs="宋体" w:hint="eastAsia"/>
          <w:color w:val="auto"/>
          <w:lang w:eastAsia="zh-CN"/>
        </w:rPr>
        <w:t>月</w:t>
      </w:r>
      <w:r>
        <w:rPr>
          <w:rFonts w:ascii="Times New Roman" w:eastAsia="宋体" w:hAnsi="Times New Roman" w:cs="宋体" w:hint="eastAsia"/>
          <w:color w:val="auto"/>
          <w:lang w:eastAsia="zh-CN"/>
        </w:rPr>
        <w:t>23</w:t>
      </w:r>
      <w:r>
        <w:rPr>
          <w:rFonts w:ascii="Times New Roman" w:eastAsia="宋体" w:hAnsi="Times New Roman" w:cs="宋体" w:hint="eastAsia"/>
          <w:color w:val="auto"/>
          <w:lang w:eastAsia="zh-CN"/>
        </w:rPr>
        <w:t>日出具《三亚市林业局</w:t>
      </w:r>
      <w:r>
        <w:rPr>
          <w:rFonts w:ascii="Times New Roman" w:eastAsia="宋体" w:hAnsi="Times New Roman" w:cs="宋体" w:hint="eastAsia"/>
          <w:color w:val="auto"/>
          <w:lang w:eastAsia="zh-CN"/>
        </w:rPr>
        <w:t xml:space="preserve"> </w:t>
      </w:r>
      <w:r>
        <w:rPr>
          <w:rFonts w:ascii="Times New Roman" w:eastAsia="宋体" w:hAnsi="Times New Roman" w:cs="宋体" w:hint="eastAsia"/>
          <w:color w:val="auto"/>
          <w:lang w:eastAsia="zh-CN"/>
        </w:rPr>
        <w:t>关于铁炉港红树林湿地保护修复项目（二期）</w:t>
      </w:r>
      <w:r>
        <w:rPr>
          <w:rFonts w:ascii="Times New Roman" w:eastAsia="宋体" w:hAnsi="Times New Roman" w:cs="宋体" w:hint="eastAsia"/>
          <w:color w:val="auto"/>
          <w:lang w:eastAsia="zh-CN"/>
        </w:rPr>
        <w:t xml:space="preserve"> </w:t>
      </w:r>
      <w:r>
        <w:rPr>
          <w:rFonts w:ascii="Times New Roman" w:eastAsia="宋体" w:hAnsi="Times New Roman" w:cs="宋体" w:hint="eastAsia"/>
          <w:color w:val="auto"/>
          <w:lang w:eastAsia="zh-CN"/>
        </w:rPr>
        <w:t>疏浚活动在三亚市铁炉港红树林</w:t>
      </w:r>
      <w:r>
        <w:rPr>
          <w:rFonts w:ascii="Times New Roman" w:eastAsia="宋体" w:hAnsi="Times New Roman" w:cs="宋体" w:hint="eastAsia"/>
          <w:color w:val="auto"/>
          <w:lang w:eastAsia="zh-CN"/>
        </w:rPr>
        <w:t xml:space="preserve"> </w:t>
      </w:r>
      <w:r>
        <w:rPr>
          <w:rFonts w:ascii="Times New Roman" w:eastAsia="宋体" w:hAnsi="Times New Roman" w:cs="宋体" w:hint="eastAsia"/>
          <w:color w:val="auto"/>
          <w:lang w:eastAsia="zh-CN"/>
        </w:rPr>
        <w:t>自然保护区实施的意</w:t>
      </w:r>
      <w:r>
        <w:rPr>
          <w:rFonts w:ascii="Times New Roman" w:eastAsia="宋体" w:hAnsi="Times New Roman" w:cs="宋体" w:hint="eastAsia"/>
          <w:color w:val="auto"/>
          <w:lang w:eastAsia="zh-CN"/>
        </w:rPr>
        <w:t>见》</w:t>
      </w:r>
      <w:r>
        <w:rPr>
          <w:rFonts w:ascii="宋体" w:eastAsia="宋体" w:hAnsi="宋体" w:cs="宋体" w:hint="eastAsia"/>
          <w:color w:val="auto"/>
          <w:sz w:val="24"/>
          <w:szCs w:val="24"/>
          <w:lang w:eastAsia="zh-CN"/>
        </w:rPr>
        <w:t>；位于自然保护地以外区域的生态保护红线的工程符合准入目录，《海南省生态保护红线管理规定》《海南省人民政府办公厅关于印发海南省生态保护红线准入管理目录</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修门</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的通知》。</w:t>
      </w:r>
    </w:p>
    <w:p w14:paraId="51760702" w14:textId="77777777" w:rsidR="0075791A" w:rsidRDefault="00FB2864">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项目符合《海南省国土空间生态修复规划（</w:t>
      </w:r>
      <w:r>
        <w:rPr>
          <w:rFonts w:ascii="宋体" w:eastAsia="宋体" w:hAnsi="宋体" w:cs="宋体" w:hint="eastAsia"/>
          <w:color w:val="auto"/>
          <w:sz w:val="24"/>
          <w:szCs w:val="24"/>
          <w:lang w:eastAsia="zh-CN"/>
        </w:rPr>
        <w:t>2021-2035</w:t>
      </w:r>
      <w:r>
        <w:rPr>
          <w:rFonts w:ascii="宋体" w:eastAsia="宋体" w:hAnsi="宋体" w:cs="宋体" w:hint="eastAsia"/>
          <w:color w:val="auto"/>
          <w:sz w:val="24"/>
          <w:szCs w:val="24"/>
          <w:lang w:eastAsia="zh-CN"/>
        </w:rPr>
        <w:t>年）》和《三亚市国土空间生态修复规划（</w:t>
      </w:r>
      <w:r>
        <w:rPr>
          <w:rFonts w:ascii="宋体" w:eastAsia="宋体" w:hAnsi="宋体" w:cs="宋体" w:hint="eastAsia"/>
          <w:color w:val="auto"/>
          <w:sz w:val="24"/>
          <w:szCs w:val="24"/>
          <w:lang w:eastAsia="zh-CN"/>
        </w:rPr>
        <w:t>2021</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2035</w:t>
      </w:r>
      <w:r>
        <w:rPr>
          <w:rFonts w:ascii="宋体" w:eastAsia="宋体" w:hAnsi="宋体" w:cs="宋体" w:hint="eastAsia"/>
          <w:color w:val="auto"/>
          <w:sz w:val="24"/>
          <w:szCs w:val="24"/>
          <w:lang w:eastAsia="zh-CN"/>
        </w:rPr>
        <w:t>年）》。</w:t>
      </w:r>
    </w:p>
    <w:p w14:paraId="37F7B22A" w14:textId="77777777" w:rsidR="0075791A" w:rsidRDefault="0075791A">
      <w:pPr>
        <w:pStyle w:val="a5"/>
        <w:rPr>
          <w:rFonts w:ascii="宋体" w:eastAsia="宋体" w:hAnsi="宋体" w:cs="宋体"/>
          <w:color w:val="auto"/>
          <w:sz w:val="24"/>
          <w:szCs w:val="24"/>
          <w:lang w:eastAsia="zh-CN"/>
        </w:rPr>
      </w:pPr>
    </w:p>
    <w:p w14:paraId="347AD850" w14:textId="77777777" w:rsidR="0075791A" w:rsidRDefault="0075791A">
      <w:pPr>
        <w:pStyle w:val="a5"/>
        <w:rPr>
          <w:rFonts w:ascii="宋体" w:eastAsia="宋体" w:hAnsi="宋体" w:cs="宋体"/>
          <w:color w:val="auto"/>
          <w:sz w:val="24"/>
          <w:szCs w:val="24"/>
          <w:lang w:eastAsia="zh-CN"/>
        </w:rPr>
      </w:pPr>
    </w:p>
    <w:p w14:paraId="67C953D8" w14:textId="77777777" w:rsidR="0075791A" w:rsidRDefault="0075791A">
      <w:pPr>
        <w:pStyle w:val="a5"/>
        <w:rPr>
          <w:rFonts w:ascii="宋体" w:eastAsia="宋体" w:hAnsi="宋体" w:cs="宋体"/>
          <w:color w:val="auto"/>
          <w:sz w:val="24"/>
          <w:szCs w:val="24"/>
          <w:lang w:eastAsia="zh-CN"/>
        </w:rPr>
      </w:pPr>
    </w:p>
    <w:p w14:paraId="31A27D0E" w14:textId="77777777" w:rsidR="0075791A" w:rsidRDefault="0075791A">
      <w:pPr>
        <w:widowControl w:val="0"/>
        <w:kinsoku/>
        <w:autoSpaceDE/>
        <w:autoSpaceDN/>
        <w:adjustRightInd/>
        <w:snapToGrid/>
        <w:spacing w:line="360" w:lineRule="auto"/>
        <w:ind w:firstLineChars="200" w:firstLine="480"/>
        <w:jc w:val="both"/>
        <w:textAlignment w:val="auto"/>
        <w:rPr>
          <w:rFonts w:ascii="宋体" w:eastAsia="宋体" w:hAnsi="宋体" w:cs="宋体"/>
          <w:color w:val="auto"/>
          <w:sz w:val="24"/>
          <w:szCs w:val="24"/>
          <w:lang w:eastAsia="zh-CN"/>
        </w:rPr>
        <w:sectPr w:rsidR="0075791A">
          <w:footerReference w:type="default" r:id="rId283"/>
          <w:pgSz w:w="11906" w:h="16839"/>
          <w:pgMar w:top="1018" w:right="1356" w:bottom="1134" w:left="1413" w:header="746" w:footer="972" w:gutter="0"/>
          <w:cols w:space="720"/>
        </w:sectPr>
      </w:pPr>
    </w:p>
    <w:p w14:paraId="41A45807" w14:textId="77777777" w:rsidR="0075791A" w:rsidRDefault="0075791A">
      <w:pPr>
        <w:spacing w:line="43" w:lineRule="exact"/>
        <w:rPr>
          <w:rFonts w:ascii="Times New Roman" w:hAnsi="Times New Roman"/>
          <w:color w:val="auto"/>
          <w:lang w:eastAsia="zh-CN"/>
        </w:rPr>
      </w:pPr>
    </w:p>
    <w:p w14:paraId="58D1EB7E" w14:textId="77777777" w:rsidR="0075791A" w:rsidRDefault="00FB2864">
      <w:pPr>
        <w:spacing w:line="360" w:lineRule="auto"/>
        <w:outlineLvl w:val="0"/>
        <w:rPr>
          <w:rFonts w:ascii="Times New Roman" w:eastAsia="宋体" w:hAnsi="Times New Roman" w:cs="Times New Roman"/>
          <w:b/>
          <w:bCs/>
          <w:color w:val="auto"/>
          <w:spacing w:val="-5"/>
          <w:sz w:val="32"/>
          <w:szCs w:val="32"/>
          <w:lang w:eastAsia="zh-CN"/>
        </w:rPr>
      </w:pPr>
      <w:bookmarkStart w:id="324" w:name="bookmark58"/>
      <w:bookmarkStart w:id="325" w:name="_Toc10104"/>
      <w:bookmarkStart w:id="326" w:name="_Toc26533"/>
      <w:bookmarkStart w:id="327" w:name="_Toc28655"/>
      <w:bookmarkEnd w:id="324"/>
      <w:r>
        <w:rPr>
          <w:rFonts w:ascii="Times New Roman" w:eastAsia="宋体" w:hAnsi="Times New Roman" w:cs="Times New Roman" w:hint="eastAsia"/>
          <w:b/>
          <w:bCs/>
          <w:color w:val="auto"/>
          <w:spacing w:val="-5"/>
          <w:sz w:val="32"/>
          <w:szCs w:val="32"/>
          <w:lang w:eastAsia="zh-CN"/>
        </w:rPr>
        <w:t>7</w:t>
      </w:r>
      <w:r>
        <w:rPr>
          <w:rFonts w:ascii="Times New Roman" w:eastAsia="宋体" w:hAnsi="Times New Roman" w:cs="Times New Roman" w:hint="eastAsia"/>
          <w:b/>
          <w:bCs/>
          <w:color w:val="auto"/>
          <w:spacing w:val="-5"/>
          <w:sz w:val="32"/>
          <w:szCs w:val="32"/>
          <w:lang w:eastAsia="zh-CN"/>
        </w:rPr>
        <w:t>项目用海合理性分析</w:t>
      </w:r>
      <w:bookmarkEnd w:id="325"/>
      <w:bookmarkEnd w:id="326"/>
      <w:bookmarkEnd w:id="327"/>
    </w:p>
    <w:p w14:paraId="084430A5"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328" w:name="bookmark60"/>
      <w:bookmarkStart w:id="329" w:name="_Toc21999"/>
      <w:bookmarkStart w:id="330" w:name="_Toc2551"/>
      <w:bookmarkStart w:id="331" w:name="_Toc27507"/>
      <w:bookmarkEnd w:id="328"/>
      <w:r>
        <w:rPr>
          <w:rFonts w:ascii="Times New Roman" w:eastAsia="宋体" w:hAnsi="Times New Roman" w:cs="Times New Roman" w:hint="eastAsia"/>
          <w:b/>
          <w:bCs/>
          <w:color w:val="auto"/>
          <w:spacing w:val="-6"/>
          <w:sz w:val="30"/>
          <w:szCs w:val="30"/>
          <w:lang w:eastAsia="zh-CN"/>
        </w:rPr>
        <w:t>7</w:t>
      </w:r>
      <w:r>
        <w:rPr>
          <w:rFonts w:ascii="Times New Roman" w:eastAsia="Times New Roman" w:hAnsi="Times New Roman" w:cs="Times New Roman"/>
          <w:b/>
          <w:bCs/>
          <w:color w:val="auto"/>
          <w:spacing w:val="-6"/>
          <w:sz w:val="30"/>
          <w:szCs w:val="30"/>
          <w:lang w:eastAsia="zh-CN"/>
        </w:rPr>
        <w:t>.1用海选址合理性分析</w:t>
      </w:r>
      <w:bookmarkEnd w:id="329"/>
      <w:bookmarkEnd w:id="330"/>
      <w:bookmarkEnd w:id="331"/>
    </w:p>
    <w:p w14:paraId="3B0AE4B0"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32" w:name="_Toc20427"/>
      <w:r>
        <w:rPr>
          <w:rFonts w:ascii="Times New Roman" w:hAnsi="Times New Roman" w:hint="eastAsia"/>
          <w:color w:val="auto"/>
          <w:sz w:val="28"/>
          <w:szCs w:val="28"/>
          <w:lang w:eastAsia="zh-CN"/>
        </w:rPr>
        <w:t>7.1.1</w:t>
      </w:r>
      <w:r>
        <w:rPr>
          <w:rFonts w:ascii="Times New Roman" w:hAnsi="Times New Roman" w:hint="eastAsia"/>
          <w:color w:val="auto"/>
          <w:sz w:val="28"/>
          <w:szCs w:val="28"/>
          <w:lang w:eastAsia="zh-CN"/>
        </w:rPr>
        <w:t>区位条件和社会条件适宜性</w:t>
      </w:r>
      <w:bookmarkEnd w:id="332"/>
    </w:p>
    <w:p w14:paraId="2BF3F700" w14:textId="77777777" w:rsidR="0075791A" w:rsidRDefault="00FB2864">
      <w:pPr>
        <w:spacing w:line="360" w:lineRule="auto"/>
        <w:outlineLvl w:val="3"/>
        <w:rPr>
          <w:rFonts w:ascii="Times New Roman" w:eastAsia="宋体" w:hAnsi="Times New Roman" w:cs="宋体"/>
          <w:color w:val="auto"/>
          <w:sz w:val="24"/>
          <w:szCs w:val="24"/>
          <w:lang w:eastAsia="zh-CN"/>
        </w:rPr>
      </w:pPr>
      <w:hyperlink r:id="rId284" w:history="1">
        <w:r>
          <w:rPr>
            <w:rFonts w:ascii="Times New Roman" w:eastAsia="宋体" w:hAnsi="Times New Roman" w:hint="eastAsia"/>
            <w:b/>
            <w:color w:val="auto"/>
            <w:sz w:val="24"/>
            <w:szCs w:val="24"/>
            <w:lang w:eastAsia="zh-CN"/>
          </w:rPr>
          <w:t>7.1.1.1</w:t>
        </w:r>
      </w:hyperlink>
      <w:r>
        <w:rPr>
          <w:rFonts w:ascii="Times New Roman" w:eastAsia="宋体" w:hAnsi="Times New Roman" w:hint="eastAsia"/>
          <w:b/>
          <w:color w:val="auto"/>
          <w:sz w:val="24"/>
          <w:szCs w:val="24"/>
          <w:lang w:eastAsia="zh-CN"/>
        </w:rPr>
        <w:t>选址唯一性分析</w:t>
      </w:r>
    </w:p>
    <w:p w14:paraId="49578448"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本项目位于</w:t>
      </w:r>
      <w:r>
        <w:rPr>
          <w:rFonts w:ascii="Times New Roman" w:eastAsia="宋体" w:hAnsi="Times New Roman" w:cs="宋体" w:hint="eastAsia"/>
          <w:color w:val="auto"/>
          <w:spacing w:val="-2"/>
          <w:sz w:val="24"/>
          <w:szCs w:val="24"/>
          <w:lang w:eastAsia="zh-CN"/>
        </w:rPr>
        <w:t>三亚市铁炉港潟湖</w:t>
      </w:r>
      <w:r>
        <w:rPr>
          <w:rFonts w:ascii="Times New Roman" w:eastAsia="宋体" w:hAnsi="Times New Roman" w:cs="宋体"/>
          <w:color w:val="auto"/>
          <w:spacing w:val="-2"/>
          <w:sz w:val="24"/>
          <w:szCs w:val="24"/>
          <w:lang w:eastAsia="zh-CN"/>
        </w:rPr>
        <w:t>海域，</w:t>
      </w:r>
      <w:r>
        <w:rPr>
          <w:rFonts w:ascii="Times New Roman" w:eastAsia="宋体" w:hAnsi="Times New Roman" w:cs="宋体" w:hint="eastAsia"/>
          <w:color w:val="auto"/>
          <w:spacing w:val="-2"/>
          <w:sz w:val="24"/>
          <w:szCs w:val="24"/>
          <w:lang w:eastAsia="zh-CN"/>
        </w:rPr>
        <w:t>为</w:t>
      </w:r>
      <w:r>
        <w:rPr>
          <w:rFonts w:ascii="Times New Roman" w:eastAsia="宋体" w:hAnsi="Times New Roman" w:cs="宋体"/>
          <w:color w:val="auto"/>
          <w:sz w:val="24"/>
          <w:szCs w:val="24"/>
          <w:lang w:eastAsia="zh-CN"/>
        </w:rPr>
        <w:t>海南省三亚市铁炉港红树林自然保护区</w:t>
      </w:r>
      <w:r>
        <w:rPr>
          <w:rFonts w:ascii="Times New Roman" w:eastAsia="宋体" w:hAnsi="Times New Roman" w:cs="宋体" w:hint="eastAsia"/>
          <w:color w:val="auto"/>
          <w:sz w:val="24"/>
          <w:szCs w:val="24"/>
          <w:lang w:eastAsia="zh-CN"/>
        </w:rPr>
        <w:t>。改革开放以来，铁炉港潟湖海域高位池养殖、鱼排养殖发展迅速，导致铁炉港生态破坏。</w:t>
      </w:r>
      <w:r>
        <w:rPr>
          <w:rFonts w:ascii="Times New Roman" w:eastAsia="宋体" w:hAnsi="Times New Roman" w:cs="宋体"/>
          <w:color w:val="auto"/>
          <w:spacing w:val="-2"/>
          <w:sz w:val="24"/>
          <w:szCs w:val="24"/>
          <w:lang w:eastAsia="zh-CN"/>
        </w:rPr>
        <w:t>近年来，</w:t>
      </w:r>
      <w:r>
        <w:rPr>
          <w:rFonts w:ascii="Times New Roman" w:eastAsia="宋体" w:hAnsi="Times New Roman" w:cs="宋体" w:hint="eastAsia"/>
          <w:color w:val="auto"/>
          <w:spacing w:val="-2"/>
          <w:sz w:val="24"/>
          <w:szCs w:val="24"/>
          <w:lang w:eastAsia="zh-CN"/>
        </w:rPr>
        <w:t>三亚市政府</w:t>
      </w:r>
      <w:r>
        <w:rPr>
          <w:rFonts w:ascii="Times New Roman" w:eastAsia="宋体" w:hAnsi="Times New Roman" w:cs="宋体"/>
          <w:color w:val="auto"/>
          <w:spacing w:val="-2"/>
          <w:sz w:val="24"/>
          <w:szCs w:val="24"/>
          <w:lang w:eastAsia="zh-CN"/>
        </w:rPr>
        <w:t>在铁炉港保护区开展了一系列</w:t>
      </w:r>
      <w:r>
        <w:rPr>
          <w:rFonts w:ascii="Times New Roman" w:eastAsia="宋体" w:hAnsi="Times New Roman" w:cs="宋体" w:hint="eastAsia"/>
          <w:color w:val="auto"/>
          <w:spacing w:val="-2"/>
          <w:sz w:val="24"/>
          <w:szCs w:val="24"/>
          <w:lang w:eastAsia="zh-CN"/>
        </w:rPr>
        <w:t>退塘还林（湿）、</w:t>
      </w:r>
      <w:r>
        <w:rPr>
          <w:rFonts w:ascii="Times New Roman" w:eastAsia="宋体" w:hAnsi="Times New Roman" w:cs="宋体"/>
          <w:color w:val="auto"/>
          <w:spacing w:val="-2"/>
          <w:sz w:val="24"/>
          <w:szCs w:val="24"/>
          <w:lang w:eastAsia="zh-CN"/>
        </w:rPr>
        <w:t>红树林营造和修复工作，使铁炉港保护区及周边生境得到有效改善，但仍</w:t>
      </w:r>
      <w:r>
        <w:rPr>
          <w:rFonts w:ascii="Times New Roman" w:eastAsia="宋体" w:hAnsi="Times New Roman" w:cs="宋体" w:hint="eastAsia"/>
          <w:color w:val="auto"/>
          <w:spacing w:val="-2"/>
          <w:sz w:val="24"/>
          <w:szCs w:val="24"/>
          <w:lang w:eastAsia="zh-CN"/>
        </w:rPr>
        <w:t>存在一些问题，如人为活动破坏，湿地净化调蓄能力不足和大量的海漂垃圾对生态造成了威胁，使得生态安全生态防护能力不足；外来物种入侵使得红树林资源生态受到威胁；生境质量下降，物种丰富度降低；缺乏智慧监测体系及巡护服务设施等，</w:t>
      </w:r>
      <w:r>
        <w:rPr>
          <w:rFonts w:ascii="Times New Roman" w:eastAsia="宋体" w:hAnsi="Times New Roman" w:cs="宋体"/>
          <w:color w:val="auto"/>
          <w:spacing w:val="-2"/>
          <w:sz w:val="24"/>
          <w:szCs w:val="24"/>
          <w:lang w:eastAsia="zh-CN"/>
        </w:rPr>
        <w:t>需开展更深层次、持续地生态修复工作。</w:t>
      </w:r>
    </w:p>
    <w:p w14:paraId="3D7A8A5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2023</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月，财政部办公厅、自然资源部办公厅、生态环境部办公厅联合印发《关于组织申报“十四五”期间第三批山水林田湖草沙一体化保护和修复工程项目的通知》（财办资环〔</w:t>
      </w:r>
      <w:r>
        <w:rPr>
          <w:rFonts w:ascii="Times New Roman" w:eastAsia="宋体" w:hAnsi="Times New Roman" w:cs="宋体" w:hint="eastAsia"/>
          <w:color w:val="auto"/>
          <w:spacing w:val="-2"/>
          <w:sz w:val="24"/>
          <w:szCs w:val="24"/>
          <w:lang w:eastAsia="zh-CN"/>
        </w:rPr>
        <w:t>2023</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号），海南省人民政府积极组织申报“十四五”期间第三批山水林田湖草沙一体化保护和修</w:t>
      </w:r>
      <w:r>
        <w:rPr>
          <w:rFonts w:ascii="Times New Roman" w:eastAsia="宋体" w:hAnsi="Times New Roman" w:cs="宋体" w:hint="eastAsia"/>
          <w:color w:val="auto"/>
          <w:spacing w:val="-2"/>
          <w:sz w:val="24"/>
          <w:szCs w:val="24"/>
          <w:lang w:eastAsia="zh-CN"/>
        </w:rPr>
        <w:t>复工程项目海南南部典型热带区域实施山水林田湖草沙一体化保护和修复工程，并于</w:t>
      </w:r>
      <w:r>
        <w:rPr>
          <w:rFonts w:ascii="Times New Roman" w:eastAsia="宋体" w:hAnsi="Times New Roman" w:cs="宋体" w:hint="eastAsia"/>
          <w:color w:val="auto"/>
          <w:spacing w:val="-2"/>
          <w:sz w:val="24"/>
          <w:szCs w:val="24"/>
          <w:lang w:eastAsia="zh-CN"/>
        </w:rPr>
        <w:t>2023</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6</w:t>
      </w:r>
      <w:r>
        <w:rPr>
          <w:rFonts w:ascii="Times New Roman" w:eastAsia="宋体" w:hAnsi="Times New Roman" w:cs="宋体" w:hint="eastAsia"/>
          <w:color w:val="auto"/>
          <w:spacing w:val="-2"/>
          <w:sz w:val="24"/>
          <w:szCs w:val="24"/>
          <w:lang w:eastAsia="zh-CN"/>
        </w:rPr>
        <w:t>月获批，工程涉及三亚、五指山、乐东、陵水和保亭五个市县，实施面积为</w:t>
      </w:r>
      <w:r>
        <w:rPr>
          <w:rFonts w:ascii="Times New Roman" w:eastAsia="宋体" w:hAnsi="Times New Roman" w:cs="宋体" w:hint="eastAsia"/>
          <w:color w:val="auto"/>
          <w:spacing w:val="-2"/>
          <w:sz w:val="24"/>
          <w:szCs w:val="24"/>
          <w:lang w:eastAsia="zh-CN"/>
        </w:rPr>
        <w:t>5868.62</w:t>
      </w:r>
      <w:r>
        <w:rPr>
          <w:rFonts w:ascii="Times New Roman" w:eastAsia="宋体" w:hAnsi="Times New Roman" w:cs="宋体" w:hint="eastAsia"/>
          <w:color w:val="auto"/>
          <w:spacing w:val="-2"/>
          <w:sz w:val="24"/>
          <w:szCs w:val="24"/>
          <w:lang w:eastAsia="zh-CN"/>
        </w:rPr>
        <w:t>平方千米，</w:t>
      </w:r>
      <w:r>
        <w:rPr>
          <w:rFonts w:ascii="Times New Roman" w:eastAsia="宋体" w:hAnsi="Times New Roman" w:cs="宋体"/>
          <w:color w:val="auto"/>
          <w:sz w:val="24"/>
          <w:szCs w:val="24"/>
          <w:lang w:eastAsia="zh-CN"/>
        </w:rPr>
        <w:t>总投资</w:t>
      </w:r>
      <w:r>
        <w:rPr>
          <w:rFonts w:ascii="Times New Roman" w:eastAsia="宋体" w:hAnsi="Times New Roman" w:cs="宋体"/>
          <w:color w:val="auto"/>
          <w:sz w:val="24"/>
          <w:szCs w:val="24"/>
          <w:lang w:eastAsia="zh-CN"/>
        </w:rPr>
        <w:t>55.04</w:t>
      </w:r>
      <w:r>
        <w:rPr>
          <w:rFonts w:ascii="Times New Roman" w:eastAsia="宋体" w:hAnsi="Times New Roman" w:cs="宋体"/>
          <w:color w:val="auto"/>
          <w:sz w:val="24"/>
          <w:szCs w:val="24"/>
          <w:lang w:eastAsia="zh-CN"/>
        </w:rPr>
        <w:t>亿元，其中中央财政支持</w:t>
      </w:r>
      <w:r>
        <w:rPr>
          <w:rFonts w:ascii="Times New Roman" w:eastAsia="宋体" w:hAnsi="Times New Roman" w:cs="宋体"/>
          <w:color w:val="auto"/>
          <w:sz w:val="24"/>
          <w:szCs w:val="24"/>
          <w:lang w:eastAsia="zh-CN"/>
        </w:rPr>
        <w:t>20</w:t>
      </w:r>
      <w:r>
        <w:rPr>
          <w:rFonts w:ascii="Times New Roman" w:eastAsia="宋体" w:hAnsi="Times New Roman" w:cs="宋体"/>
          <w:color w:val="auto"/>
          <w:sz w:val="24"/>
          <w:szCs w:val="24"/>
          <w:lang w:eastAsia="zh-CN"/>
        </w:rPr>
        <w:t>亿元</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pacing w:val="-2"/>
          <w:sz w:val="24"/>
          <w:szCs w:val="24"/>
          <w:lang w:eastAsia="zh-CN"/>
        </w:rPr>
        <w:t>共设置</w:t>
      </w:r>
      <w:r>
        <w:rPr>
          <w:rFonts w:ascii="Times New Roman" w:eastAsia="宋体" w:hAnsi="Times New Roman" w:cs="宋体" w:hint="eastAsia"/>
          <w:color w:val="auto"/>
          <w:spacing w:val="-2"/>
          <w:sz w:val="24"/>
          <w:szCs w:val="24"/>
          <w:lang w:eastAsia="zh-CN"/>
        </w:rPr>
        <w:t>36</w:t>
      </w:r>
      <w:r>
        <w:rPr>
          <w:rFonts w:ascii="Times New Roman" w:eastAsia="宋体" w:hAnsi="Times New Roman" w:cs="宋体" w:hint="eastAsia"/>
          <w:color w:val="auto"/>
          <w:spacing w:val="-2"/>
          <w:sz w:val="24"/>
          <w:szCs w:val="24"/>
          <w:lang w:eastAsia="zh-CN"/>
        </w:rPr>
        <w:t>个工程项目和</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个全域生态系统一体化监测评估能力提升项目，实施周期为</w:t>
      </w:r>
      <w:r>
        <w:rPr>
          <w:rFonts w:ascii="Times New Roman" w:eastAsia="宋体" w:hAnsi="Times New Roman" w:cs="宋体" w:hint="eastAsia"/>
          <w:color w:val="auto"/>
          <w:spacing w:val="-2"/>
          <w:sz w:val="24"/>
          <w:szCs w:val="24"/>
          <w:lang w:eastAsia="zh-CN"/>
        </w:rPr>
        <w:t>2023</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~2025</w:t>
      </w:r>
      <w:r>
        <w:rPr>
          <w:rFonts w:ascii="Times New Roman" w:eastAsia="宋体" w:hAnsi="Times New Roman" w:cs="宋体" w:hint="eastAsia"/>
          <w:color w:val="auto"/>
          <w:spacing w:val="-2"/>
          <w:sz w:val="24"/>
          <w:szCs w:val="24"/>
          <w:lang w:eastAsia="zh-CN"/>
        </w:rPr>
        <w:t>年，以期打造一个“陆海统筹，山海联动”的生态修复新范式。</w:t>
      </w:r>
    </w:p>
    <w:p w14:paraId="211ABAD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铁炉港红树林湿地保护修复项目是海南南部典型热带区域山水林田湖草沙一体化保护和修复工程之三十二子项目</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属海岸带生态保护修复单元中的重要</w:t>
      </w:r>
      <w:r>
        <w:rPr>
          <w:rFonts w:ascii="Times New Roman" w:eastAsia="宋体" w:hAnsi="Times New Roman" w:cs="宋体"/>
          <w:color w:val="auto"/>
          <w:spacing w:val="-2"/>
          <w:sz w:val="24"/>
          <w:szCs w:val="24"/>
          <w:lang w:eastAsia="zh-CN"/>
        </w:rPr>
        <w:t>物种栖息地和生物安全防治工程，该单元总体目标为入海水体提供最后一道稳定净化屏障，为海岸旅游经济提供优质生态环境，实现陆海统筹、综合修复。</w:t>
      </w:r>
    </w:p>
    <w:p w14:paraId="197EDEFE"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铁炉港部分河口与水动力较弱区域浅滩不断发育，南边海水域河道淤积较严</w:t>
      </w:r>
      <w:r>
        <w:rPr>
          <w:rFonts w:ascii="Times New Roman" w:eastAsia="宋体" w:hAnsi="Times New Roman" w:cs="宋体" w:hint="eastAsia"/>
          <w:color w:val="auto"/>
          <w:spacing w:val="-2"/>
          <w:sz w:val="24"/>
          <w:szCs w:val="24"/>
          <w:lang w:eastAsia="zh-CN"/>
        </w:rPr>
        <w:t xml:space="preserve"> </w:t>
      </w:r>
      <w:r>
        <w:rPr>
          <w:rFonts w:ascii="Times New Roman" w:eastAsia="宋体" w:hAnsi="Times New Roman" w:cs="宋体" w:hint="eastAsia"/>
          <w:color w:val="auto"/>
          <w:spacing w:val="-2"/>
          <w:sz w:val="24"/>
          <w:szCs w:val="24"/>
          <w:lang w:eastAsia="zh-CN"/>
        </w:rPr>
        <w:t>重，导致潮汐通道内水流不畅，降低了潟湖水体与外海水体的交换能力，影响红树林的生长。因此，通过对潟湖水动力较弱产生淤泥沉积的地方进行水系连通，</w:t>
      </w:r>
      <w:r>
        <w:rPr>
          <w:rFonts w:ascii="Times New Roman" w:eastAsia="宋体" w:hAnsi="Times New Roman" w:cs="宋体" w:hint="eastAsia"/>
          <w:color w:val="auto"/>
          <w:spacing w:val="-2"/>
          <w:sz w:val="24"/>
          <w:szCs w:val="24"/>
          <w:lang w:eastAsia="zh-CN"/>
        </w:rPr>
        <w:t xml:space="preserve"> </w:t>
      </w:r>
      <w:r>
        <w:rPr>
          <w:rFonts w:ascii="Times New Roman" w:eastAsia="宋体" w:hAnsi="Times New Roman" w:cs="宋体" w:hint="eastAsia"/>
          <w:color w:val="auto"/>
          <w:spacing w:val="-2"/>
          <w:sz w:val="24"/>
          <w:szCs w:val="24"/>
          <w:lang w:eastAsia="zh-CN"/>
        </w:rPr>
        <w:t>使生境更适宜于红树林生长，</w:t>
      </w:r>
      <w:r>
        <w:rPr>
          <w:rFonts w:ascii="Times New Roman" w:eastAsia="宋体" w:hAnsi="Times New Roman" w:cs="宋体" w:hint="eastAsia"/>
          <w:color w:val="auto"/>
          <w:sz w:val="24"/>
          <w:szCs w:val="24"/>
          <w:lang w:val="zh-CN" w:eastAsia="zh-CN"/>
        </w:rPr>
        <w:t>另一方面通过湿地的建设提升河口区纳潮排涝能力，进一步提升防灾减灾能力。</w:t>
      </w:r>
      <w:r>
        <w:rPr>
          <w:rFonts w:ascii="Times New Roman" w:eastAsia="宋体" w:hAnsi="Times New Roman" w:cs="宋体"/>
          <w:color w:val="auto"/>
          <w:spacing w:val="-2"/>
          <w:sz w:val="24"/>
          <w:szCs w:val="24"/>
          <w:lang w:eastAsia="zh-CN"/>
        </w:rPr>
        <w:t>因此，本项目主要是对</w:t>
      </w:r>
      <w:r>
        <w:rPr>
          <w:rFonts w:ascii="Times New Roman" w:eastAsia="宋体" w:hAnsi="Times New Roman" w:cs="宋体" w:hint="eastAsia"/>
          <w:color w:val="auto"/>
          <w:spacing w:val="-2"/>
          <w:sz w:val="24"/>
          <w:szCs w:val="24"/>
          <w:lang w:eastAsia="zh-CN"/>
        </w:rPr>
        <w:t>三亚铁炉港红树林滨海湿地生态系统进行保护修复</w:t>
      </w:r>
      <w:r>
        <w:rPr>
          <w:rFonts w:ascii="Times New Roman" w:eastAsia="宋体" w:hAnsi="Times New Roman" w:cs="宋体"/>
          <w:color w:val="auto"/>
          <w:spacing w:val="-2"/>
          <w:sz w:val="24"/>
          <w:szCs w:val="24"/>
          <w:lang w:eastAsia="zh-CN"/>
        </w:rPr>
        <w:t>，其选址具有唯一性。</w:t>
      </w:r>
    </w:p>
    <w:p w14:paraId="333D66AE" w14:textId="77777777" w:rsidR="0075791A" w:rsidRDefault="00FB2864">
      <w:pPr>
        <w:spacing w:line="360" w:lineRule="auto"/>
        <w:outlineLvl w:val="3"/>
        <w:rPr>
          <w:rFonts w:ascii="Times New Roman" w:eastAsia="宋体" w:hAnsi="Times New Roman" w:cs="宋体"/>
          <w:color w:val="auto"/>
          <w:sz w:val="24"/>
          <w:szCs w:val="24"/>
          <w:lang w:eastAsia="zh-CN"/>
        </w:rPr>
      </w:pPr>
      <w:hyperlink r:id="rId285" w:history="1">
        <w:r>
          <w:rPr>
            <w:rFonts w:ascii="Times New Roman" w:eastAsia="宋体" w:hAnsi="Times New Roman" w:hint="eastAsia"/>
            <w:b/>
            <w:color w:val="auto"/>
            <w:sz w:val="24"/>
            <w:szCs w:val="24"/>
            <w:lang w:eastAsia="zh-CN"/>
          </w:rPr>
          <w:t>7.1.1.2</w:t>
        </w:r>
      </w:hyperlink>
      <w:r>
        <w:rPr>
          <w:rFonts w:ascii="Times New Roman" w:eastAsia="宋体" w:hAnsi="Times New Roman" w:hint="eastAsia"/>
          <w:b/>
          <w:color w:val="auto"/>
          <w:sz w:val="24"/>
          <w:szCs w:val="24"/>
          <w:lang w:eastAsia="zh-CN"/>
        </w:rPr>
        <w:t>区位和社会条件适宜性</w:t>
      </w:r>
    </w:p>
    <w:p w14:paraId="5598E1B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lastRenderedPageBreak/>
        <w:t>项目区位于海棠湾“国家海岸”旅游度假区中，交通通达性强，可通过多条交通线路能够快速串联市区与主要交通节点，三亚市区约</w:t>
      </w:r>
      <w:r>
        <w:rPr>
          <w:rFonts w:ascii="Times New Roman" w:eastAsia="宋体" w:hAnsi="Times New Roman" w:cs="宋体" w:hint="eastAsia"/>
          <w:color w:val="auto"/>
          <w:spacing w:val="-2"/>
          <w:sz w:val="24"/>
          <w:szCs w:val="24"/>
          <w:lang w:eastAsia="zh-CN"/>
        </w:rPr>
        <w:t>15</w:t>
      </w:r>
      <w:r>
        <w:rPr>
          <w:rFonts w:ascii="Times New Roman" w:eastAsia="宋体" w:hAnsi="Times New Roman" w:cs="宋体" w:hint="eastAsia"/>
          <w:color w:val="auto"/>
          <w:spacing w:val="-2"/>
          <w:sz w:val="24"/>
          <w:szCs w:val="24"/>
          <w:lang w:eastAsia="zh-CN"/>
        </w:rPr>
        <w:t>公里、凤凰机场</w:t>
      </w:r>
      <w:r>
        <w:rPr>
          <w:rFonts w:ascii="Times New Roman" w:eastAsia="宋体" w:hAnsi="Times New Roman" w:cs="宋体" w:hint="eastAsia"/>
          <w:color w:val="auto"/>
          <w:spacing w:val="-2"/>
          <w:sz w:val="24"/>
          <w:szCs w:val="24"/>
          <w:lang w:eastAsia="zh-CN"/>
        </w:rPr>
        <w:t>29</w:t>
      </w:r>
      <w:r>
        <w:rPr>
          <w:rFonts w:ascii="Times New Roman" w:eastAsia="宋体" w:hAnsi="Times New Roman" w:cs="宋体" w:hint="eastAsia"/>
          <w:color w:val="auto"/>
          <w:spacing w:val="-2"/>
          <w:sz w:val="24"/>
          <w:szCs w:val="24"/>
          <w:lang w:eastAsia="zh-CN"/>
        </w:rPr>
        <w:t>公里、亚龙湾高铁站</w:t>
      </w:r>
      <w:r>
        <w:rPr>
          <w:rFonts w:ascii="Times New Roman" w:eastAsia="宋体" w:hAnsi="Times New Roman" w:cs="宋体" w:hint="eastAsia"/>
          <w:color w:val="auto"/>
          <w:spacing w:val="-2"/>
          <w:sz w:val="24"/>
          <w:szCs w:val="24"/>
          <w:lang w:eastAsia="zh-CN"/>
        </w:rPr>
        <w:t>8</w:t>
      </w:r>
      <w:r>
        <w:rPr>
          <w:rFonts w:ascii="Times New Roman" w:eastAsia="宋体" w:hAnsi="Times New Roman" w:cs="宋体" w:hint="eastAsia"/>
          <w:color w:val="auto"/>
          <w:spacing w:val="-2"/>
          <w:sz w:val="24"/>
          <w:szCs w:val="24"/>
          <w:lang w:eastAsia="zh-CN"/>
        </w:rPr>
        <w:t>公里。进入项目区主要路线由</w:t>
      </w:r>
      <w:r>
        <w:rPr>
          <w:rFonts w:ascii="Times New Roman" w:eastAsia="宋体" w:hAnsi="Times New Roman" w:cs="宋体" w:hint="eastAsia"/>
          <w:color w:val="auto"/>
          <w:spacing w:val="-2"/>
          <w:sz w:val="24"/>
          <w:szCs w:val="24"/>
          <w:lang w:eastAsia="zh-CN"/>
        </w:rPr>
        <w:t>G233</w:t>
      </w:r>
      <w:r>
        <w:rPr>
          <w:rFonts w:ascii="Times New Roman" w:eastAsia="宋体" w:hAnsi="Times New Roman" w:cs="宋体" w:hint="eastAsia"/>
          <w:color w:val="auto"/>
          <w:spacing w:val="-2"/>
          <w:sz w:val="24"/>
          <w:szCs w:val="24"/>
          <w:lang w:eastAsia="zh-CN"/>
        </w:rPr>
        <w:t>国道途经江林路、</w:t>
      </w:r>
      <w:r>
        <w:rPr>
          <w:rFonts w:ascii="Times New Roman" w:eastAsia="宋体" w:hAnsi="Times New Roman" w:cs="宋体" w:hint="eastAsia"/>
          <w:color w:val="auto"/>
          <w:spacing w:val="-2"/>
          <w:sz w:val="24"/>
          <w:szCs w:val="24"/>
          <w:lang w:eastAsia="zh-CN"/>
        </w:rPr>
        <w:t>X822</w:t>
      </w:r>
      <w:r>
        <w:rPr>
          <w:rFonts w:ascii="Times New Roman" w:eastAsia="宋体" w:hAnsi="Times New Roman" w:cs="宋体" w:hint="eastAsia"/>
          <w:color w:val="auto"/>
          <w:spacing w:val="-2"/>
          <w:sz w:val="24"/>
          <w:szCs w:val="24"/>
          <w:lang w:eastAsia="zh-CN"/>
        </w:rPr>
        <w:t>县道进入。本项目工程水电和交通等配套条件也相对较好，具有较好的施工条件。海南地区已进驻多家经验丰富、施工能力较强的工程专业的施工企业，技术力量雄厚，施工设备齐全，可承担本工程的施工任务。</w:t>
      </w:r>
    </w:p>
    <w:p w14:paraId="65185F1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项</w:t>
      </w:r>
      <w:r>
        <w:rPr>
          <w:rFonts w:ascii="Times New Roman" w:eastAsia="宋体" w:hAnsi="Times New Roman" w:cs="宋体" w:hint="eastAsia"/>
          <w:color w:val="auto"/>
          <w:spacing w:val="-2"/>
          <w:sz w:val="24"/>
          <w:szCs w:val="24"/>
          <w:lang w:eastAsia="zh-CN"/>
        </w:rPr>
        <w:t>目所在的国土空间功能分区为铁炉港潟湖生态保护区，其中疏浚工程主要位于核心区，构筑物建设主要位于实验区。根据《中华人民共和国自然保护区条例》，生态修复活动可进入自然保护区核心区，本项目为生态修复类项目，符合《中华人民共和国自然保护区条例》；同时本项目也是是《中华人民共和国森林法》《中华人民共和国湿地保护法》《中华人民共和国海洋环境保护法》等法律法规支持开展的红树林森林资源、红树林湿地和红树林典型生态系统保护修复项目。</w:t>
      </w:r>
    </w:p>
    <w:p w14:paraId="7305740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2023</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6</w:t>
      </w:r>
      <w:r>
        <w:rPr>
          <w:rFonts w:ascii="Times New Roman" w:eastAsia="宋体" w:hAnsi="Times New Roman" w:cs="宋体" w:hint="eastAsia"/>
          <w:color w:val="auto"/>
          <w:spacing w:val="-2"/>
          <w:sz w:val="24"/>
          <w:szCs w:val="24"/>
          <w:lang w:eastAsia="zh-CN"/>
        </w:rPr>
        <w:t>月，海南南部典型热带区域山水林田湖草沙一体化保护和修复工程成功入围国家“十四五”</w:t>
      </w:r>
      <w:r>
        <w:rPr>
          <w:rFonts w:ascii="Times New Roman" w:eastAsia="宋体" w:hAnsi="Times New Roman" w:cs="宋体" w:hint="eastAsia"/>
          <w:color w:val="auto"/>
          <w:spacing w:val="-2"/>
          <w:sz w:val="24"/>
          <w:szCs w:val="24"/>
          <w:lang w:eastAsia="zh-CN"/>
        </w:rPr>
        <w:t>第三批山水林田湖草沙一体化保护和修复工程项目，为中央财政资金支持的国家重大生态保护修复工程项目。本项目作为海南南部典型热带区域实施山水林田湖草沙一体化保护和修复工程子项目之一，于</w:t>
      </w:r>
      <w:r>
        <w:rPr>
          <w:rFonts w:ascii="Times New Roman" w:eastAsia="宋体" w:hAnsi="Times New Roman" w:cs="宋体" w:hint="eastAsia"/>
          <w:color w:val="auto"/>
          <w:spacing w:val="-2"/>
          <w:sz w:val="24"/>
          <w:szCs w:val="24"/>
          <w:lang w:eastAsia="zh-CN"/>
        </w:rPr>
        <w:t>2023</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月取得立项批复和项目可行性研究报告的批复，并于</w:t>
      </w:r>
      <w:r>
        <w:rPr>
          <w:rFonts w:ascii="Times New Roman" w:eastAsia="宋体" w:hAnsi="Times New Roman" w:cs="宋体" w:hint="eastAsia"/>
          <w:color w:val="auto"/>
          <w:spacing w:val="-2"/>
          <w:sz w:val="24"/>
          <w:szCs w:val="24"/>
          <w:lang w:eastAsia="zh-CN"/>
        </w:rPr>
        <w:t>2024</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9</w:t>
      </w:r>
      <w:r>
        <w:rPr>
          <w:rFonts w:ascii="Times New Roman" w:eastAsia="宋体" w:hAnsi="Times New Roman" w:cs="宋体" w:hint="eastAsia"/>
          <w:color w:val="auto"/>
          <w:spacing w:val="-2"/>
          <w:sz w:val="24"/>
          <w:szCs w:val="24"/>
          <w:lang w:eastAsia="zh-CN"/>
        </w:rPr>
        <w:t>月取得项目初步设计及概算批复。</w:t>
      </w:r>
      <w:r>
        <w:rPr>
          <w:rFonts w:ascii="Times New Roman" w:eastAsia="宋体" w:hAnsi="Times New Roman" w:cs="宋体" w:hint="eastAsia"/>
          <w:color w:val="auto"/>
          <w:spacing w:val="-2"/>
          <w:sz w:val="24"/>
          <w:szCs w:val="24"/>
          <w:lang w:eastAsia="zh-CN"/>
        </w:rPr>
        <w:t>根据《海南省人民政府办公厅关于印发海南省生态保护红线准入管理目录</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修</w:t>
      </w:r>
      <w:r>
        <w:rPr>
          <w:rFonts w:ascii="Times New Roman" w:hAnsi="Times New Roman" w:cs="宋体" w:hint="eastAsia"/>
          <w:color w:val="auto"/>
          <w:spacing w:val="-2"/>
          <w:sz w:val="24"/>
          <w:szCs w:val="24"/>
          <w:lang w:eastAsia="zh-CN"/>
        </w:rPr>
        <w:t>订</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的通知》</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琼府办</w:t>
      </w:r>
      <w:r>
        <w:rPr>
          <w:rFonts w:ascii="Times New Roman" w:eastAsia="宋体" w:hAnsi="Times New Roman" w:cs="宋体" w:hint="eastAsia"/>
          <w:color w:val="auto"/>
          <w:spacing w:val="-2"/>
          <w:sz w:val="24"/>
          <w:szCs w:val="24"/>
          <w:lang w:eastAsia="zh-CN"/>
        </w:rPr>
        <w:t xml:space="preserve">(2023)4 </w:t>
      </w:r>
      <w:r>
        <w:rPr>
          <w:rFonts w:ascii="Times New Roman" w:eastAsia="宋体" w:hAnsi="Times New Roman" w:cs="宋体" w:hint="eastAsia"/>
          <w:color w:val="auto"/>
          <w:spacing w:val="-2"/>
          <w:sz w:val="24"/>
          <w:szCs w:val="24"/>
          <w:lang w:eastAsia="zh-CN"/>
        </w:rPr>
        <w:t>号</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，自然保护地核心区生态修复活动应取得相关批准批复后，符合上述法律法规及相关文件规定的关于核心保护区、一般控制区的管控要求。</w:t>
      </w:r>
    </w:p>
    <w:p w14:paraId="33416652"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综上所述，项目所在区位和社会条件相适宜。</w:t>
      </w:r>
    </w:p>
    <w:p w14:paraId="6EFF24BD"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33" w:name="_Toc14800"/>
      <w:r>
        <w:rPr>
          <w:rFonts w:ascii="Times New Roman" w:hAnsi="Times New Roman" w:hint="eastAsia"/>
          <w:color w:val="auto"/>
          <w:sz w:val="28"/>
          <w:szCs w:val="28"/>
          <w:lang w:eastAsia="zh-CN"/>
        </w:rPr>
        <w:t>7.1.2</w:t>
      </w:r>
      <w:r>
        <w:rPr>
          <w:rFonts w:ascii="Times New Roman" w:hAnsi="Times New Roman" w:hint="eastAsia"/>
          <w:color w:val="auto"/>
          <w:sz w:val="28"/>
          <w:szCs w:val="28"/>
          <w:lang w:eastAsia="zh-CN"/>
        </w:rPr>
        <w:t>自然资源和海洋生态适宜性</w:t>
      </w:r>
      <w:bookmarkEnd w:id="333"/>
    </w:p>
    <w:p w14:paraId="4D315567" w14:textId="3BD21833" w:rsidR="0075791A" w:rsidRDefault="00FB2864">
      <w:pPr>
        <w:spacing w:line="360" w:lineRule="auto"/>
        <w:outlineLvl w:val="3"/>
        <w:rPr>
          <w:rFonts w:ascii="Times New Roman" w:eastAsia="宋体" w:hAnsi="Times New Roman" w:cs="宋体"/>
          <w:color w:val="auto"/>
          <w:sz w:val="24"/>
          <w:szCs w:val="24"/>
          <w:lang w:eastAsia="zh-CN"/>
        </w:rPr>
      </w:pPr>
      <w:hyperlink r:id="rId286" w:history="1">
        <w:r>
          <w:rPr>
            <w:rFonts w:ascii="Times New Roman" w:eastAsia="宋体" w:hAnsi="Times New Roman" w:hint="eastAsia"/>
            <w:b/>
            <w:color w:val="auto"/>
            <w:sz w:val="24"/>
            <w:szCs w:val="24"/>
            <w:lang w:eastAsia="zh-CN"/>
          </w:rPr>
          <w:t>7.1.2.1</w:t>
        </w:r>
      </w:hyperlink>
      <w:r>
        <w:rPr>
          <w:rFonts w:ascii="Times New Roman" w:eastAsia="宋体" w:hAnsi="Times New Roman" w:hint="eastAsia"/>
          <w:b/>
          <w:color w:val="auto"/>
          <w:sz w:val="24"/>
          <w:szCs w:val="24"/>
          <w:lang w:eastAsia="zh-CN"/>
        </w:rPr>
        <w:t>区域气</w:t>
      </w:r>
      <w:r w:rsidR="00C80C81" w:rsidRPr="00C80C81">
        <w:rPr>
          <w:rFonts w:ascii="Times New Roman" w:eastAsia="宋体" w:hAnsi="Times New Roman" w:hint="eastAsia"/>
          <w:b/>
          <w:color w:val="auto"/>
          <w:sz w:val="24"/>
          <w:szCs w:val="24"/>
          <w:lang w:eastAsia="zh-CN"/>
        </w:rPr>
        <w:t>候</w:t>
      </w:r>
      <w:r>
        <w:rPr>
          <w:rFonts w:ascii="Times New Roman" w:eastAsia="宋体" w:hAnsi="Times New Roman" w:hint="eastAsia"/>
          <w:b/>
          <w:color w:val="auto"/>
          <w:sz w:val="24"/>
          <w:szCs w:val="24"/>
          <w:lang w:eastAsia="zh-CN"/>
        </w:rPr>
        <w:t>与气象条件适宜性</w:t>
      </w:r>
    </w:p>
    <w:p w14:paraId="78A63C3D" w14:textId="77777777" w:rsidR="0075791A" w:rsidRDefault="00FB2864">
      <w:pPr>
        <w:spacing w:line="360" w:lineRule="auto"/>
        <w:ind w:firstLineChars="200" w:firstLine="476"/>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pacing w:val="-2"/>
          <w:sz w:val="24"/>
          <w:szCs w:val="24"/>
          <w:lang w:eastAsia="zh-CN"/>
        </w:rPr>
        <w:t>自然保护区地处热带，属海南岛南部沿海半千旱气候区，是典型的海洋性气候</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光照资源丰富</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年日照时数达</w:t>
      </w:r>
      <w:r>
        <w:rPr>
          <w:rFonts w:ascii="Times New Roman" w:eastAsia="宋体" w:hAnsi="Times New Roman" w:cs="宋体" w:hint="eastAsia"/>
          <w:color w:val="auto"/>
          <w:spacing w:val="-2"/>
          <w:sz w:val="24"/>
          <w:szCs w:val="24"/>
          <w:lang w:eastAsia="zh-CN"/>
        </w:rPr>
        <w:t>2400~2600</w:t>
      </w:r>
      <w:r>
        <w:rPr>
          <w:rFonts w:ascii="Times New Roman" w:eastAsia="宋体" w:hAnsi="Times New Roman" w:cs="宋体" w:hint="eastAsia"/>
          <w:color w:val="auto"/>
          <w:spacing w:val="-2"/>
          <w:sz w:val="24"/>
          <w:szCs w:val="24"/>
          <w:lang w:eastAsia="zh-CN"/>
        </w:rPr>
        <w:t>小时之间，年辐射总量</w:t>
      </w:r>
      <w:r>
        <w:rPr>
          <w:rFonts w:ascii="Times New Roman" w:eastAsia="宋体" w:hAnsi="Times New Roman" w:cs="宋体" w:hint="eastAsia"/>
          <w:color w:val="auto"/>
          <w:spacing w:val="-2"/>
          <w:sz w:val="24"/>
          <w:szCs w:val="24"/>
          <w:lang w:eastAsia="zh-CN"/>
        </w:rPr>
        <w:t>5799MJ/m2</w:t>
      </w:r>
      <w:r>
        <w:rPr>
          <w:rFonts w:ascii="Times New Roman" w:eastAsia="宋体" w:hAnsi="Times New Roman" w:cs="宋体" w:hint="eastAsia"/>
          <w:color w:val="auto"/>
          <w:spacing w:val="-2"/>
          <w:sz w:val="24"/>
          <w:szCs w:val="24"/>
          <w:lang w:eastAsia="zh-CN"/>
        </w:rPr>
        <w:t>与海南岛其他地区相比属中上游水平；年平均气温达</w:t>
      </w:r>
      <w:r>
        <w:rPr>
          <w:rFonts w:ascii="Times New Roman" w:eastAsia="宋体" w:hAnsi="Times New Roman" w:cs="宋体" w:hint="eastAsia"/>
          <w:color w:val="auto"/>
          <w:spacing w:val="-2"/>
          <w:sz w:val="24"/>
          <w:szCs w:val="24"/>
          <w:lang w:eastAsia="zh-CN"/>
        </w:rPr>
        <w:t>25C</w:t>
      </w:r>
      <w:r>
        <w:rPr>
          <w:rFonts w:ascii="Times New Roman" w:eastAsia="宋体" w:hAnsi="Times New Roman" w:cs="宋体" w:hint="eastAsia"/>
          <w:color w:val="auto"/>
          <w:spacing w:val="-2"/>
          <w:sz w:val="24"/>
          <w:szCs w:val="24"/>
          <w:lang w:eastAsia="zh-CN"/>
        </w:rPr>
        <w:t>以上，日平均气温</w:t>
      </w:r>
      <w:r>
        <w:rPr>
          <w:rFonts w:ascii="Times New Roman" w:eastAsia="宋体" w:hAnsi="Times New Roman" w:cs="宋体" w:hint="eastAsia"/>
          <w:color w:val="auto"/>
          <w:spacing w:val="-2"/>
          <w:sz w:val="24"/>
          <w:szCs w:val="24"/>
          <w:lang w:eastAsia="zh-CN"/>
        </w:rPr>
        <w:t>&gt;10</w:t>
      </w:r>
      <w:r>
        <w:rPr>
          <w:rFonts w:ascii="Times New Roman" w:eastAsia="宋体" w:hAnsi="Times New Roman" w:cs="宋体" w:hint="eastAsia"/>
          <w:color w:val="auto"/>
          <w:spacing w:val="-2"/>
          <w:sz w:val="24"/>
          <w:szCs w:val="24"/>
          <w:lang w:eastAsia="zh-CN"/>
        </w:rPr>
        <w:t>的年积温在</w:t>
      </w:r>
      <w:r>
        <w:rPr>
          <w:rFonts w:ascii="Times New Roman" w:eastAsia="宋体" w:hAnsi="Times New Roman" w:cs="宋体" w:hint="eastAsia"/>
          <w:color w:val="auto"/>
          <w:spacing w:val="-2"/>
          <w:sz w:val="24"/>
          <w:szCs w:val="24"/>
          <w:lang w:eastAsia="zh-CN"/>
        </w:rPr>
        <w:t>9200C</w:t>
      </w:r>
      <w:r>
        <w:rPr>
          <w:rFonts w:ascii="Times New Roman" w:eastAsia="宋体" w:hAnsi="Times New Roman" w:cs="宋体" w:hint="eastAsia"/>
          <w:color w:val="auto"/>
          <w:spacing w:val="-2"/>
          <w:sz w:val="24"/>
          <w:szCs w:val="24"/>
          <w:lang w:eastAsia="zh-CN"/>
        </w:rPr>
        <w:t>左右，年最低气温</w:t>
      </w:r>
      <w:r>
        <w:rPr>
          <w:rFonts w:ascii="Times New Roman" w:eastAsia="宋体" w:hAnsi="Times New Roman" w:cs="宋体" w:hint="eastAsia"/>
          <w:color w:val="auto"/>
          <w:spacing w:val="-2"/>
          <w:sz w:val="24"/>
          <w:szCs w:val="24"/>
          <w:lang w:eastAsia="zh-CN"/>
        </w:rPr>
        <w:t>9C</w:t>
      </w:r>
      <w:r>
        <w:rPr>
          <w:rFonts w:ascii="Times New Roman" w:eastAsia="宋体" w:hAnsi="Times New Roman" w:cs="宋体" w:hint="eastAsia"/>
          <w:color w:val="auto"/>
          <w:spacing w:val="-2"/>
          <w:sz w:val="24"/>
          <w:szCs w:val="24"/>
          <w:lang w:eastAsia="zh-CN"/>
        </w:rPr>
        <w:t>以上；总体气候相对海南岛其他地区属于早气候区，年降水量</w:t>
      </w:r>
      <w:r>
        <w:rPr>
          <w:rFonts w:ascii="Times New Roman" w:eastAsia="宋体" w:hAnsi="Times New Roman" w:cs="宋体" w:hint="eastAsia"/>
          <w:color w:val="auto"/>
          <w:spacing w:val="-2"/>
          <w:sz w:val="24"/>
          <w:szCs w:val="24"/>
          <w:lang w:eastAsia="zh-CN"/>
        </w:rPr>
        <w:t>1475m</w:t>
      </w:r>
      <w:r>
        <w:rPr>
          <w:rFonts w:ascii="Times New Roman" w:eastAsia="宋体" w:hAnsi="Times New Roman" w:cs="宋体" w:hint="eastAsia"/>
          <w:color w:val="auto"/>
          <w:spacing w:val="-2"/>
          <w:sz w:val="24"/>
          <w:szCs w:val="24"/>
          <w:lang w:eastAsia="zh-CN"/>
        </w:rPr>
        <w:t>，年台风降水量</w:t>
      </w:r>
      <w:r>
        <w:rPr>
          <w:rFonts w:ascii="Times New Roman" w:eastAsia="宋体" w:hAnsi="Times New Roman" w:cs="宋体" w:hint="eastAsia"/>
          <w:color w:val="auto"/>
          <w:spacing w:val="-2"/>
          <w:sz w:val="24"/>
          <w:szCs w:val="24"/>
          <w:lang w:eastAsia="zh-CN"/>
        </w:rPr>
        <w:t>500mm</w:t>
      </w:r>
      <w:r>
        <w:rPr>
          <w:rFonts w:ascii="Times New Roman" w:eastAsia="宋体" w:hAnsi="Times New Roman" w:cs="宋体" w:hint="eastAsia"/>
          <w:color w:val="auto"/>
          <w:spacing w:val="-2"/>
          <w:sz w:val="24"/>
          <w:szCs w:val="24"/>
          <w:lang w:eastAsia="zh-CN"/>
        </w:rPr>
        <w:t>以下，雨季</w:t>
      </w:r>
      <w:r>
        <w:rPr>
          <w:rFonts w:ascii="Times New Roman" w:eastAsia="宋体" w:hAnsi="Times New Roman" w:cs="宋体" w:hint="eastAsia"/>
          <w:color w:val="auto"/>
          <w:spacing w:val="-2"/>
          <w:sz w:val="24"/>
          <w:szCs w:val="24"/>
          <w:lang w:eastAsia="zh-CN"/>
        </w:rPr>
        <w:t>(5~10</w:t>
      </w:r>
      <w:r>
        <w:rPr>
          <w:rFonts w:ascii="Times New Roman" w:eastAsia="宋体" w:hAnsi="Times New Roman" w:cs="宋体" w:hint="eastAsia"/>
          <w:color w:val="auto"/>
          <w:spacing w:val="-2"/>
          <w:sz w:val="24"/>
          <w:szCs w:val="24"/>
          <w:lang w:eastAsia="zh-CN"/>
        </w:rPr>
        <w:t>月</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降水量</w:t>
      </w:r>
      <w:r>
        <w:rPr>
          <w:rFonts w:ascii="Times New Roman" w:eastAsia="宋体" w:hAnsi="Times New Roman" w:cs="宋体" w:hint="eastAsia"/>
          <w:color w:val="auto"/>
          <w:spacing w:val="-2"/>
          <w:sz w:val="24"/>
          <w:szCs w:val="24"/>
          <w:lang w:eastAsia="zh-CN"/>
        </w:rPr>
        <w:t>1000~1200mm</w:t>
      </w:r>
      <w:r>
        <w:rPr>
          <w:rFonts w:ascii="Times New Roman" w:eastAsia="宋体" w:hAnsi="Times New Roman" w:cs="宋体" w:hint="eastAsia"/>
          <w:color w:val="auto"/>
          <w:spacing w:val="-2"/>
          <w:sz w:val="24"/>
          <w:szCs w:val="24"/>
          <w:lang w:eastAsia="zh-CN"/>
        </w:rPr>
        <w:t>之间，早季</w:t>
      </w:r>
      <w:r>
        <w:rPr>
          <w:rFonts w:ascii="Times New Roman" w:eastAsia="宋体" w:hAnsi="Times New Roman" w:cs="宋体" w:hint="eastAsia"/>
          <w:color w:val="auto"/>
          <w:spacing w:val="-2"/>
          <w:sz w:val="24"/>
          <w:szCs w:val="24"/>
          <w:lang w:eastAsia="zh-CN"/>
        </w:rPr>
        <w:t>(1~4</w:t>
      </w:r>
      <w:r>
        <w:rPr>
          <w:rFonts w:ascii="Times New Roman" w:eastAsia="宋体" w:hAnsi="Times New Roman" w:cs="宋体" w:hint="eastAsia"/>
          <w:color w:val="auto"/>
          <w:spacing w:val="-2"/>
          <w:sz w:val="24"/>
          <w:szCs w:val="24"/>
          <w:lang w:eastAsia="zh-CN"/>
        </w:rPr>
        <w:t>月</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降水量在</w:t>
      </w:r>
      <w:r>
        <w:rPr>
          <w:rFonts w:ascii="Times New Roman" w:eastAsia="宋体" w:hAnsi="Times New Roman" w:cs="宋体" w:hint="eastAsia"/>
          <w:color w:val="auto"/>
          <w:spacing w:val="-2"/>
          <w:sz w:val="24"/>
          <w:szCs w:val="24"/>
          <w:lang w:eastAsia="zh-CN"/>
        </w:rPr>
        <w:t>100~200mm</w:t>
      </w:r>
      <w:r>
        <w:rPr>
          <w:rFonts w:ascii="Times New Roman" w:eastAsia="宋体" w:hAnsi="Times New Roman" w:cs="宋体" w:hint="eastAsia"/>
          <w:color w:val="auto"/>
          <w:spacing w:val="-2"/>
          <w:sz w:val="24"/>
          <w:szCs w:val="24"/>
          <w:lang w:eastAsia="zh-CN"/>
        </w:rPr>
        <w:t>之间，总降水量在海南岛算较低水平</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每年受东南方向台风中度影</w:t>
      </w:r>
      <w:r>
        <w:rPr>
          <w:rFonts w:ascii="Times New Roman" w:eastAsia="宋体" w:hAnsi="Times New Roman" w:cs="宋体" w:hint="eastAsia"/>
          <w:color w:val="auto"/>
          <w:spacing w:val="-2"/>
          <w:sz w:val="24"/>
          <w:szCs w:val="24"/>
          <w:lang w:eastAsia="zh-CN"/>
        </w:rPr>
        <w:t>响。近十年来，平均每年登陆三亚热带气旋不足</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个，在</w:t>
      </w:r>
      <w:r>
        <w:rPr>
          <w:rFonts w:ascii="Times New Roman" w:eastAsia="宋体" w:hAnsi="Times New Roman" w:cs="宋体" w:hint="eastAsia"/>
          <w:color w:val="auto"/>
          <w:spacing w:val="-2"/>
          <w:sz w:val="24"/>
          <w:szCs w:val="24"/>
          <w:lang w:eastAsia="zh-CN"/>
        </w:rPr>
        <w:t>7</w:t>
      </w:r>
      <w:r>
        <w:rPr>
          <w:rFonts w:ascii="Times New Roman" w:eastAsia="宋体" w:hAnsi="Times New Roman" w:cs="宋体" w:hint="eastAsia"/>
          <w:color w:val="auto"/>
          <w:spacing w:val="-2"/>
          <w:sz w:val="24"/>
          <w:szCs w:val="24"/>
          <w:lang w:eastAsia="zh-CN"/>
        </w:rPr>
        <w:t>月登陆次数最多，</w:t>
      </w:r>
      <w:r>
        <w:rPr>
          <w:rFonts w:ascii="Times New Roman" w:eastAsia="宋体" w:hAnsi="Times New Roman" w:cs="宋体" w:hint="eastAsia"/>
          <w:color w:val="auto"/>
          <w:spacing w:val="-2"/>
          <w:sz w:val="24"/>
          <w:szCs w:val="24"/>
          <w:lang w:eastAsia="zh-CN"/>
        </w:rPr>
        <w:t>6</w:t>
      </w:r>
      <w:r>
        <w:rPr>
          <w:rFonts w:ascii="Times New Roman" w:eastAsia="宋体" w:hAnsi="Times New Roman" w:cs="宋体" w:hint="eastAsia"/>
          <w:color w:val="auto"/>
          <w:spacing w:val="-2"/>
          <w:sz w:val="24"/>
          <w:szCs w:val="24"/>
          <w:lang w:eastAsia="zh-CN"/>
        </w:rPr>
        <w:t>月和</w:t>
      </w:r>
      <w:r>
        <w:rPr>
          <w:rFonts w:ascii="Times New Roman" w:eastAsia="宋体" w:hAnsi="Times New Roman" w:cs="宋体" w:hint="eastAsia"/>
          <w:color w:val="auto"/>
          <w:spacing w:val="-2"/>
          <w:sz w:val="24"/>
          <w:szCs w:val="24"/>
          <w:lang w:eastAsia="zh-CN"/>
        </w:rPr>
        <w:t>8</w:t>
      </w:r>
      <w:r>
        <w:rPr>
          <w:rFonts w:ascii="Times New Roman" w:eastAsia="宋体" w:hAnsi="Times New Roman" w:cs="宋体" w:hint="eastAsia"/>
          <w:color w:val="auto"/>
          <w:spacing w:val="-2"/>
          <w:sz w:val="24"/>
          <w:szCs w:val="24"/>
          <w:lang w:eastAsia="zh-CN"/>
        </w:rPr>
        <w:t>月为其次，</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月～</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月和</w:t>
      </w:r>
      <w:r>
        <w:rPr>
          <w:rFonts w:ascii="Times New Roman" w:eastAsia="宋体" w:hAnsi="Times New Roman" w:cs="宋体" w:hint="eastAsia"/>
          <w:color w:val="auto"/>
          <w:spacing w:val="-2"/>
          <w:sz w:val="24"/>
          <w:szCs w:val="24"/>
          <w:lang w:eastAsia="zh-CN"/>
        </w:rPr>
        <w:t>12</w:t>
      </w:r>
      <w:r>
        <w:rPr>
          <w:rFonts w:ascii="Times New Roman" w:eastAsia="宋体" w:hAnsi="Times New Roman" w:cs="宋体" w:hint="eastAsia"/>
          <w:color w:val="auto"/>
          <w:spacing w:val="-2"/>
          <w:sz w:val="24"/>
          <w:szCs w:val="24"/>
          <w:lang w:eastAsia="zh-CN"/>
        </w:rPr>
        <w:t>月没有热带气旋。</w:t>
      </w:r>
      <w:r>
        <w:rPr>
          <w:rFonts w:ascii="Times New Roman" w:eastAsia="宋体" w:hAnsi="Times New Roman" w:cs="宋体"/>
          <w:color w:val="auto"/>
          <w:spacing w:val="-2"/>
          <w:sz w:val="24"/>
          <w:szCs w:val="24"/>
          <w:lang w:eastAsia="zh-CN"/>
        </w:rPr>
        <w:t>一年中可供施工的时间较长。</w:t>
      </w:r>
    </w:p>
    <w:p w14:paraId="1C61D89D" w14:textId="77777777" w:rsidR="0075791A" w:rsidRDefault="00FB2864">
      <w:pPr>
        <w:spacing w:line="360" w:lineRule="auto"/>
        <w:outlineLvl w:val="3"/>
        <w:rPr>
          <w:rFonts w:ascii="Times New Roman" w:eastAsia="宋体" w:hAnsi="Times New Roman" w:cs="宋体"/>
          <w:color w:val="auto"/>
          <w:sz w:val="24"/>
          <w:szCs w:val="24"/>
          <w:lang w:eastAsia="zh-CN"/>
        </w:rPr>
      </w:pPr>
      <w:hyperlink r:id="rId287" w:history="1">
        <w:r>
          <w:rPr>
            <w:rFonts w:ascii="Times New Roman" w:eastAsia="宋体" w:hAnsi="Times New Roman" w:hint="eastAsia"/>
            <w:b/>
            <w:color w:val="auto"/>
            <w:sz w:val="24"/>
            <w:szCs w:val="24"/>
            <w:lang w:eastAsia="zh-CN"/>
          </w:rPr>
          <w:t>7.1.2.2</w:t>
        </w:r>
      </w:hyperlink>
      <w:r>
        <w:rPr>
          <w:rFonts w:ascii="Times New Roman" w:eastAsia="宋体" w:hAnsi="Times New Roman" w:hint="eastAsia"/>
          <w:b/>
          <w:color w:val="auto"/>
          <w:sz w:val="24"/>
          <w:szCs w:val="24"/>
          <w:lang w:eastAsia="zh-CN"/>
        </w:rPr>
        <w:t>水文动力环境适宜性</w:t>
      </w:r>
    </w:p>
    <w:p w14:paraId="70BFBA9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铁炉港水域海水主要由海棠湾入海口注入，淡水来源主要由江林河、石龟岭、青田村、上新村、林旺村、田堀村等水系汇入。铁炉港海水盐度稳定在</w:t>
      </w:r>
      <w:r>
        <w:rPr>
          <w:rFonts w:ascii="Times New Roman" w:eastAsia="宋体" w:hAnsi="Times New Roman" w:cs="宋体" w:hint="eastAsia"/>
          <w:color w:val="auto"/>
          <w:spacing w:val="-2"/>
          <w:sz w:val="24"/>
          <w:szCs w:val="24"/>
          <w:lang w:eastAsia="zh-CN"/>
        </w:rPr>
        <w:t>28-31%</w:t>
      </w:r>
      <w:r>
        <w:rPr>
          <w:rFonts w:ascii="Times New Roman" w:eastAsia="宋体" w:hAnsi="Times New Roman" w:cs="宋体" w:hint="eastAsia"/>
          <w:color w:val="auto"/>
          <w:spacing w:val="-2"/>
          <w:sz w:val="24"/>
          <w:szCs w:val="24"/>
          <w:lang w:eastAsia="zh-CN"/>
        </w:rPr>
        <w:t>之间，局部因为有淡水输入盐度稍低。最高值出现在顶这村和打狗坡村附近，而上新村外的水道因有淡水的供应盐度只有</w:t>
      </w:r>
      <w:r>
        <w:rPr>
          <w:rFonts w:ascii="Times New Roman" w:eastAsia="宋体" w:hAnsi="Times New Roman" w:cs="宋体" w:hint="eastAsia"/>
          <w:color w:val="auto"/>
          <w:spacing w:val="-2"/>
          <w:sz w:val="24"/>
          <w:szCs w:val="24"/>
          <w:lang w:eastAsia="zh-CN"/>
        </w:rPr>
        <w:t>15.3%</w:t>
      </w:r>
      <w:r>
        <w:rPr>
          <w:rFonts w:ascii="Times New Roman" w:eastAsia="宋体" w:hAnsi="Times New Roman" w:cs="宋体" w:hint="eastAsia"/>
          <w:color w:val="auto"/>
          <w:spacing w:val="-2"/>
          <w:sz w:val="24"/>
          <w:szCs w:val="24"/>
          <w:lang w:eastAsia="zh-CN"/>
        </w:rPr>
        <w:t>，青田村、深田村附近站位有</w:t>
      </w:r>
      <w:r>
        <w:rPr>
          <w:rFonts w:ascii="Times New Roman" w:eastAsia="宋体" w:hAnsi="Times New Roman" w:cs="宋体" w:hint="eastAsia"/>
          <w:color w:val="auto"/>
          <w:spacing w:val="-2"/>
          <w:sz w:val="24"/>
          <w:szCs w:val="24"/>
          <w:lang w:eastAsia="zh-CN"/>
        </w:rPr>
        <w:t>少量淡水输入，盐度稍低，项目区域内水文环境适合红树林生长。</w:t>
      </w:r>
    </w:p>
    <w:p w14:paraId="06668F4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铁炉港海中海高尔夫球场北侧浅滩不断发育，南边海水域水道淤积较严重，导致潮汐通道内水流不畅，降低了潟湖水体与外海水体的交换能力，使得潟湖内水质较差，影响红树林、海草床的生长。因此，通过对潟湖水动力较弱导致淤泥沉积的地方进行清淤疏浚，使得水系连通，</w:t>
      </w:r>
      <w:r>
        <w:rPr>
          <w:rFonts w:ascii="Times New Roman" w:eastAsia="宋体" w:hAnsi="Times New Roman" w:cs="宋体" w:hint="eastAsia"/>
          <w:color w:val="auto"/>
          <w:spacing w:val="-2"/>
          <w:sz w:val="24"/>
          <w:szCs w:val="24"/>
          <w:lang w:eastAsia="zh-CN"/>
        </w:rPr>
        <w:t xml:space="preserve"> </w:t>
      </w:r>
      <w:r>
        <w:rPr>
          <w:rFonts w:ascii="Times New Roman" w:eastAsia="宋体" w:hAnsi="Times New Roman" w:cs="宋体" w:hint="eastAsia"/>
          <w:color w:val="auto"/>
          <w:spacing w:val="-2"/>
          <w:sz w:val="24"/>
          <w:szCs w:val="24"/>
          <w:lang w:eastAsia="zh-CN"/>
        </w:rPr>
        <w:t>水环境得到改善，进而潟湖生境更适宜于红树林、海草床生长，</w:t>
      </w:r>
      <w:r>
        <w:rPr>
          <w:rFonts w:ascii="Times New Roman" w:eastAsia="宋体" w:hAnsi="Times New Roman" w:cs="宋体" w:hint="eastAsia"/>
          <w:color w:val="auto"/>
          <w:sz w:val="24"/>
          <w:szCs w:val="24"/>
          <w:lang w:val="zh-CN" w:eastAsia="zh-CN"/>
        </w:rPr>
        <w:t>另一方面通过湿地的建设提升</w:t>
      </w:r>
      <w:r>
        <w:rPr>
          <w:rFonts w:ascii="Times New Roman" w:eastAsia="宋体" w:hAnsi="Times New Roman" w:cs="宋体" w:hint="eastAsia"/>
          <w:color w:val="auto"/>
          <w:sz w:val="24"/>
          <w:szCs w:val="24"/>
          <w:lang w:eastAsia="zh-CN"/>
        </w:rPr>
        <w:t>潟湖区域</w:t>
      </w:r>
      <w:r>
        <w:rPr>
          <w:rFonts w:ascii="Times New Roman" w:eastAsia="宋体" w:hAnsi="Times New Roman" w:cs="宋体" w:hint="eastAsia"/>
          <w:color w:val="auto"/>
          <w:sz w:val="24"/>
          <w:szCs w:val="24"/>
          <w:lang w:val="zh-CN" w:eastAsia="zh-CN"/>
        </w:rPr>
        <w:t>纳潮排涝能力，进一步提升防灾减灾能力。</w:t>
      </w:r>
    </w:p>
    <w:p w14:paraId="27941913" w14:textId="77777777" w:rsidR="0075791A" w:rsidRDefault="00FB2864">
      <w:pPr>
        <w:spacing w:line="360" w:lineRule="auto"/>
        <w:outlineLvl w:val="3"/>
        <w:rPr>
          <w:rFonts w:ascii="Times New Roman" w:eastAsia="宋体" w:hAnsi="Times New Roman" w:cs="宋体"/>
          <w:color w:val="auto"/>
          <w:sz w:val="24"/>
          <w:szCs w:val="24"/>
          <w:lang w:eastAsia="zh-CN"/>
        </w:rPr>
      </w:pPr>
      <w:hyperlink r:id="rId288" w:history="1">
        <w:r>
          <w:rPr>
            <w:rFonts w:ascii="Times New Roman" w:eastAsia="宋体" w:hAnsi="Times New Roman" w:hint="eastAsia"/>
            <w:b/>
            <w:color w:val="auto"/>
            <w:sz w:val="24"/>
            <w:szCs w:val="24"/>
            <w:lang w:eastAsia="zh-CN"/>
          </w:rPr>
          <w:t>7.1.2.3</w:t>
        </w:r>
      </w:hyperlink>
      <w:r>
        <w:rPr>
          <w:rFonts w:ascii="Times New Roman" w:eastAsia="宋体" w:hAnsi="Times New Roman" w:hint="eastAsia"/>
          <w:b/>
          <w:color w:val="auto"/>
          <w:sz w:val="24"/>
          <w:szCs w:val="24"/>
          <w:lang w:eastAsia="zh-CN"/>
        </w:rPr>
        <w:t>地形地貌适宜性</w:t>
      </w:r>
    </w:p>
    <w:p w14:paraId="7792A5C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区域地质资料和勘察成果，项目所在区域地质构造属于琼南拱断隆起构造区，地质构造以华夏纬向构造体系为格架，由华夏、新华夏等构造系复合形成了本区的特征，地壳呈稳定状态或微弱上升趋势，地壳相对稳定，新构造运动微弱；场地区上部覆盖层为第四系沉积层，下部基岩为白垩系上统（</w:t>
      </w:r>
      <w:r>
        <w:rPr>
          <w:rFonts w:ascii="Times New Roman" w:eastAsia="宋体" w:hAnsi="Times New Roman" w:cs="宋体" w:hint="eastAsia"/>
          <w:color w:val="auto"/>
          <w:spacing w:val="-2"/>
          <w:sz w:val="24"/>
          <w:szCs w:val="24"/>
          <w:lang w:eastAsia="zh-CN"/>
        </w:rPr>
        <w:t>K1</w:t>
      </w:r>
      <w:r>
        <w:rPr>
          <w:rFonts w:ascii="Times New Roman" w:eastAsia="宋体" w:hAnsi="Times New Roman" w:cs="宋体" w:hint="eastAsia"/>
          <w:color w:val="auto"/>
          <w:spacing w:val="-2"/>
          <w:sz w:val="24"/>
          <w:szCs w:val="24"/>
          <w:lang w:eastAsia="zh-CN"/>
        </w:rPr>
        <w:t>ηγ）黑云母角闪石二长花岗岩，断裂构造对本项目基本没有影响；场地区未见有影响场地稳定的活动断裂构造；区域地质稳定。</w:t>
      </w:r>
    </w:p>
    <w:p w14:paraId="4FEF7047"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场地区未见滑坡、崩塌、泥石流、采空区等不良地质现象</w:t>
      </w:r>
      <w:r>
        <w:rPr>
          <w:rFonts w:ascii="Times New Roman" w:eastAsia="宋体" w:hAnsi="Times New Roman" w:cs="宋体" w:hint="eastAsia"/>
          <w:color w:val="auto"/>
          <w:spacing w:val="-2"/>
          <w:sz w:val="24"/>
          <w:szCs w:val="24"/>
          <w:lang w:eastAsia="zh-CN"/>
        </w:rPr>
        <w:t>，不良地质不发育；场地区岸坡高度不大，边坡对场区稳定性影响很小；场地为抗震一般地段，可不考虑液化及震陷影响，地震诱发场地滑坡、崩塌的可能性不大；场地为较稳定场地。场地区未见埋藏的河道、沟浜、采空区等不利埋藏物，地基为稳定地基。</w:t>
      </w:r>
    </w:p>
    <w:p w14:paraId="2FB346A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因此，用海选址海洋生态环境基本能满足项目用海需求。</w:t>
      </w:r>
    </w:p>
    <w:p w14:paraId="0BAA8655"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34" w:name="_Toc9062"/>
      <w:r>
        <w:rPr>
          <w:rFonts w:ascii="Times New Roman" w:hAnsi="Times New Roman" w:hint="eastAsia"/>
          <w:color w:val="auto"/>
          <w:sz w:val="28"/>
          <w:szCs w:val="28"/>
          <w:lang w:eastAsia="zh-CN"/>
        </w:rPr>
        <w:t>7.1.3</w:t>
      </w:r>
      <w:r>
        <w:rPr>
          <w:rFonts w:ascii="Times New Roman" w:hAnsi="Times New Roman" w:hint="eastAsia"/>
          <w:color w:val="auto"/>
          <w:sz w:val="28"/>
          <w:szCs w:val="28"/>
          <w:lang w:eastAsia="zh-CN"/>
        </w:rPr>
        <w:t>与周边其他用海活动适宜性分析</w:t>
      </w:r>
      <w:bookmarkEnd w:id="334"/>
    </w:p>
    <w:p w14:paraId="27F0228D"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项目论证范围内海域开发利用活动较多，主要包括</w:t>
      </w:r>
      <w:r>
        <w:rPr>
          <w:rFonts w:ascii="Times New Roman" w:eastAsia="宋体" w:hAnsi="Times New Roman" w:cs="宋体"/>
          <w:color w:val="auto"/>
          <w:spacing w:val="-2"/>
          <w:sz w:val="24"/>
          <w:szCs w:val="24"/>
          <w:lang w:eastAsia="zh-CN"/>
        </w:rPr>
        <w:t>渔业用海、</w:t>
      </w:r>
      <w:r>
        <w:rPr>
          <w:rFonts w:ascii="Times New Roman" w:eastAsia="宋体" w:hAnsi="Times New Roman" w:cs="宋体" w:hint="eastAsia"/>
          <w:color w:val="auto"/>
          <w:spacing w:val="-2"/>
          <w:sz w:val="24"/>
          <w:szCs w:val="24"/>
          <w:lang w:eastAsia="zh-CN"/>
        </w:rPr>
        <w:t>游憩</w:t>
      </w:r>
      <w:r>
        <w:rPr>
          <w:rFonts w:ascii="Times New Roman" w:eastAsia="宋体" w:hAnsi="Times New Roman" w:cs="宋体"/>
          <w:color w:val="auto"/>
          <w:spacing w:val="-2"/>
          <w:sz w:val="24"/>
          <w:szCs w:val="24"/>
          <w:lang w:eastAsia="zh-CN"/>
        </w:rPr>
        <w:t>用海、</w:t>
      </w:r>
      <w:r>
        <w:rPr>
          <w:rFonts w:ascii="Times New Roman" w:eastAsia="宋体" w:hAnsi="Times New Roman" w:cs="宋体" w:hint="eastAsia"/>
          <w:color w:val="auto"/>
          <w:spacing w:val="-2"/>
          <w:sz w:val="24"/>
          <w:szCs w:val="24"/>
          <w:lang w:eastAsia="zh-CN"/>
        </w:rPr>
        <w:t>工矿通信用海、特殊用海</w:t>
      </w:r>
      <w:r>
        <w:rPr>
          <w:rFonts w:ascii="Times New Roman" w:eastAsia="宋体" w:hAnsi="Times New Roman" w:cs="宋体"/>
          <w:color w:val="auto"/>
          <w:spacing w:val="-2"/>
          <w:sz w:val="24"/>
          <w:szCs w:val="24"/>
          <w:lang w:eastAsia="zh-CN"/>
        </w:rPr>
        <w:t>等</w:t>
      </w:r>
      <w:r>
        <w:rPr>
          <w:rFonts w:ascii="Times New Roman" w:eastAsia="宋体" w:hAnsi="Times New Roman" w:cs="宋体" w:hint="eastAsia"/>
          <w:color w:val="auto"/>
          <w:spacing w:val="-2"/>
          <w:sz w:val="24"/>
          <w:szCs w:val="24"/>
          <w:lang w:eastAsia="zh-CN"/>
        </w:rPr>
        <w:t>；同时在铁炉港海岸线向海一侧存在多宗已确权土地，本项目用海未占用已确权土地。</w:t>
      </w:r>
    </w:p>
    <w:p w14:paraId="426A537D"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根据项目用海对所在海域开发活动的影响分析，</w:t>
      </w:r>
      <w:r>
        <w:rPr>
          <w:rFonts w:ascii="Times New Roman" w:eastAsia="宋体" w:hAnsi="Times New Roman" w:cs="宋体"/>
          <w:color w:val="auto"/>
          <w:sz w:val="24"/>
          <w:szCs w:val="24"/>
          <w:lang w:eastAsia="zh-CN"/>
        </w:rPr>
        <w:t>本项目直接利益相关者</w:t>
      </w:r>
      <w:r>
        <w:rPr>
          <w:rFonts w:ascii="Times New Roman" w:eastAsia="宋体" w:hAnsi="Times New Roman" w:cs="宋体" w:hint="eastAsia"/>
          <w:color w:val="auto"/>
          <w:sz w:val="24"/>
          <w:szCs w:val="24"/>
          <w:lang w:eastAsia="zh-CN"/>
        </w:rPr>
        <w:t>为江林村农民集体</w:t>
      </w:r>
      <w:r>
        <w:rPr>
          <w:rFonts w:ascii="Times New Roman" w:eastAsia="宋体" w:hAnsi="Times New Roman" w:cs="宋体" w:hint="eastAsia"/>
          <w:color w:val="auto"/>
          <w:spacing w:val="-2"/>
          <w:sz w:val="24"/>
          <w:szCs w:val="24"/>
          <w:lang w:eastAsia="zh-CN"/>
        </w:rPr>
        <w:t>。透水构筑物建设占用已确权土地，需对已确权土地征收，之后按海域管理，办理用海确权，需协调海棠区人民政府；项目施工期间，施工船舶增加了后海渔港船舶通行密度，对通航安全造成一定影响，且需办理水上施工许可，用海单位需在项目建设中与三亚海事局做好协调工作。</w:t>
      </w:r>
    </w:p>
    <w:p w14:paraId="0411BB34"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lastRenderedPageBreak/>
        <w:t>本项目用海涉及的协调部门为海棠区人民政府、三亚海事局。</w:t>
      </w:r>
    </w:p>
    <w:p w14:paraId="374776B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本项目与上述利益相关者具有较好的协调性，在落实利益</w:t>
      </w:r>
      <w:r>
        <w:rPr>
          <w:rFonts w:ascii="Times New Roman" w:eastAsia="宋体" w:hAnsi="Times New Roman" w:cs="宋体" w:hint="eastAsia"/>
          <w:color w:val="auto"/>
          <w:spacing w:val="-2"/>
          <w:sz w:val="24"/>
          <w:szCs w:val="24"/>
          <w:lang w:eastAsia="zh-CN"/>
        </w:rPr>
        <w:t>协调方案后，本项目工程用海对周边的用海活动影响较小。项目用海在协调好利益相关者的前提下，选址是合理。</w:t>
      </w:r>
    </w:p>
    <w:p w14:paraId="4BA2D0A7"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35" w:name="_Toc9314"/>
      <w:r>
        <w:rPr>
          <w:rFonts w:ascii="Times New Roman" w:hAnsi="Times New Roman" w:hint="eastAsia"/>
          <w:color w:val="auto"/>
          <w:sz w:val="28"/>
          <w:szCs w:val="28"/>
          <w:lang w:eastAsia="zh-CN"/>
        </w:rPr>
        <w:t xml:space="preserve">7.1.4 </w:t>
      </w:r>
      <w:r>
        <w:rPr>
          <w:rFonts w:ascii="Times New Roman" w:hAnsi="Times New Roman" w:hint="eastAsia"/>
          <w:color w:val="auto"/>
          <w:sz w:val="28"/>
          <w:szCs w:val="28"/>
          <w:lang w:eastAsia="zh-CN"/>
        </w:rPr>
        <w:t>与海洋产业协调发展</w:t>
      </w:r>
      <w:bookmarkEnd w:id="335"/>
    </w:p>
    <w:p w14:paraId="402B8603"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铁炉港红树林湿地</w:t>
      </w:r>
      <w:r>
        <w:rPr>
          <w:rFonts w:ascii="Times New Roman" w:eastAsia="宋体" w:hAnsi="Times New Roman" w:cs="宋体"/>
          <w:color w:val="auto"/>
          <w:spacing w:val="-2"/>
          <w:sz w:val="24"/>
          <w:szCs w:val="24"/>
          <w:lang w:eastAsia="zh-CN"/>
        </w:rPr>
        <w:t>保护修复</w:t>
      </w:r>
      <w:r>
        <w:rPr>
          <w:rFonts w:ascii="Times New Roman" w:eastAsia="宋体" w:hAnsi="Times New Roman" w:cs="宋体" w:hint="eastAsia"/>
          <w:color w:val="auto"/>
          <w:spacing w:val="-2"/>
          <w:sz w:val="24"/>
          <w:szCs w:val="24"/>
          <w:lang w:eastAsia="zh-CN"/>
        </w:rPr>
        <w:t>项目</w:t>
      </w:r>
      <w:r>
        <w:rPr>
          <w:rFonts w:ascii="Times New Roman" w:eastAsia="宋体" w:hAnsi="Times New Roman" w:cs="宋体"/>
          <w:color w:val="auto"/>
          <w:spacing w:val="-2"/>
          <w:sz w:val="24"/>
          <w:szCs w:val="24"/>
          <w:lang w:eastAsia="zh-CN"/>
        </w:rPr>
        <w:t>，拟通过</w:t>
      </w:r>
      <w:r>
        <w:rPr>
          <w:rFonts w:ascii="Times New Roman" w:eastAsia="宋体" w:hAnsi="Times New Roman" w:cs="宋体" w:hint="eastAsia"/>
          <w:color w:val="auto"/>
          <w:spacing w:val="-2"/>
          <w:sz w:val="24"/>
          <w:szCs w:val="24"/>
          <w:lang w:eastAsia="zh-CN"/>
        </w:rPr>
        <w:t>生态安全屏障构建工程、红树林资源保护与蓝碳增汇工程、滨海生物多样性提升工程、智慧监测与生态评估工程四大体系建设</w:t>
      </w:r>
      <w:r>
        <w:rPr>
          <w:rFonts w:ascii="Times New Roman" w:eastAsia="宋体" w:hAnsi="Times New Roman" w:cs="宋体"/>
          <w:color w:val="auto"/>
          <w:spacing w:val="-2"/>
          <w:sz w:val="24"/>
          <w:szCs w:val="24"/>
          <w:lang w:eastAsia="zh-CN"/>
        </w:rPr>
        <w:t>，消除外部生态胁迫因素，提升湿地净化调蓄、纳潮排涝功能，保护与修复红树林湿地系统</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保护我国最大个体濒危珍稀古树群，培育我国红树林种子资源库</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恢复和发展珍稀濒危野生动植物资源，建立候鸟适宜生境及其食物源生态链</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增加海洋蓝色碳汇能力，整体提升铁炉港生态环境质量</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建立巡护管理设施，完善巡护道路体系</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开展科研和宣教工作</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建立红树林、候鸟生态监测系统和蓝碳监测评估系统</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助力铁炉港成为红树林保护修复示范园、生物多样性提升示范区、蓝碳增汇发展示范</w:t>
      </w:r>
      <w:r>
        <w:rPr>
          <w:rFonts w:ascii="Times New Roman" w:eastAsia="宋体" w:hAnsi="Times New Roman" w:cs="宋体" w:hint="eastAsia"/>
          <w:color w:val="auto"/>
          <w:spacing w:val="-2"/>
          <w:sz w:val="24"/>
          <w:szCs w:val="24"/>
          <w:lang w:eastAsia="zh-CN"/>
        </w:rPr>
        <w:t>区。项目建设是推进生态文明建设与海洋强国建设、保护红树林资源，维护区域生物多样性、落实生态保护与修复系列政策目标任务、优化生态环境、提升防灾减灾功能的需要，</w:t>
      </w:r>
      <w:r>
        <w:rPr>
          <w:rFonts w:ascii="Times New Roman" w:eastAsia="宋体" w:hAnsi="Times New Roman" w:cs="宋体"/>
          <w:color w:val="auto"/>
          <w:spacing w:val="-2"/>
          <w:sz w:val="24"/>
          <w:szCs w:val="24"/>
          <w:lang w:eastAsia="zh-CN"/>
        </w:rPr>
        <w:t>因此，项目的建设对</w:t>
      </w:r>
      <w:r>
        <w:rPr>
          <w:rFonts w:ascii="Times New Roman" w:eastAsia="宋体" w:hAnsi="Times New Roman" w:cs="宋体" w:hint="eastAsia"/>
          <w:color w:val="auto"/>
          <w:spacing w:val="-2"/>
          <w:sz w:val="24"/>
          <w:szCs w:val="24"/>
          <w:lang w:eastAsia="zh-CN"/>
        </w:rPr>
        <w:t>铁炉港</w:t>
      </w:r>
      <w:r>
        <w:rPr>
          <w:rFonts w:ascii="Times New Roman" w:eastAsia="宋体" w:hAnsi="Times New Roman" w:cs="宋体"/>
          <w:color w:val="auto"/>
          <w:spacing w:val="-2"/>
          <w:sz w:val="24"/>
          <w:szCs w:val="24"/>
          <w:lang w:eastAsia="zh-CN"/>
        </w:rPr>
        <w:t>海域生态环境的恢复具有重大的意义</w:t>
      </w:r>
      <w:r>
        <w:rPr>
          <w:rFonts w:ascii="Times New Roman" w:eastAsia="宋体" w:hAnsi="Times New Roman" w:cs="宋体" w:hint="eastAsia"/>
          <w:color w:val="auto"/>
          <w:spacing w:val="-2"/>
          <w:sz w:val="24"/>
          <w:szCs w:val="24"/>
          <w:lang w:eastAsia="zh-CN"/>
        </w:rPr>
        <w:t>，本</w:t>
      </w:r>
      <w:r>
        <w:rPr>
          <w:rFonts w:ascii="Times New Roman" w:eastAsia="宋体" w:hAnsi="Times New Roman" w:cs="宋体" w:hint="eastAsia"/>
          <w:color w:val="auto"/>
          <w:spacing w:val="-2"/>
          <w:sz w:val="24"/>
          <w:szCs w:val="24"/>
          <w:lang w:eastAsia="zh-CN"/>
        </w:rPr>
        <w:t>项目作为滨海生物多样性提升工程体系中重要的组成部分，对提升潟湖水体交换能力，改善水质环境，助力红树林、海草床修复具有重要作用</w:t>
      </w:r>
      <w:r>
        <w:rPr>
          <w:rFonts w:ascii="Times New Roman" w:eastAsia="宋体" w:hAnsi="Times New Roman" w:cs="宋体"/>
          <w:color w:val="auto"/>
          <w:spacing w:val="-2"/>
          <w:sz w:val="24"/>
          <w:szCs w:val="24"/>
          <w:lang w:eastAsia="zh-CN"/>
        </w:rPr>
        <w:t>。</w:t>
      </w:r>
    </w:p>
    <w:p w14:paraId="60C0F7C8"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根据《产业结构调整指导目录</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202</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color w:val="auto"/>
          <w:spacing w:val="-2"/>
          <w:sz w:val="24"/>
          <w:szCs w:val="24"/>
          <w:lang w:eastAsia="zh-CN"/>
        </w:rPr>
        <w:t xml:space="preserve"> </w:t>
      </w:r>
      <w:r>
        <w:rPr>
          <w:rFonts w:ascii="Times New Roman" w:eastAsia="宋体" w:hAnsi="Times New Roman" w:cs="宋体"/>
          <w:color w:val="auto"/>
          <w:spacing w:val="-2"/>
          <w:sz w:val="24"/>
          <w:szCs w:val="24"/>
          <w:lang w:eastAsia="zh-CN"/>
        </w:rPr>
        <w:t>年修订本</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》，本项目属于第一类鼓励类</w:t>
      </w:r>
      <w:r>
        <w:rPr>
          <w:rFonts w:ascii="Times New Roman" w:eastAsia="宋体" w:hAnsi="Times New Roman" w:cs="宋体"/>
          <w:color w:val="auto"/>
          <w:sz w:val="24"/>
          <w:szCs w:val="24"/>
          <w:lang w:eastAsia="zh-CN"/>
        </w:rPr>
        <w:t>中</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一、农林牧渔业项中第</w:t>
      </w:r>
      <w:r>
        <w:rPr>
          <w:rFonts w:ascii="Times New Roman" w:eastAsia="宋体" w:hAnsi="Times New Roman" w:cs="宋体"/>
          <w:color w:val="auto"/>
          <w:sz w:val="24"/>
          <w:szCs w:val="24"/>
          <w:lang w:eastAsia="zh-CN"/>
        </w:rPr>
        <w:t>23</w:t>
      </w:r>
      <w:r>
        <w:rPr>
          <w:rFonts w:ascii="Times New Roman" w:eastAsia="宋体" w:hAnsi="Times New Roman" w:cs="宋体"/>
          <w:color w:val="auto"/>
          <w:sz w:val="24"/>
          <w:szCs w:val="24"/>
          <w:lang w:eastAsia="zh-CN"/>
        </w:rPr>
        <w:t>项重要生态系统保护和修复中的山水林田湖草沙系统治理</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w:t>
      </w:r>
      <w:r>
        <w:rPr>
          <w:rFonts w:ascii="Times New Roman" w:eastAsia="宋体" w:hAnsi="Times New Roman" w:cs="宋体"/>
          <w:color w:val="auto"/>
          <w:spacing w:val="-2"/>
          <w:sz w:val="24"/>
          <w:szCs w:val="24"/>
          <w:lang w:eastAsia="zh-CN"/>
        </w:rPr>
        <w:t>属于产业结构调整指导目录中的鼓励类型，本项目的建设符合我国产业政策。</w:t>
      </w:r>
    </w:p>
    <w:p w14:paraId="65EE9390"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目前，铁炉港海域主要发展海上摩托艇、冲浪等旅游活动，本项目的建设将有利于铁炉港海上旅游活动的发展。</w:t>
      </w:r>
    </w:p>
    <w:p w14:paraId="0C9FE856"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因此，本项目的建设有利于海洋产业协调发展。</w:t>
      </w:r>
    </w:p>
    <w:p w14:paraId="6DA0E9B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综上分析，</w:t>
      </w:r>
      <w:r>
        <w:rPr>
          <w:rFonts w:ascii="Times New Roman" w:eastAsia="宋体" w:hAnsi="Times New Roman" w:cs="宋体" w:hint="eastAsia"/>
          <w:color w:val="auto"/>
          <w:spacing w:val="-2"/>
          <w:sz w:val="24"/>
          <w:szCs w:val="24"/>
          <w:lang w:eastAsia="zh-CN"/>
        </w:rPr>
        <w:t>项</w:t>
      </w:r>
      <w:r>
        <w:rPr>
          <w:rFonts w:ascii="Times New Roman" w:eastAsia="宋体" w:hAnsi="Times New Roman" w:cs="宋体" w:hint="eastAsia"/>
          <w:color w:val="auto"/>
          <w:spacing w:val="-2"/>
          <w:sz w:val="24"/>
          <w:szCs w:val="24"/>
          <w:lang w:eastAsia="zh-CN"/>
        </w:rPr>
        <w:t>目</w:t>
      </w:r>
      <w:r>
        <w:rPr>
          <w:rFonts w:ascii="Times New Roman" w:eastAsia="宋体" w:hAnsi="Times New Roman" w:cs="宋体"/>
          <w:color w:val="auto"/>
          <w:spacing w:val="-2"/>
          <w:sz w:val="24"/>
          <w:szCs w:val="24"/>
          <w:lang w:eastAsia="zh-CN"/>
        </w:rPr>
        <w:t>选址</w:t>
      </w:r>
      <w:r>
        <w:rPr>
          <w:rFonts w:ascii="Times New Roman" w:eastAsia="宋体" w:hAnsi="Times New Roman" w:cs="宋体" w:hint="eastAsia"/>
          <w:color w:val="auto"/>
          <w:spacing w:val="-2"/>
          <w:sz w:val="24"/>
          <w:szCs w:val="24"/>
          <w:lang w:eastAsia="zh-CN"/>
        </w:rPr>
        <w:t>是合理的</w:t>
      </w:r>
      <w:r>
        <w:rPr>
          <w:rFonts w:ascii="Times New Roman" w:eastAsia="宋体" w:hAnsi="Times New Roman" w:cs="宋体"/>
          <w:color w:val="auto"/>
          <w:spacing w:val="-2"/>
          <w:sz w:val="24"/>
          <w:szCs w:val="24"/>
          <w:lang w:eastAsia="zh-CN"/>
        </w:rPr>
        <w:t>。</w:t>
      </w:r>
    </w:p>
    <w:p w14:paraId="51339781" w14:textId="77777777" w:rsidR="0075791A" w:rsidRDefault="00FB2864">
      <w:pPr>
        <w:spacing w:line="360" w:lineRule="auto"/>
        <w:outlineLvl w:val="1"/>
        <w:rPr>
          <w:rFonts w:ascii="Times New Roman" w:eastAsia="Times New Roman" w:hAnsi="Times New Roman" w:cs="Times New Roman"/>
          <w:b/>
          <w:bCs/>
          <w:color w:val="auto"/>
          <w:spacing w:val="-6"/>
          <w:sz w:val="30"/>
          <w:szCs w:val="30"/>
        </w:rPr>
      </w:pPr>
      <w:bookmarkStart w:id="336" w:name="bookmark62"/>
      <w:bookmarkStart w:id="337" w:name="_Toc2591"/>
      <w:bookmarkStart w:id="338" w:name="_Toc23275"/>
      <w:bookmarkStart w:id="339" w:name="_Toc3326"/>
      <w:bookmarkEnd w:id="336"/>
      <w:r>
        <w:rPr>
          <w:rFonts w:ascii="Times New Roman" w:eastAsia="宋体" w:hAnsi="Times New Roman" w:cs="Times New Roman" w:hint="eastAsia"/>
          <w:b/>
          <w:bCs/>
          <w:color w:val="auto"/>
          <w:spacing w:val="-6"/>
          <w:sz w:val="30"/>
          <w:szCs w:val="30"/>
          <w:lang w:eastAsia="zh-CN"/>
        </w:rPr>
        <w:t>7</w:t>
      </w:r>
      <w:r>
        <w:rPr>
          <w:rFonts w:ascii="Times New Roman" w:eastAsia="Times New Roman" w:hAnsi="Times New Roman" w:cs="Times New Roman"/>
          <w:b/>
          <w:bCs/>
          <w:color w:val="auto"/>
          <w:spacing w:val="-6"/>
          <w:sz w:val="30"/>
          <w:szCs w:val="30"/>
        </w:rPr>
        <w:t>.2用海平面布置合理性分析</w:t>
      </w:r>
      <w:bookmarkEnd w:id="337"/>
      <w:bookmarkEnd w:id="338"/>
      <w:bookmarkEnd w:id="339"/>
    </w:p>
    <w:p w14:paraId="43481158"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40" w:name="_Toc30982"/>
      <w:r>
        <w:rPr>
          <w:rFonts w:ascii="Times New Roman" w:hAnsi="Times New Roman" w:hint="eastAsia"/>
          <w:color w:val="auto"/>
          <w:sz w:val="28"/>
          <w:szCs w:val="28"/>
          <w:lang w:eastAsia="zh-CN"/>
        </w:rPr>
        <w:t>7.2.1</w:t>
      </w:r>
      <w:r>
        <w:rPr>
          <w:rFonts w:ascii="Times New Roman" w:hAnsi="Times New Roman" w:hint="eastAsia"/>
          <w:color w:val="auto"/>
          <w:sz w:val="28"/>
          <w:szCs w:val="28"/>
          <w:lang w:eastAsia="zh-CN"/>
        </w:rPr>
        <w:t>是否体现集约节约用海原则</w:t>
      </w:r>
      <w:bookmarkEnd w:id="340"/>
    </w:p>
    <w:p w14:paraId="3ECE42DF"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巡护道路、管理设施布设原则</w:t>
      </w:r>
    </w:p>
    <w:p w14:paraId="09E8400E"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目前，铁炉港保护区总面积</w:t>
      </w:r>
      <w:r>
        <w:rPr>
          <w:rFonts w:ascii="Times New Roman" w:eastAsia="宋体" w:hAnsi="Times New Roman" w:cs="宋体" w:hint="eastAsia"/>
          <w:color w:val="auto"/>
          <w:spacing w:val="-2"/>
          <w:sz w:val="24"/>
          <w:szCs w:val="24"/>
          <w:lang w:eastAsia="zh-CN"/>
        </w:rPr>
        <w:t>292</w:t>
      </w:r>
      <w:r>
        <w:rPr>
          <w:rFonts w:ascii="Times New Roman" w:eastAsia="宋体" w:hAnsi="Times New Roman" w:cs="宋体" w:hint="eastAsia"/>
          <w:color w:val="auto"/>
          <w:spacing w:val="-2"/>
          <w:sz w:val="24"/>
          <w:szCs w:val="24"/>
          <w:lang w:eastAsia="zh-CN"/>
        </w:rPr>
        <w:t>公顷，范围涵盖了整个铁炉港近岸海域，但目前巡护管理基础设施薄弱，为了提升保护区管理能力，需</w:t>
      </w:r>
      <w:r>
        <w:rPr>
          <w:rFonts w:ascii="Times New Roman" w:eastAsia="宋体" w:hAnsi="Times New Roman" w:cs="宋体"/>
          <w:color w:val="auto"/>
          <w:spacing w:val="-2"/>
          <w:sz w:val="24"/>
          <w:szCs w:val="24"/>
          <w:lang w:eastAsia="zh-CN"/>
        </w:rPr>
        <w:t>建立巡护管理设施，</w:t>
      </w:r>
      <w:r>
        <w:rPr>
          <w:rFonts w:ascii="Times New Roman" w:eastAsia="宋体" w:hAnsi="Times New Roman" w:cs="宋体" w:hint="eastAsia"/>
          <w:color w:val="auto"/>
          <w:spacing w:val="-2"/>
          <w:sz w:val="24"/>
          <w:szCs w:val="24"/>
          <w:lang w:eastAsia="zh-CN"/>
        </w:rPr>
        <w:t>在保护区范围</w:t>
      </w:r>
      <w:r>
        <w:rPr>
          <w:rFonts w:ascii="Times New Roman" w:eastAsia="宋体" w:hAnsi="Times New Roman" w:cs="宋体" w:hint="eastAsia"/>
          <w:color w:val="auto"/>
          <w:spacing w:val="-2"/>
          <w:sz w:val="24"/>
          <w:szCs w:val="24"/>
          <w:lang w:eastAsia="zh-CN"/>
        </w:rPr>
        <w:lastRenderedPageBreak/>
        <w:t>内科学合理选址保护管理点，作为保护区管理配套，辅以巡护便道与市政道路相接，通达市区；配置观鸟点</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处，观测红树林、鸟类，</w:t>
      </w:r>
      <w:r>
        <w:rPr>
          <w:rFonts w:ascii="Times New Roman" w:eastAsia="宋体" w:hAnsi="Times New Roman" w:cs="宋体"/>
          <w:color w:val="auto"/>
          <w:spacing w:val="-2"/>
          <w:sz w:val="24"/>
          <w:szCs w:val="24"/>
          <w:lang w:eastAsia="zh-CN"/>
        </w:rPr>
        <w:t>开展科研和宣教工作</w:t>
      </w:r>
      <w:r>
        <w:rPr>
          <w:rFonts w:ascii="Times New Roman" w:eastAsia="宋体" w:hAnsi="Times New Roman" w:cs="宋体" w:hint="eastAsia"/>
          <w:color w:val="auto"/>
          <w:spacing w:val="-2"/>
          <w:sz w:val="24"/>
          <w:szCs w:val="24"/>
          <w:lang w:eastAsia="zh-CN"/>
        </w:rPr>
        <w:t>。</w:t>
      </w:r>
    </w:p>
    <w:p w14:paraId="2DEE00CD" w14:textId="77777777" w:rsidR="0075791A" w:rsidRDefault="00FB2864">
      <w:pPr>
        <w:spacing w:line="360" w:lineRule="auto"/>
        <w:ind w:firstLineChars="200" w:firstLine="476"/>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pacing w:val="-2"/>
          <w:sz w:val="24"/>
          <w:szCs w:val="24"/>
          <w:lang w:eastAsia="zh-CN"/>
        </w:rPr>
        <w:t>通过在保护区外侧建设巡护便道，</w:t>
      </w:r>
      <w:r>
        <w:rPr>
          <w:rFonts w:ascii="Times New Roman" w:eastAsia="宋体" w:hAnsi="Times New Roman" w:cs="宋体" w:hint="eastAsia"/>
          <w:color w:val="auto"/>
          <w:sz w:val="24"/>
          <w:szCs w:val="24"/>
          <w:lang w:eastAsia="zh-CN"/>
        </w:rPr>
        <w:t>有效连接外部道路，便于巡护车、养护车辆、机械进入，及时阻止保护内非法活动、保障红树林、巡护管护设施可达性；内设低干扰巡护栈道，方便巡护摩托机动、快速巡护，同时便于连接其他道路不可达的陆域及水域地块，以保障必要管护区域的可达性；利用自然材料搭设观测小径仅供宣教成员步行的观测，从而形成</w:t>
      </w:r>
      <w:r>
        <w:rPr>
          <w:rFonts w:ascii="Times New Roman" w:eastAsia="宋体" w:hAnsi="Times New Roman" w:cs="宋体"/>
          <w:color w:val="auto"/>
          <w:spacing w:val="-2"/>
          <w:sz w:val="24"/>
          <w:szCs w:val="24"/>
          <w:lang w:eastAsia="zh-CN"/>
        </w:rPr>
        <w:t>完善巡护道路体系</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z w:val="24"/>
          <w:szCs w:val="24"/>
          <w:lang w:eastAsia="zh-CN"/>
        </w:rPr>
        <w:t>同时，</w:t>
      </w:r>
      <w:r>
        <w:rPr>
          <w:rFonts w:ascii="Times New Roman" w:eastAsia="宋体" w:hAnsi="Times New Roman" w:cs="宋体"/>
          <w:color w:val="auto"/>
          <w:sz w:val="24"/>
          <w:szCs w:val="24"/>
          <w:lang w:eastAsia="zh-CN"/>
        </w:rPr>
        <w:t>在栈道旁、转弯处附近设置了</w:t>
      </w:r>
      <w:r>
        <w:rPr>
          <w:rFonts w:ascii="Times New Roman" w:eastAsia="宋体" w:hAnsi="Times New Roman" w:cs="宋体" w:hint="eastAsia"/>
          <w:color w:val="auto"/>
          <w:sz w:val="24"/>
          <w:szCs w:val="24"/>
          <w:lang w:eastAsia="zh-CN"/>
        </w:rPr>
        <w:t>16</w:t>
      </w:r>
      <w:r>
        <w:rPr>
          <w:rFonts w:ascii="Times New Roman" w:eastAsia="宋体" w:hAnsi="Times New Roman" w:cs="宋体"/>
          <w:color w:val="auto"/>
          <w:sz w:val="24"/>
          <w:szCs w:val="24"/>
          <w:lang w:eastAsia="zh-CN"/>
        </w:rPr>
        <w:t>处</w:t>
      </w:r>
      <w:r>
        <w:rPr>
          <w:rFonts w:ascii="Times New Roman" w:eastAsia="宋体" w:hAnsi="Times New Roman" w:cs="宋体" w:hint="eastAsia"/>
          <w:color w:val="auto"/>
          <w:sz w:val="24"/>
          <w:szCs w:val="24"/>
          <w:lang w:eastAsia="zh-CN"/>
        </w:rPr>
        <w:t>休憩</w:t>
      </w:r>
      <w:r>
        <w:rPr>
          <w:rFonts w:ascii="Times New Roman" w:eastAsia="宋体" w:hAnsi="Times New Roman" w:cs="宋体"/>
          <w:color w:val="auto"/>
          <w:sz w:val="24"/>
          <w:szCs w:val="24"/>
          <w:lang w:eastAsia="zh-CN"/>
        </w:rPr>
        <w:t>点</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休憩平台</w:t>
      </w:r>
      <w:r>
        <w:rPr>
          <w:rFonts w:ascii="Times New Roman" w:eastAsia="宋体" w:hAnsi="Times New Roman" w:cs="宋体"/>
          <w:color w:val="auto"/>
          <w:sz w:val="24"/>
          <w:szCs w:val="24"/>
          <w:lang w:eastAsia="zh-CN"/>
        </w:rPr>
        <w:t>，为巡护人员提供休憩、巡护、观察的空间</w:t>
      </w:r>
      <w:r>
        <w:rPr>
          <w:rFonts w:ascii="Times New Roman" w:eastAsia="宋体" w:hAnsi="Times New Roman" w:cs="宋体" w:hint="eastAsia"/>
          <w:color w:val="auto"/>
          <w:sz w:val="24"/>
          <w:szCs w:val="24"/>
          <w:lang w:eastAsia="zh-CN"/>
        </w:rPr>
        <w:t>。</w:t>
      </w:r>
    </w:p>
    <w:p w14:paraId="1EA1764A"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在水域区域，为了</w:t>
      </w:r>
      <w:r>
        <w:rPr>
          <w:rFonts w:ascii="Times New Roman" w:eastAsia="宋体" w:hAnsi="Times New Roman" w:cs="宋体"/>
          <w:color w:val="auto"/>
          <w:sz w:val="24"/>
          <w:szCs w:val="24"/>
          <w:lang w:val="zh-CN" w:eastAsia="zh-CN"/>
        </w:rPr>
        <w:t>连接其他道路不可达的陆域及水域地块，保障交通的便捷性、可达性</w:t>
      </w:r>
      <w:r>
        <w:rPr>
          <w:rFonts w:ascii="Times New Roman" w:eastAsia="宋体" w:hAnsi="Times New Roman" w:cs="宋体" w:hint="eastAsia"/>
          <w:color w:val="auto"/>
          <w:sz w:val="24"/>
          <w:szCs w:val="24"/>
          <w:lang w:val="zh-CN" w:eastAsia="zh-CN"/>
        </w:rPr>
        <w:t>，</w:t>
      </w:r>
      <w:r>
        <w:rPr>
          <w:rFonts w:ascii="Times New Roman" w:eastAsia="宋体" w:hAnsi="Times New Roman" w:cs="宋体"/>
          <w:color w:val="auto"/>
          <w:sz w:val="24"/>
          <w:szCs w:val="24"/>
          <w:lang w:val="zh-CN" w:eastAsia="zh-CN"/>
        </w:rPr>
        <w:t>同时为保障必要的水上巡护、水上环卫、水</w:t>
      </w:r>
      <w:r>
        <w:rPr>
          <w:rFonts w:ascii="Times New Roman" w:eastAsia="宋体" w:hAnsi="Times New Roman" w:cs="宋体"/>
          <w:color w:val="auto"/>
          <w:sz w:val="24"/>
          <w:szCs w:val="24"/>
          <w:lang w:val="zh-CN" w:eastAsia="zh-CN"/>
        </w:rPr>
        <w:t>上交通等功能</w:t>
      </w:r>
      <w:r>
        <w:rPr>
          <w:rFonts w:ascii="Times New Roman" w:eastAsia="宋体" w:hAnsi="Times New Roman" w:cs="宋体" w:hint="eastAsia"/>
          <w:color w:val="auto"/>
          <w:sz w:val="24"/>
          <w:szCs w:val="24"/>
          <w:lang w:val="zh-CN" w:eastAsia="zh-CN"/>
        </w:rPr>
        <w:t>，</w:t>
      </w:r>
      <w:r>
        <w:rPr>
          <w:rFonts w:ascii="Times New Roman" w:eastAsia="宋体" w:hAnsi="Times New Roman" w:cs="宋体" w:hint="eastAsia"/>
          <w:color w:val="auto"/>
          <w:sz w:val="24"/>
          <w:szCs w:val="24"/>
          <w:lang w:eastAsia="zh-CN"/>
        </w:rPr>
        <w:t>结合保护区周边村庄、渔船停泊点分布，在项目范围内合理布设</w:t>
      </w: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处码头，</w:t>
      </w:r>
      <w:r>
        <w:rPr>
          <w:rFonts w:ascii="Times New Roman" w:eastAsia="宋体" w:hAnsi="Times New Roman" w:cs="宋体"/>
          <w:color w:val="auto"/>
          <w:sz w:val="24"/>
          <w:szCs w:val="24"/>
          <w:lang w:val="zh-CN" w:eastAsia="zh-CN"/>
        </w:rPr>
        <w:t>设置巡护船</w:t>
      </w:r>
      <w:r>
        <w:rPr>
          <w:rFonts w:ascii="Times New Roman" w:eastAsia="宋体" w:hAnsi="Times New Roman" w:cs="宋体"/>
          <w:color w:val="auto"/>
          <w:sz w:val="24"/>
          <w:szCs w:val="24"/>
          <w:lang w:val="zh-CN" w:eastAsia="zh-CN"/>
        </w:rPr>
        <w:t>2</w:t>
      </w:r>
      <w:r>
        <w:rPr>
          <w:rFonts w:ascii="Times New Roman" w:eastAsia="宋体" w:hAnsi="Times New Roman" w:cs="宋体"/>
          <w:color w:val="auto"/>
          <w:sz w:val="24"/>
          <w:szCs w:val="24"/>
          <w:lang w:val="zh-CN" w:eastAsia="zh-CN"/>
        </w:rPr>
        <w:t>艘</w:t>
      </w:r>
      <w:r>
        <w:rPr>
          <w:rFonts w:ascii="Times New Roman" w:eastAsia="宋体" w:hAnsi="Times New Roman" w:cs="宋体" w:hint="eastAsia"/>
          <w:color w:val="auto"/>
          <w:sz w:val="24"/>
          <w:szCs w:val="24"/>
          <w:lang w:eastAsia="zh-CN"/>
        </w:rPr>
        <w:t>以便进行日常巡护。</w:t>
      </w:r>
    </w:p>
    <w:p w14:paraId="3343C91A"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巡护道路、管理设施设计原则</w:t>
      </w:r>
    </w:p>
    <w:p w14:paraId="4A86CA9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根据《海南省自然保护区条例》，</w:t>
      </w:r>
      <w:r>
        <w:rPr>
          <w:rFonts w:ascii="宋体" w:eastAsia="宋体" w:hAnsi="宋体" w:cs="宋体"/>
          <w:color w:val="auto"/>
          <w:sz w:val="24"/>
          <w:szCs w:val="24"/>
          <w:lang w:eastAsia="zh-CN"/>
        </w:rPr>
        <w:t>第二十八条</w:t>
      </w:r>
      <w:r>
        <w:rPr>
          <w:rFonts w:ascii="宋体" w:eastAsia="宋体" w:hAnsi="宋体" w:cs="宋体"/>
          <w:color w:val="auto"/>
          <w:sz w:val="24"/>
          <w:szCs w:val="24"/>
          <w:lang w:eastAsia="zh-CN"/>
        </w:rPr>
        <w:t xml:space="preserve"> </w:t>
      </w:r>
      <w:r>
        <w:rPr>
          <w:rFonts w:ascii="宋体" w:eastAsia="宋体" w:hAnsi="宋体" w:cs="宋体"/>
          <w:color w:val="auto"/>
          <w:sz w:val="24"/>
          <w:szCs w:val="24"/>
          <w:lang w:eastAsia="zh-CN"/>
        </w:rPr>
        <w:t>自然保护区管理机构根据工作需要，可以建立和完善保护管理站点、巡护道路、巡护码头、防火瞭望台、生态定位监测站、宣传教育场馆、宣传牌等管护设施。</w:t>
      </w:r>
      <w:r>
        <w:rPr>
          <w:rFonts w:ascii="宋体" w:eastAsia="宋体" w:hAnsi="宋体" w:cs="宋体" w:hint="eastAsia"/>
          <w:color w:val="auto"/>
          <w:sz w:val="24"/>
          <w:szCs w:val="24"/>
          <w:lang w:eastAsia="zh-CN"/>
        </w:rPr>
        <w:t>因此，本项目建设巡护设施、管理设施是合理的。</w:t>
      </w:r>
    </w:p>
    <w:p w14:paraId="30166B5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根据《海南省人民政府办公厅关于印发海南省生态保护红线准入管理目录</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修门</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的通知》</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琼府办</w:t>
      </w:r>
      <w:r>
        <w:rPr>
          <w:rFonts w:ascii="Times New Roman" w:eastAsia="宋体" w:hAnsi="Times New Roman" w:cs="宋体" w:hint="eastAsia"/>
          <w:color w:val="auto"/>
          <w:sz w:val="24"/>
          <w:szCs w:val="24"/>
          <w:lang w:eastAsia="zh-CN"/>
        </w:rPr>
        <w:t xml:space="preserve">(2023)4 </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关于“</w:t>
      </w:r>
      <w:r>
        <w:rPr>
          <w:rFonts w:ascii="Times New Roman" w:eastAsia="宋体" w:hAnsi="Times New Roman" w:cs="宋体"/>
          <w:color w:val="auto"/>
          <w:sz w:val="24"/>
          <w:szCs w:val="24"/>
          <w:lang w:eastAsia="zh-CN"/>
        </w:rPr>
        <w:t>旅游骑行道（宽度不大于</w:t>
      </w:r>
      <w:r>
        <w:rPr>
          <w:rFonts w:ascii="Times New Roman" w:eastAsia="宋体" w:hAnsi="Times New Roman" w:cs="宋体"/>
          <w:color w:val="auto"/>
          <w:sz w:val="24"/>
          <w:szCs w:val="24"/>
          <w:lang w:eastAsia="zh-CN"/>
        </w:rPr>
        <w:t>3</w:t>
      </w:r>
      <w:r>
        <w:rPr>
          <w:rFonts w:ascii="Times New Roman" w:eastAsia="宋体" w:hAnsi="Times New Roman" w:cs="宋体"/>
          <w:color w:val="auto"/>
          <w:sz w:val="24"/>
          <w:szCs w:val="24"/>
          <w:lang w:eastAsia="zh-CN"/>
        </w:rPr>
        <w:t>米）、栈道（宽度不大于</w:t>
      </w:r>
      <w:r>
        <w:rPr>
          <w:rFonts w:ascii="Times New Roman" w:eastAsia="宋体" w:hAnsi="Times New Roman" w:cs="宋体"/>
          <w:color w:val="auto"/>
          <w:sz w:val="24"/>
          <w:szCs w:val="24"/>
          <w:lang w:eastAsia="zh-CN"/>
        </w:rPr>
        <w:t>2</w:t>
      </w:r>
      <w:r>
        <w:rPr>
          <w:rFonts w:ascii="Times New Roman" w:eastAsia="宋体" w:hAnsi="Times New Roman" w:cs="宋体"/>
          <w:color w:val="auto"/>
          <w:sz w:val="24"/>
          <w:szCs w:val="24"/>
          <w:lang w:eastAsia="zh-CN"/>
        </w:rPr>
        <w:t>米）</w:t>
      </w:r>
      <w:r>
        <w:rPr>
          <w:rFonts w:ascii="Times New Roman" w:eastAsia="宋体" w:hAnsi="Times New Roman" w:cs="宋体" w:hint="eastAsia"/>
          <w:color w:val="auto"/>
          <w:sz w:val="24"/>
          <w:szCs w:val="24"/>
          <w:lang w:eastAsia="zh-CN"/>
        </w:rPr>
        <w:t>、观景平台、景观雕塑（水平投影面积不大于</w:t>
      </w:r>
      <w:r>
        <w:rPr>
          <w:rFonts w:ascii="Times New Roman" w:eastAsia="宋体" w:hAnsi="Times New Roman" w:cs="宋体" w:hint="eastAsia"/>
          <w:color w:val="auto"/>
          <w:sz w:val="24"/>
          <w:szCs w:val="24"/>
          <w:lang w:eastAsia="zh-CN"/>
        </w:rPr>
        <w:t>100m</w:t>
      </w:r>
      <w:r>
        <w:rPr>
          <w:rFonts w:ascii="Times New Roman" w:eastAsia="宋体" w:hAnsi="Times New Roman" w:cs="宋体" w:hint="eastAsia"/>
          <w:color w:val="auto"/>
          <w:sz w:val="24"/>
          <w:szCs w:val="24"/>
          <w:vertAlign w:val="superscript"/>
          <w:lang w:eastAsia="zh-CN"/>
        </w:rPr>
        <w:t>2</w:t>
      </w:r>
      <w:r>
        <w:rPr>
          <w:rFonts w:ascii="Times New Roman" w:eastAsia="宋体" w:hAnsi="Times New Roman" w:cs="宋体" w:hint="eastAsia"/>
          <w:color w:val="auto"/>
          <w:sz w:val="24"/>
          <w:szCs w:val="24"/>
          <w:lang w:eastAsia="zh-CN"/>
        </w:rPr>
        <w:t>）”的要求，同时考虑自然保护区巡护车、巡护摩托车、养护所需车辆机械等通行需求，本项目设计将巡护便道宽度由</w:t>
      </w:r>
      <w:r>
        <w:rPr>
          <w:rFonts w:ascii="Times New Roman" w:eastAsia="宋体" w:hAnsi="Times New Roman" w:cs="宋体" w:hint="eastAsia"/>
          <w:color w:val="auto"/>
          <w:sz w:val="24"/>
          <w:szCs w:val="24"/>
          <w:lang w:eastAsia="zh-CN"/>
        </w:rPr>
        <w:t>4m</w:t>
      </w:r>
      <w:r>
        <w:rPr>
          <w:rFonts w:ascii="Times New Roman" w:eastAsia="宋体" w:hAnsi="Times New Roman" w:cs="宋体" w:hint="eastAsia"/>
          <w:color w:val="auto"/>
          <w:sz w:val="24"/>
          <w:szCs w:val="24"/>
          <w:lang w:eastAsia="zh-CN"/>
        </w:rPr>
        <w:t>降为</w:t>
      </w:r>
      <w:r>
        <w:rPr>
          <w:rFonts w:ascii="Times New Roman" w:eastAsia="宋体" w:hAnsi="Times New Roman" w:cs="宋体" w:hint="eastAsia"/>
          <w:color w:val="auto"/>
          <w:sz w:val="24"/>
          <w:szCs w:val="24"/>
          <w:lang w:eastAsia="zh-CN"/>
        </w:rPr>
        <w:t>3m</w:t>
      </w:r>
      <w:r>
        <w:rPr>
          <w:rFonts w:ascii="Times New Roman" w:eastAsia="宋体" w:hAnsi="Times New Roman" w:cs="宋体" w:hint="eastAsia"/>
          <w:color w:val="auto"/>
          <w:sz w:val="24"/>
          <w:szCs w:val="24"/>
          <w:lang w:eastAsia="zh-CN"/>
        </w:rPr>
        <w:t>，巡护栈道宽度由</w:t>
      </w:r>
      <w:r>
        <w:rPr>
          <w:rFonts w:ascii="Times New Roman" w:eastAsia="宋体" w:hAnsi="Times New Roman" w:cs="宋体" w:hint="eastAsia"/>
          <w:color w:val="auto"/>
          <w:sz w:val="24"/>
          <w:szCs w:val="24"/>
          <w:lang w:eastAsia="zh-CN"/>
        </w:rPr>
        <w:t>2m</w:t>
      </w:r>
      <w:r>
        <w:rPr>
          <w:rFonts w:ascii="Times New Roman" w:eastAsia="宋体" w:hAnsi="Times New Roman" w:cs="宋体" w:hint="eastAsia"/>
          <w:color w:val="auto"/>
          <w:sz w:val="24"/>
          <w:szCs w:val="24"/>
          <w:lang w:eastAsia="zh-CN"/>
        </w:rPr>
        <w:t>降为</w:t>
      </w:r>
      <w:r>
        <w:rPr>
          <w:rFonts w:ascii="Times New Roman" w:eastAsia="宋体" w:hAnsi="Times New Roman" w:cs="宋体" w:hint="eastAsia"/>
          <w:color w:val="auto"/>
          <w:sz w:val="24"/>
          <w:szCs w:val="24"/>
          <w:lang w:eastAsia="zh-CN"/>
        </w:rPr>
        <w:t>1.5m</w:t>
      </w:r>
      <w:r>
        <w:rPr>
          <w:rFonts w:ascii="Times New Roman" w:eastAsia="宋体" w:hAnsi="Times New Roman" w:cs="宋体" w:hint="eastAsia"/>
          <w:color w:val="auto"/>
          <w:sz w:val="24"/>
          <w:szCs w:val="24"/>
          <w:lang w:eastAsia="zh-CN"/>
        </w:rPr>
        <w:t>，休憩点</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休憩平台面积控制在</w:t>
      </w:r>
      <w:r>
        <w:rPr>
          <w:rFonts w:ascii="Times New Roman" w:eastAsia="宋体" w:hAnsi="Times New Roman" w:cs="宋体" w:hint="eastAsia"/>
          <w:color w:val="auto"/>
          <w:sz w:val="24"/>
          <w:szCs w:val="24"/>
          <w:lang w:eastAsia="zh-CN"/>
        </w:rPr>
        <w:t>100m</w:t>
      </w:r>
      <w:r>
        <w:rPr>
          <w:rFonts w:ascii="Times New Roman" w:eastAsia="宋体" w:hAnsi="Times New Roman" w:cs="宋体" w:hint="eastAsia"/>
          <w:color w:val="auto"/>
          <w:sz w:val="24"/>
          <w:szCs w:val="24"/>
          <w:vertAlign w:val="superscript"/>
          <w:lang w:eastAsia="zh-CN"/>
        </w:rPr>
        <w:t>2</w:t>
      </w:r>
      <w:r>
        <w:rPr>
          <w:rFonts w:ascii="Times New Roman" w:eastAsia="宋体" w:hAnsi="Times New Roman" w:cs="宋体" w:hint="eastAsia"/>
          <w:color w:val="auto"/>
          <w:sz w:val="24"/>
          <w:szCs w:val="24"/>
          <w:lang w:eastAsia="zh-CN"/>
        </w:rPr>
        <w:t>以内</w:t>
      </w:r>
      <w:r>
        <w:rPr>
          <w:rFonts w:ascii="Times New Roman" w:eastAsia="宋体" w:hAnsi="Times New Roman" w:cs="宋体" w:hint="eastAsia"/>
          <w:color w:val="auto"/>
          <w:sz w:val="24"/>
          <w:szCs w:val="24"/>
          <w:lang w:eastAsia="zh-CN"/>
        </w:rPr>
        <w:t>。本项目所有构筑物采用桩基结构，严格限制改变海域自然属性，最大限度的减少用海面积，巡护道路采用跨越式接岸，</w:t>
      </w:r>
      <w:r>
        <w:rPr>
          <w:rFonts w:ascii="Times New Roman" w:eastAsia="宋体" w:hAnsi="Times New Roman" w:cs="宋体" w:hint="eastAsia"/>
          <w:color w:val="auto"/>
          <w:sz w:val="24"/>
          <w:szCs w:val="24"/>
          <w:lang w:eastAsia="zh-CN"/>
        </w:rPr>
        <w:t>即桩基建设避开海岸线，</w:t>
      </w:r>
      <w:r>
        <w:rPr>
          <w:rFonts w:ascii="Times New Roman" w:eastAsia="Times New Roman" w:hAnsi="Times New Roman" w:cs="Times New Roman" w:hint="eastAsia"/>
          <w:color w:val="auto"/>
          <w:spacing w:val="-4"/>
          <w:sz w:val="24"/>
          <w:szCs w:val="24"/>
          <w:lang w:eastAsia="zh-CN"/>
        </w:rPr>
        <w:t>不改变自然岸线自然形态和生态功能，</w:t>
      </w:r>
      <w:r>
        <w:rPr>
          <w:rFonts w:ascii="Times New Roman" w:eastAsia="宋体" w:hAnsi="Times New Roman" w:cs="宋体" w:hint="eastAsia"/>
          <w:color w:val="auto"/>
          <w:sz w:val="24"/>
          <w:szCs w:val="24"/>
          <w:lang w:eastAsia="zh-CN"/>
        </w:rPr>
        <w:t>占用自然岸线长度</w:t>
      </w:r>
      <w:r>
        <w:rPr>
          <w:rFonts w:ascii="Times New Roman" w:eastAsia="宋体" w:hAnsi="Times New Roman" w:cs="宋体" w:hint="eastAsia"/>
          <w:color w:val="auto"/>
          <w:sz w:val="24"/>
          <w:szCs w:val="24"/>
          <w:lang w:eastAsia="zh-CN"/>
        </w:rPr>
        <w:t>0m</w:t>
      </w:r>
      <w:r>
        <w:rPr>
          <w:rFonts w:ascii="Times New Roman" w:eastAsia="宋体" w:hAnsi="Times New Roman" w:cs="宋体" w:hint="eastAsia"/>
          <w:color w:val="auto"/>
          <w:sz w:val="24"/>
          <w:szCs w:val="24"/>
          <w:lang w:eastAsia="zh-CN"/>
        </w:rPr>
        <w:t>。</w:t>
      </w:r>
    </w:p>
    <w:p w14:paraId="67204E01"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参照《国家级自然保护区规范化建设和管理导则（试行）》“</w:t>
      </w: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交通设施</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hint="eastAsia"/>
          <w:color w:val="auto"/>
          <w:sz w:val="24"/>
          <w:szCs w:val="24"/>
          <w:lang w:eastAsia="zh-CN"/>
        </w:rPr>
        <w:t>海洋和内陆水域自然保护区，可根据需要设立码头”，因此场地内可以根据巡护工作需要修建巡护码头，根据巡逻艇的规格（长</w:t>
      </w:r>
      <w:r>
        <w:rPr>
          <w:rFonts w:ascii="Times New Roman" w:eastAsia="宋体" w:hAnsi="Times New Roman" w:cs="宋体" w:hint="eastAsia"/>
          <w:color w:val="auto"/>
          <w:sz w:val="24"/>
          <w:szCs w:val="24"/>
          <w:lang w:eastAsia="zh-CN"/>
        </w:rPr>
        <w:t>20m</w:t>
      </w:r>
      <w:r>
        <w:rPr>
          <w:rFonts w:ascii="Times New Roman" w:eastAsia="宋体" w:hAnsi="Times New Roman" w:cs="宋体" w:hint="eastAsia"/>
          <w:color w:val="auto"/>
          <w:sz w:val="24"/>
          <w:szCs w:val="24"/>
          <w:lang w:eastAsia="zh-CN"/>
        </w:rPr>
        <w:t>），设计巡护码头泊位长</w:t>
      </w:r>
      <w:r>
        <w:rPr>
          <w:rFonts w:ascii="Times New Roman" w:eastAsia="宋体" w:hAnsi="Times New Roman" w:cs="宋体" w:hint="eastAsia"/>
          <w:color w:val="auto"/>
          <w:sz w:val="24"/>
          <w:szCs w:val="24"/>
          <w:lang w:eastAsia="zh-CN"/>
        </w:rPr>
        <w:t>20m</w:t>
      </w:r>
      <w:r>
        <w:rPr>
          <w:rFonts w:ascii="Times New Roman" w:eastAsia="宋体" w:hAnsi="Times New Roman" w:cs="宋体" w:hint="eastAsia"/>
          <w:color w:val="auto"/>
          <w:sz w:val="24"/>
          <w:szCs w:val="24"/>
          <w:lang w:eastAsia="zh-CN"/>
        </w:rPr>
        <w:t>，同时考虑巡护码头可设于当地渔船停放集中区，便于渔民停靠，因此每个码头设置</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个泊位，并不设回旋水域。</w:t>
      </w:r>
    </w:p>
    <w:p w14:paraId="5D5D6A0F"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参照《国家级自然保护区规范化建设和管理指南》“单个保护管理站的建筑面积一般不超过</w:t>
      </w:r>
      <w:r>
        <w:rPr>
          <w:rFonts w:ascii="Times New Roman" w:eastAsia="宋体" w:hAnsi="Times New Roman" w:cs="宋体" w:hint="eastAsia"/>
          <w:color w:val="auto"/>
          <w:sz w:val="24"/>
          <w:szCs w:val="24"/>
          <w:lang w:eastAsia="zh-CN"/>
        </w:rPr>
        <w:t>300</w:t>
      </w:r>
      <w:r>
        <w:rPr>
          <w:rFonts w:ascii="Times New Roman" w:eastAsia="宋体" w:hAnsi="Times New Roman" w:cs="宋体" w:hint="eastAsia"/>
          <w:color w:val="auto"/>
          <w:sz w:val="24"/>
          <w:szCs w:val="24"/>
          <w:lang w:eastAsia="zh-CN"/>
        </w:rPr>
        <w:t>㎡，配备办公，消防，野外调查，</w:t>
      </w:r>
      <w:r>
        <w:rPr>
          <w:rFonts w:ascii="Times New Roman" w:eastAsia="宋体" w:hAnsi="Times New Roman" w:cs="宋体" w:hint="eastAsia"/>
          <w:color w:val="auto"/>
          <w:sz w:val="24"/>
          <w:szCs w:val="24"/>
          <w:lang w:eastAsia="zh-CN"/>
        </w:rPr>
        <w:t>日常巡护，执法，通讯，交通及必要</w:t>
      </w:r>
      <w:r>
        <w:rPr>
          <w:rFonts w:ascii="Times New Roman" w:eastAsia="宋体" w:hAnsi="Times New Roman" w:cs="宋体" w:hint="eastAsia"/>
          <w:color w:val="auto"/>
          <w:sz w:val="24"/>
          <w:szCs w:val="24"/>
          <w:lang w:eastAsia="zh-CN"/>
        </w:rPr>
        <w:lastRenderedPageBreak/>
        <w:t>的生活设备”，保护管理设施（巡护管理点和观鸟点）规模宜小，不宜大；宜低，不宜高；宜隐，不宜露；宜疏，不宜密。层数不宜超过林木高度，确定保护管理点面积约</w:t>
      </w:r>
      <w:r>
        <w:rPr>
          <w:rFonts w:ascii="Times New Roman" w:eastAsia="宋体" w:hAnsi="Times New Roman" w:cs="宋体" w:hint="eastAsia"/>
          <w:color w:val="auto"/>
          <w:sz w:val="24"/>
          <w:szCs w:val="24"/>
          <w:lang w:eastAsia="zh-CN"/>
        </w:rPr>
        <w:t>97m</w:t>
      </w:r>
      <w:r>
        <w:rPr>
          <w:rFonts w:ascii="Times New Roman" w:eastAsia="宋体" w:hAnsi="Times New Roman" w:cs="宋体" w:hint="eastAsia"/>
          <w:color w:val="auto"/>
          <w:sz w:val="24"/>
          <w:szCs w:val="24"/>
          <w:vertAlign w:val="superscript"/>
          <w:lang w:eastAsia="zh-CN"/>
        </w:rPr>
        <w:t>2</w:t>
      </w:r>
      <w:r>
        <w:rPr>
          <w:rFonts w:ascii="Times New Roman" w:eastAsia="宋体" w:hAnsi="Times New Roman" w:cs="宋体" w:hint="eastAsia"/>
          <w:color w:val="auto"/>
          <w:sz w:val="24"/>
          <w:szCs w:val="24"/>
          <w:lang w:eastAsia="zh-CN"/>
        </w:rPr>
        <w:t>，观鸟点面积</w:t>
      </w:r>
      <w:r>
        <w:rPr>
          <w:rFonts w:ascii="Times New Roman" w:eastAsia="宋体" w:hAnsi="Times New Roman" w:cs="宋体" w:hint="eastAsia"/>
          <w:color w:val="auto"/>
          <w:sz w:val="24"/>
          <w:szCs w:val="24"/>
          <w:lang w:eastAsia="zh-CN"/>
        </w:rPr>
        <w:t>42m</w:t>
      </w:r>
      <w:r>
        <w:rPr>
          <w:rFonts w:ascii="Times New Roman" w:eastAsia="宋体" w:hAnsi="Times New Roman" w:cs="宋体" w:hint="eastAsia"/>
          <w:color w:val="auto"/>
          <w:sz w:val="24"/>
          <w:szCs w:val="24"/>
          <w:vertAlign w:val="superscript"/>
          <w:lang w:eastAsia="zh-CN"/>
        </w:rPr>
        <w:t>2</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 xml:space="preserve"> </w:t>
      </w:r>
    </w:p>
    <w:p w14:paraId="63BA984A"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本项目总平面布置尽可能做到布局紧凑，远近结合，并充分利用自然条件，根据相关规范，在保证功能的前提下，尽量减少用海及用地，降低工程造价，节约投资。</w:t>
      </w:r>
    </w:p>
    <w:p w14:paraId="08713CB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因此，本项目平面布置体现了集约、节约用海的原则。</w:t>
      </w:r>
    </w:p>
    <w:p w14:paraId="7B339058"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41" w:name="_Toc32104"/>
      <w:r>
        <w:rPr>
          <w:rFonts w:ascii="Times New Roman" w:hAnsi="Times New Roman" w:hint="eastAsia"/>
          <w:color w:val="auto"/>
          <w:sz w:val="28"/>
          <w:szCs w:val="28"/>
          <w:lang w:eastAsia="zh-CN"/>
        </w:rPr>
        <w:t>7.2.2</w:t>
      </w:r>
      <w:r>
        <w:rPr>
          <w:rFonts w:ascii="Times New Roman" w:hAnsi="Times New Roman" w:hint="eastAsia"/>
          <w:color w:val="auto"/>
          <w:sz w:val="28"/>
          <w:szCs w:val="28"/>
          <w:lang w:eastAsia="zh-CN"/>
        </w:rPr>
        <w:t>是否有利于生态保护</w:t>
      </w:r>
      <w:bookmarkEnd w:id="341"/>
    </w:p>
    <w:p w14:paraId="04358BF0"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本项目为红树林湿地保护修复项目，实施目标即</w:t>
      </w:r>
      <w:r>
        <w:rPr>
          <w:rFonts w:ascii="Times New Roman" w:eastAsia="宋体" w:hAnsi="Times New Roman" w:cs="宋体"/>
          <w:color w:val="auto"/>
          <w:spacing w:val="-2"/>
          <w:sz w:val="24"/>
          <w:szCs w:val="24"/>
          <w:lang w:eastAsia="zh-CN"/>
        </w:rPr>
        <w:t>消除外部生态胁迫因素，提升湿地净化调蓄、纳潮排涝功能，保护与修复红树林湿地系统</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保护我国最大个体濒危珍稀古树群，培育我国红树林种子资源库</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恢复和发展珍稀濒危野生动植物资源，建立候鸟适宜生境及其食物源生态链</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增加海洋蓝色碳汇能力，整体提升铁炉港生态环境质量</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建立巡护管理设施，完善巡护道路体系</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开展科研和宣教工作</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建立红树林、候鸟生态监测系统和蓝碳监测评估系统</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助力铁炉港成为红树林保护修复示范园、生物多样性提升示范区、蓝碳增汇发展示范</w:t>
      </w:r>
      <w:r>
        <w:rPr>
          <w:rFonts w:ascii="Times New Roman" w:eastAsia="宋体" w:hAnsi="Times New Roman" w:cs="宋体" w:hint="eastAsia"/>
          <w:color w:val="auto"/>
          <w:spacing w:val="-2"/>
          <w:sz w:val="24"/>
          <w:szCs w:val="24"/>
          <w:lang w:eastAsia="zh-CN"/>
        </w:rPr>
        <w:t>区。项目建设有利于生态保护。</w:t>
      </w:r>
    </w:p>
    <w:p w14:paraId="1546355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w:t>
      </w:r>
      <w:r>
        <w:rPr>
          <w:rFonts w:ascii="Times New Roman" w:eastAsia="宋体" w:hAnsi="Times New Roman" w:cs="宋体" w:hint="eastAsia"/>
          <w:color w:val="auto"/>
          <w:spacing w:val="-2"/>
          <w:sz w:val="24"/>
          <w:szCs w:val="24"/>
          <w:lang w:eastAsia="zh-CN"/>
        </w:rPr>
        <w:t>基本在生态保护红线内，根据《海南省海岸带及海洋空间规划（</w:t>
      </w:r>
      <w:r>
        <w:rPr>
          <w:rFonts w:ascii="Times New Roman" w:eastAsia="宋体" w:hAnsi="Times New Roman" w:cs="宋体" w:hint="eastAsia"/>
          <w:color w:val="auto"/>
          <w:spacing w:val="-2"/>
          <w:sz w:val="24"/>
          <w:szCs w:val="24"/>
          <w:lang w:eastAsia="zh-CN"/>
        </w:rPr>
        <w:t>2021-2035</w:t>
      </w:r>
      <w:r>
        <w:rPr>
          <w:rFonts w:ascii="Times New Roman" w:eastAsia="宋体" w:hAnsi="Times New Roman" w:cs="宋体" w:hint="eastAsia"/>
          <w:color w:val="auto"/>
          <w:spacing w:val="-2"/>
          <w:sz w:val="24"/>
          <w:szCs w:val="24"/>
          <w:lang w:eastAsia="zh-CN"/>
        </w:rPr>
        <w:t>年）》，项目位于铁炉港潟湖生态保护区内，其管控要求利用方式为核心保护区禁止改变海域自然属性，其他红线区严格限制改变海域自然属性。巡护便道用海方式由原非透水构筑物调整为透水构筑物，其他构筑物用海方式为透水构筑物，疏浚工程用海方式为专用航道、锚地及其他开放式，即本项目用海均不改变海域自然属性，符合功能区管控要求。</w:t>
      </w:r>
    </w:p>
    <w:p w14:paraId="41799C41" w14:textId="77777777" w:rsidR="0075791A" w:rsidRDefault="00FB2864">
      <w:pPr>
        <w:spacing w:line="360" w:lineRule="auto"/>
        <w:ind w:firstLineChars="200" w:firstLine="480"/>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z w:val="24"/>
          <w:szCs w:val="24"/>
          <w:lang w:eastAsia="zh-CN"/>
        </w:rPr>
        <w:t>根据《海南省人民政府办公厅关于印发海南省生态保护红线准入管理目录</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修门</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的通知》</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琼府办</w:t>
      </w:r>
      <w:r>
        <w:rPr>
          <w:rFonts w:ascii="Times New Roman" w:eastAsia="宋体" w:hAnsi="Times New Roman" w:cs="宋体" w:hint="eastAsia"/>
          <w:color w:val="auto"/>
          <w:sz w:val="24"/>
          <w:szCs w:val="24"/>
          <w:lang w:eastAsia="zh-CN"/>
        </w:rPr>
        <w:t xml:space="preserve">(2023)4 </w:t>
      </w:r>
      <w:r>
        <w:rPr>
          <w:rFonts w:ascii="Times New Roman" w:eastAsia="宋体" w:hAnsi="Times New Roman" w:cs="宋体" w:hint="eastAsia"/>
          <w:color w:val="auto"/>
          <w:sz w:val="24"/>
          <w:szCs w:val="24"/>
          <w:lang w:eastAsia="zh-CN"/>
        </w:rPr>
        <w:t>号</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关于“</w:t>
      </w:r>
      <w:r>
        <w:rPr>
          <w:rFonts w:ascii="Times New Roman" w:eastAsia="宋体" w:hAnsi="Times New Roman" w:cs="宋体"/>
          <w:color w:val="auto"/>
          <w:sz w:val="24"/>
          <w:szCs w:val="24"/>
          <w:lang w:eastAsia="zh-CN"/>
        </w:rPr>
        <w:t>旅游骑行道（</w:t>
      </w:r>
      <w:r>
        <w:rPr>
          <w:rFonts w:ascii="Times New Roman" w:eastAsia="宋体" w:hAnsi="Times New Roman" w:cs="宋体"/>
          <w:color w:val="auto"/>
          <w:sz w:val="24"/>
          <w:szCs w:val="24"/>
          <w:lang w:eastAsia="zh-CN"/>
        </w:rPr>
        <w:t>宽度不大于</w:t>
      </w:r>
      <w:r>
        <w:rPr>
          <w:rFonts w:ascii="Times New Roman" w:eastAsia="宋体" w:hAnsi="Times New Roman" w:cs="宋体"/>
          <w:color w:val="auto"/>
          <w:sz w:val="24"/>
          <w:szCs w:val="24"/>
          <w:lang w:eastAsia="zh-CN"/>
        </w:rPr>
        <w:t>3</w:t>
      </w:r>
      <w:r>
        <w:rPr>
          <w:rFonts w:ascii="Times New Roman" w:eastAsia="宋体" w:hAnsi="Times New Roman" w:cs="宋体"/>
          <w:color w:val="auto"/>
          <w:sz w:val="24"/>
          <w:szCs w:val="24"/>
          <w:lang w:eastAsia="zh-CN"/>
        </w:rPr>
        <w:t>米）、栈道（宽度不大于</w:t>
      </w:r>
      <w:r>
        <w:rPr>
          <w:rFonts w:ascii="Times New Roman" w:eastAsia="宋体" w:hAnsi="Times New Roman" w:cs="宋体"/>
          <w:color w:val="auto"/>
          <w:sz w:val="24"/>
          <w:szCs w:val="24"/>
          <w:lang w:eastAsia="zh-CN"/>
        </w:rPr>
        <w:t>2</w:t>
      </w:r>
      <w:r>
        <w:rPr>
          <w:rFonts w:ascii="Times New Roman" w:eastAsia="宋体" w:hAnsi="Times New Roman" w:cs="宋体"/>
          <w:color w:val="auto"/>
          <w:sz w:val="24"/>
          <w:szCs w:val="24"/>
          <w:lang w:eastAsia="zh-CN"/>
        </w:rPr>
        <w:t>米）</w:t>
      </w:r>
      <w:r>
        <w:rPr>
          <w:rFonts w:ascii="Times New Roman" w:eastAsia="宋体" w:hAnsi="Times New Roman" w:cs="宋体" w:hint="eastAsia"/>
          <w:color w:val="auto"/>
          <w:sz w:val="24"/>
          <w:szCs w:val="24"/>
          <w:lang w:eastAsia="zh-CN"/>
        </w:rPr>
        <w:t>、观景平台、景观雕塑（水平投影面积不大于</w:t>
      </w:r>
      <w:r>
        <w:rPr>
          <w:rFonts w:ascii="Times New Roman" w:eastAsia="宋体" w:hAnsi="Times New Roman" w:cs="宋体" w:hint="eastAsia"/>
          <w:color w:val="auto"/>
          <w:sz w:val="24"/>
          <w:szCs w:val="24"/>
          <w:lang w:eastAsia="zh-CN"/>
        </w:rPr>
        <w:t>100m</w:t>
      </w:r>
      <w:r>
        <w:rPr>
          <w:rFonts w:ascii="Times New Roman" w:eastAsia="宋体" w:hAnsi="Times New Roman" w:cs="宋体" w:hint="eastAsia"/>
          <w:color w:val="auto"/>
          <w:sz w:val="24"/>
          <w:szCs w:val="24"/>
          <w:vertAlign w:val="superscript"/>
          <w:lang w:eastAsia="zh-CN"/>
        </w:rPr>
        <w:t>2</w:t>
      </w:r>
      <w:r>
        <w:rPr>
          <w:rFonts w:ascii="Times New Roman" w:eastAsia="宋体" w:hAnsi="Times New Roman" w:cs="宋体" w:hint="eastAsia"/>
          <w:color w:val="auto"/>
          <w:sz w:val="24"/>
          <w:szCs w:val="24"/>
          <w:lang w:eastAsia="zh-CN"/>
        </w:rPr>
        <w:t>）”的要求，同时考虑自然保护区巡护车、巡护摩托车、养护所需车辆机械等通行需求，本项目设计将巡护便道宽度由</w:t>
      </w:r>
      <w:r>
        <w:rPr>
          <w:rFonts w:ascii="Times New Roman" w:eastAsia="宋体" w:hAnsi="Times New Roman" w:cs="宋体" w:hint="eastAsia"/>
          <w:color w:val="auto"/>
          <w:sz w:val="24"/>
          <w:szCs w:val="24"/>
          <w:lang w:eastAsia="zh-CN"/>
        </w:rPr>
        <w:t>4m</w:t>
      </w:r>
      <w:r>
        <w:rPr>
          <w:rFonts w:ascii="Times New Roman" w:eastAsia="宋体" w:hAnsi="Times New Roman" w:cs="宋体" w:hint="eastAsia"/>
          <w:color w:val="auto"/>
          <w:sz w:val="24"/>
          <w:szCs w:val="24"/>
          <w:lang w:eastAsia="zh-CN"/>
        </w:rPr>
        <w:t>降为</w:t>
      </w:r>
      <w:r>
        <w:rPr>
          <w:rFonts w:ascii="Times New Roman" w:eastAsia="宋体" w:hAnsi="Times New Roman" w:cs="宋体" w:hint="eastAsia"/>
          <w:color w:val="auto"/>
          <w:sz w:val="24"/>
          <w:szCs w:val="24"/>
          <w:lang w:eastAsia="zh-CN"/>
        </w:rPr>
        <w:t>3m</w:t>
      </w:r>
      <w:r>
        <w:rPr>
          <w:rFonts w:ascii="Times New Roman" w:eastAsia="宋体" w:hAnsi="Times New Roman" w:cs="宋体" w:hint="eastAsia"/>
          <w:color w:val="auto"/>
          <w:sz w:val="24"/>
          <w:szCs w:val="24"/>
          <w:lang w:eastAsia="zh-CN"/>
        </w:rPr>
        <w:t>，巡护栈道宽度由</w:t>
      </w:r>
      <w:r>
        <w:rPr>
          <w:rFonts w:ascii="Times New Roman" w:eastAsia="宋体" w:hAnsi="Times New Roman" w:cs="宋体" w:hint="eastAsia"/>
          <w:color w:val="auto"/>
          <w:sz w:val="24"/>
          <w:szCs w:val="24"/>
          <w:lang w:eastAsia="zh-CN"/>
        </w:rPr>
        <w:t>2m</w:t>
      </w:r>
      <w:r>
        <w:rPr>
          <w:rFonts w:ascii="Times New Roman" w:eastAsia="宋体" w:hAnsi="Times New Roman" w:cs="宋体" w:hint="eastAsia"/>
          <w:color w:val="auto"/>
          <w:sz w:val="24"/>
          <w:szCs w:val="24"/>
          <w:lang w:eastAsia="zh-CN"/>
        </w:rPr>
        <w:t>降为</w:t>
      </w:r>
      <w:r>
        <w:rPr>
          <w:rFonts w:ascii="Times New Roman" w:eastAsia="宋体" w:hAnsi="Times New Roman" w:cs="宋体" w:hint="eastAsia"/>
          <w:color w:val="auto"/>
          <w:sz w:val="24"/>
          <w:szCs w:val="24"/>
          <w:lang w:eastAsia="zh-CN"/>
        </w:rPr>
        <w:t>1.5m</w:t>
      </w:r>
      <w:r>
        <w:rPr>
          <w:rFonts w:ascii="Times New Roman" w:eastAsia="宋体" w:hAnsi="Times New Roman" w:cs="宋体" w:hint="eastAsia"/>
          <w:color w:val="auto"/>
          <w:sz w:val="24"/>
          <w:szCs w:val="24"/>
          <w:lang w:eastAsia="zh-CN"/>
        </w:rPr>
        <w:t>，休憩点</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休憩平台面积控制在</w:t>
      </w:r>
      <w:r>
        <w:rPr>
          <w:rFonts w:ascii="Times New Roman" w:eastAsia="宋体" w:hAnsi="Times New Roman" w:cs="宋体" w:hint="eastAsia"/>
          <w:color w:val="auto"/>
          <w:sz w:val="24"/>
          <w:szCs w:val="24"/>
          <w:lang w:eastAsia="zh-CN"/>
        </w:rPr>
        <w:t>100m</w:t>
      </w:r>
      <w:r>
        <w:rPr>
          <w:rFonts w:ascii="Times New Roman" w:eastAsia="宋体" w:hAnsi="Times New Roman" w:cs="宋体" w:hint="eastAsia"/>
          <w:color w:val="auto"/>
          <w:sz w:val="24"/>
          <w:szCs w:val="24"/>
          <w:vertAlign w:val="superscript"/>
          <w:lang w:eastAsia="zh-CN"/>
        </w:rPr>
        <w:t>2</w:t>
      </w:r>
      <w:r>
        <w:rPr>
          <w:rFonts w:ascii="Times New Roman" w:eastAsia="宋体" w:hAnsi="Times New Roman" w:cs="宋体" w:hint="eastAsia"/>
          <w:color w:val="auto"/>
          <w:sz w:val="24"/>
          <w:szCs w:val="24"/>
          <w:lang w:eastAsia="zh-CN"/>
        </w:rPr>
        <w:t>以内，构筑物规格符合生态保护红线准入要求。</w:t>
      </w:r>
    </w:p>
    <w:p w14:paraId="716C4C4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本项目巡护便道、巡护栈道主要围绕已清退养殖池塘区域建设，受塘埂影响，水流较小，低潮时建设区域干出，减少悬浮物扩散，降低对水环境的影响。</w:t>
      </w:r>
    </w:p>
    <w:p w14:paraId="62B7BB8D" w14:textId="77777777" w:rsidR="0075791A" w:rsidRDefault="00FB2864">
      <w:pPr>
        <w:kinsoku/>
        <w:autoSpaceDE/>
        <w:autoSpaceDN/>
        <w:spacing w:line="360" w:lineRule="auto"/>
        <w:ind w:firstLineChars="200" w:firstLine="480"/>
        <w:textAlignment w:val="auto"/>
        <w:rPr>
          <w:rFonts w:ascii="Times New Roman" w:eastAsia="宋体" w:hAnsi="Times New Roman" w:cs="Times New Roman"/>
          <w:color w:val="auto"/>
          <w:sz w:val="24"/>
          <w:szCs w:val="24"/>
          <w:lang w:eastAsia="zh-CN"/>
        </w:rPr>
      </w:pPr>
      <w:r>
        <w:rPr>
          <w:rFonts w:ascii="Times New Roman" w:eastAsia="宋体" w:hAnsi="Times New Roman" w:cs="Times New Roman"/>
          <w:color w:val="auto"/>
          <w:sz w:val="24"/>
          <w:szCs w:val="24"/>
          <w:lang w:eastAsia="zh-CN"/>
        </w:rPr>
        <w:t>本项目施工过程中产生的悬浮物扩散范围只局限在项目周边范围内，</w:t>
      </w:r>
      <w:r>
        <w:rPr>
          <w:rFonts w:ascii="Times New Roman" w:eastAsia="宋体" w:hAnsi="Times New Roman" w:cs="Times New Roman" w:hint="eastAsia"/>
          <w:color w:val="auto"/>
          <w:sz w:val="24"/>
          <w:szCs w:val="24"/>
          <w:lang w:eastAsia="zh-CN"/>
        </w:rPr>
        <w:t>微地形改造</w:t>
      </w:r>
      <w:r>
        <w:rPr>
          <w:rFonts w:ascii="Times New Roman" w:eastAsia="宋体" w:hAnsi="Times New Roman" w:cs="Times New Roman"/>
          <w:color w:val="auto"/>
          <w:sz w:val="24"/>
          <w:szCs w:val="24"/>
          <w:lang w:eastAsia="zh-CN"/>
        </w:rPr>
        <w:t>项目施工过程中未对珊瑚礁分布区、海草床分布区等区域产生不利影响，同时对周边</w:t>
      </w:r>
      <w:r>
        <w:rPr>
          <w:rFonts w:ascii="Times New Roman" w:eastAsia="宋体" w:hAnsi="Times New Roman" w:cs="Times New Roman" w:hint="eastAsia"/>
          <w:color w:val="auto"/>
          <w:sz w:val="24"/>
          <w:szCs w:val="24"/>
          <w:lang w:eastAsia="zh-CN"/>
        </w:rPr>
        <w:t>生态保护红线</w:t>
      </w:r>
      <w:r>
        <w:rPr>
          <w:rFonts w:ascii="Times New Roman" w:eastAsia="宋体" w:hAnsi="Times New Roman" w:cs="Times New Roman"/>
          <w:color w:val="auto"/>
          <w:sz w:val="24"/>
          <w:szCs w:val="24"/>
          <w:lang w:eastAsia="zh-CN"/>
        </w:rPr>
        <w:t>影响</w:t>
      </w:r>
      <w:r>
        <w:rPr>
          <w:rFonts w:ascii="Times New Roman" w:eastAsia="宋体" w:hAnsi="Times New Roman" w:cs="Times New Roman" w:hint="eastAsia"/>
          <w:color w:val="auto"/>
          <w:sz w:val="24"/>
          <w:szCs w:val="24"/>
          <w:lang w:eastAsia="zh-CN"/>
        </w:rPr>
        <w:t>较小，</w:t>
      </w:r>
      <w:r>
        <w:rPr>
          <w:rFonts w:ascii="Times New Roman" w:eastAsia="宋体" w:hAnsi="Times New Roman" w:cs="Times New Roman"/>
          <w:color w:val="auto"/>
          <w:sz w:val="24"/>
          <w:szCs w:val="24"/>
          <w:lang w:eastAsia="zh-CN"/>
        </w:rPr>
        <w:t>且所有源点叠加后超</w:t>
      </w:r>
      <w:r>
        <w:rPr>
          <w:rFonts w:ascii="Times New Roman" w:eastAsia="宋体" w:hAnsi="Times New Roman" w:cs="Times New Roman"/>
          <w:color w:val="auto"/>
          <w:sz w:val="24"/>
          <w:szCs w:val="24"/>
          <w:lang w:eastAsia="zh-CN"/>
        </w:rPr>
        <w:t>I</w:t>
      </w:r>
      <w:r>
        <w:rPr>
          <w:rFonts w:ascii="Times New Roman" w:eastAsia="宋体" w:hAnsi="Times New Roman" w:cs="Times New Roman"/>
          <w:color w:val="auto"/>
          <w:sz w:val="24"/>
          <w:szCs w:val="24"/>
          <w:lang w:eastAsia="zh-CN"/>
        </w:rPr>
        <w:t>、</w:t>
      </w:r>
      <w:r>
        <w:rPr>
          <w:rFonts w:ascii="Times New Roman" w:eastAsia="宋体" w:hAnsi="Times New Roman" w:cs="Times New Roman"/>
          <w:color w:val="auto"/>
          <w:sz w:val="24"/>
          <w:szCs w:val="24"/>
          <w:lang w:eastAsia="zh-CN"/>
        </w:rPr>
        <w:t>Ⅱ</w:t>
      </w:r>
      <w:r>
        <w:rPr>
          <w:rFonts w:ascii="Times New Roman" w:eastAsia="宋体" w:hAnsi="Times New Roman" w:cs="Times New Roman"/>
          <w:color w:val="auto"/>
          <w:sz w:val="24"/>
          <w:szCs w:val="24"/>
          <w:lang w:eastAsia="zh-CN"/>
        </w:rPr>
        <w:t>类水质</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color w:val="auto"/>
          <w:sz w:val="24"/>
          <w:szCs w:val="24"/>
          <w:lang w:eastAsia="zh-CN"/>
        </w:rPr>
        <w:t>&gt;10mg/L</w:t>
      </w:r>
      <w:r>
        <w:rPr>
          <w:rFonts w:ascii="Times New Roman" w:eastAsia="宋体" w:hAnsi="Times New Roman" w:cs="Times New Roman" w:hint="eastAsia"/>
          <w:color w:val="auto"/>
          <w:sz w:val="24"/>
          <w:szCs w:val="24"/>
          <w:lang w:eastAsia="zh-CN"/>
        </w:rPr>
        <w:t>）扩散的最远距</w:t>
      </w:r>
      <w:r>
        <w:rPr>
          <w:rFonts w:ascii="Times New Roman" w:eastAsia="宋体" w:hAnsi="Times New Roman" w:cs="Times New Roman" w:hint="eastAsia"/>
          <w:color w:val="auto"/>
          <w:sz w:val="24"/>
          <w:szCs w:val="24"/>
          <w:lang w:eastAsia="zh-CN"/>
        </w:rPr>
        <w:lastRenderedPageBreak/>
        <w:t>离仅有</w:t>
      </w:r>
      <w:r>
        <w:rPr>
          <w:rFonts w:ascii="Times New Roman" w:eastAsia="宋体" w:hAnsi="Times New Roman" w:cs="Times New Roman" w:hint="eastAsia"/>
          <w:color w:val="auto"/>
          <w:sz w:val="24"/>
          <w:szCs w:val="24"/>
          <w:lang w:eastAsia="zh-CN"/>
        </w:rPr>
        <w:t>1.2km</w:t>
      </w:r>
      <w:r>
        <w:rPr>
          <w:rFonts w:ascii="Times New Roman" w:eastAsia="宋体" w:hAnsi="Times New Roman" w:cs="Times New Roman" w:hint="eastAsia"/>
          <w:color w:val="auto"/>
          <w:sz w:val="24"/>
          <w:szCs w:val="24"/>
          <w:lang w:eastAsia="zh-CN"/>
        </w:rPr>
        <w:t>左右</w:t>
      </w:r>
      <w:r>
        <w:rPr>
          <w:rFonts w:ascii="Times New Roman" w:eastAsia="宋体" w:hAnsi="Times New Roman" w:cs="Times New Roman"/>
          <w:color w:val="auto"/>
          <w:sz w:val="24"/>
          <w:szCs w:val="24"/>
          <w:lang w:eastAsia="zh-CN"/>
        </w:rPr>
        <w:t>。</w:t>
      </w:r>
      <w:r>
        <w:rPr>
          <w:rFonts w:ascii="Times New Roman" w:eastAsia="宋体" w:hAnsi="Times New Roman" w:cs="Times New Roman" w:hint="eastAsia"/>
          <w:color w:val="auto"/>
          <w:sz w:val="24"/>
          <w:szCs w:val="24"/>
          <w:lang w:eastAsia="zh-CN"/>
        </w:rPr>
        <w:t>因此，需采取必要的生态保护措施，如设置防污帘、选择合适时间施工等，并好相应的生态跟踪监测，降低对该功能区红树林及其生态系统、水质</w:t>
      </w:r>
      <w:r>
        <w:rPr>
          <w:rFonts w:ascii="Times New Roman" w:eastAsia="宋体" w:hAnsi="Times New Roman" w:cs="Times New Roman" w:hint="eastAsia"/>
          <w:color w:val="auto"/>
          <w:sz w:val="24"/>
          <w:szCs w:val="24"/>
          <w:lang w:eastAsia="zh-CN"/>
        </w:rPr>
        <w:t>和底质的影响。疏浚施工期较短，所产生的悬浮泥沙对海水水质的影响时间是短暂的，这种影响一旦施工完毕，在较短的时间内（</w:t>
      </w:r>
      <w:r>
        <w:rPr>
          <w:rFonts w:ascii="Times New Roman" w:eastAsia="宋体" w:hAnsi="Times New Roman" w:cs="Times New Roman" w:hint="eastAsia"/>
          <w:color w:val="auto"/>
          <w:sz w:val="24"/>
          <w:szCs w:val="24"/>
          <w:lang w:eastAsia="zh-CN"/>
        </w:rPr>
        <w:t>12</w:t>
      </w:r>
      <w:r>
        <w:rPr>
          <w:rFonts w:ascii="Times New Roman" w:eastAsia="宋体" w:hAnsi="Times New Roman" w:cs="Times New Roman" w:hint="eastAsia"/>
          <w:color w:val="auto"/>
          <w:sz w:val="24"/>
          <w:szCs w:val="24"/>
          <w:lang w:eastAsia="zh-CN"/>
        </w:rPr>
        <w:t>小时）也就结束，自然生态环境逐渐得到恢复。</w:t>
      </w:r>
    </w:p>
    <w:p w14:paraId="3DA2F60D"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因此，</w:t>
      </w:r>
      <w:r>
        <w:rPr>
          <w:rFonts w:ascii="Times New Roman" w:eastAsia="宋体" w:hAnsi="Times New Roman" w:cs="宋体" w:hint="eastAsia"/>
          <w:color w:val="auto"/>
          <w:spacing w:val="-2"/>
          <w:sz w:val="24"/>
          <w:szCs w:val="24"/>
          <w:lang w:eastAsia="zh-CN"/>
        </w:rPr>
        <w:t>项目平面布置</w:t>
      </w:r>
      <w:r>
        <w:rPr>
          <w:rFonts w:ascii="Times New Roman" w:eastAsia="宋体" w:hAnsi="Times New Roman" w:cs="宋体"/>
          <w:color w:val="auto"/>
          <w:spacing w:val="-2"/>
          <w:sz w:val="24"/>
          <w:szCs w:val="24"/>
          <w:lang w:eastAsia="zh-CN"/>
        </w:rPr>
        <w:t>是有利于生态环境保护的。</w:t>
      </w:r>
    </w:p>
    <w:p w14:paraId="2FC624CB"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42" w:name="_Toc10413"/>
      <w:r>
        <w:rPr>
          <w:rFonts w:ascii="Times New Roman" w:hAnsi="Times New Roman" w:hint="eastAsia"/>
          <w:color w:val="auto"/>
          <w:sz w:val="28"/>
          <w:szCs w:val="28"/>
          <w:lang w:eastAsia="zh-CN"/>
        </w:rPr>
        <w:t>7.2.3</w:t>
      </w:r>
      <w:r>
        <w:rPr>
          <w:rFonts w:ascii="Times New Roman" w:hAnsi="Times New Roman" w:hint="eastAsia"/>
          <w:color w:val="auto"/>
          <w:sz w:val="28"/>
          <w:szCs w:val="28"/>
          <w:lang w:eastAsia="zh-CN"/>
        </w:rPr>
        <w:t>能否最大程度地减少对水文动力环境和冲淤环境的影响</w:t>
      </w:r>
      <w:bookmarkEnd w:id="342"/>
    </w:p>
    <w:p w14:paraId="5F7E51F1" w14:textId="77777777" w:rsidR="0075791A" w:rsidRDefault="00FB2864">
      <w:pPr>
        <w:widowControl w:val="0"/>
        <w:kinsoku/>
        <w:adjustRightInd/>
        <w:snapToGrid/>
        <w:spacing w:line="360" w:lineRule="auto"/>
        <w:ind w:firstLineChars="200" w:firstLine="476"/>
        <w:jc w:val="both"/>
        <w:textAlignment w:val="auto"/>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本项目巡护便道、巡护栈道主要围绕已清退养殖池塘区域建设，用海方式为透水构筑物，桩基直径</w:t>
      </w:r>
      <w:r>
        <w:rPr>
          <w:rFonts w:ascii="Times New Roman" w:eastAsia="宋体" w:hAnsi="Times New Roman" w:cs="宋体" w:hint="eastAsia"/>
          <w:color w:val="auto"/>
          <w:spacing w:val="-2"/>
          <w:sz w:val="24"/>
          <w:szCs w:val="24"/>
          <w:lang w:eastAsia="zh-CN"/>
        </w:rPr>
        <w:t>30-50cm</w:t>
      </w:r>
      <w:r>
        <w:rPr>
          <w:rFonts w:ascii="Times New Roman" w:eastAsia="宋体" w:hAnsi="Times New Roman" w:cs="宋体" w:hint="eastAsia"/>
          <w:color w:val="auto"/>
          <w:spacing w:val="-2"/>
          <w:sz w:val="24"/>
          <w:szCs w:val="24"/>
          <w:lang w:eastAsia="zh-CN"/>
        </w:rPr>
        <w:t>，受已清退塘埂影响，该区域水深较浅，水流较小，其减少对所在海域水文动力环境、冲淤环境影响轻微。</w:t>
      </w:r>
    </w:p>
    <w:p w14:paraId="0C1A6E5C"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微地形改造位于铁炉港湾底，微地形改造、</w:t>
      </w:r>
      <w:r>
        <w:rPr>
          <w:rFonts w:ascii="Times New Roman" w:eastAsia="宋体" w:hAnsi="Times New Roman" w:cs="Times New Roman"/>
          <w:snapToGrid/>
          <w:color w:val="auto"/>
          <w:kern w:val="2"/>
          <w:sz w:val="24"/>
          <w:szCs w:val="24"/>
          <w:lang w:eastAsia="zh-CN"/>
        </w:rPr>
        <w:t>清淤工程实施后在</w:t>
      </w:r>
      <w:r>
        <w:rPr>
          <w:rFonts w:ascii="Times New Roman" w:eastAsia="宋体" w:hAnsi="Times New Roman" w:cs="Times New Roman" w:hint="eastAsia"/>
          <w:snapToGrid/>
          <w:color w:val="auto"/>
          <w:kern w:val="2"/>
          <w:sz w:val="24"/>
          <w:szCs w:val="24"/>
          <w:lang w:eastAsia="zh-CN"/>
        </w:rPr>
        <w:t>港</w:t>
      </w:r>
      <w:r>
        <w:rPr>
          <w:rFonts w:ascii="Times New Roman" w:eastAsia="宋体" w:hAnsi="Times New Roman" w:cs="Times New Roman"/>
          <w:snapToGrid/>
          <w:color w:val="auto"/>
          <w:kern w:val="2"/>
          <w:sz w:val="24"/>
          <w:szCs w:val="24"/>
          <w:lang w:eastAsia="zh-CN"/>
        </w:rPr>
        <w:t>内尤其是</w:t>
      </w:r>
      <w:r>
        <w:rPr>
          <w:rFonts w:ascii="Times New Roman" w:eastAsia="宋体" w:hAnsi="Times New Roman" w:cs="Times New Roman" w:hint="eastAsia"/>
          <w:snapToGrid/>
          <w:color w:val="auto"/>
          <w:kern w:val="2"/>
          <w:sz w:val="24"/>
          <w:szCs w:val="24"/>
          <w:lang w:eastAsia="zh-CN"/>
        </w:rPr>
        <w:t>高尔夫球场北部与</w:t>
      </w:r>
      <w:r>
        <w:rPr>
          <w:rFonts w:ascii="Times New Roman" w:eastAsia="宋体" w:hAnsi="Times New Roman" w:cs="Times New Roman"/>
          <w:snapToGrid/>
          <w:color w:val="auto"/>
          <w:kern w:val="2"/>
          <w:sz w:val="24"/>
          <w:szCs w:val="24"/>
          <w:lang w:eastAsia="zh-CN"/>
        </w:rPr>
        <w:t>周边海域流速变化幅度</w:t>
      </w:r>
      <w:r>
        <w:rPr>
          <w:rFonts w:ascii="Times New Roman" w:eastAsia="宋体" w:hAnsi="Times New Roman" w:cs="Times New Roman" w:hint="eastAsia"/>
          <w:snapToGrid/>
          <w:color w:val="auto"/>
          <w:kern w:val="2"/>
          <w:sz w:val="24"/>
          <w:szCs w:val="24"/>
          <w:lang w:eastAsia="zh-CN"/>
        </w:rPr>
        <w:t>不大</w:t>
      </w:r>
      <w:r>
        <w:rPr>
          <w:rFonts w:ascii="Times New Roman" w:eastAsia="宋体" w:hAnsi="Times New Roman" w:cs="Times New Roman"/>
          <w:snapToGrid/>
          <w:color w:val="auto"/>
          <w:kern w:val="2"/>
          <w:sz w:val="24"/>
          <w:szCs w:val="24"/>
          <w:lang w:eastAsia="zh-CN"/>
        </w:rPr>
        <w:t>。在清淤工程作用下，</w:t>
      </w:r>
      <w:r>
        <w:rPr>
          <w:rFonts w:ascii="Times New Roman" w:eastAsia="宋体" w:hAnsi="Times New Roman" w:cs="Times New Roman" w:hint="eastAsia"/>
          <w:snapToGrid/>
          <w:color w:val="auto"/>
          <w:kern w:val="2"/>
          <w:sz w:val="24"/>
          <w:szCs w:val="24"/>
          <w:lang w:eastAsia="zh-CN"/>
        </w:rPr>
        <w:t>海湾内</w:t>
      </w:r>
      <w:r>
        <w:rPr>
          <w:rFonts w:ascii="Times New Roman" w:eastAsia="宋体" w:hAnsi="Times New Roman" w:cs="Times New Roman"/>
          <w:snapToGrid/>
          <w:color w:val="auto"/>
          <w:kern w:val="2"/>
          <w:sz w:val="24"/>
          <w:szCs w:val="24"/>
          <w:lang w:eastAsia="zh-CN"/>
        </w:rPr>
        <w:t>通道水深变深，</w:t>
      </w:r>
      <w:r>
        <w:rPr>
          <w:rFonts w:ascii="Times New Roman" w:eastAsia="宋体" w:hAnsi="Times New Roman" w:cs="Times New Roman" w:hint="eastAsia"/>
          <w:snapToGrid/>
          <w:color w:val="auto"/>
          <w:kern w:val="2"/>
          <w:sz w:val="24"/>
          <w:szCs w:val="24"/>
          <w:lang w:eastAsia="zh-CN"/>
        </w:rPr>
        <w:t>港内海水交换更通畅，河水</w:t>
      </w:r>
      <w:r>
        <w:rPr>
          <w:rFonts w:ascii="Times New Roman" w:eastAsia="宋体" w:hAnsi="Times New Roman" w:cs="Times New Roman"/>
          <w:snapToGrid/>
          <w:color w:val="auto"/>
          <w:kern w:val="2"/>
          <w:sz w:val="24"/>
          <w:szCs w:val="24"/>
          <w:lang w:eastAsia="zh-CN"/>
        </w:rPr>
        <w:t>经过通道进入</w:t>
      </w:r>
      <w:r>
        <w:rPr>
          <w:rFonts w:ascii="Times New Roman" w:eastAsia="宋体" w:hAnsi="Times New Roman" w:cs="Times New Roman" w:hint="eastAsia"/>
          <w:snapToGrid/>
          <w:color w:val="auto"/>
          <w:kern w:val="2"/>
          <w:sz w:val="24"/>
          <w:szCs w:val="24"/>
          <w:lang w:eastAsia="zh-CN"/>
        </w:rPr>
        <w:t>港内</w:t>
      </w:r>
      <w:r>
        <w:rPr>
          <w:rFonts w:ascii="Times New Roman" w:eastAsia="宋体" w:hAnsi="Times New Roman" w:cs="Times New Roman"/>
          <w:snapToGrid/>
          <w:color w:val="auto"/>
          <w:kern w:val="2"/>
          <w:sz w:val="24"/>
          <w:szCs w:val="24"/>
          <w:lang w:eastAsia="zh-CN"/>
        </w:rPr>
        <w:t>区域流速变大</w:t>
      </w:r>
      <w:r>
        <w:rPr>
          <w:rFonts w:ascii="Times New Roman" w:eastAsia="宋体" w:hAnsi="Times New Roman" w:cs="Times New Roman" w:hint="eastAsia"/>
          <w:snapToGrid/>
          <w:color w:val="auto"/>
          <w:kern w:val="2"/>
          <w:sz w:val="24"/>
          <w:szCs w:val="24"/>
          <w:lang w:eastAsia="zh-CN"/>
        </w:rPr>
        <w:t>，但</w:t>
      </w:r>
      <w:r>
        <w:rPr>
          <w:rFonts w:ascii="Times New Roman" w:eastAsia="宋体" w:hAnsi="Times New Roman" w:cs="Times New Roman"/>
          <w:snapToGrid/>
          <w:color w:val="auto"/>
          <w:kern w:val="2"/>
          <w:sz w:val="24"/>
          <w:szCs w:val="24"/>
          <w:lang w:eastAsia="zh-CN"/>
        </w:rPr>
        <w:t>潮流对流场影响程度大于上游流量，所以流速变化区域也局限在工程附近区域。</w:t>
      </w:r>
    </w:p>
    <w:p w14:paraId="6D0870CC"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宋体"/>
          <w:color w:val="auto"/>
          <w:spacing w:val="-2"/>
          <w:sz w:val="24"/>
          <w:szCs w:val="24"/>
          <w:lang w:eastAsia="zh-CN"/>
        </w:rPr>
      </w:pPr>
      <w:r>
        <w:rPr>
          <w:rFonts w:ascii="Times New Roman" w:eastAsia="宋体" w:hAnsi="Times New Roman"/>
          <w:color w:val="auto"/>
          <w:sz w:val="24"/>
          <w:szCs w:val="24"/>
          <w:lang w:eastAsia="zh-CN"/>
        </w:rPr>
        <w:t>通过对比工程建设前后涨急和落急时刻流场可知，铁炉港内水域涨落潮流场基本呈现西南向东北流。</w:t>
      </w:r>
      <w:r>
        <w:rPr>
          <w:rFonts w:ascii="Times New Roman" w:eastAsia="宋体" w:hAnsi="Times New Roman" w:hint="eastAsia"/>
          <w:color w:val="auto"/>
          <w:sz w:val="24"/>
          <w:szCs w:val="24"/>
          <w:lang w:eastAsia="zh-CN"/>
        </w:rPr>
        <w:t>微地形改造</w:t>
      </w:r>
      <w:r>
        <w:rPr>
          <w:rFonts w:ascii="Times New Roman" w:eastAsia="宋体" w:hAnsi="Times New Roman"/>
          <w:color w:val="auto"/>
          <w:sz w:val="24"/>
          <w:szCs w:val="24"/>
          <w:lang w:eastAsia="zh-CN"/>
        </w:rPr>
        <w:t>工程各方案实施前后，港内流速变化不大。</w:t>
      </w:r>
      <w:r>
        <w:rPr>
          <w:rFonts w:ascii="Times New Roman" w:eastAsia="宋体" w:hAnsi="Times New Roman" w:hint="eastAsia"/>
          <w:color w:val="auto"/>
          <w:sz w:val="24"/>
          <w:szCs w:val="24"/>
          <w:lang w:eastAsia="zh-CN"/>
        </w:rPr>
        <w:t>微地形改造</w:t>
      </w:r>
      <w:r>
        <w:rPr>
          <w:rFonts w:ascii="Times New Roman" w:eastAsia="宋体" w:hAnsi="Times New Roman"/>
          <w:color w:val="auto"/>
          <w:sz w:val="24"/>
          <w:szCs w:val="24"/>
          <w:lang w:eastAsia="zh-CN"/>
        </w:rPr>
        <w:t>工程对铁炉湾流场影响范围局限在港内海水与淡水交汇处，工程建设对周边海域水动力影响较小。</w:t>
      </w:r>
    </w:p>
    <w:p w14:paraId="77DC36D8" w14:textId="77777777" w:rsidR="0075791A" w:rsidRDefault="00FB2864">
      <w:pPr>
        <w:spacing w:before="34" w:line="356" w:lineRule="auto"/>
        <w:ind w:firstLine="487"/>
        <w:rPr>
          <w:rFonts w:ascii="Times New Roman" w:eastAsia="宋体" w:hAnsi="Times New Roman" w:cs="Times New Roman"/>
          <w:snapToGrid/>
          <w:color w:val="auto"/>
          <w:kern w:val="2"/>
          <w:sz w:val="24"/>
          <w:szCs w:val="24"/>
          <w:lang w:eastAsia="zh-CN"/>
        </w:rPr>
      </w:pPr>
      <w:r>
        <w:rPr>
          <w:rFonts w:ascii="Times New Roman" w:eastAsia="宋体" w:hAnsi="Times New Roman"/>
          <w:color w:val="auto"/>
          <w:sz w:val="24"/>
          <w:szCs w:val="24"/>
          <w:lang w:eastAsia="zh-CN"/>
        </w:rPr>
        <w:t>工程实施后，工程区域海底冲淤环境发生一定程度的变化，主要变化为河口入海口处淤积状态转为冲刷状态，这是由于</w:t>
      </w:r>
      <w:r>
        <w:rPr>
          <w:rFonts w:ascii="Times New Roman" w:eastAsia="宋体" w:hAnsi="Times New Roman" w:hint="eastAsia"/>
          <w:color w:val="auto"/>
          <w:sz w:val="24"/>
          <w:szCs w:val="24"/>
          <w:lang w:eastAsia="zh-CN"/>
        </w:rPr>
        <w:t>微地形改造</w:t>
      </w:r>
      <w:r>
        <w:rPr>
          <w:rFonts w:ascii="Times New Roman" w:eastAsia="宋体" w:hAnsi="Times New Roman"/>
          <w:color w:val="auto"/>
          <w:sz w:val="24"/>
          <w:szCs w:val="24"/>
          <w:lang w:eastAsia="zh-CN"/>
        </w:rPr>
        <w:t>后</w:t>
      </w:r>
      <w:r>
        <w:rPr>
          <w:rFonts w:ascii="Times New Roman" w:eastAsia="宋体" w:hAnsi="Times New Roman" w:hint="eastAsia"/>
          <w:color w:val="auto"/>
          <w:sz w:val="24"/>
          <w:szCs w:val="24"/>
          <w:lang w:eastAsia="zh-CN"/>
        </w:rPr>
        <w:t>入海通道</w:t>
      </w:r>
      <w:r>
        <w:rPr>
          <w:rFonts w:ascii="Times New Roman" w:eastAsia="宋体" w:hAnsi="Times New Roman"/>
          <w:color w:val="auto"/>
          <w:sz w:val="24"/>
          <w:szCs w:val="24"/>
          <w:lang w:eastAsia="zh-CN"/>
        </w:rPr>
        <w:t>水深变深，流速增大引起的。工程周边冲淤年变化量在</w:t>
      </w:r>
      <w:r>
        <w:rPr>
          <w:rFonts w:ascii="Times New Roman" w:eastAsia="宋体" w:hAnsi="Times New Roman" w:hint="eastAsia"/>
          <w:color w:val="auto"/>
          <w:sz w:val="24"/>
          <w:szCs w:val="24"/>
          <w:lang w:eastAsia="zh-CN"/>
        </w:rPr>
        <w:t>0.9</w:t>
      </w:r>
      <w:r>
        <w:rPr>
          <w:rFonts w:ascii="Times New Roman" w:eastAsia="宋体" w:hAnsi="Times New Roman"/>
          <w:color w:val="auto"/>
          <w:sz w:val="24"/>
          <w:szCs w:val="24"/>
          <w:lang w:eastAsia="zh-CN"/>
        </w:rPr>
        <w:t>cm/a</w:t>
      </w:r>
      <w:r>
        <w:rPr>
          <w:rFonts w:ascii="Times New Roman" w:eastAsia="宋体" w:hAnsi="Times New Roman"/>
          <w:color w:val="auto"/>
          <w:sz w:val="24"/>
          <w:szCs w:val="24"/>
          <w:lang w:eastAsia="zh-CN"/>
        </w:rPr>
        <w:t>，工程实施对周边海底</w:t>
      </w:r>
      <w:r>
        <w:rPr>
          <w:rFonts w:ascii="Times New Roman" w:eastAsia="宋体" w:hAnsi="Times New Roman"/>
          <w:color w:val="auto"/>
          <w:sz w:val="24"/>
          <w:szCs w:val="24"/>
          <w:lang w:eastAsia="zh-CN"/>
        </w:rPr>
        <w:t>冲淤环境</w:t>
      </w:r>
      <w:r>
        <w:rPr>
          <w:rFonts w:ascii="Times New Roman" w:eastAsia="宋体" w:hAnsi="Times New Roman" w:hint="eastAsia"/>
          <w:color w:val="auto"/>
          <w:sz w:val="24"/>
          <w:szCs w:val="24"/>
          <w:lang w:eastAsia="zh-CN"/>
        </w:rPr>
        <w:t>的</w:t>
      </w:r>
      <w:r>
        <w:rPr>
          <w:rFonts w:ascii="Times New Roman" w:eastAsia="宋体" w:hAnsi="Times New Roman"/>
          <w:color w:val="auto"/>
          <w:sz w:val="24"/>
          <w:szCs w:val="24"/>
          <w:lang w:eastAsia="zh-CN"/>
        </w:rPr>
        <w:t>影响</w:t>
      </w:r>
      <w:r>
        <w:rPr>
          <w:rFonts w:ascii="Times New Roman" w:eastAsia="宋体" w:hAnsi="Times New Roman" w:hint="eastAsia"/>
          <w:color w:val="auto"/>
          <w:sz w:val="24"/>
          <w:szCs w:val="24"/>
          <w:lang w:eastAsia="zh-CN"/>
        </w:rPr>
        <w:t>局限在工程区域</w:t>
      </w:r>
      <w:r>
        <w:rPr>
          <w:rFonts w:ascii="Times New Roman" w:eastAsia="宋体" w:hAnsi="Times New Roman"/>
          <w:color w:val="auto"/>
          <w:sz w:val="24"/>
          <w:szCs w:val="24"/>
          <w:lang w:eastAsia="zh-CN"/>
        </w:rPr>
        <w:t>，尤其</w:t>
      </w:r>
      <w:r>
        <w:rPr>
          <w:rFonts w:ascii="Times New Roman" w:eastAsia="宋体" w:hAnsi="Times New Roman" w:hint="eastAsia"/>
          <w:color w:val="auto"/>
          <w:sz w:val="24"/>
          <w:szCs w:val="24"/>
          <w:lang w:eastAsia="zh-CN"/>
        </w:rPr>
        <w:t>对</w:t>
      </w:r>
      <w:r>
        <w:rPr>
          <w:rFonts w:ascii="Times New Roman" w:eastAsia="宋体" w:hAnsi="Times New Roman"/>
          <w:color w:val="auto"/>
          <w:sz w:val="24"/>
          <w:szCs w:val="24"/>
          <w:lang w:eastAsia="zh-CN"/>
        </w:rPr>
        <w:t>入海通道影响变化较大，冲淤环境变化主要由淤积转为</w:t>
      </w:r>
      <w:r>
        <w:rPr>
          <w:rFonts w:ascii="Times New Roman" w:eastAsia="宋体" w:hAnsi="Times New Roman" w:hint="eastAsia"/>
          <w:color w:val="auto"/>
          <w:sz w:val="24"/>
          <w:szCs w:val="24"/>
          <w:lang w:eastAsia="zh-CN"/>
        </w:rPr>
        <w:t>轻微</w:t>
      </w:r>
      <w:r>
        <w:rPr>
          <w:rFonts w:ascii="Times New Roman" w:eastAsia="宋体" w:hAnsi="Times New Roman"/>
          <w:color w:val="auto"/>
          <w:sz w:val="24"/>
          <w:szCs w:val="24"/>
          <w:lang w:eastAsia="zh-CN"/>
        </w:rPr>
        <w:t>冲刷，</w:t>
      </w:r>
      <w:r>
        <w:rPr>
          <w:rFonts w:ascii="Times New Roman" w:eastAsia="宋体" w:hAnsi="Times New Roman" w:hint="eastAsia"/>
          <w:color w:val="auto"/>
          <w:sz w:val="24"/>
          <w:szCs w:val="24"/>
          <w:lang w:eastAsia="zh-CN"/>
        </w:rPr>
        <w:t>有利于</w:t>
      </w:r>
      <w:r>
        <w:rPr>
          <w:rFonts w:ascii="Times New Roman" w:eastAsia="宋体" w:hAnsi="Times New Roman" w:hint="eastAsia"/>
          <w:color w:val="auto"/>
          <w:sz w:val="24"/>
          <w:szCs w:val="24"/>
          <w:lang w:eastAsia="zh-CN"/>
        </w:rPr>
        <w:t>铁炉港内</w:t>
      </w:r>
      <w:r>
        <w:rPr>
          <w:rFonts w:ascii="Times New Roman" w:eastAsia="宋体" w:hAnsi="Times New Roman" w:hint="eastAsia"/>
          <w:color w:val="auto"/>
          <w:sz w:val="24"/>
          <w:szCs w:val="24"/>
          <w:lang w:eastAsia="zh-CN"/>
        </w:rPr>
        <w:t>的</w:t>
      </w:r>
      <w:r>
        <w:rPr>
          <w:rFonts w:ascii="Times New Roman" w:eastAsia="宋体" w:hAnsi="Times New Roman" w:hint="eastAsia"/>
          <w:color w:val="auto"/>
          <w:sz w:val="24"/>
          <w:szCs w:val="24"/>
          <w:lang w:eastAsia="zh-CN"/>
        </w:rPr>
        <w:t>水系连通</w:t>
      </w:r>
      <w:r>
        <w:rPr>
          <w:rFonts w:ascii="Times New Roman" w:eastAsia="宋体" w:hAnsi="Times New Roman" w:hint="eastAsia"/>
          <w:color w:val="auto"/>
          <w:sz w:val="24"/>
          <w:szCs w:val="24"/>
          <w:lang w:eastAsia="zh-CN"/>
        </w:rPr>
        <w:t>。</w:t>
      </w:r>
    </w:p>
    <w:p w14:paraId="5630FCAC" w14:textId="77777777" w:rsidR="0075791A" w:rsidRDefault="00FB2864">
      <w:pPr>
        <w:spacing w:before="34" w:line="356" w:lineRule="auto"/>
        <w:ind w:firstLine="487"/>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本项目通过疏浚，提升潮汐通道内水流通畅性，提高潟湖水体与外海水体的交换能力，通过对潟湖水动力较弱产生淤泥沉积的地方进行水系连通，使生境更适宜于红树林生长。</w:t>
      </w:r>
      <w:r>
        <w:rPr>
          <w:rFonts w:ascii="Times New Roman" w:eastAsia="宋体" w:hAnsi="Times New Roman" w:cs="Times New Roman"/>
          <w:snapToGrid/>
          <w:color w:val="auto"/>
          <w:kern w:val="2"/>
          <w:sz w:val="24"/>
          <w:szCs w:val="24"/>
          <w:lang w:eastAsia="zh-CN"/>
        </w:rPr>
        <w:t>随着时间的推移，潮流环境的变化率逐渐减小，并趋向于稳定，与潮流因素密切相关的含沙量及床面冲淤量亦会逐渐趋于平衡状态。</w:t>
      </w:r>
    </w:p>
    <w:p w14:paraId="305A243C" w14:textId="77777777" w:rsidR="0075791A" w:rsidRDefault="00FB2864">
      <w:pPr>
        <w:spacing w:before="34" w:line="356" w:lineRule="auto"/>
        <w:ind w:firstLine="487"/>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因此，项目平面布局能最大程度减少对水文动力环境和冲淤环境的影响。</w:t>
      </w:r>
    </w:p>
    <w:p w14:paraId="0D2CCBCB"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43" w:name="_Toc14990"/>
      <w:r>
        <w:rPr>
          <w:rFonts w:ascii="Times New Roman" w:hAnsi="Times New Roman" w:hint="eastAsia"/>
          <w:color w:val="auto"/>
          <w:sz w:val="28"/>
          <w:szCs w:val="28"/>
          <w:lang w:eastAsia="zh-CN"/>
        </w:rPr>
        <w:lastRenderedPageBreak/>
        <w:t>7.2.4</w:t>
      </w:r>
      <w:r>
        <w:rPr>
          <w:rFonts w:ascii="Times New Roman" w:hAnsi="Times New Roman" w:hint="eastAsia"/>
          <w:color w:val="auto"/>
          <w:sz w:val="28"/>
          <w:szCs w:val="28"/>
          <w:lang w:eastAsia="zh-CN"/>
        </w:rPr>
        <w:t>能否最大程度地减少对周边其他用海活动的影响</w:t>
      </w:r>
      <w:bookmarkEnd w:id="343"/>
    </w:p>
    <w:p w14:paraId="0A92F4DB" w14:textId="77777777" w:rsidR="0075791A" w:rsidRDefault="00FB2864">
      <w:pPr>
        <w:spacing w:before="34" w:line="356" w:lineRule="auto"/>
        <w:ind w:firstLine="487"/>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根据资料收集和规场调查，</w:t>
      </w:r>
      <w:r>
        <w:rPr>
          <w:rFonts w:ascii="Times New Roman" w:eastAsia="宋体" w:hAnsi="Times New Roman" w:cs="Times New Roman"/>
          <w:snapToGrid/>
          <w:color w:val="auto"/>
          <w:kern w:val="2"/>
          <w:sz w:val="24"/>
          <w:szCs w:val="24"/>
          <w:lang w:eastAsia="zh-CN"/>
        </w:rPr>
        <w:t>项目论证范围内海域开发利用活动较</w:t>
      </w:r>
      <w:r>
        <w:rPr>
          <w:rFonts w:ascii="Times New Roman" w:eastAsia="宋体" w:hAnsi="Times New Roman" w:cs="Times New Roman" w:hint="eastAsia"/>
          <w:snapToGrid/>
          <w:color w:val="auto"/>
          <w:kern w:val="2"/>
          <w:sz w:val="24"/>
          <w:szCs w:val="24"/>
          <w:lang w:eastAsia="zh-CN"/>
        </w:rPr>
        <w:t>多</w:t>
      </w:r>
      <w:r>
        <w:rPr>
          <w:rFonts w:ascii="Times New Roman" w:eastAsia="宋体" w:hAnsi="Times New Roman" w:cs="Times New Roman"/>
          <w:snapToGrid/>
          <w:color w:val="auto"/>
          <w:kern w:val="2"/>
          <w:sz w:val="24"/>
          <w:szCs w:val="24"/>
          <w:lang w:eastAsia="zh-CN"/>
        </w:rPr>
        <w:t>，主要包括</w:t>
      </w:r>
      <w:r>
        <w:rPr>
          <w:rFonts w:ascii="Times New Roman" w:eastAsia="宋体" w:hAnsi="Times New Roman" w:cs="Times New Roman"/>
          <w:snapToGrid/>
          <w:color w:val="auto"/>
          <w:kern w:val="2"/>
          <w:sz w:val="24"/>
          <w:szCs w:val="24"/>
          <w:lang w:eastAsia="zh-CN"/>
        </w:rPr>
        <w:t>渔业用海、</w:t>
      </w:r>
      <w:r>
        <w:rPr>
          <w:rFonts w:ascii="Times New Roman" w:eastAsia="宋体" w:hAnsi="Times New Roman" w:cs="Times New Roman" w:hint="eastAsia"/>
          <w:snapToGrid/>
          <w:color w:val="auto"/>
          <w:kern w:val="2"/>
          <w:sz w:val="24"/>
          <w:szCs w:val="24"/>
          <w:lang w:eastAsia="zh-CN"/>
        </w:rPr>
        <w:t>游憩</w:t>
      </w:r>
      <w:r>
        <w:rPr>
          <w:rFonts w:ascii="Times New Roman" w:eastAsia="宋体" w:hAnsi="Times New Roman" w:cs="Times New Roman"/>
          <w:snapToGrid/>
          <w:color w:val="auto"/>
          <w:kern w:val="2"/>
          <w:sz w:val="24"/>
          <w:szCs w:val="24"/>
          <w:lang w:eastAsia="zh-CN"/>
        </w:rPr>
        <w:t>用海、</w:t>
      </w:r>
      <w:r>
        <w:rPr>
          <w:rFonts w:ascii="Times New Roman" w:eastAsia="宋体" w:hAnsi="Times New Roman" w:cs="Times New Roman" w:hint="eastAsia"/>
          <w:snapToGrid/>
          <w:color w:val="auto"/>
          <w:kern w:val="2"/>
          <w:sz w:val="24"/>
          <w:szCs w:val="24"/>
          <w:lang w:eastAsia="zh-CN"/>
        </w:rPr>
        <w:t>工矿通信用海、特殊用海</w:t>
      </w:r>
      <w:r>
        <w:rPr>
          <w:rFonts w:ascii="Times New Roman" w:eastAsia="宋体" w:hAnsi="Times New Roman" w:cs="Times New Roman"/>
          <w:snapToGrid/>
          <w:color w:val="auto"/>
          <w:kern w:val="2"/>
          <w:sz w:val="24"/>
          <w:szCs w:val="24"/>
          <w:lang w:eastAsia="zh-CN"/>
        </w:rPr>
        <w:t>等</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项目</w:t>
      </w:r>
      <w:r>
        <w:rPr>
          <w:rFonts w:ascii="Times New Roman" w:eastAsia="宋体" w:hAnsi="Times New Roman" w:cs="Times New Roman" w:hint="eastAsia"/>
          <w:snapToGrid/>
          <w:color w:val="auto"/>
          <w:kern w:val="2"/>
          <w:sz w:val="24"/>
          <w:szCs w:val="24"/>
          <w:lang w:eastAsia="zh-CN"/>
        </w:rPr>
        <w:t>所在铁炉港海域用海活动主要为渔业用海，且均未确权，地块上无开发活动。</w:t>
      </w:r>
    </w:p>
    <w:p w14:paraId="42C81B53" w14:textId="77777777" w:rsidR="0075791A" w:rsidRDefault="00FB2864">
      <w:pPr>
        <w:spacing w:line="360" w:lineRule="auto"/>
        <w:ind w:firstLineChars="200" w:firstLine="476"/>
        <w:jc w:val="both"/>
        <w:rPr>
          <w:rFonts w:ascii="Times New Roman" w:eastAsia="宋体" w:hAnsi="Times New Roman" w:cs="Times New Roman"/>
          <w:snapToGrid/>
          <w:color w:val="auto"/>
          <w:kern w:val="2"/>
          <w:sz w:val="24"/>
          <w:szCs w:val="24"/>
          <w:lang w:eastAsia="zh-CN"/>
        </w:rPr>
      </w:pPr>
      <w:r>
        <w:rPr>
          <w:rFonts w:ascii="Times New Roman" w:eastAsia="宋体" w:hAnsi="Times New Roman" w:cs="宋体"/>
          <w:color w:val="auto"/>
          <w:spacing w:val="-2"/>
          <w:sz w:val="24"/>
          <w:szCs w:val="24"/>
          <w:lang w:eastAsia="zh-CN"/>
        </w:rPr>
        <w:t>根据项目用海资源生态影响分析内容，项目用海对周边海域开发活动的影响一是项目施工产生悬浮泥沙对用海活动区的海水水质的影响；</w:t>
      </w:r>
      <w:r>
        <w:rPr>
          <w:rFonts w:ascii="Times New Roman" w:eastAsia="宋体" w:hAnsi="Times New Roman" w:cs="宋体" w:hint="eastAsia"/>
          <w:color w:val="auto"/>
          <w:spacing w:val="-2"/>
          <w:sz w:val="24"/>
          <w:szCs w:val="24"/>
          <w:lang w:eastAsia="zh-CN"/>
        </w:rPr>
        <w:t>二是</w:t>
      </w:r>
      <w:r>
        <w:rPr>
          <w:rFonts w:ascii="Times New Roman" w:eastAsia="宋体" w:hAnsi="Times New Roman" w:cs="宋体"/>
          <w:color w:val="auto"/>
          <w:spacing w:val="-2"/>
          <w:sz w:val="24"/>
          <w:szCs w:val="24"/>
          <w:lang w:eastAsia="zh-CN"/>
        </w:rPr>
        <w:t>项目用海对项目</w:t>
      </w:r>
      <w:r>
        <w:rPr>
          <w:rFonts w:ascii="Times New Roman" w:eastAsia="宋体" w:hAnsi="Times New Roman" w:cs="宋体" w:hint="eastAsia"/>
          <w:color w:val="auto"/>
          <w:spacing w:val="-2"/>
          <w:sz w:val="24"/>
          <w:szCs w:val="24"/>
          <w:lang w:eastAsia="zh-CN"/>
        </w:rPr>
        <w:t>附近海域通</w:t>
      </w:r>
      <w:r>
        <w:rPr>
          <w:rFonts w:ascii="Times New Roman" w:eastAsia="宋体" w:hAnsi="Times New Roman" w:cs="Times New Roman" w:hint="eastAsia"/>
          <w:snapToGrid/>
          <w:color w:val="auto"/>
          <w:kern w:val="2"/>
          <w:sz w:val="24"/>
          <w:szCs w:val="24"/>
          <w:lang w:eastAsia="zh-CN"/>
        </w:rPr>
        <w:t>航安全的影响。根据项目用海对海域开发活动的影响分析结果，项目用海未涉及到的利益相关者主要，需要协调部门三亚海事局。项目建设产生的利益相关问题可以通过协调予以解决。</w:t>
      </w:r>
    </w:p>
    <w:p w14:paraId="11CD079C"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因此，项目平面布置能最大程度减少对周边其他用海活动的影响。</w:t>
      </w:r>
    </w:p>
    <w:p w14:paraId="01A9B7F4"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综上，本项目的平面布置总体上是合理的。</w:t>
      </w:r>
    </w:p>
    <w:p w14:paraId="6702BBAB"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344" w:name="bookmark64"/>
      <w:bookmarkStart w:id="345" w:name="_Toc30006"/>
      <w:bookmarkStart w:id="346" w:name="_Toc13799"/>
      <w:bookmarkStart w:id="347" w:name="_Toc21258"/>
      <w:bookmarkEnd w:id="344"/>
      <w:r>
        <w:rPr>
          <w:rFonts w:ascii="Times New Roman" w:eastAsia="宋体" w:hAnsi="Times New Roman" w:cs="Times New Roman" w:hint="eastAsia"/>
          <w:b/>
          <w:bCs/>
          <w:color w:val="auto"/>
          <w:spacing w:val="-6"/>
          <w:sz w:val="30"/>
          <w:szCs w:val="30"/>
          <w:lang w:eastAsia="zh-CN"/>
        </w:rPr>
        <w:t>7</w:t>
      </w:r>
      <w:r>
        <w:rPr>
          <w:rFonts w:ascii="Times New Roman" w:eastAsia="Times New Roman" w:hAnsi="Times New Roman" w:cs="Times New Roman"/>
          <w:b/>
          <w:bCs/>
          <w:color w:val="auto"/>
          <w:spacing w:val="-6"/>
          <w:sz w:val="30"/>
          <w:szCs w:val="30"/>
          <w:lang w:eastAsia="zh-CN"/>
        </w:rPr>
        <w:t>.3用海方式合理性分析</w:t>
      </w:r>
      <w:bookmarkEnd w:id="345"/>
      <w:bookmarkEnd w:id="346"/>
      <w:bookmarkEnd w:id="347"/>
    </w:p>
    <w:p w14:paraId="6EE67985"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海域使用分类</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中用海方式的界定方法，</w:t>
      </w:r>
      <w:r>
        <w:rPr>
          <w:rFonts w:ascii="Times New Roman" w:eastAsia="宋体" w:hAnsi="Times New Roman" w:cs="宋体" w:hint="eastAsia"/>
          <w:color w:val="auto"/>
          <w:spacing w:val="-2"/>
          <w:sz w:val="24"/>
          <w:szCs w:val="24"/>
          <w:lang w:eastAsia="zh-CN"/>
        </w:rPr>
        <w:t>本项目疏浚区用海方式为</w:t>
      </w:r>
      <w:r>
        <w:rPr>
          <w:rFonts w:ascii="Times New Roman" w:eastAsia="宋体" w:hAnsi="Times New Roman" w:cs="宋体" w:hint="eastAsia"/>
          <w:color w:val="auto"/>
          <w:spacing w:val="-2"/>
          <w:sz w:val="24"/>
          <w:szCs w:val="24"/>
          <w:lang w:eastAsia="zh-CN"/>
        </w:rPr>
        <w:t>专用航道、锚地及其他开放式</w:t>
      </w:r>
      <w:r>
        <w:rPr>
          <w:rFonts w:ascii="Times New Roman" w:eastAsia="宋体" w:hAnsi="Times New Roman" w:cs="宋体" w:hint="eastAsia"/>
          <w:color w:val="auto"/>
          <w:spacing w:val="-2"/>
          <w:sz w:val="24"/>
          <w:szCs w:val="24"/>
          <w:lang w:eastAsia="zh-CN"/>
        </w:rPr>
        <w:t>，遵循了“尽最大可能不填海和少填海、不采用非透水构筑物，尽可能采用透水式、开放式的用海原则”。</w:t>
      </w:r>
    </w:p>
    <w:p w14:paraId="1AD0C5ED"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依据项目的初步设计，本项目</w:t>
      </w:r>
      <w:r>
        <w:rPr>
          <w:rFonts w:ascii="Times New Roman" w:eastAsia="宋体" w:hAnsi="Times New Roman" w:cs="宋体" w:hint="eastAsia"/>
          <w:color w:val="auto"/>
          <w:spacing w:val="-2"/>
          <w:sz w:val="24"/>
          <w:szCs w:val="24"/>
          <w:lang w:eastAsia="zh-CN"/>
        </w:rPr>
        <w:t>疏浚施工</w:t>
      </w:r>
      <w:r>
        <w:rPr>
          <w:rFonts w:ascii="Times New Roman" w:eastAsia="宋体" w:hAnsi="Times New Roman" w:cs="宋体" w:hint="eastAsia"/>
          <w:color w:val="auto"/>
          <w:spacing w:val="-2"/>
          <w:sz w:val="24"/>
          <w:szCs w:val="24"/>
          <w:lang w:eastAsia="zh-CN"/>
        </w:rPr>
        <w:t>对所在区域的海域基本功能不会产生影响</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项目施工产生悬浮物扩散会对项目所在海域水质环境产生一定影响，需采取污染防治措施，如设置防污帘、合理安排疏浚时间等</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此外，施工期较短，所产生的悬浮泥沙对海水水质的影响时间是短暂的，这种影响一旦施工完毕，在较短的时间内（</w:t>
      </w:r>
      <w:r>
        <w:rPr>
          <w:rFonts w:ascii="Times New Roman" w:eastAsia="宋体" w:hAnsi="Times New Roman" w:cs="宋体" w:hint="eastAsia"/>
          <w:color w:val="auto"/>
          <w:spacing w:val="-2"/>
          <w:sz w:val="24"/>
          <w:szCs w:val="24"/>
          <w:lang w:eastAsia="zh-CN"/>
        </w:rPr>
        <w:t>12</w:t>
      </w:r>
      <w:r>
        <w:rPr>
          <w:rFonts w:ascii="Times New Roman" w:eastAsia="宋体" w:hAnsi="Times New Roman" w:cs="宋体" w:hint="eastAsia"/>
          <w:color w:val="auto"/>
          <w:spacing w:val="-2"/>
          <w:sz w:val="24"/>
          <w:szCs w:val="24"/>
          <w:lang w:eastAsia="zh-CN"/>
        </w:rPr>
        <w:t>小时）也就结束，自然生态环境逐渐得到恢复。</w:t>
      </w:r>
    </w:p>
    <w:p w14:paraId="5645CA12" w14:textId="77777777" w:rsidR="0075791A" w:rsidRDefault="00FB2864">
      <w:pPr>
        <w:spacing w:before="34" w:line="356" w:lineRule="auto"/>
        <w:ind w:firstLine="487"/>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项目建设项目与周围环境相协调，项目</w:t>
      </w:r>
      <w:r>
        <w:rPr>
          <w:rFonts w:ascii="Times New Roman" w:eastAsia="宋体" w:hAnsi="Times New Roman" w:cs="宋体" w:hint="eastAsia"/>
          <w:color w:val="auto"/>
          <w:spacing w:val="-2"/>
          <w:sz w:val="24"/>
          <w:szCs w:val="24"/>
          <w:lang w:eastAsia="zh-CN"/>
        </w:rPr>
        <w:t>构筑物</w:t>
      </w:r>
      <w:r>
        <w:rPr>
          <w:rFonts w:ascii="Times New Roman" w:eastAsia="宋体" w:hAnsi="Times New Roman" w:cs="宋体" w:hint="eastAsia"/>
          <w:color w:val="auto"/>
          <w:spacing w:val="-2"/>
          <w:sz w:val="24"/>
          <w:szCs w:val="24"/>
          <w:lang w:eastAsia="zh-CN"/>
        </w:rPr>
        <w:t>建设不会使得工程区的岸线水深条件发生变化</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在清淤工程作用下，</w:t>
      </w:r>
      <w:r>
        <w:rPr>
          <w:rFonts w:ascii="Times New Roman" w:eastAsia="宋体" w:hAnsi="Times New Roman" w:cs="宋体" w:hint="eastAsia"/>
          <w:color w:val="auto"/>
          <w:spacing w:val="-2"/>
          <w:sz w:val="24"/>
          <w:szCs w:val="24"/>
          <w:lang w:eastAsia="zh-CN"/>
        </w:rPr>
        <w:t>海湾内</w:t>
      </w:r>
      <w:r>
        <w:rPr>
          <w:rFonts w:ascii="Times New Roman" w:eastAsia="宋体" w:hAnsi="Times New Roman" w:cs="宋体"/>
          <w:color w:val="auto"/>
          <w:spacing w:val="-2"/>
          <w:sz w:val="24"/>
          <w:szCs w:val="24"/>
          <w:lang w:eastAsia="zh-CN"/>
        </w:rPr>
        <w:t>通道水深变深，</w:t>
      </w:r>
      <w:r>
        <w:rPr>
          <w:rFonts w:ascii="Times New Roman" w:eastAsia="宋体" w:hAnsi="Times New Roman" w:cs="宋体" w:hint="eastAsia"/>
          <w:color w:val="auto"/>
          <w:spacing w:val="-2"/>
          <w:sz w:val="24"/>
          <w:szCs w:val="24"/>
          <w:lang w:eastAsia="zh-CN"/>
        </w:rPr>
        <w:t>港内海水交换更通畅。</w:t>
      </w:r>
      <w:r>
        <w:rPr>
          <w:rFonts w:ascii="Times New Roman" w:eastAsia="宋体" w:hAnsi="Times New Roman" w:cs="宋体"/>
          <w:color w:val="auto"/>
          <w:spacing w:val="-2"/>
          <w:sz w:val="24"/>
          <w:szCs w:val="24"/>
          <w:lang w:eastAsia="zh-CN"/>
        </w:rPr>
        <w:t>清淤工程对</w:t>
      </w:r>
      <w:r>
        <w:rPr>
          <w:rFonts w:ascii="Times New Roman" w:eastAsia="宋体" w:hAnsi="Times New Roman" w:cs="宋体" w:hint="eastAsia"/>
          <w:color w:val="auto"/>
          <w:spacing w:val="-2"/>
          <w:sz w:val="24"/>
          <w:szCs w:val="24"/>
          <w:lang w:eastAsia="zh-CN"/>
        </w:rPr>
        <w:t>铁炉</w:t>
      </w:r>
      <w:r>
        <w:rPr>
          <w:rFonts w:ascii="Times New Roman" w:eastAsia="宋体" w:hAnsi="Times New Roman" w:cs="宋体"/>
          <w:color w:val="auto"/>
          <w:spacing w:val="-2"/>
          <w:sz w:val="24"/>
          <w:szCs w:val="24"/>
          <w:lang w:eastAsia="zh-CN"/>
        </w:rPr>
        <w:t>湾流场影响范围局限在</w:t>
      </w:r>
      <w:r>
        <w:rPr>
          <w:rFonts w:ascii="Times New Roman" w:eastAsia="宋体" w:hAnsi="Times New Roman" w:cs="宋体" w:hint="eastAsia"/>
          <w:color w:val="auto"/>
          <w:spacing w:val="-2"/>
          <w:sz w:val="24"/>
          <w:szCs w:val="24"/>
          <w:lang w:eastAsia="zh-CN"/>
        </w:rPr>
        <w:t>高尔夫中央球场北部</w:t>
      </w:r>
      <w:r>
        <w:rPr>
          <w:rFonts w:ascii="Times New Roman" w:eastAsia="宋体" w:hAnsi="Times New Roman" w:cs="宋体"/>
          <w:color w:val="auto"/>
          <w:spacing w:val="-2"/>
          <w:sz w:val="24"/>
          <w:szCs w:val="24"/>
          <w:lang w:eastAsia="zh-CN"/>
        </w:rPr>
        <w:t>，工程建设对周边海域水动力影响较小。</w:t>
      </w:r>
      <w:r>
        <w:rPr>
          <w:rFonts w:ascii="Times New Roman" w:eastAsia="宋体" w:hAnsi="Times New Roman"/>
          <w:color w:val="auto"/>
          <w:sz w:val="24"/>
          <w:szCs w:val="24"/>
          <w:lang w:eastAsia="zh-CN"/>
        </w:rPr>
        <w:t>工程实施对周边海底冲淤环境</w:t>
      </w:r>
      <w:r>
        <w:rPr>
          <w:rFonts w:ascii="Times New Roman" w:eastAsia="宋体" w:hAnsi="Times New Roman" w:hint="eastAsia"/>
          <w:color w:val="auto"/>
          <w:sz w:val="24"/>
          <w:szCs w:val="24"/>
          <w:lang w:eastAsia="zh-CN"/>
        </w:rPr>
        <w:t>的</w:t>
      </w:r>
      <w:r>
        <w:rPr>
          <w:rFonts w:ascii="Times New Roman" w:eastAsia="宋体" w:hAnsi="Times New Roman"/>
          <w:color w:val="auto"/>
          <w:sz w:val="24"/>
          <w:szCs w:val="24"/>
          <w:lang w:eastAsia="zh-CN"/>
        </w:rPr>
        <w:t>影响</w:t>
      </w:r>
      <w:r>
        <w:rPr>
          <w:rFonts w:ascii="Times New Roman" w:eastAsia="宋体" w:hAnsi="Times New Roman" w:hint="eastAsia"/>
          <w:color w:val="auto"/>
          <w:sz w:val="24"/>
          <w:szCs w:val="24"/>
          <w:lang w:eastAsia="zh-CN"/>
        </w:rPr>
        <w:t>局限在工程区域</w:t>
      </w:r>
      <w:r>
        <w:rPr>
          <w:rFonts w:ascii="Times New Roman" w:eastAsia="宋体" w:hAnsi="Times New Roman" w:cs="宋体" w:hint="eastAsia"/>
          <w:color w:val="auto"/>
          <w:spacing w:val="-2"/>
          <w:sz w:val="24"/>
          <w:szCs w:val="24"/>
          <w:lang w:eastAsia="zh-CN"/>
        </w:rPr>
        <w:t>，</w:t>
      </w:r>
      <w:r>
        <w:rPr>
          <w:rFonts w:ascii="Times New Roman" w:eastAsia="宋体" w:hAnsi="Times New Roman"/>
          <w:color w:val="auto"/>
          <w:sz w:val="24"/>
          <w:szCs w:val="24"/>
          <w:lang w:eastAsia="zh-CN"/>
        </w:rPr>
        <w:t>尤其</w:t>
      </w:r>
      <w:r>
        <w:rPr>
          <w:rFonts w:ascii="Times New Roman" w:eastAsia="宋体" w:hAnsi="Times New Roman" w:hint="eastAsia"/>
          <w:color w:val="auto"/>
          <w:sz w:val="24"/>
          <w:szCs w:val="24"/>
          <w:lang w:eastAsia="zh-CN"/>
        </w:rPr>
        <w:t>对</w:t>
      </w:r>
      <w:r>
        <w:rPr>
          <w:rFonts w:ascii="Times New Roman" w:eastAsia="宋体" w:hAnsi="Times New Roman"/>
          <w:color w:val="auto"/>
          <w:sz w:val="24"/>
          <w:szCs w:val="24"/>
          <w:lang w:eastAsia="zh-CN"/>
        </w:rPr>
        <w:t>入海通道影响变化较大，冲淤环境变化主要由淤积转为</w:t>
      </w:r>
      <w:r>
        <w:rPr>
          <w:rFonts w:ascii="Times New Roman" w:eastAsia="宋体" w:hAnsi="Times New Roman" w:hint="eastAsia"/>
          <w:color w:val="auto"/>
          <w:sz w:val="24"/>
          <w:szCs w:val="24"/>
          <w:lang w:eastAsia="zh-CN"/>
        </w:rPr>
        <w:t>轻微</w:t>
      </w:r>
      <w:r>
        <w:rPr>
          <w:rFonts w:ascii="Times New Roman" w:eastAsia="宋体" w:hAnsi="Times New Roman"/>
          <w:color w:val="auto"/>
          <w:sz w:val="24"/>
          <w:szCs w:val="24"/>
          <w:lang w:eastAsia="zh-CN"/>
        </w:rPr>
        <w:t>冲刷，</w:t>
      </w:r>
      <w:r>
        <w:rPr>
          <w:rFonts w:ascii="Times New Roman" w:eastAsia="宋体" w:hAnsi="Times New Roman" w:hint="eastAsia"/>
          <w:color w:val="auto"/>
          <w:sz w:val="24"/>
          <w:szCs w:val="24"/>
          <w:lang w:eastAsia="zh-CN"/>
        </w:rPr>
        <w:t>有利于</w:t>
      </w:r>
      <w:r>
        <w:rPr>
          <w:rFonts w:ascii="Times New Roman" w:eastAsia="宋体" w:hAnsi="Times New Roman" w:hint="eastAsia"/>
          <w:color w:val="auto"/>
          <w:sz w:val="24"/>
          <w:szCs w:val="24"/>
          <w:lang w:eastAsia="zh-CN"/>
        </w:rPr>
        <w:t>铁炉港内</w:t>
      </w:r>
      <w:r>
        <w:rPr>
          <w:rFonts w:ascii="Times New Roman" w:eastAsia="宋体" w:hAnsi="Times New Roman" w:hint="eastAsia"/>
          <w:color w:val="auto"/>
          <w:sz w:val="24"/>
          <w:szCs w:val="24"/>
          <w:lang w:eastAsia="zh-CN"/>
        </w:rPr>
        <w:t>的</w:t>
      </w:r>
      <w:r>
        <w:rPr>
          <w:rFonts w:ascii="Times New Roman" w:eastAsia="宋体" w:hAnsi="Times New Roman" w:hint="eastAsia"/>
          <w:color w:val="auto"/>
          <w:sz w:val="24"/>
          <w:szCs w:val="24"/>
          <w:lang w:eastAsia="zh-CN"/>
        </w:rPr>
        <w:t>水系连通</w:t>
      </w:r>
      <w:r>
        <w:rPr>
          <w:rFonts w:ascii="Times New Roman" w:eastAsia="宋体" w:hAnsi="Times New Roman" w:hint="eastAsia"/>
          <w:color w:val="auto"/>
          <w:sz w:val="24"/>
          <w:szCs w:val="24"/>
          <w:lang w:eastAsia="zh-CN"/>
        </w:rPr>
        <w:t>。</w:t>
      </w:r>
    </w:p>
    <w:p w14:paraId="4E65FE7D"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项目营运期间没有对海洋生态环境造成影响的用海活动。因此，项目的用海方式对区域海洋生态系统的影响是可以接受的。</w:t>
      </w:r>
    </w:p>
    <w:p w14:paraId="39E0D51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可见，本项目的用海方式是合理的。</w:t>
      </w:r>
    </w:p>
    <w:p w14:paraId="015C4288"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348" w:name="bookmark66"/>
      <w:bookmarkStart w:id="349" w:name="_Toc17324"/>
      <w:bookmarkStart w:id="350" w:name="_Toc23406"/>
      <w:bookmarkStart w:id="351" w:name="_Toc5472"/>
      <w:bookmarkEnd w:id="348"/>
      <w:r>
        <w:rPr>
          <w:rFonts w:ascii="Times New Roman" w:eastAsia="宋体" w:hAnsi="Times New Roman" w:cs="Times New Roman" w:hint="eastAsia"/>
          <w:b/>
          <w:bCs/>
          <w:color w:val="auto"/>
          <w:spacing w:val="-6"/>
          <w:sz w:val="30"/>
          <w:szCs w:val="30"/>
          <w:lang w:eastAsia="zh-CN"/>
        </w:rPr>
        <w:t>7</w:t>
      </w:r>
      <w:r>
        <w:rPr>
          <w:rFonts w:ascii="Times New Roman" w:eastAsia="Times New Roman" w:hAnsi="Times New Roman" w:cs="Times New Roman"/>
          <w:b/>
          <w:bCs/>
          <w:color w:val="auto"/>
          <w:spacing w:val="-6"/>
          <w:sz w:val="30"/>
          <w:szCs w:val="30"/>
          <w:lang w:eastAsia="zh-CN"/>
        </w:rPr>
        <w:t>.4占用岸线合理性分析</w:t>
      </w:r>
      <w:bookmarkEnd w:id="349"/>
      <w:bookmarkEnd w:id="350"/>
      <w:bookmarkEnd w:id="351"/>
    </w:p>
    <w:p w14:paraId="4B710717"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lastRenderedPageBreak/>
        <w:t>本项目</w:t>
      </w:r>
      <w:r>
        <w:rPr>
          <w:rFonts w:ascii="Times New Roman" w:eastAsia="宋体" w:hAnsi="Times New Roman" w:cs="宋体" w:hint="eastAsia"/>
          <w:color w:val="auto"/>
          <w:spacing w:val="-2"/>
          <w:sz w:val="24"/>
          <w:szCs w:val="24"/>
          <w:lang w:eastAsia="zh-CN"/>
        </w:rPr>
        <w:t>巡护便道安全防护区接人工</w:t>
      </w:r>
      <w:r>
        <w:rPr>
          <w:rFonts w:ascii="Times New Roman" w:eastAsia="宋体" w:hAnsi="Times New Roman" w:cs="宋体" w:hint="eastAsia"/>
          <w:color w:val="auto"/>
          <w:spacing w:val="-2"/>
          <w:sz w:val="24"/>
          <w:szCs w:val="24"/>
          <w:lang w:eastAsia="zh-CN"/>
        </w:rPr>
        <w:t>岸线</w:t>
      </w:r>
      <w:r>
        <w:rPr>
          <w:rFonts w:ascii="Times New Roman" w:eastAsia="宋体" w:hAnsi="Times New Roman" w:cs="宋体" w:hint="eastAsia"/>
          <w:color w:val="auto"/>
          <w:spacing w:val="-2"/>
          <w:sz w:val="24"/>
          <w:szCs w:val="24"/>
          <w:lang w:eastAsia="zh-CN"/>
        </w:rPr>
        <w:t>2m</w:t>
      </w:r>
      <w:r>
        <w:rPr>
          <w:rFonts w:ascii="Times New Roman" w:eastAsia="宋体" w:hAnsi="Times New Roman" w:cs="宋体" w:hint="eastAsia"/>
          <w:color w:val="auto"/>
          <w:spacing w:val="-2"/>
          <w:sz w:val="24"/>
          <w:szCs w:val="24"/>
          <w:lang w:eastAsia="zh-CN"/>
        </w:rPr>
        <w:t>，但巡护便道未接岸</w:t>
      </w:r>
      <w:r>
        <w:rPr>
          <w:rFonts w:ascii="Times New Roman" w:eastAsia="宋体" w:hAnsi="Times New Roman" w:cs="宋体" w:hint="eastAsia"/>
          <w:color w:val="auto"/>
          <w:spacing w:val="-2"/>
          <w:sz w:val="24"/>
          <w:szCs w:val="24"/>
          <w:lang w:eastAsia="zh-CN"/>
        </w:rPr>
        <w:t>，</w:t>
      </w:r>
      <w:r>
        <w:rPr>
          <w:rFonts w:ascii="Times New Roman" w:eastAsia="宋体" w:hAnsi="Times New Roman" w:cs="Times New Roman" w:hint="eastAsia"/>
          <w:snapToGrid/>
          <w:color w:val="auto"/>
          <w:kern w:val="2"/>
          <w:sz w:val="24"/>
          <w:szCs w:val="24"/>
          <w:lang w:eastAsia="zh-CN"/>
        </w:rPr>
        <w:t>保留自然岸线自然形态和生态功能。</w:t>
      </w:r>
    </w:p>
    <w:p w14:paraId="4A29D339"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352" w:name="bookmark68"/>
      <w:bookmarkStart w:id="353" w:name="_Toc31721"/>
      <w:bookmarkStart w:id="354" w:name="_Toc22470"/>
      <w:bookmarkStart w:id="355" w:name="_Toc5688"/>
      <w:bookmarkEnd w:id="352"/>
      <w:r>
        <w:rPr>
          <w:rFonts w:ascii="Times New Roman" w:eastAsia="宋体" w:hAnsi="Times New Roman" w:cs="Times New Roman" w:hint="eastAsia"/>
          <w:b/>
          <w:bCs/>
          <w:color w:val="auto"/>
          <w:spacing w:val="-6"/>
          <w:sz w:val="30"/>
          <w:szCs w:val="30"/>
          <w:lang w:eastAsia="zh-CN"/>
        </w:rPr>
        <w:t>7</w:t>
      </w:r>
      <w:r>
        <w:rPr>
          <w:rFonts w:ascii="Times New Roman" w:eastAsia="Times New Roman" w:hAnsi="Times New Roman" w:cs="Times New Roman"/>
          <w:b/>
          <w:bCs/>
          <w:color w:val="auto"/>
          <w:spacing w:val="-6"/>
          <w:sz w:val="30"/>
          <w:szCs w:val="30"/>
          <w:lang w:eastAsia="zh-CN"/>
        </w:rPr>
        <w:t>.5用海面积合理性分析</w:t>
      </w:r>
      <w:bookmarkEnd w:id="353"/>
      <w:bookmarkEnd w:id="354"/>
      <w:bookmarkEnd w:id="355"/>
    </w:p>
    <w:p w14:paraId="41991D28"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r>
        <w:rPr>
          <w:rFonts w:ascii="Times New Roman" w:hAnsi="Times New Roman" w:hint="eastAsia"/>
          <w:color w:val="auto"/>
          <w:sz w:val="28"/>
          <w:szCs w:val="28"/>
          <w:lang w:eastAsia="zh-CN"/>
        </w:rPr>
        <w:t>7.5.1</w:t>
      </w:r>
      <w:r>
        <w:rPr>
          <w:rFonts w:ascii="Times New Roman" w:hAnsi="Times New Roman" w:hint="eastAsia"/>
          <w:color w:val="auto"/>
          <w:sz w:val="28"/>
          <w:szCs w:val="28"/>
          <w:lang w:eastAsia="zh-CN"/>
        </w:rPr>
        <w:t>宗海图绘制</w:t>
      </w:r>
    </w:p>
    <w:p w14:paraId="2A004D24" w14:textId="77777777" w:rsidR="0075791A" w:rsidRDefault="00FB2864">
      <w:pPr>
        <w:spacing w:before="34" w:line="352" w:lineRule="auto"/>
        <w:ind w:left="12" w:firstLine="479"/>
        <w:jc w:val="both"/>
        <w:rPr>
          <w:rFonts w:ascii="Times New Roman" w:eastAsia="宋体" w:hAnsi="Times New Roman" w:cs="宋体"/>
          <w:color w:val="auto"/>
          <w:spacing w:val="-1"/>
          <w:sz w:val="24"/>
          <w:szCs w:val="24"/>
          <w:lang w:eastAsia="zh-CN"/>
        </w:rPr>
      </w:pPr>
      <w:r>
        <w:rPr>
          <w:rFonts w:ascii="Times New Roman" w:eastAsia="宋体" w:hAnsi="Times New Roman" w:cs="宋体"/>
          <w:color w:val="auto"/>
          <w:spacing w:val="-1"/>
          <w:sz w:val="24"/>
          <w:szCs w:val="24"/>
          <w:lang w:eastAsia="zh-CN"/>
        </w:rPr>
        <w:t>宗海图的绘制根据《宗海图编绘技术规范》（</w:t>
      </w:r>
      <w:r>
        <w:rPr>
          <w:rFonts w:ascii="Times New Roman" w:eastAsia="宋体" w:hAnsi="Times New Roman" w:cs="宋体"/>
          <w:color w:val="auto"/>
          <w:spacing w:val="-1"/>
          <w:sz w:val="24"/>
          <w:szCs w:val="24"/>
          <w:lang w:eastAsia="zh-CN"/>
        </w:rPr>
        <w:t>HY/T251-2018</w:t>
      </w:r>
      <w:r>
        <w:rPr>
          <w:rFonts w:ascii="Times New Roman" w:eastAsia="宋体" w:hAnsi="Times New Roman" w:cs="宋体"/>
          <w:color w:val="auto"/>
          <w:spacing w:val="-1"/>
          <w:sz w:val="24"/>
          <w:szCs w:val="24"/>
          <w:lang w:eastAsia="zh-CN"/>
        </w:rPr>
        <w:t>）绘制，坐标系为</w:t>
      </w:r>
      <w:r>
        <w:rPr>
          <w:rFonts w:ascii="Times New Roman" w:eastAsia="宋体" w:hAnsi="Times New Roman" w:cs="宋体"/>
          <w:color w:val="auto"/>
          <w:spacing w:val="-1"/>
          <w:sz w:val="24"/>
          <w:szCs w:val="24"/>
          <w:lang w:eastAsia="zh-CN"/>
        </w:rPr>
        <w:t>CGGS2000</w:t>
      </w:r>
      <w:r>
        <w:rPr>
          <w:rFonts w:ascii="Times New Roman" w:eastAsia="宋体" w:hAnsi="Times New Roman" w:cs="宋体"/>
          <w:color w:val="auto"/>
          <w:spacing w:val="-1"/>
          <w:sz w:val="24"/>
          <w:szCs w:val="24"/>
          <w:lang w:eastAsia="zh-CN"/>
        </w:rPr>
        <w:t>，深度基准</w:t>
      </w:r>
      <w:r>
        <w:rPr>
          <w:rFonts w:ascii="Times New Roman" w:eastAsia="宋体" w:hAnsi="Times New Roman" w:cs="宋体" w:hint="eastAsia"/>
          <w:color w:val="auto"/>
          <w:spacing w:val="-1"/>
          <w:sz w:val="24"/>
          <w:szCs w:val="24"/>
          <w:lang w:eastAsia="zh-CN"/>
        </w:rPr>
        <w:t>、</w:t>
      </w:r>
      <w:r>
        <w:rPr>
          <w:rFonts w:ascii="Times New Roman" w:eastAsia="宋体" w:hAnsi="Times New Roman" w:cs="宋体"/>
          <w:color w:val="auto"/>
          <w:spacing w:val="-1"/>
          <w:sz w:val="24"/>
          <w:szCs w:val="24"/>
          <w:lang w:eastAsia="zh-CN"/>
        </w:rPr>
        <w:t>高程基准</w:t>
      </w:r>
      <w:r>
        <w:rPr>
          <w:rFonts w:ascii="Times New Roman" w:eastAsia="宋体" w:hAnsi="Times New Roman" w:cs="宋体" w:hint="eastAsia"/>
          <w:color w:val="auto"/>
          <w:spacing w:val="-1"/>
          <w:sz w:val="24"/>
          <w:szCs w:val="24"/>
          <w:lang w:eastAsia="zh-CN"/>
        </w:rPr>
        <w:t>均</w:t>
      </w:r>
      <w:r>
        <w:rPr>
          <w:rFonts w:ascii="Times New Roman" w:eastAsia="宋体" w:hAnsi="Times New Roman" w:cs="宋体"/>
          <w:color w:val="auto"/>
          <w:spacing w:val="-1"/>
          <w:sz w:val="24"/>
          <w:szCs w:val="24"/>
          <w:lang w:eastAsia="zh-CN"/>
        </w:rPr>
        <w:t>为</w:t>
      </w:r>
      <w:r>
        <w:rPr>
          <w:rFonts w:ascii="Times New Roman" w:eastAsia="宋体" w:hAnsi="Times New Roman" w:cs="宋体"/>
          <w:color w:val="auto"/>
          <w:spacing w:val="-1"/>
          <w:sz w:val="24"/>
          <w:szCs w:val="24"/>
          <w:lang w:eastAsia="zh-CN"/>
        </w:rPr>
        <w:t>85</w:t>
      </w:r>
      <w:r>
        <w:rPr>
          <w:rFonts w:ascii="Times New Roman" w:eastAsia="宋体" w:hAnsi="Times New Roman" w:cs="宋体"/>
          <w:color w:val="auto"/>
          <w:spacing w:val="-1"/>
          <w:sz w:val="24"/>
          <w:szCs w:val="24"/>
          <w:lang w:eastAsia="zh-CN"/>
        </w:rPr>
        <w:t>高程，投影采用高斯</w:t>
      </w:r>
      <w:r>
        <w:rPr>
          <w:rFonts w:ascii="Times New Roman" w:eastAsia="宋体" w:hAnsi="Times New Roman" w:cs="宋体"/>
          <w:color w:val="auto"/>
          <w:spacing w:val="-1"/>
          <w:sz w:val="24"/>
          <w:szCs w:val="24"/>
          <w:lang w:eastAsia="zh-CN"/>
        </w:rPr>
        <w:t>-</w:t>
      </w:r>
      <w:r>
        <w:rPr>
          <w:rFonts w:ascii="Times New Roman" w:eastAsia="宋体" w:hAnsi="Times New Roman" w:cs="宋体"/>
          <w:color w:val="auto"/>
          <w:spacing w:val="-1"/>
          <w:sz w:val="24"/>
          <w:szCs w:val="24"/>
          <w:lang w:eastAsia="zh-CN"/>
        </w:rPr>
        <w:t>克吕格投影，中央经线为东经</w:t>
      </w:r>
      <w:r>
        <w:rPr>
          <w:rFonts w:ascii="Times New Roman" w:eastAsia="宋体" w:hAnsi="Times New Roman" w:cs="宋体"/>
          <w:color w:val="auto"/>
          <w:spacing w:val="-1"/>
          <w:sz w:val="24"/>
          <w:szCs w:val="24"/>
          <w:lang w:eastAsia="zh-CN"/>
        </w:rPr>
        <w:t>1</w:t>
      </w:r>
      <w:r>
        <w:rPr>
          <w:rFonts w:ascii="Times New Roman" w:eastAsia="宋体" w:hAnsi="Times New Roman" w:cs="宋体" w:hint="eastAsia"/>
          <w:color w:val="auto"/>
          <w:spacing w:val="-1"/>
          <w:sz w:val="24"/>
          <w:szCs w:val="24"/>
          <w:lang w:eastAsia="zh-CN"/>
        </w:rPr>
        <w:t>09</w:t>
      </w:r>
      <w:r>
        <w:rPr>
          <w:rFonts w:ascii="Times New Roman" w:eastAsia="宋体" w:hAnsi="Times New Roman" w:cs="宋体"/>
          <w:color w:val="auto"/>
          <w:spacing w:val="-1"/>
          <w:sz w:val="24"/>
          <w:szCs w:val="24"/>
          <w:lang w:eastAsia="zh-CN"/>
        </w:rPr>
        <w:t>°</w:t>
      </w:r>
      <w:r>
        <w:rPr>
          <w:rFonts w:ascii="Times New Roman" w:eastAsia="宋体" w:hAnsi="Times New Roman" w:cs="宋体" w:hint="eastAsia"/>
          <w:color w:val="auto"/>
          <w:spacing w:val="-1"/>
          <w:sz w:val="24"/>
          <w:szCs w:val="24"/>
          <w:lang w:eastAsia="zh-CN"/>
        </w:rPr>
        <w:t>3</w:t>
      </w:r>
      <w:r>
        <w:rPr>
          <w:rFonts w:ascii="Times New Roman" w:eastAsia="宋体" w:hAnsi="Times New Roman" w:cs="宋体"/>
          <w:color w:val="auto"/>
          <w:spacing w:val="-1"/>
          <w:sz w:val="24"/>
          <w:szCs w:val="24"/>
          <w:lang w:eastAsia="zh-CN"/>
        </w:rPr>
        <w:t>0′</w:t>
      </w:r>
      <w:r>
        <w:rPr>
          <w:rFonts w:ascii="Times New Roman" w:eastAsia="宋体" w:hAnsi="Times New Roman" w:cs="宋体"/>
          <w:color w:val="auto"/>
          <w:spacing w:val="-1"/>
          <w:sz w:val="24"/>
          <w:szCs w:val="24"/>
          <w:lang w:eastAsia="zh-CN"/>
        </w:rPr>
        <w:t>。</w:t>
      </w:r>
    </w:p>
    <w:p w14:paraId="689C2E19" w14:textId="77777777" w:rsidR="0075791A" w:rsidRDefault="00FB2864">
      <w:pPr>
        <w:spacing w:before="35" w:line="219" w:lineRule="auto"/>
        <w:ind w:left="499"/>
        <w:rPr>
          <w:rFonts w:ascii="Times New Roman" w:eastAsia="宋体" w:hAnsi="Times New Roman" w:cs="宋体"/>
          <w:color w:val="auto"/>
          <w:sz w:val="24"/>
          <w:szCs w:val="24"/>
          <w:lang w:eastAsia="zh-CN"/>
        </w:rPr>
      </w:pPr>
      <w:r>
        <w:rPr>
          <w:rFonts w:ascii="Times New Roman" w:eastAsia="宋体" w:hAnsi="Times New Roman" w:cs="宋体"/>
          <w:color w:val="auto"/>
          <w:spacing w:val="-2"/>
          <w:sz w:val="24"/>
          <w:szCs w:val="24"/>
          <w:lang w:eastAsia="zh-CN"/>
        </w:rPr>
        <w:t>（</w:t>
      </w:r>
      <w:r>
        <w:rPr>
          <w:rFonts w:ascii="Times New Roman" w:eastAsia="宋体" w:hAnsi="Times New Roman" w:cs="Times New Roman" w:hint="eastAsia"/>
          <w:color w:val="auto"/>
          <w:spacing w:val="-2"/>
          <w:sz w:val="24"/>
          <w:szCs w:val="24"/>
          <w:lang w:eastAsia="zh-CN"/>
        </w:rPr>
        <w:t>1</w:t>
      </w:r>
      <w:r>
        <w:rPr>
          <w:rFonts w:ascii="Times New Roman" w:eastAsia="宋体" w:hAnsi="Times New Roman" w:cs="宋体"/>
          <w:color w:val="auto"/>
          <w:spacing w:val="-2"/>
          <w:sz w:val="24"/>
          <w:szCs w:val="24"/>
          <w:lang w:eastAsia="zh-CN"/>
        </w:rPr>
        <w:t>）总平面布置图确定设计用海</w:t>
      </w:r>
      <w:r>
        <w:rPr>
          <w:rFonts w:ascii="Times New Roman" w:eastAsia="宋体" w:hAnsi="Times New Roman" w:cs="宋体" w:hint="eastAsia"/>
          <w:color w:val="auto"/>
          <w:spacing w:val="-2"/>
          <w:sz w:val="24"/>
          <w:szCs w:val="24"/>
          <w:lang w:eastAsia="zh-CN"/>
        </w:rPr>
        <w:t>范围</w:t>
      </w:r>
    </w:p>
    <w:p w14:paraId="4AA174FC" w14:textId="77777777" w:rsidR="0075791A" w:rsidRDefault="00FB2864">
      <w:pPr>
        <w:spacing w:before="184" w:line="351" w:lineRule="auto"/>
        <w:ind w:left="8" w:right="30" w:firstLine="483"/>
        <w:rPr>
          <w:rFonts w:ascii="Times New Roman" w:eastAsia="宋体" w:hAnsi="Times New Roman" w:cs="宋体"/>
          <w:color w:val="auto"/>
          <w:sz w:val="24"/>
          <w:szCs w:val="24"/>
          <w:lang w:eastAsia="zh-CN"/>
        </w:rPr>
      </w:pPr>
      <w:r>
        <w:rPr>
          <w:rFonts w:ascii="Times New Roman" w:eastAsia="宋体" w:hAnsi="Times New Roman" w:cs="宋体" w:hint="eastAsia"/>
          <w:color w:val="auto"/>
          <w:spacing w:val="-2"/>
          <w:sz w:val="24"/>
          <w:szCs w:val="24"/>
          <w:lang w:eastAsia="zh-CN"/>
        </w:rPr>
        <w:t>根据</w:t>
      </w:r>
      <w:r>
        <w:rPr>
          <w:rFonts w:ascii="Times New Roman" w:eastAsia="宋体" w:hAnsi="Times New Roman" w:cs="宋体"/>
          <w:color w:val="auto"/>
          <w:spacing w:val="-2"/>
          <w:sz w:val="24"/>
          <w:szCs w:val="24"/>
          <w:lang w:eastAsia="zh-CN"/>
        </w:rPr>
        <w:t>设计单位提供的总平面布置图给出了</w:t>
      </w:r>
      <w:r>
        <w:rPr>
          <w:rFonts w:ascii="Times New Roman" w:eastAsia="宋体" w:hAnsi="Times New Roman" w:cs="宋体" w:hint="eastAsia"/>
          <w:color w:val="auto"/>
          <w:spacing w:val="-2"/>
          <w:sz w:val="24"/>
          <w:szCs w:val="24"/>
          <w:lang w:eastAsia="zh-CN"/>
        </w:rPr>
        <w:t>清淤区、透水构筑物外缘线</w:t>
      </w:r>
      <w:r>
        <w:rPr>
          <w:rFonts w:ascii="Times New Roman" w:eastAsia="宋体" w:hAnsi="Times New Roman" w:cs="宋体"/>
          <w:color w:val="auto"/>
          <w:spacing w:val="-2"/>
          <w:sz w:val="24"/>
          <w:szCs w:val="24"/>
          <w:lang w:eastAsia="zh-CN"/>
        </w:rPr>
        <w:t>的位置，因此论证工作组根据初设单位提供的总平图，结合断面结构图，对总平图进行确认，获得了设计使用海</w:t>
      </w:r>
      <w:r>
        <w:rPr>
          <w:rFonts w:ascii="Times New Roman" w:eastAsia="宋体" w:hAnsi="Times New Roman" w:cs="宋体"/>
          <w:color w:val="auto"/>
          <w:spacing w:val="-1"/>
          <w:sz w:val="24"/>
          <w:szCs w:val="24"/>
          <w:lang w:eastAsia="zh-CN"/>
        </w:rPr>
        <w:t>域的用海范围</w:t>
      </w:r>
      <w:r>
        <w:rPr>
          <w:rFonts w:ascii="Times New Roman" w:eastAsia="Times New Roman" w:hAnsi="Times New Roman" w:cs="Times New Roman"/>
          <w:color w:val="auto"/>
          <w:spacing w:val="-1"/>
          <w:sz w:val="24"/>
          <w:szCs w:val="24"/>
          <w:lang w:eastAsia="zh-CN"/>
        </w:rPr>
        <w:t>CAD</w:t>
      </w:r>
      <w:r>
        <w:rPr>
          <w:rFonts w:ascii="Times New Roman" w:eastAsia="宋体" w:hAnsi="Times New Roman" w:cs="宋体"/>
          <w:color w:val="auto"/>
          <w:spacing w:val="-1"/>
          <w:sz w:val="24"/>
          <w:szCs w:val="24"/>
          <w:lang w:eastAsia="zh-CN"/>
        </w:rPr>
        <w:t>文件。</w:t>
      </w:r>
    </w:p>
    <w:p w14:paraId="2F11C3B6" w14:textId="77777777" w:rsidR="0075791A" w:rsidRDefault="00FB2864">
      <w:pPr>
        <w:spacing w:before="34" w:line="352" w:lineRule="auto"/>
        <w:ind w:left="12" w:firstLine="479"/>
        <w:jc w:val="both"/>
        <w:rPr>
          <w:rFonts w:ascii="Times New Roman" w:eastAsia="宋体" w:hAnsi="Times New Roman" w:cs="宋体"/>
          <w:color w:val="auto"/>
          <w:spacing w:val="-1"/>
          <w:sz w:val="24"/>
          <w:szCs w:val="24"/>
        </w:rPr>
      </w:pPr>
      <w:r>
        <w:rPr>
          <w:rFonts w:ascii="Times New Roman" w:eastAsia="宋体" w:hAnsi="Times New Roman" w:cs="宋体"/>
          <w:color w:val="auto"/>
          <w:spacing w:val="-1"/>
          <w:sz w:val="24"/>
          <w:szCs w:val="24"/>
        </w:rPr>
        <w:t>（</w:t>
      </w:r>
      <w:r>
        <w:rPr>
          <w:rFonts w:ascii="Times New Roman" w:eastAsia="宋体" w:hAnsi="Times New Roman" w:cs="宋体" w:hint="eastAsia"/>
          <w:color w:val="auto"/>
          <w:spacing w:val="-1"/>
          <w:sz w:val="24"/>
          <w:szCs w:val="24"/>
          <w:lang w:eastAsia="zh-CN"/>
        </w:rPr>
        <w:t>2</w:t>
      </w:r>
      <w:r>
        <w:rPr>
          <w:rFonts w:ascii="Times New Roman" w:eastAsia="宋体" w:hAnsi="Times New Roman" w:cs="宋体"/>
          <w:color w:val="auto"/>
          <w:spacing w:val="-1"/>
          <w:sz w:val="24"/>
          <w:szCs w:val="24"/>
        </w:rPr>
        <w:t>）用海</w:t>
      </w:r>
      <w:r>
        <w:rPr>
          <w:rFonts w:ascii="Times New Roman" w:eastAsia="宋体" w:hAnsi="Times New Roman" w:cs="宋体" w:hint="eastAsia"/>
          <w:color w:val="auto"/>
          <w:spacing w:val="-1"/>
          <w:sz w:val="24"/>
          <w:szCs w:val="24"/>
          <w:lang w:eastAsia="zh-CN"/>
        </w:rPr>
        <w:t>界址</w:t>
      </w:r>
      <w:r>
        <w:rPr>
          <w:rFonts w:ascii="Times New Roman" w:eastAsia="宋体" w:hAnsi="Times New Roman" w:cs="宋体"/>
          <w:color w:val="auto"/>
          <w:spacing w:val="-1"/>
          <w:sz w:val="24"/>
          <w:szCs w:val="24"/>
        </w:rPr>
        <w:t>确定方法</w:t>
      </w:r>
    </w:p>
    <w:p w14:paraId="578DE0A0" w14:textId="77777777" w:rsidR="0075791A" w:rsidRDefault="00FB2864">
      <w:pPr>
        <w:spacing w:before="34" w:line="352" w:lineRule="auto"/>
        <w:ind w:left="12" w:firstLine="479"/>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1</w:t>
      </w:r>
      <w:r>
        <w:rPr>
          <w:rFonts w:ascii="Times New Roman" w:eastAsia="宋体" w:hAnsi="Times New Roman" w:cs="宋体" w:hint="eastAsia"/>
          <w:color w:val="auto"/>
          <w:spacing w:val="-1"/>
          <w:sz w:val="24"/>
          <w:szCs w:val="24"/>
          <w:lang w:eastAsia="zh-CN"/>
        </w:rPr>
        <w:t>）清淤疏浚</w:t>
      </w:r>
    </w:p>
    <w:p w14:paraId="78EF4D36" w14:textId="77777777" w:rsidR="0075791A" w:rsidRDefault="00FB2864">
      <w:pPr>
        <w:spacing w:before="34" w:line="352" w:lineRule="auto"/>
        <w:ind w:left="12" w:firstLine="479"/>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本项目清淤疏浚一级用海方式为开放式用海。</w:t>
      </w:r>
      <w:r>
        <w:rPr>
          <w:rFonts w:ascii="Times New Roman" w:eastAsia="宋体" w:hAnsi="Times New Roman" w:cs="宋体" w:hint="eastAsia"/>
          <w:color w:val="auto"/>
          <w:spacing w:val="-1"/>
          <w:sz w:val="24"/>
          <w:szCs w:val="24"/>
          <w:lang w:eastAsia="zh-CN"/>
        </w:rPr>
        <w:t>根据《海籍调查规范》，开放式用海“以实际设计或使用的范围为界”。因此，以设计单位提供的外边界</w:t>
      </w:r>
      <w:r>
        <w:rPr>
          <w:rFonts w:ascii="Times New Roman" w:eastAsia="宋体" w:hAnsi="Times New Roman" w:cs="宋体" w:hint="eastAsia"/>
          <w:color w:val="auto"/>
          <w:spacing w:val="-1"/>
          <w:sz w:val="24"/>
          <w:szCs w:val="24"/>
          <w:lang w:eastAsia="zh-CN"/>
        </w:rPr>
        <w:t>(</w:t>
      </w:r>
      <w:r>
        <w:rPr>
          <w:rFonts w:ascii="Times New Roman" w:eastAsia="宋体" w:hAnsi="Times New Roman" w:cs="宋体" w:hint="eastAsia"/>
          <w:color w:val="auto"/>
          <w:spacing w:val="-1"/>
          <w:sz w:val="24"/>
          <w:szCs w:val="24"/>
          <w:lang w:eastAsia="zh-CN"/>
        </w:rPr>
        <w:t>已包含放坡</w:t>
      </w:r>
      <w:r>
        <w:rPr>
          <w:rFonts w:ascii="Times New Roman" w:eastAsia="宋体" w:hAnsi="Times New Roman" w:cs="宋体" w:hint="eastAsia"/>
          <w:color w:val="auto"/>
          <w:spacing w:val="-1"/>
          <w:sz w:val="24"/>
          <w:szCs w:val="24"/>
          <w:lang w:eastAsia="zh-CN"/>
        </w:rPr>
        <w:t>)</w:t>
      </w:r>
      <w:r>
        <w:rPr>
          <w:rFonts w:ascii="Times New Roman" w:eastAsia="宋体" w:hAnsi="Times New Roman" w:cs="宋体" w:hint="eastAsia"/>
          <w:color w:val="auto"/>
          <w:spacing w:val="-1"/>
          <w:sz w:val="24"/>
          <w:szCs w:val="24"/>
          <w:lang w:eastAsia="zh-CN"/>
        </w:rPr>
        <w:t>为基础，清淤疏浚施工的“专用航道、锚地及其他开放式”用海范围以清淤放坡的坡顶线为界。</w:t>
      </w:r>
    </w:p>
    <w:p w14:paraId="0F7210D3" w14:textId="77777777" w:rsidR="0075791A" w:rsidRDefault="00FB2864">
      <w:pPr>
        <w:spacing w:before="34" w:line="352" w:lineRule="auto"/>
        <w:ind w:left="12" w:firstLine="479"/>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2</w:t>
      </w:r>
      <w:r>
        <w:rPr>
          <w:rFonts w:ascii="Times New Roman" w:eastAsia="宋体" w:hAnsi="Times New Roman" w:cs="宋体" w:hint="eastAsia"/>
          <w:color w:val="auto"/>
          <w:spacing w:val="-1"/>
          <w:sz w:val="24"/>
          <w:szCs w:val="24"/>
          <w:lang w:eastAsia="zh-CN"/>
        </w:rPr>
        <w:t>）巡护设施、管理实施</w:t>
      </w:r>
    </w:p>
    <w:p w14:paraId="25FC1A0A" w14:textId="77777777" w:rsidR="0075791A" w:rsidRDefault="00FB2864">
      <w:pPr>
        <w:spacing w:before="184" w:line="351" w:lineRule="auto"/>
        <w:ind w:left="8" w:right="30" w:firstLine="483"/>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巡护便道、巡护栈道和保护管理站</w:t>
      </w:r>
      <w:r>
        <w:rPr>
          <w:rFonts w:ascii="Times New Roman" w:eastAsia="宋体" w:hAnsi="Times New Roman" w:cs="宋体" w:hint="eastAsia"/>
          <w:color w:val="auto"/>
          <w:spacing w:val="-1"/>
          <w:sz w:val="24"/>
          <w:szCs w:val="24"/>
          <w:lang w:eastAsia="zh-CN"/>
        </w:rPr>
        <w:t>/</w:t>
      </w:r>
      <w:r>
        <w:rPr>
          <w:rFonts w:ascii="Times New Roman" w:eastAsia="宋体" w:hAnsi="Times New Roman" w:cs="宋体" w:hint="eastAsia"/>
          <w:color w:val="auto"/>
          <w:spacing w:val="-1"/>
          <w:sz w:val="24"/>
          <w:szCs w:val="24"/>
          <w:lang w:eastAsia="zh-CN"/>
        </w:rPr>
        <w:t>点用海方式为透水构筑物。</w:t>
      </w:r>
      <w:r>
        <w:rPr>
          <w:rFonts w:ascii="Times New Roman" w:eastAsia="宋体" w:hAnsi="Times New Roman" w:cs="宋体" w:hint="eastAsia"/>
          <w:color w:val="auto"/>
          <w:spacing w:val="-2"/>
          <w:sz w:val="24"/>
          <w:szCs w:val="24"/>
          <w:lang w:eastAsia="zh-CN"/>
        </w:rPr>
        <w:t>根据设计</w:t>
      </w:r>
      <w:r>
        <w:rPr>
          <w:rFonts w:ascii="Times New Roman" w:eastAsia="宋体" w:hAnsi="Times New Roman" w:cs="宋体"/>
          <w:color w:val="auto"/>
          <w:spacing w:val="-2"/>
          <w:sz w:val="24"/>
          <w:szCs w:val="24"/>
          <w:lang w:eastAsia="zh-CN"/>
        </w:rPr>
        <w:t>单位提供的</w:t>
      </w:r>
      <w:r>
        <w:rPr>
          <w:rFonts w:ascii="Times New Roman" w:eastAsia="宋体" w:hAnsi="Times New Roman" w:cs="宋体" w:hint="eastAsia"/>
          <w:color w:val="auto"/>
          <w:spacing w:val="-2"/>
          <w:sz w:val="24"/>
          <w:szCs w:val="24"/>
          <w:lang w:eastAsia="zh-CN"/>
        </w:rPr>
        <w:t>构筑物平面布置图</w:t>
      </w:r>
      <w:r>
        <w:rPr>
          <w:rFonts w:ascii="Times New Roman" w:eastAsia="宋体" w:hAnsi="Times New Roman" w:cs="宋体"/>
          <w:color w:val="auto"/>
          <w:spacing w:val="-2"/>
          <w:sz w:val="24"/>
          <w:szCs w:val="24"/>
          <w:lang w:eastAsia="zh-CN"/>
        </w:rPr>
        <w:t>给出了透水构筑物</w:t>
      </w:r>
      <w:r>
        <w:rPr>
          <w:rFonts w:ascii="Times New Roman" w:eastAsia="宋体" w:hAnsi="Times New Roman" w:cs="宋体" w:hint="eastAsia"/>
          <w:color w:val="auto"/>
          <w:spacing w:val="-2"/>
          <w:sz w:val="24"/>
          <w:szCs w:val="24"/>
          <w:lang w:eastAsia="zh-CN"/>
        </w:rPr>
        <w:t>外缘线</w:t>
      </w:r>
      <w:r>
        <w:rPr>
          <w:rFonts w:ascii="Times New Roman" w:eastAsia="宋体" w:hAnsi="Times New Roman" w:cs="宋体"/>
          <w:color w:val="auto"/>
          <w:spacing w:val="-2"/>
          <w:sz w:val="24"/>
          <w:szCs w:val="24"/>
          <w:lang w:eastAsia="zh-CN"/>
        </w:rPr>
        <w:t>的位置，因此论证工作组根据</w:t>
      </w:r>
      <w:r>
        <w:rPr>
          <w:rFonts w:ascii="Times New Roman" w:eastAsia="宋体" w:hAnsi="Times New Roman" w:cs="宋体" w:hint="eastAsia"/>
          <w:color w:val="auto"/>
          <w:spacing w:val="-2"/>
          <w:sz w:val="24"/>
          <w:szCs w:val="24"/>
          <w:lang w:eastAsia="zh-CN"/>
        </w:rPr>
        <w:t>设计</w:t>
      </w:r>
      <w:r>
        <w:rPr>
          <w:rFonts w:ascii="Times New Roman" w:eastAsia="宋体" w:hAnsi="Times New Roman" w:cs="宋体"/>
          <w:color w:val="auto"/>
          <w:spacing w:val="-2"/>
          <w:sz w:val="24"/>
          <w:szCs w:val="24"/>
          <w:lang w:eastAsia="zh-CN"/>
        </w:rPr>
        <w:t>单位提供的</w:t>
      </w:r>
      <w:r>
        <w:rPr>
          <w:rFonts w:ascii="Times New Roman" w:eastAsia="宋体" w:hAnsi="Times New Roman" w:cs="宋体" w:hint="eastAsia"/>
          <w:color w:val="auto"/>
          <w:spacing w:val="-2"/>
          <w:sz w:val="24"/>
          <w:szCs w:val="24"/>
          <w:lang w:eastAsia="zh-CN"/>
        </w:rPr>
        <w:t>平面</w:t>
      </w:r>
      <w:r>
        <w:rPr>
          <w:rFonts w:ascii="Times New Roman" w:eastAsia="宋体" w:hAnsi="Times New Roman" w:cs="宋体"/>
          <w:color w:val="auto"/>
          <w:spacing w:val="-2"/>
          <w:sz w:val="24"/>
          <w:szCs w:val="24"/>
          <w:lang w:eastAsia="zh-CN"/>
        </w:rPr>
        <w:t>图，结合断面结构图，对平</w:t>
      </w:r>
      <w:r>
        <w:rPr>
          <w:rFonts w:ascii="Times New Roman" w:eastAsia="宋体" w:hAnsi="Times New Roman" w:cs="宋体" w:hint="eastAsia"/>
          <w:color w:val="auto"/>
          <w:spacing w:val="-2"/>
          <w:sz w:val="24"/>
          <w:szCs w:val="24"/>
          <w:lang w:eastAsia="zh-CN"/>
        </w:rPr>
        <w:t>面</w:t>
      </w:r>
      <w:r>
        <w:rPr>
          <w:rFonts w:ascii="Times New Roman" w:eastAsia="宋体" w:hAnsi="Times New Roman" w:cs="宋体"/>
          <w:color w:val="auto"/>
          <w:spacing w:val="-2"/>
          <w:sz w:val="24"/>
          <w:szCs w:val="24"/>
          <w:lang w:eastAsia="zh-CN"/>
        </w:rPr>
        <w:t>图进行确认，获得了</w:t>
      </w:r>
      <w:r>
        <w:rPr>
          <w:rFonts w:ascii="Times New Roman" w:eastAsia="宋体" w:hAnsi="Times New Roman" w:cs="宋体" w:hint="eastAsia"/>
          <w:color w:val="auto"/>
          <w:spacing w:val="-2"/>
          <w:sz w:val="24"/>
          <w:szCs w:val="24"/>
          <w:lang w:eastAsia="zh-CN"/>
        </w:rPr>
        <w:t>实际</w:t>
      </w:r>
      <w:r>
        <w:rPr>
          <w:rFonts w:ascii="Times New Roman" w:eastAsia="宋体" w:hAnsi="Times New Roman" w:cs="宋体"/>
          <w:color w:val="auto"/>
          <w:spacing w:val="-2"/>
          <w:sz w:val="24"/>
          <w:szCs w:val="24"/>
          <w:lang w:eastAsia="zh-CN"/>
        </w:rPr>
        <w:t>使用海</w:t>
      </w:r>
      <w:r>
        <w:rPr>
          <w:rFonts w:ascii="Times New Roman" w:eastAsia="宋体" w:hAnsi="Times New Roman" w:cs="宋体"/>
          <w:color w:val="auto"/>
          <w:spacing w:val="-1"/>
          <w:sz w:val="24"/>
          <w:szCs w:val="24"/>
          <w:lang w:eastAsia="zh-CN"/>
        </w:rPr>
        <w:t>域的用海范围</w:t>
      </w:r>
      <w:r>
        <w:rPr>
          <w:rFonts w:ascii="Times New Roman" w:eastAsia="Times New Roman" w:hAnsi="Times New Roman" w:cs="Times New Roman"/>
          <w:color w:val="auto"/>
          <w:spacing w:val="-1"/>
          <w:sz w:val="24"/>
          <w:szCs w:val="24"/>
          <w:lang w:eastAsia="zh-CN"/>
        </w:rPr>
        <w:t>CAD</w:t>
      </w:r>
      <w:r>
        <w:rPr>
          <w:rFonts w:ascii="Times New Roman" w:eastAsia="宋体" w:hAnsi="Times New Roman" w:cs="宋体"/>
          <w:color w:val="auto"/>
          <w:spacing w:val="-1"/>
          <w:sz w:val="24"/>
          <w:szCs w:val="24"/>
          <w:lang w:eastAsia="zh-CN"/>
        </w:rPr>
        <w:t>文件。</w:t>
      </w:r>
    </w:p>
    <w:p w14:paraId="537FABA0" w14:textId="77777777" w:rsidR="0075791A" w:rsidRDefault="00FB2864">
      <w:pPr>
        <w:spacing w:before="34" w:line="352" w:lineRule="auto"/>
        <w:ind w:left="12" w:firstLine="479"/>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本项目以</w:t>
      </w:r>
      <w:r>
        <w:rPr>
          <w:rFonts w:ascii="Times New Roman" w:eastAsia="宋体" w:hAnsi="Times New Roman" w:cs="宋体" w:hint="eastAsia"/>
          <w:color w:val="auto"/>
          <w:spacing w:val="-1"/>
          <w:sz w:val="24"/>
          <w:szCs w:val="24"/>
          <w:lang w:eastAsia="zh-CN"/>
        </w:rPr>
        <w:t>所取得</w:t>
      </w:r>
      <w:r>
        <w:rPr>
          <w:rFonts w:ascii="Times New Roman" w:eastAsia="宋体" w:hAnsi="Times New Roman" w:cs="宋体" w:hint="eastAsia"/>
          <w:color w:val="auto"/>
          <w:spacing w:val="-1"/>
          <w:sz w:val="24"/>
          <w:szCs w:val="24"/>
          <w:lang w:eastAsia="zh-CN"/>
        </w:rPr>
        <w:t>平面布置图为基础界定的用海面积。</w:t>
      </w:r>
    </w:p>
    <w:p w14:paraId="63E80997" w14:textId="77777777" w:rsidR="0075791A" w:rsidRDefault="00FB2864">
      <w:pPr>
        <w:spacing w:before="34" w:line="352" w:lineRule="auto"/>
        <w:ind w:left="12" w:firstLine="479"/>
        <w:jc w:val="both"/>
        <w:rPr>
          <w:rFonts w:ascii="Times New Roman" w:eastAsia="宋体" w:hAnsi="Times New Roman" w:cs="宋体"/>
          <w:color w:val="auto"/>
          <w:spacing w:val="-1"/>
          <w:sz w:val="24"/>
          <w:szCs w:val="24"/>
        </w:rPr>
      </w:pPr>
      <w:r>
        <w:rPr>
          <w:rFonts w:ascii="Times New Roman" w:eastAsia="宋体" w:hAnsi="Times New Roman" w:cs="宋体"/>
          <w:color w:val="auto"/>
          <w:spacing w:val="-1"/>
          <w:sz w:val="24"/>
          <w:szCs w:val="24"/>
          <w:lang w:eastAsia="zh-CN"/>
        </w:rPr>
        <w:t>依据《海籍调查规范》第</w:t>
      </w:r>
      <w:r>
        <w:rPr>
          <w:rFonts w:ascii="Times New Roman" w:eastAsia="宋体" w:hAnsi="Times New Roman" w:cs="宋体"/>
          <w:color w:val="auto"/>
          <w:spacing w:val="-1"/>
          <w:sz w:val="24"/>
          <w:szCs w:val="24"/>
          <w:lang w:eastAsia="zh-CN"/>
        </w:rPr>
        <w:t>5.3.2.</w:t>
      </w:r>
      <w:r>
        <w:rPr>
          <w:rFonts w:ascii="Times New Roman" w:eastAsia="宋体" w:hAnsi="Times New Roman" w:cs="宋体" w:hint="eastAsia"/>
          <w:color w:val="auto"/>
          <w:spacing w:val="-1"/>
          <w:sz w:val="24"/>
          <w:szCs w:val="24"/>
          <w:lang w:eastAsia="zh-CN"/>
        </w:rPr>
        <w:t>2</w:t>
      </w:r>
      <w:r>
        <w:rPr>
          <w:rFonts w:ascii="Times New Roman" w:eastAsia="宋体" w:hAnsi="Times New Roman" w:cs="宋体"/>
          <w:color w:val="auto"/>
          <w:spacing w:val="-1"/>
          <w:sz w:val="24"/>
          <w:szCs w:val="24"/>
          <w:lang w:eastAsia="zh-CN"/>
        </w:rPr>
        <w:t>节的界定方法，</w:t>
      </w:r>
      <w:r>
        <w:rPr>
          <w:rFonts w:ascii="Times New Roman" w:eastAsia="宋体" w:hAnsi="Times New Roman" w:cs="宋体" w:hint="eastAsia"/>
          <w:color w:val="auto"/>
          <w:spacing w:val="-1"/>
          <w:sz w:val="24"/>
          <w:szCs w:val="24"/>
          <w:lang w:eastAsia="zh-CN"/>
        </w:rPr>
        <w:t>“安全防护要求较低的透水构筑物用海以构筑物及其防护设施垂直投影的外缘线为界。其它透水构筑物用海在透水构筑物及其防护设施垂直投影的外缘线基础上，根据安全防护要求的程度，外扩不小于</w:t>
      </w:r>
      <w:r>
        <w:rPr>
          <w:rFonts w:ascii="Times New Roman" w:eastAsia="宋体" w:hAnsi="Times New Roman" w:cs="宋体" w:hint="eastAsia"/>
          <w:color w:val="auto"/>
          <w:spacing w:val="-1"/>
          <w:sz w:val="24"/>
          <w:szCs w:val="24"/>
          <w:lang w:eastAsia="zh-CN"/>
        </w:rPr>
        <w:t xml:space="preserve">10m </w:t>
      </w:r>
      <w:r>
        <w:rPr>
          <w:rFonts w:ascii="Times New Roman" w:eastAsia="宋体" w:hAnsi="Times New Roman" w:cs="宋体" w:hint="eastAsia"/>
          <w:color w:val="auto"/>
          <w:spacing w:val="-1"/>
          <w:sz w:val="24"/>
          <w:szCs w:val="24"/>
          <w:lang w:eastAsia="zh-CN"/>
        </w:rPr>
        <w:t>保护距离为界。</w:t>
      </w:r>
      <w:r>
        <w:rPr>
          <w:rFonts w:ascii="Times New Roman" w:eastAsia="宋体" w:hAnsi="Times New Roman" w:cs="宋体" w:hint="eastAsia"/>
          <w:color w:val="auto"/>
          <w:spacing w:val="-1"/>
          <w:sz w:val="24"/>
          <w:szCs w:val="24"/>
        </w:rPr>
        <w:t>”</w:t>
      </w:r>
    </w:p>
    <w:p w14:paraId="57C4D858" w14:textId="77777777" w:rsidR="0075791A" w:rsidRDefault="00FB2864">
      <w:pPr>
        <w:spacing w:before="34" w:line="352" w:lineRule="auto"/>
        <w:ind w:left="12" w:firstLine="479"/>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保护管理站以</w:t>
      </w:r>
      <w:r>
        <w:rPr>
          <w:rFonts w:ascii="Times New Roman" w:eastAsia="宋体" w:hAnsi="Times New Roman" w:cs="宋体" w:hint="eastAsia"/>
          <w:color w:val="auto"/>
          <w:spacing w:val="-1"/>
          <w:sz w:val="24"/>
          <w:szCs w:val="24"/>
          <w:lang w:eastAsia="zh-CN"/>
        </w:rPr>
        <w:t>构筑物外缘线</w:t>
      </w:r>
      <w:r>
        <w:rPr>
          <w:rFonts w:ascii="Times New Roman" w:eastAsia="宋体" w:hAnsi="Times New Roman" w:cs="宋体" w:hint="eastAsia"/>
          <w:color w:val="auto"/>
          <w:spacing w:val="-1"/>
          <w:sz w:val="24"/>
          <w:szCs w:val="24"/>
          <w:lang w:eastAsia="zh-CN"/>
        </w:rPr>
        <w:t>为界。</w:t>
      </w:r>
    </w:p>
    <w:p w14:paraId="35AC96CA" w14:textId="77777777" w:rsidR="0075791A" w:rsidRDefault="00FB2864">
      <w:pPr>
        <w:spacing w:before="34" w:line="352" w:lineRule="auto"/>
        <w:ind w:left="12" w:firstLine="479"/>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①巡护道路</w:t>
      </w:r>
    </w:p>
    <w:p w14:paraId="39218FA9" w14:textId="77777777" w:rsidR="0075791A" w:rsidRDefault="00FB2864">
      <w:pPr>
        <w:spacing w:before="34" w:line="352" w:lineRule="auto"/>
        <w:ind w:left="12" w:firstLine="479"/>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lastRenderedPageBreak/>
        <w:t>由于巡护道路周边种植有红树，考虑红树长大后，对红树的养护、构筑物使用、维护、通行的影响，其具有防护需求，但根据透水构筑物用海界定方法，外扩不小于</w:t>
      </w:r>
      <w:r>
        <w:rPr>
          <w:rFonts w:ascii="Times New Roman" w:eastAsia="宋体" w:hAnsi="Times New Roman" w:cs="宋体" w:hint="eastAsia"/>
          <w:color w:val="auto"/>
          <w:spacing w:val="-1"/>
          <w:sz w:val="24"/>
          <w:szCs w:val="24"/>
          <w:lang w:eastAsia="zh-CN"/>
        </w:rPr>
        <w:t>10m</w:t>
      </w:r>
      <w:r>
        <w:rPr>
          <w:rFonts w:ascii="Times New Roman" w:eastAsia="宋体" w:hAnsi="Times New Roman" w:cs="宋体" w:hint="eastAsia"/>
          <w:color w:val="auto"/>
          <w:spacing w:val="-1"/>
          <w:sz w:val="24"/>
          <w:szCs w:val="24"/>
          <w:lang w:eastAsia="zh-CN"/>
        </w:rPr>
        <w:t>为界则距离太大，且不符合集约节约用海的要求；因此界定巡护道路构筑物以外缘线外扩</w:t>
      </w:r>
      <w:r>
        <w:rPr>
          <w:rFonts w:ascii="Times New Roman" w:eastAsia="宋体" w:hAnsi="Times New Roman" w:cs="宋体" w:hint="eastAsia"/>
          <w:color w:val="auto"/>
          <w:spacing w:val="-1"/>
          <w:sz w:val="24"/>
          <w:szCs w:val="24"/>
          <w:lang w:eastAsia="zh-CN"/>
        </w:rPr>
        <w:t>2m</w:t>
      </w:r>
      <w:r>
        <w:rPr>
          <w:rFonts w:ascii="Times New Roman" w:eastAsia="宋体" w:hAnsi="Times New Roman" w:cs="宋体" w:hint="eastAsia"/>
          <w:color w:val="auto"/>
          <w:spacing w:val="-1"/>
          <w:sz w:val="24"/>
          <w:szCs w:val="24"/>
          <w:lang w:eastAsia="zh-CN"/>
        </w:rPr>
        <w:t>为界，具体参照下图：</w:t>
      </w:r>
    </w:p>
    <w:p w14:paraId="57911CC9" w14:textId="77777777" w:rsidR="0075791A" w:rsidRDefault="00FB2864">
      <w:pPr>
        <w:jc w:val="center"/>
        <w:rPr>
          <w:rFonts w:ascii="Times New Roman" w:eastAsia="宋体" w:hAnsi="Times New Roman" w:cs="宋体"/>
          <w:color w:val="auto"/>
          <w:spacing w:val="-1"/>
          <w:sz w:val="24"/>
          <w:szCs w:val="24"/>
          <w:lang w:eastAsia="zh-CN"/>
        </w:rPr>
      </w:pPr>
      <w:r>
        <w:rPr>
          <w:rFonts w:ascii="Times New Roman" w:eastAsia="宋体" w:hAnsi="Times New Roman" w:cs="宋体"/>
          <w:noProof/>
          <w:color w:val="auto"/>
          <w:spacing w:val="-1"/>
          <w:sz w:val="24"/>
          <w:szCs w:val="24"/>
          <w:lang w:eastAsia="zh-CN"/>
        </w:rPr>
        <w:drawing>
          <wp:inline distT="0" distB="0" distL="114300" distR="114300" wp14:anchorId="4786D4F4" wp14:editId="1AA4681D">
            <wp:extent cx="5309235" cy="2700020"/>
            <wp:effectExtent l="0" t="0" r="9525" b="12700"/>
            <wp:docPr id="274" name="图片 274"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未标题-1"/>
                    <pic:cNvPicPr>
                      <a:picLocks noChangeAspect="1"/>
                    </pic:cNvPicPr>
                  </pic:nvPicPr>
                  <pic:blipFill>
                    <a:blip r:embed="rId289"/>
                    <a:srcRect l="1034" r="3387"/>
                    <a:stretch>
                      <a:fillRect/>
                    </a:stretch>
                  </pic:blipFill>
                  <pic:spPr>
                    <a:xfrm>
                      <a:off x="0" y="0"/>
                      <a:ext cx="5309235" cy="2700020"/>
                    </a:xfrm>
                    <a:prstGeom prst="rect">
                      <a:avLst/>
                    </a:prstGeom>
                  </pic:spPr>
                </pic:pic>
              </a:graphicData>
            </a:graphic>
          </wp:inline>
        </w:drawing>
      </w:r>
    </w:p>
    <w:p w14:paraId="750A356A" w14:textId="77777777" w:rsidR="0075791A" w:rsidRDefault="00FB2864">
      <w:pPr>
        <w:jc w:val="center"/>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图</w:t>
      </w:r>
      <w:r>
        <w:rPr>
          <w:rFonts w:ascii="Times New Roman" w:eastAsia="宋体" w:hAnsi="Times New Roman" w:cs="宋体" w:hint="eastAsia"/>
          <w:color w:val="auto"/>
          <w:spacing w:val="-1"/>
          <w:sz w:val="24"/>
          <w:szCs w:val="24"/>
          <w:lang w:eastAsia="zh-CN"/>
        </w:rPr>
        <w:t xml:space="preserve">6.5.1-1 </w:t>
      </w:r>
      <w:r>
        <w:rPr>
          <w:rFonts w:ascii="Times New Roman" w:eastAsia="宋体" w:hAnsi="Times New Roman" w:cs="宋体" w:hint="eastAsia"/>
          <w:color w:val="auto"/>
          <w:spacing w:val="-1"/>
          <w:sz w:val="24"/>
          <w:szCs w:val="24"/>
          <w:lang w:eastAsia="zh-CN"/>
        </w:rPr>
        <w:t>巡护道路等宗海界定示意图</w:t>
      </w:r>
    </w:p>
    <w:p w14:paraId="23B02104" w14:textId="77777777" w:rsidR="0075791A" w:rsidRDefault="00FB2864">
      <w:pPr>
        <w:spacing w:before="34" w:line="352" w:lineRule="auto"/>
        <w:ind w:left="12" w:firstLine="479"/>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②保护管理站</w:t>
      </w:r>
    </w:p>
    <w:p w14:paraId="36EF5385" w14:textId="77777777" w:rsidR="0075791A" w:rsidRDefault="00FB2864">
      <w:pPr>
        <w:spacing w:before="34" w:line="352" w:lineRule="auto"/>
        <w:ind w:left="12" w:firstLine="479"/>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保护管理站也为透水构筑物，但选址区域无红树林，建成后在东部种植红树，防护需求较低，因此保护管理站用海</w:t>
      </w:r>
      <w:r>
        <w:rPr>
          <w:rFonts w:ascii="Times New Roman" w:eastAsia="宋体" w:hAnsi="Times New Roman" w:cs="宋体" w:hint="eastAsia"/>
          <w:color w:val="auto"/>
          <w:spacing w:val="-1"/>
          <w:sz w:val="24"/>
          <w:szCs w:val="24"/>
          <w:lang w:eastAsia="zh-CN"/>
        </w:rPr>
        <w:t>以</w:t>
      </w:r>
      <w:r>
        <w:rPr>
          <w:rFonts w:ascii="Times New Roman" w:eastAsia="宋体" w:hAnsi="Times New Roman" w:cs="宋体" w:hint="eastAsia"/>
          <w:color w:val="auto"/>
          <w:spacing w:val="-1"/>
          <w:sz w:val="24"/>
          <w:szCs w:val="24"/>
          <w:lang w:eastAsia="zh-CN"/>
        </w:rPr>
        <w:t>其</w:t>
      </w:r>
      <w:r>
        <w:rPr>
          <w:rFonts w:ascii="Times New Roman" w:eastAsia="宋体" w:hAnsi="Times New Roman" w:cs="宋体" w:hint="eastAsia"/>
          <w:color w:val="auto"/>
          <w:spacing w:val="-1"/>
          <w:sz w:val="24"/>
          <w:szCs w:val="24"/>
          <w:lang w:eastAsia="zh-CN"/>
        </w:rPr>
        <w:t>垂直投影的外缘线为界</w:t>
      </w:r>
      <w:r>
        <w:rPr>
          <w:rFonts w:ascii="Times New Roman" w:eastAsia="宋体" w:hAnsi="Times New Roman" w:cs="宋体" w:hint="eastAsia"/>
          <w:color w:val="auto"/>
          <w:spacing w:val="-1"/>
          <w:sz w:val="24"/>
          <w:szCs w:val="24"/>
          <w:lang w:eastAsia="zh-CN"/>
        </w:rPr>
        <w:t>。</w:t>
      </w:r>
    </w:p>
    <w:p w14:paraId="1663F095" w14:textId="77777777" w:rsidR="0075791A" w:rsidRDefault="00FB2864">
      <w:pPr>
        <w:spacing w:before="35" w:line="219" w:lineRule="auto"/>
        <w:ind w:left="499"/>
        <w:rPr>
          <w:rFonts w:ascii="Times New Roman" w:eastAsia="宋体" w:hAnsi="Times New Roman" w:cs="宋体"/>
          <w:color w:val="auto"/>
          <w:sz w:val="24"/>
          <w:szCs w:val="24"/>
          <w:lang w:eastAsia="zh-CN"/>
        </w:rPr>
      </w:pPr>
      <w:r>
        <w:rPr>
          <w:rFonts w:ascii="Times New Roman" w:eastAsia="宋体" w:hAnsi="Times New Roman" w:cs="宋体"/>
          <w:color w:val="auto"/>
          <w:spacing w:val="-3"/>
          <w:sz w:val="24"/>
          <w:szCs w:val="24"/>
          <w:lang w:eastAsia="zh-CN"/>
        </w:rPr>
        <w:t>（</w:t>
      </w:r>
      <w:r>
        <w:rPr>
          <w:rFonts w:ascii="Times New Roman" w:eastAsia="Times New Roman" w:hAnsi="Times New Roman" w:cs="Times New Roman"/>
          <w:color w:val="auto"/>
          <w:spacing w:val="-3"/>
          <w:sz w:val="24"/>
          <w:szCs w:val="24"/>
          <w:lang w:eastAsia="zh-CN"/>
        </w:rPr>
        <w:t>3</w:t>
      </w:r>
      <w:r>
        <w:rPr>
          <w:rFonts w:ascii="Times New Roman" w:eastAsia="宋体" w:hAnsi="Times New Roman" w:cs="宋体"/>
          <w:color w:val="auto"/>
          <w:spacing w:val="-3"/>
          <w:sz w:val="24"/>
          <w:szCs w:val="24"/>
          <w:lang w:eastAsia="zh-CN"/>
        </w:rPr>
        <w:t>）坐标的计算</w:t>
      </w:r>
    </w:p>
    <w:p w14:paraId="131140C0" w14:textId="77777777" w:rsidR="0075791A" w:rsidRDefault="00FB2864">
      <w:pPr>
        <w:spacing w:before="182" w:line="347" w:lineRule="auto"/>
        <w:ind w:left="9" w:right="30" w:firstLine="508"/>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由于项目总平面布置图为</w:t>
      </w:r>
      <w:r>
        <w:rPr>
          <w:rFonts w:ascii="Times New Roman" w:eastAsia="Times New Roman" w:hAnsi="Times New Roman" w:cs="Times New Roman"/>
          <w:color w:val="auto"/>
          <w:sz w:val="24"/>
          <w:szCs w:val="24"/>
          <w:lang w:eastAsia="zh-CN"/>
        </w:rPr>
        <w:t>CGCS2000</w:t>
      </w:r>
      <w:r>
        <w:rPr>
          <w:rFonts w:ascii="Times New Roman" w:eastAsia="宋体" w:hAnsi="Times New Roman" w:cs="宋体"/>
          <w:color w:val="auto"/>
          <w:sz w:val="24"/>
          <w:szCs w:val="24"/>
          <w:lang w:eastAsia="zh-CN"/>
        </w:rPr>
        <w:t>坐标</w:t>
      </w:r>
      <w:r>
        <w:rPr>
          <w:rFonts w:ascii="Times New Roman" w:eastAsia="宋体" w:hAnsi="Times New Roman" w:cs="宋体"/>
          <w:color w:val="auto"/>
          <w:spacing w:val="-1"/>
          <w:sz w:val="24"/>
          <w:szCs w:val="24"/>
          <w:lang w:eastAsia="zh-CN"/>
        </w:rPr>
        <w:t>系，可直接导入</w:t>
      </w:r>
      <w:r>
        <w:rPr>
          <w:rFonts w:ascii="Times New Roman" w:eastAsia="Times New Roman" w:hAnsi="Times New Roman" w:cs="Times New Roman"/>
          <w:color w:val="auto"/>
          <w:spacing w:val="-1"/>
          <w:sz w:val="24"/>
          <w:szCs w:val="24"/>
          <w:lang w:eastAsia="zh-CN"/>
        </w:rPr>
        <w:t>ArcGIS</w:t>
      </w:r>
      <w:r>
        <w:rPr>
          <w:rFonts w:ascii="Times New Roman" w:eastAsia="宋体" w:hAnsi="Times New Roman" w:cs="宋体"/>
          <w:color w:val="auto"/>
          <w:spacing w:val="-1"/>
          <w:sz w:val="24"/>
          <w:szCs w:val="24"/>
          <w:lang w:eastAsia="zh-CN"/>
        </w:rPr>
        <w:t>软件计算坐标。结</w:t>
      </w:r>
      <w:r>
        <w:rPr>
          <w:rFonts w:ascii="Times New Roman" w:eastAsia="宋体" w:hAnsi="Times New Roman" w:cs="宋体"/>
          <w:color w:val="auto"/>
          <w:sz w:val="24"/>
          <w:szCs w:val="24"/>
          <w:lang w:eastAsia="zh-CN"/>
        </w:rPr>
        <w:t>合</w:t>
      </w:r>
      <w:r>
        <w:rPr>
          <w:rFonts w:ascii="Times New Roman" w:eastAsia="Times New Roman" w:hAnsi="Times New Roman" w:cs="Times New Roman"/>
          <w:color w:val="auto"/>
          <w:sz w:val="24"/>
          <w:szCs w:val="24"/>
          <w:lang w:eastAsia="zh-CN"/>
        </w:rPr>
        <w:t>2019</w:t>
      </w:r>
      <w:r>
        <w:rPr>
          <w:rFonts w:ascii="Times New Roman" w:eastAsia="宋体" w:hAnsi="Times New Roman" w:cs="宋体"/>
          <w:color w:val="auto"/>
          <w:sz w:val="24"/>
          <w:szCs w:val="24"/>
          <w:lang w:eastAsia="zh-CN"/>
        </w:rPr>
        <w:t>年海南省修测岸线成果，计算各拐点的坐</w:t>
      </w:r>
      <w:r>
        <w:rPr>
          <w:rFonts w:ascii="Times New Roman" w:eastAsia="宋体" w:hAnsi="Times New Roman" w:cs="宋体"/>
          <w:color w:val="auto"/>
          <w:spacing w:val="-1"/>
          <w:sz w:val="24"/>
          <w:szCs w:val="24"/>
          <w:lang w:eastAsia="zh-CN"/>
        </w:rPr>
        <w:t>标，</w:t>
      </w:r>
      <w:r>
        <w:rPr>
          <w:rFonts w:ascii="Times New Roman" w:eastAsia="宋体" w:hAnsi="Times New Roman" w:cs="宋体" w:hint="eastAsia"/>
          <w:color w:val="auto"/>
          <w:spacing w:val="-1"/>
          <w:sz w:val="24"/>
          <w:szCs w:val="24"/>
          <w:lang w:eastAsia="zh-CN"/>
        </w:rPr>
        <w:t>根据建设内容，以清淤疏浚外缘线为界，</w:t>
      </w:r>
      <w:r>
        <w:rPr>
          <w:rFonts w:ascii="Times New Roman" w:eastAsia="宋体" w:hAnsi="Times New Roman" w:cs="宋体"/>
          <w:color w:val="auto"/>
          <w:spacing w:val="-1"/>
          <w:sz w:val="24"/>
          <w:szCs w:val="24"/>
          <w:lang w:eastAsia="zh-CN"/>
        </w:rPr>
        <w:t>形成宗海界址点坐标。</w:t>
      </w:r>
    </w:p>
    <w:p w14:paraId="17EDB735" w14:textId="77777777" w:rsidR="0075791A" w:rsidRDefault="00FB2864">
      <w:pPr>
        <w:spacing w:before="37" w:line="353" w:lineRule="auto"/>
        <w:ind w:left="10" w:firstLine="478"/>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通过</w:t>
      </w:r>
      <w:r>
        <w:rPr>
          <w:rFonts w:ascii="Times New Roman" w:eastAsia="Times New Roman" w:hAnsi="Times New Roman" w:cs="Times New Roman"/>
          <w:color w:val="auto"/>
          <w:spacing w:val="-2"/>
          <w:sz w:val="24"/>
          <w:szCs w:val="24"/>
          <w:lang w:eastAsia="zh-CN"/>
        </w:rPr>
        <w:t>ArcGIS</w:t>
      </w:r>
      <w:r>
        <w:rPr>
          <w:rFonts w:ascii="Times New Roman" w:eastAsia="宋体" w:hAnsi="Times New Roman" w:cs="宋体"/>
          <w:color w:val="auto"/>
          <w:spacing w:val="-2"/>
          <w:sz w:val="24"/>
          <w:szCs w:val="24"/>
          <w:lang w:eastAsia="zh-CN"/>
        </w:rPr>
        <w:t>软件，计算得到</w:t>
      </w:r>
      <w:r>
        <w:rPr>
          <w:rFonts w:ascii="Times New Roman" w:eastAsia="宋体" w:hAnsi="Times New Roman" w:cs="宋体" w:hint="eastAsia"/>
          <w:color w:val="auto"/>
          <w:spacing w:val="-2"/>
          <w:sz w:val="24"/>
          <w:szCs w:val="24"/>
          <w:lang w:eastAsia="zh-CN"/>
        </w:rPr>
        <w:t>各构筑物用海</w:t>
      </w:r>
      <w:r>
        <w:rPr>
          <w:rFonts w:ascii="Times New Roman" w:eastAsia="宋体" w:hAnsi="Times New Roman" w:cs="宋体"/>
          <w:color w:val="auto"/>
          <w:spacing w:val="-2"/>
          <w:sz w:val="24"/>
          <w:szCs w:val="24"/>
          <w:lang w:eastAsia="zh-CN"/>
        </w:rPr>
        <w:t>拐点</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即为项目的界址点</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各界址点、界址线详见宗海界址图内部单元的说明。宗海位置图见图</w:t>
      </w:r>
      <w:r>
        <w:rPr>
          <w:rFonts w:ascii="Times New Roman" w:eastAsia="宋体" w:hAnsi="Times New Roman" w:cs="Times New Roman" w:hint="eastAsia"/>
          <w:color w:val="auto"/>
          <w:spacing w:val="-2"/>
          <w:sz w:val="24"/>
          <w:szCs w:val="24"/>
          <w:lang w:eastAsia="zh-CN"/>
        </w:rPr>
        <w:t>6</w:t>
      </w:r>
      <w:r>
        <w:rPr>
          <w:rFonts w:ascii="Times New Roman" w:eastAsia="Times New Roman" w:hAnsi="Times New Roman" w:cs="Times New Roman"/>
          <w:color w:val="auto"/>
          <w:spacing w:val="-2"/>
          <w:sz w:val="24"/>
          <w:szCs w:val="24"/>
          <w:lang w:eastAsia="zh-CN"/>
        </w:rPr>
        <w:t>.</w:t>
      </w:r>
      <w:r>
        <w:rPr>
          <w:rFonts w:ascii="Times New Roman" w:eastAsia="Times New Roman" w:hAnsi="Times New Roman" w:cs="Times New Roman"/>
          <w:color w:val="auto"/>
          <w:spacing w:val="-3"/>
          <w:sz w:val="24"/>
          <w:szCs w:val="24"/>
          <w:lang w:eastAsia="zh-CN"/>
        </w:rPr>
        <w:t>5</w:t>
      </w:r>
      <w:r>
        <w:rPr>
          <w:rFonts w:ascii="Times New Roman" w:eastAsia="宋体" w:hAnsi="Times New Roman" w:cs="Times New Roman" w:hint="eastAsia"/>
          <w:color w:val="auto"/>
          <w:spacing w:val="-3"/>
          <w:sz w:val="24"/>
          <w:szCs w:val="24"/>
          <w:lang w:eastAsia="zh-CN"/>
        </w:rPr>
        <w:t>.2</w:t>
      </w:r>
      <w:r>
        <w:rPr>
          <w:rFonts w:ascii="Times New Roman" w:eastAsia="Times New Roman" w:hAnsi="Times New Roman" w:cs="Times New Roman"/>
          <w:color w:val="auto"/>
          <w:spacing w:val="-3"/>
          <w:sz w:val="24"/>
          <w:szCs w:val="24"/>
          <w:lang w:eastAsia="zh-CN"/>
        </w:rPr>
        <w:t>-</w:t>
      </w:r>
      <w:r>
        <w:rPr>
          <w:rFonts w:ascii="Times New Roman" w:eastAsia="宋体" w:hAnsi="Times New Roman" w:cs="Times New Roman" w:hint="eastAsia"/>
          <w:color w:val="auto"/>
          <w:spacing w:val="-3"/>
          <w:sz w:val="24"/>
          <w:szCs w:val="24"/>
          <w:lang w:eastAsia="zh-CN"/>
        </w:rPr>
        <w:t>2</w:t>
      </w:r>
      <w:r>
        <w:rPr>
          <w:rFonts w:ascii="Times New Roman" w:eastAsia="宋体" w:hAnsi="Times New Roman" w:cs="宋体"/>
          <w:color w:val="auto"/>
          <w:spacing w:val="-3"/>
          <w:sz w:val="24"/>
          <w:szCs w:val="24"/>
          <w:lang w:eastAsia="zh-CN"/>
        </w:rPr>
        <w:t>，</w:t>
      </w:r>
      <w:r>
        <w:rPr>
          <w:rFonts w:ascii="Times New Roman" w:eastAsia="宋体" w:hAnsi="Times New Roman" w:cs="宋体" w:hint="eastAsia"/>
          <w:color w:val="auto"/>
          <w:spacing w:val="-3"/>
          <w:sz w:val="24"/>
          <w:szCs w:val="24"/>
          <w:lang w:eastAsia="zh-CN"/>
        </w:rPr>
        <w:t>宗海平面图</w:t>
      </w:r>
      <w:r>
        <w:rPr>
          <w:rFonts w:ascii="Times New Roman" w:eastAsia="宋体" w:hAnsi="Times New Roman" w:cs="Times New Roman" w:hint="eastAsia"/>
          <w:color w:val="auto"/>
          <w:spacing w:val="-2"/>
          <w:sz w:val="24"/>
          <w:szCs w:val="24"/>
          <w:lang w:eastAsia="zh-CN"/>
        </w:rPr>
        <w:t>6</w:t>
      </w:r>
      <w:r>
        <w:rPr>
          <w:rFonts w:ascii="Times New Roman" w:eastAsia="Times New Roman" w:hAnsi="Times New Roman" w:cs="Times New Roman"/>
          <w:color w:val="auto"/>
          <w:spacing w:val="-2"/>
          <w:sz w:val="24"/>
          <w:szCs w:val="24"/>
          <w:lang w:eastAsia="zh-CN"/>
        </w:rPr>
        <w:t>.</w:t>
      </w:r>
      <w:r>
        <w:rPr>
          <w:rFonts w:ascii="Times New Roman" w:eastAsia="Times New Roman" w:hAnsi="Times New Roman" w:cs="Times New Roman"/>
          <w:color w:val="auto"/>
          <w:spacing w:val="-3"/>
          <w:sz w:val="24"/>
          <w:szCs w:val="24"/>
          <w:lang w:eastAsia="zh-CN"/>
        </w:rPr>
        <w:t>5</w:t>
      </w:r>
      <w:r>
        <w:rPr>
          <w:rFonts w:ascii="Times New Roman" w:eastAsia="宋体" w:hAnsi="Times New Roman" w:cs="Times New Roman" w:hint="eastAsia"/>
          <w:color w:val="auto"/>
          <w:spacing w:val="-3"/>
          <w:sz w:val="24"/>
          <w:szCs w:val="24"/>
          <w:lang w:eastAsia="zh-CN"/>
        </w:rPr>
        <w:t>.1</w:t>
      </w:r>
      <w:r>
        <w:rPr>
          <w:rFonts w:ascii="Times New Roman" w:eastAsia="Times New Roman" w:hAnsi="Times New Roman" w:cs="Times New Roman"/>
          <w:color w:val="auto"/>
          <w:spacing w:val="-3"/>
          <w:sz w:val="24"/>
          <w:szCs w:val="24"/>
          <w:lang w:eastAsia="zh-CN"/>
        </w:rPr>
        <w:t>-</w:t>
      </w:r>
      <w:r>
        <w:rPr>
          <w:rFonts w:ascii="Times New Roman" w:eastAsia="宋体" w:hAnsi="Times New Roman" w:cs="Times New Roman" w:hint="eastAsia"/>
          <w:color w:val="auto"/>
          <w:spacing w:val="-3"/>
          <w:sz w:val="24"/>
          <w:szCs w:val="24"/>
          <w:lang w:eastAsia="zh-CN"/>
        </w:rPr>
        <w:t>3</w:t>
      </w:r>
      <w:r>
        <w:rPr>
          <w:rFonts w:ascii="Times New Roman" w:eastAsia="宋体" w:hAnsi="Times New Roman" w:cs="宋体" w:hint="eastAsia"/>
          <w:color w:val="auto"/>
          <w:spacing w:val="-3"/>
          <w:sz w:val="24"/>
          <w:szCs w:val="24"/>
          <w:lang w:eastAsia="zh-CN"/>
        </w:rPr>
        <w:t>，</w:t>
      </w:r>
      <w:r>
        <w:rPr>
          <w:rFonts w:ascii="Times New Roman" w:eastAsia="宋体" w:hAnsi="Times New Roman" w:cs="宋体"/>
          <w:color w:val="auto"/>
          <w:spacing w:val="-2"/>
          <w:sz w:val="24"/>
          <w:szCs w:val="24"/>
          <w:lang w:eastAsia="zh-CN"/>
        </w:rPr>
        <w:t>宗海界址图见图</w:t>
      </w:r>
      <w:r>
        <w:rPr>
          <w:rFonts w:ascii="Times New Roman" w:eastAsia="宋体" w:hAnsi="Times New Roman" w:cs="Times New Roman" w:hint="eastAsia"/>
          <w:color w:val="auto"/>
          <w:spacing w:val="-2"/>
          <w:sz w:val="24"/>
          <w:szCs w:val="24"/>
          <w:lang w:eastAsia="zh-CN"/>
        </w:rPr>
        <w:t>6</w:t>
      </w:r>
      <w:r>
        <w:rPr>
          <w:rFonts w:ascii="Times New Roman" w:eastAsia="Times New Roman" w:hAnsi="Times New Roman" w:cs="Times New Roman"/>
          <w:color w:val="auto"/>
          <w:spacing w:val="-2"/>
          <w:sz w:val="24"/>
          <w:szCs w:val="24"/>
          <w:lang w:eastAsia="zh-CN"/>
        </w:rPr>
        <w:t>.5</w:t>
      </w:r>
      <w:r>
        <w:rPr>
          <w:rFonts w:ascii="Times New Roman" w:eastAsia="宋体" w:hAnsi="Times New Roman" w:cs="Times New Roman" w:hint="eastAsia"/>
          <w:color w:val="auto"/>
          <w:spacing w:val="-2"/>
          <w:sz w:val="24"/>
          <w:szCs w:val="24"/>
          <w:lang w:eastAsia="zh-CN"/>
        </w:rPr>
        <w:t>.1</w:t>
      </w:r>
      <w:r>
        <w:rPr>
          <w:rFonts w:ascii="Times New Roman" w:eastAsia="Times New Roman" w:hAnsi="Times New Roman" w:cs="Times New Roman"/>
          <w:color w:val="auto"/>
          <w:spacing w:val="-2"/>
          <w:sz w:val="24"/>
          <w:szCs w:val="24"/>
          <w:lang w:eastAsia="zh-CN"/>
        </w:rPr>
        <w:t>-</w:t>
      </w:r>
      <w:r>
        <w:rPr>
          <w:rFonts w:ascii="Times New Roman" w:eastAsia="宋体" w:hAnsi="Times New Roman" w:cs="Times New Roman" w:hint="eastAsia"/>
          <w:color w:val="auto"/>
          <w:spacing w:val="-2"/>
          <w:sz w:val="24"/>
          <w:szCs w:val="24"/>
          <w:lang w:eastAsia="zh-CN"/>
        </w:rPr>
        <w:t>4~</w:t>
      </w:r>
      <w:r>
        <w:rPr>
          <w:rFonts w:ascii="Times New Roman" w:eastAsia="宋体" w:hAnsi="Times New Roman" w:cs="宋体"/>
          <w:color w:val="auto"/>
          <w:spacing w:val="-2"/>
          <w:sz w:val="24"/>
          <w:szCs w:val="24"/>
          <w:lang w:eastAsia="zh-CN"/>
        </w:rPr>
        <w:t>图</w:t>
      </w:r>
      <w:r>
        <w:rPr>
          <w:rFonts w:ascii="Times New Roman" w:eastAsia="宋体" w:hAnsi="Times New Roman" w:cs="Times New Roman" w:hint="eastAsia"/>
          <w:color w:val="auto"/>
          <w:spacing w:val="-2"/>
          <w:sz w:val="24"/>
          <w:szCs w:val="24"/>
          <w:lang w:eastAsia="zh-CN"/>
        </w:rPr>
        <w:t>6</w:t>
      </w:r>
      <w:r>
        <w:rPr>
          <w:rFonts w:ascii="Times New Roman" w:eastAsia="Times New Roman" w:hAnsi="Times New Roman" w:cs="Times New Roman"/>
          <w:color w:val="auto"/>
          <w:spacing w:val="-2"/>
          <w:sz w:val="24"/>
          <w:szCs w:val="24"/>
          <w:lang w:eastAsia="zh-CN"/>
        </w:rPr>
        <w:t>.5</w:t>
      </w:r>
      <w:r>
        <w:rPr>
          <w:rFonts w:ascii="Times New Roman" w:eastAsia="宋体" w:hAnsi="Times New Roman" w:cs="Times New Roman" w:hint="eastAsia"/>
          <w:color w:val="auto"/>
          <w:spacing w:val="-2"/>
          <w:sz w:val="24"/>
          <w:szCs w:val="24"/>
          <w:lang w:eastAsia="zh-CN"/>
        </w:rPr>
        <w:t>.1</w:t>
      </w:r>
      <w:r>
        <w:rPr>
          <w:rFonts w:ascii="Times New Roman" w:eastAsia="Times New Roman" w:hAnsi="Times New Roman" w:cs="Times New Roman"/>
          <w:color w:val="auto"/>
          <w:spacing w:val="-2"/>
          <w:sz w:val="24"/>
          <w:szCs w:val="24"/>
          <w:lang w:eastAsia="zh-CN"/>
        </w:rPr>
        <w:t>-</w:t>
      </w:r>
      <w:r>
        <w:rPr>
          <w:rFonts w:ascii="Times New Roman" w:eastAsia="宋体" w:hAnsi="Times New Roman" w:cs="Times New Roman" w:hint="eastAsia"/>
          <w:color w:val="auto"/>
          <w:spacing w:val="-2"/>
          <w:sz w:val="24"/>
          <w:szCs w:val="24"/>
          <w:lang w:eastAsia="zh-CN"/>
        </w:rPr>
        <w:t>7</w:t>
      </w:r>
      <w:r>
        <w:rPr>
          <w:rFonts w:ascii="Times New Roman" w:eastAsia="宋体" w:hAnsi="Times New Roman" w:cs="宋体"/>
          <w:color w:val="auto"/>
          <w:spacing w:val="-2"/>
          <w:sz w:val="24"/>
          <w:szCs w:val="24"/>
          <w:lang w:eastAsia="zh-CN"/>
        </w:rPr>
        <w:t>。</w:t>
      </w:r>
    </w:p>
    <w:p w14:paraId="159A1B3D" w14:textId="77777777" w:rsidR="0075791A" w:rsidRDefault="0075791A">
      <w:pPr>
        <w:spacing w:line="43" w:lineRule="exact"/>
        <w:rPr>
          <w:rFonts w:ascii="Times New Roman" w:hAnsi="Times New Roman"/>
          <w:color w:val="auto"/>
          <w:lang w:eastAsia="zh-CN"/>
        </w:rPr>
      </w:pPr>
    </w:p>
    <w:p w14:paraId="5413A25D"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56" w:name="_Toc6304"/>
      <w:r>
        <w:rPr>
          <w:rFonts w:ascii="Times New Roman" w:hAnsi="Times New Roman" w:hint="eastAsia"/>
          <w:color w:val="auto"/>
          <w:sz w:val="28"/>
          <w:szCs w:val="28"/>
          <w:lang w:eastAsia="zh-CN"/>
        </w:rPr>
        <w:t>7.5.2</w:t>
      </w:r>
      <w:r>
        <w:rPr>
          <w:rFonts w:ascii="Times New Roman" w:hAnsi="Times New Roman" w:hint="eastAsia"/>
          <w:color w:val="auto"/>
          <w:sz w:val="28"/>
          <w:szCs w:val="28"/>
          <w:lang w:eastAsia="zh-CN"/>
        </w:rPr>
        <w:t>用海面积量算</w:t>
      </w:r>
      <w:bookmarkEnd w:id="356"/>
    </w:p>
    <w:p w14:paraId="1048B443" w14:textId="77777777" w:rsidR="0075791A" w:rsidRDefault="00FB2864">
      <w:pPr>
        <w:spacing w:before="37" w:line="353" w:lineRule="auto"/>
        <w:ind w:left="10" w:firstLine="478"/>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根据《宗海图编绘技术规范（</w:t>
      </w:r>
      <w:r>
        <w:rPr>
          <w:rFonts w:ascii="Times New Roman" w:eastAsia="宋体" w:hAnsi="Times New Roman" w:cs="宋体"/>
          <w:color w:val="auto"/>
          <w:spacing w:val="-2"/>
          <w:sz w:val="24"/>
          <w:szCs w:val="24"/>
          <w:lang w:eastAsia="zh-CN"/>
        </w:rPr>
        <w:t>HY/T251-2018</w:t>
      </w:r>
      <w:r>
        <w:rPr>
          <w:rFonts w:ascii="Times New Roman" w:eastAsia="宋体" w:hAnsi="Times New Roman" w:cs="宋体"/>
          <w:color w:val="auto"/>
          <w:spacing w:val="-2"/>
          <w:sz w:val="24"/>
          <w:szCs w:val="24"/>
          <w:lang w:eastAsia="zh-CN"/>
        </w:rPr>
        <w:t>）》，本项目宗海图采用</w:t>
      </w:r>
      <w:r>
        <w:rPr>
          <w:rFonts w:ascii="Times New Roman" w:eastAsia="宋体" w:hAnsi="Times New Roman" w:cs="宋体"/>
          <w:color w:val="auto"/>
          <w:spacing w:val="-2"/>
          <w:sz w:val="24"/>
          <w:szCs w:val="24"/>
          <w:lang w:eastAsia="zh-CN"/>
        </w:rPr>
        <w:t>CGC</w:t>
      </w:r>
      <w:r>
        <w:rPr>
          <w:rFonts w:ascii="Times New Roman" w:eastAsia="宋体" w:hAnsi="Times New Roman" w:cs="宋体" w:hint="eastAsia"/>
          <w:color w:val="auto"/>
          <w:spacing w:val="-2"/>
          <w:sz w:val="24"/>
          <w:szCs w:val="24"/>
          <w:lang w:eastAsia="zh-CN"/>
        </w:rPr>
        <w:t>S</w:t>
      </w:r>
      <w:r>
        <w:rPr>
          <w:rFonts w:ascii="Times New Roman" w:eastAsia="宋体" w:hAnsi="Times New Roman" w:cs="宋体"/>
          <w:color w:val="auto"/>
          <w:spacing w:val="-2"/>
          <w:sz w:val="24"/>
          <w:szCs w:val="24"/>
          <w:lang w:eastAsia="zh-CN"/>
        </w:rPr>
        <w:t>2000</w:t>
      </w:r>
      <w:r>
        <w:rPr>
          <w:rFonts w:ascii="Times New Roman" w:eastAsia="宋体" w:hAnsi="Times New Roman" w:cs="宋体"/>
          <w:color w:val="auto"/>
          <w:spacing w:val="-2"/>
          <w:sz w:val="24"/>
          <w:szCs w:val="24"/>
          <w:lang w:eastAsia="zh-CN"/>
        </w:rPr>
        <w:t>坐标系，深度基准</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高度基准均</w:t>
      </w:r>
      <w:r>
        <w:rPr>
          <w:rFonts w:ascii="Times New Roman" w:eastAsia="宋体" w:hAnsi="Times New Roman" w:cs="宋体"/>
          <w:color w:val="auto"/>
          <w:spacing w:val="-2"/>
          <w:sz w:val="24"/>
          <w:szCs w:val="24"/>
          <w:lang w:eastAsia="zh-CN"/>
        </w:rPr>
        <w:t>为</w:t>
      </w:r>
      <w:r>
        <w:rPr>
          <w:rFonts w:ascii="Times New Roman" w:eastAsia="宋体" w:hAnsi="Times New Roman" w:cs="宋体"/>
          <w:color w:val="auto"/>
          <w:spacing w:val="-2"/>
          <w:sz w:val="24"/>
          <w:szCs w:val="24"/>
          <w:lang w:eastAsia="zh-CN"/>
        </w:rPr>
        <w:t>1985</w:t>
      </w:r>
      <w:r>
        <w:rPr>
          <w:rFonts w:ascii="Times New Roman" w:eastAsia="宋体" w:hAnsi="Times New Roman" w:cs="宋体"/>
          <w:color w:val="auto"/>
          <w:spacing w:val="-2"/>
          <w:sz w:val="24"/>
          <w:szCs w:val="24"/>
          <w:lang w:eastAsia="zh-CN"/>
        </w:rPr>
        <w:t>国家高程，投影方式为高斯</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克吕格，中央经线为</w:t>
      </w:r>
      <w:r>
        <w:rPr>
          <w:rFonts w:ascii="Times New Roman" w:eastAsia="宋体" w:hAnsi="Times New Roman" w:cs="Times New Roman"/>
          <w:color w:val="auto"/>
          <w:spacing w:val="-2"/>
          <w:sz w:val="24"/>
          <w:szCs w:val="24"/>
          <w:lang w:eastAsia="zh-CN"/>
        </w:rPr>
        <w:t>1</w:t>
      </w:r>
      <w:r>
        <w:rPr>
          <w:rFonts w:ascii="Times New Roman" w:eastAsia="宋体" w:hAnsi="Times New Roman" w:cs="Times New Roman"/>
          <w:color w:val="auto"/>
          <w:spacing w:val="-2"/>
          <w:sz w:val="24"/>
          <w:szCs w:val="24"/>
          <w:lang w:eastAsia="zh-CN"/>
        </w:rPr>
        <w:t>09</w:t>
      </w:r>
      <w:r>
        <w:rPr>
          <w:rFonts w:ascii="Times New Roman" w:eastAsia="宋体" w:hAnsi="Times New Roman" w:cs="Times New Roman"/>
          <w:color w:val="auto"/>
          <w:spacing w:val="-2"/>
          <w:sz w:val="24"/>
          <w:szCs w:val="24"/>
          <w:lang w:eastAsia="zh-CN"/>
        </w:rPr>
        <w:t>°</w:t>
      </w:r>
      <w:r>
        <w:rPr>
          <w:rFonts w:ascii="Times New Roman" w:eastAsia="宋体" w:hAnsi="Times New Roman" w:cs="Times New Roman"/>
          <w:color w:val="auto"/>
          <w:spacing w:val="-2"/>
          <w:sz w:val="24"/>
          <w:szCs w:val="24"/>
          <w:lang w:eastAsia="zh-CN"/>
        </w:rPr>
        <w:t>30′</w:t>
      </w:r>
      <w:r>
        <w:rPr>
          <w:rFonts w:ascii="Times New Roman" w:eastAsia="宋体" w:hAnsi="Times New Roman" w:cs="宋体"/>
          <w:color w:val="auto"/>
          <w:spacing w:val="-2"/>
          <w:sz w:val="24"/>
          <w:szCs w:val="24"/>
          <w:lang w:eastAsia="zh-CN"/>
        </w:rPr>
        <w:t>，采用</w:t>
      </w:r>
      <w:r>
        <w:rPr>
          <w:rFonts w:ascii="Times New Roman" w:eastAsia="宋体" w:hAnsi="Times New Roman" w:cs="宋体"/>
          <w:color w:val="auto"/>
          <w:spacing w:val="-2"/>
          <w:sz w:val="24"/>
          <w:szCs w:val="24"/>
          <w:lang w:eastAsia="zh-CN"/>
        </w:rPr>
        <w:t>ArcGIS</w:t>
      </w:r>
      <w:r>
        <w:rPr>
          <w:rFonts w:ascii="Times New Roman" w:eastAsia="宋体" w:hAnsi="Times New Roman" w:cs="宋体"/>
          <w:color w:val="auto"/>
          <w:spacing w:val="-2"/>
          <w:sz w:val="24"/>
          <w:szCs w:val="24"/>
          <w:lang w:eastAsia="zh-CN"/>
        </w:rPr>
        <w:t>软件绘制成图，并计算得各用海内部单元的面积。</w:t>
      </w:r>
    </w:p>
    <w:p w14:paraId="50382616" w14:textId="77777777" w:rsidR="0075791A" w:rsidRDefault="00FB2864">
      <w:pPr>
        <w:pStyle w:val="3"/>
        <w:widowControl w:val="0"/>
        <w:kinsoku/>
        <w:autoSpaceDE/>
        <w:autoSpaceDN/>
        <w:adjustRightInd/>
        <w:snapToGrid/>
        <w:spacing w:before="0" w:after="0" w:line="360" w:lineRule="auto"/>
        <w:textAlignment w:val="auto"/>
        <w:rPr>
          <w:rFonts w:ascii="Times New Roman" w:hAnsi="Times New Roman"/>
          <w:color w:val="auto"/>
          <w:sz w:val="28"/>
          <w:szCs w:val="28"/>
          <w:lang w:eastAsia="zh-CN"/>
        </w:rPr>
      </w:pPr>
      <w:bookmarkStart w:id="357" w:name="_Toc31023"/>
      <w:r>
        <w:rPr>
          <w:rFonts w:ascii="Times New Roman" w:hAnsi="Times New Roman" w:hint="eastAsia"/>
          <w:color w:val="auto"/>
          <w:sz w:val="28"/>
          <w:szCs w:val="28"/>
          <w:lang w:eastAsia="zh-CN"/>
        </w:rPr>
        <w:t>7.5.3</w:t>
      </w:r>
      <w:r>
        <w:rPr>
          <w:rFonts w:ascii="Times New Roman" w:hAnsi="Times New Roman" w:hint="eastAsia"/>
          <w:color w:val="auto"/>
          <w:sz w:val="28"/>
          <w:szCs w:val="28"/>
          <w:lang w:eastAsia="zh-CN"/>
        </w:rPr>
        <w:t>用海面积合理性</w:t>
      </w:r>
      <w:bookmarkEnd w:id="357"/>
    </w:p>
    <w:p w14:paraId="1519F93B" w14:textId="77777777" w:rsidR="0075791A" w:rsidRDefault="00FB2864">
      <w:pPr>
        <w:spacing w:before="34" w:line="352" w:lineRule="auto"/>
        <w:ind w:left="12" w:firstLine="479"/>
        <w:jc w:val="both"/>
        <w:rPr>
          <w:rFonts w:ascii="Times New Roman" w:eastAsia="宋体" w:hAnsi="Times New Roman" w:cs="宋体"/>
          <w:color w:val="auto"/>
          <w:spacing w:val="-1"/>
          <w:sz w:val="24"/>
          <w:szCs w:val="24"/>
          <w:lang w:eastAsia="zh-CN"/>
        </w:rPr>
      </w:pPr>
      <w:r>
        <w:rPr>
          <w:rFonts w:ascii="Times New Roman" w:eastAsia="宋体" w:hAnsi="Times New Roman" w:cs="宋体" w:hint="eastAsia"/>
          <w:color w:val="auto"/>
          <w:spacing w:val="-1"/>
          <w:sz w:val="24"/>
          <w:szCs w:val="24"/>
          <w:lang w:eastAsia="zh-CN"/>
        </w:rPr>
        <w:t>本项目申请用海面积为</w:t>
      </w:r>
      <w:r>
        <w:rPr>
          <w:rFonts w:ascii="Times New Roman" w:eastAsia="宋体" w:hAnsi="Times New Roman" w:cs="宋体" w:hint="eastAsia"/>
          <w:color w:val="auto"/>
          <w:spacing w:val="-4"/>
          <w:sz w:val="24"/>
          <w:szCs w:val="24"/>
          <w:lang w:eastAsia="zh-CN"/>
        </w:rPr>
        <w:t>15.2465</w:t>
      </w:r>
      <w:r>
        <w:rPr>
          <w:rFonts w:ascii="Times New Roman" w:eastAsia="宋体" w:hAnsi="Times New Roman" w:cs="宋体" w:hint="eastAsia"/>
          <w:color w:val="auto"/>
          <w:spacing w:val="-1"/>
          <w:sz w:val="24"/>
          <w:szCs w:val="24"/>
          <w:lang w:eastAsia="zh-CN"/>
        </w:rPr>
        <w:t>公顷</w:t>
      </w:r>
      <w:r>
        <w:rPr>
          <w:rFonts w:ascii="Times New Roman" w:eastAsia="宋体" w:hAnsi="Times New Roman" w:cs="宋体" w:hint="eastAsia"/>
          <w:color w:val="auto"/>
          <w:spacing w:val="-1"/>
          <w:sz w:val="24"/>
          <w:szCs w:val="24"/>
          <w:lang w:eastAsia="zh-CN"/>
        </w:rPr>
        <w:t>，</w:t>
      </w:r>
      <w:r>
        <w:rPr>
          <w:rFonts w:ascii="Times New Roman" w:eastAsia="宋体" w:hAnsi="Times New Roman" w:cs="宋体" w:hint="eastAsia"/>
          <w:color w:val="auto"/>
          <w:spacing w:val="-1"/>
          <w:sz w:val="24"/>
          <w:szCs w:val="24"/>
          <w:lang w:eastAsia="zh-CN"/>
        </w:rPr>
        <w:t>用海方式为专用航道、锚地及其他开放式用海、透水构筑物。</w:t>
      </w:r>
    </w:p>
    <w:p w14:paraId="207AFABE" w14:textId="77777777" w:rsidR="0075791A" w:rsidRDefault="00FB2864">
      <w:pPr>
        <w:spacing w:before="34" w:line="352" w:lineRule="auto"/>
        <w:ind w:left="12" w:firstLine="479"/>
        <w:jc w:val="both"/>
        <w:rPr>
          <w:rFonts w:ascii="Times New Roman" w:eastAsia="宋体" w:hAnsi="Times New Roman" w:cs="宋体"/>
          <w:color w:val="auto"/>
          <w:sz w:val="24"/>
          <w:szCs w:val="24"/>
        </w:rPr>
      </w:pPr>
      <w:r>
        <w:rPr>
          <w:rFonts w:ascii="Times New Roman" w:eastAsia="宋体" w:hAnsi="Times New Roman" w:cs="宋体"/>
          <w:color w:val="auto"/>
          <w:spacing w:val="-1"/>
          <w:sz w:val="24"/>
          <w:szCs w:val="24"/>
          <w:lang w:eastAsia="zh-CN"/>
        </w:rPr>
        <w:lastRenderedPageBreak/>
        <w:t>根据工程设计要求和《海籍调查规范》（</w:t>
      </w:r>
      <w:r>
        <w:rPr>
          <w:rFonts w:ascii="Times New Roman" w:eastAsia="Times New Roman" w:hAnsi="Times New Roman" w:cs="Times New Roman"/>
          <w:color w:val="auto"/>
          <w:spacing w:val="-1"/>
          <w:sz w:val="24"/>
          <w:szCs w:val="24"/>
          <w:lang w:eastAsia="zh-CN"/>
        </w:rPr>
        <w:t>HYT124-2009</w:t>
      </w:r>
      <w:r>
        <w:rPr>
          <w:rFonts w:ascii="Times New Roman" w:eastAsia="宋体" w:hAnsi="Times New Roman" w:cs="宋体"/>
          <w:color w:val="auto"/>
          <w:spacing w:val="-1"/>
          <w:sz w:val="24"/>
          <w:szCs w:val="24"/>
          <w:lang w:eastAsia="zh-CN"/>
        </w:rPr>
        <w:t>）《宗海图编绘技术规范》</w:t>
      </w:r>
      <w:r>
        <w:rPr>
          <w:rFonts w:ascii="Times New Roman" w:eastAsia="宋体" w:hAnsi="Times New Roman" w:cs="宋体"/>
          <w:color w:val="auto"/>
          <w:spacing w:val="-2"/>
          <w:sz w:val="24"/>
          <w:szCs w:val="24"/>
          <w:lang w:eastAsia="zh-CN"/>
        </w:rPr>
        <w:t>（</w:t>
      </w:r>
      <w:r>
        <w:rPr>
          <w:rFonts w:ascii="Times New Roman" w:eastAsia="Times New Roman" w:hAnsi="Times New Roman" w:cs="Times New Roman"/>
          <w:color w:val="auto"/>
          <w:spacing w:val="-2"/>
          <w:sz w:val="24"/>
          <w:szCs w:val="24"/>
          <w:lang w:eastAsia="zh-CN"/>
        </w:rPr>
        <w:t>HY/T251-2018</w:t>
      </w:r>
      <w:r>
        <w:rPr>
          <w:rFonts w:ascii="Times New Roman" w:eastAsia="宋体" w:hAnsi="Times New Roman" w:cs="宋体"/>
          <w:color w:val="auto"/>
          <w:spacing w:val="-8"/>
          <w:sz w:val="24"/>
          <w:szCs w:val="24"/>
          <w:lang w:eastAsia="zh-CN"/>
        </w:rPr>
        <w:t>），</w:t>
      </w:r>
      <w:r>
        <w:rPr>
          <w:rFonts w:ascii="Times New Roman" w:eastAsia="宋体" w:hAnsi="Times New Roman" w:cs="宋体"/>
          <w:color w:val="auto"/>
          <w:spacing w:val="-2"/>
          <w:sz w:val="24"/>
          <w:szCs w:val="24"/>
          <w:lang w:eastAsia="zh-CN"/>
        </w:rPr>
        <w:t>项目用海面积符合相关行业的设计标准和规范。</w:t>
      </w:r>
      <w:r>
        <w:rPr>
          <w:rFonts w:ascii="Times New Roman" w:eastAsia="宋体" w:hAnsi="Times New Roman" w:cs="宋体"/>
          <w:color w:val="auto"/>
          <w:spacing w:val="-2"/>
          <w:sz w:val="24"/>
          <w:szCs w:val="24"/>
        </w:rPr>
        <w:t>因此，用海面积是</w:t>
      </w:r>
      <w:r>
        <w:rPr>
          <w:rFonts w:ascii="Times New Roman" w:eastAsia="宋体" w:hAnsi="Times New Roman" w:cs="宋体"/>
          <w:color w:val="auto"/>
          <w:spacing w:val="-3"/>
          <w:sz w:val="24"/>
          <w:szCs w:val="24"/>
        </w:rPr>
        <w:t>合理的。</w:t>
      </w:r>
    </w:p>
    <w:p w14:paraId="28F2083E" w14:textId="77777777" w:rsidR="0075791A" w:rsidRDefault="0075791A">
      <w:pPr>
        <w:spacing w:before="37" w:line="353" w:lineRule="auto"/>
        <w:ind w:left="10" w:firstLine="478"/>
        <w:rPr>
          <w:rFonts w:ascii="Times New Roman" w:eastAsia="宋体" w:hAnsi="Times New Roman" w:cs="宋体"/>
          <w:color w:val="auto"/>
          <w:spacing w:val="-2"/>
          <w:sz w:val="24"/>
          <w:szCs w:val="24"/>
        </w:rPr>
      </w:pPr>
    </w:p>
    <w:p w14:paraId="6832F55B" w14:textId="77777777" w:rsidR="0075791A" w:rsidRDefault="0075791A">
      <w:pPr>
        <w:spacing w:line="351" w:lineRule="auto"/>
        <w:rPr>
          <w:rFonts w:ascii="Times New Roman" w:eastAsia="宋体" w:hAnsi="Times New Roman" w:cs="宋体"/>
          <w:color w:val="auto"/>
          <w:sz w:val="24"/>
          <w:szCs w:val="24"/>
        </w:rPr>
        <w:sectPr w:rsidR="0075791A">
          <w:footerReference w:type="default" r:id="rId290"/>
          <w:pgSz w:w="11906" w:h="16839"/>
          <w:pgMar w:top="1018" w:right="1387" w:bottom="1134" w:left="1417" w:header="746" w:footer="972" w:gutter="0"/>
          <w:cols w:space="720"/>
        </w:sectPr>
      </w:pPr>
    </w:p>
    <w:p w14:paraId="05FBA52A" w14:textId="77777777" w:rsidR="0075791A" w:rsidRDefault="00FB2864">
      <w:pPr>
        <w:jc w:val="center"/>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noProof/>
          <w:color w:val="auto"/>
          <w:spacing w:val="-2"/>
          <w:sz w:val="24"/>
          <w:szCs w:val="24"/>
          <w:lang w:eastAsia="zh-CN"/>
        </w:rPr>
        <w:lastRenderedPageBreak/>
        <w:drawing>
          <wp:inline distT="0" distB="0" distL="114300" distR="114300" wp14:anchorId="303AE159" wp14:editId="5DE3F1BD">
            <wp:extent cx="8448040" cy="5868035"/>
            <wp:effectExtent l="0" t="0" r="10160" b="14605"/>
            <wp:docPr id="196" name="图片 196" descr="1三亚铁炉港清淤区1宗海位置图2026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1三亚铁炉港清淤区1宗海位置图20260412"/>
                    <pic:cNvPicPr>
                      <a:picLocks noChangeAspect="1"/>
                    </pic:cNvPicPr>
                  </pic:nvPicPr>
                  <pic:blipFill>
                    <a:blip r:embed="rId291"/>
                    <a:srcRect t="843" b="1009"/>
                    <a:stretch>
                      <a:fillRect/>
                    </a:stretch>
                  </pic:blipFill>
                  <pic:spPr>
                    <a:xfrm>
                      <a:off x="0" y="0"/>
                      <a:ext cx="8448040" cy="5868035"/>
                    </a:xfrm>
                    <a:prstGeom prst="rect">
                      <a:avLst/>
                    </a:prstGeom>
                  </pic:spPr>
                </pic:pic>
              </a:graphicData>
            </a:graphic>
          </wp:inline>
        </w:drawing>
      </w:r>
    </w:p>
    <w:p w14:paraId="21FBEE76" w14:textId="77777777" w:rsidR="0075791A" w:rsidRDefault="00FB2864">
      <w:pPr>
        <w:jc w:val="center"/>
        <w:rPr>
          <w:rFonts w:ascii="Times New Roman" w:eastAsia="宋体" w:hAnsi="Times New Roman" w:cs="宋体"/>
          <w:color w:val="auto"/>
          <w:spacing w:val="-3"/>
          <w:sz w:val="24"/>
          <w:szCs w:val="24"/>
          <w:lang w:eastAsia="zh-CN"/>
        </w:rPr>
      </w:pPr>
      <w:r>
        <w:rPr>
          <w:rFonts w:ascii="Times New Roman" w:eastAsia="宋体" w:hAnsi="Times New Roman" w:cs="宋体"/>
          <w:color w:val="auto"/>
          <w:spacing w:val="-2"/>
          <w:sz w:val="24"/>
          <w:szCs w:val="24"/>
          <w:lang w:eastAsia="zh-CN"/>
        </w:rPr>
        <w:t>图</w:t>
      </w:r>
      <w:r>
        <w:rPr>
          <w:rFonts w:ascii="Times New Roman" w:eastAsia="宋体" w:hAnsi="Times New Roman" w:cs="Times New Roman" w:hint="eastAsia"/>
          <w:color w:val="auto"/>
          <w:spacing w:val="-2"/>
          <w:sz w:val="24"/>
          <w:szCs w:val="24"/>
          <w:lang w:eastAsia="zh-CN"/>
        </w:rPr>
        <w:t>7</w:t>
      </w:r>
      <w:r>
        <w:rPr>
          <w:rFonts w:ascii="Times New Roman" w:eastAsia="Times New Roman" w:hAnsi="Times New Roman" w:cs="Times New Roman"/>
          <w:color w:val="auto"/>
          <w:spacing w:val="-2"/>
          <w:sz w:val="24"/>
          <w:szCs w:val="24"/>
          <w:lang w:eastAsia="zh-CN"/>
        </w:rPr>
        <w:t>.5</w:t>
      </w:r>
      <w:r>
        <w:rPr>
          <w:rFonts w:ascii="Times New Roman" w:eastAsia="宋体" w:hAnsi="Times New Roman" w:cs="Times New Roman" w:hint="eastAsia"/>
          <w:color w:val="auto"/>
          <w:spacing w:val="-2"/>
          <w:sz w:val="24"/>
          <w:szCs w:val="24"/>
          <w:lang w:eastAsia="zh-CN"/>
        </w:rPr>
        <w:t>.1</w:t>
      </w:r>
      <w:r>
        <w:rPr>
          <w:rFonts w:ascii="Times New Roman" w:eastAsia="Times New Roman" w:hAnsi="Times New Roman" w:cs="Times New Roman"/>
          <w:color w:val="auto"/>
          <w:spacing w:val="-2"/>
          <w:sz w:val="24"/>
          <w:szCs w:val="24"/>
          <w:lang w:eastAsia="zh-CN"/>
        </w:rPr>
        <w:t>-</w:t>
      </w:r>
      <w:r>
        <w:rPr>
          <w:rFonts w:ascii="Times New Roman" w:eastAsia="宋体" w:hAnsi="Times New Roman" w:cs="Times New Roman" w:hint="eastAsia"/>
          <w:color w:val="auto"/>
          <w:spacing w:val="-2"/>
          <w:sz w:val="24"/>
          <w:szCs w:val="24"/>
          <w:lang w:eastAsia="zh-CN"/>
        </w:rPr>
        <w:t>2</w:t>
      </w:r>
      <w:r>
        <w:rPr>
          <w:rFonts w:ascii="Times New Roman" w:eastAsia="宋体" w:hAnsi="Times New Roman" w:cs="宋体" w:hint="eastAsia"/>
          <w:color w:val="auto"/>
          <w:spacing w:val="-3"/>
          <w:sz w:val="24"/>
          <w:szCs w:val="24"/>
          <w:lang w:eastAsia="zh-CN"/>
        </w:rPr>
        <w:t>三亚铁炉港红树林湿地保护</w:t>
      </w:r>
      <w:r>
        <w:rPr>
          <w:rFonts w:ascii="Times New Roman" w:eastAsia="宋体" w:hAnsi="Times New Roman" w:cs="宋体"/>
          <w:color w:val="auto"/>
          <w:spacing w:val="-3"/>
          <w:sz w:val="24"/>
          <w:szCs w:val="24"/>
          <w:lang w:eastAsia="zh-CN"/>
        </w:rPr>
        <w:t>修复项目</w:t>
      </w:r>
      <w:r>
        <w:rPr>
          <w:rFonts w:ascii="Times New Roman" w:eastAsia="宋体" w:hAnsi="Times New Roman" w:cs="宋体" w:hint="eastAsia"/>
          <w:color w:val="auto"/>
          <w:spacing w:val="-3"/>
          <w:sz w:val="24"/>
          <w:szCs w:val="24"/>
          <w:lang w:eastAsia="zh-CN"/>
        </w:rPr>
        <w:t>（二期）疏浚活动</w:t>
      </w:r>
      <w:r>
        <w:rPr>
          <w:rFonts w:ascii="Times New Roman" w:eastAsia="宋体" w:hAnsi="Times New Roman" w:cs="宋体"/>
          <w:color w:val="auto"/>
          <w:spacing w:val="-3"/>
          <w:sz w:val="24"/>
          <w:szCs w:val="24"/>
          <w:lang w:eastAsia="zh-CN"/>
        </w:rPr>
        <w:t>宗海位置图</w:t>
      </w:r>
    </w:p>
    <w:p w14:paraId="58F7F32B" w14:textId="77777777" w:rsidR="0075791A" w:rsidRDefault="0075791A">
      <w:pPr>
        <w:jc w:val="both"/>
        <w:rPr>
          <w:rFonts w:ascii="Times New Roman" w:eastAsia="宋体" w:hAnsi="Times New Roman" w:cs="宋体"/>
          <w:color w:val="auto"/>
          <w:spacing w:val="-3"/>
          <w:sz w:val="24"/>
          <w:szCs w:val="24"/>
          <w:lang w:eastAsia="zh-CN"/>
        </w:rPr>
        <w:sectPr w:rsidR="0075791A">
          <w:footerReference w:type="default" r:id="rId292"/>
          <w:pgSz w:w="16839" w:h="11906"/>
          <w:pgMar w:top="1018" w:right="1416" w:bottom="1134" w:left="1417" w:header="746" w:footer="972" w:gutter="0"/>
          <w:cols w:space="720"/>
        </w:sectPr>
      </w:pPr>
    </w:p>
    <w:p w14:paraId="3B388B58" w14:textId="77777777" w:rsidR="0075791A" w:rsidRDefault="0075791A">
      <w:pPr>
        <w:spacing w:line="43" w:lineRule="exact"/>
        <w:rPr>
          <w:rFonts w:ascii="Times New Roman" w:hAnsi="Times New Roman"/>
          <w:color w:val="auto"/>
          <w:lang w:eastAsia="zh-CN"/>
        </w:rPr>
      </w:pPr>
    </w:p>
    <w:p w14:paraId="034676D4" w14:textId="77777777" w:rsidR="0075791A" w:rsidRDefault="00FB2864">
      <w:pPr>
        <w:jc w:val="center"/>
        <w:rPr>
          <w:rFonts w:ascii="Times New Roman" w:eastAsia="宋体" w:hAnsi="Times New Roman" w:cs="宋体"/>
          <w:color w:val="auto"/>
          <w:sz w:val="24"/>
          <w:szCs w:val="24"/>
          <w:lang w:eastAsia="zh-CN"/>
        </w:rPr>
      </w:pPr>
      <w:r>
        <w:rPr>
          <w:rFonts w:ascii="Times New Roman" w:eastAsia="宋体" w:hAnsi="Times New Roman" w:cs="宋体" w:hint="eastAsia"/>
          <w:noProof/>
          <w:color w:val="auto"/>
          <w:sz w:val="24"/>
          <w:szCs w:val="24"/>
          <w:lang w:eastAsia="zh-CN"/>
        </w:rPr>
        <w:drawing>
          <wp:inline distT="0" distB="0" distL="114300" distR="114300" wp14:anchorId="0CBDDAC5" wp14:editId="6A7E7BC0">
            <wp:extent cx="8441055" cy="5831840"/>
            <wp:effectExtent l="0" t="0" r="1905" b="5080"/>
            <wp:docPr id="197" name="图片 197" descr="2三亚铁炉港宗海平面布置图2026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2三亚铁炉港宗海平面布置图20260412"/>
                    <pic:cNvPicPr>
                      <a:picLocks noChangeAspect="1"/>
                    </pic:cNvPicPr>
                  </pic:nvPicPr>
                  <pic:blipFill>
                    <a:blip r:embed="rId293"/>
                    <a:srcRect t="1207" b="1155"/>
                    <a:stretch>
                      <a:fillRect/>
                    </a:stretch>
                  </pic:blipFill>
                  <pic:spPr>
                    <a:xfrm>
                      <a:off x="0" y="0"/>
                      <a:ext cx="8441055" cy="5831840"/>
                    </a:xfrm>
                    <a:prstGeom prst="rect">
                      <a:avLst/>
                    </a:prstGeom>
                  </pic:spPr>
                </pic:pic>
              </a:graphicData>
            </a:graphic>
          </wp:inline>
        </w:drawing>
      </w:r>
    </w:p>
    <w:p w14:paraId="41495DE9" w14:textId="77777777" w:rsidR="0075791A" w:rsidRDefault="00FB2864">
      <w:pPr>
        <w:jc w:val="center"/>
        <w:rPr>
          <w:rFonts w:ascii="Times New Roman" w:eastAsia="宋体" w:hAnsi="Times New Roman" w:cs="宋体"/>
          <w:color w:val="auto"/>
          <w:spacing w:val="-3"/>
          <w:sz w:val="24"/>
          <w:szCs w:val="24"/>
          <w:lang w:eastAsia="zh-CN"/>
        </w:rPr>
      </w:pPr>
      <w:r>
        <w:rPr>
          <w:rFonts w:ascii="Times New Roman" w:eastAsia="宋体" w:hAnsi="Times New Roman" w:cs="宋体"/>
          <w:color w:val="auto"/>
          <w:spacing w:val="-2"/>
          <w:sz w:val="24"/>
          <w:szCs w:val="24"/>
          <w:lang w:eastAsia="zh-CN"/>
        </w:rPr>
        <w:t>图</w:t>
      </w:r>
      <w:r>
        <w:rPr>
          <w:rFonts w:ascii="Times New Roman" w:eastAsia="宋体" w:hAnsi="Times New Roman" w:cs="Times New Roman" w:hint="eastAsia"/>
          <w:color w:val="auto"/>
          <w:spacing w:val="-2"/>
          <w:sz w:val="24"/>
          <w:szCs w:val="24"/>
          <w:lang w:eastAsia="zh-CN"/>
        </w:rPr>
        <w:t>7</w:t>
      </w:r>
      <w:r>
        <w:rPr>
          <w:rFonts w:ascii="Times New Roman" w:eastAsia="Times New Roman" w:hAnsi="Times New Roman" w:cs="Times New Roman"/>
          <w:color w:val="auto"/>
          <w:spacing w:val="-2"/>
          <w:sz w:val="24"/>
          <w:szCs w:val="24"/>
          <w:lang w:eastAsia="zh-CN"/>
        </w:rPr>
        <w:t>.5</w:t>
      </w:r>
      <w:r>
        <w:rPr>
          <w:rFonts w:ascii="Times New Roman" w:eastAsia="宋体" w:hAnsi="Times New Roman" w:cs="Times New Roman" w:hint="eastAsia"/>
          <w:color w:val="auto"/>
          <w:spacing w:val="-2"/>
          <w:sz w:val="24"/>
          <w:szCs w:val="24"/>
          <w:lang w:eastAsia="zh-CN"/>
        </w:rPr>
        <w:t>.1</w:t>
      </w:r>
      <w:r>
        <w:rPr>
          <w:rFonts w:ascii="Times New Roman" w:eastAsia="Times New Roman" w:hAnsi="Times New Roman" w:cs="Times New Roman"/>
          <w:color w:val="auto"/>
          <w:spacing w:val="-2"/>
          <w:sz w:val="24"/>
          <w:szCs w:val="24"/>
          <w:lang w:eastAsia="zh-CN"/>
        </w:rPr>
        <w:t>-</w:t>
      </w:r>
      <w:r>
        <w:rPr>
          <w:rFonts w:ascii="Times New Roman" w:eastAsia="宋体" w:hAnsi="Times New Roman" w:cs="Times New Roman" w:hint="eastAsia"/>
          <w:color w:val="auto"/>
          <w:spacing w:val="-2"/>
          <w:sz w:val="24"/>
          <w:szCs w:val="24"/>
          <w:lang w:eastAsia="zh-CN"/>
        </w:rPr>
        <w:t>3</w:t>
      </w:r>
      <w:r>
        <w:rPr>
          <w:rFonts w:ascii="Times New Roman" w:eastAsia="宋体" w:hAnsi="Times New Roman" w:cs="宋体" w:hint="eastAsia"/>
          <w:color w:val="auto"/>
          <w:spacing w:val="-3"/>
          <w:sz w:val="24"/>
          <w:szCs w:val="24"/>
          <w:lang w:eastAsia="zh-CN"/>
        </w:rPr>
        <w:t>三亚铁炉港红树林湿地保护</w:t>
      </w:r>
      <w:r>
        <w:rPr>
          <w:rFonts w:ascii="Times New Roman" w:eastAsia="宋体" w:hAnsi="Times New Roman" w:cs="宋体"/>
          <w:color w:val="auto"/>
          <w:spacing w:val="-3"/>
          <w:sz w:val="24"/>
          <w:szCs w:val="24"/>
          <w:lang w:eastAsia="zh-CN"/>
        </w:rPr>
        <w:t>修复项目</w:t>
      </w:r>
      <w:r>
        <w:rPr>
          <w:rFonts w:ascii="Times New Roman" w:eastAsia="宋体" w:hAnsi="Times New Roman" w:cs="宋体" w:hint="eastAsia"/>
          <w:color w:val="auto"/>
          <w:spacing w:val="-3"/>
          <w:sz w:val="24"/>
          <w:szCs w:val="24"/>
          <w:lang w:eastAsia="zh-CN"/>
        </w:rPr>
        <w:t>（二期）疏浚活动</w:t>
      </w:r>
      <w:r>
        <w:rPr>
          <w:rFonts w:ascii="Times New Roman" w:eastAsia="宋体" w:hAnsi="Times New Roman" w:cs="宋体"/>
          <w:color w:val="auto"/>
          <w:spacing w:val="-3"/>
          <w:sz w:val="24"/>
          <w:szCs w:val="24"/>
          <w:lang w:eastAsia="zh-CN"/>
        </w:rPr>
        <w:t>宗海</w:t>
      </w:r>
      <w:r>
        <w:rPr>
          <w:rFonts w:ascii="Times New Roman" w:eastAsia="宋体" w:hAnsi="Times New Roman" w:cs="宋体" w:hint="eastAsia"/>
          <w:color w:val="auto"/>
          <w:spacing w:val="-3"/>
          <w:sz w:val="24"/>
          <w:szCs w:val="24"/>
          <w:lang w:eastAsia="zh-CN"/>
        </w:rPr>
        <w:t>平面布置</w:t>
      </w:r>
      <w:r>
        <w:rPr>
          <w:rFonts w:ascii="Times New Roman" w:eastAsia="宋体" w:hAnsi="Times New Roman" w:cs="宋体"/>
          <w:color w:val="auto"/>
          <w:spacing w:val="-3"/>
          <w:sz w:val="24"/>
          <w:szCs w:val="24"/>
          <w:lang w:eastAsia="zh-CN"/>
        </w:rPr>
        <w:t>图</w:t>
      </w:r>
    </w:p>
    <w:p w14:paraId="36A484A5" w14:textId="77777777" w:rsidR="0075791A" w:rsidRDefault="00FB2864">
      <w:pPr>
        <w:jc w:val="center"/>
        <w:rPr>
          <w:rFonts w:ascii="Times New Roman" w:eastAsia="宋体" w:hAnsi="Times New Roman" w:cs="宋体"/>
          <w:color w:val="auto"/>
          <w:spacing w:val="-3"/>
          <w:sz w:val="24"/>
          <w:szCs w:val="24"/>
          <w:lang w:eastAsia="zh-CN"/>
        </w:rPr>
      </w:pPr>
      <w:r>
        <w:rPr>
          <w:rFonts w:ascii="Times New Roman" w:eastAsia="宋体" w:hAnsi="Times New Roman" w:cs="宋体" w:hint="eastAsia"/>
          <w:noProof/>
          <w:color w:val="auto"/>
          <w:spacing w:val="-3"/>
          <w:sz w:val="24"/>
          <w:szCs w:val="24"/>
          <w:lang w:eastAsia="zh-CN"/>
        </w:rPr>
        <w:lastRenderedPageBreak/>
        <w:drawing>
          <wp:inline distT="0" distB="0" distL="114300" distR="114300" wp14:anchorId="115E59D5" wp14:editId="6BA8F520">
            <wp:extent cx="8630920" cy="6102985"/>
            <wp:effectExtent l="0" t="0" r="10160" b="8255"/>
            <wp:docPr id="202" name="图片 202" descr="3三亚铁炉港三期宗海界址图1_2026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3三亚铁炉港三期宗海界址图1_20260412"/>
                    <pic:cNvPicPr>
                      <a:picLocks noChangeAspect="1"/>
                    </pic:cNvPicPr>
                  </pic:nvPicPr>
                  <pic:blipFill>
                    <a:blip r:embed="rId294"/>
                    <a:stretch>
                      <a:fillRect/>
                    </a:stretch>
                  </pic:blipFill>
                  <pic:spPr>
                    <a:xfrm>
                      <a:off x="0" y="0"/>
                      <a:ext cx="8630920" cy="6102985"/>
                    </a:xfrm>
                    <a:prstGeom prst="rect">
                      <a:avLst/>
                    </a:prstGeom>
                  </pic:spPr>
                </pic:pic>
              </a:graphicData>
            </a:graphic>
          </wp:inline>
        </w:drawing>
      </w:r>
    </w:p>
    <w:p w14:paraId="608185FB" w14:textId="77777777" w:rsidR="0075791A" w:rsidRDefault="00FB2864">
      <w:pPr>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noProof/>
          <w:color w:val="auto"/>
          <w:spacing w:val="-2"/>
          <w:sz w:val="24"/>
          <w:szCs w:val="24"/>
          <w:lang w:eastAsia="zh-CN"/>
        </w:rPr>
        <w:lastRenderedPageBreak/>
        <w:drawing>
          <wp:inline distT="0" distB="0" distL="114300" distR="114300" wp14:anchorId="4BD0C808" wp14:editId="2396BB0B">
            <wp:extent cx="8630920" cy="6102985"/>
            <wp:effectExtent l="0" t="0" r="10160" b="8255"/>
            <wp:docPr id="203" name="图片 203" descr="4三亚铁炉港红树林湿地保护修复项目二期（巡护栈道新增3、巡护便道新增1）2026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4三亚铁炉港红树林湿地保护修复项目二期（巡护栈道新增3、巡护便道新增1）20260412"/>
                    <pic:cNvPicPr>
                      <a:picLocks noChangeAspect="1"/>
                    </pic:cNvPicPr>
                  </pic:nvPicPr>
                  <pic:blipFill>
                    <a:blip r:embed="rId295"/>
                    <a:stretch>
                      <a:fillRect/>
                    </a:stretch>
                  </pic:blipFill>
                  <pic:spPr>
                    <a:xfrm>
                      <a:off x="0" y="0"/>
                      <a:ext cx="8630920" cy="6102985"/>
                    </a:xfrm>
                    <a:prstGeom prst="rect">
                      <a:avLst/>
                    </a:prstGeom>
                  </pic:spPr>
                </pic:pic>
              </a:graphicData>
            </a:graphic>
          </wp:inline>
        </w:drawing>
      </w:r>
    </w:p>
    <w:p w14:paraId="63FDD86E" w14:textId="77777777" w:rsidR="0075791A" w:rsidRDefault="00FB2864">
      <w:pPr>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noProof/>
          <w:color w:val="auto"/>
          <w:spacing w:val="-2"/>
          <w:sz w:val="24"/>
          <w:szCs w:val="24"/>
          <w:lang w:eastAsia="zh-CN"/>
        </w:rPr>
        <w:lastRenderedPageBreak/>
        <w:drawing>
          <wp:inline distT="0" distB="0" distL="114300" distR="114300" wp14:anchorId="68924A31" wp14:editId="4F3538A7">
            <wp:extent cx="8630920" cy="6102985"/>
            <wp:effectExtent l="0" t="0" r="10160" b="8255"/>
            <wp:docPr id="204" name="图片 204" descr="5三亚铁炉港红树林湿地保护修复项目（二期）（巡护便道新增2-3、巡护码头新增1-7、保护管理站新增1-3）2026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5三亚铁炉港红树林湿地保护修复项目（二期）（巡护便道新增2-3、巡护码头新增1-7、保护管理站新增1-3）20260412"/>
                    <pic:cNvPicPr>
                      <a:picLocks noChangeAspect="1"/>
                    </pic:cNvPicPr>
                  </pic:nvPicPr>
                  <pic:blipFill>
                    <a:blip r:embed="rId296"/>
                    <a:stretch>
                      <a:fillRect/>
                    </a:stretch>
                  </pic:blipFill>
                  <pic:spPr>
                    <a:xfrm>
                      <a:off x="0" y="0"/>
                      <a:ext cx="8630920" cy="6102985"/>
                    </a:xfrm>
                    <a:prstGeom prst="rect">
                      <a:avLst/>
                    </a:prstGeom>
                  </pic:spPr>
                </pic:pic>
              </a:graphicData>
            </a:graphic>
          </wp:inline>
        </w:drawing>
      </w:r>
    </w:p>
    <w:p w14:paraId="1C64E388" w14:textId="77777777" w:rsidR="0075791A" w:rsidRDefault="00FB2864">
      <w:pPr>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noProof/>
          <w:color w:val="auto"/>
          <w:spacing w:val="-2"/>
          <w:sz w:val="24"/>
          <w:szCs w:val="24"/>
          <w:lang w:eastAsia="zh-CN"/>
        </w:rPr>
        <w:lastRenderedPageBreak/>
        <w:drawing>
          <wp:inline distT="0" distB="0" distL="114300" distR="114300" wp14:anchorId="47CB4C5D" wp14:editId="5D3D62A0">
            <wp:extent cx="8630920" cy="6102985"/>
            <wp:effectExtent l="0" t="0" r="10160" b="8255"/>
            <wp:docPr id="205" name="图片 205" descr="6三亚铁炉港宗海界址图4_2026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6三亚铁炉港宗海界址图4_20260412"/>
                    <pic:cNvPicPr>
                      <a:picLocks noChangeAspect="1"/>
                    </pic:cNvPicPr>
                  </pic:nvPicPr>
                  <pic:blipFill>
                    <a:blip r:embed="rId297"/>
                    <a:stretch>
                      <a:fillRect/>
                    </a:stretch>
                  </pic:blipFill>
                  <pic:spPr>
                    <a:xfrm>
                      <a:off x="0" y="0"/>
                      <a:ext cx="8630920" cy="6102985"/>
                    </a:xfrm>
                    <a:prstGeom prst="rect">
                      <a:avLst/>
                    </a:prstGeom>
                  </pic:spPr>
                </pic:pic>
              </a:graphicData>
            </a:graphic>
          </wp:inline>
        </w:drawing>
      </w:r>
    </w:p>
    <w:p w14:paraId="65799DA3" w14:textId="77777777" w:rsidR="0075791A" w:rsidRDefault="00FB2864">
      <w:pPr>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noProof/>
          <w:color w:val="auto"/>
          <w:spacing w:val="-2"/>
          <w:sz w:val="24"/>
          <w:szCs w:val="24"/>
          <w:lang w:eastAsia="zh-CN"/>
        </w:rPr>
        <w:lastRenderedPageBreak/>
        <w:drawing>
          <wp:inline distT="0" distB="0" distL="114300" distR="114300" wp14:anchorId="16FD81F9" wp14:editId="166FEBE0">
            <wp:extent cx="8630920" cy="6102985"/>
            <wp:effectExtent l="0" t="0" r="10160" b="8255"/>
            <wp:docPr id="206" name="图片 206" descr="7三亚铁炉港红树林湿地保护修复项目（二期）（巡护码头新增8-9）_2026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7三亚铁炉港红树林湿地保护修复项目（二期）（巡护码头新增8-9）_20260412"/>
                    <pic:cNvPicPr>
                      <a:picLocks noChangeAspect="1"/>
                    </pic:cNvPicPr>
                  </pic:nvPicPr>
                  <pic:blipFill>
                    <a:blip r:embed="rId298"/>
                    <a:stretch>
                      <a:fillRect/>
                    </a:stretch>
                  </pic:blipFill>
                  <pic:spPr>
                    <a:xfrm>
                      <a:off x="0" y="0"/>
                      <a:ext cx="8630920" cy="6102985"/>
                    </a:xfrm>
                    <a:prstGeom prst="rect">
                      <a:avLst/>
                    </a:prstGeom>
                  </pic:spPr>
                </pic:pic>
              </a:graphicData>
            </a:graphic>
          </wp:inline>
        </w:drawing>
      </w:r>
    </w:p>
    <w:p w14:paraId="05A17021" w14:textId="77777777" w:rsidR="0075791A" w:rsidRDefault="00FB2864">
      <w:pPr>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noProof/>
          <w:color w:val="auto"/>
          <w:spacing w:val="-2"/>
          <w:sz w:val="24"/>
          <w:szCs w:val="24"/>
          <w:lang w:eastAsia="zh-CN"/>
        </w:rPr>
        <w:lastRenderedPageBreak/>
        <w:drawing>
          <wp:inline distT="0" distB="0" distL="114300" distR="114300" wp14:anchorId="5EB8AF9D" wp14:editId="6E35FF8F">
            <wp:extent cx="8630920" cy="6102985"/>
            <wp:effectExtent l="0" t="0" r="10160" b="8255"/>
            <wp:docPr id="245" name="图片 245" descr="8三亚铁炉港红树林湿地保护修复项目（二期）（巡护便道新增6-7、巡护栈道新增4-7）2026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8三亚铁炉港红树林湿地保护修复项目（二期）（巡护便道新增6-7、巡护栈道新增4-7）20260412"/>
                    <pic:cNvPicPr>
                      <a:picLocks noChangeAspect="1"/>
                    </pic:cNvPicPr>
                  </pic:nvPicPr>
                  <pic:blipFill>
                    <a:blip r:embed="rId299"/>
                    <a:stretch>
                      <a:fillRect/>
                    </a:stretch>
                  </pic:blipFill>
                  <pic:spPr>
                    <a:xfrm>
                      <a:off x="0" y="0"/>
                      <a:ext cx="8630920" cy="6102985"/>
                    </a:xfrm>
                    <a:prstGeom prst="rect">
                      <a:avLst/>
                    </a:prstGeom>
                  </pic:spPr>
                </pic:pic>
              </a:graphicData>
            </a:graphic>
          </wp:inline>
        </w:drawing>
      </w:r>
    </w:p>
    <w:p w14:paraId="1D574369" w14:textId="77777777" w:rsidR="0075791A" w:rsidRDefault="00FB2864">
      <w:pPr>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noProof/>
          <w:color w:val="auto"/>
          <w:spacing w:val="-2"/>
          <w:sz w:val="24"/>
          <w:szCs w:val="24"/>
          <w:lang w:eastAsia="zh-CN"/>
        </w:rPr>
        <w:lastRenderedPageBreak/>
        <w:drawing>
          <wp:inline distT="0" distB="0" distL="114300" distR="114300" wp14:anchorId="289A15E0" wp14:editId="3A45EED8">
            <wp:extent cx="8630920" cy="6102985"/>
            <wp:effectExtent l="0" t="0" r="10160" b="8255"/>
            <wp:docPr id="246" name="图片 246" descr="9三亚铁炉港宗海界址图二期管理点7_2026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9三亚铁炉港宗海界址图二期管理点7_20260412"/>
                    <pic:cNvPicPr>
                      <a:picLocks noChangeAspect="1"/>
                    </pic:cNvPicPr>
                  </pic:nvPicPr>
                  <pic:blipFill>
                    <a:blip r:embed="rId300"/>
                    <a:stretch>
                      <a:fillRect/>
                    </a:stretch>
                  </pic:blipFill>
                  <pic:spPr>
                    <a:xfrm>
                      <a:off x="0" y="0"/>
                      <a:ext cx="8630920" cy="6102985"/>
                    </a:xfrm>
                    <a:prstGeom prst="rect">
                      <a:avLst/>
                    </a:prstGeom>
                  </pic:spPr>
                </pic:pic>
              </a:graphicData>
            </a:graphic>
          </wp:inline>
        </w:drawing>
      </w:r>
    </w:p>
    <w:p w14:paraId="37C1C712" w14:textId="77777777" w:rsidR="0075791A" w:rsidRDefault="00FB2864">
      <w:pPr>
        <w:jc w:val="center"/>
        <w:rPr>
          <w:rFonts w:ascii="Times New Roman" w:eastAsia="宋体" w:hAnsi="Times New Roman" w:cs="宋体"/>
          <w:color w:val="auto"/>
          <w:spacing w:val="-2"/>
          <w:sz w:val="24"/>
          <w:szCs w:val="24"/>
          <w:lang w:eastAsia="zh-CN"/>
        </w:rPr>
      </w:pPr>
      <w:r>
        <w:rPr>
          <w:rFonts w:ascii="Times New Roman" w:eastAsia="宋体" w:hAnsi="Times New Roman" w:cs="宋体" w:hint="eastAsia"/>
          <w:noProof/>
          <w:color w:val="auto"/>
          <w:spacing w:val="-2"/>
          <w:sz w:val="24"/>
          <w:szCs w:val="24"/>
          <w:lang w:eastAsia="zh-CN"/>
        </w:rPr>
        <w:lastRenderedPageBreak/>
        <w:drawing>
          <wp:inline distT="0" distB="0" distL="114300" distR="114300" wp14:anchorId="27E89E5A" wp14:editId="220F99EB">
            <wp:extent cx="8512810" cy="5868035"/>
            <wp:effectExtent l="0" t="0" r="6350" b="14605"/>
            <wp:docPr id="201" name="图片 201" descr="10三亚铁炉港清淤区1宗海界址图8_2026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10三亚铁炉港清淤区1宗海界址图8_20260412"/>
                    <pic:cNvPicPr>
                      <a:picLocks noChangeAspect="1"/>
                    </pic:cNvPicPr>
                  </pic:nvPicPr>
                  <pic:blipFill>
                    <a:blip r:embed="rId301"/>
                    <a:srcRect t="1373" b="1145"/>
                    <a:stretch>
                      <a:fillRect/>
                    </a:stretch>
                  </pic:blipFill>
                  <pic:spPr>
                    <a:xfrm>
                      <a:off x="0" y="0"/>
                      <a:ext cx="8512810" cy="5868035"/>
                    </a:xfrm>
                    <a:prstGeom prst="rect">
                      <a:avLst/>
                    </a:prstGeom>
                  </pic:spPr>
                </pic:pic>
              </a:graphicData>
            </a:graphic>
          </wp:inline>
        </w:drawing>
      </w:r>
    </w:p>
    <w:p w14:paraId="1FFED2A9" w14:textId="77777777" w:rsidR="0075791A" w:rsidRDefault="00FB2864">
      <w:pPr>
        <w:jc w:val="center"/>
        <w:rPr>
          <w:rFonts w:ascii="Times New Roman" w:eastAsia="宋体" w:hAnsi="Times New Roman" w:cs="宋体"/>
          <w:color w:val="auto"/>
          <w:sz w:val="24"/>
          <w:szCs w:val="24"/>
          <w:lang w:eastAsia="zh-CN"/>
        </w:rPr>
      </w:pPr>
      <w:r>
        <w:rPr>
          <w:rFonts w:ascii="Times New Roman" w:eastAsia="宋体" w:hAnsi="Times New Roman" w:cs="宋体"/>
          <w:color w:val="auto"/>
          <w:spacing w:val="-2"/>
          <w:sz w:val="24"/>
          <w:szCs w:val="24"/>
          <w:lang w:eastAsia="zh-CN"/>
        </w:rPr>
        <w:t>图</w:t>
      </w:r>
      <w:r>
        <w:rPr>
          <w:rFonts w:ascii="Times New Roman" w:eastAsia="宋体" w:hAnsi="Times New Roman" w:cs="Times New Roman" w:hint="eastAsia"/>
          <w:color w:val="auto"/>
          <w:spacing w:val="-2"/>
          <w:sz w:val="24"/>
          <w:szCs w:val="24"/>
          <w:lang w:eastAsia="zh-CN"/>
        </w:rPr>
        <w:t>7</w:t>
      </w:r>
      <w:r>
        <w:rPr>
          <w:rFonts w:ascii="Times New Roman" w:eastAsia="Times New Roman" w:hAnsi="Times New Roman" w:cs="Times New Roman"/>
          <w:color w:val="auto"/>
          <w:spacing w:val="-2"/>
          <w:sz w:val="24"/>
          <w:szCs w:val="24"/>
          <w:lang w:eastAsia="zh-CN"/>
        </w:rPr>
        <w:t>.5</w:t>
      </w:r>
      <w:r>
        <w:rPr>
          <w:rFonts w:ascii="Times New Roman" w:eastAsia="宋体" w:hAnsi="Times New Roman" w:cs="Times New Roman" w:hint="eastAsia"/>
          <w:color w:val="auto"/>
          <w:spacing w:val="-2"/>
          <w:sz w:val="24"/>
          <w:szCs w:val="24"/>
          <w:lang w:eastAsia="zh-CN"/>
        </w:rPr>
        <w:t>.1</w:t>
      </w:r>
      <w:r>
        <w:rPr>
          <w:rFonts w:ascii="Times New Roman" w:eastAsia="Times New Roman" w:hAnsi="Times New Roman" w:cs="Times New Roman"/>
          <w:color w:val="auto"/>
          <w:spacing w:val="-2"/>
          <w:sz w:val="24"/>
          <w:szCs w:val="24"/>
          <w:lang w:eastAsia="zh-CN"/>
        </w:rPr>
        <w:t>-</w:t>
      </w:r>
      <w:r>
        <w:rPr>
          <w:rFonts w:ascii="Times New Roman" w:eastAsia="宋体" w:hAnsi="Times New Roman" w:cs="Times New Roman" w:hint="eastAsia"/>
          <w:color w:val="auto"/>
          <w:spacing w:val="-2"/>
          <w:sz w:val="24"/>
          <w:szCs w:val="24"/>
          <w:lang w:eastAsia="zh-CN"/>
        </w:rPr>
        <w:t>4</w:t>
      </w:r>
      <w:r>
        <w:rPr>
          <w:rFonts w:ascii="Times New Roman" w:eastAsia="宋体" w:hAnsi="Times New Roman" w:cs="宋体" w:hint="eastAsia"/>
          <w:color w:val="auto"/>
          <w:spacing w:val="-3"/>
          <w:sz w:val="24"/>
          <w:szCs w:val="24"/>
          <w:lang w:eastAsia="zh-CN"/>
        </w:rPr>
        <w:t>三亚铁炉港红树林湿地保护</w:t>
      </w:r>
      <w:r>
        <w:rPr>
          <w:rFonts w:ascii="Times New Roman" w:eastAsia="宋体" w:hAnsi="Times New Roman" w:cs="宋体"/>
          <w:color w:val="auto"/>
          <w:spacing w:val="-3"/>
          <w:sz w:val="24"/>
          <w:szCs w:val="24"/>
          <w:lang w:eastAsia="zh-CN"/>
        </w:rPr>
        <w:t>修复项目</w:t>
      </w:r>
      <w:r>
        <w:rPr>
          <w:rFonts w:ascii="Times New Roman" w:eastAsia="宋体" w:hAnsi="Times New Roman" w:cs="宋体" w:hint="eastAsia"/>
          <w:color w:val="auto"/>
          <w:spacing w:val="-3"/>
          <w:sz w:val="24"/>
          <w:szCs w:val="24"/>
          <w:lang w:eastAsia="zh-CN"/>
        </w:rPr>
        <w:t>（二期）疏浚活动</w:t>
      </w:r>
      <w:r>
        <w:rPr>
          <w:rFonts w:ascii="Times New Roman" w:eastAsia="宋体" w:hAnsi="Times New Roman" w:cs="宋体"/>
          <w:color w:val="auto"/>
          <w:spacing w:val="-3"/>
          <w:sz w:val="24"/>
          <w:szCs w:val="24"/>
          <w:lang w:eastAsia="zh-CN"/>
        </w:rPr>
        <w:t>宗海</w:t>
      </w:r>
      <w:r>
        <w:rPr>
          <w:rFonts w:ascii="Times New Roman" w:eastAsia="宋体" w:hAnsi="Times New Roman" w:cs="宋体" w:hint="eastAsia"/>
          <w:color w:val="auto"/>
          <w:spacing w:val="-3"/>
          <w:sz w:val="24"/>
          <w:szCs w:val="24"/>
          <w:lang w:eastAsia="zh-CN"/>
        </w:rPr>
        <w:t>界址</w:t>
      </w:r>
      <w:r>
        <w:rPr>
          <w:rFonts w:ascii="Times New Roman" w:eastAsia="宋体" w:hAnsi="Times New Roman" w:cs="宋体"/>
          <w:color w:val="auto"/>
          <w:spacing w:val="-3"/>
          <w:sz w:val="24"/>
          <w:szCs w:val="24"/>
          <w:lang w:eastAsia="zh-CN"/>
        </w:rPr>
        <w:t>图</w:t>
      </w:r>
    </w:p>
    <w:p w14:paraId="0DE45E10" w14:textId="77777777" w:rsidR="0075791A" w:rsidRDefault="0075791A">
      <w:pPr>
        <w:jc w:val="center"/>
        <w:rPr>
          <w:rFonts w:ascii="Times New Roman" w:eastAsia="宋体" w:hAnsi="Times New Roman" w:cs="宋体"/>
          <w:color w:val="auto"/>
          <w:sz w:val="24"/>
          <w:szCs w:val="24"/>
          <w:lang w:eastAsia="zh-CN"/>
        </w:rPr>
        <w:sectPr w:rsidR="0075791A">
          <w:footerReference w:type="default" r:id="rId302"/>
          <w:pgSz w:w="16839" w:h="11906"/>
          <w:pgMar w:top="1018" w:right="1416" w:bottom="1134" w:left="1417" w:header="746" w:footer="972" w:gutter="0"/>
          <w:cols w:space="720"/>
        </w:sectPr>
      </w:pPr>
    </w:p>
    <w:p w14:paraId="0CF935ED" w14:textId="77777777" w:rsidR="0075791A" w:rsidRDefault="0075791A">
      <w:pPr>
        <w:spacing w:line="43" w:lineRule="exact"/>
        <w:rPr>
          <w:rFonts w:ascii="Times New Roman" w:hAnsi="Times New Roman"/>
          <w:color w:val="auto"/>
          <w:lang w:eastAsia="zh-CN"/>
        </w:rPr>
      </w:pPr>
    </w:p>
    <w:p w14:paraId="4F967BB8"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358" w:name="bookmark70"/>
      <w:bookmarkStart w:id="359" w:name="_Toc30533"/>
      <w:bookmarkStart w:id="360" w:name="_Toc24529"/>
      <w:bookmarkStart w:id="361" w:name="_Toc2496"/>
      <w:bookmarkEnd w:id="358"/>
      <w:r>
        <w:rPr>
          <w:rFonts w:ascii="Times New Roman" w:eastAsia="宋体" w:hAnsi="Times New Roman" w:cs="Times New Roman" w:hint="eastAsia"/>
          <w:b/>
          <w:bCs/>
          <w:color w:val="auto"/>
          <w:spacing w:val="-6"/>
          <w:sz w:val="30"/>
          <w:szCs w:val="30"/>
          <w:lang w:eastAsia="zh-CN"/>
        </w:rPr>
        <w:t>7</w:t>
      </w:r>
      <w:r>
        <w:rPr>
          <w:rFonts w:ascii="Times New Roman" w:eastAsia="Times New Roman" w:hAnsi="Times New Roman" w:cs="Times New Roman"/>
          <w:b/>
          <w:bCs/>
          <w:color w:val="auto"/>
          <w:spacing w:val="-6"/>
          <w:sz w:val="30"/>
          <w:szCs w:val="30"/>
          <w:lang w:eastAsia="zh-CN"/>
        </w:rPr>
        <w:t>.6用海期限合理性分析</w:t>
      </w:r>
      <w:bookmarkEnd w:id="359"/>
      <w:bookmarkEnd w:id="360"/>
      <w:bookmarkEnd w:id="361"/>
    </w:p>
    <w:p w14:paraId="5B152BA4" w14:textId="77777777" w:rsidR="0075791A" w:rsidRDefault="00FB2864">
      <w:pPr>
        <w:spacing w:line="360" w:lineRule="auto"/>
        <w:ind w:firstLineChars="200" w:firstLine="476"/>
        <w:jc w:val="both"/>
        <w:rPr>
          <w:rFonts w:ascii="Times New Roman" w:eastAsia="宋体" w:hAnsi="Times New Roman" w:cs="宋体"/>
          <w:color w:val="auto"/>
          <w:sz w:val="24"/>
          <w:szCs w:val="24"/>
          <w:lang w:eastAsia="zh-CN"/>
        </w:rPr>
      </w:pPr>
      <w:r>
        <w:rPr>
          <w:rFonts w:ascii="Times New Roman" w:eastAsia="宋体" w:hAnsi="Times New Roman" w:cs="宋体"/>
          <w:color w:val="auto"/>
          <w:spacing w:val="-2"/>
          <w:sz w:val="24"/>
          <w:szCs w:val="24"/>
          <w:lang w:eastAsia="zh-CN"/>
        </w:rPr>
        <w:t>根据《中华人民共和国海域使用管理法》的规定：</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海域使用权最高期限，按照下</w:t>
      </w:r>
      <w:r>
        <w:rPr>
          <w:rFonts w:ascii="Times New Roman" w:eastAsia="宋体" w:hAnsi="Times New Roman" w:cs="宋体"/>
          <w:color w:val="auto"/>
          <w:spacing w:val="5"/>
          <w:sz w:val="24"/>
          <w:szCs w:val="24"/>
          <w:lang w:eastAsia="zh-CN"/>
        </w:rPr>
        <w:t>列用途确定</w:t>
      </w:r>
      <w:r>
        <w:rPr>
          <w:rFonts w:ascii="Times New Roman" w:eastAsia="宋体" w:hAnsi="Times New Roman" w:cs="宋体"/>
          <w:color w:val="auto"/>
          <w:spacing w:val="-16"/>
          <w:sz w:val="24"/>
          <w:szCs w:val="24"/>
          <w:lang w:eastAsia="zh-CN"/>
        </w:rPr>
        <w:t>：（</w:t>
      </w:r>
      <w:r>
        <w:rPr>
          <w:rFonts w:ascii="Times New Roman" w:eastAsia="Times New Roman" w:hAnsi="Times New Roman" w:cs="Times New Roman"/>
          <w:color w:val="auto"/>
          <w:spacing w:val="5"/>
          <w:sz w:val="24"/>
          <w:szCs w:val="24"/>
          <w:lang w:eastAsia="zh-CN"/>
        </w:rPr>
        <w:t>1</w:t>
      </w:r>
      <w:r>
        <w:rPr>
          <w:rFonts w:ascii="Times New Roman" w:eastAsia="宋体" w:hAnsi="Times New Roman" w:cs="宋体"/>
          <w:color w:val="auto"/>
          <w:spacing w:val="5"/>
          <w:sz w:val="24"/>
          <w:szCs w:val="24"/>
          <w:lang w:eastAsia="zh-CN"/>
        </w:rPr>
        <w:t>）养殖用海十五年</w:t>
      </w:r>
      <w:r>
        <w:rPr>
          <w:rFonts w:ascii="Times New Roman" w:eastAsia="宋体" w:hAnsi="Times New Roman" w:cs="宋体"/>
          <w:color w:val="auto"/>
          <w:spacing w:val="-16"/>
          <w:sz w:val="24"/>
          <w:szCs w:val="24"/>
          <w:lang w:eastAsia="zh-CN"/>
        </w:rPr>
        <w:t>；（</w:t>
      </w:r>
      <w:r>
        <w:rPr>
          <w:rFonts w:ascii="Times New Roman" w:eastAsia="Times New Roman" w:hAnsi="Times New Roman" w:cs="Times New Roman"/>
          <w:color w:val="auto"/>
          <w:spacing w:val="5"/>
          <w:sz w:val="24"/>
          <w:szCs w:val="24"/>
          <w:lang w:eastAsia="zh-CN"/>
        </w:rPr>
        <w:t>2</w:t>
      </w:r>
      <w:r>
        <w:rPr>
          <w:rFonts w:ascii="Times New Roman" w:eastAsia="宋体" w:hAnsi="Times New Roman" w:cs="宋体"/>
          <w:color w:val="auto"/>
          <w:spacing w:val="5"/>
          <w:sz w:val="24"/>
          <w:szCs w:val="24"/>
          <w:lang w:eastAsia="zh-CN"/>
        </w:rPr>
        <w:t>）拆船用海二十年</w:t>
      </w:r>
      <w:r>
        <w:rPr>
          <w:rFonts w:ascii="Times New Roman" w:eastAsia="宋体" w:hAnsi="Times New Roman" w:cs="宋体"/>
          <w:color w:val="auto"/>
          <w:spacing w:val="-16"/>
          <w:sz w:val="24"/>
          <w:szCs w:val="24"/>
          <w:lang w:eastAsia="zh-CN"/>
        </w:rPr>
        <w:t>；（</w:t>
      </w:r>
      <w:r>
        <w:rPr>
          <w:rFonts w:ascii="Times New Roman" w:eastAsia="Times New Roman" w:hAnsi="Times New Roman" w:cs="Times New Roman"/>
          <w:color w:val="auto"/>
          <w:spacing w:val="5"/>
          <w:sz w:val="24"/>
          <w:szCs w:val="24"/>
          <w:lang w:eastAsia="zh-CN"/>
        </w:rPr>
        <w:t>3</w:t>
      </w:r>
      <w:r>
        <w:rPr>
          <w:rFonts w:ascii="Times New Roman" w:eastAsia="宋体" w:hAnsi="Times New Roman" w:cs="宋体"/>
          <w:color w:val="auto"/>
          <w:spacing w:val="4"/>
          <w:sz w:val="24"/>
          <w:szCs w:val="24"/>
          <w:lang w:eastAsia="zh-CN"/>
        </w:rPr>
        <w:t>）旅游、娱乐用海二</w:t>
      </w:r>
      <w:r>
        <w:rPr>
          <w:rFonts w:ascii="Times New Roman" w:eastAsia="宋体" w:hAnsi="Times New Roman" w:cs="宋体"/>
          <w:color w:val="auto"/>
          <w:spacing w:val="5"/>
          <w:sz w:val="24"/>
          <w:szCs w:val="24"/>
          <w:lang w:eastAsia="zh-CN"/>
        </w:rPr>
        <w:t>十五年</w:t>
      </w:r>
      <w:r>
        <w:rPr>
          <w:rFonts w:ascii="Times New Roman" w:eastAsia="宋体" w:hAnsi="Times New Roman" w:cs="宋体"/>
          <w:color w:val="auto"/>
          <w:spacing w:val="-16"/>
          <w:sz w:val="24"/>
          <w:szCs w:val="24"/>
          <w:lang w:eastAsia="zh-CN"/>
        </w:rPr>
        <w:t>；（</w:t>
      </w:r>
      <w:r>
        <w:rPr>
          <w:rFonts w:ascii="Times New Roman" w:eastAsia="Times New Roman" w:hAnsi="Times New Roman" w:cs="Times New Roman"/>
          <w:color w:val="auto"/>
          <w:spacing w:val="5"/>
          <w:sz w:val="24"/>
          <w:szCs w:val="24"/>
          <w:lang w:eastAsia="zh-CN"/>
        </w:rPr>
        <w:t>4</w:t>
      </w:r>
      <w:r>
        <w:rPr>
          <w:rFonts w:ascii="Times New Roman" w:eastAsia="宋体" w:hAnsi="Times New Roman" w:cs="宋体"/>
          <w:color w:val="auto"/>
          <w:spacing w:val="5"/>
          <w:sz w:val="24"/>
          <w:szCs w:val="24"/>
          <w:lang w:eastAsia="zh-CN"/>
        </w:rPr>
        <w:t>）盐业、矿业用海三十年</w:t>
      </w:r>
      <w:r>
        <w:rPr>
          <w:rFonts w:ascii="Times New Roman" w:eastAsia="宋体" w:hAnsi="Times New Roman" w:cs="宋体"/>
          <w:color w:val="auto"/>
          <w:spacing w:val="-16"/>
          <w:sz w:val="24"/>
          <w:szCs w:val="24"/>
          <w:lang w:eastAsia="zh-CN"/>
        </w:rPr>
        <w:t>；（</w:t>
      </w:r>
      <w:r>
        <w:rPr>
          <w:rFonts w:ascii="Times New Roman" w:eastAsia="Times New Roman" w:hAnsi="Times New Roman" w:cs="Times New Roman"/>
          <w:color w:val="auto"/>
          <w:spacing w:val="5"/>
          <w:sz w:val="24"/>
          <w:szCs w:val="24"/>
          <w:lang w:eastAsia="zh-CN"/>
        </w:rPr>
        <w:t>5</w:t>
      </w:r>
      <w:r>
        <w:rPr>
          <w:rFonts w:ascii="Times New Roman" w:eastAsia="宋体" w:hAnsi="Times New Roman" w:cs="宋体"/>
          <w:color w:val="auto"/>
          <w:spacing w:val="5"/>
          <w:sz w:val="24"/>
          <w:szCs w:val="24"/>
          <w:lang w:eastAsia="zh-CN"/>
        </w:rPr>
        <w:t>）公益事业</w:t>
      </w:r>
      <w:r>
        <w:rPr>
          <w:rFonts w:ascii="Times New Roman" w:eastAsia="宋体" w:hAnsi="Times New Roman" w:cs="宋体"/>
          <w:color w:val="auto"/>
          <w:spacing w:val="4"/>
          <w:sz w:val="24"/>
          <w:szCs w:val="24"/>
          <w:lang w:eastAsia="zh-CN"/>
        </w:rPr>
        <w:t>用海四十年</w:t>
      </w:r>
      <w:r>
        <w:rPr>
          <w:rFonts w:ascii="Times New Roman" w:eastAsia="宋体" w:hAnsi="Times New Roman" w:cs="宋体"/>
          <w:color w:val="auto"/>
          <w:spacing w:val="-16"/>
          <w:sz w:val="24"/>
          <w:szCs w:val="24"/>
          <w:lang w:eastAsia="zh-CN"/>
        </w:rPr>
        <w:t>；（</w:t>
      </w:r>
      <w:r>
        <w:rPr>
          <w:rFonts w:ascii="Times New Roman" w:eastAsia="Times New Roman" w:hAnsi="Times New Roman" w:cs="Times New Roman"/>
          <w:color w:val="auto"/>
          <w:spacing w:val="4"/>
          <w:sz w:val="24"/>
          <w:szCs w:val="24"/>
          <w:lang w:eastAsia="zh-CN"/>
        </w:rPr>
        <w:t>6</w:t>
      </w:r>
      <w:r>
        <w:rPr>
          <w:rFonts w:ascii="Times New Roman" w:eastAsia="宋体" w:hAnsi="Times New Roman" w:cs="宋体"/>
          <w:color w:val="auto"/>
          <w:spacing w:val="4"/>
          <w:sz w:val="24"/>
          <w:szCs w:val="24"/>
          <w:lang w:eastAsia="zh-CN"/>
        </w:rPr>
        <w:t>）港口、修造</w:t>
      </w:r>
      <w:r>
        <w:rPr>
          <w:rFonts w:ascii="Times New Roman" w:eastAsia="宋体" w:hAnsi="Times New Roman" w:cs="宋体"/>
          <w:color w:val="auto"/>
          <w:spacing w:val="-1"/>
          <w:sz w:val="24"/>
          <w:szCs w:val="24"/>
          <w:lang w:eastAsia="zh-CN"/>
        </w:rPr>
        <w:t>船厂等建设工程用海五十年。</w:t>
      </w:r>
    </w:p>
    <w:p w14:paraId="56381EB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本项目为铁炉港红树林湿地保护修复项目的建设内容之一，是公益性项目，依据《中华人民共和国海域使用管理法》中海域使用权最高期限的规定，公益事业用海期限为</w:t>
      </w:r>
      <w:r>
        <w:rPr>
          <w:rFonts w:ascii="Times New Roman" w:eastAsia="宋体" w:hAnsi="Times New Roman" w:cs="宋体" w:hint="eastAsia"/>
          <w:color w:val="auto"/>
          <w:sz w:val="24"/>
          <w:szCs w:val="24"/>
          <w:lang w:eastAsia="zh-CN"/>
        </w:rPr>
        <w:t>40</w:t>
      </w:r>
      <w:r>
        <w:rPr>
          <w:rFonts w:ascii="Times New Roman" w:eastAsia="宋体" w:hAnsi="Times New Roman" w:cs="宋体" w:hint="eastAsia"/>
          <w:color w:val="auto"/>
          <w:sz w:val="24"/>
          <w:szCs w:val="24"/>
          <w:lang w:eastAsia="zh-CN"/>
        </w:rPr>
        <w:t>年。建设内容中</w:t>
      </w:r>
      <w:r>
        <w:rPr>
          <w:rFonts w:ascii="Times New Roman" w:eastAsia="宋体" w:hAnsi="Times New Roman" w:cs="宋体"/>
          <w:color w:val="auto"/>
          <w:sz w:val="24"/>
          <w:szCs w:val="24"/>
          <w:lang w:eastAsia="zh-CN"/>
        </w:rPr>
        <w:t>保护管理站</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保护管理点</w:t>
      </w:r>
      <w:r>
        <w:rPr>
          <w:rFonts w:ascii="Times New Roman" w:eastAsia="宋体" w:hAnsi="Times New Roman" w:cs="宋体" w:hint="eastAsia"/>
          <w:color w:val="auto"/>
          <w:sz w:val="24"/>
          <w:szCs w:val="24"/>
          <w:lang w:eastAsia="zh-CN"/>
        </w:rPr>
        <w:t>设计使用年项为</w:t>
      </w:r>
      <w:r>
        <w:rPr>
          <w:rFonts w:ascii="Times New Roman" w:eastAsia="宋体" w:hAnsi="Times New Roman" w:cs="宋体" w:hint="eastAsia"/>
          <w:color w:val="auto"/>
          <w:sz w:val="24"/>
          <w:szCs w:val="24"/>
          <w:lang w:eastAsia="zh-CN"/>
        </w:rPr>
        <w:t>50</w:t>
      </w:r>
      <w:r>
        <w:rPr>
          <w:rFonts w:ascii="Times New Roman" w:eastAsia="宋体" w:hAnsi="Times New Roman" w:cs="宋体" w:hint="eastAsia"/>
          <w:color w:val="auto"/>
          <w:sz w:val="24"/>
          <w:szCs w:val="24"/>
          <w:lang w:eastAsia="zh-CN"/>
        </w:rPr>
        <w:t>年；巡护栈道、巡护便道设计年限为</w:t>
      </w:r>
      <w:r>
        <w:rPr>
          <w:rFonts w:ascii="Times New Roman" w:eastAsia="宋体" w:hAnsi="Times New Roman" w:cs="宋体" w:hint="eastAsia"/>
          <w:color w:val="auto"/>
          <w:sz w:val="24"/>
          <w:szCs w:val="24"/>
          <w:lang w:eastAsia="zh-CN"/>
        </w:rPr>
        <w:t>50</w:t>
      </w:r>
      <w:r>
        <w:rPr>
          <w:rFonts w:ascii="Times New Roman" w:eastAsia="宋体" w:hAnsi="Times New Roman" w:cs="宋体" w:hint="eastAsia"/>
          <w:color w:val="auto"/>
          <w:sz w:val="24"/>
          <w:szCs w:val="24"/>
          <w:lang w:eastAsia="zh-CN"/>
        </w:rPr>
        <w:t>年。从项目主要功能以及构筑物设计周期等角度出发，建议项目构筑物申请用海年限为</w:t>
      </w:r>
      <w:r>
        <w:rPr>
          <w:rFonts w:ascii="Times New Roman" w:eastAsia="宋体" w:hAnsi="Times New Roman" w:cs="宋体" w:hint="eastAsia"/>
          <w:color w:val="auto"/>
          <w:sz w:val="24"/>
          <w:szCs w:val="24"/>
          <w:lang w:eastAsia="zh-CN"/>
        </w:rPr>
        <w:t>40</w:t>
      </w:r>
      <w:r>
        <w:rPr>
          <w:rFonts w:ascii="Times New Roman" w:eastAsia="宋体" w:hAnsi="Times New Roman" w:cs="宋体" w:hint="eastAsia"/>
          <w:color w:val="auto"/>
          <w:sz w:val="24"/>
          <w:szCs w:val="24"/>
          <w:lang w:eastAsia="zh-CN"/>
        </w:rPr>
        <w:t>年。清淤区工期为</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个月，考虑施工前期准备、天气等因素，申请</w:t>
      </w: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个月的用海。海域使用权期限届满，本项目海域使用权人需要继续使用海域的，应当至迟于期限届满前二个月向原批准用海的人民政府申请续期。</w:t>
      </w:r>
    </w:p>
    <w:p w14:paraId="41FE96FD"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因此，本项目用海为公益性用海，项目构筑物拟申请用海年限为</w:t>
      </w:r>
      <w:r>
        <w:rPr>
          <w:rFonts w:ascii="Times New Roman" w:eastAsia="宋体" w:hAnsi="Times New Roman" w:cs="宋体" w:hint="eastAsia"/>
          <w:color w:val="auto"/>
          <w:sz w:val="24"/>
          <w:szCs w:val="24"/>
          <w:lang w:eastAsia="zh-CN"/>
        </w:rPr>
        <w:t>40</w:t>
      </w:r>
      <w:r>
        <w:rPr>
          <w:rFonts w:ascii="Times New Roman" w:eastAsia="宋体" w:hAnsi="Times New Roman" w:cs="宋体" w:hint="eastAsia"/>
          <w:color w:val="auto"/>
          <w:sz w:val="24"/>
          <w:szCs w:val="24"/>
          <w:lang w:eastAsia="zh-CN"/>
        </w:rPr>
        <w:t>年，清淤区申请用海期限为</w:t>
      </w: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个月。</w:t>
      </w:r>
    </w:p>
    <w:p w14:paraId="5EF33935" w14:textId="77777777" w:rsidR="0075791A" w:rsidRDefault="00FB2864">
      <w:pPr>
        <w:spacing w:line="360" w:lineRule="auto"/>
        <w:ind w:firstLineChars="200" w:firstLine="476"/>
        <w:jc w:val="both"/>
        <w:rPr>
          <w:rFonts w:ascii="Times New Roman" w:eastAsia="宋体" w:hAnsi="Times New Roman" w:cs="宋体"/>
          <w:color w:val="auto"/>
          <w:sz w:val="24"/>
          <w:szCs w:val="24"/>
          <w:lang w:eastAsia="zh-CN"/>
        </w:rPr>
      </w:pPr>
      <w:r>
        <w:rPr>
          <w:rFonts w:ascii="Times New Roman" w:eastAsia="宋体" w:hAnsi="Times New Roman" w:cs="宋体"/>
          <w:color w:val="auto"/>
          <w:spacing w:val="-2"/>
          <w:sz w:val="24"/>
          <w:szCs w:val="24"/>
          <w:lang w:eastAsia="zh-CN"/>
        </w:rPr>
        <w:t>从以上因素综合分析，项目申请用海期限为</w:t>
      </w:r>
      <w:r>
        <w:rPr>
          <w:rFonts w:ascii="Times New Roman" w:eastAsia="Times New Roman" w:hAnsi="Times New Roman" w:cs="Times New Roman"/>
          <w:color w:val="auto"/>
          <w:spacing w:val="-2"/>
          <w:sz w:val="24"/>
          <w:szCs w:val="24"/>
          <w:lang w:eastAsia="zh-CN"/>
        </w:rPr>
        <w:t>40</w:t>
      </w:r>
      <w:r>
        <w:rPr>
          <w:rFonts w:ascii="Times New Roman" w:eastAsia="宋体" w:hAnsi="Times New Roman" w:cs="宋体"/>
          <w:color w:val="auto"/>
          <w:spacing w:val="-2"/>
          <w:sz w:val="24"/>
          <w:szCs w:val="24"/>
          <w:lang w:eastAsia="zh-CN"/>
        </w:rPr>
        <w:t>年既满足法律管理规定又满足项目</w:t>
      </w:r>
      <w:r>
        <w:rPr>
          <w:rFonts w:ascii="Times New Roman" w:eastAsia="宋体" w:hAnsi="Times New Roman" w:cs="宋体" w:hint="eastAsia"/>
          <w:color w:val="auto"/>
          <w:spacing w:val="-2"/>
          <w:sz w:val="24"/>
          <w:szCs w:val="24"/>
          <w:lang w:eastAsia="zh-CN"/>
        </w:rPr>
        <w:t>施工需要</w:t>
      </w:r>
      <w:r>
        <w:rPr>
          <w:rFonts w:ascii="Times New Roman" w:eastAsia="宋体" w:hAnsi="Times New Roman" w:cs="宋体"/>
          <w:color w:val="auto"/>
          <w:spacing w:val="-2"/>
          <w:sz w:val="24"/>
          <w:szCs w:val="24"/>
          <w:lang w:eastAsia="zh-CN"/>
        </w:rPr>
        <w:t>，项目申请使用年限是合理的。但项目具体用海年限应以管理部门批准用海年限为准。</w:t>
      </w:r>
    </w:p>
    <w:p w14:paraId="33E6832B" w14:textId="77777777" w:rsidR="0075791A" w:rsidRDefault="0075791A">
      <w:pPr>
        <w:spacing w:line="360" w:lineRule="auto"/>
        <w:ind w:firstLineChars="200" w:firstLine="480"/>
        <w:jc w:val="both"/>
        <w:rPr>
          <w:rFonts w:ascii="Times New Roman" w:eastAsia="宋体" w:hAnsi="Times New Roman" w:cs="宋体"/>
          <w:color w:val="auto"/>
          <w:sz w:val="24"/>
          <w:szCs w:val="24"/>
          <w:lang w:eastAsia="zh-CN"/>
        </w:rPr>
        <w:sectPr w:rsidR="0075791A">
          <w:footerReference w:type="default" r:id="rId303"/>
          <w:pgSz w:w="11906" w:h="16839"/>
          <w:pgMar w:top="1018" w:right="1415" w:bottom="1134" w:left="1417" w:header="746" w:footer="972" w:gutter="0"/>
          <w:cols w:space="720"/>
        </w:sectPr>
      </w:pPr>
    </w:p>
    <w:p w14:paraId="2D42C517" w14:textId="77777777" w:rsidR="0075791A" w:rsidRDefault="0075791A">
      <w:pPr>
        <w:spacing w:line="43" w:lineRule="exact"/>
        <w:ind w:firstLine="3"/>
        <w:rPr>
          <w:rFonts w:ascii="Times New Roman" w:hAnsi="Times New Roman"/>
          <w:color w:val="auto"/>
          <w:lang w:eastAsia="zh-CN"/>
        </w:rPr>
      </w:pPr>
    </w:p>
    <w:p w14:paraId="758FCD3B" w14:textId="77777777" w:rsidR="0075791A" w:rsidRDefault="00FB2864">
      <w:pPr>
        <w:spacing w:line="360" w:lineRule="auto"/>
        <w:outlineLvl w:val="0"/>
        <w:rPr>
          <w:rFonts w:ascii="Times New Roman" w:eastAsia="宋体" w:hAnsi="Times New Roman" w:cs="Times New Roman"/>
          <w:b/>
          <w:bCs/>
          <w:color w:val="auto"/>
          <w:spacing w:val="-5"/>
          <w:sz w:val="32"/>
          <w:szCs w:val="32"/>
          <w:lang w:eastAsia="zh-CN"/>
        </w:rPr>
      </w:pPr>
      <w:bookmarkStart w:id="362" w:name="bookmark72"/>
      <w:bookmarkStart w:id="363" w:name="_Toc4745"/>
      <w:bookmarkStart w:id="364" w:name="_Toc17639"/>
      <w:bookmarkStart w:id="365" w:name="_Toc6226"/>
      <w:bookmarkEnd w:id="362"/>
      <w:r>
        <w:rPr>
          <w:rFonts w:ascii="Times New Roman" w:eastAsia="宋体" w:hAnsi="Times New Roman" w:cs="Times New Roman" w:hint="eastAsia"/>
          <w:b/>
          <w:bCs/>
          <w:color w:val="auto"/>
          <w:spacing w:val="-5"/>
          <w:sz w:val="32"/>
          <w:szCs w:val="32"/>
          <w:lang w:eastAsia="zh-CN"/>
        </w:rPr>
        <w:t>8</w:t>
      </w:r>
      <w:r>
        <w:rPr>
          <w:rFonts w:ascii="Times New Roman" w:eastAsia="宋体" w:hAnsi="Times New Roman" w:cs="Times New Roman" w:hint="eastAsia"/>
          <w:b/>
          <w:bCs/>
          <w:color w:val="auto"/>
          <w:spacing w:val="-5"/>
          <w:sz w:val="32"/>
          <w:szCs w:val="32"/>
          <w:lang w:eastAsia="zh-CN"/>
        </w:rPr>
        <w:t>生态用海对策措施</w:t>
      </w:r>
      <w:bookmarkEnd w:id="363"/>
      <w:bookmarkEnd w:id="364"/>
      <w:bookmarkEnd w:id="365"/>
    </w:p>
    <w:p w14:paraId="28C15462" w14:textId="77777777" w:rsidR="0075791A" w:rsidRDefault="00FB2864">
      <w:pPr>
        <w:spacing w:line="360" w:lineRule="auto"/>
        <w:outlineLvl w:val="1"/>
        <w:rPr>
          <w:rFonts w:ascii="Times New Roman" w:eastAsia="宋体" w:hAnsi="Times New Roman" w:cs="Times New Roman"/>
          <w:b/>
          <w:bCs/>
          <w:color w:val="auto"/>
          <w:spacing w:val="-6"/>
          <w:sz w:val="30"/>
          <w:szCs w:val="30"/>
          <w:lang w:eastAsia="zh-CN"/>
        </w:rPr>
      </w:pPr>
      <w:bookmarkStart w:id="366" w:name="bookmark74"/>
      <w:bookmarkStart w:id="367" w:name="_Toc7476"/>
      <w:bookmarkStart w:id="368" w:name="_Toc4689"/>
      <w:bookmarkStart w:id="369" w:name="_Toc29322"/>
      <w:bookmarkEnd w:id="366"/>
      <w:r>
        <w:rPr>
          <w:rFonts w:ascii="Times New Roman" w:eastAsia="宋体" w:hAnsi="Times New Roman" w:cs="Times New Roman" w:hint="eastAsia"/>
          <w:b/>
          <w:bCs/>
          <w:color w:val="auto"/>
          <w:spacing w:val="-6"/>
          <w:sz w:val="30"/>
          <w:szCs w:val="30"/>
          <w:lang w:eastAsia="zh-CN"/>
        </w:rPr>
        <w:t>8.1</w:t>
      </w:r>
      <w:r>
        <w:rPr>
          <w:rFonts w:ascii="Times New Roman" w:eastAsia="宋体" w:hAnsi="Times New Roman" w:cs="Times New Roman" w:hint="eastAsia"/>
          <w:b/>
          <w:bCs/>
          <w:color w:val="auto"/>
          <w:spacing w:val="-6"/>
          <w:sz w:val="30"/>
          <w:szCs w:val="30"/>
          <w:lang w:eastAsia="zh-CN"/>
        </w:rPr>
        <w:t>项目用海主要生态问题</w:t>
      </w:r>
      <w:bookmarkEnd w:id="367"/>
    </w:p>
    <w:p w14:paraId="1BCF087F" w14:textId="77777777" w:rsidR="0075791A" w:rsidRDefault="00FB2864">
      <w:pPr>
        <w:spacing w:line="360" w:lineRule="auto"/>
        <w:ind w:firstLineChars="200" w:firstLine="476"/>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pacing w:val="-2"/>
          <w:sz w:val="24"/>
          <w:szCs w:val="24"/>
          <w:lang w:eastAsia="zh-CN"/>
        </w:rPr>
        <w:t>三亚铁炉港红树林湿地保护</w:t>
      </w:r>
      <w:r>
        <w:rPr>
          <w:rFonts w:ascii="Times New Roman" w:eastAsia="宋体" w:hAnsi="Times New Roman" w:cs="宋体"/>
          <w:color w:val="auto"/>
          <w:spacing w:val="-2"/>
          <w:sz w:val="24"/>
          <w:szCs w:val="24"/>
          <w:lang w:eastAsia="zh-CN"/>
        </w:rPr>
        <w:t>修复项目</w:t>
      </w:r>
      <w:r>
        <w:rPr>
          <w:rFonts w:ascii="Times New Roman" w:eastAsia="宋体" w:hAnsi="Times New Roman" w:cs="宋体" w:hint="eastAsia"/>
          <w:color w:val="auto"/>
          <w:spacing w:val="-2"/>
          <w:sz w:val="24"/>
          <w:szCs w:val="24"/>
          <w:lang w:eastAsia="zh-CN"/>
        </w:rPr>
        <w:t>作为海南南部典型热带区域实施山水林田湖草沙一体化保护和修复工程子项目之一，为中央财政资金支持的国家重大生态保护修复工程项目，</w:t>
      </w:r>
      <w:r>
        <w:rPr>
          <w:rFonts w:ascii="Times New Roman" w:eastAsia="宋体" w:hAnsi="Times New Roman" w:cs="宋体"/>
          <w:color w:val="auto"/>
          <w:spacing w:val="-2"/>
          <w:sz w:val="24"/>
          <w:szCs w:val="24"/>
          <w:lang w:eastAsia="zh-CN"/>
        </w:rPr>
        <w:t>拟</w:t>
      </w:r>
      <w:r>
        <w:rPr>
          <w:rFonts w:ascii="Times New Roman" w:eastAsia="宋体" w:hAnsi="Times New Roman" w:cs="宋体" w:hint="eastAsia"/>
          <w:color w:val="auto"/>
          <w:spacing w:val="-2"/>
          <w:sz w:val="24"/>
          <w:szCs w:val="24"/>
          <w:lang w:eastAsia="zh-CN"/>
        </w:rPr>
        <w:t>在铁炉港潟湖</w:t>
      </w:r>
      <w:r>
        <w:rPr>
          <w:rFonts w:ascii="Times New Roman" w:eastAsia="宋体" w:hAnsi="Times New Roman" w:cs="宋体"/>
          <w:color w:val="auto"/>
          <w:spacing w:val="-2"/>
          <w:sz w:val="24"/>
          <w:szCs w:val="24"/>
          <w:lang w:eastAsia="zh-CN"/>
        </w:rPr>
        <w:t>开展</w:t>
      </w:r>
      <w:r>
        <w:rPr>
          <w:rFonts w:ascii="Times New Roman" w:eastAsia="宋体" w:hAnsi="Times New Roman" w:cs="宋体" w:hint="eastAsia"/>
          <w:color w:val="auto"/>
          <w:sz w:val="24"/>
          <w:szCs w:val="24"/>
          <w:lang w:eastAsia="zh-CN"/>
        </w:rPr>
        <w:t>包括生态安全屏障构建工程、红树林资源保护与蓝碳增汇工程、滨海生物多样性提升工程、智慧监测与生态评估工程四大体系的红树林生态修复工作。本项目为滨海生物多样性提升工程体系中的水系连通工程</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清淤、智慧监测与生态评估工程体系中巡护设施、管理设施因设计变更等使得新增用海。</w:t>
      </w:r>
    </w:p>
    <w:p w14:paraId="7085C241"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根据《国土空间调查、规划、用途管制用地用海分类指南》，本项目用海分类一级类为“特殊用海”（代码：</w:t>
      </w:r>
      <w:r>
        <w:rPr>
          <w:rFonts w:ascii="Times New Roman" w:eastAsia="宋体" w:hAnsi="Times New Roman" w:cs="宋体" w:hint="eastAsia"/>
          <w:color w:val="auto"/>
          <w:sz w:val="24"/>
          <w:szCs w:val="24"/>
          <w:lang w:eastAsia="zh-CN"/>
        </w:rPr>
        <w:t>22</w:t>
      </w:r>
      <w:r>
        <w:rPr>
          <w:rFonts w:ascii="Times New Roman" w:eastAsia="宋体" w:hAnsi="Times New Roman" w:cs="宋体" w:hint="eastAsia"/>
          <w:color w:val="auto"/>
          <w:sz w:val="24"/>
          <w:szCs w:val="24"/>
          <w:lang w:eastAsia="zh-CN"/>
        </w:rPr>
        <w:t>），二</w:t>
      </w:r>
      <w:r>
        <w:rPr>
          <w:rFonts w:ascii="Times New Roman" w:eastAsia="宋体" w:hAnsi="Times New Roman" w:cs="宋体" w:hint="eastAsia"/>
          <w:color w:val="auto"/>
          <w:sz w:val="24"/>
          <w:szCs w:val="24"/>
          <w:lang w:eastAsia="zh-CN"/>
        </w:rPr>
        <w:t>级类为“</w:t>
      </w:r>
      <w:r>
        <w:rPr>
          <w:rFonts w:ascii="Times New Roman" w:eastAsia="宋体" w:hAnsi="Times New Roman" w:cs="宋体"/>
          <w:color w:val="auto"/>
          <w:sz w:val="24"/>
          <w:szCs w:val="24"/>
          <w:lang w:eastAsia="zh-CN"/>
        </w:rPr>
        <w:t>海洋保护修复及海岸防护工程用海</w:t>
      </w:r>
      <w:r>
        <w:rPr>
          <w:rFonts w:ascii="Times New Roman" w:eastAsia="宋体" w:hAnsi="Times New Roman" w:cs="宋体" w:hint="eastAsia"/>
          <w:color w:val="auto"/>
          <w:sz w:val="24"/>
          <w:szCs w:val="24"/>
          <w:lang w:eastAsia="zh-CN"/>
        </w:rPr>
        <w:t>”（代码：</w:t>
      </w:r>
      <w:r>
        <w:rPr>
          <w:rFonts w:ascii="Times New Roman" w:eastAsia="宋体" w:hAnsi="Times New Roman" w:cs="宋体" w:hint="eastAsia"/>
          <w:color w:val="auto"/>
          <w:sz w:val="24"/>
          <w:szCs w:val="24"/>
          <w:lang w:eastAsia="zh-CN"/>
        </w:rPr>
        <w:t>2203</w:t>
      </w:r>
      <w:r>
        <w:rPr>
          <w:rFonts w:ascii="Times New Roman" w:eastAsia="宋体" w:hAnsi="Times New Roman" w:cs="宋体" w:hint="eastAsia"/>
          <w:color w:val="auto"/>
          <w:sz w:val="24"/>
          <w:szCs w:val="24"/>
          <w:lang w:eastAsia="zh-CN"/>
        </w:rPr>
        <w:t>）；根据</w:t>
      </w:r>
      <w:r>
        <w:rPr>
          <w:rFonts w:ascii="Times New Roman" w:eastAsia="宋体" w:hAnsi="Times New Roman" w:cs="宋体" w:hint="eastAsia"/>
          <w:color w:val="auto"/>
          <w:spacing w:val="-8"/>
          <w:sz w:val="24"/>
          <w:szCs w:val="24"/>
          <w:lang w:eastAsia="zh-CN"/>
        </w:rPr>
        <w:t>《海域使用分</w:t>
      </w:r>
      <w:r>
        <w:rPr>
          <w:rFonts w:ascii="Times New Roman" w:eastAsia="宋体" w:hAnsi="Times New Roman" w:cs="宋体" w:hint="eastAsia"/>
          <w:color w:val="auto"/>
          <w:spacing w:val="-7"/>
          <w:sz w:val="24"/>
          <w:szCs w:val="24"/>
          <w:lang w:eastAsia="zh-CN"/>
        </w:rPr>
        <w:t>类体系》（</w:t>
      </w:r>
      <w:r>
        <w:rPr>
          <w:rFonts w:ascii="Times New Roman" w:eastAsia="宋体" w:hAnsi="Times New Roman" w:cs="宋体" w:hint="eastAsia"/>
          <w:color w:val="auto"/>
          <w:spacing w:val="-7"/>
          <w:sz w:val="24"/>
          <w:szCs w:val="24"/>
          <w:lang w:eastAsia="zh-CN"/>
        </w:rPr>
        <w:t>HY/T123-2009</w:t>
      </w:r>
      <w:r>
        <w:rPr>
          <w:rFonts w:ascii="Times New Roman" w:eastAsia="宋体" w:hAnsi="Times New Roman" w:cs="宋体" w:hint="eastAsia"/>
          <w:color w:val="auto"/>
          <w:spacing w:val="-7"/>
          <w:sz w:val="24"/>
          <w:szCs w:val="24"/>
          <w:lang w:eastAsia="zh-CN"/>
        </w:rPr>
        <w:t>）</w:t>
      </w:r>
      <w:r>
        <w:rPr>
          <w:rFonts w:ascii="Times New Roman" w:eastAsia="宋体" w:hAnsi="Times New Roman" w:cs="宋体" w:hint="eastAsia"/>
          <w:color w:val="auto"/>
          <w:spacing w:val="-7"/>
          <w:sz w:val="24"/>
          <w:szCs w:val="24"/>
          <w:lang w:eastAsia="zh-CN"/>
        </w:rPr>
        <w:t>，</w:t>
      </w:r>
      <w:r>
        <w:rPr>
          <w:rFonts w:ascii="Times New Roman" w:eastAsia="宋体" w:hAnsi="Times New Roman" w:cs="宋体" w:hint="eastAsia"/>
          <w:color w:val="auto"/>
          <w:spacing w:val="-7"/>
          <w:sz w:val="24"/>
          <w:szCs w:val="24"/>
          <w:lang w:eastAsia="zh-CN"/>
        </w:rPr>
        <w:t>本项目用海类型一级类</w:t>
      </w:r>
      <w:r>
        <w:rPr>
          <w:rFonts w:ascii="Times New Roman" w:eastAsia="宋体" w:hAnsi="Times New Roman" w:cs="宋体" w:hint="eastAsia"/>
          <w:color w:val="auto"/>
          <w:spacing w:val="-7"/>
          <w:sz w:val="24"/>
          <w:szCs w:val="24"/>
          <w:lang w:eastAsia="zh-CN"/>
        </w:rPr>
        <w:t>为</w:t>
      </w:r>
      <w:r>
        <w:rPr>
          <w:rFonts w:ascii="Times New Roman" w:eastAsia="宋体" w:hAnsi="Times New Roman" w:cs="宋体" w:hint="eastAsia"/>
          <w:color w:val="auto"/>
          <w:spacing w:val="-7"/>
          <w:sz w:val="24"/>
          <w:szCs w:val="24"/>
          <w:lang w:eastAsia="zh-CN"/>
        </w:rPr>
        <w:t>其他用海</w:t>
      </w:r>
      <w:r>
        <w:rPr>
          <w:rFonts w:ascii="Times New Roman" w:eastAsia="宋体" w:hAnsi="Times New Roman" w:cs="宋体" w:hint="eastAsia"/>
          <w:color w:val="auto"/>
          <w:spacing w:val="-6"/>
          <w:sz w:val="24"/>
          <w:szCs w:val="24"/>
          <w:lang w:eastAsia="zh-CN"/>
        </w:rPr>
        <w:t>（</w:t>
      </w:r>
      <w:r>
        <w:rPr>
          <w:rFonts w:ascii="Times New Roman" w:eastAsia="宋体" w:hAnsi="Times New Roman" w:cs="宋体" w:hint="eastAsia"/>
          <w:color w:val="auto"/>
          <w:spacing w:val="-6"/>
          <w:sz w:val="24"/>
          <w:szCs w:val="24"/>
          <w:lang w:eastAsia="zh-CN"/>
        </w:rPr>
        <w:t>编码：</w:t>
      </w:r>
      <w:r>
        <w:rPr>
          <w:rFonts w:ascii="Times New Roman" w:eastAsia="宋体" w:hAnsi="Times New Roman" w:cs="宋体" w:hint="eastAsia"/>
          <w:color w:val="auto"/>
          <w:spacing w:val="-6"/>
          <w:sz w:val="24"/>
          <w:szCs w:val="24"/>
          <w:lang w:eastAsia="zh-CN"/>
        </w:rPr>
        <w:t>9</w:t>
      </w:r>
      <w:r>
        <w:rPr>
          <w:rFonts w:ascii="Times New Roman" w:eastAsia="宋体" w:hAnsi="Times New Roman" w:cs="宋体" w:hint="eastAsia"/>
          <w:color w:val="auto"/>
          <w:spacing w:val="-6"/>
          <w:sz w:val="24"/>
          <w:szCs w:val="24"/>
          <w:lang w:eastAsia="zh-CN"/>
        </w:rPr>
        <w:t>），</w:t>
      </w:r>
      <w:r>
        <w:rPr>
          <w:rFonts w:ascii="Times New Roman" w:eastAsia="宋体" w:hAnsi="Times New Roman" w:cs="宋体" w:hint="eastAsia"/>
          <w:color w:val="auto"/>
          <w:spacing w:val="-6"/>
          <w:sz w:val="24"/>
          <w:szCs w:val="24"/>
          <w:lang w:eastAsia="zh-CN"/>
        </w:rPr>
        <w:t>无二级类</w:t>
      </w:r>
      <w:r>
        <w:rPr>
          <w:rFonts w:ascii="Times New Roman" w:eastAsia="宋体" w:hAnsi="Times New Roman" w:cs="宋体" w:hint="eastAsia"/>
          <w:color w:val="auto"/>
          <w:spacing w:val="-6"/>
          <w:sz w:val="24"/>
          <w:szCs w:val="24"/>
          <w:lang w:eastAsia="zh-CN"/>
        </w:rPr>
        <w:t>。</w:t>
      </w:r>
      <w:r>
        <w:rPr>
          <w:rFonts w:ascii="Times New Roman" w:eastAsia="宋体" w:hAnsi="Times New Roman" w:cs="宋体" w:hint="eastAsia"/>
          <w:color w:val="auto"/>
          <w:sz w:val="24"/>
          <w:szCs w:val="24"/>
          <w:lang w:eastAsia="zh-CN"/>
        </w:rPr>
        <w:t>根据《海域使用分类》（</w:t>
      </w:r>
      <w:r>
        <w:rPr>
          <w:rFonts w:ascii="Times New Roman" w:eastAsia="宋体" w:hAnsi="Times New Roman" w:cs="宋体" w:hint="eastAsia"/>
          <w:color w:val="auto"/>
          <w:sz w:val="24"/>
          <w:szCs w:val="24"/>
          <w:lang w:eastAsia="zh-CN"/>
        </w:rPr>
        <w:t>HY/T123-2009</w:t>
      </w:r>
      <w:r>
        <w:rPr>
          <w:rFonts w:ascii="Times New Roman" w:eastAsia="宋体" w:hAnsi="Times New Roman" w:cs="宋体" w:hint="eastAsia"/>
          <w:color w:val="auto"/>
          <w:sz w:val="24"/>
          <w:szCs w:val="24"/>
          <w:lang w:eastAsia="zh-CN"/>
        </w:rPr>
        <w:t>）中规定的分类方法、项目建设内容，本项目用海方式为专用航道、锚地及其他开放式、透水构筑物，用海面积为</w:t>
      </w:r>
      <w:r>
        <w:rPr>
          <w:rFonts w:ascii="Times New Roman" w:eastAsia="宋体" w:hAnsi="Times New Roman" w:cs="宋体" w:hint="eastAsia"/>
          <w:color w:val="auto"/>
          <w:sz w:val="24"/>
          <w:szCs w:val="24"/>
          <w:lang w:eastAsia="zh-CN"/>
        </w:rPr>
        <w:t>15.2465</w:t>
      </w:r>
      <w:r>
        <w:rPr>
          <w:rFonts w:ascii="Times New Roman" w:eastAsia="宋体" w:hAnsi="Times New Roman" w:cs="宋体" w:hint="eastAsia"/>
          <w:color w:val="auto"/>
          <w:sz w:val="24"/>
          <w:szCs w:val="24"/>
          <w:lang w:eastAsia="zh-CN"/>
        </w:rPr>
        <w:t>公顷，占用岸线</w:t>
      </w:r>
      <w:r>
        <w:rPr>
          <w:rFonts w:ascii="Times New Roman" w:eastAsia="宋体" w:hAnsi="Times New Roman" w:cs="宋体" w:hint="eastAsia"/>
          <w:color w:val="auto"/>
          <w:sz w:val="24"/>
          <w:szCs w:val="24"/>
          <w:lang w:eastAsia="zh-CN"/>
        </w:rPr>
        <w:t>0m</w:t>
      </w:r>
      <w:r>
        <w:rPr>
          <w:rFonts w:ascii="Times New Roman" w:eastAsia="宋体" w:hAnsi="Times New Roman" w:cs="宋体" w:hint="eastAsia"/>
          <w:color w:val="auto"/>
          <w:sz w:val="24"/>
          <w:szCs w:val="24"/>
          <w:lang w:eastAsia="zh-CN"/>
        </w:rPr>
        <w:t>。</w:t>
      </w:r>
    </w:p>
    <w:p w14:paraId="567A3AD0"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本项目</w:t>
      </w:r>
      <w:r>
        <w:rPr>
          <w:rFonts w:ascii="Times New Roman" w:eastAsia="宋体" w:hAnsi="Times New Roman" w:cs="宋体" w:hint="eastAsia"/>
          <w:color w:val="auto"/>
          <w:sz w:val="24"/>
          <w:szCs w:val="24"/>
          <w:lang w:eastAsia="zh-CN"/>
        </w:rPr>
        <w:t>专用航道、锚地及其他开放式、透水构筑物</w:t>
      </w:r>
      <w:r>
        <w:rPr>
          <w:rFonts w:ascii="Times New Roman" w:eastAsia="宋体" w:hAnsi="Times New Roman" w:cs="宋体"/>
          <w:color w:val="auto"/>
          <w:spacing w:val="-2"/>
          <w:sz w:val="24"/>
          <w:szCs w:val="24"/>
          <w:lang w:eastAsia="zh-CN"/>
        </w:rPr>
        <w:t>的用海方式能最大限度地体现节约用海和节省海域资源的精神，能有效减少对水动力和冲淤环境的影响，不改变所在海域的整体流态，有利于保护海域自然属性，对海域的影响是最小的，也是最有利于维护海域基本功能的用海方式。</w:t>
      </w:r>
    </w:p>
    <w:p w14:paraId="2A2F1980" w14:textId="77777777" w:rsidR="0075791A" w:rsidRDefault="00FB2864">
      <w:pPr>
        <w:widowControl w:val="0"/>
        <w:kinsoku/>
        <w:adjustRightInd/>
        <w:snapToGrid/>
        <w:spacing w:line="360" w:lineRule="auto"/>
        <w:ind w:firstLineChars="200" w:firstLine="476"/>
        <w:jc w:val="both"/>
        <w:textAlignment w:val="auto"/>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根据资源生态影响分析结果，本项目用海主要生态问题为</w:t>
      </w:r>
      <w:r>
        <w:rPr>
          <w:rFonts w:ascii="Times New Roman" w:eastAsia="宋体" w:hAnsi="Times New Roman" w:cs="宋体" w:hint="eastAsia"/>
          <w:color w:val="auto"/>
          <w:spacing w:val="-2"/>
          <w:sz w:val="24"/>
          <w:szCs w:val="24"/>
          <w:lang w:eastAsia="zh-CN"/>
        </w:rPr>
        <w:t>：</w:t>
      </w:r>
    </w:p>
    <w:p w14:paraId="6BF21877" w14:textId="77777777" w:rsidR="0075791A" w:rsidRDefault="00FB2864">
      <w:pPr>
        <w:widowControl w:val="0"/>
        <w:kinsoku/>
        <w:adjustRightInd/>
        <w:snapToGrid/>
        <w:spacing w:line="360" w:lineRule="auto"/>
        <w:ind w:firstLineChars="200" w:firstLine="478"/>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宋体" w:hint="eastAsia"/>
          <w:b/>
          <w:bCs/>
          <w:color w:val="auto"/>
          <w:spacing w:val="-2"/>
          <w:sz w:val="24"/>
          <w:szCs w:val="24"/>
          <w:lang w:eastAsia="zh-CN"/>
        </w:rPr>
        <w:t>①施工对底栖生物的影响：</w:t>
      </w:r>
      <w:r>
        <w:rPr>
          <w:rFonts w:ascii="Times New Roman" w:eastAsia="宋体" w:hAnsi="Times New Roman" w:cs="宋体" w:hint="eastAsia"/>
          <w:color w:val="auto"/>
          <w:spacing w:val="-2"/>
          <w:sz w:val="24"/>
          <w:szCs w:val="24"/>
          <w:lang w:eastAsia="zh-CN"/>
        </w:rPr>
        <w:t>构筑物桩基施工、清淤疏浚、疏浚土吹填</w:t>
      </w:r>
      <w:r>
        <w:rPr>
          <w:rFonts w:ascii="Times New Roman" w:eastAsia="宋体" w:hAnsi="Times New Roman" w:cs="宋体"/>
          <w:color w:val="auto"/>
          <w:spacing w:val="-2"/>
          <w:sz w:val="24"/>
          <w:szCs w:val="24"/>
          <w:lang w:eastAsia="zh-CN"/>
        </w:rPr>
        <w:t>施工时</w:t>
      </w:r>
      <w:r>
        <w:rPr>
          <w:rFonts w:ascii="Times New Roman" w:eastAsia="宋体" w:hAnsi="Times New Roman" w:cs="Times New Roman" w:hint="eastAsia"/>
          <w:snapToGrid/>
          <w:color w:val="auto"/>
          <w:kern w:val="2"/>
          <w:sz w:val="24"/>
          <w:szCs w:val="24"/>
          <w:lang w:eastAsia="zh-CN"/>
        </w:rPr>
        <w:t>破坏底栖生物的栖息地和生存环境，移动能力较强的部分生物可能逃离工程区，但绝大部分底栖生物将随着底泥被挖运而受损或消亡，从而导致生物资源损失，如底栖生物、潮间带生物、浮游生物、鱼卵仔稚鱼和无脊椎动物等。红树林种植区滩涂整地将直接覆盖原有滩涂，原有滩涂海域内无逃避能力的物种将遭到直接危害，如底栖生物、潮间带生物等，滩涂整地使一些生物赖以生存的生境暂时丧失。但施工完成后种植区将形成新的滩涂底土环境，底栖生物、潮间带生物可重新形成生态系统。</w:t>
      </w:r>
    </w:p>
    <w:p w14:paraId="41A18CAF" w14:textId="77777777" w:rsidR="0075791A" w:rsidRDefault="00FB2864">
      <w:pPr>
        <w:spacing w:line="360" w:lineRule="auto"/>
        <w:ind w:firstLineChars="200" w:firstLine="478"/>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b/>
          <w:bCs/>
          <w:color w:val="auto"/>
          <w:spacing w:val="-2"/>
          <w:sz w:val="24"/>
          <w:szCs w:val="24"/>
          <w:lang w:eastAsia="zh-CN"/>
        </w:rPr>
        <w:t>②悬浮物增加对水生生物的影响：</w:t>
      </w:r>
      <w:r>
        <w:rPr>
          <w:rFonts w:ascii="Times New Roman" w:eastAsia="宋体" w:hAnsi="Times New Roman" w:cs="宋体" w:hint="eastAsia"/>
          <w:color w:val="auto"/>
          <w:spacing w:val="-2"/>
          <w:sz w:val="24"/>
          <w:szCs w:val="24"/>
          <w:lang w:eastAsia="zh-CN"/>
        </w:rPr>
        <w:t>桩基施工</w:t>
      </w:r>
      <w:r>
        <w:rPr>
          <w:rFonts w:ascii="Times New Roman" w:eastAsia="宋体" w:hAnsi="Times New Roman" w:cs="宋体"/>
          <w:color w:val="auto"/>
          <w:spacing w:val="-2"/>
          <w:sz w:val="24"/>
          <w:szCs w:val="24"/>
          <w:lang w:eastAsia="zh-CN"/>
        </w:rPr>
        <w:t>及</w:t>
      </w:r>
      <w:r>
        <w:rPr>
          <w:rFonts w:ascii="Times New Roman" w:eastAsia="宋体" w:hAnsi="Times New Roman" w:cs="宋体" w:hint="eastAsia"/>
          <w:color w:val="auto"/>
          <w:spacing w:val="-2"/>
          <w:sz w:val="24"/>
          <w:szCs w:val="24"/>
          <w:lang w:eastAsia="zh-CN"/>
        </w:rPr>
        <w:t>清淤疏浚</w:t>
      </w:r>
      <w:r>
        <w:rPr>
          <w:rFonts w:ascii="Times New Roman" w:eastAsia="宋体" w:hAnsi="Times New Roman" w:cs="宋体"/>
          <w:color w:val="auto"/>
          <w:spacing w:val="-2"/>
          <w:sz w:val="24"/>
          <w:szCs w:val="24"/>
          <w:lang w:eastAsia="zh-CN"/>
        </w:rPr>
        <w:t>等将对水体、底泥造成扰动</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产生大量悬浮物</w:t>
      </w:r>
      <w:r>
        <w:rPr>
          <w:rFonts w:ascii="Times New Roman" w:eastAsia="宋体" w:hAnsi="Times New Roman" w:cs="宋体" w:hint="eastAsia"/>
          <w:color w:val="auto"/>
          <w:spacing w:val="-2"/>
          <w:sz w:val="24"/>
          <w:szCs w:val="24"/>
          <w:lang w:eastAsia="zh-CN"/>
        </w:rPr>
        <w:t>，但</w:t>
      </w:r>
      <w:r>
        <w:rPr>
          <w:rFonts w:ascii="Times New Roman" w:eastAsia="宋体" w:hAnsi="Times New Roman"/>
          <w:color w:val="auto"/>
          <w:sz w:val="24"/>
          <w:szCs w:val="24"/>
          <w:lang w:eastAsia="zh-CN"/>
        </w:rPr>
        <w:t>悬浮物扩散范围只局限在项目周边范围内，</w:t>
      </w:r>
      <w:r>
        <w:rPr>
          <w:rFonts w:ascii="Times New Roman" w:eastAsia="宋体" w:hAnsi="Times New Roman" w:hint="eastAsia"/>
          <w:color w:val="auto"/>
          <w:sz w:val="24"/>
          <w:szCs w:val="24"/>
          <w:lang w:eastAsia="zh-CN"/>
        </w:rPr>
        <w:t>微地形改造</w:t>
      </w:r>
      <w:r>
        <w:rPr>
          <w:rFonts w:ascii="Times New Roman" w:eastAsia="宋体" w:hAnsi="Times New Roman"/>
          <w:color w:val="auto"/>
          <w:sz w:val="24"/>
          <w:szCs w:val="24"/>
          <w:lang w:eastAsia="zh-CN"/>
        </w:rPr>
        <w:t>项目施工过程中未对珊瑚礁分布区、海草床分布区等区域产生不利影响，同时对周边</w:t>
      </w:r>
      <w:r>
        <w:rPr>
          <w:rFonts w:ascii="Times New Roman" w:eastAsia="宋体" w:hAnsi="Times New Roman" w:hint="eastAsia"/>
          <w:color w:val="auto"/>
          <w:sz w:val="24"/>
          <w:szCs w:val="24"/>
          <w:lang w:eastAsia="zh-CN"/>
        </w:rPr>
        <w:t>生态保护红线</w:t>
      </w:r>
      <w:r>
        <w:rPr>
          <w:rFonts w:ascii="Times New Roman" w:eastAsia="宋体" w:hAnsi="Times New Roman"/>
          <w:color w:val="auto"/>
          <w:sz w:val="24"/>
          <w:szCs w:val="24"/>
          <w:lang w:eastAsia="zh-CN"/>
        </w:rPr>
        <w:t>影响</w:t>
      </w:r>
      <w:r>
        <w:rPr>
          <w:rFonts w:ascii="Times New Roman" w:eastAsia="宋体" w:hAnsi="Times New Roman" w:hint="eastAsia"/>
          <w:color w:val="auto"/>
          <w:sz w:val="24"/>
          <w:szCs w:val="24"/>
          <w:lang w:eastAsia="zh-CN"/>
        </w:rPr>
        <w:t>较小，</w:t>
      </w:r>
      <w:r>
        <w:rPr>
          <w:rFonts w:ascii="Times New Roman" w:eastAsia="宋体" w:hAnsi="Times New Roman"/>
          <w:color w:val="auto"/>
          <w:sz w:val="24"/>
          <w:szCs w:val="24"/>
          <w:lang w:eastAsia="zh-CN"/>
        </w:rPr>
        <w:t>且所有源点叠加后超</w:t>
      </w:r>
      <w:r>
        <w:rPr>
          <w:rFonts w:ascii="Times New Roman" w:eastAsia="宋体" w:hAnsi="Times New Roman"/>
          <w:color w:val="auto"/>
          <w:sz w:val="24"/>
          <w:szCs w:val="24"/>
          <w:lang w:eastAsia="zh-CN"/>
        </w:rPr>
        <w:t>I</w:t>
      </w:r>
      <w:r>
        <w:rPr>
          <w:rFonts w:ascii="Times New Roman" w:eastAsia="宋体" w:hAnsi="Times New Roman"/>
          <w:color w:val="auto"/>
          <w:sz w:val="24"/>
          <w:szCs w:val="24"/>
          <w:lang w:eastAsia="zh-CN"/>
        </w:rPr>
        <w:t>、</w:t>
      </w:r>
      <w:r>
        <w:rPr>
          <w:rFonts w:ascii="Times New Roman" w:eastAsia="宋体" w:hAnsi="Times New Roman"/>
          <w:color w:val="auto"/>
          <w:sz w:val="24"/>
          <w:szCs w:val="24"/>
          <w:lang w:eastAsia="zh-CN"/>
        </w:rPr>
        <w:t>Ⅱ</w:t>
      </w:r>
      <w:r>
        <w:rPr>
          <w:rFonts w:ascii="Times New Roman" w:eastAsia="宋体" w:hAnsi="Times New Roman"/>
          <w:color w:val="auto"/>
          <w:sz w:val="24"/>
          <w:szCs w:val="24"/>
          <w:lang w:eastAsia="zh-CN"/>
        </w:rPr>
        <w:t>类水质</w:t>
      </w:r>
      <w:r>
        <w:rPr>
          <w:rFonts w:ascii="Times New Roman" w:eastAsia="宋体" w:hAnsi="Times New Roman" w:hint="eastAsia"/>
          <w:color w:val="auto"/>
          <w:sz w:val="24"/>
          <w:szCs w:val="24"/>
          <w:lang w:eastAsia="zh-CN"/>
        </w:rPr>
        <w:t>（</w:t>
      </w:r>
      <w:r>
        <w:rPr>
          <w:rFonts w:ascii="Times New Roman" w:eastAsia="宋体" w:hAnsi="Times New Roman"/>
          <w:color w:val="auto"/>
          <w:sz w:val="24"/>
          <w:szCs w:val="24"/>
          <w:lang w:eastAsia="zh-CN"/>
        </w:rPr>
        <w:t>&gt;10mg/L</w:t>
      </w:r>
      <w:r>
        <w:rPr>
          <w:rFonts w:ascii="Times New Roman" w:eastAsia="宋体" w:hAnsi="Times New Roman" w:hint="eastAsia"/>
          <w:color w:val="auto"/>
          <w:sz w:val="24"/>
          <w:szCs w:val="24"/>
          <w:lang w:eastAsia="zh-CN"/>
        </w:rPr>
        <w:t>）</w:t>
      </w:r>
      <w:r>
        <w:rPr>
          <w:rFonts w:ascii="Times New Roman" w:eastAsia="宋体" w:hAnsi="Times New Roman" w:hint="eastAsia"/>
          <w:color w:val="auto"/>
          <w:sz w:val="24"/>
          <w:szCs w:val="24"/>
          <w:lang w:eastAsia="zh-CN"/>
        </w:rPr>
        <w:t>扩散的最远距离仅有</w:t>
      </w:r>
      <w:r>
        <w:rPr>
          <w:rFonts w:ascii="Times New Roman" w:eastAsia="宋体" w:hAnsi="Times New Roman" w:hint="eastAsia"/>
          <w:color w:val="auto"/>
          <w:sz w:val="24"/>
          <w:szCs w:val="24"/>
          <w:lang w:eastAsia="zh-CN"/>
        </w:rPr>
        <w:t>1.2</w:t>
      </w:r>
      <w:r>
        <w:rPr>
          <w:rFonts w:ascii="Times New Roman" w:eastAsia="宋体" w:hAnsi="Times New Roman" w:hint="eastAsia"/>
          <w:color w:val="auto"/>
          <w:sz w:val="24"/>
          <w:szCs w:val="24"/>
          <w:lang w:eastAsia="zh-CN"/>
        </w:rPr>
        <w:t>km</w:t>
      </w:r>
      <w:r>
        <w:rPr>
          <w:rFonts w:ascii="Times New Roman" w:eastAsia="宋体" w:hAnsi="Times New Roman" w:hint="eastAsia"/>
          <w:color w:val="auto"/>
          <w:sz w:val="24"/>
          <w:szCs w:val="24"/>
          <w:lang w:eastAsia="zh-CN"/>
        </w:rPr>
        <w:t>左</w:t>
      </w:r>
      <w:r>
        <w:rPr>
          <w:rFonts w:ascii="Times New Roman" w:eastAsia="宋体" w:hAnsi="Times New Roman" w:hint="eastAsia"/>
          <w:color w:val="auto"/>
          <w:sz w:val="24"/>
          <w:szCs w:val="24"/>
          <w:lang w:eastAsia="zh-CN"/>
        </w:rPr>
        <w:lastRenderedPageBreak/>
        <w:t>右</w:t>
      </w:r>
      <w:r>
        <w:rPr>
          <w:rFonts w:ascii="Times New Roman" w:eastAsia="宋体" w:hAnsi="Times New Roman"/>
          <w:color w:val="auto"/>
          <w:sz w:val="24"/>
          <w:szCs w:val="24"/>
          <w:lang w:eastAsia="zh-CN"/>
        </w:rPr>
        <w:t>。此外，施工过程中产生的悬浮泥沙对海水水质的影响，时间是短暂的，这种影响一旦施工完毕，在较短的时间内（</w:t>
      </w:r>
      <w:r>
        <w:rPr>
          <w:rFonts w:ascii="Times New Roman" w:eastAsia="宋体" w:hAnsi="Times New Roman"/>
          <w:color w:val="auto"/>
          <w:sz w:val="24"/>
          <w:szCs w:val="24"/>
          <w:lang w:eastAsia="zh-CN"/>
        </w:rPr>
        <w:t>12</w:t>
      </w:r>
      <w:r>
        <w:rPr>
          <w:rFonts w:ascii="Times New Roman" w:eastAsia="宋体" w:hAnsi="Times New Roman"/>
          <w:color w:val="auto"/>
          <w:sz w:val="24"/>
          <w:szCs w:val="24"/>
          <w:lang w:eastAsia="zh-CN"/>
        </w:rPr>
        <w:t>小时）也就结束</w:t>
      </w:r>
      <w:r>
        <w:rPr>
          <w:rFonts w:ascii="Times New Roman" w:eastAsia="宋体" w:hAnsi="Times New Roman" w:hint="eastAsia"/>
          <w:color w:val="auto"/>
          <w:sz w:val="24"/>
          <w:szCs w:val="24"/>
          <w:lang w:eastAsia="zh-CN"/>
        </w:rPr>
        <w:t>。</w:t>
      </w:r>
      <w:r>
        <w:rPr>
          <w:rFonts w:ascii="Times New Roman" w:eastAsia="宋体" w:hAnsi="Times New Roman" w:cs="宋体"/>
          <w:color w:val="auto"/>
          <w:spacing w:val="-2"/>
          <w:sz w:val="24"/>
          <w:szCs w:val="24"/>
          <w:lang w:eastAsia="zh-CN"/>
        </w:rPr>
        <w:t>施工结束后，水质环境得到进一步改善，将重新为鱼类和底栖生物、浮游生物提供适宜的生态环境，底栖动物种类、数量将得到较大提升，随着饵料生物的增加，鱼类的密度也将相应得到增加，有利于水生生物物种正常地生存、繁衍</w:t>
      </w:r>
      <w:r>
        <w:rPr>
          <w:rFonts w:ascii="Times New Roman" w:eastAsia="宋体" w:hAnsi="Times New Roman" w:cs="宋体" w:hint="eastAsia"/>
          <w:color w:val="auto"/>
          <w:spacing w:val="-2"/>
          <w:sz w:val="24"/>
          <w:szCs w:val="24"/>
          <w:lang w:eastAsia="zh-CN"/>
        </w:rPr>
        <w:t>与协调发展。</w:t>
      </w:r>
    </w:p>
    <w:p w14:paraId="6D9EEE5D" w14:textId="77777777" w:rsidR="0075791A" w:rsidRDefault="00FB2864">
      <w:pPr>
        <w:spacing w:line="360" w:lineRule="auto"/>
        <w:ind w:leftChars="200" w:left="420"/>
        <w:jc w:val="both"/>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color w:val="auto"/>
          <w:spacing w:val="-2"/>
          <w:sz w:val="24"/>
          <w:szCs w:val="24"/>
          <w:lang w:eastAsia="zh-CN"/>
        </w:rPr>
        <w:t>③对红树林的影响</w:t>
      </w:r>
    </w:p>
    <w:p w14:paraId="052B48FE" w14:textId="77777777" w:rsidR="0075791A" w:rsidRDefault="00FB2864">
      <w:pPr>
        <w:spacing w:line="360" w:lineRule="auto"/>
        <w:ind w:leftChars="200" w:left="42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宋体" w:hint="eastAsia"/>
          <w:color w:val="auto"/>
          <w:spacing w:val="-2"/>
          <w:sz w:val="24"/>
          <w:szCs w:val="24"/>
          <w:lang w:eastAsia="zh-CN"/>
        </w:rPr>
        <w:t>A.</w:t>
      </w:r>
      <w:r>
        <w:rPr>
          <w:rFonts w:ascii="Times New Roman" w:eastAsia="宋体" w:hAnsi="Times New Roman" w:cs="Times New Roman" w:hint="eastAsia"/>
          <w:snapToGrid/>
          <w:color w:val="auto"/>
          <w:kern w:val="2"/>
          <w:sz w:val="24"/>
          <w:szCs w:val="24"/>
          <w:lang w:eastAsia="zh-CN"/>
        </w:rPr>
        <w:t>构筑物施工对沿线红树林的影响</w:t>
      </w:r>
    </w:p>
    <w:p w14:paraId="689BFEA1"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项目构筑物特别是巡护便道、巡护栈道建设，陆域开挖、还是海上管桩施工，施工器械进场，如挖掘机沿已有道路、</w:t>
      </w:r>
      <w:r>
        <w:rPr>
          <w:rFonts w:ascii="Times New Roman" w:eastAsia="宋体" w:hAnsi="Times New Roman" w:cs="宋体" w:hint="eastAsia"/>
          <w:color w:val="auto"/>
          <w:sz w:val="24"/>
          <w:szCs w:val="24"/>
          <w:lang w:eastAsia="zh-CN"/>
        </w:rPr>
        <w:t>平板浮船乘潮沿潮沟等进入作业区，</w:t>
      </w:r>
      <w:r>
        <w:rPr>
          <w:rFonts w:ascii="Times New Roman" w:eastAsia="宋体" w:hAnsi="Times New Roman" w:cs="Times New Roman" w:hint="eastAsia"/>
          <w:snapToGrid/>
          <w:color w:val="auto"/>
          <w:kern w:val="2"/>
          <w:sz w:val="24"/>
          <w:szCs w:val="24"/>
          <w:lang w:eastAsia="zh-CN"/>
        </w:rPr>
        <w:t>将对沿线已种植红树林、桩基所在位置红树造成损害。为了保护红树，在施工前将受影响红树就近移植，并在施工完成后再重新移回。</w:t>
      </w:r>
    </w:p>
    <w:p w14:paraId="438455D5"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B.</w:t>
      </w:r>
      <w:r>
        <w:rPr>
          <w:rFonts w:ascii="Times New Roman" w:eastAsia="宋体" w:hAnsi="Times New Roman" w:cs="Times New Roman" w:hint="eastAsia"/>
          <w:snapToGrid/>
          <w:color w:val="auto"/>
          <w:kern w:val="2"/>
          <w:sz w:val="24"/>
          <w:szCs w:val="24"/>
          <w:lang w:eastAsia="zh-CN"/>
        </w:rPr>
        <w:t>工程施工产生的悬浮泥沙扩散对红树林的影响</w:t>
      </w:r>
    </w:p>
    <w:p w14:paraId="46DDA312"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工程施工过程中产生的悬浮泥沙（</w:t>
      </w:r>
      <w:r>
        <w:rPr>
          <w:rFonts w:ascii="Times New Roman" w:eastAsia="宋体" w:hAnsi="Times New Roman" w:cs="Times New Roman" w:hint="eastAsia"/>
          <w:snapToGrid/>
          <w:color w:val="auto"/>
          <w:kern w:val="2"/>
          <w:sz w:val="24"/>
          <w:szCs w:val="24"/>
          <w:lang w:eastAsia="zh-CN"/>
        </w:rPr>
        <w:t>SS</w:t>
      </w:r>
      <w:r>
        <w:rPr>
          <w:rFonts w:ascii="Times New Roman" w:eastAsia="宋体" w:hAnsi="Times New Roman" w:cs="Times New Roman" w:hint="eastAsia"/>
          <w:snapToGrid/>
          <w:color w:val="auto"/>
          <w:kern w:val="2"/>
          <w:sz w:val="24"/>
          <w:szCs w:val="24"/>
          <w:lang w:eastAsia="zh-CN"/>
        </w:rPr>
        <w:t>）会导致水体中悬浮物浓度增加，对红树林生态系统造成多方面的影响。根据红树林现状调查资料可知，项目清淤区距红树林分布区较近</w:t>
      </w:r>
      <w:r>
        <w:rPr>
          <w:rFonts w:ascii="Times New Roman" w:eastAsia="宋体" w:hAnsi="Times New Roman" w:cs="Times New Roman"/>
          <w:snapToGrid/>
          <w:color w:val="auto"/>
          <w:kern w:val="2"/>
          <w:sz w:val="24"/>
          <w:szCs w:val="24"/>
          <w:lang w:eastAsia="zh-CN"/>
        </w:rPr>
        <w:t>疏浚工程施工期间产生的悬浮泥沙超一、二类水质标准（</w:t>
      </w:r>
      <w:r>
        <w:rPr>
          <w:rFonts w:ascii="Times New Roman" w:eastAsia="宋体" w:hAnsi="Times New Roman" w:cs="Times New Roman"/>
          <w:snapToGrid/>
          <w:color w:val="auto"/>
          <w:kern w:val="2"/>
          <w:sz w:val="24"/>
          <w:szCs w:val="24"/>
          <w:lang w:eastAsia="zh-CN"/>
        </w:rPr>
        <w:t>&gt;10m</w:t>
      </w:r>
      <w:r>
        <w:rPr>
          <w:rFonts w:ascii="Times New Roman" w:eastAsia="宋体" w:hAnsi="Times New Roman" w:cs="Times New Roman"/>
          <w:snapToGrid/>
          <w:color w:val="auto"/>
          <w:kern w:val="2"/>
          <w:sz w:val="24"/>
          <w:szCs w:val="24"/>
          <w:lang w:eastAsia="zh-CN"/>
        </w:rPr>
        <w:t>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2.570</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，超三类水质标准（</w:t>
      </w:r>
      <w:r>
        <w:rPr>
          <w:rFonts w:ascii="Times New Roman" w:eastAsia="宋体" w:hAnsi="Times New Roman" w:cs="Times New Roman"/>
          <w:snapToGrid/>
          <w:color w:val="auto"/>
          <w:kern w:val="2"/>
          <w:sz w:val="24"/>
          <w:szCs w:val="24"/>
          <w:lang w:eastAsia="zh-CN"/>
        </w:rPr>
        <w:t>&gt;100mg/L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12.73</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，超四类水质标准（</w:t>
      </w:r>
      <w:r>
        <w:rPr>
          <w:rFonts w:ascii="Times New Roman" w:eastAsia="宋体" w:hAnsi="Times New Roman" w:cs="Times New Roman"/>
          <w:snapToGrid/>
          <w:color w:val="auto"/>
          <w:kern w:val="2"/>
          <w:sz w:val="24"/>
          <w:szCs w:val="24"/>
          <w:lang w:eastAsia="zh-CN"/>
        </w:rPr>
        <w:t>&gt;150mg/L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76.90</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。且所有源点叠加后超</w:t>
      </w:r>
      <w:r>
        <w:rPr>
          <w:rFonts w:ascii="Times New Roman" w:eastAsia="宋体" w:hAnsi="Times New Roman" w:cs="Times New Roman"/>
          <w:snapToGrid/>
          <w:color w:val="auto"/>
          <w:kern w:val="2"/>
          <w:sz w:val="24"/>
          <w:szCs w:val="24"/>
          <w:lang w:eastAsia="zh-CN"/>
        </w:rPr>
        <w:t>I</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Ⅱ</w:t>
      </w:r>
      <w:r>
        <w:rPr>
          <w:rFonts w:ascii="Times New Roman" w:eastAsia="宋体" w:hAnsi="Times New Roman" w:cs="Times New Roman"/>
          <w:snapToGrid/>
          <w:color w:val="auto"/>
          <w:kern w:val="2"/>
          <w:sz w:val="24"/>
          <w:szCs w:val="24"/>
          <w:lang w:eastAsia="zh-CN"/>
        </w:rPr>
        <w:t>类水质</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&gt;10mg/L</w:t>
      </w:r>
      <w:r>
        <w:rPr>
          <w:rFonts w:ascii="Times New Roman" w:eastAsia="宋体" w:hAnsi="Times New Roman" w:cs="Times New Roman" w:hint="eastAsia"/>
          <w:snapToGrid/>
          <w:color w:val="auto"/>
          <w:kern w:val="2"/>
          <w:sz w:val="24"/>
          <w:szCs w:val="24"/>
          <w:lang w:eastAsia="zh-CN"/>
        </w:rPr>
        <w:t>）扩散的最远距离仅有</w:t>
      </w:r>
      <w:r>
        <w:rPr>
          <w:rFonts w:ascii="Times New Roman" w:eastAsia="宋体" w:hAnsi="Times New Roman" w:cs="Times New Roman" w:hint="eastAsia"/>
          <w:snapToGrid/>
          <w:color w:val="auto"/>
          <w:kern w:val="2"/>
          <w:sz w:val="24"/>
          <w:szCs w:val="24"/>
          <w:lang w:eastAsia="zh-CN"/>
        </w:rPr>
        <w:t>1.2km</w:t>
      </w:r>
      <w:r>
        <w:rPr>
          <w:rFonts w:ascii="Times New Roman" w:eastAsia="宋体" w:hAnsi="Times New Roman" w:cs="Times New Roman" w:hint="eastAsia"/>
          <w:snapToGrid/>
          <w:color w:val="auto"/>
          <w:kern w:val="2"/>
          <w:sz w:val="24"/>
          <w:szCs w:val="24"/>
          <w:lang w:eastAsia="zh-CN"/>
        </w:rPr>
        <w:t>左右</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施工期悬浮泥沙扩散范围相对较小，但会对周围水质产生影响，从而影响到附近红树林生态系统的稳定与生长。</w:t>
      </w:r>
    </w:p>
    <w:p w14:paraId="3FC5C973"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C.</w:t>
      </w:r>
      <w:r>
        <w:rPr>
          <w:rFonts w:ascii="Times New Roman" w:eastAsia="宋体" w:hAnsi="Times New Roman" w:cs="Times New Roman"/>
          <w:snapToGrid/>
          <w:color w:val="auto"/>
          <w:kern w:val="2"/>
          <w:sz w:val="24"/>
          <w:szCs w:val="24"/>
          <w:lang w:eastAsia="zh-CN"/>
        </w:rPr>
        <w:t>岸滩冲淤对红树林的影响</w:t>
      </w:r>
      <w:r>
        <w:rPr>
          <w:rFonts w:ascii="Times New Roman" w:eastAsia="宋体" w:hAnsi="Times New Roman" w:cs="Times New Roman" w:hint="eastAsia"/>
          <w:snapToGrid/>
          <w:color w:val="auto"/>
          <w:kern w:val="2"/>
          <w:sz w:val="24"/>
          <w:szCs w:val="24"/>
          <w:lang w:eastAsia="zh-CN"/>
        </w:rPr>
        <w:t>分析</w:t>
      </w:r>
    </w:p>
    <w:p w14:paraId="21CE0770"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从数值模拟结果可以看出，工程实施后，</w:t>
      </w:r>
      <w:r>
        <w:rPr>
          <w:rFonts w:ascii="Times New Roman" w:eastAsia="宋体" w:hAnsi="Times New Roman" w:cs="Times New Roman" w:hint="eastAsia"/>
          <w:snapToGrid/>
          <w:color w:val="auto"/>
          <w:kern w:val="2"/>
          <w:sz w:val="24"/>
          <w:szCs w:val="24"/>
          <w:lang w:eastAsia="zh-CN"/>
        </w:rPr>
        <w:t>悬浮沙引起冲淤的范围较小，主要集中在疏浚区及附近</w:t>
      </w:r>
      <w:r>
        <w:rPr>
          <w:rFonts w:ascii="Times New Roman" w:eastAsia="宋体" w:hAnsi="Times New Roman" w:cs="Times New Roman" w:hint="eastAsia"/>
          <w:snapToGrid/>
          <w:color w:val="auto"/>
          <w:kern w:val="2"/>
          <w:sz w:val="24"/>
          <w:szCs w:val="24"/>
          <w:lang w:eastAsia="zh-CN"/>
        </w:rPr>
        <w:t>的小范围内，冲淤幅度也较小，最大值在±</w:t>
      </w:r>
      <w:r>
        <w:rPr>
          <w:rFonts w:ascii="Times New Roman" w:eastAsia="宋体" w:hAnsi="Times New Roman" w:cs="Times New Roman" w:hint="eastAsia"/>
          <w:snapToGrid/>
          <w:color w:val="auto"/>
          <w:kern w:val="2"/>
          <w:sz w:val="24"/>
          <w:szCs w:val="24"/>
          <w:lang w:eastAsia="zh-CN"/>
        </w:rPr>
        <w:t>13</w:t>
      </w:r>
      <w:r>
        <w:rPr>
          <w:rFonts w:ascii="Times New Roman" w:eastAsia="宋体" w:hAnsi="Times New Roman" w:cs="Times New Roman"/>
          <w:snapToGrid/>
          <w:color w:val="auto"/>
          <w:kern w:val="2"/>
          <w:sz w:val="24"/>
          <w:szCs w:val="24"/>
          <w:lang w:eastAsia="zh-CN"/>
        </w:rPr>
        <w:t>cm/a</w:t>
      </w:r>
      <w:r>
        <w:rPr>
          <w:rFonts w:ascii="Times New Roman" w:eastAsia="宋体" w:hAnsi="Times New Roman" w:cs="Times New Roman" w:hint="eastAsia"/>
          <w:snapToGrid/>
          <w:color w:val="auto"/>
          <w:kern w:val="2"/>
          <w:sz w:val="24"/>
          <w:szCs w:val="24"/>
          <w:lang w:eastAsia="zh-CN"/>
        </w:rPr>
        <w:t>左右。同时铁炉港潮汐通道过水断面面积小于均衡态条件下的过水断面面积，因此在目前情况下，铁炉港潮汐通道将继续维持现有的过水断面面积和潮汐深槽，不会出现明显的淤积。工程后纳潮量增加，这有利于维持铁炉港潮汐汊道的稳定。</w:t>
      </w:r>
    </w:p>
    <w:p w14:paraId="7800122D" w14:textId="77777777" w:rsidR="0075791A" w:rsidRDefault="00FB2864">
      <w:pPr>
        <w:spacing w:line="360" w:lineRule="auto"/>
        <w:ind w:leftChars="200" w:left="420"/>
        <w:jc w:val="both"/>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color w:val="auto"/>
          <w:spacing w:val="-2"/>
          <w:sz w:val="24"/>
          <w:szCs w:val="24"/>
          <w:lang w:eastAsia="zh-CN"/>
        </w:rPr>
        <w:t>④对保护区动物的影响分析</w:t>
      </w:r>
    </w:p>
    <w:p w14:paraId="35C634EB"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区域不同陆生脊椎动物群受施工的影响不同，具体如下：</w:t>
      </w:r>
    </w:p>
    <w:p w14:paraId="0FE8FCDB"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A.</w:t>
      </w:r>
      <w:r>
        <w:rPr>
          <w:rFonts w:ascii="Times New Roman" w:eastAsia="宋体" w:hAnsi="Times New Roman" w:cs="Times New Roman" w:hint="eastAsia"/>
          <w:snapToGrid/>
          <w:color w:val="auto"/>
          <w:kern w:val="2"/>
          <w:sz w:val="24"/>
          <w:szCs w:val="24"/>
          <w:lang w:eastAsia="zh-CN"/>
        </w:rPr>
        <w:t>施工对</w:t>
      </w:r>
      <w:r>
        <w:rPr>
          <w:rFonts w:ascii="Times New Roman" w:eastAsia="宋体" w:hAnsi="Times New Roman" w:cs="Times New Roman"/>
          <w:snapToGrid/>
          <w:color w:val="auto"/>
          <w:kern w:val="2"/>
          <w:sz w:val="24"/>
          <w:szCs w:val="24"/>
          <w:lang w:eastAsia="zh-CN"/>
        </w:rPr>
        <w:t>陆生脊椎动物群的影响</w:t>
      </w:r>
    </w:p>
    <w:p w14:paraId="78391D18"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项目施工期，对陆生脊椎动物的直接影响在于生境的局部丧失、改变和施工的直接干扰，因此陆生脊椎动物更多的表现为直接逃离干扰源，进入临近安全或干扰较小的生</w:t>
      </w:r>
      <w:r>
        <w:rPr>
          <w:rFonts w:ascii="Times New Roman" w:eastAsia="宋体" w:hAnsi="Times New Roman" w:cs="Times New Roman"/>
          <w:snapToGrid/>
          <w:color w:val="auto"/>
          <w:kern w:val="2"/>
          <w:sz w:val="24"/>
          <w:szCs w:val="24"/>
          <w:lang w:eastAsia="zh-CN"/>
        </w:rPr>
        <w:lastRenderedPageBreak/>
        <w:t>境中，鸟类和哺乳动物活动能力较强，施工期间，在施工区域有明显的种类减少和种群数量下降，而在施工区外人为干扰相对较小的相似生境中，会出现鸟类和兽类种类增加和数量增多的现象，而两栖爬行动物运动能力相对较弱，对生境要求范围相对较小，项目施工的直接干扰会逐渐引起该类动物种类和数量在施工区的减少。</w:t>
      </w:r>
    </w:p>
    <w:p w14:paraId="421E231F"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B.</w:t>
      </w:r>
      <w:r>
        <w:rPr>
          <w:rFonts w:ascii="Times New Roman" w:eastAsia="宋体" w:hAnsi="Times New Roman" w:cs="Times New Roman"/>
          <w:snapToGrid/>
          <w:color w:val="auto"/>
          <w:kern w:val="2"/>
          <w:sz w:val="24"/>
          <w:szCs w:val="24"/>
          <w:lang w:eastAsia="zh-CN"/>
        </w:rPr>
        <w:t>项目施工对鸟</w:t>
      </w:r>
      <w:r>
        <w:rPr>
          <w:rFonts w:ascii="Times New Roman" w:eastAsia="宋体" w:hAnsi="Times New Roman" w:cs="Times New Roman" w:hint="eastAsia"/>
          <w:snapToGrid/>
          <w:color w:val="auto"/>
          <w:kern w:val="2"/>
          <w:sz w:val="24"/>
          <w:szCs w:val="24"/>
          <w:lang w:eastAsia="zh-CN"/>
        </w:rPr>
        <w:t>类</w:t>
      </w:r>
      <w:r>
        <w:rPr>
          <w:rFonts w:ascii="Times New Roman" w:eastAsia="宋体" w:hAnsi="Times New Roman" w:cs="Times New Roman"/>
          <w:snapToGrid/>
          <w:color w:val="auto"/>
          <w:kern w:val="2"/>
          <w:sz w:val="24"/>
          <w:szCs w:val="24"/>
          <w:lang w:eastAsia="zh-CN"/>
        </w:rPr>
        <w:t>的影响</w:t>
      </w:r>
    </w:p>
    <w:p w14:paraId="19362A6A"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snapToGrid/>
          <w:color w:val="auto"/>
          <w:kern w:val="2"/>
          <w:sz w:val="24"/>
          <w:szCs w:val="24"/>
          <w:lang w:eastAsia="zh-CN"/>
        </w:rPr>
        <w:t>施工工程及人为活动将对在基围鱼塘中觅食的鸟类产生</w:t>
      </w:r>
      <w:r>
        <w:rPr>
          <w:rFonts w:ascii="Times New Roman" w:eastAsia="宋体" w:hAnsi="Times New Roman" w:cs="Times New Roman"/>
          <w:snapToGrid/>
          <w:color w:val="auto"/>
          <w:kern w:val="2"/>
          <w:sz w:val="24"/>
          <w:szCs w:val="24"/>
          <w:lang w:eastAsia="zh-CN"/>
        </w:rPr>
        <w:t>较强的干扰。从对各种鸟类觅食行为的研究结果表明，干扰半径一般在</w:t>
      </w:r>
      <w:r>
        <w:rPr>
          <w:rFonts w:ascii="Times New Roman" w:eastAsia="宋体" w:hAnsi="Times New Roman" w:cs="Times New Roman"/>
          <w:snapToGrid/>
          <w:color w:val="auto"/>
          <w:kern w:val="2"/>
          <w:sz w:val="24"/>
          <w:szCs w:val="24"/>
          <w:lang w:eastAsia="zh-CN"/>
        </w:rPr>
        <w:t>35m</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100m</w:t>
      </w:r>
      <w:r>
        <w:rPr>
          <w:rFonts w:ascii="Times New Roman" w:eastAsia="宋体" w:hAnsi="Times New Roman" w:cs="Times New Roman"/>
          <w:snapToGrid/>
          <w:color w:val="auto"/>
          <w:kern w:val="2"/>
          <w:sz w:val="24"/>
          <w:szCs w:val="24"/>
          <w:lang w:eastAsia="zh-CN"/>
        </w:rPr>
        <w:t>左右，此范围内鸟类由于躲避干扰将无法正常觅食，减少在受影响区域的觅食时间，使鸟类被迫将其觅食活动转移至其他地区。若选择有动力的施工机械，且在鸟类繁殖期进行施工噪声将对繁殖期的鸟类产生直接影响。若选择在夜间施工，其光照可能使鸟类受到过多额外的非自然光照，从而对其繁殖造成影响。</w:t>
      </w:r>
    </w:p>
    <w:p w14:paraId="4E05E94B" w14:textId="77777777" w:rsidR="0075791A" w:rsidRDefault="00FB2864">
      <w:pPr>
        <w:spacing w:line="360" w:lineRule="auto"/>
        <w:ind w:leftChars="200" w:left="420"/>
        <w:jc w:val="both"/>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color w:val="auto"/>
          <w:spacing w:val="-2"/>
          <w:sz w:val="24"/>
          <w:szCs w:val="24"/>
          <w:lang w:eastAsia="zh-CN"/>
        </w:rPr>
        <w:t>⑤对珊瑚礁生态系统影响分析</w:t>
      </w:r>
    </w:p>
    <w:p w14:paraId="53D3B258"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本项目疏浚区无珊瑚礁分布，</w:t>
      </w:r>
      <w:r>
        <w:rPr>
          <w:rFonts w:ascii="Times New Roman" w:eastAsia="宋体" w:hAnsi="Times New Roman" w:cs="Times New Roman"/>
          <w:snapToGrid/>
          <w:color w:val="auto"/>
          <w:kern w:val="2"/>
          <w:sz w:val="24"/>
          <w:szCs w:val="24"/>
          <w:lang w:eastAsia="zh-CN"/>
        </w:rPr>
        <w:t>施工期间所有源点</w:t>
      </w:r>
      <w:r>
        <w:rPr>
          <w:rFonts w:ascii="Times New Roman" w:eastAsia="宋体" w:hAnsi="Times New Roman" w:cs="Times New Roman" w:hint="eastAsia"/>
          <w:snapToGrid/>
          <w:color w:val="auto"/>
          <w:kern w:val="2"/>
          <w:sz w:val="24"/>
          <w:szCs w:val="24"/>
          <w:lang w:eastAsia="zh-CN"/>
        </w:rPr>
        <w:t>叠加</w:t>
      </w:r>
      <w:r>
        <w:rPr>
          <w:rFonts w:ascii="Times New Roman" w:eastAsia="宋体" w:hAnsi="Times New Roman" w:cs="Times New Roman"/>
          <w:snapToGrid/>
          <w:color w:val="auto"/>
          <w:kern w:val="2"/>
          <w:sz w:val="24"/>
          <w:szCs w:val="24"/>
          <w:lang w:eastAsia="zh-CN"/>
        </w:rPr>
        <w:t>产生的</w:t>
      </w:r>
      <w:r>
        <w:rPr>
          <w:rFonts w:ascii="Times New Roman" w:eastAsia="宋体" w:hAnsi="Times New Roman" w:cs="Times New Roman"/>
          <w:snapToGrid/>
          <w:color w:val="auto"/>
          <w:kern w:val="2"/>
          <w:sz w:val="24"/>
          <w:szCs w:val="24"/>
          <w:lang w:eastAsia="zh-CN"/>
        </w:rPr>
        <w:t>悬浮泥沙超一、二类水质标准（</w:t>
      </w:r>
      <w:r>
        <w:rPr>
          <w:rFonts w:ascii="Times New Roman" w:eastAsia="宋体" w:hAnsi="Times New Roman" w:cs="Times New Roman"/>
          <w:snapToGrid/>
          <w:color w:val="auto"/>
          <w:kern w:val="2"/>
          <w:sz w:val="24"/>
          <w:szCs w:val="24"/>
          <w:lang w:eastAsia="zh-CN"/>
        </w:rPr>
        <w:t>&gt;10mg/L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2.570</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，超三类水质标准（</w:t>
      </w:r>
      <w:r>
        <w:rPr>
          <w:rFonts w:ascii="Times New Roman" w:eastAsia="宋体" w:hAnsi="Times New Roman" w:cs="Times New Roman"/>
          <w:snapToGrid/>
          <w:color w:val="auto"/>
          <w:kern w:val="2"/>
          <w:sz w:val="24"/>
          <w:szCs w:val="24"/>
          <w:lang w:eastAsia="zh-CN"/>
        </w:rPr>
        <w:t>&gt;100mg/L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12.73</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，超四类水质标准（</w:t>
      </w:r>
      <w:r>
        <w:rPr>
          <w:rFonts w:ascii="Times New Roman" w:eastAsia="宋体" w:hAnsi="Times New Roman" w:cs="Times New Roman"/>
          <w:snapToGrid/>
          <w:color w:val="auto"/>
          <w:kern w:val="2"/>
          <w:sz w:val="24"/>
          <w:szCs w:val="24"/>
          <w:lang w:eastAsia="zh-CN"/>
        </w:rPr>
        <w:t>&gt;150mg/L</w:t>
      </w:r>
      <w:r>
        <w:rPr>
          <w:rFonts w:ascii="Times New Roman" w:eastAsia="宋体" w:hAnsi="Times New Roman" w:cs="Times New Roman"/>
          <w:snapToGrid/>
          <w:color w:val="auto"/>
          <w:kern w:val="2"/>
          <w:sz w:val="24"/>
          <w:szCs w:val="24"/>
          <w:lang w:eastAsia="zh-CN"/>
        </w:rPr>
        <w:t>浓度范围）水域最大包络线面积为</w:t>
      </w:r>
      <w:r>
        <w:rPr>
          <w:rFonts w:ascii="Times New Roman" w:eastAsia="宋体" w:hAnsi="Times New Roman" w:cs="Times New Roman" w:hint="eastAsia"/>
          <w:snapToGrid/>
          <w:color w:val="auto"/>
          <w:kern w:val="2"/>
          <w:sz w:val="24"/>
          <w:szCs w:val="24"/>
          <w:lang w:eastAsia="zh-CN"/>
        </w:rPr>
        <w:t>76.90</w:t>
      </w:r>
      <w:r>
        <w:rPr>
          <w:rFonts w:ascii="Times New Roman" w:eastAsia="宋体" w:hAnsi="Times New Roman" w:cs="Times New Roman"/>
          <w:snapToGrid/>
          <w:color w:val="auto"/>
          <w:kern w:val="2"/>
          <w:sz w:val="24"/>
          <w:szCs w:val="24"/>
          <w:lang w:eastAsia="zh-CN"/>
        </w:rPr>
        <w:t>hm</w:t>
      </w:r>
      <w:r>
        <w:rPr>
          <w:rFonts w:ascii="Times New Roman" w:eastAsia="宋体" w:hAnsi="Times New Roman" w:cs="Times New Roman"/>
          <w:snapToGrid/>
          <w:color w:val="auto"/>
          <w:kern w:val="2"/>
          <w:sz w:val="24"/>
          <w:szCs w:val="24"/>
          <w:vertAlign w:val="superscript"/>
          <w:lang w:eastAsia="zh-CN"/>
        </w:rPr>
        <w:t>2</w:t>
      </w:r>
      <w:r>
        <w:rPr>
          <w:rFonts w:ascii="Times New Roman" w:eastAsia="宋体" w:hAnsi="Times New Roman" w:cs="Times New Roman"/>
          <w:snapToGrid/>
          <w:color w:val="auto"/>
          <w:kern w:val="2"/>
          <w:sz w:val="24"/>
          <w:szCs w:val="24"/>
          <w:lang w:eastAsia="zh-CN"/>
        </w:rPr>
        <w:t>。且所有源点叠加后超</w:t>
      </w:r>
      <w:r>
        <w:rPr>
          <w:rFonts w:ascii="Times New Roman" w:eastAsia="宋体" w:hAnsi="Times New Roman" w:cs="Times New Roman"/>
          <w:snapToGrid/>
          <w:color w:val="auto"/>
          <w:kern w:val="2"/>
          <w:sz w:val="24"/>
          <w:szCs w:val="24"/>
          <w:lang w:eastAsia="zh-CN"/>
        </w:rPr>
        <w:t>I</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Ⅱ</w:t>
      </w:r>
      <w:r>
        <w:rPr>
          <w:rFonts w:ascii="Times New Roman" w:eastAsia="宋体" w:hAnsi="Times New Roman" w:cs="Times New Roman"/>
          <w:snapToGrid/>
          <w:color w:val="auto"/>
          <w:kern w:val="2"/>
          <w:sz w:val="24"/>
          <w:szCs w:val="24"/>
          <w:lang w:eastAsia="zh-CN"/>
        </w:rPr>
        <w:t>类水质</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&gt;10mg/L</w:t>
      </w:r>
      <w:r>
        <w:rPr>
          <w:rFonts w:ascii="Times New Roman" w:eastAsia="宋体" w:hAnsi="Times New Roman" w:cs="Times New Roman" w:hint="eastAsia"/>
          <w:snapToGrid/>
          <w:color w:val="auto"/>
          <w:kern w:val="2"/>
          <w:sz w:val="24"/>
          <w:szCs w:val="24"/>
          <w:lang w:eastAsia="zh-CN"/>
        </w:rPr>
        <w:t>）扩散的最远距离仅有</w:t>
      </w:r>
      <w:r>
        <w:rPr>
          <w:rFonts w:ascii="Times New Roman" w:eastAsia="宋体" w:hAnsi="Times New Roman" w:cs="Times New Roman" w:hint="eastAsia"/>
          <w:snapToGrid/>
          <w:color w:val="auto"/>
          <w:kern w:val="2"/>
          <w:sz w:val="24"/>
          <w:szCs w:val="24"/>
          <w:lang w:eastAsia="zh-CN"/>
        </w:rPr>
        <w:t>1.2km</w:t>
      </w:r>
      <w:r>
        <w:rPr>
          <w:rFonts w:ascii="Times New Roman" w:eastAsia="宋体" w:hAnsi="Times New Roman" w:cs="Times New Roman" w:hint="eastAsia"/>
          <w:snapToGrid/>
          <w:color w:val="auto"/>
          <w:kern w:val="2"/>
          <w:sz w:val="24"/>
          <w:szCs w:val="24"/>
          <w:lang w:eastAsia="zh-CN"/>
        </w:rPr>
        <w:t>左右</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施工期悬浮泥沙没有扩散到周边珊瑚礁</w:t>
      </w:r>
      <w:r>
        <w:rPr>
          <w:rFonts w:ascii="Times New Roman" w:eastAsia="宋体" w:hAnsi="Times New Roman" w:cs="Times New Roman" w:hint="eastAsia"/>
          <w:snapToGrid/>
          <w:color w:val="auto"/>
          <w:kern w:val="2"/>
          <w:sz w:val="24"/>
          <w:szCs w:val="24"/>
          <w:lang w:eastAsia="zh-CN"/>
        </w:rPr>
        <w:t>分布</w:t>
      </w:r>
      <w:r>
        <w:rPr>
          <w:rFonts w:ascii="Times New Roman" w:eastAsia="宋体" w:hAnsi="Times New Roman" w:cs="Times New Roman" w:hint="eastAsia"/>
          <w:snapToGrid/>
          <w:color w:val="auto"/>
          <w:kern w:val="2"/>
          <w:sz w:val="24"/>
          <w:szCs w:val="24"/>
          <w:lang w:eastAsia="zh-CN"/>
        </w:rPr>
        <w:t>区内，距珊瑚礁分布区的边界约为</w:t>
      </w:r>
      <w:r>
        <w:rPr>
          <w:rFonts w:ascii="Times New Roman" w:eastAsia="宋体" w:hAnsi="Times New Roman" w:cs="Times New Roman" w:hint="eastAsia"/>
          <w:snapToGrid/>
          <w:color w:val="auto"/>
          <w:kern w:val="2"/>
          <w:sz w:val="24"/>
          <w:szCs w:val="24"/>
          <w:lang w:eastAsia="zh-CN"/>
        </w:rPr>
        <w:t>3.2k</w:t>
      </w:r>
      <w:r>
        <w:rPr>
          <w:rFonts w:ascii="Times New Roman" w:eastAsia="宋体" w:hAnsi="Times New Roman" w:cs="Times New Roman" w:hint="eastAsia"/>
          <w:snapToGrid/>
          <w:color w:val="auto"/>
          <w:kern w:val="2"/>
          <w:sz w:val="24"/>
          <w:szCs w:val="24"/>
          <w:lang w:eastAsia="zh-CN"/>
        </w:rPr>
        <w:t>m</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不会对珊瑚礁生态系统产生不利影响</w:t>
      </w:r>
      <w:r>
        <w:rPr>
          <w:rFonts w:ascii="Times New Roman" w:eastAsia="宋体" w:hAnsi="Times New Roman" w:cs="Times New Roman" w:hint="eastAsia"/>
          <w:snapToGrid/>
          <w:color w:val="auto"/>
          <w:kern w:val="2"/>
          <w:sz w:val="24"/>
          <w:szCs w:val="24"/>
          <w:lang w:eastAsia="zh-CN"/>
        </w:rPr>
        <w:t>。</w:t>
      </w:r>
    </w:p>
    <w:p w14:paraId="7B6DBA79" w14:textId="77777777" w:rsidR="0075791A" w:rsidRDefault="00FB2864">
      <w:pPr>
        <w:spacing w:line="360" w:lineRule="auto"/>
        <w:ind w:leftChars="200" w:left="420"/>
        <w:jc w:val="both"/>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color w:val="auto"/>
          <w:spacing w:val="-2"/>
          <w:sz w:val="24"/>
          <w:szCs w:val="24"/>
          <w:lang w:eastAsia="zh-CN"/>
        </w:rPr>
        <w:t>⑥对海草床生态系统影响分析</w:t>
      </w:r>
    </w:p>
    <w:p w14:paraId="3B97B25D"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项目施工</w:t>
      </w:r>
      <w:r>
        <w:rPr>
          <w:rFonts w:ascii="Times New Roman" w:eastAsia="宋体" w:hAnsi="Times New Roman" w:cs="Times New Roman"/>
          <w:snapToGrid/>
          <w:color w:val="auto"/>
          <w:kern w:val="2"/>
          <w:sz w:val="24"/>
          <w:szCs w:val="24"/>
          <w:lang w:eastAsia="zh-CN"/>
        </w:rPr>
        <w:t>所有源点叠加后超</w:t>
      </w:r>
      <w:r>
        <w:rPr>
          <w:rFonts w:ascii="Times New Roman" w:eastAsia="宋体" w:hAnsi="Times New Roman" w:cs="Times New Roman"/>
          <w:snapToGrid/>
          <w:color w:val="auto"/>
          <w:kern w:val="2"/>
          <w:sz w:val="24"/>
          <w:szCs w:val="24"/>
          <w:lang w:eastAsia="zh-CN"/>
        </w:rPr>
        <w:t>I</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Ⅱ</w:t>
      </w:r>
      <w:r>
        <w:rPr>
          <w:rFonts w:ascii="Times New Roman" w:eastAsia="宋体" w:hAnsi="Times New Roman" w:cs="Times New Roman"/>
          <w:snapToGrid/>
          <w:color w:val="auto"/>
          <w:kern w:val="2"/>
          <w:sz w:val="24"/>
          <w:szCs w:val="24"/>
          <w:lang w:eastAsia="zh-CN"/>
        </w:rPr>
        <w:t>类水质</w:t>
      </w: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snapToGrid/>
          <w:color w:val="auto"/>
          <w:kern w:val="2"/>
          <w:sz w:val="24"/>
          <w:szCs w:val="24"/>
          <w:lang w:eastAsia="zh-CN"/>
        </w:rPr>
        <w:t>&gt;10mg/L</w:t>
      </w:r>
      <w:r>
        <w:rPr>
          <w:rFonts w:ascii="Times New Roman" w:eastAsia="宋体" w:hAnsi="Times New Roman" w:cs="Times New Roman" w:hint="eastAsia"/>
          <w:snapToGrid/>
          <w:color w:val="auto"/>
          <w:kern w:val="2"/>
          <w:sz w:val="24"/>
          <w:szCs w:val="24"/>
          <w:lang w:eastAsia="zh-CN"/>
        </w:rPr>
        <w:t>）扩散的最远距离仅有</w:t>
      </w:r>
      <w:r>
        <w:rPr>
          <w:rFonts w:ascii="Times New Roman" w:eastAsia="宋体" w:hAnsi="Times New Roman" w:cs="Times New Roman" w:hint="eastAsia"/>
          <w:snapToGrid/>
          <w:color w:val="auto"/>
          <w:kern w:val="2"/>
          <w:sz w:val="24"/>
          <w:szCs w:val="24"/>
          <w:lang w:eastAsia="zh-CN"/>
        </w:rPr>
        <w:t>1.2km</w:t>
      </w:r>
      <w:r>
        <w:rPr>
          <w:rFonts w:ascii="Times New Roman" w:eastAsia="宋体" w:hAnsi="Times New Roman" w:cs="Times New Roman" w:hint="eastAsia"/>
          <w:snapToGrid/>
          <w:color w:val="auto"/>
          <w:kern w:val="2"/>
          <w:sz w:val="24"/>
          <w:szCs w:val="24"/>
          <w:lang w:eastAsia="zh-CN"/>
        </w:rPr>
        <w:t>左右</w:t>
      </w:r>
      <w:r>
        <w:rPr>
          <w:rFonts w:ascii="Times New Roman" w:eastAsia="宋体" w:hAnsi="Times New Roman" w:cs="Times New Roman"/>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施工期悬浮泥沙扩散范围相对较小，距离后海海草床较远，不会对其产生不利影响。但在铁炉港潟湖南侧将进行海草床生态修复，且疏浚产生</w:t>
      </w:r>
      <w:r>
        <w:rPr>
          <w:rFonts w:ascii="Times New Roman" w:eastAsia="宋体" w:hAnsi="Times New Roman" w:cs="Times New Roman"/>
          <w:snapToGrid/>
          <w:color w:val="auto"/>
          <w:kern w:val="2"/>
          <w:sz w:val="24"/>
          <w:szCs w:val="24"/>
          <w:lang w:eastAsia="zh-CN"/>
        </w:rPr>
        <w:t>悬浮泥沙超一、二类水质标准（</w:t>
      </w:r>
      <w:r>
        <w:rPr>
          <w:rFonts w:ascii="Times New Roman" w:eastAsia="宋体" w:hAnsi="Times New Roman" w:cs="Times New Roman"/>
          <w:snapToGrid/>
          <w:color w:val="auto"/>
          <w:kern w:val="2"/>
          <w:sz w:val="24"/>
          <w:szCs w:val="24"/>
          <w:lang w:eastAsia="zh-CN"/>
        </w:rPr>
        <w:t>&gt;10mg/L</w:t>
      </w:r>
      <w:r>
        <w:rPr>
          <w:rFonts w:ascii="Times New Roman" w:eastAsia="宋体" w:hAnsi="Times New Roman" w:cs="Times New Roman"/>
          <w:snapToGrid/>
          <w:color w:val="auto"/>
          <w:kern w:val="2"/>
          <w:sz w:val="24"/>
          <w:szCs w:val="24"/>
          <w:lang w:eastAsia="zh-CN"/>
        </w:rPr>
        <w:t>浓度范围）水域最大包络线</w:t>
      </w:r>
      <w:r>
        <w:rPr>
          <w:rFonts w:ascii="Times New Roman" w:eastAsia="宋体" w:hAnsi="Times New Roman" w:cs="Times New Roman" w:hint="eastAsia"/>
          <w:snapToGrid/>
          <w:color w:val="auto"/>
          <w:kern w:val="2"/>
          <w:sz w:val="24"/>
          <w:szCs w:val="24"/>
          <w:lang w:eastAsia="zh-CN"/>
        </w:rPr>
        <w:t>距离海草床生态修复区最近距离约</w:t>
      </w:r>
      <w:r>
        <w:rPr>
          <w:rFonts w:ascii="Times New Roman" w:eastAsia="宋体" w:hAnsi="Times New Roman" w:cs="Times New Roman" w:hint="eastAsia"/>
          <w:snapToGrid/>
          <w:color w:val="auto"/>
          <w:kern w:val="2"/>
          <w:sz w:val="24"/>
          <w:szCs w:val="24"/>
          <w:lang w:eastAsia="zh-CN"/>
        </w:rPr>
        <w:t>150m</w:t>
      </w:r>
      <w:r>
        <w:rPr>
          <w:rFonts w:ascii="Times New Roman" w:eastAsia="宋体" w:hAnsi="Times New Roman" w:cs="Times New Roman" w:hint="eastAsia"/>
          <w:snapToGrid/>
          <w:color w:val="auto"/>
          <w:kern w:val="2"/>
          <w:sz w:val="24"/>
          <w:szCs w:val="24"/>
          <w:lang w:eastAsia="zh-CN"/>
        </w:rPr>
        <w:t>。</w:t>
      </w:r>
    </w:p>
    <w:p w14:paraId="45A25DBF"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370" w:name="_Toc16402"/>
      <w:r>
        <w:rPr>
          <w:rFonts w:ascii="Times New Roman" w:eastAsia="宋体" w:hAnsi="Times New Roman" w:cs="Times New Roman" w:hint="eastAsia"/>
          <w:b/>
          <w:bCs/>
          <w:color w:val="auto"/>
          <w:spacing w:val="-6"/>
          <w:sz w:val="30"/>
          <w:szCs w:val="30"/>
          <w:lang w:eastAsia="zh-CN"/>
        </w:rPr>
        <w:t>8</w:t>
      </w:r>
      <w:r>
        <w:rPr>
          <w:rFonts w:ascii="Times New Roman" w:eastAsia="Times New Roman" w:hAnsi="Times New Roman" w:cs="Times New Roman"/>
          <w:b/>
          <w:bCs/>
          <w:color w:val="auto"/>
          <w:spacing w:val="-6"/>
          <w:sz w:val="30"/>
          <w:szCs w:val="30"/>
          <w:lang w:eastAsia="zh-CN"/>
        </w:rPr>
        <w:t>.</w:t>
      </w:r>
      <w:r>
        <w:rPr>
          <w:rFonts w:ascii="Times New Roman" w:eastAsia="宋体" w:hAnsi="Times New Roman" w:cs="Times New Roman" w:hint="eastAsia"/>
          <w:b/>
          <w:bCs/>
          <w:color w:val="auto"/>
          <w:spacing w:val="-6"/>
          <w:sz w:val="30"/>
          <w:szCs w:val="30"/>
          <w:lang w:eastAsia="zh-CN"/>
        </w:rPr>
        <w:t>2</w:t>
      </w:r>
      <w:r>
        <w:rPr>
          <w:rFonts w:ascii="Times New Roman" w:eastAsia="Times New Roman" w:hAnsi="Times New Roman" w:cs="Times New Roman"/>
          <w:b/>
          <w:bCs/>
          <w:color w:val="auto"/>
          <w:spacing w:val="-6"/>
          <w:sz w:val="30"/>
          <w:szCs w:val="30"/>
          <w:lang w:eastAsia="zh-CN"/>
        </w:rPr>
        <w:t>生态用海对策</w:t>
      </w:r>
      <w:bookmarkEnd w:id="368"/>
      <w:bookmarkEnd w:id="369"/>
      <w:bookmarkEnd w:id="370"/>
    </w:p>
    <w:p w14:paraId="00F33890" w14:textId="77777777" w:rsidR="0075791A" w:rsidRDefault="00FB2864">
      <w:pPr>
        <w:spacing w:line="360" w:lineRule="auto"/>
        <w:ind w:left="11"/>
        <w:outlineLvl w:val="2"/>
        <w:rPr>
          <w:rFonts w:ascii="Times New Roman" w:eastAsia="宋体" w:hAnsi="Times New Roman" w:cs="宋体"/>
          <w:color w:val="auto"/>
          <w:sz w:val="28"/>
          <w:szCs w:val="28"/>
          <w:lang w:eastAsia="zh-CN"/>
        </w:rPr>
      </w:pPr>
      <w:bookmarkStart w:id="371" w:name="_Toc30895"/>
      <w:r>
        <w:rPr>
          <w:rFonts w:ascii="Times New Roman" w:eastAsia="宋体" w:hAnsi="Times New Roman" w:cs="Times New Roman" w:hint="eastAsia"/>
          <w:b/>
          <w:bCs/>
          <w:color w:val="auto"/>
          <w:spacing w:val="-2"/>
          <w:sz w:val="28"/>
          <w:szCs w:val="28"/>
          <w:lang w:eastAsia="zh-CN"/>
        </w:rPr>
        <w:t>8</w:t>
      </w:r>
      <w:r>
        <w:rPr>
          <w:rFonts w:ascii="Times New Roman" w:eastAsia="Times New Roman" w:hAnsi="Times New Roman" w:cs="Times New Roman"/>
          <w:b/>
          <w:bCs/>
          <w:color w:val="auto"/>
          <w:spacing w:val="-2"/>
          <w:sz w:val="28"/>
          <w:szCs w:val="28"/>
          <w:lang w:eastAsia="zh-CN"/>
        </w:rPr>
        <w:t>.</w:t>
      </w:r>
      <w:r>
        <w:rPr>
          <w:rFonts w:ascii="Times New Roman" w:eastAsia="宋体" w:hAnsi="Times New Roman" w:cs="Times New Roman" w:hint="eastAsia"/>
          <w:b/>
          <w:bCs/>
          <w:color w:val="auto"/>
          <w:spacing w:val="-2"/>
          <w:sz w:val="28"/>
          <w:szCs w:val="28"/>
          <w:lang w:eastAsia="zh-CN"/>
        </w:rPr>
        <w:t>2</w:t>
      </w:r>
      <w:r>
        <w:rPr>
          <w:rFonts w:ascii="Times New Roman" w:eastAsia="Times New Roman" w:hAnsi="Times New Roman" w:cs="Times New Roman"/>
          <w:b/>
          <w:bCs/>
          <w:color w:val="auto"/>
          <w:spacing w:val="-2"/>
          <w:sz w:val="28"/>
          <w:szCs w:val="28"/>
          <w:lang w:eastAsia="zh-CN"/>
        </w:rPr>
        <w:t>.1</w:t>
      </w:r>
      <w:r>
        <w:rPr>
          <w:rFonts w:ascii="Times New Roman" w:eastAsia="宋体" w:hAnsi="Times New Roman" w:cs="宋体"/>
          <w:b/>
          <w:bCs/>
          <w:color w:val="auto"/>
          <w:spacing w:val="-2"/>
          <w:sz w:val="28"/>
          <w:szCs w:val="28"/>
          <w:lang w:eastAsia="zh-CN"/>
        </w:rPr>
        <w:t>生态保护对策</w:t>
      </w:r>
      <w:bookmarkEnd w:id="371"/>
    </w:p>
    <w:p w14:paraId="0DCDAD6E" w14:textId="77777777" w:rsidR="0075791A" w:rsidRDefault="00FB2864">
      <w:pPr>
        <w:spacing w:line="360" w:lineRule="auto"/>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8.2.1.1</w:t>
      </w:r>
      <w:r>
        <w:rPr>
          <w:rFonts w:ascii="Times New Roman" w:eastAsia="宋体" w:hAnsi="Times New Roman" w:hint="eastAsia"/>
          <w:b/>
          <w:color w:val="auto"/>
          <w:sz w:val="24"/>
          <w:szCs w:val="24"/>
          <w:lang w:eastAsia="zh-CN"/>
        </w:rPr>
        <w:t>生态环境保护措施</w:t>
      </w:r>
    </w:p>
    <w:p w14:paraId="26830285" w14:textId="77777777" w:rsidR="0075791A" w:rsidRDefault="00FB2864">
      <w:pPr>
        <w:spacing w:line="360" w:lineRule="auto"/>
        <w:ind w:firstLineChars="200" w:firstLine="478"/>
        <w:jc w:val="both"/>
        <w:rPr>
          <w:rFonts w:ascii="Times New Roman" w:eastAsia="宋体" w:hAnsi="Times New Roman" w:cs="宋体"/>
          <w:b/>
          <w:bCs/>
          <w:color w:val="auto"/>
          <w:spacing w:val="-2"/>
          <w:sz w:val="24"/>
          <w:szCs w:val="24"/>
          <w:lang w:eastAsia="zh-CN"/>
        </w:rPr>
      </w:pPr>
      <w:bookmarkStart w:id="372" w:name="_Toc7474"/>
      <w:r>
        <w:rPr>
          <w:rFonts w:ascii="Times New Roman" w:eastAsia="宋体" w:hAnsi="Times New Roman" w:cs="宋体" w:hint="eastAsia"/>
          <w:b/>
          <w:bCs/>
          <w:color w:val="auto"/>
          <w:spacing w:val="-2"/>
          <w:sz w:val="24"/>
          <w:szCs w:val="24"/>
          <w:lang w:eastAsia="zh-CN"/>
        </w:rPr>
        <w:t>1.</w:t>
      </w:r>
      <w:r>
        <w:rPr>
          <w:rFonts w:ascii="Times New Roman" w:eastAsia="宋体" w:hAnsi="Times New Roman" w:cs="宋体" w:hint="eastAsia"/>
          <w:b/>
          <w:bCs/>
          <w:color w:val="auto"/>
          <w:spacing w:val="-2"/>
          <w:sz w:val="24"/>
          <w:szCs w:val="24"/>
          <w:lang w:eastAsia="zh-CN"/>
        </w:rPr>
        <w:t>海洋生物生态保护措施</w:t>
      </w:r>
    </w:p>
    <w:p w14:paraId="0B047815"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清淤疏浚施工，造成底栖、潮间带生物资源损失，但</w:t>
      </w:r>
      <w:r>
        <w:rPr>
          <w:rFonts w:ascii="Times New Roman" w:eastAsia="宋体" w:hAnsi="Times New Roman" w:cs="Times New Roman" w:hint="eastAsia"/>
          <w:snapToGrid/>
          <w:color w:val="auto"/>
          <w:kern w:val="2"/>
          <w:sz w:val="24"/>
          <w:szCs w:val="24"/>
          <w:lang w:eastAsia="zh-CN"/>
        </w:rPr>
        <w:t>施工完成后种植区将形成新的滩涂底土环境，底栖生物、潮间带生物可重新形成生态系统。</w:t>
      </w:r>
    </w:p>
    <w:p w14:paraId="457F6B9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清淤疏浚、疏浚土回填、微地形改造</w:t>
      </w:r>
      <w:r>
        <w:rPr>
          <w:rFonts w:ascii="Times New Roman" w:eastAsia="宋体" w:hAnsi="Times New Roman" w:cs="宋体"/>
          <w:color w:val="auto"/>
          <w:spacing w:val="-2"/>
          <w:sz w:val="24"/>
          <w:szCs w:val="24"/>
          <w:lang w:eastAsia="zh-CN"/>
        </w:rPr>
        <w:t>等将对水体、底泥造成扰动</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产生大量悬浮物</w:t>
      </w:r>
      <w:r>
        <w:rPr>
          <w:rFonts w:ascii="Times New Roman" w:eastAsia="宋体" w:hAnsi="Times New Roman" w:cs="宋体" w:hint="eastAsia"/>
          <w:color w:val="auto"/>
          <w:spacing w:val="-2"/>
          <w:sz w:val="24"/>
          <w:szCs w:val="24"/>
          <w:lang w:eastAsia="zh-CN"/>
        </w:rPr>
        <w:t>，影响水质，进而进行海洋生物生态，但</w:t>
      </w:r>
      <w:r>
        <w:rPr>
          <w:rFonts w:ascii="Times New Roman" w:eastAsia="宋体" w:hAnsi="Times New Roman" w:cs="宋体"/>
          <w:color w:val="auto"/>
          <w:spacing w:val="-2"/>
          <w:sz w:val="24"/>
          <w:szCs w:val="24"/>
          <w:lang w:eastAsia="zh-CN"/>
        </w:rPr>
        <w:t>施工结束后，水质环境得到进一步改善，将重新</w:t>
      </w:r>
      <w:r>
        <w:rPr>
          <w:rFonts w:ascii="Times New Roman" w:eastAsia="宋体" w:hAnsi="Times New Roman" w:cs="宋体"/>
          <w:color w:val="auto"/>
          <w:spacing w:val="-2"/>
          <w:sz w:val="24"/>
          <w:szCs w:val="24"/>
          <w:lang w:eastAsia="zh-CN"/>
        </w:rPr>
        <w:lastRenderedPageBreak/>
        <w:t>为鱼类和底栖生物、浮游生物提供适宜的生态环境，底栖动物种类、数量将得到较大提升，随着饵料生物的增加，鱼类的密度也将相应得到增加，有利于水生生物物种正常地生存、繁衍</w:t>
      </w:r>
      <w:r>
        <w:rPr>
          <w:rFonts w:ascii="Times New Roman" w:eastAsia="宋体" w:hAnsi="Times New Roman" w:cs="宋体" w:hint="eastAsia"/>
          <w:color w:val="auto"/>
          <w:spacing w:val="-2"/>
          <w:sz w:val="24"/>
          <w:szCs w:val="24"/>
          <w:lang w:eastAsia="zh-CN"/>
        </w:rPr>
        <w:t>与协调发展。</w:t>
      </w:r>
    </w:p>
    <w:p w14:paraId="444FA3FC"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清淤工程可通过通过</w:t>
      </w:r>
      <w:r>
        <w:rPr>
          <w:rFonts w:ascii="Times New Roman" w:eastAsia="宋体" w:hAnsi="Times New Roman" w:cs="宋体" w:hint="eastAsia"/>
          <w:color w:val="auto"/>
          <w:sz w:val="24"/>
          <w:szCs w:val="24"/>
          <w:lang w:eastAsia="zh-CN"/>
        </w:rPr>
        <w:t>控制</w:t>
      </w:r>
      <w:r>
        <w:rPr>
          <w:rFonts w:ascii="宋体" w:eastAsia="宋体" w:hAnsi="宋体" w:cs="宋体"/>
          <w:color w:val="auto"/>
          <w:sz w:val="24"/>
          <w:szCs w:val="24"/>
          <w:lang w:eastAsia="zh-CN" w:bidi="ar"/>
        </w:rPr>
        <w:t>抓斗下放、提升速度</w:t>
      </w:r>
      <w:r>
        <w:rPr>
          <w:rFonts w:ascii="宋体" w:eastAsia="宋体" w:hAnsi="宋体" w:cs="宋体" w:hint="eastAsia"/>
          <w:color w:val="auto"/>
          <w:sz w:val="24"/>
          <w:szCs w:val="24"/>
          <w:lang w:eastAsia="zh-CN" w:bidi="ar"/>
        </w:rPr>
        <w:t>、闭合性等</w:t>
      </w:r>
      <w:r>
        <w:rPr>
          <w:rFonts w:ascii="Times New Roman" w:eastAsia="宋体" w:hAnsi="Times New Roman" w:cs="宋体"/>
          <w:color w:val="auto"/>
          <w:sz w:val="24"/>
          <w:szCs w:val="24"/>
          <w:lang w:eastAsia="zh-CN"/>
        </w:rPr>
        <w:t>，减少清淤强度，降低水质影响，并根据实际施工产生的悬浮泥沙量及其扩散范围，在施工混水区投放设置防污帘、</w:t>
      </w:r>
      <w:r>
        <w:rPr>
          <w:rFonts w:ascii="Times New Roman" w:eastAsia="宋体" w:hAnsi="Times New Roman" w:cs="宋体" w:hint="eastAsia"/>
          <w:color w:val="auto"/>
          <w:sz w:val="24"/>
          <w:szCs w:val="24"/>
          <w:lang w:eastAsia="zh-CN"/>
        </w:rPr>
        <w:t>生态挡板</w:t>
      </w:r>
      <w:r>
        <w:rPr>
          <w:rFonts w:ascii="Times New Roman" w:eastAsia="宋体" w:hAnsi="Times New Roman" w:cs="宋体"/>
          <w:color w:val="auto"/>
          <w:sz w:val="24"/>
          <w:szCs w:val="24"/>
          <w:lang w:eastAsia="zh-CN"/>
        </w:rPr>
        <w:t>，控制悬浮物扩散范围。建议在湿地植被分布区域除设置生态木桩之外，再在保护范围外侧增设木质挡板，特别是河流转弯受冲刷严重的一侧区域须设置，若湿地植被群落呈岛状分布于河中，则周围均要布置生态木桩和木质挡板等防护措施，以减少水土流失。</w:t>
      </w:r>
    </w:p>
    <w:p w14:paraId="3E52E326" w14:textId="77777777" w:rsidR="0075791A" w:rsidRDefault="00FB2864">
      <w:pPr>
        <w:spacing w:line="360" w:lineRule="auto"/>
        <w:ind w:firstLineChars="200" w:firstLine="478"/>
        <w:jc w:val="both"/>
        <w:rPr>
          <w:rFonts w:ascii="Times New Roman" w:eastAsia="宋体" w:hAnsi="Times New Roman" w:cs="宋体"/>
          <w:b/>
          <w:bCs/>
          <w:color w:val="auto"/>
          <w:spacing w:val="-2"/>
          <w:sz w:val="24"/>
          <w:szCs w:val="24"/>
          <w:lang w:eastAsia="zh-CN"/>
        </w:rPr>
      </w:pPr>
      <w:r>
        <w:rPr>
          <w:rFonts w:ascii="Times New Roman" w:eastAsia="宋体" w:hAnsi="Times New Roman" w:cs="宋体" w:hint="eastAsia"/>
          <w:b/>
          <w:bCs/>
          <w:color w:val="auto"/>
          <w:spacing w:val="-2"/>
          <w:sz w:val="24"/>
          <w:szCs w:val="24"/>
          <w:lang w:eastAsia="zh-CN"/>
        </w:rPr>
        <w:t>2.</w:t>
      </w:r>
      <w:r>
        <w:rPr>
          <w:rFonts w:ascii="Times New Roman" w:eastAsia="宋体" w:hAnsi="Times New Roman" w:cs="宋体" w:hint="eastAsia"/>
          <w:b/>
          <w:bCs/>
          <w:color w:val="auto"/>
          <w:spacing w:val="-2"/>
          <w:sz w:val="24"/>
          <w:szCs w:val="24"/>
          <w:lang w:eastAsia="zh-CN"/>
        </w:rPr>
        <w:t>红树林</w:t>
      </w:r>
      <w:r>
        <w:rPr>
          <w:rFonts w:ascii="Times New Roman" w:eastAsia="宋体" w:hAnsi="Times New Roman" w:cs="宋体"/>
          <w:b/>
          <w:bCs/>
          <w:color w:val="auto"/>
          <w:spacing w:val="-2"/>
          <w:sz w:val="24"/>
          <w:szCs w:val="24"/>
          <w:lang w:eastAsia="zh-CN"/>
        </w:rPr>
        <w:t>保护措施</w:t>
      </w:r>
      <w:bookmarkEnd w:id="372"/>
    </w:p>
    <w:p w14:paraId="0CE0F22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加强项目</w:t>
      </w:r>
      <w:r>
        <w:rPr>
          <w:rFonts w:ascii="Times New Roman" w:eastAsia="宋体" w:hAnsi="Times New Roman" w:cs="宋体" w:hint="eastAsia"/>
          <w:color w:val="auto"/>
          <w:spacing w:val="-2"/>
          <w:sz w:val="24"/>
          <w:szCs w:val="24"/>
          <w:lang w:eastAsia="zh-CN"/>
        </w:rPr>
        <w:t>区域铁炉港</w:t>
      </w:r>
      <w:r>
        <w:rPr>
          <w:rFonts w:ascii="Times New Roman" w:eastAsia="宋体" w:hAnsi="Times New Roman" w:cs="宋体"/>
          <w:color w:val="auto"/>
          <w:spacing w:val="-2"/>
          <w:sz w:val="24"/>
          <w:szCs w:val="24"/>
          <w:lang w:eastAsia="zh-CN"/>
        </w:rPr>
        <w:t>红树林自然保护区的保护措施</w:t>
      </w:r>
    </w:p>
    <w:p w14:paraId="2CB6E211"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禁止任何生产性或经营性活动；非经过科学评价、合理性论证，以及未经过保护区上级主管部门同意的项目，核心区内禁止进行（包括原有退塘还湿和植被修复、外来物种清除等项目）；重点保护白骨壤群落、正红树群落、木果楝群落、榄李群落等自然植物群落，通过相应管理措施，提高红树林质量，保障核心区的红树林面积；对外来入侵物种以及本地威胁种要严格管控，在清除时，也注意必须通过科学论证和通过许可方可进行。</w:t>
      </w:r>
    </w:p>
    <w:p w14:paraId="7F0B717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修复补植过程禁止引种其他外来入侵物种</w:t>
      </w:r>
    </w:p>
    <w:p w14:paraId="750D4436"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未来的生态修复补植和其他景观改造等工程，对外来物种的引种栽培要科学、慎重。禁止引种带</w:t>
      </w:r>
      <w:r>
        <w:rPr>
          <w:rFonts w:ascii="Times New Roman" w:eastAsia="宋体" w:hAnsi="Times New Roman" w:cs="宋体"/>
          <w:color w:val="auto"/>
          <w:spacing w:val="-2"/>
          <w:sz w:val="24"/>
          <w:szCs w:val="24"/>
          <w:lang w:eastAsia="zh-CN"/>
        </w:rPr>
        <w:t>有病虫害的植物，禁止栽种光荚含羞草、银合欢、马樱丹、南美蟛蜞菊和多花山猪菜等外来入侵物种作为项目其他地块的绿化树种。多选择本土的物种，挖掘和发扬本地资源的优势是保持本地特色的先决条件，施工与绿化、护坡应同时施工，应做到边使用，边平整，边绿化，边复耕。</w:t>
      </w:r>
    </w:p>
    <w:p w14:paraId="18FEC53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根据红树植物的生物学特性，科学配置红树林修复设计</w:t>
      </w:r>
    </w:p>
    <w:p w14:paraId="00E1146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整个项目区要根据潮位和海水盐度等科学配置红树林补植。如，卤蕨（多年生草本植物，高度可达</w:t>
      </w:r>
      <w:r>
        <w:rPr>
          <w:rFonts w:ascii="Times New Roman" w:eastAsia="宋体" w:hAnsi="Times New Roman" w:cs="宋体"/>
          <w:color w:val="auto"/>
          <w:spacing w:val="-2"/>
          <w:sz w:val="24"/>
          <w:szCs w:val="24"/>
          <w:lang w:eastAsia="zh-CN"/>
        </w:rPr>
        <w:t>2m</w:t>
      </w:r>
      <w:r>
        <w:rPr>
          <w:rFonts w:ascii="Times New Roman" w:eastAsia="宋体" w:hAnsi="Times New Roman" w:cs="宋体"/>
          <w:color w:val="auto"/>
          <w:spacing w:val="-2"/>
          <w:sz w:val="24"/>
          <w:szCs w:val="24"/>
          <w:lang w:eastAsia="zh-CN"/>
        </w:rPr>
        <w:t>），生长于周期性潮水浸淹的滩涂或者只有特大高潮才能影响到的湿润地区，在沙地上也能生长；白骨壤（红树林先锋树种之一）</w:t>
      </w:r>
      <w:r>
        <w:rPr>
          <w:rFonts w:ascii="Times New Roman" w:eastAsia="宋体" w:hAnsi="Times New Roman" w:cs="宋体"/>
          <w:color w:val="auto"/>
          <w:spacing w:val="-2"/>
          <w:sz w:val="24"/>
          <w:szCs w:val="24"/>
          <w:lang w:eastAsia="zh-CN"/>
        </w:rPr>
        <w:t>，适宜生长于贫瘠的沙质或泥沙质潮滩，主要分布在低潮带，适应性广；榄李生长于高潮带或大潮可淹没的泥沙地；海漆（半常绿或落叶乔木，表面根发达），生长于高潮带以上的红树林内缘和不受潮汐影响的地带。</w:t>
      </w:r>
    </w:p>
    <w:p w14:paraId="55D9183F"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lastRenderedPageBreak/>
        <w:t>为了保证种植区生境适宜红树林生长，补植红树林时可按需要进行起垄改造，要在滩面上至少有</w:t>
      </w:r>
      <w:r>
        <w:rPr>
          <w:rFonts w:ascii="Times New Roman" w:eastAsia="宋体" w:hAnsi="Times New Roman" w:cs="宋体"/>
          <w:color w:val="auto"/>
          <w:spacing w:val="-2"/>
          <w:sz w:val="24"/>
          <w:szCs w:val="24"/>
          <w:lang w:eastAsia="zh-CN"/>
        </w:rPr>
        <w:t>20cm</w:t>
      </w:r>
      <w:r>
        <w:rPr>
          <w:rFonts w:ascii="Times New Roman" w:eastAsia="宋体" w:hAnsi="Times New Roman" w:cs="宋体"/>
          <w:color w:val="auto"/>
          <w:spacing w:val="-2"/>
          <w:sz w:val="24"/>
          <w:szCs w:val="24"/>
          <w:lang w:eastAsia="zh-CN"/>
        </w:rPr>
        <w:t>厚的淤泥或搅拌泥沙混合层不低于</w:t>
      </w:r>
      <w:r>
        <w:rPr>
          <w:rFonts w:ascii="Times New Roman" w:eastAsia="宋体" w:hAnsi="Times New Roman" w:cs="宋体"/>
          <w:color w:val="auto"/>
          <w:spacing w:val="-2"/>
          <w:sz w:val="24"/>
          <w:szCs w:val="24"/>
          <w:lang w:eastAsia="zh-CN"/>
        </w:rPr>
        <w:t>50cm</w:t>
      </w:r>
      <w:r>
        <w:rPr>
          <w:rFonts w:ascii="Times New Roman" w:eastAsia="宋体" w:hAnsi="Times New Roman" w:cs="宋体"/>
          <w:color w:val="auto"/>
          <w:spacing w:val="-2"/>
          <w:sz w:val="24"/>
          <w:szCs w:val="24"/>
          <w:lang w:eastAsia="zh-CN"/>
        </w:rPr>
        <w:t>。最后，根据《海南省红树林生态修复手册》，尽量在风浪较小，潮水冲刷影响不大的滩涂造林，选用小营养袋苗造林，造林密度为</w:t>
      </w:r>
      <w:r>
        <w:rPr>
          <w:rFonts w:ascii="Times New Roman" w:eastAsia="宋体" w:hAnsi="Times New Roman" w:cs="宋体"/>
          <w:color w:val="auto"/>
          <w:spacing w:val="-2"/>
          <w:sz w:val="24"/>
          <w:szCs w:val="24"/>
          <w:lang w:eastAsia="zh-CN"/>
        </w:rPr>
        <w:t>1m×1m</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2m×2m</w:t>
      </w:r>
      <w:r>
        <w:rPr>
          <w:rFonts w:ascii="Times New Roman" w:eastAsia="宋体" w:hAnsi="Times New Roman" w:cs="宋体"/>
          <w:color w:val="auto"/>
          <w:spacing w:val="-2"/>
          <w:sz w:val="24"/>
          <w:szCs w:val="24"/>
          <w:lang w:eastAsia="zh-CN"/>
        </w:rPr>
        <w:t>。</w:t>
      </w:r>
    </w:p>
    <w:p w14:paraId="04841EC1" w14:textId="77777777" w:rsidR="0075791A" w:rsidRDefault="00FB2864">
      <w:pPr>
        <w:spacing w:line="360" w:lineRule="auto"/>
        <w:ind w:firstLineChars="200" w:firstLine="476"/>
        <w:jc w:val="both"/>
        <w:rPr>
          <w:rFonts w:ascii="Times New Roman" w:eastAsia="宋体" w:hAnsi="Times New Roman" w:cs="Times New Roman"/>
          <w:snapToGrid/>
          <w:color w:val="auto"/>
          <w:kern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w:t>
      </w:r>
      <w:r>
        <w:rPr>
          <w:rFonts w:ascii="Times New Roman" w:eastAsia="宋体" w:hAnsi="Times New Roman" w:cs="Times New Roman" w:hint="eastAsia"/>
          <w:snapToGrid/>
          <w:color w:val="auto"/>
          <w:kern w:val="2"/>
          <w:sz w:val="24"/>
          <w:szCs w:val="24"/>
          <w:lang w:eastAsia="zh-CN"/>
        </w:rPr>
        <w:t>构筑物施工对沿线红树林保护措施</w:t>
      </w:r>
    </w:p>
    <w:p w14:paraId="5B9C8656"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为避免构筑物建设对沿线已种植红树林、桩基所在位置红树造成损害，在施工前将受影响红树就近移植，并在施工完成后再重新移回。</w:t>
      </w:r>
    </w:p>
    <w:p w14:paraId="1EDA823D"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w:t>
      </w:r>
      <w:r>
        <w:rPr>
          <w:rFonts w:ascii="Times New Roman" w:eastAsia="宋体" w:hAnsi="Times New Roman" w:cs="Times New Roman" w:hint="eastAsia"/>
          <w:snapToGrid/>
          <w:color w:val="auto"/>
          <w:kern w:val="2"/>
          <w:sz w:val="24"/>
          <w:szCs w:val="24"/>
          <w:lang w:eastAsia="zh-CN"/>
        </w:rPr>
        <w:t>5</w:t>
      </w:r>
      <w:r>
        <w:rPr>
          <w:rFonts w:ascii="Times New Roman" w:eastAsia="宋体" w:hAnsi="Times New Roman" w:cs="Times New Roman" w:hint="eastAsia"/>
          <w:snapToGrid/>
          <w:color w:val="auto"/>
          <w:kern w:val="2"/>
          <w:sz w:val="24"/>
          <w:szCs w:val="24"/>
          <w:lang w:eastAsia="zh-CN"/>
        </w:rPr>
        <w:t>）悬浮物扩散对红树林保护措施</w:t>
      </w:r>
    </w:p>
    <w:p w14:paraId="3FC30E57"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通过控制设置防污帘、对红树林进行生态修复、施工避让涨潮期等措施，可以有效减轻悬浮泥沙对红树林的危害。施</w:t>
      </w:r>
      <w:r>
        <w:rPr>
          <w:rFonts w:ascii="Times New Roman" w:eastAsia="宋体" w:hAnsi="Times New Roman" w:cs="Times New Roman"/>
          <w:snapToGrid/>
          <w:color w:val="auto"/>
          <w:kern w:val="2"/>
          <w:sz w:val="24"/>
          <w:szCs w:val="24"/>
          <w:lang w:eastAsia="zh-CN"/>
        </w:rPr>
        <w:t>工期间，采取防污帘、控制施工强度</w:t>
      </w:r>
      <w:r>
        <w:rPr>
          <w:rFonts w:ascii="Times New Roman" w:eastAsia="宋体" w:hAnsi="Times New Roman" w:cs="Times New Roman" w:hint="eastAsia"/>
          <w:snapToGrid/>
          <w:color w:val="auto"/>
          <w:kern w:val="2"/>
          <w:sz w:val="24"/>
          <w:szCs w:val="24"/>
          <w:lang w:eastAsia="zh-CN"/>
        </w:rPr>
        <w:t>、施工避让涨潮期</w:t>
      </w:r>
      <w:r>
        <w:rPr>
          <w:rFonts w:ascii="Times New Roman" w:eastAsia="宋体" w:hAnsi="Times New Roman" w:cs="Times New Roman"/>
          <w:snapToGrid/>
          <w:color w:val="auto"/>
          <w:kern w:val="2"/>
          <w:sz w:val="24"/>
          <w:szCs w:val="24"/>
          <w:lang w:eastAsia="zh-CN"/>
        </w:rPr>
        <w:t>等措施后，悬沙扩散范围将很小，仅在施工点水域周围扩散，随着施工结束而悬沙自然沉降后，影响也随之消失，因此，项目施工不会对红树林生境产生较大影响。</w:t>
      </w:r>
    </w:p>
    <w:p w14:paraId="3909F194" w14:textId="77777777" w:rsidR="0075791A" w:rsidRDefault="00FB2864">
      <w:pPr>
        <w:spacing w:line="360" w:lineRule="auto"/>
        <w:ind w:firstLineChars="200" w:firstLine="480"/>
        <w:jc w:val="both"/>
        <w:rPr>
          <w:rFonts w:ascii="Times New Roman" w:eastAsia="宋体" w:hAnsi="Times New Roman" w:cs="Times New Roman"/>
          <w:snapToGrid/>
          <w:color w:val="auto"/>
          <w:kern w:val="2"/>
          <w:sz w:val="24"/>
          <w:szCs w:val="24"/>
          <w:lang w:eastAsia="zh-CN"/>
        </w:rPr>
      </w:pPr>
      <w:r>
        <w:rPr>
          <w:rFonts w:ascii="Times New Roman" w:eastAsia="宋体" w:hAnsi="Times New Roman" w:cs="Times New Roman" w:hint="eastAsia"/>
          <w:snapToGrid/>
          <w:color w:val="auto"/>
          <w:kern w:val="2"/>
          <w:sz w:val="24"/>
          <w:szCs w:val="24"/>
          <w:lang w:eastAsia="zh-CN"/>
        </w:rPr>
        <w:t>此外，制度溢油应急预案，</w:t>
      </w:r>
      <w:r>
        <w:rPr>
          <w:rFonts w:ascii="Times New Roman" w:eastAsia="宋体" w:hAnsi="Times New Roman" w:cs="Times New Roman"/>
          <w:snapToGrid/>
          <w:color w:val="auto"/>
          <w:kern w:val="2"/>
          <w:sz w:val="24"/>
          <w:szCs w:val="24"/>
          <w:lang w:eastAsia="zh-CN"/>
        </w:rPr>
        <w:t>在发生溢油</w:t>
      </w:r>
      <w:r>
        <w:rPr>
          <w:rFonts w:ascii="Times New Roman" w:eastAsia="宋体" w:hAnsi="Times New Roman" w:cs="Times New Roman" w:hint="eastAsia"/>
          <w:snapToGrid/>
          <w:color w:val="auto"/>
          <w:kern w:val="2"/>
          <w:sz w:val="24"/>
          <w:szCs w:val="24"/>
          <w:lang w:eastAsia="zh-CN"/>
        </w:rPr>
        <w:t>事故</w:t>
      </w:r>
      <w:r>
        <w:rPr>
          <w:rFonts w:ascii="Times New Roman" w:eastAsia="宋体" w:hAnsi="Times New Roman" w:cs="Times New Roman"/>
          <w:snapToGrid/>
          <w:color w:val="auto"/>
          <w:kern w:val="2"/>
          <w:sz w:val="24"/>
          <w:szCs w:val="24"/>
          <w:lang w:eastAsia="zh-CN"/>
        </w:rPr>
        <w:t>时，应当及时采取相应措施</w:t>
      </w:r>
      <w:r>
        <w:rPr>
          <w:rFonts w:ascii="Times New Roman" w:eastAsia="宋体" w:hAnsi="Times New Roman" w:cs="Times New Roman"/>
          <w:snapToGrid/>
          <w:color w:val="auto"/>
          <w:kern w:val="2"/>
          <w:sz w:val="24"/>
          <w:szCs w:val="24"/>
          <w:lang w:eastAsia="zh-CN"/>
        </w:rPr>
        <w:t>防止溢油扩散，最大限度地减少溢油污染对红树林</w:t>
      </w:r>
      <w:r>
        <w:rPr>
          <w:rFonts w:ascii="Times New Roman" w:eastAsia="宋体" w:hAnsi="Times New Roman" w:cs="Times New Roman" w:hint="eastAsia"/>
          <w:snapToGrid/>
          <w:color w:val="auto"/>
          <w:kern w:val="2"/>
          <w:sz w:val="24"/>
          <w:szCs w:val="24"/>
          <w:lang w:eastAsia="zh-CN"/>
        </w:rPr>
        <w:t>、珊瑚礁、海草床</w:t>
      </w:r>
      <w:r>
        <w:rPr>
          <w:rFonts w:ascii="Times New Roman" w:eastAsia="宋体" w:hAnsi="Times New Roman" w:cs="Times New Roman"/>
          <w:snapToGrid/>
          <w:color w:val="auto"/>
          <w:kern w:val="2"/>
          <w:sz w:val="24"/>
          <w:szCs w:val="24"/>
          <w:lang w:eastAsia="zh-CN"/>
        </w:rPr>
        <w:t>的危害。</w:t>
      </w:r>
    </w:p>
    <w:p w14:paraId="4D8589AA" w14:textId="77777777" w:rsidR="0075791A" w:rsidRDefault="00FB2864">
      <w:pPr>
        <w:spacing w:line="360" w:lineRule="auto"/>
        <w:ind w:firstLineChars="200" w:firstLine="478"/>
        <w:jc w:val="both"/>
        <w:rPr>
          <w:rFonts w:ascii="Times New Roman" w:eastAsia="宋体" w:hAnsi="Times New Roman" w:cs="宋体"/>
          <w:b/>
          <w:bCs/>
          <w:color w:val="auto"/>
          <w:spacing w:val="-2"/>
          <w:sz w:val="24"/>
          <w:szCs w:val="24"/>
          <w:lang w:eastAsia="zh-CN"/>
        </w:rPr>
      </w:pPr>
      <w:bookmarkStart w:id="373" w:name="_Toc13646"/>
      <w:r>
        <w:rPr>
          <w:rFonts w:ascii="Times New Roman" w:eastAsia="宋体" w:hAnsi="Times New Roman" w:cs="宋体" w:hint="eastAsia"/>
          <w:b/>
          <w:bCs/>
          <w:color w:val="auto"/>
          <w:spacing w:val="-2"/>
          <w:sz w:val="24"/>
          <w:szCs w:val="24"/>
          <w:lang w:eastAsia="zh-CN"/>
        </w:rPr>
        <w:t>3.</w:t>
      </w:r>
      <w:r>
        <w:rPr>
          <w:rFonts w:ascii="Times New Roman" w:eastAsia="宋体" w:hAnsi="Times New Roman" w:cs="宋体" w:hint="eastAsia"/>
          <w:b/>
          <w:bCs/>
          <w:color w:val="auto"/>
          <w:spacing w:val="-2"/>
          <w:sz w:val="24"/>
          <w:szCs w:val="24"/>
          <w:lang w:eastAsia="zh-CN"/>
        </w:rPr>
        <w:t>野生</w:t>
      </w:r>
      <w:r>
        <w:rPr>
          <w:rFonts w:ascii="Times New Roman" w:eastAsia="宋体" w:hAnsi="Times New Roman" w:cs="宋体"/>
          <w:b/>
          <w:bCs/>
          <w:color w:val="auto"/>
          <w:spacing w:val="-2"/>
          <w:sz w:val="24"/>
          <w:szCs w:val="24"/>
          <w:lang w:eastAsia="zh-CN"/>
        </w:rPr>
        <w:t>动物保护措施</w:t>
      </w:r>
      <w:bookmarkEnd w:id="373"/>
    </w:p>
    <w:p w14:paraId="16FF22DD" w14:textId="77777777" w:rsidR="0075791A" w:rsidRDefault="00FB2864">
      <w:pPr>
        <w:spacing w:line="360" w:lineRule="auto"/>
        <w:ind w:firstLineChars="200" w:firstLine="478"/>
        <w:jc w:val="both"/>
        <w:rPr>
          <w:rFonts w:ascii="Times New Roman" w:eastAsia="宋体" w:hAnsi="Times New Roman" w:cs="宋体"/>
          <w:b/>
          <w:bCs/>
          <w:color w:val="auto"/>
          <w:spacing w:val="-2"/>
          <w:sz w:val="24"/>
          <w:szCs w:val="24"/>
          <w:lang w:eastAsia="zh-CN"/>
        </w:rPr>
      </w:pPr>
      <w:bookmarkStart w:id="374" w:name="_Toc19267"/>
      <w:r>
        <w:rPr>
          <w:rFonts w:ascii="Times New Roman" w:eastAsia="宋体" w:hAnsi="Times New Roman" w:cs="宋体" w:hint="eastAsia"/>
          <w:b/>
          <w:bCs/>
          <w:color w:val="auto"/>
          <w:spacing w:val="-2"/>
          <w:sz w:val="24"/>
          <w:szCs w:val="24"/>
          <w:lang w:eastAsia="zh-CN"/>
        </w:rPr>
        <w:t>A</w:t>
      </w:r>
      <w:r>
        <w:rPr>
          <w:rFonts w:ascii="Times New Roman" w:eastAsia="宋体" w:hAnsi="Times New Roman" w:cs="宋体" w:hint="eastAsia"/>
          <w:b/>
          <w:bCs/>
          <w:color w:val="auto"/>
          <w:spacing w:val="-2"/>
          <w:sz w:val="24"/>
          <w:szCs w:val="24"/>
          <w:lang w:eastAsia="zh-CN"/>
        </w:rPr>
        <w:t>陆生动物保护措施</w:t>
      </w:r>
      <w:bookmarkEnd w:id="374"/>
    </w:p>
    <w:p w14:paraId="54E9458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1</w:t>
      </w:r>
      <w:r>
        <w:rPr>
          <w:rFonts w:ascii="Times New Roman" w:eastAsia="宋体" w:hAnsi="Times New Roman" w:cs="宋体"/>
          <w:color w:val="auto"/>
          <w:spacing w:val="-2"/>
          <w:sz w:val="24"/>
          <w:szCs w:val="24"/>
          <w:lang w:eastAsia="zh-CN"/>
        </w:rPr>
        <w:t>）施工期，要创造</w:t>
      </w:r>
      <w:r>
        <w:rPr>
          <w:rFonts w:ascii="Times New Roman" w:eastAsia="宋体" w:hAnsi="Times New Roman" w:cs="宋体" w:hint="eastAsia"/>
          <w:color w:val="auto"/>
          <w:spacing w:val="-2"/>
          <w:sz w:val="24"/>
          <w:szCs w:val="24"/>
          <w:lang w:eastAsia="zh-CN"/>
        </w:rPr>
        <w:t>铁炉港</w:t>
      </w:r>
      <w:r>
        <w:rPr>
          <w:rFonts w:ascii="Times New Roman" w:eastAsia="宋体" w:hAnsi="Times New Roman" w:cs="宋体"/>
          <w:color w:val="auto"/>
          <w:spacing w:val="-2"/>
          <w:sz w:val="24"/>
          <w:szCs w:val="24"/>
          <w:lang w:eastAsia="zh-CN"/>
        </w:rPr>
        <w:t>岸缘的浅水湿地生境，为鹭鸟、鸻鹬类提供有效的浅水觅食空间，不要全面用本土红树植物、半红树植物进行全覆盖式的进行替换，要为两栖动物提供可能进入的空间，同时</w:t>
      </w:r>
      <w:r>
        <w:rPr>
          <w:rFonts w:ascii="Times New Roman" w:eastAsia="宋体" w:hAnsi="Times New Roman" w:cs="宋体" w:hint="eastAsia"/>
          <w:color w:val="auto"/>
          <w:spacing w:val="-2"/>
          <w:sz w:val="24"/>
          <w:szCs w:val="24"/>
          <w:lang w:eastAsia="zh-CN"/>
        </w:rPr>
        <w:t>为</w:t>
      </w:r>
      <w:r>
        <w:rPr>
          <w:rFonts w:ascii="Times New Roman" w:eastAsia="宋体" w:hAnsi="Times New Roman" w:cs="宋体"/>
          <w:color w:val="auto"/>
          <w:spacing w:val="-2"/>
          <w:sz w:val="24"/>
          <w:szCs w:val="24"/>
          <w:lang w:eastAsia="zh-CN"/>
        </w:rPr>
        <w:t>小型涉禽类提供觅食和停留的空间</w:t>
      </w:r>
      <w:r>
        <w:rPr>
          <w:rFonts w:ascii="Times New Roman" w:eastAsia="宋体" w:hAnsi="Times New Roman" w:cs="宋体" w:hint="eastAsia"/>
          <w:color w:val="auto"/>
          <w:spacing w:val="-2"/>
          <w:sz w:val="24"/>
          <w:szCs w:val="24"/>
          <w:lang w:eastAsia="zh-CN"/>
        </w:rPr>
        <w:t>；</w:t>
      </w:r>
    </w:p>
    <w:p w14:paraId="141D7D07"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2</w:t>
      </w:r>
      <w:r>
        <w:rPr>
          <w:rFonts w:ascii="Times New Roman" w:eastAsia="宋体" w:hAnsi="Times New Roman" w:cs="宋体"/>
          <w:color w:val="auto"/>
          <w:spacing w:val="-2"/>
          <w:sz w:val="24"/>
          <w:szCs w:val="24"/>
          <w:lang w:eastAsia="zh-CN"/>
        </w:rPr>
        <w:t>）材料运输方式要科学合理，避免大规模人为干扰，运输建设用的材料尽可能利用当地道路，避免新的临时占地的产生；</w:t>
      </w:r>
    </w:p>
    <w:p w14:paraId="4A522A5E"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3</w:t>
      </w:r>
      <w:r>
        <w:rPr>
          <w:rFonts w:ascii="Times New Roman" w:eastAsia="宋体" w:hAnsi="Times New Roman" w:cs="宋体"/>
          <w:color w:val="auto"/>
          <w:spacing w:val="-2"/>
          <w:sz w:val="24"/>
          <w:szCs w:val="24"/>
          <w:lang w:eastAsia="zh-CN"/>
        </w:rPr>
        <w:t>）湿地涉禽类不同类群喜好生境不同，如大多数鹬科鸟类喜好泥滩浅水湿地生境，而少量沙鸻类如铁嘴沙鸻、蒙古沙鸻喜好沙质浅水湿地；鹭鸟类则喜好即可以栖息又可以具有觅食的浅水岸缘；秧鸡科白胸苦恶鸟和黑水鸡喜好具有挺水植物的岸缘湿地；因此可根据这些湿地鸟类的不同生境特点进行生态修复，为</w:t>
      </w:r>
      <w:r>
        <w:rPr>
          <w:rFonts w:ascii="Times New Roman" w:eastAsia="宋体" w:hAnsi="Times New Roman" w:cs="宋体" w:hint="eastAsia"/>
          <w:color w:val="auto"/>
          <w:spacing w:val="-2"/>
          <w:sz w:val="24"/>
          <w:szCs w:val="24"/>
          <w:lang w:eastAsia="zh-CN"/>
        </w:rPr>
        <w:t>铁炉港</w:t>
      </w:r>
      <w:r>
        <w:rPr>
          <w:rFonts w:ascii="Times New Roman" w:eastAsia="宋体" w:hAnsi="Times New Roman" w:cs="宋体"/>
          <w:color w:val="auto"/>
          <w:spacing w:val="-2"/>
          <w:sz w:val="24"/>
          <w:szCs w:val="24"/>
          <w:lang w:eastAsia="zh-CN"/>
        </w:rPr>
        <w:t>湿地提供更多的湿地鸟类栖居的可能；</w:t>
      </w:r>
    </w:p>
    <w:p w14:paraId="4D30342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4</w:t>
      </w:r>
      <w:r>
        <w:rPr>
          <w:rFonts w:ascii="Times New Roman" w:eastAsia="宋体" w:hAnsi="Times New Roman" w:cs="宋体"/>
          <w:color w:val="auto"/>
          <w:spacing w:val="-2"/>
          <w:sz w:val="24"/>
          <w:szCs w:val="24"/>
          <w:lang w:eastAsia="zh-CN"/>
        </w:rPr>
        <w:t>）修建了沿</w:t>
      </w:r>
      <w:r>
        <w:rPr>
          <w:rFonts w:ascii="Times New Roman" w:eastAsia="宋体" w:hAnsi="Times New Roman" w:cs="宋体" w:hint="eastAsia"/>
          <w:color w:val="auto"/>
          <w:spacing w:val="-2"/>
          <w:sz w:val="24"/>
          <w:szCs w:val="24"/>
          <w:lang w:eastAsia="zh-CN"/>
        </w:rPr>
        <w:t>岸</w:t>
      </w:r>
      <w:r>
        <w:rPr>
          <w:rFonts w:ascii="Times New Roman" w:eastAsia="宋体" w:hAnsi="Times New Roman" w:cs="宋体"/>
          <w:color w:val="auto"/>
          <w:spacing w:val="-2"/>
          <w:sz w:val="24"/>
          <w:szCs w:val="24"/>
          <w:lang w:eastAsia="zh-CN"/>
        </w:rPr>
        <w:t>设施，实际上步道的建设会增加外来人员的介入，而容易对当地湿地鸟类的吸引产生影响，由于岸缘植被缺乏隔离带，会形成进入步道人员的影像干扰；</w:t>
      </w:r>
    </w:p>
    <w:p w14:paraId="4D4DE4D5"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5</w:t>
      </w:r>
      <w:r>
        <w:rPr>
          <w:rFonts w:ascii="Times New Roman" w:eastAsia="宋体" w:hAnsi="Times New Roman" w:cs="宋体"/>
          <w:color w:val="auto"/>
          <w:spacing w:val="-2"/>
          <w:sz w:val="24"/>
          <w:szCs w:val="24"/>
          <w:lang w:eastAsia="zh-CN"/>
        </w:rPr>
        <w:t>）</w:t>
      </w:r>
      <w:r>
        <w:rPr>
          <w:rFonts w:ascii="Times New Roman" w:eastAsia="宋体" w:hAnsi="Times New Roman" w:cs="宋体" w:hint="eastAsia"/>
          <w:color w:val="auto"/>
          <w:spacing w:val="-2"/>
          <w:sz w:val="24"/>
          <w:szCs w:val="24"/>
          <w:lang w:eastAsia="zh-CN"/>
        </w:rPr>
        <w:t>湿地</w:t>
      </w:r>
      <w:r>
        <w:rPr>
          <w:rFonts w:ascii="Times New Roman" w:eastAsia="宋体" w:hAnsi="Times New Roman" w:cs="宋体"/>
          <w:color w:val="auto"/>
          <w:spacing w:val="-2"/>
          <w:sz w:val="24"/>
          <w:szCs w:val="24"/>
          <w:lang w:eastAsia="zh-CN"/>
        </w:rPr>
        <w:t>生态的修复最好采取仿生态的方式进行，泥质或沙质岸缘浅水湿地，则会更加吸引水鸟进入，且泥质和沙质岸缘也为底栖动物提供更多的空间和食物资源，间接为湿地鸟类提供食物资源；</w:t>
      </w:r>
    </w:p>
    <w:p w14:paraId="4050945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lastRenderedPageBreak/>
        <w:t>（</w:t>
      </w:r>
      <w:r>
        <w:rPr>
          <w:rFonts w:ascii="Times New Roman" w:eastAsia="宋体" w:hAnsi="Times New Roman" w:cs="宋体"/>
          <w:color w:val="auto"/>
          <w:spacing w:val="-2"/>
          <w:sz w:val="24"/>
          <w:szCs w:val="24"/>
          <w:lang w:eastAsia="zh-CN"/>
        </w:rPr>
        <w:t>6</w:t>
      </w:r>
      <w:r>
        <w:rPr>
          <w:rFonts w:ascii="Times New Roman" w:eastAsia="宋体" w:hAnsi="Times New Roman" w:cs="宋体"/>
          <w:color w:val="auto"/>
          <w:spacing w:val="-2"/>
          <w:sz w:val="24"/>
          <w:szCs w:val="24"/>
          <w:lang w:eastAsia="zh-CN"/>
        </w:rPr>
        <w:t>）施工期最好避免在</w:t>
      </w:r>
      <w:r>
        <w:rPr>
          <w:rFonts w:ascii="Times New Roman" w:eastAsia="宋体" w:hAnsi="Times New Roman" w:cs="宋体"/>
          <w:color w:val="auto"/>
          <w:spacing w:val="-2"/>
          <w:sz w:val="24"/>
          <w:szCs w:val="24"/>
          <w:lang w:eastAsia="zh-CN"/>
        </w:rPr>
        <w:t>6:00-9:00</w:t>
      </w: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16:00-18:00</w:t>
      </w:r>
      <w:r>
        <w:rPr>
          <w:rFonts w:ascii="Times New Roman" w:eastAsia="宋体" w:hAnsi="Times New Roman" w:cs="宋体"/>
          <w:color w:val="auto"/>
          <w:spacing w:val="-2"/>
          <w:sz w:val="24"/>
          <w:szCs w:val="24"/>
          <w:lang w:eastAsia="zh-CN"/>
        </w:rPr>
        <w:t>时间段进行，以降低对当地湿地适应人为干扰能力较弱的陆生脊椎动物群落及重点保护动物的影响；施工期，避免大规模、大范围进行，优化施工方案，分</w:t>
      </w:r>
      <w:r>
        <w:rPr>
          <w:rFonts w:ascii="Times New Roman" w:eastAsia="宋体" w:hAnsi="Times New Roman" w:cs="宋体"/>
          <w:color w:val="auto"/>
          <w:spacing w:val="-2"/>
          <w:sz w:val="24"/>
          <w:szCs w:val="24"/>
          <w:lang w:eastAsia="zh-CN"/>
        </w:rPr>
        <w:t>段分时进行；</w:t>
      </w:r>
    </w:p>
    <w:p w14:paraId="6E57F36B"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7</w:t>
      </w:r>
      <w:r>
        <w:rPr>
          <w:rFonts w:ascii="Times New Roman" w:eastAsia="宋体" w:hAnsi="Times New Roman" w:cs="宋体"/>
          <w:color w:val="auto"/>
          <w:spacing w:val="-2"/>
          <w:sz w:val="24"/>
          <w:szCs w:val="24"/>
          <w:lang w:eastAsia="zh-CN"/>
        </w:rPr>
        <w:t>）在施工季节上，虽然要在拉关木繁殖前进行清除，但为避免对项目红线占地</w:t>
      </w:r>
      <w:r>
        <w:rPr>
          <w:rFonts w:ascii="Times New Roman" w:eastAsia="宋体" w:hAnsi="Times New Roman" w:cs="宋体"/>
          <w:color w:val="auto"/>
          <w:spacing w:val="-2"/>
          <w:sz w:val="24"/>
          <w:szCs w:val="24"/>
          <w:lang w:eastAsia="zh-CN"/>
        </w:rPr>
        <w:t>200m</w:t>
      </w:r>
      <w:r>
        <w:rPr>
          <w:rFonts w:ascii="Times New Roman" w:eastAsia="宋体" w:hAnsi="Times New Roman" w:cs="宋体"/>
          <w:color w:val="auto"/>
          <w:spacing w:val="-2"/>
          <w:sz w:val="24"/>
          <w:szCs w:val="24"/>
          <w:lang w:eastAsia="zh-CN"/>
        </w:rPr>
        <w:t>外的越冬鸟类的影响，最好在越冬期</w:t>
      </w:r>
      <w:r>
        <w:rPr>
          <w:rFonts w:ascii="Times New Roman" w:eastAsia="宋体" w:hAnsi="Times New Roman" w:cs="宋体"/>
          <w:color w:val="auto"/>
          <w:spacing w:val="-2"/>
          <w:sz w:val="24"/>
          <w:szCs w:val="24"/>
          <w:lang w:eastAsia="zh-CN"/>
        </w:rPr>
        <w:t>10-4</w:t>
      </w:r>
      <w:r>
        <w:rPr>
          <w:rFonts w:ascii="Times New Roman" w:eastAsia="宋体" w:hAnsi="Times New Roman" w:cs="宋体"/>
          <w:color w:val="auto"/>
          <w:spacing w:val="-2"/>
          <w:sz w:val="24"/>
          <w:szCs w:val="24"/>
          <w:lang w:eastAsia="zh-CN"/>
        </w:rPr>
        <w:t>月降低施工水平，尤其是</w:t>
      </w:r>
      <w:r>
        <w:rPr>
          <w:rFonts w:ascii="Times New Roman" w:eastAsia="宋体" w:hAnsi="Times New Roman" w:cs="宋体"/>
          <w:color w:val="auto"/>
          <w:spacing w:val="-2"/>
          <w:sz w:val="24"/>
          <w:szCs w:val="24"/>
          <w:lang w:eastAsia="zh-CN"/>
        </w:rPr>
        <w:t>10</w:t>
      </w:r>
      <w:r>
        <w:rPr>
          <w:rFonts w:ascii="Times New Roman" w:eastAsia="宋体" w:hAnsi="Times New Roman" w:cs="宋体"/>
          <w:color w:val="auto"/>
          <w:spacing w:val="-2"/>
          <w:sz w:val="24"/>
          <w:szCs w:val="24"/>
          <w:lang w:eastAsia="zh-CN"/>
        </w:rPr>
        <w:t>或</w:t>
      </w:r>
      <w:r>
        <w:rPr>
          <w:rFonts w:ascii="Times New Roman" w:eastAsia="宋体" w:hAnsi="Times New Roman" w:cs="宋体"/>
          <w:color w:val="auto"/>
          <w:spacing w:val="-2"/>
          <w:sz w:val="24"/>
          <w:szCs w:val="24"/>
          <w:lang w:eastAsia="zh-CN"/>
        </w:rPr>
        <w:t>4</w:t>
      </w:r>
      <w:r>
        <w:rPr>
          <w:rFonts w:ascii="Times New Roman" w:eastAsia="宋体" w:hAnsi="Times New Roman" w:cs="宋体"/>
          <w:color w:val="auto"/>
          <w:spacing w:val="-2"/>
          <w:sz w:val="24"/>
          <w:szCs w:val="24"/>
          <w:lang w:eastAsia="zh-CN"/>
        </w:rPr>
        <w:t>月是大量迁徙至海南或离开海南的时间；</w:t>
      </w:r>
    </w:p>
    <w:p w14:paraId="3F224EF3"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8</w:t>
      </w:r>
      <w:r>
        <w:rPr>
          <w:rFonts w:ascii="Times New Roman" w:eastAsia="宋体" w:hAnsi="Times New Roman" w:cs="宋体"/>
          <w:color w:val="auto"/>
          <w:spacing w:val="-2"/>
          <w:sz w:val="24"/>
          <w:szCs w:val="24"/>
          <w:lang w:eastAsia="zh-CN"/>
        </w:rPr>
        <w:t>）底泥</w:t>
      </w:r>
      <w:r>
        <w:rPr>
          <w:rFonts w:ascii="Times New Roman" w:eastAsia="宋体" w:hAnsi="Times New Roman" w:cs="宋体" w:hint="eastAsia"/>
          <w:color w:val="auto"/>
          <w:spacing w:val="-2"/>
          <w:sz w:val="24"/>
          <w:szCs w:val="24"/>
          <w:lang w:eastAsia="zh-CN"/>
        </w:rPr>
        <w:t>清淤</w:t>
      </w:r>
      <w:r>
        <w:rPr>
          <w:rFonts w:ascii="Times New Roman" w:eastAsia="宋体" w:hAnsi="Times New Roman" w:cs="宋体"/>
          <w:color w:val="auto"/>
          <w:spacing w:val="-2"/>
          <w:sz w:val="24"/>
          <w:szCs w:val="24"/>
          <w:lang w:eastAsia="zh-CN"/>
        </w:rPr>
        <w:t>过程中，也要分段分时进行，采取抽取的方式或科学的方式进行，避免产生水体污染现象，并避免下游受到河水水体浑浊的影响；</w:t>
      </w:r>
    </w:p>
    <w:p w14:paraId="223B9C84"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9</w:t>
      </w:r>
      <w:r>
        <w:rPr>
          <w:rFonts w:ascii="Times New Roman" w:eastAsia="宋体" w:hAnsi="Times New Roman" w:cs="宋体"/>
          <w:color w:val="auto"/>
          <w:spacing w:val="-2"/>
          <w:sz w:val="24"/>
          <w:szCs w:val="24"/>
          <w:lang w:eastAsia="zh-CN"/>
        </w:rPr>
        <w:t>）红外相机建设点问题上，实际上很多设置点作用不大，且在海南红外相机受到天气因素外界影响较大，需要大量的维护工作，其作用还不如视频监控。</w:t>
      </w:r>
    </w:p>
    <w:p w14:paraId="63F03E6E" w14:textId="77777777" w:rsidR="0075791A" w:rsidRDefault="00FB2864">
      <w:pPr>
        <w:spacing w:line="360" w:lineRule="auto"/>
        <w:ind w:firstLineChars="200" w:firstLine="478"/>
        <w:jc w:val="both"/>
        <w:rPr>
          <w:rFonts w:ascii="Times New Roman" w:eastAsia="宋体" w:hAnsi="Times New Roman" w:cs="宋体"/>
          <w:b/>
          <w:bCs/>
          <w:color w:val="auto"/>
          <w:spacing w:val="-2"/>
          <w:sz w:val="24"/>
          <w:szCs w:val="24"/>
          <w:lang w:eastAsia="zh-CN"/>
        </w:rPr>
      </w:pPr>
      <w:bookmarkStart w:id="375" w:name="_Toc19828"/>
      <w:r>
        <w:rPr>
          <w:rFonts w:ascii="Times New Roman" w:eastAsia="宋体" w:hAnsi="Times New Roman" w:cs="宋体" w:hint="eastAsia"/>
          <w:b/>
          <w:bCs/>
          <w:color w:val="auto"/>
          <w:spacing w:val="-2"/>
          <w:sz w:val="24"/>
          <w:szCs w:val="24"/>
          <w:lang w:eastAsia="zh-CN"/>
        </w:rPr>
        <w:t>B</w:t>
      </w:r>
      <w:r>
        <w:rPr>
          <w:rFonts w:ascii="Times New Roman" w:eastAsia="宋体" w:hAnsi="Times New Roman" w:cs="宋体" w:hint="eastAsia"/>
          <w:b/>
          <w:bCs/>
          <w:color w:val="auto"/>
          <w:spacing w:val="-2"/>
          <w:sz w:val="24"/>
          <w:szCs w:val="24"/>
          <w:lang w:eastAsia="zh-CN"/>
        </w:rPr>
        <w:t>鸟类保护措施</w:t>
      </w:r>
      <w:bookmarkEnd w:id="375"/>
    </w:p>
    <w:p w14:paraId="1297F0EF"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为避免本工程对区域栖息鸟</w:t>
      </w:r>
      <w:r>
        <w:rPr>
          <w:rFonts w:ascii="Times New Roman" w:eastAsia="宋体" w:hAnsi="Times New Roman" w:cs="宋体" w:hint="eastAsia"/>
          <w:color w:val="auto"/>
          <w:spacing w:val="-2"/>
          <w:sz w:val="24"/>
          <w:szCs w:val="24"/>
          <w:lang w:eastAsia="zh-CN"/>
        </w:rPr>
        <w:t>类的生长和繁殖造成不良影响，应采取以下相应的保护措施：</w:t>
      </w:r>
    </w:p>
    <w:p w14:paraId="6A02B4AC"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）合理安排施工期</w:t>
      </w:r>
    </w:p>
    <w:p w14:paraId="04DA1F00"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需要合理规划施工期，尽量减少在区域鸟类繁殖、迁徙时期进行作业。施工应避开候鸟栖息、越冬和鸟类迁徙的时间，以减缓对鸟类的不利影响。</w:t>
      </w:r>
    </w:p>
    <w:p w14:paraId="3EE407C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）避免繁殖季节施工</w:t>
      </w:r>
    </w:p>
    <w:p w14:paraId="4D0B7A1E"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繁殖季节对鸟类来说是最敏感的时期，人为产生的强烈噪音可能导致它们立即弃巢。因此，尽量避免在繁殖季节进行施工。如果不可避免需要在此时进行施工，应将高噪音设备远离鸟类的繁殖区域，并采取低噪声设备、减震降噪、隔声屏障等措施，有效降低施工噪音对鸟类的影响。</w:t>
      </w:r>
    </w:p>
    <w:p w14:paraId="4C58B168"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）合理施工时序</w:t>
      </w:r>
    </w:p>
    <w:p w14:paraId="019ABAD3"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需要合理安</w:t>
      </w:r>
      <w:r>
        <w:rPr>
          <w:rFonts w:ascii="Times New Roman" w:eastAsia="宋体" w:hAnsi="Times New Roman" w:cs="宋体" w:hint="eastAsia"/>
          <w:color w:val="auto"/>
          <w:spacing w:val="-2"/>
          <w:sz w:val="24"/>
          <w:szCs w:val="24"/>
          <w:lang w:eastAsia="zh-CN"/>
        </w:rPr>
        <w:t>排施工时序，尽量避免夜间施工，因为不论是昼行还是夜行鸟类，它们对强光都比较敏感。</w:t>
      </w:r>
    </w:p>
    <w:p w14:paraId="27FDF48A"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）水生生物保护</w:t>
      </w:r>
    </w:p>
    <w:p w14:paraId="549B1B57"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湿地鸟类以水中生物为食，项目施工需要采取措施保护水生生物，尽量避免在恶劣天气下施工，减少泥沙扰动。此外，要定期检查施工机械设备，确保没有滴油漏油的情况发生，以防止施工导致水生生物大量死亡，从而影响鸟类的食物供应。</w:t>
      </w:r>
    </w:p>
    <w:p w14:paraId="5D74A957"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hint="eastAsia"/>
          <w:color w:val="auto"/>
          <w:spacing w:val="-2"/>
          <w:sz w:val="24"/>
          <w:szCs w:val="24"/>
          <w:lang w:eastAsia="zh-CN"/>
        </w:rPr>
        <w:t>）施工人员教育和禁止行为</w:t>
      </w:r>
    </w:p>
    <w:p w14:paraId="5F9150C3"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对施工人员进行教育，禁止毁坏鸟巢，捕鸟和杀鸟等不当行为。施工现场需要强调对鸟类的保护意识，确保人员不会对鸟类造成伤害。</w:t>
      </w:r>
    </w:p>
    <w:p w14:paraId="64D420BB" w14:textId="77777777" w:rsidR="0075791A" w:rsidRDefault="00FB2864">
      <w:pPr>
        <w:spacing w:line="360" w:lineRule="auto"/>
        <w:ind w:firstLineChars="200" w:firstLine="478"/>
        <w:jc w:val="both"/>
        <w:rPr>
          <w:rFonts w:ascii="Times New Roman" w:eastAsia="宋体" w:hAnsi="Times New Roman" w:cs="宋体"/>
          <w:b/>
          <w:bCs/>
          <w:color w:val="auto"/>
          <w:spacing w:val="-2"/>
          <w:sz w:val="24"/>
          <w:szCs w:val="24"/>
          <w:lang w:eastAsia="zh-CN"/>
        </w:rPr>
      </w:pPr>
      <w:bookmarkStart w:id="376" w:name="_Toc7652"/>
      <w:r>
        <w:rPr>
          <w:rFonts w:ascii="Times New Roman" w:eastAsia="宋体" w:hAnsi="Times New Roman" w:cs="宋体" w:hint="eastAsia"/>
          <w:b/>
          <w:bCs/>
          <w:color w:val="auto"/>
          <w:spacing w:val="-2"/>
          <w:sz w:val="24"/>
          <w:szCs w:val="24"/>
          <w:lang w:eastAsia="zh-CN"/>
        </w:rPr>
        <w:lastRenderedPageBreak/>
        <w:t>C.</w:t>
      </w:r>
      <w:r>
        <w:rPr>
          <w:rFonts w:ascii="Times New Roman" w:eastAsia="宋体" w:hAnsi="Times New Roman" w:cs="宋体"/>
          <w:b/>
          <w:bCs/>
          <w:color w:val="auto"/>
          <w:spacing w:val="-2"/>
          <w:sz w:val="24"/>
          <w:szCs w:val="24"/>
          <w:lang w:eastAsia="zh-CN"/>
        </w:rPr>
        <w:t>水生动物保护措施</w:t>
      </w:r>
      <w:bookmarkEnd w:id="376"/>
    </w:p>
    <w:p w14:paraId="38F8823F"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根据工程特点，建议采取以下生物保护的减免措施：</w:t>
      </w:r>
    </w:p>
    <w:p w14:paraId="30A97C56"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1</w:t>
      </w:r>
      <w:r>
        <w:rPr>
          <w:rFonts w:ascii="Times New Roman" w:eastAsia="宋体" w:hAnsi="Times New Roman" w:cs="宋体"/>
          <w:color w:val="auto"/>
          <w:spacing w:val="-2"/>
          <w:sz w:val="24"/>
          <w:szCs w:val="24"/>
          <w:lang w:eastAsia="zh-CN"/>
        </w:rPr>
        <w:t>）加强施工管理。为减少项目施工对红树林生境及周边水生生态状况的不利影响，施</w:t>
      </w:r>
      <w:r>
        <w:rPr>
          <w:rFonts w:ascii="Times New Roman" w:eastAsia="宋体" w:hAnsi="Times New Roman" w:cs="宋体"/>
          <w:color w:val="auto"/>
          <w:spacing w:val="-2"/>
          <w:sz w:val="24"/>
          <w:szCs w:val="24"/>
          <w:lang w:eastAsia="zh-CN"/>
        </w:rPr>
        <w:t>工期间严禁向铁炉港排放废水、堆放土方和建筑垃圾。同时要加强环境管理和监测工作，尽量避免项目施工对红树林湿地生态系统及其生物资源的不利影响。</w:t>
      </w:r>
    </w:p>
    <w:p w14:paraId="7113B3B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2</w:t>
      </w:r>
      <w:r>
        <w:rPr>
          <w:rFonts w:ascii="Times New Roman" w:eastAsia="宋体" w:hAnsi="Times New Roman" w:cs="宋体"/>
          <w:color w:val="auto"/>
          <w:spacing w:val="-2"/>
          <w:sz w:val="24"/>
          <w:szCs w:val="24"/>
          <w:lang w:eastAsia="zh-CN"/>
        </w:rPr>
        <w:t>）加强污染防治。针对施工期间可能产生的扬尘、废气、废水等污染隐患，积极采取防治措施，如洒水降尘、施工围挡、使用清洁能源、废水及固体废物集中处理等。此外，应对溢油事故等有预防和控制应急方案。</w:t>
      </w:r>
    </w:p>
    <w:p w14:paraId="1BE2C12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w:t>
      </w:r>
      <w:r>
        <w:rPr>
          <w:rFonts w:ascii="Times New Roman" w:eastAsia="宋体" w:hAnsi="Times New Roman" w:cs="宋体"/>
          <w:color w:val="auto"/>
          <w:spacing w:val="-2"/>
          <w:sz w:val="24"/>
          <w:szCs w:val="24"/>
          <w:lang w:eastAsia="zh-CN"/>
        </w:rPr>
        <w:t>3</w:t>
      </w:r>
      <w:r>
        <w:rPr>
          <w:rFonts w:ascii="Times New Roman" w:eastAsia="宋体" w:hAnsi="Times New Roman" w:cs="宋体"/>
          <w:color w:val="auto"/>
          <w:spacing w:val="-2"/>
          <w:sz w:val="24"/>
          <w:szCs w:val="24"/>
          <w:lang w:eastAsia="zh-CN"/>
        </w:rPr>
        <w:t>）加强环境监测。施工结束后，对项目范围内红树林湿地生态系统及周边水生生态状况进行跟踪监测，同时设置警示牌等，减少人为活动造成的干扰。此外，对于临时占用地区域，施工结束后应及时</w:t>
      </w:r>
      <w:r>
        <w:rPr>
          <w:rFonts w:ascii="Times New Roman" w:eastAsia="宋体" w:hAnsi="Times New Roman" w:cs="宋体"/>
          <w:color w:val="auto"/>
          <w:spacing w:val="-2"/>
          <w:sz w:val="24"/>
          <w:szCs w:val="24"/>
          <w:lang w:eastAsia="zh-CN"/>
        </w:rPr>
        <w:t>进行植被生态恢复。</w:t>
      </w:r>
    </w:p>
    <w:p w14:paraId="65190C99"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经采取上述有效措施后，项目施工对鱼类生境的不利影响较小，且是暂时的。当本工程施工结束后，水流通畅，可使得水生生态系统得到恢复。</w:t>
      </w:r>
    </w:p>
    <w:p w14:paraId="0D052719" w14:textId="77777777" w:rsidR="0075791A" w:rsidRDefault="00FB2864">
      <w:pPr>
        <w:spacing w:line="360" w:lineRule="auto"/>
        <w:outlineLvl w:val="3"/>
        <w:rPr>
          <w:rFonts w:ascii="Times New Roman" w:eastAsia="宋体" w:hAnsi="Times New Roman"/>
          <w:b/>
          <w:color w:val="auto"/>
          <w:sz w:val="24"/>
          <w:szCs w:val="24"/>
          <w:lang w:eastAsia="zh-CN"/>
        </w:rPr>
      </w:pPr>
      <w:r>
        <w:rPr>
          <w:rFonts w:ascii="Times New Roman" w:eastAsia="宋体" w:hAnsi="Times New Roman" w:hint="eastAsia"/>
          <w:b/>
          <w:color w:val="auto"/>
          <w:sz w:val="24"/>
          <w:szCs w:val="24"/>
          <w:lang w:eastAsia="zh-CN"/>
        </w:rPr>
        <w:t>8.2.1.2</w:t>
      </w:r>
      <w:r>
        <w:rPr>
          <w:rFonts w:ascii="Times New Roman" w:eastAsia="宋体" w:hAnsi="Times New Roman" w:hint="eastAsia"/>
          <w:b/>
          <w:color w:val="auto"/>
          <w:sz w:val="24"/>
          <w:szCs w:val="24"/>
          <w:lang w:eastAsia="zh-CN"/>
        </w:rPr>
        <w:t>环境保护措施</w:t>
      </w:r>
    </w:p>
    <w:p w14:paraId="19B99192" w14:textId="77777777" w:rsidR="0075791A" w:rsidRDefault="00FB2864">
      <w:pPr>
        <w:spacing w:beforeLines="50" w:before="120"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1.</w:t>
      </w:r>
      <w:r>
        <w:rPr>
          <w:rFonts w:ascii="Times New Roman" w:eastAsia="宋体" w:hAnsi="Times New Roman" w:cs="宋体" w:hint="eastAsia"/>
          <w:b/>
          <w:bCs/>
          <w:color w:val="auto"/>
          <w:sz w:val="24"/>
          <w:szCs w:val="24"/>
          <w:lang w:eastAsia="zh-CN"/>
        </w:rPr>
        <w:t>施工期环境保护对策</w:t>
      </w:r>
    </w:p>
    <w:p w14:paraId="7F125D4F"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A.</w:t>
      </w:r>
      <w:r>
        <w:rPr>
          <w:rFonts w:ascii="Times New Roman" w:eastAsia="宋体" w:hAnsi="Times New Roman" w:cs="宋体"/>
          <w:color w:val="auto"/>
          <w:sz w:val="24"/>
          <w:szCs w:val="24"/>
          <w:lang w:eastAsia="zh-CN"/>
        </w:rPr>
        <w:t>施工废水、施工营地生活污水防治措施</w:t>
      </w:r>
    </w:p>
    <w:p w14:paraId="7E92A6A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①</w:t>
      </w:r>
      <w:r>
        <w:rPr>
          <w:rFonts w:ascii="Times New Roman" w:eastAsia="宋体" w:hAnsi="Times New Roman" w:cs="宋体"/>
          <w:color w:val="auto"/>
          <w:sz w:val="24"/>
          <w:szCs w:val="24"/>
          <w:lang w:eastAsia="zh-CN"/>
        </w:rPr>
        <w:t>加强施工期管理，对施工机械定期检修，以免油料泄漏；悬浮物含量高的其他施工废水沉淀澄清后回用于洒水抑尘。</w:t>
      </w:r>
    </w:p>
    <w:p w14:paraId="5B0FE706"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②</w:t>
      </w:r>
      <w:r>
        <w:rPr>
          <w:rFonts w:ascii="Times New Roman" w:eastAsia="宋体" w:hAnsi="Times New Roman" w:cs="宋体"/>
          <w:color w:val="auto"/>
          <w:sz w:val="24"/>
          <w:szCs w:val="24"/>
          <w:lang w:eastAsia="zh-CN"/>
        </w:rPr>
        <w:t>施工材料、泥砂等堆放时应采取遮挡措施，防止降雨冲刷进入河道，对水体造成污染。</w:t>
      </w:r>
    </w:p>
    <w:p w14:paraId="0C1EBE5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③</w:t>
      </w:r>
      <w:r>
        <w:rPr>
          <w:rFonts w:ascii="Times New Roman" w:eastAsia="宋体" w:hAnsi="Times New Roman" w:cs="宋体"/>
          <w:color w:val="auto"/>
          <w:sz w:val="24"/>
          <w:szCs w:val="24"/>
          <w:lang w:eastAsia="zh-CN"/>
        </w:rPr>
        <w:t>施工人员产生的生活污水可通过三级化粪池处理后排入市政污水管网。</w:t>
      </w:r>
    </w:p>
    <w:p w14:paraId="12794F20"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2</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海</w:t>
      </w:r>
      <w:r>
        <w:rPr>
          <w:rFonts w:ascii="Times New Roman" w:eastAsia="宋体" w:hAnsi="Times New Roman" w:cs="宋体"/>
          <w:color w:val="auto"/>
          <w:sz w:val="24"/>
          <w:szCs w:val="24"/>
          <w:lang w:eastAsia="zh-CN"/>
        </w:rPr>
        <w:t>上施工（清淤）水污染防治措施</w:t>
      </w:r>
    </w:p>
    <w:p w14:paraId="52DD3C97"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①</w:t>
      </w:r>
      <w:r>
        <w:rPr>
          <w:rFonts w:ascii="Times New Roman" w:eastAsia="宋体" w:hAnsi="Times New Roman" w:cs="宋体"/>
          <w:color w:val="auto"/>
          <w:sz w:val="24"/>
          <w:szCs w:val="24"/>
          <w:lang w:eastAsia="zh-CN"/>
        </w:rPr>
        <w:t>为减少施工活动的影响程度和范围，应认真做好现场准备工作，疏浚作业之前对施工区进行浚前测量，疏浚区的测量范围应包括设计疏浚区及其边界线外一定范围内的水深和地形。疏浚前测量可按施工的先后顺序、分区分期，在接近工程开工时进行，确保河道分段施工。</w:t>
      </w:r>
    </w:p>
    <w:p w14:paraId="0C6A4F0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②</w:t>
      </w:r>
      <w:r>
        <w:rPr>
          <w:rFonts w:ascii="Times New Roman" w:eastAsia="宋体" w:hAnsi="Times New Roman" w:cs="宋体"/>
          <w:color w:val="auto"/>
          <w:sz w:val="24"/>
          <w:szCs w:val="24"/>
          <w:lang w:eastAsia="zh-CN"/>
        </w:rPr>
        <w:t>尽可能在设计时间内完成施工进度，最大限度地减少施工机械在水中的往返次数，非特殊情况不应随意延长工期。</w:t>
      </w:r>
    </w:p>
    <w:p w14:paraId="6565FDF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③</w:t>
      </w:r>
      <w:r>
        <w:rPr>
          <w:rFonts w:ascii="Times New Roman" w:eastAsia="宋体" w:hAnsi="Times New Roman" w:cs="宋体"/>
          <w:color w:val="auto"/>
          <w:sz w:val="24"/>
          <w:szCs w:val="24"/>
          <w:lang w:eastAsia="zh-CN"/>
        </w:rPr>
        <w:t>运输应选用装载能力大的运输机械，降低机械往返频率，机械不要装载</w:t>
      </w:r>
      <w:r>
        <w:rPr>
          <w:rFonts w:ascii="Times New Roman" w:eastAsia="宋体" w:hAnsi="Times New Roman" w:cs="宋体"/>
          <w:color w:val="auto"/>
          <w:sz w:val="24"/>
          <w:szCs w:val="24"/>
          <w:lang w:eastAsia="zh-CN"/>
        </w:rPr>
        <w:t>太满，上面覆盖苫布，避免施工材料及疏浚物坠入河道中，造成水环境二次污染。</w:t>
      </w:r>
    </w:p>
    <w:p w14:paraId="14CD6280"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lastRenderedPageBreak/>
        <w:t>④</w:t>
      </w:r>
      <w:r>
        <w:rPr>
          <w:rFonts w:ascii="Times New Roman" w:eastAsia="宋体" w:hAnsi="Times New Roman" w:cs="宋体"/>
          <w:color w:val="auto"/>
          <w:sz w:val="24"/>
          <w:szCs w:val="24"/>
          <w:lang w:eastAsia="zh-CN"/>
        </w:rPr>
        <w:t>加强对施工扰动产生的</w:t>
      </w:r>
      <w:r>
        <w:rPr>
          <w:rFonts w:ascii="Times New Roman" w:eastAsia="宋体" w:hAnsi="Times New Roman" w:cs="宋体"/>
          <w:color w:val="auto"/>
          <w:sz w:val="24"/>
          <w:szCs w:val="24"/>
          <w:lang w:eastAsia="zh-CN"/>
        </w:rPr>
        <w:t>SS</w:t>
      </w:r>
      <w:r>
        <w:rPr>
          <w:rFonts w:ascii="Times New Roman" w:eastAsia="宋体" w:hAnsi="Times New Roman" w:cs="宋体"/>
          <w:color w:val="auto"/>
          <w:sz w:val="24"/>
          <w:szCs w:val="24"/>
          <w:lang w:eastAsia="zh-CN"/>
        </w:rPr>
        <w:t>进行有效的防控。建设单位在疏浚区的河道中间浅滩处进行疏浚作业时应布设防污帘，可分别在施工区上游、下游</w:t>
      </w:r>
      <w:r>
        <w:rPr>
          <w:rFonts w:ascii="Times New Roman" w:eastAsia="宋体" w:hAnsi="Times New Roman" w:cs="宋体"/>
          <w:color w:val="auto"/>
          <w:sz w:val="24"/>
          <w:szCs w:val="24"/>
          <w:lang w:eastAsia="zh-CN"/>
        </w:rPr>
        <w:t>50m</w:t>
      </w: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100m</w:t>
      </w:r>
      <w:r>
        <w:rPr>
          <w:rFonts w:ascii="Times New Roman" w:eastAsia="宋体" w:hAnsi="Times New Roman" w:cs="宋体"/>
          <w:color w:val="auto"/>
          <w:sz w:val="24"/>
          <w:szCs w:val="24"/>
          <w:lang w:eastAsia="zh-CN"/>
        </w:rPr>
        <w:t>处分别设置防污帘隔离带，宽度约</w:t>
      </w:r>
      <w:r>
        <w:rPr>
          <w:rFonts w:ascii="Times New Roman" w:eastAsia="宋体" w:hAnsi="Times New Roman" w:cs="宋体"/>
          <w:color w:val="auto"/>
          <w:sz w:val="24"/>
          <w:szCs w:val="24"/>
          <w:lang w:eastAsia="zh-CN"/>
        </w:rPr>
        <w:t>50m</w:t>
      </w:r>
      <w:r>
        <w:rPr>
          <w:rFonts w:ascii="Times New Roman" w:eastAsia="宋体" w:hAnsi="Times New Roman" w:cs="宋体"/>
          <w:color w:val="auto"/>
          <w:sz w:val="24"/>
          <w:szCs w:val="24"/>
          <w:lang w:eastAsia="zh-CN"/>
        </w:rPr>
        <w:t>，隔离面积约</w:t>
      </w:r>
      <w:r>
        <w:rPr>
          <w:rFonts w:ascii="Times New Roman" w:eastAsia="宋体" w:hAnsi="Times New Roman" w:cs="宋体"/>
          <w:color w:val="auto"/>
          <w:sz w:val="24"/>
          <w:szCs w:val="24"/>
          <w:lang w:eastAsia="zh-CN"/>
        </w:rPr>
        <w:t>10000m</w:t>
      </w:r>
      <w:r>
        <w:rPr>
          <w:rFonts w:ascii="Times New Roman" w:eastAsia="宋体" w:hAnsi="Times New Roman" w:cs="宋体" w:hint="eastAsia"/>
          <w:color w:val="auto"/>
          <w:sz w:val="24"/>
          <w:szCs w:val="24"/>
          <w:vertAlign w:val="superscript"/>
          <w:lang w:eastAsia="zh-CN"/>
        </w:rPr>
        <w:t>2</w:t>
      </w:r>
      <w:r>
        <w:rPr>
          <w:rFonts w:ascii="Times New Roman" w:eastAsia="宋体" w:hAnsi="Times New Roman" w:cs="宋体"/>
          <w:color w:val="auto"/>
          <w:sz w:val="24"/>
          <w:szCs w:val="24"/>
          <w:lang w:eastAsia="zh-CN"/>
        </w:rPr>
        <w:t>，采取双重或多重防污帘措施，可有效的控制悬浮物的沉降速率，缩短悬浮物在水中的完全沉降距离。同时，建设单位还应在疏浚作业的下游位置布设围油栏，避免疏浚的溢油事件发生后，泄露油品随水流至下游的水环境保护区。</w:t>
      </w:r>
    </w:p>
    <w:p w14:paraId="26487396"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⑤</w:t>
      </w:r>
      <w:r>
        <w:rPr>
          <w:rFonts w:ascii="Times New Roman" w:eastAsia="宋体" w:hAnsi="Times New Roman" w:cs="宋体"/>
          <w:color w:val="auto"/>
          <w:sz w:val="24"/>
          <w:szCs w:val="24"/>
          <w:lang w:eastAsia="zh-CN"/>
        </w:rPr>
        <w:t>加强对施工机械的管理，对挖掘机定期检查，一旦发现挖掘机出现漏油情况，须立即维修，并且回收泄露废油及按《危险废物管理制度》处理好被泄漏油污涉及的区域。</w:t>
      </w:r>
    </w:p>
    <w:p w14:paraId="448705FA"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⑥</w:t>
      </w:r>
      <w:r>
        <w:rPr>
          <w:rFonts w:ascii="Times New Roman" w:eastAsia="宋体" w:hAnsi="Times New Roman" w:cs="宋体"/>
          <w:color w:val="auto"/>
          <w:sz w:val="24"/>
          <w:szCs w:val="24"/>
          <w:lang w:eastAsia="zh-CN"/>
        </w:rPr>
        <w:t>施工机械应分别配置含油污水、生活污水贮存装置，并且配备相应的应急物资（如吸油枪、临时储油桶、吸油毡、抹布等），若发生突发的溢油环境事件时，使用应急物资将油污收集到临时储油桶里，采取上岸处理的方式，收集的油污委托有资质单位接收处理，严禁排入水体。</w:t>
      </w:r>
    </w:p>
    <w:p w14:paraId="0AFD226A"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B.</w:t>
      </w:r>
      <w:r>
        <w:rPr>
          <w:rFonts w:ascii="Times New Roman" w:eastAsia="宋体" w:hAnsi="Times New Roman" w:cs="宋体"/>
          <w:color w:val="auto"/>
          <w:sz w:val="24"/>
          <w:szCs w:val="24"/>
          <w:lang w:eastAsia="zh-CN"/>
        </w:rPr>
        <w:t>声环境保护措施</w:t>
      </w:r>
    </w:p>
    <w:p w14:paraId="2C1DE0C6"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1</w:t>
      </w:r>
      <w:r>
        <w:rPr>
          <w:rFonts w:ascii="Times New Roman" w:eastAsia="宋体" w:hAnsi="Times New Roman" w:cs="宋体"/>
          <w:color w:val="auto"/>
          <w:sz w:val="24"/>
          <w:szCs w:val="24"/>
          <w:lang w:eastAsia="zh-CN"/>
        </w:rPr>
        <w:t>）施工场地布置时高噪声设备远离声环境敏感点，并在高噪声设备周围和施工场界设隔声屏，以缓解噪</w:t>
      </w:r>
      <w:r>
        <w:rPr>
          <w:rFonts w:ascii="Times New Roman" w:eastAsia="宋体" w:hAnsi="Times New Roman" w:cs="宋体"/>
          <w:color w:val="auto"/>
          <w:sz w:val="24"/>
          <w:szCs w:val="24"/>
          <w:lang w:eastAsia="zh-CN"/>
        </w:rPr>
        <w:t>声影响。合理布局施工现场，避免在同一地点安排大量动力机械设施，避免局部声级过高。本项目拟对高噪声周围和部分施工场界设置隔声屏，据初步估算，可削减局部噪声</w:t>
      </w:r>
      <w:r>
        <w:rPr>
          <w:rFonts w:ascii="Times New Roman" w:eastAsia="宋体" w:hAnsi="Times New Roman" w:cs="宋体"/>
          <w:color w:val="auto"/>
          <w:sz w:val="24"/>
          <w:szCs w:val="24"/>
          <w:lang w:eastAsia="zh-CN"/>
        </w:rPr>
        <w:t>10dB</w:t>
      </w: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A</w:t>
      </w:r>
      <w:r>
        <w:rPr>
          <w:rFonts w:ascii="Times New Roman" w:eastAsia="宋体" w:hAnsi="Times New Roman" w:cs="宋体"/>
          <w:color w:val="auto"/>
          <w:sz w:val="24"/>
          <w:szCs w:val="24"/>
          <w:lang w:eastAsia="zh-CN"/>
        </w:rPr>
        <w:t>）左右。</w:t>
      </w:r>
    </w:p>
    <w:p w14:paraId="1144E27A" w14:textId="323E64A2"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2</w:t>
      </w:r>
      <w:r>
        <w:rPr>
          <w:rFonts w:ascii="Times New Roman" w:eastAsia="宋体" w:hAnsi="Times New Roman" w:cs="宋体"/>
          <w:color w:val="auto"/>
          <w:sz w:val="24"/>
          <w:szCs w:val="24"/>
          <w:lang w:eastAsia="zh-CN"/>
        </w:rPr>
        <w:t>）合理安排施工计划，严禁晚上</w:t>
      </w:r>
      <w:r w:rsidR="00425990">
        <w:rPr>
          <w:rFonts w:ascii="Times New Roman" w:eastAsia="宋体" w:hAnsi="Times New Roman" w:cs="宋体"/>
          <w:color w:val="auto"/>
          <w:sz w:val="24"/>
          <w:szCs w:val="24"/>
          <w:lang w:eastAsia="zh-CN"/>
        </w:rPr>
        <w:t>09</w:t>
      </w: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00</w:t>
      </w:r>
      <w:r>
        <w:rPr>
          <w:rFonts w:ascii="Times New Roman" w:eastAsia="宋体" w:hAnsi="Times New Roman" w:cs="宋体"/>
          <w:color w:val="auto"/>
          <w:sz w:val="24"/>
          <w:szCs w:val="24"/>
          <w:lang w:eastAsia="zh-CN"/>
        </w:rPr>
        <w:t>～凌晨</w:t>
      </w:r>
      <w:r>
        <w:rPr>
          <w:rFonts w:ascii="Times New Roman" w:eastAsia="宋体" w:hAnsi="Times New Roman" w:cs="宋体"/>
          <w:color w:val="auto"/>
          <w:sz w:val="24"/>
          <w:szCs w:val="24"/>
          <w:lang w:eastAsia="zh-CN"/>
        </w:rPr>
        <w:t>7</w:t>
      </w: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00</w:t>
      </w:r>
      <w:r>
        <w:rPr>
          <w:rFonts w:ascii="Times New Roman" w:eastAsia="宋体" w:hAnsi="Times New Roman" w:cs="宋体"/>
          <w:color w:val="auto"/>
          <w:sz w:val="24"/>
          <w:szCs w:val="24"/>
          <w:lang w:eastAsia="zh-CN"/>
        </w:rPr>
        <w:t>进行可能产生噪声扰民问题的施工活动；高强度噪声施工（如打桩等）尽量安排在假期进行施工；同时尽量缩短居民点附近的高强度噪声设备的施工时间，减少对居民的影响。针对施工过程中具有噪声突发、不规则、不连续、高强度等特点的施工活动，合理安排施工工序加以缓解。</w:t>
      </w:r>
    </w:p>
    <w:p w14:paraId="1AB10DEE"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3</w:t>
      </w:r>
      <w:r>
        <w:rPr>
          <w:rFonts w:ascii="Times New Roman" w:eastAsia="宋体" w:hAnsi="Times New Roman" w:cs="宋体"/>
          <w:color w:val="auto"/>
          <w:sz w:val="24"/>
          <w:szCs w:val="24"/>
          <w:lang w:eastAsia="zh-CN"/>
        </w:rPr>
        <w:t>）施工单位应选择低噪声作业方</w:t>
      </w:r>
      <w:r>
        <w:rPr>
          <w:rFonts w:ascii="Times New Roman" w:eastAsia="宋体" w:hAnsi="Times New Roman" w:cs="宋体"/>
          <w:color w:val="auto"/>
          <w:sz w:val="24"/>
          <w:szCs w:val="24"/>
          <w:lang w:eastAsia="zh-CN"/>
        </w:rPr>
        <w:t>式，禁止不符合国家噪声排放标准的机械设备和运输车辆进入工区。</w:t>
      </w:r>
    </w:p>
    <w:p w14:paraId="1570325D"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4</w:t>
      </w:r>
      <w:r>
        <w:rPr>
          <w:rFonts w:ascii="Times New Roman" w:eastAsia="宋体" w:hAnsi="Times New Roman" w:cs="宋体"/>
          <w:color w:val="auto"/>
          <w:sz w:val="24"/>
          <w:szCs w:val="24"/>
          <w:lang w:eastAsia="zh-CN"/>
        </w:rPr>
        <w:t>）及时修理和改进施工机械和车辆，加强文明施工，杜绝施工机械在运行过程中因维护不当而产生的其它噪声。</w:t>
      </w:r>
    </w:p>
    <w:p w14:paraId="0C48D788"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5</w:t>
      </w:r>
      <w:r>
        <w:rPr>
          <w:rFonts w:ascii="Times New Roman" w:eastAsia="宋体" w:hAnsi="Times New Roman" w:cs="宋体"/>
          <w:color w:val="auto"/>
          <w:sz w:val="24"/>
          <w:szCs w:val="24"/>
          <w:lang w:eastAsia="zh-CN"/>
        </w:rPr>
        <w:t>）合理安排施工车辆及船舶行驶线路和时间，注意限速行驶、禁止高音鸣号，尽量避开居民密集区及声环境敏感点行驶。对必须经居民区行驶的施工车辆及船舶，应制定合理的行驶计划，并加强与附近居民的协商与沟通，避免施工期噪声扰民。</w:t>
      </w:r>
    </w:p>
    <w:p w14:paraId="6181234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6</w:t>
      </w:r>
      <w:r>
        <w:rPr>
          <w:rFonts w:ascii="Times New Roman" w:eastAsia="宋体" w:hAnsi="Times New Roman" w:cs="宋体"/>
          <w:color w:val="auto"/>
          <w:sz w:val="24"/>
          <w:szCs w:val="24"/>
          <w:lang w:eastAsia="zh-CN"/>
        </w:rPr>
        <w:t>）施工单位应加强对施工人员的个人防护，对高噪声设备附近工作的施工人员，可采取配备耳塞、耳机、防声头盔等防噪用具。</w:t>
      </w:r>
    </w:p>
    <w:p w14:paraId="3233D880"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7</w:t>
      </w:r>
      <w:r>
        <w:rPr>
          <w:rFonts w:ascii="Times New Roman" w:eastAsia="宋体" w:hAnsi="Times New Roman" w:cs="宋体"/>
          <w:color w:val="auto"/>
          <w:sz w:val="24"/>
          <w:szCs w:val="24"/>
          <w:lang w:eastAsia="zh-CN"/>
        </w:rPr>
        <w:t>）加</w:t>
      </w:r>
      <w:r>
        <w:rPr>
          <w:rFonts w:ascii="Times New Roman" w:eastAsia="宋体" w:hAnsi="Times New Roman" w:cs="宋体"/>
          <w:color w:val="auto"/>
          <w:sz w:val="24"/>
          <w:szCs w:val="24"/>
          <w:lang w:eastAsia="zh-CN"/>
        </w:rPr>
        <w:t>强施工期间道路交通的管理，保持道路畅通。</w:t>
      </w:r>
    </w:p>
    <w:p w14:paraId="0A0581B1"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lastRenderedPageBreak/>
        <w:t>（</w:t>
      </w:r>
      <w:r>
        <w:rPr>
          <w:rFonts w:ascii="Times New Roman" w:eastAsia="宋体" w:hAnsi="Times New Roman" w:cs="宋体"/>
          <w:color w:val="auto"/>
          <w:sz w:val="24"/>
          <w:szCs w:val="24"/>
          <w:lang w:eastAsia="zh-CN"/>
        </w:rPr>
        <w:t>8</w:t>
      </w:r>
      <w:r>
        <w:rPr>
          <w:rFonts w:ascii="Times New Roman" w:eastAsia="宋体" w:hAnsi="Times New Roman" w:cs="宋体"/>
          <w:color w:val="auto"/>
          <w:sz w:val="24"/>
          <w:szCs w:val="24"/>
          <w:lang w:eastAsia="zh-CN"/>
        </w:rPr>
        <w:t>）建设单位应责成施工单位在施工现场张贴通告，并标明投诉电话，建设单位在接到投诉后应及时与当地环保部门取得联系，及时处理各种环境纠纷。</w:t>
      </w:r>
    </w:p>
    <w:p w14:paraId="104D18F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9</w:t>
      </w:r>
      <w:r>
        <w:rPr>
          <w:rFonts w:ascii="Times New Roman" w:eastAsia="宋体" w:hAnsi="Times New Roman" w:cs="宋体"/>
          <w:color w:val="auto"/>
          <w:sz w:val="24"/>
          <w:szCs w:val="24"/>
          <w:lang w:eastAsia="zh-CN"/>
        </w:rPr>
        <w:t>）提倡文明施工，增强全体施工人员防噪声扰民的自觉意识。对人为活动噪声应有管理措施，要杜绝人为敲打、叫嚷、野蛮装卸噪声等现象，最大限度减少噪声扰民。施工期运输车辆、施工机械等产生的施工噪声会对周围产生一定影响，但这种影响是暂时的，随着工程完工，影响将不存在。本项目施工期声环境影响采用上述减缓措施，成本低，经济合理，简单易行，故本</w:t>
      </w:r>
      <w:r>
        <w:rPr>
          <w:rFonts w:ascii="Times New Roman" w:eastAsia="宋体" w:hAnsi="Times New Roman" w:cs="宋体"/>
          <w:color w:val="auto"/>
          <w:sz w:val="24"/>
          <w:szCs w:val="24"/>
          <w:lang w:eastAsia="zh-CN"/>
        </w:rPr>
        <w:t>项目采用以上施工期声环境影响减缓措施是可行的。</w:t>
      </w:r>
    </w:p>
    <w:p w14:paraId="78C2FE36"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C.</w:t>
      </w:r>
      <w:r>
        <w:rPr>
          <w:rFonts w:ascii="Times New Roman" w:eastAsia="宋体" w:hAnsi="Times New Roman" w:cs="宋体"/>
          <w:color w:val="auto"/>
          <w:sz w:val="24"/>
          <w:szCs w:val="24"/>
          <w:lang w:eastAsia="zh-CN"/>
        </w:rPr>
        <w:t>固体废物处置措施</w:t>
      </w:r>
    </w:p>
    <w:p w14:paraId="6B9F58F2"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1</w:t>
      </w:r>
      <w:r>
        <w:rPr>
          <w:rFonts w:ascii="Times New Roman" w:eastAsia="宋体" w:hAnsi="Times New Roman" w:cs="宋体"/>
          <w:color w:val="auto"/>
          <w:sz w:val="24"/>
          <w:szCs w:val="24"/>
          <w:lang w:eastAsia="zh-CN"/>
        </w:rPr>
        <w:t>）施工人员生活垃圾要实行袋装化，分类存放，不得任意堆放和丢弃，做到日产日清，尽早交环卫部门进行处理处置。</w:t>
      </w:r>
    </w:p>
    <w:p w14:paraId="5B243B8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2</w:t>
      </w:r>
      <w:r>
        <w:rPr>
          <w:rFonts w:ascii="Times New Roman" w:eastAsia="宋体" w:hAnsi="Times New Roman" w:cs="宋体"/>
          <w:color w:val="auto"/>
          <w:sz w:val="24"/>
          <w:szCs w:val="24"/>
          <w:lang w:eastAsia="zh-CN"/>
        </w:rPr>
        <w:t>）减少物料在运输、装卸、施工过程中的跑、冒、滴、漏，在施工过程中，废弃物料做到及时清运，施工完毕后清理好作业现场，以防因降雨冲刷造成污染。</w:t>
      </w:r>
    </w:p>
    <w:p w14:paraId="180C1DAF"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3</w:t>
      </w:r>
      <w:r>
        <w:rPr>
          <w:rFonts w:ascii="Times New Roman" w:eastAsia="宋体" w:hAnsi="Times New Roman" w:cs="宋体"/>
          <w:color w:val="auto"/>
          <w:sz w:val="24"/>
          <w:szCs w:val="24"/>
          <w:lang w:eastAsia="zh-CN"/>
        </w:rPr>
        <w:t>）清出的淤泥全部回用于</w:t>
      </w:r>
      <w:r>
        <w:rPr>
          <w:rFonts w:ascii="Times New Roman" w:eastAsia="宋体" w:hAnsi="Times New Roman" w:cs="宋体" w:hint="eastAsia"/>
          <w:color w:val="auto"/>
          <w:sz w:val="24"/>
          <w:szCs w:val="24"/>
          <w:lang w:eastAsia="zh-CN"/>
        </w:rPr>
        <w:t>龙江</w:t>
      </w:r>
      <w:r>
        <w:rPr>
          <w:rFonts w:ascii="Times New Roman" w:eastAsia="宋体" w:hAnsi="Times New Roman" w:cs="宋体"/>
          <w:color w:val="auto"/>
          <w:sz w:val="24"/>
          <w:szCs w:val="24"/>
          <w:lang w:eastAsia="zh-CN"/>
        </w:rPr>
        <w:t>河</w:t>
      </w:r>
      <w:r>
        <w:rPr>
          <w:rFonts w:ascii="Times New Roman" w:eastAsia="宋体" w:hAnsi="Times New Roman" w:cs="宋体" w:hint="eastAsia"/>
          <w:color w:val="auto"/>
          <w:sz w:val="24"/>
          <w:szCs w:val="24"/>
          <w:lang w:eastAsia="zh-CN"/>
        </w:rPr>
        <w:t>入海口南侧</w:t>
      </w:r>
      <w:r>
        <w:rPr>
          <w:rFonts w:ascii="Times New Roman" w:eastAsia="宋体" w:hAnsi="Times New Roman" w:cs="宋体"/>
          <w:color w:val="auto"/>
          <w:sz w:val="24"/>
          <w:szCs w:val="24"/>
          <w:lang w:eastAsia="zh-CN"/>
        </w:rPr>
        <w:t>微地形改造工程，不乱丢弃。</w:t>
      </w:r>
    </w:p>
    <w:p w14:paraId="23DB772D"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4</w:t>
      </w:r>
      <w:r>
        <w:rPr>
          <w:rFonts w:ascii="Times New Roman" w:eastAsia="宋体" w:hAnsi="Times New Roman" w:cs="宋体"/>
          <w:color w:val="auto"/>
          <w:sz w:val="24"/>
          <w:szCs w:val="24"/>
          <w:lang w:eastAsia="zh-CN"/>
        </w:rPr>
        <w:t>）船舶检修废物由船舶修理厂委托有资质单位处理处置。</w:t>
      </w:r>
    </w:p>
    <w:p w14:paraId="3577C075"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5</w:t>
      </w:r>
      <w:r>
        <w:rPr>
          <w:rFonts w:ascii="Times New Roman" w:eastAsia="宋体" w:hAnsi="Times New Roman" w:cs="宋体"/>
          <w:color w:val="auto"/>
          <w:sz w:val="24"/>
          <w:szCs w:val="24"/>
          <w:lang w:eastAsia="zh-CN"/>
        </w:rPr>
        <w:t>）临时堆放点应采取必要的防渗措施，避免污染地下水。</w:t>
      </w:r>
    </w:p>
    <w:p w14:paraId="4E1F0A71"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6</w:t>
      </w:r>
      <w:r>
        <w:rPr>
          <w:rFonts w:ascii="Times New Roman" w:eastAsia="宋体" w:hAnsi="Times New Roman" w:cs="宋体"/>
          <w:color w:val="auto"/>
          <w:sz w:val="24"/>
          <w:szCs w:val="24"/>
          <w:lang w:eastAsia="zh-CN"/>
        </w:rPr>
        <w:t>）清除外来红树林产生的植物根茎叶定期运送至三亚市垃圾焚烧发电厂处置。</w:t>
      </w:r>
    </w:p>
    <w:p w14:paraId="17E064E6"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w:t>
      </w:r>
      <w:r>
        <w:rPr>
          <w:rFonts w:ascii="Times New Roman" w:eastAsia="宋体" w:hAnsi="Times New Roman" w:cs="宋体"/>
          <w:color w:val="auto"/>
          <w:sz w:val="24"/>
          <w:szCs w:val="24"/>
          <w:lang w:eastAsia="zh-CN"/>
        </w:rPr>
        <w:t>7</w:t>
      </w:r>
      <w:r>
        <w:rPr>
          <w:rFonts w:ascii="Times New Roman" w:eastAsia="宋体" w:hAnsi="Times New Roman" w:cs="宋体"/>
          <w:color w:val="auto"/>
          <w:sz w:val="24"/>
          <w:szCs w:val="24"/>
          <w:lang w:eastAsia="zh-CN"/>
        </w:rPr>
        <w:t>）加强教育和管理，保持施工场地清洁。</w:t>
      </w:r>
    </w:p>
    <w:p w14:paraId="168B88D9"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2.</w:t>
      </w:r>
      <w:r>
        <w:rPr>
          <w:rFonts w:ascii="Times New Roman" w:eastAsia="宋体" w:hAnsi="Times New Roman" w:cs="宋体" w:hint="eastAsia"/>
          <w:b/>
          <w:bCs/>
          <w:color w:val="auto"/>
          <w:sz w:val="24"/>
          <w:szCs w:val="24"/>
          <w:lang w:eastAsia="zh-CN"/>
        </w:rPr>
        <w:t>施工期</w:t>
      </w:r>
      <w:r>
        <w:rPr>
          <w:rFonts w:ascii="Times New Roman" w:eastAsia="宋体" w:hAnsi="Times New Roman" w:cs="宋体"/>
          <w:b/>
          <w:bCs/>
          <w:color w:val="auto"/>
          <w:sz w:val="24"/>
          <w:szCs w:val="24"/>
          <w:lang w:eastAsia="zh-CN"/>
        </w:rPr>
        <w:t>生态保护</w:t>
      </w:r>
      <w:r>
        <w:rPr>
          <w:rFonts w:ascii="Times New Roman" w:eastAsia="宋体" w:hAnsi="Times New Roman" w:cs="宋体" w:hint="eastAsia"/>
          <w:b/>
          <w:bCs/>
          <w:color w:val="auto"/>
          <w:sz w:val="24"/>
          <w:szCs w:val="24"/>
          <w:lang w:eastAsia="zh-CN"/>
        </w:rPr>
        <w:t>对策</w:t>
      </w:r>
    </w:p>
    <w:p w14:paraId="020DB6A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施工营地区防治措施</w:t>
      </w:r>
    </w:p>
    <w:p w14:paraId="632461D5"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本项目施工营地区主要包括办公生活区、仓库、机械停放、维修等地。营地四周设置临时排水沟，灰沙砖结构，矩形断面，尺寸为</w:t>
      </w:r>
      <w:r>
        <w:rPr>
          <w:rFonts w:ascii="Times New Roman" w:eastAsia="宋体" w:hAnsi="Times New Roman" w:cs="宋体"/>
          <w:color w:val="auto"/>
          <w:sz w:val="24"/>
          <w:szCs w:val="24"/>
          <w:lang w:eastAsia="zh-CN"/>
        </w:rPr>
        <w:t>0.4m×0.6m</w:t>
      </w:r>
      <w:r>
        <w:rPr>
          <w:rFonts w:ascii="Times New Roman" w:eastAsia="宋体" w:hAnsi="Times New Roman" w:cs="宋体"/>
          <w:color w:val="auto"/>
          <w:sz w:val="24"/>
          <w:szCs w:val="24"/>
          <w:lang w:eastAsia="zh-CN"/>
        </w:rPr>
        <w:t>，排水沟出口处设沉沙池，尺寸</w:t>
      </w:r>
      <w:r>
        <w:rPr>
          <w:rFonts w:ascii="Times New Roman" w:eastAsia="宋体" w:hAnsi="Times New Roman" w:cs="宋体"/>
          <w:color w:val="auto"/>
          <w:sz w:val="24"/>
          <w:szCs w:val="24"/>
          <w:lang w:eastAsia="zh-CN"/>
        </w:rPr>
        <w:t>2.5m×2m×2m</w:t>
      </w:r>
      <w:r>
        <w:rPr>
          <w:rFonts w:ascii="Times New Roman" w:eastAsia="宋体" w:hAnsi="Times New Roman" w:cs="宋体"/>
          <w:color w:val="auto"/>
          <w:sz w:val="24"/>
          <w:szCs w:val="24"/>
          <w:lang w:eastAsia="zh-CN"/>
        </w:rPr>
        <w:t>，在临时堆料四周设</w:t>
      </w:r>
      <w:r>
        <w:rPr>
          <w:rFonts w:ascii="Times New Roman" w:eastAsia="宋体" w:hAnsi="Times New Roman" w:cs="宋体"/>
          <w:color w:val="auto"/>
          <w:sz w:val="24"/>
          <w:szCs w:val="24"/>
          <w:lang w:eastAsia="zh-CN"/>
        </w:rPr>
        <w:t>0.5m</w:t>
      </w:r>
      <w:r>
        <w:rPr>
          <w:rFonts w:ascii="Times New Roman" w:eastAsia="宋体" w:hAnsi="Times New Roman" w:cs="宋体"/>
          <w:color w:val="auto"/>
          <w:sz w:val="24"/>
          <w:szCs w:val="24"/>
          <w:lang w:eastAsia="zh-CN"/>
        </w:rPr>
        <w:t>土袋挡墙，施工结束对场地临建房屋等设施进行拆除淸理并进行场地平整，覆盖</w:t>
      </w:r>
      <w:r>
        <w:rPr>
          <w:rFonts w:ascii="Times New Roman" w:eastAsia="宋体" w:hAnsi="Times New Roman" w:cs="宋体"/>
          <w:color w:val="auto"/>
          <w:sz w:val="24"/>
          <w:szCs w:val="24"/>
          <w:lang w:eastAsia="zh-CN"/>
        </w:rPr>
        <w:t>0.4m~0.5m</w:t>
      </w:r>
      <w:r>
        <w:rPr>
          <w:rFonts w:ascii="Times New Roman" w:eastAsia="宋体" w:hAnsi="Times New Roman" w:cs="宋体"/>
          <w:color w:val="auto"/>
          <w:sz w:val="24"/>
          <w:szCs w:val="24"/>
          <w:lang w:eastAsia="zh-CN"/>
        </w:rPr>
        <w:t>表土后，进行乔、灌、草绿化，尽量使用当地树种植被。</w:t>
      </w:r>
    </w:p>
    <w:p w14:paraId="05CA015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清淤疏浚区防治措施</w:t>
      </w:r>
    </w:p>
    <w:p w14:paraId="31A18892"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1</w:t>
      </w:r>
      <w:r>
        <w:rPr>
          <w:rFonts w:ascii="Times New Roman" w:eastAsia="宋体" w:hAnsi="Times New Roman" w:cs="宋体"/>
          <w:color w:val="auto"/>
          <w:sz w:val="24"/>
          <w:szCs w:val="24"/>
          <w:lang w:eastAsia="zh-CN"/>
        </w:rPr>
        <w:t>）河道疏浚作业应合理安排作业时间和施工进度，避开疏浚河段流域内的鱼类产卵时间（</w:t>
      </w:r>
      <w:r>
        <w:rPr>
          <w:rFonts w:ascii="Times New Roman" w:eastAsia="宋体" w:hAnsi="Times New Roman" w:cs="宋体"/>
          <w:color w:val="auto"/>
          <w:sz w:val="24"/>
          <w:szCs w:val="24"/>
          <w:lang w:eastAsia="zh-CN"/>
        </w:rPr>
        <w:t>4~8</w:t>
      </w:r>
      <w:r>
        <w:rPr>
          <w:rFonts w:ascii="Times New Roman" w:eastAsia="宋体" w:hAnsi="Times New Roman" w:cs="宋体"/>
          <w:color w:val="auto"/>
          <w:sz w:val="24"/>
          <w:szCs w:val="24"/>
          <w:lang w:eastAsia="zh-CN"/>
        </w:rPr>
        <w:t>月份）。应设置水下围网，划定河道半幅宽度的区域进行施工</w:t>
      </w:r>
      <w:r>
        <w:rPr>
          <w:rFonts w:ascii="Times New Roman" w:eastAsia="宋体" w:hAnsi="Times New Roman" w:cs="宋体"/>
          <w:color w:val="auto"/>
          <w:sz w:val="24"/>
          <w:szCs w:val="24"/>
          <w:lang w:eastAsia="zh-CN"/>
        </w:rPr>
        <w:t>，即可降低施工扰动底泥扩散范围，又可保护水生动物行游安全。</w:t>
      </w:r>
    </w:p>
    <w:p w14:paraId="1D01247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2</w:t>
      </w:r>
      <w:r>
        <w:rPr>
          <w:rFonts w:ascii="Times New Roman" w:eastAsia="宋体" w:hAnsi="Times New Roman" w:cs="宋体"/>
          <w:color w:val="auto"/>
          <w:sz w:val="24"/>
          <w:szCs w:val="24"/>
          <w:lang w:eastAsia="zh-CN"/>
        </w:rPr>
        <w:t>）疏浚前，实施单位必须征求当地环保部门的意见，做好维护性疏浚作业的水质、水生生态保护措施，并明确疏浚疏浚物的去向，严禁疏浚疏浚物乱堆乱丢。</w:t>
      </w:r>
    </w:p>
    <w:p w14:paraId="4FE040B2"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lastRenderedPageBreak/>
        <w:t>3</w:t>
      </w:r>
      <w:r>
        <w:rPr>
          <w:rFonts w:ascii="Times New Roman" w:eastAsia="宋体" w:hAnsi="Times New Roman" w:cs="宋体"/>
          <w:color w:val="auto"/>
          <w:sz w:val="24"/>
          <w:szCs w:val="24"/>
          <w:lang w:eastAsia="zh-CN"/>
        </w:rPr>
        <w:t>）严格控制施工行为和临时占地在工程红线范围内，严禁将砂土方和施工废弃物随意堆放、丢弃，禁止将临时用地设置在保护湿地、红树林地、饮用水源保护区或基本农田等环境敏感区内。</w:t>
      </w:r>
    </w:p>
    <w:p w14:paraId="691EBC3C"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4</w:t>
      </w:r>
      <w:r>
        <w:rPr>
          <w:rFonts w:ascii="Times New Roman" w:eastAsia="宋体" w:hAnsi="Times New Roman" w:cs="宋体"/>
          <w:color w:val="auto"/>
          <w:sz w:val="24"/>
          <w:szCs w:val="24"/>
          <w:lang w:eastAsia="zh-CN"/>
        </w:rPr>
        <w:t>）疏浚作业合理安排施工组织，每个疏浚点采取从上游至下游逐一施工的方式，避免同时施工对周边水环境的影响，相应的减轻了对周边水体鱼类生活环境的</w:t>
      </w:r>
      <w:r>
        <w:rPr>
          <w:rFonts w:ascii="Times New Roman" w:eastAsia="宋体" w:hAnsi="Times New Roman" w:cs="宋体"/>
          <w:color w:val="auto"/>
          <w:sz w:val="24"/>
          <w:szCs w:val="24"/>
          <w:lang w:eastAsia="zh-CN"/>
        </w:rPr>
        <w:t>破坏。</w:t>
      </w:r>
    </w:p>
    <w:p w14:paraId="5B284640"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5</w:t>
      </w:r>
      <w:r>
        <w:rPr>
          <w:rFonts w:ascii="Times New Roman" w:eastAsia="宋体" w:hAnsi="Times New Roman" w:cs="宋体"/>
          <w:color w:val="auto"/>
          <w:sz w:val="24"/>
          <w:szCs w:val="24"/>
          <w:lang w:eastAsia="zh-CN"/>
        </w:rPr>
        <w:t>）为避免施工机械对水生生物造成伤害，施工单位应优化施工工艺方案，控制施工作业污染物排放，抓紧施工进度，尽量缩短水上作业时间。</w:t>
      </w:r>
    </w:p>
    <w:p w14:paraId="331BFA2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6</w:t>
      </w:r>
      <w:r>
        <w:rPr>
          <w:rFonts w:ascii="Times New Roman" w:eastAsia="宋体" w:hAnsi="Times New Roman" w:cs="宋体"/>
          <w:color w:val="auto"/>
          <w:sz w:val="24"/>
          <w:szCs w:val="24"/>
          <w:lang w:eastAsia="zh-CN"/>
        </w:rPr>
        <w:t>）水下疏浚作业中</w:t>
      </w:r>
      <w:r>
        <w:rPr>
          <w:rFonts w:ascii="Times New Roman" w:eastAsia="宋体" w:hAnsi="Times New Roman" w:cs="宋体"/>
          <w:color w:val="auto"/>
          <w:sz w:val="24"/>
          <w:szCs w:val="24"/>
          <w:lang w:eastAsia="zh-CN"/>
        </w:rPr>
        <w:t>SS</w:t>
      </w:r>
      <w:r>
        <w:rPr>
          <w:rFonts w:ascii="Times New Roman" w:eastAsia="宋体" w:hAnsi="Times New Roman" w:cs="宋体"/>
          <w:color w:val="auto"/>
          <w:sz w:val="24"/>
          <w:szCs w:val="24"/>
          <w:lang w:eastAsia="zh-CN"/>
        </w:rPr>
        <w:t>发生量取决于施工机械、施工方法、土石质量和粒度分布情况及河段水文条件等，施工中应尽量采用先进的施工技术，最大限度地控制水下施工作业对底泥的搅动范围和强度，减少悬浮泥砂的发生量。</w:t>
      </w:r>
    </w:p>
    <w:p w14:paraId="5357F857"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7</w:t>
      </w:r>
      <w:r>
        <w:rPr>
          <w:rFonts w:ascii="Times New Roman" w:eastAsia="宋体" w:hAnsi="Times New Roman" w:cs="宋体"/>
          <w:color w:val="auto"/>
          <w:sz w:val="24"/>
          <w:szCs w:val="24"/>
          <w:lang w:eastAsia="zh-CN"/>
        </w:rPr>
        <w:t>）为了避免对疏浚河段下游鱼类生境的影响，疏浚作业段的四周必须设置防污帘或围油栏，避免或降低疏浚作业期间产生的污染源对鱼类生境的影响。</w:t>
      </w:r>
    </w:p>
    <w:p w14:paraId="70DF0376"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8</w:t>
      </w:r>
      <w:r>
        <w:rPr>
          <w:rFonts w:ascii="Times New Roman" w:eastAsia="宋体" w:hAnsi="Times New Roman" w:cs="宋体"/>
          <w:color w:val="auto"/>
          <w:sz w:val="24"/>
          <w:szCs w:val="24"/>
          <w:lang w:eastAsia="zh-CN"/>
        </w:rPr>
        <w:t>）施工单位应通过合理安排疏浚时间，缩短</w:t>
      </w:r>
      <w:r>
        <w:rPr>
          <w:rFonts w:ascii="Times New Roman" w:eastAsia="宋体" w:hAnsi="Times New Roman" w:cs="宋体"/>
          <w:color w:val="auto"/>
          <w:sz w:val="24"/>
          <w:szCs w:val="24"/>
          <w:lang w:eastAsia="zh-CN"/>
        </w:rPr>
        <w:t>施工作业周期，选用低噪声设备，作好机械机油的防漏等防护措施。</w:t>
      </w:r>
    </w:p>
    <w:p w14:paraId="3694A840"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9</w:t>
      </w:r>
      <w:r>
        <w:rPr>
          <w:rFonts w:ascii="Times New Roman" w:eastAsia="宋体" w:hAnsi="Times New Roman" w:cs="宋体"/>
          <w:color w:val="auto"/>
          <w:sz w:val="24"/>
          <w:szCs w:val="24"/>
          <w:lang w:eastAsia="zh-CN"/>
        </w:rPr>
        <w:t>）水面施工机械严格控制燃油使用和减少跑冒滴漏，减少油类进入水体对水生生物的影响。</w:t>
      </w:r>
    </w:p>
    <w:p w14:paraId="000765C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10</w:t>
      </w:r>
      <w:r>
        <w:rPr>
          <w:rFonts w:ascii="Times New Roman" w:eastAsia="宋体" w:hAnsi="Times New Roman" w:cs="宋体"/>
          <w:color w:val="auto"/>
          <w:sz w:val="24"/>
          <w:szCs w:val="24"/>
          <w:lang w:eastAsia="zh-CN"/>
        </w:rPr>
        <w:t>）加强宣传，设置警示牌，增强施工人员环保意识，加强工程施工行为的监控和管理，禁止在</w:t>
      </w:r>
      <w:r>
        <w:rPr>
          <w:rFonts w:ascii="Times New Roman" w:eastAsia="宋体" w:hAnsi="Times New Roman" w:cs="宋体" w:hint="eastAsia"/>
          <w:color w:val="auto"/>
          <w:sz w:val="24"/>
          <w:szCs w:val="24"/>
          <w:lang w:eastAsia="zh-CN"/>
        </w:rPr>
        <w:t>铁炉港</w:t>
      </w:r>
      <w:r>
        <w:rPr>
          <w:rFonts w:ascii="Times New Roman" w:eastAsia="宋体" w:hAnsi="Times New Roman" w:cs="宋体"/>
          <w:color w:val="auto"/>
          <w:sz w:val="24"/>
          <w:szCs w:val="24"/>
          <w:lang w:eastAsia="zh-CN"/>
        </w:rPr>
        <w:t>内电鱼捕鱼，捕捞水生动植物。禁止排污与倾倒废物。</w:t>
      </w:r>
    </w:p>
    <w:p w14:paraId="36D79A65"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11</w:t>
      </w:r>
      <w:r>
        <w:rPr>
          <w:rFonts w:ascii="Times New Roman" w:eastAsia="宋体" w:hAnsi="Times New Roman" w:cs="宋体"/>
          <w:color w:val="auto"/>
          <w:sz w:val="24"/>
          <w:szCs w:val="24"/>
          <w:lang w:eastAsia="zh-CN"/>
        </w:rPr>
        <w:t>）污泥晾晒场在施工结束后，应尽早进行土地平整和植被恢复等工作。</w:t>
      </w:r>
    </w:p>
    <w:p w14:paraId="084AE325"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12</w:t>
      </w:r>
      <w:r>
        <w:rPr>
          <w:rFonts w:ascii="Times New Roman" w:eastAsia="宋体" w:hAnsi="Times New Roman" w:cs="宋体"/>
          <w:color w:val="auto"/>
          <w:sz w:val="24"/>
          <w:szCs w:val="24"/>
          <w:lang w:eastAsia="zh-CN"/>
        </w:rPr>
        <w:t>）密切关注天气状况，汛期来临前要及时清运干化污泥，避免长期堆存，同时污泥晾晒场四周设置导流沟和沉砂池，暴雨来临时，含泥雨水经沉砂池沉淀后排放至周边低洼处</w:t>
      </w:r>
      <w:r>
        <w:rPr>
          <w:rFonts w:ascii="Times New Roman" w:eastAsia="宋体" w:hAnsi="Times New Roman" w:cs="宋体"/>
          <w:color w:val="auto"/>
          <w:sz w:val="24"/>
          <w:szCs w:val="24"/>
          <w:lang w:eastAsia="zh-CN"/>
        </w:rPr>
        <w:t>，沉砂池容积尽可能容纳一次最大的暴雨量，保证含泥雨水的停留时间，确保含泥污水不向周边排放，有条件的，污泥晾晒场可设置封闭厂房，地面做好硬化和防渗处理，做到防风、防雨、防渗。</w:t>
      </w:r>
    </w:p>
    <w:p w14:paraId="3BF8CA60"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湿地保护措施</w:t>
      </w:r>
    </w:p>
    <w:p w14:paraId="527886BC"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河道清淤接触到湿地段时，需为河道两岸湿地预留</w:t>
      </w:r>
      <w:r>
        <w:rPr>
          <w:rFonts w:ascii="Times New Roman" w:eastAsia="宋体" w:hAnsi="Times New Roman" w:cs="宋体"/>
          <w:color w:val="auto"/>
          <w:sz w:val="24"/>
          <w:szCs w:val="24"/>
          <w:lang w:eastAsia="zh-CN"/>
        </w:rPr>
        <w:t>30m</w:t>
      </w:r>
      <w:r>
        <w:rPr>
          <w:rFonts w:ascii="Times New Roman" w:eastAsia="宋体" w:hAnsi="Times New Roman" w:cs="宋体"/>
          <w:color w:val="auto"/>
          <w:sz w:val="24"/>
          <w:szCs w:val="24"/>
          <w:lang w:eastAsia="zh-CN"/>
        </w:rPr>
        <w:t>的缓冲带，以减小施工对植物和底栖动物的直接影响。建议在湿地植被分布区域除设置生态木桩之外，再在保护范围外侧增设木质挡板，特别是河流转弯受冲刷严重的一侧区域须设置，若湿地植被群落呈岛状分布于河中，则周围均要布置生态木桩和木质挡板等防护措施，以减少水土流失。另外清淤工程可</w:t>
      </w:r>
      <w:r>
        <w:rPr>
          <w:rFonts w:ascii="Times New Roman" w:eastAsia="宋体" w:hAnsi="Times New Roman" w:cs="宋体"/>
          <w:color w:val="auto"/>
          <w:sz w:val="24"/>
          <w:szCs w:val="24"/>
          <w:lang w:eastAsia="zh-CN"/>
        </w:rPr>
        <w:t>通过通过降低挖泥船绞刀转速、横摆速度等施工参数，减少清淤强度，降低水质影响，并根据实际施工产生的悬浮泥沙量及其扩散范围，在施工混水区投放设</w:t>
      </w:r>
      <w:r>
        <w:rPr>
          <w:rFonts w:ascii="Times New Roman" w:eastAsia="宋体" w:hAnsi="Times New Roman" w:cs="宋体"/>
          <w:color w:val="auto"/>
          <w:sz w:val="24"/>
          <w:szCs w:val="24"/>
          <w:lang w:eastAsia="zh-CN"/>
        </w:rPr>
        <w:lastRenderedPageBreak/>
        <w:t>置防污帘、</w:t>
      </w:r>
      <w:r>
        <w:rPr>
          <w:rFonts w:ascii="Times New Roman" w:eastAsia="宋体" w:hAnsi="Times New Roman" w:cs="宋体" w:hint="eastAsia"/>
          <w:color w:val="auto"/>
          <w:sz w:val="24"/>
          <w:szCs w:val="24"/>
          <w:lang w:eastAsia="zh-CN"/>
        </w:rPr>
        <w:t>生态挡板</w:t>
      </w:r>
      <w:r>
        <w:rPr>
          <w:rFonts w:ascii="Times New Roman" w:eastAsia="宋体" w:hAnsi="Times New Roman" w:cs="宋体"/>
          <w:color w:val="auto"/>
          <w:sz w:val="24"/>
          <w:szCs w:val="24"/>
          <w:lang w:eastAsia="zh-CN"/>
        </w:rPr>
        <w:t>，控制悬浮物扩散范围。同时严禁在湿地内设置临时堆土场、施工营地、堆放建筑垃圾、停放施工器械，避免侵占湿地空间。</w:t>
      </w:r>
    </w:p>
    <w:p w14:paraId="74D5CD89"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3</w:t>
      </w:r>
      <w:r>
        <w:rPr>
          <w:rFonts w:ascii="Times New Roman" w:eastAsia="宋体" w:hAnsi="Times New Roman" w:cs="宋体" w:hint="eastAsia"/>
          <w:b/>
          <w:bCs/>
          <w:color w:val="auto"/>
          <w:sz w:val="24"/>
          <w:szCs w:val="24"/>
          <w:lang w:eastAsia="zh-CN"/>
        </w:rPr>
        <w:t>运营期环境保护对策</w:t>
      </w:r>
    </w:p>
    <w:p w14:paraId="493AE88C"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运营期，加强生态跟踪监测。</w:t>
      </w:r>
    </w:p>
    <w:p w14:paraId="73F80C5C" w14:textId="77777777" w:rsidR="0075791A" w:rsidRDefault="00FB2864">
      <w:pPr>
        <w:spacing w:before="170" w:line="221" w:lineRule="auto"/>
        <w:ind w:left="12"/>
        <w:outlineLvl w:val="2"/>
        <w:rPr>
          <w:rFonts w:ascii="Times New Roman" w:eastAsia="宋体" w:hAnsi="Times New Roman" w:cs="宋体"/>
          <w:color w:val="auto"/>
          <w:sz w:val="28"/>
          <w:szCs w:val="28"/>
          <w:lang w:eastAsia="zh-CN"/>
        </w:rPr>
      </w:pPr>
      <w:bookmarkStart w:id="377" w:name="_Toc17701"/>
      <w:r>
        <w:rPr>
          <w:rFonts w:ascii="Times New Roman" w:eastAsia="宋体" w:hAnsi="Times New Roman" w:cs="Times New Roman" w:hint="eastAsia"/>
          <w:b/>
          <w:bCs/>
          <w:color w:val="auto"/>
          <w:spacing w:val="-2"/>
          <w:sz w:val="28"/>
          <w:szCs w:val="28"/>
          <w:lang w:eastAsia="zh-CN"/>
        </w:rPr>
        <w:t>8</w:t>
      </w:r>
      <w:r>
        <w:rPr>
          <w:rFonts w:ascii="Times New Roman" w:eastAsia="Times New Roman" w:hAnsi="Times New Roman" w:cs="Times New Roman"/>
          <w:b/>
          <w:bCs/>
          <w:color w:val="auto"/>
          <w:spacing w:val="-2"/>
          <w:sz w:val="28"/>
          <w:szCs w:val="28"/>
          <w:lang w:eastAsia="zh-CN"/>
        </w:rPr>
        <w:t>.</w:t>
      </w:r>
      <w:r>
        <w:rPr>
          <w:rFonts w:ascii="Times New Roman" w:eastAsia="宋体" w:hAnsi="Times New Roman" w:cs="Times New Roman" w:hint="eastAsia"/>
          <w:b/>
          <w:bCs/>
          <w:color w:val="auto"/>
          <w:spacing w:val="-2"/>
          <w:sz w:val="28"/>
          <w:szCs w:val="28"/>
          <w:lang w:eastAsia="zh-CN"/>
        </w:rPr>
        <w:t>2</w:t>
      </w:r>
      <w:r>
        <w:rPr>
          <w:rFonts w:ascii="Times New Roman" w:eastAsia="Times New Roman" w:hAnsi="Times New Roman" w:cs="Times New Roman"/>
          <w:b/>
          <w:bCs/>
          <w:color w:val="auto"/>
          <w:spacing w:val="-2"/>
          <w:sz w:val="28"/>
          <w:szCs w:val="28"/>
          <w:lang w:eastAsia="zh-CN"/>
        </w:rPr>
        <w:t>.2</w:t>
      </w:r>
      <w:r>
        <w:rPr>
          <w:rFonts w:ascii="Times New Roman" w:eastAsia="宋体" w:hAnsi="Times New Roman" w:cs="宋体"/>
          <w:b/>
          <w:bCs/>
          <w:color w:val="auto"/>
          <w:spacing w:val="-2"/>
          <w:sz w:val="28"/>
          <w:szCs w:val="28"/>
          <w:lang w:eastAsia="zh-CN"/>
        </w:rPr>
        <w:t>生态跟踪监测</w:t>
      </w:r>
      <w:bookmarkEnd w:id="377"/>
    </w:p>
    <w:p w14:paraId="0DFF2CE5" w14:textId="77777777" w:rsidR="0075791A" w:rsidRDefault="00FB2864">
      <w:pPr>
        <w:spacing w:before="231" w:line="351" w:lineRule="auto"/>
        <w:ind w:left="12" w:right="80" w:firstLine="481"/>
        <w:jc w:val="both"/>
        <w:rPr>
          <w:rFonts w:ascii="Times New Roman" w:eastAsia="宋体" w:hAnsi="Times New Roman" w:cs="宋体"/>
          <w:color w:val="auto"/>
          <w:sz w:val="24"/>
          <w:szCs w:val="24"/>
          <w:lang w:eastAsia="zh-CN"/>
        </w:rPr>
      </w:pPr>
      <w:r>
        <w:rPr>
          <w:rFonts w:ascii="Times New Roman" w:eastAsia="宋体" w:hAnsi="Times New Roman" w:cs="宋体"/>
          <w:color w:val="auto"/>
          <w:spacing w:val="-2"/>
          <w:sz w:val="24"/>
          <w:szCs w:val="24"/>
          <w:lang w:eastAsia="zh-CN"/>
        </w:rPr>
        <w:t>为了分析、验证和复核本工程对环境影响的趋势和论证结果，及时反映工程实际影响，需进行跟踪监测，以便及时提出合理化建议和对策、措施，达到保护工程周围环境</w:t>
      </w:r>
      <w:r>
        <w:rPr>
          <w:rFonts w:ascii="Times New Roman" w:eastAsia="宋体" w:hAnsi="Times New Roman" w:cs="宋体"/>
          <w:color w:val="auto"/>
          <w:spacing w:val="-1"/>
          <w:sz w:val="24"/>
          <w:szCs w:val="24"/>
          <w:lang w:eastAsia="zh-CN"/>
        </w:rPr>
        <w:t>质量、生物多样性和渔业资源的目的。</w:t>
      </w:r>
    </w:p>
    <w:p w14:paraId="116A1041" w14:textId="77777777" w:rsidR="0075791A" w:rsidRDefault="00FB2864">
      <w:pPr>
        <w:spacing w:before="33" w:line="351" w:lineRule="auto"/>
        <w:ind w:left="11" w:right="8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pacing w:val="-3"/>
          <w:sz w:val="24"/>
          <w:szCs w:val="24"/>
          <w:lang w:eastAsia="zh-CN"/>
        </w:rPr>
        <w:t>环境跟踪监测应委托具备</w:t>
      </w:r>
      <w:r>
        <w:rPr>
          <w:rFonts w:ascii="Times New Roman" w:eastAsia="Times New Roman" w:hAnsi="Times New Roman" w:cs="Times New Roman"/>
          <w:color w:val="auto"/>
          <w:spacing w:val="-3"/>
          <w:sz w:val="24"/>
          <w:szCs w:val="24"/>
          <w:lang w:eastAsia="zh-CN"/>
        </w:rPr>
        <w:t>CMA</w:t>
      </w:r>
      <w:r>
        <w:rPr>
          <w:rFonts w:ascii="Times New Roman" w:eastAsia="宋体" w:hAnsi="Times New Roman" w:cs="宋体"/>
          <w:color w:val="auto"/>
          <w:spacing w:val="-3"/>
          <w:sz w:val="24"/>
          <w:szCs w:val="24"/>
          <w:lang w:eastAsia="zh-CN"/>
        </w:rPr>
        <w:t>计量认证资质的单</w:t>
      </w:r>
      <w:r>
        <w:rPr>
          <w:rFonts w:ascii="Times New Roman" w:eastAsia="宋体" w:hAnsi="Times New Roman" w:cs="宋体"/>
          <w:color w:val="auto"/>
          <w:spacing w:val="-4"/>
          <w:sz w:val="24"/>
          <w:szCs w:val="24"/>
          <w:lang w:eastAsia="zh-CN"/>
        </w:rPr>
        <w:t>位进行，技术要求按照有关环境监</w:t>
      </w:r>
      <w:r>
        <w:rPr>
          <w:rFonts w:ascii="Times New Roman" w:eastAsia="宋体" w:hAnsi="Times New Roman" w:cs="宋体"/>
          <w:color w:val="auto"/>
          <w:spacing w:val="-2"/>
          <w:sz w:val="24"/>
          <w:szCs w:val="24"/>
          <w:lang w:eastAsia="zh-CN"/>
        </w:rPr>
        <w:t>测规范的规定执行，并在施工完成后及时向海洋环境主管部门提交符合要求的跟踪监测</w:t>
      </w:r>
      <w:r>
        <w:rPr>
          <w:rFonts w:ascii="Times New Roman" w:eastAsia="宋体" w:hAnsi="Times New Roman" w:cs="宋体"/>
          <w:color w:val="auto"/>
          <w:spacing w:val="-1"/>
          <w:sz w:val="24"/>
          <w:szCs w:val="24"/>
          <w:lang w:eastAsia="zh-CN"/>
        </w:rPr>
        <w:t>计量认证分析测试报告，以备查。</w:t>
      </w:r>
    </w:p>
    <w:p w14:paraId="2CFE56E5" w14:textId="77777777" w:rsidR="0075791A" w:rsidRDefault="00FB2864">
      <w:pPr>
        <w:spacing w:before="38" w:line="353" w:lineRule="auto"/>
        <w:ind w:left="12" w:right="80" w:firstLine="480"/>
        <w:jc w:val="both"/>
        <w:rPr>
          <w:rFonts w:ascii="Times New Roman" w:eastAsia="宋体" w:hAnsi="Times New Roman" w:cs="宋体"/>
          <w:color w:val="auto"/>
          <w:spacing w:val="-1"/>
          <w:sz w:val="24"/>
          <w:szCs w:val="24"/>
          <w:lang w:eastAsia="zh-CN"/>
        </w:rPr>
      </w:pPr>
      <w:r>
        <w:rPr>
          <w:rFonts w:ascii="Times New Roman" w:eastAsia="宋体" w:hAnsi="Times New Roman" w:cs="宋体"/>
          <w:color w:val="auto"/>
          <w:spacing w:val="-2"/>
          <w:sz w:val="24"/>
          <w:szCs w:val="24"/>
          <w:lang w:eastAsia="zh-CN"/>
        </w:rPr>
        <w:t>本项目为生态修复项目，该将水质、沉积物和生物生态环境的监测纳入到项目整体用海的监测方案中。结合项目施工的特点、周围的环境敏感保护目标和施工前海洋环境现状调查情况，施工期的海洋环境监测方案参考《建设项目海洋环境影响跟踪监测技术</w:t>
      </w:r>
      <w:r>
        <w:rPr>
          <w:rFonts w:ascii="Times New Roman" w:eastAsia="宋体" w:hAnsi="Times New Roman" w:cs="宋体"/>
          <w:color w:val="auto"/>
          <w:spacing w:val="-1"/>
          <w:sz w:val="24"/>
          <w:szCs w:val="24"/>
          <w:lang w:eastAsia="zh-CN"/>
        </w:rPr>
        <w:t>规程》</w:t>
      </w:r>
      <w:r>
        <w:rPr>
          <w:rFonts w:ascii="Times New Roman" w:eastAsia="宋体" w:hAnsi="Times New Roman" w:cs="宋体" w:hint="eastAsia"/>
          <w:color w:val="auto"/>
          <w:spacing w:val="-1"/>
          <w:sz w:val="24"/>
          <w:szCs w:val="24"/>
          <w:lang w:eastAsia="zh-CN"/>
        </w:rPr>
        <w:t>、《红树林生态修复监测和效果评估技术指南》</w:t>
      </w:r>
      <w:r>
        <w:rPr>
          <w:rFonts w:ascii="Times New Roman" w:eastAsia="宋体" w:hAnsi="Times New Roman" w:cs="宋体"/>
          <w:color w:val="auto"/>
          <w:spacing w:val="-1"/>
          <w:sz w:val="24"/>
          <w:szCs w:val="24"/>
          <w:lang w:eastAsia="zh-CN"/>
        </w:rPr>
        <w:t>相关内容，进行水质、沉积物</w:t>
      </w:r>
      <w:r>
        <w:rPr>
          <w:rFonts w:ascii="Times New Roman" w:eastAsia="宋体" w:hAnsi="Times New Roman" w:cs="宋体" w:hint="eastAsia"/>
          <w:color w:val="auto"/>
          <w:spacing w:val="-1"/>
          <w:sz w:val="24"/>
          <w:szCs w:val="24"/>
          <w:lang w:eastAsia="zh-CN"/>
        </w:rPr>
        <w:t>、</w:t>
      </w:r>
      <w:r>
        <w:rPr>
          <w:rFonts w:ascii="Times New Roman" w:eastAsia="宋体" w:hAnsi="Times New Roman" w:cs="宋体"/>
          <w:color w:val="auto"/>
          <w:spacing w:val="-1"/>
          <w:sz w:val="24"/>
          <w:szCs w:val="24"/>
          <w:lang w:eastAsia="zh-CN"/>
        </w:rPr>
        <w:t>海洋生物</w:t>
      </w:r>
      <w:r>
        <w:rPr>
          <w:rFonts w:ascii="Times New Roman" w:eastAsia="宋体" w:hAnsi="Times New Roman" w:cs="宋体" w:hint="eastAsia"/>
          <w:color w:val="auto"/>
          <w:spacing w:val="-1"/>
          <w:sz w:val="24"/>
          <w:szCs w:val="24"/>
          <w:lang w:eastAsia="zh-CN"/>
        </w:rPr>
        <w:t>、</w:t>
      </w:r>
      <w:r>
        <w:rPr>
          <w:rFonts w:ascii="Times New Roman" w:eastAsia="宋体" w:hAnsi="Times New Roman" w:cs="宋体" w:hint="eastAsia"/>
          <w:color w:val="auto"/>
          <w:spacing w:val="-1"/>
          <w:sz w:val="24"/>
          <w:szCs w:val="24"/>
          <w:lang w:eastAsia="zh-CN"/>
        </w:rPr>
        <w:t>红树林</w:t>
      </w:r>
      <w:r>
        <w:rPr>
          <w:rFonts w:ascii="Times New Roman" w:eastAsia="宋体" w:hAnsi="Times New Roman" w:cs="宋体"/>
          <w:color w:val="auto"/>
          <w:spacing w:val="-1"/>
          <w:sz w:val="24"/>
          <w:szCs w:val="24"/>
          <w:lang w:eastAsia="zh-CN"/>
        </w:rPr>
        <w:t>监测。</w:t>
      </w:r>
    </w:p>
    <w:p w14:paraId="34585B65" w14:textId="77777777" w:rsidR="0075791A" w:rsidRDefault="00FB2864">
      <w:pPr>
        <w:spacing w:line="360" w:lineRule="auto"/>
        <w:ind w:firstLineChars="200" w:firstLine="480"/>
        <w:jc w:val="both"/>
        <w:rPr>
          <w:rFonts w:ascii="Times New Roman" w:eastAsia="宋体" w:hAnsi="Times New Roman" w:cs="宋体"/>
          <w:b/>
          <w:bCs/>
          <w:color w:val="auto"/>
          <w:spacing w:val="-1"/>
          <w:sz w:val="24"/>
          <w:szCs w:val="24"/>
          <w:lang w:eastAsia="zh-CN"/>
        </w:rPr>
      </w:pPr>
      <w:r>
        <w:rPr>
          <w:rFonts w:ascii="Times New Roman" w:eastAsia="宋体" w:hAnsi="Times New Roman" w:cs="宋体" w:hint="eastAsia"/>
          <w:b/>
          <w:bCs/>
          <w:color w:val="auto"/>
          <w:spacing w:val="-1"/>
          <w:sz w:val="24"/>
          <w:szCs w:val="24"/>
          <w:lang w:eastAsia="zh-CN"/>
        </w:rPr>
        <w:t>1.</w:t>
      </w:r>
      <w:r>
        <w:rPr>
          <w:rFonts w:ascii="Times New Roman" w:eastAsia="宋体" w:hAnsi="Times New Roman" w:cs="宋体" w:hint="eastAsia"/>
          <w:b/>
          <w:bCs/>
          <w:color w:val="auto"/>
          <w:spacing w:val="-1"/>
          <w:sz w:val="24"/>
          <w:szCs w:val="24"/>
          <w:lang w:eastAsia="zh-CN"/>
        </w:rPr>
        <w:t>施工期跟踪监测</w:t>
      </w:r>
    </w:p>
    <w:p w14:paraId="3CB7011E"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1</w:t>
      </w:r>
      <w:r>
        <w:rPr>
          <w:rFonts w:ascii="Times New Roman" w:eastAsia="宋体" w:hAnsi="Times New Roman" w:cs="宋体" w:hint="eastAsia"/>
          <w:b/>
          <w:bCs/>
          <w:color w:val="auto"/>
          <w:sz w:val="24"/>
          <w:szCs w:val="24"/>
          <w:lang w:eastAsia="zh-CN"/>
        </w:rPr>
        <w:t>）常规水质环境监测</w:t>
      </w:r>
    </w:p>
    <w:p w14:paraId="53B2A40E"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①</w:t>
      </w:r>
      <w:r>
        <w:rPr>
          <w:rFonts w:ascii="Times New Roman" w:eastAsia="宋体" w:hAnsi="Times New Roman" w:cs="宋体"/>
          <w:color w:val="auto"/>
          <w:sz w:val="24"/>
          <w:szCs w:val="24"/>
          <w:lang w:eastAsia="zh-CN"/>
        </w:rPr>
        <w:t>监测站位：在</w:t>
      </w:r>
      <w:r>
        <w:rPr>
          <w:rFonts w:ascii="Times New Roman" w:eastAsia="宋体" w:hAnsi="Times New Roman" w:cs="宋体" w:hint="eastAsia"/>
          <w:color w:val="auto"/>
          <w:sz w:val="24"/>
          <w:szCs w:val="24"/>
          <w:lang w:eastAsia="zh-CN"/>
        </w:rPr>
        <w:t>铁炉港海域</w:t>
      </w:r>
      <w:r>
        <w:rPr>
          <w:rFonts w:ascii="Times New Roman" w:eastAsia="宋体" w:hAnsi="Times New Roman" w:cs="宋体"/>
          <w:color w:val="auto"/>
          <w:sz w:val="24"/>
          <w:szCs w:val="24"/>
          <w:lang w:eastAsia="zh-CN"/>
        </w:rPr>
        <w:t>设置水质监测站位</w:t>
      </w:r>
      <w:r>
        <w:rPr>
          <w:rFonts w:ascii="Times New Roman" w:eastAsia="宋体" w:hAnsi="Times New Roman" w:cs="宋体"/>
          <w:color w:val="auto"/>
          <w:sz w:val="24"/>
          <w:szCs w:val="24"/>
          <w:lang w:eastAsia="zh-CN"/>
        </w:rPr>
        <w:t>12</w:t>
      </w:r>
      <w:r>
        <w:rPr>
          <w:rFonts w:ascii="Times New Roman" w:eastAsia="宋体" w:hAnsi="Times New Roman" w:cs="宋体"/>
          <w:color w:val="auto"/>
          <w:sz w:val="24"/>
          <w:szCs w:val="24"/>
          <w:lang w:eastAsia="zh-CN"/>
        </w:rPr>
        <w:t>个</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见表</w:t>
      </w:r>
      <w:r>
        <w:rPr>
          <w:rFonts w:ascii="Times New Roman" w:eastAsia="宋体" w:hAnsi="Times New Roman" w:cs="宋体" w:hint="eastAsia"/>
          <w:color w:val="auto"/>
          <w:sz w:val="24"/>
          <w:szCs w:val="24"/>
          <w:lang w:eastAsia="zh-CN"/>
        </w:rPr>
        <w:t>8.2.2</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1</w:t>
      </w:r>
      <w:r>
        <w:rPr>
          <w:rFonts w:ascii="Times New Roman" w:eastAsia="宋体" w:hAnsi="Times New Roman" w:cs="宋体"/>
          <w:color w:val="auto"/>
          <w:sz w:val="24"/>
          <w:szCs w:val="24"/>
          <w:lang w:eastAsia="zh-CN"/>
        </w:rPr>
        <w:t>和图</w:t>
      </w:r>
      <w:r>
        <w:rPr>
          <w:rFonts w:ascii="Times New Roman" w:eastAsia="宋体" w:hAnsi="Times New Roman" w:cs="宋体" w:hint="eastAsia"/>
          <w:color w:val="auto"/>
          <w:sz w:val="24"/>
          <w:szCs w:val="24"/>
          <w:lang w:eastAsia="zh-CN"/>
        </w:rPr>
        <w:t>8.2.2</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1</w:t>
      </w:r>
      <w:r>
        <w:rPr>
          <w:rFonts w:ascii="Times New Roman" w:eastAsia="宋体" w:hAnsi="Times New Roman" w:cs="宋体"/>
          <w:color w:val="auto"/>
          <w:sz w:val="24"/>
          <w:szCs w:val="24"/>
          <w:lang w:eastAsia="zh-CN"/>
        </w:rPr>
        <w:t>。</w:t>
      </w:r>
    </w:p>
    <w:p w14:paraId="074C83D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②</w:t>
      </w:r>
      <w:r>
        <w:rPr>
          <w:rFonts w:ascii="Times New Roman" w:eastAsia="宋体" w:hAnsi="Times New Roman" w:cs="宋体"/>
          <w:color w:val="auto"/>
          <w:sz w:val="24"/>
          <w:szCs w:val="24"/>
          <w:lang w:eastAsia="zh-CN"/>
        </w:rPr>
        <w:t>监测项目：水温、水色、透明度、盐度、</w:t>
      </w:r>
      <w:r>
        <w:rPr>
          <w:rFonts w:ascii="Times New Roman" w:eastAsia="宋体" w:hAnsi="Times New Roman" w:cs="宋体"/>
          <w:color w:val="auto"/>
          <w:sz w:val="24"/>
          <w:szCs w:val="24"/>
          <w:lang w:eastAsia="zh-CN"/>
        </w:rPr>
        <w:t>pH</w:t>
      </w:r>
      <w:r>
        <w:rPr>
          <w:rFonts w:ascii="Times New Roman" w:eastAsia="宋体" w:hAnsi="Times New Roman" w:cs="宋体"/>
          <w:color w:val="auto"/>
          <w:sz w:val="24"/>
          <w:szCs w:val="24"/>
          <w:lang w:eastAsia="zh-CN"/>
        </w:rPr>
        <w:t>、溶解氧、化学需氧量、活性磷酸盐、无机氮（亚硝酸盐氮、硝酸盐氮、氨氮）、石油类、悬浮物</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重金属（铜、锌、铅、镉、铬、汞、砷）</w:t>
      </w:r>
    </w:p>
    <w:p w14:paraId="1D6B291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③</w:t>
      </w:r>
      <w:r>
        <w:rPr>
          <w:rFonts w:ascii="Times New Roman" w:eastAsia="宋体" w:hAnsi="Times New Roman" w:cs="宋体"/>
          <w:color w:val="auto"/>
          <w:sz w:val="24"/>
          <w:szCs w:val="24"/>
          <w:lang w:eastAsia="zh-CN"/>
        </w:rPr>
        <w:t>监测频率：</w:t>
      </w:r>
      <w:r>
        <w:rPr>
          <w:rFonts w:ascii="Times New Roman" w:eastAsia="宋体" w:hAnsi="Times New Roman" w:cs="宋体" w:hint="eastAsia"/>
          <w:color w:val="auto"/>
          <w:sz w:val="24"/>
          <w:szCs w:val="24"/>
          <w:lang w:eastAsia="zh-CN"/>
        </w:rPr>
        <w:t>施工期每季</w:t>
      </w:r>
      <w:r>
        <w:rPr>
          <w:rFonts w:ascii="Times New Roman" w:eastAsia="宋体" w:hAnsi="Times New Roman" w:cs="宋体"/>
          <w:color w:val="auto"/>
          <w:sz w:val="24"/>
          <w:szCs w:val="24"/>
          <w:lang w:eastAsia="zh-CN"/>
        </w:rPr>
        <w:t>监测一次，并根据实际情况合理增减监测频次。</w:t>
      </w:r>
    </w:p>
    <w:p w14:paraId="33138071"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2</w:t>
      </w:r>
      <w:r>
        <w:rPr>
          <w:rFonts w:ascii="Times New Roman" w:eastAsia="宋体" w:hAnsi="Times New Roman" w:cs="宋体" w:hint="eastAsia"/>
          <w:b/>
          <w:bCs/>
          <w:color w:val="auto"/>
          <w:sz w:val="24"/>
          <w:szCs w:val="24"/>
          <w:lang w:eastAsia="zh-CN"/>
        </w:rPr>
        <w:t>）水质悬浮物监测</w:t>
      </w:r>
    </w:p>
    <w:p w14:paraId="0E332DE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①</w:t>
      </w:r>
      <w:r>
        <w:rPr>
          <w:rFonts w:ascii="Times New Roman" w:eastAsia="宋体" w:hAnsi="Times New Roman" w:cs="宋体"/>
          <w:color w:val="auto"/>
          <w:sz w:val="24"/>
          <w:szCs w:val="24"/>
          <w:lang w:eastAsia="zh-CN"/>
        </w:rPr>
        <w:t>监测站位：在</w:t>
      </w:r>
      <w:r>
        <w:rPr>
          <w:rFonts w:ascii="Times New Roman" w:eastAsia="宋体" w:hAnsi="Times New Roman" w:cs="宋体" w:hint="eastAsia"/>
          <w:color w:val="auto"/>
          <w:sz w:val="24"/>
          <w:szCs w:val="24"/>
          <w:lang w:eastAsia="zh-CN"/>
        </w:rPr>
        <w:t>疏浚工程至红榄李古树群之间</w:t>
      </w:r>
      <w:r>
        <w:rPr>
          <w:rFonts w:ascii="Times New Roman" w:eastAsia="宋体" w:hAnsi="Times New Roman" w:cs="宋体"/>
          <w:color w:val="auto"/>
          <w:sz w:val="24"/>
          <w:szCs w:val="24"/>
          <w:lang w:eastAsia="zh-CN"/>
        </w:rPr>
        <w:t>设置水质监测站位</w:t>
      </w:r>
      <w:r>
        <w:rPr>
          <w:rFonts w:ascii="Times New Roman" w:eastAsia="宋体" w:hAnsi="Times New Roman" w:cs="宋体" w:hint="eastAsia"/>
          <w:color w:val="auto"/>
          <w:sz w:val="24"/>
          <w:szCs w:val="24"/>
          <w:lang w:eastAsia="zh-CN"/>
        </w:rPr>
        <w:t>1</w:t>
      </w:r>
      <w:r>
        <w:rPr>
          <w:rFonts w:ascii="Times New Roman" w:eastAsia="宋体" w:hAnsi="Times New Roman" w:cs="宋体"/>
          <w:color w:val="auto"/>
          <w:sz w:val="24"/>
          <w:szCs w:val="24"/>
          <w:lang w:eastAsia="zh-CN"/>
        </w:rPr>
        <w:t>个</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见表</w:t>
      </w:r>
      <w:r>
        <w:rPr>
          <w:rFonts w:ascii="Times New Roman" w:eastAsia="宋体" w:hAnsi="Times New Roman" w:cs="宋体" w:hint="eastAsia"/>
          <w:color w:val="auto"/>
          <w:sz w:val="24"/>
          <w:szCs w:val="24"/>
          <w:lang w:eastAsia="zh-CN"/>
        </w:rPr>
        <w:t>8.2.2</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1</w:t>
      </w:r>
      <w:r>
        <w:rPr>
          <w:rFonts w:ascii="Times New Roman" w:eastAsia="宋体" w:hAnsi="Times New Roman" w:cs="宋体"/>
          <w:color w:val="auto"/>
          <w:sz w:val="24"/>
          <w:szCs w:val="24"/>
          <w:lang w:eastAsia="zh-CN"/>
        </w:rPr>
        <w:t>和图</w:t>
      </w:r>
      <w:r>
        <w:rPr>
          <w:rFonts w:ascii="Times New Roman" w:eastAsia="宋体" w:hAnsi="Times New Roman" w:cs="宋体" w:hint="eastAsia"/>
          <w:color w:val="auto"/>
          <w:sz w:val="24"/>
          <w:szCs w:val="24"/>
          <w:lang w:eastAsia="zh-CN"/>
        </w:rPr>
        <w:t>8.2.2</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1</w:t>
      </w:r>
      <w:r>
        <w:rPr>
          <w:rFonts w:ascii="Times New Roman" w:eastAsia="宋体" w:hAnsi="Times New Roman" w:cs="宋体"/>
          <w:color w:val="auto"/>
          <w:sz w:val="24"/>
          <w:szCs w:val="24"/>
          <w:lang w:eastAsia="zh-CN"/>
        </w:rPr>
        <w:t>。</w:t>
      </w:r>
    </w:p>
    <w:p w14:paraId="5C75530E"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②</w:t>
      </w:r>
      <w:r>
        <w:rPr>
          <w:rFonts w:ascii="Times New Roman" w:eastAsia="宋体" w:hAnsi="Times New Roman" w:cs="宋体"/>
          <w:color w:val="auto"/>
          <w:sz w:val="24"/>
          <w:szCs w:val="24"/>
          <w:lang w:eastAsia="zh-CN"/>
        </w:rPr>
        <w:t>监测项目：悬浮物</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PH</w:t>
      </w:r>
      <w:r>
        <w:rPr>
          <w:rFonts w:ascii="Times New Roman" w:eastAsia="宋体" w:hAnsi="Times New Roman" w:cs="宋体"/>
          <w:color w:val="auto"/>
          <w:sz w:val="24"/>
          <w:szCs w:val="24"/>
          <w:lang w:eastAsia="zh-CN"/>
        </w:rPr>
        <w:t>，溶氧，电导率，浊度，水温</w:t>
      </w:r>
    </w:p>
    <w:p w14:paraId="1C003341"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③</w:t>
      </w:r>
      <w:r>
        <w:rPr>
          <w:rFonts w:ascii="Times New Roman" w:eastAsia="宋体" w:hAnsi="Times New Roman" w:cs="宋体"/>
          <w:color w:val="auto"/>
          <w:sz w:val="24"/>
          <w:szCs w:val="24"/>
          <w:lang w:eastAsia="zh-CN"/>
        </w:rPr>
        <w:t>监测频率：</w:t>
      </w:r>
      <w:r>
        <w:rPr>
          <w:rFonts w:ascii="Times New Roman" w:eastAsia="宋体" w:hAnsi="Times New Roman" w:cs="宋体" w:hint="eastAsia"/>
          <w:color w:val="auto"/>
          <w:sz w:val="24"/>
          <w:szCs w:val="24"/>
          <w:lang w:eastAsia="zh-CN"/>
        </w:rPr>
        <w:t>施工期实时监测</w:t>
      </w:r>
      <w:r>
        <w:rPr>
          <w:rFonts w:ascii="Times New Roman" w:eastAsia="宋体" w:hAnsi="Times New Roman" w:cs="宋体"/>
          <w:color w:val="auto"/>
          <w:sz w:val="24"/>
          <w:szCs w:val="24"/>
          <w:lang w:eastAsia="zh-CN"/>
        </w:rPr>
        <w:t>。</w:t>
      </w:r>
    </w:p>
    <w:p w14:paraId="4EBAFF0F"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3</w:t>
      </w:r>
      <w:r>
        <w:rPr>
          <w:rFonts w:ascii="Times New Roman" w:eastAsia="宋体" w:hAnsi="Times New Roman" w:cs="宋体" w:hint="eastAsia"/>
          <w:b/>
          <w:bCs/>
          <w:color w:val="auto"/>
          <w:sz w:val="24"/>
          <w:szCs w:val="24"/>
          <w:lang w:eastAsia="zh-CN"/>
        </w:rPr>
        <w:t>）</w:t>
      </w:r>
      <w:r>
        <w:rPr>
          <w:rFonts w:ascii="Times New Roman" w:eastAsia="宋体" w:hAnsi="Times New Roman" w:cs="宋体"/>
          <w:b/>
          <w:bCs/>
          <w:color w:val="auto"/>
          <w:sz w:val="24"/>
          <w:szCs w:val="24"/>
          <w:lang w:eastAsia="zh-CN"/>
        </w:rPr>
        <w:t>沉积物环境监测</w:t>
      </w:r>
    </w:p>
    <w:p w14:paraId="76D7AFFF"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①</w:t>
      </w:r>
      <w:r>
        <w:rPr>
          <w:rFonts w:ascii="Times New Roman" w:eastAsia="宋体" w:hAnsi="Times New Roman" w:cs="宋体"/>
          <w:color w:val="auto"/>
          <w:sz w:val="24"/>
          <w:szCs w:val="24"/>
          <w:lang w:eastAsia="zh-CN"/>
        </w:rPr>
        <w:t>监测站位：与水质监测站位相同，见表</w:t>
      </w:r>
      <w:r>
        <w:rPr>
          <w:rFonts w:ascii="Times New Roman" w:eastAsia="宋体" w:hAnsi="Times New Roman" w:cs="宋体" w:hint="eastAsia"/>
          <w:color w:val="auto"/>
          <w:sz w:val="24"/>
          <w:szCs w:val="24"/>
          <w:lang w:eastAsia="zh-CN"/>
        </w:rPr>
        <w:t>8.2.2</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1</w:t>
      </w:r>
      <w:r>
        <w:rPr>
          <w:rFonts w:ascii="Times New Roman" w:eastAsia="宋体" w:hAnsi="Times New Roman" w:cs="宋体"/>
          <w:color w:val="auto"/>
          <w:sz w:val="24"/>
          <w:szCs w:val="24"/>
          <w:lang w:eastAsia="zh-CN"/>
        </w:rPr>
        <w:t>和图</w:t>
      </w:r>
      <w:r>
        <w:rPr>
          <w:rFonts w:ascii="Times New Roman" w:eastAsia="宋体" w:hAnsi="Times New Roman" w:cs="宋体" w:hint="eastAsia"/>
          <w:color w:val="auto"/>
          <w:sz w:val="24"/>
          <w:szCs w:val="24"/>
          <w:lang w:eastAsia="zh-CN"/>
        </w:rPr>
        <w:t>8.2.2</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1</w:t>
      </w:r>
      <w:r>
        <w:rPr>
          <w:rFonts w:ascii="Times New Roman" w:eastAsia="宋体" w:hAnsi="Times New Roman" w:cs="宋体"/>
          <w:color w:val="auto"/>
          <w:sz w:val="24"/>
          <w:szCs w:val="24"/>
          <w:lang w:eastAsia="zh-CN"/>
        </w:rPr>
        <w:t>。</w:t>
      </w:r>
    </w:p>
    <w:p w14:paraId="4B87C9C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②</w:t>
      </w:r>
      <w:r>
        <w:rPr>
          <w:rFonts w:ascii="Times New Roman" w:eastAsia="宋体" w:hAnsi="Times New Roman" w:cs="宋体"/>
          <w:color w:val="auto"/>
          <w:sz w:val="24"/>
          <w:szCs w:val="24"/>
          <w:lang w:eastAsia="zh-CN"/>
        </w:rPr>
        <w:t>监测项目：有机碳、硫化物、石油类、重金属（铜、锌、铅、镉、铬、汞、砷）。</w:t>
      </w:r>
    </w:p>
    <w:p w14:paraId="33542F0F"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lastRenderedPageBreak/>
        <w:t>③</w:t>
      </w:r>
      <w:r>
        <w:rPr>
          <w:rFonts w:ascii="Times New Roman" w:eastAsia="宋体" w:hAnsi="Times New Roman" w:cs="宋体"/>
          <w:color w:val="auto"/>
          <w:sz w:val="24"/>
          <w:szCs w:val="24"/>
          <w:lang w:eastAsia="zh-CN"/>
        </w:rPr>
        <w:t>监测频率：沉积物监测与水质监测同步。</w:t>
      </w:r>
    </w:p>
    <w:p w14:paraId="3F9E1789"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4</w:t>
      </w:r>
      <w:r>
        <w:rPr>
          <w:rFonts w:ascii="Times New Roman" w:eastAsia="宋体" w:hAnsi="Times New Roman" w:cs="宋体" w:hint="eastAsia"/>
          <w:b/>
          <w:bCs/>
          <w:color w:val="auto"/>
          <w:sz w:val="24"/>
          <w:szCs w:val="24"/>
          <w:lang w:eastAsia="zh-CN"/>
        </w:rPr>
        <w:t>）</w:t>
      </w:r>
      <w:r>
        <w:rPr>
          <w:rFonts w:ascii="Times New Roman" w:eastAsia="宋体" w:hAnsi="Times New Roman" w:cs="宋体"/>
          <w:b/>
          <w:bCs/>
          <w:color w:val="auto"/>
          <w:sz w:val="24"/>
          <w:szCs w:val="24"/>
          <w:lang w:eastAsia="zh-CN"/>
        </w:rPr>
        <w:t>海洋生物监测</w:t>
      </w:r>
    </w:p>
    <w:p w14:paraId="2EF9A861"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①</w:t>
      </w:r>
      <w:r>
        <w:rPr>
          <w:rFonts w:ascii="Times New Roman" w:eastAsia="宋体" w:hAnsi="Times New Roman" w:cs="宋体"/>
          <w:color w:val="auto"/>
          <w:sz w:val="24"/>
          <w:szCs w:val="24"/>
          <w:lang w:eastAsia="zh-CN"/>
        </w:rPr>
        <w:t>监测站位：与沉积物监测站位相同。</w:t>
      </w:r>
    </w:p>
    <w:p w14:paraId="3ABD614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②</w:t>
      </w:r>
      <w:r>
        <w:rPr>
          <w:rFonts w:ascii="Times New Roman" w:eastAsia="宋体" w:hAnsi="Times New Roman" w:cs="宋体"/>
          <w:color w:val="auto"/>
          <w:sz w:val="24"/>
          <w:szCs w:val="24"/>
          <w:lang w:eastAsia="zh-CN"/>
        </w:rPr>
        <w:t>监测项目：叶绿素</w:t>
      </w:r>
      <w:r>
        <w:rPr>
          <w:rFonts w:ascii="Times New Roman" w:eastAsia="宋体" w:hAnsi="Times New Roman" w:cs="宋体"/>
          <w:color w:val="auto"/>
          <w:sz w:val="24"/>
          <w:szCs w:val="24"/>
          <w:lang w:eastAsia="zh-CN"/>
        </w:rPr>
        <w:t>a</w:t>
      </w:r>
      <w:r>
        <w:rPr>
          <w:rFonts w:ascii="Times New Roman" w:eastAsia="宋体" w:hAnsi="Times New Roman" w:cs="宋体"/>
          <w:color w:val="auto"/>
          <w:sz w:val="24"/>
          <w:szCs w:val="24"/>
          <w:lang w:eastAsia="zh-CN"/>
        </w:rPr>
        <w:t>、浮游植物、浮游动物、鱼卵仔稚鱼、大型底栖生物（定量、定性）、潮间带生物（定量、定性）、游泳动物。</w:t>
      </w:r>
    </w:p>
    <w:p w14:paraId="0E4920E2"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③</w:t>
      </w:r>
      <w:r>
        <w:rPr>
          <w:rFonts w:ascii="Times New Roman" w:eastAsia="宋体" w:hAnsi="Times New Roman" w:cs="宋体"/>
          <w:color w:val="auto"/>
          <w:sz w:val="24"/>
          <w:szCs w:val="24"/>
          <w:lang w:eastAsia="zh-CN"/>
        </w:rPr>
        <w:t>监测频率：海洋生物监测与水质监测同步。</w:t>
      </w:r>
    </w:p>
    <w:p w14:paraId="267F33E7" w14:textId="77777777" w:rsidR="0075791A" w:rsidRDefault="00FB2864">
      <w:pPr>
        <w:spacing w:line="360" w:lineRule="auto"/>
        <w:ind w:firstLineChars="200" w:firstLine="480"/>
        <w:jc w:val="both"/>
        <w:rPr>
          <w:rFonts w:ascii="Times New Roman" w:eastAsia="宋体" w:hAnsi="Times New Roman" w:cs="宋体"/>
          <w:b/>
          <w:bCs/>
          <w:color w:val="auto"/>
          <w:spacing w:val="-1"/>
          <w:sz w:val="24"/>
          <w:szCs w:val="24"/>
          <w:lang w:eastAsia="zh-CN"/>
        </w:rPr>
      </w:pPr>
      <w:r>
        <w:rPr>
          <w:rFonts w:ascii="Times New Roman" w:eastAsia="宋体" w:hAnsi="Times New Roman" w:cs="宋体" w:hint="eastAsia"/>
          <w:b/>
          <w:bCs/>
          <w:color w:val="auto"/>
          <w:spacing w:val="-1"/>
          <w:sz w:val="24"/>
          <w:szCs w:val="24"/>
          <w:lang w:eastAsia="zh-CN"/>
        </w:rPr>
        <w:t>2.</w:t>
      </w:r>
      <w:r>
        <w:rPr>
          <w:rFonts w:ascii="Times New Roman" w:eastAsia="宋体" w:hAnsi="Times New Roman" w:cs="宋体" w:hint="eastAsia"/>
          <w:b/>
          <w:bCs/>
          <w:color w:val="auto"/>
          <w:spacing w:val="-1"/>
          <w:sz w:val="24"/>
          <w:szCs w:val="24"/>
          <w:lang w:eastAsia="zh-CN"/>
        </w:rPr>
        <w:t>营运期跟踪监测与效果评价</w:t>
      </w:r>
    </w:p>
    <w:p w14:paraId="78F6E86D"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b/>
          <w:bCs/>
          <w:color w:val="auto"/>
          <w:sz w:val="24"/>
          <w:szCs w:val="24"/>
          <w:lang w:eastAsia="zh-CN"/>
        </w:rPr>
        <w:t>1</w:t>
      </w:r>
      <w:r>
        <w:rPr>
          <w:rFonts w:ascii="Times New Roman" w:eastAsia="宋体" w:hAnsi="Times New Roman" w:cs="宋体" w:hint="eastAsia"/>
          <w:b/>
          <w:bCs/>
          <w:color w:val="auto"/>
          <w:sz w:val="24"/>
          <w:szCs w:val="24"/>
          <w:lang w:eastAsia="zh-CN"/>
        </w:rPr>
        <w:t>）</w:t>
      </w:r>
      <w:r>
        <w:rPr>
          <w:rFonts w:ascii="Times New Roman" w:eastAsia="宋体" w:hAnsi="Times New Roman" w:cs="宋体"/>
          <w:b/>
          <w:bCs/>
          <w:color w:val="auto"/>
          <w:sz w:val="24"/>
          <w:szCs w:val="24"/>
          <w:lang w:eastAsia="zh-CN"/>
        </w:rPr>
        <w:t>水质环境监测</w:t>
      </w:r>
    </w:p>
    <w:p w14:paraId="333F90B0"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①</w:t>
      </w:r>
      <w:r>
        <w:rPr>
          <w:rFonts w:ascii="Times New Roman" w:eastAsia="宋体" w:hAnsi="Times New Roman" w:cs="宋体"/>
          <w:color w:val="auto"/>
          <w:sz w:val="24"/>
          <w:szCs w:val="24"/>
          <w:lang w:eastAsia="zh-CN"/>
        </w:rPr>
        <w:t>监测站位：在项目区域设置水质监测站位</w:t>
      </w:r>
      <w:r>
        <w:rPr>
          <w:rFonts w:ascii="Times New Roman" w:eastAsia="宋体" w:hAnsi="Times New Roman" w:cs="宋体"/>
          <w:color w:val="auto"/>
          <w:sz w:val="24"/>
          <w:szCs w:val="24"/>
          <w:lang w:eastAsia="zh-CN"/>
        </w:rPr>
        <w:t>12</w:t>
      </w:r>
      <w:r>
        <w:rPr>
          <w:rFonts w:ascii="Times New Roman" w:eastAsia="宋体" w:hAnsi="Times New Roman" w:cs="宋体"/>
          <w:color w:val="auto"/>
          <w:sz w:val="24"/>
          <w:szCs w:val="24"/>
          <w:lang w:eastAsia="zh-CN"/>
        </w:rPr>
        <w:t>个。详细坐标，见见表</w:t>
      </w:r>
      <w:r>
        <w:rPr>
          <w:rFonts w:ascii="Times New Roman" w:eastAsia="宋体" w:hAnsi="Times New Roman" w:cs="宋体" w:hint="eastAsia"/>
          <w:color w:val="auto"/>
          <w:sz w:val="24"/>
          <w:szCs w:val="24"/>
          <w:lang w:eastAsia="zh-CN"/>
        </w:rPr>
        <w:t>8.2.2</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1</w:t>
      </w:r>
      <w:r>
        <w:rPr>
          <w:rFonts w:ascii="Times New Roman" w:eastAsia="宋体" w:hAnsi="Times New Roman" w:cs="宋体"/>
          <w:color w:val="auto"/>
          <w:sz w:val="24"/>
          <w:szCs w:val="24"/>
          <w:lang w:eastAsia="zh-CN"/>
        </w:rPr>
        <w:t>和图</w:t>
      </w:r>
      <w:r>
        <w:rPr>
          <w:rFonts w:ascii="Times New Roman" w:eastAsia="宋体" w:hAnsi="Times New Roman" w:cs="宋体" w:hint="eastAsia"/>
          <w:color w:val="auto"/>
          <w:sz w:val="24"/>
          <w:szCs w:val="24"/>
          <w:lang w:eastAsia="zh-CN"/>
        </w:rPr>
        <w:t>8.2.2</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1</w:t>
      </w:r>
      <w:r>
        <w:rPr>
          <w:rFonts w:ascii="Times New Roman" w:eastAsia="宋体" w:hAnsi="Times New Roman" w:cs="宋体"/>
          <w:color w:val="auto"/>
          <w:sz w:val="24"/>
          <w:szCs w:val="24"/>
          <w:lang w:eastAsia="zh-CN"/>
        </w:rPr>
        <w:t>。</w:t>
      </w:r>
    </w:p>
    <w:p w14:paraId="289E89C7"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②</w:t>
      </w:r>
      <w:r>
        <w:rPr>
          <w:rFonts w:ascii="Times New Roman" w:eastAsia="宋体" w:hAnsi="Times New Roman" w:cs="宋体"/>
          <w:color w:val="auto"/>
          <w:sz w:val="24"/>
          <w:szCs w:val="24"/>
          <w:lang w:eastAsia="zh-CN"/>
        </w:rPr>
        <w:t>监测项目：水温、水色、透明度、盐度、</w:t>
      </w:r>
      <w:r>
        <w:rPr>
          <w:rFonts w:ascii="Times New Roman" w:eastAsia="宋体" w:hAnsi="Times New Roman" w:cs="宋体"/>
          <w:color w:val="auto"/>
          <w:sz w:val="24"/>
          <w:szCs w:val="24"/>
          <w:lang w:eastAsia="zh-CN"/>
        </w:rPr>
        <w:t>pH</w:t>
      </w:r>
      <w:r>
        <w:rPr>
          <w:rFonts w:ascii="Times New Roman" w:eastAsia="宋体" w:hAnsi="Times New Roman" w:cs="宋体"/>
          <w:color w:val="auto"/>
          <w:sz w:val="24"/>
          <w:szCs w:val="24"/>
          <w:lang w:eastAsia="zh-CN"/>
        </w:rPr>
        <w:t>、溶解氧、化学需氧量、活性磷酸盐、无机氮（亚硝酸盐氮、硝酸盐氮、氨氮）、石油类、悬浮物、重金属（铜、锌、铅、镉、铬、汞、砷）。</w:t>
      </w:r>
    </w:p>
    <w:p w14:paraId="651868F6"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③</w:t>
      </w:r>
      <w:r>
        <w:rPr>
          <w:rFonts w:ascii="Times New Roman" w:eastAsia="宋体" w:hAnsi="Times New Roman" w:cs="宋体"/>
          <w:color w:val="auto"/>
          <w:sz w:val="24"/>
          <w:szCs w:val="24"/>
          <w:lang w:eastAsia="zh-CN"/>
        </w:rPr>
        <w:t>监测频率：工程后每年监测一次，</w:t>
      </w:r>
      <w:r>
        <w:rPr>
          <w:rFonts w:ascii="Times New Roman" w:eastAsia="宋体" w:hAnsi="Times New Roman" w:cs="宋体" w:hint="eastAsia"/>
          <w:color w:val="auto"/>
          <w:sz w:val="24"/>
          <w:szCs w:val="24"/>
          <w:lang w:eastAsia="zh-CN"/>
        </w:rPr>
        <w:t>连续监测</w:t>
      </w:r>
      <w:r>
        <w:rPr>
          <w:rFonts w:ascii="Times New Roman" w:eastAsia="宋体" w:hAnsi="Times New Roman" w:cs="宋体" w:hint="eastAsia"/>
          <w:color w:val="auto"/>
          <w:sz w:val="24"/>
          <w:szCs w:val="24"/>
          <w:lang w:eastAsia="zh-CN"/>
        </w:rPr>
        <w:t>5</w:t>
      </w:r>
      <w:r>
        <w:rPr>
          <w:rFonts w:ascii="Times New Roman" w:eastAsia="宋体" w:hAnsi="Times New Roman" w:cs="宋体" w:hint="eastAsia"/>
          <w:color w:val="auto"/>
          <w:sz w:val="24"/>
          <w:szCs w:val="24"/>
          <w:lang w:eastAsia="zh-CN"/>
        </w:rPr>
        <w:t>年，</w:t>
      </w:r>
      <w:r>
        <w:rPr>
          <w:rFonts w:ascii="Times New Roman" w:eastAsia="宋体" w:hAnsi="Times New Roman" w:cs="宋体"/>
          <w:color w:val="auto"/>
          <w:sz w:val="24"/>
          <w:szCs w:val="24"/>
          <w:lang w:eastAsia="zh-CN"/>
        </w:rPr>
        <w:t>并根据实际情况合理增减监测频次。</w:t>
      </w:r>
    </w:p>
    <w:p w14:paraId="747FA51E"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b/>
          <w:bCs/>
          <w:color w:val="auto"/>
          <w:sz w:val="24"/>
          <w:szCs w:val="24"/>
          <w:lang w:eastAsia="zh-CN"/>
        </w:rPr>
        <w:t>2</w:t>
      </w:r>
      <w:r>
        <w:rPr>
          <w:rFonts w:ascii="Times New Roman" w:eastAsia="宋体" w:hAnsi="Times New Roman" w:cs="宋体" w:hint="eastAsia"/>
          <w:b/>
          <w:bCs/>
          <w:color w:val="auto"/>
          <w:sz w:val="24"/>
          <w:szCs w:val="24"/>
          <w:lang w:eastAsia="zh-CN"/>
        </w:rPr>
        <w:t>）</w:t>
      </w:r>
      <w:r>
        <w:rPr>
          <w:rFonts w:ascii="Times New Roman" w:eastAsia="宋体" w:hAnsi="Times New Roman" w:cs="宋体"/>
          <w:b/>
          <w:bCs/>
          <w:color w:val="auto"/>
          <w:sz w:val="24"/>
          <w:szCs w:val="24"/>
          <w:lang w:eastAsia="zh-CN"/>
        </w:rPr>
        <w:t>沉积物环境监测</w:t>
      </w:r>
    </w:p>
    <w:p w14:paraId="5FEE647C"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①</w:t>
      </w:r>
      <w:r>
        <w:rPr>
          <w:rFonts w:ascii="Times New Roman" w:eastAsia="宋体" w:hAnsi="Times New Roman" w:cs="宋体"/>
          <w:color w:val="auto"/>
          <w:sz w:val="24"/>
          <w:szCs w:val="24"/>
          <w:lang w:eastAsia="zh-CN"/>
        </w:rPr>
        <w:t>监测站位：与水质监测站位相同，见表</w:t>
      </w:r>
      <w:r>
        <w:rPr>
          <w:rFonts w:ascii="Times New Roman" w:eastAsia="宋体" w:hAnsi="Times New Roman" w:cs="宋体" w:hint="eastAsia"/>
          <w:color w:val="auto"/>
          <w:sz w:val="24"/>
          <w:szCs w:val="24"/>
          <w:lang w:eastAsia="zh-CN"/>
        </w:rPr>
        <w:t>8.2.2</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1</w:t>
      </w:r>
      <w:r>
        <w:rPr>
          <w:rFonts w:ascii="Times New Roman" w:eastAsia="宋体" w:hAnsi="Times New Roman" w:cs="宋体"/>
          <w:color w:val="auto"/>
          <w:sz w:val="24"/>
          <w:szCs w:val="24"/>
          <w:lang w:eastAsia="zh-CN"/>
        </w:rPr>
        <w:t>和图</w:t>
      </w:r>
      <w:r>
        <w:rPr>
          <w:rFonts w:ascii="Times New Roman" w:eastAsia="宋体" w:hAnsi="Times New Roman" w:cs="宋体" w:hint="eastAsia"/>
          <w:color w:val="auto"/>
          <w:sz w:val="24"/>
          <w:szCs w:val="24"/>
          <w:lang w:eastAsia="zh-CN"/>
        </w:rPr>
        <w:t>8.2.2</w:t>
      </w:r>
      <w:r>
        <w:rPr>
          <w:rFonts w:ascii="Times New Roman" w:eastAsia="宋体" w:hAnsi="Times New Roman" w:cs="宋体"/>
          <w:color w:val="auto"/>
          <w:sz w:val="24"/>
          <w:szCs w:val="24"/>
          <w:lang w:eastAsia="zh-CN"/>
        </w:rPr>
        <w:t>-</w:t>
      </w:r>
      <w:r>
        <w:rPr>
          <w:rFonts w:ascii="Times New Roman" w:eastAsia="宋体" w:hAnsi="Times New Roman" w:cs="宋体" w:hint="eastAsia"/>
          <w:color w:val="auto"/>
          <w:sz w:val="24"/>
          <w:szCs w:val="24"/>
          <w:lang w:eastAsia="zh-CN"/>
        </w:rPr>
        <w:t>1</w:t>
      </w:r>
      <w:r>
        <w:rPr>
          <w:rFonts w:ascii="Times New Roman" w:eastAsia="宋体" w:hAnsi="Times New Roman" w:cs="宋体"/>
          <w:color w:val="auto"/>
          <w:sz w:val="24"/>
          <w:szCs w:val="24"/>
          <w:lang w:eastAsia="zh-CN"/>
        </w:rPr>
        <w:t>。</w:t>
      </w:r>
    </w:p>
    <w:p w14:paraId="5791DB29"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②</w:t>
      </w:r>
      <w:r>
        <w:rPr>
          <w:rFonts w:ascii="Times New Roman" w:eastAsia="宋体" w:hAnsi="Times New Roman" w:cs="宋体"/>
          <w:color w:val="auto"/>
          <w:sz w:val="24"/>
          <w:szCs w:val="24"/>
          <w:lang w:eastAsia="zh-CN"/>
        </w:rPr>
        <w:t>监测项目：有机碳、硫化物、石油类、重金属（铜、锌、铅、镉、铬、汞、砷）。</w:t>
      </w:r>
    </w:p>
    <w:p w14:paraId="1191A63D"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③</w:t>
      </w:r>
      <w:r>
        <w:rPr>
          <w:rFonts w:ascii="Times New Roman" w:eastAsia="宋体" w:hAnsi="Times New Roman" w:cs="宋体"/>
          <w:color w:val="auto"/>
          <w:sz w:val="24"/>
          <w:szCs w:val="24"/>
          <w:lang w:eastAsia="zh-CN"/>
        </w:rPr>
        <w:t>监测频率：沉积物监测与水质监测同步。</w:t>
      </w:r>
    </w:p>
    <w:p w14:paraId="1BA32CAF"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b/>
          <w:bCs/>
          <w:color w:val="auto"/>
          <w:sz w:val="24"/>
          <w:szCs w:val="24"/>
          <w:lang w:eastAsia="zh-CN"/>
        </w:rPr>
        <w:t>3</w:t>
      </w:r>
      <w:r>
        <w:rPr>
          <w:rFonts w:ascii="Times New Roman" w:eastAsia="宋体" w:hAnsi="Times New Roman" w:cs="宋体" w:hint="eastAsia"/>
          <w:b/>
          <w:bCs/>
          <w:color w:val="auto"/>
          <w:sz w:val="24"/>
          <w:szCs w:val="24"/>
          <w:lang w:eastAsia="zh-CN"/>
        </w:rPr>
        <w:t>）</w:t>
      </w:r>
      <w:r>
        <w:rPr>
          <w:rFonts w:ascii="Times New Roman" w:eastAsia="宋体" w:hAnsi="Times New Roman" w:cs="宋体"/>
          <w:b/>
          <w:bCs/>
          <w:color w:val="auto"/>
          <w:sz w:val="24"/>
          <w:szCs w:val="24"/>
          <w:lang w:eastAsia="zh-CN"/>
        </w:rPr>
        <w:t>海洋生物监测</w:t>
      </w:r>
    </w:p>
    <w:p w14:paraId="5DF5E3B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①</w:t>
      </w:r>
      <w:r>
        <w:rPr>
          <w:rFonts w:ascii="Times New Roman" w:eastAsia="宋体" w:hAnsi="Times New Roman" w:cs="宋体"/>
          <w:color w:val="auto"/>
          <w:sz w:val="24"/>
          <w:szCs w:val="24"/>
          <w:lang w:eastAsia="zh-CN"/>
        </w:rPr>
        <w:t>监测站位：与沉积物监测站位相同。</w:t>
      </w:r>
    </w:p>
    <w:p w14:paraId="3D2E529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②</w:t>
      </w:r>
      <w:r>
        <w:rPr>
          <w:rFonts w:ascii="Times New Roman" w:eastAsia="宋体" w:hAnsi="Times New Roman" w:cs="宋体"/>
          <w:color w:val="auto"/>
          <w:sz w:val="24"/>
          <w:szCs w:val="24"/>
          <w:lang w:eastAsia="zh-CN"/>
        </w:rPr>
        <w:t>监测项目：叶绿素</w:t>
      </w:r>
      <w:r>
        <w:rPr>
          <w:rFonts w:ascii="Times New Roman" w:eastAsia="宋体" w:hAnsi="Times New Roman" w:cs="宋体"/>
          <w:color w:val="auto"/>
          <w:sz w:val="24"/>
          <w:szCs w:val="24"/>
          <w:lang w:eastAsia="zh-CN"/>
        </w:rPr>
        <w:t>a</w:t>
      </w:r>
      <w:r>
        <w:rPr>
          <w:rFonts w:ascii="Times New Roman" w:eastAsia="宋体" w:hAnsi="Times New Roman" w:cs="宋体"/>
          <w:color w:val="auto"/>
          <w:sz w:val="24"/>
          <w:szCs w:val="24"/>
          <w:lang w:eastAsia="zh-CN"/>
        </w:rPr>
        <w:t>、浮游植物、浮游动物、鱼卵仔稚鱼、大型底栖生物（定量、定性）、潮间带生物（定量、定性）、游泳动物。</w:t>
      </w:r>
    </w:p>
    <w:p w14:paraId="3522C2D8"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③</w:t>
      </w:r>
      <w:r>
        <w:rPr>
          <w:rFonts w:ascii="Times New Roman" w:eastAsia="宋体" w:hAnsi="Times New Roman" w:cs="宋体"/>
          <w:color w:val="auto"/>
          <w:sz w:val="24"/>
          <w:szCs w:val="24"/>
          <w:lang w:eastAsia="zh-CN"/>
        </w:rPr>
        <w:t>监测频率：海洋生物监测与水质监测同步。</w:t>
      </w:r>
    </w:p>
    <w:p w14:paraId="1199B276" w14:textId="77777777" w:rsidR="0075791A" w:rsidRDefault="0075791A">
      <w:pPr>
        <w:kinsoku/>
        <w:adjustRightInd/>
        <w:snapToGrid/>
        <w:jc w:val="center"/>
        <w:textAlignment w:val="auto"/>
        <w:rPr>
          <w:rFonts w:eastAsia="宋体"/>
          <w:color w:val="auto"/>
          <w:lang w:eastAsia="zh-CN"/>
        </w:rPr>
      </w:pPr>
    </w:p>
    <w:p w14:paraId="5060121D" w14:textId="77777777" w:rsidR="0075791A" w:rsidRDefault="00FB2864">
      <w:pPr>
        <w:kinsoku/>
        <w:adjustRightInd/>
        <w:snapToGrid/>
        <w:jc w:val="center"/>
        <w:textAlignment w:val="auto"/>
        <w:rPr>
          <w:rFonts w:eastAsia="宋体"/>
          <w:color w:val="auto"/>
          <w:lang w:eastAsia="zh-CN"/>
        </w:rPr>
      </w:pPr>
      <w:r>
        <w:rPr>
          <w:rFonts w:eastAsia="宋体" w:hint="eastAsia"/>
          <w:noProof/>
          <w:color w:val="auto"/>
          <w:lang w:eastAsia="zh-CN"/>
        </w:rPr>
        <w:lastRenderedPageBreak/>
        <w:drawing>
          <wp:inline distT="0" distB="0" distL="114300" distR="114300" wp14:anchorId="4B90A131" wp14:editId="06849FF5">
            <wp:extent cx="5813425" cy="4115435"/>
            <wp:effectExtent l="0" t="0" r="8255" b="14605"/>
            <wp:docPr id="146" name="图片 146" descr="跟踪监测站位图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跟踪监测站位图0410"/>
                    <pic:cNvPicPr>
                      <a:picLocks noChangeAspect="1"/>
                    </pic:cNvPicPr>
                  </pic:nvPicPr>
                  <pic:blipFill>
                    <a:blip r:embed="rId304"/>
                    <a:stretch>
                      <a:fillRect/>
                    </a:stretch>
                  </pic:blipFill>
                  <pic:spPr>
                    <a:xfrm>
                      <a:off x="0" y="0"/>
                      <a:ext cx="5813425" cy="4115435"/>
                    </a:xfrm>
                    <a:prstGeom prst="rect">
                      <a:avLst/>
                    </a:prstGeom>
                  </pic:spPr>
                </pic:pic>
              </a:graphicData>
            </a:graphic>
          </wp:inline>
        </w:drawing>
      </w:r>
    </w:p>
    <w:p w14:paraId="10A3B3B0" w14:textId="77777777" w:rsidR="0075791A" w:rsidRDefault="00FB2864">
      <w:pPr>
        <w:kinsoku/>
        <w:adjustRightInd/>
        <w:snapToGrid/>
        <w:spacing w:line="360" w:lineRule="auto"/>
        <w:jc w:val="center"/>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图</w:t>
      </w:r>
      <w:r>
        <w:rPr>
          <w:rFonts w:ascii="宋体" w:eastAsia="宋体" w:hAnsi="宋体" w:cs="宋体" w:hint="eastAsia"/>
          <w:color w:val="auto"/>
          <w:spacing w:val="-3"/>
          <w:sz w:val="24"/>
          <w:szCs w:val="24"/>
          <w:lang w:eastAsia="zh-CN"/>
        </w:rPr>
        <w:t>8.2.2</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1</w:t>
      </w:r>
      <w:r>
        <w:rPr>
          <w:rFonts w:ascii="宋体" w:eastAsia="宋体" w:hAnsi="宋体" w:cs="宋体" w:hint="eastAsia"/>
          <w:color w:val="auto"/>
          <w:sz w:val="24"/>
          <w:szCs w:val="24"/>
          <w:lang w:eastAsia="zh-CN"/>
        </w:rPr>
        <w:t xml:space="preserve"> </w:t>
      </w:r>
      <w:r>
        <w:rPr>
          <w:rFonts w:ascii="宋体" w:eastAsia="宋体" w:hAnsi="宋体" w:cs="宋体" w:hint="eastAsia"/>
          <w:color w:val="auto"/>
          <w:sz w:val="24"/>
          <w:szCs w:val="24"/>
          <w:lang w:eastAsia="zh-CN"/>
        </w:rPr>
        <w:t>水质、沉积物、</w:t>
      </w:r>
      <w:r>
        <w:rPr>
          <w:rFonts w:ascii="宋体" w:eastAsia="宋体" w:hAnsi="宋体" w:cs="宋体" w:hint="eastAsia"/>
          <w:color w:val="auto"/>
          <w:sz w:val="24"/>
          <w:szCs w:val="24"/>
          <w:lang w:eastAsia="zh-CN"/>
        </w:rPr>
        <w:t>海洋生态</w:t>
      </w:r>
      <w:r>
        <w:rPr>
          <w:rFonts w:ascii="宋体" w:eastAsia="宋体" w:hAnsi="宋体" w:cs="宋体" w:hint="eastAsia"/>
          <w:color w:val="auto"/>
          <w:sz w:val="24"/>
          <w:szCs w:val="24"/>
          <w:lang w:eastAsia="zh-CN"/>
        </w:rPr>
        <w:t>监测站位图</w:t>
      </w:r>
    </w:p>
    <w:p w14:paraId="73310F8C" w14:textId="77777777" w:rsidR="0075791A" w:rsidRDefault="00FB2864">
      <w:pPr>
        <w:kinsoku/>
        <w:adjustRightInd/>
        <w:snapToGrid/>
        <w:ind w:firstLineChars="200" w:firstLine="480"/>
        <w:jc w:val="center"/>
        <w:textAlignment w:val="auto"/>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表</w:t>
      </w:r>
      <w:r>
        <w:rPr>
          <w:rFonts w:ascii="宋体" w:eastAsia="宋体" w:hAnsi="宋体" w:cs="宋体" w:hint="eastAsia"/>
          <w:color w:val="auto"/>
          <w:sz w:val="24"/>
          <w:szCs w:val="24"/>
          <w:lang w:eastAsia="zh-CN"/>
        </w:rPr>
        <w:t xml:space="preserve">8.2.2-1 </w:t>
      </w:r>
      <w:r>
        <w:rPr>
          <w:rFonts w:ascii="宋体" w:eastAsia="宋体" w:hAnsi="宋体" w:cs="宋体" w:hint="eastAsia"/>
          <w:color w:val="auto"/>
          <w:sz w:val="24"/>
          <w:szCs w:val="24"/>
          <w:lang w:eastAsia="zh-CN"/>
        </w:rPr>
        <w:t>水质、沉积物和生物环境监测站位</w:t>
      </w:r>
    </w:p>
    <w:tbl>
      <w:tblPr>
        <w:tblStyle w:val="ad"/>
        <w:tblW w:w="4586" w:type="pct"/>
        <w:jc w:val="center"/>
        <w:tblLook w:val="04A0" w:firstRow="1" w:lastRow="0" w:firstColumn="1" w:lastColumn="0" w:noHBand="0" w:noVBand="1"/>
      </w:tblPr>
      <w:tblGrid>
        <w:gridCol w:w="1007"/>
        <w:gridCol w:w="2089"/>
        <w:gridCol w:w="2113"/>
        <w:gridCol w:w="3387"/>
      </w:tblGrid>
      <w:tr w:rsidR="0075791A" w14:paraId="70A3ABE7" w14:textId="77777777">
        <w:trPr>
          <w:trHeight w:val="349"/>
          <w:jc w:val="center"/>
        </w:trPr>
        <w:tc>
          <w:tcPr>
            <w:tcW w:w="1007" w:type="dxa"/>
            <w:vAlign w:val="center"/>
          </w:tcPr>
          <w:p w14:paraId="3C2E58EF" w14:textId="77777777" w:rsidR="0075791A" w:rsidRDefault="00FB2864">
            <w:pPr>
              <w:keepNext/>
              <w:keepLines/>
              <w:kinsoku/>
              <w:autoSpaceDE/>
              <w:autoSpaceDN/>
              <w:adjustRightInd/>
              <w:snapToGrid/>
              <w:jc w:val="center"/>
              <w:textAlignment w:val="auto"/>
              <w:rPr>
                <w:rFonts w:ascii="Times New Roman" w:hAnsi="Times New Roman" w:cs="Times New Roman"/>
                <w:b/>
                <w:bCs/>
                <w:color w:val="auto"/>
                <w:sz w:val="18"/>
                <w:szCs w:val="18"/>
              </w:rPr>
            </w:pPr>
            <w:r>
              <w:rPr>
                <w:rFonts w:ascii="Times New Roman" w:hAnsi="Times New Roman" w:cs="Times New Roman"/>
                <w:b/>
                <w:bCs/>
                <w:color w:val="auto"/>
                <w:sz w:val="18"/>
                <w:szCs w:val="18"/>
                <w:lang w:eastAsia="zh-CN"/>
              </w:rPr>
              <w:t>站位</w:t>
            </w:r>
          </w:p>
        </w:tc>
        <w:tc>
          <w:tcPr>
            <w:tcW w:w="2089" w:type="dxa"/>
            <w:vAlign w:val="center"/>
          </w:tcPr>
          <w:p w14:paraId="59169207" w14:textId="77777777" w:rsidR="0075791A" w:rsidRDefault="00FB2864">
            <w:pPr>
              <w:keepNext/>
              <w:keepLines/>
              <w:kinsoku/>
              <w:autoSpaceDE/>
              <w:autoSpaceDN/>
              <w:adjustRightInd/>
              <w:snapToGrid/>
              <w:jc w:val="center"/>
              <w:textAlignment w:val="auto"/>
              <w:rPr>
                <w:rFonts w:ascii="Times New Roman" w:hAnsi="Times New Roman" w:cs="Times New Roman"/>
                <w:b/>
                <w:bCs/>
                <w:color w:val="auto"/>
                <w:sz w:val="18"/>
                <w:szCs w:val="18"/>
              </w:rPr>
            </w:pPr>
            <w:r>
              <w:rPr>
                <w:rFonts w:ascii="Times New Roman" w:hAnsi="Times New Roman" w:cs="Times New Roman"/>
                <w:b/>
                <w:bCs/>
                <w:color w:val="auto"/>
                <w:sz w:val="18"/>
                <w:szCs w:val="18"/>
              </w:rPr>
              <w:t>经度</w:t>
            </w:r>
          </w:p>
        </w:tc>
        <w:tc>
          <w:tcPr>
            <w:tcW w:w="2113" w:type="dxa"/>
            <w:vAlign w:val="center"/>
          </w:tcPr>
          <w:p w14:paraId="51ED0224" w14:textId="77777777" w:rsidR="0075791A" w:rsidRDefault="00FB2864">
            <w:pPr>
              <w:keepNext/>
              <w:keepLines/>
              <w:kinsoku/>
              <w:autoSpaceDE/>
              <w:autoSpaceDN/>
              <w:adjustRightInd/>
              <w:snapToGrid/>
              <w:jc w:val="center"/>
              <w:textAlignment w:val="auto"/>
              <w:rPr>
                <w:rFonts w:ascii="Times New Roman" w:hAnsi="Times New Roman" w:cs="Times New Roman"/>
                <w:b/>
                <w:bCs/>
                <w:color w:val="auto"/>
                <w:sz w:val="18"/>
                <w:szCs w:val="18"/>
              </w:rPr>
            </w:pPr>
            <w:r>
              <w:rPr>
                <w:rFonts w:ascii="Times New Roman" w:hAnsi="Times New Roman" w:cs="Times New Roman"/>
                <w:b/>
                <w:bCs/>
                <w:color w:val="auto"/>
                <w:sz w:val="18"/>
                <w:szCs w:val="18"/>
              </w:rPr>
              <w:t>纬度</w:t>
            </w:r>
          </w:p>
        </w:tc>
        <w:tc>
          <w:tcPr>
            <w:tcW w:w="3387" w:type="dxa"/>
            <w:vAlign w:val="center"/>
          </w:tcPr>
          <w:p w14:paraId="0C77F2A0" w14:textId="77777777" w:rsidR="0075791A" w:rsidRDefault="00FB2864">
            <w:pPr>
              <w:keepNext/>
              <w:keepLines/>
              <w:kinsoku/>
              <w:autoSpaceDE/>
              <w:autoSpaceDN/>
              <w:adjustRightInd/>
              <w:snapToGrid/>
              <w:jc w:val="center"/>
              <w:textAlignment w:val="auto"/>
              <w:rPr>
                <w:rFonts w:ascii="Times New Roman" w:eastAsia="宋体" w:hAnsi="Times New Roman" w:cs="Times New Roman"/>
                <w:b/>
                <w:bCs/>
                <w:color w:val="auto"/>
                <w:sz w:val="18"/>
                <w:szCs w:val="18"/>
                <w:lang w:eastAsia="zh-CN"/>
              </w:rPr>
            </w:pPr>
            <w:r>
              <w:rPr>
                <w:rFonts w:ascii="Times New Roman" w:hAnsi="Times New Roman" w:cs="Times New Roman" w:hint="eastAsia"/>
                <w:b/>
                <w:bCs/>
                <w:color w:val="auto"/>
                <w:sz w:val="18"/>
                <w:szCs w:val="18"/>
                <w:lang w:eastAsia="zh-CN"/>
              </w:rPr>
              <w:t>调查内容</w:t>
            </w:r>
          </w:p>
        </w:tc>
      </w:tr>
      <w:tr w:rsidR="0075791A" w14:paraId="145D8A6D" w14:textId="77777777">
        <w:trPr>
          <w:trHeight w:val="291"/>
          <w:jc w:val="center"/>
        </w:trPr>
        <w:tc>
          <w:tcPr>
            <w:tcW w:w="1007" w:type="dxa"/>
            <w:vAlign w:val="center"/>
          </w:tcPr>
          <w:p w14:paraId="5206BD92" w14:textId="77777777" w:rsidR="0075791A" w:rsidRDefault="00FB2864">
            <w:pPr>
              <w:keepNext/>
              <w:keepLines/>
              <w:kinsoku/>
              <w:autoSpaceDE/>
              <w:autoSpaceDN/>
              <w:adjustRightInd/>
              <w:snapToGrid/>
              <w:jc w:val="center"/>
              <w:textAlignment w:val="auto"/>
              <w:rPr>
                <w:rFonts w:ascii="Times New Roman" w:hAnsi="Times New Roman" w:cs="Times New Roman"/>
                <w:color w:val="auto"/>
                <w:sz w:val="18"/>
                <w:szCs w:val="18"/>
              </w:rPr>
            </w:pPr>
            <w:r>
              <w:rPr>
                <w:rFonts w:ascii="Times New Roman" w:hAnsi="Times New Roman" w:cs="Times New Roman"/>
                <w:color w:val="auto"/>
                <w:sz w:val="18"/>
                <w:szCs w:val="18"/>
                <w:lang w:eastAsia="zh-CN"/>
              </w:rPr>
              <w:t>1</w:t>
            </w:r>
          </w:p>
        </w:tc>
        <w:tc>
          <w:tcPr>
            <w:tcW w:w="2089" w:type="dxa"/>
            <w:vAlign w:val="center"/>
          </w:tcPr>
          <w:p w14:paraId="67A35F3B"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109.680950</w:t>
            </w:r>
          </w:p>
        </w:tc>
        <w:tc>
          <w:tcPr>
            <w:tcW w:w="2113" w:type="dxa"/>
            <w:vAlign w:val="center"/>
          </w:tcPr>
          <w:p w14:paraId="0189486F"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18.274513</w:t>
            </w:r>
          </w:p>
        </w:tc>
        <w:tc>
          <w:tcPr>
            <w:tcW w:w="3387" w:type="dxa"/>
            <w:vAlign w:val="center"/>
          </w:tcPr>
          <w:p w14:paraId="0AAC7051"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color w:val="auto"/>
                <w:sz w:val="18"/>
                <w:szCs w:val="18"/>
                <w:lang w:eastAsia="zh-CN"/>
              </w:rPr>
              <w:t>水质、沉积物、海洋生物</w:t>
            </w:r>
          </w:p>
        </w:tc>
      </w:tr>
      <w:tr w:rsidR="0075791A" w14:paraId="4C19B3A8" w14:textId="77777777">
        <w:trPr>
          <w:trHeight w:val="291"/>
          <w:jc w:val="center"/>
        </w:trPr>
        <w:tc>
          <w:tcPr>
            <w:tcW w:w="1007" w:type="dxa"/>
            <w:vAlign w:val="center"/>
          </w:tcPr>
          <w:p w14:paraId="63944303" w14:textId="77777777" w:rsidR="0075791A" w:rsidRDefault="00FB2864">
            <w:pPr>
              <w:keepNext/>
              <w:keepLines/>
              <w:kinsoku/>
              <w:autoSpaceDE/>
              <w:autoSpaceDN/>
              <w:adjustRightInd/>
              <w:snapToGrid/>
              <w:jc w:val="center"/>
              <w:textAlignment w:val="auto"/>
              <w:rPr>
                <w:rFonts w:ascii="Times New Roman" w:hAnsi="Times New Roman" w:cs="Times New Roman"/>
                <w:color w:val="auto"/>
                <w:sz w:val="18"/>
                <w:szCs w:val="18"/>
              </w:rPr>
            </w:pPr>
            <w:r>
              <w:rPr>
                <w:rFonts w:ascii="Times New Roman" w:hAnsi="Times New Roman" w:cs="Times New Roman"/>
                <w:color w:val="auto"/>
                <w:sz w:val="18"/>
                <w:szCs w:val="18"/>
                <w:lang w:eastAsia="zh-CN"/>
              </w:rPr>
              <w:t>2</w:t>
            </w:r>
          </w:p>
        </w:tc>
        <w:tc>
          <w:tcPr>
            <w:tcW w:w="2089" w:type="dxa"/>
            <w:vAlign w:val="center"/>
          </w:tcPr>
          <w:p w14:paraId="49DBB041"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109.679178</w:t>
            </w:r>
          </w:p>
        </w:tc>
        <w:tc>
          <w:tcPr>
            <w:tcW w:w="2113" w:type="dxa"/>
            <w:vAlign w:val="center"/>
          </w:tcPr>
          <w:p w14:paraId="0C058DD3"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18.266559</w:t>
            </w:r>
          </w:p>
        </w:tc>
        <w:tc>
          <w:tcPr>
            <w:tcW w:w="3387" w:type="dxa"/>
            <w:vAlign w:val="center"/>
          </w:tcPr>
          <w:p w14:paraId="4C1E93D2"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color w:val="auto"/>
                <w:sz w:val="18"/>
                <w:szCs w:val="18"/>
                <w:lang w:eastAsia="zh-CN"/>
              </w:rPr>
              <w:t>水质、沉积物、海洋生物</w:t>
            </w:r>
          </w:p>
        </w:tc>
      </w:tr>
      <w:tr w:rsidR="0075791A" w14:paraId="45658063" w14:textId="77777777">
        <w:trPr>
          <w:trHeight w:val="291"/>
          <w:jc w:val="center"/>
        </w:trPr>
        <w:tc>
          <w:tcPr>
            <w:tcW w:w="1007" w:type="dxa"/>
            <w:vAlign w:val="center"/>
          </w:tcPr>
          <w:p w14:paraId="110E221B" w14:textId="77777777" w:rsidR="0075791A" w:rsidRDefault="00FB2864">
            <w:pPr>
              <w:keepNext/>
              <w:keepLines/>
              <w:kinsoku/>
              <w:autoSpaceDE/>
              <w:autoSpaceDN/>
              <w:adjustRightInd/>
              <w:snapToGrid/>
              <w:jc w:val="center"/>
              <w:textAlignment w:val="auto"/>
              <w:rPr>
                <w:rFonts w:ascii="Times New Roman" w:hAnsi="Times New Roman" w:cs="Times New Roman"/>
                <w:color w:val="auto"/>
                <w:sz w:val="18"/>
                <w:szCs w:val="18"/>
              </w:rPr>
            </w:pPr>
            <w:r>
              <w:rPr>
                <w:rFonts w:ascii="Times New Roman" w:hAnsi="Times New Roman" w:cs="Times New Roman"/>
                <w:color w:val="auto"/>
                <w:sz w:val="18"/>
                <w:szCs w:val="18"/>
                <w:lang w:eastAsia="zh-CN"/>
              </w:rPr>
              <w:t>3</w:t>
            </w:r>
          </w:p>
        </w:tc>
        <w:tc>
          <w:tcPr>
            <w:tcW w:w="2089" w:type="dxa"/>
            <w:vAlign w:val="center"/>
          </w:tcPr>
          <w:p w14:paraId="663F12C3"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109.687212</w:t>
            </w:r>
          </w:p>
        </w:tc>
        <w:tc>
          <w:tcPr>
            <w:tcW w:w="2113" w:type="dxa"/>
            <w:vAlign w:val="center"/>
          </w:tcPr>
          <w:p w14:paraId="1CBFC272"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18.262856</w:t>
            </w:r>
          </w:p>
        </w:tc>
        <w:tc>
          <w:tcPr>
            <w:tcW w:w="3387" w:type="dxa"/>
            <w:vAlign w:val="center"/>
          </w:tcPr>
          <w:p w14:paraId="03934FB5"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color w:val="auto"/>
                <w:sz w:val="18"/>
                <w:szCs w:val="18"/>
                <w:lang w:eastAsia="zh-CN"/>
              </w:rPr>
              <w:t>水质、沉积物、海洋生物</w:t>
            </w:r>
          </w:p>
        </w:tc>
      </w:tr>
      <w:tr w:rsidR="0075791A" w14:paraId="52E3EAAA" w14:textId="77777777">
        <w:trPr>
          <w:trHeight w:val="291"/>
          <w:jc w:val="center"/>
        </w:trPr>
        <w:tc>
          <w:tcPr>
            <w:tcW w:w="1007" w:type="dxa"/>
            <w:vAlign w:val="center"/>
          </w:tcPr>
          <w:p w14:paraId="61FB2131" w14:textId="77777777" w:rsidR="0075791A" w:rsidRDefault="00FB2864">
            <w:pPr>
              <w:keepNext/>
              <w:keepLines/>
              <w:kinsoku/>
              <w:autoSpaceDE/>
              <w:autoSpaceDN/>
              <w:adjustRightInd/>
              <w:snapToGrid/>
              <w:jc w:val="center"/>
              <w:textAlignment w:val="auto"/>
              <w:rPr>
                <w:rFonts w:ascii="Times New Roman" w:hAnsi="Times New Roman" w:cs="Times New Roman"/>
                <w:color w:val="auto"/>
                <w:sz w:val="18"/>
                <w:szCs w:val="18"/>
              </w:rPr>
            </w:pPr>
            <w:r>
              <w:rPr>
                <w:rFonts w:ascii="Times New Roman" w:hAnsi="Times New Roman" w:cs="Times New Roman"/>
                <w:color w:val="auto"/>
                <w:sz w:val="18"/>
                <w:szCs w:val="18"/>
                <w:lang w:eastAsia="zh-CN"/>
              </w:rPr>
              <w:t>4</w:t>
            </w:r>
          </w:p>
        </w:tc>
        <w:tc>
          <w:tcPr>
            <w:tcW w:w="2089" w:type="dxa"/>
            <w:vAlign w:val="center"/>
          </w:tcPr>
          <w:p w14:paraId="7A353CB9"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109.686045</w:t>
            </w:r>
          </w:p>
        </w:tc>
        <w:tc>
          <w:tcPr>
            <w:tcW w:w="2113" w:type="dxa"/>
            <w:vAlign w:val="center"/>
          </w:tcPr>
          <w:p w14:paraId="676782EF"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18.270566</w:t>
            </w:r>
          </w:p>
        </w:tc>
        <w:tc>
          <w:tcPr>
            <w:tcW w:w="3387" w:type="dxa"/>
            <w:vAlign w:val="center"/>
          </w:tcPr>
          <w:p w14:paraId="0917033D"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color w:val="auto"/>
                <w:sz w:val="18"/>
                <w:szCs w:val="18"/>
                <w:lang w:eastAsia="zh-CN"/>
              </w:rPr>
              <w:t>水质、沉积物、海洋生物</w:t>
            </w:r>
          </w:p>
        </w:tc>
      </w:tr>
      <w:tr w:rsidR="0075791A" w14:paraId="163DBBDE" w14:textId="77777777">
        <w:trPr>
          <w:trHeight w:val="291"/>
          <w:jc w:val="center"/>
        </w:trPr>
        <w:tc>
          <w:tcPr>
            <w:tcW w:w="1007" w:type="dxa"/>
            <w:vAlign w:val="center"/>
          </w:tcPr>
          <w:p w14:paraId="0CAE5BBF" w14:textId="77777777" w:rsidR="0075791A" w:rsidRDefault="00FB2864">
            <w:pPr>
              <w:keepNext/>
              <w:keepLines/>
              <w:kinsoku/>
              <w:autoSpaceDE/>
              <w:autoSpaceDN/>
              <w:adjustRightInd/>
              <w:snapToGrid/>
              <w:jc w:val="center"/>
              <w:textAlignment w:val="auto"/>
              <w:rPr>
                <w:rFonts w:ascii="Times New Roman" w:hAnsi="Times New Roman" w:cs="Times New Roman"/>
                <w:color w:val="auto"/>
                <w:sz w:val="18"/>
                <w:szCs w:val="18"/>
              </w:rPr>
            </w:pPr>
            <w:r>
              <w:rPr>
                <w:rFonts w:ascii="Times New Roman" w:hAnsi="Times New Roman" w:cs="Times New Roman"/>
                <w:color w:val="auto"/>
                <w:sz w:val="18"/>
                <w:szCs w:val="18"/>
                <w:lang w:eastAsia="zh-CN"/>
              </w:rPr>
              <w:t>5</w:t>
            </w:r>
          </w:p>
        </w:tc>
        <w:tc>
          <w:tcPr>
            <w:tcW w:w="2089" w:type="dxa"/>
            <w:vAlign w:val="center"/>
          </w:tcPr>
          <w:p w14:paraId="180255A7"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109.694052</w:t>
            </w:r>
          </w:p>
        </w:tc>
        <w:tc>
          <w:tcPr>
            <w:tcW w:w="2113" w:type="dxa"/>
            <w:vAlign w:val="center"/>
          </w:tcPr>
          <w:p w14:paraId="2C9CA20A"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18.272640</w:t>
            </w:r>
          </w:p>
        </w:tc>
        <w:tc>
          <w:tcPr>
            <w:tcW w:w="3387" w:type="dxa"/>
            <w:vAlign w:val="center"/>
          </w:tcPr>
          <w:p w14:paraId="10012038"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color w:val="auto"/>
                <w:sz w:val="18"/>
                <w:szCs w:val="18"/>
                <w:lang w:eastAsia="zh-CN"/>
              </w:rPr>
              <w:t>水质、沉积物、海洋生物</w:t>
            </w:r>
          </w:p>
        </w:tc>
      </w:tr>
      <w:tr w:rsidR="0075791A" w14:paraId="4FCB775E" w14:textId="77777777">
        <w:trPr>
          <w:trHeight w:val="291"/>
          <w:jc w:val="center"/>
        </w:trPr>
        <w:tc>
          <w:tcPr>
            <w:tcW w:w="1007" w:type="dxa"/>
            <w:vAlign w:val="center"/>
          </w:tcPr>
          <w:p w14:paraId="595CFDFA" w14:textId="77777777" w:rsidR="0075791A" w:rsidRDefault="00FB2864">
            <w:pPr>
              <w:keepNext/>
              <w:keepLines/>
              <w:kinsoku/>
              <w:autoSpaceDE/>
              <w:autoSpaceDN/>
              <w:adjustRightInd/>
              <w:snapToGrid/>
              <w:jc w:val="center"/>
              <w:textAlignment w:val="auto"/>
              <w:rPr>
                <w:rFonts w:ascii="Times New Roman" w:hAnsi="Times New Roman" w:cs="Times New Roman"/>
                <w:color w:val="auto"/>
                <w:sz w:val="18"/>
                <w:szCs w:val="18"/>
              </w:rPr>
            </w:pPr>
            <w:r>
              <w:rPr>
                <w:rFonts w:ascii="Times New Roman" w:hAnsi="Times New Roman" w:cs="Times New Roman"/>
                <w:color w:val="auto"/>
                <w:sz w:val="18"/>
                <w:szCs w:val="18"/>
                <w:lang w:eastAsia="zh-CN"/>
              </w:rPr>
              <w:t>6</w:t>
            </w:r>
          </w:p>
        </w:tc>
        <w:tc>
          <w:tcPr>
            <w:tcW w:w="2089" w:type="dxa"/>
            <w:vAlign w:val="center"/>
          </w:tcPr>
          <w:p w14:paraId="5F8840DA"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109.696647</w:t>
            </w:r>
          </w:p>
        </w:tc>
        <w:tc>
          <w:tcPr>
            <w:tcW w:w="2113" w:type="dxa"/>
            <w:vAlign w:val="center"/>
          </w:tcPr>
          <w:p w14:paraId="092CCDA8"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18.282675</w:t>
            </w:r>
          </w:p>
        </w:tc>
        <w:tc>
          <w:tcPr>
            <w:tcW w:w="3387" w:type="dxa"/>
            <w:vAlign w:val="center"/>
          </w:tcPr>
          <w:p w14:paraId="16DA4D12"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color w:val="auto"/>
                <w:sz w:val="18"/>
                <w:szCs w:val="18"/>
                <w:lang w:eastAsia="zh-CN"/>
              </w:rPr>
              <w:t>水质、沉积物、海洋生物</w:t>
            </w:r>
          </w:p>
        </w:tc>
      </w:tr>
      <w:tr w:rsidR="0075791A" w14:paraId="18F4CC4E" w14:textId="77777777">
        <w:trPr>
          <w:trHeight w:val="291"/>
          <w:jc w:val="center"/>
        </w:trPr>
        <w:tc>
          <w:tcPr>
            <w:tcW w:w="1007" w:type="dxa"/>
            <w:vAlign w:val="center"/>
          </w:tcPr>
          <w:p w14:paraId="4BAF2418" w14:textId="77777777" w:rsidR="0075791A" w:rsidRDefault="00FB2864">
            <w:pPr>
              <w:keepNext/>
              <w:keepLines/>
              <w:kinsoku/>
              <w:autoSpaceDE/>
              <w:autoSpaceDN/>
              <w:adjustRightInd/>
              <w:snapToGrid/>
              <w:jc w:val="center"/>
              <w:textAlignment w:val="auto"/>
              <w:rPr>
                <w:rFonts w:ascii="Times New Roman" w:hAnsi="Times New Roman" w:cs="Times New Roman"/>
                <w:color w:val="auto"/>
                <w:sz w:val="18"/>
                <w:szCs w:val="18"/>
              </w:rPr>
            </w:pPr>
            <w:r>
              <w:rPr>
                <w:rFonts w:ascii="Times New Roman" w:hAnsi="Times New Roman" w:cs="Times New Roman"/>
                <w:color w:val="auto"/>
                <w:sz w:val="18"/>
                <w:szCs w:val="18"/>
                <w:lang w:eastAsia="zh-CN"/>
              </w:rPr>
              <w:t>7</w:t>
            </w:r>
          </w:p>
        </w:tc>
        <w:tc>
          <w:tcPr>
            <w:tcW w:w="2089" w:type="dxa"/>
            <w:vAlign w:val="center"/>
          </w:tcPr>
          <w:p w14:paraId="1908897C"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109.701034</w:t>
            </w:r>
          </w:p>
        </w:tc>
        <w:tc>
          <w:tcPr>
            <w:tcW w:w="2113" w:type="dxa"/>
            <w:vAlign w:val="center"/>
          </w:tcPr>
          <w:p w14:paraId="778F0893"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18.285253</w:t>
            </w:r>
          </w:p>
        </w:tc>
        <w:tc>
          <w:tcPr>
            <w:tcW w:w="3387" w:type="dxa"/>
            <w:vAlign w:val="center"/>
          </w:tcPr>
          <w:p w14:paraId="4548E7E3"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color w:val="auto"/>
                <w:sz w:val="18"/>
                <w:szCs w:val="18"/>
                <w:lang w:eastAsia="zh-CN"/>
              </w:rPr>
              <w:t>水质、沉积物、海洋生物</w:t>
            </w:r>
          </w:p>
        </w:tc>
      </w:tr>
      <w:tr w:rsidR="0075791A" w14:paraId="304086C5" w14:textId="77777777">
        <w:trPr>
          <w:trHeight w:val="291"/>
          <w:jc w:val="center"/>
        </w:trPr>
        <w:tc>
          <w:tcPr>
            <w:tcW w:w="1007" w:type="dxa"/>
            <w:vAlign w:val="center"/>
          </w:tcPr>
          <w:p w14:paraId="024E81D7" w14:textId="77777777" w:rsidR="0075791A" w:rsidRDefault="00FB2864">
            <w:pPr>
              <w:keepNext/>
              <w:keepLines/>
              <w:kinsoku/>
              <w:autoSpaceDE/>
              <w:autoSpaceDN/>
              <w:adjustRightInd/>
              <w:snapToGrid/>
              <w:jc w:val="center"/>
              <w:textAlignment w:val="auto"/>
              <w:rPr>
                <w:rFonts w:ascii="Times New Roman" w:hAnsi="Times New Roman" w:cs="Times New Roman"/>
                <w:color w:val="auto"/>
                <w:sz w:val="18"/>
                <w:szCs w:val="18"/>
              </w:rPr>
            </w:pPr>
            <w:r>
              <w:rPr>
                <w:rFonts w:ascii="Times New Roman" w:hAnsi="Times New Roman" w:cs="Times New Roman"/>
                <w:color w:val="auto"/>
                <w:sz w:val="18"/>
                <w:szCs w:val="18"/>
                <w:lang w:eastAsia="zh-CN"/>
              </w:rPr>
              <w:t>8</w:t>
            </w:r>
          </w:p>
        </w:tc>
        <w:tc>
          <w:tcPr>
            <w:tcW w:w="2089" w:type="dxa"/>
            <w:vAlign w:val="center"/>
          </w:tcPr>
          <w:p w14:paraId="18D7BCBF"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109.713799</w:t>
            </w:r>
          </w:p>
        </w:tc>
        <w:tc>
          <w:tcPr>
            <w:tcW w:w="2113" w:type="dxa"/>
            <w:vAlign w:val="center"/>
          </w:tcPr>
          <w:p w14:paraId="2770A23D"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18.278127</w:t>
            </w:r>
          </w:p>
        </w:tc>
        <w:tc>
          <w:tcPr>
            <w:tcW w:w="3387" w:type="dxa"/>
            <w:vAlign w:val="center"/>
          </w:tcPr>
          <w:p w14:paraId="270CC724"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color w:val="auto"/>
                <w:sz w:val="18"/>
                <w:szCs w:val="18"/>
                <w:lang w:eastAsia="zh-CN"/>
              </w:rPr>
              <w:t>水质、沉积物、海洋生物</w:t>
            </w:r>
          </w:p>
        </w:tc>
      </w:tr>
      <w:tr w:rsidR="0075791A" w14:paraId="76573D7D" w14:textId="77777777">
        <w:trPr>
          <w:trHeight w:val="291"/>
          <w:jc w:val="center"/>
        </w:trPr>
        <w:tc>
          <w:tcPr>
            <w:tcW w:w="1007" w:type="dxa"/>
            <w:vAlign w:val="center"/>
          </w:tcPr>
          <w:p w14:paraId="367F137A" w14:textId="77777777" w:rsidR="0075791A" w:rsidRDefault="00FB2864">
            <w:pPr>
              <w:keepNext/>
              <w:keepLines/>
              <w:kinsoku/>
              <w:autoSpaceDE/>
              <w:autoSpaceDN/>
              <w:adjustRightInd/>
              <w:snapToGrid/>
              <w:jc w:val="center"/>
              <w:textAlignment w:val="auto"/>
              <w:rPr>
                <w:rFonts w:ascii="Times New Roman" w:hAnsi="Times New Roman" w:cs="Times New Roman"/>
                <w:color w:val="auto"/>
                <w:sz w:val="18"/>
                <w:szCs w:val="18"/>
              </w:rPr>
            </w:pPr>
            <w:r>
              <w:rPr>
                <w:rFonts w:ascii="Times New Roman" w:hAnsi="Times New Roman" w:cs="Times New Roman"/>
                <w:color w:val="auto"/>
                <w:sz w:val="18"/>
                <w:szCs w:val="18"/>
                <w:lang w:eastAsia="zh-CN"/>
              </w:rPr>
              <w:t>9</w:t>
            </w:r>
          </w:p>
        </w:tc>
        <w:tc>
          <w:tcPr>
            <w:tcW w:w="2089" w:type="dxa"/>
            <w:vAlign w:val="center"/>
          </w:tcPr>
          <w:p w14:paraId="441AF5FA"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109.702354</w:t>
            </w:r>
          </w:p>
        </w:tc>
        <w:tc>
          <w:tcPr>
            <w:tcW w:w="2113" w:type="dxa"/>
            <w:vAlign w:val="center"/>
          </w:tcPr>
          <w:p w14:paraId="595B5CAC"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18.275257</w:t>
            </w:r>
          </w:p>
        </w:tc>
        <w:tc>
          <w:tcPr>
            <w:tcW w:w="3387" w:type="dxa"/>
            <w:vAlign w:val="center"/>
          </w:tcPr>
          <w:p w14:paraId="20FF1F0F"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color w:val="auto"/>
                <w:sz w:val="18"/>
                <w:szCs w:val="18"/>
                <w:lang w:eastAsia="zh-CN"/>
              </w:rPr>
              <w:t>水质、沉积物、海洋生物</w:t>
            </w:r>
          </w:p>
        </w:tc>
      </w:tr>
      <w:tr w:rsidR="0075791A" w14:paraId="5F6DBA2B" w14:textId="77777777">
        <w:trPr>
          <w:trHeight w:val="291"/>
          <w:jc w:val="center"/>
        </w:trPr>
        <w:tc>
          <w:tcPr>
            <w:tcW w:w="1007" w:type="dxa"/>
            <w:vAlign w:val="center"/>
          </w:tcPr>
          <w:p w14:paraId="0BDEE9B6" w14:textId="77777777" w:rsidR="0075791A" w:rsidRDefault="00FB2864">
            <w:pPr>
              <w:keepNext/>
              <w:keepLines/>
              <w:kinsoku/>
              <w:autoSpaceDE/>
              <w:autoSpaceDN/>
              <w:adjustRightInd/>
              <w:snapToGrid/>
              <w:jc w:val="center"/>
              <w:textAlignment w:val="auto"/>
              <w:rPr>
                <w:rFonts w:ascii="Times New Roman" w:hAnsi="Times New Roman" w:cs="Times New Roman"/>
                <w:color w:val="auto"/>
                <w:sz w:val="18"/>
                <w:szCs w:val="18"/>
              </w:rPr>
            </w:pPr>
            <w:r>
              <w:rPr>
                <w:rFonts w:ascii="Times New Roman" w:hAnsi="Times New Roman" w:cs="Times New Roman"/>
                <w:color w:val="auto"/>
                <w:sz w:val="18"/>
                <w:szCs w:val="18"/>
                <w:lang w:eastAsia="zh-CN"/>
              </w:rPr>
              <w:t>10</w:t>
            </w:r>
          </w:p>
        </w:tc>
        <w:tc>
          <w:tcPr>
            <w:tcW w:w="2089" w:type="dxa"/>
            <w:vAlign w:val="center"/>
          </w:tcPr>
          <w:p w14:paraId="01B8A3FE"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109.706070</w:t>
            </w:r>
          </w:p>
        </w:tc>
        <w:tc>
          <w:tcPr>
            <w:tcW w:w="2113" w:type="dxa"/>
            <w:vAlign w:val="center"/>
          </w:tcPr>
          <w:p w14:paraId="2377F595"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18.263949</w:t>
            </w:r>
          </w:p>
        </w:tc>
        <w:tc>
          <w:tcPr>
            <w:tcW w:w="3387" w:type="dxa"/>
            <w:vAlign w:val="center"/>
          </w:tcPr>
          <w:p w14:paraId="4C151259"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color w:val="auto"/>
                <w:sz w:val="18"/>
                <w:szCs w:val="18"/>
                <w:lang w:eastAsia="zh-CN"/>
              </w:rPr>
              <w:t>水质、沉积物、海洋生物</w:t>
            </w:r>
          </w:p>
        </w:tc>
      </w:tr>
      <w:tr w:rsidR="0075791A" w14:paraId="00919FD1" w14:textId="77777777">
        <w:trPr>
          <w:trHeight w:val="291"/>
          <w:jc w:val="center"/>
        </w:trPr>
        <w:tc>
          <w:tcPr>
            <w:tcW w:w="1007" w:type="dxa"/>
            <w:vAlign w:val="center"/>
          </w:tcPr>
          <w:p w14:paraId="0F8BFBA9" w14:textId="77777777" w:rsidR="0075791A" w:rsidRDefault="00FB2864">
            <w:pPr>
              <w:keepNext/>
              <w:keepLines/>
              <w:kinsoku/>
              <w:autoSpaceDE/>
              <w:autoSpaceDN/>
              <w:adjustRightInd/>
              <w:snapToGrid/>
              <w:jc w:val="center"/>
              <w:textAlignment w:val="auto"/>
              <w:rPr>
                <w:rFonts w:ascii="Times New Roman" w:hAnsi="Times New Roman" w:cs="Times New Roman"/>
                <w:color w:val="auto"/>
                <w:sz w:val="18"/>
                <w:szCs w:val="18"/>
              </w:rPr>
            </w:pPr>
            <w:r>
              <w:rPr>
                <w:rFonts w:ascii="Times New Roman" w:hAnsi="Times New Roman" w:cs="Times New Roman"/>
                <w:color w:val="auto"/>
                <w:sz w:val="18"/>
                <w:szCs w:val="18"/>
                <w:lang w:eastAsia="zh-CN"/>
              </w:rPr>
              <w:t>11</w:t>
            </w:r>
          </w:p>
        </w:tc>
        <w:tc>
          <w:tcPr>
            <w:tcW w:w="2089" w:type="dxa"/>
            <w:vAlign w:val="center"/>
          </w:tcPr>
          <w:p w14:paraId="0842356D"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109.714295</w:t>
            </w:r>
          </w:p>
        </w:tc>
        <w:tc>
          <w:tcPr>
            <w:tcW w:w="2113" w:type="dxa"/>
            <w:vAlign w:val="center"/>
          </w:tcPr>
          <w:p w14:paraId="6F083E75"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18.263304</w:t>
            </w:r>
          </w:p>
        </w:tc>
        <w:tc>
          <w:tcPr>
            <w:tcW w:w="3387" w:type="dxa"/>
            <w:vAlign w:val="center"/>
          </w:tcPr>
          <w:p w14:paraId="2A51009F"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color w:val="auto"/>
                <w:sz w:val="18"/>
                <w:szCs w:val="18"/>
                <w:lang w:eastAsia="zh-CN"/>
              </w:rPr>
              <w:t>水质、沉积物、海洋生物</w:t>
            </w:r>
          </w:p>
        </w:tc>
      </w:tr>
      <w:tr w:rsidR="0075791A" w14:paraId="3384CAD8" w14:textId="77777777">
        <w:trPr>
          <w:trHeight w:val="291"/>
          <w:jc w:val="center"/>
        </w:trPr>
        <w:tc>
          <w:tcPr>
            <w:tcW w:w="1007" w:type="dxa"/>
            <w:vAlign w:val="center"/>
          </w:tcPr>
          <w:p w14:paraId="6DACD669" w14:textId="77777777" w:rsidR="0075791A" w:rsidRDefault="00FB2864">
            <w:pPr>
              <w:keepNext/>
              <w:keepLines/>
              <w:kinsoku/>
              <w:autoSpaceDE/>
              <w:autoSpaceDN/>
              <w:adjustRightInd/>
              <w:snapToGrid/>
              <w:jc w:val="center"/>
              <w:textAlignment w:val="auto"/>
              <w:rPr>
                <w:rFonts w:ascii="Times New Roman" w:hAnsi="Times New Roman" w:cs="Times New Roman"/>
                <w:color w:val="auto"/>
                <w:sz w:val="18"/>
                <w:szCs w:val="18"/>
              </w:rPr>
            </w:pPr>
            <w:r>
              <w:rPr>
                <w:rFonts w:ascii="Times New Roman" w:hAnsi="Times New Roman" w:cs="Times New Roman"/>
                <w:color w:val="auto"/>
                <w:sz w:val="18"/>
                <w:szCs w:val="18"/>
                <w:lang w:eastAsia="zh-CN"/>
              </w:rPr>
              <w:t>12</w:t>
            </w:r>
          </w:p>
        </w:tc>
        <w:tc>
          <w:tcPr>
            <w:tcW w:w="2089" w:type="dxa"/>
            <w:vAlign w:val="center"/>
          </w:tcPr>
          <w:p w14:paraId="1AAA70E9"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109.723695</w:t>
            </w:r>
          </w:p>
        </w:tc>
        <w:tc>
          <w:tcPr>
            <w:tcW w:w="2113" w:type="dxa"/>
            <w:vAlign w:val="center"/>
          </w:tcPr>
          <w:p w14:paraId="17BA55EA"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18.260112</w:t>
            </w:r>
          </w:p>
        </w:tc>
        <w:tc>
          <w:tcPr>
            <w:tcW w:w="3387" w:type="dxa"/>
            <w:vAlign w:val="center"/>
          </w:tcPr>
          <w:p w14:paraId="627EBF7B"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color w:val="auto"/>
                <w:sz w:val="18"/>
                <w:szCs w:val="18"/>
                <w:lang w:eastAsia="zh-CN"/>
              </w:rPr>
              <w:t>水质、沉积物、海洋生物</w:t>
            </w:r>
          </w:p>
        </w:tc>
      </w:tr>
      <w:tr w:rsidR="0075791A" w14:paraId="4F3266F3" w14:textId="77777777">
        <w:trPr>
          <w:trHeight w:val="291"/>
          <w:jc w:val="center"/>
        </w:trPr>
        <w:tc>
          <w:tcPr>
            <w:tcW w:w="1007" w:type="dxa"/>
            <w:vAlign w:val="center"/>
          </w:tcPr>
          <w:p w14:paraId="08668F4C" w14:textId="77777777" w:rsidR="0075791A" w:rsidRDefault="00FB2864">
            <w:pPr>
              <w:keepNext/>
              <w:keepLines/>
              <w:kinsoku/>
              <w:autoSpaceDE/>
              <w:autoSpaceDN/>
              <w:adjustRightInd/>
              <w:snapToGrid/>
              <w:jc w:val="center"/>
              <w:textAlignment w:val="auto"/>
              <w:rPr>
                <w:rFonts w:ascii="Times New Roman" w:hAnsi="Times New Roman" w:cs="Times New Roman"/>
                <w:color w:val="auto"/>
                <w:sz w:val="18"/>
                <w:szCs w:val="18"/>
                <w:lang w:eastAsia="zh-CN"/>
              </w:rPr>
            </w:pPr>
            <w:r>
              <w:rPr>
                <w:rFonts w:cs="Times New Roman" w:hint="eastAsia"/>
                <w:color w:val="auto"/>
                <w:sz w:val="18"/>
                <w:szCs w:val="18"/>
                <w:lang w:eastAsia="zh-CN"/>
              </w:rPr>
              <w:t>13</w:t>
            </w:r>
          </w:p>
        </w:tc>
        <w:tc>
          <w:tcPr>
            <w:tcW w:w="2089" w:type="dxa"/>
            <w:vAlign w:val="center"/>
          </w:tcPr>
          <w:p w14:paraId="61940D61"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109.740340</w:t>
            </w:r>
          </w:p>
        </w:tc>
        <w:tc>
          <w:tcPr>
            <w:tcW w:w="2113" w:type="dxa"/>
            <w:vAlign w:val="center"/>
          </w:tcPr>
          <w:p w14:paraId="07D239FA"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hint="eastAsia"/>
                <w:color w:val="auto"/>
                <w:sz w:val="18"/>
                <w:szCs w:val="18"/>
                <w:lang w:eastAsia="zh-CN"/>
              </w:rPr>
              <w:t>18.267013</w:t>
            </w:r>
          </w:p>
        </w:tc>
        <w:tc>
          <w:tcPr>
            <w:tcW w:w="3387" w:type="dxa"/>
            <w:vAlign w:val="center"/>
          </w:tcPr>
          <w:p w14:paraId="2706E957" w14:textId="77777777" w:rsidR="0075791A" w:rsidRDefault="00FB2864">
            <w:pPr>
              <w:keepNext/>
              <w:keepLines/>
              <w:kinsoku/>
              <w:autoSpaceDE/>
              <w:autoSpaceDN/>
              <w:adjustRightInd/>
              <w:snapToGrid/>
              <w:jc w:val="center"/>
              <w:textAlignment w:val="auto"/>
              <w:rPr>
                <w:rFonts w:ascii="Times New Roman" w:eastAsia="宋体" w:hAnsi="Times New Roman" w:cs="Times New Roman"/>
                <w:color w:val="auto"/>
                <w:sz w:val="18"/>
                <w:szCs w:val="18"/>
                <w:lang w:eastAsia="zh-CN"/>
              </w:rPr>
            </w:pPr>
            <w:r>
              <w:rPr>
                <w:rFonts w:ascii="Times New Roman" w:eastAsia="宋体" w:hAnsi="Times New Roman" w:cs="Times New Roman"/>
                <w:color w:val="auto"/>
                <w:sz w:val="18"/>
                <w:szCs w:val="18"/>
                <w:lang w:eastAsia="zh-CN"/>
              </w:rPr>
              <w:t>水质、沉积物、海洋生物</w:t>
            </w:r>
          </w:p>
        </w:tc>
      </w:tr>
    </w:tbl>
    <w:p w14:paraId="5BA468E5" w14:textId="77777777" w:rsidR="0075791A" w:rsidRDefault="0075791A">
      <w:pPr>
        <w:spacing w:line="360" w:lineRule="auto"/>
        <w:ind w:firstLineChars="200" w:firstLine="482"/>
        <w:jc w:val="both"/>
        <w:rPr>
          <w:rFonts w:ascii="Times New Roman" w:eastAsia="宋体" w:hAnsi="Times New Roman" w:cs="宋体"/>
          <w:b/>
          <w:bCs/>
          <w:color w:val="auto"/>
          <w:sz w:val="24"/>
          <w:szCs w:val="24"/>
          <w:lang w:eastAsia="zh-CN"/>
        </w:rPr>
      </w:pPr>
    </w:p>
    <w:p w14:paraId="4D58F341" w14:textId="77777777" w:rsidR="0075791A" w:rsidRDefault="0075791A">
      <w:pPr>
        <w:spacing w:line="360" w:lineRule="auto"/>
        <w:ind w:firstLineChars="200" w:firstLine="482"/>
        <w:jc w:val="both"/>
        <w:rPr>
          <w:rFonts w:ascii="Times New Roman" w:eastAsia="宋体" w:hAnsi="Times New Roman" w:cs="宋体"/>
          <w:b/>
          <w:bCs/>
          <w:color w:val="auto"/>
          <w:sz w:val="24"/>
          <w:szCs w:val="24"/>
          <w:lang w:eastAsia="zh-CN"/>
        </w:rPr>
      </w:pPr>
    </w:p>
    <w:p w14:paraId="6878EB30"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b/>
          <w:bCs/>
          <w:color w:val="auto"/>
          <w:sz w:val="24"/>
          <w:szCs w:val="24"/>
          <w:lang w:eastAsia="zh-CN"/>
        </w:rPr>
        <w:t>4</w:t>
      </w:r>
      <w:r>
        <w:rPr>
          <w:rFonts w:ascii="Times New Roman" w:eastAsia="宋体" w:hAnsi="Times New Roman" w:cs="宋体" w:hint="eastAsia"/>
          <w:b/>
          <w:bCs/>
          <w:color w:val="auto"/>
          <w:sz w:val="24"/>
          <w:szCs w:val="24"/>
          <w:lang w:eastAsia="zh-CN"/>
        </w:rPr>
        <w:t>）</w:t>
      </w:r>
      <w:r>
        <w:rPr>
          <w:rFonts w:ascii="Times New Roman" w:eastAsia="宋体" w:hAnsi="Times New Roman" w:cs="宋体"/>
          <w:b/>
          <w:bCs/>
          <w:color w:val="auto"/>
          <w:sz w:val="24"/>
          <w:szCs w:val="24"/>
          <w:lang w:eastAsia="zh-CN"/>
        </w:rPr>
        <w:t>岸滩冲淤、岸线动态监测</w:t>
      </w:r>
    </w:p>
    <w:p w14:paraId="01E383D5"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①</w:t>
      </w:r>
      <w:r>
        <w:rPr>
          <w:rFonts w:ascii="Times New Roman" w:eastAsia="宋体" w:hAnsi="Times New Roman" w:cs="宋体"/>
          <w:color w:val="auto"/>
          <w:sz w:val="24"/>
          <w:szCs w:val="24"/>
          <w:lang w:eastAsia="zh-CN"/>
        </w:rPr>
        <w:t>监测内容：剖面地形重复测量，根据重复监测资料分析本项目建设前后冲淤变化趋势；剖面水下地貌侧扫，分析本项目建设前后地貌演化特征；沿剖面采集表层样，分析本项目建设前后剖面上底质变化趋势。</w:t>
      </w:r>
    </w:p>
    <w:p w14:paraId="10452B5E"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lastRenderedPageBreak/>
        <w:t>②</w:t>
      </w:r>
      <w:r>
        <w:rPr>
          <w:rFonts w:ascii="Times New Roman" w:eastAsia="宋体" w:hAnsi="Times New Roman" w:cs="宋体"/>
          <w:color w:val="auto"/>
          <w:sz w:val="24"/>
          <w:szCs w:val="24"/>
          <w:lang w:eastAsia="zh-CN"/>
        </w:rPr>
        <w:t>监测范围：项目用海处向四周的海底地形及岸滩区域。</w:t>
      </w:r>
    </w:p>
    <w:p w14:paraId="489D7657"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③</w:t>
      </w:r>
      <w:r>
        <w:rPr>
          <w:rFonts w:ascii="Times New Roman" w:eastAsia="宋体" w:hAnsi="Times New Roman" w:cs="宋体"/>
          <w:color w:val="auto"/>
          <w:sz w:val="24"/>
          <w:szCs w:val="24"/>
          <w:lang w:eastAsia="zh-CN"/>
        </w:rPr>
        <w:t>剖面布设：共设置</w:t>
      </w:r>
      <w:r>
        <w:rPr>
          <w:rFonts w:ascii="Times New Roman" w:eastAsia="宋体" w:hAnsi="Times New Roman" w:cs="宋体" w:hint="eastAsia"/>
          <w:color w:val="auto"/>
          <w:sz w:val="24"/>
          <w:szCs w:val="24"/>
          <w:lang w:eastAsia="zh-CN"/>
        </w:rPr>
        <w:t>10</w:t>
      </w:r>
      <w:r>
        <w:rPr>
          <w:rFonts w:ascii="Times New Roman" w:eastAsia="宋体" w:hAnsi="Times New Roman" w:cs="宋体"/>
          <w:color w:val="auto"/>
          <w:sz w:val="24"/>
          <w:szCs w:val="24"/>
          <w:lang w:eastAsia="zh-CN"/>
        </w:rPr>
        <w:t>条海底及岸滩冲淤动态监测剖面。未来若断面冲淤演变趋势较不利，可再加密监测断面。</w:t>
      </w:r>
    </w:p>
    <w:p w14:paraId="5BD1B322"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color w:val="auto"/>
          <w:sz w:val="24"/>
          <w:szCs w:val="24"/>
          <w:lang w:eastAsia="zh-CN"/>
        </w:rPr>
        <w:t>④</w:t>
      </w:r>
      <w:r>
        <w:rPr>
          <w:rFonts w:ascii="Times New Roman" w:eastAsia="宋体" w:hAnsi="Times New Roman" w:cs="宋体"/>
          <w:color w:val="auto"/>
          <w:sz w:val="24"/>
          <w:szCs w:val="24"/>
          <w:lang w:eastAsia="zh-CN"/>
        </w:rPr>
        <w:t>监测频率：每年监测一次。</w:t>
      </w:r>
    </w:p>
    <w:p w14:paraId="16D1FCCA"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5</w:t>
      </w:r>
      <w:r>
        <w:rPr>
          <w:rFonts w:ascii="Times New Roman" w:eastAsia="宋体" w:hAnsi="Times New Roman" w:cs="宋体" w:hint="eastAsia"/>
          <w:b/>
          <w:bCs/>
          <w:color w:val="auto"/>
          <w:sz w:val="24"/>
          <w:szCs w:val="24"/>
          <w:lang w:eastAsia="zh-CN"/>
        </w:rPr>
        <w:t>）红树林监测</w:t>
      </w:r>
    </w:p>
    <w:p w14:paraId="10DB9845" w14:textId="77777777" w:rsidR="0075791A" w:rsidRDefault="00FB2864">
      <w:pPr>
        <w:spacing w:line="360" w:lineRule="auto"/>
        <w:ind w:firstLineChars="200" w:firstLine="480"/>
        <w:jc w:val="both"/>
        <w:rPr>
          <w:rFonts w:ascii="Times New Roman" w:eastAsia="宋体" w:hAnsi="Times New Roman" w:cs="宋体"/>
          <w:color w:val="auto"/>
          <w:sz w:val="24"/>
          <w:szCs w:val="24"/>
          <w:lang w:val="zh-CN" w:eastAsia="zh-CN"/>
        </w:rPr>
      </w:pPr>
      <w:r>
        <w:rPr>
          <w:rFonts w:ascii="Times New Roman" w:eastAsia="宋体" w:hAnsi="Times New Roman" w:cs="宋体"/>
          <w:color w:val="auto"/>
          <w:sz w:val="24"/>
          <w:szCs w:val="24"/>
          <w:lang w:val="zh-CN" w:eastAsia="zh-CN"/>
        </w:rPr>
        <w:t>在</w:t>
      </w:r>
      <w:r>
        <w:rPr>
          <w:rFonts w:ascii="Times New Roman" w:eastAsia="宋体" w:hAnsi="Times New Roman" w:cs="宋体" w:hint="eastAsia"/>
          <w:color w:val="auto"/>
          <w:sz w:val="24"/>
          <w:szCs w:val="24"/>
          <w:lang w:eastAsia="zh-CN"/>
        </w:rPr>
        <w:t>3</w:t>
      </w:r>
      <w:r>
        <w:rPr>
          <w:rFonts w:ascii="Times New Roman" w:eastAsia="宋体" w:hAnsi="Times New Roman" w:cs="宋体"/>
          <w:color w:val="auto"/>
          <w:sz w:val="24"/>
          <w:szCs w:val="24"/>
          <w:lang w:val="zh-CN" w:eastAsia="zh-CN"/>
        </w:rPr>
        <w:t>处场地环境胁迫较多、对红树林影响较大的区域和</w:t>
      </w:r>
      <w:r>
        <w:rPr>
          <w:rFonts w:ascii="Times New Roman" w:eastAsia="宋体" w:hAnsi="Times New Roman" w:cs="宋体"/>
          <w:color w:val="auto"/>
          <w:sz w:val="24"/>
          <w:szCs w:val="24"/>
          <w:lang w:val="zh-CN" w:eastAsia="zh-CN"/>
        </w:rPr>
        <w:t>2</w:t>
      </w:r>
      <w:r>
        <w:rPr>
          <w:rFonts w:ascii="Times New Roman" w:eastAsia="宋体" w:hAnsi="Times New Roman" w:cs="宋体"/>
          <w:color w:val="auto"/>
          <w:sz w:val="24"/>
          <w:szCs w:val="24"/>
          <w:lang w:val="zh-CN" w:eastAsia="zh-CN"/>
        </w:rPr>
        <w:t>处红树林长势较好区域，对红树林本身的生理生态和周边环境因素</w:t>
      </w:r>
      <w:r>
        <w:rPr>
          <w:rFonts w:ascii="Times New Roman" w:eastAsia="宋体" w:hAnsi="Times New Roman" w:cs="宋体" w:hint="eastAsia"/>
          <w:color w:val="auto"/>
          <w:sz w:val="24"/>
          <w:szCs w:val="24"/>
          <w:lang w:val="zh-CN" w:eastAsia="zh-CN"/>
        </w:rPr>
        <w:t>（</w:t>
      </w:r>
      <w:r>
        <w:rPr>
          <w:rFonts w:ascii="Times New Roman" w:eastAsia="宋体" w:hAnsi="Times New Roman" w:cs="宋体"/>
          <w:color w:val="auto"/>
          <w:sz w:val="24"/>
          <w:szCs w:val="24"/>
          <w:lang w:val="zh-CN" w:eastAsia="zh-CN"/>
        </w:rPr>
        <w:t>气象、水文水质、土壤等</w:t>
      </w:r>
      <w:r>
        <w:rPr>
          <w:rFonts w:ascii="Times New Roman" w:eastAsia="宋体" w:hAnsi="Times New Roman" w:cs="宋体" w:hint="eastAsia"/>
          <w:color w:val="auto"/>
          <w:sz w:val="24"/>
          <w:szCs w:val="24"/>
          <w:lang w:val="zh-CN" w:eastAsia="zh-CN"/>
        </w:rPr>
        <w:t>）</w:t>
      </w:r>
      <w:r>
        <w:rPr>
          <w:rFonts w:ascii="Times New Roman" w:eastAsia="宋体" w:hAnsi="Times New Roman" w:cs="宋体"/>
          <w:color w:val="auto"/>
          <w:sz w:val="24"/>
          <w:szCs w:val="24"/>
          <w:lang w:val="zh-CN" w:eastAsia="zh-CN"/>
        </w:rPr>
        <w:t>进行监测，设置红树林生理生态监测设备</w:t>
      </w:r>
      <w:r>
        <w:rPr>
          <w:rFonts w:ascii="Times New Roman" w:eastAsia="宋体" w:hAnsi="Times New Roman" w:cs="宋体" w:hint="eastAsia"/>
          <w:color w:val="auto"/>
          <w:sz w:val="24"/>
          <w:szCs w:val="24"/>
          <w:lang w:eastAsia="zh-CN"/>
        </w:rPr>
        <w:t>5</w:t>
      </w:r>
      <w:r>
        <w:rPr>
          <w:rFonts w:ascii="Times New Roman" w:eastAsia="宋体" w:hAnsi="Times New Roman" w:cs="宋体"/>
          <w:color w:val="auto"/>
          <w:sz w:val="24"/>
          <w:szCs w:val="24"/>
          <w:lang w:val="zh-CN" w:eastAsia="zh-CN"/>
        </w:rPr>
        <w:t>套，气象监测设备</w:t>
      </w:r>
      <w:r>
        <w:rPr>
          <w:rFonts w:ascii="Times New Roman" w:eastAsia="宋体" w:hAnsi="Times New Roman" w:cs="宋体"/>
          <w:color w:val="auto"/>
          <w:sz w:val="24"/>
          <w:szCs w:val="24"/>
          <w:lang w:val="zh-CN" w:eastAsia="zh-CN"/>
        </w:rPr>
        <w:t>1</w:t>
      </w:r>
      <w:r>
        <w:rPr>
          <w:rFonts w:ascii="Times New Roman" w:eastAsia="宋体" w:hAnsi="Times New Roman" w:cs="宋体"/>
          <w:color w:val="auto"/>
          <w:sz w:val="24"/>
          <w:szCs w:val="24"/>
          <w:lang w:val="zh-CN" w:eastAsia="zh-CN"/>
        </w:rPr>
        <w:t>套，水文水质监测设备</w:t>
      </w:r>
      <w:r>
        <w:rPr>
          <w:rFonts w:ascii="Times New Roman" w:eastAsia="宋体" w:hAnsi="Times New Roman" w:cs="宋体"/>
          <w:color w:val="auto"/>
          <w:sz w:val="24"/>
          <w:szCs w:val="24"/>
          <w:lang w:val="zh-CN" w:eastAsia="zh-CN"/>
        </w:rPr>
        <w:t>8</w:t>
      </w:r>
      <w:r>
        <w:rPr>
          <w:rFonts w:ascii="Times New Roman" w:eastAsia="宋体" w:hAnsi="Times New Roman" w:cs="宋体"/>
          <w:color w:val="auto"/>
          <w:sz w:val="24"/>
          <w:szCs w:val="24"/>
          <w:lang w:val="zh-CN" w:eastAsia="zh-CN"/>
        </w:rPr>
        <w:t>套，土壤监测设备</w:t>
      </w:r>
      <w:r>
        <w:rPr>
          <w:rFonts w:ascii="Times New Roman" w:eastAsia="宋体" w:hAnsi="Times New Roman" w:cs="宋体" w:hint="eastAsia"/>
          <w:color w:val="auto"/>
          <w:sz w:val="24"/>
          <w:szCs w:val="24"/>
          <w:lang w:eastAsia="zh-CN"/>
        </w:rPr>
        <w:t>5</w:t>
      </w:r>
      <w:r>
        <w:rPr>
          <w:rFonts w:ascii="Times New Roman" w:eastAsia="宋体" w:hAnsi="Times New Roman" w:cs="宋体"/>
          <w:color w:val="auto"/>
          <w:sz w:val="24"/>
          <w:szCs w:val="24"/>
          <w:lang w:val="zh-CN" w:eastAsia="zh-CN"/>
        </w:rPr>
        <w:t>套。同时建设红树林智慧监测平台与评估系统</w:t>
      </w:r>
      <w:r>
        <w:rPr>
          <w:rFonts w:ascii="Times New Roman" w:eastAsia="宋体" w:hAnsi="Times New Roman" w:cs="宋体"/>
          <w:color w:val="auto"/>
          <w:sz w:val="24"/>
          <w:szCs w:val="24"/>
          <w:lang w:val="zh-CN" w:eastAsia="zh-CN"/>
        </w:rPr>
        <w:t>1</w:t>
      </w:r>
      <w:r>
        <w:rPr>
          <w:rFonts w:ascii="Times New Roman" w:eastAsia="宋体" w:hAnsi="Times New Roman" w:cs="宋体"/>
          <w:color w:val="auto"/>
          <w:sz w:val="24"/>
          <w:szCs w:val="24"/>
          <w:lang w:val="zh-CN" w:eastAsia="zh-CN"/>
        </w:rPr>
        <w:t>套，实时显示红树林生态环境数据和红树林生态系统服务价值评价结果。</w:t>
      </w:r>
    </w:p>
    <w:p w14:paraId="536D3C19"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、监测内容及指标</w:t>
      </w:r>
    </w:p>
    <w:p w14:paraId="20A76B4B" w14:textId="77777777" w:rsidR="0075791A" w:rsidRDefault="00FB2864">
      <w:pPr>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val="zh-CN" w:eastAsia="zh-CN"/>
        </w:rPr>
        <w:t>表</w:t>
      </w:r>
      <w:r>
        <w:rPr>
          <w:rFonts w:ascii="宋体" w:eastAsia="宋体" w:hAnsi="宋体" w:cs="宋体" w:hint="eastAsia"/>
          <w:color w:val="auto"/>
          <w:sz w:val="24"/>
          <w:szCs w:val="24"/>
          <w:lang w:eastAsia="zh-CN"/>
        </w:rPr>
        <w:t xml:space="preserve">8.2.2-2 </w:t>
      </w:r>
      <w:r>
        <w:rPr>
          <w:rFonts w:ascii="宋体" w:eastAsia="宋体" w:hAnsi="宋体" w:cs="宋体" w:hint="eastAsia"/>
          <w:color w:val="auto"/>
          <w:sz w:val="24"/>
          <w:szCs w:val="24"/>
          <w:lang w:eastAsia="zh-CN"/>
        </w:rPr>
        <w:t>红树林湿地监测一览表</w:t>
      </w:r>
    </w:p>
    <w:tbl>
      <w:tblPr>
        <w:tblStyle w:val="ad"/>
        <w:tblW w:w="4951" w:type="pct"/>
        <w:jc w:val="center"/>
        <w:tblLook w:val="04A0" w:firstRow="1" w:lastRow="0" w:firstColumn="1" w:lastColumn="0" w:noHBand="0" w:noVBand="1"/>
      </w:tblPr>
      <w:tblGrid>
        <w:gridCol w:w="597"/>
        <w:gridCol w:w="1478"/>
        <w:gridCol w:w="3513"/>
        <w:gridCol w:w="3692"/>
      </w:tblGrid>
      <w:tr w:rsidR="0075791A" w14:paraId="14CDEA8A" w14:textId="77777777">
        <w:trPr>
          <w:trHeight w:val="737"/>
          <w:jc w:val="center"/>
        </w:trPr>
        <w:tc>
          <w:tcPr>
            <w:tcW w:w="321" w:type="pct"/>
            <w:vAlign w:val="center"/>
          </w:tcPr>
          <w:p w14:paraId="51CBD86A"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序号</w:t>
            </w:r>
          </w:p>
        </w:tc>
        <w:tc>
          <w:tcPr>
            <w:tcW w:w="796" w:type="pct"/>
            <w:vAlign w:val="center"/>
          </w:tcPr>
          <w:p w14:paraId="143A2EE1"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监测项目</w:t>
            </w:r>
          </w:p>
        </w:tc>
        <w:tc>
          <w:tcPr>
            <w:tcW w:w="1892" w:type="pct"/>
            <w:vAlign w:val="center"/>
          </w:tcPr>
          <w:p w14:paraId="17253573"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监测指标</w:t>
            </w:r>
          </w:p>
        </w:tc>
        <w:tc>
          <w:tcPr>
            <w:tcW w:w="1988" w:type="pct"/>
            <w:vAlign w:val="center"/>
          </w:tcPr>
          <w:p w14:paraId="098029BD"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监测方法</w:t>
            </w:r>
          </w:p>
        </w:tc>
      </w:tr>
      <w:tr w:rsidR="0075791A" w14:paraId="4A44413B" w14:textId="77777777">
        <w:trPr>
          <w:trHeight w:val="1093"/>
          <w:jc w:val="center"/>
        </w:trPr>
        <w:tc>
          <w:tcPr>
            <w:tcW w:w="321" w:type="pct"/>
            <w:vAlign w:val="center"/>
          </w:tcPr>
          <w:p w14:paraId="3AAB706C"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1</w:t>
            </w:r>
          </w:p>
        </w:tc>
        <w:tc>
          <w:tcPr>
            <w:tcW w:w="796" w:type="pct"/>
            <w:vAlign w:val="center"/>
          </w:tcPr>
          <w:p w14:paraId="5E04B33A"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水文水质</w:t>
            </w:r>
          </w:p>
        </w:tc>
        <w:tc>
          <w:tcPr>
            <w:tcW w:w="1892" w:type="pct"/>
            <w:vAlign w:val="center"/>
          </w:tcPr>
          <w:p w14:paraId="755CA9A9"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水温、盐度、</w:t>
            </w:r>
            <w:r>
              <w:rPr>
                <w:rFonts w:ascii="宋体" w:eastAsia="宋体" w:hAnsi="宋体" w:cs="宋体" w:hint="eastAsia"/>
                <w:color w:val="auto"/>
                <w:sz w:val="24"/>
                <w:szCs w:val="24"/>
                <w:lang w:eastAsia="zh-CN"/>
              </w:rPr>
              <w:t>PH</w:t>
            </w:r>
            <w:r>
              <w:rPr>
                <w:rFonts w:ascii="宋体" w:eastAsia="宋体" w:hAnsi="宋体" w:cs="宋体" w:hint="eastAsia"/>
                <w:color w:val="auto"/>
                <w:sz w:val="24"/>
                <w:szCs w:val="24"/>
                <w:lang w:eastAsia="zh-CN"/>
              </w:rPr>
              <w:t>、溶解氧、悬浮物、亚硝酸盐、硝酸盐、氨、无机磷、活性硅酸盐</w:t>
            </w:r>
          </w:p>
        </w:tc>
        <w:tc>
          <w:tcPr>
            <w:tcW w:w="1988" w:type="pct"/>
            <w:vAlign w:val="center"/>
          </w:tcPr>
          <w:p w14:paraId="7EE5A051"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样地法后，引用</w:t>
            </w:r>
            <w:r>
              <w:rPr>
                <w:rFonts w:ascii="宋体" w:eastAsia="宋体" w:hAnsi="宋体" w:cs="宋体" w:hint="eastAsia"/>
                <w:color w:val="auto"/>
                <w:sz w:val="24"/>
                <w:szCs w:val="24"/>
                <w:lang w:eastAsia="zh-CN"/>
              </w:rPr>
              <w:t>GB1738.4</w:t>
            </w:r>
            <w:r>
              <w:rPr>
                <w:rFonts w:ascii="宋体" w:eastAsia="宋体" w:hAnsi="宋体" w:cs="宋体" w:hint="eastAsia"/>
                <w:color w:val="auto"/>
                <w:sz w:val="24"/>
                <w:szCs w:val="24"/>
                <w:lang w:eastAsia="zh-CN"/>
              </w:rPr>
              <w:t>，采用表层水温表法、盐度计法等</w:t>
            </w:r>
          </w:p>
        </w:tc>
      </w:tr>
      <w:tr w:rsidR="0075791A" w14:paraId="127F476C" w14:textId="77777777">
        <w:trPr>
          <w:trHeight w:val="379"/>
          <w:jc w:val="center"/>
        </w:trPr>
        <w:tc>
          <w:tcPr>
            <w:tcW w:w="321" w:type="pct"/>
            <w:vAlign w:val="center"/>
          </w:tcPr>
          <w:p w14:paraId="37874D60"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2</w:t>
            </w:r>
          </w:p>
        </w:tc>
        <w:tc>
          <w:tcPr>
            <w:tcW w:w="796" w:type="pct"/>
            <w:vAlign w:val="center"/>
          </w:tcPr>
          <w:p w14:paraId="5CB026A7"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气象</w:t>
            </w:r>
          </w:p>
        </w:tc>
        <w:tc>
          <w:tcPr>
            <w:tcW w:w="1892" w:type="pct"/>
            <w:vAlign w:val="center"/>
          </w:tcPr>
          <w:p w14:paraId="6CC7B925"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大气温度、湿度</w:t>
            </w:r>
          </w:p>
        </w:tc>
        <w:tc>
          <w:tcPr>
            <w:tcW w:w="1988" w:type="pct"/>
            <w:vAlign w:val="center"/>
          </w:tcPr>
          <w:p w14:paraId="4516B089"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便携式设备</w:t>
            </w:r>
          </w:p>
        </w:tc>
      </w:tr>
      <w:tr w:rsidR="0075791A" w14:paraId="1ADD873A" w14:textId="77777777">
        <w:trPr>
          <w:trHeight w:val="737"/>
          <w:jc w:val="center"/>
        </w:trPr>
        <w:tc>
          <w:tcPr>
            <w:tcW w:w="321" w:type="pct"/>
            <w:vAlign w:val="center"/>
          </w:tcPr>
          <w:p w14:paraId="37E3B0EF"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3</w:t>
            </w:r>
          </w:p>
        </w:tc>
        <w:tc>
          <w:tcPr>
            <w:tcW w:w="796" w:type="pct"/>
            <w:vAlign w:val="center"/>
          </w:tcPr>
          <w:p w14:paraId="35078B3B"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沉积环境</w:t>
            </w:r>
          </w:p>
        </w:tc>
        <w:tc>
          <w:tcPr>
            <w:tcW w:w="1892" w:type="pct"/>
            <w:vAlign w:val="center"/>
          </w:tcPr>
          <w:p w14:paraId="7D751811"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有机碳、硫化物、总氮、总磷、粒度、水溶性盐总量、重金属</w:t>
            </w:r>
          </w:p>
        </w:tc>
        <w:tc>
          <w:tcPr>
            <w:tcW w:w="1988" w:type="pct"/>
            <w:vAlign w:val="center"/>
          </w:tcPr>
          <w:p w14:paraId="102948E1"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样地法后，采用粒度分析、热岛法、碘量法</w:t>
            </w:r>
          </w:p>
        </w:tc>
      </w:tr>
      <w:tr w:rsidR="0075791A" w14:paraId="3B11DD5B" w14:textId="77777777">
        <w:trPr>
          <w:trHeight w:val="379"/>
          <w:jc w:val="center"/>
        </w:trPr>
        <w:tc>
          <w:tcPr>
            <w:tcW w:w="321" w:type="pct"/>
            <w:vAlign w:val="center"/>
          </w:tcPr>
          <w:p w14:paraId="3F998B58"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4</w:t>
            </w:r>
          </w:p>
        </w:tc>
        <w:tc>
          <w:tcPr>
            <w:tcW w:w="796" w:type="pct"/>
            <w:vAlign w:val="center"/>
          </w:tcPr>
          <w:p w14:paraId="00838F8E"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红树林</w:t>
            </w:r>
          </w:p>
        </w:tc>
        <w:tc>
          <w:tcPr>
            <w:tcW w:w="1892" w:type="pct"/>
            <w:vAlign w:val="center"/>
          </w:tcPr>
          <w:p w14:paraId="5226F33B"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分布面积、盖度、种类、成活率、保存率、树种、密度、基径</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胸径、株高</w:t>
            </w:r>
          </w:p>
        </w:tc>
        <w:tc>
          <w:tcPr>
            <w:tcW w:w="1988" w:type="pct"/>
            <w:vAlign w:val="center"/>
          </w:tcPr>
          <w:p w14:paraId="3B4E0490"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野外调查、遥感图像</w:t>
            </w:r>
          </w:p>
        </w:tc>
      </w:tr>
      <w:tr w:rsidR="0075791A" w14:paraId="32F03D19" w14:textId="77777777">
        <w:trPr>
          <w:trHeight w:val="402"/>
          <w:jc w:val="center"/>
        </w:trPr>
        <w:tc>
          <w:tcPr>
            <w:tcW w:w="321" w:type="pct"/>
            <w:vAlign w:val="center"/>
          </w:tcPr>
          <w:p w14:paraId="3765CC1E"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5</w:t>
            </w:r>
          </w:p>
        </w:tc>
        <w:tc>
          <w:tcPr>
            <w:tcW w:w="796" w:type="pct"/>
            <w:vAlign w:val="center"/>
          </w:tcPr>
          <w:p w14:paraId="57546F7E"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生物指标</w:t>
            </w:r>
          </w:p>
        </w:tc>
        <w:tc>
          <w:tcPr>
            <w:tcW w:w="1892" w:type="pct"/>
            <w:vAlign w:val="center"/>
          </w:tcPr>
          <w:p w14:paraId="5D461162"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大型底栖动物、红树林鸟类</w:t>
            </w:r>
          </w:p>
        </w:tc>
        <w:tc>
          <w:tcPr>
            <w:tcW w:w="1988" w:type="pct"/>
            <w:vAlign w:val="center"/>
          </w:tcPr>
          <w:p w14:paraId="6415C9EC"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样线法、样地法</w:t>
            </w:r>
          </w:p>
        </w:tc>
      </w:tr>
      <w:tr w:rsidR="0075791A" w14:paraId="6BF5D196" w14:textId="77777777">
        <w:trPr>
          <w:trHeight w:val="402"/>
          <w:jc w:val="center"/>
        </w:trPr>
        <w:tc>
          <w:tcPr>
            <w:tcW w:w="321" w:type="pct"/>
            <w:vAlign w:val="center"/>
          </w:tcPr>
          <w:p w14:paraId="4564C42B" w14:textId="77777777" w:rsidR="0075791A" w:rsidRDefault="0075791A">
            <w:pPr>
              <w:widowControl/>
              <w:jc w:val="center"/>
              <w:rPr>
                <w:rFonts w:ascii="宋体" w:eastAsia="宋体" w:hAnsi="宋体" w:cs="宋体"/>
                <w:color w:val="auto"/>
                <w:sz w:val="24"/>
                <w:szCs w:val="24"/>
                <w:lang w:eastAsia="zh-CN"/>
              </w:rPr>
            </w:pPr>
          </w:p>
        </w:tc>
        <w:tc>
          <w:tcPr>
            <w:tcW w:w="796" w:type="pct"/>
            <w:vAlign w:val="center"/>
          </w:tcPr>
          <w:p w14:paraId="45C68887" w14:textId="77777777" w:rsidR="0075791A" w:rsidRDefault="0075791A">
            <w:pPr>
              <w:widowControl/>
              <w:jc w:val="center"/>
              <w:rPr>
                <w:rFonts w:ascii="宋体" w:eastAsia="宋体" w:hAnsi="宋体" w:cs="宋体"/>
                <w:color w:val="auto"/>
                <w:sz w:val="24"/>
                <w:szCs w:val="24"/>
                <w:lang w:eastAsia="zh-CN"/>
              </w:rPr>
            </w:pPr>
          </w:p>
        </w:tc>
        <w:tc>
          <w:tcPr>
            <w:tcW w:w="1892" w:type="pct"/>
            <w:vAlign w:val="center"/>
          </w:tcPr>
          <w:p w14:paraId="6C7073E3" w14:textId="77777777" w:rsidR="0075791A" w:rsidRDefault="0075791A">
            <w:pPr>
              <w:widowControl/>
              <w:jc w:val="center"/>
              <w:rPr>
                <w:rFonts w:ascii="宋体" w:eastAsia="宋体" w:hAnsi="宋体" w:cs="宋体"/>
                <w:color w:val="auto"/>
                <w:sz w:val="24"/>
                <w:szCs w:val="24"/>
                <w:lang w:eastAsia="zh-CN"/>
              </w:rPr>
            </w:pPr>
          </w:p>
        </w:tc>
        <w:tc>
          <w:tcPr>
            <w:tcW w:w="1988" w:type="pct"/>
            <w:vAlign w:val="center"/>
          </w:tcPr>
          <w:p w14:paraId="311ACB4B" w14:textId="77777777" w:rsidR="0075791A" w:rsidRDefault="0075791A">
            <w:pPr>
              <w:widowControl/>
              <w:jc w:val="center"/>
              <w:rPr>
                <w:rFonts w:ascii="宋体" w:eastAsia="宋体" w:hAnsi="宋体" w:cs="宋体"/>
                <w:color w:val="auto"/>
                <w:sz w:val="24"/>
                <w:szCs w:val="24"/>
                <w:lang w:eastAsia="zh-CN"/>
              </w:rPr>
            </w:pPr>
          </w:p>
        </w:tc>
      </w:tr>
    </w:tbl>
    <w:p w14:paraId="5076636C"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、监测站位与样地布置</w:t>
      </w:r>
    </w:p>
    <w:p w14:paraId="68D110D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）水文水质</w:t>
      </w:r>
    </w:p>
    <w:p w14:paraId="37808D9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在红树林分布区的潮间带和潮下带布设相应监测站位，在高潮时进行现场测定并采集水样，每个站位只测定并采集表层水样。</w:t>
      </w:r>
    </w:p>
    <w:p w14:paraId="59C54A4D"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）红树林样地</w:t>
      </w:r>
    </w:p>
    <w:p w14:paraId="00C04165"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在红树林种植区，布设断面检测区，从红树林向海的分布前沿向红树林陆地边缘布设，穿越高中低三个潮带。设置</w:t>
      </w:r>
      <w:r>
        <w:rPr>
          <w:rFonts w:ascii="Times New Roman" w:eastAsia="宋体" w:hAnsi="Times New Roman" w:cs="宋体" w:hint="eastAsia"/>
          <w:color w:val="auto"/>
          <w:sz w:val="24"/>
          <w:szCs w:val="24"/>
          <w:lang w:eastAsia="zh-CN"/>
        </w:rPr>
        <w:t>5</w:t>
      </w:r>
      <w:r>
        <w:rPr>
          <w:rFonts w:ascii="Times New Roman" w:eastAsia="宋体" w:hAnsi="Times New Roman" w:cs="宋体" w:hint="eastAsia"/>
          <w:color w:val="auto"/>
          <w:sz w:val="24"/>
          <w:szCs w:val="24"/>
          <w:lang w:eastAsia="zh-CN"/>
        </w:rPr>
        <w:t>个相同大小的样地，每一样地至少保证</w:t>
      </w:r>
      <w:r>
        <w:rPr>
          <w:rFonts w:ascii="Times New Roman" w:eastAsia="宋体" w:hAnsi="Times New Roman" w:cs="宋体" w:hint="eastAsia"/>
          <w:color w:val="auto"/>
          <w:sz w:val="24"/>
          <w:szCs w:val="24"/>
          <w:lang w:eastAsia="zh-CN"/>
        </w:rPr>
        <w:t>80</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100</w:t>
      </w:r>
      <w:r>
        <w:rPr>
          <w:rFonts w:ascii="Times New Roman" w:eastAsia="宋体" w:hAnsi="Times New Roman" w:cs="宋体" w:hint="eastAsia"/>
          <w:color w:val="auto"/>
          <w:sz w:val="24"/>
          <w:szCs w:val="24"/>
          <w:lang w:eastAsia="zh-CN"/>
        </w:rPr>
        <w:t>棵红树林，样地面积取</w:t>
      </w:r>
      <w:r>
        <w:rPr>
          <w:rFonts w:ascii="Times New Roman" w:eastAsia="宋体" w:hAnsi="Times New Roman" w:cs="宋体" w:hint="eastAsia"/>
          <w:color w:val="auto"/>
          <w:sz w:val="24"/>
          <w:szCs w:val="24"/>
          <w:lang w:eastAsia="zh-CN"/>
        </w:rPr>
        <w:t>10</w:t>
      </w:r>
      <w:r>
        <w:rPr>
          <w:rFonts w:ascii="Times New Roman" w:eastAsia="宋体" w:hAnsi="Times New Roman" w:cs="宋体" w:hint="eastAsia"/>
          <w:color w:val="auto"/>
          <w:sz w:val="24"/>
          <w:szCs w:val="24"/>
          <w:lang w:eastAsia="zh-CN"/>
        </w:rPr>
        <w:t>米</w:t>
      </w:r>
      <w:r>
        <w:rPr>
          <w:rFonts w:eastAsia="宋体"/>
          <w:color w:val="auto"/>
          <w:sz w:val="24"/>
          <w:szCs w:val="24"/>
          <w:lang w:eastAsia="zh-CN"/>
        </w:rPr>
        <w:t>×</w:t>
      </w:r>
      <w:r>
        <w:rPr>
          <w:rFonts w:ascii="Times New Roman" w:eastAsia="宋体" w:hAnsi="Times New Roman" w:cs="宋体" w:hint="eastAsia"/>
          <w:color w:val="auto"/>
          <w:sz w:val="24"/>
          <w:szCs w:val="24"/>
          <w:lang w:eastAsia="zh-CN"/>
        </w:rPr>
        <w:t>50</w:t>
      </w:r>
      <w:r>
        <w:rPr>
          <w:rFonts w:ascii="Times New Roman" w:eastAsia="宋体" w:hAnsi="Times New Roman" w:cs="宋体" w:hint="eastAsia"/>
          <w:color w:val="auto"/>
          <w:sz w:val="24"/>
          <w:szCs w:val="24"/>
          <w:lang w:eastAsia="zh-CN"/>
        </w:rPr>
        <w:t>米，每个样地再取</w:t>
      </w:r>
      <w:r>
        <w:rPr>
          <w:rFonts w:ascii="Times New Roman" w:eastAsia="宋体" w:hAnsi="Times New Roman" w:cs="宋体" w:hint="eastAsia"/>
          <w:color w:val="auto"/>
          <w:sz w:val="24"/>
          <w:szCs w:val="24"/>
          <w:lang w:eastAsia="zh-CN"/>
        </w:rPr>
        <w:t>5</w:t>
      </w:r>
      <w:r>
        <w:rPr>
          <w:rFonts w:ascii="Times New Roman" w:eastAsia="宋体" w:hAnsi="Times New Roman" w:cs="宋体" w:hint="eastAsia"/>
          <w:color w:val="auto"/>
          <w:sz w:val="24"/>
          <w:szCs w:val="24"/>
          <w:lang w:eastAsia="zh-CN"/>
        </w:rPr>
        <w:t>个</w:t>
      </w:r>
      <w:r>
        <w:rPr>
          <w:rFonts w:ascii="Times New Roman" w:eastAsia="宋体" w:hAnsi="Times New Roman" w:cs="宋体" w:hint="eastAsia"/>
          <w:color w:val="auto"/>
          <w:sz w:val="24"/>
          <w:szCs w:val="24"/>
          <w:lang w:eastAsia="zh-CN"/>
        </w:rPr>
        <w:t>10</w:t>
      </w:r>
      <w:r>
        <w:rPr>
          <w:rFonts w:eastAsia="宋体"/>
          <w:color w:val="auto"/>
          <w:sz w:val="24"/>
          <w:szCs w:val="24"/>
          <w:lang w:eastAsia="zh-CN"/>
        </w:rPr>
        <w:t>×</w:t>
      </w:r>
      <w:r>
        <w:rPr>
          <w:rFonts w:ascii="Times New Roman" w:eastAsia="宋体" w:hAnsi="Times New Roman" w:cs="宋体" w:hint="eastAsia"/>
          <w:color w:val="auto"/>
          <w:sz w:val="24"/>
          <w:szCs w:val="24"/>
          <w:lang w:eastAsia="zh-CN"/>
        </w:rPr>
        <w:t>10</w:t>
      </w:r>
      <w:r>
        <w:rPr>
          <w:rFonts w:ascii="Times New Roman" w:eastAsia="宋体" w:hAnsi="Times New Roman" w:cs="宋体" w:hint="eastAsia"/>
          <w:color w:val="auto"/>
          <w:sz w:val="24"/>
          <w:szCs w:val="24"/>
          <w:lang w:eastAsia="zh-CN"/>
        </w:rPr>
        <w:t>米样方，样地内红树林种类按大树（</w:t>
      </w:r>
      <w:r>
        <w:rPr>
          <w:rFonts w:ascii="Times New Roman" w:eastAsia="宋体" w:hAnsi="Times New Roman" w:cs="宋体" w:hint="eastAsia"/>
          <w:color w:val="auto"/>
          <w:sz w:val="24"/>
          <w:szCs w:val="24"/>
          <w:lang w:eastAsia="zh-CN"/>
        </w:rPr>
        <w:t>DBH&gt;4cm</w:t>
      </w:r>
      <w:r>
        <w:rPr>
          <w:rFonts w:ascii="Times New Roman" w:eastAsia="宋体" w:hAnsi="Times New Roman" w:cs="宋体" w:hint="eastAsia"/>
          <w:color w:val="auto"/>
          <w:sz w:val="24"/>
          <w:szCs w:val="24"/>
          <w:lang w:eastAsia="zh-CN"/>
        </w:rPr>
        <w:t>），小树（</w:t>
      </w:r>
      <w:r>
        <w:rPr>
          <w:rFonts w:ascii="Times New Roman" w:eastAsia="宋体" w:hAnsi="Times New Roman" w:cs="宋体" w:hint="eastAsia"/>
          <w:color w:val="auto"/>
          <w:sz w:val="24"/>
          <w:szCs w:val="24"/>
          <w:lang w:eastAsia="zh-CN"/>
        </w:rPr>
        <w:t>1cm&lt;DBH&lt;4cm</w:t>
      </w:r>
      <w:r>
        <w:rPr>
          <w:rFonts w:ascii="Times New Roman" w:eastAsia="宋体" w:hAnsi="Times New Roman" w:cs="宋体" w:hint="eastAsia"/>
          <w:color w:val="auto"/>
          <w:sz w:val="24"/>
          <w:szCs w:val="24"/>
          <w:lang w:eastAsia="zh-CN"/>
        </w:rPr>
        <w:t>）进行统计种类、胸径、树高。用标桩再样方四</w:t>
      </w:r>
      <w:r>
        <w:rPr>
          <w:rFonts w:ascii="Times New Roman" w:eastAsia="宋体" w:hAnsi="Times New Roman" w:cs="宋体" w:hint="eastAsia"/>
          <w:color w:val="auto"/>
          <w:sz w:val="24"/>
          <w:szCs w:val="24"/>
          <w:lang w:eastAsia="zh-CN"/>
        </w:rPr>
        <w:lastRenderedPageBreak/>
        <w:t>角做标志，每个标桩上应用不锈钢丝系上</w:t>
      </w:r>
      <w:r>
        <w:rPr>
          <w:rFonts w:ascii="Times New Roman" w:eastAsia="宋体" w:hAnsi="Times New Roman" w:cs="宋体" w:hint="eastAsia"/>
          <w:color w:val="auto"/>
          <w:sz w:val="24"/>
          <w:szCs w:val="24"/>
          <w:lang w:eastAsia="zh-CN"/>
        </w:rPr>
        <w:t>标签，标明断面、样地编号。同时在样地内设置</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个</w:t>
      </w:r>
      <w:r>
        <w:rPr>
          <w:rFonts w:ascii="Times New Roman" w:eastAsia="宋体" w:hAnsi="Times New Roman" w:cs="宋体" w:hint="eastAsia"/>
          <w:color w:val="auto"/>
          <w:sz w:val="24"/>
          <w:szCs w:val="24"/>
          <w:lang w:eastAsia="zh-CN"/>
        </w:rPr>
        <w:t>2</w:t>
      </w:r>
      <w:r>
        <w:rPr>
          <w:rFonts w:eastAsia="宋体"/>
          <w:color w:val="auto"/>
          <w:sz w:val="24"/>
          <w:szCs w:val="24"/>
          <w:lang w:eastAsia="zh-CN"/>
        </w:rPr>
        <w:t>×</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米的灌木样方、</w:t>
      </w:r>
      <w:r>
        <w:rPr>
          <w:rFonts w:ascii="Times New Roman" w:eastAsia="宋体" w:hAnsi="Times New Roman" w:cs="宋体"/>
          <w:color w:val="auto"/>
          <w:sz w:val="24"/>
          <w:szCs w:val="24"/>
          <w:lang w:eastAsia="zh-CN"/>
        </w:rPr>
        <w:t>录样方内所有灌木的种名、</w:t>
      </w:r>
      <w:r>
        <w:rPr>
          <w:rFonts w:ascii="Times New Roman" w:eastAsia="宋体" w:hAnsi="Times New Roman" w:cs="宋体" w:hint="eastAsia"/>
          <w:color w:val="auto"/>
          <w:sz w:val="24"/>
          <w:szCs w:val="24"/>
          <w:lang w:eastAsia="zh-CN"/>
        </w:rPr>
        <w:t>基径、</w:t>
      </w:r>
      <w:r>
        <w:rPr>
          <w:rFonts w:ascii="Times New Roman" w:eastAsia="宋体" w:hAnsi="Times New Roman" w:cs="宋体"/>
          <w:color w:val="auto"/>
          <w:sz w:val="24"/>
          <w:szCs w:val="24"/>
          <w:lang w:eastAsia="zh-CN"/>
        </w:rPr>
        <w:t>株高和株数</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个</w:t>
      </w:r>
      <w:r>
        <w:rPr>
          <w:rFonts w:ascii="Times New Roman" w:eastAsia="宋体" w:hAnsi="Times New Roman" w:cs="宋体" w:hint="eastAsia"/>
          <w:color w:val="auto"/>
          <w:sz w:val="24"/>
          <w:szCs w:val="24"/>
          <w:lang w:eastAsia="zh-CN"/>
        </w:rPr>
        <w:t>0.5</w:t>
      </w:r>
      <w:r>
        <w:rPr>
          <w:rFonts w:eastAsia="宋体"/>
          <w:color w:val="auto"/>
          <w:sz w:val="24"/>
          <w:szCs w:val="24"/>
          <w:lang w:eastAsia="zh-CN"/>
        </w:rPr>
        <w:t>×</w:t>
      </w:r>
      <w:r>
        <w:rPr>
          <w:rFonts w:ascii="Times New Roman" w:eastAsia="宋体" w:hAnsi="Times New Roman" w:cs="宋体" w:hint="eastAsia"/>
          <w:color w:val="auto"/>
          <w:sz w:val="24"/>
          <w:szCs w:val="24"/>
          <w:lang w:eastAsia="zh-CN"/>
        </w:rPr>
        <w:t>0.5</w:t>
      </w:r>
      <w:r>
        <w:rPr>
          <w:rFonts w:ascii="Times New Roman" w:eastAsia="宋体" w:hAnsi="Times New Roman" w:cs="宋体" w:hint="eastAsia"/>
          <w:color w:val="auto"/>
          <w:sz w:val="24"/>
          <w:szCs w:val="24"/>
          <w:lang w:eastAsia="zh-CN"/>
        </w:rPr>
        <w:t>米的地被层样方，</w:t>
      </w:r>
      <w:r>
        <w:rPr>
          <w:rFonts w:ascii="Times New Roman" w:eastAsia="宋体" w:hAnsi="Times New Roman" w:cs="宋体"/>
          <w:color w:val="auto"/>
          <w:sz w:val="24"/>
          <w:szCs w:val="24"/>
          <w:lang w:eastAsia="zh-CN"/>
        </w:rPr>
        <w:t>记录样方内所有小苗的种名和株数</w:t>
      </w:r>
      <w:r>
        <w:rPr>
          <w:rFonts w:ascii="Times New Roman" w:eastAsia="宋体" w:hAnsi="Times New Roman" w:cs="宋体" w:hint="eastAsia"/>
          <w:color w:val="auto"/>
          <w:sz w:val="24"/>
          <w:szCs w:val="24"/>
          <w:lang w:eastAsia="zh-CN"/>
        </w:rPr>
        <w:t>或盖度。</w:t>
      </w:r>
    </w:p>
    <w:p w14:paraId="6A9975DD"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）沉积物</w:t>
      </w:r>
    </w:p>
    <w:p w14:paraId="1C4B85A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在红树林样地内采集表层</w:t>
      </w:r>
      <w:r>
        <w:rPr>
          <w:rFonts w:ascii="Times New Roman" w:eastAsia="宋体" w:hAnsi="Times New Roman" w:cs="宋体" w:hint="eastAsia"/>
          <w:color w:val="auto"/>
          <w:sz w:val="24"/>
          <w:szCs w:val="24"/>
          <w:lang w:eastAsia="zh-CN"/>
        </w:rPr>
        <w:t>0cm-10cm</w:t>
      </w:r>
      <w:r>
        <w:rPr>
          <w:rFonts w:ascii="Times New Roman" w:eastAsia="宋体" w:hAnsi="Times New Roman" w:cs="宋体" w:hint="eastAsia"/>
          <w:color w:val="auto"/>
          <w:sz w:val="24"/>
          <w:szCs w:val="24"/>
          <w:lang w:eastAsia="zh-CN"/>
        </w:rPr>
        <w:t>沉积物进行粒度分析、有机碳和硫化物分析；从样地取出土芯，并在土芯</w:t>
      </w:r>
      <w:r>
        <w:rPr>
          <w:rFonts w:ascii="Times New Roman" w:eastAsia="宋体" w:hAnsi="Times New Roman" w:cs="宋体" w:hint="eastAsia"/>
          <w:color w:val="auto"/>
          <w:sz w:val="24"/>
          <w:szCs w:val="24"/>
          <w:lang w:eastAsia="zh-CN"/>
        </w:rPr>
        <w:t>10cm</w:t>
      </w:r>
      <w:r>
        <w:rPr>
          <w:rFonts w:ascii="Times New Roman" w:eastAsia="宋体" w:hAnsi="Times New Roman" w:cs="宋体" w:hint="eastAsia"/>
          <w:color w:val="auto"/>
          <w:sz w:val="24"/>
          <w:szCs w:val="24"/>
          <w:lang w:eastAsia="zh-CN"/>
        </w:rPr>
        <w:t>处取出土样，进行盐分测定</w:t>
      </w:r>
    </w:p>
    <w:p w14:paraId="1852A82B"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）大型底栖动物</w:t>
      </w:r>
    </w:p>
    <w:p w14:paraId="360A26F4"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在红树林样地内采用</w:t>
      </w:r>
      <w:r>
        <w:rPr>
          <w:rFonts w:ascii="Times New Roman" w:eastAsia="宋体" w:hAnsi="Times New Roman" w:cs="宋体" w:hint="eastAsia"/>
          <w:color w:val="auto"/>
          <w:sz w:val="24"/>
          <w:szCs w:val="24"/>
          <w:lang w:eastAsia="zh-CN"/>
        </w:rPr>
        <w:t>0.25cm</w:t>
      </w:r>
      <w:r>
        <w:rPr>
          <w:rFonts w:eastAsia="宋体"/>
          <w:color w:val="auto"/>
          <w:sz w:val="24"/>
          <w:szCs w:val="24"/>
          <w:lang w:eastAsia="zh-CN"/>
        </w:rPr>
        <w:t>×</w:t>
      </w:r>
      <w:r>
        <w:rPr>
          <w:rFonts w:ascii="Times New Roman" w:eastAsia="宋体" w:hAnsi="Times New Roman" w:cs="宋体" w:hint="eastAsia"/>
          <w:color w:val="auto"/>
          <w:sz w:val="24"/>
          <w:szCs w:val="24"/>
          <w:lang w:eastAsia="zh-CN"/>
        </w:rPr>
        <w:t>0.25cm</w:t>
      </w:r>
      <w:r>
        <w:rPr>
          <w:rFonts w:ascii="Times New Roman" w:eastAsia="宋体" w:hAnsi="Times New Roman" w:cs="宋体" w:hint="eastAsia"/>
          <w:color w:val="auto"/>
          <w:sz w:val="24"/>
          <w:szCs w:val="24"/>
          <w:lang w:eastAsia="zh-CN"/>
        </w:rPr>
        <w:t>采集底栖动物样品</w:t>
      </w: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8</w:t>
      </w:r>
      <w:r>
        <w:rPr>
          <w:rFonts w:ascii="Times New Roman" w:eastAsia="宋体" w:hAnsi="Times New Roman" w:cs="宋体" w:hint="eastAsia"/>
          <w:color w:val="auto"/>
          <w:sz w:val="24"/>
          <w:szCs w:val="24"/>
          <w:lang w:eastAsia="zh-CN"/>
        </w:rPr>
        <w:t>次进行分析。</w:t>
      </w:r>
    </w:p>
    <w:p w14:paraId="3E85345C"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监测时间与频次</w:t>
      </w:r>
    </w:p>
    <w:p w14:paraId="17367F79"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确定好监测区域、样地及站位，在红树林种植后</w:t>
      </w: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个月内，每月对红树林湿地的幼苗成活率进行监测，同时监测外来植物扩散情况。红树林生态系统总体情况、沉积物、植被、每年至少开展一次调查；气象和大气环境实时监测；生物群落、水文水质等监测，宜每年按照</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5</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8</w:t>
      </w:r>
      <w:r>
        <w:rPr>
          <w:rFonts w:ascii="Times New Roman" w:eastAsia="宋体" w:hAnsi="Times New Roman" w:cs="宋体" w:hint="eastAsia"/>
          <w:color w:val="auto"/>
          <w:sz w:val="24"/>
          <w:szCs w:val="24"/>
          <w:lang w:eastAsia="zh-CN"/>
        </w:rPr>
        <w:t>月、</w:t>
      </w:r>
      <w:r>
        <w:rPr>
          <w:rFonts w:ascii="Times New Roman" w:eastAsia="宋体" w:hAnsi="Times New Roman" w:cs="宋体" w:hint="eastAsia"/>
          <w:color w:val="auto"/>
          <w:sz w:val="24"/>
          <w:szCs w:val="24"/>
          <w:lang w:eastAsia="zh-CN"/>
        </w:rPr>
        <w:t>11</w:t>
      </w:r>
      <w:r>
        <w:rPr>
          <w:rFonts w:ascii="Times New Roman" w:eastAsia="宋体" w:hAnsi="Times New Roman" w:cs="宋体" w:hint="eastAsia"/>
          <w:color w:val="auto"/>
          <w:sz w:val="24"/>
          <w:szCs w:val="24"/>
          <w:lang w:eastAsia="zh-CN"/>
        </w:rPr>
        <w:t>月分别代表春夏秋冬四个季节进行</w:t>
      </w:r>
      <w:r>
        <w:rPr>
          <w:rFonts w:ascii="Times New Roman" w:eastAsia="宋体" w:hAnsi="Times New Roman" w:cs="宋体" w:hint="eastAsia"/>
          <w:color w:val="auto"/>
          <w:sz w:val="24"/>
          <w:szCs w:val="24"/>
          <w:lang w:eastAsia="zh-CN"/>
        </w:rPr>
        <w:t>4</w:t>
      </w:r>
      <w:r>
        <w:rPr>
          <w:rFonts w:ascii="Times New Roman" w:eastAsia="宋体" w:hAnsi="Times New Roman" w:cs="宋体" w:hint="eastAsia"/>
          <w:color w:val="auto"/>
          <w:sz w:val="24"/>
          <w:szCs w:val="24"/>
          <w:lang w:eastAsia="zh-CN"/>
        </w:rPr>
        <w:t>次调查，年季之间同一季节的监测时间应固定不变，监测时间相差最多不能超过</w:t>
      </w:r>
      <w:r>
        <w:rPr>
          <w:rFonts w:ascii="Times New Roman" w:eastAsia="宋体" w:hAnsi="Times New Roman" w:cs="宋体" w:hint="eastAsia"/>
          <w:color w:val="auto"/>
          <w:sz w:val="24"/>
          <w:szCs w:val="24"/>
          <w:lang w:eastAsia="zh-CN"/>
        </w:rPr>
        <w:t>15</w:t>
      </w:r>
      <w:r>
        <w:rPr>
          <w:rFonts w:ascii="Times New Roman" w:eastAsia="宋体" w:hAnsi="Times New Roman" w:cs="宋体" w:hint="eastAsia"/>
          <w:color w:val="auto"/>
          <w:sz w:val="24"/>
          <w:szCs w:val="24"/>
          <w:lang w:eastAsia="zh-CN"/>
        </w:rPr>
        <w:t>天。</w:t>
      </w:r>
    </w:p>
    <w:p w14:paraId="20C4F477"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其中，水文水质和底栖生物监测频率一年四次、沉积物监测频率一年一次，红树林监测频率一年一次，气象监测连续观测。</w:t>
      </w:r>
    </w:p>
    <w:p w14:paraId="3EE332DA" w14:textId="77777777" w:rsidR="0075791A" w:rsidRDefault="00FB2864">
      <w:pPr>
        <w:jc w:val="center"/>
        <w:rPr>
          <w:color w:val="auto"/>
        </w:rPr>
      </w:pPr>
      <w:r>
        <w:rPr>
          <w:noProof/>
          <w:color w:val="auto"/>
        </w:rPr>
        <w:drawing>
          <wp:inline distT="0" distB="0" distL="114300" distR="114300" wp14:anchorId="28F93499" wp14:editId="7B63AD11">
            <wp:extent cx="5434330" cy="3023870"/>
            <wp:effectExtent l="0" t="0" r="6350" b="8890"/>
            <wp:docPr id="34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106"/>
                    <pic:cNvPicPr>
                      <a:picLocks noChangeAspect="1"/>
                    </pic:cNvPicPr>
                  </pic:nvPicPr>
                  <pic:blipFill>
                    <a:blip r:embed="rId305"/>
                    <a:stretch>
                      <a:fillRect/>
                    </a:stretch>
                  </pic:blipFill>
                  <pic:spPr>
                    <a:xfrm>
                      <a:off x="0" y="0"/>
                      <a:ext cx="5434330" cy="3023870"/>
                    </a:xfrm>
                    <a:prstGeom prst="rect">
                      <a:avLst/>
                    </a:prstGeom>
                    <a:noFill/>
                    <a:ln>
                      <a:noFill/>
                    </a:ln>
                  </pic:spPr>
                </pic:pic>
              </a:graphicData>
            </a:graphic>
          </wp:inline>
        </w:drawing>
      </w:r>
    </w:p>
    <w:p w14:paraId="2D22A2D3" w14:textId="77777777" w:rsidR="0075791A" w:rsidRDefault="00FB2864">
      <w:pPr>
        <w:jc w:val="center"/>
        <w:rPr>
          <w:color w:val="auto"/>
          <w:lang w:eastAsia="zh-CN"/>
        </w:rPr>
      </w:pPr>
      <w:r>
        <w:rPr>
          <w:rFonts w:ascii="宋体" w:eastAsia="宋体" w:hAnsi="宋体" w:cs="宋体" w:hint="eastAsia"/>
          <w:color w:val="auto"/>
          <w:sz w:val="24"/>
          <w:szCs w:val="24"/>
          <w:lang w:eastAsia="zh-CN"/>
        </w:rPr>
        <w:t>图</w:t>
      </w:r>
      <w:r>
        <w:rPr>
          <w:rFonts w:ascii="宋体" w:eastAsia="宋体" w:hAnsi="宋体" w:cs="宋体" w:hint="eastAsia"/>
          <w:color w:val="auto"/>
          <w:spacing w:val="-3"/>
          <w:sz w:val="24"/>
          <w:szCs w:val="24"/>
          <w:lang w:eastAsia="zh-CN"/>
        </w:rPr>
        <w:t>8.2.2</w:t>
      </w:r>
      <w:r>
        <w:rPr>
          <w:rFonts w:ascii="宋体" w:eastAsia="宋体" w:hAnsi="宋体" w:cs="宋体" w:hint="eastAsia"/>
          <w:color w:val="auto"/>
          <w:sz w:val="24"/>
          <w:szCs w:val="24"/>
          <w:lang w:eastAsia="zh-CN"/>
        </w:rPr>
        <w:t>-</w:t>
      </w:r>
      <w:r>
        <w:rPr>
          <w:rFonts w:ascii="宋体" w:eastAsia="宋体" w:hAnsi="宋体" w:cs="宋体" w:hint="eastAsia"/>
          <w:color w:val="auto"/>
          <w:sz w:val="24"/>
          <w:szCs w:val="24"/>
          <w:lang w:eastAsia="zh-CN"/>
        </w:rPr>
        <w:t xml:space="preserve">2 </w:t>
      </w:r>
      <w:r>
        <w:rPr>
          <w:rFonts w:ascii="宋体" w:eastAsia="宋体" w:hAnsi="宋体" w:cs="宋体" w:hint="eastAsia"/>
          <w:color w:val="auto"/>
          <w:sz w:val="24"/>
          <w:szCs w:val="24"/>
          <w:lang w:eastAsia="zh-CN"/>
        </w:rPr>
        <w:t>红树林及鸟类跟踪监测站位图</w:t>
      </w:r>
    </w:p>
    <w:p w14:paraId="24CD3306" w14:textId="77777777" w:rsidR="0075791A" w:rsidRDefault="0075791A">
      <w:pPr>
        <w:spacing w:line="360" w:lineRule="auto"/>
        <w:jc w:val="both"/>
        <w:rPr>
          <w:color w:val="auto"/>
          <w:lang w:eastAsia="zh-CN"/>
        </w:rPr>
      </w:pPr>
    </w:p>
    <w:p w14:paraId="6F2B33C2" w14:textId="77777777" w:rsidR="0075791A" w:rsidRDefault="00FB2864">
      <w:pPr>
        <w:spacing w:line="360" w:lineRule="auto"/>
        <w:ind w:firstLineChars="200" w:firstLine="482"/>
        <w:jc w:val="both"/>
        <w:rPr>
          <w:rFonts w:ascii="Times New Roman" w:eastAsia="宋体" w:hAnsi="Times New Roman" w:cs="宋体"/>
          <w:b/>
          <w:bCs/>
          <w:color w:val="auto"/>
          <w:sz w:val="24"/>
          <w:szCs w:val="24"/>
          <w:lang w:eastAsia="zh-CN"/>
        </w:rPr>
      </w:pPr>
      <w:r>
        <w:rPr>
          <w:rFonts w:ascii="Times New Roman" w:eastAsia="宋体" w:hAnsi="Times New Roman" w:cs="宋体" w:hint="eastAsia"/>
          <w:b/>
          <w:bCs/>
          <w:color w:val="auto"/>
          <w:sz w:val="24"/>
          <w:szCs w:val="24"/>
          <w:lang w:eastAsia="zh-CN"/>
        </w:rPr>
        <w:t>（</w:t>
      </w:r>
      <w:r>
        <w:rPr>
          <w:rFonts w:ascii="Times New Roman" w:eastAsia="宋体" w:hAnsi="Times New Roman" w:cs="宋体" w:hint="eastAsia"/>
          <w:b/>
          <w:bCs/>
          <w:color w:val="auto"/>
          <w:sz w:val="24"/>
          <w:szCs w:val="24"/>
          <w:lang w:eastAsia="zh-CN"/>
        </w:rPr>
        <w:t>6</w:t>
      </w:r>
      <w:r>
        <w:rPr>
          <w:rFonts w:ascii="Times New Roman" w:eastAsia="宋体" w:hAnsi="Times New Roman" w:cs="宋体" w:hint="eastAsia"/>
          <w:b/>
          <w:bCs/>
          <w:color w:val="auto"/>
          <w:sz w:val="24"/>
          <w:szCs w:val="24"/>
          <w:lang w:eastAsia="zh-CN"/>
        </w:rPr>
        <w:t>）鸟类监测</w:t>
      </w:r>
    </w:p>
    <w:p w14:paraId="676D9DB9" w14:textId="77777777" w:rsidR="0075791A" w:rsidRDefault="00FB2864">
      <w:pPr>
        <w:spacing w:line="360" w:lineRule="auto"/>
        <w:ind w:firstLineChars="200" w:firstLine="480"/>
        <w:jc w:val="both"/>
        <w:rPr>
          <w:rFonts w:ascii="Times New Roman" w:eastAsia="宋体" w:hAnsi="Times New Roman" w:cs="宋体"/>
          <w:color w:val="auto"/>
          <w:sz w:val="24"/>
          <w:szCs w:val="24"/>
          <w:lang w:val="zh-CN" w:eastAsia="zh-CN"/>
        </w:rPr>
      </w:pPr>
      <w:r>
        <w:rPr>
          <w:rFonts w:ascii="Times New Roman" w:eastAsia="宋体" w:hAnsi="Times New Roman" w:cs="宋体" w:hint="eastAsia"/>
          <w:color w:val="auto"/>
          <w:sz w:val="24"/>
          <w:szCs w:val="24"/>
          <w:lang w:val="zh-CN" w:eastAsia="zh-CN"/>
        </w:rPr>
        <w:t>对鸟类生境进行营造后，在目标鸟类鹭类与雁鸭类喜爱的生境中，设置鸟类多样性监测设备</w:t>
      </w: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val="zh-CN" w:eastAsia="zh-CN"/>
        </w:rPr>
        <w:t>套，在鸟类活动栖息地</w:t>
      </w:r>
      <w:r>
        <w:rPr>
          <w:rFonts w:ascii="Times New Roman" w:eastAsia="宋体" w:hAnsi="Times New Roman" w:cs="宋体"/>
          <w:color w:val="auto"/>
          <w:sz w:val="24"/>
          <w:szCs w:val="24"/>
          <w:lang w:eastAsia="zh-CN"/>
        </w:rPr>
        <w:t>通过高清摄像机、红外相机、声纹信息采集设备等对</w:t>
      </w:r>
      <w:r>
        <w:rPr>
          <w:rFonts w:ascii="Times New Roman" w:eastAsia="宋体" w:hAnsi="Times New Roman" w:cs="宋体"/>
          <w:color w:val="auto"/>
          <w:sz w:val="24"/>
          <w:szCs w:val="24"/>
          <w:lang w:eastAsia="zh-CN"/>
        </w:rPr>
        <w:lastRenderedPageBreak/>
        <w:t>鸟类进行自动巡航监测</w:t>
      </w:r>
      <w:r>
        <w:rPr>
          <w:rFonts w:ascii="Times New Roman" w:eastAsia="宋体" w:hAnsi="Times New Roman" w:cs="宋体" w:hint="eastAsia"/>
          <w:color w:val="auto"/>
          <w:sz w:val="24"/>
          <w:szCs w:val="24"/>
          <w:lang w:val="zh-CN" w:eastAsia="zh-CN"/>
        </w:rPr>
        <w:t>，</w:t>
      </w:r>
      <w:r>
        <w:rPr>
          <w:rFonts w:ascii="Times New Roman" w:eastAsia="宋体" w:hAnsi="Times New Roman" w:cs="宋体" w:hint="eastAsia"/>
          <w:color w:val="auto"/>
          <w:sz w:val="24"/>
          <w:szCs w:val="24"/>
          <w:lang w:eastAsia="zh-CN"/>
        </w:rPr>
        <w:t>提取鸟类体貌特征，与后端</w:t>
      </w:r>
      <w:r>
        <w:rPr>
          <w:rFonts w:ascii="Times New Roman" w:eastAsia="宋体" w:hAnsi="Times New Roman" w:cs="宋体" w:hint="eastAsia"/>
          <w:color w:val="auto"/>
          <w:sz w:val="24"/>
          <w:szCs w:val="24"/>
          <w:lang w:eastAsia="zh-CN"/>
        </w:rPr>
        <w:t>AI</w:t>
      </w:r>
      <w:r>
        <w:rPr>
          <w:rFonts w:ascii="Times New Roman" w:eastAsia="宋体" w:hAnsi="Times New Roman" w:cs="宋体" w:hint="eastAsia"/>
          <w:color w:val="auto"/>
          <w:sz w:val="24"/>
          <w:szCs w:val="24"/>
          <w:lang w:eastAsia="zh-CN"/>
        </w:rPr>
        <w:t>算法模型匹配，再通过逻辑判断，实现对视频画面中的运动鸟类进行多目标实时捕捉和</w:t>
      </w:r>
      <w:r>
        <w:rPr>
          <w:rFonts w:ascii="Times New Roman" w:eastAsia="宋体" w:hAnsi="Times New Roman" w:cs="宋体" w:hint="eastAsia"/>
          <w:color w:val="auto"/>
          <w:sz w:val="24"/>
          <w:szCs w:val="24"/>
          <w:lang w:eastAsia="zh-CN"/>
        </w:rPr>
        <w:t>AI</w:t>
      </w:r>
      <w:r>
        <w:rPr>
          <w:rFonts w:ascii="Times New Roman" w:eastAsia="宋体" w:hAnsi="Times New Roman" w:cs="宋体" w:hint="eastAsia"/>
          <w:color w:val="auto"/>
          <w:sz w:val="24"/>
          <w:szCs w:val="24"/>
          <w:lang w:eastAsia="zh-CN"/>
        </w:rPr>
        <w:t>识别统计</w:t>
      </w:r>
      <w:r>
        <w:rPr>
          <w:rFonts w:ascii="Times New Roman" w:eastAsia="宋体" w:hAnsi="Times New Roman" w:cs="宋体" w:hint="eastAsia"/>
          <w:color w:val="auto"/>
          <w:sz w:val="24"/>
          <w:szCs w:val="24"/>
          <w:lang w:val="zh-CN" w:eastAsia="zh-CN"/>
        </w:rPr>
        <w:t>。</w:t>
      </w:r>
    </w:p>
    <w:p w14:paraId="7348B2F9"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1.</w:t>
      </w:r>
      <w:r>
        <w:rPr>
          <w:rFonts w:ascii="Times New Roman" w:eastAsia="宋体" w:hAnsi="Times New Roman" w:cs="宋体" w:hint="eastAsia"/>
          <w:color w:val="auto"/>
          <w:sz w:val="24"/>
          <w:szCs w:val="24"/>
          <w:lang w:eastAsia="zh-CN"/>
        </w:rPr>
        <w:t>鸟类多样性监测方法</w:t>
      </w:r>
    </w:p>
    <w:p w14:paraId="4706E275"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安置红外相机前，应调查鸟类的活动区域和日常活动路线。尽量将相机安置在目标动物经常出没的通道上或其活动痕迹密集处。水源附近往往是动物活动频繁的区域，其他如取食点、求偶场、倒木、林间道路等也是鸟类经常活动的地点，应优先考虑。</w:t>
      </w:r>
    </w:p>
    <w:p w14:paraId="6E2A80D6" w14:textId="77777777" w:rsidR="0075791A" w:rsidRDefault="00FB2864">
      <w:pPr>
        <w:spacing w:line="360" w:lineRule="auto"/>
        <w:ind w:firstLineChars="200" w:firstLine="480"/>
        <w:jc w:val="both"/>
        <w:rPr>
          <w:rFonts w:ascii="Times New Roman" w:eastAsia="宋体" w:hAnsi="Times New Roman" w:cs="宋体"/>
          <w:color w:val="auto"/>
          <w:sz w:val="24"/>
          <w:szCs w:val="24"/>
          <w:lang w:val="zh-CN" w:eastAsia="zh-CN"/>
        </w:rPr>
      </w:pPr>
      <w:r>
        <w:rPr>
          <w:rFonts w:ascii="Times New Roman" w:eastAsia="宋体" w:hAnsi="Times New Roman" w:cs="宋体" w:hint="eastAsia"/>
          <w:color w:val="auto"/>
          <w:sz w:val="24"/>
          <w:szCs w:val="24"/>
          <w:lang w:eastAsia="zh-CN"/>
        </w:rPr>
        <w:t>采用分层抽样法或系统抽样法设置观测样点。分层抽样法中，观测样点应涵盖观测样地内不同的生境类型，每种生境类型设置</w:t>
      </w:r>
      <w:r>
        <w:rPr>
          <w:rFonts w:ascii="Times New Roman" w:eastAsia="宋体" w:hAnsi="Times New Roman" w:cs="宋体"/>
          <w:color w:val="auto"/>
          <w:sz w:val="24"/>
          <w:szCs w:val="24"/>
          <w:lang w:eastAsia="zh-CN"/>
        </w:rPr>
        <w:t>7</w:t>
      </w:r>
      <w:r>
        <w:rPr>
          <w:rFonts w:ascii="Times New Roman" w:eastAsia="宋体" w:hAnsi="Times New Roman" w:cs="宋体" w:hint="eastAsia"/>
          <w:color w:val="auto"/>
          <w:sz w:val="24"/>
          <w:szCs w:val="24"/>
          <w:lang w:eastAsia="zh-CN"/>
        </w:rPr>
        <w:t>个以上样点（样点之间间距</w:t>
      </w:r>
      <w:r>
        <w:rPr>
          <w:rFonts w:ascii="Times New Roman" w:eastAsia="宋体" w:hAnsi="Times New Roman" w:cs="宋体" w:hint="eastAsia"/>
          <w:color w:val="auto"/>
          <w:sz w:val="24"/>
          <w:szCs w:val="24"/>
          <w:lang w:eastAsia="zh-CN"/>
        </w:rPr>
        <w:t xml:space="preserve"> </w:t>
      </w:r>
      <w:r>
        <w:rPr>
          <w:rFonts w:ascii="Times New Roman" w:eastAsia="宋体" w:hAnsi="Times New Roman" w:cs="宋体"/>
          <w:color w:val="auto"/>
          <w:sz w:val="24"/>
          <w:szCs w:val="24"/>
          <w:lang w:eastAsia="zh-CN"/>
        </w:rPr>
        <w:t xml:space="preserve">0.5 km </w:t>
      </w:r>
      <w:r>
        <w:rPr>
          <w:rFonts w:ascii="Times New Roman" w:eastAsia="宋体" w:hAnsi="Times New Roman" w:cs="宋体" w:hint="eastAsia"/>
          <w:color w:val="auto"/>
          <w:sz w:val="24"/>
          <w:szCs w:val="24"/>
          <w:lang w:eastAsia="zh-CN"/>
        </w:rPr>
        <w:t>以上）。系统抽样法中，在观测样地内按照固定间距设置观测样点，每</w:t>
      </w:r>
      <w:r>
        <w:rPr>
          <w:rFonts w:ascii="Times New Roman" w:eastAsia="宋体" w:hAnsi="Times New Roman" w:cs="宋体"/>
          <w:color w:val="auto"/>
          <w:sz w:val="24"/>
          <w:szCs w:val="24"/>
          <w:lang w:eastAsia="zh-CN"/>
        </w:rPr>
        <w:t>1km</w:t>
      </w:r>
      <w:r>
        <w:rPr>
          <w:rFonts w:ascii="Times New Roman" w:eastAsia="宋体" w:hAnsi="Times New Roman" w:cs="宋体"/>
          <w:color w:val="auto"/>
          <w:sz w:val="24"/>
          <w:szCs w:val="24"/>
          <w:vertAlign w:val="superscript"/>
          <w:lang w:eastAsia="zh-CN"/>
        </w:rPr>
        <w:t xml:space="preserve">2 </w:t>
      </w:r>
      <w:r>
        <w:rPr>
          <w:rFonts w:ascii="Times New Roman" w:eastAsia="宋体" w:hAnsi="Times New Roman" w:cs="宋体" w:hint="eastAsia"/>
          <w:color w:val="auto"/>
          <w:sz w:val="24"/>
          <w:szCs w:val="24"/>
          <w:lang w:eastAsia="zh-CN"/>
        </w:rPr>
        <w:t>至少设置</w:t>
      </w:r>
      <w:r>
        <w:rPr>
          <w:rFonts w:ascii="Times New Roman" w:eastAsia="宋体" w:hAnsi="Times New Roman" w:cs="宋体"/>
          <w:color w:val="auto"/>
          <w:sz w:val="24"/>
          <w:szCs w:val="24"/>
          <w:lang w:eastAsia="zh-CN"/>
        </w:rPr>
        <w:t>1</w:t>
      </w:r>
      <w:r>
        <w:rPr>
          <w:rFonts w:ascii="Times New Roman" w:eastAsia="宋体" w:hAnsi="Times New Roman" w:cs="宋体" w:hint="eastAsia"/>
          <w:color w:val="auto"/>
          <w:sz w:val="24"/>
          <w:szCs w:val="24"/>
          <w:lang w:eastAsia="zh-CN"/>
        </w:rPr>
        <w:t>个观测样点，并用</w:t>
      </w:r>
      <w:r>
        <w:rPr>
          <w:rFonts w:ascii="Times New Roman" w:eastAsia="宋体" w:hAnsi="Times New Roman" w:cs="宋体"/>
          <w:color w:val="auto"/>
          <w:sz w:val="24"/>
          <w:szCs w:val="24"/>
          <w:lang w:eastAsia="zh-CN"/>
        </w:rPr>
        <w:t>GPS</w:t>
      </w:r>
      <w:r>
        <w:rPr>
          <w:rFonts w:ascii="Times New Roman" w:eastAsia="宋体" w:hAnsi="Times New Roman" w:cs="宋体" w:hint="eastAsia"/>
          <w:color w:val="auto"/>
          <w:sz w:val="24"/>
          <w:szCs w:val="24"/>
          <w:lang w:eastAsia="zh-CN"/>
        </w:rPr>
        <w:t>定位仪定位。每个样点于树干、树桩或岩石上装设</w:t>
      </w:r>
      <w:r>
        <w:rPr>
          <w:rFonts w:ascii="Times New Roman" w:eastAsia="宋体" w:hAnsi="Times New Roman" w:cs="宋体"/>
          <w:color w:val="auto"/>
          <w:sz w:val="24"/>
          <w:szCs w:val="24"/>
          <w:lang w:eastAsia="zh-CN"/>
        </w:rPr>
        <w:t>1</w:t>
      </w:r>
      <w:r>
        <w:rPr>
          <w:rFonts w:ascii="Times New Roman" w:eastAsia="宋体" w:hAnsi="Times New Roman" w:cs="宋体" w:hint="eastAsia"/>
          <w:color w:val="auto"/>
          <w:sz w:val="24"/>
          <w:szCs w:val="24"/>
          <w:lang w:eastAsia="zh-CN"/>
        </w:rPr>
        <w:t>或</w:t>
      </w:r>
      <w:r>
        <w:rPr>
          <w:rFonts w:ascii="Times New Roman" w:eastAsia="宋体" w:hAnsi="Times New Roman" w:cs="宋体"/>
          <w:color w:val="auto"/>
          <w:sz w:val="24"/>
          <w:szCs w:val="24"/>
          <w:lang w:eastAsia="zh-CN"/>
        </w:rPr>
        <w:t>2</w:t>
      </w:r>
      <w:r>
        <w:rPr>
          <w:rFonts w:ascii="Times New Roman" w:eastAsia="宋体" w:hAnsi="Times New Roman" w:cs="宋体" w:hint="eastAsia"/>
          <w:color w:val="auto"/>
          <w:sz w:val="24"/>
          <w:szCs w:val="24"/>
          <w:lang w:eastAsia="zh-CN"/>
        </w:rPr>
        <w:t>台红外感应自动相机。相机架设位置一般距离地面</w:t>
      </w:r>
      <w:r>
        <w:rPr>
          <w:rFonts w:ascii="Times New Roman" w:eastAsia="宋体" w:hAnsi="Times New Roman" w:cs="宋体"/>
          <w:color w:val="auto"/>
          <w:sz w:val="24"/>
          <w:szCs w:val="24"/>
          <w:lang w:eastAsia="zh-CN"/>
        </w:rPr>
        <w:t>0.3</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1.0m</w:t>
      </w:r>
      <w:r>
        <w:rPr>
          <w:rFonts w:ascii="Times New Roman" w:eastAsia="宋体" w:hAnsi="Times New Roman" w:cs="宋体" w:hint="eastAsia"/>
          <w:color w:val="auto"/>
          <w:sz w:val="24"/>
          <w:szCs w:val="24"/>
          <w:lang w:eastAsia="zh-CN"/>
        </w:rPr>
        <w:t>，架设方向尽量不朝东方太阳直射处。相机镜头与地面大致平行，略向下倾，一般与鸟类活动路径呈锐角夹角，并清理相机前的空间，减少对照片成像质量的干扰。每一个样点应该至少收集</w:t>
      </w:r>
      <w:r>
        <w:rPr>
          <w:rFonts w:ascii="Times New Roman" w:eastAsia="宋体" w:hAnsi="Times New Roman" w:cs="宋体"/>
          <w:color w:val="auto"/>
          <w:sz w:val="24"/>
          <w:szCs w:val="24"/>
          <w:lang w:eastAsia="zh-CN"/>
        </w:rPr>
        <w:t>1000</w:t>
      </w:r>
      <w:r>
        <w:rPr>
          <w:rFonts w:ascii="Times New Roman" w:eastAsia="宋体" w:hAnsi="Times New Roman" w:cs="宋体" w:hint="eastAsia"/>
          <w:color w:val="auto"/>
          <w:sz w:val="24"/>
          <w:szCs w:val="24"/>
          <w:lang w:eastAsia="zh-CN"/>
        </w:rPr>
        <w:t>个相机工作小时的数据。在夏季每个样点需至少连续工作</w:t>
      </w:r>
      <w:r>
        <w:rPr>
          <w:rFonts w:ascii="Times New Roman" w:eastAsia="宋体" w:hAnsi="Times New Roman" w:cs="宋体"/>
          <w:color w:val="auto"/>
          <w:sz w:val="24"/>
          <w:szCs w:val="24"/>
          <w:lang w:eastAsia="zh-CN"/>
        </w:rPr>
        <w:t>30d</w:t>
      </w:r>
      <w:r>
        <w:rPr>
          <w:rFonts w:ascii="Times New Roman" w:eastAsia="宋体" w:hAnsi="Times New Roman" w:cs="宋体" w:hint="eastAsia"/>
          <w:color w:val="auto"/>
          <w:sz w:val="24"/>
          <w:szCs w:val="24"/>
          <w:lang w:eastAsia="zh-CN"/>
        </w:rPr>
        <w:t>，以完成一个观测周期。</w:t>
      </w:r>
    </w:p>
    <w:p w14:paraId="6F9D85E1" w14:textId="77777777" w:rsidR="0075791A" w:rsidRDefault="00FB2864">
      <w:pPr>
        <w:spacing w:line="360" w:lineRule="auto"/>
        <w:ind w:firstLineChars="200" w:firstLine="480"/>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val="zh-CN" w:eastAsia="zh-CN"/>
        </w:rPr>
        <w:t>表</w:t>
      </w:r>
      <w:r>
        <w:rPr>
          <w:rFonts w:ascii="宋体" w:eastAsia="宋体" w:hAnsi="宋体" w:cs="宋体" w:hint="eastAsia"/>
          <w:color w:val="auto"/>
          <w:sz w:val="24"/>
          <w:szCs w:val="24"/>
          <w:lang w:eastAsia="zh-CN"/>
        </w:rPr>
        <w:t>8.2.2-3</w:t>
      </w:r>
      <w:r>
        <w:rPr>
          <w:rFonts w:ascii="宋体" w:eastAsia="宋体" w:hAnsi="宋体" w:cs="宋体" w:hint="eastAsia"/>
          <w:color w:val="auto"/>
          <w:sz w:val="24"/>
          <w:szCs w:val="24"/>
          <w:lang w:eastAsia="zh-CN"/>
        </w:rPr>
        <w:t>鸟类观测内容和指标表</w:t>
      </w:r>
    </w:p>
    <w:tbl>
      <w:tblPr>
        <w:tblStyle w:val="ad"/>
        <w:tblW w:w="5000" w:type="pct"/>
        <w:jc w:val="center"/>
        <w:tblLook w:val="04A0" w:firstRow="1" w:lastRow="0" w:firstColumn="1" w:lastColumn="0" w:noHBand="0" w:noVBand="1"/>
      </w:tblPr>
      <w:tblGrid>
        <w:gridCol w:w="2861"/>
        <w:gridCol w:w="3909"/>
        <w:gridCol w:w="2602"/>
      </w:tblGrid>
      <w:tr w:rsidR="0075791A" w14:paraId="56A86B28" w14:textId="77777777">
        <w:trPr>
          <w:jc w:val="center"/>
        </w:trPr>
        <w:tc>
          <w:tcPr>
            <w:tcW w:w="1526" w:type="pct"/>
          </w:tcPr>
          <w:p w14:paraId="0925F790"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观测内容</w:t>
            </w:r>
          </w:p>
        </w:tc>
        <w:tc>
          <w:tcPr>
            <w:tcW w:w="2085" w:type="pct"/>
          </w:tcPr>
          <w:p w14:paraId="1096F54E"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观测指标</w:t>
            </w:r>
          </w:p>
        </w:tc>
        <w:tc>
          <w:tcPr>
            <w:tcW w:w="1387" w:type="pct"/>
          </w:tcPr>
          <w:p w14:paraId="0A4D6856"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调查方法</w:t>
            </w:r>
          </w:p>
        </w:tc>
      </w:tr>
      <w:tr w:rsidR="0075791A" w14:paraId="5D315251" w14:textId="77777777">
        <w:trPr>
          <w:jc w:val="center"/>
        </w:trPr>
        <w:tc>
          <w:tcPr>
            <w:tcW w:w="1526" w:type="pct"/>
            <w:vMerge w:val="restart"/>
          </w:tcPr>
          <w:p w14:paraId="1623B50D"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种群结构</w:t>
            </w:r>
          </w:p>
        </w:tc>
        <w:tc>
          <w:tcPr>
            <w:tcW w:w="2085" w:type="pct"/>
          </w:tcPr>
          <w:p w14:paraId="72E56D31"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种类</w:t>
            </w:r>
          </w:p>
        </w:tc>
        <w:tc>
          <w:tcPr>
            <w:tcW w:w="1387" w:type="pct"/>
          </w:tcPr>
          <w:p w14:paraId="669AD6DA"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野外调查</w:t>
            </w:r>
          </w:p>
        </w:tc>
      </w:tr>
      <w:tr w:rsidR="0075791A" w14:paraId="0D504753" w14:textId="77777777">
        <w:trPr>
          <w:jc w:val="center"/>
        </w:trPr>
        <w:tc>
          <w:tcPr>
            <w:tcW w:w="1526" w:type="pct"/>
            <w:vMerge/>
          </w:tcPr>
          <w:p w14:paraId="482FE78F" w14:textId="77777777" w:rsidR="0075791A" w:rsidRDefault="0075791A">
            <w:pPr>
              <w:widowControl/>
              <w:jc w:val="center"/>
              <w:rPr>
                <w:rFonts w:ascii="宋体" w:eastAsia="宋体" w:hAnsi="宋体" w:cs="宋体"/>
                <w:color w:val="auto"/>
                <w:sz w:val="24"/>
                <w:szCs w:val="24"/>
                <w:lang w:eastAsia="zh-CN"/>
              </w:rPr>
            </w:pPr>
          </w:p>
        </w:tc>
        <w:tc>
          <w:tcPr>
            <w:tcW w:w="2085" w:type="pct"/>
          </w:tcPr>
          <w:p w14:paraId="70D335A2"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雌雄比</w:t>
            </w:r>
          </w:p>
        </w:tc>
        <w:tc>
          <w:tcPr>
            <w:tcW w:w="1387" w:type="pct"/>
          </w:tcPr>
          <w:p w14:paraId="71BD7C23"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野外调查</w:t>
            </w:r>
          </w:p>
        </w:tc>
      </w:tr>
      <w:tr w:rsidR="0075791A" w14:paraId="6D09F40B" w14:textId="77777777">
        <w:trPr>
          <w:jc w:val="center"/>
        </w:trPr>
        <w:tc>
          <w:tcPr>
            <w:tcW w:w="1526" w:type="pct"/>
            <w:vMerge/>
          </w:tcPr>
          <w:p w14:paraId="5BCCF153" w14:textId="77777777" w:rsidR="0075791A" w:rsidRDefault="0075791A">
            <w:pPr>
              <w:widowControl/>
              <w:jc w:val="center"/>
              <w:rPr>
                <w:rFonts w:ascii="宋体" w:eastAsia="宋体" w:hAnsi="宋体" w:cs="宋体"/>
                <w:color w:val="auto"/>
                <w:sz w:val="24"/>
                <w:szCs w:val="24"/>
                <w:lang w:eastAsia="zh-CN"/>
              </w:rPr>
            </w:pPr>
          </w:p>
        </w:tc>
        <w:tc>
          <w:tcPr>
            <w:tcW w:w="2085" w:type="pct"/>
          </w:tcPr>
          <w:p w14:paraId="6052E381"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成幼比</w:t>
            </w:r>
          </w:p>
        </w:tc>
        <w:tc>
          <w:tcPr>
            <w:tcW w:w="1387" w:type="pct"/>
          </w:tcPr>
          <w:p w14:paraId="66EEAA59"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野外调查</w:t>
            </w:r>
          </w:p>
        </w:tc>
      </w:tr>
      <w:tr w:rsidR="0075791A" w14:paraId="355E2ABC" w14:textId="77777777">
        <w:trPr>
          <w:jc w:val="center"/>
        </w:trPr>
        <w:tc>
          <w:tcPr>
            <w:tcW w:w="1526" w:type="pct"/>
            <w:vMerge/>
          </w:tcPr>
          <w:p w14:paraId="31E4306D" w14:textId="77777777" w:rsidR="0075791A" w:rsidRDefault="0075791A">
            <w:pPr>
              <w:widowControl/>
              <w:jc w:val="center"/>
              <w:rPr>
                <w:rFonts w:ascii="宋体" w:eastAsia="宋体" w:hAnsi="宋体" w:cs="宋体"/>
                <w:color w:val="auto"/>
                <w:sz w:val="24"/>
                <w:szCs w:val="24"/>
                <w:lang w:eastAsia="zh-CN"/>
              </w:rPr>
            </w:pPr>
          </w:p>
        </w:tc>
        <w:tc>
          <w:tcPr>
            <w:tcW w:w="2085" w:type="pct"/>
          </w:tcPr>
          <w:p w14:paraId="1A2284C4"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物种居留型</w:t>
            </w:r>
          </w:p>
        </w:tc>
        <w:tc>
          <w:tcPr>
            <w:tcW w:w="1387" w:type="pct"/>
          </w:tcPr>
          <w:p w14:paraId="394C0B66"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资料查阅和野外调查</w:t>
            </w:r>
          </w:p>
        </w:tc>
      </w:tr>
      <w:tr w:rsidR="0075791A" w14:paraId="47174311" w14:textId="77777777">
        <w:trPr>
          <w:jc w:val="center"/>
        </w:trPr>
        <w:tc>
          <w:tcPr>
            <w:tcW w:w="1526" w:type="pct"/>
            <w:vMerge w:val="restart"/>
          </w:tcPr>
          <w:p w14:paraId="789A509A"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鸟类多样性</w:t>
            </w:r>
          </w:p>
        </w:tc>
        <w:tc>
          <w:tcPr>
            <w:tcW w:w="2085" w:type="pct"/>
          </w:tcPr>
          <w:p w14:paraId="531309C6"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种类数量</w:t>
            </w:r>
          </w:p>
        </w:tc>
        <w:tc>
          <w:tcPr>
            <w:tcW w:w="1387" w:type="pct"/>
          </w:tcPr>
          <w:p w14:paraId="1C6AC514"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野外调查</w:t>
            </w:r>
          </w:p>
        </w:tc>
      </w:tr>
      <w:tr w:rsidR="0075791A" w14:paraId="71AC7C7E" w14:textId="77777777">
        <w:trPr>
          <w:jc w:val="center"/>
        </w:trPr>
        <w:tc>
          <w:tcPr>
            <w:tcW w:w="1526" w:type="pct"/>
            <w:vMerge/>
          </w:tcPr>
          <w:p w14:paraId="6274C2DC" w14:textId="77777777" w:rsidR="0075791A" w:rsidRDefault="0075791A">
            <w:pPr>
              <w:widowControl/>
              <w:jc w:val="center"/>
              <w:rPr>
                <w:rFonts w:ascii="宋体" w:eastAsia="宋体" w:hAnsi="宋体" w:cs="宋体"/>
                <w:color w:val="auto"/>
                <w:sz w:val="24"/>
                <w:szCs w:val="24"/>
                <w:lang w:eastAsia="zh-CN"/>
              </w:rPr>
            </w:pPr>
          </w:p>
        </w:tc>
        <w:tc>
          <w:tcPr>
            <w:tcW w:w="2085" w:type="pct"/>
          </w:tcPr>
          <w:p w14:paraId="34644A0A"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各物种种群数量</w:t>
            </w:r>
          </w:p>
        </w:tc>
        <w:tc>
          <w:tcPr>
            <w:tcW w:w="1387" w:type="pct"/>
          </w:tcPr>
          <w:p w14:paraId="06792C7D"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野外调查</w:t>
            </w:r>
          </w:p>
        </w:tc>
      </w:tr>
      <w:tr w:rsidR="0075791A" w14:paraId="66E51017" w14:textId="77777777">
        <w:trPr>
          <w:jc w:val="center"/>
        </w:trPr>
        <w:tc>
          <w:tcPr>
            <w:tcW w:w="1526" w:type="pct"/>
            <w:vMerge w:val="restart"/>
          </w:tcPr>
          <w:p w14:paraId="0130D9C0"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珍稀、濒危和特有物种</w:t>
            </w:r>
          </w:p>
        </w:tc>
        <w:tc>
          <w:tcPr>
            <w:tcW w:w="2085" w:type="pct"/>
          </w:tcPr>
          <w:p w14:paraId="4A1E447C"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珍稀、濒危和特有物种种类</w:t>
            </w:r>
          </w:p>
        </w:tc>
        <w:tc>
          <w:tcPr>
            <w:tcW w:w="1387" w:type="pct"/>
          </w:tcPr>
          <w:p w14:paraId="0636298F"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野外调查和访问调查</w:t>
            </w:r>
          </w:p>
        </w:tc>
      </w:tr>
      <w:tr w:rsidR="0075791A" w14:paraId="5A16AF07" w14:textId="77777777">
        <w:trPr>
          <w:jc w:val="center"/>
        </w:trPr>
        <w:tc>
          <w:tcPr>
            <w:tcW w:w="1526" w:type="pct"/>
            <w:vMerge/>
          </w:tcPr>
          <w:p w14:paraId="7CA72495" w14:textId="77777777" w:rsidR="0075791A" w:rsidRDefault="0075791A">
            <w:pPr>
              <w:widowControl/>
              <w:jc w:val="center"/>
              <w:rPr>
                <w:rFonts w:ascii="宋体" w:eastAsia="宋体" w:hAnsi="宋体" w:cs="宋体"/>
                <w:color w:val="auto"/>
                <w:sz w:val="24"/>
                <w:szCs w:val="24"/>
                <w:lang w:eastAsia="zh-CN"/>
              </w:rPr>
            </w:pPr>
          </w:p>
        </w:tc>
        <w:tc>
          <w:tcPr>
            <w:tcW w:w="2085" w:type="pct"/>
          </w:tcPr>
          <w:p w14:paraId="33336D5A"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珍稀、濒危和特有物种数量</w:t>
            </w:r>
          </w:p>
        </w:tc>
        <w:tc>
          <w:tcPr>
            <w:tcW w:w="1387" w:type="pct"/>
          </w:tcPr>
          <w:p w14:paraId="56F6EE09"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野外调查和访问调查</w:t>
            </w:r>
          </w:p>
        </w:tc>
      </w:tr>
      <w:tr w:rsidR="0075791A" w14:paraId="280118B6" w14:textId="77777777">
        <w:trPr>
          <w:jc w:val="center"/>
        </w:trPr>
        <w:tc>
          <w:tcPr>
            <w:tcW w:w="1526" w:type="pct"/>
            <w:vMerge/>
          </w:tcPr>
          <w:p w14:paraId="33457EA1" w14:textId="77777777" w:rsidR="0075791A" w:rsidRDefault="0075791A">
            <w:pPr>
              <w:widowControl/>
              <w:jc w:val="center"/>
              <w:rPr>
                <w:rFonts w:ascii="宋体" w:eastAsia="宋体" w:hAnsi="宋体" w:cs="宋体"/>
                <w:color w:val="auto"/>
                <w:sz w:val="24"/>
                <w:szCs w:val="24"/>
                <w:lang w:eastAsia="zh-CN"/>
              </w:rPr>
            </w:pPr>
          </w:p>
        </w:tc>
        <w:tc>
          <w:tcPr>
            <w:tcW w:w="2085" w:type="pct"/>
          </w:tcPr>
          <w:p w14:paraId="0C17AD39"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珍稀、濒危和特有物种生存情况</w:t>
            </w:r>
          </w:p>
        </w:tc>
        <w:tc>
          <w:tcPr>
            <w:tcW w:w="1387" w:type="pct"/>
          </w:tcPr>
          <w:p w14:paraId="035D292B"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野外调查和访问调查</w:t>
            </w:r>
          </w:p>
        </w:tc>
      </w:tr>
      <w:tr w:rsidR="0075791A" w14:paraId="6861A90F" w14:textId="77777777">
        <w:trPr>
          <w:jc w:val="center"/>
        </w:trPr>
        <w:tc>
          <w:tcPr>
            <w:tcW w:w="1526" w:type="pct"/>
            <w:vMerge/>
          </w:tcPr>
          <w:p w14:paraId="4D1DB989" w14:textId="77777777" w:rsidR="0075791A" w:rsidRDefault="0075791A">
            <w:pPr>
              <w:widowControl/>
              <w:jc w:val="center"/>
              <w:rPr>
                <w:rFonts w:ascii="宋体" w:eastAsia="宋体" w:hAnsi="宋体" w:cs="宋体"/>
                <w:color w:val="auto"/>
                <w:sz w:val="24"/>
                <w:szCs w:val="24"/>
                <w:lang w:eastAsia="zh-CN"/>
              </w:rPr>
            </w:pPr>
          </w:p>
        </w:tc>
        <w:tc>
          <w:tcPr>
            <w:tcW w:w="2085" w:type="pct"/>
          </w:tcPr>
          <w:p w14:paraId="08639830"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主要威胁因素</w:t>
            </w:r>
          </w:p>
        </w:tc>
        <w:tc>
          <w:tcPr>
            <w:tcW w:w="1387" w:type="pct"/>
          </w:tcPr>
          <w:p w14:paraId="6FD20DA0"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野外调查和访问调查</w:t>
            </w:r>
          </w:p>
        </w:tc>
      </w:tr>
      <w:tr w:rsidR="0075791A" w14:paraId="1643E122" w14:textId="77777777">
        <w:trPr>
          <w:jc w:val="center"/>
        </w:trPr>
        <w:tc>
          <w:tcPr>
            <w:tcW w:w="1526" w:type="pct"/>
          </w:tcPr>
          <w:p w14:paraId="059FA10F"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生境情况</w:t>
            </w:r>
          </w:p>
        </w:tc>
        <w:tc>
          <w:tcPr>
            <w:tcW w:w="2085" w:type="pct"/>
          </w:tcPr>
          <w:p w14:paraId="57F2728C"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适宜生境面积</w:t>
            </w:r>
          </w:p>
        </w:tc>
        <w:tc>
          <w:tcPr>
            <w:tcW w:w="1387" w:type="pct"/>
          </w:tcPr>
          <w:p w14:paraId="0B21443F"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野外调查</w:t>
            </w:r>
          </w:p>
        </w:tc>
      </w:tr>
      <w:tr w:rsidR="0075791A" w14:paraId="1367CBCD" w14:textId="77777777">
        <w:trPr>
          <w:jc w:val="center"/>
        </w:trPr>
        <w:tc>
          <w:tcPr>
            <w:tcW w:w="1526" w:type="pct"/>
            <w:vMerge w:val="restart"/>
          </w:tcPr>
          <w:p w14:paraId="45208A53"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迁徙活动</w:t>
            </w:r>
          </w:p>
        </w:tc>
        <w:tc>
          <w:tcPr>
            <w:tcW w:w="2085" w:type="pct"/>
          </w:tcPr>
          <w:p w14:paraId="0C677C1B"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迁徙起始时间</w:t>
            </w:r>
          </w:p>
        </w:tc>
        <w:tc>
          <w:tcPr>
            <w:tcW w:w="1387" w:type="pct"/>
          </w:tcPr>
          <w:p w14:paraId="7910C523"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野外调查</w:t>
            </w:r>
          </w:p>
        </w:tc>
      </w:tr>
      <w:tr w:rsidR="0075791A" w14:paraId="4B0E5542" w14:textId="77777777">
        <w:trPr>
          <w:jc w:val="center"/>
        </w:trPr>
        <w:tc>
          <w:tcPr>
            <w:tcW w:w="1526" w:type="pct"/>
            <w:vMerge/>
          </w:tcPr>
          <w:p w14:paraId="10022329" w14:textId="77777777" w:rsidR="0075791A" w:rsidRDefault="0075791A">
            <w:pPr>
              <w:pStyle w:val="a0"/>
              <w:spacing w:line="360" w:lineRule="auto"/>
              <w:jc w:val="both"/>
              <w:rPr>
                <w:color w:val="auto"/>
                <w:lang w:eastAsia="zh-CN"/>
              </w:rPr>
            </w:pPr>
          </w:p>
        </w:tc>
        <w:tc>
          <w:tcPr>
            <w:tcW w:w="2085" w:type="pct"/>
          </w:tcPr>
          <w:p w14:paraId="3D0B8B66"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迁徙种类变化</w:t>
            </w:r>
          </w:p>
        </w:tc>
        <w:tc>
          <w:tcPr>
            <w:tcW w:w="1387" w:type="pct"/>
          </w:tcPr>
          <w:p w14:paraId="7EEFA809" w14:textId="77777777" w:rsidR="0075791A" w:rsidRDefault="00FB2864">
            <w:pPr>
              <w:widowControl/>
              <w:jc w:val="center"/>
              <w:rPr>
                <w:rFonts w:ascii="宋体" w:eastAsia="宋体" w:hAnsi="宋体" w:cs="宋体"/>
                <w:color w:val="auto"/>
                <w:sz w:val="24"/>
                <w:szCs w:val="24"/>
                <w:lang w:eastAsia="zh-CN"/>
              </w:rPr>
            </w:pPr>
            <w:r>
              <w:rPr>
                <w:rFonts w:ascii="宋体" w:eastAsia="宋体" w:hAnsi="宋体" w:cs="宋体" w:hint="eastAsia"/>
                <w:color w:val="auto"/>
                <w:sz w:val="24"/>
                <w:szCs w:val="24"/>
                <w:lang w:eastAsia="zh-CN"/>
              </w:rPr>
              <w:t>野外调查</w:t>
            </w:r>
          </w:p>
        </w:tc>
      </w:tr>
    </w:tbl>
    <w:p w14:paraId="7FE9A5B5"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监测时间</w:t>
      </w:r>
    </w:p>
    <w:p w14:paraId="4186FDB3"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鸟类具有迁徙的特点，应根据观测目标和观测区域鸟类的繁殖、迁徙及越冬习性确定观测的时间。</w:t>
      </w:r>
    </w:p>
    <w:p w14:paraId="72BF9A0F"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繁殖期观测时间一般情况下从繁殖季节开始持续到繁殖季节结束，通常为</w:t>
      </w:r>
      <w:r>
        <w:rPr>
          <w:rFonts w:ascii="Times New Roman" w:eastAsia="宋体" w:hAnsi="Times New Roman" w:cs="宋体"/>
          <w:color w:val="auto"/>
          <w:sz w:val="24"/>
          <w:szCs w:val="24"/>
          <w:lang w:eastAsia="zh-CN"/>
        </w:rPr>
        <w:t>3</w:t>
      </w:r>
      <w:r>
        <w:rPr>
          <w:rFonts w:ascii="Times New Roman" w:eastAsia="宋体" w:hAnsi="Times New Roman" w:cs="宋体" w:hint="eastAsia"/>
          <w:color w:val="auto"/>
          <w:sz w:val="24"/>
          <w:szCs w:val="24"/>
          <w:lang w:eastAsia="zh-CN"/>
        </w:rPr>
        <w:t>～</w:t>
      </w:r>
      <w:r>
        <w:rPr>
          <w:rFonts w:ascii="Times New Roman" w:eastAsia="宋体" w:hAnsi="Times New Roman" w:cs="宋体"/>
          <w:color w:val="auto"/>
          <w:sz w:val="24"/>
          <w:szCs w:val="24"/>
          <w:lang w:eastAsia="zh-CN"/>
        </w:rPr>
        <w:t>7</w:t>
      </w:r>
      <w:r>
        <w:rPr>
          <w:rFonts w:ascii="Times New Roman" w:eastAsia="宋体" w:hAnsi="Times New Roman" w:cs="宋体" w:hint="eastAsia"/>
          <w:color w:val="auto"/>
          <w:sz w:val="24"/>
          <w:szCs w:val="24"/>
          <w:lang w:eastAsia="zh-CN"/>
        </w:rPr>
        <w:t>月，繁殖鸟类占区鸣唱的高峰期是最佳的观测时间，至少开展</w:t>
      </w:r>
      <w:r>
        <w:rPr>
          <w:rFonts w:ascii="Times New Roman" w:eastAsia="宋体" w:hAnsi="Times New Roman" w:cs="宋体"/>
          <w:color w:val="auto"/>
          <w:sz w:val="24"/>
          <w:szCs w:val="24"/>
          <w:lang w:eastAsia="zh-CN"/>
        </w:rPr>
        <w:t>2</w:t>
      </w:r>
      <w:r>
        <w:rPr>
          <w:rFonts w:ascii="Times New Roman" w:eastAsia="宋体" w:hAnsi="Times New Roman" w:cs="宋体" w:hint="eastAsia"/>
          <w:color w:val="auto"/>
          <w:sz w:val="24"/>
          <w:szCs w:val="24"/>
          <w:lang w:eastAsia="zh-CN"/>
        </w:rPr>
        <w:t>次，繁殖前期和繁殖后期各</w:t>
      </w:r>
      <w:r>
        <w:rPr>
          <w:rFonts w:ascii="Times New Roman" w:eastAsia="宋体" w:hAnsi="Times New Roman" w:cs="宋体" w:hint="eastAsia"/>
          <w:color w:val="auto"/>
          <w:sz w:val="24"/>
          <w:szCs w:val="24"/>
          <w:lang w:eastAsia="zh-CN"/>
        </w:rPr>
        <w:lastRenderedPageBreak/>
        <w:t>开展</w:t>
      </w:r>
      <w:r>
        <w:rPr>
          <w:rFonts w:ascii="Times New Roman" w:eastAsia="宋体" w:hAnsi="Times New Roman" w:cs="宋体"/>
          <w:color w:val="auto"/>
          <w:sz w:val="24"/>
          <w:szCs w:val="24"/>
          <w:lang w:eastAsia="zh-CN"/>
        </w:rPr>
        <w:t>1</w:t>
      </w:r>
      <w:r>
        <w:rPr>
          <w:rFonts w:ascii="Times New Roman" w:eastAsia="宋体" w:hAnsi="Times New Roman" w:cs="宋体" w:hint="eastAsia"/>
          <w:color w:val="auto"/>
          <w:sz w:val="24"/>
          <w:szCs w:val="24"/>
          <w:lang w:eastAsia="zh-CN"/>
        </w:rPr>
        <w:t>次；越冬期在越冬种群数量比较稳定的阶段进行观测，选择</w:t>
      </w:r>
      <w:r>
        <w:rPr>
          <w:rFonts w:ascii="Times New Roman" w:eastAsia="宋体" w:hAnsi="Times New Roman" w:cs="宋体" w:hint="eastAsia"/>
          <w:color w:val="auto"/>
          <w:sz w:val="24"/>
          <w:szCs w:val="24"/>
          <w:lang w:eastAsia="zh-CN"/>
        </w:rPr>
        <w:t>12</w:t>
      </w:r>
      <w:r>
        <w:rPr>
          <w:rFonts w:ascii="Times New Roman" w:eastAsia="宋体" w:hAnsi="Times New Roman" w:cs="宋体" w:hint="eastAsia"/>
          <w:color w:val="auto"/>
          <w:sz w:val="24"/>
          <w:szCs w:val="24"/>
          <w:lang w:eastAsia="zh-CN"/>
        </w:rPr>
        <w:t>约或次年一月开展一次。迁徙期分为春、秋两季，春季时间为</w:t>
      </w:r>
      <w:r>
        <w:rPr>
          <w:rFonts w:ascii="Times New Roman" w:eastAsia="宋体" w:hAnsi="Times New Roman" w:cs="宋体" w:hint="eastAsia"/>
          <w:color w:val="auto"/>
          <w:sz w:val="24"/>
          <w:szCs w:val="24"/>
          <w:lang w:eastAsia="zh-CN"/>
        </w:rPr>
        <w:t>3-5</w:t>
      </w:r>
      <w:r>
        <w:rPr>
          <w:rFonts w:ascii="Times New Roman" w:eastAsia="宋体" w:hAnsi="Times New Roman" w:cs="宋体" w:hint="eastAsia"/>
          <w:color w:val="auto"/>
          <w:sz w:val="24"/>
          <w:szCs w:val="24"/>
          <w:lang w:eastAsia="zh-CN"/>
        </w:rPr>
        <w:t>月，秋季为</w:t>
      </w:r>
      <w:r>
        <w:rPr>
          <w:rFonts w:ascii="Times New Roman" w:eastAsia="宋体" w:hAnsi="Times New Roman" w:cs="宋体" w:hint="eastAsia"/>
          <w:color w:val="auto"/>
          <w:sz w:val="24"/>
          <w:szCs w:val="24"/>
          <w:lang w:eastAsia="zh-CN"/>
        </w:rPr>
        <w:t>9-11</w:t>
      </w:r>
      <w:r>
        <w:rPr>
          <w:rFonts w:ascii="Times New Roman" w:eastAsia="宋体" w:hAnsi="Times New Roman" w:cs="宋体" w:hint="eastAsia"/>
          <w:color w:val="auto"/>
          <w:sz w:val="24"/>
          <w:szCs w:val="24"/>
          <w:lang w:eastAsia="zh-CN"/>
        </w:rPr>
        <w:t>月，至少开展监测各</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次。</w:t>
      </w:r>
    </w:p>
    <w:p w14:paraId="3B863014" w14:textId="77777777" w:rsidR="0075791A" w:rsidRDefault="00FB2864">
      <w:pPr>
        <w:spacing w:line="360" w:lineRule="auto"/>
        <w:ind w:firstLineChars="200" w:firstLine="480"/>
        <w:jc w:val="both"/>
        <w:rPr>
          <w:rFonts w:ascii="Times New Roman" w:eastAsia="宋体" w:hAnsi="Times New Roman" w:cs="宋体"/>
          <w:color w:val="auto"/>
          <w:sz w:val="24"/>
          <w:szCs w:val="24"/>
          <w:lang w:val="zh-CN" w:eastAsia="zh-CN"/>
        </w:rPr>
      </w:pPr>
      <w:r>
        <w:rPr>
          <w:rFonts w:ascii="Times New Roman" w:eastAsia="宋体" w:hAnsi="Times New Roman" w:cs="宋体" w:hint="eastAsia"/>
          <w:color w:val="auto"/>
          <w:sz w:val="24"/>
          <w:szCs w:val="24"/>
          <w:lang w:eastAsia="zh-CN"/>
        </w:rPr>
        <w:t>监测时应选择晴天或多云天气，雨天或大风天气不能开展观测。一般在早晨日出后</w:t>
      </w:r>
      <w:r>
        <w:rPr>
          <w:rFonts w:ascii="Times New Roman" w:eastAsia="宋体" w:hAnsi="Times New Roman" w:cs="宋体"/>
          <w:color w:val="auto"/>
          <w:sz w:val="24"/>
          <w:szCs w:val="24"/>
          <w:lang w:eastAsia="zh-CN"/>
        </w:rPr>
        <w:t>3</w:t>
      </w:r>
      <w:r>
        <w:rPr>
          <w:rFonts w:ascii="Times New Roman" w:eastAsia="宋体" w:hAnsi="Times New Roman" w:cs="宋体" w:hint="eastAsia"/>
          <w:color w:val="auto"/>
          <w:sz w:val="24"/>
          <w:szCs w:val="24"/>
          <w:lang w:eastAsia="zh-CN"/>
        </w:rPr>
        <w:t>小时内和傍晚日落前</w:t>
      </w:r>
      <w:r>
        <w:rPr>
          <w:rFonts w:ascii="Times New Roman" w:eastAsia="宋体" w:hAnsi="Times New Roman" w:cs="宋体"/>
          <w:color w:val="auto"/>
          <w:sz w:val="24"/>
          <w:szCs w:val="24"/>
          <w:lang w:eastAsia="zh-CN"/>
        </w:rPr>
        <w:t>3</w:t>
      </w:r>
      <w:r>
        <w:rPr>
          <w:rFonts w:ascii="Times New Roman" w:eastAsia="宋体" w:hAnsi="Times New Roman" w:cs="宋体" w:hint="eastAsia"/>
          <w:color w:val="auto"/>
          <w:sz w:val="24"/>
          <w:szCs w:val="24"/>
          <w:lang w:eastAsia="zh-CN"/>
        </w:rPr>
        <w:t>小时内进行观测</w:t>
      </w:r>
      <w:r>
        <w:rPr>
          <w:rFonts w:ascii="Times New Roman" w:eastAsia="宋体" w:hAnsi="Times New Roman" w:cs="宋体" w:hint="eastAsia"/>
          <w:color w:val="auto"/>
          <w:sz w:val="24"/>
          <w:szCs w:val="24"/>
          <w:lang w:eastAsia="zh-CN"/>
        </w:rPr>
        <w:t>。</w:t>
      </w:r>
    </w:p>
    <w:p w14:paraId="25EF4835"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3.</w:t>
      </w:r>
      <w:r>
        <w:rPr>
          <w:rFonts w:ascii="Times New Roman" w:eastAsia="宋体" w:hAnsi="Times New Roman" w:cs="宋体" w:hint="eastAsia"/>
          <w:color w:val="auto"/>
          <w:sz w:val="24"/>
          <w:szCs w:val="24"/>
          <w:lang w:eastAsia="zh-CN"/>
        </w:rPr>
        <w:t>监测成果</w:t>
      </w:r>
    </w:p>
    <w:p w14:paraId="67B1E408"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鸟类观测报告内容应包括前言，观测区域概况，观测方法，鸟类的种类组成、区域分布、种群动态、面临的威胁，对策建议等。</w:t>
      </w:r>
    </w:p>
    <w:p w14:paraId="2E85EB63"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378" w:name="bookmark76"/>
      <w:bookmarkStart w:id="379" w:name="_Toc3835"/>
      <w:bookmarkStart w:id="380" w:name="_Toc19669"/>
      <w:bookmarkStart w:id="381" w:name="_Toc1925"/>
      <w:bookmarkEnd w:id="378"/>
      <w:r>
        <w:rPr>
          <w:rFonts w:ascii="Times New Roman" w:eastAsia="宋体" w:hAnsi="Times New Roman" w:cs="Times New Roman" w:hint="eastAsia"/>
          <w:b/>
          <w:bCs/>
          <w:color w:val="auto"/>
          <w:spacing w:val="-6"/>
          <w:sz w:val="30"/>
          <w:szCs w:val="30"/>
          <w:lang w:eastAsia="zh-CN"/>
        </w:rPr>
        <w:t>8</w:t>
      </w:r>
      <w:r>
        <w:rPr>
          <w:rFonts w:ascii="Times New Roman" w:eastAsia="Times New Roman" w:hAnsi="Times New Roman" w:cs="Times New Roman"/>
          <w:b/>
          <w:bCs/>
          <w:color w:val="auto"/>
          <w:spacing w:val="-6"/>
          <w:sz w:val="30"/>
          <w:szCs w:val="30"/>
          <w:lang w:eastAsia="zh-CN"/>
        </w:rPr>
        <w:t>.</w:t>
      </w:r>
      <w:r>
        <w:rPr>
          <w:rFonts w:ascii="Times New Roman" w:eastAsia="宋体" w:hAnsi="Times New Roman" w:cs="Times New Roman" w:hint="eastAsia"/>
          <w:b/>
          <w:bCs/>
          <w:color w:val="auto"/>
          <w:spacing w:val="-6"/>
          <w:sz w:val="30"/>
          <w:szCs w:val="30"/>
          <w:lang w:eastAsia="zh-CN"/>
        </w:rPr>
        <w:t>3</w:t>
      </w:r>
      <w:r>
        <w:rPr>
          <w:rFonts w:ascii="Times New Roman" w:eastAsia="Times New Roman" w:hAnsi="Times New Roman" w:cs="Times New Roman"/>
          <w:b/>
          <w:bCs/>
          <w:color w:val="auto"/>
          <w:spacing w:val="-6"/>
          <w:sz w:val="30"/>
          <w:szCs w:val="30"/>
          <w:lang w:eastAsia="zh-CN"/>
        </w:rPr>
        <w:t>生态保护修复措施</w:t>
      </w:r>
      <w:bookmarkEnd w:id="379"/>
      <w:bookmarkEnd w:id="380"/>
      <w:bookmarkEnd w:id="381"/>
    </w:p>
    <w:p w14:paraId="62A3FEB1"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本项目施工期对海洋生态环境造成一定的影响，由于本项目即为生态修复工程，虽然在施工期间因疏浚、微地形改造等产生悬浮泥沙以及桩基施工等的影响，可能造成一部分潮间带生物、底栖生物以及渔业资源的影响，但在项目建设完成后，构建了红树林湿地生态系统，可为海洋中多种多样的野生动物提供觅食、繁殖与栖息的生境，较多螃蟹、虾和鱼均可在红树林根部的安全范围内度过生命的早期阶段</w:t>
      </w:r>
      <w:r>
        <w:rPr>
          <w:rFonts w:ascii="Times New Roman" w:eastAsia="宋体" w:hAnsi="Times New Roman" w:cs="宋体" w:hint="eastAsia"/>
          <w:color w:val="auto"/>
          <w:sz w:val="24"/>
          <w:szCs w:val="24"/>
          <w:lang w:eastAsia="zh-CN"/>
        </w:rPr>
        <w:t>,</w:t>
      </w:r>
      <w:r>
        <w:rPr>
          <w:rFonts w:ascii="Times New Roman" w:eastAsia="宋体" w:hAnsi="Times New Roman" w:cs="宋体" w:hint="eastAsia"/>
          <w:color w:val="auto"/>
          <w:sz w:val="24"/>
          <w:szCs w:val="24"/>
          <w:lang w:eastAsia="zh-CN"/>
        </w:rPr>
        <w:t>成年后再进入广阔的海洋，而水下海绵、蠕虫、海葵、藤壶和牡蛎等喜附着在红树林根部坚硬表面的生物数量也将增多，可为游泳动物等提供更充足的食物，也可提供避开天敌</w:t>
      </w:r>
      <w:r>
        <w:rPr>
          <w:rFonts w:ascii="Times New Roman" w:eastAsia="宋体" w:hAnsi="Times New Roman" w:cs="宋体" w:hint="eastAsia"/>
          <w:color w:val="auto"/>
          <w:sz w:val="24"/>
          <w:szCs w:val="24"/>
          <w:lang w:eastAsia="zh-CN"/>
        </w:rPr>
        <w:t>的绝佳栖息地。</w:t>
      </w:r>
    </w:p>
    <w:p w14:paraId="486EC250"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综上，虽然本项目施工期对海洋生态环境有一定影响，但由于项目本身即为生态修复工程，项目建设完成后即有利于海洋渔业资源的恢复，属于对受破坏的海洋生境进行恢复的工程，因此，本项目主要通过项目本身的红树林生境建设予以恢复海洋渔业资源，不额外开展海洋增殖放流等海洋生态保护修复措施。</w:t>
      </w:r>
    </w:p>
    <w:p w14:paraId="5C21541F" w14:textId="77777777" w:rsidR="0075791A" w:rsidRDefault="0075791A">
      <w:pPr>
        <w:spacing w:line="355" w:lineRule="auto"/>
        <w:rPr>
          <w:rFonts w:ascii="Times New Roman" w:eastAsia="宋体" w:hAnsi="Times New Roman" w:cs="宋体"/>
          <w:color w:val="auto"/>
          <w:sz w:val="24"/>
          <w:szCs w:val="24"/>
          <w:lang w:eastAsia="zh-CN"/>
        </w:rPr>
        <w:sectPr w:rsidR="0075791A">
          <w:footerReference w:type="default" r:id="rId306"/>
          <w:pgSz w:w="11906" w:h="16839"/>
          <w:pgMar w:top="1018" w:right="1337" w:bottom="1134" w:left="1413" w:header="746" w:footer="972" w:gutter="0"/>
          <w:cols w:space="720"/>
        </w:sectPr>
      </w:pPr>
    </w:p>
    <w:p w14:paraId="05A51A08" w14:textId="77777777" w:rsidR="0075791A" w:rsidRDefault="0075791A">
      <w:pPr>
        <w:spacing w:line="43" w:lineRule="exact"/>
        <w:rPr>
          <w:rFonts w:ascii="Times New Roman" w:hAnsi="Times New Roman"/>
          <w:color w:val="auto"/>
          <w:lang w:eastAsia="zh-CN"/>
        </w:rPr>
      </w:pPr>
    </w:p>
    <w:p w14:paraId="29E4668C" w14:textId="77777777" w:rsidR="0075791A" w:rsidRDefault="00FB2864">
      <w:pPr>
        <w:spacing w:line="360" w:lineRule="auto"/>
        <w:outlineLvl w:val="0"/>
        <w:rPr>
          <w:rFonts w:ascii="Times New Roman" w:eastAsia="宋体" w:hAnsi="Times New Roman" w:cs="Times New Roman"/>
          <w:b/>
          <w:bCs/>
          <w:color w:val="auto"/>
          <w:spacing w:val="-5"/>
          <w:sz w:val="32"/>
          <w:szCs w:val="32"/>
          <w:lang w:eastAsia="zh-CN"/>
        </w:rPr>
      </w:pPr>
      <w:bookmarkStart w:id="382" w:name="bookmark78"/>
      <w:bookmarkStart w:id="383" w:name="bookmark80"/>
      <w:bookmarkStart w:id="384" w:name="_Toc23042"/>
      <w:bookmarkStart w:id="385" w:name="_Toc32088"/>
      <w:bookmarkStart w:id="386" w:name="_Toc7269"/>
      <w:bookmarkEnd w:id="382"/>
      <w:bookmarkEnd w:id="383"/>
      <w:r>
        <w:rPr>
          <w:rFonts w:ascii="Times New Roman" w:eastAsia="宋体" w:hAnsi="Times New Roman" w:cs="Times New Roman" w:hint="eastAsia"/>
          <w:b/>
          <w:bCs/>
          <w:color w:val="auto"/>
          <w:spacing w:val="-5"/>
          <w:sz w:val="32"/>
          <w:szCs w:val="32"/>
          <w:lang w:eastAsia="zh-CN"/>
        </w:rPr>
        <w:t>9</w:t>
      </w:r>
      <w:r>
        <w:rPr>
          <w:rFonts w:ascii="Times New Roman" w:eastAsia="宋体" w:hAnsi="Times New Roman" w:cs="Times New Roman" w:hint="eastAsia"/>
          <w:b/>
          <w:bCs/>
          <w:color w:val="auto"/>
          <w:spacing w:val="-5"/>
          <w:sz w:val="32"/>
          <w:szCs w:val="32"/>
          <w:lang w:eastAsia="zh-CN"/>
        </w:rPr>
        <w:t>结论</w:t>
      </w:r>
      <w:bookmarkEnd w:id="384"/>
      <w:bookmarkEnd w:id="385"/>
      <w:bookmarkEnd w:id="386"/>
    </w:p>
    <w:p w14:paraId="3A3EC0D5"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387" w:name="_Toc7364"/>
      <w:bookmarkStart w:id="388" w:name="_Toc24198"/>
      <w:bookmarkStart w:id="389" w:name="_Toc2647"/>
      <w:r>
        <w:rPr>
          <w:rFonts w:ascii="Times New Roman" w:eastAsia="宋体" w:hAnsi="Times New Roman" w:cs="Times New Roman" w:hint="eastAsia"/>
          <w:b/>
          <w:bCs/>
          <w:color w:val="auto"/>
          <w:spacing w:val="-6"/>
          <w:sz w:val="30"/>
          <w:szCs w:val="30"/>
          <w:lang w:eastAsia="zh-CN"/>
        </w:rPr>
        <w:t>9</w:t>
      </w:r>
      <w:r>
        <w:rPr>
          <w:rFonts w:ascii="Times New Roman" w:eastAsia="Times New Roman" w:hAnsi="Times New Roman" w:cs="Times New Roman"/>
          <w:b/>
          <w:bCs/>
          <w:color w:val="auto"/>
          <w:spacing w:val="-6"/>
          <w:sz w:val="30"/>
          <w:szCs w:val="30"/>
          <w:lang w:eastAsia="zh-CN"/>
        </w:rPr>
        <w:t>.1项目用海基本情况</w:t>
      </w:r>
      <w:bookmarkEnd w:id="387"/>
      <w:bookmarkEnd w:id="388"/>
      <w:bookmarkEnd w:id="389"/>
    </w:p>
    <w:p w14:paraId="14787928" w14:textId="77777777" w:rsidR="0075791A" w:rsidRDefault="00FB2864">
      <w:pPr>
        <w:widowControl w:val="0"/>
        <w:kinsoku/>
        <w:adjustRightInd/>
        <w:snapToGrid/>
        <w:spacing w:line="360" w:lineRule="auto"/>
        <w:ind w:firstLineChars="200" w:firstLine="468"/>
        <w:jc w:val="both"/>
        <w:textAlignment w:val="auto"/>
        <w:rPr>
          <w:rFonts w:ascii="Times New Roman" w:eastAsia="宋体" w:hAnsi="Times New Roman" w:cs="Times New Roman"/>
          <w:color w:val="auto"/>
          <w:spacing w:val="-6"/>
          <w:sz w:val="24"/>
          <w:szCs w:val="24"/>
          <w:lang w:eastAsia="zh-CN"/>
        </w:rPr>
      </w:pPr>
      <w:r>
        <w:rPr>
          <w:rFonts w:ascii="Times New Roman" w:eastAsia="宋体" w:hAnsi="Times New Roman" w:cs="Times New Roman"/>
          <w:color w:val="auto"/>
          <w:spacing w:val="-6"/>
          <w:sz w:val="24"/>
          <w:szCs w:val="24"/>
          <w:lang w:eastAsia="zh-CN"/>
        </w:rPr>
        <w:t>铁炉港红树林湿地保护修复项目是海南南部典型热带区域山水林田湖草沙一体化保护和修复工程之三十二子项目</w:t>
      </w:r>
      <w:r>
        <w:rPr>
          <w:rFonts w:ascii="Times New Roman" w:eastAsia="宋体" w:hAnsi="Times New Roman" w:cs="Times New Roman" w:hint="eastAsia"/>
          <w:color w:val="auto"/>
          <w:spacing w:val="-6"/>
          <w:sz w:val="24"/>
          <w:szCs w:val="24"/>
          <w:lang w:eastAsia="zh-CN"/>
        </w:rPr>
        <w:t>，</w:t>
      </w:r>
      <w:r>
        <w:rPr>
          <w:rFonts w:ascii="Times New Roman" w:eastAsia="宋体" w:hAnsi="Times New Roman" w:cs="Times New Roman"/>
          <w:color w:val="auto"/>
          <w:spacing w:val="-6"/>
          <w:sz w:val="24"/>
          <w:szCs w:val="24"/>
          <w:lang w:eastAsia="zh-CN"/>
        </w:rPr>
        <w:t>属海岸带生态保护修复单元中的重要物种栖息地和生物安全防治工程，</w:t>
      </w:r>
      <w:r>
        <w:rPr>
          <w:rFonts w:ascii="Times New Roman" w:eastAsia="宋体" w:hAnsi="Times New Roman" w:cs="Times New Roman" w:hint="eastAsia"/>
          <w:color w:val="auto"/>
          <w:spacing w:val="-6"/>
          <w:sz w:val="24"/>
          <w:szCs w:val="24"/>
          <w:lang w:eastAsia="zh-CN"/>
        </w:rPr>
        <w:t>项目建设范围总面积约</w:t>
      </w:r>
      <w:r>
        <w:rPr>
          <w:rFonts w:ascii="Times New Roman" w:eastAsia="宋体" w:hAnsi="Times New Roman" w:cs="Times New Roman" w:hint="eastAsia"/>
          <w:color w:val="auto"/>
          <w:spacing w:val="-6"/>
          <w:sz w:val="24"/>
          <w:szCs w:val="24"/>
          <w:lang w:eastAsia="zh-CN"/>
        </w:rPr>
        <w:t>403.66</w:t>
      </w:r>
      <w:r>
        <w:rPr>
          <w:rFonts w:ascii="Times New Roman" w:eastAsia="宋体" w:hAnsi="Times New Roman" w:cs="Times New Roman" w:hint="eastAsia"/>
          <w:color w:val="auto"/>
          <w:spacing w:val="-6"/>
          <w:sz w:val="24"/>
          <w:szCs w:val="24"/>
          <w:lang w:eastAsia="zh-CN"/>
        </w:rPr>
        <w:t>公顷，包括生态安全屏障构建工程、红树林资源保护与蓝碳增汇工程、滨海生物多样性提升工程、智慧监测与生态评估工程四大体系。</w:t>
      </w:r>
    </w:p>
    <w:p w14:paraId="6CCCBBD6" w14:textId="77777777" w:rsidR="0075791A" w:rsidRDefault="00FB2864">
      <w:pPr>
        <w:widowControl w:val="0"/>
        <w:kinsoku/>
        <w:adjustRightInd/>
        <w:snapToGrid/>
        <w:spacing w:line="360" w:lineRule="auto"/>
        <w:ind w:firstLineChars="200" w:firstLine="468"/>
        <w:jc w:val="both"/>
        <w:textAlignment w:val="auto"/>
        <w:rPr>
          <w:rFonts w:ascii="Times New Roman" w:eastAsia="宋体" w:hAnsi="Times New Roman" w:cs="Times New Roman"/>
          <w:color w:val="auto"/>
          <w:spacing w:val="-6"/>
          <w:sz w:val="24"/>
          <w:szCs w:val="24"/>
          <w:lang w:eastAsia="zh-CN"/>
        </w:rPr>
      </w:pPr>
      <w:r>
        <w:rPr>
          <w:rFonts w:ascii="Times New Roman" w:eastAsia="宋体" w:hAnsi="Times New Roman" w:cs="Times New Roman" w:hint="eastAsia"/>
          <w:color w:val="auto"/>
          <w:spacing w:val="-6"/>
          <w:sz w:val="24"/>
          <w:szCs w:val="24"/>
          <w:lang w:eastAsia="zh-CN"/>
        </w:rPr>
        <w:t>本项目二期疏浚活动申请用海建设内容为清淤疏浚</w:t>
      </w:r>
      <w:r>
        <w:rPr>
          <w:rFonts w:ascii="Times New Roman" w:eastAsia="宋体" w:hAnsi="Times New Roman" w:cs="Times New Roman" w:hint="eastAsia"/>
          <w:color w:val="auto"/>
          <w:spacing w:val="-6"/>
          <w:sz w:val="24"/>
          <w:szCs w:val="24"/>
          <w:lang w:eastAsia="zh-CN"/>
        </w:rPr>
        <w:t>1</w:t>
      </w:r>
      <w:r>
        <w:rPr>
          <w:rFonts w:ascii="Times New Roman" w:eastAsia="宋体" w:hAnsi="Times New Roman" w:cs="Times New Roman" w:hint="eastAsia"/>
          <w:color w:val="auto"/>
          <w:spacing w:val="-6"/>
          <w:sz w:val="24"/>
          <w:szCs w:val="24"/>
          <w:lang w:eastAsia="zh-CN"/>
        </w:rPr>
        <w:t>处、巡护设施、保护管理设施共</w:t>
      </w:r>
      <w:r>
        <w:rPr>
          <w:rFonts w:ascii="Times New Roman" w:eastAsia="宋体" w:hAnsi="Times New Roman" w:cs="Times New Roman" w:hint="eastAsia"/>
          <w:color w:val="auto"/>
          <w:spacing w:val="-6"/>
          <w:sz w:val="24"/>
          <w:szCs w:val="24"/>
          <w:lang w:eastAsia="zh-CN"/>
        </w:rPr>
        <w:t>26</w:t>
      </w:r>
      <w:r>
        <w:rPr>
          <w:rFonts w:ascii="Times New Roman" w:eastAsia="宋体" w:hAnsi="Times New Roman" w:cs="Times New Roman" w:hint="eastAsia"/>
          <w:color w:val="auto"/>
          <w:spacing w:val="-6"/>
          <w:sz w:val="24"/>
          <w:szCs w:val="24"/>
          <w:lang w:eastAsia="zh-CN"/>
        </w:rPr>
        <w:t>处。</w:t>
      </w:r>
    </w:p>
    <w:p w14:paraId="054EE573" w14:textId="77777777" w:rsidR="0075791A" w:rsidRDefault="00FB2864">
      <w:pPr>
        <w:widowControl w:val="0"/>
        <w:kinsoku/>
        <w:adjustRightInd/>
        <w:snapToGrid/>
        <w:spacing w:line="360" w:lineRule="auto"/>
        <w:ind w:firstLineChars="200" w:firstLine="468"/>
        <w:jc w:val="both"/>
        <w:textAlignment w:val="auto"/>
        <w:rPr>
          <w:rFonts w:ascii="Times New Roman" w:eastAsia="宋体" w:hAnsi="Times New Roman" w:cs="Times New Roman"/>
          <w:color w:val="auto"/>
          <w:spacing w:val="-6"/>
          <w:sz w:val="24"/>
          <w:szCs w:val="24"/>
          <w:lang w:eastAsia="zh-CN"/>
        </w:rPr>
      </w:pPr>
      <w:r>
        <w:rPr>
          <w:rFonts w:ascii="Times New Roman" w:eastAsia="宋体" w:hAnsi="Times New Roman" w:cs="Times New Roman" w:hint="eastAsia"/>
          <w:color w:val="auto"/>
          <w:spacing w:val="-6"/>
          <w:sz w:val="24"/>
          <w:szCs w:val="24"/>
          <w:lang w:eastAsia="zh-CN"/>
        </w:rPr>
        <w:t>根据《国土空间调查、规划、用途管制用地用海分类指南》，本项目用海类型为用海类型为“特殊用海”（一级类）中的“</w:t>
      </w:r>
      <w:r>
        <w:rPr>
          <w:rFonts w:ascii="Times New Roman" w:eastAsia="宋体" w:hAnsi="Times New Roman" w:cs="Times New Roman"/>
          <w:color w:val="auto"/>
          <w:spacing w:val="-6"/>
          <w:sz w:val="24"/>
          <w:szCs w:val="24"/>
          <w:lang w:eastAsia="zh-CN"/>
        </w:rPr>
        <w:t>海洋保</w:t>
      </w:r>
      <w:r>
        <w:rPr>
          <w:rFonts w:ascii="Times New Roman" w:eastAsia="宋体" w:hAnsi="Times New Roman" w:cs="Times New Roman"/>
          <w:color w:val="auto"/>
          <w:spacing w:val="-6"/>
          <w:sz w:val="24"/>
          <w:szCs w:val="24"/>
          <w:lang w:eastAsia="zh-CN"/>
        </w:rPr>
        <w:t>护修复及海岸防护工程用海</w:t>
      </w:r>
      <w:r>
        <w:rPr>
          <w:rFonts w:ascii="Times New Roman" w:eastAsia="宋体" w:hAnsi="Times New Roman" w:cs="Times New Roman" w:hint="eastAsia"/>
          <w:color w:val="auto"/>
          <w:spacing w:val="-6"/>
          <w:sz w:val="24"/>
          <w:szCs w:val="24"/>
          <w:lang w:eastAsia="zh-CN"/>
        </w:rPr>
        <w:t>”（二级类）。根据《海域使用分类》（</w:t>
      </w:r>
      <w:r>
        <w:rPr>
          <w:rFonts w:ascii="Times New Roman" w:eastAsia="宋体" w:hAnsi="Times New Roman" w:cs="Times New Roman" w:hint="eastAsia"/>
          <w:color w:val="auto"/>
          <w:spacing w:val="-6"/>
          <w:sz w:val="24"/>
          <w:szCs w:val="24"/>
          <w:lang w:eastAsia="zh-CN"/>
        </w:rPr>
        <w:t>HY/T123-2009</w:t>
      </w:r>
      <w:r>
        <w:rPr>
          <w:rFonts w:ascii="Times New Roman" w:eastAsia="宋体" w:hAnsi="Times New Roman" w:cs="Times New Roman" w:hint="eastAsia"/>
          <w:color w:val="auto"/>
          <w:spacing w:val="-6"/>
          <w:sz w:val="24"/>
          <w:szCs w:val="24"/>
          <w:lang w:eastAsia="zh-CN"/>
        </w:rPr>
        <w:t>），本项目构筑物用海方式为“构筑物”中的“透水构筑物”；疏浚用海方式为“开放式”中的专用航道、锚地及其它开放式。</w:t>
      </w:r>
    </w:p>
    <w:p w14:paraId="3EC5250D" w14:textId="77777777" w:rsidR="0075791A" w:rsidRDefault="00FB2864">
      <w:pPr>
        <w:widowControl w:val="0"/>
        <w:kinsoku/>
        <w:adjustRightInd/>
        <w:snapToGrid/>
        <w:spacing w:line="360" w:lineRule="auto"/>
        <w:ind w:firstLineChars="200" w:firstLine="468"/>
        <w:jc w:val="both"/>
        <w:textAlignment w:val="auto"/>
        <w:rPr>
          <w:rFonts w:ascii="Times New Roman" w:eastAsia="宋体" w:hAnsi="Times New Roman" w:cs="宋体"/>
          <w:color w:val="auto"/>
          <w:spacing w:val="-4"/>
          <w:sz w:val="24"/>
          <w:szCs w:val="24"/>
          <w:lang w:eastAsia="zh-CN"/>
        </w:rPr>
      </w:pPr>
      <w:r>
        <w:rPr>
          <w:rFonts w:ascii="Times New Roman" w:eastAsia="宋体" w:hAnsi="Times New Roman" w:cs="Times New Roman" w:hint="eastAsia"/>
          <w:color w:val="auto"/>
          <w:spacing w:val="-6"/>
          <w:sz w:val="24"/>
          <w:szCs w:val="24"/>
          <w:lang w:eastAsia="zh-CN"/>
        </w:rPr>
        <w:t>本项目申请用海总面积</w:t>
      </w:r>
      <w:r>
        <w:rPr>
          <w:rFonts w:ascii="Times New Roman" w:eastAsia="宋体" w:hAnsi="Times New Roman" w:cs="宋体" w:hint="eastAsia"/>
          <w:color w:val="auto"/>
          <w:spacing w:val="-4"/>
          <w:sz w:val="24"/>
          <w:szCs w:val="24"/>
          <w:lang w:eastAsia="zh-CN"/>
        </w:rPr>
        <w:t>15.2465</w:t>
      </w:r>
      <w:r>
        <w:rPr>
          <w:rFonts w:ascii="Times New Roman" w:eastAsia="宋体" w:hAnsi="Times New Roman" w:cs="宋体" w:hint="eastAsia"/>
          <w:color w:val="auto"/>
          <w:sz w:val="24"/>
          <w:szCs w:val="24"/>
          <w:lang w:eastAsia="zh-CN"/>
        </w:rPr>
        <w:t>公顷</w:t>
      </w:r>
      <w:r>
        <w:rPr>
          <w:rFonts w:ascii="Times New Roman" w:eastAsia="宋体" w:hAnsi="Times New Roman" w:cs="Times New Roman" w:hint="eastAsia"/>
          <w:color w:val="auto"/>
          <w:spacing w:val="-6"/>
          <w:sz w:val="24"/>
          <w:szCs w:val="24"/>
          <w:lang w:eastAsia="zh-CN"/>
        </w:rPr>
        <w:t>，其中构筑物用海</w:t>
      </w:r>
      <w:r>
        <w:rPr>
          <w:rFonts w:ascii="Times New Roman" w:eastAsia="宋体" w:hAnsi="Times New Roman" w:cs="宋体" w:hint="eastAsia"/>
          <w:color w:val="auto"/>
          <w:sz w:val="24"/>
          <w:szCs w:val="24"/>
          <w:lang w:eastAsia="zh-CN"/>
        </w:rPr>
        <w:t>0.3793</w:t>
      </w:r>
      <w:r>
        <w:rPr>
          <w:rFonts w:ascii="Times New Roman" w:eastAsia="宋体" w:hAnsi="Times New Roman" w:cs="宋体" w:hint="eastAsia"/>
          <w:color w:val="auto"/>
          <w:sz w:val="24"/>
          <w:szCs w:val="24"/>
          <w:lang w:eastAsia="zh-CN"/>
        </w:rPr>
        <w:t>公顷</w:t>
      </w:r>
      <w:r>
        <w:rPr>
          <w:rFonts w:ascii="Times New Roman" w:eastAsia="宋体" w:hAnsi="Times New Roman" w:cs="Times New Roman" w:hint="eastAsia"/>
          <w:color w:val="auto"/>
          <w:spacing w:val="-6"/>
          <w:sz w:val="24"/>
          <w:szCs w:val="24"/>
          <w:lang w:eastAsia="zh-CN"/>
        </w:rPr>
        <w:t>，申请用海期限</w:t>
      </w:r>
      <w:r>
        <w:rPr>
          <w:rFonts w:ascii="Times New Roman" w:eastAsia="宋体" w:hAnsi="Times New Roman" w:cs="Times New Roman" w:hint="eastAsia"/>
          <w:color w:val="auto"/>
          <w:spacing w:val="-6"/>
          <w:sz w:val="24"/>
          <w:szCs w:val="24"/>
          <w:lang w:eastAsia="zh-CN"/>
        </w:rPr>
        <w:t>40</w:t>
      </w:r>
      <w:r>
        <w:rPr>
          <w:rFonts w:ascii="Times New Roman" w:eastAsia="宋体" w:hAnsi="Times New Roman" w:cs="Times New Roman" w:hint="eastAsia"/>
          <w:color w:val="auto"/>
          <w:spacing w:val="-6"/>
          <w:sz w:val="24"/>
          <w:szCs w:val="24"/>
          <w:lang w:eastAsia="zh-CN"/>
        </w:rPr>
        <w:t>年；清淤区用海</w:t>
      </w:r>
      <w:r>
        <w:rPr>
          <w:rFonts w:ascii="Times New Roman" w:eastAsia="宋体" w:hAnsi="Times New Roman" w:cs="宋体" w:hint="eastAsia"/>
          <w:color w:val="auto"/>
          <w:spacing w:val="-4"/>
          <w:sz w:val="24"/>
          <w:szCs w:val="24"/>
          <w:lang w:eastAsia="zh-CN"/>
        </w:rPr>
        <w:t>14.8672</w:t>
      </w:r>
      <w:r>
        <w:rPr>
          <w:rFonts w:ascii="Times New Roman" w:eastAsia="宋体" w:hAnsi="Times New Roman" w:cs="Times New Roman" w:hint="eastAsia"/>
          <w:color w:val="auto"/>
          <w:spacing w:val="-6"/>
          <w:sz w:val="24"/>
          <w:szCs w:val="24"/>
          <w:lang w:eastAsia="zh-CN"/>
        </w:rPr>
        <w:t>公顷，申请临时用海，用海期限</w:t>
      </w:r>
      <w:r>
        <w:rPr>
          <w:rFonts w:ascii="Times New Roman" w:eastAsia="宋体" w:hAnsi="Times New Roman" w:cs="Times New Roman" w:hint="eastAsia"/>
          <w:color w:val="auto"/>
          <w:spacing w:val="-6"/>
          <w:sz w:val="24"/>
          <w:szCs w:val="24"/>
          <w:lang w:eastAsia="zh-CN"/>
        </w:rPr>
        <w:t>6</w:t>
      </w:r>
      <w:r>
        <w:rPr>
          <w:rFonts w:ascii="Times New Roman" w:eastAsia="宋体" w:hAnsi="Times New Roman" w:cs="Times New Roman" w:hint="eastAsia"/>
          <w:color w:val="auto"/>
          <w:spacing w:val="-6"/>
          <w:sz w:val="24"/>
          <w:szCs w:val="24"/>
          <w:lang w:eastAsia="zh-CN"/>
        </w:rPr>
        <w:t>个月。项目占用岸线</w:t>
      </w:r>
      <w:r>
        <w:rPr>
          <w:rFonts w:ascii="Times New Roman" w:eastAsia="宋体" w:hAnsi="Times New Roman" w:cs="Times New Roman" w:hint="eastAsia"/>
          <w:color w:val="auto"/>
          <w:spacing w:val="-6"/>
          <w:sz w:val="24"/>
          <w:szCs w:val="24"/>
          <w:lang w:eastAsia="zh-CN"/>
        </w:rPr>
        <w:t>0m</w:t>
      </w:r>
      <w:r>
        <w:rPr>
          <w:rFonts w:ascii="Times New Roman" w:eastAsia="宋体" w:hAnsi="Times New Roman" w:cs="Times New Roman" w:hint="eastAsia"/>
          <w:color w:val="auto"/>
          <w:spacing w:val="-6"/>
          <w:sz w:val="24"/>
          <w:szCs w:val="24"/>
          <w:lang w:eastAsia="zh-CN"/>
        </w:rPr>
        <w:t>，不占用无居民海岛。</w:t>
      </w:r>
    </w:p>
    <w:p w14:paraId="2C2B2703" w14:textId="77777777" w:rsidR="0075791A" w:rsidRDefault="00FB2864">
      <w:pPr>
        <w:spacing w:line="360" w:lineRule="auto"/>
        <w:outlineLvl w:val="1"/>
        <w:rPr>
          <w:rFonts w:ascii="Times New Roman" w:eastAsia="Times New Roman" w:hAnsi="Times New Roman" w:cs="Times New Roman"/>
          <w:b/>
          <w:bCs/>
          <w:color w:val="auto"/>
          <w:spacing w:val="-5"/>
          <w:sz w:val="30"/>
          <w:szCs w:val="30"/>
          <w:lang w:eastAsia="zh-CN"/>
        </w:rPr>
      </w:pPr>
      <w:bookmarkStart w:id="390" w:name="bookmark82"/>
      <w:bookmarkStart w:id="391" w:name="_Toc12298"/>
      <w:bookmarkStart w:id="392" w:name="_Toc20652"/>
      <w:bookmarkStart w:id="393" w:name="_Toc4155"/>
      <w:bookmarkEnd w:id="390"/>
      <w:r>
        <w:rPr>
          <w:rFonts w:ascii="Times New Roman" w:eastAsia="宋体" w:hAnsi="Times New Roman" w:cs="Times New Roman" w:hint="eastAsia"/>
          <w:b/>
          <w:bCs/>
          <w:color w:val="auto"/>
          <w:spacing w:val="-5"/>
          <w:sz w:val="30"/>
          <w:szCs w:val="30"/>
          <w:lang w:eastAsia="zh-CN"/>
        </w:rPr>
        <w:t>9</w:t>
      </w:r>
      <w:r>
        <w:rPr>
          <w:rFonts w:ascii="Times New Roman" w:eastAsia="Times New Roman" w:hAnsi="Times New Roman" w:cs="Times New Roman"/>
          <w:b/>
          <w:bCs/>
          <w:color w:val="auto"/>
          <w:spacing w:val="-5"/>
          <w:sz w:val="30"/>
          <w:szCs w:val="30"/>
          <w:lang w:eastAsia="zh-CN"/>
        </w:rPr>
        <w:t>.2项目用海的必要性结论</w:t>
      </w:r>
      <w:bookmarkEnd w:id="391"/>
      <w:bookmarkEnd w:id="392"/>
      <w:bookmarkEnd w:id="393"/>
    </w:p>
    <w:p w14:paraId="0E8455EA"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本项目的建设是落实《红树林保护修复专项行动计划(2020-2025年)》、《海南省红树林保护修复专项行动计划实施方案》的需要，</w:t>
      </w:r>
      <w:r>
        <w:rPr>
          <w:rFonts w:ascii="Times New Roman" w:eastAsia="宋体" w:hAnsi="Times New Roman" w:cs="宋体" w:hint="eastAsia"/>
          <w:color w:val="auto"/>
          <w:sz w:val="24"/>
          <w:szCs w:val="24"/>
          <w:lang w:eastAsia="zh-CN"/>
        </w:rPr>
        <w:t>是海南南部典型热带区域山水林田湖草沙一体化保护和修复工程的重要组成部分，</w:t>
      </w:r>
      <w:r>
        <w:rPr>
          <w:rFonts w:ascii="Times New Roman" w:eastAsia="Times New Roman" w:hAnsi="Times New Roman" w:cs="Times New Roman" w:hint="eastAsia"/>
          <w:color w:val="auto"/>
          <w:spacing w:val="-4"/>
          <w:sz w:val="24"/>
          <w:szCs w:val="24"/>
          <w:lang w:eastAsia="zh-CN"/>
        </w:rPr>
        <w:t>本项目建设是保护红树林资源，维护区域生物多样性的需要，是优化生态环境、提升防灾减灾功能的需求，项目建设是提高海洋及海岸带蓝碳碳汇能力的需要。</w:t>
      </w:r>
    </w:p>
    <w:p w14:paraId="05E0B1DA"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保护区虽然依靠三亚市野生动植物保护中心管理，但没有建立专门的管理局、管理基础设施薄弱，且保护区范围大，内部巡护设施缺乏，无法满足巡查、养护、监测等工作需求，需要建设保护管理设施、巡护道路等，上述构筑物需使用海域；铁炉港潟湖内水动力不足，淤积严重，降低了水体交换能力，影响红树林的生长环境，因此需要对淤积区进行清淤，清淤需排他性用海2个月，需申请用海。</w:t>
      </w:r>
    </w:p>
    <w:p w14:paraId="1813A262"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因此，本项目用海是非常必要的。</w:t>
      </w:r>
    </w:p>
    <w:p w14:paraId="44494731" w14:textId="77777777" w:rsidR="0075791A" w:rsidRDefault="00FB2864">
      <w:pPr>
        <w:spacing w:line="360" w:lineRule="auto"/>
        <w:outlineLvl w:val="1"/>
        <w:rPr>
          <w:rFonts w:ascii="Times New Roman" w:eastAsia="Times New Roman" w:hAnsi="Times New Roman" w:cs="Times New Roman"/>
          <w:b/>
          <w:bCs/>
          <w:color w:val="auto"/>
          <w:spacing w:val="-5"/>
          <w:sz w:val="30"/>
          <w:szCs w:val="30"/>
          <w:lang w:eastAsia="zh-CN"/>
        </w:rPr>
      </w:pPr>
      <w:bookmarkStart w:id="394" w:name="bookmark84"/>
      <w:bookmarkStart w:id="395" w:name="_Toc8203"/>
      <w:bookmarkStart w:id="396" w:name="_Toc18780"/>
      <w:bookmarkStart w:id="397" w:name="_Toc25550"/>
      <w:bookmarkEnd w:id="394"/>
      <w:r>
        <w:rPr>
          <w:rFonts w:ascii="Times New Roman" w:eastAsia="宋体" w:hAnsi="Times New Roman" w:cs="Times New Roman" w:hint="eastAsia"/>
          <w:b/>
          <w:bCs/>
          <w:color w:val="auto"/>
          <w:spacing w:val="-5"/>
          <w:sz w:val="30"/>
          <w:szCs w:val="30"/>
          <w:lang w:eastAsia="zh-CN"/>
        </w:rPr>
        <w:t>9</w:t>
      </w:r>
      <w:r>
        <w:rPr>
          <w:rFonts w:ascii="Times New Roman" w:eastAsia="Times New Roman" w:hAnsi="Times New Roman" w:cs="Times New Roman"/>
          <w:b/>
          <w:bCs/>
          <w:color w:val="auto"/>
          <w:spacing w:val="-5"/>
          <w:sz w:val="30"/>
          <w:szCs w:val="30"/>
          <w:lang w:eastAsia="zh-CN"/>
        </w:rPr>
        <w:t>.3项目用海资源环境影响分析结论</w:t>
      </w:r>
      <w:bookmarkEnd w:id="395"/>
      <w:bookmarkEnd w:id="396"/>
      <w:bookmarkEnd w:id="397"/>
    </w:p>
    <w:p w14:paraId="4A3D087A" w14:textId="77777777" w:rsidR="0075791A" w:rsidRDefault="0075791A">
      <w:pPr>
        <w:spacing w:line="43" w:lineRule="exact"/>
        <w:rPr>
          <w:rFonts w:ascii="Times New Roman" w:hAnsi="Times New Roman"/>
          <w:color w:val="auto"/>
          <w:lang w:eastAsia="zh-CN"/>
        </w:rPr>
      </w:pPr>
    </w:p>
    <w:p w14:paraId="227B1CD2" w14:textId="77777777" w:rsidR="0075791A" w:rsidRDefault="00FB2864">
      <w:pPr>
        <w:spacing w:line="360" w:lineRule="auto"/>
        <w:ind w:firstLineChars="200" w:firstLine="472"/>
        <w:rPr>
          <w:rFonts w:ascii="Times New Roman" w:eastAsia="宋体" w:hAnsi="Times New Roman" w:cs="宋体"/>
          <w:color w:val="auto"/>
          <w:sz w:val="24"/>
          <w:szCs w:val="24"/>
          <w:lang w:eastAsia="zh-CN"/>
        </w:rPr>
      </w:pPr>
      <w:r>
        <w:rPr>
          <w:rFonts w:ascii="Times New Roman" w:eastAsia="宋体" w:hAnsi="Times New Roman" w:cs="宋体"/>
          <w:b/>
          <w:bCs/>
          <w:color w:val="auto"/>
          <w:spacing w:val="-5"/>
          <w:sz w:val="24"/>
          <w:szCs w:val="24"/>
          <w:lang w:eastAsia="zh-CN"/>
        </w:rPr>
        <w:t>（</w:t>
      </w:r>
      <w:r>
        <w:rPr>
          <w:rFonts w:ascii="Times New Roman" w:eastAsia="Times New Roman" w:hAnsi="Times New Roman" w:cs="Times New Roman"/>
          <w:b/>
          <w:bCs/>
          <w:color w:val="auto"/>
          <w:spacing w:val="-5"/>
          <w:sz w:val="24"/>
          <w:szCs w:val="24"/>
          <w:lang w:eastAsia="zh-CN"/>
        </w:rPr>
        <w:t>1</w:t>
      </w:r>
      <w:r>
        <w:rPr>
          <w:rFonts w:ascii="Times New Roman" w:eastAsia="宋体" w:hAnsi="Times New Roman" w:cs="宋体"/>
          <w:b/>
          <w:bCs/>
          <w:color w:val="auto"/>
          <w:spacing w:val="-5"/>
          <w:sz w:val="24"/>
          <w:szCs w:val="24"/>
          <w:lang w:eastAsia="zh-CN"/>
        </w:rPr>
        <w:t>）资源影响</w:t>
      </w:r>
    </w:p>
    <w:p w14:paraId="680D585D"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论证范围内海洋资源主要有港口资源、滩涂资源、渔业资源、旅游资源及海岛资源等。本项目用海工程不会对港口资源、滩涂资源产生影响；施工过程对渔业资源、旅游资源有一定影响，施工完成后将恢复；项目实施不会对海岛资源产生影响。总体上，本项目工程用海</w:t>
      </w:r>
      <w:r>
        <w:rPr>
          <w:rFonts w:ascii="Times New Roman" w:eastAsia="Times New Roman" w:hAnsi="Times New Roman" w:cs="Times New Roman" w:hint="eastAsia"/>
          <w:color w:val="auto"/>
          <w:spacing w:val="-4"/>
          <w:sz w:val="24"/>
          <w:szCs w:val="24"/>
          <w:lang w:eastAsia="zh-CN"/>
        </w:rPr>
        <w:lastRenderedPageBreak/>
        <w:t>对资源影响较小，属于可接受范围。</w:t>
      </w:r>
    </w:p>
    <w:p w14:paraId="6303CAD7" w14:textId="77777777" w:rsidR="0075791A" w:rsidRDefault="00FB2864">
      <w:pPr>
        <w:kinsoku/>
        <w:autoSpaceDE/>
        <w:autoSpaceDN/>
        <w:spacing w:line="360" w:lineRule="auto"/>
        <w:ind w:firstLineChars="200" w:firstLine="480"/>
        <w:textAlignment w:val="auto"/>
        <w:rPr>
          <w:rFonts w:ascii="Times New Roman" w:eastAsia="宋体" w:hAnsi="Times New Roman" w:cs="Times New Roman"/>
          <w:color w:val="auto"/>
          <w:sz w:val="24"/>
          <w:szCs w:val="24"/>
          <w:lang w:eastAsia="zh-CN"/>
        </w:rPr>
      </w:pPr>
      <w:r>
        <w:rPr>
          <w:rFonts w:ascii="Times New Roman" w:eastAsia="宋体" w:hAnsi="Times New Roman" w:cs="Times New Roman"/>
          <w:color w:val="auto"/>
          <w:sz w:val="24"/>
          <w:szCs w:val="24"/>
          <w:lang w:eastAsia="zh-CN"/>
        </w:rPr>
        <w:t>本项目施工过程中产生的悬浮物扩散范围只局限在项目周边范围内，施工过程中未对珊瑚礁分布区、海草床分布区等区域产生不利影响，同时对周边</w:t>
      </w:r>
      <w:r>
        <w:rPr>
          <w:rFonts w:ascii="Times New Roman" w:eastAsia="宋体" w:hAnsi="Times New Roman" w:cs="Times New Roman" w:hint="eastAsia"/>
          <w:color w:val="auto"/>
          <w:sz w:val="24"/>
          <w:szCs w:val="24"/>
          <w:lang w:eastAsia="zh-CN"/>
        </w:rPr>
        <w:t>生态保护红线</w:t>
      </w:r>
      <w:r>
        <w:rPr>
          <w:rFonts w:ascii="Times New Roman" w:eastAsia="宋体" w:hAnsi="Times New Roman" w:cs="Times New Roman"/>
          <w:color w:val="auto"/>
          <w:sz w:val="24"/>
          <w:szCs w:val="24"/>
          <w:lang w:eastAsia="zh-CN"/>
        </w:rPr>
        <w:t>影响</w:t>
      </w:r>
      <w:r>
        <w:rPr>
          <w:rFonts w:ascii="Times New Roman" w:eastAsia="宋体" w:hAnsi="Times New Roman" w:cs="Times New Roman" w:hint="eastAsia"/>
          <w:color w:val="auto"/>
          <w:sz w:val="24"/>
          <w:szCs w:val="24"/>
          <w:lang w:eastAsia="zh-CN"/>
        </w:rPr>
        <w:t>较小，</w:t>
      </w:r>
      <w:r>
        <w:rPr>
          <w:rFonts w:ascii="Times New Roman" w:eastAsia="宋体" w:hAnsi="Times New Roman" w:cs="Times New Roman"/>
          <w:color w:val="auto"/>
          <w:sz w:val="24"/>
          <w:szCs w:val="24"/>
          <w:lang w:eastAsia="zh-CN"/>
        </w:rPr>
        <w:t>且所有源点叠加后超</w:t>
      </w:r>
      <w:r>
        <w:rPr>
          <w:rFonts w:ascii="Times New Roman" w:eastAsia="宋体" w:hAnsi="Times New Roman" w:cs="Times New Roman"/>
          <w:color w:val="auto"/>
          <w:sz w:val="24"/>
          <w:szCs w:val="24"/>
          <w:lang w:eastAsia="zh-CN"/>
        </w:rPr>
        <w:t>I</w:t>
      </w:r>
      <w:r>
        <w:rPr>
          <w:rFonts w:ascii="Times New Roman" w:eastAsia="宋体" w:hAnsi="Times New Roman" w:cs="Times New Roman"/>
          <w:color w:val="auto"/>
          <w:sz w:val="24"/>
          <w:szCs w:val="24"/>
          <w:lang w:eastAsia="zh-CN"/>
        </w:rPr>
        <w:t>、</w:t>
      </w:r>
      <w:r>
        <w:rPr>
          <w:rFonts w:ascii="Times New Roman" w:eastAsia="宋体" w:hAnsi="Times New Roman" w:cs="Times New Roman"/>
          <w:color w:val="auto"/>
          <w:sz w:val="24"/>
          <w:szCs w:val="24"/>
          <w:lang w:eastAsia="zh-CN"/>
        </w:rPr>
        <w:t>Ⅱ</w:t>
      </w:r>
      <w:r>
        <w:rPr>
          <w:rFonts w:ascii="Times New Roman" w:eastAsia="宋体" w:hAnsi="Times New Roman" w:cs="Times New Roman"/>
          <w:color w:val="auto"/>
          <w:sz w:val="24"/>
          <w:szCs w:val="24"/>
          <w:lang w:eastAsia="zh-CN"/>
        </w:rPr>
        <w:t>类水质</w:t>
      </w:r>
      <w:r>
        <w:rPr>
          <w:rFonts w:ascii="Times New Roman" w:eastAsia="宋体" w:hAnsi="Times New Roman" w:cs="Times New Roman" w:hint="eastAsia"/>
          <w:color w:val="auto"/>
          <w:sz w:val="24"/>
          <w:szCs w:val="24"/>
          <w:lang w:eastAsia="zh-CN"/>
        </w:rPr>
        <w:t>（</w:t>
      </w:r>
      <w:r>
        <w:rPr>
          <w:rFonts w:ascii="Times New Roman" w:eastAsia="宋体" w:hAnsi="Times New Roman" w:cs="Times New Roman"/>
          <w:color w:val="auto"/>
          <w:sz w:val="24"/>
          <w:szCs w:val="24"/>
          <w:lang w:eastAsia="zh-CN"/>
        </w:rPr>
        <w:t>&gt;10mg/L</w:t>
      </w:r>
      <w:r>
        <w:rPr>
          <w:rFonts w:ascii="Times New Roman" w:eastAsia="宋体" w:hAnsi="Times New Roman" w:cs="Times New Roman" w:hint="eastAsia"/>
          <w:color w:val="auto"/>
          <w:sz w:val="24"/>
          <w:szCs w:val="24"/>
          <w:lang w:eastAsia="zh-CN"/>
        </w:rPr>
        <w:t>）扩散的最远距离仅有</w:t>
      </w:r>
      <w:r>
        <w:rPr>
          <w:rFonts w:ascii="Times New Roman" w:eastAsia="宋体" w:hAnsi="Times New Roman" w:cs="Times New Roman" w:hint="eastAsia"/>
          <w:color w:val="auto"/>
          <w:sz w:val="24"/>
          <w:szCs w:val="24"/>
          <w:lang w:eastAsia="zh-CN"/>
        </w:rPr>
        <w:t>1.2km</w:t>
      </w:r>
      <w:r>
        <w:rPr>
          <w:rFonts w:ascii="Times New Roman" w:eastAsia="宋体" w:hAnsi="Times New Roman" w:cs="Times New Roman" w:hint="eastAsia"/>
          <w:color w:val="auto"/>
          <w:sz w:val="24"/>
          <w:szCs w:val="24"/>
          <w:lang w:eastAsia="zh-CN"/>
        </w:rPr>
        <w:t>左右</w:t>
      </w:r>
      <w:r>
        <w:rPr>
          <w:rFonts w:ascii="Times New Roman" w:eastAsia="宋体" w:hAnsi="Times New Roman" w:cs="Times New Roman"/>
          <w:color w:val="auto"/>
          <w:sz w:val="24"/>
          <w:szCs w:val="24"/>
          <w:lang w:eastAsia="zh-CN"/>
        </w:rPr>
        <w:t>。</w:t>
      </w:r>
      <w:r>
        <w:rPr>
          <w:rFonts w:ascii="Times New Roman" w:eastAsia="宋体" w:hAnsi="Times New Roman" w:cs="Times New Roman" w:hint="eastAsia"/>
          <w:color w:val="auto"/>
          <w:sz w:val="24"/>
          <w:szCs w:val="24"/>
          <w:lang w:eastAsia="zh-CN"/>
        </w:rPr>
        <w:t>因此，需</w:t>
      </w:r>
      <w:r>
        <w:rPr>
          <w:rFonts w:ascii="Times New Roman" w:eastAsia="宋体" w:hAnsi="Times New Roman" w:cs="Times New Roman" w:hint="eastAsia"/>
          <w:color w:val="auto"/>
          <w:sz w:val="24"/>
          <w:szCs w:val="24"/>
          <w:lang w:eastAsia="zh-CN"/>
        </w:rPr>
        <w:t>采取必要的生态保护措施，如设置防污帘、选择合适时间施工等，并好相应的生态跟踪监测，降低对该功能区红树林及其生态系统、水质和底质的影响。疏浚施工期较短，所产生的悬浮泥沙对海水水质的影响时间是短暂的，这种影响一旦施工完毕，在较短的时间内（</w:t>
      </w:r>
      <w:r>
        <w:rPr>
          <w:rFonts w:ascii="Times New Roman" w:eastAsia="宋体" w:hAnsi="Times New Roman" w:cs="Times New Roman" w:hint="eastAsia"/>
          <w:color w:val="auto"/>
          <w:sz w:val="24"/>
          <w:szCs w:val="24"/>
          <w:lang w:eastAsia="zh-CN"/>
        </w:rPr>
        <w:t>12</w:t>
      </w:r>
      <w:r>
        <w:rPr>
          <w:rFonts w:ascii="Times New Roman" w:eastAsia="宋体" w:hAnsi="Times New Roman" w:cs="Times New Roman" w:hint="eastAsia"/>
          <w:color w:val="auto"/>
          <w:sz w:val="24"/>
          <w:szCs w:val="24"/>
          <w:lang w:eastAsia="zh-CN"/>
        </w:rPr>
        <w:t>小时）也就结束，自然生态环境逐渐得到恢复。</w:t>
      </w:r>
    </w:p>
    <w:p w14:paraId="238978E4"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本项目红树林种植区滩涂整地、疏浚、构筑物建设，将破坏底栖生物的栖息地和生存环境，从而导致生物资源损失，如底栖生物、潮间带生物、浮游生物、鱼卵仔稚鱼和无脊椎动物等。但施工完成后种植区将形成新的滩涂底土环境，底栖生物、潮间带生物可重新</w:t>
      </w:r>
      <w:r>
        <w:rPr>
          <w:rFonts w:ascii="Times New Roman" w:eastAsia="Times New Roman" w:hAnsi="Times New Roman" w:cs="Times New Roman" w:hint="eastAsia"/>
          <w:color w:val="auto"/>
          <w:spacing w:val="-4"/>
          <w:sz w:val="24"/>
          <w:szCs w:val="24"/>
          <w:lang w:eastAsia="zh-CN"/>
        </w:rPr>
        <w:t>形成生态系统。</w:t>
      </w:r>
    </w:p>
    <w:p w14:paraId="6BEF940C" w14:textId="77777777" w:rsidR="0075791A" w:rsidRDefault="00FB2864">
      <w:pPr>
        <w:spacing w:line="360" w:lineRule="auto"/>
        <w:ind w:firstLineChars="200" w:firstLine="472"/>
        <w:jc w:val="both"/>
        <w:rPr>
          <w:rFonts w:ascii="Times New Roman" w:eastAsia="宋体" w:hAnsi="Times New Roman" w:cs="宋体"/>
          <w:color w:val="auto"/>
          <w:sz w:val="24"/>
          <w:szCs w:val="24"/>
          <w:lang w:eastAsia="zh-CN"/>
        </w:rPr>
      </w:pPr>
      <w:r>
        <w:rPr>
          <w:rFonts w:ascii="Times New Roman" w:eastAsia="宋体" w:hAnsi="Times New Roman" w:cs="宋体"/>
          <w:b/>
          <w:bCs/>
          <w:color w:val="auto"/>
          <w:spacing w:val="-5"/>
          <w:sz w:val="24"/>
          <w:szCs w:val="24"/>
          <w:lang w:eastAsia="zh-CN"/>
        </w:rPr>
        <w:t>（</w:t>
      </w:r>
      <w:r>
        <w:rPr>
          <w:rFonts w:ascii="Times New Roman" w:eastAsia="Times New Roman" w:hAnsi="Times New Roman" w:cs="Times New Roman"/>
          <w:b/>
          <w:bCs/>
          <w:color w:val="auto"/>
          <w:spacing w:val="-5"/>
          <w:sz w:val="24"/>
          <w:szCs w:val="24"/>
          <w:lang w:eastAsia="zh-CN"/>
        </w:rPr>
        <w:t>2</w:t>
      </w:r>
      <w:r>
        <w:rPr>
          <w:rFonts w:ascii="Times New Roman" w:eastAsia="宋体" w:hAnsi="Times New Roman" w:cs="宋体"/>
          <w:b/>
          <w:bCs/>
          <w:color w:val="auto"/>
          <w:spacing w:val="-5"/>
          <w:sz w:val="24"/>
          <w:szCs w:val="24"/>
          <w:lang w:eastAsia="zh-CN"/>
        </w:rPr>
        <w:t>）生态影响</w:t>
      </w:r>
    </w:p>
    <w:p w14:paraId="610F8CAA" w14:textId="77777777" w:rsidR="0075791A" w:rsidRDefault="00FB2864">
      <w:pPr>
        <w:spacing w:line="360" w:lineRule="auto"/>
        <w:ind w:firstLineChars="200" w:firstLine="480"/>
        <w:rPr>
          <w:rFonts w:ascii="Times New Roman" w:eastAsia="宋体" w:hAnsi="Times New Roman"/>
          <w:color w:val="auto"/>
          <w:sz w:val="24"/>
          <w:szCs w:val="24"/>
          <w:lang w:eastAsia="zh-CN"/>
        </w:rPr>
      </w:pPr>
      <w:r>
        <w:rPr>
          <w:rFonts w:ascii="Times New Roman" w:eastAsia="宋体" w:hAnsi="Times New Roman" w:hint="eastAsia"/>
          <w:color w:val="auto"/>
          <w:sz w:val="24"/>
          <w:szCs w:val="24"/>
          <w:lang w:eastAsia="zh-CN"/>
        </w:rPr>
        <w:t>1</w:t>
      </w:r>
      <w:r>
        <w:rPr>
          <w:rFonts w:ascii="Times New Roman" w:eastAsia="宋体" w:hAnsi="Times New Roman" w:hint="eastAsia"/>
          <w:color w:val="auto"/>
          <w:sz w:val="24"/>
          <w:szCs w:val="24"/>
          <w:lang w:eastAsia="zh-CN"/>
        </w:rPr>
        <w:t>）</w:t>
      </w:r>
      <w:r>
        <w:rPr>
          <w:rFonts w:ascii="Times New Roman" w:eastAsia="宋体" w:hAnsi="Times New Roman"/>
          <w:color w:val="auto"/>
          <w:sz w:val="24"/>
          <w:szCs w:val="24"/>
          <w:lang w:eastAsia="zh-CN"/>
        </w:rPr>
        <w:t>通过对比工程建设前后涨急和落急时刻流场可知，</w:t>
      </w:r>
      <w:r>
        <w:rPr>
          <w:rFonts w:ascii="宋体" w:hAnsi="宋体" w:hint="eastAsia"/>
          <w:color w:val="auto"/>
          <w:sz w:val="24"/>
          <w:lang w:eastAsia="zh-CN"/>
        </w:rPr>
        <w:t>疏浚工程的实施对流速改变的幅度和范围都较小，只局限在疏浚区的小范围内，对周边的海洋动力环境影响较小。</w:t>
      </w:r>
    </w:p>
    <w:p w14:paraId="2C943CC9" w14:textId="77777777" w:rsidR="0075791A" w:rsidRDefault="00FB2864">
      <w:pPr>
        <w:spacing w:line="360" w:lineRule="auto"/>
        <w:ind w:firstLineChars="200" w:firstLine="480"/>
        <w:rPr>
          <w:rFonts w:ascii="Times New Roman" w:eastAsia="宋体" w:hAnsi="Times New Roman"/>
          <w:color w:val="auto"/>
          <w:sz w:val="24"/>
          <w:szCs w:val="24"/>
          <w:lang w:eastAsia="zh-CN"/>
        </w:rPr>
      </w:pPr>
      <w:r>
        <w:rPr>
          <w:rFonts w:ascii="Times New Roman" w:eastAsia="宋体" w:hAnsi="Times New Roman" w:hint="eastAsia"/>
          <w:color w:val="auto"/>
          <w:sz w:val="24"/>
          <w:szCs w:val="24"/>
          <w:lang w:eastAsia="zh-CN"/>
        </w:rPr>
        <w:t>2</w:t>
      </w:r>
      <w:r>
        <w:rPr>
          <w:rFonts w:ascii="Times New Roman" w:eastAsia="宋体" w:hAnsi="Times New Roman" w:hint="eastAsia"/>
          <w:color w:val="auto"/>
          <w:sz w:val="24"/>
          <w:szCs w:val="24"/>
          <w:lang w:eastAsia="zh-CN"/>
        </w:rPr>
        <w:t>）</w:t>
      </w:r>
      <w:r>
        <w:rPr>
          <w:rFonts w:ascii="宋体" w:hAnsi="宋体" w:hint="eastAsia"/>
          <w:color w:val="auto"/>
          <w:sz w:val="24"/>
          <w:lang w:eastAsia="zh-CN"/>
        </w:rPr>
        <w:t>本项目工程后悬浮沙引起冲淤的范围较小，主要集中在疏浚区及附近的小范围内，冲淤幅度也较小，最大值在±</w:t>
      </w:r>
      <w:r>
        <w:rPr>
          <w:rFonts w:ascii="宋体" w:hAnsi="宋体" w:hint="eastAsia"/>
          <w:color w:val="auto"/>
          <w:sz w:val="24"/>
          <w:lang w:eastAsia="zh-CN"/>
        </w:rPr>
        <w:t>13</w:t>
      </w:r>
      <w:r>
        <w:rPr>
          <w:rFonts w:ascii="宋体" w:hAnsi="宋体"/>
          <w:color w:val="auto"/>
          <w:sz w:val="24"/>
          <w:lang w:eastAsia="zh-CN"/>
        </w:rPr>
        <w:t>cm/a</w:t>
      </w:r>
      <w:r>
        <w:rPr>
          <w:rFonts w:ascii="宋体" w:hAnsi="宋体" w:hint="eastAsia"/>
          <w:color w:val="auto"/>
          <w:sz w:val="24"/>
          <w:lang w:eastAsia="zh-CN"/>
        </w:rPr>
        <w:t>左右</w:t>
      </w:r>
      <w:r>
        <w:rPr>
          <w:rFonts w:ascii="宋体" w:eastAsia="宋体" w:hAnsi="宋体" w:hint="eastAsia"/>
          <w:color w:val="auto"/>
          <w:sz w:val="24"/>
          <w:lang w:eastAsia="zh-CN"/>
        </w:rPr>
        <w:t>；</w:t>
      </w:r>
      <w:r>
        <w:rPr>
          <w:rFonts w:ascii="宋体" w:hAnsi="宋体" w:hint="eastAsia"/>
          <w:color w:val="auto"/>
          <w:sz w:val="24"/>
          <w:szCs w:val="24"/>
          <w:lang w:eastAsia="zh-CN"/>
        </w:rPr>
        <w:t>工程后纳潮量略有增加，这有利于维持铁炉港潮汐通道和泻湖口门的稳定。</w:t>
      </w:r>
      <w:r>
        <w:rPr>
          <w:rFonts w:ascii="宋体" w:hAnsi="宋体" w:hint="eastAsia"/>
          <w:color w:val="auto"/>
          <w:sz w:val="24"/>
          <w:lang w:eastAsia="zh-CN"/>
        </w:rPr>
        <w:t>铁炉港潮汐通道过水断面面积小于均衡态条件下的过水断面面积，因此在目前情况下，铁炉港潮汐通道将继续维持现有的过水断面面积和潮汐深槽，不会出现明显的淤积。工程后纳潮量增加，这有利于维持铁炉港潮汐汊道的稳定。</w:t>
      </w:r>
    </w:p>
    <w:p w14:paraId="4DECBB7E" w14:textId="77777777" w:rsidR="0075791A" w:rsidRDefault="00FB2864">
      <w:pPr>
        <w:spacing w:line="360" w:lineRule="auto"/>
        <w:ind w:firstLineChars="200" w:firstLine="476"/>
        <w:jc w:val="both"/>
        <w:rPr>
          <w:rFonts w:ascii="Times New Roman" w:eastAsia="宋体" w:hAnsi="Times New Roman" w:cs="宋体"/>
          <w:color w:val="auto"/>
          <w:sz w:val="24"/>
          <w:szCs w:val="24"/>
          <w:lang w:eastAsia="zh-CN"/>
        </w:rPr>
      </w:pPr>
      <w:r>
        <w:rPr>
          <w:rFonts w:ascii="Times New Roman" w:eastAsia="宋体" w:hAnsi="Times New Roman" w:cs="宋体"/>
          <w:color w:val="auto"/>
          <w:spacing w:val="-2"/>
          <w:sz w:val="24"/>
          <w:szCs w:val="24"/>
          <w:lang w:eastAsia="zh-CN"/>
        </w:rPr>
        <w:t>综上，本项目用海对生态影响有正面及负面的影响，正面影响主要表现在通过</w:t>
      </w:r>
      <w:r>
        <w:rPr>
          <w:rFonts w:ascii="Times New Roman" w:eastAsia="宋体" w:hAnsi="Times New Roman" w:cs="宋体" w:hint="eastAsia"/>
          <w:color w:val="auto"/>
          <w:spacing w:val="-2"/>
          <w:sz w:val="24"/>
          <w:szCs w:val="24"/>
          <w:lang w:eastAsia="zh-CN"/>
        </w:rPr>
        <w:t>红树林湿地</w:t>
      </w:r>
      <w:r>
        <w:rPr>
          <w:rFonts w:ascii="Times New Roman" w:eastAsia="宋体" w:hAnsi="Times New Roman" w:cs="宋体"/>
          <w:color w:val="auto"/>
          <w:spacing w:val="-2"/>
          <w:sz w:val="24"/>
          <w:szCs w:val="24"/>
          <w:lang w:eastAsia="zh-CN"/>
        </w:rPr>
        <w:t>修复工程，</w:t>
      </w:r>
      <w:r>
        <w:rPr>
          <w:rFonts w:ascii="Times New Roman" w:eastAsia="宋体" w:hAnsi="Times New Roman" w:cs="宋体" w:hint="eastAsia"/>
          <w:color w:val="auto"/>
          <w:spacing w:val="-2"/>
          <w:sz w:val="24"/>
          <w:szCs w:val="24"/>
          <w:lang w:eastAsia="zh-CN"/>
        </w:rPr>
        <w:t>保护河</w:t>
      </w:r>
      <w:r>
        <w:rPr>
          <w:rFonts w:ascii="Times New Roman" w:eastAsia="宋体" w:hAnsi="Times New Roman" w:cs="宋体"/>
          <w:color w:val="auto"/>
          <w:spacing w:val="-2"/>
          <w:sz w:val="24"/>
          <w:szCs w:val="24"/>
          <w:lang w:eastAsia="zh-CN"/>
        </w:rPr>
        <w:t>恢复</w:t>
      </w:r>
      <w:r>
        <w:rPr>
          <w:rFonts w:ascii="Times New Roman" w:eastAsia="宋体" w:hAnsi="Times New Roman" w:cs="宋体" w:hint="eastAsia"/>
          <w:color w:val="auto"/>
          <w:spacing w:val="-2"/>
          <w:sz w:val="24"/>
          <w:szCs w:val="24"/>
          <w:lang w:eastAsia="zh-CN"/>
        </w:rPr>
        <w:t>红树林及滨海湿地生态系统</w:t>
      </w:r>
      <w:r>
        <w:rPr>
          <w:rFonts w:ascii="Times New Roman" w:eastAsia="宋体" w:hAnsi="Times New Roman" w:cs="宋体"/>
          <w:color w:val="auto"/>
          <w:spacing w:val="-2"/>
          <w:sz w:val="24"/>
          <w:szCs w:val="24"/>
          <w:lang w:eastAsia="zh-CN"/>
        </w:rPr>
        <w:t>；负面影响主要表现在疏浚产生悬浮泥沙对生态环境的影响，这种影响在施工完成后将逐步恢复。可见，通过采取一定的环境保护措施，本项目用海工程</w:t>
      </w:r>
      <w:r>
        <w:rPr>
          <w:rFonts w:ascii="Times New Roman" w:eastAsia="宋体" w:hAnsi="Times New Roman" w:cs="宋体"/>
          <w:color w:val="auto"/>
          <w:spacing w:val="-1"/>
          <w:sz w:val="24"/>
          <w:szCs w:val="24"/>
          <w:lang w:eastAsia="zh-CN"/>
        </w:rPr>
        <w:t>对生态的影响属于可接受的范围。</w:t>
      </w:r>
    </w:p>
    <w:p w14:paraId="0DE1ADC3" w14:textId="77777777" w:rsidR="0075791A" w:rsidRDefault="00FB2864">
      <w:pPr>
        <w:spacing w:line="360" w:lineRule="auto"/>
        <w:outlineLvl w:val="1"/>
        <w:rPr>
          <w:rFonts w:ascii="Times New Roman" w:eastAsia="Times New Roman" w:hAnsi="Times New Roman" w:cs="Times New Roman"/>
          <w:b/>
          <w:bCs/>
          <w:color w:val="auto"/>
          <w:spacing w:val="-5"/>
          <w:sz w:val="30"/>
          <w:szCs w:val="30"/>
          <w:lang w:eastAsia="zh-CN"/>
        </w:rPr>
      </w:pPr>
      <w:bookmarkStart w:id="398" w:name="bookmark86"/>
      <w:bookmarkStart w:id="399" w:name="_Toc26122"/>
      <w:bookmarkStart w:id="400" w:name="_Toc13742"/>
      <w:bookmarkStart w:id="401" w:name="_Toc23984"/>
      <w:bookmarkEnd w:id="398"/>
      <w:r>
        <w:rPr>
          <w:rFonts w:ascii="Times New Roman" w:eastAsia="宋体" w:hAnsi="Times New Roman" w:cs="Times New Roman" w:hint="eastAsia"/>
          <w:b/>
          <w:bCs/>
          <w:color w:val="auto"/>
          <w:spacing w:val="-5"/>
          <w:sz w:val="30"/>
          <w:szCs w:val="30"/>
          <w:lang w:eastAsia="zh-CN"/>
        </w:rPr>
        <w:t>9</w:t>
      </w:r>
      <w:r>
        <w:rPr>
          <w:rFonts w:ascii="Times New Roman" w:eastAsia="Times New Roman" w:hAnsi="Times New Roman" w:cs="Times New Roman"/>
          <w:b/>
          <w:bCs/>
          <w:color w:val="auto"/>
          <w:spacing w:val="-5"/>
          <w:sz w:val="30"/>
          <w:szCs w:val="30"/>
          <w:lang w:eastAsia="zh-CN"/>
        </w:rPr>
        <w:t>.4海域开发利用协调分析结论</w:t>
      </w:r>
      <w:bookmarkEnd w:id="399"/>
      <w:bookmarkEnd w:id="400"/>
      <w:bookmarkEnd w:id="401"/>
    </w:p>
    <w:p w14:paraId="25D3D547"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color w:val="auto"/>
          <w:spacing w:val="-4"/>
          <w:sz w:val="24"/>
          <w:szCs w:val="24"/>
          <w:lang w:eastAsia="zh-CN"/>
        </w:rPr>
        <w:t>根据项目用海对海域开发活动的影响分析结果，论证范围内海域开发利用活动主要包括</w:t>
      </w:r>
      <w:r>
        <w:rPr>
          <w:rFonts w:ascii="Times New Roman" w:eastAsia="Times New Roman" w:hAnsi="Times New Roman" w:cs="Times New Roman"/>
          <w:color w:val="auto"/>
          <w:spacing w:val="-4"/>
          <w:sz w:val="24"/>
          <w:szCs w:val="24"/>
          <w:lang w:eastAsia="zh-CN"/>
        </w:rPr>
        <w:t>渔业用海、</w:t>
      </w:r>
      <w:r>
        <w:rPr>
          <w:rFonts w:ascii="Times New Roman" w:eastAsia="Times New Roman" w:hAnsi="Times New Roman" w:cs="Times New Roman" w:hint="eastAsia"/>
          <w:color w:val="auto"/>
          <w:spacing w:val="-4"/>
          <w:sz w:val="24"/>
          <w:szCs w:val="24"/>
          <w:lang w:eastAsia="zh-CN"/>
        </w:rPr>
        <w:t>游憩</w:t>
      </w:r>
      <w:r>
        <w:rPr>
          <w:rFonts w:ascii="Times New Roman" w:eastAsia="Times New Roman" w:hAnsi="Times New Roman" w:cs="Times New Roman"/>
          <w:color w:val="auto"/>
          <w:spacing w:val="-4"/>
          <w:sz w:val="24"/>
          <w:szCs w:val="24"/>
          <w:lang w:eastAsia="zh-CN"/>
        </w:rPr>
        <w:t>用海、</w:t>
      </w:r>
      <w:r>
        <w:rPr>
          <w:rFonts w:ascii="Times New Roman" w:eastAsia="Times New Roman" w:hAnsi="Times New Roman" w:cs="Times New Roman" w:hint="eastAsia"/>
          <w:color w:val="auto"/>
          <w:spacing w:val="-4"/>
          <w:sz w:val="24"/>
          <w:szCs w:val="24"/>
          <w:lang w:eastAsia="zh-CN"/>
        </w:rPr>
        <w:t>工矿通信用海、特殊用海等</w:t>
      </w:r>
      <w:r>
        <w:rPr>
          <w:rFonts w:ascii="Times New Roman" w:eastAsia="Times New Roman" w:hAnsi="Times New Roman" w:cs="Times New Roman"/>
          <w:color w:val="auto"/>
          <w:spacing w:val="-4"/>
          <w:sz w:val="24"/>
          <w:szCs w:val="24"/>
          <w:lang w:eastAsia="zh-CN"/>
        </w:rPr>
        <w:t>。项目用海涉及到利益相关者主要有</w:t>
      </w:r>
      <w:r>
        <w:rPr>
          <w:rFonts w:ascii="Times New Roman" w:eastAsia="宋体" w:hAnsi="Times New Roman" w:cs="Times New Roman" w:hint="eastAsia"/>
          <w:color w:val="auto"/>
          <w:spacing w:val="-4"/>
          <w:sz w:val="24"/>
          <w:szCs w:val="24"/>
          <w:lang w:eastAsia="zh-CN"/>
        </w:rPr>
        <w:t>江林村农民集体</w:t>
      </w:r>
      <w:r>
        <w:rPr>
          <w:rFonts w:ascii="Times New Roman" w:eastAsia="Times New Roman" w:hAnsi="Times New Roman" w:cs="Times New Roman" w:hint="eastAsia"/>
          <w:color w:val="auto"/>
          <w:spacing w:val="-4"/>
          <w:sz w:val="24"/>
          <w:szCs w:val="24"/>
          <w:lang w:eastAsia="zh-CN"/>
        </w:rPr>
        <w:t>；需协调部门有海棠区人民政府、三亚海事局</w:t>
      </w:r>
      <w:r>
        <w:rPr>
          <w:rFonts w:ascii="Times New Roman" w:eastAsia="Times New Roman" w:hAnsi="Times New Roman" w:cs="Times New Roman"/>
          <w:color w:val="auto"/>
          <w:spacing w:val="-4"/>
          <w:sz w:val="24"/>
          <w:szCs w:val="24"/>
          <w:lang w:eastAsia="zh-CN"/>
        </w:rPr>
        <w:t>。根据利益相关者协调分析结论，本项目用海与利益相关者和利益协调部门具有可协调性，用海申请单位应切实落实与利益相关者的协调方案，取得利益相关者的同意和支持，避免用海冲突，保障用海秩序。</w:t>
      </w:r>
    </w:p>
    <w:p w14:paraId="4AA9CA8D" w14:textId="77777777" w:rsidR="0075791A" w:rsidRDefault="00FB2864">
      <w:pPr>
        <w:spacing w:line="360" w:lineRule="auto"/>
        <w:outlineLvl w:val="1"/>
        <w:rPr>
          <w:rFonts w:ascii="Times New Roman" w:eastAsia="Times New Roman" w:hAnsi="Times New Roman" w:cs="Times New Roman"/>
          <w:b/>
          <w:bCs/>
          <w:color w:val="auto"/>
          <w:spacing w:val="-5"/>
          <w:sz w:val="30"/>
          <w:szCs w:val="30"/>
          <w:lang w:eastAsia="zh-CN"/>
        </w:rPr>
      </w:pPr>
      <w:bookmarkStart w:id="402" w:name="bookmark88"/>
      <w:bookmarkStart w:id="403" w:name="_Toc1585"/>
      <w:bookmarkStart w:id="404" w:name="_Toc10484"/>
      <w:bookmarkStart w:id="405" w:name="_Toc3810"/>
      <w:bookmarkEnd w:id="402"/>
      <w:r>
        <w:rPr>
          <w:rFonts w:ascii="Times New Roman" w:eastAsia="宋体" w:hAnsi="Times New Roman" w:cs="Times New Roman" w:hint="eastAsia"/>
          <w:b/>
          <w:bCs/>
          <w:color w:val="auto"/>
          <w:spacing w:val="-5"/>
          <w:sz w:val="30"/>
          <w:szCs w:val="30"/>
          <w:lang w:eastAsia="zh-CN"/>
        </w:rPr>
        <w:lastRenderedPageBreak/>
        <w:t>9</w:t>
      </w:r>
      <w:r>
        <w:rPr>
          <w:rFonts w:ascii="Times New Roman" w:eastAsia="Times New Roman" w:hAnsi="Times New Roman" w:cs="Times New Roman"/>
          <w:b/>
          <w:bCs/>
          <w:color w:val="auto"/>
          <w:spacing w:val="-5"/>
          <w:sz w:val="30"/>
          <w:szCs w:val="30"/>
          <w:lang w:eastAsia="zh-CN"/>
        </w:rPr>
        <w:t>.5项目用海与国土空间规划的符合性结论</w:t>
      </w:r>
      <w:bookmarkEnd w:id="403"/>
      <w:bookmarkEnd w:id="404"/>
      <w:bookmarkEnd w:id="405"/>
    </w:p>
    <w:p w14:paraId="6ECC612E" w14:textId="77777777" w:rsidR="0075791A" w:rsidRDefault="00FB2864">
      <w:pPr>
        <w:widowControl w:val="0"/>
        <w:kinsoku/>
        <w:adjustRightInd/>
        <w:snapToGrid/>
        <w:spacing w:line="360" w:lineRule="auto"/>
        <w:ind w:firstLineChars="200" w:firstLine="472"/>
        <w:jc w:val="both"/>
        <w:textAlignment w:val="auto"/>
        <w:rPr>
          <w:rFonts w:ascii="Times New Roman" w:eastAsia="宋体" w:hAnsi="Times New Roman" w:cs="Times New Roman"/>
          <w:color w:val="auto"/>
          <w:spacing w:val="-4"/>
          <w:sz w:val="24"/>
          <w:szCs w:val="24"/>
          <w:lang w:eastAsia="zh-CN"/>
        </w:rPr>
      </w:pPr>
      <w:r>
        <w:rPr>
          <w:rFonts w:ascii="Times New Roman" w:eastAsia="宋体" w:hAnsi="Times New Roman" w:cs="Times New Roman" w:hint="eastAsia"/>
          <w:color w:val="auto"/>
          <w:spacing w:val="-4"/>
          <w:sz w:val="24"/>
          <w:szCs w:val="24"/>
          <w:lang w:eastAsia="zh-CN"/>
        </w:rPr>
        <w:t>根据《海南省国土空间规划（</w:t>
      </w:r>
      <w:r>
        <w:rPr>
          <w:rFonts w:ascii="Times New Roman" w:eastAsia="宋体" w:hAnsi="Times New Roman" w:cs="Times New Roman" w:hint="eastAsia"/>
          <w:color w:val="auto"/>
          <w:spacing w:val="-4"/>
          <w:sz w:val="24"/>
          <w:szCs w:val="24"/>
          <w:lang w:eastAsia="zh-CN"/>
        </w:rPr>
        <w:t>2021-2035</w:t>
      </w:r>
      <w:r>
        <w:rPr>
          <w:rFonts w:ascii="Times New Roman" w:eastAsia="宋体" w:hAnsi="Times New Roman" w:cs="Times New Roman" w:hint="eastAsia"/>
          <w:color w:val="auto"/>
          <w:spacing w:val="-4"/>
          <w:sz w:val="24"/>
          <w:szCs w:val="24"/>
          <w:lang w:eastAsia="zh-CN"/>
        </w:rPr>
        <w:t>年）》，本项目利用国土空间功能分区为海洋生态保护红线；根据《海南省海岸带及海洋空间规划（</w:t>
      </w:r>
      <w:r>
        <w:rPr>
          <w:rFonts w:ascii="Times New Roman" w:eastAsia="宋体" w:hAnsi="Times New Roman" w:cs="Times New Roman" w:hint="eastAsia"/>
          <w:color w:val="auto"/>
          <w:spacing w:val="-4"/>
          <w:sz w:val="24"/>
          <w:szCs w:val="24"/>
          <w:lang w:eastAsia="zh-CN"/>
        </w:rPr>
        <w:t>2021-2035</w:t>
      </w:r>
      <w:r>
        <w:rPr>
          <w:rFonts w:ascii="Times New Roman" w:eastAsia="宋体" w:hAnsi="Times New Roman" w:cs="Times New Roman" w:hint="eastAsia"/>
          <w:color w:val="auto"/>
          <w:spacing w:val="-4"/>
          <w:sz w:val="24"/>
          <w:szCs w:val="24"/>
          <w:lang w:eastAsia="zh-CN"/>
        </w:rPr>
        <w:t>年）》《三亚市国土空间总体规划（</w:t>
      </w:r>
      <w:r>
        <w:rPr>
          <w:rFonts w:ascii="Times New Roman" w:eastAsia="宋体" w:hAnsi="Times New Roman" w:cs="Times New Roman" w:hint="eastAsia"/>
          <w:color w:val="auto"/>
          <w:spacing w:val="-4"/>
          <w:sz w:val="24"/>
          <w:szCs w:val="24"/>
          <w:lang w:eastAsia="zh-CN"/>
        </w:rPr>
        <w:t>2021-2035</w:t>
      </w:r>
      <w:r>
        <w:rPr>
          <w:rFonts w:ascii="Times New Roman" w:eastAsia="宋体" w:hAnsi="Times New Roman" w:cs="Times New Roman" w:hint="eastAsia"/>
          <w:color w:val="auto"/>
          <w:spacing w:val="-4"/>
          <w:sz w:val="24"/>
          <w:szCs w:val="24"/>
          <w:lang w:eastAsia="zh-CN"/>
        </w:rPr>
        <w:t>年）》，本项目用海位于生态保护区，特别是疏浚工程</w:t>
      </w:r>
      <w:r>
        <w:rPr>
          <w:rFonts w:ascii="Times New Roman" w:eastAsia="宋体" w:hAnsi="Times New Roman" w:cs="Times New Roman" w:hint="eastAsia"/>
          <w:color w:val="auto"/>
          <w:spacing w:val="-4"/>
          <w:sz w:val="24"/>
          <w:szCs w:val="24"/>
          <w:lang w:eastAsia="zh-CN"/>
        </w:rPr>
        <w:t>14.8579</w:t>
      </w:r>
      <w:r>
        <w:rPr>
          <w:rFonts w:ascii="Times New Roman" w:eastAsia="宋体" w:hAnsi="Times New Roman" w:cs="Times New Roman" w:hint="eastAsia"/>
          <w:color w:val="auto"/>
          <w:spacing w:val="-4"/>
          <w:sz w:val="24"/>
          <w:szCs w:val="24"/>
          <w:lang w:eastAsia="zh-CN"/>
        </w:rPr>
        <w:t>公顷位于生态保护红线内自然保护地核心保护区。</w:t>
      </w:r>
    </w:p>
    <w:p w14:paraId="31B9195F" w14:textId="77777777" w:rsidR="0075791A" w:rsidRDefault="00FB2864">
      <w:pPr>
        <w:widowControl w:val="0"/>
        <w:kinsoku/>
        <w:adjustRightInd/>
        <w:snapToGrid/>
        <w:spacing w:line="360" w:lineRule="auto"/>
        <w:ind w:firstLineChars="200" w:firstLine="472"/>
        <w:jc w:val="both"/>
        <w:textAlignment w:val="auto"/>
        <w:rPr>
          <w:rFonts w:ascii="Times New Roman" w:eastAsia="宋体" w:hAnsi="Times New Roman" w:cs="Times New Roman"/>
          <w:color w:val="auto"/>
          <w:spacing w:val="-4"/>
          <w:sz w:val="24"/>
          <w:szCs w:val="24"/>
          <w:lang w:eastAsia="zh-CN"/>
        </w:rPr>
      </w:pPr>
      <w:r>
        <w:rPr>
          <w:rFonts w:ascii="Times New Roman" w:eastAsia="宋体" w:hAnsi="Times New Roman" w:cs="Times New Roman" w:hint="eastAsia"/>
          <w:color w:val="auto"/>
          <w:spacing w:val="-4"/>
          <w:sz w:val="24"/>
          <w:szCs w:val="24"/>
          <w:lang w:eastAsia="zh-CN"/>
        </w:rPr>
        <w:t>本项目用海</w:t>
      </w:r>
      <w:r>
        <w:rPr>
          <w:rFonts w:ascii="Times New Roman" w:eastAsia="宋体" w:hAnsi="Times New Roman" w:cs="Times New Roman" w:hint="eastAsia"/>
          <w:color w:val="auto"/>
          <w:spacing w:val="-4"/>
          <w:sz w:val="24"/>
          <w:szCs w:val="24"/>
          <w:lang w:eastAsia="zh-CN"/>
        </w:rPr>
        <w:t>14.8579</w:t>
      </w:r>
      <w:r>
        <w:rPr>
          <w:rFonts w:ascii="Times New Roman" w:eastAsia="宋体" w:hAnsi="Times New Roman" w:cs="Times New Roman" w:hint="eastAsia"/>
          <w:color w:val="auto"/>
          <w:spacing w:val="-4"/>
          <w:sz w:val="24"/>
          <w:szCs w:val="24"/>
          <w:lang w:eastAsia="zh-CN"/>
        </w:rPr>
        <w:t>公顷位于海南三亚</w:t>
      </w:r>
      <w:r>
        <w:rPr>
          <w:rFonts w:ascii="Times New Roman" w:eastAsia="宋体" w:hAnsi="Times New Roman" w:cs="Times New Roman"/>
          <w:color w:val="auto"/>
          <w:spacing w:val="-4"/>
          <w:sz w:val="24"/>
          <w:szCs w:val="24"/>
          <w:lang w:eastAsia="zh-CN"/>
        </w:rPr>
        <w:t>红树林</w:t>
      </w:r>
      <w:r>
        <w:rPr>
          <w:rFonts w:ascii="Times New Roman" w:eastAsia="宋体" w:hAnsi="Times New Roman" w:cs="Times New Roman" w:hint="eastAsia"/>
          <w:color w:val="auto"/>
          <w:spacing w:val="-4"/>
          <w:sz w:val="24"/>
          <w:szCs w:val="24"/>
          <w:lang w:eastAsia="zh-CN"/>
        </w:rPr>
        <w:t>省级自然保护区的</w:t>
      </w:r>
      <w:r>
        <w:rPr>
          <w:rFonts w:ascii="Times New Roman" w:eastAsia="宋体" w:hAnsi="Times New Roman" w:cs="Times New Roman"/>
          <w:color w:val="auto"/>
          <w:spacing w:val="-4"/>
          <w:sz w:val="24"/>
          <w:szCs w:val="24"/>
          <w:lang w:eastAsia="zh-CN"/>
        </w:rPr>
        <w:t>自然</w:t>
      </w:r>
      <w:r>
        <w:rPr>
          <w:rFonts w:ascii="Times New Roman" w:eastAsia="宋体" w:hAnsi="Times New Roman" w:cs="Times New Roman" w:hint="eastAsia"/>
          <w:color w:val="auto"/>
          <w:spacing w:val="-4"/>
          <w:sz w:val="24"/>
          <w:szCs w:val="24"/>
          <w:lang w:eastAsia="zh-CN"/>
        </w:rPr>
        <w:t>保护地核心保护区的生态保护红线内、</w:t>
      </w:r>
      <w:r>
        <w:rPr>
          <w:rFonts w:ascii="Times New Roman" w:eastAsia="宋体" w:hAnsi="Times New Roman" w:cs="Times New Roman" w:hint="eastAsia"/>
          <w:color w:val="auto"/>
          <w:spacing w:val="-4"/>
          <w:sz w:val="24"/>
          <w:szCs w:val="24"/>
          <w:lang w:eastAsia="zh-CN"/>
        </w:rPr>
        <w:t>0.3515</w:t>
      </w:r>
      <w:r>
        <w:rPr>
          <w:rFonts w:ascii="Times New Roman" w:eastAsia="宋体" w:hAnsi="Times New Roman" w:cs="Times New Roman" w:hint="eastAsia"/>
          <w:color w:val="auto"/>
          <w:spacing w:val="-4"/>
          <w:sz w:val="24"/>
          <w:szCs w:val="24"/>
          <w:lang w:eastAsia="zh-CN"/>
        </w:rPr>
        <w:t>公顷海南三亚</w:t>
      </w:r>
      <w:r>
        <w:rPr>
          <w:rFonts w:ascii="Times New Roman" w:eastAsia="宋体" w:hAnsi="Times New Roman" w:cs="Times New Roman"/>
          <w:color w:val="auto"/>
          <w:spacing w:val="-4"/>
          <w:sz w:val="24"/>
          <w:szCs w:val="24"/>
          <w:lang w:eastAsia="zh-CN"/>
        </w:rPr>
        <w:t>红树林</w:t>
      </w:r>
      <w:r>
        <w:rPr>
          <w:rFonts w:ascii="Times New Roman" w:eastAsia="宋体" w:hAnsi="Times New Roman" w:cs="Times New Roman" w:hint="eastAsia"/>
          <w:color w:val="auto"/>
          <w:spacing w:val="-4"/>
          <w:sz w:val="24"/>
          <w:szCs w:val="24"/>
          <w:lang w:eastAsia="zh-CN"/>
        </w:rPr>
        <w:t>省级自然保护区的</w:t>
      </w:r>
      <w:r>
        <w:rPr>
          <w:rFonts w:ascii="Times New Roman" w:eastAsia="宋体" w:hAnsi="Times New Roman" w:cs="Times New Roman"/>
          <w:color w:val="auto"/>
          <w:spacing w:val="-4"/>
          <w:sz w:val="24"/>
          <w:szCs w:val="24"/>
          <w:lang w:eastAsia="zh-CN"/>
        </w:rPr>
        <w:t>自然</w:t>
      </w:r>
      <w:r>
        <w:rPr>
          <w:rFonts w:ascii="Times New Roman" w:eastAsia="宋体" w:hAnsi="Times New Roman" w:cs="Times New Roman" w:hint="eastAsia"/>
          <w:color w:val="auto"/>
          <w:spacing w:val="-4"/>
          <w:sz w:val="24"/>
          <w:szCs w:val="24"/>
          <w:lang w:eastAsia="zh-CN"/>
        </w:rPr>
        <w:t>保护地一般控制区的生态保护红线内、</w:t>
      </w:r>
      <w:r>
        <w:rPr>
          <w:rFonts w:ascii="Times New Roman" w:eastAsia="宋体" w:hAnsi="Times New Roman" w:cs="Times New Roman" w:hint="eastAsia"/>
          <w:color w:val="auto"/>
          <w:spacing w:val="-4"/>
          <w:sz w:val="24"/>
          <w:szCs w:val="24"/>
          <w:lang w:eastAsia="zh-CN"/>
        </w:rPr>
        <w:t>0.0371</w:t>
      </w:r>
      <w:r>
        <w:rPr>
          <w:rFonts w:ascii="Times New Roman" w:eastAsia="宋体" w:hAnsi="Times New Roman" w:cs="Times New Roman" w:hint="eastAsia"/>
          <w:color w:val="auto"/>
          <w:spacing w:val="-4"/>
          <w:sz w:val="24"/>
          <w:szCs w:val="24"/>
          <w:lang w:eastAsia="zh-CN"/>
        </w:rPr>
        <w:t>公顷位于</w:t>
      </w:r>
      <w:r>
        <w:rPr>
          <w:rFonts w:ascii="Times New Roman" w:eastAsia="宋体" w:hAnsi="Times New Roman" w:cs="Times New Roman" w:hint="eastAsia"/>
          <w:color w:val="auto"/>
          <w:spacing w:val="-4"/>
          <w:sz w:val="24"/>
          <w:szCs w:val="24"/>
          <w:lang w:eastAsia="zh-CN"/>
        </w:rPr>
        <w:t>自然保护地以外区域的生态保护红线。</w:t>
      </w:r>
    </w:p>
    <w:p w14:paraId="250F2E80" w14:textId="77777777" w:rsidR="0075791A" w:rsidRDefault="00FB2864">
      <w:pPr>
        <w:widowControl w:val="0"/>
        <w:kinsoku/>
        <w:adjustRightInd/>
        <w:snapToGrid/>
        <w:spacing w:line="360" w:lineRule="auto"/>
        <w:ind w:firstLineChars="200" w:firstLine="472"/>
        <w:jc w:val="both"/>
        <w:textAlignment w:val="auto"/>
        <w:rPr>
          <w:rFonts w:ascii="Times New Roman" w:eastAsia="宋体" w:hAnsi="Times New Roman" w:cs="Times New Roman"/>
          <w:color w:val="auto"/>
          <w:spacing w:val="-4"/>
          <w:sz w:val="24"/>
          <w:szCs w:val="24"/>
          <w:lang w:eastAsia="zh-CN"/>
        </w:rPr>
      </w:pPr>
      <w:r>
        <w:rPr>
          <w:rFonts w:ascii="Times New Roman" w:eastAsia="宋体" w:hAnsi="Times New Roman" w:cs="Times New Roman" w:hint="eastAsia"/>
          <w:color w:val="auto"/>
          <w:spacing w:val="-4"/>
          <w:sz w:val="24"/>
          <w:szCs w:val="24"/>
          <w:lang w:eastAsia="zh-CN"/>
        </w:rPr>
        <w:t>根据《中华人民共和国自然保护区条例》（国务院令第</w:t>
      </w:r>
      <w:r>
        <w:rPr>
          <w:rFonts w:ascii="Times New Roman" w:eastAsia="宋体" w:hAnsi="Times New Roman" w:cs="Times New Roman" w:hint="eastAsia"/>
          <w:color w:val="auto"/>
          <w:spacing w:val="-4"/>
          <w:sz w:val="24"/>
          <w:szCs w:val="24"/>
          <w:lang w:eastAsia="zh-CN"/>
        </w:rPr>
        <w:t>830</w:t>
      </w:r>
      <w:r>
        <w:rPr>
          <w:rFonts w:ascii="Times New Roman" w:eastAsia="宋体" w:hAnsi="Times New Roman" w:cs="Times New Roman" w:hint="eastAsia"/>
          <w:color w:val="auto"/>
          <w:spacing w:val="-4"/>
          <w:sz w:val="24"/>
          <w:szCs w:val="24"/>
          <w:lang w:eastAsia="zh-CN"/>
        </w:rPr>
        <w:t>号）“第二十六条</w:t>
      </w:r>
      <w:r>
        <w:rPr>
          <w:rFonts w:ascii="Times New Roman" w:eastAsia="宋体" w:hAnsi="Times New Roman" w:cs="Times New Roman" w:hint="eastAsia"/>
          <w:color w:val="auto"/>
          <w:spacing w:val="-4"/>
          <w:sz w:val="24"/>
          <w:szCs w:val="24"/>
          <w:lang w:eastAsia="zh-CN"/>
        </w:rPr>
        <w:t xml:space="preserve"> </w:t>
      </w:r>
      <w:r>
        <w:rPr>
          <w:rFonts w:ascii="Times New Roman" w:eastAsia="宋体" w:hAnsi="Times New Roman" w:cs="Times New Roman" w:hint="eastAsia"/>
          <w:color w:val="auto"/>
          <w:spacing w:val="-4"/>
          <w:sz w:val="24"/>
          <w:szCs w:val="24"/>
          <w:lang w:eastAsia="zh-CN"/>
        </w:rPr>
        <w:t>除下列活动外，自然保护区核心保护区内禁止人为活动：（一）为保护自然保护区开展的调查监测、生态修复、管护巡护等活动，科研观测、基础测绘、文物和其他文化遗产保护、防灾减灾、应急救援活动，以及国家机关依法履行执法职责确需开展的活动；……”，根据《海南省人民政府办公厅关于印发海南省生态保护红线准入管理目录</w:t>
      </w:r>
      <w:r>
        <w:rPr>
          <w:rFonts w:ascii="Times New Roman" w:eastAsia="宋体" w:hAnsi="Times New Roman" w:cs="Times New Roman" w:hint="eastAsia"/>
          <w:color w:val="auto"/>
          <w:spacing w:val="-4"/>
          <w:sz w:val="24"/>
          <w:szCs w:val="24"/>
          <w:lang w:eastAsia="zh-CN"/>
        </w:rPr>
        <w:t>(</w:t>
      </w:r>
      <w:r>
        <w:rPr>
          <w:rFonts w:ascii="Times New Roman" w:eastAsia="宋体" w:hAnsi="Times New Roman" w:cs="Times New Roman" w:hint="eastAsia"/>
          <w:color w:val="auto"/>
          <w:spacing w:val="-4"/>
          <w:sz w:val="24"/>
          <w:szCs w:val="24"/>
          <w:lang w:eastAsia="zh-CN"/>
        </w:rPr>
        <w:t>修订</w:t>
      </w:r>
      <w:r>
        <w:rPr>
          <w:rFonts w:ascii="Times New Roman" w:eastAsia="宋体" w:hAnsi="Times New Roman" w:cs="Times New Roman" w:hint="eastAsia"/>
          <w:color w:val="auto"/>
          <w:spacing w:val="-4"/>
          <w:sz w:val="24"/>
          <w:szCs w:val="24"/>
          <w:lang w:eastAsia="zh-CN"/>
        </w:rPr>
        <w:t>)</w:t>
      </w:r>
      <w:r>
        <w:rPr>
          <w:rFonts w:ascii="Times New Roman" w:eastAsia="宋体" w:hAnsi="Times New Roman" w:cs="Times New Roman" w:hint="eastAsia"/>
          <w:color w:val="auto"/>
          <w:spacing w:val="-4"/>
          <w:sz w:val="24"/>
          <w:szCs w:val="24"/>
          <w:lang w:eastAsia="zh-CN"/>
        </w:rPr>
        <w:t>的通知》</w:t>
      </w:r>
      <w:r>
        <w:rPr>
          <w:rFonts w:ascii="Times New Roman" w:eastAsia="宋体" w:hAnsi="Times New Roman" w:cs="Times New Roman" w:hint="eastAsia"/>
          <w:color w:val="auto"/>
          <w:spacing w:val="-4"/>
          <w:sz w:val="24"/>
          <w:szCs w:val="24"/>
          <w:lang w:eastAsia="zh-CN"/>
        </w:rPr>
        <w:t>(</w:t>
      </w:r>
      <w:r>
        <w:rPr>
          <w:rFonts w:ascii="Times New Roman" w:eastAsia="宋体" w:hAnsi="Times New Roman" w:cs="Times New Roman" w:hint="eastAsia"/>
          <w:color w:val="auto"/>
          <w:spacing w:val="-4"/>
          <w:sz w:val="24"/>
          <w:szCs w:val="24"/>
          <w:lang w:eastAsia="zh-CN"/>
        </w:rPr>
        <w:t>琼府办</w:t>
      </w:r>
      <w:r>
        <w:rPr>
          <w:rFonts w:ascii="Times New Roman" w:eastAsia="宋体" w:hAnsi="Times New Roman" w:cs="Times New Roman" w:hint="eastAsia"/>
          <w:color w:val="auto"/>
          <w:spacing w:val="-4"/>
          <w:sz w:val="24"/>
          <w:szCs w:val="24"/>
          <w:lang w:eastAsia="zh-CN"/>
        </w:rPr>
        <w:t>(2023)4</w:t>
      </w:r>
      <w:r>
        <w:rPr>
          <w:rFonts w:ascii="Times New Roman" w:eastAsia="宋体" w:hAnsi="Times New Roman" w:cs="Times New Roman" w:hint="eastAsia"/>
          <w:color w:val="auto"/>
          <w:spacing w:val="-4"/>
          <w:sz w:val="24"/>
          <w:szCs w:val="24"/>
          <w:lang w:eastAsia="zh-CN"/>
        </w:rPr>
        <w:t>号</w:t>
      </w:r>
      <w:r>
        <w:rPr>
          <w:rFonts w:ascii="Times New Roman" w:eastAsia="宋体" w:hAnsi="Times New Roman" w:cs="Times New Roman" w:hint="eastAsia"/>
          <w:color w:val="auto"/>
          <w:spacing w:val="-4"/>
          <w:sz w:val="24"/>
          <w:szCs w:val="24"/>
          <w:lang w:eastAsia="zh-CN"/>
        </w:rPr>
        <w:t>)</w:t>
      </w:r>
      <w:r>
        <w:rPr>
          <w:rFonts w:ascii="Times New Roman" w:eastAsia="宋体" w:hAnsi="Times New Roman" w:cs="Times New Roman" w:hint="eastAsia"/>
          <w:color w:val="auto"/>
          <w:spacing w:val="-4"/>
          <w:sz w:val="24"/>
          <w:szCs w:val="24"/>
          <w:lang w:eastAsia="zh-CN"/>
        </w:rPr>
        <w:t>，海南省生态保护红线内自然保护地核心保护区准入目录中准入类型为：</w:t>
      </w:r>
      <w:r>
        <w:rPr>
          <w:rFonts w:ascii="Times New Roman" w:eastAsia="宋体" w:hAnsi="Times New Roman" w:cs="Times New Roman" w:hint="eastAsia"/>
          <w:color w:val="auto"/>
          <w:spacing w:val="-4"/>
          <w:sz w:val="24"/>
          <w:szCs w:val="24"/>
          <w:lang w:eastAsia="zh-CN"/>
        </w:rPr>
        <w:t>“</w:t>
      </w:r>
      <w:r>
        <w:rPr>
          <w:rFonts w:ascii="Times New Roman" w:eastAsia="宋体" w:hAnsi="Times New Roman" w:cs="Times New Roman"/>
          <w:color w:val="auto"/>
          <w:spacing w:val="-4"/>
          <w:sz w:val="24"/>
          <w:szCs w:val="24"/>
          <w:lang w:eastAsia="zh-CN"/>
        </w:rPr>
        <w:t>原则上禁止人为活动，经依法批准的科学研究观测、调查监测、生态修复等法律、法规和国家有关规定允许的活动除外。</w:t>
      </w:r>
      <w:r>
        <w:rPr>
          <w:rFonts w:ascii="Times New Roman" w:eastAsia="宋体" w:hAnsi="Times New Roman" w:cs="Times New Roman" w:hint="eastAsia"/>
          <w:color w:val="auto"/>
          <w:spacing w:val="-4"/>
          <w:sz w:val="24"/>
          <w:szCs w:val="24"/>
          <w:lang w:eastAsia="zh-CN"/>
        </w:rPr>
        <w:t>”，但需相关部门经依法批准方可实施，据此三亚市林业局</w:t>
      </w:r>
      <w:r>
        <w:rPr>
          <w:rFonts w:ascii="Times New Roman" w:eastAsia="宋体" w:hAnsi="Times New Roman" w:cs="Times New Roman"/>
          <w:color w:val="auto"/>
          <w:spacing w:val="-4"/>
          <w:sz w:val="24"/>
          <w:szCs w:val="24"/>
          <w:lang w:eastAsia="zh-CN"/>
        </w:rPr>
        <w:t>组织编制了《铁</w:t>
      </w:r>
      <w:r>
        <w:rPr>
          <w:rFonts w:ascii="Times New Roman" w:eastAsia="宋体" w:hAnsi="Times New Roman" w:cs="Times New Roman"/>
          <w:color w:val="auto"/>
          <w:spacing w:val="-4"/>
          <w:sz w:val="24"/>
          <w:szCs w:val="24"/>
          <w:lang w:eastAsia="zh-CN"/>
        </w:rPr>
        <w:t xml:space="preserve"> </w:t>
      </w:r>
      <w:r>
        <w:rPr>
          <w:rFonts w:ascii="Times New Roman" w:eastAsia="宋体" w:hAnsi="Times New Roman" w:cs="Times New Roman"/>
          <w:color w:val="auto"/>
          <w:spacing w:val="-4"/>
          <w:sz w:val="24"/>
          <w:szCs w:val="24"/>
          <w:lang w:eastAsia="zh-CN"/>
        </w:rPr>
        <w:t>炉港红树林湿地保护修复项目（二期）疏浚活动对三亚市铁炉港</w:t>
      </w:r>
      <w:r>
        <w:rPr>
          <w:rFonts w:ascii="Times New Roman" w:eastAsia="宋体" w:hAnsi="Times New Roman" w:cs="Times New Roman"/>
          <w:color w:val="auto"/>
          <w:spacing w:val="-4"/>
          <w:sz w:val="24"/>
          <w:szCs w:val="24"/>
          <w:lang w:eastAsia="zh-CN"/>
        </w:rPr>
        <w:t xml:space="preserve"> </w:t>
      </w:r>
      <w:r>
        <w:rPr>
          <w:rFonts w:ascii="Times New Roman" w:eastAsia="宋体" w:hAnsi="Times New Roman" w:cs="Times New Roman"/>
          <w:color w:val="auto"/>
          <w:spacing w:val="-4"/>
          <w:sz w:val="24"/>
          <w:szCs w:val="24"/>
          <w:lang w:eastAsia="zh-CN"/>
        </w:rPr>
        <w:t>红树林自然保护区生物多样性影响评价报告》，</w:t>
      </w:r>
      <w:r>
        <w:rPr>
          <w:rFonts w:ascii="Times New Roman" w:eastAsia="宋体" w:hAnsi="Times New Roman" w:cs="Times New Roman" w:hint="eastAsia"/>
          <w:color w:val="auto"/>
          <w:spacing w:val="-4"/>
          <w:sz w:val="24"/>
          <w:szCs w:val="24"/>
          <w:lang w:eastAsia="zh-CN"/>
        </w:rPr>
        <w:t>并</w:t>
      </w:r>
      <w:r>
        <w:rPr>
          <w:rFonts w:ascii="Times New Roman" w:eastAsia="宋体" w:hAnsi="Times New Roman" w:cs="Times New Roman"/>
          <w:color w:val="auto"/>
          <w:spacing w:val="-4"/>
          <w:sz w:val="24"/>
          <w:szCs w:val="24"/>
          <w:lang w:eastAsia="zh-CN"/>
        </w:rPr>
        <w:t>于</w:t>
      </w:r>
      <w:r>
        <w:rPr>
          <w:rFonts w:ascii="Times New Roman" w:eastAsia="宋体" w:hAnsi="Times New Roman" w:cs="Times New Roman"/>
          <w:color w:val="auto"/>
          <w:spacing w:val="-4"/>
          <w:sz w:val="24"/>
          <w:szCs w:val="24"/>
          <w:lang w:eastAsia="zh-CN"/>
        </w:rPr>
        <w:t xml:space="preserve"> 2026 </w:t>
      </w:r>
      <w:r>
        <w:rPr>
          <w:rFonts w:ascii="Times New Roman" w:eastAsia="宋体" w:hAnsi="Times New Roman" w:cs="Times New Roman"/>
          <w:color w:val="auto"/>
          <w:spacing w:val="-4"/>
          <w:sz w:val="24"/>
          <w:szCs w:val="24"/>
          <w:lang w:eastAsia="zh-CN"/>
        </w:rPr>
        <w:t>年</w:t>
      </w:r>
      <w:r>
        <w:rPr>
          <w:rFonts w:ascii="Times New Roman" w:eastAsia="宋体" w:hAnsi="Times New Roman" w:cs="Times New Roman"/>
          <w:color w:val="auto"/>
          <w:spacing w:val="-4"/>
          <w:sz w:val="24"/>
          <w:szCs w:val="24"/>
          <w:lang w:eastAsia="zh-CN"/>
        </w:rPr>
        <w:t xml:space="preserve"> 3 </w:t>
      </w:r>
      <w:r>
        <w:rPr>
          <w:rFonts w:ascii="Times New Roman" w:eastAsia="宋体" w:hAnsi="Times New Roman" w:cs="Times New Roman"/>
          <w:color w:val="auto"/>
          <w:spacing w:val="-4"/>
          <w:sz w:val="24"/>
          <w:szCs w:val="24"/>
          <w:lang w:eastAsia="zh-CN"/>
        </w:rPr>
        <w:t>月</w:t>
      </w:r>
      <w:r>
        <w:rPr>
          <w:rFonts w:ascii="Times New Roman" w:eastAsia="宋体" w:hAnsi="Times New Roman" w:cs="Times New Roman"/>
          <w:color w:val="auto"/>
          <w:spacing w:val="-4"/>
          <w:sz w:val="24"/>
          <w:szCs w:val="24"/>
          <w:lang w:eastAsia="zh-CN"/>
        </w:rPr>
        <w:t xml:space="preserve"> 10 </w:t>
      </w:r>
      <w:r>
        <w:rPr>
          <w:rFonts w:ascii="Times New Roman" w:eastAsia="宋体" w:hAnsi="Times New Roman" w:cs="Times New Roman"/>
          <w:color w:val="auto"/>
          <w:spacing w:val="-4"/>
          <w:sz w:val="24"/>
          <w:szCs w:val="24"/>
          <w:lang w:eastAsia="zh-CN"/>
        </w:rPr>
        <w:t>日通过专家评审</w:t>
      </w:r>
      <w:r>
        <w:rPr>
          <w:rFonts w:ascii="Times New Roman" w:eastAsia="宋体" w:hAnsi="Times New Roman" w:cs="Times New Roman" w:hint="eastAsia"/>
          <w:color w:val="auto"/>
          <w:spacing w:val="-4"/>
          <w:sz w:val="24"/>
          <w:szCs w:val="24"/>
          <w:lang w:eastAsia="zh-CN"/>
        </w:rPr>
        <w:t>，出具《三亚市林业局</w:t>
      </w:r>
      <w:r>
        <w:rPr>
          <w:rFonts w:ascii="Times New Roman" w:eastAsia="宋体" w:hAnsi="Times New Roman" w:cs="Times New Roman" w:hint="eastAsia"/>
          <w:color w:val="auto"/>
          <w:spacing w:val="-4"/>
          <w:sz w:val="24"/>
          <w:szCs w:val="24"/>
          <w:lang w:eastAsia="zh-CN"/>
        </w:rPr>
        <w:t xml:space="preserve"> </w:t>
      </w:r>
      <w:r>
        <w:rPr>
          <w:rFonts w:ascii="Times New Roman" w:eastAsia="宋体" w:hAnsi="Times New Roman" w:cs="Times New Roman" w:hint="eastAsia"/>
          <w:color w:val="auto"/>
          <w:spacing w:val="-4"/>
          <w:sz w:val="24"/>
          <w:szCs w:val="24"/>
          <w:lang w:eastAsia="zh-CN"/>
        </w:rPr>
        <w:t>关于铁炉港红树林湿地保护修复项目（二期）</w:t>
      </w:r>
      <w:r>
        <w:rPr>
          <w:rFonts w:ascii="Times New Roman" w:eastAsia="宋体" w:hAnsi="Times New Roman" w:cs="Times New Roman" w:hint="eastAsia"/>
          <w:color w:val="auto"/>
          <w:spacing w:val="-4"/>
          <w:sz w:val="24"/>
          <w:szCs w:val="24"/>
          <w:lang w:eastAsia="zh-CN"/>
        </w:rPr>
        <w:t xml:space="preserve"> </w:t>
      </w:r>
      <w:r>
        <w:rPr>
          <w:rFonts w:ascii="Times New Roman" w:eastAsia="宋体" w:hAnsi="Times New Roman" w:cs="Times New Roman" w:hint="eastAsia"/>
          <w:color w:val="auto"/>
          <w:spacing w:val="-4"/>
          <w:sz w:val="24"/>
          <w:szCs w:val="24"/>
          <w:lang w:eastAsia="zh-CN"/>
        </w:rPr>
        <w:t>疏浚活动在三亚市铁炉港红树林</w:t>
      </w:r>
      <w:r>
        <w:rPr>
          <w:rFonts w:ascii="Times New Roman" w:eastAsia="宋体" w:hAnsi="Times New Roman" w:cs="Times New Roman" w:hint="eastAsia"/>
          <w:color w:val="auto"/>
          <w:spacing w:val="-4"/>
          <w:sz w:val="24"/>
          <w:szCs w:val="24"/>
          <w:lang w:eastAsia="zh-CN"/>
        </w:rPr>
        <w:t xml:space="preserve"> </w:t>
      </w:r>
      <w:r>
        <w:rPr>
          <w:rFonts w:ascii="Times New Roman" w:eastAsia="宋体" w:hAnsi="Times New Roman" w:cs="Times New Roman" w:hint="eastAsia"/>
          <w:color w:val="auto"/>
          <w:spacing w:val="-4"/>
          <w:sz w:val="24"/>
          <w:szCs w:val="24"/>
          <w:lang w:eastAsia="zh-CN"/>
        </w:rPr>
        <w:t>自然保护区实施的意见》。</w:t>
      </w:r>
    </w:p>
    <w:p w14:paraId="5277A7EF" w14:textId="77777777" w:rsidR="0075791A" w:rsidRDefault="00FB2864">
      <w:pPr>
        <w:kinsoku/>
        <w:autoSpaceDE/>
        <w:autoSpaceDN/>
        <w:spacing w:line="360" w:lineRule="auto"/>
        <w:ind w:firstLineChars="200" w:firstLine="472"/>
        <w:jc w:val="both"/>
        <w:textAlignment w:val="auto"/>
        <w:rPr>
          <w:rFonts w:ascii="Times New Roman" w:eastAsia="宋体" w:hAnsi="Times New Roman" w:cs="Times New Roman"/>
          <w:color w:val="auto"/>
          <w:sz w:val="24"/>
          <w:szCs w:val="24"/>
          <w:lang w:eastAsia="zh-CN" w:bidi="ar"/>
        </w:rPr>
      </w:pPr>
      <w:r>
        <w:rPr>
          <w:rFonts w:ascii="Times New Roman" w:eastAsia="宋体" w:hAnsi="Times New Roman" w:cs="Times New Roman" w:hint="eastAsia"/>
          <w:color w:val="auto"/>
          <w:spacing w:val="-4"/>
          <w:sz w:val="24"/>
          <w:szCs w:val="24"/>
          <w:lang w:eastAsia="zh-CN"/>
        </w:rPr>
        <w:t>2023</w:t>
      </w:r>
      <w:r>
        <w:rPr>
          <w:rFonts w:ascii="Times New Roman" w:eastAsia="宋体" w:hAnsi="Times New Roman" w:cs="Times New Roman" w:hint="eastAsia"/>
          <w:color w:val="auto"/>
          <w:spacing w:val="-4"/>
          <w:sz w:val="24"/>
          <w:szCs w:val="24"/>
          <w:lang w:eastAsia="zh-CN"/>
        </w:rPr>
        <w:t>年</w:t>
      </w:r>
      <w:r>
        <w:rPr>
          <w:rFonts w:ascii="Times New Roman" w:eastAsia="宋体" w:hAnsi="Times New Roman" w:cs="Times New Roman" w:hint="eastAsia"/>
          <w:color w:val="auto"/>
          <w:spacing w:val="-4"/>
          <w:sz w:val="24"/>
          <w:szCs w:val="24"/>
          <w:lang w:eastAsia="zh-CN"/>
        </w:rPr>
        <w:t>6</w:t>
      </w:r>
      <w:r>
        <w:rPr>
          <w:rFonts w:ascii="Times New Roman" w:eastAsia="宋体" w:hAnsi="Times New Roman" w:cs="Times New Roman" w:hint="eastAsia"/>
          <w:color w:val="auto"/>
          <w:spacing w:val="-4"/>
          <w:sz w:val="24"/>
          <w:szCs w:val="24"/>
          <w:lang w:eastAsia="zh-CN"/>
        </w:rPr>
        <w:t>月，海南南部典型热带区域山水林田湖草沙一体化保护和修复工程成功入围国家“十四五”第三批山水林田湖草沙一体化保护和修复工程项目，为中央财政资金支持的国家重大生态保护修复工程项目。本项目作为海南南部典型热带区域实施山水林田湖草沙一体化保护和修复工程子项目之一，符合</w:t>
      </w:r>
      <w:r>
        <w:rPr>
          <w:rFonts w:ascii="Times New Roman" w:eastAsia="宋体" w:hAnsi="Times New Roman" w:cs="Times New Roman"/>
          <w:color w:val="auto"/>
          <w:sz w:val="24"/>
          <w:szCs w:val="24"/>
          <w:lang w:eastAsia="zh-CN" w:bidi="ar"/>
        </w:rPr>
        <w:t>《海南省生态保护红线准入管理目录（修订）》生态保护红线</w:t>
      </w:r>
      <w:r>
        <w:rPr>
          <w:rFonts w:ascii="Times New Roman" w:eastAsia="宋体" w:hAnsi="Times New Roman" w:cs="Times New Roman"/>
          <w:color w:val="auto"/>
          <w:sz w:val="24"/>
          <w:szCs w:val="24"/>
          <w:lang w:eastAsia="zh-CN" w:bidi="ar"/>
        </w:rPr>
        <w:t>“</w:t>
      </w:r>
      <w:r>
        <w:rPr>
          <w:rFonts w:ascii="Times New Roman" w:eastAsia="宋体" w:hAnsi="Times New Roman" w:cs="Times New Roman" w:hint="eastAsia"/>
          <w:color w:val="auto"/>
          <w:sz w:val="24"/>
          <w:szCs w:val="24"/>
          <w:lang w:eastAsia="zh-CN" w:bidi="ar"/>
        </w:rPr>
        <w:t>自然保护地核心生态保护区</w:t>
      </w:r>
      <w:r>
        <w:rPr>
          <w:rFonts w:ascii="Times New Roman" w:eastAsia="宋体" w:hAnsi="Times New Roman" w:cs="Times New Roman"/>
          <w:color w:val="auto"/>
          <w:sz w:val="24"/>
          <w:szCs w:val="24"/>
          <w:lang w:eastAsia="zh-CN" w:bidi="ar"/>
        </w:rPr>
        <w:t>”</w:t>
      </w:r>
      <w:r>
        <w:rPr>
          <w:rFonts w:ascii="Times New Roman" w:eastAsia="宋体" w:hAnsi="Times New Roman" w:cs="Times New Roman"/>
          <w:color w:val="auto"/>
          <w:sz w:val="24"/>
          <w:szCs w:val="24"/>
          <w:lang w:eastAsia="zh-CN" w:bidi="ar"/>
        </w:rPr>
        <w:t>准入项目类别</w:t>
      </w:r>
      <w:r>
        <w:rPr>
          <w:rFonts w:ascii="Times New Roman" w:eastAsia="宋体" w:hAnsi="Times New Roman" w:cs="Times New Roman" w:hint="eastAsia"/>
          <w:color w:val="auto"/>
          <w:sz w:val="24"/>
          <w:szCs w:val="24"/>
          <w:lang w:eastAsia="zh-CN" w:bidi="ar"/>
        </w:rPr>
        <w:t>“</w:t>
      </w:r>
      <w:r>
        <w:rPr>
          <w:rFonts w:ascii="Times New Roman" w:eastAsia="宋体" w:hAnsi="Times New Roman" w:cs="仿宋_GB2312"/>
          <w:color w:val="auto"/>
          <w:sz w:val="24"/>
          <w:szCs w:val="24"/>
          <w:lang w:eastAsia="zh-CN" w:bidi="ar"/>
        </w:rPr>
        <w:t>原则上禁止人为活动，经依法批准的科学研究观测、调查监测、生态修复等法律、法规和国家有关规定允许的活动除外。</w:t>
      </w:r>
      <w:r>
        <w:rPr>
          <w:rFonts w:ascii="Times New Roman" w:eastAsia="宋体" w:hAnsi="Times New Roman" w:cs="Times New Roman" w:hint="eastAsia"/>
          <w:color w:val="auto"/>
          <w:sz w:val="24"/>
          <w:szCs w:val="24"/>
          <w:lang w:eastAsia="zh-CN" w:bidi="ar"/>
        </w:rPr>
        <w:t>”。</w:t>
      </w:r>
      <w:r>
        <w:rPr>
          <w:rFonts w:ascii="Times New Roman" w:eastAsia="宋体" w:hAnsi="Times New Roman" w:cs="Times New Roman" w:hint="eastAsia"/>
          <w:color w:val="auto"/>
          <w:spacing w:val="-4"/>
          <w:sz w:val="24"/>
          <w:szCs w:val="24"/>
          <w:lang w:eastAsia="zh-CN"/>
        </w:rPr>
        <w:t>同时，位于海南省生态保护红线内其他</w:t>
      </w:r>
      <w:r>
        <w:rPr>
          <w:rFonts w:ascii="Times New Roman" w:eastAsia="宋体" w:hAnsi="Times New Roman" w:cs="Times New Roman" w:hint="eastAsia"/>
          <w:color w:val="auto"/>
          <w:spacing w:val="-4"/>
          <w:sz w:val="24"/>
          <w:szCs w:val="24"/>
          <w:lang w:eastAsia="zh-CN"/>
        </w:rPr>
        <w:t>区域的生态保护红线的构筑物建设及疏浚工程符合</w:t>
      </w:r>
      <w:r>
        <w:rPr>
          <w:rFonts w:ascii="Times New Roman" w:eastAsia="宋体" w:hAnsi="Times New Roman" w:cs="Times New Roman"/>
          <w:color w:val="auto"/>
          <w:sz w:val="24"/>
          <w:szCs w:val="24"/>
          <w:lang w:eastAsia="zh-CN" w:bidi="ar"/>
        </w:rPr>
        <w:t>《海南省生态保护红线准入管理目录（修订）》生态保护红线</w:t>
      </w:r>
      <w:r>
        <w:rPr>
          <w:rFonts w:ascii="Times New Roman" w:eastAsia="宋体" w:hAnsi="Times New Roman" w:cs="Times New Roman"/>
          <w:color w:val="auto"/>
          <w:sz w:val="24"/>
          <w:szCs w:val="24"/>
          <w:lang w:eastAsia="zh-CN" w:bidi="ar"/>
        </w:rPr>
        <w:t>“</w:t>
      </w:r>
      <w:r>
        <w:rPr>
          <w:rFonts w:ascii="Times New Roman" w:eastAsia="宋体" w:hAnsi="Times New Roman" w:cs="Times New Roman"/>
          <w:color w:val="auto"/>
          <w:sz w:val="24"/>
          <w:szCs w:val="24"/>
          <w:lang w:eastAsia="zh-CN" w:bidi="ar"/>
        </w:rPr>
        <w:t>其他区域</w:t>
      </w:r>
      <w:r>
        <w:rPr>
          <w:rFonts w:ascii="Times New Roman" w:eastAsia="宋体" w:hAnsi="Times New Roman" w:cs="Times New Roman"/>
          <w:color w:val="auto"/>
          <w:sz w:val="24"/>
          <w:szCs w:val="24"/>
          <w:lang w:eastAsia="zh-CN" w:bidi="ar"/>
        </w:rPr>
        <w:t>”</w:t>
      </w:r>
      <w:r>
        <w:rPr>
          <w:rFonts w:ascii="Times New Roman" w:eastAsia="宋体" w:hAnsi="Times New Roman" w:cs="Times New Roman"/>
          <w:color w:val="auto"/>
          <w:sz w:val="24"/>
          <w:szCs w:val="24"/>
          <w:lang w:eastAsia="zh-CN" w:bidi="ar"/>
        </w:rPr>
        <w:t>准入项目类别第</w:t>
      </w:r>
      <w:r>
        <w:rPr>
          <w:rFonts w:ascii="Times New Roman" w:eastAsia="宋体" w:hAnsi="Times New Roman" w:cs="Times New Roman" w:hint="eastAsia"/>
          <w:color w:val="auto"/>
          <w:sz w:val="24"/>
          <w:szCs w:val="24"/>
          <w:lang w:eastAsia="zh-CN" w:bidi="ar"/>
        </w:rPr>
        <w:t>8</w:t>
      </w:r>
      <w:r>
        <w:rPr>
          <w:rFonts w:ascii="Times New Roman" w:eastAsia="宋体" w:hAnsi="Times New Roman" w:cs="宋体" w:hint="eastAsia"/>
          <w:color w:val="auto"/>
          <w:sz w:val="24"/>
          <w:szCs w:val="24"/>
          <w:lang w:eastAsia="zh-CN" w:bidi="ar"/>
        </w:rPr>
        <w:t>项“</w:t>
      </w:r>
      <w:r>
        <w:rPr>
          <w:rFonts w:ascii="Times New Roman" w:eastAsia="宋体" w:hAnsi="Times New Roman" w:cs="Times New Roman"/>
          <w:color w:val="auto"/>
          <w:sz w:val="24"/>
          <w:szCs w:val="24"/>
          <w:lang w:eastAsia="zh-CN" w:bidi="ar"/>
        </w:rPr>
        <w:t>依据县级以上国土空间规划和生态保护修复专项规划开展的生态修复</w:t>
      </w:r>
      <w:r>
        <w:rPr>
          <w:rFonts w:ascii="Times New Roman" w:eastAsia="宋体" w:hAnsi="Times New Roman" w:cs="Times New Roman" w:hint="eastAsia"/>
          <w:color w:val="auto"/>
          <w:sz w:val="24"/>
          <w:szCs w:val="24"/>
          <w:lang w:eastAsia="zh-CN" w:bidi="ar"/>
        </w:rPr>
        <w:t>包括</w:t>
      </w:r>
      <w:r>
        <w:rPr>
          <w:rFonts w:ascii="Times New Roman" w:eastAsia="宋体" w:hAnsi="Times New Roman" w:cs="Times New Roman"/>
          <w:color w:val="auto"/>
          <w:sz w:val="24"/>
          <w:szCs w:val="24"/>
          <w:lang w:eastAsia="zh-CN" w:bidi="ar"/>
        </w:rPr>
        <w:t>（</w:t>
      </w:r>
      <w:r>
        <w:rPr>
          <w:rFonts w:ascii="Times New Roman" w:eastAsia="宋体" w:hAnsi="Times New Roman" w:cs="Times New Roman" w:hint="eastAsia"/>
          <w:color w:val="auto"/>
          <w:sz w:val="24"/>
          <w:szCs w:val="24"/>
          <w:lang w:eastAsia="zh-CN" w:bidi="ar"/>
        </w:rPr>
        <w:t>6</w:t>
      </w:r>
      <w:r>
        <w:rPr>
          <w:rFonts w:ascii="Times New Roman" w:eastAsia="宋体" w:hAnsi="Times New Roman" w:cs="Times New Roman"/>
          <w:color w:val="auto"/>
          <w:sz w:val="24"/>
          <w:szCs w:val="24"/>
          <w:lang w:eastAsia="zh-CN" w:bidi="ar"/>
        </w:rPr>
        <w:t>）</w:t>
      </w:r>
      <w:r>
        <w:rPr>
          <w:rFonts w:ascii="Times New Roman" w:eastAsia="宋体" w:hAnsi="Times New Roman" w:cs="Times New Roman"/>
          <w:color w:val="auto"/>
          <w:sz w:val="24"/>
          <w:szCs w:val="24"/>
          <w:lang w:eastAsia="zh-CN" w:bidi="ar"/>
        </w:rPr>
        <w:t>......</w:t>
      </w:r>
      <w:r>
        <w:rPr>
          <w:rFonts w:ascii="Times New Roman" w:eastAsia="宋体" w:hAnsi="Times New Roman" w:cs="Times New Roman"/>
          <w:color w:val="auto"/>
          <w:sz w:val="24"/>
          <w:szCs w:val="24"/>
          <w:lang w:eastAsia="zh-CN" w:bidi="ar"/>
        </w:rPr>
        <w:t>红树林等海洋生态系统修复工程</w:t>
      </w:r>
      <w:r>
        <w:rPr>
          <w:rFonts w:ascii="Times New Roman" w:eastAsia="宋体" w:hAnsi="Times New Roman" w:cs="Times New Roman"/>
          <w:color w:val="auto"/>
          <w:sz w:val="24"/>
          <w:szCs w:val="24"/>
          <w:lang w:eastAsia="zh-CN" w:bidi="ar"/>
        </w:rPr>
        <w:t>......</w:t>
      </w:r>
      <w:r>
        <w:rPr>
          <w:rFonts w:ascii="Times New Roman" w:eastAsia="宋体" w:hAnsi="Times New Roman" w:cs="宋体"/>
          <w:color w:val="auto"/>
          <w:sz w:val="24"/>
          <w:szCs w:val="24"/>
          <w:lang w:eastAsia="zh-CN" w:bidi="ar"/>
        </w:rPr>
        <w:t>”</w:t>
      </w:r>
      <w:r>
        <w:rPr>
          <w:rFonts w:ascii="Times New Roman" w:eastAsia="宋体" w:hAnsi="Times New Roman" w:cs="宋体" w:hint="eastAsia"/>
          <w:color w:val="auto"/>
          <w:sz w:val="24"/>
          <w:szCs w:val="24"/>
          <w:lang w:eastAsia="zh-CN" w:bidi="ar"/>
        </w:rPr>
        <w:t>。</w:t>
      </w:r>
    </w:p>
    <w:p w14:paraId="537267F2" w14:textId="77777777" w:rsidR="0075791A" w:rsidRDefault="00FB2864">
      <w:pPr>
        <w:widowControl w:val="0"/>
        <w:kinsoku/>
        <w:adjustRightInd/>
        <w:snapToGrid/>
        <w:spacing w:line="360" w:lineRule="auto"/>
        <w:ind w:firstLineChars="200" w:firstLine="480"/>
        <w:jc w:val="both"/>
        <w:textAlignment w:val="auto"/>
        <w:rPr>
          <w:rFonts w:ascii="Times New Roman" w:eastAsia="宋体" w:hAnsi="Times New Roman" w:cs="Times New Roman"/>
          <w:color w:val="auto"/>
          <w:spacing w:val="-4"/>
          <w:sz w:val="24"/>
          <w:szCs w:val="24"/>
          <w:lang w:eastAsia="zh-CN"/>
        </w:rPr>
      </w:pPr>
      <w:r>
        <w:rPr>
          <w:rFonts w:ascii="Times New Roman" w:eastAsia="宋体" w:hAnsi="Times New Roman" w:hint="eastAsia"/>
          <w:color w:val="auto"/>
          <w:sz w:val="24"/>
          <w:szCs w:val="24"/>
          <w:lang w:eastAsia="zh-CN"/>
        </w:rPr>
        <w:t>因此，本项目建设</w:t>
      </w:r>
      <w:r>
        <w:rPr>
          <w:rFonts w:ascii="Times New Roman" w:eastAsia="宋体" w:hAnsi="Times New Roman" w:cs="Times New Roman" w:hint="eastAsia"/>
          <w:color w:val="auto"/>
          <w:spacing w:val="-4"/>
          <w:sz w:val="24"/>
          <w:szCs w:val="24"/>
          <w:lang w:eastAsia="zh-CN"/>
        </w:rPr>
        <w:t>符合《海南省生态保护红线管理规定》《海南省人民政府办公厅关于印发海南省生态保护红线准入管理目录</w:t>
      </w:r>
      <w:r>
        <w:rPr>
          <w:rFonts w:ascii="Times New Roman" w:eastAsia="宋体" w:hAnsi="Times New Roman" w:cs="Times New Roman" w:hint="eastAsia"/>
          <w:color w:val="auto"/>
          <w:spacing w:val="-4"/>
          <w:sz w:val="24"/>
          <w:szCs w:val="24"/>
          <w:lang w:eastAsia="zh-CN"/>
        </w:rPr>
        <w:t>(</w:t>
      </w:r>
      <w:r>
        <w:rPr>
          <w:rFonts w:ascii="Times New Roman" w:eastAsia="宋体" w:hAnsi="Times New Roman" w:cs="Times New Roman" w:hint="eastAsia"/>
          <w:color w:val="auto"/>
          <w:spacing w:val="-4"/>
          <w:sz w:val="24"/>
          <w:szCs w:val="24"/>
          <w:lang w:eastAsia="zh-CN"/>
        </w:rPr>
        <w:t>修订</w:t>
      </w:r>
      <w:r>
        <w:rPr>
          <w:rFonts w:ascii="Times New Roman" w:eastAsia="宋体" w:hAnsi="Times New Roman" w:cs="Times New Roman" w:hint="eastAsia"/>
          <w:color w:val="auto"/>
          <w:spacing w:val="-4"/>
          <w:sz w:val="24"/>
          <w:szCs w:val="24"/>
          <w:lang w:eastAsia="zh-CN"/>
        </w:rPr>
        <w:t>)</w:t>
      </w:r>
      <w:r>
        <w:rPr>
          <w:rFonts w:ascii="Times New Roman" w:eastAsia="宋体" w:hAnsi="Times New Roman" w:cs="Times New Roman" w:hint="eastAsia"/>
          <w:color w:val="auto"/>
          <w:spacing w:val="-4"/>
          <w:sz w:val="24"/>
          <w:szCs w:val="24"/>
          <w:lang w:eastAsia="zh-CN"/>
        </w:rPr>
        <w:t>的通知》，符合相关规划的管控要求。</w:t>
      </w:r>
    </w:p>
    <w:p w14:paraId="670A8CDF"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宋体" w:hAnsi="Times New Roman" w:cs="Times New Roman" w:hint="eastAsia"/>
          <w:color w:val="auto"/>
          <w:spacing w:val="-4"/>
          <w:sz w:val="24"/>
          <w:szCs w:val="24"/>
          <w:lang w:eastAsia="zh-CN"/>
        </w:rPr>
        <w:lastRenderedPageBreak/>
        <w:t>项目符合《海南省国土空间生态修复规划（</w:t>
      </w:r>
      <w:r>
        <w:rPr>
          <w:rFonts w:ascii="Times New Roman" w:eastAsia="宋体" w:hAnsi="Times New Roman" w:cs="Times New Roman" w:hint="eastAsia"/>
          <w:color w:val="auto"/>
          <w:spacing w:val="-4"/>
          <w:sz w:val="24"/>
          <w:szCs w:val="24"/>
          <w:lang w:eastAsia="zh-CN"/>
        </w:rPr>
        <w:t>2021-2035</w:t>
      </w:r>
      <w:r>
        <w:rPr>
          <w:rFonts w:ascii="Times New Roman" w:eastAsia="宋体" w:hAnsi="Times New Roman" w:cs="Times New Roman" w:hint="eastAsia"/>
          <w:color w:val="auto"/>
          <w:spacing w:val="-4"/>
          <w:sz w:val="24"/>
          <w:szCs w:val="24"/>
          <w:lang w:eastAsia="zh-CN"/>
        </w:rPr>
        <w:t>年）》、《三亚市国土空间生态修复规划（</w:t>
      </w:r>
      <w:r>
        <w:rPr>
          <w:rFonts w:ascii="Times New Roman" w:eastAsia="宋体" w:hAnsi="Times New Roman" w:cs="Times New Roman" w:hint="eastAsia"/>
          <w:color w:val="auto"/>
          <w:spacing w:val="-4"/>
          <w:sz w:val="24"/>
          <w:szCs w:val="24"/>
          <w:lang w:eastAsia="zh-CN"/>
        </w:rPr>
        <w:t>2021</w:t>
      </w:r>
      <w:r>
        <w:rPr>
          <w:rFonts w:ascii="Times New Roman" w:eastAsia="宋体" w:hAnsi="Times New Roman" w:cs="Times New Roman" w:hint="eastAsia"/>
          <w:color w:val="auto"/>
          <w:spacing w:val="-4"/>
          <w:sz w:val="24"/>
          <w:szCs w:val="24"/>
          <w:lang w:eastAsia="zh-CN"/>
        </w:rPr>
        <w:t>－</w:t>
      </w:r>
      <w:r>
        <w:rPr>
          <w:rFonts w:ascii="Times New Roman" w:eastAsia="宋体" w:hAnsi="Times New Roman" w:cs="Times New Roman" w:hint="eastAsia"/>
          <w:color w:val="auto"/>
          <w:spacing w:val="-4"/>
          <w:sz w:val="24"/>
          <w:szCs w:val="24"/>
          <w:lang w:eastAsia="zh-CN"/>
        </w:rPr>
        <w:t>2035</w:t>
      </w:r>
      <w:r>
        <w:rPr>
          <w:rFonts w:ascii="Times New Roman" w:eastAsia="宋体" w:hAnsi="Times New Roman" w:cs="Times New Roman" w:hint="eastAsia"/>
          <w:color w:val="auto"/>
          <w:spacing w:val="-4"/>
          <w:sz w:val="24"/>
          <w:szCs w:val="24"/>
          <w:lang w:eastAsia="zh-CN"/>
        </w:rPr>
        <w:t>年）》</w:t>
      </w:r>
      <w:r>
        <w:rPr>
          <w:rFonts w:ascii="Times New Roman" w:eastAsia="Times New Roman" w:hAnsi="Times New Roman" w:cs="Times New Roman" w:hint="eastAsia"/>
          <w:color w:val="auto"/>
          <w:spacing w:val="-4"/>
          <w:sz w:val="24"/>
          <w:szCs w:val="24"/>
          <w:lang w:eastAsia="zh-CN"/>
        </w:rPr>
        <w:t>。</w:t>
      </w:r>
    </w:p>
    <w:p w14:paraId="1ACB3EAD" w14:textId="77777777" w:rsidR="0075791A" w:rsidRDefault="00FB2864">
      <w:pPr>
        <w:spacing w:line="360" w:lineRule="auto"/>
        <w:outlineLvl w:val="1"/>
        <w:rPr>
          <w:rFonts w:ascii="Times New Roman" w:eastAsia="Times New Roman" w:hAnsi="Times New Roman" w:cs="Times New Roman"/>
          <w:b/>
          <w:bCs/>
          <w:color w:val="auto"/>
          <w:spacing w:val="-5"/>
          <w:sz w:val="30"/>
          <w:szCs w:val="30"/>
          <w:lang w:eastAsia="zh-CN"/>
        </w:rPr>
      </w:pPr>
      <w:bookmarkStart w:id="406" w:name="bookmark90"/>
      <w:bookmarkStart w:id="407" w:name="_Toc22750"/>
      <w:bookmarkStart w:id="408" w:name="_Toc32373"/>
      <w:bookmarkStart w:id="409" w:name="_Toc29440"/>
      <w:bookmarkEnd w:id="406"/>
      <w:r>
        <w:rPr>
          <w:rFonts w:ascii="Times New Roman" w:eastAsia="宋体" w:hAnsi="Times New Roman" w:cs="Times New Roman" w:hint="eastAsia"/>
          <w:b/>
          <w:bCs/>
          <w:color w:val="auto"/>
          <w:spacing w:val="-5"/>
          <w:sz w:val="30"/>
          <w:szCs w:val="30"/>
          <w:lang w:eastAsia="zh-CN"/>
        </w:rPr>
        <w:t>9</w:t>
      </w:r>
      <w:r>
        <w:rPr>
          <w:rFonts w:ascii="Times New Roman" w:eastAsia="Times New Roman" w:hAnsi="Times New Roman" w:cs="Times New Roman"/>
          <w:b/>
          <w:bCs/>
          <w:color w:val="auto"/>
          <w:spacing w:val="-5"/>
          <w:sz w:val="30"/>
          <w:szCs w:val="30"/>
          <w:lang w:eastAsia="zh-CN"/>
        </w:rPr>
        <w:t>.6项目用海的合理性结论</w:t>
      </w:r>
      <w:bookmarkEnd w:id="407"/>
      <w:bookmarkEnd w:id="408"/>
      <w:bookmarkEnd w:id="409"/>
    </w:p>
    <w:p w14:paraId="02302966"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（1）用海选址合理性</w:t>
      </w:r>
    </w:p>
    <w:p w14:paraId="0CB0EA86"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color w:val="auto"/>
          <w:spacing w:val="-4"/>
          <w:sz w:val="24"/>
          <w:szCs w:val="24"/>
          <w:lang w:eastAsia="zh-CN"/>
        </w:rPr>
        <w:t>三亚市铁炉港红树林自然保护区仍</w:t>
      </w:r>
      <w:r>
        <w:rPr>
          <w:rFonts w:ascii="Times New Roman" w:eastAsia="Times New Roman" w:hAnsi="Times New Roman" w:cs="Times New Roman" w:hint="eastAsia"/>
          <w:color w:val="auto"/>
          <w:spacing w:val="-4"/>
          <w:sz w:val="24"/>
          <w:szCs w:val="24"/>
          <w:lang w:eastAsia="zh-CN"/>
        </w:rPr>
        <w:t>存在一些生态问题，如人为活动破坏，湿地净化调蓄能力不足和大量的海漂垃圾对生态造成了威胁，使得生态安全生态防护能力不足；外来物种入侵使得红树林资源生态受到威胁；生境质量下降，物种丰富度降低；缺乏智慧监测体系及巡护服务设施等，</w:t>
      </w:r>
      <w:r>
        <w:rPr>
          <w:rFonts w:ascii="Times New Roman" w:eastAsia="Times New Roman" w:hAnsi="Times New Roman" w:cs="Times New Roman"/>
          <w:color w:val="auto"/>
          <w:spacing w:val="-4"/>
          <w:sz w:val="24"/>
          <w:szCs w:val="24"/>
          <w:lang w:eastAsia="zh-CN"/>
        </w:rPr>
        <w:t>需开展更深层次、持续地生态修复工作</w:t>
      </w:r>
      <w:r>
        <w:rPr>
          <w:rFonts w:ascii="Times New Roman" w:eastAsia="Times New Roman" w:hAnsi="Times New Roman" w:cs="Times New Roman" w:hint="eastAsia"/>
          <w:color w:val="auto"/>
          <w:spacing w:val="-4"/>
          <w:sz w:val="24"/>
          <w:szCs w:val="24"/>
          <w:lang w:eastAsia="zh-CN"/>
        </w:rPr>
        <w:t>，其选址具有唯一性。选址的区位和社会条件适宜，场地为基本稳定场地，较适宜项目建设，项目所在的海洋生态环境能满足项目用海需求，工程实施后产生的效益包括改善海洋生态环境质量，从而促进海洋产业协调发展。因此，项目用海选址合理。</w:t>
      </w:r>
    </w:p>
    <w:p w14:paraId="7A21E08F"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（2）平面布置合理性</w:t>
      </w:r>
    </w:p>
    <w:p w14:paraId="00B0C288"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本项目总平面</w:t>
      </w:r>
      <w:r>
        <w:rPr>
          <w:rFonts w:ascii="Times New Roman" w:eastAsia="Times New Roman" w:hAnsi="Times New Roman" w:cs="Times New Roman" w:hint="eastAsia"/>
          <w:color w:val="auto"/>
          <w:spacing w:val="-4"/>
          <w:sz w:val="24"/>
          <w:szCs w:val="24"/>
          <w:lang w:eastAsia="zh-CN"/>
        </w:rPr>
        <w:t>布置尽可能做到布局紧凑，远近结合，并充分利用自然条件，在保证功能的前提下，尽量减少用海及用地；巡护便道、巡护栈道主要围绕已清退养殖池塘区域建设，受塘埂影响，水流较小，低潮时建设区域干出，减少悬浮物扩散，降低对水环境的影响；所有构筑物均为透水构筑物，桩基直径30-50cm，受已清退塘埂影响，该区域水深较浅，水流较小，其减少对所在海域水文动力环境、冲淤环境影响轻微。因此，项目平面布置体现了集约、节约用海的原则，最大承担的减小对水动力环境、冲淤环境、水环境的影响，有利于生态保护。</w:t>
      </w:r>
    </w:p>
    <w:p w14:paraId="18239807"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（3）用海方式合理性</w:t>
      </w:r>
    </w:p>
    <w:p w14:paraId="288BF600"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项目构筑物</w:t>
      </w:r>
      <w:r>
        <w:rPr>
          <w:rFonts w:ascii="Times New Roman" w:eastAsia="Times New Roman" w:hAnsi="Times New Roman" w:cs="Times New Roman" w:hint="eastAsia"/>
          <w:color w:val="auto"/>
          <w:spacing w:val="-4"/>
          <w:sz w:val="24"/>
          <w:szCs w:val="24"/>
          <w:lang w:eastAsia="zh-CN"/>
        </w:rPr>
        <w:t>用海方式分别为透水构筑物；疏浚区用海方式为专用航道、锚地及其他开放式，遵循了“尽最大可能不填海和少填海、不采用非透水构筑物，尽可能采用透水式、开放式的用海原则”。</w:t>
      </w:r>
    </w:p>
    <w:p w14:paraId="1C69187C"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构筑物施工、清淤疏浚产生悬浮物扩散会对项目所在铁炉港海域水质环境产生一定影响；施工期生产废水若排入海也会影响水质环境，需采取污染防治措施，如设置防污帘、合理安排疏浚时间、统一回收处理等。此外，疏浚施工期较短，所产生的悬浮泥沙对海水水质的影响时间是短暂的，这种影响一旦施工完毕，在较短的时间内也就结束，自然生态环境逐渐得到恢复。</w:t>
      </w:r>
    </w:p>
    <w:p w14:paraId="06DD0AE7" w14:textId="77777777" w:rsidR="0075791A" w:rsidRDefault="00FB2864">
      <w:pPr>
        <w:widowControl w:val="0"/>
        <w:kinsoku/>
        <w:adjustRightInd/>
        <w:snapToGrid/>
        <w:spacing w:line="360" w:lineRule="auto"/>
        <w:ind w:firstLineChars="200" w:firstLine="472"/>
        <w:jc w:val="both"/>
        <w:textAlignment w:val="auto"/>
        <w:rPr>
          <w:rFonts w:ascii="Times New Roman" w:eastAsia="Times New Roman" w:hAnsi="Times New Roman" w:cs="Times New Roman"/>
          <w:color w:val="auto"/>
          <w:spacing w:val="-4"/>
          <w:sz w:val="24"/>
          <w:szCs w:val="24"/>
          <w:lang w:eastAsia="zh-CN"/>
        </w:rPr>
      </w:pPr>
      <w:r>
        <w:rPr>
          <w:rFonts w:ascii="Times New Roman" w:eastAsia="Times New Roman" w:hAnsi="Times New Roman" w:cs="Times New Roman" w:hint="eastAsia"/>
          <w:color w:val="auto"/>
          <w:spacing w:val="-4"/>
          <w:sz w:val="24"/>
          <w:szCs w:val="24"/>
          <w:lang w:eastAsia="zh-CN"/>
        </w:rPr>
        <w:t>因此，本项目用海方式</w:t>
      </w:r>
      <w:r>
        <w:rPr>
          <w:rFonts w:ascii="Times New Roman" w:eastAsia="Times New Roman" w:hAnsi="Times New Roman" w:cs="Times New Roman" w:hint="eastAsia"/>
          <w:color w:val="auto"/>
          <w:spacing w:val="-4"/>
          <w:sz w:val="24"/>
          <w:szCs w:val="24"/>
          <w:lang w:eastAsia="zh-CN"/>
        </w:rPr>
        <w:t>是合理的。</w:t>
      </w:r>
    </w:p>
    <w:p w14:paraId="68F80470"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）用海面积合理性</w:t>
      </w:r>
    </w:p>
    <w:p w14:paraId="0DCF2DF2"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lastRenderedPageBreak/>
        <w:t>本项目申请的总用海面积为</w:t>
      </w:r>
      <w:r>
        <w:rPr>
          <w:rFonts w:ascii="Times New Roman" w:eastAsia="宋体" w:hAnsi="Times New Roman" w:cs="宋体" w:hint="eastAsia"/>
          <w:color w:val="auto"/>
          <w:spacing w:val="-4"/>
          <w:sz w:val="24"/>
          <w:szCs w:val="24"/>
          <w:lang w:eastAsia="zh-CN"/>
        </w:rPr>
        <w:t>15.2465</w:t>
      </w:r>
      <w:r>
        <w:rPr>
          <w:rFonts w:ascii="Times New Roman" w:eastAsia="宋体" w:hAnsi="Times New Roman" w:cs="宋体" w:hint="eastAsia"/>
          <w:color w:val="auto"/>
          <w:sz w:val="24"/>
          <w:szCs w:val="24"/>
          <w:lang w:eastAsia="zh-CN"/>
        </w:rPr>
        <w:t>公顷</w:t>
      </w:r>
      <w:r>
        <w:rPr>
          <w:rFonts w:ascii="Times New Roman" w:eastAsia="宋体" w:hAnsi="Times New Roman" w:cs="宋体" w:hint="eastAsia"/>
          <w:color w:val="auto"/>
          <w:spacing w:val="-2"/>
          <w:sz w:val="24"/>
          <w:szCs w:val="24"/>
          <w:lang w:eastAsia="zh-CN"/>
        </w:rPr>
        <w:t>，其中构筑物用海面积为</w:t>
      </w:r>
      <w:r>
        <w:rPr>
          <w:rFonts w:ascii="Times New Roman" w:eastAsia="宋体" w:hAnsi="Times New Roman" w:cs="宋体" w:hint="eastAsia"/>
          <w:color w:val="auto"/>
          <w:sz w:val="24"/>
          <w:szCs w:val="24"/>
          <w:lang w:eastAsia="zh-CN"/>
        </w:rPr>
        <w:t>0.3793</w:t>
      </w:r>
      <w:r>
        <w:rPr>
          <w:rFonts w:ascii="Times New Roman" w:eastAsia="宋体" w:hAnsi="Times New Roman" w:cs="宋体" w:hint="eastAsia"/>
          <w:color w:val="auto"/>
          <w:sz w:val="24"/>
          <w:szCs w:val="24"/>
          <w:lang w:eastAsia="zh-CN"/>
        </w:rPr>
        <w:t>公顷</w:t>
      </w:r>
      <w:r>
        <w:rPr>
          <w:rFonts w:ascii="Times New Roman" w:eastAsia="宋体" w:hAnsi="Times New Roman" w:cs="宋体" w:hint="eastAsia"/>
          <w:color w:val="auto"/>
          <w:spacing w:val="-2"/>
          <w:sz w:val="24"/>
          <w:szCs w:val="24"/>
          <w:lang w:eastAsia="zh-CN"/>
        </w:rPr>
        <w:t>，清淤区专用航道、锚地及其他开放式用海</w:t>
      </w:r>
      <w:r>
        <w:rPr>
          <w:rFonts w:ascii="Times New Roman" w:eastAsia="宋体" w:hAnsi="Times New Roman" w:cs="宋体" w:hint="eastAsia"/>
          <w:color w:val="auto"/>
          <w:spacing w:val="-4"/>
          <w:sz w:val="24"/>
          <w:szCs w:val="24"/>
          <w:lang w:eastAsia="zh-CN"/>
        </w:rPr>
        <w:t>14.8672</w:t>
      </w:r>
      <w:r>
        <w:rPr>
          <w:rFonts w:ascii="Times New Roman" w:eastAsia="宋体" w:hAnsi="Times New Roman" w:cs="宋体" w:hint="eastAsia"/>
          <w:color w:val="auto"/>
          <w:spacing w:val="-2"/>
          <w:sz w:val="24"/>
          <w:szCs w:val="24"/>
          <w:lang w:eastAsia="zh-CN"/>
        </w:rPr>
        <w:t>公顷。根据工程设计要求和《海籍调查规范》（</w:t>
      </w:r>
      <w:r>
        <w:rPr>
          <w:rFonts w:ascii="Times New Roman" w:eastAsia="宋体" w:hAnsi="Times New Roman" w:cs="宋体" w:hint="eastAsia"/>
          <w:color w:val="auto"/>
          <w:spacing w:val="-2"/>
          <w:sz w:val="24"/>
          <w:szCs w:val="24"/>
          <w:lang w:eastAsia="zh-CN"/>
        </w:rPr>
        <w:t>HYT124-2009</w:t>
      </w:r>
      <w:r>
        <w:rPr>
          <w:rFonts w:ascii="Times New Roman" w:eastAsia="宋体" w:hAnsi="Times New Roman" w:cs="宋体" w:hint="eastAsia"/>
          <w:color w:val="auto"/>
          <w:spacing w:val="-2"/>
          <w:sz w:val="24"/>
          <w:szCs w:val="24"/>
          <w:lang w:eastAsia="zh-CN"/>
        </w:rPr>
        <w:t>）《宗海图编绘技术规范》（</w:t>
      </w:r>
      <w:r>
        <w:rPr>
          <w:rFonts w:ascii="Times New Roman" w:eastAsia="宋体" w:hAnsi="Times New Roman" w:cs="宋体" w:hint="eastAsia"/>
          <w:color w:val="auto"/>
          <w:spacing w:val="-2"/>
          <w:sz w:val="24"/>
          <w:szCs w:val="24"/>
          <w:lang w:eastAsia="zh-CN"/>
        </w:rPr>
        <w:t>HY/T251-2018</w:t>
      </w:r>
      <w:r>
        <w:rPr>
          <w:rFonts w:ascii="Times New Roman" w:eastAsia="宋体" w:hAnsi="Times New Roman" w:cs="宋体" w:hint="eastAsia"/>
          <w:color w:val="auto"/>
          <w:spacing w:val="-2"/>
          <w:sz w:val="24"/>
          <w:szCs w:val="24"/>
          <w:lang w:eastAsia="zh-CN"/>
        </w:rPr>
        <w:t>），项目用海面积符合相关行业的设计标准和规范。因此，用海面积是合理的。</w:t>
      </w:r>
    </w:p>
    <w:p w14:paraId="60225243"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hint="eastAsia"/>
          <w:color w:val="auto"/>
          <w:spacing w:val="-2"/>
          <w:sz w:val="24"/>
          <w:szCs w:val="24"/>
          <w:lang w:eastAsia="zh-CN"/>
        </w:rPr>
        <w:t>）占用岸线合理性</w:t>
      </w:r>
    </w:p>
    <w:p w14:paraId="1FBABAC5"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本项目占用岸线</w:t>
      </w:r>
      <w:r>
        <w:rPr>
          <w:rFonts w:ascii="Times New Roman" w:eastAsia="宋体" w:hAnsi="Times New Roman" w:cs="宋体" w:hint="eastAsia"/>
          <w:color w:val="auto"/>
          <w:spacing w:val="-2"/>
          <w:sz w:val="24"/>
          <w:szCs w:val="24"/>
          <w:lang w:eastAsia="zh-CN"/>
        </w:rPr>
        <w:t>0m</w:t>
      </w:r>
      <w:r>
        <w:rPr>
          <w:rFonts w:ascii="Times New Roman" w:eastAsia="宋体" w:hAnsi="Times New Roman" w:cs="宋体" w:hint="eastAsia"/>
          <w:color w:val="auto"/>
          <w:spacing w:val="-2"/>
          <w:sz w:val="24"/>
          <w:szCs w:val="24"/>
          <w:lang w:eastAsia="zh-CN"/>
        </w:rPr>
        <w:t>，透水构筑物安全防护区连接人工岸线</w:t>
      </w:r>
      <w:r>
        <w:rPr>
          <w:rFonts w:ascii="Times New Roman" w:eastAsia="宋体" w:hAnsi="Times New Roman" w:cs="宋体" w:hint="eastAsia"/>
          <w:color w:val="auto"/>
          <w:spacing w:val="-2"/>
          <w:sz w:val="24"/>
          <w:szCs w:val="24"/>
          <w:lang w:eastAsia="zh-CN"/>
        </w:rPr>
        <w:t>42m</w:t>
      </w:r>
      <w:r>
        <w:rPr>
          <w:rFonts w:ascii="Times New Roman" w:eastAsia="宋体" w:hAnsi="Times New Roman" w:cs="宋体" w:hint="eastAsia"/>
          <w:color w:val="auto"/>
          <w:spacing w:val="-2"/>
          <w:sz w:val="24"/>
          <w:szCs w:val="24"/>
          <w:lang w:eastAsia="zh-CN"/>
        </w:rPr>
        <w:t>，构筑物实体未连接海岸线，不改变岸线自然形态，不影响岸线的生态功能，未新增人工岸线，对三亚市自然岸线保有率不造成影响。</w:t>
      </w:r>
    </w:p>
    <w:p w14:paraId="599BD6A8"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6</w:t>
      </w:r>
      <w:r>
        <w:rPr>
          <w:rFonts w:ascii="Times New Roman" w:eastAsia="宋体" w:hAnsi="Times New Roman" w:cs="宋体" w:hint="eastAsia"/>
          <w:color w:val="auto"/>
          <w:spacing w:val="-2"/>
          <w:sz w:val="24"/>
          <w:szCs w:val="24"/>
          <w:lang w:eastAsia="zh-CN"/>
        </w:rPr>
        <w:t>）用海期限合理性</w:t>
      </w:r>
    </w:p>
    <w:p w14:paraId="4A86C29F" w14:textId="77777777" w:rsidR="0075791A" w:rsidRDefault="00FB2864">
      <w:pPr>
        <w:spacing w:line="360" w:lineRule="auto"/>
        <w:ind w:firstLineChars="200" w:firstLine="476"/>
        <w:jc w:val="both"/>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根据《中华人民共和国海域使用管理法》的规定：海域使用权最高期限，按照下列用途确定：（</w:t>
      </w:r>
      <w:r>
        <w:rPr>
          <w:rFonts w:ascii="Times New Roman" w:eastAsia="宋体" w:hAnsi="Times New Roman" w:cs="宋体" w:hint="eastAsia"/>
          <w:color w:val="auto"/>
          <w:spacing w:val="-2"/>
          <w:sz w:val="24"/>
          <w:szCs w:val="24"/>
          <w:lang w:eastAsia="zh-CN"/>
        </w:rPr>
        <w:t>1</w:t>
      </w:r>
      <w:r>
        <w:rPr>
          <w:rFonts w:ascii="Times New Roman" w:eastAsia="宋体" w:hAnsi="Times New Roman" w:cs="宋体" w:hint="eastAsia"/>
          <w:color w:val="auto"/>
          <w:spacing w:val="-2"/>
          <w:sz w:val="24"/>
          <w:szCs w:val="24"/>
          <w:lang w:eastAsia="zh-CN"/>
        </w:rPr>
        <w:t>）养殖用海十五年；</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w:t>
      </w:r>
      <w:r>
        <w:rPr>
          <w:rFonts w:ascii="Times New Roman" w:eastAsia="宋体" w:hAnsi="Times New Roman" w:cs="宋体" w:hint="eastAsia"/>
          <w:color w:val="auto"/>
          <w:spacing w:val="-2"/>
          <w:sz w:val="24"/>
          <w:szCs w:val="24"/>
          <w:lang w:eastAsia="zh-CN"/>
        </w:rPr>
        <w:t>）拆船用海二十年；（</w:t>
      </w:r>
      <w:r>
        <w:rPr>
          <w:rFonts w:ascii="Times New Roman" w:eastAsia="宋体" w:hAnsi="Times New Roman" w:cs="宋体" w:hint="eastAsia"/>
          <w:color w:val="auto"/>
          <w:spacing w:val="-2"/>
          <w:sz w:val="24"/>
          <w:szCs w:val="24"/>
          <w:lang w:eastAsia="zh-CN"/>
        </w:rPr>
        <w:t>3</w:t>
      </w:r>
      <w:r>
        <w:rPr>
          <w:rFonts w:ascii="Times New Roman" w:eastAsia="宋体" w:hAnsi="Times New Roman" w:cs="宋体" w:hint="eastAsia"/>
          <w:color w:val="auto"/>
          <w:spacing w:val="-2"/>
          <w:sz w:val="24"/>
          <w:szCs w:val="24"/>
          <w:lang w:eastAsia="zh-CN"/>
        </w:rPr>
        <w:t>）旅游、娱乐用海二十五年；（</w:t>
      </w:r>
      <w:r>
        <w:rPr>
          <w:rFonts w:ascii="Times New Roman" w:eastAsia="宋体" w:hAnsi="Times New Roman" w:cs="宋体" w:hint="eastAsia"/>
          <w:color w:val="auto"/>
          <w:spacing w:val="-2"/>
          <w:sz w:val="24"/>
          <w:szCs w:val="24"/>
          <w:lang w:eastAsia="zh-CN"/>
        </w:rPr>
        <w:t>4</w:t>
      </w:r>
      <w:r>
        <w:rPr>
          <w:rFonts w:ascii="Times New Roman" w:eastAsia="宋体" w:hAnsi="Times New Roman" w:cs="宋体" w:hint="eastAsia"/>
          <w:color w:val="auto"/>
          <w:spacing w:val="-2"/>
          <w:sz w:val="24"/>
          <w:szCs w:val="24"/>
          <w:lang w:eastAsia="zh-CN"/>
        </w:rPr>
        <w:t>）盐业、矿业用海三十年；（</w:t>
      </w:r>
      <w:r>
        <w:rPr>
          <w:rFonts w:ascii="Times New Roman" w:eastAsia="宋体" w:hAnsi="Times New Roman" w:cs="宋体" w:hint="eastAsia"/>
          <w:color w:val="auto"/>
          <w:spacing w:val="-2"/>
          <w:sz w:val="24"/>
          <w:szCs w:val="24"/>
          <w:lang w:eastAsia="zh-CN"/>
        </w:rPr>
        <w:t>5</w:t>
      </w:r>
      <w:r>
        <w:rPr>
          <w:rFonts w:ascii="Times New Roman" w:eastAsia="宋体" w:hAnsi="Times New Roman" w:cs="宋体" w:hint="eastAsia"/>
          <w:color w:val="auto"/>
          <w:spacing w:val="-2"/>
          <w:sz w:val="24"/>
          <w:szCs w:val="24"/>
          <w:lang w:eastAsia="zh-CN"/>
        </w:rPr>
        <w:t>）公益事业用海四十年；（</w:t>
      </w:r>
      <w:r>
        <w:rPr>
          <w:rFonts w:ascii="Times New Roman" w:eastAsia="宋体" w:hAnsi="Times New Roman" w:cs="宋体" w:hint="eastAsia"/>
          <w:color w:val="auto"/>
          <w:spacing w:val="-2"/>
          <w:sz w:val="24"/>
          <w:szCs w:val="24"/>
          <w:lang w:eastAsia="zh-CN"/>
        </w:rPr>
        <w:t>6</w:t>
      </w:r>
      <w:r>
        <w:rPr>
          <w:rFonts w:ascii="Times New Roman" w:eastAsia="宋体" w:hAnsi="Times New Roman" w:cs="宋体" w:hint="eastAsia"/>
          <w:color w:val="auto"/>
          <w:spacing w:val="-2"/>
          <w:sz w:val="24"/>
          <w:szCs w:val="24"/>
          <w:lang w:eastAsia="zh-CN"/>
        </w:rPr>
        <w:t>）港口、修造船厂等建设工程用海五十年。</w:t>
      </w:r>
    </w:p>
    <w:p w14:paraId="2EE53491" w14:textId="77777777" w:rsidR="0075791A" w:rsidRDefault="00FB2864">
      <w:pPr>
        <w:spacing w:line="360" w:lineRule="auto"/>
        <w:ind w:firstLineChars="200" w:firstLine="480"/>
        <w:jc w:val="both"/>
        <w:rPr>
          <w:rFonts w:ascii="Times New Roman" w:eastAsia="宋体" w:hAnsi="Times New Roman" w:cs="宋体"/>
          <w:color w:val="auto"/>
          <w:sz w:val="24"/>
          <w:szCs w:val="24"/>
          <w:lang w:eastAsia="zh-CN"/>
        </w:rPr>
      </w:pPr>
      <w:r>
        <w:rPr>
          <w:rFonts w:ascii="Times New Roman" w:eastAsia="宋体" w:hAnsi="Times New Roman" w:cs="宋体" w:hint="eastAsia"/>
          <w:color w:val="auto"/>
          <w:sz w:val="24"/>
          <w:szCs w:val="24"/>
          <w:lang w:eastAsia="zh-CN"/>
        </w:rPr>
        <w:t>本项目建设内容中</w:t>
      </w:r>
      <w:r>
        <w:rPr>
          <w:rFonts w:ascii="Times New Roman" w:eastAsia="宋体" w:hAnsi="Times New Roman" w:cs="宋体"/>
          <w:color w:val="auto"/>
          <w:sz w:val="24"/>
          <w:szCs w:val="24"/>
          <w:lang w:eastAsia="zh-CN"/>
        </w:rPr>
        <w:t>保护管理站</w:t>
      </w:r>
      <w:r>
        <w:rPr>
          <w:rFonts w:ascii="Times New Roman" w:eastAsia="宋体" w:hAnsi="Times New Roman" w:cs="宋体" w:hint="eastAsia"/>
          <w:color w:val="auto"/>
          <w:sz w:val="24"/>
          <w:szCs w:val="24"/>
          <w:lang w:eastAsia="zh-CN"/>
        </w:rPr>
        <w:t>设计使用年项为</w:t>
      </w:r>
      <w:r>
        <w:rPr>
          <w:rFonts w:ascii="Times New Roman" w:eastAsia="宋体" w:hAnsi="Times New Roman" w:cs="宋体" w:hint="eastAsia"/>
          <w:color w:val="auto"/>
          <w:sz w:val="24"/>
          <w:szCs w:val="24"/>
          <w:lang w:eastAsia="zh-CN"/>
        </w:rPr>
        <w:t>50</w:t>
      </w:r>
      <w:r>
        <w:rPr>
          <w:rFonts w:ascii="Times New Roman" w:eastAsia="宋体" w:hAnsi="Times New Roman" w:cs="宋体" w:hint="eastAsia"/>
          <w:color w:val="auto"/>
          <w:sz w:val="24"/>
          <w:szCs w:val="24"/>
          <w:lang w:eastAsia="zh-CN"/>
        </w:rPr>
        <w:t>年；栈道、便道设计年限为</w:t>
      </w:r>
      <w:r>
        <w:rPr>
          <w:rFonts w:ascii="Times New Roman" w:eastAsia="宋体" w:hAnsi="Times New Roman" w:cs="宋体" w:hint="eastAsia"/>
          <w:color w:val="auto"/>
          <w:sz w:val="24"/>
          <w:szCs w:val="24"/>
          <w:lang w:eastAsia="zh-CN"/>
        </w:rPr>
        <w:t>50</w:t>
      </w:r>
      <w:r>
        <w:rPr>
          <w:rFonts w:ascii="Times New Roman" w:eastAsia="宋体" w:hAnsi="Times New Roman" w:cs="宋体" w:hint="eastAsia"/>
          <w:color w:val="auto"/>
          <w:sz w:val="24"/>
          <w:szCs w:val="24"/>
          <w:lang w:eastAsia="zh-CN"/>
        </w:rPr>
        <w:t>年。</w:t>
      </w:r>
      <w:r>
        <w:rPr>
          <w:rFonts w:ascii="Times New Roman" w:eastAsia="宋体" w:hAnsi="Times New Roman" w:cs="宋体" w:hint="eastAsia"/>
          <w:color w:val="auto"/>
          <w:spacing w:val="-2"/>
          <w:sz w:val="24"/>
          <w:szCs w:val="24"/>
          <w:lang w:eastAsia="zh-CN"/>
        </w:rPr>
        <w:t>项目属于公益用海项目，</w:t>
      </w:r>
      <w:r>
        <w:rPr>
          <w:rFonts w:ascii="Times New Roman" w:eastAsia="宋体" w:hAnsi="Times New Roman" w:cs="宋体" w:hint="eastAsia"/>
          <w:color w:val="auto"/>
          <w:sz w:val="24"/>
          <w:szCs w:val="24"/>
          <w:lang w:eastAsia="zh-CN"/>
        </w:rPr>
        <w:t>从项目主要功能以及构筑物设计周期等角度出发，建议项目构筑物等申请用海年限为</w:t>
      </w:r>
      <w:r>
        <w:rPr>
          <w:rFonts w:ascii="Times New Roman" w:eastAsia="宋体" w:hAnsi="Times New Roman" w:cs="宋体" w:hint="eastAsia"/>
          <w:color w:val="auto"/>
          <w:sz w:val="24"/>
          <w:szCs w:val="24"/>
          <w:lang w:eastAsia="zh-CN"/>
        </w:rPr>
        <w:t>40</w:t>
      </w:r>
      <w:r>
        <w:rPr>
          <w:rFonts w:ascii="Times New Roman" w:eastAsia="宋体" w:hAnsi="Times New Roman" w:cs="宋体" w:hint="eastAsia"/>
          <w:color w:val="auto"/>
          <w:sz w:val="24"/>
          <w:szCs w:val="24"/>
          <w:lang w:eastAsia="zh-CN"/>
        </w:rPr>
        <w:t>年。清淤区工期为</w:t>
      </w:r>
      <w:r>
        <w:rPr>
          <w:rFonts w:ascii="Times New Roman" w:eastAsia="宋体" w:hAnsi="Times New Roman" w:cs="宋体" w:hint="eastAsia"/>
          <w:color w:val="auto"/>
          <w:sz w:val="24"/>
          <w:szCs w:val="24"/>
          <w:lang w:eastAsia="zh-CN"/>
        </w:rPr>
        <w:t>2</w:t>
      </w:r>
      <w:r>
        <w:rPr>
          <w:rFonts w:ascii="Times New Roman" w:eastAsia="宋体" w:hAnsi="Times New Roman" w:cs="宋体" w:hint="eastAsia"/>
          <w:color w:val="auto"/>
          <w:sz w:val="24"/>
          <w:szCs w:val="24"/>
          <w:lang w:eastAsia="zh-CN"/>
        </w:rPr>
        <w:t>个月，考虑前期准备工作及台风等天气影响，申请</w:t>
      </w:r>
      <w:r>
        <w:rPr>
          <w:rFonts w:ascii="Times New Roman" w:eastAsia="宋体" w:hAnsi="Times New Roman" w:cs="宋体" w:hint="eastAsia"/>
          <w:color w:val="auto"/>
          <w:sz w:val="24"/>
          <w:szCs w:val="24"/>
          <w:lang w:eastAsia="zh-CN"/>
        </w:rPr>
        <w:t>6</w:t>
      </w:r>
      <w:r>
        <w:rPr>
          <w:rFonts w:ascii="Times New Roman" w:eastAsia="宋体" w:hAnsi="Times New Roman" w:cs="宋体" w:hint="eastAsia"/>
          <w:color w:val="auto"/>
          <w:sz w:val="24"/>
          <w:szCs w:val="24"/>
          <w:lang w:eastAsia="zh-CN"/>
        </w:rPr>
        <w:t>个月用海。</w:t>
      </w:r>
    </w:p>
    <w:p w14:paraId="2A1E5A3F" w14:textId="77777777" w:rsidR="0075791A" w:rsidRDefault="00FB2864">
      <w:pPr>
        <w:spacing w:before="35" w:line="351" w:lineRule="auto"/>
        <w:ind w:left="8" w:right="1" w:firstLine="482"/>
        <w:rPr>
          <w:rFonts w:ascii="Times New Roman" w:eastAsia="宋体" w:hAnsi="Times New Roman" w:cs="宋体"/>
          <w:color w:val="auto"/>
          <w:sz w:val="24"/>
          <w:szCs w:val="24"/>
          <w:lang w:eastAsia="zh-CN"/>
        </w:rPr>
      </w:pPr>
      <w:r>
        <w:rPr>
          <w:rFonts w:ascii="Times New Roman" w:eastAsia="宋体" w:hAnsi="Times New Roman" w:cs="宋体"/>
          <w:color w:val="auto"/>
          <w:spacing w:val="-2"/>
          <w:sz w:val="24"/>
          <w:szCs w:val="24"/>
          <w:lang w:eastAsia="zh-CN"/>
        </w:rPr>
        <w:t>从以上因素综合分析，项目申请用海期限既满足法律管理规定又满足项目设计使用年限</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用海需求</w:t>
      </w:r>
      <w:r>
        <w:rPr>
          <w:rFonts w:ascii="Times New Roman" w:eastAsia="宋体" w:hAnsi="Times New Roman" w:cs="宋体"/>
          <w:color w:val="auto"/>
          <w:spacing w:val="-2"/>
          <w:sz w:val="24"/>
          <w:szCs w:val="24"/>
          <w:lang w:eastAsia="zh-CN"/>
        </w:rPr>
        <w:t>，项目申请使用年限是合理的。但项目具体用海年限应以管理部门批准用海年限为准。</w:t>
      </w:r>
    </w:p>
    <w:p w14:paraId="6978E5DF" w14:textId="77777777" w:rsidR="0075791A" w:rsidRDefault="00FB2864">
      <w:pPr>
        <w:spacing w:line="360" w:lineRule="auto"/>
        <w:outlineLvl w:val="1"/>
        <w:rPr>
          <w:rFonts w:ascii="Times New Roman" w:eastAsia="Times New Roman" w:hAnsi="Times New Roman" w:cs="Times New Roman"/>
          <w:b/>
          <w:bCs/>
          <w:color w:val="auto"/>
          <w:spacing w:val="-6"/>
          <w:sz w:val="30"/>
          <w:szCs w:val="30"/>
          <w:lang w:eastAsia="zh-CN"/>
        </w:rPr>
      </w:pPr>
      <w:bookmarkStart w:id="410" w:name="bookmark92"/>
      <w:bookmarkStart w:id="411" w:name="_Toc10250"/>
      <w:bookmarkStart w:id="412" w:name="_Toc29073"/>
      <w:bookmarkStart w:id="413" w:name="_Toc25523"/>
      <w:bookmarkEnd w:id="410"/>
      <w:r>
        <w:rPr>
          <w:rFonts w:ascii="Times New Roman" w:eastAsia="宋体" w:hAnsi="Times New Roman" w:cs="Times New Roman" w:hint="eastAsia"/>
          <w:b/>
          <w:bCs/>
          <w:color w:val="auto"/>
          <w:spacing w:val="-6"/>
          <w:sz w:val="30"/>
          <w:szCs w:val="30"/>
          <w:lang w:eastAsia="zh-CN"/>
        </w:rPr>
        <w:t>9</w:t>
      </w:r>
      <w:r>
        <w:rPr>
          <w:rFonts w:ascii="Times New Roman" w:eastAsia="Times New Roman" w:hAnsi="Times New Roman" w:cs="Times New Roman"/>
          <w:b/>
          <w:bCs/>
          <w:color w:val="auto"/>
          <w:spacing w:val="-6"/>
          <w:sz w:val="30"/>
          <w:szCs w:val="30"/>
          <w:lang w:eastAsia="zh-CN"/>
        </w:rPr>
        <w:t>.7项目用海可行性结论</w:t>
      </w:r>
      <w:bookmarkEnd w:id="411"/>
      <w:bookmarkEnd w:id="412"/>
      <w:bookmarkEnd w:id="413"/>
    </w:p>
    <w:p w14:paraId="5E1784AF" w14:textId="77777777" w:rsidR="0075791A" w:rsidRDefault="00FB2864">
      <w:pPr>
        <w:spacing w:before="35" w:line="351" w:lineRule="auto"/>
        <w:ind w:left="8" w:right="1" w:firstLine="482"/>
        <w:rPr>
          <w:rFonts w:ascii="Times New Roman" w:eastAsia="宋体" w:hAnsi="Times New Roman" w:cs="宋体"/>
          <w:color w:val="auto"/>
          <w:spacing w:val="-2"/>
          <w:sz w:val="24"/>
          <w:szCs w:val="24"/>
          <w:lang w:eastAsia="zh-CN"/>
        </w:rPr>
      </w:pPr>
      <w:r>
        <w:rPr>
          <w:rFonts w:ascii="Times New Roman" w:eastAsia="宋体" w:hAnsi="Times New Roman" w:cs="宋体"/>
          <w:color w:val="auto"/>
          <w:spacing w:val="-2"/>
          <w:sz w:val="24"/>
          <w:szCs w:val="24"/>
          <w:lang w:eastAsia="zh-CN"/>
        </w:rPr>
        <w:t>本项目用海工程是</w:t>
      </w:r>
      <w:r>
        <w:rPr>
          <w:rFonts w:ascii="Times New Roman" w:eastAsia="宋体" w:hAnsi="Times New Roman" w:cs="宋体"/>
          <w:color w:val="auto"/>
          <w:spacing w:val="-2"/>
          <w:sz w:val="24"/>
          <w:szCs w:val="24"/>
          <w:lang w:eastAsia="zh-CN"/>
        </w:rPr>
        <w:t>铁炉港红树林湿地保护修复项目</w:t>
      </w:r>
      <w:r>
        <w:rPr>
          <w:rFonts w:ascii="Times New Roman" w:eastAsia="宋体" w:hAnsi="Times New Roman" w:cs="宋体"/>
          <w:color w:val="auto"/>
          <w:spacing w:val="-2"/>
          <w:sz w:val="24"/>
          <w:szCs w:val="24"/>
          <w:lang w:eastAsia="zh-CN"/>
        </w:rPr>
        <w:t>重要组成部分，</w:t>
      </w:r>
      <w:r>
        <w:rPr>
          <w:rFonts w:ascii="Times New Roman" w:eastAsia="宋体" w:hAnsi="Times New Roman" w:cs="宋体"/>
          <w:color w:val="auto"/>
          <w:spacing w:val="-2"/>
          <w:sz w:val="24"/>
          <w:szCs w:val="24"/>
          <w:lang w:eastAsia="zh-CN"/>
        </w:rPr>
        <w:t>是海南南部典型热带区域山水林田湖草沙一体化保护和修复工程之三十二子项目</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color w:val="auto"/>
          <w:spacing w:val="-2"/>
          <w:sz w:val="24"/>
          <w:szCs w:val="24"/>
          <w:lang w:eastAsia="zh-CN"/>
        </w:rPr>
        <w:t>属海岸带生态保护修复单元中的重要物种栖息地和生物安全防治工程，该单元总体目标为入海水体提供最后一道稳定净化屏障，为海岸旅游经济提供优质生态环境，实现陆海统筹、综合修复。</w:t>
      </w:r>
    </w:p>
    <w:p w14:paraId="474A2443" w14:textId="77777777" w:rsidR="0075791A" w:rsidRDefault="00FB2864">
      <w:pPr>
        <w:spacing w:before="35" w:line="351" w:lineRule="auto"/>
        <w:ind w:left="8" w:right="1" w:firstLine="482"/>
        <w:rPr>
          <w:rFonts w:ascii="Times New Roman" w:eastAsia="宋体" w:hAnsi="Times New Roman" w:cs="宋体"/>
          <w:color w:val="auto"/>
          <w:spacing w:val="-2"/>
          <w:sz w:val="24"/>
          <w:szCs w:val="24"/>
          <w:lang w:eastAsia="zh-CN"/>
        </w:rPr>
      </w:pPr>
      <w:r>
        <w:rPr>
          <w:rFonts w:ascii="Times New Roman" w:eastAsia="宋体" w:hAnsi="Times New Roman" w:cs="宋体" w:hint="eastAsia"/>
          <w:color w:val="auto"/>
          <w:spacing w:val="-2"/>
          <w:sz w:val="24"/>
          <w:szCs w:val="24"/>
          <w:lang w:eastAsia="zh-CN"/>
        </w:rPr>
        <w:t>本项目大部分构筑物及小面积疏浚工程位于</w:t>
      </w:r>
      <w:r>
        <w:rPr>
          <w:rFonts w:ascii="Times New Roman" w:eastAsia="Times New Roman" w:hAnsi="Times New Roman" w:cs="Times New Roman" w:hint="eastAsia"/>
          <w:color w:val="auto"/>
          <w:spacing w:val="-4"/>
          <w:sz w:val="24"/>
          <w:szCs w:val="24"/>
          <w:lang w:eastAsia="zh-CN"/>
        </w:rPr>
        <w:t>海南省生态保护红线内其他区域</w:t>
      </w:r>
      <w:r>
        <w:rPr>
          <w:rFonts w:ascii="Times New Roman" w:eastAsia="宋体" w:hAnsi="Times New Roman" w:cs="宋体" w:hint="eastAsia"/>
          <w:color w:val="auto"/>
          <w:spacing w:val="-2"/>
          <w:sz w:val="24"/>
          <w:szCs w:val="24"/>
          <w:lang w:eastAsia="zh-CN"/>
        </w:rPr>
        <w:t>；疏浚工程主要位于铁炉港红树林自然保护区核心区，</w:t>
      </w:r>
      <w:r>
        <w:rPr>
          <w:rFonts w:ascii="Times New Roman" w:eastAsia="Times New Roman" w:hAnsi="Times New Roman" w:cs="Times New Roman" w:hint="eastAsia"/>
          <w:color w:val="auto"/>
          <w:spacing w:val="-4"/>
          <w:sz w:val="24"/>
          <w:szCs w:val="24"/>
          <w:lang w:eastAsia="zh-CN"/>
        </w:rPr>
        <w:t>符合《海南省人民政府办公厅关于印发海南省生态保护红线准入管理目录(修订)的通知》，</w:t>
      </w:r>
      <w:r>
        <w:rPr>
          <w:rFonts w:ascii="Times New Roman" w:eastAsia="宋体" w:hAnsi="Times New Roman" w:cs="宋体"/>
          <w:color w:val="auto"/>
          <w:spacing w:val="-2"/>
          <w:sz w:val="24"/>
          <w:szCs w:val="24"/>
          <w:lang w:eastAsia="zh-CN"/>
        </w:rPr>
        <w:t>项目用海符合</w:t>
      </w:r>
      <w:r>
        <w:rPr>
          <w:rFonts w:ascii="Times New Roman" w:eastAsia="宋体" w:hAnsi="Times New Roman" w:cs="宋体" w:hint="eastAsia"/>
          <w:color w:val="auto"/>
          <w:spacing w:val="-2"/>
          <w:sz w:val="24"/>
          <w:szCs w:val="24"/>
          <w:lang w:eastAsia="zh-CN"/>
        </w:rPr>
        <w:t>《海南省国土空间规划</w:t>
      </w:r>
      <w:r>
        <w:rPr>
          <w:rFonts w:ascii="Times New Roman" w:eastAsia="宋体" w:hAnsi="Times New Roman" w:cs="宋体" w:hint="eastAsia"/>
          <w:color w:val="auto"/>
          <w:spacing w:val="-2"/>
          <w:sz w:val="24"/>
          <w:szCs w:val="24"/>
          <w:lang w:eastAsia="zh-CN"/>
        </w:rPr>
        <w:t>(2021-2035</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》《海南省海岸带及海洋空间规划</w:t>
      </w:r>
      <w:r>
        <w:rPr>
          <w:rFonts w:ascii="Times New Roman" w:eastAsia="宋体" w:hAnsi="Times New Roman" w:cs="宋体" w:hint="eastAsia"/>
          <w:color w:val="auto"/>
          <w:spacing w:val="-2"/>
          <w:sz w:val="24"/>
          <w:szCs w:val="24"/>
          <w:lang w:eastAsia="zh-CN"/>
        </w:rPr>
        <w:t>(2021-2035</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》《三亚市国土空间生态修复规划（</w:t>
      </w:r>
      <w:r>
        <w:rPr>
          <w:rFonts w:ascii="Times New Roman" w:eastAsia="宋体" w:hAnsi="Times New Roman" w:cs="宋体" w:hint="eastAsia"/>
          <w:color w:val="auto"/>
          <w:spacing w:val="-2"/>
          <w:sz w:val="24"/>
          <w:szCs w:val="24"/>
          <w:lang w:eastAsia="zh-CN"/>
        </w:rPr>
        <w:t>2021</w:t>
      </w:r>
      <w:r>
        <w:rPr>
          <w:rFonts w:ascii="Times New Roman" w:eastAsia="宋体" w:hAnsi="Times New Roman" w:cs="宋体" w:hint="eastAsia"/>
          <w:color w:val="auto"/>
          <w:spacing w:val="-2"/>
          <w:sz w:val="24"/>
          <w:szCs w:val="24"/>
          <w:lang w:eastAsia="zh-CN"/>
        </w:rPr>
        <w:t>－</w:t>
      </w:r>
      <w:r>
        <w:rPr>
          <w:rFonts w:ascii="Times New Roman" w:eastAsia="宋体" w:hAnsi="Times New Roman" w:cs="宋体" w:hint="eastAsia"/>
          <w:color w:val="auto"/>
          <w:spacing w:val="-2"/>
          <w:sz w:val="24"/>
          <w:szCs w:val="24"/>
          <w:lang w:eastAsia="zh-CN"/>
        </w:rPr>
        <w:t>2035</w:t>
      </w:r>
      <w:r>
        <w:rPr>
          <w:rFonts w:ascii="Times New Roman" w:eastAsia="宋体" w:hAnsi="Times New Roman" w:cs="宋体" w:hint="eastAsia"/>
          <w:color w:val="auto"/>
          <w:spacing w:val="-2"/>
          <w:sz w:val="24"/>
          <w:szCs w:val="24"/>
          <w:lang w:eastAsia="zh-CN"/>
        </w:rPr>
        <w:t>年）》</w:t>
      </w:r>
      <w:r>
        <w:rPr>
          <w:rFonts w:ascii="Times New Roman" w:eastAsia="宋体" w:hAnsi="Times New Roman" w:cs="宋体"/>
          <w:color w:val="auto"/>
          <w:spacing w:val="-2"/>
          <w:sz w:val="24"/>
          <w:szCs w:val="24"/>
          <w:lang w:eastAsia="zh-CN"/>
        </w:rPr>
        <w:t>，与利益相关者具有较好的协调性，选址区域的社会条件、自然资源、环境条件满足项目用海需求；平面布置、用海方式、</w:t>
      </w:r>
      <w:r>
        <w:rPr>
          <w:rFonts w:ascii="Times New Roman" w:eastAsia="宋体" w:hAnsi="Times New Roman" w:cs="宋体"/>
          <w:color w:val="auto"/>
          <w:spacing w:val="-2"/>
          <w:sz w:val="24"/>
          <w:szCs w:val="24"/>
          <w:lang w:eastAsia="zh-CN"/>
        </w:rPr>
        <w:lastRenderedPageBreak/>
        <w:t>面积、期限较为合理。在用海单位切实落实本论证报告提出的生态用海对策措施前提下，从海域使用角度分析，项目用海是可行的。</w:t>
      </w:r>
    </w:p>
    <w:p w14:paraId="025DED65" w14:textId="77777777" w:rsidR="0075791A" w:rsidRDefault="0075791A">
      <w:pPr>
        <w:outlineLvl w:val="1"/>
        <w:rPr>
          <w:rFonts w:ascii="新宋体" w:eastAsia="新宋体" w:hAnsi="新宋体" w:cs="新宋体"/>
          <w:color w:val="auto"/>
          <w:sz w:val="30"/>
          <w:szCs w:val="30"/>
          <w:lang w:eastAsia="zh-CN"/>
        </w:rPr>
      </w:pPr>
    </w:p>
    <w:sectPr w:rsidR="0075791A">
      <w:footerReference w:type="default" r:id="rId307"/>
      <w:pgSz w:w="11906" w:h="16839"/>
      <w:pgMar w:top="1018" w:right="850" w:bottom="1134" w:left="1417" w:header="746"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5C0116" w14:textId="77777777" w:rsidR="00FB2864" w:rsidRDefault="00FB2864">
      <w:r>
        <w:separator/>
      </w:r>
    </w:p>
  </w:endnote>
  <w:endnote w:type="continuationSeparator" w:id="0">
    <w:p w14:paraId="7899FB13" w14:textId="77777777" w:rsidR="00FB2864" w:rsidRDefault="00FB28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楷体">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TimesNewRomanPSMT">
    <w:altName w:val="Times New Roman"/>
    <w:charset w:val="00"/>
    <w:family w:val="auto"/>
    <w:pitch w:val="default"/>
  </w:font>
  <w:font w:name="华文楷体">
    <w:altName w:val="楷体_GB2312"/>
    <w:panose1 w:val="02010600040101010101"/>
    <w:charset w:val="86"/>
    <w:family w:val="auto"/>
    <w:pitch w:val="variable"/>
    <w:sig w:usb0="00000287" w:usb1="080F0000" w:usb2="00000010" w:usb3="00000000" w:csb0="0004009F" w:csb1="00000000"/>
  </w:font>
  <w:font w:name="ArialMT">
    <w:altName w:val="Times New Roman"/>
    <w:charset w:val="00"/>
    <w:family w:val="auto"/>
    <w:pitch w:val="default"/>
  </w:font>
  <w:font w:name="仿宋">
    <w:panose1 w:val="02010609060101010101"/>
    <w:charset w:val="86"/>
    <w:family w:val="modern"/>
    <w:pitch w:val="fixed"/>
    <w:sig w:usb0="800002BF" w:usb1="38CF7CFA" w:usb2="00000016" w:usb3="00000000" w:csb0="00040001" w:csb1="00000000"/>
  </w:font>
  <w:font w:name="Adobe 黑体 Std R">
    <w:panose1 w:val="020B0400000000000000"/>
    <w:charset w:val="86"/>
    <w:family w:val="swiss"/>
    <w:notTrueType/>
    <w:pitch w:val="variable"/>
    <w:sig w:usb0="00000207" w:usb1="0A0F1810" w:usb2="00000016" w:usb3="00000000" w:csb0="00060007" w:csb1="00000000"/>
  </w:font>
  <w:font w:name="Helvetica">
    <w:panose1 w:val="020B0604020202020204"/>
    <w:charset w:val="00"/>
    <w:family w:val="auto"/>
    <w:pitch w:val="default"/>
    <w:sig w:usb0="00000000" w:usb1="00000000" w:usb2="00000000" w:usb3="00000000" w:csb0="2000019F" w:csb1="4F010000"/>
  </w:font>
  <w:font w:name="monospace">
    <w:altName w:val="Calibri"/>
    <w:charset w:val="00"/>
    <w:family w:val="auto"/>
    <w:pitch w:val="default"/>
  </w:font>
  <w:font w:name="仿宋_GB2312">
    <w:altName w:val="仿宋"/>
    <w:panose1 w:val="02010609030101010101"/>
    <w:charset w:val="86"/>
    <w:family w:val="modern"/>
    <w:pitch w:val="fixed"/>
    <w:sig w:usb0="00000001" w:usb1="080E0000" w:usb2="00000010" w:usb3="00000000" w:csb0="00040000" w:csb1="00000000"/>
  </w:font>
  <w:font w:name="新宋体">
    <w:panose1 w:val="02010609030101010101"/>
    <w:charset w:val="86"/>
    <w:family w:val="modern"/>
    <w:pitch w:val="fixed"/>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F24C3" w14:textId="77777777" w:rsidR="0075791A" w:rsidRDefault="00FB2864">
    <w:pPr>
      <w:pStyle w:val="a8"/>
    </w:pPr>
    <w:r>
      <w:rPr>
        <w:noProof/>
      </w:rPr>
      <mc:AlternateContent>
        <mc:Choice Requires="wps">
          <w:drawing>
            <wp:anchor distT="0" distB="0" distL="114300" distR="114300" simplePos="0" relativeHeight="251680768" behindDoc="0" locked="0" layoutInCell="1" allowOverlap="1" wp14:anchorId="03FBE7D3" wp14:editId="71F94C1C">
              <wp:simplePos x="0" y="0"/>
              <wp:positionH relativeFrom="margin">
                <wp:align>center</wp:align>
              </wp:positionH>
              <wp:positionV relativeFrom="paragraph">
                <wp:posOffset>0</wp:posOffset>
              </wp:positionV>
              <wp:extent cx="1828800" cy="1828800"/>
              <wp:effectExtent l="0" t="0" r="0" b="0"/>
              <wp:wrapNone/>
              <wp:docPr id="378" name="文本框 3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2E9B75" w14:textId="77777777" w:rsidR="0075791A" w:rsidRDefault="00FB2864">
                          <w:pPr>
                            <w:pStyle w:val="a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3FBE7D3" id="_x0000_t202" coordsize="21600,21600" o:spt="202" path="m,l,21600r21600,l21600,xe">
              <v:stroke joinstyle="miter"/>
              <v:path gradientshapeok="t" o:connecttype="rect"/>
            </v:shapetype>
            <v:shape id="文本框 378" o:spid="_x0000_s1026" type="#_x0000_t202" style="position:absolute;margin-left:0;margin-top:0;width:2in;height:2in;z-index:25168076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9T1AXGMCAAAOBQAADgAAAAAAAAAAAAAAAAAuAgAAZHJzL2Uyb0RvYy54&#10;bWxQSwECLQAUAAYACAAAACEAcarRudcAAAAFAQAADwAAAAAAAAAAAAAAAAC9BAAAZHJzL2Rvd25y&#10;ZXYueG1sUEsFBgAAAAAEAAQA8wAAAMEFAAAAAA==&#10;" filled="f" stroked="f" strokeweight=".5pt">
              <v:textbox style="mso-fit-shape-to-text:t" inset="0,0,0,0">
                <w:txbxContent>
                  <w:p w14:paraId="602E9B75" w14:textId="77777777" w:rsidR="0075791A" w:rsidRDefault="00FB2864">
                    <w:pPr>
                      <w:pStyle w:val="a8"/>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A23E0" w14:textId="77777777" w:rsidR="0075791A" w:rsidRDefault="00FB2864">
    <w:pPr>
      <w:pStyle w:val="a8"/>
    </w:pPr>
    <w:r>
      <w:rPr>
        <w:noProof/>
      </w:rPr>
      <mc:AlternateContent>
        <mc:Choice Requires="wps">
          <w:drawing>
            <wp:anchor distT="0" distB="0" distL="114300" distR="114300" simplePos="0" relativeHeight="251664384" behindDoc="0" locked="0" layoutInCell="1" allowOverlap="1" wp14:anchorId="7632799B" wp14:editId="09702A32">
              <wp:simplePos x="0" y="0"/>
              <wp:positionH relativeFrom="margin">
                <wp:align>center</wp:align>
              </wp:positionH>
              <wp:positionV relativeFrom="paragraph">
                <wp:posOffset>0</wp:posOffset>
              </wp:positionV>
              <wp:extent cx="1828800" cy="1828800"/>
              <wp:effectExtent l="0" t="0" r="0" b="0"/>
              <wp:wrapNone/>
              <wp:docPr id="359" name="文本框 3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6CA241" w14:textId="77777777" w:rsidR="0075791A" w:rsidRDefault="00FB2864">
                          <w:pPr>
                            <w:pStyle w:val="a8"/>
                          </w:pPr>
                          <w:r>
                            <w:fldChar w:fldCharType="begin"/>
                          </w:r>
                          <w:r>
                            <w:instrText xml:space="preserve"> PAGE  \* MERGEFORMAT </w:instrText>
                          </w:r>
                          <w:r>
                            <w:fldChar w:fldCharType="separate"/>
                          </w:r>
                          <w:r>
                            <w:t>118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632799B" id="_x0000_t202" coordsize="21600,21600" o:spt="202" path="m,l,21600r21600,l21600,xe">
              <v:stroke joinstyle="miter"/>
              <v:path gradientshapeok="t" o:connecttype="rect"/>
            </v:shapetype>
            <v:shape id="文本框 359" o:spid="_x0000_s1035" type="#_x0000_t202" style="position:absolute;margin-left:0;margin-top:0;width:2in;height:2in;z-index:25166438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CRem2iZQIAABUFAAAOAAAAAAAAAAAAAAAAAC4CAABkcnMvZTJvRG9j&#10;LnhtbFBLAQItABQABgAIAAAAIQBxqtG51wAAAAUBAAAPAAAAAAAAAAAAAAAAAL8EAABkcnMvZG93&#10;bnJldi54bWxQSwUGAAAAAAQABADzAAAAwwUAAAAA&#10;" filled="f" stroked="f" strokeweight=".5pt">
              <v:textbox style="mso-fit-shape-to-text:t" inset="0,0,0,0">
                <w:txbxContent>
                  <w:p w14:paraId="706CA241" w14:textId="77777777" w:rsidR="0075791A" w:rsidRDefault="00FB2864">
                    <w:pPr>
                      <w:pStyle w:val="a8"/>
                    </w:pPr>
                    <w:r>
                      <w:fldChar w:fldCharType="begin"/>
                    </w:r>
                    <w:r>
                      <w:instrText xml:space="preserve"> PAGE  \* MERGEFORMAT </w:instrText>
                    </w:r>
                    <w:r>
                      <w:fldChar w:fldCharType="separate"/>
                    </w:r>
                    <w:r>
                      <w:t>118</w:t>
                    </w:r>
                    <w:r>
                      <w:fldChar w:fldCharType="end"/>
                    </w:r>
                  </w:p>
                </w:txbxContent>
              </v:textbox>
              <w10:wrap anchorx="margin"/>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F614A" w14:textId="77777777" w:rsidR="0075791A" w:rsidRDefault="00FB2864">
    <w:pPr>
      <w:pStyle w:val="a8"/>
    </w:pPr>
    <w:r>
      <w:rPr>
        <w:noProof/>
      </w:rPr>
      <mc:AlternateContent>
        <mc:Choice Requires="wps">
          <w:drawing>
            <wp:anchor distT="0" distB="0" distL="114300" distR="114300" simplePos="0" relativeHeight="251665408" behindDoc="0" locked="0" layoutInCell="1" allowOverlap="1" wp14:anchorId="2F0F6F72" wp14:editId="7E33337D">
              <wp:simplePos x="0" y="0"/>
              <wp:positionH relativeFrom="margin">
                <wp:align>center</wp:align>
              </wp:positionH>
              <wp:positionV relativeFrom="paragraph">
                <wp:posOffset>0</wp:posOffset>
              </wp:positionV>
              <wp:extent cx="1828800" cy="1828800"/>
              <wp:effectExtent l="0" t="0" r="0" b="0"/>
              <wp:wrapNone/>
              <wp:docPr id="360" name="文本框 3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76A04D" w14:textId="77777777" w:rsidR="0075791A" w:rsidRDefault="00FB2864">
                          <w:pPr>
                            <w:pStyle w:val="a8"/>
                          </w:pPr>
                          <w:r>
                            <w:fldChar w:fldCharType="begin"/>
                          </w:r>
                          <w:r>
                            <w:instrText xml:space="preserve"> PAGE  \* MERGEFORMAT </w:instrText>
                          </w:r>
                          <w:r>
                            <w:fldChar w:fldCharType="separate"/>
                          </w:r>
                          <w:r>
                            <w:t>148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F0F6F72" id="_x0000_t202" coordsize="21600,21600" o:spt="202" path="m,l,21600r21600,l21600,xe">
              <v:stroke joinstyle="miter"/>
              <v:path gradientshapeok="t" o:connecttype="rect"/>
            </v:shapetype>
            <v:shape id="文本框 360" o:spid="_x0000_s1036" type="#_x0000_t202" style="position:absolute;margin-left:0;margin-top:0;width:2in;height:2in;z-index:25166540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" filled="f" stroked="f" strokeweight=".5pt">
              <v:textbox style="mso-fit-shape-to-text:t" inset="0,0,0,0">
                <w:txbxContent>
                  <w:p w14:paraId="2676A04D" w14:textId="77777777" w:rsidR="0075791A" w:rsidRDefault="00FB2864">
                    <w:pPr>
                      <w:pStyle w:val="a8"/>
                    </w:pPr>
                    <w:r>
                      <w:fldChar w:fldCharType="begin"/>
                    </w:r>
                    <w:r>
                      <w:instrText xml:space="preserve"> PAGE  \* MERGEFORMAT </w:instrText>
                    </w:r>
                    <w:r>
                      <w:fldChar w:fldCharType="separate"/>
                    </w:r>
                    <w:r>
                      <w:t>148</w:t>
                    </w:r>
                    <w:r>
                      <w:fldChar w:fldCharType="end"/>
                    </w:r>
                  </w:p>
                </w:txbxContent>
              </v:textbox>
              <w10:wrap anchorx="margin"/>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968BE" w14:textId="77777777" w:rsidR="0075791A" w:rsidRDefault="00FB2864">
    <w:pPr>
      <w:pStyle w:val="a8"/>
    </w:pPr>
    <w:r>
      <w:rPr>
        <w:noProof/>
      </w:rPr>
      <mc:AlternateContent>
        <mc:Choice Requires="wps">
          <w:drawing>
            <wp:anchor distT="0" distB="0" distL="114300" distR="114300" simplePos="0" relativeHeight="251666432" behindDoc="0" locked="0" layoutInCell="1" allowOverlap="1" wp14:anchorId="0D4B42C4" wp14:editId="1B4D1287">
              <wp:simplePos x="0" y="0"/>
              <wp:positionH relativeFrom="margin">
                <wp:align>center</wp:align>
              </wp:positionH>
              <wp:positionV relativeFrom="paragraph">
                <wp:posOffset>0</wp:posOffset>
              </wp:positionV>
              <wp:extent cx="1828800" cy="1828800"/>
              <wp:effectExtent l="0" t="0" r="0" b="0"/>
              <wp:wrapNone/>
              <wp:docPr id="361" name="文本框 3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D06FDB" w14:textId="77777777" w:rsidR="0075791A" w:rsidRDefault="00FB2864">
                          <w:pPr>
                            <w:pStyle w:val="a8"/>
                          </w:pPr>
                          <w:r>
                            <w:fldChar w:fldCharType="begin"/>
                          </w:r>
                          <w:r>
                            <w:instrText xml:space="preserve"> PAGE  \* MERGEFORMAT </w:instrText>
                          </w:r>
                          <w:r>
                            <w:fldChar w:fldCharType="separate"/>
                          </w:r>
                          <w:r>
                            <w:t>205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D4B42C4" id="_x0000_t202" coordsize="21600,21600" o:spt="202" path="m,l,21600r21600,l21600,xe">
              <v:stroke joinstyle="miter"/>
              <v:path gradientshapeok="t" o:connecttype="rect"/>
            </v:shapetype>
            <v:shape id="文本框 361" o:spid="_x0000_s1037" type="#_x0000_t202" style="position:absolute;margin-left:0;margin-top:0;width:2in;height:2in;z-index:25166643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BqfniYZQIAABYFAAAOAAAAAAAAAAAAAAAAAC4CAABkcnMvZTJvRG9j&#10;LnhtbFBLAQItABQABgAIAAAAIQBxqtG51wAAAAUBAAAPAAAAAAAAAAAAAAAAAL8EAABkcnMvZG93&#10;bnJldi54bWxQSwUGAAAAAAQABADzAAAAwwUAAAAA&#10;" filled="f" stroked="f" strokeweight=".5pt">
              <v:textbox style="mso-fit-shape-to-text:t" inset="0,0,0,0">
                <w:txbxContent>
                  <w:p w14:paraId="33D06FDB" w14:textId="77777777" w:rsidR="0075791A" w:rsidRDefault="00FB2864">
                    <w:pPr>
                      <w:pStyle w:val="a8"/>
                    </w:pPr>
                    <w:r>
                      <w:fldChar w:fldCharType="begin"/>
                    </w:r>
                    <w:r>
                      <w:instrText xml:space="preserve"> PAGE  \* MERGEFORMAT </w:instrText>
                    </w:r>
                    <w:r>
                      <w:fldChar w:fldCharType="separate"/>
                    </w:r>
                    <w:r>
                      <w:t>205</w:t>
                    </w:r>
                    <w:r>
                      <w:fldChar w:fldCharType="end"/>
                    </w:r>
                  </w:p>
                </w:txbxContent>
              </v:textbox>
              <w10:wrap anchorx="margin"/>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B76A5" w14:textId="77777777" w:rsidR="0075791A" w:rsidRDefault="00FB2864">
    <w:pPr>
      <w:pStyle w:val="a8"/>
    </w:pPr>
    <w:r>
      <w:rPr>
        <w:noProof/>
      </w:rPr>
      <mc:AlternateContent>
        <mc:Choice Requires="wps">
          <w:drawing>
            <wp:anchor distT="0" distB="0" distL="114300" distR="114300" simplePos="0" relativeHeight="251667456" behindDoc="0" locked="0" layoutInCell="1" allowOverlap="1" wp14:anchorId="76CC76CB" wp14:editId="1CF63AF7">
              <wp:simplePos x="0" y="0"/>
              <wp:positionH relativeFrom="margin">
                <wp:align>center</wp:align>
              </wp:positionH>
              <wp:positionV relativeFrom="paragraph">
                <wp:posOffset>0</wp:posOffset>
              </wp:positionV>
              <wp:extent cx="1828800" cy="1828800"/>
              <wp:effectExtent l="0" t="0" r="0" b="0"/>
              <wp:wrapNone/>
              <wp:docPr id="362" name="文本框 3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DDE131" w14:textId="77777777" w:rsidR="0075791A" w:rsidRDefault="00FB2864">
                          <w:pPr>
                            <w:pStyle w:val="a8"/>
                          </w:pPr>
                          <w:r>
                            <w:fldChar w:fldCharType="begin"/>
                          </w:r>
                          <w:r>
                            <w:instrText xml:space="preserve"> PAGE  \* MERGEFORMAT </w:instrText>
                          </w:r>
                          <w:r>
                            <w:fldChar w:fldCharType="separate"/>
                          </w:r>
                          <w:r>
                            <w:t>230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6CC76CB" id="_x0000_t202" coordsize="21600,21600" o:spt="202" path="m,l,21600r21600,l21600,xe">
              <v:stroke joinstyle="miter"/>
              <v:path gradientshapeok="t" o:connecttype="rect"/>
            </v:shapetype>
            <v:shape id="文本框 362" o:spid="_x0000_s1038" type="#_x0000_t202" style="position:absolute;margin-left:0;margin-top:0;width:2in;height:2in;z-index:25166745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Gevac2YCAAAWBQAADgAAAAAAAAAAAAAAAAAuAgAAZHJzL2Uyb0Rv&#10;Yy54bWxQSwECLQAUAAYACAAAACEAcarRudcAAAAFAQAADwAAAAAAAAAAAAAAAADABAAAZHJzL2Rv&#10;d25yZXYueG1sUEsFBgAAAAAEAAQA8wAAAMQFAAAAAA==&#10;" filled="f" stroked="f" strokeweight=".5pt">
              <v:textbox style="mso-fit-shape-to-text:t" inset="0,0,0,0">
                <w:txbxContent>
                  <w:p w14:paraId="20DDE131" w14:textId="77777777" w:rsidR="0075791A" w:rsidRDefault="00FB2864">
                    <w:pPr>
                      <w:pStyle w:val="a8"/>
                    </w:pPr>
                    <w:r>
                      <w:fldChar w:fldCharType="begin"/>
                    </w:r>
                    <w:r>
                      <w:instrText xml:space="preserve"> PAGE  \* MERGEFORMAT </w:instrText>
                    </w:r>
                    <w:r>
                      <w:fldChar w:fldCharType="separate"/>
                    </w:r>
                    <w:r>
                      <w:t>230</w:t>
                    </w:r>
                    <w:r>
                      <w:fldChar w:fldCharType="end"/>
                    </w:r>
                  </w:p>
                </w:txbxContent>
              </v:textbox>
              <w10:wrap anchorx="margin"/>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3498D" w14:textId="77777777" w:rsidR="0075791A" w:rsidRDefault="00FB2864">
    <w:pPr>
      <w:pStyle w:val="a8"/>
    </w:pPr>
    <w:r>
      <w:rPr>
        <w:noProof/>
      </w:rPr>
      <mc:AlternateContent>
        <mc:Choice Requires="wps">
          <w:drawing>
            <wp:anchor distT="0" distB="0" distL="114300" distR="114300" simplePos="0" relativeHeight="251668480" behindDoc="0" locked="0" layoutInCell="1" allowOverlap="1" wp14:anchorId="2D40DAE4" wp14:editId="2C1A2968">
              <wp:simplePos x="0" y="0"/>
              <wp:positionH relativeFrom="margin">
                <wp:align>center</wp:align>
              </wp:positionH>
              <wp:positionV relativeFrom="paragraph">
                <wp:posOffset>0</wp:posOffset>
              </wp:positionV>
              <wp:extent cx="1828800" cy="1828800"/>
              <wp:effectExtent l="0" t="0" r="0" b="0"/>
              <wp:wrapNone/>
              <wp:docPr id="363" name="文本框 3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0C40B2" w14:textId="77777777" w:rsidR="0075791A" w:rsidRDefault="00FB2864">
                          <w:pPr>
                            <w:pStyle w:val="a8"/>
                          </w:pPr>
                          <w:r>
                            <w:fldChar w:fldCharType="begin"/>
                          </w:r>
                          <w:r>
                            <w:instrText xml:space="preserve"> PAGE  \* MERGEFORMAT </w:instrText>
                          </w:r>
                          <w:r>
                            <w:fldChar w:fldCharType="separate"/>
                          </w:r>
                          <w:r>
                            <w:t>239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D40DAE4" id="_x0000_t202" coordsize="21600,21600" o:spt="202" path="m,l,21600r21600,l21600,xe">
              <v:stroke joinstyle="miter"/>
              <v:path gradientshapeok="t" o:connecttype="rect"/>
            </v:shapetype>
            <v:shape id="文本框 363" o:spid="_x0000_s1039" type="#_x0000_t202" style="position:absolute;margin-left:0;margin-top:0;width:2in;height:2in;z-index:25166848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yGe7KmYCAAAWBQAADgAAAAAAAAAAAAAAAAAuAgAAZHJzL2Uyb0Rv&#10;Yy54bWxQSwECLQAUAAYACAAAACEAcarRudcAAAAFAQAADwAAAAAAAAAAAAAAAADABAAAZHJzL2Rv&#10;d25yZXYueG1sUEsFBgAAAAAEAAQA8wAAAMQFAAAAAA==&#10;" filled="f" stroked="f" strokeweight=".5pt">
              <v:textbox style="mso-fit-shape-to-text:t" inset="0,0,0,0">
                <w:txbxContent>
                  <w:p w14:paraId="670C40B2" w14:textId="77777777" w:rsidR="0075791A" w:rsidRDefault="00FB2864">
                    <w:pPr>
                      <w:pStyle w:val="a8"/>
                    </w:pPr>
                    <w:r>
                      <w:fldChar w:fldCharType="begin"/>
                    </w:r>
                    <w:r>
                      <w:instrText xml:space="preserve"> PAGE  \* MERGEFORMAT </w:instrText>
                    </w:r>
                    <w:r>
                      <w:fldChar w:fldCharType="separate"/>
                    </w:r>
                    <w:r>
                      <w:t>239</w:t>
                    </w:r>
                    <w:r>
                      <w:fldChar w:fldCharType="end"/>
                    </w:r>
                  </w:p>
                </w:txbxContent>
              </v:textbox>
              <w10:wrap anchorx="margin"/>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89855" w14:textId="77777777" w:rsidR="0075791A" w:rsidRDefault="00FB2864">
    <w:pPr>
      <w:pStyle w:val="a8"/>
    </w:pPr>
    <w:r>
      <w:rPr>
        <w:noProof/>
      </w:rPr>
      <mc:AlternateContent>
        <mc:Choice Requires="wps">
          <w:drawing>
            <wp:anchor distT="0" distB="0" distL="114300" distR="114300" simplePos="0" relativeHeight="251669504" behindDoc="0" locked="0" layoutInCell="1" allowOverlap="1" wp14:anchorId="02B346B0" wp14:editId="32AB817D">
              <wp:simplePos x="0" y="0"/>
              <wp:positionH relativeFrom="margin">
                <wp:align>center</wp:align>
              </wp:positionH>
              <wp:positionV relativeFrom="paragraph">
                <wp:posOffset>0</wp:posOffset>
              </wp:positionV>
              <wp:extent cx="1828800" cy="1828800"/>
              <wp:effectExtent l="0" t="0" r="0" b="0"/>
              <wp:wrapNone/>
              <wp:docPr id="364" name="文本框 3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20A7CB" w14:textId="77777777" w:rsidR="0075791A" w:rsidRDefault="00FB2864">
                          <w:pPr>
                            <w:pStyle w:val="a8"/>
                          </w:pPr>
                          <w:r>
                            <w:fldChar w:fldCharType="begin"/>
                          </w:r>
                          <w:r>
                            <w:instrText xml:space="preserve"> PAGE  \* MERGEFORMAT </w:instrText>
                          </w:r>
                          <w:r>
                            <w:fldChar w:fldCharType="separate"/>
                          </w:r>
                          <w:r>
                            <w:t>256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2B346B0" id="_x0000_t202" coordsize="21600,21600" o:spt="202" path="m,l,21600r21600,l21600,xe">
              <v:stroke joinstyle="miter"/>
              <v:path gradientshapeok="t" o:connecttype="rect"/>
            </v:shapetype>
            <v:shape id="文本框 364" o:spid="_x0000_s1040" type="#_x0000_t202" style="position:absolute;margin-left:0;margin-top:0;width:2in;height:2in;z-index:2516695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vsfuf2YCAAAWBQAADgAAAAAAAAAAAAAAAAAuAgAAZHJzL2Uyb0Rv&#10;Yy54bWxQSwECLQAUAAYACAAAACEAcarRudcAAAAFAQAADwAAAAAAAAAAAAAAAADABAAAZHJzL2Rv&#10;d25yZXYueG1sUEsFBgAAAAAEAAQA8wAAAMQFAAAAAA==&#10;" filled="f" stroked="f" strokeweight=".5pt">
              <v:textbox style="mso-fit-shape-to-text:t" inset="0,0,0,0">
                <w:txbxContent>
                  <w:p w14:paraId="0E20A7CB" w14:textId="77777777" w:rsidR="0075791A" w:rsidRDefault="00FB2864">
                    <w:pPr>
                      <w:pStyle w:val="a8"/>
                    </w:pPr>
                    <w:r>
                      <w:fldChar w:fldCharType="begin"/>
                    </w:r>
                    <w:r>
                      <w:instrText xml:space="preserve"> PAGE  \* MERGEFORMAT </w:instrText>
                    </w:r>
                    <w:r>
                      <w:fldChar w:fldCharType="separate"/>
                    </w:r>
                    <w:r>
                      <w:t>256</w:t>
                    </w:r>
                    <w:r>
                      <w:fldChar w:fldCharType="end"/>
                    </w:r>
                  </w:p>
                </w:txbxContent>
              </v:textbox>
              <w10:wrap anchorx="margin"/>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1A868" w14:textId="77777777" w:rsidR="0075791A" w:rsidRDefault="00FB2864">
    <w:pPr>
      <w:pStyle w:val="a8"/>
    </w:pPr>
    <w:r>
      <w:rPr>
        <w:noProof/>
      </w:rPr>
      <mc:AlternateContent>
        <mc:Choice Requires="wps">
          <w:drawing>
            <wp:anchor distT="0" distB="0" distL="114300" distR="114300" simplePos="0" relativeHeight="251670528" behindDoc="0" locked="0" layoutInCell="1" allowOverlap="1" wp14:anchorId="7893710D" wp14:editId="4B64EBFE">
              <wp:simplePos x="0" y="0"/>
              <wp:positionH relativeFrom="margin">
                <wp:align>center</wp:align>
              </wp:positionH>
              <wp:positionV relativeFrom="paragraph">
                <wp:posOffset>0</wp:posOffset>
              </wp:positionV>
              <wp:extent cx="1828800" cy="1828800"/>
              <wp:effectExtent l="0" t="0" r="0" b="0"/>
              <wp:wrapNone/>
              <wp:docPr id="365" name="文本框 3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3F4A47" w14:textId="77777777" w:rsidR="0075791A" w:rsidRDefault="00FB2864">
                          <w:pPr>
                            <w:pStyle w:val="a8"/>
                          </w:pPr>
                          <w:r>
                            <w:fldChar w:fldCharType="begin"/>
                          </w:r>
                          <w:r>
                            <w:instrText xml:space="preserve"> PAGE  \* MERGEFORMAT </w:instrText>
                          </w:r>
                          <w:r>
                            <w:fldChar w:fldCharType="separate"/>
                          </w:r>
                          <w:r>
                            <w:t>259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893710D" id="_x0000_t202" coordsize="21600,21600" o:spt="202" path="m,l,21600r21600,l21600,xe">
              <v:stroke joinstyle="miter"/>
              <v:path gradientshapeok="t" o:connecttype="rect"/>
            </v:shapetype>
            <v:shape id="文本框 365" o:spid="_x0000_s1041" type="#_x0000_t202" style="position:absolute;margin-left:0;margin-top:0;width:2in;height:2in;z-index:25167052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b0uPJmYCAAAWBQAADgAAAAAAAAAAAAAAAAAuAgAAZHJzL2Uyb0Rv&#10;Yy54bWxQSwECLQAUAAYACAAAACEAcarRudcAAAAFAQAADwAAAAAAAAAAAAAAAADABAAAZHJzL2Rv&#10;d25yZXYueG1sUEsFBgAAAAAEAAQA8wAAAMQFAAAAAA==&#10;" filled="f" stroked="f" strokeweight=".5pt">
              <v:textbox style="mso-fit-shape-to-text:t" inset="0,0,0,0">
                <w:txbxContent>
                  <w:p w14:paraId="2B3F4A47" w14:textId="77777777" w:rsidR="0075791A" w:rsidRDefault="00FB2864">
                    <w:pPr>
                      <w:pStyle w:val="a8"/>
                    </w:pPr>
                    <w:r>
                      <w:fldChar w:fldCharType="begin"/>
                    </w:r>
                    <w:r>
                      <w:instrText xml:space="preserve"> PAGE  \* MERGEFORMAT </w:instrText>
                    </w:r>
                    <w:r>
                      <w:fldChar w:fldCharType="separate"/>
                    </w:r>
                    <w:r>
                      <w:t>259</w:t>
                    </w:r>
                    <w:r>
                      <w:fldChar w:fldCharType="end"/>
                    </w:r>
                  </w:p>
                </w:txbxContent>
              </v:textbox>
              <w10:wrap anchorx="margin"/>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2A165" w14:textId="77777777" w:rsidR="0075791A" w:rsidRDefault="00FB2864">
    <w:pPr>
      <w:pStyle w:val="a8"/>
    </w:pPr>
    <w:r>
      <w:rPr>
        <w:noProof/>
      </w:rPr>
      <mc:AlternateContent>
        <mc:Choice Requires="wps">
          <w:drawing>
            <wp:anchor distT="0" distB="0" distL="114300" distR="114300" simplePos="0" relativeHeight="251671552" behindDoc="0" locked="0" layoutInCell="1" allowOverlap="1" wp14:anchorId="79BE5B3E" wp14:editId="16BF4FEA">
              <wp:simplePos x="0" y="0"/>
              <wp:positionH relativeFrom="margin">
                <wp:align>center</wp:align>
              </wp:positionH>
              <wp:positionV relativeFrom="paragraph">
                <wp:posOffset>0</wp:posOffset>
              </wp:positionV>
              <wp:extent cx="1828800" cy="1828800"/>
              <wp:effectExtent l="0" t="0" r="0" b="0"/>
              <wp:wrapNone/>
              <wp:docPr id="366" name="文本框 3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D0E40F" w14:textId="77777777" w:rsidR="0075791A" w:rsidRDefault="00FB2864">
                          <w:pPr>
                            <w:pStyle w:val="a8"/>
                          </w:pPr>
                          <w:r>
                            <w:fldChar w:fldCharType="begin"/>
                          </w:r>
                          <w:r>
                            <w:instrText xml:space="preserve"> PAGE  \* MERGEFORMAT </w:instrText>
                          </w:r>
                          <w:r>
                            <w:fldChar w:fldCharType="separate"/>
                          </w:r>
                          <w:r>
                            <w:t>261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9BE5B3E" id="_x0000_t202" coordsize="21600,21600" o:spt="202" path="m,l,21600r21600,l21600,xe">
              <v:stroke joinstyle="miter"/>
              <v:path gradientshapeok="t" o:connecttype="rect"/>
            </v:shapetype>
            <v:shape id="文本框 366" o:spid="_x0000_s1042" type="#_x0000_t202" style="position:absolute;margin-left:0;margin-top:0;width:2in;height:2in;z-index:25167155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HN4tzWYCAAAWBQAADgAAAAAAAAAAAAAAAAAuAgAAZHJzL2Uyb0Rv&#10;Yy54bWxQSwECLQAUAAYACAAAACEAcarRudcAAAAFAQAADwAAAAAAAAAAAAAAAADABAAAZHJzL2Rv&#10;d25yZXYueG1sUEsFBgAAAAAEAAQA8wAAAMQFAAAAAA==&#10;" filled="f" stroked="f" strokeweight=".5pt">
              <v:textbox style="mso-fit-shape-to-text:t" inset="0,0,0,0">
                <w:txbxContent>
                  <w:p w14:paraId="52D0E40F" w14:textId="77777777" w:rsidR="0075791A" w:rsidRDefault="00FB2864">
                    <w:pPr>
                      <w:pStyle w:val="a8"/>
                    </w:pPr>
                    <w:r>
                      <w:fldChar w:fldCharType="begin"/>
                    </w:r>
                    <w:r>
                      <w:instrText xml:space="preserve"> PAGE  \* MERGEFORMAT </w:instrText>
                    </w:r>
                    <w:r>
                      <w:fldChar w:fldCharType="separate"/>
                    </w:r>
                    <w:r>
                      <w:t>261</w:t>
                    </w:r>
                    <w:r>
                      <w:fldChar w:fldCharType="end"/>
                    </w:r>
                  </w:p>
                </w:txbxContent>
              </v:textbox>
              <w10:wrap anchorx="margin"/>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E16B1" w14:textId="77777777" w:rsidR="0075791A" w:rsidRDefault="00FB2864">
    <w:pPr>
      <w:pStyle w:val="a8"/>
    </w:pPr>
    <w:r>
      <w:rPr>
        <w:noProof/>
      </w:rPr>
      <mc:AlternateContent>
        <mc:Choice Requires="wps">
          <w:drawing>
            <wp:anchor distT="0" distB="0" distL="114300" distR="114300" simplePos="0" relativeHeight="251672576" behindDoc="0" locked="0" layoutInCell="1" allowOverlap="1" wp14:anchorId="4469772F" wp14:editId="1D0E223D">
              <wp:simplePos x="0" y="0"/>
              <wp:positionH relativeFrom="margin">
                <wp:align>center</wp:align>
              </wp:positionH>
              <wp:positionV relativeFrom="paragraph">
                <wp:posOffset>0</wp:posOffset>
              </wp:positionV>
              <wp:extent cx="1828800" cy="1828800"/>
              <wp:effectExtent l="0" t="0" r="0" b="0"/>
              <wp:wrapNone/>
              <wp:docPr id="367" name="文本框 3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13FC63" w14:textId="77777777" w:rsidR="0075791A" w:rsidRDefault="00FB2864">
                          <w:pPr>
                            <w:pStyle w:val="a8"/>
                          </w:pPr>
                          <w:r>
                            <w:fldChar w:fldCharType="begin"/>
                          </w:r>
                          <w:r>
                            <w:instrText xml:space="preserve"> PAGE  \* MERGEFORMAT </w:instrText>
                          </w:r>
                          <w:r>
                            <w:fldChar w:fldCharType="separate"/>
                          </w:r>
                          <w:r>
                            <w:t>263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4469772F" id="_x0000_t202" coordsize="21600,21600" o:spt="202" path="m,l,21600r21600,l21600,xe">
              <v:stroke joinstyle="miter"/>
              <v:path gradientshapeok="t" o:connecttype="rect"/>
            </v:shapetype>
            <v:shape id="文本框 367" o:spid="_x0000_s1043" type="#_x0000_t202" style="position:absolute;margin-left:0;margin-top:0;width:2in;height:2in;z-index:25167257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zVJMlGYCAAAWBQAADgAAAAAAAAAAAAAAAAAuAgAAZHJzL2Uyb0Rv&#10;Yy54bWxQSwECLQAUAAYACAAAACEAcarRudcAAAAFAQAADwAAAAAAAAAAAAAAAADABAAAZHJzL2Rv&#10;d25yZXYueG1sUEsFBgAAAAAEAAQA8wAAAMQFAAAAAA==&#10;" filled="f" stroked="f" strokeweight=".5pt">
              <v:textbox style="mso-fit-shape-to-text:t" inset="0,0,0,0">
                <w:txbxContent>
                  <w:p w14:paraId="0813FC63" w14:textId="77777777" w:rsidR="0075791A" w:rsidRDefault="00FB2864">
                    <w:pPr>
                      <w:pStyle w:val="a8"/>
                    </w:pPr>
                    <w:r>
                      <w:fldChar w:fldCharType="begin"/>
                    </w:r>
                    <w:r>
                      <w:instrText xml:space="preserve"> PAGE  \* MERGEFORMAT </w:instrText>
                    </w:r>
                    <w:r>
                      <w:fldChar w:fldCharType="separate"/>
                    </w:r>
                    <w:r>
                      <w:t>263</w:t>
                    </w:r>
                    <w:r>
                      <w:fldChar w:fldCharType="end"/>
                    </w:r>
                  </w:p>
                </w:txbxContent>
              </v:textbox>
              <w10:wrap anchorx="margin"/>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0ACD9" w14:textId="77777777" w:rsidR="0075791A" w:rsidRDefault="00FB2864">
    <w:pPr>
      <w:pStyle w:val="a8"/>
    </w:pPr>
    <w:r>
      <w:rPr>
        <w:noProof/>
      </w:rPr>
      <mc:AlternateContent>
        <mc:Choice Requires="wps">
          <w:drawing>
            <wp:anchor distT="0" distB="0" distL="114300" distR="114300" simplePos="0" relativeHeight="251673600" behindDoc="0" locked="0" layoutInCell="1" allowOverlap="1" wp14:anchorId="424441AC" wp14:editId="4F983036">
              <wp:simplePos x="0" y="0"/>
              <wp:positionH relativeFrom="margin">
                <wp:align>center</wp:align>
              </wp:positionH>
              <wp:positionV relativeFrom="paragraph">
                <wp:posOffset>0</wp:posOffset>
              </wp:positionV>
              <wp:extent cx="1828800" cy="1828800"/>
              <wp:effectExtent l="0" t="0" r="0" b="0"/>
              <wp:wrapNone/>
              <wp:docPr id="369" name="文本框 3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6B3628" w14:textId="77777777" w:rsidR="0075791A" w:rsidRDefault="00FB2864">
                          <w:pPr>
                            <w:pStyle w:val="a8"/>
                          </w:pPr>
                          <w:r>
                            <w:fldChar w:fldCharType="begin"/>
                          </w:r>
                          <w:r>
                            <w:instrText xml:space="preserve"> PAGE  \* MERGEFORMAT </w:instrText>
                          </w:r>
                          <w:r>
                            <w:fldChar w:fldCharType="separate"/>
                          </w:r>
                          <w:r>
                            <w:t>270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424441AC" id="_x0000_t202" coordsize="21600,21600" o:spt="202" path="m,l,21600r21600,l21600,xe">
              <v:stroke joinstyle="miter"/>
              <v:path gradientshapeok="t" o:connecttype="rect"/>
            </v:shapetype>
            <v:shape id="文本框 369" o:spid="_x0000_s1044" type="#_x0000_t202" style="position:absolute;margin-left:0;margin-top:0;width:2in;height:2in;z-index:25167360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" filled="f" stroked="f" strokeweight=".5pt">
              <v:textbox style="mso-fit-shape-to-text:t" inset="0,0,0,0">
                <w:txbxContent>
                  <w:p w14:paraId="256B3628" w14:textId="77777777" w:rsidR="0075791A" w:rsidRDefault="00FB2864">
                    <w:pPr>
                      <w:pStyle w:val="a8"/>
                    </w:pPr>
                    <w:r>
                      <w:fldChar w:fldCharType="begin"/>
                    </w:r>
                    <w:r>
                      <w:instrText xml:space="preserve"> PAGE  \* MERGEFORMAT </w:instrText>
                    </w:r>
                    <w:r>
                      <w:fldChar w:fldCharType="separate"/>
                    </w:r>
                    <w:r>
                      <w:t>270</w:t>
                    </w:r>
                    <w: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CAB99" w14:textId="77777777" w:rsidR="0075791A" w:rsidRDefault="00FB2864">
    <w:pPr>
      <w:jc w:val="center"/>
      <w:rPr>
        <w:rFonts w:ascii="Times New Roman" w:eastAsia="Times New Roman" w:hAnsi="Times New Roman" w:cs="Times New Roman"/>
        <w:sz w:val="18"/>
        <w:szCs w:val="18"/>
      </w:rPr>
    </w:pPr>
    <w:r>
      <w:rPr>
        <w:noProof/>
        <w:sz w:val="18"/>
      </w:rPr>
      <mc:AlternateContent>
        <mc:Choice Requires="wps">
          <w:drawing>
            <wp:anchor distT="0" distB="0" distL="114300" distR="114300" simplePos="0" relativeHeight="251681792" behindDoc="0" locked="0" layoutInCell="1" allowOverlap="1" wp14:anchorId="03E9D2CD" wp14:editId="3C48A311">
              <wp:simplePos x="0" y="0"/>
              <wp:positionH relativeFrom="margin">
                <wp:align>center</wp:align>
              </wp:positionH>
              <wp:positionV relativeFrom="paragraph">
                <wp:posOffset>0</wp:posOffset>
              </wp:positionV>
              <wp:extent cx="1828800" cy="1828800"/>
              <wp:effectExtent l="0" t="0" r="0" b="0"/>
              <wp:wrapNone/>
              <wp:docPr id="384" name="文本框 3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C9BFB3" w14:textId="77777777" w:rsidR="0075791A" w:rsidRDefault="00FB2864">
                          <w:pPr>
                            <w:pStyle w:val="a8"/>
                            <w:rPr>
                              <w:rFonts w:ascii="Times New Roman" w:hAnsi="Times New Roman" w:cs="Times New Roman"/>
                              <w:sz w:val="21"/>
                            </w:rPr>
                          </w:pPr>
                          <w:r>
                            <w:rPr>
                              <w:rFonts w:ascii="Times New Roman" w:hAnsi="Times New Roman" w:cs="Times New Roman"/>
                              <w:sz w:val="21"/>
                            </w:rPr>
                            <w:fldChar w:fldCharType="begin"/>
                          </w:r>
                          <w:r>
                            <w:rPr>
                              <w:rFonts w:ascii="Times New Roman" w:hAnsi="Times New Roman" w:cs="Times New Roman"/>
                              <w:sz w:val="21"/>
                            </w:rPr>
                            <w:instrText xml:space="preserve"> PAGE  \* MERGEFORMAT </w:instrText>
                          </w:r>
                          <w:r>
                            <w:rPr>
                              <w:rFonts w:ascii="Times New Roman" w:hAnsi="Times New Roman" w:cs="Times New Roman"/>
                              <w:sz w:val="21"/>
                            </w:rPr>
                            <w:fldChar w:fldCharType="separate"/>
                          </w:r>
                          <w:r>
                            <w:rPr>
                              <w:rFonts w:ascii="Times New Roman" w:hAnsi="Times New Roman" w:cs="Times New Roman"/>
                              <w:sz w:val="21"/>
                            </w:rPr>
                            <w:t>1</w:t>
                          </w:r>
                          <w:r>
                            <w:rPr>
                              <w:rFonts w:ascii="Times New Roman" w:hAnsi="Times New Roman" w:cs="Times New Roman"/>
                              <w:sz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3E9D2CD" id="_x0000_t202" coordsize="21600,21600" o:spt="202" path="m,l,21600r21600,l21600,xe">
              <v:stroke joinstyle="miter"/>
              <v:path gradientshapeok="t" o:connecttype="rect"/>
            </v:shapetype>
            <v:shape id="文本框 384" o:spid="_x0000_s1027" type="#_x0000_t202" style="position:absolute;left:0;text-align:left;margin-left:0;margin-top:0;width:2in;height:2in;z-index:25168179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C8XE6OZQIAABUFAAAOAAAAAAAAAAAAAAAAAC4CAABkcnMvZTJvRG9j&#10;LnhtbFBLAQItABQABgAIAAAAIQBxqtG51wAAAAUBAAAPAAAAAAAAAAAAAAAAAL8EAABkcnMvZG93&#10;bnJldi54bWxQSwUGAAAAAAQABADzAAAAwwUAAAAA&#10;" filled="f" stroked="f" strokeweight=".5pt">
              <v:textbox style="mso-fit-shape-to-text:t" inset="0,0,0,0">
                <w:txbxContent>
                  <w:p w14:paraId="0DC9BFB3" w14:textId="77777777" w:rsidR="0075791A" w:rsidRDefault="00FB2864">
                    <w:pPr>
                      <w:pStyle w:val="a8"/>
                      <w:rPr>
                        <w:rFonts w:ascii="Times New Roman" w:hAnsi="Times New Roman" w:cs="Times New Roman"/>
                        <w:sz w:val="21"/>
                      </w:rPr>
                    </w:pPr>
                    <w:r>
                      <w:rPr>
                        <w:rFonts w:ascii="Times New Roman" w:hAnsi="Times New Roman" w:cs="Times New Roman"/>
                        <w:sz w:val="21"/>
                      </w:rPr>
                      <w:fldChar w:fldCharType="begin"/>
                    </w:r>
                    <w:r>
                      <w:rPr>
                        <w:rFonts w:ascii="Times New Roman" w:hAnsi="Times New Roman" w:cs="Times New Roman"/>
                        <w:sz w:val="21"/>
                      </w:rPr>
                      <w:instrText xml:space="preserve"> PAGE  \* MERGEFORMAT </w:instrText>
                    </w:r>
                    <w:r>
                      <w:rPr>
                        <w:rFonts w:ascii="Times New Roman" w:hAnsi="Times New Roman" w:cs="Times New Roman"/>
                        <w:sz w:val="21"/>
                      </w:rPr>
                      <w:fldChar w:fldCharType="separate"/>
                    </w:r>
                    <w:r>
                      <w:rPr>
                        <w:rFonts w:ascii="Times New Roman" w:hAnsi="Times New Roman" w:cs="Times New Roman"/>
                        <w:sz w:val="21"/>
                      </w:rPr>
                      <w:t>1</w:t>
                    </w:r>
                    <w:r>
                      <w:rPr>
                        <w:rFonts w:ascii="Times New Roman" w:hAnsi="Times New Roman" w:cs="Times New Roman"/>
                        <w:sz w:val="21"/>
                      </w:rPr>
                      <w:fldChar w:fldCharType="end"/>
                    </w:r>
                  </w:p>
                </w:txbxContent>
              </v:textbox>
              <w10:wrap anchorx="margin"/>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56F399" w14:textId="77777777" w:rsidR="0075791A" w:rsidRDefault="00FB2864">
    <w:pPr>
      <w:pStyle w:val="a8"/>
    </w:pPr>
    <w:r>
      <w:rPr>
        <w:noProof/>
      </w:rPr>
      <mc:AlternateContent>
        <mc:Choice Requires="wps">
          <w:drawing>
            <wp:anchor distT="0" distB="0" distL="114300" distR="114300" simplePos="0" relativeHeight="251674624" behindDoc="0" locked="0" layoutInCell="1" allowOverlap="1" wp14:anchorId="1C7E6175" wp14:editId="376D972D">
              <wp:simplePos x="0" y="0"/>
              <wp:positionH relativeFrom="margin">
                <wp:align>center</wp:align>
              </wp:positionH>
              <wp:positionV relativeFrom="paragraph">
                <wp:posOffset>0</wp:posOffset>
              </wp:positionV>
              <wp:extent cx="1828800" cy="1828800"/>
              <wp:effectExtent l="0" t="0" r="0" b="0"/>
              <wp:wrapNone/>
              <wp:docPr id="370" name="文本框 3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D585C7" w14:textId="77777777" w:rsidR="0075791A" w:rsidRDefault="00FB2864">
                          <w:pPr>
                            <w:pStyle w:val="a8"/>
                          </w:pPr>
                          <w:r>
                            <w:fldChar w:fldCharType="begin"/>
                          </w:r>
                          <w:r>
                            <w:instrText xml:space="preserve"> PAGE  \* MERGEFORMAT </w:instrText>
                          </w:r>
                          <w:r>
                            <w:fldChar w:fldCharType="separate"/>
                          </w:r>
                          <w:r>
                            <w:t>280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C7E6175" id="_x0000_t202" coordsize="21600,21600" o:spt="202" path="m,l,21600r21600,l21600,xe">
              <v:stroke joinstyle="miter"/>
              <v:path gradientshapeok="t" o:connecttype="rect"/>
            </v:shapetype>
            <v:shape id="文本框 370" o:spid="_x0000_s1045" type="#_x0000_t202" style="position:absolute;margin-left:0;margin-top:0;width:2in;height:2in;z-index:25167462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" filled="f" stroked="f" strokeweight=".5pt">
              <v:textbox style="mso-fit-shape-to-text:t" inset="0,0,0,0">
                <w:txbxContent>
                  <w:p w14:paraId="0ED585C7" w14:textId="77777777" w:rsidR="0075791A" w:rsidRDefault="00FB2864">
                    <w:pPr>
                      <w:pStyle w:val="a8"/>
                    </w:pPr>
                    <w:r>
                      <w:fldChar w:fldCharType="begin"/>
                    </w:r>
                    <w:r>
                      <w:instrText xml:space="preserve"> PAGE  \* MERGEFORMAT </w:instrText>
                    </w:r>
                    <w:r>
                      <w:fldChar w:fldCharType="separate"/>
                    </w:r>
                    <w:r>
                      <w:t>280</w:t>
                    </w:r>
                    <w:r>
                      <w:fldChar w:fldCharType="end"/>
                    </w:r>
                  </w:p>
                </w:txbxContent>
              </v:textbox>
              <w10:wrap anchorx="margin"/>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80228" w14:textId="77777777" w:rsidR="0075791A" w:rsidRDefault="00FB2864">
    <w:pPr>
      <w:pStyle w:val="a8"/>
    </w:pPr>
    <w:r>
      <w:rPr>
        <w:noProof/>
      </w:rPr>
      <mc:AlternateContent>
        <mc:Choice Requires="wps">
          <w:drawing>
            <wp:anchor distT="0" distB="0" distL="114300" distR="114300" simplePos="0" relativeHeight="251675648" behindDoc="0" locked="0" layoutInCell="1" allowOverlap="1" wp14:anchorId="024D72BE" wp14:editId="70378AE2">
              <wp:simplePos x="0" y="0"/>
              <wp:positionH relativeFrom="margin">
                <wp:align>center</wp:align>
              </wp:positionH>
              <wp:positionV relativeFrom="paragraph">
                <wp:posOffset>0</wp:posOffset>
              </wp:positionV>
              <wp:extent cx="1828800" cy="1828800"/>
              <wp:effectExtent l="0" t="0" r="0" b="0"/>
              <wp:wrapNone/>
              <wp:docPr id="371" name="文本框 3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9E7BD5" w14:textId="77777777" w:rsidR="0075791A" w:rsidRDefault="00FB2864">
                          <w:pPr>
                            <w:pStyle w:val="a8"/>
                          </w:pPr>
                          <w:r>
                            <w:fldChar w:fldCharType="begin"/>
                          </w:r>
                          <w:r>
                            <w:instrText xml:space="preserve"> PAGE  \* MERGEFORMAT </w:instrText>
                          </w:r>
                          <w:r>
                            <w:fldChar w:fldCharType="separate"/>
                          </w:r>
                          <w:r>
                            <w:t>288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24D72BE" id="_x0000_t202" coordsize="21600,21600" o:spt="202" path="m,l,21600r21600,l21600,xe">
              <v:stroke joinstyle="miter"/>
              <v:path gradientshapeok="t" o:connecttype="rect"/>
            </v:shapetype>
            <v:shape id="文本框 371" o:spid="_x0000_s1046" type="#_x0000_t202" style="position:absolute;margin-left:0;margin-top:0;width:2in;height:2in;z-index:25167564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ynZ9fmYCAAAWBQAADgAAAAAAAAAAAAAAAAAuAgAAZHJzL2Uyb0Rv&#10;Yy54bWxQSwECLQAUAAYACAAAACEAcarRudcAAAAFAQAADwAAAAAAAAAAAAAAAADABAAAZHJzL2Rv&#10;d25yZXYueG1sUEsFBgAAAAAEAAQA8wAAAMQFAAAAAA==&#10;" filled="f" stroked="f" strokeweight=".5pt">
              <v:textbox style="mso-fit-shape-to-text:t" inset="0,0,0,0">
                <w:txbxContent>
                  <w:p w14:paraId="4C9E7BD5" w14:textId="77777777" w:rsidR="0075791A" w:rsidRDefault="00FB2864">
                    <w:pPr>
                      <w:pStyle w:val="a8"/>
                    </w:pPr>
                    <w:r>
                      <w:fldChar w:fldCharType="begin"/>
                    </w:r>
                    <w:r>
                      <w:instrText xml:space="preserve"> PAGE  \* MERGEFORMAT </w:instrText>
                    </w:r>
                    <w:r>
                      <w:fldChar w:fldCharType="separate"/>
                    </w:r>
                    <w:r>
                      <w:t>288</w:t>
                    </w:r>
                    <w:r>
                      <w:fldChar w:fldCharType="end"/>
                    </w:r>
                  </w:p>
                </w:txbxContent>
              </v:textbox>
              <w10:wrap anchorx="margin"/>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581F0" w14:textId="77777777" w:rsidR="0075791A" w:rsidRDefault="00FB2864">
    <w:pPr>
      <w:pStyle w:val="a8"/>
    </w:pPr>
    <w:r>
      <w:rPr>
        <w:noProof/>
      </w:rPr>
      <mc:AlternateContent>
        <mc:Choice Requires="wps">
          <w:drawing>
            <wp:anchor distT="0" distB="0" distL="114300" distR="114300" simplePos="0" relativeHeight="251676672" behindDoc="0" locked="0" layoutInCell="1" allowOverlap="1" wp14:anchorId="1DD7F239" wp14:editId="00743154">
              <wp:simplePos x="0" y="0"/>
              <wp:positionH relativeFrom="margin">
                <wp:align>center</wp:align>
              </wp:positionH>
              <wp:positionV relativeFrom="paragraph">
                <wp:posOffset>0</wp:posOffset>
              </wp:positionV>
              <wp:extent cx="1828800" cy="1828800"/>
              <wp:effectExtent l="0" t="0" r="0" b="0"/>
              <wp:wrapNone/>
              <wp:docPr id="373" name="文本框 3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835B1C" w14:textId="77777777" w:rsidR="0075791A" w:rsidRDefault="00FB2864">
                          <w:pPr>
                            <w:pStyle w:val="a8"/>
                          </w:pPr>
                          <w:r>
                            <w:fldChar w:fldCharType="begin"/>
                          </w:r>
                          <w:r>
                            <w:instrText xml:space="preserve"> PAGE  \* MERGEFORMAT </w:instrText>
                          </w:r>
                          <w:r>
                            <w:fldChar w:fldCharType="separate"/>
                          </w:r>
                          <w:r>
                            <w:t>291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DD7F239" id="_x0000_t202" coordsize="21600,21600" o:spt="202" path="m,l,21600r21600,l21600,xe">
              <v:stroke joinstyle="miter"/>
              <v:path gradientshapeok="t" o:connecttype="rect"/>
            </v:shapetype>
            <v:shape id="文本框 373" o:spid="_x0000_s1047" type="#_x0000_t202" style="position:absolute;margin-left:0;margin-top:0;width:2in;height:2in;z-index:25167667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6eCHG2YCAAAWBQAADgAAAAAAAAAAAAAAAAAuAgAAZHJzL2Uyb0Rv&#10;Yy54bWxQSwECLQAUAAYACAAAACEAcarRudcAAAAFAQAADwAAAAAAAAAAAAAAAADABAAAZHJzL2Rv&#10;d25yZXYueG1sUEsFBgAAAAAEAAQA8wAAAMQFAAAAAA==&#10;" filled="f" stroked="f" strokeweight=".5pt">
              <v:textbox style="mso-fit-shape-to-text:t" inset="0,0,0,0">
                <w:txbxContent>
                  <w:p w14:paraId="10835B1C" w14:textId="77777777" w:rsidR="0075791A" w:rsidRDefault="00FB2864">
                    <w:pPr>
                      <w:pStyle w:val="a8"/>
                    </w:pPr>
                    <w:r>
                      <w:fldChar w:fldCharType="begin"/>
                    </w:r>
                    <w:r>
                      <w:instrText xml:space="preserve"> PAGE  \* MERGEFORMAT </w:instrText>
                    </w:r>
                    <w:r>
                      <w:fldChar w:fldCharType="separate"/>
                    </w:r>
                    <w:r>
                      <w:t>291</w:t>
                    </w:r>
                    <w:r>
                      <w:fldChar w:fldCharType="end"/>
                    </w:r>
                  </w:p>
                </w:txbxContent>
              </v:textbox>
              <w10:wrap anchorx="margin"/>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03255" w14:textId="77777777" w:rsidR="0075791A" w:rsidRDefault="00FB2864">
    <w:pPr>
      <w:pStyle w:val="a8"/>
    </w:pPr>
    <w:r>
      <w:rPr>
        <w:noProof/>
      </w:rPr>
      <mc:AlternateContent>
        <mc:Choice Requires="wps">
          <w:drawing>
            <wp:anchor distT="0" distB="0" distL="114300" distR="114300" simplePos="0" relativeHeight="251677696" behindDoc="0" locked="0" layoutInCell="1" allowOverlap="1" wp14:anchorId="049514F9" wp14:editId="66524370">
              <wp:simplePos x="0" y="0"/>
              <wp:positionH relativeFrom="margin">
                <wp:align>center</wp:align>
              </wp:positionH>
              <wp:positionV relativeFrom="paragraph">
                <wp:posOffset>0</wp:posOffset>
              </wp:positionV>
              <wp:extent cx="1828800" cy="1828800"/>
              <wp:effectExtent l="0" t="0" r="0" b="0"/>
              <wp:wrapNone/>
              <wp:docPr id="374" name="文本框 3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6A0107" w14:textId="77777777" w:rsidR="0075791A" w:rsidRDefault="00FB2864">
                          <w:pPr>
                            <w:pStyle w:val="a8"/>
                          </w:pPr>
                          <w:r>
                            <w:fldChar w:fldCharType="begin"/>
                          </w:r>
                          <w:r>
                            <w:instrText xml:space="preserve"> PAGE  \* MERGEFORMAT </w:instrText>
                          </w:r>
                          <w:r>
                            <w:fldChar w:fldCharType="separate"/>
                          </w:r>
                          <w:r>
                            <w:t>298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49514F9" id="_x0000_t202" coordsize="21600,21600" o:spt="202" path="m,l,21600r21600,l21600,xe">
              <v:stroke joinstyle="miter"/>
              <v:path gradientshapeok="t" o:connecttype="rect"/>
            </v:shapetype>
            <v:shape id="文本框 374" o:spid="_x0000_s1048" type="#_x0000_t202" style="position:absolute;margin-left:0;margin-top:0;width:2in;height:2in;z-index:25167769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" filled="f" stroked="f" strokeweight=".5pt">
              <v:textbox style="mso-fit-shape-to-text:t" inset="0,0,0,0">
                <w:txbxContent>
                  <w:p w14:paraId="4A6A0107" w14:textId="77777777" w:rsidR="0075791A" w:rsidRDefault="00FB2864">
                    <w:pPr>
                      <w:pStyle w:val="a8"/>
                    </w:pPr>
                    <w:r>
                      <w:fldChar w:fldCharType="begin"/>
                    </w:r>
                    <w:r>
                      <w:instrText xml:space="preserve"> PAGE  \* MERGEFORMAT </w:instrText>
                    </w:r>
                    <w:r>
                      <w:fldChar w:fldCharType="separate"/>
                    </w:r>
                    <w:r>
                      <w:t>298</w:t>
                    </w:r>
                    <w:r>
                      <w:fldChar w:fldCharType="end"/>
                    </w:r>
                  </w:p>
                </w:txbxContent>
              </v:textbox>
              <w10:wrap anchorx="margin"/>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32EDC" w14:textId="77777777" w:rsidR="0075791A" w:rsidRDefault="00FB2864">
    <w:pPr>
      <w:pStyle w:val="a8"/>
    </w:pPr>
    <w:r>
      <w:rPr>
        <w:noProof/>
      </w:rPr>
      <mc:AlternateContent>
        <mc:Choice Requires="wps">
          <w:drawing>
            <wp:anchor distT="0" distB="0" distL="114300" distR="114300" simplePos="0" relativeHeight="251678720" behindDoc="0" locked="0" layoutInCell="1" allowOverlap="1" wp14:anchorId="7CF200C0" wp14:editId="6B13B744">
              <wp:simplePos x="0" y="0"/>
              <wp:positionH relativeFrom="margin">
                <wp:align>center</wp:align>
              </wp:positionH>
              <wp:positionV relativeFrom="paragraph">
                <wp:posOffset>0</wp:posOffset>
              </wp:positionV>
              <wp:extent cx="1828800" cy="1828800"/>
              <wp:effectExtent l="0" t="0" r="0" b="0"/>
              <wp:wrapNone/>
              <wp:docPr id="375" name="文本框 3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E273B0" w14:textId="77777777" w:rsidR="0075791A" w:rsidRDefault="00FB2864">
                          <w:pPr>
                            <w:pStyle w:val="a8"/>
                          </w:pPr>
                          <w:r>
                            <w:fldChar w:fldCharType="begin"/>
                          </w:r>
                          <w:r>
                            <w:instrText xml:space="preserve"> PAGE  \* MERGEFORMAT </w:instrText>
                          </w:r>
                          <w:r>
                            <w:fldChar w:fldCharType="separate"/>
                          </w:r>
                          <w:r>
                            <w:t>299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CF200C0" id="_x0000_t202" coordsize="21600,21600" o:spt="202" path="m,l,21600r21600,l21600,xe">
              <v:stroke joinstyle="miter"/>
              <v:path gradientshapeok="t" o:connecttype="rect"/>
            </v:shapetype>
            <v:shape id="文本框 375" o:spid="_x0000_s1049" type="#_x0000_t202" style="position:absolute;margin-left:0;margin-top:0;width:2in;height:2in;z-index:25167872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" filled="f" stroked="f" strokeweight=".5pt">
              <v:textbox style="mso-fit-shape-to-text:t" inset="0,0,0,0">
                <w:txbxContent>
                  <w:p w14:paraId="6BE273B0" w14:textId="77777777" w:rsidR="0075791A" w:rsidRDefault="00FB2864">
                    <w:pPr>
                      <w:pStyle w:val="a8"/>
                    </w:pPr>
                    <w:r>
                      <w:fldChar w:fldCharType="begin"/>
                    </w:r>
                    <w:r>
                      <w:instrText xml:space="preserve"> PAGE  \* MERGEFORMAT </w:instrText>
                    </w:r>
                    <w:r>
                      <w:fldChar w:fldCharType="separate"/>
                    </w:r>
                    <w:r>
                      <w:t>299</w:t>
                    </w:r>
                    <w:r>
                      <w:fldChar w:fldCharType="end"/>
                    </w:r>
                  </w:p>
                </w:txbxContent>
              </v:textbox>
              <w10:wrap anchorx="margin"/>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2AF0B" w14:textId="77777777" w:rsidR="0075791A" w:rsidRDefault="00FB2864">
    <w:pPr>
      <w:pStyle w:val="a8"/>
    </w:pPr>
    <w:r>
      <w:rPr>
        <w:noProof/>
      </w:rPr>
      <mc:AlternateContent>
        <mc:Choice Requires="wps">
          <w:drawing>
            <wp:anchor distT="0" distB="0" distL="114300" distR="114300" simplePos="0" relativeHeight="251679744" behindDoc="0" locked="0" layoutInCell="1" allowOverlap="1" wp14:anchorId="6E6A8CBC" wp14:editId="08A5EAD5">
              <wp:simplePos x="0" y="0"/>
              <wp:positionH relativeFrom="margin">
                <wp:align>center</wp:align>
              </wp:positionH>
              <wp:positionV relativeFrom="paragraph">
                <wp:posOffset>0</wp:posOffset>
              </wp:positionV>
              <wp:extent cx="1828800" cy="1828800"/>
              <wp:effectExtent l="0" t="0" r="0" b="0"/>
              <wp:wrapNone/>
              <wp:docPr id="398" name="文本框 3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F4B199" w14:textId="77777777" w:rsidR="0075791A" w:rsidRDefault="00FB2864">
                          <w:pPr>
                            <w:pStyle w:val="a8"/>
                          </w:pPr>
                          <w:r>
                            <w:fldChar w:fldCharType="begin"/>
                          </w:r>
                          <w:r>
                            <w:instrText xml:space="preserve"> PAGE  \* MERG</w:instrText>
                          </w:r>
                          <w:r>
                            <w:instrText xml:space="preserve">EFORMAT </w:instrText>
                          </w:r>
                          <w:r>
                            <w:fldChar w:fldCharType="separate"/>
                          </w:r>
                          <w:r>
                            <w:t>290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6E6A8CBC" id="_x0000_t202" coordsize="21600,21600" o:spt="202" path="m,l,21600r21600,l21600,xe">
              <v:stroke joinstyle="miter"/>
              <v:path gradientshapeok="t" o:connecttype="rect"/>
            </v:shapetype>
            <v:shape id="文本框 398" o:spid="_x0000_s1050" type="#_x0000_t202" style="position:absolute;margin-left:0;margin-top:0;width:2in;height:2in;z-index:25167974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" filled="f" stroked="f" strokeweight=".5pt">
              <v:textbox style="mso-fit-shape-to-text:t" inset="0,0,0,0">
                <w:txbxContent>
                  <w:p w14:paraId="7FF4B199" w14:textId="77777777" w:rsidR="0075791A" w:rsidRDefault="00FB2864">
                    <w:pPr>
                      <w:pStyle w:val="a8"/>
                    </w:pPr>
                    <w:r>
                      <w:fldChar w:fldCharType="begin"/>
                    </w:r>
                    <w:r>
                      <w:instrText xml:space="preserve"> PAGE  \* MERG</w:instrText>
                    </w:r>
                    <w:r>
                      <w:instrText xml:space="preserve">EFORMAT </w:instrText>
                    </w:r>
                    <w:r>
                      <w:fldChar w:fldCharType="separate"/>
                    </w:r>
                    <w:r>
                      <w:t>290</w:t>
                    </w:r>
                    <w: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05A08" w14:textId="77777777" w:rsidR="0075791A" w:rsidRDefault="00FB2864">
    <w:pPr>
      <w:jc w:val="center"/>
      <w:rPr>
        <w:rFonts w:ascii="Times New Roman" w:eastAsia="Times New Roman" w:hAnsi="Times New Roman" w:cs="Times New Roman"/>
        <w:sz w:val="18"/>
        <w:szCs w:val="18"/>
      </w:rPr>
    </w:pPr>
    <w:r>
      <w:rPr>
        <w:noProof/>
        <w:sz w:val="18"/>
      </w:rPr>
      <mc:AlternateContent>
        <mc:Choice Requires="wps">
          <w:drawing>
            <wp:anchor distT="0" distB="0" distL="114300" distR="114300" simplePos="0" relativeHeight="251682816" behindDoc="0" locked="0" layoutInCell="1" allowOverlap="1" wp14:anchorId="49A49D8A" wp14:editId="4B3C9338">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C40BCC" w14:textId="77777777" w:rsidR="0075791A" w:rsidRDefault="00FB2864">
                          <w:pPr>
                            <w:pStyle w:val="a8"/>
                            <w:rPr>
                              <w:rFonts w:ascii="Times New Roman" w:hAnsi="Times New Roman" w:cs="Times New Roman"/>
                              <w:sz w:val="21"/>
                            </w:rPr>
                          </w:pPr>
                          <w:r>
                            <w:rPr>
                              <w:rFonts w:ascii="Times New Roman" w:hAnsi="Times New Roman" w:cs="Times New Roman"/>
                              <w:sz w:val="21"/>
                            </w:rPr>
                            <w:fldChar w:fldCharType="begin"/>
                          </w:r>
                          <w:r>
                            <w:rPr>
                              <w:rFonts w:ascii="Times New Roman" w:hAnsi="Times New Roman" w:cs="Times New Roman"/>
                              <w:sz w:val="21"/>
                            </w:rPr>
                            <w:instrText xml:space="preserve"> PAGE  \* MERGEFORMAT </w:instrText>
                          </w:r>
                          <w:r>
                            <w:rPr>
                              <w:rFonts w:ascii="Times New Roman" w:hAnsi="Times New Roman" w:cs="Times New Roman"/>
                              <w:sz w:val="21"/>
                            </w:rPr>
                            <w:fldChar w:fldCharType="separate"/>
                          </w:r>
                          <w:r>
                            <w:rPr>
                              <w:rFonts w:ascii="Times New Roman" w:hAnsi="Times New Roman" w:cs="Times New Roman"/>
                              <w:sz w:val="21"/>
                            </w:rPr>
                            <w:t>1</w:t>
                          </w:r>
                          <w:r>
                            <w:rPr>
                              <w:rFonts w:ascii="Times New Roman" w:hAnsi="Times New Roman" w:cs="Times New Roman"/>
                              <w:sz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49A49D8A" id="_x0000_t202" coordsize="21600,21600" o:spt="202" path="m,l,21600r21600,l21600,xe">
              <v:stroke joinstyle="miter"/>
              <v:path gradientshapeok="t" o:connecttype="rect"/>
            </v:shapetype>
            <v:shape id="文本框 35" o:spid="_x0000_s1028" type="#_x0000_t202" style="position:absolute;left:0;text-align:left;margin-left:0;margin-top:0;width:2in;height:2in;z-index:25168281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CWgKMEZQIAABMFAAAOAAAAAAAAAAAAAAAAAC4CAABkcnMvZTJvRG9j&#10;LnhtbFBLAQItABQABgAIAAAAIQBxqtG51wAAAAUBAAAPAAAAAAAAAAAAAAAAAL8EAABkcnMvZG93&#10;bnJldi54bWxQSwUGAAAAAAQABADzAAAAwwUAAAAA&#10;" filled="f" stroked="f" strokeweight=".5pt">
              <v:textbox style="mso-fit-shape-to-text:t" inset="0,0,0,0">
                <w:txbxContent>
                  <w:p w14:paraId="1CC40BCC" w14:textId="77777777" w:rsidR="0075791A" w:rsidRDefault="00FB2864">
                    <w:pPr>
                      <w:pStyle w:val="a8"/>
                      <w:rPr>
                        <w:rFonts w:ascii="Times New Roman" w:hAnsi="Times New Roman" w:cs="Times New Roman"/>
                        <w:sz w:val="21"/>
                      </w:rPr>
                    </w:pPr>
                    <w:r>
                      <w:rPr>
                        <w:rFonts w:ascii="Times New Roman" w:hAnsi="Times New Roman" w:cs="Times New Roman"/>
                        <w:sz w:val="21"/>
                      </w:rPr>
                      <w:fldChar w:fldCharType="begin"/>
                    </w:r>
                    <w:r>
                      <w:rPr>
                        <w:rFonts w:ascii="Times New Roman" w:hAnsi="Times New Roman" w:cs="Times New Roman"/>
                        <w:sz w:val="21"/>
                      </w:rPr>
                      <w:instrText xml:space="preserve"> PAGE  \* MERGEFORMAT </w:instrText>
                    </w:r>
                    <w:r>
                      <w:rPr>
                        <w:rFonts w:ascii="Times New Roman" w:hAnsi="Times New Roman" w:cs="Times New Roman"/>
                        <w:sz w:val="21"/>
                      </w:rPr>
                      <w:fldChar w:fldCharType="separate"/>
                    </w:r>
                    <w:r>
                      <w:rPr>
                        <w:rFonts w:ascii="Times New Roman" w:hAnsi="Times New Roman" w:cs="Times New Roman"/>
                        <w:sz w:val="21"/>
                      </w:rPr>
                      <w:t>1</w:t>
                    </w:r>
                    <w:r>
                      <w:rPr>
                        <w:rFonts w:ascii="Times New Roman" w:hAnsi="Times New Roman" w:cs="Times New Roman"/>
                        <w:sz w:val="21"/>
                      </w:rPr>
                      <w:fldChar w:fldCharType="end"/>
                    </w: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22A46" w14:textId="77777777" w:rsidR="0075791A" w:rsidRDefault="00FB2864">
    <w:pPr>
      <w:pStyle w:val="a8"/>
    </w:pPr>
    <w:r>
      <w:rPr>
        <w:noProof/>
      </w:rPr>
      <mc:AlternateContent>
        <mc:Choice Requires="wps">
          <w:drawing>
            <wp:anchor distT="0" distB="0" distL="114300" distR="114300" simplePos="0" relativeHeight="251659264" behindDoc="0" locked="0" layoutInCell="1" allowOverlap="1" wp14:anchorId="6DE8AE3F" wp14:editId="12719E1A">
              <wp:simplePos x="0" y="0"/>
              <wp:positionH relativeFrom="margin">
                <wp:align>center</wp:align>
              </wp:positionH>
              <wp:positionV relativeFrom="paragraph">
                <wp:posOffset>0</wp:posOffset>
              </wp:positionV>
              <wp:extent cx="1828800" cy="1828800"/>
              <wp:effectExtent l="0" t="0" r="0" b="0"/>
              <wp:wrapNone/>
              <wp:docPr id="353" name="文本框 3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4FF2B6" w14:textId="77777777" w:rsidR="0075791A" w:rsidRDefault="00FB2864">
                          <w:pPr>
                            <w:pStyle w:val="a8"/>
                          </w:pPr>
                          <w:r>
                            <w:fldChar w:fldCharType="begin"/>
                          </w:r>
                          <w:r>
                            <w:instrText xml:space="preserve"> PAGE  \* MERGEFORMAT </w:instrText>
                          </w:r>
                          <w:r>
                            <w:fldChar w:fldCharType="separate"/>
                          </w:r>
                          <w:r>
                            <w:t>15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6DE8AE3F" id="_x0000_t202" coordsize="21600,21600" o:spt="202" path="m,l,21600r21600,l21600,xe">
              <v:stroke joinstyle="miter"/>
              <v:path gradientshapeok="t" o:connecttype="rect"/>
            </v:shapetype>
            <v:shape id="文本框 353" o:spid="_x0000_s1029"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DpeN2WYCAAAVBQAADgAAAAAAAAAAAAAAAAAuAgAAZHJzL2Uyb0Rv&#10;Yy54bWxQSwECLQAUAAYACAAAACEAcarRudcAAAAFAQAADwAAAAAAAAAAAAAAAADABAAAZHJzL2Rv&#10;d25yZXYueG1sUEsFBgAAAAAEAAQA8wAAAMQFAAAAAA==&#10;" filled="f" stroked="f" strokeweight=".5pt">
              <v:textbox style="mso-fit-shape-to-text:t" inset="0,0,0,0">
                <w:txbxContent>
                  <w:p w14:paraId="6E4FF2B6" w14:textId="77777777" w:rsidR="0075791A" w:rsidRDefault="00FB2864">
                    <w:pPr>
                      <w:pStyle w:val="a8"/>
                    </w:pPr>
                    <w:r>
                      <w:fldChar w:fldCharType="begin"/>
                    </w:r>
                    <w:r>
                      <w:instrText xml:space="preserve"> PAGE  \* MERGEFORMAT </w:instrText>
                    </w:r>
                    <w:r>
                      <w:fldChar w:fldCharType="separate"/>
                    </w:r>
                    <w:r>
                      <w:t>15</w:t>
                    </w:r>
                    <w:r>
                      <w:fldChar w:fldCharType="end"/>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92889" w14:textId="77777777" w:rsidR="0075791A" w:rsidRDefault="00FB2864">
    <w:pPr>
      <w:pStyle w:val="a8"/>
    </w:pPr>
    <w:r>
      <w:rPr>
        <w:noProof/>
      </w:rPr>
      <mc:AlternateContent>
        <mc:Choice Requires="wps">
          <w:drawing>
            <wp:anchor distT="0" distB="0" distL="114300" distR="114300" simplePos="0" relativeHeight="251660288" behindDoc="0" locked="0" layoutInCell="1" allowOverlap="1" wp14:anchorId="2BCAFE9F" wp14:editId="2596F5ED">
              <wp:simplePos x="0" y="0"/>
              <wp:positionH relativeFrom="margin">
                <wp:align>center</wp:align>
              </wp:positionH>
              <wp:positionV relativeFrom="paragraph">
                <wp:posOffset>0</wp:posOffset>
              </wp:positionV>
              <wp:extent cx="1828800" cy="1828800"/>
              <wp:effectExtent l="0" t="0" r="0" b="0"/>
              <wp:wrapNone/>
              <wp:docPr id="354" name="文本框 3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7F57B2" w14:textId="77777777" w:rsidR="0075791A" w:rsidRDefault="00FB2864">
                          <w:pPr>
                            <w:pStyle w:val="a8"/>
                          </w:pPr>
                          <w:r>
                            <w:fldChar w:fldCharType="begin"/>
                          </w:r>
                          <w:r>
                            <w:instrText xml:space="preserve"> PAGE  \* MERGEFORMAT </w:instrText>
                          </w:r>
                          <w:r>
                            <w:fldChar w:fldCharType="separate"/>
                          </w:r>
                          <w:r>
                            <w:t>21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BCAFE9F" id="_x0000_t202" coordsize="21600,21600" o:spt="202" path="m,l,21600r21600,l21600,xe">
              <v:stroke joinstyle="miter"/>
              <v:path gradientshapeok="t" o:connecttype="rect"/>
            </v:shapetype>
            <v:shape id="文本框 354" o:spid="_x0000_s1030"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Anqr98ZQIAABUFAAAOAAAAAAAAAAAAAAAAAC4CAABkcnMvZTJvRG9j&#10;LnhtbFBLAQItABQABgAIAAAAIQBxqtG51wAAAAUBAAAPAAAAAAAAAAAAAAAAAL8EAABkcnMvZG93&#10;bnJldi54bWxQSwUGAAAAAAQABADzAAAAwwUAAAAA&#10;" filled="f" stroked="f" strokeweight=".5pt">
              <v:textbox style="mso-fit-shape-to-text:t" inset="0,0,0,0">
                <w:txbxContent>
                  <w:p w14:paraId="227F57B2" w14:textId="77777777" w:rsidR="0075791A" w:rsidRDefault="00FB2864">
                    <w:pPr>
                      <w:pStyle w:val="a8"/>
                    </w:pPr>
                    <w:r>
                      <w:fldChar w:fldCharType="begin"/>
                    </w:r>
                    <w:r>
                      <w:instrText xml:space="preserve"> PAGE  \* MERGEFORMAT </w:instrText>
                    </w:r>
                    <w:r>
                      <w:fldChar w:fldCharType="separate"/>
                    </w:r>
                    <w:r>
                      <w:t>21</w:t>
                    </w:r>
                    <w:r>
                      <w:fldChar w:fldCharType="end"/>
                    </w:r>
                  </w:p>
                </w:txbxContent>
              </v:textbox>
              <w10:wrap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C5F2A" w14:textId="77777777" w:rsidR="0075791A" w:rsidRDefault="00FB2864">
    <w:pPr>
      <w:pStyle w:val="a8"/>
    </w:pPr>
    <w:r>
      <w:rPr>
        <w:noProof/>
      </w:rPr>
      <mc:AlternateContent>
        <mc:Choice Requires="wps">
          <w:drawing>
            <wp:anchor distT="0" distB="0" distL="114300" distR="114300" simplePos="0" relativeHeight="251661312" behindDoc="0" locked="0" layoutInCell="1" allowOverlap="1" wp14:anchorId="2B65489C" wp14:editId="679F5565">
              <wp:simplePos x="0" y="0"/>
              <wp:positionH relativeFrom="margin">
                <wp:align>center</wp:align>
              </wp:positionH>
              <wp:positionV relativeFrom="paragraph">
                <wp:posOffset>0</wp:posOffset>
              </wp:positionV>
              <wp:extent cx="1828800" cy="1828800"/>
              <wp:effectExtent l="0" t="0" r="0" b="0"/>
              <wp:wrapNone/>
              <wp:docPr id="355" name="文本框 3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603408" w14:textId="77777777" w:rsidR="0075791A" w:rsidRDefault="00FB2864">
                          <w:pPr>
                            <w:pStyle w:val="a8"/>
                          </w:pPr>
                          <w:r>
                            <w:fldChar w:fldCharType="begin"/>
                          </w:r>
                          <w:r>
                            <w:instrText xml:space="preserve"> PAGE  \* MERGEFORMAT </w:instrText>
                          </w:r>
                          <w:r>
                            <w:fldChar w:fldCharType="separate"/>
                          </w:r>
                          <w:r>
                            <w:t>27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B65489C" id="_x0000_t202" coordsize="21600,21600" o:spt="202" path="m,l,21600r21600,l21600,xe">
              <v:stroke joinstyle="miter"/>
              <v:path gradientshapeok="t" o:connecttype="rect"/>
            </v:shapetype>
            <v:shape id="文本框 355" o:spid="_x0000_s1031" type="#_x0000_t202" style="position:absolute;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BEzgJGZQIAABUFAAAOAAAAAAAAAAAAAAAAAC4CAABkcnMvZTJvRG9j&#10;LnhtbFBLAQItABQABgAIAAAAIQBxqtG51wAAAAUBAAAPAAAAAAAAAAAAAAAAAL8EAABkcnMvZG93&#10;bnJldi54bWxQSwUGAAAAAAQABADzAAAAwwUAAAAA&#10;" filled="f" stroked="f" strokeweight=".5pt">
              <v:textbox style="mso-fit-shape-to-text:t" inset="0,0,0,0">
                <w:txbxContent>
                  <w:p w14:paraId="54603408" w14:textId="77777777" w:rsidR="0075791A" w:rsidRDefault="00FB2864">
                    <w:pPr>
                      <w:pStyle w:val="a8"/>
                    </w:pPr>
                    <w:r>
                      <w:fldChar w:fldCharType="begin"/>
                    </w:r>
                    <w:r>
                      <w:instrText xml:space="preserve"> PAGE  \* MERGEFORMAT </w:instrText>
                    </w:r>
                    <w:r>
                      <w:fldChar w:fldCharType="separate"/>
                    </w:r>
                    <w:r>
                      <w:t>27</w:t>
                    </w:r>
                    <w:r>
                      <w:fldChar w:fldCharType="end"/>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A4191" w14:textId="77777777" w:rsidR="0075791A" w:rsidRDefault="00FB2864">
    <w:pPr>
      <w:pStyle w:val="a8"/>
    </w:pPr>
    <w:r>
      <w:rPr>
        <w:noProof/>
      </w:rPr>
      <mc:AlternateContent>
        <mc:Choice Requires="wps">
          <w:drawing>
            <wp:anchor distT="0" distB="0" distL="114300" distR="114300" simplePos="0" relativeHeight="251683840" behindDoc="0" locked="0" layoutInCell="1" allowOverlap="1" wp14:anchorId="669C03E4" wp14:editId="0A4E39DE">
              <wp:simplePos x="0" y="0"/>
              <wp:positionH relativeFrom="margin">
                <wp:align>center</wp:align>
              </wp:positionH>
              <wp:positionV relativeFrom="paragraph">
                <wp:posOffset>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882F16" w14:textId="77777777" w:rsidR="0075791A" w:rsidRDefault="00FB2864">
                          <w:pPr>
                            <w:pStyle w:val="a8"/>
                          </w:pPr>
                          <w:r>
                            <w:fldChar w:fldCharType="begin"/>
                          </w:r>
                          <w:r>
                            <w:instrText xml:space="preserve"> PAGE  \* MERGEFORMAT </w:instrText>
                          </w:r>
                          <w:r>
                            <w:fldChar w:fldCharType="separate"/>
                          </w:r>
                          <w:r>
                            <w:t>47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669C03E4" id="_x0000_t202" coordsize="21600,21600" o:spt="202" path="m,l,21600r21600,l21600,xe">
              <v:stroke joinstyle="miter"/>
              <v:path gradientshapeok="t" o:connecttype="rect"/>
            </v:shapetype>
            <v:shape id="文本框 39" o:spid="_x0000_s1032" type="#_x0000_t202" style="position:absolute;margin-left:0;margin-top:0;width:2in;height:2in;z-index:2516838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BUDQ0jZQIAABMFAAAOAAAAAAAAAAAAAAAAAC4CAABkcnMvZTJvRG9j&#10;LnhtbFBLAQItABQABgAIAAAAIQBxqtG51wAAAAUBAAAPAAAAAAAAAAAAAAAAAL8EAABkcnMvZG93&#10;bnJldi54bWxQSwUGAAAAAAQABADzAAAAwwUAAAAA&#10;" filled="f" stroked="f" strokeweight=".5pt">
              <v:textbox style="mso-fit-shape-to-text:t" inset="0,0,0,0">
                <w:txbxContent>
                  <w:p w14:paraId="18882F16" w14:textId="77777777" w:rsidR="0075791A" w:rsidRDefault="00FB2864">
                    <w:pPr>
                      <w:pStyle w:val="a8"/>
                    </w:pPr>
                    <w:r>
                      <w:fldChar w:fldCharType="begin"/>
                    </w:r>
                    <w:r>
                      <w:instrText xml:space="preserve"> PAGE  \* MERGEFORMAT </w:instrText>
                    </w:r>
                    <w:r>
                      <w:fldChar w:fldCharType="separate"/>
                    </w:r>
                    <w:r>
                      <w:t>47</w:t>
                    </w:r>
                    <w:r>
                      <w:fldChar w:fldCharType="end"/>
                    </w:r>
                  </w:p>
                </w:txbxContent>
              </v:textbox>
              <w10:wrap anchorx="margin"/>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489CE" w14:textId="77777777" w:rsidR="0075791A" w:rsidRDefault="00FB2864">
    <w:pPr>
      <w:pStyle w:val="a8"/>
    </w:pPr>
    <w:r>
      <w:rPr>
        <w:noProof/>
      </w:rPr>
      <mc:AlternateContent>
        <mc:Choice Requires="wps">
          <w:drawing>
            <wp:anchor distT="0" distB="0" distL="114300" distR="114300" simplePos="0" relativeHeight="251662336" behindDoc="0" locked="0" layoutInCell="1" allowOverlap="1" wp14:anchorId="760EACAC" wp14:editId="2C033713">
              <wp:simplePos x="0" y="0"/>
              <wp:positionH relativeFrom="margin">
                <wp:align>center</wp:align>
              </wp:positionH>
              <wp:positionV relativeFrom="paragraph">
                <wp:posOffset>0</wp:posOffset>
              </wp:positionV>
              <wp:extent cx="1828800" cy="1828800"/>
              <wp:effectExtent l="0" t="0" r="0" b="0"/>
              <wp:wrapNone/>
              <wp:docPr id="357" name="文本框 3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BBB384" w14:textId="77777777" w:rsidR="0075791A" w:rsidRDefault="00FB2864">
                          <w:pPr>
                            <w:pStyle w:val="a8"/>
                          </w:pPr>
                          <w:r>
                            <w:fldChar w:fldCharType="begin"/>
                          </w:r>
                          <w:r>
                            <w:instrText xml:space="preserve"> PAGE  \* MERGEFORMAT </w:instrText>
                          </w:r>
                          <w:r>
                            <w:fldChar w:fldCharType="separate"/>
                          </w:r>
                          <w:r>
                            <w:t>54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60EACAC" id="_x0000_t202" coordsize="21600,21600" o:spt="202" path="m,l,21600r21600,l21600,xe">
              <v:stroke joinstyle="miter"/>
              <v:path gradientshapeok="t" o:connecttype="rect"/>
            </v:shapetype>
            <v:shape id="文本框 357" o:spid="_x0000_s1033" type="#_x0000_t202" style="position:absolute;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CCBngzZQIAABUFAAAOAAAAAAAAAAAAAAAAAC4CAABkcnMvZTJvRG9j&#10;LnhtbFBLAQItABQABgAIAAAAIQBxqtG51wAAAAUBAAAPAAAAAAAAAAAAAAAAAL8EAABkcnMvZG93&#10;bnJldi54bWxQSwUGAAAAAAQABADzAAAAwwUAAAAA&#10;" filled="f" stroked="f" strokeweight=".5pt">
              <v:textbox style="mso-fit-shape-to-text:t" inset="0,0,0,0">
                <w:txbxContent>
                  <w:p w14:paraId="2EBBB384" w14:textId="77777777" w:rsidR="0075791A" w:rsidRDefault="00FB2864">
                    <w:pPr>
                      <w:pStyle w:val="a8"/>
                    </w:pPr>
                    <w:r>
                      <w:fldChar w:fldCharType="begin"/>
                    </w:r>
                    <w:r>
                      <w:instrText xml:space="preserve"> PAGE  \* MERGEFORMAT </w:instrText>
                    </w:r>
                    <w:r>
                      <w:fldChar w:fldCharType="separate"/>
                    </w:r>
                    <w:r>
                      <w:t>54</w:t>
                    </w:r>
                    <w:r>
                      <w:fldChar w:fldCharType="end"/>
                    </w:r>
                  </w:p>
                </w:txbxContent>
              </v:textbox>
              <w10:wrap anchorx="margin"/>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E2788" w14:textId="77777777" w:rsidR="0075791A" w:rsidRDefault="00FB2864">
    <w:pPr>
      <w:pStyle w:val="a8"/>
    </w:pPr>
    <w:r>
      <w:rPr>
        <w:noProof/>
      </w:rPr>
      <mc:AlternateContent>
        <mc:Choice Requires="wps">
          <w:drawing>
            <wp:anchor distT="0" distB="0" distL="114300" distR="114300" simplePos="0" relativeHeight="251663360" behindDoc="0" locked="0" layoutInCell="1" allowOverlap="1" wp14:anchorId="12649FA8" wp14:editId="394DBC02">
              <wp:simplePos x="0" y="0"/>
              <wp:positionH relativeFrom="margin">
                <wp:align>center</wp:align>
              </wp:positionH>
              <wp:positionV relativeFrom="paragraph">
                <wp:posOffset>0</wp:posOffset>
              </wp:positionV>
              <wp:extent cx="1828800" cy="1828800"/>
              <wp:effectExtent l="0" t="0" r="0" b="0"/>
              <wp:wrapNone/>
              <wp:docPr id="358" name="文本框 3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B76DD4" w14:textId="77777777" w:rsidR="0075791A" w:rsidRDefault="00FB2864">
                          <w:pPr>
                            <w:pStyle w:val="a8"/>
                          </w:pPr>
                          <w:r>
                            <w:fldChar w:fldCharType="begin"/>
                          </w:r>
                          <w:r>
                            <w:instrText xml:space="preserve"> PAGE  \* MERGEFORMAT </w:instrText>
                          </w:r>
                          <w:r>
                            <w:fldChar w:fldCharType="separate"/>
                          </w:r>
                          <w:r>
                            <w:t>62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2649FA8" id="_x0000_t202" coordsize="21600,21600" o:spt="202" path="m,l,21600r21600,l21600,xe">
              <v:stroke joinstyle="miter"/>
              <v:path gradientshapeok="t" o:connecttype="rect"/>
            </v:shapetype>
            <v:shape id="文本框 358" o:spid="_x0000_s1034" type="#_x0000_t202" style="position:absolute;margin-left:0;margin-top:0;width:2in;height:2in;z-index:25166336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DyHtCYZQIAABUFAAAOAAAAAAAAAAAAAAAAAC4CAABkcnMvZTJvRG9j&#10;LnhtbFBLAQItABQABgAIAAAAIQBxqtG51wAAAAUBAAAPAAAAAAAAAAAAAAAAAL8EAABkcnMvZG93&#10;bnJldi54bWxQSwUGAAAAAAQABADzAAAAwwUAAAAA&#10;" filled="f" stroked="f" strokeweight=".5pt">
              <v:textbox style="mso-fit-shape-to-text:t" inset="0,0,0,0">
                <w:txbxContent>
                  <w:p w14:paraId="1EB76DD4" w14:textId="77777777" w:rsidR="0075791A" w:rsidRDefault="00FB2864">
                    <w:pPr>
                      <w:pStyle w:val="a8"/>
                    </w:pPr>
                    <w:r>
                      <w:fldChar w:fldCharType="begin"/>
                    </w:r>
                    <w:r>
                      <w:instrText xml:space="preserve"> PAGE  \* MERGEFORMAT </w:instrText>
                    </w:r>
                    <w:r>
                      <w:fldChar w:fldCharType="separate"/>
                    </w:r>
                    <w:r>
                      <w:t>62</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E6C260" w14:textId="77777777" w:rsidR="00FB2864" w:rsidRDefault="00FB2864">
      <w:r>
        <w:separator/>
      </w:r>
    </w:p>
  </w:footnote>
  <w:footnote w:type="continuationSeparator" w:id="0">
    <w:p w14:paraId="0D5DB32D" w14:textId="77777777" w:rsidR="00FB2864" w:rsidRDefault="00FB286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8324F" w14:textId="77777777" w:rsidR="0075791A" w:rsidRDefault="00FB2864">
    <w:pPr>
      <w:pStyle w:val="a9"/>
      <w:pBdr>
        <w:bottom w:val="thickThinSmallGap" w:sz="24" w:space="1" w:color="auto"/>
      </w:pBdr>
      <w:rPr>
        <w:rFonts w:eastAsia="宋体"/>
        <w:lang w:eastAsia="zh-CN"/>
      </w:rPr>
    </w:pPr>
    <w:r>
      <w:rPr>
        <w:rFonts w:ascii="宋体" w:eastAsia="宋体" w:hAnsi="宋体" w:cs="宋体" w:hint="eastAsia"/>
        <w:b/>
        <w:bCs/>
        <w:spacing w:val="-2"/>
        <w:szCs w:val="18"/>
        <w:lang w:eastAsia="zh-CN"/>
      </w:rPr>
      <w:t>三亚铁炉港红树林湿地保护</w:t>
    </w:r>
    <w:r>
      <w:rPr>
        <w:rFonts w:ascii="宋体" w:eastAsia="宋体" w:hAnsi="宋体" w:cs="宋体"/>
        <w:b/>
        <w:bCs/>
        <w:spacing w:val="-2"/>
        <w:szCs w:val="18"/>
        <w:lang w:eastAsia="zh-CN"/>
      </w:rPr>
      <w:t>修复项目</w:t>
    </w:r>
    <w:r>
      <w:rPr>
        <w:rFonts w:ascii="宋体" w:eastAsia="宋体" w:hAnsi="宋体" w:cs="宋体" w:hint="eastAsia"/>
        <w:b/>
        <w:bCs/>
        <w:spacing w:val="-2"/>
        <w:szCs w:val="18"/>
        <w:lang w:eastAsia="zh-CN"/>
      </w:rPr>
      <w:t>（</w:t>
    </w:r>
    <w:r>
      <w:rPr>
        <w:rFonts w:ascii="宋体" w:eastAsia="宋体" w:hAnsi="宋体" w:cs="宋体" w:hint="eastAsia"/>
        <w:b/>
        <w:bCs/>
        <w:spacing w:val="-2"/>
        <w:szCs w:val="18"/>
        <w:lang w:eastAsia="zh-CN"/>
      </w:rPr>
      <w:t>二期）疏浚活动</w:t>
    </w:r>
    <w:r>
      <w:rPr>
        <w:rFonts w:ascii="宋体" w:eastAsia="宋体" w:hAnsi="宋体" w:cs="宋体"/>
        <w:b/>
        <w:bCs/>
        <w:spacing w:val="-2"/>
        <w:szCs w:val="18"/>
        <w:lang w:eastAsia="zh-CN"/>
      </w:rPr>
      <w:t>海域使用论证报告</w:t>
    </w:r>
    <w:r>
      <w:rPr>
        <w:rFonts w:ascii="宋体" w:eastAsia="宋体" w:hAnsi="宋体" w:cs="宋体" w:hint="eastAsia"/>
        <w:b/>
        <w:bCs/>
        <w:spacing w:val="-2"/>
        <w:szCs w:val="18"/>
        <w:lang w:eastAsia="zh-CN"/>
      </w:rPr>
      <w:t>书</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0570B40"/>
    <w:multiLevelType w:val="singleLevel"/>
    <w:tmpl w:val="80570B40"/>
    <w:lvl w:ilvl="0">
      <w:start w:val="2"/>
      <w:numFmt w:val="decimal"/>
      <w:suff w:val="nothing"/>
      <w:lvlText w:val="（%1）"/>
      <w:lvlJc w:val="left"/>
    </w:lvl>
  </w:abstractNum>
  <w:abstractNum w:abstractNumId="1" w15:restartNumberingAfterBreak="0">
    <w:nsid w:val="E7D48F81"/>
    <w:multiLevelType w:val="singleLevel"/>
    <w:tmpl w:val="E7D48F81"/>
    <w:lvl w:ilvl="0">
      <w:start w:val="2"/>
      <w:numFmt w:val="decimal"/>
      <w:suff w:val="nothing"/>
      <w:lvlText w:val="%1．"/>
      <w:lvlJc w:val="left"/>
    </w:lvl>
  </w:abstractNum>
  <w:abstractNum w:abstractNumId="2" w15:restartNumberingAfterBreak="0">
    <w:nsid w:val="12781182"/>
    <w:multiLevelType w:val="singleLevel"/>
    <w:tmpl w:val="12781182"/>
    <w:lvl w:ilvl="0">
      <w:start w:val="1"/>
      <w:numFmt w:val="decimalEnclosedCircleChinese"/>
      <w:suff w:val="nothing"/>
      <w:lvlText w:val="%1　"/>
      <w:lvlJc w:val="left"/>
      <w:pPr>
        <w:ind w:left="0" w:firstLine="400"/>
      </w:pPr>
      <w:rPr>
        <w:rFonts w:hint="eastAsia"/>
      </w:rPr>
    </w:lvl>
  </w:abstractNum>
  <w:abstractNum w:abstractNumId="3" w15:restartNumberingAfterBreak="0">
    <w:nsid w:val="5CBB2749"/>
    <w:multiLevelType w:val="singleLevel"/>
    <w:tmpl w:val="5CBB2749"/>
    <w:lvl w:ilvl="0">
      <w:start w:val="5"/>
      <w:numFmt w:val="decimal"/>
      <w:suff w:val="nothing"/>
      <w:lvlText w:val="%1）"/>
      <w:lvlJc w:val="left"/>
    </w:lvl>
  </w:abstractNum>
  <w:abstractNum w:abstractNumId="4" w15:restartNumberingAfterBreak="0">
    <w:nsid w:val="73579675"/>
    <w:multiLevelType w:val="singleLevel"/>
    <w:tmpl w:val="73579675"/>
    <w:lvl w:ilvl="0">
      <w:start w:val="2"/>
      <w:numFmt w:val="decimal"/>
      <w:suff w:val="nothing"/>
      <w:lvlText w:val="（%1）"/>
      <w:lvlJc w:val="left"/>
    </w:lvl>
  </w:abstractNum>
  <w:num w:numId="1">
    <w:abstractNumId w:val="0"/>
  </w:num>
  <w:num w:numId="2">
    <w:abstractNumId w:val="2"/>
  </w:num>
  <w:num w:numId="3">
    <w:abstractNumId w:val="4"/>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oNotDisplayPageBoundaries/>
  <w:displayBackgroundShape/>
  <w:defaultTabStop w:val="420"/>
  <w:noPunctuationKerning/>
  <w:characterSpacingControl w:val="doNotCompress"/>
  <w:footnotePr>
    <w:footnote w:id="-1"/>
    <w:footnote w:id="0"/>
  </w:footnotePr>
  <w:endnotePr>
    <w:endnote w:id="-1"/>
    <w:endnote w:id="0"/>
  </w:endnotePr>
  <w:compat>
    <w:spaceForUL/>
    <w:ulTrailSpace/>
    <w:doNotExpandShiftReturn/>
    <w:doNotWrapTextWithPunct/>
    <w:doNotUseEastAsianBreakRules/>
    <w:useFELayout/>
    <w:doNotUseIndentAsNumberingTabStop/>
    <w:compatSetting w:name="compatibilityMode" w:uri="http://schemas.microsoft.com/office/word" w:val="14"/>
    <w:compatSetting w:name="useWord2013TrackBottomHyphenation" w:uri="http://schemas.microsoft.com/office/word" w:val="1"/>
  </w:compat>
  <w:rsids>
    <w:rsidRoot w:val="00172A27"/>
    <w:rsid w:val="00172A27"/>
    <w:rsid w:val="0017461B"/>
    <w:rsid w:val="00351828"/>
    <w:rsid w:val="003529BB"/>
    <w:rsid w:val="00380FD8"/>
    <w:rsid w:val="00425990"/>
    <w:rsid w:val="00645991"/>
    <w:rsid w:val="0068341C"/>
    <w:rsid w:val="006B6D1F"/>
    <w:rsid w:val="0075791A"/>
    <w:rsid w:val="007F3664"/>
    <w:rsid w:val="008F773E"/>
    <w:rsid w:val="009B3F40"/>
    <w:rsid w:val="00A003F2"/>
    <w:rsid w:val="00A14719"/>
    <w:rsid w:val="00A95A9A"/>
    <w:rsid w:val="00BC5A2C"/>
    <w:rsid w:val="00C80C81"/>
    <w:rsid w:val="00F52A8D"/>
    <w:rsid w:val="00FB2864"/>
    <w:rsid w:val="012810B4"/>
    <w:rsid w:val="013B4944"/>
    <w:rsid w:val="013E2686"/>
    <w:rsid w:val="013E7A1C"/>
    <w:rsid w:val="0156177E"/>
    <w:rsid w:val="015E4AD6"/>
    <w:rsid w:val="01680C5E"/>
    <w:rsid w:val="016814B1"/>
    <w:rsid w:val="016D2CC6"/>
    <w:rsid w:val="01993B6D"/>
    <w:rsid w:val="01B14C06"/>
    <w:rsid w:val="01E90844"/>
    <w:rsid w:val="021C29C7"/>
    <w:rsid w:val="02500F0A"/>
    <w:rsid w:val="02985DC6"/>
    <w:rsid w:val="02AF383B"/>
    <w:rsid w:val="02CD1F13"/>
    <w:rsid w:val="030516AD"/>
    <w:rsid w:val="031C07A5"/>
    <w:rsid w:val="031E62CB"/>
    <w:rsid w:val="03526949"/>
    <w:rsid w:val="03767EB5"/>
    <w:rsid w:val="038C592B"/>
    <w:rsid w:val="039C5442"/>
    <w:rsid w:val="03A442C2"/>
    <w:rsid w:val="03B7227C"/>
    <w:rsid w:val="03C76963"/>
    <w:rsid w:val="03CD1A9F"/>
    <w:rsid w:val="03D96696"/>
    <w:rsid w:val="03E96398"/>
    <w:rsid w:val="03F11C32"/>
    <w:rsid w:val="03F92894"/>
    <w:rsid w:val="03FB485E"/>
    <w:rsid w:val="03FF434E"/>
    <w:rsid w:val="03FF60FC"/>
    <w:rsid w:val="043A5387"/>
    <w:rsid w:val="044A30F0"/>
    <w:rsid w:val="04553F6E"/>
    <w:rsid w:val="04745A62"/>
    <w:rsid w:val="047C6D70"/>
    <w:rsid w:val="04843C28"/>
    <w:rsid w:val="049A4077"/>
    <w:rsid w:val="049B394B"/>
    <w:rsid w:val="04A66578"/>
    <w:rsid w:val="04B2316F"/>
    <w:rsid w:val="0534627A"/>
    <w:rsid w:val="054144F3"/>
    <w:rsid w:val="05467D5B"/>
    <w:rsid w:val="056106F1"/>
    <w:rsid w:val="05860158"/>
    <w:rsid w:val="05DE1000"/>
    <w:rsid w:val="05FC112B"/>
    <w:rsid w:val="061439A6"/>
    <w:rsid w:val="06266C19"/>
    <w:rsid w:val="06500E91"/>
    <w:rsid w:val="06514C09"/>
    <w:rsid w:val="06863D99"/>
    <w:rsid w:val="06875D2F"/>
    <w:rsid w:val="068B011B"/>
    <w:rsid w:val="06AB431A"/>
    <w:rsid w:val="06C21663"/>
    <w:rsid w:val="06CB5A32"/>
    <w:rsid w:val="06ED6645"/>
    <w:rsid w:val="07126147"/>
    <w:rsid w:val="074F1149"/>
    <w:rsid w:val="075E75DE"/>
    <w:rsid w:val="0765096C"/>
    <w:rsid w:val="078F59E9"/>
    <w:rsid w:val="07AC0C3D"/>
    <w:rsid w:val="07BD2901"/>
    <w:rsid w:val="07C03DF5"/>
    <w:rsid w:val="07CC09EB"/>
    <w:rsid w:val="07CD6512"/>
    <w:rsid w:val="07E61381"/>
    <w:rsid w:val="080B2B96"/>
    <w:rsid w:val="080C528C"/>
    <w:rsid w:val="08147C9D"/>
    <w:rsid w:val="08283748"/>
    <w:rsid w:val="0837398B"/>
    <w:rsid w:val="087B5F6E"/>
    <w:rsid w:val="08871FD8"/>
    <w:rsid w:val="08B44630"/>
    <w:rsid w:val="090B72F2"/>
    <w:rsid w:val="091273FA"/>
    <w:rsid w:val="093525B2"/>
    <w:rsid w:val="09594501"/>
    <w:rsid w:val="09625818"/>
    <w:rsid w:val="09772BD9"/>
    <w:rsid w:val="09A60DC8"/>
    <w:rsid w:val="09AC55A3"/>
    <w:rsid w:val="09AD03A9"/>
    <w:rsid w:val="09AF31D7"/>
    <w:rsid w:val="09BC4A88"/>
    <w:rsid w:val="09F71624"/>
    <w:rsid w:val="0A2A19F9"/>
    <w:rsid w:val="0A2F5262"/>
    <w:rsid w:val="0A334D52"/>
    <w:rsid w:val="0A5371A2"/>
    <w:rsid w:val="0A8C7FBE"/>
    <w:rsid w:val="0AB3379D"/>
    <w:rsid w:val="0AB45767"/>
    <w:rsid w:val="0AF3628F"/>
    <w:rsid w:val="0B1301D5"/>
    <w:rsid w:val="0B354AFA"/>
    <w:rsid w:val="0B3C3A17"/>
    <w:rsid w:val="0B3F0E6D"/>
    <w:rsid w:val="0B6C7DF0"/>
    <w:rsid w:val="0BAA0699"/>
    <w:rsid w:val="0BB73761"/>
    <w:rsid w:val="0BC96FF0"/>
    <w:rsid w:val="0BDA11FD"/>
    <w:rsid w:val="0BE856C8"/>
    <w:rsid w:val="0BF0595A"/>
    <w:rsid w:val="0BFB189F"/>
    <w:rsid w:val="0C083FBC"/>
    <w:rsid w:val="0C0B585A"/>
    <w:rsid w:val="0C5C1C12"/>
    <w:rsid w:val="0C6350F4"/>
    <w:rsid w:val="0C670CE3"/>
    <w:rsid w:val="0C7A2987"/>
    <w:rsid w:val="0CA62A5F"/>
    <w:rsid w:val="0CA83151"/>
    <w:rsid w:val="0CDB6962"/>
    <w:rsid w:val="0CDF2F6F"/>
    <w:rsid w:val="0CE1602E"/>
    <w:rsid w:val="0CEC2F96"/>
    <w:rsid w:val="0CF62067"/>
    <w:rsid w:val="0CFE2BC7"/>
    <w:rsid w:val="0D197B03"/>
    <w:rsid w:val="0D4903E8"/>
    <w:rsid w:val="0D515139"/>
    <w:rsid w:val="0DBE4AC5"/>
    <w:rsid w:val="0DDC057E"/>
    <w:rsid w:val="0DE3083D"/>
    <w:rsid w:val="0DE67370"/>
    <w:rsid w:val="0E1C3D4F"/>
    <w:rsid w:val="0E677EC3"/>
    <w:rsid w:val="0E7771D7"/>
    <w:rsid w:val="0E7C3E44"/>
    <w:rsid w:val="0E8A0CB9"/>
    <w:rsid w:val="0EA16002"/>
    <w:rsid w:val="0EAE79F6"/>
    <w:rsid w:val="0EC57F43"/>
    <w:rsid w:val="0ED87C76"/>
    <w:rsid w:val="0F096081"/>
    <w:rsid w:val="0F451083"/>
    <w:rsid w:val="0F470958"/>
    <w:rsid w:val="0F515C7A"/>
    <w:rsid w:val="0F686FC8"/>
    <w:rsid w:val="0FAE45BE"/>
    <w:rsid w:val="0FB87AA7"/>
    <w:rsid w:val="0FD03043"/>
    <w:rsid w:val="0FD3043D"/>
    <w:rsid w:val="0FEA1DE2"/>
    <w:rsid w:val="0FF87EA4"/>
    <w:rsid w:val="103435D2"/>
    <w:rsid w:val="103B4960"/>
    <w:rsid w:val="109776BD"/>
    <w:rsid w:val="10BE4C49"/>
    <w:rsid w:val="10EF74F9"/>
    <w:rsid w:val="11050ACA"/>
    <w:rsid w:val="113118BF"/>
    <w:rsid w:val="11401B02"/>
    <w:rsid w:val="11427F91"/>
    <w:rsid w:val="114303F3"/>
    <w:rsid w:val="11627CCB"/>
    <w:rsid w:val="116457F1"/>
    <w:rsid w:val="11760FE7"/>
    <w:rsid w:val="11B538F6"/>
    <w:rsid w:val="11C21E4C"/>
    <w:rsid w:val="11CD10AF"/>
    <w:rsid w:val="11E42DD6"/>
    <w:rsid w:val="12062D4C"/>
    <w:rsid w:val="121F1AF5"/>
    <w:rsid w:val="12334BE3"/>
    <w:rsid w:val="12372F05"/>
    <w:rsid w:val="123F625E"/>
    <w:rsid w:val="124D097B"/>
    <w:rsid w:val="12543AB7"/>
    <w:rsid w:val="12546F97"/>
    <w:rsid w:val="12597320"/>
    <w:rsid w:val="125D518E"/>
    <w:rsid w:val="128D7F67"/>
    <w:rsid w:val="12AA7B7B"/>
    <w:rsid w:val="12AC38F3"/>
    <w:rsid w:val="12C329EB"/>
    <w:rsid w:val="12C81DAF"/>
    <w:rsid w:val="12E84003"/>
    <w:rsid w:val="12EF1A32"/>
    <w:rsid w:val="13250FB0"/>
    <w:rsid w:val="135D2E40"/>
    <w:rsid w:val="13710699"/>
    <w:rsid w:val="13897791"/>
    <w:rsid w:val="13C7475D"/>
    <w:rsid w:val="13CC12B3"/>
    <w:rsid w:val="13CE5AEB"/>
    <w:rsid w:val="13D03611"/>
    <w:rsid w:val="13E76BAD"/>
    <w:rsid w:val="13F37300"/>
    <w:rsid w:val="14164D9C"/>
    <w:rsid w:val="14560014"/>
    <w:rsid w:val="14575AE1"/>
    <w:rsid w:val="145E6E6F"/>
    <w:rsid w:val="147E0884"/>
    <w:rsid w:val="14E55858"/>
    <w:rsid w:val="151E65FF"/>
    <w:rsid w:val="153425B3"/>
    <w:rsid w:val="15406575"/>
    <w:rsid w:val="154330B1"/>
    <w:rsid w:val="1557566D"/>
    <w:rsid w:val="156264EB"/>
    <w:rsid w:val="158A3C94"/>
    <w:rsid w:val="159468C1"/>
    <w:rsid w:val="15A05265"/>
    <w:rsid w:val="15A12EB9"/>
    <w:rsid w:val="15C745A0"/>
    <w:rsid w:val="15CA22E2"/>
    <w:rsid w:val="15EB2E60"/>
    <w:rsid w:val="15EF5034"/>
    <w:rsid w:val="15F66C34"/>
    <w:rsid w:val="16651F62"/>
    <w:rsid w:val="16695657"/>
    <w:rsid w:val="16A91EF8"/>
    <w:rsid w:val="16AE5760"/>
    <w:rsid w:val="16C3745D"/>
    <w:rsid w:val="16E3365C"/>
    <w:rsid w:val="17163A31"/>
    <w:rsid w:val="171952CF"/>
    <w:rsid w:val="172F6F9B"/>
    <w:rsid w:val="173914CE"/>
    <w:rsid w:val="17427F97"/>
    <w:rsid w:val="175B7696"/>
    <w:rsid w:val="176B1A13"/>
    <w:rsid w:val="176C6BF2"/>
    <w:rsid w:val="179606CE"/>
    <w:rsid w:val="17BB563B"/>
    <w:rsid w:val="17BD20FF"/>
    <w:rsid w:val="17DB4333"/>
    <w:rsid w:val="17E627AD"/>
    <w:rsid w:val="17FD24FB"/>
    <w:rsid w:val="1844012A"/>
    <w:rsid w:val="18602A8A"/>
    <w:rsid w:val="189F35B2"/>
    <w:rsid w:val="18C272A1"/>
    <w:rsid w:val="18CE3E98"/>
    <w:rsid w:val="18D07C10"/>
    <w:rsid w:val="18DC200C"/>
    <w:rsid w:val="19092140"/>
    <w:rsid w:val="193E421D"/>
    <w:rsid w:val="196631DF"/>
    <w:rsid w:val="19706118"/>
    <w:rsid w:val="19D674A8"/>
    <w:rsid w:val="19EA4D01"/>
    <w:rsid w:val="19F718F6"/>
    <w:rsid w:val="1A212E49"/>
    <w:rsid w:val="1A393593"/>
    <w:rsid w:val="1A423B98"/>
    <w:rsid w:val="1A4E6961"/>
    <w:rsid w:val="1A6C1BBA"/>
    <w:rsid w:val="1A750A6F"/>
    <w:rsid w:val="1AC26B15"/>
    <w:rsid w:val="1AC437A4"/>
    <w:rsid w:val="1AEC6857"/>
    <w:rsid w:val="1AEE0821"/>
    <w:rsid w:val="1AFC1190"/>
    <w:rsid w:val="1B0D0CA7"/>
    <w:rsid w:val="1B177D78"/>
    <w:rsid w:val="1B373F76"/>
    <w:rsid w:val="1B4F7EBB"/>
    <w:rsid w:val="1B530684"/>
    <w:rsid w:val="1B636B19"/>
    <w:rsid w:val="1B6F1962"/>
    <w:rsid w:val="1BE51C24"/>
    <w:rsid w:val="1C006A5E"/>
    <w:rsid w:val="1C1B3898"/>
    <w:rsid w:val="1C294979"/>
    <w:rsid w:val="1C60574F"/>
    <w:rsid w:val="1C896A53"/>
    <w:rsid w:val="1CA27B15"/>
    <w:rsid w:val="1CBA6C35"/>
    <w:rsid w:val="1CBF2475"/>
    <w:rsid w:val="1CC63804"/>
    <w:rsid w:val="1CC7757C"/>
    <w:rsid w:val="1CE3490A"/>
    <w:rsid w:val="1CE476FE"/>
    <w:rsid w:val="1CFB3001"/>
    <w:rsid w:val="1D030ED0"/>
    <w:rsid w:val="1D3764AF"/>
    <w:rsid w:val="1D4D182F"/>
    <w:rsid w:val="1D502993"/>
    <w:rsid w:val="1D666A0A"/>
    <w:rsid w:val="1D903E12"/>
    <w:rsid w:val="1DA63635"/>
    <w:rsid w:val="1DA82F09"/>
    <w:rsid w:val="1DC11182"/>
    <w:rsid w:val="1DCA7323"/>
    <w:rsid w:val="1DE008F5"/>
    <w:rsid w:val="1E016751"/>
    <w:rsid w:val="1E1F07EF"/>
    <w:rsid w:val="1E236A34"/>
    <w:rsid w:val="1E3D7AF5"/>
    <w:rsid w:val="1E3E6FE6"/>
    <w:rsid w:val="1E7E1EBC"/>
    <w:rsid w:val="1EC43D73"/>
    <w:rsid w:val="1ED267F4"/>
    <w:rsid w:val="1EFD372D"/>
    <w:rsid w:val="1F0B7BF4"/>
    <w:rsid w:val="1F2619E1"/>
    <w:rsid w:val="1F3709E9"/>
    <w:rsid w:val="1F3F33F9"/>
    <w:rsid w:val="1F7662F2"/>
    <w:rsid w:val="1F9E2816"/>
    <w:rsid w:val="1FA15F6E"/>
    <w:rsid w:val="1FD004F5"/>
    <w:rsid w:val="1FD2426D"/>
    <w:rsid w:val="1FD344A3"/>
    <w:rsid w:val="1FFE32B4"/>
    <w:rsid w:val="2007660D"/>
    <w:rsid w:val="20084133"/>
    <w:rsid w:val="200C3C23"/>
    <w:rsid w:val="20234AC9"/>
    <w:rsid w:val="20256A93"/>
    <w:rsid w:val="2035194E"/>
    <w:rsid w:val="205C7F92"/>
    <w:rsid w:val="208E288A"/>
    <w:rsid w:val="20B56069"/>
    <w:rsid w:val="20B6101E"/>
    <w:rsid w:val="20BA4696"/>
    <w:rsid w:val="20C55B80"/>
    <w:rsid w:val="20DB35F6"/>
    <w:rsid w:val="20E94E5D"/>
    <w:rsid w:val="210F504D"/>
    <w:rsid w:val="21117017"/>
    <w:rsid w:val="2116462E"/>
    <w:rsid w:val="213056EF"/>
    <w:rsid w:val="215F4227"/>
    <w:rsid w:val="2164183D"/>
    <w:rsid w:val="218C669E"/>
    <w:rsid w:val="21C04CB4"/>
    <w:rsid w:val="21CB366A"/>
    <w:rsid w:val="21CD2F3E"/>
    <w:rsid w:val="21E461F8"/>
    <w:rsid w:val="21EE1107"/>
    <w:rsid w:val="22356D36"/>
    <w:rsid w:val="22433200"/>
    <w:rsid w:val="224341BC"/>
    <w:rsid w:val="224B0307"/>
    <w:rsid w:val="22543660"/>
    <w:rsid w:val="22D12F02"/>
    <w:rsid w:val="22F4274D"/>
    <w:rsid w:val="233555C9"/>
    <w:rsid w:val="239B0E1A"/>
    <w:rsid w:val="239E46B2"/>
    <w:rsid w:val="23F17016"/>
    <w:rsid w:val="242A28CA"/>
    <w:rsid w:val="24311EAA"/>
    <w:rsid w:val="247578BD"/>
    <w:rsid w:val="247D56FB"/>
    <w:rsid w:val="24B05FE5"/>
    <w:rsid w:val="24DB1E16"/>
    <w:rsid w:val="25180974"/>
    <w:rsid w:val="2525508A"/>
    <w:rsid w:val="2527505B"/>
    <w:rsid w:val="255120D8"/>
    <w:rsid w:val="259465A5"/>
    <w:rsid w:val="25DA0320"/>
    <w:rsid w:val="25F82554"/>
    <w:rsid w:val="26031625"/>
    <w:rsid w:val="26137ACC"/>
    <w:rsid w:val="263F0183"/>
    <w:rsid w:val="26624A8D"/>
    <w:rsid w:val="26630315"/>
    <w:rsid w:val="26A5448A"/>
    <w:rsid w:val="26AC44A2"/>
    <w:rsid w:val="26C32B62"/>
    <w:rsid w:val="26DB1764"/>
    <w:rsid w:val="26E50D2A"/>
    <w:rsid w:val="26FE1DEC"/>
    <w:rsid w:val="27447A7C"/>
    <w:rsid w:val="274E4B21"/>
    <w:rsid w:val="2751016E"/>
    <w:rsid w:val="276C6CB7"/>
    <w:rsid w:val="277B6152"/>
    <w:rsid w:val="27972213"/>
    <w:rsid w:val="279B7D60"/>
    <w:rsid w:val="27B91377"/>
    <w:rsid w:val="27BF5A1F"/>
    <w:rsid w:val="27DA4607"/>
    <w:rsid w:val="27E2526A"/>
    <w:rsid w:val="2814305D"/>
    <w:rsid w:val="28235FAE"/>
    <w:rsid w:val="285048C9"/>
    <w:rsid w:val="286C1ED6"/>
    <w:rsid w:val="287E4F92"/>
    <w:rsid w:val="28903FCA"/>
    <w:rsid w:val="289E3886"/>
    <w:rsid w:val="28B210E0"/>
    <w:rsid w:val="28B906C0"/>
    <w:rsid w:val="28C64B8B"/>
    <w:rsid w:val="28F17E5A"/>
    <w:rsid w:val="28F90ABD"/>
    <w:rsid w:val="28FF33F5"/>
    <w:rsid w:val="29086F52"/>
    <w:rsid w:val="294F2FF6"/>
    <w:rsid w:val="29885064"/>
    <w:rsid w:val="298C36DF"/>
    <w:rsid w:val="298E56A9"/>
    <w:rsid w:val="29AA1DB7"/>
    <w:rsid w:val="29BB4323"/>
    <w:rsid w:val="29C26474"/>
    <w:rsid w:val="29CE1F49"/>
    <w:rsid w:val="2A0911D4"/>
    <w:rsid w:val="2A4E4E38"/>
    <w:rsid w:val="2A7A3919"/>
    <w:rsid w:val="2A811773"/>
    <w:rsid w:val="2AA902C1"/>
    <w:rsid w:val="2AB70C30"/>
    <w:rsid w:val="2ABF7AE4"/>
    <w:rsid w:val="2AC7232A"/>
    <w:rsid w:val="2ADB2B70"/>
    <w:rsid w:val="2AE13EFE"/>
    <w:rsid w:val="2AE46C6D"/>
    <w:rsid w:val="2AEF2177"/>
    <w:rsid w:val="2AF27DA4"/>
    <w:rsid w:val="2AFD7A72"/>
    <w:rsid w:val="2B3F6BFE"/>
    <w:rsid w:val="2B4C6EFC"/>
    <w:rsid w:val="2B4D6E9E"/>
    <w:rsid w:val="2B7408CF"/>
    <w:rsid w:val="2B844FB6"/>
    <w:rsid w:val="2BA411B4"/>
    <w:rsid w:val="2BA56CDA"/>
    <w:rsid w:val="2BB338D9"/>
    <w:rsid w:val="2BB7080A"/>
    <w:rsid w:val="2BEA3463"/>
    <w:rsid w:val="2C043A01"/>
    <w:rsid w:val="2C361728"/>
    <w:rsid w:val="2C3A1B18"/>
    <w:rsid w:val="2C3E2C07"/>
    <w:rsid w:val="2C477D91"/>
    <w:rsid w:val="2C576226"/>
    <w:rsid w:val="2C6F2FF5"/>
    <w:rsid w:val="2CA174A1"/>
    <w:rsid w:val="2CA86A82"/>
    <w:rsid w:val="2CB43679"/>
    <w:rsid w:val="2CB847EB"/>
    <w:rsid w:val="2CE850D0"/>
    <w:rsid w:val="2D095047"/>
    <w:rsid w:val="2D102879"/>
    <w:rsid w:val="2D2A0EA8"/>
    <w:rsid w:val="2D6F75A0"/>
    <w:rsid w:val="2DC842F2"/>
    <w:rsid w:val="2E2C5491"/>
    <w:rsid w:val="2E693FEF"/>
    <w:rsid w:val="2E7877BA"/>
    <w:rsid w:val="2EAD405B"/>
    <w:rsid w:val="2EB536D8"/>
    <w:rsid w:val="2EB84F76"/>
    <w:rsid w:val="2ED40002"/>
    <w:rsid w:val="2EE67D35"/>
    <w:rsid w:val="2EF35FAE"/>
    <w:rsid w:val="2EFC1307"/>
    <w:rsid w:val="2F236894"/>
    <w:rsid w:val="2F2B399A"/>
    <w:rsid w:val="2F6D7B0F"/>
    <w:rsid w:val="2F7D596F"/>
    <w:rsid w:val="2F89515F"/>
    <w:rsid w:val="2F8F3F29"/>
    <w:rsid w:val="2F8F5CD7"/>
    <w:rsid w:val="2F9C6646"/>
    <w:rsid w:val="2FBC2844"/>
    <w:rsid w:val="2FDA7332"/>
    <w:rsid w:val="2FEC4ED7"/>
    <w:rsid w:val="2FF355C0"/>
    <w:rsid w:val="300F506A"/>
    <w:rsid w:val="30224D9D"/>
    <w:rsid w:val="30240B15"/>
    <w:rsid w:val="30331386"/>
    <w:rsid w:val="30403475"/>
    <w:rsid w:val="304E16EE"/>
    <w:rsid w:val="3073198D"/>
    <w:rsid w:val="30985804"/>
    <w:rsid w:val="309B06AC"/>
    <w:rsid w:val="30A12166"/>
    <w:rsid w:val="30C85944"/>
    <w:rsid w:val="30DA7426"/>
    <w:rsid w:val="31140B8A"/>
    <w:rsid w:val="31434FCB"/>
    <w:rsid w:val="318F1FBE"/>
    <w:rsid w:val="31AA504A"/>
    <w:rsid w:val="31B5579D"/>
    <w:rsid w:val="31D85FEC"/>
    <w:rsid w:val="31E57E30"/>
    <w:rsid w:val="3227433C"/>
    <w:rsid w:val="3240150B"/>
    <w:rsid w:val="32544457"/>
    <w:rsid w:val="32696CB3"/>
    <w:rsid w:val="32755658"/>
    <w:rsid w:val="32E75E2A"/>
    <w:rsid w:val="33144004"/>
    <w:rsid w:val="33560053"/>
    <w:rsid w:val="337376BE"/>
    <w:rsid w:val="339E473B"/>
    <w:rsid w:val="33A258D4"/>
    <w:rsid w:val="33BA52ED"/>
    <w:rsid w:val="33E32A34"/>
    <w:rsid w:val="33FC3D4A"/>
    <w:rsid w:val="340A1DD0"/>
    <w:rsid w:val="344C23E9"/>
    <w:rsid w:val="344C4197"/>
    <w:rsid w:val="34621C0C"/>
    <w:rsid w:val="34A81168"/>
    <w:rsid w:val="34EA39B0"/>
    <w:rsid w:val="34FD36E3"/>
    <w:rsid w:val="35004F81"/>
    <w:rsid w:val="35101668"/>
    <w:rsid w:val="351F7AFD"/>
    <w:rsid w:val="353A66E5"/>
    <w:rsid w:val="35812566"/>
    <w:rsid w:val="35D00DF7"/>
    <w:rsid w:val="35D46B3A"/>
    <w:rsid w:val="35D94150"/>
    <w:rsid w:val="35E84393"/>
    <w:rsid w:val="3600792F"/>
    <w:rsid w:val="363650FE"/>
    <w:rsid w:val="363B7BC5"/>
    <w:rsid w:val="36486BE0"/>
    <w:rsid w:val="369E4A52"/>
    <w:rsid w:val="36A04C6E"/>
    <w:rsid w:val="36A63F7F"/>
    <w:rsid w:val="36BA5D2F"/>
    <w:rsid w:val="36C26992"/>
    <w:rsid w:val="36D6068F"/>
    <w:rsid w:val="372431A9"/>
    <w:rsid w:val="374E6EB4"/>
    <w:rsid w:val="37523E3B"/>
    <w:rsid w:val="3756532C"/>
    <w:rsid w:val="377072D3"/>
    <w:rsid w:val="377A101B"/>
    <w:rsid w:val="3781684D"/>
    <w:rsid w:val="378E0F6A"/>
    <w:rsid w:val="37BA3B0D"/>
    <w:rsid w:val="37C269F2"/>
    <w:rsid w:val="37DD0B53"/>
    <w:rsid w:val="37E03DB0"/>
    <w:rsid w:val="37E312B6"/>
    <w:rsid w:val="3801126E"/>
    <w:rsid w:val="38110FB7"/>
    <w:rsid w:val="38415FDC"/>
    <w:rsid w:val="386C6A82"/>
    <w:rsid w:val="387737AC"/>
    <w:rsid w:val="387B14EE"/>
    <w:rsid w:val="389C4754"/>
    <w:rsid w:val="38A071A7"/>
    <w:rsid w:val="38BB18EE"/>
    <w:rsid w:val="38BD5663"/>
    <w:rsid w:val="38F4304F"/>
    <w:rsid w:val="38F44DFD"/>
    <w:rsid w:val="38FB618B"/>
    <w:rsid w:val="39202096"/>
    <w:rsid w:val="392456E2"/>
    <w:rsid w:val="393671C3"/>
    <w:rsid w:val="3940484E"/>
    <w:rsid w:val="39425AEB"/>
    <w:rsid w:val="394C69E7"/>
    <w:rsid w:val="395B30CE"/>
    <w:rsid w:val="395F671A"/>
    <w:rsid w:val="39B32C2B"/>
    <w:rsid w:val="39B32F0A"/>
    <w:rsid w:val="39D32C64"/>
    <w:rsid w:val="39DC7D6B"/>
    <w:rsid w:val="39FC21BB"/>
    <w:rsid w:val="3A306308"/>
    <w:rsid w:val="3A5A5133"/>
    <w:rsid w:val="3AC32CD9"/>
    <w:rsid w:val="3ACD3B57"/>
    <w:rsid w:val="3AE35129"/>
    <w:rsid w:val="3AE407EF"/>
    <w:rsid w:val="3AF85078"/>
    <w:rsid w:val="3B1F56A8"/>
    <w:rsid w:val="3B3D6F2F"/>
    <w:rsid w:val="3B447FFC"/>
    <w:rsid w:val="3B516536"/>
    <w:rsid w:val="3B84690C"/>
    <w:rsid w:val="3BF2420C"/>
    <w:rsid w:val="3BFC64A2"/>
    <w:rsid w:val="3C0B2B89"/>
    <w:rsid w:val="3C246322"/>
    <w:rsid w:val="3C4E460C"/>
    <w:rsid w:val="3C504A40"/>
    <w:rsid w:val="3C700C3E"/>
    <w:rsid w:val="3C7239FD"/>
    <w:rsid w:val="3C820E10"/>
    <w:rsid w:val="3C9012E0"/>
    <w:rsid w:val="3C925059"/>
    <w:rsid w:val="3C9E39FD"/>
    <w:rsid w:val="3CEF6007"/>
    <w:rsid w:val="3CFB0E50"/>
    <w:rsid w:val="3D045509"/>
    <w:rsid w:val="3D424389"/>
    <w:rsid w:val="3D46401D"/>
    <w:rsid w:val="3D5803BD"/>
    <w:rsid w:val="3D691970"/>
    <w:rsid w:val="3D6F7148"/>
    <w:rsid w:val="3D98044D"/>
    <w:rsid w:val="3DE73182"/>
    <w:rsid w:val="3E1C72D0"/>
    <w:rsid w:val="3E3A575D"/>
    <w:rsid w:val="3E724822"/>
    <w:rsid w:val="3E7F33BB"/>
    <w:rsid w:val="3E8F7AA2"/>
    <w:rsid w:val="3ECF7E9E"/>
    <w:rsid w:val="3ED100BA"/>
    <w:rsid w:val="3EDB259D"/>
    <w:rsid w:val="3F12422F"/>
    <w:rsid w:val="3F544847"/>
    <w:rsid w:val="3F79605C"/>
    <w:rsid w:val="3F88035F"/>
    <w:rsid w:val="3F942E96"/>
    <w:rsid w:val="3FAA4467"/>
    <w:rsid w:val="3FAC6744"/>
    <w:rsid w:val="3FBD10BF"/>
    <w:rsid w:val="3FC03C8B"/>
    <w:rsid w:val="3FDB2873"/>
    <w:rsid w:val="3FEC4A80"/>
    <w:rsid w:val="401A339B"/>
    <w:rsid w:val="403B1563"/>
    <w:rsid w:val="40644F5E"/>
    <w:rsid w:val="406E7B8B"/>
    <w:rsid w:val="40896772"/>
    <w:rsid w:val="408B6047"/>
    <w:rsid w:val="40A47108"/>
    <w:rsid w:val="40AB7E21"/>
    <w:rsid w:val="40CA3013"/>
    <w:rsid w:val="40E13EB9"/>
    <w:rsid w:val="40E35E83"/>
    <w:rsid w:val="40FE0F0E"/>
    <w:rsid w:val="41175B2C"/>
    <w:rsid w:val="412A1D04"/>
    <w:rsid w:val="41302E3B"/>
    <w:rsid w:val="415723CD"/>
    <w:rsid w:val="41735459"/>
    <w:rsid w:val="41805989"/>
    <w:rsid w:val="41AF2209"/>
    <w:rsid w:val="41BD0482"/>
    <w:rsid w:val="41FD11C6"/>
    <w:rsid w:val="425423DB"/>
    <w:rsid w:val="42674891"/>
    <w:rsid w:val="4267663F"/>
    <w:rsid w:val="427174BE"/>
    <w:rsid w:val="427A45C5"/>
    <w:rsid w:val="428E7858"/>
    <w:rsid w:val="42935686"/>
    <w:rsid w:val="42AC04F6"/>
    <w:rsid w:val="42B228AB"/>
    <w:rsid w:val="42D418D1"/>
    <w:rsid w:val="43122A4F"/>
    <w:rsid w:val="43244531"/>
    <w:rsid w:val="432B3B11"/>
    <w:rsid w:val="435C3CCA"/>
    <w:rsid w:val="43657023"/>
    <w:rsid w:val="43860280"/>
    <w:rsid w:val="438A6A89"/>
    <w:rsid w:val="43B35FE0"/>
    <w:rsid w:val="43DE0B83"/>
    <w:rsid w:val="43E4263E"/>
    <w:rsid w:val="44056D40"/>
    <w:rsid w:val="4413082D"/>
    <w:rsid w:val="44184095"/>
    <w:rsid w:val="44185E43"/>
    <w:rsid w:val="44444E8A"/>
    <w:rsid w:val="44465B6F"/>
    <w:rsid w:val="44641089"/>
    <w:rsid w:val="447A6AFE"/>
    <w:rsid w:val="44867251"/>
    <w:rsid w:val="448E6105"/>
    <w:rsid w:val="44CC44F5"/>
    <w:rsid w:val="44D426B2"/>
    <w:rsid w:val="44F6730A"/>
    <w:rsid w:val="456A4DC4"/>
    <w:rsid w:val="456A6B72"/>
    <w:rsid w:val="457479F1"/>
    <w:rsid w:val="45800144"/>
    <w:rsid w:val="45A36173"/>
    <w:rsid w:val="45B418E4"/>
    <w:rsid w:val="45CF69D6"/>
    <w:rsid w:val="46195EA3"/>
    <w:rsid w:val="461D5993"/>
    <w:rsid w:val="464A2500"/>
    <w:rsid w:val="465600EF"/>
    <w:rsid w:val="467D01D9"/>
    <w:rsid w:val="46AC4F69"/>
    <w:rsid w:val="46BA7686"/>
    <w:rsid w:val="46BF681F"/>
    <w:rsid w:val="46C978C9"/>
    <w:rsid w:val="46CB08D5"/>
    <w:rsid w:val="47064679"/>
    <w:rsid w:val="473016F6"/>
    <w:rsid w:val="474A5704"/>
    <w:rsid w:val="475573AE"/>
    <w:rsid w:val="47B16CDB"/>
    <w:rsid w:val="47C167F2"/>
    <w:rsid w:val="47C75A2E"/>
    <w:rsid w:val="47DE55F6"/>
    <w:rsid w:val="47EF335F"/>
    <w:rsid w:val="48027536"/>
    <w:rsid w:val="4803505C"/>
    <w:rsid w:val="48362D3C"/>
    <w:rsid w:val="48394F9C"/>
    <w:rsid w:val="486A50DB"/>
    <w:rsid w:val="489F6B33"/>
    <w:rsid w:val="48B00D40"/>
    <w:rsid w:val="48B12D0A"/>
    <w:rsid w:val="48D5656A"/>
    <w:rsid w:val="491C63D6"/>
    <w:rsid w:val="49211C3E"/>
    <w:rsid w:val="495A5150"/>
    <w:rsid w:val="495F04B9"/>
    <w:rsid w:val="497A75A0"/>
    <w:rsid w:val="49A07007"/>
    <w:rsid w:val="49A14B2D"/>
    <w:rsid w:val="49A464DD"/>
    <w:rsid w:val="49A5461D"/>
    <w:rsid w:val="49A8347D"/>
    <w:rsid w:val="49C03205"/>
    <w:rsid w:val="49C34AA3"/>
    <w:rsid w:val="49D22F38"/>
    <w:rsid w:val="49F25388"/>
    <w:rsid w:val="4A080708"/>
    <w:rsid w:val="4A160C39"/>
    <w:rsid w:val="4A722025"/>
    <w:rsid w:val="4A9C4EA7"/>
    <w:rsid w:val="4AC705C3"/>
    <w:rsid w:val="4AC76815"/>
    <w:rsid w:val="4AC960E9"/>
    <w:rsid w:val="4ACE01A4"/>
    <w:rsid w:val="4AFB026D"/>
    <w:rsid w:val="4B02784D"/>
    <w:rsid w:val="4B2E419E"/>
    <w:rsid w:val="4B3A0D95"/>
    <w:rsid w:val="4B5A1437"/>
    <w:rsid w:val="4B647BC0"/>
    <w:rsid w:val="4B657949"/>
    <w:rsid w:val="4B8D5369"/>
    <w:rsid w:val="4B9A5CD8"/>
    <w:rsid w:val="4BA821A3"/>
    <w:rsid w:val="4BA83F51"/>
    <w:rsid w:val="4BC15012"/>
    <w:rsid w:val="4BDB1B21"/>
    <w:rsid w:val="4BE156B5"/>
    <w:rsid w:val="4BEB6533"/>
    <w:rsid w:val="4BF61160"/>
    <w:rsid w:val="4C082C41"/>
    <w:rsid w:val="4C4F6AC2"/>
    <w:rsid w:val="4C610FA1"/>
    <w:rsid w:val="4C7402D7"/>
    <w:rsid w:val="4C991AEB"/>
    <w:rsid w:val="4CA87F80"/>
    <w:rsid w:val="4CD60F31"/>
    <w:rsid w:val="4CE52F83"/>
    <w:rsid w:val="4D001B6A"/>
    <w:rsid w:val="4D0A4028"/>
    <w:rsid w:val="4D245859"/>
    <w:rsid w:val="4D267823"/>
    <w:rsid w:val="4D3441C2"/>
    <w:rsid w:val="4D3E6810"/>
    <w:rsid w:val="4D400E87"/>
    <w:rsid w:val="4D7762D0"/>
    <w:rsid w:val="4D9549A9"/>
    <w:rsid w:val="4DE60D60"/>
    <w:rsid w:val="4E2D698F"/>
    <w:rsid w:val="4E2F7CAE"/>
    <w:rsid w:val="4E355844"/>
    <w:rsid w:val="4E4F2E9A"/>
    <w:rsid w:val="4E61488B"/>
    <w:rsid w:val="4E720846"/>
    <w:rsid w:val="4E73634E"/>
    <w:rsid w:val="4E742810"/>
    <w:rsid w:val="4E920EE8"/>
    <w:rsid w:val="4EA36C51"/>
    <w:rsid w:val="4EA66D9B"/>
    <w:rsid w:val="4EB26E94"/>
    <w:rsid w:val="4EC07803"/>
    <w:rsid w:val="4F1162B1"/>
    <w:rsid w:val="4F336227"/>
    <w:rsid w:val="4F3A75B6"/>
    <w:rsid w:val="4F4268F2"/>
    <w:rsid w:val="4F4915A7"/>
    <w:rsid w:val="4F624D5E"/>
    <w:rsid w:val="4F74447A"/>
    <w:rsid w:val="4F8922EB"/>
    <w:rsid w:val="4F894099"/>
    <w:rsid w:val="4F9547EC"/>
    <w:rsid w:val="4F98252E"/>
    <w:rsid w:val="4FA64C4B"/>
    <w:rsid w:val="4FBF3F5F"/>
    <w:rsid w:val="4FC3106B"/>
    <w:rsid w:val="4FC46AED"/>
    <w:rsid w:val="4FD73056"/>
    <w:rsid w:val="4FE319FB"/>
    <w:rsid w:val="4FF43C08"/>
    <w:rsid w:val="501C6BF6"/>
    <w:rsid w:val="5051105B"/>
    <w:rsid w:val="50597F0F"/>
    <w:rsid w:val="50681F00"/>
    <w:rsid w:val="50761E08"/>
    <w:rsid w:val="50AD3DB7"/>
    <w:rsid w:val="50CF01D2"/>
    <w:rsid w:val="50D37CC2"/>
    <w:rsid w:val="51133112"/>
    <w:rsid w:val="511B6F73"/>
    <w:rsid w:val="511F2F07"/>
    <w:rsid w:val="51764AF1"/>
    <w:rsid w:val="517B2107"/>
    <w:rsid w:val="517D19DC"/>
    <w:rsid w:val="519F1952"/>
    <w:rsid w:val="51C054D2"/>
    <w:rsid w:val="51D57A6A"/>
    <w:rsid w:val="51E671BC"/>
    <w:rsid w:val="51F021AD"/>
    <w:rsid w:val="51FD48CA"/>
    <w:rsid w:val="52014CF6"/>
    <w:rsid w:val="52546BE0"/>
    <w:rsid w:val="52547309"/>
    <w:rsid w:val="52742DDF"/>
    <w:rsid w:val="52AB2578"/>
    <w:rsid w:val="52B85985"/>
    <w:rsid w:val="52BA27BB"/>
    <w:rsid w:val="52DB3598"/>
    <w:rsid w:val="52F757BE"/>
    <w:rsid w:val="52F7756C"/>
    <w:rsid w:val="530D7DDA"/>
    <w:rsid w:val="5325232B"/>
    <w:rsid w:val="532760A3"/>
    <w:rsid w:val="53416035"/>
    <w:rsid w:val="53456529"/>
    <w:rsid w:val="53552806"/>
    <w:rsid w:val="53901E9A"/>
    <w:rsid w:val="53A70F92"/>
    <w:rsid w:val="53BD6A07"/>
    <w:rsid w:val="53D224B3"/>
    <w:rsid w:val="53D87E62"/>
    <w:rsid w:val="53DF072C"/>
    <w:rsid w:val="540C5299"/>
    <w:rsid w:val="5455279C"/>
    <w:rsid w:val="549E4143"/>
    <w:rsid w:val="54E63D3C"/>
    <w:rsid w:val="54FE2E33"/>
    <w:rsid w:val="550C6DC1"/>
    <w:rsid w:val="55191A1B"/>
    <w:rsid w:val="5579070C"/>
    <w:rsid w:val="55A734CB"/>
    <w:rsid w:val="55C67DF5"/>
    <w:rsid w:val="55D10548"/>
    <w:rsid w:val="55D87B28"/>
    <w:rsid w:val="55FC3817"/>
    <w:rsid w:val="562D15A2"/>
    <w:rsid w:val="56397203"/>
    <w:rsid w:val="56460D3D"/>
    <w:rsid w:val="564A7F8D"/>
    <w:rsid w:val="56551179"/>
    <w:rsid w:val="56570A4D"/>
    <w:rsid w:val="567809C3"/>
    <w:rsid w:val="56A1616C"/>
    <w:rsid w:val="56B45E9F"/>
    <w:rsid w:val="56C37E91"/>
    <w:rsid w:val="56DE2F1C"/>
    <w:rsid w:val="56E322E1"/>
    <w:rsid w:val="57233025"/>
    <w:rsid w:val="573308E8"/>
    <w:rsid w:val="57430FD1"/>
    <w:rsid w:val="57462870"/>
    <w:rsid w:val="57513A0D"/>
    <w:rsid w:val="575817A3"/>
    <w:rsid w:val="57723665"/>
    <w:rsid w:val="577B076B"/>
    <w:rsid w:val="578735B4"/>
    <w:rsid w:val="579932E7"/>
    <w:rsid w:val="57A001D2"/>
    <w:rsid w:val="57CC7219"/>
    <w:rsid w:val="57DF2820"/>
    <w:rsid w:val="57E30BED"/>
    <w:rsid w:val="57EE53E1"/>
    <w:rsid w:val="582C415B"/>
    <w:rsid w:val="584D65AC"/>
    <w:rsid w:val="584E40D2"/>
    <w:rsid w:val="589C6BEB"/>
    <w:rsid w:val="58DA7713"/>
    <w:rsid w:val="59126EAD"/>
    <w:rsid w:val="59320CA5"/>
    <w:rsid w:val="594C6863"/>
    <w:rsid w:val="596A0A97"/>
    <w:rsid w:val="596C2A61"/>
    <w:rsid w:val="597162CA"/>
    <w:rsid w:val="59D35B1C"/>
    <w:rsid w:val="59D86349"/>
    <w:rsid w:val="59DB7EFC"/>
    <w:rsid w:val="59E7033A"/>
    <w:rsid w:val="59FB2037"/>
    <w:rsid w:val="5A0507C0"/>
    <w:rsid w:val="5A3966BC"/>
    <w:rsid w:val="5A3A2B60"/>
    <w:rsid w:val="5A470DD9"/>
    <w:rsid w:val="5A56726E"/>
    <w:rsid w:val="5A5D23AA"/>
    <w:rsid w:val="5A7140A7"/>
    <w:rsid w:val="5A8252F7"/>
    <w:rsid w:val="5AB644C4"/>
    <w:rsid w:val="5ACD7075"/>
    <w:rsid w:val="5AEA17CD"/>
    <w:rsid w:val="5AF0321E"/>
    <w:rsid w:val="5AFD12A8"/>
    <w:rsid w:val="5B0950C1"/>
    <w:rsid w:val="5B0A0784"/>
    <w:rsid w:val="5B0F11F3"/>
    <w:rsid w:val="5B321A89"/>
    <w:rsid w:val="5B351579"/>
    <w:rsid w:val="5B4517BC"/>
    <w:rsid w:val="5B6B6D49"/>
    <w:rsid w:val="5B7C4AB2"/>
    <w:rsid w:val="5B955B74"/>
    <w:rsid w:val="5B9A453C"/>
    <w:rsid w:val="5BA04C44"/>
    <w:rsid w:val="5BA74225"/>
    <w:rsid w:val="5BBF0026"/>
    <w:rsid w:val="5C11007F"/>
    <w:rsid w:val="5C245875"/>
    <w:rsid w:val="5C311D40"/>
    <w:rsid w:val="5C734107"/>
    <w:rsid w:val="5C7D31D8"/>
    <w:rsid w:val="5C936F85"/>
    <w:rsid w:val="5CCE57E1"/>
    <w:rsid w:val="5CCE758F"/>
    <w:rsid w:val="5D0D540F"/>
    <w:rsid w:val="5D184C94"/>
    <w:rsid w:val="5D505503"/>
    <w:rsid w:val="5D881E34"/>
    <w:rsid w:val="5D9205BD"/>
    <w:rsid w:val="5DAB5B22"/>
    <w:rsid w:val="5DB20C5F"/>
    <w:rsid w:val="5DD40BD5"/>
    <w:rsid w:val="5E2356B9"/>
    <w:rsid w:val="5E2E29DB"/>
    <w:rsid w:val="5E5D0BCB"/>
    <w:rsid w:val="5E6D0062"/>
    <w:rsid w:val="5E8A5738"/>
    <w:rsid w:val="5E9842F9"/>
    <w:rsid w:val="5E9A3700"/>
    <w:rsid w:val="5EBA426F"/>
    <w:rsid w:val="5EC155FD"/>
    <w:rsid w:val="5EE4309A"/>
    <w:rsid w:val="5EF4123D"/>
    <w:rsid w:val="5F092BBD"/>
    <w:rsid w:val="5F6917F1"/>
    <w:rsid w:val="5F8B79B9"/>
    <w:rsid w:val="5F9920D6"/>
    <w:rsid w:val="5FCA6734"/>
    <w:rsid w:val="5FD650D9"/>
    <w:rsid w:val="5FDA6610"/>
    <w:rsid w:val="5FEC48FC"/>
    <w:rsid w:val="5FF05F1F"/>
    <w:rsid w:val="600F05EB"/>
    <w:rsid w:val="602D0A71"/>
    <w:rsid w:val="60365B77"/>
    <w:rsid w:val="60477D84"/>
    <w:rsid w:val="606E4CB9"/>
    <w:rsid w:val="60885CA7"/>
    <w:rsid w:val="609805E0"/>
    <w:rsid w:val="60AE1BB1"/>
    <w:rsid w:val="60BD0963"/>
    <w:rsid w:val="60D16016"/>
    <w:rsid w:val="60F577E0"/>
    <w:rsid w:val="60F65306"/>
    <w:rsid w:val="61000982"/>
    <w:rsid w:val="611B4D6D"/>
    <w:rsid w:val="61542DA8"/>
    <w:rsid w:val="61671D60"/>
    <w:rsid w:val="61AB60F1"/>
    <w:rsid w:val="61B63755"/>
    <w:rsid w:val="61C62F2B"/>
    <w:rsid w:val="61DE2022"/>
    <w:rsid w:val="61FA4982"/>
    <w:rsid w:val="6208709F"/>
    <w:rsid w:val="620B4882"/>
    <w:rsid w:val="620F34D4"/>
    <w:rsid w:val="62312A9A"/>
    <w:rsid w:val="62481B92"/>
    <w:rsid w:val="6250460B"/>
    <w:rsid w:val="626469F0"/>
    <w:rsid w:val="62650996"/>
    <w:rsid w:val="62BF00A6"/>
    <w:rsid w:val="62C531E2"/>
    <w:rsid w:val="62FB6C04"/>
    <w:rsid w:val="6370314E"/>
    <w:rsid w:val="637D586B"/>
    <w:rsid w:val="63AD6150"/>
    <w:rsid w:val="63B46FA2"/>
    <w:rsid w:val="63C22D89"/>
    <w:rsid w:val="63E87188"/>
    <w:rsid w:val="63F43D7F"/>
    <w:rsid w:val="642D4AB7"/>
    <w:rsid w:val="6468651B"/>
    <w:rsid w:val="647E189B"/>
    <w:rsid w:val="649E3CEB"/>
    <w:rsid w:val="64A15589"/>
    <w:rsid w:val="64E02555"/>
    <w:rsid w:val="654A5C21"/>
    <w:rsid w:val="654B4DC7"/>
    <w:rsid w:val="655679A8"/>
    <w:rsid w:val="65674A25"/>
    <w:rsid w:val="656E5DB3"/>
    <w:rsid w:val="65984BDE"/>
    <w:rsid w:val="659A0956"/>
    <w:rsid w:val="65C90874"/>
    <w:rsid w:val="65CF2737"/>
    <w:rsid w:val="65D2271B"/>
    <w:rsid w:val="65D774B5"/>
    <w:rsid w:val="65DF0A5F"/>
    <w:rsid w:val="65E41BD1"/>
    <w:rsid w:val="65F242EE"/>
    <w:rsid w:val="65F52031"/>
    <w:rsid w:val="65F938CF"/>
    <w:rsid w:val="660109D5"/>
    <w:rsid w:val="6603474E"/>
    <w:rsid w:val="6612673F"/>
    <w:rsid w:val="661C580F"/>
    <w:rsid w:val="66252916"/>
    <w:rsid w:val="6646463A"/>
    <w:rsid w:val="665C2623"/>
    <w:rsid w:val="667C005C"/>
    <w:rsid w:val="66807D27"/>
    <w:rsid w:val="669435F8"/>
    <w:rsid w:val="66A6332B"/>
    <w:rsid w:val="66D659BE"/>
    <w:rsid w:val="66DE4873"/>
    <w:rsid w:val="670A5668"/>
    <w:rsid w:val="6716225F"/>
    <w:rsid w:val="674212A6"/>
    <w:rsid w:val="67845DD9"/>
    <w:rsid w:val="67892633"/>
    <w:rsid w:val="67936439"/>
    <w:rsid w:val="67964D5F"/>
    <w:rsid w:val="67AD244E"/>
    <w:rsid w:val="67AE4AF8"/>
    <w:rsid w:val="67C1041C"/>
    <w:rsid w:val="67E81E4D"/>
    <w:rsid w:val="67EC275A"/>
    <w:rsid w:val="68061D81"/>
    <w:rsid w:val="681F5143"/>
    <w:rsid w:val="68212C69"/>
    <w:rsid w:val="6821710D"/>
    <w:rsid w:val="6832131A"/>
    <w:rsid w:val="683F57E5"/>
    <w:rsid w:val="684828EC"/>
    <w:rsid w:val="689B6EBF"/>
    <w:rsid w:val="68E32614"/>
    <w:rsid w:val="68E72104"/>
    <w:rsid w:val="68F05093"/>
    <w:rsid w:val="694F6660"/>
    <w:rsid w:val="69513B46"/>
    <w:rsid w:val="696A4AE4"/>
    <w:rsid w:val="69733998"/>
    <w:rsid w:val="697D48A2"/>
    <w:rsid w:val="699658D9"/>
    <w:rsid w:val="69B63885"/>
    <w:rsid w:val="69C2047C"/>
    <w:rsid w:val="69CA41D4"/>
    <w:rsid w:val="69D55052"/>
    <w:rsid w:val="69E623BC"/>
    <w:rsid w:val="69E92F62"/>
    <w:rsid w:val="69F81132"/>
    <w:rsid w:val="69F85C4B"/>
    <w:rsid w:val="6A0665BA"/>
    <w:rsid w:val="6A0C5497"/>
    <w:rsid w:val="6A191855"/>
    <w:rsid w:val="6A4221D1"/>
    <w:rsid w:val="6A90057A"/>
    <w:rsid w:val="6A956A52"/>
    <w:rsid w:val="6AC514F0"/>
    <w:rsid w:val="6ACA583A"/>
    <w:rsid w:val="6AD22751"/>
    <w:rsid w:val="6AE306AA"/>
    <w:rsid w:val="6AE368FC"/>
    <w:rsid w:val="6AF02DC7"/>
    <w:rsid w:val="6B036F9E"/>
    <w:rsid w:val="6B092C18"/>
    <w:rsid w:val="6B4750DC"/>
    <w:rsid w:val="6B9145AA"/>
    <w:rsid w:val="6B976974"/>
    <w:rsid w:val="6BA0659B"/>
    <w:rsid w:val="6BAE0CB8"/>
    <w:rsid w:val="6BAF4A30"/>
    <w:rsid w:val="6BCC7390"/>
    <w:rsid w:val="6BF568E6"/>
    <w:rsid w:val="6C094140"/>
    <w:rsid w:val="6C0E5BFA"/>
    <w:rsid w:val="6C354F35"/>
    <w:rsid w:val="6C382C77"/>
    <w:rsid w:val="6C5E7B41"/>
    <w:rsid w:val="6C691082"/>
    <w:rsid w:val="6C695B3B"/>
    <w:rsid w:val="6C733CAF"/>
    <w:rsid w:val="6C7F2654"/>
    <w:rsid w:val="6C9500C9"/>
    <w:rsid w:val="6CAB3449"/>
    <w:rsid w:val="6CB06CB1"/>
    <w:rsid w:val="6CCB0C57"/>
    <w:rsid w:val="6CDB1F80"/>
    <w:rsid w:val="6CEB013B"/>
    <w:rsid w:val="6CF92406"/>
    <w:rsid w:val="6D0D4104"/>
    <w:rsid w:val="6D3B47CD"/>
    <w:rsid w:val="6D5910F7"/>
    <w:rsid w:val="6D77332B"/>
    <w:rsid w:val="6D9C0FE4"/>
    <w:rsid w:val="6DDA2238"/>
    <w:rsid w:val="6DDE33AA"/>
    <w:rsid w:val="6E276AFF"/>
    <w:rsid w:val="6E2A65EF"/>
    <w:rsid w:val="6E565636"/>
    <w:rsid w:val="6E586D17"/>
    <w:rsid w:val="6E5D0773"/>
    <w:rsid w:val="6E8635C3"/>
    <w:rsid w:val="6E9543B1"/>
    <w:rsid w:val="6EA939B8"/>
    <w:rsid w:val="6EE3511C"/>
    <w:rsid w:val="6EE60768"/>
    <w:rsid w:val="6EEB3FD1"/>
    <w:rsid w:val="6F0F5F11"/>
    <w:rsid w:val="6F230617"/>
    <w:rsid w:val="6F241291"/>
    <w:rsid w:val="6F2B378A"/>
    <w:rsid w:val="6F467459"/>
    <w:rsid w:val="6F5002D8"/>
    <w:rsid w:val="6F571666"/>
    <w:rsid w:val="6F675D4D"/>
    <w:rsid w:val="70064EBF"/>
    <w:rsid w:val="70230D0D"/>
    <w:rsid w:val="7029641C"/>
    <w:rsid w:val="703D085C"/>
    <w:rsid w:val="704F6C8A"/>
    <w:rsid w:val="70912956"/>
    <w:rsid w:val="709F32D0"/>
    <w:rsid w:val="70B977CB"/>
    <w:rsid w:val="70E60EF4"/>
    <w:rsid w:val="70F133F4"/>
    <w:rsid w:val="71105F71"/>
    <w:rsid w:val="7150636D"/>
    <w:rsid w:val="71526589"/>
    <w:rsid w:val="715776FB"/>
    <w:rsid w:val="715A5665"/>
    <w:rsid w:val="715E4F2E"/>
    <w:rsid w:val="716D279E"/>
    <w:rsid w:val="717615F1"/>
    <w:rsid w:val="71A843FB"/>
    <w:rsid w:val="71AC3EEB"/>
    <w:rsid w:val="71AE0765"/>
    <w:rsid w:val="71C34D91"/>
    <w:rsid w:val="71F31B1A"/>
    <w:rsid w:val="723F6B0D"/>
    <w:rsid w:val="72693B8A"/>
    <w:rsid w:val="72791816"/>
    <w:rsid w:val="728E539F"/>
    <w:rsid w:val="729F135A"/>
    <w:rsid w:val="72A76F33"/>
    <w:rsid w:val="72D354A8"/>
    <w:rsid w:val="72F11A0F"/>
    <w:rsid w:val="72FA2A34"/>
    <w:rsid w:val="733C129F"/>
    <w:rsid w:val="73467A28"/>
    <w:rsid w:val="734939BC"/>
    <w:rsid w:val="73571C35"/>
    <w:rsid w:val="735C549D"/>
    <w:rsid w:val="7367620A"/>
    <w:rsid w:val="73691F78"/>
    <w:rsid w:val="73726A6F"/>
    <w:rsid w:val="7381056B"/>
    <w:rsid w:val="739B6FB1"/>
    <w:rsid w:val="739C1D3D"/>
    <w:rsid w:val="73D72D76"/>
    <w:rsid w:val="73EF4563"/>
    <w:rsid w:val="73F531FC"/>
    <w:rsid w:val="73FB00B0"/>
    <w:rsid w:val="74051691"/>
    <w:rsid w:val="74130252"/>
    <w:rsid w:val="74282545"/>
    <w:rsid w:val="742E0BB5"/>
    <w:rsid w:val="7432096B"/>
    <w:rsid w:val="74357BCE"/>
    <w:rsid w:val="74575C64"/>
    <w:rsid w:val="74681C20"/>
    <w:rsid w:val="748C0004"/>
    <w:rsid w:val="74E26E5B"/>
    <w:rsid w:val="74FA1B94"/>
    <w:rsid w:val="74FB517C"/>
    <w:rsid w:val="750F39E3"/>
    <w:rsid w:val="75134281"/>
    <w:rsid w:val="75355FA6"/>
    <w:rsid w:val="7541494A"/>
    <w:rsid w:val="758104C3"/>
    <w:rsid w:val="759251A6"/>
    <w:rsid w:val="75952EE8"/>
    <w:rsid w:val="75D92DD5"/>
    <w:rsid w:val="75FA2D4B"/>
    <w:rsid w:val="75FB0F9D"/>
    <w:rsid w:val="760836BA"/>
    <w:rsid w:val="760B6D06"/>
    <w:rsid w:val="76103404"/>
    <w:rsid w:val="762304F4"/>
    <w:rsid w:val="76237507"/>
    <w:rsid w:val="765B1A3C"/>
    <w:rsid w:val="76805946"/>
    <w:rsid w:val="768213B4"/>
    <w:rsid w:val="76944F4E"/>
    <w:rsid w:val="76992564"/>
    <w:rsid w:val="76B63A3D"/>
    <w:rsid w:val="76E45ED5"/>
    <w:rsid w:val="76F0487A"/>
    <w:rsid w:val="76F53C3E"/>
    <w:rsid w:val="76FD6F97"/>
    <w:rsid w:val="774249AA"/>
    <w:rsid w:val="77495D38"/>
    <w:rsid w:val="777C7EBC"/>
    <w:rsid w:val="77822FF8"/>
    <w:rsid w:val="778507D9"/>
    <w:rsid w:val="779C67B0"/>
    <w:rsid w:val="77C875A5"/>
    <w:rsid w:val="77EB6DF0"/>
    <w:rsid w:val="77EE068E"/>
    <w:rsid w:val="77FC2DAB"/>
    <w:rsid w:val="780B56E4"/>
    <w:rsid w:val="78133C0C"/>
    <w:rsid w:val="781A1BB4"/>
    <w:rsid w:val="781F09F2"/>
    <w:rsid w:val="78252301"/>
    <w:rsid w:val="782567A5"/>
    <w:rsid w:val="78411105"/>
    <w:rsid w:val="78542BE7"/>
    <w:rsid w:val="786327B4"/>
    <w:rsid w:val="787212BF"/>
    <w:rsid w:val="787E7C64"/>
    <w:rsid w:val="78D21D5D"/>
    <w:rsid w:val="78FB7506"/>
    <w:rsid w:val="79076B2F"/>
    <w:rsid w:val="795F62C6"/>
    <w:rsid w:val="799534B7"/>
    <w:rsid w:val="79B871A5"/>
    <w:rsid w:val="79C93160"/>
    <w:rsid w:val="79F0693F"/>
    <w:rsid w:val="7A4647B1"/>
    <w:rsid w:val="7A82279E"/>
    <w:rsid w:val="7A9C5C09"/>
    <w:rsid w:val="7AA339B1"/>
    <w:rsid w:val="7AAA2F92"/>
    <w:rsid w:val="7AB636E5"/>
    <w:rsid w:val="7ABB0CFB"/>
    <w:rsid w:val="7AC878BC"/>
    <w:rsid w:val="7AF91AC4"/>
    <w:rsid w:val="7B0A57DF"/>
    <w:rsid w:val="7B256ABC"/>
    <w:rsid w:val="7B767318"/>
    <w:rsid w:val="7B8732D3"/>
    <w:rsid w:val="7BB65090"/>
    <w:rsid w:val="7BF344C5"/>
    <w:rsid w:val="7C295B7B"/>
    <w:rsid w:val="7C5A7EAB"/>
    <w:rsid w:val="7C637F11"/>
    <w:rsid w:val="7C653614"/>
    <w:rsid w:val="7C8131BC"/>
    <w:rsid w:val="7C841899"/>
    <w:rsid w:val="7CAF663E"/>
    <w:rsid w:val="7CB93960"/>
    <w:rsid w:val="7CD8695E"/>
    <w:rsid w:val="7CDE33C7"/>
    <w:rsid w:val="7D107598"/>
    <w:rsid w:val="7D40373A"/>
    <w:rsid w:val="7D4D3B7F"/>
    <w:rsid w:val="7D7A4E9D"/>
    <w:rsid w:val="7D80342D"/>
    <w:rsid w:val="7D9F4904"/>
    <w:rsid w:val="7DC154B2"/>
    <w:rsid w:val="7DCE6F97"/>
    <w:rsid w:val="7DF82266"/>
    <w:rsid w:val="7E0429B9"/>
    <w:rsid w:val="7E0F1770"/>
    <w:rsid w:val="7E447259"/>
    <w:rsid w:val="7E525E1A"/>
    <w:rsid w:val="7E631DD5"/>
    <w:rsid w:val="7E7C1CB0"/>
    <w:rsid w:val="7E9B156F"/>
    <w:rsid w:val="7EBE3167"/>
    <w:rsid w:val="7EF173E1"/>
    <w:rsid w:val="7EFB0260"/>
    <w:rsid w:val="7EFE38AC"/>
    <w:rsid w:val="7F482D79"/>
    <w:rsid w:val="7F741DC0"/>
    <w:rsid w:val="7F83100E"/>
    <w:rsid w:val="7FAC155A"/>
    <w:rsid w:val="7FE26D2A"/>
    <w:rsid w:val="7FF645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549644"/>
  <w15:docId w15:val="{2B99930F-E4F2-4318-8A2D-AE465CB4D8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qFormat="1"/>
    <w:lsdException w:name="toc 1" w:qFormat="1"/>
    <w:lsdException w:name="toc 2" w:qFormat="1"/>
    <w:lsdException w:name="toc 3" w:qFormat="1"/>
    <w:lsdException w:name="Normal Indent" w:qFormat="1"/>
    <w:lsdException w:name="annotation text" w:qFormat="1"/>
    <w:lsdException w:name="header" w:qFormat="1"/>
    <w:lsdException w:name="footer" w:qFormat="1"/>
    <w:lsdException w:name="index heading" w:semiHidden="1" w:qFormat="1"/>
    <w:lsdException w:name="caption" w:semiHidden="1" w:unhideWhenUsed="1" w:qFormat="1"/>
    <w:lsdException w:name="envelope return" w:qFormat="1"/>
    <w:lsdException w:name="Title" w:qFormat="1"/>
    <w:lsdException w:name="Default Paragraph Font" w:semiHidden="1" w:qFormat="1"/>
    <w:lsdException w:name="Body Text" w:qFormat="1"/>
    <w:lsdException w:name="Body Text Indent" w:qFormat="1"/>
    <w:lsdException w:name="Subtitle" w:qFormat="1"/>
    <w:lsdException w:name="Body Text First Indent" w:qFormat="1"/>
    <w:lsdException w:name="Body Text First Indent 2" w:qFormat="1"/>
    <w:lsdException w:name="Body Text 2"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kinsoku w:val="0"/>
      <w:autoSpaceDE w:val="0"/>
      <w:autoSpaceDN w:val="0"/>
      <w:adjustRightInd w:val="0"/>
      <w:snapToGrid w:val="0"/>
      <w:textAlignment w:val="baseline"/>
    </w:pPr>
    <w:rPr>
      <w:rFonts w:ascii="Arial" w:eastAsia="Arial" w:hAnsi="Arial" w:cs="Arial"/>
      <w:snapToGrid w:val="0"/>
      <w:color w:val="000000"/>
      <w:sz w:val="21"/>
      <w:szCs w:val="21"/>
      <w:lang w:eastAsia="en-US"/>
    </w:rPr>
  </w:style>
  <w:style w:type="paragraph" w:styleId="1">
    <w:name w:val="heading 1"/>
    <w:basedOn w:val="a"/>
    <w:next w:val="a"/>
    <w:link w:val="10"/>
    <w:qFormat/>
    <w:pPr>
      <w:spacing w:beforeAutospacing="1" w:afterAutospacing="1"/>
      <w:outlineLvl w:val="0"/>
    </w:pPr>
    <w:rPr>
      <w:rFonts w:ascii="宋体" w:eastAsia="宋体" w:hAnsi="宋体" w:cs="Times New Roman" w:hint="eastAsia"/>
      <w:b/>
      <w:bCs/>
      <w:kern w:val="44"/>
      <w:sz w:val="48"/>
      <w:szCs w:val="48"/>
      <w:lang w:eastAsia="zh-CN"/>
    </w:rPr>
  </w:style>
  <w:style w:type="paragraph" w:styleId="2">
    <w:name w:val="heading 2"/>
    <w:basedOn w:val="a"/>
    <w:next w:val="a"/>
    <w:semiHidden/>
    <w:unhideWhenUsed/>
    <w:qFormat/>
    <w:pPr>
      <w:spacing w:beforeAutospacing="1" w:afterAutospacing="1"/>
      <w:outlineLvl w:val="1"/>
    </w:pPr>
    <w:rPr>
      <w:rFonts w:ascii="宋体" w:eastAsia="宋体" w:hAnsi="宋体" w:cs="Times New Roman" w:hint="eastAsia"/>
      <w:b/>
      <w:bCs/>
      <w:sz w:val="36"/>
      <w:szCs w:val="36"/>
      <w:lang w:eastAsia="zh-CN"/>
    </w:rPr>
  </w:style>
  <w:style w:type="paragraph" w:styleId="3">
    <w:name w:val="heading 3"/>
    <w:basedOn w:val="a"/>
    <w:next w:val="a"/>
    <w:unhideWhenUsed/>
    <w:qFormat/>
    <w:pPr>
      <w:keepNext/>
      <w:keepLines/>
      <w:spacing w:before="260" w:after="260" w:line="413" w:lineRule="auto"/>
      <w:outlineLvl w:val="2"/>
    </w:pPr>
    <w:rPr>
      <w:b/>
      <w:sz w:val="32"/>
    </w:rPr>
  </w:style>
  <w:style w:type="paragraph" w:styleId="4">
    <w:name w:val="heading 4"/>
    <w:basedOn w:val="a"/>
    <w:next w:val="a0"/>
    <w:unhideWhenUsed/>
    <w:qFormat/>
    <w:pPr>
      <w:keepNext/>
      <w:keepLines/>
      <w:spacing w:before="280" w:after="290" w:line="372" w:lineRule="auto"/>
      <w:outlineLvl w:val="3"/>
    </w:pPr>
    <w:rPr>
      <w:rFonts w:eastAsia="黑体"/>
      <w:b/>
      <w:sz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qFormat/>
    <w:pPr>
      <w:ind w:firstLineChars="200" w:firstLine="420"/>
    </w:pPr>
    <w:rPr>
      <w:rFonts w:ascii="Cambria" w:hAnsi="Cambria" w:cs="Cambria"/>
    </w:rPr>
  </w:style>
  <w:style w:type="paragraph" w:styleId="a4">
    <w:name w:val="annotation text"/>
    <w:basedOn w:val="a"/>
    <w:qFormat/>
  </w:style>
  <w:style w:type="paragraph" w:styleId="a5">
    <w:name w:val="Body Text"/>
    <w:basedOn w:val="a"/>
    <w:qFormat/>
  </w:style>
  <w:style w:type="paragraph" w:styleId="a6">
    <w:name w:val="Body Text Indent"/>
    <w:basedOn w:val="a"/>
    <w:next w:val="a7"/>
    <w:qFormat/>
    <w:pPr>
      <w:spacing w:after="120"/>
      <w:ind w:leftChars="200" w:left="420"/>
    </w:pPr>
    <w:rPr>
      <w:rFonts w:ascii="Times New Roman" w:eastAsia="Times New Roman" w:hAnsi="Times New Roman"/>
      <w:sz w:val="20"/>
    </w:rPr>
  </w:style>
  <w:style w:type="paragraph" w:styleId="a7">
    <w:name w:val="envelope return"/>
    <w:basedOn w:val="a"/>
    <w:qFormat/>
  </w:style>
  <w:style w:type="paragraph" w:styleId="TOC3">
    <w:name w:val="toc 3"/>
    <w:basedOn w:val="a"/>
    <w:next w:val="a"/>
    <w:qFormat/>
    <w:pPr>
      <w:ind w:leftChars="400" w:left="840"/>
    </w:pPr>
  </w:style>
  <w:style w:type="paragraph" w:styleId="a8">
    <w:name w:val="footer"/>
    <w:basedOn w:val="a"/>
    <w:qFormat/>
    <w:pPr>
      <w:tabs>
        <w:tab w:val="center" w:pos="4153"/>
        <w:tab w:val="right" w:pos="8306"/>
      </w:tabs>
    </w:pPr>
    <w:rPr>
      <w:sz w:val="18"/>
    </w:rPr>
  </w:style>
  <w:style w:type="paragraph" w:styleId="a9">
    <w:name w:val="header"/>
    <w:basedOn w:val="a"/>
    <w:qFormat/>
    <w:pPr>
      <w:pBdr>
        <w:top w:val="none" w:sz="0" w:space="1" w:color="auto"/>
        <w:left w:val="none" w:sz="0" w:space="4" w:color="auto"/>
        <w:bottom w:val="none" w:sz="0" w:space="1" w:color="auto"/>
        <w:right w:val="none" w:sz="0" w:space="4" w:color="auto"/>
      </w:pBdr>
      <w:tabs>
        <w:tab w:val="center" w:pos="4153"/>
        <w:tab w:val="right" w:pos="8306"/>
      </w:tabs>
      <w:jc w:val="both"/>
    </w:pPr>
    <w:rPr>
      <w:sz w:val="18"/>
    </w:rPr>
  </w:style>
  <w:style w:type="paragraph" w:styleId="TOC1">
    <w:name w:val="toc 1"/>
    <w:basedOn w:val="a"/>
    <w:next w:val="a"/>
    <w:qFormat/>
  </w:style>
  <w:style w:type="paragraph" w:styleId="aa">
    <w:name w:val="index heading"/>
    <w:next w:val="11"/>
    <w:semiHidden/>
    <w:qFormat/>
    <w:pPr>
      <w:widowControl w:val="0"/>
      <w:autoSpaceDE w:val="0"/>
      <w:autoSpaceDN w:val="0"/>
      <w:spacing w:line="360" w:lineRule="auto"/>
      <w:ind w:firstLineChars="200" w:firstLine="720"/>
      <w:jc w:val="both"/>
    </w:pPr>
    <w:rPr>
      <w:rFonts w:ascii="Arial" w:hAnsi="Arial" w:cs="Arial"/>
      <w:b/>
      <w:bCs/>
      <w:kern w:val="2"/>
      <w:sz w:val="21"/>
      <w:szCs w:val="24"/>
    </w:rPr>
  </w:style>
  <w:style w:type="paragraph" w:styleId="11">
    <w:name w:val="index 1"/>
    <w:next w:val="a"/>
    <w:semiHidden/>
    <w:qFormat/>
    <w:pPr>
      <w:widowControl w:val="0"/>
      <w:autoSpaceDE w:val="0"/>
      <w:autoSpaceDN w:val="0"/>
      <w:spacing w:line="360" w:lineRule="auto"/>
      <w:ind w:firstLineChars="200" w:firstLine="720"/>
      <w:jc w:val="both"/>
    </w:pPr>
    <w:rPr>
      <w:kern w:val="2"/>
      <w:sz w:val="21"/>
      <w:szCs w:val="24"/>
    </w:rPr>
  </w:style>
  <w:style w:type="paragraph" w:styleId="TOC2">
    <w:name w:val="toc 2"/>
    <w:basedOn w:val="a"/>
    <w:next w:val="a"/>
    <w:qFormat/>
    <w:pPr>
      <w:ind w:leftChars="200" w:left="420"/>
    </w:pPr>
  </w:style>
  <w:style w:type="paragraph" w:styleId="20">
    <w:name w:val="Body Text 2"/>
    <w:basedOn w:val="a"/>
    <w:qFormat/>
    <w:pPr>
      <w:widowControl w:val="0"/>
      <w:spacing w:before="50" w:after="120" w:line="480" w:lineRule="auto"/>
      <w:ind w:firstLine="482"/>
      <w:jc w:val="both"/>
    </w:pPr>
    <w:rPr>
      <w:rFonts w:ascii="Times New Roman" w:eastAsia="宋体" w:hAnsi="Times New Roman" w:cs="Times New Roman"/>
      <w:kern w:val="2"/>
      <w:sz w:val="24"/>
      <w:lang w:eastAsia="zh-CN"/>
    </w:rPr>
  </w:style>
  <w:style w:type="paragraph" w:styleId="ab">
    <w:name w:val="Normal (Web)"/>
    <w:basedOn w:val="a"/>
    <w:qFormat/>
    <w:pPr>
      <w:spacing w:before="100" w:beforeAutospacing="1" w:after="100" w:afterAutospacing="1"/>
    </w:pPr>
    <w:rPr>
      <w:rFonts w:cs="Times New Roman"/>
      <w:sz w:val="24"/>
      <w:lang w:eastAsia="zh-CN"/>
    </w:rPr>
  </w:style>
  <w:style w:type="paragraph" w:styleId="ac">
    <w:name w:val="Body Text First Indent"/>
    <w:basedOn w:val="a5"/>
    <w:qFormat/>
    <w:pPr>
      <w:ind w:firstLineChars="100" w:firstLine="420"/>
    </w:pPr>
  </w:style>
  <w:style w:type="paragraph" w:styleId="21">
    <w:name w:val="Body Text First Indent 2"/>
    <w:basedOn w:val="a6"/>
    <w:qFormat/>
    <w:pPr>
      <w:ind w:firstLineChars="200" w:firstLine="420"/>
    </w:pPr>
    <w:rPr>
      <w:rFonts w:ascii="Calibri" w:hAnsi="Calibri" w:cs="Times New Roman"/>
    </w:rPr>
  </w:style>
  <w:style w:type="table" w:styleId="ad">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trong"/>
    <w:basedOn w:val="a1"/>
    <w:qFormat/>
    <w:rPr>
      <w:b/>
    </w:rPr>
  </w:style>
  <w:style w:type="character" w:styleId="af">
    <w:name w:val="Hyperlink"/>
    <w:basedOn w:val="a1"/>
    <w:qFormat/>
    <w:rPr>
      <w:color w:val="0000FF"/>
      <w:u w:val="single"/>
    </w:rPr>
  </w:style>
  <w:style w:type="table" w:customStyle="1" w:styleId="TableNormal">
    <w:name w:val="Table Normal"/>
    <w:semiHidden/>
    <w:unhideWhenUsed/>
    <w:qFormat/>
    <w:tblPr>
      <w:tblCellMar>
        <w:top w:w="0" w:type="dxa"/>
        <w:left w:w="0" w:type="dxa"/>
        <w:bottom w:w="0" w:type="dxa"/>
        <w:right w:w="0" w:type="dxa"/>
      </w:tblCellMar>
    </w:tblPr>
  </w:style>
  <w:style w:type="paragraph" w:customStyle="1" w:styleId="TableText">
    <w:name w:val="Table Text"/>
    <w:basedOn w:val="a"/>
    <w:semiHidden/>
    <w:qFormat/>
    <w:rPr>
      <w:rFonts w:ascii="宋体" w:eastAsia="宋体" w:hAnsi="宋体" w:cs="宋体"/>
      <w:sz w:val="24"/>
      <w:szCs w:val="24"/>
    </w:rPr>
  </w:style>
  <w:style w:type="paragraph" w:customStyle="1" w:styleId="22">
    <w:name w:val="样式 正文缩进正文（首行缩进两字） + 首行缩进:  2 字符"/>
    <w:qFormat/>
    <w:pPr>
      <w:spacing w:line="360" w:lineRule="auto"/>
      <w:ind w:firstLine="561"/>
    </w:pPr>
    <w:rPr>
      <w:kern w:val="2"/>
      <w:sz w:val="24"/>
      <w:szCs w:val="24"/>
    </w:rPr>
  </w:style>
  <w:style w:type="table" w:customStyle="1" w:styleId="25">
    <w:name w:val="网格型25"/>
    <w:basedOn w:val="a2"/>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0">
    <w:name w:val="我的正文"/>
    <w:qFormat/>
    <w:pPr>
      <w:widowControl w:val="0"/>
      <w:autoSpaceDE w:val="0"/>
      <w:autoSpaceDN w:val="0"/>
      <w:spacing w:line="360" w:lineRule="auto"/>
      <w:ind w:firstLineChars="200" w:firstLine="480"/>
      <w:jc w:val="both"/>
    </w:pPr>
    <w:rPr>
      <w:rFonts w:ascii="宋体" w:hAnsi="宋体"/>
      <w:color w:val="000000"/>
      <w:sz w:val="24"/>
    </w:rPr>
  </w:style>
  <w:style w:type="paragraph" w:customStyle="1" w:styleId="af1">
    <w:name w:val="表格内容"/>
    <w:qFormat/>
    <w:pPr>
      <w:adjustRightInd w:val="0"/>
      <w:snapToGrid w:val="0"/>
      <w:jc w:val="center"/>
      <w:textAlignment w:val="center"/>
    </w:pPr>
    <w:rPr>
      <w:kern w:val="2"/>
      <w:sz w:val="21"/>
      <w:szCs w:val="21"/>
    </w:rPr>
  </w:style>
  <w:style w:type="paragraph" w:customStyle="1" w:styleId="Default">
    <w:name w:val="Default"/>
    <w:qFormat/>
    <w:pPr>
      <w:widowControl w:val="0"/>
      <w:autoSpaceDE w:val="0"/>
      <w:autoSpaceDN w:val="0"/>
      <w:adjustRightInd w:val="0"/>
      <w:spacing w:line="360" w:lineRule="auto"/>
      <w:ind w:firstLineChars="200" w:firstLine="720"/>
      <w:jc w:val="both"/>
    </w:pPr>
    <w:rPr>
      <w:rFonts w:ascii="黑体" w:hAnsi="Calibri"/>
      <w:b/>
      <w:color w:val="000000"/>
      <w:kern w:val="2"/>
      <w:sz w:val="24"/>
      <w:szCs w:val="22"/>
    </w:rPr>
  </w:style>
  <w:style w:type="paragraph" w:customStyle="1" w:styleId="12">
    <w:name w:val="样式1"/>
    <w:next w:val="a"/>
    <w:qFormat/>
    <w:pPr>
      <w:widowControl w:val="0"/>
      <w:autoSpaceDE w:val="0"/>
      <w:autoSpaceDN w:val="0"/>
      <w:snapToGrid w:val="0"/>
      <w:spacing w:line="360" w:lineRule="auto"/>
      <w:ind w:firstLineChars="200" w:firstLine="720"/>
      <w:jc w:val="center"/>
    </w:pPr>
    <w:rPr>
      <w:rFonts w:ascii="宋体" w:hAnsi="Arial" w:cs="Arial"/>
      <w:b/>
      <w:bCs/>
      <w:kern w:val="2"/>
      <w:sz w:val="21"/>
    </w:rPr>
  </w:style>
  <w:style w:type="paragraph" w:customStyle="1" w:styleId="13">
    <w:name w:val="纯文本1"/>
    <w:qFormat/>
    <w:pPr>
      <w:widowControl w:val="0"/>
      <w:autoSpaceDE w:val="0"/>
      <w:autoSpaceDN w:val="0"/>
      <w:spacing w:line="360" w:lineRule="auto"/>
      <w:ind w:firstLineChars="200" w:firstLine="720"/>
      <w:jc w:val="both"/>
    </w:pPr>
    <w:rPr>
      <w:rFonts w:ascii="宋体" w:hAnsi="Courier New"/>
      <w:b/>
      <w:kern w:val="2"/>
      <w:sz w:val="24"/>
      <w:szCs w:val="24"/>
    </w:rPr>
  </w:style>
  <w:style w:type="paragraph" w:customStyle="1" w:styleId="af2">
    <w:name w:val="图表名"/>
    <w:qFormat/>
    <w:pPr>
      <w:widowControl w:val="0"/>
      <w:autoSpaceDE w:val="0"/>
      <w:autoSpaceDN w:val="0"/>
      <w:adjustRightInd w:val="0"/>
      <w:snapToGrid w:val="0"/>
      <w:spacing w:beforeLines="30" w:line="360" w:lineRule="auto"/>
      <w:ind w:firstLineChars="200" w:firstLine="720"/>
      <w:jc w:val="center"/>
    </w:pPr>
    <w:rPr>
      <w:rFonts w:ascii="宋体" w:hAnsi="Courier New"/>
      <w:bCs/>
      <w:sz w:val="24"/>
      <w:szCs w:val="28"/>
    </w:rPr>
  </w:style>
  <w:style w:type="paragraph" w:customStyle="1" w:styleId="-">
    <w:name w:val="报告-正文"/>
    <w:basedOn w:val="a"/>
    <w:qFormat/>
    <w:pPr>
      <w:adjustRightInd/>
    </w:pPr>
    <w:rPr>
      <w:bCs/>
      <w:szCs w:val="28"/>
      <w:lang w:val="zh-CN"/>
    </w:rPr>
  </w:style>
  <w:style w:type="paragraph" w:customStyle="1" w:styleId="TableParagraph">
    <w:name w:val="Table Paragraph"/>
    <w:basedOn w:val="a"/>
    <w:uiPriority w:val="1"/>
    <w:qFormat/>
  </w:style>
  <w:style w:type="character" w:customStyle="1" w:styleId="10">
    <w:name w:val="标题 1 字符"/>
    <w:link w:val="1"/>
    <w:qFormat/>
    <w:rPr>
      <w:rFonts w:ascii="宋体" w:eastAsia="宋体" w:hAnsi="宋体" w:cs="宋体" w:hint="eastAsia"/>
      <w:b/>
      <w:bCs/>
      <w:kern w:val="44"/>
      <w:sz w:val="48"/>
      <w:szCs w:val="48"/>
      <w:lang w:val="en-US" w:eastAsia="zh-CN" w:bidi="ar"/>
    </w:rPr>
  </w:style>
  <w:style w:type="paragraph" w:customStyle="1" w:styleId="Style13">
    <w:name w:val="_Style 13"/>
    <w:qFormat/>
    <w:pPr>
      <w:spacing w:before="120" w:after="120" w:line="288" w:lineRule="auto"/>
    </w:pPr>
    <w:rPr>
      <w:rFonts w:ascii="Arial" w:eastAsia="等线" w:hAnsi="Arial" w:cs="Arial"/>
      <w:sz w:val="22"/>
      <w:szCs w:val="22"/>
    </w:rPr>
  </w:style>
  <w:style w:type="character" w:customStyle="1" w:styleId="font21">
    <w:name w:val="font21"/>
    <w:basedOn w:val="a1"/>
    <w:qFormat/>
    <w:rPr>
      <w:rFonts w:ascii="Times New Roman" w:hAnsi="Times New Roman" w:cs="Times New Roman" w:hint="default"/>
      <w:color w:val="FF0000"/>
      <w:sz w:val="16"/>
      <w:szCs w:val="16"/>
      <w:u w:val="none"/>
    </w:rPr>
  </w:style>
  <w:style w:type="character" w:customStyle="1" w:styleId="font11">
    <w:name w:val="font11"/>
    <w:basedOn w:val="a1"/>
    <w:qFormat/>
    <w:rPr>
      <w:rFonts w:ascii="宋体" w:eastAsia="宋体" w:hAnsi="宋体" w:cs="宋体" w:hint="eastAsia"/>
      <w:color w:val="FF0000"/>
      <w:sz w:val="16"/>
      <w:szCs w:val="16"/>
      <w:u w:val="none"/>
    </w:rPr>
  </w:style>
  <w:style w:type="paragraph" w:customStyle="1" w:styleId="-3">
    <w:name w:val="报告-3级标题"/>
    <w:basedOn w:val="3"/>
    <w:uiPriority w:val="99"/>
    <w:qFormat/>
    <w:pPr>
      <w:tabs>
        <w:tab w:val="left" w:pos="0"/>
      </w:tabs>
      <w:suppressAutoHyphens/>
    </w:pPr>
  </w:style>
  <w:style w:type="paragraph" w:customStyle="1" w:styleId="b">
    <w:name w:val="b可研正文"/>
    <w:basedOn w:val="a"/>
    <w:qFormat/>
    <w:pPr>
      <w:adjustRightInd/>
      <w:ind w:firstLine="560"/>
    </w:pPr>
    <w:rPr>
      <w:szCs w:val="20"/>
    </w:rPr>
  </w:style>
  <w:style w:type="paragraph" w:customStyle="1" w:styleId="af3">
    <w:name w:val="施组正文"/>
    <w:basedOn w:val="a"/>
    <w:autoRedefine/>
    <w:uiPriority w:val="99"/>
    <w:qFormat/>
    <w:pPr>
      <w:suppressAutoHyphens/>
      <w:ind w:firstLineChars="200" w:firstLine="200"/>
    </w:pPr>
  </w:style>
  <w:style w:type="paragraph" w:customStyle="1" w:styleId="af4">
    <w:name w:val="表格（居中）字体"/>
    <w:basedOn w:val="a"/>
    <w:next w:val="af3"/>
    <w:autoRedefine/>
    <w:uiPriority w:val="99"/>
    <w:qFormat/>
    <w:pPr>
      <w:jc w:val="center"/>
    </w:pPr>
    <w:rPr>
      <w:rFonts w:eastAsia="宋体" w:cs="宋体"/>
    </w:rPr>
  </w:style>
  <w:style w:type="paragraph" w:customStyle="1" w:styleId="af5">
    <w:name w:val="图表标题"/>
    <w:basedOn w:val="a"/>
    <w:next w:val="af3"/>
    <w:autoRedefine/>
    <w:uiPriority w:val="99"/>
    <w:qFormat/>
    <w:pPr>
      <w:jc w:val="center"/>
    </w:pPr>
    <w:rPr>
      <w:b/>
      <w:color w:val="3333FF"/>
    </w:rPr>
  </w:style>
  <w:style w:type="paragraph" w:customStyle="1" w:styleId="TECHNICALINFO">
    <w:name w:val="TECHNICAL INFO"/>
    <w:basedOn w:val="a"/>
    <w:qFormat/>
    <w:rPr>
      <w:sz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oleObject" Target="embeddings/oleObject10.bin"/><Relationship Id="rId299" Type="http://schemas.openxmlformats.org/officeDocument/2006/relationships/image" Target="media/image203.jpeg"/><Relationship Id="rId21" Type="http://schemas.openxmlformats.org/officeDocument/2006/relationships/image" Target="media/image5.png"/><Relationship Id="rId63" Type="http://schemas.openxmlformats.org/officeDocument/2006/relationships/hyperlink" Target="3.2.4.2" TargetMode="External"/><Relationship Id="rId159" Type="http://schemas.openxmlformats.org/officeDocument/2006/relationships/oleObject" Target="embeddings/oleObject21.bin"/><Relationship Id="rId170" Type="http://schemas.openxmlformats.org/officeDocument/2006/relationships/image" Target="media/image117.wmf"/><Relationship Id="rId226" Type="http://schemas.openxmlformats.org/officeDocument/2006/relationships/image" Target="media/image151.emf"/><Relationship Id="rId268" Type="http://schemas.openxmlformats.org/officeDocument/2006/relationships/image" Target="media/image184.png"/><Relationship Id="rId32" Type="http://schemas.openxmlformats.org/officeDocument/2006/relationships/image" Target="media/image14.png"/><Relationship Id="rId74" Type="http://schemas.openxmlformats.org/officeDocument/2006/relationships/image" Target="media/image47.png"/><Relationship Id="rId128" Type="http://schemas.openxmlformats.org/officeDocument/2006/relationships/image" Target="media/image85.wmf"/><Relationship Id="rId5" Type="http://schemas.openxmlformats.org/officeDocument/2006/relationships/webSettings" Target="webSettings.xml"/><Relationship Id="rId181" Type="http://schemas.openxmlformats.org/officeDocument/2006/relationships/image" Target="media/image123.wmf"/><Relationship Id="rId237" Type="http://schemas.openxmlformats.org/officeDocument/2006/relationships/image" Target="media/image162.emf"/><Relationship Id="rId279" Type="http://schemas.openxmlformats.org/officeDocument/2006/relationships/image" Target="media/image191.jpeg"/><Relationship Id="rId43" Type="http://schemas.openxmlformats.org/officeDocument/2006/relationships/image" Target="media/image24.png"/><Relationship Id="rId139" Type="http://schemas.openxmlformats.org/officeDocument/2006/relationships/image" Target="media/image91.emf"/><Relationship Id="rId290" Type="http://schemas.openxmlformats.org/officeDocument/2006/relationships/footer" Target="footer20.xml"/><Relationship Id="rId304" Type="http://schemas.openxmlformats.org/officeDocument/2006/relationships/image" Target="media/image206.jpeg"/><Relationship Id="rId85" Type="http://schemas.openxmlformats.org/officeDocument/2006/relationships/image" Target="media/image58.png"/><Relationship Id="rId150" Type="http://schemas.openxmlformats.org/officeDocument/2006/relationships/image" Target="media/image102.emf"/><Relationship Id="rId192" Type="http://schemas.openxmlformats.org/officeDocument/2006/relationships/oleObject" Target="embeddings/oleObject37.bin"/><Relationship Id="rId206" Type="http://schemas.openxmlformats.org/officeDocument/2006/relationships/oleObject" Target="embeddings/oleObject44.bin"/><Relationship Id="rId248" Type="http://schemas.openxmlformats.org/officeDocument/2006/relationships/image" Target="media/image171.png"/><Relationship Id="rId12" Type="http://schemas.openxmlformats.org/officeDocument/2006/relationships/image" Target="media/image1.jpeg"/><Relationship Id="rId108" Type="http://schemas.openxmlformats.org/officeDocument/2006/relationships/image" Target="media/image75.wmf"/><Relationship Id="rId54" Type="http://schemas.openxmlformats.org/officeDocument/2006/relationships/image" Target="media/image32.tiff"/><Relationship Id="rId96" Type="http://schemas.openxmlformats.org/officeDocument/2006/relationships/image" Target="media/image67.wmf"/><Relationship Id="rId161" Type="http://schemas.openxmlformats.org/officeDocument/2006/relationships/oleObject" Target="embeddings/oleObject22.bin"/><Relationship Id="rId217" Type="http://schemas.openxmlformats.org/officeDocument/2006/relationships/image" Target="media/image142.jpeg"/><Relationship Id="rId259" Type="http://schemas.openxmlformats.org/officeDocument/2006/relationships/image" Target="media/image176.jpeg"/><Relationship Id="rId23" Type="http://schemas.openxmlformats.org/officeDocument/2006/relationships/image" Target="media/image6.png"/><Relationship Id="rId119" Type="http://schemas.openxmlformats.org/officeDocument/2006/relationships/oleObject" Target="embeddings/oleObject11.bin"/><Relationship Id="rId270" Type="http://schemas.openxmlformats.org/officeDocument/2006/relationships/image" Target="media/image186.png"/><Relationship Id="rId44" Type="http://schemas.openxmlformats.org/officeDocument/2006/relationships/image" Target="media/image25.png"/><Relationship Id="rId65" Type="http://schemas.openxmlformats.org/officeDocument/2006/relationships/image" Target="media/image38.png"/><Relationship Id="rId86" Type="http://schemas.openxmlformats.org/officeDocument/2006/relationships/image" Target="media/image59.png"/><Relationship Id="rId130" Type="http://schemas.openxmlformats.org/officeDocument/2006/relationships/image" Target="media/image86.wmf"/><Relationship Id="rId151" Type="http://schemas.openxmlformats.org/officeDocument/2006/relationships/image" Target="media/image103.emf"/><Relationship Id="rId172" Type="http://schemas.openxmlformats.org/officeDocument/2006/relationships/image" Target="media/image118.wmf"/><Relationship Id="rId193" Type="http://schemas.openxmlformats.org/officeDocument/2006/relationships/image" Target="media/image128.wmf"/><Relationship Id="rId207" Type="http://schemas.openxmlformats.org/officeDocument/2006/relationships/image" Target="media/image135.wmf"/><Relationship Id="rId228" Type="http://schemas.openxmlformats.org/officeDocument/2006/relationships/image" Target="media/image153.emf"/><Relationship Id="rId249" Type="http://schemas.openxmlformats.org/officeDocument/2006/relationships/image" Target="media/image172.png"/><Relationship Id="rId13" Type="http://schemas.openxmlformats.org/officeDocument/2006/relationships/hyperlink" Target="https://std.samr.gov.cn/gb/search/gbDetailed?id=8531C702DBBF6551E05397BE0A0ACD16" TargetMode="External"/><Relationship Id="rId109" Type="http://schemas.openxmlformats.org/officeDocument/2006/relationships/oleObject" Target="embeddings/oleObject6.bin"/><Relationship Id="rId260" Type="http://schemas.openxmlformats.org/officeDocument/2006/relationships/image" Target="media/image177.jpeg"/><Relationship Id="rId281" Type="http://schemas.openxmlformats.org/officeDocument/2006/relationships/image" Target="media/image193.png"/><Relationship Id="rId34" Type="http://schemas.openxmlformats.org/officeDocument/2006/relationships/image" Target="media/image16.png"/><Relationship Id="rId55" Type="http://schemas.openxmlformats.org/officeDocument/2006/relationships/image" Target="media/image33.tiff"/><Relationship Id="rId76" Type="http://schemas.openxmlformats.org/officeDocument/2006/relationships/image" Target="media/image49.png"/><Relationship Id="rId97" Type="http://schemas.openxmlformats.org/officeDocument/2006/relationships/image" Target="media/image68.wmf"/><Relationship Id="rId120" Type="http://schemas.openxmlformats.org/officeDocument/2006/relationships/image" Target="media/image81.wmf"/><Relationship Id="rId141" Type="http://schemas.openxmlformats.org/officeDocument/2006/relationships/image" Target="media/image93.jpeg"/><Relationship Id="rId7" Type="http://schemas.openxmlformats.org/officeDocument/2006/relationships/endnotes" Target="endnotes.xml"/><Relationship Id="rId162" Type="http://schemas.openxmlformats.org/officeDocument/2006/relationships/image" Target="media/image112.wmf"/><Relationship Id="rId183" Type="http://schemas.openxmlformats.org/officeDocument/2006/relationships/image" Target="media/image124.wmf"/><Relationship Id="rId218" Type="http://schemas.openxmlformats.org/officeDocument/2006/relationships/image" Target="media/image143.jpeg"/><Relationship Id="rId239" Type="http://schemas.openxmlformats.org/officeDocument/2006/relationships/image" Target="media/image164.emf"/><Relationship Id="rId250" Type="http://schemas.openxmlformats.org/officeDocument/2006/relationships/hyperlink" Target="4.2.2.1" TargetMode="External"/><Relationship Id="rId271" Type="http://schemas.openxmlformats.org/officeDocument/2006/relationships/image" Target="media/image187.png"/><Relationship Id="rId292" Type="http://schemas.openxmlformats.org/officeDocument/2006/relationships/footer" Target="footer21.xml"/><Relationship Id="rId306" Type="http://schemas.openxmlformats.org/officeDocument/2006/relationships/footer" Target="footer24.xml"/><Relationship Id="rId24" Type="http://schemas.openxmlformats.org/officeDocument/2006/relationships/image" Target="media/image7.jpeg"/><Relationship Id="rId45" Type="http://schemas.openxmlformats.org/officeDocument/2006/relationships/image" Target="media/image26.jpeg"/><Relationship Id="rId66" Type="http://schemas.openxmlformats.org/officeDocument/2006/relationships/image" Target="media/image39.png"/><Relationship Id="rId87" Type="http://schemas.openxmlformats.org/officeDocument/2006/relationships/footer" Target="footer10.xml"/><Relationship Id="rId110" Type="http://schemas.openxmlformats.org/officeDocument/2006/relationships/image" Target="media/image76.wmf"/><Relationship Id="rId131" Type="http://schemas.openxmlformats.org/officeDocument/2006/relationships/oleObject" Target="embeddings/oleObject17.bin"/><Relationship Id="rId152" Type="http://schemas.openxmlformats.org/officeDocument/2006/relationships/image" Target="media/image104.emf"/><Relationship Id="rId173" Type="http://schemas.openxmlformats.org/officeDocument/2006/relationships/oleObject" Target="embeddings/oleObject27.bin"/><Relationship Id="rId194" Type="http://schemas.openxmlformats.org/officeDocument/2006/relationships/oleObject" Target="embeddings/oleObject38.bin"/><Relationship Id="rId208" Type="http://schemas.openxmlformats.org/officeDocument/2006/relationships/oleObject" Target="embeddings/oleObject45.bin"/><Relationship Id="rId229" Type="http://schemas.openxmlformats.org/officeDocument/2006/relationships/image" Target="media/image154.emf"/><Relationship Id="rId240" Type="http://schemas.openxmlformats.org/officeDocument/2006/relationships/image" Target="media/image165.png"/><Relationship Id="rId261" Type="http://schemas.openxmlformats.org/officeDocument/2006/relationships/image" Target="media/image178.jpeg"/><Relationship Id="rId14" Type="http://schemas.openxmlformats.org/officeDocument/2006/relationships/hyperlink" Target="https://std.samr.gov.cn/gb/search/gbDetailed?id=8531C702DBBF6551E05397BE0A0ACD16" TargetMode="External"/><Relationship Id="rId35" Type="http://schemas.openxmlformats.org/officeDocument/2006/relationships/footer" Target="footer8.xml"/><Relationship Id="rId56" Type="http://schemas.openxmlformats.org/officeDocument/2006/relationships/image" Target="media/image34.tiff"/><Relationship Id="rId77" Type="http://schemas.openxmlformats.org/officeDocument/2006/relationships/image" Target="media/image50.png"/><Relationship Id="rId100" Type="http://schemas.openxmlformats.org/officeDocument/2006/relationships/image" Target="media/image71.wmf"/><Relationship Id="rId282" Type="http://schemas.openxmlformats.org/officeDocument/2006/relationships/image" Target="media/image194.jpeg"/><Relationship Id="rId8" Type="http://schemas.openxmlformats.org/officeDocument/2006/relationships/footer" Target="footer1.xml"/><Relationship Id="rId98" Type="http://schemas.openxmlformats.org/officeDocument/2006/relationships/image" Target="media/image69.wmf"/><Relationship Id="rId121" Type="http://schemas.openxmlformats.org/officeDocument/2006/relationships/oleObject" Target="embeddings/oleObject12.bin"/><Relationship Id="rId142" Type="http://schemas.openxmlformats.org/officeDocument/2006/relationships/image" Target="media/image94.emf"/><Relationship Id="rId163" Type="http://schemas.openxmlformats.org/officeDocument/2006/relationships/image" Target="media/image113.wmf"/><Relationship Id="rId184" Type="http://schemas.openxmlformats.org/officeDocument/2006/relationships/oleObject" Target="embeddings/oleObject32.bin"/><Relationship Id="rId219" Type="http://schemas.openxmlformats.org/officeDocument/2006/relationships/image" Target="media/image144.jpeg"/><Relationship Id="rId230" Type="http://schemas.openxmlformats.org/officeDocument/2006/relationships/image" Target="media/image155.emf"/><Relationship Id="rId251" Type="http://schemas.openxmlformats.org/officeDocument/2006/relationships/hyperlink" Target="4.2.2.2" TargetMode="External"/><Relationship Id="rId25" Type="http://schemas.openxmlformats.org/officeDocument/2006/relationships/image" Target="media/image8.png"/><Relationship Id="rId46" Type="http://schemas.openxmlformats.org/officeDocument/2006/relationships/image" Target="media/image27.png"/><Relationship Id="rId67" Type="http://schemas.openxmlformats.org/officeDocument/2006/relationships/image" Target="media/image40.png"/><Relationship Id="rId272" Type="http://schemas.openxmlformats.org/officeDocument/2006/relationships/image" Target="media/image188.jpeg"/><Relationship Id="rId293" Type="http://schemas.openxmlformats.org/officeDocument/2006/relationships/image" Target="media/image197.jpeg"/><Relationship Id="rId307" Type="http://schemas.openxmlformats.org/officeDocument/2006/relationships/footer" Target="footer25.xml"/><Relationship Id="rId88" Type="http://schemas.openxmlformats.org/officeDocument/2006/relationships/image" Target="media/image60.jpeg"/><Relationship Id="rId111" Type="http://schemas.openxmlformats.org/officeDocument/2006/relationships/oleObject" Target="embeddings/oleObject7.bin"/><Relationship Id="rId132" Type="http://schemas.openxmlformats.org/officeDocument/2006/relationships/image" Target="media/image87.wmf"/><Relationship Id="rId153" Type="http://schemas.openxmlformats.org/officeDocument/2006/relationships/image" Target="media/image105.emf"/><Relationship Id="rId174" Type="http://schemas.openxmlformats.org/officeDocument/2006/relationships/image" Target="media/image119.wmf"/><Relationship Id="rId195" Type="http://schemas.openxmlformats.org/officeDocument/2006/relationships/image" Target="media/image129.wmf"/><Relationship Id="rId209" Type="http://schemas.openxmlformats.org/officeDocument/2006/relationships/image" Target="media/image136.wmf"/><Relationship Id="rId220" Type="http://schemas.openxmlformats.org/officeDocument/2006/relationships/image" Target="media/image145.emf"/><Relationship Id="rId241" Type="http://schemas.openxmlformats.org/officeDocument/2006/relationships/image" Target="media/image166.wmf"/><Relationship Id="rId15" Type="http://schemas.openxmlformats.org/officeDocument/2006/relationships/hyperlink" Target="https://baike.baidu.com/item/%E6%B5%B7%E5%8D%97%E7%9C%81%E4%BA%BA%E6%B0%91%E6%94%BF%E5%BA%9C/2441288?fromModule=lemma_inlink" TargetMode="External"/><Relationship Id="rId36" Type="http://schemas.openxmlformats.org/officeDocument/2006/relationships/image" Target="media/image17.png"/><Relationship Id="rId57" Type="http://schemas.openxmlformats.org/officeDocument/2006/relationships/image" Target="media/image35.tiff"/><Relationship Id="rId262" Type="http://schemas.openxmlformats.org/officeDocument/2006/relationships/image" Target="media/image179.jpeg"/><Relationship Id="rId283" Type="http://schemas.openxmlformats.org/officeDocument/2006/relationships/footer" Target="footer19.xml"/><Relationship Id="rId78" Type="http://schemas.openxmlformats.org/officeDocument/2006/relationships/image" Target="media/image51.png"/><Relationship Id="rId99" Type="http://schemas.openxmlformats.org/officeDocument/2006/relationships/image" Target="media/image70.wmf"/><Relationship Id="rId101" Type="http://schemas.openxmlformats.org/officeDocument/2006/relationships/oleObject" Target="embeddings/oleObject2.bin"/><Relationship Id="rId122" Type="http://schemas.openxmlformats.org/officeDocument/2006/relationships/image" Target="media/image82.wmf"/><Relationship Id="rId143" Type="http://schemas.openxmlformats.org/officeDocument/2006/relationships/image" Target="media/image95.emf"/><Relationship Id="rId164" Type="http://schemas.openxmlformats.org/officeDocument/2006/relationships/oleObject" Target="embeddings/oleObject23.bin"/><Relationship Id="rId185" Type="http://schemas.openxmlformats.org/officeDocument/2006/relationships/image" Target="media/image125.wmf"/><Relationship Id="rId9" Type="http://schemas.openxmlformats.org/officeDocument/2006/relationships/header" Target="header1.xml"/><Relationship Id="rId210" Type="http://schemas.openxmlformats.org/officeDocument/2006/relationships/oleObject" Target="embeddings/oleObject46.bin"/><Relationship Id="rId26" Type="http://schemas.openxmlformats.org/officeDocument/2006/relationships/footer" Target="footer7.xml"/><Relationship Id="rId231" Type="http://schemas.openxmlformats.org/officeDocument/2006/relationships/image" Target="media/image156.emf"/><Relationship Id="rId252" Type="http://schemas.openxmlformats.org/officeDocument/2006/relationships/hyperlink" Target="4.2.2.2" TargetMode="External"/><Relationship Id="rId273" Type="http://schemas.openxmlformats.org/officeDocument/2006/relationships/image" Target="media/image189.jpeg"/><Relationship Id="rId294" Type="http://schemas.openxmlformats.org/officeDocument/2006/relationships/image" Target="media/image198.jpeg"/><Relationship Id="rId308" Type="http://schemas.openxmlformats.org/officeDocument/2006/relationships/fontTable" Target="fontTable.xml"/><Relationship Id="rId47" Type="http://schemas.openxmlformats.org/officeDocument/2006/relationships/hyperlink" Target="3.2.2.2" TargetMode="External"/><Relationship Id="rId68" Type="http://schemas.openxmlformats.org/officeDocument/2006/relationships/image" Target="media/image41.png"/><Relationship Id="rId89" Type="http://schemas.openxmlformats.org/officeDocument/2006/relationships/image" Target="media/image61.jpeg"/><Relationship Id="rId112" Type="http://schemas.openxmlformats.org/officeDocument/2006/relationships/image" Target="media/image77.wmf"/><Relationship Id="rId133" Type="http://schemas.openxmlformats.org/officeDocument/2006/relationships/oleObject" Target="embeddings/oleObject18.bin"/><Relationship Id="rId154" Type="http://schemas.openxmlformats.org/officeDocument/2006/relationships/image" Target="media/image106.emf"/><Relationship Id="rId175" Type="http://schemas.openxmlformats.org/officeDocument/2006/relationships/oleObject" Target="embeddings/oleObject28.bin"/><Relationship Id="rId196" Type="http://schemas.openxmlformats.org/officeDocument/2006/relationships/oleObject" Target="embeddings/oleObject39.bin"/><Relationship Id="rId200" Type="http://schemas.openxmlformats.org/officeDocument/2006/relationships/oleObject" Target="embeddings/oleObject41.bin"/><Relationship Id="rId16" Type="http://schemas.openxmlformats.org/officeDocument/2006/relationships/image" Target="media/image2.jpeg"/><Relationship Id="rId221" Type="http://schemas.openxmlformats.org/officeDocument/2006/relationships/image" Target="media/image146.emf"/><Relationship Id="rId242" Type="http://schemas.openxmlformats.org/officeDocument/2006/relationships/oleObject" Target="embeddings/oleObject48.bin"/><Relationship Id="rId263" Type="http://schemas.openxmlformats.org/officeDocument/2006/relationships/image" Target="media/image180.png"/><Relationship Id="rId284" Type="http://schemas.openxmlformats.org/officeDocument/2006/relationships/hyperlink" Target="7.1.1.1" TargetMode="External"/><Relationship Id="rId37" Type="http://schemas.openxmlformats.org/officeDocument/2006/relationships/image" Target="media/image18.png"/><Relationship Id="rId58" Type="http://schemas.openxmlformats.org/officeDocument/2006/relationships/hyperlink" Target="3.2.2.6" TargetMode="External"/><Relationship Id="rId79" Type="http://schemas.openxmlformats.org/officeDocument/2006/relationships/image" Target="media/image52.jpeg"/><Relationship Id="rId102" Type="http://schemas.openxmlformats.org/officeDocument/2006/relationships/image" Target="media/image72.wmf"/><Relationship Id="rId123" Type="http://schemas.openxmlformats.org/officeDocument/2006/relationships/oleObject" Target="embeddings/oleObject13.bin"/><Relationship Id="rId144" Type="http://schemas.openxmlformats.org/officeDocument/2006/relationships/image" Target="media/image96.emf"/><Relationship Id="rId90" Type="http://schemas.openxmlformats.org/officeDocument/2006/relationships/image" Target="media/image62.wmf"/><Relationship Id="rId165" Type="http://schemas.openxmlformats.org/officeDocument/2006/relationships/image" Target="media/image114.wmf"/><Relationship Id="rId186" Type="http://schemas.openxmlformats.org/officeDocument/2006/relationships/oleObject" Target="embeddings/oleObject33.bin"/><Relationship Id="rId211" Type="http://schemas.openxmlformats.org/officeDocument/2006/relationships/image" Target="media/image137.wmf"/><Relationship Id="rId232" Type="http://schemas.openxmlformats.org/officeDocument/2006/relationships/image" Target="media/image157.emf"/><Relationship Id="rId253" Type="http://schemas.openxmlformats.org/officeDocument/2006/relationships/footer" Target="footer11.xml"/><Relationship Id="rId274" Type="http://schemas.openxmlformats.org/officeDocument/2006/relationships/image" Target="media/image190.png"/><Relationship Id="rId295" Type="http://schemas.openxmlformats.org/officeDocument/2006/relationships/image" Target="media/image199.jpeg"/><Relationship Id="rId309" Type="http://schemas.openxmlformats.org/officeDocument/2006/relationships/theme" Target="theme/theme1.xml"/><Relationship Id="rId27" Type="http://schemas.openxmlformats.org/officeDocument/2006/relationships/image" Target="media/image9.png"/><Relationship Id="rId48" Type="http://schemas.openxmlformats.org/officeDocument/2006/relationships/hyperlink" Target="3.2.2.4" TargetMode="External"/><Relationship Id="rId69" Type="http://schemas.openxmlformats.org/officeDocument/2006/relationships/image" Target="media/image42.png"/><Relationship Id="rId113" Type="http://schemas.openxmlformats.org/officeDocument/2006/relationships/oleObject" Target="embeddings/oleObject8.bin"/><Relationship Id="rId134" Type="http://schemas.openxmlformats.org/officeDocument/2006/relationships/image" Target="media/image88.wmf"/><Relationship Id="rId80" Type="http://schemas.openxmlformats.org/officeDocument/2006/relationships/image" Target="media/image53.png"/><Relationship Id="rId155" Type="http://schemas.openxmlformats.org/officeDocument/2006/relationships/image" Target="media/image107.emf"/><Relationship Id="rId176" Type="http://schemas.openxmlformats.org/officeDocument/2006/relationships/image" Target="media/image120.wmf"/><Relationship Id="rId197" Type="http://schemas.openxmlformats.org/officeDocument/2006/relationships/image" Target="media/image130.wmf"/><Relationship Id="rId201" Type="http://schemas.openxmlformats.org/officeDocument/2006/relationships/image" Target="media/image132.wmf"/><Relationship Id="rId222" Type="http://schemas.openxmlformats.org/officeDocument/2006/relationships/image" Target="media/image147.emf"/><Relationship Id="rId243" Type="http://schemas.openxmlformats.org/officeDocument/2006/relationships/image" Target="media/image167.wmf"/><Relationship Id="rId264" Type="http://schemas.openxmlformats.org/officeDocument/2006/relationships/footer" Target="footer14.xml"/><Relationship Id="rId285" Type="http://schemas.openxmlformats.org/officeDocument/2006/relationships/hyperlink" Target="7.1.1.2" TargetMode="External"/><Relationship Id="rId17" Type="http://schemas.openxmlformats.org/officeDocument/2006/relationships/footer" Target="footer4.xml"/><Relationship Id="rId38" Type="http://schemas.openxmlformats.org/officeDocument/2006/relationships/image" Target="media/image19.png"/><Relationship Id="rId59" Type="http://schemas.openxmlformats.org/officeDocument/2006/relationships/image" Target="media/image36.tiff"/><Relationship Id="rId103" Type="http://schemas.openxmlformats.org/officeDocument/2006/relationships/oleObject" Target="embeddings/oleObject3.bin"/><Relationship Id="rId124" Type="http://schemas.openxmlformats.org/officeDocument/2006/relationships/image" Target="media/image83.wmf"/><Relationship Id="rId70" Type="http://schemas.openxmlformats.org/officeDocument/2006/relationships/image" Target="media/image43.jpeg"/><Relationship Id="rId91" Type="http://schemas.openxmlformats.org/officeDocument/2006/relationships/image" Target="media/image63.wmf"/><Relationship Id="rId145" Type="http://schemas.openxmlformats.org/officeDocument/2006/relationships/image" Target="media/image97.emf"/><Relationship Id="rId166" Type="http://schemas.openxmlformats.org/officeDocument/2006/relationships/oleObject" Target="embeddings/oleObject24.bin"/><Relationship Id="rId187" Type="http://schemas.openxmlformats.org/officeDocument/2006/relationships/oleObject" Target="embeddings/oleObject34.bin"/><Relationship Id="rId1" Type="http://schemas.openxmlformats.org/officeDocument/2006/relationships/customXml" Target="../customXml/item1.xml"/><Relationship Id="rId212" Type="http://schemas.openxmlformats.org/officeDocument/2006/relationships/oleObject" Target="embeddings/oleObject47.bin"/><Relationship Id="rId233" Type="http://schemas.openxmlformats.org/officeDocument/2006/relationships/image" Target="media/image158.emf"/><Relationship Id="rId254" Type="http://schemas.openxmlformats.org/officeDocument/2006/relationships/image" Target="media/image173.png"/><Relationship Id="rId28" Type="http://schemas.openxmlformats.org/officeDocument/2006/relationships/image" Target="media/image10.png"/><Relationship Id="rId49" Type="http://schemas.openxmlformats.org/officeDocument/2006/relationships/image" Target="media/image28.jpeg"/><Relationship Id="rId114" Type="http://schemas.openxmlformats.org/officeDocument/2006/relationships/image" Target="media/image78.wmf"/><Relationship Id="rId275" Type="http://schemas.openxmlformats.org/officeDocument/2006/relationships/footer" Target="footer15.xml"/><Relationship Id="rId296" Type="http://schemas.openxmlformats.org/officeDocument/2006/relationships/image" Target="media/image200.jpeg"/><Relationship Id="rId300" Type="http://schemas.openxmlformats.org/officeDocument/2006/relationships/image" Target="media/image204.jpeg"/><Relationship Id="rId60" Type="http://schemas.openxmlformats.org/officeDocument/2006/relationships/hyperlink" Target="3.2.2.7" TargetMode="External"/><Relationship Id="rId81" Type="http://schemas.openxmlformats.org/officeDocument/2006/relationships/image" Target="media/image54.jpeg"/><Relationship Id="rId135" Type="http://schemas.openxmlformats.org/officeDocument/2006/relationships/oleObject" Target="embeddings/oleObject19.bin"/><Relationship Id="rId156" Type="http://schemas.openxmlformats.org/officeDocument/2006/relationships/image" Target="media/image108.emf"/><Relationship Id="rId177" Type="http://schemas.openxmlformats.org/officeDocument/2006/relationships/oleObject" Target="embeddings/oleObject29.bin"/><Relationship Id="rId198" Type="http://schemas.openxmlformats.org/officeDocument/2006/relationships/oleObject" Target="embeddings/oleObject40.bin"/><Relationship Id="rId202" Type="http://schemas.openxmlformats.org/officeDocument/2006/relationships/oleObject" Target="embeddings/oleObject42.bin"/><Relationship Id="rId223" Type="http://schemas.openxmlformats.org/officeDocument/2006/relationships/image" Target="media/image148.emf"/><Relationship Id="rId244" Type="http://schemas.openxmlformats.org/officeDocument/2006/relationships/oleObject" Target="embeddings/oleObject49.bin"/><Relationship Id="rId18" Type="http://schemas.openxmlformats.org/officeDocument/2006/relationships/image" Target="media/image3.jpeg"/><Relationship Id="rId39" Type="http://schemas.openxmlformats.org/officeDocument/2006/relationships/image" Target="media/image20.png"/><Relationship Id="rId265" Type="http://schemas.openxmlformats.org/officeDocument/2006/relationships/image" Target="media/image181.png"/><Relationship Id="rId286" Type="http://schemas.openxmlformats.org/officeDocument/2006/relationships/hyperlink" Target="7.1.2.1" TargetMode="External"/><Relationship Id="rId50" Type="http://schemas.openxmlformats.org/officeDocument/2006/relationships/hyperlink" Target="3.2.2.5" TargetMode="External"/><Relationship Id="rId104" Type="http://schemas.openxmlformats.org/officeDocument/2006/relationships/image" Target="media/image73.wmf"/><Relationship Id="rId125" Type="http://schemas.openxmlformats.org/officeDocument/2006/relationships/oleObject" Target="embeddings/oleObject14.bin"/><Relationship Id="rId146" Type="http://schemas.openxmlformats.org/officeDocument/2006/relationships/image" Target="media/image98.emf"/><Relationship Id="rId167" Type="http://schemas.openxmlformats.org/officeDocument/2006/relationships/image" Target="media/image115.emf"/><Relationship Id="rId188" Type="http://schemas.openxmlformats.org/officeDocument/2006/relationships/oleObject" Target="embeddings/oleObject35.bin"/><Relationship Id="rId71" Type="http://schemas.openxmlformats.org/officeDocument/2006/relationships/image" Target="media/image44.jpeg"/><Relationship Id="rId92" Type="http://schemas.openxmlformats.org/officeDocument/2006/relationships/image" Target="media/image64.wmf"/><Relationship Id="rId213" Type="http://schemas.openxmlformats.org/officeDocument/2006/relationships/image" Target="media/image138.emf"/><Relationship Id="rId234" Type="http://schemas.openxmlformats.org/officeDocument/2006/relationships/image" Target="media/image159.emf"/><Relationship Id="rId2" Type="http://schemas.openxmlformats.org/officeDocument/2006/relationships/numbering" Target="numbering.xml"/><Relationship Id="rId29" Type="http://schemas.openxmlformats.org/officeDocument/2006/relationships/image" Target="media/image11.png"/><Relationship Id="rId255" Type="http://schemas.openxmlformats.org/officeDocument/2006/relationships/image" Target="media/image174.png"/><Relationship Id="rId276" Type="http://schemas.openxmlformats.org/officeDocument/2006/relationships/footer" Target="footer16.xml"/><Relationship Id="rId297" Type="http://schemas.openxmlformats.org/officeDocument/2006/relationships/image" Target="media/image201.jpeg"/><Relationship Id="rId40" Type="http://schemas.openxmlformats.org/officeDocument/2006/relationships/image" Target="media/image21.jpeg"/><Relationship Id="rId115" Type="http://schemas.openxmlformats.org/officeDocument/2006/relationships/oleObject" Target="embeddings/oleObject9.bin"/><Relationship Id="rId136" Type="http://schemas.openxmlformats.org/officeDocument/2006/relationships/image" Target="media/image89.wmf"/><Relationship Id="rId157" Type="http://schemas.openxmlformats.org/officeDocument/2006/relationships/image" Target="media/image109.emf"/><Relationship Id="rId178" Type="http://schemas.openxmlformats.org/officeDocument/2006/relationships/image" Target="media/image121.emf"/><Relationship Id="rId301" Type="http://schemas.openxmlformats.org/officeDocument/2006/relationships/image" Target="media/image205.jpeg"/><Relationship Id="rId61" Type="http://schemas.openxmlformats.org/officeDocument/2006/relationships/hyperlink" Target="3.2.4.1" TargetMode="External"/><Relationship Id="rId82" Type="http://schemas.openxmlformats.org/officeDocument/2006/relationships/image" Target="media/image55.png"/><Relationship Id="rId199" Type="http://schemas.openxmlformats.org/officeDocument/2006/relationships/image" Target="media/image131.wmf"/><Relationship Id="rId203" Type="http://schemas.openxmlformats.org/officeDocument/2006/relationships/image" Target="media/image133.wmf"/><Relationship Id="rId19" Type="http://schemas.openxmlformats.org/officeDocument/2006/relationships/image" Target="media/image4.jpeg"/><Relationship Id="rId224" Type="http://schemas.openxmlformats.org/officeDocument/2006/relationships/image" Target="media/image149.emf"/><Relationship Id="rId245" Type="http://schemas.openxmlformats.org/officeDocument/2006/relationships/image" Target="media/image168.png"/><Relationship Id="rId266" Type="http://schemas.openxmlformats.org/officeDocument/2006/relationships/image" Target="media/image182.png"/><Relationship Id="rId287" Type="http://schemas.openxmlformats.org/officeDocument/2006/relationships/hyperlink" Target="7.1.2.2" TargetMode="External"/><Relationship Id="rId30" Type="http://schemas.openxmlformats.org/officeDocument/2006/relationships/image" Target="media/image12.png"/><Relationship Id="rId105" Type="http://schemas.openxmlformats.org/officeDocument/2006/relationships/oleObject" Target="embeddings/oleObject4.bin"/><Relationship Id="rId126" Type="http://schemas.openxmlformats.org/officeDocument/2006/relationships/image" Target="media/image84.wmf"/><Relationship Id="rId147" Type="http://schemas.openxmlformats.org/officeDocument/2006/relationships/image" Target="media/image99.emf"/><Relationship Id="rId168" Type="http://schemas.openxmlformats.org/officeDocument/2006/relationships/image" Target="media/image116.wmf"/><Relationship Id="rId51" Type="http://schemas.openxmlformats.org/officeDocument/2006/relationships/image" Target="media/image29.tiff"/><Relationship Id="rId72" Type="http://schemas.openxmlformats.org/officeDocument/2006/relationships/image" Target="media/image45.jpeg"/><Relationship Id="rId93" Type="http://schemas.openxmlformats.org/officeDocument/2006/relationships/image" Target="media/image65.wmf"/><Relationship Id="rId189" Type="http://schemas.openxmlformats.org/officeDocument/2006/relationships/image" Target="media/image126.wmf"/><Relationship Id="rId3" Type="http://schemas.openxmlformats.org/officeDocument/2006/relationships/styles" Target="styles.xml"/><Relationship Id="rId214" Type="http://schemas.openxmlformats.org/officeDocument/2006/relationships/image" Target="media/image139.jpeg"/><Relationship Id="rId235" Type="http://schemas.openxmlformats.org/officeDocument/2006/relationships/image" Target="media/image160.emf"/><Relationship Id="rId256" Type="http://schemas.openxmlformats.org/officeDocument/2006/relationships/footer" Target="footer12.xml"/><Relationship Id="rId277" Type="http://schemas.openxmlformats.org/officeDocument/2006/relationships/footer" Target="footer17.xml"/><Relationship Id="rId298" Type="http://schemas.openxmlformats.org/officeDocument/2006/relationships/image" Target="media/image202.jpeg"/><Relationship Id="rId116" Type="http://schemas.openxmlformats.org/officeDocument/2006/relationships/image" Target="media/image79.wmf"/><Relationship Id="rId137" Type="http://schemas.openxmlformats.org/officeDocument/2006/relationships/oleObject" Target="embeddings/oleObject20.bin"/><Relationship Id="rId158" Type="http://schemas.openxmlformats.org/officeDocument/2006/relationships/image" Target="media/image110.wmf"/><Relationship Id="rId302" Type="http://schemas.openxmlformats.org/officeDocument/2006/relationships/footer" Target="footer22.xml"/><Relationship Id="rId20" Type="http://schemas.openxmlformats.org/officeDocument/2006/relationships/footer" Target="footer5.xml"/><Relationship Id="rId41" Type="http://schemas.openxmlformats.org/officeDocument/2006/relationships/image" Target="media/image22.png"/><Relationship Id="rId62" Type="http://schemas.openxmlformats.org/officeDocument/2006/relationships/footer" Target="footer9.xml"/><Relationship Id="rId83" Type="http://schemas.openxmlformats.org/officeDocument/2006/relationships/image" Target="media/image56.png"/><Relationship Id="rId179" Type="http://schemas.openxmlformats.org/officeDocument/2006/relationships/image" Target="media/image122.wmf"/><Relationship Id="rId190" Type="http://schemas.openxmlformats.org/officeDocument/2006/relationships/oleObject" Target="embeddings/oleObject36.bin"/><Relationship Id="rId204" Type="http://schemas.openxmlformats.org/officeDocument/2006/relationships/oleObject" Target="embeddings/oleObject43.bin"/><Relationship Id="rId225" Type="http://schemas.openxmlformats.org/officeDocument/2006/relationships/image" Target="media/image150.emf"/><Relationship Id="rId246" Type="http://schemas.openxmlformats.org/officeDocument/2006/relationships/image" Target="media/image169.png"/><Relationship Id="rId267" Type="http://schemas.openxmlformats.org/officeDocument/2006/relationships/image" Target="media/image183.png"/><Relationship Id="rId288" Type="http://schemas.openxmlformats.org/officeDocument/2006/relationships/hyperlink" Target="7.1.2.3" TargetMode="External"/><Relationship Id="rId106" Type="http://schemas.openxmlformats.org/officeDocument/2006/relationships/image" Target="media/image74.wmf"/><Relationship Id="rId127" Type="http://schemas.openxmlformats.org/officeDocument/2006/relationships/oleObject" Target="embeddings/oleObject15.bin"/><Relationship Id="rId10" Type="http://schemas.openxmlformats.org/officeDocument/2006/relationships/footer" Target="footer2.xml"/><Relationship Id="rId31" Type="http://schemas.openxmlformats.org/officeDocument/2006/relationships/image" Target="media/image13.png"/><Relationship Id="rId52" Type="http://schemas.openxmlformats.org/officeDocument/2006/relationships/image" Target="media/image30.tiff"/><Relationship Id="rId73" Type="http://schemas.openxmlformats.org/officeDocument/2006/relationships/image" Target="media/image46.jpeg"/><Relationship Id="rId94" Type="http://schemas.openxmlformats.org/officeDocument/2006/relationships/oleObject" Target="embeddings/oleObject1.bin"/><Relationship Id="rId148" Type="http://schemas.openxmlformats.org/officeDocument/2006/relationships/image" Target="media/image100.emf"/><Relationship Id="rId169" Type="http://schemas.openxmlformats.org/officeDocument/2006/relationships/oleObject" Target="embeddings/oleObject25.bin"/><Relationship Id="rId4" Type="http://schemas.openxmlformats.org/officeDocument/2006/relationships/settings" Target="settings.xml"/><Relationship Id="rId180" Type="http://schemas.openxmlformats.org/officeDocument/2006/relationships/oleObject" Target="embeddings/oleObject30.bin"/><Relationship Id="rId215" Type="http://schemas.openxmlformats.org/officeDocument/2006/relationships/image" Target="media/image140.jpeg"/><Relationship Id="rId236" Type="http://schemas.openxmlformats.org/officeDocument/2006/relationships/image" Target="media/image161.emf"/><Relationship Id="rId257" Type="http://schemas.openxmlformats.org/officeDocument/2006/relationships/image" Target="media/image175.jpeg"/><Relationship Id="rId278" Type="http://schemas.openxmlformats.org/officeDocument/2006/relationships/footer" Target="footer18.xml"/><Relationship Id="rId303" Type="http://schemas.openxmlformats.org/officeDocument/2006/relationships/footer" Target="footer23.xml"/><Relationship Id="rId42" Type="http://schemas.openxmlformats.org/officeDocument/2006/relationships/image" Target="media/image23.png"/><Relationship Id="rId84" Type="http://schemas.openxmlformats.org/officeDocument/2006/relationships/image" Target="media/image57.png"/><Relationship Id="rId138" Type="http://schemas.openxmlformats.org/officeDocument/2006/relationships/image" Target="media/image90.jpeg"/><Relationship Id="rId191" Type="http://schemas.openxmlformats.org/officeDocument/2006/relationships/image" Target="media/image127.wmf"/><Relationship Id="rId205" Type="http://schemas.openxmlformats.org/officeDocument/2006/relationships/image" Target="media/image134.wmf"/><Relationship Id="rId247" Type="http://schemas.openxmlformats.org/officeDocument/2006/relationships/image" Target="media/image170.png"/><Relationship Id="rId107" Type="http://schemas.openxmlformats.org/officeDocument/2006/relationships/oleObject" Target="embeddings/oleObject5.bin"/><Relationship Id="rId289" Type="http://schemas.openxmlformats.org/officeDocument/2006/relationships/image" Target="media/image195.jpeg"/><Relationship Id="rId11" Type="http://schemas.openxmlformats.org/officeDocument/2006/relationships/footer" Target="footer3.xml"/><Relationship Id="rId53" Type="http://schemas.openxmlformats.org/officeDocument/2006/relationships/image" Target="media/image31.tiff"/><Relationship Id="rId149" Type="http://schemas.openxmlformats.org/officeDocument/2006/relationships/image" Target="media/image101.emf"/><Relationship Id="rId95" Type="http://schemas.openxmlformats.org/officeDocument/2006/relationships/image" Target="media/image66.wmf"/><Relationship Id="rId160" Type="http://schemas.openxmlformats.org/officeDocument/2006/relationships/image" Target="media/image111.wmf"/><Relationship Id="rId216" Type="http://schemas.openxmlformats.org/officeDocument/2006/relationships/image" Target="media/image141.jpeg"/><Relationship Id="rId258" Type="http://schemas.openxmlformats.org/officeDocument/2006/relationships/footer" Target="footer13.xml"/><Relationship Id="rId22" Type="http://schemas.openxmlformats.org/officeDocument/2006/relationships/footer" Target="footer6.xml"/><Relationship Id="rId64" Type="http://schemas.openxmlformats.org/officeDocument/2006/relationships/image" Target="media/image37.jpeg"/><Relationship Id="rId118" Type="http://schemas.openxmlformats.org/officeDocument/2006/relationships/image" Target="media/image80.wmf"/><Relationship Id="rId171" Type="http://schemas.openxmlformats.org/officeDocument/2006/relationships/oleObject" Target="embeddings/oleObject26.bin"/><Relationship Id="rId227" Type="http://schemas.openxmlformats.org/officeDocument/2006/relationships/image" Target="media/image152.emf"/><Relationship Id="rId269" Type="http://schemas.openxmlformats.org/officeDocument/2006/relationships/image" Target="media/image185.png"/><Relationship Id="rId33" Type="http://schemas.openxmlformats.org/officeDocument/2006/relationships/image" Target="media/image15.png"/><Relationship Id="rId129" Type="http://schemas.openxmlformats.org/officeDocument/2006/relationships/oleObject" Target="embeddings/oleObject16.bin"/><Relationship Id="rId280" Type="http://schemas.openxmlformats.org/officeDocument/2006/relationships/image" Target="media/image192.jpeg"/><Relationship Id="rId75" Type="http://schemas.openxmlformats.org/officeDocument/2006/relationships/image" Target="media/image48.png"/><Relationship Id="rId140" Type="http://schemas.openxmlformats.org/officeDocument/2006/relationships/image" Target="media/image92.emf"/><Relationship Id="rId182" Type="http://schemas.openxmlformats.org/officeDocument/2006/relationships/oleObject" Target="embeddings/oleObject31.bin"/><Relationship Id="rId6" Type="http://schemas.openxmlformats.org/officeDocument/2006/relationships/footnotes" Target="footnotes.xml"/><Relationship Id="rId238" Type="http://schemas.openxmlformats.org/officeDocument/2006/relationships/image" Target="media/image163.emf"/><Relationship Id="rId291" Type="http://schemas.openxmlformats.org/officeDocument/2006/relationships/image" Target="media/image196.jpeg"/><Relationship Id="rId305" Type="http://schemas.openxmlformats.org/officeDocument/2006/relationships/image" Target="media/image207.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279</Pages>
  <Words>29188</Words>
  <Characters>166374</Characters>
  <Application>Microsoft Office Word</Application>
  <DocSecurity>0</DocSecurity>
  <Lines>1386</Lines>
  <Paragraphs>390</Paragraphs>
  <ScaleCrop>false</ScaleCrop>
  <Company/>
  <LinksUpToDate>false</LinksUpToDate>
  <CharactersWithSpaces>195172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公文管理员</cp:lastModifiedBy>
  <cp:revision>6</cp:revision>
  <cp:lastPrinted>2025-06-08T10:55:00Z</cp:lastPrinted>
  <dcterms:created xsi:type="dcterms:W3CDTF">2024-07-22T22:18:00Z</dcterms:created>
  <dcterms:modified xsi:type="dcterms:W3CDTF">2026-04-22T02:13:00Z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2025-01-07T16:22:24Z</vt:filetime>
  </property>
  <property fmtid="{D5CDD505-2E9C-101B-9397-08002B2CF9AE}" pid="4" name="KSOProductBuildVer">
    <vt:lpwstr>2052-12.1.0.25225</vt:lpwstr>
  </property>
  <property fmtid="{D5CDD505-2E9C-101B-9397-08002B2CF9AE}" pid="5" name="ICV">
    <vt:lpwstr>1AF35B485F3E4B2486AAC6F00A4BC5E0_13</vt:lpwstr>
  </property>
  <property fmtid="{D5CDD505-2E9C-101B-9397-08002B2CF9AE}" pid="6" name="KSOTemplateDocerSaveRecord">
    <vt:lpwstr>eyJoZGlkIjoiYWVmOGU4NTdiNzFjZWZjNjgzNDNiNWIzYTI4YTdhMDIiLCJ1c2VySWQiOiI1NjI3Nzc4ODUifQ==</vt:lpwstr>
  </property>
</Properties>
</file>